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23C88" w14:textId="77777777" w:rsidR="00771F16" w:rsidRPr="007F6AD7" w:rsidRDefault="00771F16" w:rsidP="00FD572A">
      <w:pPr>
        <w:pStyle w:val="Puesto"/>
        <w:spacing w:line="360" w:lineRule="auto"/>
        <w:ind w:firstLine="0"/>
        <w:rPr>
          <w:rFonts w:cs="Arial"/>
          <w:sz w:val="22"/>
          <w:szCs w:val="22"/>
          <w:lang w:val="es-ES"/>
        </w:rPr>
      </w:pPr>
    </w:p>
    <w:p w14:paraId="5BE129F0" w14:textId="09B60ACC" w:rsidR="00280B49" w:rsidRPr="007F6AD7" w:rsidRDefault="00817246" w:rsidP="00D1290F">
      <w:pPr>
        <w:tabs>
          <w:tab w:val="left" w:pos="720"/>
        </w:tabs>
        <w:autoSpaceDE w:val="0"/>
        <w:autoSpaceDN w:val="0"/>
        <w:adjustRightInd w:val="0"/>
        <w:jc w:val="center"/>
        <w:rPr>
          <w:rFonts w:ascii="Arial" w:hAnsi="Arial" w:cs="Arial"/>
          <w:color w:val="666633"/>
        </w:rPr>
      </w:pPr>
      <w:bookmarkStart w:id="0" w:name="OLE_LINK157"/>
      <w:bookmarkStart w:id="1" w:name="OLE_LINK156"/>
      <w:r w:rsidRPr="007F6AD7">
        <w:rPr>
          <w:rFonts w:ascii="Arial" w:hAnsi="Arial" w:cs="Arial"/>
          <w:color w:val="666633"/>
        </w:rPr>
        <w:t xml:space="preserve">Informe sobre </w:t>
      </w:r>
      <w:r w:rsidR="00F01CD5" w:rsidRPr="007F6AD7">
        <w:rPr>
          <w:rFonts w:ascii="Arial" w:hAnsi="Arial" w:cs="Arial"/>
          <w:color w:val="666633"/>
        </w:rPr>
        <w:t xml:space="preserve">la </w:t>
      </w:r>
      <w:r w:rsidR="00805826" w:rsidRPr="007F6AD7">
        <w:rPr>
          <w:rFonts w:ascii="Arial" w:hAnsi="Arial" w:cs="Arial"/>
          <w:color w:val="666633"/>
        </w:rPr>
        <w:t xml:space="preserve">  Convención Internacional para la </w:t>
      </w:r>
      <w:r w:rsidR="00F01CD5" w:rsidRPr="007F6AD7">
        <w:rPr>
          <w:rFonts w:ascii="Arial" w:hAnsi="Arial" w:cs="Arial"/>
          <w:color w:val="666633"/>
        </w:rPr>
        <w:t>Eliminación de todas las Formas</w:t>
      </w:r>
      <w:r w:rsidR="00805826" w:rsidRPr="007F6AD7">
        <w:rPr>
          <w:rFonts w:ascii="Arial" w:hAnsi="Arial" w:cs="Arial"/>
          <w:color w:val="666633"/>
        </w:rPr>
        <w:t xml:space="preserve"> </w:t>
      </w:r>
      <w:r w:rsidR="00F01CD5" w:rsidRPr="007F6AD7">
        <w:rPr>
          <w:rFonts w:ascii="Arial" w:hAnsi="Arial" w:cs="Arial"/>
          <w:color w:val="666633"/>
        </w:rPr>
        <w:t>de Discriminación Racial (ICERD)</w:t>
      </w:r>
    </w:p>
    <w:p w14:paraId="33E0598E" w14:textId="7C3556C9" w:rsidR="00F01CD5" w:rsidRPr="007F6AD7" w:rsidRDefault="00F01CD5" w:rsidP="00D1290F">
      <w:pPr>
        <w:tabs>
          <w:tab w:val="left" w:pos="720"/>
        </w:tabs>
        <w:autoSpaceDE w:val="0"/>
        <w:autoSpaceDN w:val="0"/>
        <w:adjustRightInd w:val="0"/>
        <w:jc w:val="center"/>
        <w:rPr>
          <w:rFonts w:ascii="Arial" w:hAnsi="Arial" w:cs="Arial"/>
          <w:color w:val="666633"/>
        </w:rPr>
      </w:pPr>
      <w:r w:rsidRPr="007F6AD7">
        <w:rPr>
          <w:rFonts w:ascii="Arial" w:hAnsi="Arial" w:cs="Arial"/>
          <w:color w:val="666633"/>
        </w:rPr>
        <w:t>País evaluado: Cuba</w:t>
      </w:r>
    </w:p>
    <w:p w14:paraId="40D87E11" w14:textId="77777777" w:rsidR="00817246" w:rsidRPr="007F6AD7" w:rsidRDefault="00F01CD5" w:rsidP="00D1290F">
      <w:pPr>
        <w:tabs>
          <w:tab w:val="left" w:pos="720"/>
        </w:tabs>
        <w:autoSpaceDE w:val="0"/>
        <w:autoSpaceDN w:val="0"/>
        <w:adjustRightInd w:val="0"/>
        <w:jc w:val="center"/>
        <w:rPr>
          <w:rFonts w:ascii="Arial" w:hAnsi="Arial" w:cs="Arial"/>
          <w:color w:val="666633"/>
        </w:rPr>
      </w:pPr>
      <w:r w:rsidRPr="007F6AD7">
        <w:rPr>
          <w:rFonts w:ascii="Arial" w:hAnsi="Arial" w:cs="Arial"/>
          <w:color w:val="666633"/>
        </w:rPr>
        <w:t>Organización no gubernamental</w:t>
      </w:r>
    </w:p>
    <w:p w14:paraId="4C693814" w14:textId="77777777" w:rsidR="00AC1E36" w:rsidRPr="007F6AD7" w:rsidRDefault="00AC1E36" w:rsidP="00F01CD5">
      <w:pPr>
        <w:spacing w:line="240" w:lineRule="auto"/>
        <w:contextualSpacing/>
        <w:jc w:val="center"/>
        <w:rPr>
          <w:rFonts w:ascii="Arial" w:hAnsi="Arial" w:cs="Arial"/>
          <w:color w:val="336600"/>
          <w:spacing w:val="-10"/>
          <w:kern w:val="28"/>
        </w:rPr>
      </w:pPr>
    </w:p>
    <w:p w14:paraId="7B99324D" w14:textId="77777777" w:rsidR="00AC1E36" w:rsidRPr="007F6AD7" w:rsidRDefault="00AC1E36" w:rsidP="00F01CD5">
      <w:pPr>
        <w:spacing w:line="240" w:lineRule="auto"/>
        <w:contextualSpacing/>
        <w:jc w:val="center"/>
        <w:rPr>
          <w:rFonts w:ascii="Arial" w:hAnsi="Arial" w:cs="Arial"/>
          <w:spacing w:val="-10"/>
          <w:kern w:val="28"/>
        </w:rPr>
      </w:pPr>
      <w:r w:rsidRPr="007F6AD7">
        <w:rPr>
          <w:rFonts w:ascii="Arial" w:hAnsi="Arial" w:cs="Arial"/>
          <w:noProof/>
          <w:spacing w:val="-10"/>
          <w:kern w:val="28"/>
          <w:lang w:eastAsia="es-ES"/>
        </w:rPr>
        <w:drawing>
          <wp:inline distT="0" distB="0" distL="0" distR="0" wp14:anchorId="3CEEE7BF" wp14:editId="343D565D">
            <wp:extent cx="3733800" cy="2549912"/>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33800" cy="2549912"/>
                    </a:xfrm>
                    <a:prstGeom prst="rect">
                      <a:avLst/>
                    </a:prstGeom>
                    <a:noFill/>
                    <a:ln w="9525">
                      <a:noFill/>
                      <a:miter lim="800000"/>
                      <a:headEnd/>
                      <a:tailEnd/>
                    </a:ln>
                  </pic:spPr>
                </pic:pic>
              </a:graphicData>
            </a:graphic>
          </wp:inline>
        </w:drawing>
      </w:r>
    </w:p>
    <w:p w14:paraId="3F2BA869" w14:textId="77777777" w:rsidR="00AC1E36" w:rsidRPr="007F6AD7" w:rsidRDefault="00AC1E36" w:rsidP="00F01CD5">
      <w:pPr>
        <w:spacing w:line="240" w:lineRule="auto"/>
        <w:contextualSpacing/>
        <w:jc w:val="center"/>
        <w:rPr>
          <w:rFonts w:ascii="Arial" w:hAnsi="Arial" w:cs="Arial"/>
          <w:spacing w:val="-10"/>
          <w:kern w:val="28"/>
        </w:rPr>
      </w:pPr>
    </w:p>
    <w:p w14:paraId="08E8A87A" w14:textId="77777777" w:rsidR="00AC1E36" w:rsidRPr="007F6AD7" w:rsidRDefault="00AC1E36" w:rsidP="00AC1E36">
      <w:pPr>
        <w:spacing w:line="240" w:lineRule="auto"/>
        <w:contextualSpacing/>
        <w:jc w:val="center"/>
        <w:rPr>
          <w:rFonts w:ascii="Arial" w:hAnsi="Arial" w:cs="Arial"/>
          <w:color w:val="666633"/>
          <w:spacing w:val="-10"/>
          <w:kern w:val="28"/>
        </w:rPr>
      </w:pPr>
      <w:r w:rsidRPr="007F6AD7">
        <w:rPr>
          <w:rFonts w:ascii="Arial" w:hAnsi="Arial" w:cs="Arial"/>
          <w:color w:val="666633"/>
          <w:spacing w:val="-10"/>
          <w:kern w:val="28"/>
        </w:rPr>
        <w:t>Manuel Pruna No. 663, entre Pedro Pernas y Calzada de Luyano,</w:t>
      </w:r>
    </w:p>
    <w:p w14:paraId="60940C1D" w14:textId="77777777" w:rsidR="00AC1E36" w:rsidRPr="007F6AD7" w:rsidRDefault="00AC1E36" w:rsidP="00AC1E36">
      <w:pPr>
        <w:spacing w:line="240" w:lineRule="auto"/>
        <w:contextualSpacing/>
        <w:jc w:val="center"/>
        <w:rPr>
          <w:rFonts w:ascii="Arial" w:hAnsi="Arial" w:cs="Arial"/>
          <w:color w:val="666633"/>
          <w:spacing w:val="-10"/>
          <w:kern w:val="28"/>
        </w:rPr>
      </w:pPr>
      <w:r w:rsidRPr="007F6AD7">
        <w:rPr>
          <w:rFonts w:ascii="Arial" w:hAnsi="Arial" w:cs="Arial"/>
          <w:color w:val="666633"/>
          <w:spacing w:val="-10"/>
          <w:kern w:val="28"/>
        </w:rPr>
        <w:t>Diez de Octubre, La Habana, Cuba</w:t>
      </w:r>
    </w:p>
    <w:p w14:paraId="2AA18C6D" w14:textId="77777777" w:rsidR="00AC1E36" w:rsidRPr="007F6AD7" w:rsidRDefault="00AC1E36" w:rsidP="00AC1E36">
      <w:pPr>
        <w:spacing w:line="240" w:lineRule="auto"/>
        <w:contextualSpacing/>
        <w:jc w:val="center"/>
        <w:rPr>
          <w:rFonts w:ascii="Arial" w:hAnsi="Arial" w:cs="Arial"/>
          <w:color w:val="666633"/>
          <w:spacing w:val="-10"/>
          <w:kern w:val="28"/>
        </w:rPr>
      </w:pPr>
      <w:r w:rsidRPr="007F6AD7">
        <w:rPr>
          <w:rFonts w:ascii="Arial" w:hAnsi="Arial" w:cs="Arial"/>
          <w:color w:val="666633"/>
          <w:spacing w:val="-10"/>
          <w:kern w:val="28"/>
        </w:rPr>
        <w:t>Tel: (53) 52507224</w:t>
      </w:r>
    </w:p>
    <w:p w14:paraId="12950DEA" w14:textId="77777777" w:rsidR="00AC1E36" w:rsidRPr="007F6AD7" w:rsidRDefault="00AC1E36" w:rsidP="00AC1E36">
      <w:pPr>
        <w:spacing w:line="240" w:lineRule="auto"/>
        <w:contextualSpacing/>
        <w:jc w:val="center"/>
        <w:rPr>
          <w:rFonts w:ascii="Arial" w:hAnsi="Arial" w:cs="Arial"/>
          <w:color w:val="666633"/>
          <w:spacing w:val="-10"/>
          <w:kern w:val="28"/>
        </w:rPr>
      </w:pPr>
    </w:p>
    <w:p w14:paraId="7B437517" w14:textId="77777777" w:rsidR="00AC1E36" w:rsidRPr="007F6AD7" w:rsidRDefault="00AC1E36" w:rsidP="00AC1E36">
      <w:pPr>
        <w:spacing w:line="240" w:lineRule="auto"/>
        <w:contextualSpacing/>
        <w:jc w:val="center"/>
        <w:rPr>
          <w:rFonts w:ascii="Arial" w:hAnsi="Arial" w:cs="Arial"/>
          <w:color w:val="666633"/>
          <w:spacing w:val="-10"/>
          <w:kern w:val="28"/>
        </w:rPr>
      </w:pPr>
      <w:r w:rsidRPr="007F6AD7">
        <w:rPr>
          <w:rFonts w:ascii="Arial" w:hAnsi="Arial" w:cs="Arial"/>
          <w:color w:val="666633"/>
          <w:spacing w:val="-10"/>
          <w:kern w:val="28"/>
        </w:rPr>
        <w:t>E-mail:kinderkub096@gmail.com</w:t>
      </w:r>
    </w:p>
    <w:p w14:paraId="65EFDE34" w14:textId="77777777" w:rsidR="00832FDF" w:rsidRPr="007F6AD7" w:rsidRDefault="00832FDF" w:rsidP="00832FDF">
      <w:pPr>
        <w:rPr>
          <w:rFonts w:ascii="Arial" w:hAnsi="Arial" w:cs="Arial"/>
          <w:b/>
          <w:color w:val="666633"/>
        </w:rPr>
      </w:pPr>
    </w:p>
    <w:p w14:paraId="3E2C4BA1" w14:textId="77777777" w:rsidR="00C00BE2" w:rsidRPr="007F6AD7" w:rsidRDefault="00C00BE2" w:rsidP="00C00BE2">
      <w:pPr>
        <w:tabs>
          <w:tab w:val="left" w:pos="720"/>
        </w:tabs>
        <w:autoSpaceDE w:val="0"/>
        <w:autoSpaceDN w:val="0"/>
        <w:adjustRightInd w:val="0"/>
        <w:jc w:val="both"/>
        <w:rPr>
          <w:rFonts w:ascii="Arial" w:hAnsi="Arial" w:cs="Arial"/>
          <w:color w:val="666633"/>
        </w:rPr>
      </w:pPr>
      <w:r w:rsidRPr="007F6AD7">
        <w:rPr>
          <w:rFonts w:ascii="Arial" w:hAnsi="Arial" w:cs="Arial"/>
          <w:color w:val="666633"/>
        </w:rPr>
        <w:t>La Asociación Cubana para el Desarrollo de la Educación Infantil (ACDEI) radica en Cuba y fue constituida el 22 de septiembre de 2010. La ONG ACDEI es una organización independiente del Estado cubano y forma parte de la sociedad civil. De forma gratuita asesora y apoya a todo ciudadano cubano, particularmente a progenitores, tutores y asistentes de cuidado infantil. Con igual propósito, también les ofrece información sobre el sistema legal cubano, la normativa aplicable a las personas menores de 18 años y los procedimientos apropiados que se deben seguir ante el Gobierno cubano e instituciones regionales e internacionales. ACDEI participa en la protección y respeto de los derechos del niño en Cuba, y denuncia ante órganos internacionales y regionales en caso de violación de los derechos de los infantes.</w:t>
      </w:r>
    </w:p>
    <w:p w14:paraId="445E380E" w14:textId="77777777" w:rsidR="00D83A49" w:rsidRDefault="00D83A49" w:rsidP="00D83A49">
      <w:pPr>
        <w:jc w:val="both"/>
        <w:rPr>
          <w:rFonts w:ascii="Arial" w:hAnsi="Arial" w:cs="Arial"/>
          <w:color w:val="666633"/>
        </w:rPr>
      </w:pPr>
    </w:p>
    <w:p w14:paraId="78E2E292" w14:textId="77777777" w:rsidR="004755F1" w:rsidRPr="007F6AD7" w:rsidRDefault="004755F1" w:rsidP="00D83A49">
      <w:pPr>
        <w:jc w:val="both"/>
        <w:rPr>
          <w:rFonts w:ascii="Arial" w:hAnsi="Arial" w:cs="Arial"/>
          <w:color w:val="666633"/>
        </w:rPr>
      </w:pPr>
    </w:p>
    <w:p w14:paraId="2B218BB0" w14:textId="77777777" w:rsidR="004B69D5" w:rsidRPr="007F6AD7" w:rsidRDefault="004B69D5" w:rsidP="00B13ADB">
      <w:pPr>
        <w:rPr>
          <w:rFonts w:ascii="Arial" w:hAnsi="Arial" w:cs="Arial"/>
          <w:b/>
          <w:bCs/>
        </w:rPr>
      </w:pPr>
    </w:p>
    <w:p w14:paraId="4D8BF3F4" w14:textId="77777777" w:rsidR="00545A3F" w:rsidRDefault="00545A3F">
      <w:pPr>
        <w:pStyle w:val="TDC1"/>
        <w:tabs>
          <w:tab w:val="right" w:leader="dot" w:pos="9954"/>
        </w:tabs>
        <w:rPr>
          <w:rFonts w:ascii="Arial" w:hAnsi="Arial" w:cs="Arial"/>
        </w:rPr>
      </w:pPr>
    </w:p>
    <w:p w14:paraId="68D306DB" w14:textId="77777777" w:rsidR="00545A3F" w:rsidRDefault="004755F1">
      <w:pPr>
        <w:pStyle w:val="TDC1"/>
        <w:tabs>
          <w:tab w:val="right" w:leader="dot" w:pos="9954"/>
        </w:tabs>
        <w:rPr>
          <w:noProof/>
        </w:rPr>
      </w:pPr>
      <w:r>
        <w:rPr>
          <w:rFonts w:ascii="Arial" w:hAnsi="Arial" w:cs="Arial"/>
        </w:rPr>
        <w:fldChar w:fldCharType="begin"/>
      </w:r>
      <w:r>
        <w:rPr>
          <w:rFonts w:ascii="Arial" w:hAnsi="Arial" w:cs="Arial"/>
        </w:rPr>
        <w:instrText xml:space="preserve"> TOC \o "1-3" \u </w:instrText>
      </w:r>
      <w:r>
        <w:rPr>
          <w:rFonts w:ascii="Arial" w:hAnsi="Arial" w:cs="Arial"/>
        </w:rPr>
        <w:fldChar w:fldCharType="separate"/>
      </w:r>
      <w:r w:rsidR="00545A3F">
        <w:rPr>
          <w:noProof/>
        </w:rPr>
        <w:t>Introducción</w:t>
      </w:r>
      <w:r w:rsidR="00545A3F">
        <w:rPr>
          <w:noProof/>
        </w:rPr>
        <w:tab/>
      </w:r>
      <w:r w:rsidR="00545A3F">
        <w:rPr>
          <w:noProof/>
        </w:rPr>
        <w:fldChar w:fldCharType="begin"/>
      </w:r>
      <w:r w:rsidR="00545A3F">
        <w:rPr>
          <w:noProof/>
        </w:rPr>
        <w:instrText xml:space="preserve"> PAGEREF _Toc515359782 \h </w:instrText>
      </w:r>
      <w:r w:rsidR="00545A3F">
        <w:rPr>
          <w:noProof/>
        </w:rPr>
      </w:r>
      <w:r w:rsidR="00545A3F">
        <w:rPr>
          <w:noProof/>
        </w:rPr>
        <w:fldChar w:fldCharType="separate"/>
      </w:r>
      <w:r w:rsidR="00545A3F">
        <w:rPr>
          <w:noProof/>
        </w:rPr>
        <w:t>4</w:t>
      </w:r>
      <w:r w:rsidR="00545A3F">
        <w:rPr>
          <w:noProof/>
        </w:rPr>
        <w:fldChar w:fldCharType="end"/>
      </w:r>
    </w:p>
    <w:p w14:paraId="62D65AB5" w14:textId="77777777" w:rsidR="00545A3F" w:rsidRPr="00545A3F" w:rsidRDefault="00545A3F" w:rsidP="00545A3F"/>
    <w:p w14:paraId="02BADD39"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sidRPr="00375C08">
        <w:rPr>
          <w:iCs/>
          <w:noProof/>
        </w:rPr>
        <w:t>A. Medidas Generales de Implementación</w:t>
      </w:r>
      <w:r>
        <w:rPr>
          <w:noProof/>
        </w:rPr>
        <w:tab/>
      </w:r>
      <w:r>
        <w:rPr>
          <w:noProof/>
        </w:rPr>
        <w:fldChar w:fldCharType="begin"/>
      </w:r>
      <w:r>
        <w:rPr>
          <w:noProof/>
        </w:rPr>
        <w:instrText xml:space="preserve"> PAGEREF _Toc515359783 \h </w:instrText>
      </w:r>
      <w:r>
        <w:rPr>
          <w:noProof/>
        </w:rPr>
      </w:r>
      <w:r>
        <w:rPr>
          <w:noProof/>
        </w:rPr>
        <w:fldChar w:fldCharType="separate"/>
      </w:r>
      <w:r>
        <w:rPr>
          <w:noProof/>
        </w:rPr>
        <w:t>7</w:t>
      </w:r>
      <w:r>
        <w:rPr>
          <w:noProof/>
        </w:rPr>
        <w:fldChar w:fldCharType="end"/>
      </w:r>
    </w:p>
    <w:p w14:paraId="3B30D36D" w14:textId="26AFEBC3" w:rsidR="00545A3F" w:rsidRPr="00545A3F" w:rsidRDefault="00545A3F" w:rsidP="00545A3F">
      <w:pPr>
        <w:pStyle w:val="TDC2"/>
        <w:tabs>
          <w:tab w:val="right" w:leader="dot" w:pos="9954"/>
        </w:tabs>
        <w:rPr>
          <w:noProof/>
        </w:rPr>
      </w:pPr>
      <w:r>
        <w:rPr>
          <w:noProof/>
        </w:rPr>
        <w:t>Estatus legal de la ICERD en Cuba</w:t>
      </w:r>
      <w:r>
        <w:rPr>
          <w:noProof/>
        </w:rPr>
        <w:tab/>
      </w:r>
      <w:r>
        <w:rPr>
          <w:noProof/>
        </w:rPr>
        <w:fldChar w:fldCharType="begin"/>
      </w:r>
      <w:r>
        <w:rPr>
          <w:noProof/>
        </w:rPr>
        <w:instrText xml:space="preserve"> PAGEREF _Toc515359784 \h </w:instrText>
      </w:r>
      <w:r>
        <w:rPr>
          <w:noProof/>
        </w:rPr>
      </w:r>
      <w:r>
        <w:rPr>
          <w:noProof/>
        </w:rPr>
        <w:fldChar w:fldCharType="separate"/>
      </w:r>
      <w:r>
        <w:rPr>
          <w:noProof/>
        </w:rPr>
        <w:t>7</w:t>
      </w:r>
      <w:r>
        <w:rPr>
          <w:noProof/>
        </w:rPr>
        <w:fldChar w:fldCharType="end"/>
      </w:r>
    </w:p>
    <w:p w14:paraId="162AA464"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Responsabilidad del Estado Parte y las Personas Jurídicas</w:t>
      </w:r>
      <w:r>
        <w:rPr>
          <w:noProof/>
        </w:rPr>
        <w:tab/>
      </w:r>
      <w:r>
        <w:rPr>
          <w:noProof/>
        </w:rPr>
        <w:fldChar w:fldCharType="begin"/>
      </w:r>
      <w:r>
        <w:rPr>
          <w:noProof/>
        </w:rPr>
        <w:instrText xml:space="preserve"> PAGEREF _Toc515359785 \h </w:instrText>
      </w:r>
      <w:r>
        <w:rPr>
          <w:noProof/>
        </w:rPr>
      </w:r>
      <w:r>
        <w:rPr>
          <w:noProof/>
        </w:rPr>
        <w:fldChar w:fldCharType="separate"/>
      </w:r>
      <w:r>
        <w:rPr>
          <w:noProof/>
        </w:rPr>
        <w:t>9</w:t>
      </w:r>
      <w:r>
        <w:rPr>
          <w:noProof/>
        </w:rPr>
        <w:fldChar w:fldCharType="end"/>
      </w:r>
    </w:p>
    <w:p w14:paraId="7CF13BEF"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Difusión en Cuba de la Convencion  ICERD</w:t>
      </w:r>
      <w:r>
        <w:rPr>
          <w:noProof/>
        </w:rPr>
        <w:tab/>
      </w:r>
      <w:r>
        <w:rPr>
          <w:noProof/>
        </w:rPr>
        <w:fldChar w:fldCharType="begin"/>
      </w:r>
      <w:r>
        <w:rPr>
          <w:noProof/>
        </w:rPr>
        <w:instrText xml:space="preserve"> PAGEREF _Toc515359786 \h </w:instrText>
      </w:r>
      <w:r>
        <w:rPr>
          <w:noProof/>
        </w:rPr>
      </w:r>
      <w:r>
        <w:rPr>
          <w:noProof/>
        </w:rPr>
        <w:fldChar w:fldCharType="separate"/>
      </w:r>
      <w:r>
        <w:rPr>
          <w:noProof/>
        </w:rPr>
        <w:t>11</w:t>
      </w:r>
      <w:r>
        <w:rPr>
          <w:noProof/>
        </w:rPr>
        <w:fldChar w:fldCharType="end"/>
      </w:r>
    </w:p>
    <w:p w14:paraId="4D953516"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Incumplimiento de  mandatos constitucionales</w:t>
      </w:r>
      <w:r>
        <w:rPr>
          <w:noProof/>
        </w:rPr>
        <w:tab/>
      </w:r>
      <w:r>
        <w:rPr>
          <w:noProof/>
        </w:rPr>
        <w:fldChar w:fldCharType="begin"/>
      </w:r>
      <w:r>
        <w:rPr>
          <w:noProof/>
        </w:rPr>
        <w:instrText xml:space="preserve"> PAGEREF _Toc515359787 \h </w:instrText>
      </w:r>
      <w:r>
        <w:rPr>
          <w:noProof/>
        </w:rPr>
      </w:r>
      <w:r>
        <w:rPr>
          <w:noProof/>
        </w:rPr>
        <w:fldChar w:fldCharType="separate"/>
      </w:r>
      <w:r>
        <w:rPr>
          <w:noProof/>
        </w:rPr>
        <w:t>11</w:t>
      </w:r>
      <w:r>
        <w:rPr>
          <w:noProof/>
        </w:rPr>
        <w:fldChar w:fldCharType="end"/>
      </w:r>
    </w:p>
    <w:p w14:paraId="7022712B"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La Convencion ICERD en silencio por derivaciones  de la discriminacion racial</w:t>
      </w:r>
      <w:r>
        <w:rPr>
          <w:noProof/>
        </w:rPr>
        <w:tab/>
      </w:r>
      <w:r>
        <w:rPr>
          <w:noProof/>
        </w:rPr>
        <w:fldChar w:fldCharType="begin"/>
      </w:r>
      <w:r>
        <w:rPr>
          <w:noProof/>
        </w:rPr>
        <w:instrText xml:space="preserve"> PAGEREF _Toc515359788 \h </w:instrText>
      </w:r>
      <w:r>
        <w:rPr>
          <w:noProof/>
        </w:rPr>
      </w:r>
      <w:r>
        <w:rPr>
          <w:noProof/>
        </w:rPr>
        <w:fldChar w:fldCharType="separate"/>
      </w:r>
      <w:r>
        <w:rPr>
          <w:noProof/>
        </w:rPr>
        <w:t>12</w:t>
      </w:r>
      <w:r>
        <w:rPr>
          <w:noProof/>
        </w:rPr>
        <w:fldChar w:fldCharType="end"/>
      </w:r>
    </w:p>
    <w:p w14:paraId="745C7933"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Implementación en Cuba de Políticas Públicas relacionadas con la ICERD</w:t>
      </w:r>
      <w:r>
        <w:rPr>
          <w:noProof/>
        </w:rPr>
        <w:tab/>
      </w:r>
      <w:r>
        <w:rPr>
          <w:noProof/>
        </w:rPr>
        <w:fldChar w:fldCharType="begin"/>
      </w:r>
      <w:r>
        <w:rPr>
          <w:noProof/>
        </w:rPr>
        <w:instrText xml:space="preserve"> PAGEREF _Toc515359789 \h </w:instrText>
      </w:r>
      <w:r>
        <w:rPr>
          <w:noProof/>
        </w:rPr>
      </w:r>
      <w:r>
        <w:rPr>
          <w:noProof/>
        </w:rPr>
        <w:fldChar w:fldCharType="separate"/>
      </w:r>
      <w:r>
        <w:rPr>
          <w:noProof/>
        </w:rPr>
        <w:t>15</w:t>
      </w:r>
      <w:r>
        <w:rPr>
          <w:noProof/>
        </w:rPr>
        <w:fldChar w:fldCharType="end"/>
      </w:r>
    </w:p>
    <w:p w14:paraId="1AA2A007"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Obstáculos en la Implementación de la Convención ICERD</w:t>
      </w:r>
      <w:r>
        <w:rPr>
          <w:noProof/>
        </w:rPr>
        <w:tab/>
      </w:r>
      <w:r>
        <w:rPr>
          <w:noProof/>
        </w:rPr>
        <w:fldChar w:fldCharType="begin"/>
      </w:r>
      <w:r>
        <w:rPr>
          <w:noProof/>
        </w:rPr>
        <w:instrText xml:space="preserve"> PAGEREF _Toc515359790 \h </w:instrText>
      </w:r>
      <w:r>
        <w:rPr>
          <w:noProof/>
        </w:rPr>
      </w:r>
      <w:r>
        <w:rPr>
          <w:noProof/>
        </w:rPr>
        <w:fldChar w:fldCharType="separate"/>
      </w:r>
      <w:r>
        <w:rPr>
          <w:noProof/>
        </w:rPr>
        <w:t>18</w:t>
      </w:r>
      <w:r>
        <w:rPr>
          <w:noProof/>
        </w:rPr>
        <w:fldChar w:fldCharType="end"/>
      </w:r>
    </w:p>
    <w:p w14:paraId="6BE1E1D1"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Legislacion y diligencias excluyentes</w:t>
      </w:r>
      <w:r>
        <w:rPr>
          <w:noProof/>
        </w:rPr>
        <w:tab/>
      </w:r>
      <w:r>
        <w:rPr>
          <w:noProof/>
        </w:rPr>
        <w:fldChar w:fldCharType="begin"/>
      </w:r>
      <w:r>
        <w:rPr>
          <w:noProof/>
        </w:rPr>
        <w:instrText xml:space="preserve"> PAGEREF _Toc515359791 \h </w:instrText>
      </w:r>
      <w:r>
        <w:rPr>
          <w:noProof/>
        </w:rPr>
      </w:r>
      <w:r>
        <w:rPr>
          <w:noProof/>
        </w:rPr>
        <w:fldChar w:fldCharType="separate"/>
      </w:r>
      <w:r>
        <w:rPr>
          <w:noProof/>
        </w:rPr>
        <w:t>18</w:t>
      </w:r>
      <w:r>
        <w:rPr>
          <w:noProof/>
        </w:rPr>
        <w:fldChar w:fldCharType="end"/>
      </w:r>
    </w:p>
    <w:p w14:paraId="53A0EE62" w14:textId="77777777" w:rsidR="00545A3F" w:rsidRDefault="00545A3F">
      <w:pPr>
        <w:pStyle w:val="TDC3"/>
        <w:tabs>
          <w:tab w:val="right" w:leader="dot" w:pos="9954"/>
        </w:tabs>
        <w:rPr>
          <w:noProof/>
        </w:rPr>
      </w:pPr>
      <w:r>
        <w:rPr>
          <w:noProof/>
        </w:rPr>
        <w:t>Prohibición de Portar Documentación de las Naciones Unidas</w:t>
      </w:r>
      <w:r>
        <w:rPr>
          <w:noProof/>
        </w:rPr>
        <w:tab/>
      </w:r>
      <w:r>
        <w:rPr>
          <w:noProof/>
        </w:rPr>
        <w:fldChar w:fldCharType="begin"/>
      </w:r>
      <w:r>
        <w:rPr>
          <w:noProof/>
        </w:rPr>
        <w:instrText xml:space="preserve"> PAGEREF _Toc515359792 \h </w:instrText>
      </w:r>
      <w:r>
        <w:rPr>
          <w:noProof/>
        </w:rPr>
      </w:r>
      <w:r>
        <w:rPr>
          <w:noProof/>
        </w:rPr>
        <w:fldChar w:fldCharType="separate"/>
      </w:r>
      <w:r>
        <w:rPr>
          <w:noProof/>
        </w:rPr>
        <w:t>20</w:t>
      </w:r>
      <w:r>
        <w:rPr>
          <w:noProof/>
        </w:rPr>
        <w:fldChar w:fldCharType="end"/>
      </w:r>
    </w:p>
    <w:p w14:paraId="21B1C563" w14:textId="77777777" w:rsidR="00545A3F" w:rsidRPr="00545A3F" w:rsidRDefault="00545A3F" w:rsidP="00545A3F"/>
    <w:p w14:paraId="5FE60F53"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Pr>
          <w:noProof/>
        </w:rPr>
        <w:t>B. Legislación y Sistema Judicial</w:t>
      </w:r>
      <w:r>
        <w:rPr>
          <w:noProof/>
        </w:rPr>
        <w:tab/>
      </w:r>
      <w:r>
        <w:rPr>
          <w:noProof/>
        </w:rPr>
        <w:fldChar w:fldCharType="begin"/>
      </w:r>
      <w:r>
        <w:rPr>
          <w:noProof/>
        </w:rPr>
        <w:instrText xml:space="preserve"> PAGEREF _Toc515359793 \h </w:instrText>
      </w:r>
      <w:r>
        <w:rPr>
          <w:noProof/>
        </w:rPr>
      </w:r>
      <w:r>
        <w:rPr>
          <w:noProof/>
        </w:rPr>
        <w:fldChar w:fldCharType="separate"/>
      </w:r>
      <w:r>
        <w:rPr>
          <w:noProof/>
        </w:rPr>
        <w:t>21</w:t>
      </w:r>
      <w:r>
        <w:rPr>
          <w:noProof/>
        </w:rPr>
        <w:fldChar w:fldCharType="end"/>
      </w:r>
    </w:p>
    <w:p w14:paraId="17E6C84F"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Ordenamiento Jurídico Interno</w:t>
      </w:r>
      <w:r>
        <w:rPr>
          <w:noProof/>
        </w:rPr>
        <w:tab/>
      </w:r>
      <w:r>
        <w:rPr>
          <w:noProof/>
        </w:rPr>
        <w:fldChar w:fldCharType="begin"/>
      </w:r>
      <w:r>
        <w:rPr>
          <w:noProof/>
        </w:rPr>
        <w:instrText xml:space="preserve"> PAGEREF _Toc515359794 \h </w:instrText>
      </w:r>
      <w:r>
        <w:rPr>
          <w:noProof/>
        </w:rPr>
      </w:r>
      <w:r>
        <w:rPr>
          <w:noProof/>
        </w:rPr>
        <w:fldChar w:fldCharType="separate"/>
      </w:r>
      <w:r>
        <w:rPr>
          <w:noProof/>
        </w:rPr>
        <w:t>21</w:t>
      </w:r>
      <w:r>
        <w:rPr>
          <w:noProof/>
        </w:rPr>
        <w:fldChar w:fldCharType="end"/>
      </w:r>
    </w:p>
    <w:p w14:paraId="0B9F3A6C"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Sistema Judicial</w:t>
      </w:r>
      <w:r>
        <w:rPr>
          <w:noProof/>
        </w:rPr>
        <w:tab/>
      </w:r>
      <w:r>
        <w:rPr>
          <w:noProof/>
        </w:rPr>
        <w:fldChar w:fldCharType="begin"/>
      </w:r>
      <w:r>
        <w:rPr>
          <w:noProof/>
        </w:rPr>
        <w:instrText xml:space="preserve"> PAGEREF _Toc515359795 \h </w:instrText>
      </w:r>
      <w:r>
        <w:rPr>
          <w:noProof/>
        </w:rPr>
      </w:r>
      <w:r>
        <w:rPr>
          <w:noProof/>
        </w:rPr>
        <w:fldChar w:fldCharType="separate"/>
      </w:r>
      <w:r>
        <w:rPr>
          <w:noProof/>
        </w:rPr>
        <w:t>23</w:t>
      </w:r>
      <w:r>
        <w:rPr>
          <w:noProof/>
        </w:rPr>
        <w:fldChar w:fldCharType="end"/>
      </w:r>
    </w:p>
    <w:p w14:paraId="7690EBCA"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Vía Extrajudicial de Influencia para Proteger los Derechos de la Niñez</w:t>
      </w:r>
      <w:r>
        <w:rPr>
          <w:noProof/>
        </w:rPr>
        <w:tab/>
      </w:r>
      <w:r>
        <w:rPr>
          <w:noProof/>
        </w:rPr>
        <w:fldChar w:fldCharType="begin"/>
      </w:r>
      <w:r>
        <w:rPr>
          <w:noProof/>
        </w:rPr>
        <w:instrText xml:space="preserve"> PAGEREF _Toc515359796 \h </w:instrText>
      </w:r>
      <w:r>
        <w:rPr>
          <w:noProof/>
        </w:rPr>
      </w:r>
      <w:r>
        <w:rPr>
          <w:noProof/>
        </w:rPr>
        <w:fldChar w:fldCharType="separate"/>
      </w:r>
      <w:r>
        <w:rPr>
          <w:noProof/>
        </w:rPr>
        <w:t>26</w:t>
      </w:r>
      <w:r>
        <w:rPr>
          <w:noProof/>
        </w:rPr>
        <w:fldChar w:fldCharType="end"/>
      </w:r>
    </w:p>
    <w:p w14:paraId="30B2AB2E"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La Gestión de la  Fiscalia General de la Republica</w:t>
      </w:r>
      <w:r>
        <w:rPr>
          <w:noProof/>
        </w:rPr>
        <w:tab/>
      </w:r>
      <w:r>
        <w:rPr>
          <w:noProof/>
        </w:rPr>
        <w:fldChar w:fldCharType="begin"/>
      </w:r>
      <w:r>
        <w:rPr>
          <w:noProof/>
        </w:rPr>
        <w:instrText xml:space="preserve"> PAGEREF _Toc515359797 \h </w:instrText>
      </w:r>
      <w:r>
        <w:rPr>
          <w:noProof/>
        </w:rPr>
      </w:r>
      <w:r>
        <w:rPr>
          <w:noProof/>
        </w:rPr>
        <w:fldChar w:fldCharType="separate"/>
      </w:r>
      <w:r>
        <w:rPr>
          <w:noProof/>
        </w:rPr>
        <w:t>26</w:t>
      </w:r>
      <w:r>
        <w:rPr>
          <w:noProof/>
        </w:rPr>
        <w:fldChar w:fldCharType="end"/>
      </w:r>
    </w:p>
    <w:p w14:paraId="515DD4DC" w14:textId="77777777" w:rsidR="00545A3F" w:rsidRDefault="00545A3F">
      <w:pPr>
        <w:pStyle w:val="TDC3"/>
        <w:tabs>
          <w:tab w:val="right" w:leader="dot" w:pos="9954"/>
        </w:tabs>
        <w:rPr>
          <w:noProof/>
        </w:rPr>
      </w:pPr>
      <w:r>
        <w:rPr>
          <w:noProof/>
        </w:rPr>
        <w:t>Medios de</w:t>
      </w:r>
      <w:r w:rsidRPr="00375C08">
        <w:rPr>
          <w:noProof/>
        </w:rPr>
        <w:t xml:space="preserve"> Divulgación</w:t>
      </w:r>
      <w:r>
        <w:rPr>
          <w:noProof/>
        </w:rPr>
        <w:t>: Otra Vía Extrajudicial de Influencia</w:t>
      </w:r>
      <w:r>
        <w:rPr>
          <w:noProof/>
        </w:rPr>
        <w:tab/>
      </w:r>
      <w:r>
        <w:rPr>
          <w:noProof/>
        </w:rPr>
        <w:fldChar w:fldCharType="begin"/>
      </w:r>
      <w:r>
        <w:rPr>
          <w:noProof/>
        </w:rPr>
        <w:instrText xml:space="preserve"> PAGEREF _Toc515359798 \h </w:instrText>
      </w:r>
      <w:r>
        <w:rPr>
          <w:noProof/>
        </w:rPr>
      </w:r>
      <w:r>
        <w:rPr>
          <w:noProof/>
        </w:rPr>
        <w:fldChar w:fldCharType="separate"/>
      </w:r>
      <w:r>
        <w:rPr>
          <w:noProof/>
        </w:rPr>
        <w:t>27</w:t>
      </w:r>
      <w:r>
        <w:rPr>
          <w:noProof/>
        </w:rPr>
        <w:fldChar w:fldCharType="end"/>
      </w:r>
    </w:p>
    <w:p w14:paraId="71AF0817" w14:textId="77777777" w:rsidR="00545A3F" w:rsidRPr="00545A3F" w:rsidRDefault="00545A3F" w:rsidP="00545A3F"/>
    <w:p w14:paraId="17BBCAE6"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Pr>
          <w:noProof/>
        </w:rPr>
        <w:t>C. Situación de las Normas contra la Discriminación en Cuba</w:t>
      </w:r>
      <w:r>
        <w:rPr>
          <w:noProof/>
        </w:rPr>
        <w:tab/>
      </w:r>
      <w:r>
        <w:rPr>
          <w:noProof/>
        </w:rPr>
        <w:fldChar w:fldCharType="begin"/>
      </w:r>
      <w:r>
        <w:rPr>
          <w:noProof/>
        </w:rPr>
        <w:instrText xml:space="preserve"> PAGEREF _Toc515359799 \h </w:instrText>
      </w:r>
      <w:r>
        <w:rPr>
          <w:noProof/>
        </w:rPr>
      </w:r>
      <w:r>
        <w:rPr>
          <w:noProof/>
        </w:rPr>
        <w:fldChar w:fldCharType="separate"/>
      </w:r>
      <w:r>
        <w:rPr>
          <w:noProof/>
        </w:rPr>
        <w:t>29</w:t>
      </w:r>
      <w:r>
        <w:rPr>
          <w:noProof/>
        </w:rPr>
        <w:fldChar w:fldCharType="end"/>
      </w:r>
    </w:p>
    <w:p w14:paraId="1A639E44"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Restricciones al derecho de igualdad</w:t>
      </w:r>
      <w:r>
        <w:rPr>
          <w:noProof/>
        </w:rPr>
        <w:tab/>
      </w:r>
      <w:r>
        <w:rPr>
          <w:noProof/>
        </w:rPr>
        <w:fldChar w:fldCharType="begin"/>
      </w:r>
      <w:r>
        <w:rPr>
          <w:noProof/>
        </w:rPr>
        <w:instrText xml:space="preserve"> PAGEREF _Toc515359800 \h </w:instrText>
      </w:r>
      <w:r>
        <w:rPr>
          <w:noProof/>
        </w:rPr>
      </w:r>
      <w:r>
        <w:rPr>
          <w:noProof/>
        </w:rPr>
        <w:fldChar w:fldCharType="separate"/>
      </w:r>
      <w:r>
        <w:rPr>
          <w:noProof/>
        </w:rPr>
        <w:t>29</w:t>
      </w:r>
      <w:r>
        <w:rPr>
          <w:noProof/>
        </w:rPr>
        <w:fldChar w:fldCharType="end"/>
      </w:r>
    </w:p>
    <w:p w14:paraId="7ABB5FD4"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Acceso a la justicia</w:t>
      </w:r>
      <w:r>
        <w:rPr>
          <w:noProof/>
        </w:rPr>
        <w:tab/>
      </w:r>
      <w:r>
        <w:rPr>
          <w:noProof/>
        </w:rPr>
        <w:fldChar w:fldCharType="begin"/>
      </w:r>
      <w:r>
        <w:rPr>
          <w:noProof/>
        </w:rPr>
        <w:instrText xml:space="preserve"> PAGEREF _Toc515359801 \h </w:instrText>
      </w:r>
      <w:r>
        <w:rPr>
          <w:noProof/>
        </w:rPr>
      </w:r>
      <w:r>
        <w:rPr>
          <w:noProof/>
        </w:rPr>
        <w:fldChar w:fldCharType="separate"/>
      </w:r>
      <w:r>
        <w:rPr>
          <w:noProof/>
        </w:rPr>
        <w:t>31</w:t>
      </w:r>
      <w:r>
        <w:rPr>
          <w:noProof/>
        </w:rPr>
        <w:fldChar w:fldCharType="end"/>
      </w:r>
    </w:p>
    <w:p w14:paraId="01585303"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La discapacidad, un motivo protegido por la ICERD</w:t>
      </w:r>
      <w:r>
        <w:rPr>
          <w:noProof/>
        </w:rPr>
        <w:tab/>
      </w:r>
      <w:r>
        <w:rPr>
          <w:noProof/>
        </w:rPr>
        <w:fldChar w:fldCharType="begin"/>
      </w:r>
      <w:r>
        <w:rPr>
          <w:noProof/>
        </w:rPr>
        <w:instrText xml:space="preserve"> PAGEREF _Toc515359802 \h </w:instrText>
      </w:r>
      <w:r>
        <w:rPr>
          <w:noProof/>
        </w:rPr>
      </w:r>
      <w:r>
        <w:rPr>
          <w:noProof/>
        </w:rPr>
        <w:fldChar w:fldCharType="separate"/>
      </w:r>
      <w:r>
        <w:rPr>
          <w:noProof/>
        </w:rPr>
        <w:t>34</w:t>
      </w:r>
      <w:r>
        <w:rPr>
          <w:noProof/>
        </w:rPr>
        <w:fldChar w:fldCharType="end"/>
      </w:r>
    </w:p>
    <w:p w14:paraId="34754B78"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Discapacitados en el ámbito del empleo</w:t>
      </w:r>
      <w:r>
        <w:rPr>
          <w:noProof/>
        </w:rPr>
        <w:tab/>
      </w:r>
      <w:r>
        <w:rPr>
          <w:noProof/>
        </w:rPr>
        <w:fldChar w:fldCharType="begin"/>
      </w:r>
      <w:r>
        <w:rPr>
          <w:noProof/>
        </w:rPr>
        <w:instrText xml:space="preserve"> PAGEREF _Toc515359803 \h </w:instrText>
      </w:r>
      <w:r>
        <w:rPr>
          <w:noProof/>
        </w:rPr>
      </w:r>
      <w:r>
        <w:rPr>
          <w:noProof/>
        </w:rPr>
        <w:fldChar w:fldCharType="separate"/>
      </w:r>
      <w:r>
        <w:rPr>
          <w:noProof/>
        </w:rPr>
        <w:t>36</w:t>
      </w:r>
      <w:r>
        <w:rPr>
          <w:noProof/>
        </w:rPr>
        <w:fldChar w:fldCharType="end"/>
      </w:r>
    </w:p>
    <w:p w14:paraId="12DD08F9"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Trato diferenciado por razón de nacionalidad</w:t>
      </w:r>
      <w:r>
        <w:rPr>
          <w:noProof/>
        </w:rPr>
        <w:tab/>
      </w:r>
      <w:r>
        <w:rPr>
          <w:noProof/>
        </w:rPr>
        <w:fldChar w:fldCharType="begin"/>
      </w:r>
      <w:r>
        <w:rPr>
          <w:noProof/>
        </w:rPr>
        <w:instrText xml:space="preserve"> PAGEREF _Toc515359804 \h </w:instrText>
      </w:r>
      <w:r>
        <w:rPr>
          <w:noProof/>
        </w:rPr>
      </w:r>
      <w:r>
        <w:rPr>
          <w:noProof/>
        </w:rPr>
        <w:fldChar w:fldCharType="separate"/>
      </w:r>
      <w:r>
        <w:rPr>
          <w:noProof/>
        </w:rPr>
        <w:t>37</w:t>
      </w:r>
      <w:r>
        <w:rPr>
          <w:noProof/>
        </w:rPr>
        <w:fldChar w:fldCharType="end"/>
      </w:r>
    </w:p>
    <w:p w14:paraId="44ADF749"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Valoraciones subjetivas para acceder a los servicios de internet y telefonÍa</w:t>
      </w:r>
      <w:r>
        <w:rPr>
          <w:noProof/>
        </w:rPr>
        <w:tab/>
      </w:r>
      <w:r>
        <w:rPr>
          <w:noProof/>
        </w:rPr>
        <w:fldChar w:fldCharType="begin"/>
      </w:r>
      <w:r>
        <w:rPr>
          <w:noProof/>
        </w:rPr>
        <w:instrText xml:space="preserve"> PAGEREF _Toc515359805 \h </w:instrText>
      </w:r>
      <w:r>
        <w:rPr>
          <w:noProof/>
        </w:rPr>
      </w:r>
      <w:r>
        <w:rPr>
          <w:noProof/>
        </w:rPr>
        <w:fldChar w:fldCharType="separate"/>
      </w:r>
      <w:r>
        <w:rPr>
          <w:noProof/>
        </w:rPr>
        <w:t>40</w:t>
      </w:r>
      <w:r>
        <w:rPr>
          <w:noProof/>
        </w:rPr>
        <w:fldChar w:fldCharType="end"/>
      </w:r>
    </w:p>
    <w:p w14:paraId="60F47DE7"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Restricciones a Derechos y Garantías Constitucionales de Protección a la Niñez</w:t>
      </w:r>
      <w:r>
        <w:rPr>
          <w:noProof/>
        </w:rPr>
        <w:tab/>
      </w:r>
      <w:r>
        <w:rPr>
          <w:noProof/>
        </w:rPr>
        <w:fldChar w:fldCharType="begin"/>
      </w:r>
      <w:r>
        <w:rPr>
          <w:noProof/>
        </w:rPr>
        <w:instrText xml:space="preserve"> PAGEREF _Toc515359806 \h </w:instrText>
      </w:r>
      <w:r>
        <w:rPr>
          <w:noProof/>
        </w:rPr>
      </w:r>
      <w:r>
        <w:rPr>
          <w:noProof/>
        </w:rPr>
        <w:fldChar w:fldCharType="separate"/>
      </w:r>
      <w:r>
        <w:rPr>
          <w:noProof/>
        </w:rPr>
        <w:t>43</w:t>
      </w:r>
      <w:r>
        <w:rPr>
          <w:noProof/>
        </w:rPr>
        <w:fldChar w:fldCharType="end"/>
      </w:r>
    </w:p>
    <w:p w14:paraId="1E8EE8ED"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Impunidad en situaciones de vulneración de los derechos de la niñez</w:t>
      </w:r>
      <w:r>
        <w:rPr>
          <w:noProof/>
        </w:rPr>
        <w:tab/>
      </w:r>
      <w:r>
        <w:rPr>
          <w:noProof/>
        </w:rPr>
        <w:fldChar w:fldCharType="begin"/>
      </w:r>
      <w:r>
        <w:rPr>
          <w:noProof/>
        </w:rPr>
        <w:instrText xml:space="preserve"> PAGEREF _Toc515359807 \h </w:instrText>
      </w:r>
      <w:r>
        <w:rPr>
          <w:noProof/>
        </w:rPr>
      </w:r>
      <w:r>
        <w:rPr>
          <w:noProof/>
        </w:rPr>
        <w:fldChar w:fldCharType="separate"/>
      </w:r>
      <w:r>
        <w:rPr>
          <w:noProof/>
        </w:rPr>
        <w:t>44</w:t>
      </w:r>
      <w:r>
        <w:rPr>
          <w:noProof/>
        </w:rPr>
        <w:fldChar w:fldCharType="end"/>
      </w:r>
    </w:p>
    <w:p w14:paraId="6B8A960D" w14:textId="77777777" w:rsidR="00545A3F" w:rsidRDefault="00545A3F">
      <w:pPr>
        <w:pStyle w:val="TDC2"/>
        <w:tabs>
          <w:tab w:val="right" w:leader="dot" w:pos="9954"/>
        </w:tabs>
        <w:rPr>
          <w:rFonts w:eastAsiaTheme="minorEastAsia" w:cstheme="minorBidi"/>
          <w:smallCaps w:val="0"/>
          <w:noProof/>
          <w:sz w:val="22"/>
          <w:szCs w:val="22"/>
          <w:lang w:eastAsia="es-ES"/>
        </w:rPr>
      </w:pPr>
      <w:r>
        <w:rPr>
          <w:noProof/>
        </w:rPr>
        <w:t>Diferencia de trato a las personas menores de 18 años</w:t>
      </w:r>
      <w:r>
        <w:rPr>
          <w:noProof/>
        </w:rPr>
        <w:tab/>
      </w:r>
      <w:r>
        <w:rPr>
          <w:noProof/>
        </w:rPr>
        <w:fldChar w:fldCharType="begin"/>
      </w:r>
      <w:r>
        <w:rPr>
          <w:noProof/>
        </w:rPr>
        <w:instrText xml:space="preserve"> PAGEREF _Toc515359808 \h </w:instrText>
      </w:r>
      <w:r>
        <w:rPr>
          <w:noProof/>
        </w:rPr>
      </w:r>
      <w:r>
        <w:rPr>
          <w:noProof/>
        </w:rPr>
        <w:fldChar w:fldCharType="separate"/>
      </w:r>
      <w:r>
        <w:rPr>
          <w:noProof/>
        </w:rPr>
        <w:t>49</w:t>
      </w:r>
      <w:r>
        <w:rPr>
          <w:noProof/>
        </w:rPr>
        <w:fldChar w:fldCharType="end"/>
      </w:r>
    </w:p>
    <w:p w14:paraId="6063D9FF" w14:textId="3BEE2C93" w:rsidR="00545A3F" w:rsidRDefault="00545A3F" w:rsidP="00545A3F">
      <w:pPr>
        <w:pStyle w:val="TDC3"/>
        <w:tabs>
          <w:tab w:val="right" w:leader="dot" w:pos="9954"/>
        </w:tabs>
        <w:rPr>
          <w:noProof/>
        </w:rPr>
      </w:pPr>
      <w:r>
        <w:rPr>
          <w:noProof/>
        </w:rPr>
        <w:t>Denegacion de la  nacionalidad y apatridia de infantes</w:t>
      </w:r>
      <w:r>
        <w:rPr>
          <w:noProof/>
        </w:rPr>
        <w:tab/>
      </w:r>
      <w:r>
        <w:rPr>
          <w:noProof/>
        </w:rPr>
        <w:fldChar w:fldCharType="begin"/>
      </w:r>
      <w:r>
        <w:rPr>
          <w:noProof/>
        </w:rPr>
        <w:instrText xml:space="preserve"> PAGEREF _Toc515359809 \h </w:instrText>
      </w:r>
      <w:r>
        <w:rPr>
          <w:noProof/>
        </w:rPr>
      </w:r>
      <w:r>
        <w:rPr>
          <w:noProof/>
        </w:rPr>
        <w:fldChar w:fldCharType="separate"/>
      </w:r>
      <w:r>
        <w:rPr>
          <w:noProof/>
        </w:rPr>
        <w:t>49</w:t>
      </w:r>
      <w:r>
        <w:rPr>
          <w:noProof/>
        </w:rPr>
        <w:fldChar w:fldCharType="end"/>
      </w:r>
    </w:p>
    <w:p w14:paraId="23DD2AE7" w14:textId="77777777" w:rsidR="00545A3F" w:rsidRDefault="00545A3F" w:rsidP="00545A3F"/>
    <w:p w14:paraId="76C39C02" w14:textId="77777777" w:rsidR="00545A3F" w:rsidRDefault="00545A3F" w:rsidP="00545A3F"/>
    <w:p w14:paraId="4944EC7E" w14:textId="77777777" w:rsidR="00545A3F" w:rsidRDefault="00545A3F" w:rsidP="00545A3F"/>
    <w:p w14:paraId="45F4707B" w14:textId="77777777" w:rsidR="00545A3F" w:rsidRPr="00545A3F" w:rsidRDefault="00545A3F" w:rsidP="00545A3F"/>
    <w:p w14:paraId="0290103B" w14:textId="77777777" w:rsidR="00066297" w:rsidRDefault="00066297">
      <w:pPr>
        <w:pStyle w:val="TDC1"/>
        <w:tabs>
          <w:tab w:val="right" w:leader="dot" w:pos="9954"/>
        </w:tabs>
        <w:rPr>
          <w:i/>
          <w:iCs/>
          <w:noProof/>
        </w:rPr>
      </w:pPr>
    </w:p>
    <w:p w14:paraId="4DF355A4"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sidRPr="00375C08">
        <w:rPr>
          <w:i/>
          <w:iCs/>
          <w:noProof/>
        </w:rPr>
        <w:t>D. Compromisos Internacionales y Obligaciones Nacionales con Ausencia de Regulación y Lagunas de las Leyes</w:t>
      </w:r>
      <w:r>
        <w:rPr>
          <w:noProof/>
        </w:rPr>
        <w:tab/>
      </w:r>
      <w:r>
        <w:rPr>
          <w:noProof/>
        </w:rPr>
        <w:fldChar w:fldCharType="begin"/>
      </w:r>
      <w:r>
        <w:rPr>
          <w:noProof/>
        </w:rPr>
        <w:instrText xml:space="preserve"> PAGEREF _Toc515359810 \h </w:instrText>
      </w:r>
      <w:r>
        <w:rPr>
          <w:noProof/>
        </w:rPr>
      </w:r>
      <w:r>
        <w:rPr>
          <w:noProof/>
        </w:rPr>
        <w:fldChar w:fldCharType="separate"/>
      </w:r>
      <w:r>
        <w:rPr>
          <w:noProof/>
        </w:rPr>
        <w:t>54</w:t>
      </w:r>
      <w:r>
        <w:rPr>
          <w:noProof/>
        </w:rPr>
        <w:fldChar w:fldCharType="end"/>
      </w:r>
    </w:p>
    <w:p w14:paraId="0B294E0C"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Derechos sexuales y derechos reproductivos en las edades tempranas</w:t>
      </w:r>
      <w:r>
        <w:rPr>
          <w:noProof/>
        </w:rPr>
        <w:tab/>
      </w:r>
      <w:r>
        <w:rPr>
          <w:noProof/>
        </w:rPr>
        <w:fldChar w:fldCharType="begin"/>
      </w:r>
      <w:r>
        <w:rPr>
          <w:noProof/>
        </w:rPr>
        <w:instrText xml:space="preserve"> PAGEREF _Toc515359811 \h </w:instrText>
      </w:r>
      <w:r>
        <w:rPr>
          <w:noProof/>
        </w:rPr>
      </w:r>
      <w:r>
        <w:rPr>
          <w:noProof/>
        </w:rPr>
        <w:fldChar w:fldCharType="separate"/>
      </w:r>
      <w:r>
        <w:rPr>
          <w:noProof/>
        </w:rPr>
        <w:t>55</w:t>
      </w:r>
      <w:r>
        <w:rPr>
          <w:noProof/>
        </w:rPr>
        <w:fldChar w:fldCharType="end"/>
      </w:r>
    </w:p>
    <w:p w14:paraId="4AA3D130"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Relaciones sexuales con menores de 14 años</w:t>
      </w:r>
      <w:r>
        <w:rPr>
          <w:noProof/>
        </w:rPr>
        <w:tab/>
      </w:r>
      <w:r>
        <w:rPr>
          <w:noProof/>
        </w:rPr>
        <w:fldChar w:fldCharType="begin"/>
      </w:r>
      <w:r>
        <w:rPr>
          <w:noProof/>
        </w:rPr>
        <w:instrText xml:space="preserve"> PAGEREF _Toc515359812 \h </w:instrText>
      </w:r>
      <w:r>
        <w:rPr>
          <w:noProof/>
        </w:rPr>
      </w:r>
      <w:r>
        <w:rPr>
          <w:noProof/>
        </w:rPr>
        <w:fldChar w:fldCharType="separate"/>
      </w:r>
      <w:r>
        <w:rPr>
          <w:noProof/>
        </w:rPr>
        <w:t>56</w:t>
      </w:r>
      <w:r>
        <w:rPr>
          <w:noProof/>
        </w:rPr>
        <w:fldChar w:fldCharType="end"/>
      </w:r>
    </w:p>
    <w:p w14:paraId="099D0C70"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Matrimonios infantiles con diferencias en edad y género</w:t>
      </w:r>
      <w:r>
        <w:rPr>
          <w:noProof/>
        </w:rPr>
        <w:tab/>
      </w:r>
      <w:r>
        <w:rPr>
          <w:noProof/>
        </w:rPr>
        <w:fldChar w:fldCharType="begin"/>
      </w:r>
      <w:r>
        <w:rPr>
          <w:noProof/>
        </w:rPr>
        <w:instrText xml:space="preserve"> PAGEREF _Toc515359813 \h </w:instrText>
      </w:r>
      <w:r>
        <w:rPr>
          <w:noProof/>
        </w:rPr>
      </w:r>
      <w:r>
        <w:rPr>
          <w:noProof/>
        </w:rPr>
        <w:fldChar w:fldCharType="separate"/>
      </w:r>
      <w:r>
        <w:rPr>
          <w:noProof/>
        </w:rPr>
        <w:t>57</w:t>
      </w:r>
      <w:r>
        <w:rPr>
          <w:noProof/>
        </w:rPr>
        <w:fldChar w:fldCharType="end"/>
      </w:r>
    </w:p>
    <w:p w14:paraId="68F2CAAD"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Discriminación por razón de identidad de género y orientación sexual</w:t>
      </w:r>
      <w:r>
        <w:rPr>
          <w:noProof/>
        </w:rPr>
        <w:tab/>
      </w:r>
      <w:r>
        <w:rPr>
          <w:noProof/>
        </w:rPr>
        <w:fldChar w:fldCharType="begin"/>
      </w:r>
      <w:r>
        <w:rPr>
          <w:noProof/>
        </w:rPr>
        <w:instrText xml:space="preserve"> PAGEREF _Toc515359814 \h </w:instrText>
      </w:r>
      <w:r>
        <w:rPr>
          <w:noProof/>
        </w:rPr>
      </w:r>
      <w:r>
        <w:rPr>
          <w:noProof/>
        </w:rPr>
        <w:fldChar w:fldCharType="separate"/>
      </w:r>
      <w:r>
        <w:rPr>
          <w:noProof/>
        </w:rPr>
        <w:t>59</w:t>
      </w:r>
      <w:r>
        <w:rPr>
          <w:noProof/>
        </w:rPr>
        <w:fldChar w:fldCharType="end"/>
      </w:r>
    </w:p>
    <w:p w14:paraId="45562C35"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Delito de Desaparición Forzada  y Apropiación de Niños</w:t>
      </w:r>
      <w:r>
        <w:rPr>
          <w:noProof/>
        </w:rPr>
        <w:tab/>
      </w:r>
      <w:r>
        <w:rPr>
          <w:noProof/>
        </w:rPr>
        <w:fldChar w:fldCharType="begin"/>
      </w:r>
      <w:r>
        <w:rPr>
          <w:noProof/>
        </w:rPr>
        <w:instrText xml:space="preserve"> PAGEREF _Toc515359815 \h </w:instrText>
      </w:r>
      <w:r>
        <w:rPr>
          <w:noProof/>
        </w:rPr>
      </w:r>
      <w:r>
        <w:rPr>
          <w:noProof/>
        </w:rPr>
        <w:fldChar w:fldCharType="separate"/>
      </w:r>
      <w:r>
        <w:rPr>
          <w:noProof/>
        </w:rPr>
        <w:t>60</w:t>
      </w:r>
      <w:r>
        <w:rPr>
          <w:noProof/>
        </w:rPr>
        <w:fldChar w:fldCharType="end"/>
      </w:r>
    </w:p>
    <w:p w14:paraId="15EAD389" w14:textId="77777777" w:rsidR="00545A3F" w:rsidRDefault="00545A3F">
      <w:pPr>
        <w:pStyle w:val="TDC3"/>
        <w:tabs>
          <w:tab w:val="right" w:leader="dot" w:pos="9954"/>
        </w:tabs>
        <w:rPr>
          <w:noProof/>
        </w:rPr>
      </w:pPr>
      <w:r>
        <w:rPr>
          <w:noProof/>
        </w:rPr>
        <w:t>Delitos de Secuestro y Sustracción del Menor</w:t>
      </w:r>
      <w:r>
        <w:rPr>
          <w:noProof/>
        </w:rPr>
        <w:tab/>
      </w:r>
      <w:r>
        <w:rPr>
          <w:noProof/>
        </w:rPr>
        <w:fldChar w:fldCharType="begin"/>
      </w:r>
      <w:r>
        <w:rPr>
          <w:noProof/>
        </w:rPr>
        <w:instrText xml:space="preserve"> PAGEREF _Toc515359816 \h </w:instrText>
      </w:r>
      <w:r>
        <w:rPr>
          <w:noProof/>
        </w:rPr>
      </w:r>
      <w:r>
        <w:rPr>
          <w:noProof/>
        </w:rPr>
        <w:fldChar w:fldCharType="separate"/>
      </w:r>
      <w:r>
        <w:rPr>
          <w:noProof/>
        </w:rPr>
        <w:t>61</w:t>
      </w:r>
      <w:r>
        <w:rPr>
          <w:noProof/>
        </w:rPr>
        <w:fldChar w:fldCharType="end"/>
      </w:r>
    </w:p>
    <w:p w14:paraId="011A1352" w14:textId="77777777" w:rsidR="00545A3F" w:rsidRPr="00545A3F" w:rsidRDefault="00545A3F" w:rsidP="00545A3F"/>
    <w:p w14:paraId="6CC1DFEC"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Pr>
          <w:noProof/>
        </w:rPr>
        <w:t>E. La Progresiva Discriminación Racial en Cuba</w:t>
      </w:r>
      <w:r>
        <w:rPr>
          <w:noProof/>
        </w:rPr>
        <w:tab/>
      </w:r>
      <w:r>
        <w:rPr>
          <w:noProof/>
        </w:rPr>
        <w:fldChar w:fldCharType="begin"/>
      </w:r>
      <w:r>
        <w:rPr>
          <w:noProof/>
        </w:rPr>
        <w:instrText xml:space="preserve"> PAGEREF _Toc515359817 \h </w:instrText>
      </w:r>
      <w:r>
        <w:rPr>
          <w:noProof/>
        </w:rPr>
      </w:r>
      <w:r>
        <w:rPr>
          <w:noProof/>
        </w:rPr>
        <w:fldChar w:fldCharType="separate"/>
      </w:r>
      <w:r>
        <w:rPr>
          <w:noProof/>
        </w:rPr>
        <w:t>63</w:t>
      </w:r>
      <w:r>
        <w:rPr>
          <w:noProof/>
        </w:rPr>
        <w:fldChar w:fldCharType="end"/>
      </w:r>
    </w:p>
    <w:p w14:paraId="64B84091"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Presencia de múltiples recombinaciones sociales</w:t>
      </w:r>
      <w:r>
        <w:rPr>
          <w:noProof/>
        </w:rPr>
        <w:tab/>
      </w:r>
      <w:r>
        <w:rPr>
          <w:noProof/>
        </w:rPr>
        <w:fldChar w:fldCharType="begin"/>
      </w:r>
      <w:r>
        <w:rPr>
          <w:noProof/>
        </w:rPr>
        <w:instrText xml:space="preserve"> PAGEREF _Toc515359818 \h </w:instrText>
      </w:r>
      <w:r>
        <w:rPr>
          <w:noProof/>
        </w:rPr>
      </w:r>
      <w:r>
        <w:rPr>
          <w:noProof/>
        </w:rPr>
        <w:fldChar w:fldCharType="separate"/>
      </w:r>
      <w:r>
        <w:rPr>
          <w:noProof/>
        </w:rPr>
        <w:t>63</w:t>
      </w:r>
      <w:r>
        <w:rPr>
          <w:noProof/>
        </w:rPr>
        <w:fldChar w:fldCharType="end"/>
      </w:r>
    </w:p>
    <w:p w14:paraId="0B91E0CE"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Acceso de la población negra y mestiza a los estudios universitarios</w:t>
      </w:r>
      <w:r>
        <w:rPr>
          <w:noProof/>
        </w:rPr>
        <w:tab/>
      </w:r>
      <w:r>
        <w:rPr>
          <w:noProof/>
        </w:rPr>
        <w:fldChar w:fldCharType="begin"/>
      </w:r>
      <w:r>
        <w:rPr>
          <w:noProof/>
        </w:rPr>
        <w:instrText xml:space="preserve"> PAGEREF _Toc515359819 \h </w:instrText>
      </w:r>
      <w:r>
        <w:rPr>
          <w:noProof/>
        </w:rPr>
      </w:r>
      <w:r>
        <w:rPr>
          <w:noProof/>
        </w:rPr>
        <w:fldChar w:fldCharType="separate"/>
      </w:r>
      <w:r>
        <w:rPr>
          <w:noProof/>
        </w:rPr>
        <w:t>64</w:t>
      </w:r>
      <w:r>
        <w:rPr>
          <w:noProof/>
        </w:rPr>
        <w:fldChar w:fldCharType="end"/>
      </w:r>
    </w:p>
    <w:p w14:paraId="766A086A"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La vía administrativa para resolver quejas y delitos de discriminación racial</w:t>
      </w:r>
      <w:r>
        <w:rPr>
          <w:noProof/>
        </w:rPr>
        <w:tab/>
      </w:r>
      <w:r>
        <w:rPr>
          <w:noProof/>
        </w:rPr>
        <w:fldChar w:fldCharType="begin"/>
      </w:r>
      <w:r>
        <w:rPr>
          <w:noProof/>
        </w:rPr>
        <w:instrText xml:space="preserve"> PAGEREF _Toc515359820 \h </w:instrText>
      </w:r>
      <w:r>
        <w:rPr>
          <w:noProof/>
        </w:rPr>
      </w:r>
      <w:r>
        <w:rPr>
          <w:noProof/>
        </w:rPr>
        <w:fldChar w:fldCharType="separate"/>
      </w:r>
      <w:r>
        <w:rPr>
          <w:noProof/>
        </w:rPr>
        <w:t>68</w:t>
      </w:r>
      <w:r>
        <w:rPr>
          <w:noProof/>
        </w:rPr>
        <w:fldChar w:fldCharType="end"/>
      </w:r>
    </w:p>
    <w:p w14:paraId="5CD1B295" w14:textId="77777777" w:rsidR="00545A3F" w:rsidRDefault="00545A3F">
      <w:pPr>
        <w:pStyle w:val="TDC3"/>
        <w:tabs>
          <w:tab w:val="right" w:leader="dot" w:pos="9954"/>
        </w:tabs>
        <w:rPr>
          <w:noProof/>
        </w:rPr>
      </w:pPr>
      <w:r>
        <w:rPr>
          <w:noProof/>
        </w:rPr>
        <w:t>Afrodescendientes  y sus hijos paralizados dentro del  sistema penal</w:t>
      </w:r>
      <w:r>
        <w:rPr>
          <w:noProof/>
        </w:rPr>
        <w:tab/>
      </w:r>
      <w:r>
        <w:rPr>
          <w:noProof/>
        </w:rPr>
        <w:fldChar w:fldCharType="begin"/>
      </w:r>
      <w:r>
        <w:rPr>
          <w:noProof/>
        </w:rPr>
        <w:instrText xml:space="preserve"> PAGEREF _Toc515359821 \h </w:instrText>
      </w:r>
      <w:r>
        <w:rPr>
          <w:noProof/>
        </w:rPr>
      </w:r>
      <w:r>
        <w:rPr>
          <w:noProof/>
        </w:rPr>
        <w:fldChar w:fldCharType="separate"/>
      </w:r>
      <w:r>
        <w:rPr>
          <w:noProof/>
        </w:rPr>
        <w:t>73</w:t>
      </w:r>
      <w:r>
        <w:rPr>
          <w:noProof/>
        </w:rPr>
        <w:fldChar w:fldCharType="end"/>
      </w:r>
    </w:p>
    <w:p w14:paraId="743169AC" w14:textId="77777777" w:rsidR="00545A3F" w:rsidRPr="00545A3F" w:rsidRDefault="00545A3F" w:rsidP="00545A3F"/>
    <w:p w14:paraId="73BCE381" w14:textId="77777777" w:rsidR="00545A3F" w:rsidRDefault="00545A3F">
      <w:pPr>
        <w:pStyle w:val="TDC1"/>
        <w:tabs>
          <w:tab w:val="right" w:leader="dot" w:pos="9954"/>
        </w:tabs>
        <w:rPr>
          <w:rFonts w:eastAsiaTheme="minorEastAsia" w:cstheme="minorBidi"/>
          <w:b w:val="0"/>
          <w:bCs w:val="0"/>
          <w:caps w:val="0"/>
          <w:noProof/>
          <w:sz w:val="22"/>
          <w:szCs w:val="22"/>
          <w:lang w:eastAsia="es-ES"/>
        </w:rPr>
      </w:pPr>
      <w:r>
        <w:rPr>
          <w:noProof/>
        </w:rPr>
        <w:t>F. Estadísticas sobre la Niñez y Adolescencia en Cuba con Riesgos de Exclusión</w:t>
      </w:r>
      <w:r>
        <w:rPr>
          <w:noProof/>
        </w:rPr>
        <w:tab/>
      </w:r>
      <w:r>
        <w:rPr>
          <w:noProof/>
        </w:rPr>
        <w:fldChar w:fldCharType="begin"/>
      </w:r>
      <w:r>
        <w:rPr>
          <w:noProof/>
        </w:rPr>
        <w:instrText xml:space="preserve"> PAGEREF _Toc515359822 \h </w:instrText>
      </w:r>
      <w:r>
        <w:rPr>
          <w:noProof/>
        </w:rPr>
      </w:r>
      <w:r>
        <w:rPr>
          <w:noProof/>
        </w:rPr>
        <w:fldChar w:fldCharType="separate"/>
      </w:r>
      <w:r>
        <w:rPr>
          <w:noProof/>
        </w:rPr>
        <w:t>77</w:t>
      </w:r>
      <w:r>
        <w:rPr>
          <w:noProof/>
        </w:rPr>
        <w:fldChar w:fldCharType="end"/>
      </w:r>
    </w:p>
    <w:p w14:paraId="3070C2DA"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La brecha entre los derechos de la niñez y el autoritarismo</w:t>
      </w:r>
      <w:r>
        <w:rPr>
          <w:noProof/>
        </w:rPr>
        <w:tab/>
      </w:r>
      <w:r>
        <w:rPr>
          <w:noProof/>
        </w:rPr>
        <w:fldChar w:fldCharType="begin"/>
      </w:r>
      <w:r>
        <w:rPr>
          <w:noProof/>
        </w:rPr>
        <w:instrText xml:space="preserve"> PAGEREF _Toc515359823 \h </w:instrText>
      </w:r>
      <w:r>
        <w:rPr>
          <w:noProof/>
        </w:rPr>
      </w:r>
      <w:r>
        <w:rPr>
          <w:noProof/>
        </w:rPr>
        <w:fldChar w:fldCharType="separate"/>
      </w:r>
      <w:r>
        <w:rPr>
          <w:noProof/>
        </w:rPr>
        <w:t>81</w:t>
      </w:r>
      <w:r>
        <w:rPr>
          <w:noProof/>
        </w:rPr>
        <w:fldChar w:fldCharType="end"/>
      </w:r>
    </w:p>
    <w:p w14:paraId="70EFE9C1" w14:textId="77777777" w:rsidR="00545A3F" w:rsidRDefault="00545A3F">
      <w:pPr>
        <w:pStyle w:val="TDC3"/>
        <w:tabs>
          <w:tab w:val="right" w:leader="dot" w:pos="9954"/>
        </w:tabs>
        <w:rPr>
          <w:rFonts w:eastAsiaTheme="minorEastAsia" w:cstheme="minorBidi"/>
          <w:i w:val="0"/>
          <w:iCs w:val="0"/>
          <w:noProof/>
          <w:sz w:val="22"/>
          <w:szCs w:val="22"/>
          <w:lang w:eastAsia="es-ES"/>
        </w:rPr>
      </w:pPr>
      <w:r w:rsidRPr="00375C08">
        <w:rPr>
          <w:noProof/>
        </w:rPr>
        <w:t>Niñez y adolescencia en conflicto con la Ley</w:t>
      </w:r>
      <w:r>
        <w:rPr>
          <w:noProof/>
        </w:rPr>
        <w:tab/>
      </w:r>
      <w:r>
        <w:rPr>
          <w:noProof/>
        </w:rPr>
        <w:fldChar w:fldCharType="begin"/>
      </w:r>
      <w:r>
        <w:rPr>
          <w:noProof/>
        </w:rPr>
        <w:instrText xml:space="preserve"> PAGEREF _Toc515359824 \h </w:instrText>
      </w:r>
      <w:r>
        <w:rPr>
          <w:noProof/>
        </w:rPr>
      </w:r>
      <w:r>
        <w:rPr>
          <w:noProof/>
        </w:rPr>
        <w:fldChar w:fldCharType="separate"/>
      </w:r>
      <w:r>
        <w:rPr>
          <w:noProof/>
        </w:rPr>
        <w:t>82</w:t>
      </w:r>
      <w:r>
        <w:rPr>
          <w:noProof/>
        </w:rPr>
        <w:fldChar w:fldCharType="end"/>
      </w:r>
    </w:p>
    <w:p w14:paraId="3EE772AC"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Chicas y madres  reclusas  con necesidades de género</w:t>
      </w:r>
      <w:r>
        <w:rPr>
          <w:noProof/>
        </w:rPr>
        <w:tab/>
      </w:r>
      <w:r>
        <w:rPr>
          <w:noProof/>
        </w:rPr>
        <w:fldChar w:fldCharType="begin"/>
      </w:r>
      <w:r>
        <w:rPr>
          <w:noProof/>
        </w:rPr>
        <w:instrText xml:space="preserve"> PAGEREF _Toc515359825 \h </w:instrText>
      </w:r>
      <w:r>
        <w:rPr>
          <w:noProof/>
        </w:rPr>
      </w:r>
      <w:r>
        <w:rPr>
          <w:noProof/>
        </w:rPr>
        <w:fldChar w:fldCharType="separate"/>
      </w:r>
      <w:r>
        <w:rPr>
          <w:noProof/>
        </w:rPr>
        <w:t>85</w:t>
      </w:r>
      <w:r>
        <w:rPr>
          <w:noProof/>
        </w:rPr>
        <w:fldChar w:fldCharType="end"/>
      </w:r>
    </w:p>
    <w:p w14:paraId="5026F724"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Asistencia de  Parlamentarios  a la  Niñez en Conflicto con la Ley y Sin Amparo Filial</w:t>
      </w:r>
      <w:r>
        <w:rPr>
          <w:noProof/>
        </w:rPr>
        <w:tab/>
      </w:r>
      <w:r>
        <w:rPr>
          <w:noProof/>
        </w:rPr>
        <w:fldChar w:fldCharType="begin"/>
      </w:r>
      <w:r>
        <w:rPr>
          <w:noProof/>
        </w:rPr>
        <w:instrText xml:space="preserve"> PAGEREF _Toc515359826 \h </w:instrText>
      </w:r>
      <w:r>
        <w:rPr>
          <w:noProof/>
        </w:rPr>
      </w:r>
      <w:r>
        <w:rPr>
          <w:noProof/>
        </w:rPr>
        <w:fldChar w:fldCharType="separate"/>
      </w:r>
      <w:r>
        <w:rPr>
          <w:noProof/>
        </w:rPr>
        <w:t>88</w:t>
      </w:r>
      <w:r>
        <w:rPr>
          <w:noProof/>
        </w:rPr>
        <w:fldChar w:fldCharType="end"/>
      </w:r>
    </w:p>
    <w:p w14:paraId="01E404F0" w14:textId="77777777" w:rsidR="00545A3F" w:rsidRDefault="00545A3F">
      <w:pPr>
        <w:pStyle w:val="TDC3"/>
        <w:tabs>
          <w:tab w:val="right" w:leader="dot" w:pos="9954"/>
        </w:tabs>
        <w:rPr>
          <w:rFonts w:eastAsiaTheme="minorEastAsia" w:cstheme="minorBidi"/>
          <w:i w:val="0"/>
          <w:iCs w:val="0"/>
          <w:noProof/>
          <w:sz w:val="22"/>
          <w:szCs w:val="22"/>
          <w:lang w:eastAsia="es-ES"/>
        </w:rPr>
      </w:pPr>
      <w:r>
        <w:rPr>
          <w:noProof/>
        </w:rPr>
        <w:t>Sustitución del enfoque de carencias por enfoque de derechos</w:t>
      </w:r>
      <w:r>
        <w:rPr>
          <w:noProof/>
        </w:rPr>
        <w:tab/>
      </w:r>
      <w:r>
        <w:rPr>
          <w:noProof/>
        </w:rPr>
        <w:fldChar w:fldCharType="begin"/>
      </w:r>
      <w:r>
        <w:rPr>
          <w:noProof/>
        </w:rPr>
        <w:instrText xml:space="preserve"> PAGEREF _Toc515359827 \h </w:instrText>
      </w:r>
      <w:r>
        <w:rPr>
          <w:noProof/>
        </w:rPr>
      </w:r>
      <w:r>
        <w:rPr>
          <w:noProof/>
        </w:rPr>
        <w:fldChar w:fldCharType="separate"/>
      </w:r>
      <w:r>
        <w:rPr>
          <w:noProof/>
        </w:rPr>
        <w:t>90</w:t>
      </w:r>
      <w:r>
        <w:rPr>
          <w:noProof/>
        </w:rPr>
        <w:fldChar w:fldCharType="end"/>
      </w:r>
    </w:p>
    <w:p w14:paraId="40F8A6CB" w14:textId="77777777" w:rsidR="00410528" w:rsidRPr="007F6AD7" w:rsidRDefault="004755F1" w:rsidP="008374BE">
      <w:pPr>
        <w:rPr>
          <w:rFonts w:ascii="Arial" w:hAnsi="Arial" w:cs="Arial"/>
        </w:rPr>
      </w:pPr>
      <w:r>
        <w:rPr>
          <w:rFonts w:ascii="Arial" w:hAnsi="Arial" w:cs="Arial"/>
        </w:rPr>
        <w:fldChar w:fldCharType="end"/>
      </w:r>
      <w:bookmarkStart w:id="2" w:name="_GoBack"/>
      <w:bookmarkEnd w:id="2"/>
    </w:p>
    <w:p w14:paraId="1E239B01" w14:textId="5A2E4504" w:rsidR="009A41E8" w:rsidRPr="007F6AD7" w:rsidRDefault="008374BE" w:rsidP="008374BE">
      <w:pPr>
        <w:rPr>
          <w:rFonts w:ascii="Arial" w:hAnsi="Arial" w:cs="Arial"/>
        </w:rPr>
      </w:pPr>
      <w:r w:rsidRPr="007F6AD7">
        <w:rPr>
          <w:rFonts w:ascii="Arial" w:hAnsi="Arial" w:cs="Arial"/>
        </w:rPr>
        <w:br w:type="page"/>
      </w:r>
    </w:p>
    <w:bookmarkEnd w:id="0"/>
    <w:bookmarkEnd w:id="1"/>
    <w:p w14:paraId="0EAC666A" w14:textId="77777777" w:rsidR="00EB67FF" w:rsidRPr="007F6AD7" w:rsidRDefault="00EB67FF" w:rsidP="00A46304">
      <w:pPr>
        <w:jc w:val="right"/>
        <w:rPr>
          <w:rFonts w:ascii="Arial" w:hAnsi="Arial" w:cs="Arial"/>
        </w:rPr>
      </w:pPr>
    </w:p>
    <w:p w14:paraId="03B63FA6" w14:textId="77777777" w:rsidR="00A46304" w:rsidRPr="007F6AD7" w:rsidRDefault="00A46304" w:rsidP="00A46304">
      <w:pPr>
        <w:jc w:val="right"/>
        <w:rPr>
          <w:rFonts w:ascii="Arial" w:hAnsi="Arial" w:cs="Arial"/>
        </w:rPr>
      </w:pPr>
      <w:r w:rsidRPr="007F6AD7">
        <w:rPr>
          <w:rFonts w:ascii="Arial" w:hAnsi="Arial" w:cs="Arial"/>
        </w:rPr>
        <w:t xml:space="preserve">La ley suprema es el bien del pueblo. </w:t>
      </w:r>
    </w:p>
    <w:p w14:paraId="56FE465C" w14:textId="7F6D9D7A" w:rsidR="007F2A01" w:rsidRPr="007F6AD7" w:rsidRDefault="00A46304" w:rsidP="003813A4">
      <w:pPr>
        <w:jc w:val="right"/>
        <w:rPr>
          <w:rFonts w:ascii="Arial" w:hAnsi="Arial" w:cs="Arial"/>
        </w:rPr>
      </w:pPr>
      <w:r w:rsidRPr="007F6AD7">
        <w:rPr>
          <w:rFonts w:ascii="Arial" w:hAnsi="Arial" w:cs="Arial"/>
        </w:rPr>
        <w:t>Marco Tulio Cicerón</w:t>
      </w:r>
    </w:p>
    <w:p w14:paraId="73DE1ED2" w14:textId="3F2933D3" w:rsidR="00555EEE" w:rsidRPr="004E0E09" w:rsidRDefault="000654DB" w:rsidP="00715476">
      <w:pPr>
        <w:pStyle w:val="Ttulo1"/>
      </w:pPr>
      <w:bookmarkStart w:id="3" w:name="introducca"/>
      <w:bookmarkStart w:id="4" w:name="_Toc510108724"/>
      <w:bookmarkStart w:id="5" w:name="_Toc515359782"/>
      <w:r w:rsidRPr="004E0E09">
        <w:rPr>
          <w:rStyle w:val="nfasis"/>
          <w:i w:val="0"/>
          <w:iCs w:val="0"/>
        </w:rPr>
        <w:t>Introducción</w:t>
      </w:r>
      <w:bookmarkEnd w:id="3"/>
      <w:bookmarkEnd w:id="4"/>
      <w:bookmarkEnd w:id="5"/>
    </w:p>
    <w:p w14:paraId="2B51519B" w14:textId="590F7404" w:rsidR="00AC1E36" w:rsidRPr="007F6AD7" w:rsidRDefault="000932E3" w:rsidP="007F6AD7">
      <w:pPr>
        <w:spacing w:after="0" w:line="360" w:lineRule="auto"/>
        <w:jc w:val="both"/>
        <w:rPr>
          <w:rFonts w:ascii="Arial" w:hAnsi="Arial" w:cs="Arial"/>
          <w:lang w:eastAsia="es-MX"/>
        </w:rPr>
      </w:pPr>
      <w:r w:rsidRPr="007F6AD7">
        <w:rPr>
          <w:rFonts w:ascii="Arial" w:hAnsi="Arial" w:cs="Arial"/>
          <w:lang w:eastAsia="es-MX"/>
        </w:rPr>
        <w:t>1.</w:t>
      </w:r>
      <w:r w:rsidR="00C00BE2" w:rsidRPr="007F6AD7">
        <w:rPr>
          <w:rFonts w:ascii="Arial" w:hAnsi="Arial" w:cs="Arial"/>
          <w:lang w:eastAsia="es-MX"/>
        </w:rPr>
        <w:t xml:space="preserve"> </w:t>
      </w:r>
      <w:r w:rsidR="00971B7D" w:rsidRPr="007F6AD7">
        <w:rPr>
          <w:rFonts w:ascii="Arial" w:hAnsi="Arial" w:cs="Arial"/>
          <w:lang w:eastAsia="es-MX"/>
        </w:rPr>
        <w:t>El tema del racismo y la discriminación racial no ocupa el lugar que le corresponde en la agenda nacional.</w:t>
      </w:r>
      <w:r w:rsidR="00971B7D" w:rsidRPr="007F6AD7">
        <w:rPr>
          <w:rStyle w:val="Refdenotaalpie"/>
          <w:rFonts w:ascii="Arial" w:hAnsi="Arial" w:cs="Arial"/>
          <w:lang w:eastAsia="es-MX"/>
        </w:rPr>
        <w:footnoteReference w:id="1"/>
      </w:r>
      <w:r w:rsidR="00971B7D" w:rsidRPr="007F6AD7">
        <w:rPr>
          <w:rFonts w:ascii="Arial" w:hAnsi="Arial" w:cs="Arial"/>
          <w:lang w:eastAsia="es-MX"/>
        </w:rPr>
        <w:t xml:space="preserve"> Por ello, los</w:t>
      </w:r>
      <w:r w:rsidR="002C758B" w:rsidRPr="007F6AD7">
        <w:rPr>
          <w:rFonts w:ascii="Arial" w:hAnsi="Arial" w:cs="Arial"/>
          <w:lang w:eastAsia="es-MX"/>
        </w:rPr>
        <w:t xml:space="preserve"> contenidos y reportes sobre</w:t>
      </w:r>
      <w:r w:rsidR="002C758B" w:rsidRPr="007F6AD7">
        <w:rPr>
          <w:rFonts w:ascii="Arial" w:hAnsi="Arial" w:cs="Arial"/>
        </w:rPr>
        <w:t xml:space="preserve"> discriminación racial,</w:t>
      </w:r>
      <w:r w:rsidR="002C758B" w:rsidRPr="007F6AD7">
        <w:rPr>
          <w:rStyle w:val="Refdenotaalpie"/>
          <w:rFonts w:ascii="Arial" w:hAnsi="Arial" w:cs="Arial"/>
        </w:rPr>
        <w:footnoteReference w:id="2"/>
      </w:r>
      <w:r w:rsidR="002C758B" w:rsidRPr="007F6AD7">
        <w:rPr>
          <w:rFonts w:ascii="Arial" w:hAnsi="Arial" w:cs="Arial"/>
          <w:lang w:eastAsia="es-MX"/>
        </w:rPr>
        <w:t xml:space="preserve"> son </w:t>
      </w:r>
      <w:r w:rsidR="007839C2" w:rsidRPr="007F6AD7">
        <w:rPr>
          <w:rFonts w:ascii="Arial" w:hAnsi="Arial" w:cs="Arial"/>
          <w:lang w:eastAsia="es-MX"/>
        </w:rPr>
        <w:t xml:space="preserve">ocasionalmente </w:t>
      </w:r>
      <w:r w:rsidR="002C758B" w:rsidRPr="007F6AD7">
        <w:rPr>
          <w:rFonts w:ascii="Arial" w:hAnsi="Arial" w:cs="Arial"/>
          <w:lang w:eastAsia="es-MX"/>
        </w:rPr>
        <w:t xml:space="preserve">discutidos o </w:t>
      </w:r>
      <w:r w:rsidR="00971B7D" w:rsidRPr="007F6AD7">
        <w:rPr>
          <w:rFonts w:ascii="Arial" w:hAnsi="Arial" w:cs="Arial"/>
          <w:lang w:eastAsia="es-MX"/>
        </w:rPr>
        <w:t xml:space="preserve">publicados </w:t>
      </w:r>
      <w:r w:rsidR="002C758B" w:rsidRPr="007F6AD7">
        <w:rPr>
          <w:rFonts w:ascii="Arial" w:hAnsi="Arial" w:cs="Arial"/>
          <w:lang w:eastAsia="es-MX"/>
        </w:rPr>
        <w:t>en el país</w:t>
      </w:r>
      <w:r w:rsidR="00971B7D" w:rsidRPr="007F6AD7">
        <w:rPr>
          <w:rFonts w:ascii="Arial" w:hAnsi="Arial" w:cs="Arial"/>
          <w:lang w:eastAsia="es-MX"/>
        </w:rPr>
        <w:t>.</w:t>
      </w:r>
      <w:r w:rsidR="002C758B" w:rsidRPr="007F6AD7">
        <w:rPr>
          <w:rStyle w:val="Refdenotaalpie"/>
          <w:rFonts w:ascii="Arial" w:hAnsi="Arial" w:cs="Arial"/>
          <w:lang w:eastAsia="es-MX"/>
        </w:rPr>
        <w:footnoteReference w:id="3"/>
      </w:r>
      <w:r w:rsidR="002C758B" w:rsidRPr="007F6AD7">
        <w:rPr>
          <w:rFonts w:ascii="Arial" w:hAnsi="Arial" w:cs="Arial"/>
          <w:lang w:eastAsia="es-MX"/>
        </w:rPr>
        <w:t xml:space="preserve"> </w:t>
      </w:r>
      <w:r w:rsidR="002C758B" w:rsidRPr="007F6AD7">
        <w:rPr>
          <w:rFonts w:ascii="Arial" w:hAnsi="Arial" w:cs="Arial"/>
          <w:vertAlign w:val="superscript"/>
          <w:lang w:eastAsia="es-MX"/>
        </w:rPr>
        <w:t>,</w:t>
      </w:r>
      <w:r w:rsidR="002C758B" w:rsidRPr="007F6AD7">
        <w:rPr>
          <w:rFonts w:ascii="Arial" w:hAnsi="Arial" w:cs="Arial"/>
          <w:lang w:eastAsia="es-MX"/>
        </w:rPr>
        <w:t xml:space="preserve"> </w:t>
      </w:r>
      <w:r w:rsidR="002C758B" w:rsidRPr="007F6AD7">
        <w:rPr>
          <w:rStyle w:val="Refdenotaalpie"/>
          <w:rFonts w:ascii="Arial" w:hAnsi="Arial" w:cs="Arial"/>
          <w:lang w:eastAsia="es-MX"/>
        </w:rPr>
        <w:footnoteReference w:id="4"/>
      </w:r>
      <w:r w:rsidR="00A53682" w:rsidRPr="007F6AD7">
        <w:rPr>
          <w:rFonts w:ascii="Arial" w:hAnsi="Arial" w:cs="Arial"/>
          <w:lang w:eastAsia="es-MX"/>
        </w:rPr>
        <w:t xml:space="preserve"> </w:t>
      </w:r>
      <w:r w:rsidR="00971B7D" w:rsidRPr="007F6AD7">
        <w:rPr>
          <w:rFonts w:ascii="Arial" w:hAnsi="Arial" w:cs="Arial"/>
          <w:lang w:eastAsia="es-MX"/>
        </w:rPr>
        <w:t xml:space="preserve">No obstante </w:t>
      </w:r>
      <w:r w:rsidR="002C758B" w:rsidRPr="007F6AD7">
        <w:rPr>
          <w:rFonts w:ascii="Arial" w:hAnsi="Arial" w:cs="Arial"/>
          <w:lang w:eastAsia="es-MX"/>
        </w:rPr>
        <w:t xml:space="preserve">el </w:t>
      </w:r>
      <w:r w:rsidR="002C758B" w:rsidRPr="007F6AD7">
        <w:rPr>
          <w:rFonts w:ascii="Arial" w:hAnsi="Arial" w:cs="Arial"/>
        </w:rPr>
        <w:t xml:space="preserve"> informe preparado por la ONG Asociación Cubana para el Desarrollo de la Educación Infantil (ACDEI) se propuso </w:t>
      </w:r>
      <w:r w:rsidR="00971B7D" w:rsidRPr="007F6AD7">
        <w:rPr>
          <w:rFonts w:ascii="Arial" w:hAnsi="Arial" w:cs="Arial"/>
        </w:rPr>
        <w:t>colaborar con</w:t>
      </w:r>
      <w:r w:rsidR="002C758B" w:rsidRPr="007F6AD7">
        <w:rPr>
          <w:rFonts w:ascii="Arial" w:hAnsi="Arial" w:cs="Arial"/>
        </w:rPr>
        <w:t xml:space="preserve"> temas de la </w:t>
      </w:r>
      <w:r w:rsidR="00971B7D" w:rsidRPr="007F6AD7">
        <w:rPr>
          <w:rFonts w:ascii="Arial" w:hAnsi="Arial" w:cs="Arial"/>
        </w:rPr>
        <w:t>niñez</w:t>
      </w:r>
      <w:r w:rsidR="00971B7D" w:rsidRPr="007F6AD7">
        <w:rPr>
          <w:rFonts w:ascii="Arial" w:hAnsi="Arial" w:cs="Arial"/>
          <w:lang w:eastAsia="es-MX"/>
        </w:rPr>
        <w:t xml:space="preserve"> </w:t>
      </w:r>
      <w:r w:rsidR="00A46304" w:rsidRPr="007F6AD7">
        <w:rPr>
          <w:rFonts w:ascii="Arial" w:hAnsi="Arial" w:cs="Arial"/>
          <w:lang w:eastAsia="es-MX"/>
        </w:rPr>
        <w:t>porque</w:t>
      </w:r>
      <w:r w:rsidR="00805826" w:rsidRPr="007F6AD7">
        <w:rPr>
          <w:rFonts w:ascii="Arial" w:hAnsi="Arial" w:cs="Arial"/>
          <w:lang w:eastAsia="es-MX"/>
        </w:rPr>
        <w:t xml:space="preserve"> </w:t>
      </w:r>
      <w:r w:rsidR="00E72837" w:rsidRPr="007F6AD7">
        <w:rPr>
          <w:rFonts w:ascii="Arial" w:hAnsi="Arial" w:cs="Arial"/>
          <w:lang w:eastAsia="es-MX"/>
        </w:rPr>
        <w:t xml:space="preserve"> la información disponible es es</w:t>
      </w:r>
      <w:r w:rsidR="00805826" w:rsidRPr="007F6AD7">
        <w:rPr>
          <w:rFonts w:ascii="Arial" w:hAnsi="Arial" w:cs="Arial"/>
          <w:lang w:eastAsia="es-MX"/>
        </w:rPr>
        <w:t>cueta</w:t>
      </w:r>
      <w:r w:rsidR="00E72837" w:rsidRPr="007F6AD7">
        <w:rPr>
          <w:rFonts w:ascii="Arial" w:hAnsi="Arial" w:cs="Arial"/>
          <w:lang w:eastAsia="es-MX"/>
        </w:rPr>
        <w:t xml:space="preserve"> </w:t>
      </w:r>
      <w:r w:rsidR="00E72837" w:rsidRPr="007F6AD7">
        <w:rPr>
          <w:rFonts w:ascii="Arial" w:hAnsi="Arial" w:cs="Arial"/>
          <w:vertAlign w:val="superscript"/>
          <w:lang w:eastAsia="es-MX"/>
        </w:rPr>
        <w:footnoteReference w:id="5"/>
      </w:r>
      <w:r w:rsidR="00E72837" w:rsidRPr="007F6AD7">
        <w:rPr>
          <w:rFonts w:ascii="Arial" w:hAnsi="Arial" w:cs="Arial"/>
          <w:vertAlign w:val="superscript"/>
          <w:lang w:eastAsia="es-MX"/>
        </w:rPr>
        <w:t xml:space="preserve">  </w:t>
      </w:r>
      <w:r w:rsidR="00E72837" w:rsidRPr="007F6AD7">
        <w:rPr>
          <w:rFonts w:ascii="Arial" w:hAnsi="Arial" w:cs="Arial"/>
          <w:lang w:val="es-MX" w:eastAsia="es-MX"/>
        </w:rPr>
        <w:t xml:space="preserve"> </w:t>
      </w:r>
      <w:r w:rsidR="00E72837" w:rsidRPr="007F6AD7">
        <w:rPr>
          <w:rFonts w:ascii="Arial" w:hAnsi="Arial" w:cs="Arial"/>
          <w:lang w:eastAsia="es-MX"/>
        </w:rPr>
        <w:t xml:space="preserve">en diversos asuntos tratados en </w:t>
      </w:r>
      <w:r w:rsidR="00971B7D" w:rsidRPr="007F6AD7">
        <w:rPr>
          <w:rFonts w:ascii="Arial" w:hAnsi="Arial" w:cs="Arial"/>
          <w:lang w:eastAsia="es-MX"/>
        </w:rPr>
        <w:t xml:space="preserve">el  actual  texto presentado </w:t>
      </w:r>
      <w:r w:rsidR="00971B7D" w:rsidRPr="007F6AD7">
        <w:rPr>
          <w:rFonts w:ascii="Arial" w:hAnsi="Arial" w:cs="Arial"/>
        </w:rPr>
        <w:t>por el Gobierno de la República de Cuba</w:t>
      </w:r>
      <w:r w:rsidR="00971B7D" w:rsidRPr="007F6AD7">
        <w:rPr>
          <w:rFonts w:ascii="Arial" w:hAnsi="Arial" w:cs="Arial"/>
          <w:lang w:eastAsia="es-MX"/>
        </w:rPr>
        <w:t xml:space="preserve"> al Comité CERD, </w:t>
      </w:r>
      <w:r w:rsidR="00971B7D" w:rsidRPr="007F6AD7">
        <w:rPr>
          <w:rFonts w:ascii="Arial" w:hAnsi="Arial" w:cs="Arial"/>
        </w:rPr>
        <w:t xml:space="preserve">(en lo adelante </w:t>
      </w:r>
      <w:bookmarkStart w:id="10" w:name="OLE_LINK65"/>
      <w:bookmarkStart w:id="11" w:name="OLE_LINK66"/>
      <w:bookmarkStart w:id="12" w:name="OLE_LINK48"/>
      <w:bookmarkStart w:id="13" w:name="OLE_LINK49"/>
      <w:bookmarkStart w:id="14" w:name="OLE_LINK50"/>
      <w:bookmarkStart w:id="15" w:name="OLE_LINK3"/>
      <w:bookmarkStart w:id="16" w:name="OLE_LINK71"/>
      <w:bookmarkStart w:id="17" w:name="OLE_LINK76"/>
      <w:r w:rsidR="00971B7D" w:rsidRPr="007F6AD7">
        <w:rPr>
          <w:rFonts w:ascii="Arial" w:hAnsi="Arial" w:cs="Arial"/>
        </w:rPr>
        <w:t xml:space="preserve">Informe  </w:t>
      </w:r>
      <w:bookmarkStart w:id="18" w:name="OLE_LINK42"/>
      <w:bookmarkStart w:id="19" w:name="OLE_LINK43"/>
      <w:r w:rsidR="00971B7D" w:rsidRPr="007F6AD7">
        <w:rPr>
          <w:rFonts w:ascii="Arial" w:hAnsi="Arial" w:cs="Arial"/>
        </w:rPr>
        <w:t>CERD Cuba 19-</w:t>
      </w:r>
      <w:bookmarkEnd w:id="10"/>
      <w:bookmarkEnd w:id="11"/>
      <w:r w:rsidR="00971B7D" w:rsidRPr="007F6AD7">
        <w:rPr>
          <w:rFonts w:ascii="Arial" w:hAnsi="Arial" w:cs="Arial"/>
        </w:rPr>
        <w:t>21</w:t>
      </w:r>
      <w:bookmarkEnd w:id="12"/>
      <w:bookmarkEnd w:id="13"/>
      <w:bookmarkEnd w:id="14"/>
      <w:bookmarkEnd w:id="15"/>
      <w:bookmarkEnd w:id="18"/>
      <w:bookmarkEnd w:id="19"/>
      <w:r w:rsidR="00971B7D" w:rsidRPr="007F6AD7">
        <w:rPr>
          <w:rFonts w:ascii="Arial" w:hAnsi="Arial" w:cs="Arial"/>
        </w:rPr>
        <w:t>)</w:t>
      </w:r>
      <w:r w:rsidR="00971B7D" w:rsidRPr="007F6AD7">
        <w:rPr>
          <w:rStyle w:val="Refdenotaalpie"/>
          <w:rFonts w:ascii="Arial" w:hAnsi="Arial" w:cs="Arial"/>
        </w:rPr>
        <w:t xml:space="preserve"> </w:t>
      </w:r>
      <w:r w:rsidR="00971B7D" w:rsidRPr="007F6AD7">
        <w:rPr>
          <w:rStyle w:val="Refdenotaalpie"/>
          <w:rFonts w:ascii="Arial" w:hAnsi="Arial" w:cs="Arial"/>
        </w:rPr>
        <w:footnoteReference w:id="6"/>
      </w:r>
      <w:r w:rsidR="00971B7D" w:rsidRPr="007F6AD7">
        <w:rPr>
          <w:rFonts w:ascii="Arial" w:hAnsi="Arial" w:cs="Arial"/>
        </w:rPr>
        <w:t>.</w:t>
      </w:r>
      <w:bookmarkEnd w:id="16"/>
      <w:bookmarkEnd w:id="17"/>
      <w:r w:rsidR="00971B7D" w:rsidRPr="007F6AD7">
        <w:rPr>
          <w:rFonts w:ascii="Arial" w:hAnsi="Arial" w:cs="Arial"/>
          <w:lang w:eastAsia="es-MX"/>
        </w:rPr>
        <w:t>El</w:t>
      </w:r>
      <w:r w:rsidR="002C758B" w:rsidRPr="007F6AD7">
        <w:rPr>
          <w:rFonts w:ascii="Arial" w:hAnsi="Arial" w:cs="Arial"/>
          <w:lang w:eastAsia="es-MX"/>
        </w:rPr>
        <w:t xml:space="preserve"> informe ACDEI también </w:t>
      </w:r>
      <w:r w:rsidR="00971B7D" w:rsidRPr="007F6AD7">
        <w:rPr>
          <w:rFonts w:ascii="Arial" w:hAnsi="Arial" w:cs="Arial"/>
          <w:lang w:eastAsia="es-MX"/>
        </w:rPr>
        <w:t>comenta algunas</w:t>
      </w:r>
      <w:r w:rsidR="002C758B" w:rsidRPr="007F6AD7">
        <w:rPr>
          <w:rFonts w:ascii="Arial" w:hAnsi="Arial" w:cs="Arial"/>
          <w:lang w:eastAsia="es-MX"/>
        </w:rPr>
        <w:t xml:space="preserve"> lagunas del ordenamiento jurídico actual y propone posibles enmiendas a la legislación existente </w:t>
      </w:r>
      <w:r w:rsidR="00971B7D" w:rsidRPr="007F6AD7">
        <w:rPr>
          <w:rFonts w:ascii="Arial" w:hAnsi="Arial" w:cs="Arial"/>
          <w:lang w:eastAsia="es-MX"/>
        </w:rPr>
        <w:t>para que</w:t>
      </w:r>
      <w:r w:rsidR="002C758B" w:rsidRPr="007F6AD7">
        <w:rPr>
          <w:rFonts w:ascii="Arial" w:hAnsi="Arial" w:cs="Arial"/>
          <w:lang w:eastAsia="es-MX"/>
        </w:rPr>
        <w:t xml:space="preserve"> la adopción de nuevas leyes y preceptos nacionales </w:t>
      </w:r>
      <w:r w:rsidR="003D0CBC" w:rsidRPr="007F6AD7">
        <w:rPr>
          <w:rFonts w:ascii="Arial" w:hAnsi="Arial" w:cs="Arial"/>
          <w:lang w:eastAsia="es-MX"/>
        </w:rPr>
        <w:t xml:space="preserve">cumplan </w:t>
      </w:r>
      <w:r w:rsidR="00805826" w:rsidRPr="007F6AD7">
        <w:rPr>
          <w:rFonts w:ascii="Arial" w:hAnsi="Arial" w:cs="Arial"/>
          <w:lang w:eastAsia="es-MX"/>
        </w:rPr>
        <w:t>exitosamente</w:t>
      </w:r>
      <w:r w:rsidR="003D0CBC" w:rsidRPr="007F6AD7">
        <w:rPr>
          <w:rFonts w:ascii="Arial" w:hAnsi="Arial" w:cs="Arial"/>
          <w:lang w:eastAsia="es-MX"/>
        </w:rPr>
        <w:t xml:space="preserve"> </w:t>
      </w:r>
      <w:r w:rsidR="002C758B" w:rsidRPr="007F6AD7">
        <w:rPr>
          <w:rFonts w:ascii="Arial" w:hAnsi="Arial" w:cs="Arial"/>
          <w:lang w:eastAsia="es-MX"/>
        </w:rPr>
        <w:t xml:space="preserve">sus obligaciones con arreglo a la Convención </w:t>
      </w:r>
      <w:r w:rsidR="00971B7D" w:rsidRPr="007F6AD7">
        <w:rPr>
          <w:rFonts w:ascii="Arial" w:hAnsi="Arial" w:cs="Arial"/>
        </w:rPr>
        <w:t>Internacional para la Eliminación de todas las Formas de Discriminación Racial (</w:t>
      </w:r>
      <w:r w:rsidR="00A53682" w:rsidRPr="007F6AD7">
        <w:rPr>
          <w:rFonts w:ascii="Arial" w:hAnsi="Arial" w:cs="Arial"/>
        </w:rPr>
        <w:t xml:space="preserve">en lo adelante Convención </w:t>
      </w:r>
      <w:r w:rsidR="00971B7D" w:rsidRPr="007F6AD7">
        <w:rPr>
          <w:rFonts w:ascii="Arial" w:hAnsi="Arial" w:cs="Arial"/>
        </w:rPr>
        <w:t>ICERD)</w:t>
      </w:r>
      <w:r w:rsidR="002C758B" w:rsidRPr="007F6AD7">
        <w:rPr>
          <w:rFonts w:ascii="Arial" w:hAnsi="Arial" w:cs="Arial"/>
          <w:lang w:eastAsia="es-MX"/>
        </w:rPr>
        <w:t>.</w:t>
      </w:r>
    </w:p>
    <w:p w14:paraId="69B46FC3" w14:textId="0EDA37C2" w:rsidR="00C97703" w:rsidRPr="007F6AD7" w:rsidRDefault="00AC1E36" w:rsidP="007F6AD7">
      <w:pPr>
        <w:tabs>
          <w:tab w:val="left" w:pos="567"/>
        </w:tabs>
        <w:spacing w:after="0" w:line="360" w:lineRule="auto"/>
        <w:jc w:val="both"/>
        <w:rPr>
          <w:rFonts w:ascii="Arial" w:hAnsi="Arial" w:cs="Arial"/>
        </w:rPr>
      </w:pPr>
      <w:r w:rsidRPr="007F6AD7">
        <w:rPr>
          <w:rFonts w:ascii="Arial" w:hAnsi="Arial" w:cs="Arial"/>
        </w:rPr>
        <w:t xml:space="preserve">2. </w:t>
      </w:r>
      <w:r w:rsidR="00500A4E" w:rsidRPr="007F6AD7">
        <w:rPr>
          <w:rFonts w:ascii="Arial" w:hAnsi="Arial" w:cs="Arial"/>
        </w:rPr>
        <w:t xml:space="preserve">El Estado cubano, miembro activo de la comunidad internacional, ha asumido diversos compromisos internacionales de derechos humanos. </w:t>
      </w:r>
      <w:r w:rsidR="005542FD" w:rsidRPr="007F6AD7">
        <w:rPr>
          <w:rFonts w:ascii="Arial" w:hAnsi="Arial" w:cs="Arial"/>
        </w:rPr>
        <w:t>Empero,</w:t>
      </w:r>
      <w:r w:rsidR="00F61B00" w:rsidRPr="007F6AD7">
        <w:rPr>
          <w:rFonts w:ascii="Arial" w:hAnsi="Arial" w:cs="Arial"/>
        </w:rPr>
        <w:t xml:space="preserve"> el</w:t>
      </w:r>
      <w:r w:rsidR="00500A4E" w:rsidRPr="007F6AD7">
        <w:rPr>
          <w:rFonts w:ascii="Arial" w:hAnsi="Arial" w:cs="Arial"/>
        </w:rPr>
        <w:t xml:space="preserve"> honorable </w:t>
      </w:r>
      <w:r w:rsidR="00F61B00" w:rsidRPr="007F6AD7">
        <w:rPr>
          <w:rFonts w:ascii="Arial" w:hAnsi="Arial" w:cs="Arial"/>
        </w:rPr>
        <w:t>Comité</w:t>
      </w:r>
      <w:r w:rsidR="000932E3" w:rsidRPr="007F6AD7">
        <w:rPr>
          <w:rFonts w:ascii="Arial" w:hAnsi="Arial" w:cs="Arial"/>
        </w:rPr>
        <w:t xml:space="preserve"> para la Eliminación de todas las Formas de Discriminación Racial</w:t>
      </w:r>
      <w:r w:rsidR="00BA5E84" w:rsidRPr="007F6AD7">
        <w:rPr>
          <w:rFonts w:ascii="Arial" w:hAnsi="Arial" w:cs="Arial"/>
        </w:rPr>
        <w:t>,</w:t>
      </w:r>
      <w:r w:rsidR="00500A4E" w:rsidRPr="007F6AD7">
        <w:rPr>
          <w:rFonts w:ascii="Arial" w:hAnsi="Arial" w:cs="Arial"/>
        </w:rPr>
        <w:t xml:space="preserve"> en lo adelante </w:t>
      </w:r>
      <w:r w:rsidR="000932E3" w:rsidRPr="007F6AD7">
        <w:rPr>
          <w:rFonts w:ascii="Arial" w:hAnsi="Arial" w:cs="Arial"/>
        </w:rPr>
        <w:t xml:space="preserve">Comité </w:t>
      </w:r>
      <w:bookmarkStart w:id="23" w:name="OLE_LINK17"/>
      <w:bookmarkStart w:id="24" w:name="OLE_LINK18"/>
      <w:r w:rsidR="00F61B00" w:rsidRPr="007F6AD7">
        <w:rPr>
          <w:rFonts w:ascii="Arial" w:hAnsi="Arial" w:cs="Arial"/>
        </w:rPr>
        <w:t>CERD</w:t>
      </w:r>
      <w:bookmarkEnd w:id="23"/>
      <w:bookmarkEnd w:id="24"/>
      <w:r w:rsidR="00500A4E" w:rsidRPr="007F6AD7">
        <w:rPr>
          <w:rFonts w:ascii="Arial" w:hAnsi="Arial" w:cs="Arial"/>
        </w:rPr>
        <w:t>,</w:t>
      </w:r>
      <w:r w:rsidR="00F61B00" w:rsidRPr="007F6AD7">
        <w:rPr>
          <w:rFonts w:ascii="Arial" w:hAnsi="Arial" w:cs="Arial"/>
        </w:rPr>
        <w:t xml:space="preserve"> </w:t>
      </w:r>
      <w:r w:rsidR="00BA5E84" w:rsidRPr="007F6AD7">
        <w:rPr>
          <w:rFonts w:ascii="Arial" w:hAnsi="Arial" w:cs="Arial"/>
        </w:rPr>
        <w:t>debe tener</w:t>
      </w:r>
      <w:r w:rsidR="00500A4E" w:rsidRPr="007F6AD7">
        <w:rPr>
          <w:rFonts w:ascii="Arial" w:hAnsi="Arial" w:cs="Arial"/>
        </w:rPr>
        <w:t xml:space="preserve"> presente que los Pactos</w:t>
      </w:r>
      <w:r w:rsidR="000E0E00">
        <w:rPr>
          <w:rFonts w:ascii="Arial" w:hAnsi="Arial" w:cs="Arial"/>
        </w:rPr>
        <w:t xml:space="preserve"> </w:t>
      </w:r>
      <w:r w:rsidR="00500A4E" w:rsidRPr="007F6AD7">
        <w:rPr>
          <w:rFonts w:ascii="Arial" w:hAnsi="Arial" w:cs="Arial"/>
        </w:rPr>
        <w:lastRenderedPageBreak/>
        <w:t xml:space="preserve">Internacionales de Derechos </w:t>
      </w:r>
      <w:r w:rsidR="003D0CBC" w:rsidRPr="007F6AD7">
        <w:rPr>
          <w:rFonts w:ascii="Arial" w:hAnsi="Arial" w:cs="Arial"/>
        </w:rPr>
        <w:t>Humanos</w:t>
      </w:r>
      <w:r w:rsidR="00EA1F91" w:rsidRPr="007F6AD7">
        <w:rPr>
          <w:rFonts w:ascii="Arial" w:hAnsi="Arial" w:cs="Arial"/>
        </w:rPr>
        <w:t xml:space="preserve"> </w:t>
      </w:r>
      <w:r w:rsidR="00500A4E" w:rsidRPr="007F6AD7">
        <w:rPr>
          <w:rFonts w:ascii="Arial" w:hAnsi="Arial" w:cs="Arial"/>
        </w:rPr>
        <w:t xml:space="preserve">no son fuente de obligaciones para </w:t>
      </w:r>
      <w:r w:rsidR="00555EEE" w:rsidRPr="007F6AD7">
        <w:rPr>
          <w:rFonts w:ascii="Arial" w:hAnsi="Arial" w:cs="Arial"/>
        </w:rPr>
        <w:t>Cuba</w:t>
      </w:r>
      <w:r w:rsidR="00500A4E" w:rsidRPr="007F6AD7">
        <w:rPr>
          <w:rFonts w:ascii="Arial" w:hAnsi="Arial" w:cs="Arial"/>
        </w:rPr>
        <w:t xml:space="preserve"> pues continúan sin ser ratificados. </w:t>
      </w:r>
      <w:r w:rsidR="00500A4E" w:rsidRPr="007F6AD7">
        <w:rPr>
          <w:rStyle w:val="Refdenotaalpie"/>
          <w:rFonts w:ascii="Arial" w:hAnsi="Arial" w:cs="Arial"/>
        </w:rPr>
        <w:footnoteReference w:id="7"/>
      </w:r>
      <w:r w:rsidR="00C97703" w:rsidRPr="007F6AD7">
        <w:rPr>
          <w:rFonts w:ascii="Arial" w:hAnsi="Arial" w:cs="Arial"/>
        </w:rPr>
        <w:t xml:space="preserve"> </w:t>
      </w:r>
    </w:p>
    <w:p w14:paraId="41710B13" w14:textId="4551D6D7" w:rsidR="003E67A9" w:rsidRPr="007F6AD7" w:rsidRDefault="00C00BE2" w:rsidP="007F6AD7">
      <w:pPr>
        <w:tabs>
          <w:tab w:val="left" w:pos="720"/>
        </w:tabs>
        <w:spacing w:after="0" w:line="360" w:lineRule="auto"/>
        <w:jc w:val="both"/>
        <w:rPr>
          <w:rFonts w:ascii="Arial" w:hAnsi="Arial" w:cs="Arial"/>
          <w:lang w:val="es-MX" w:eastAsia="es-MX"/>
        </w:rPr>
      </w:pPr>
      <w:r w:rsidRPr="007F6AD7">
        <w:rPr>
          <w:rFonts w:ascii="Arial" w:hAnsi="Arial" w:cs="Arial"/>
        </w:rPr>
        <w:t>3</w:t>
      </w:r>
      <w:r w:rsidR="007F2A01" w:rsidRPr="007F6AD7">
        <w:rPr>
          <w:rFonts w:ascii="Arial" w:hAnsi="Arial" w:cs="Arial"/>
        </w:rPr>
        <w:t>.</w:t>
      </w:r>
      <w:r w:rsidR="00F61B00" w:rsidRPr="007F6AD7">
        <w:rPr>
          <w:rFonts w:ascii="Arial" w:hAnsi="Arial" w:cs="Arial"/>
        </w:rPr>
        <w:t xml:space="preserve"> </w:t>
      </w:r>
      <w:r w:rsidR="00500A4E" w:rsidRPr="007F6AD7">
        <w:rPr>
          <w:rFonts w:ascii="Arial" w:hAnsi="Arial" w:cs="Arial"/>
        </w:rPr>
        <w:t>Dado el caso, ACDEI se limita a enumerar y discutir diferentes categorías de normas integra</w:t>
      </w:r>
      <w:r w:rsidR="003D0CBC" w:rsidRPr="007F6AD7">
        <w:rPr>
          <w:rFonts w:ascii="Arial" w:hAnsi="Arial" w:cs="Arial"/>
        </w:rPr>
        <w:t>das a</w:t>
      </w:r>
      <w:r w:rsidR="00500A4E" w:rsidRPr="007F6AD7">
        <w:rPr>
          <w:rFonts w:ascii="Arial" w:hAnsi="Arial" w:cs="Arial"/>
        </w:rPr>
        <w:t xml:space="preserve"> la legislación cubana sin referirse a una clara jerarquía normativa.</w:t>
      </w:r>
      <w:r w:rsidR="00500A4E" w:rsidRPr="007F6AD7">
        <w:rPr>
          <w:rStyle w:val="Refdenotaalpie"/>
          <w:rFonts w:ascii="Arial" w:hAnsi="Arial" w:cs="Arial"/>
        </w:rPr>
        <w:footnoteReference w:id="8"/>
      </w:r>
      <w:r w:rsidR="003D0CBC" w:rsidRPr="007F6AD7">
        <w:rPr>
          <w:rFonts w:ascii="Arial" w:hAnsi="Arial" w:cs="Arial"/>
        </w:rPr>
        <w:t xml:space="preserve"> </w:t>
      </w:r>
      <w:r w:rsidR="005542FD" w:rsidRPr="007F6AD7">
        <w:rPr>
          <w:rFonts w:ascii="Arial" w:hAnsi="Arial" w:cs="Arial"/>
        </w:rPr>
        <w:t>A pesar de ello</w:t>
      </w:r>
      <w:r w:rsidR="00500A4E" w:rsidRPr="007F6AD7">
        <w:rPr>
          <w:rFonts w:ascii="Arial" w:hAnsi="Arial" w:cs="Arial"/>
        </w:rPr>
        <w:t xml:space="preserve">, la Convención de los Derechos del Niño, en lo sucesivo Convención CRC, será tratada con la más alta jerarquía legal según lo dispuesto por el mandato constitucional referido a la </w:t>
      </w:r>
      <w:r w:rsidR="00F06396" w:rsidRPr="007F6AD7">
        <w:rPr>
          <w:rFonts w:ascii="Arial" w:hAnsi="Arial" w:cs="Arial"/>
        </w:rPr>
        <w:t>infancia y</w:t>
      </w:r>
      <w:r w:rsidR="00500A4E" w:rsidRPr="007F6AD7">
        <w:rPr>
          <w:rFonts w:ascii="Arial" w:hAnsi="Arial" w:cs="Arial"/>
        </w:rPr>
        <w:t xml:space="preserve"> pautas fijadas por el Tribunal Supremo Popular en cuanto a la interpretación y aplicación de la ley.</w:t>
      </w:r>
      <w:r w:rsidR="00500A4E" w:rsidRPr="007F6AD7">
        <w:rPr>
          <w:rStyle w:val="Refdenotaalpie"/>
          <w:rFonts w:ascii="Arial" w:hAnsi="Arial" w:cs="Arial"/>
        </w:rPr>
        <w:footnoteReference w:id="9"/>
      </w:r>
      <w:r w:rsidR="00500A4E" w:rsidRPr="007F6AD7">
        <w:rPr>
          <w:rFonts w:ascii="Arial" w:hAnsi="Arial" w:cs="Arial"/>
          <w:vertAlign w:val="superscript"/>
        </w:rPr>
        <w:t>,</w:t>
      </w:r>
      <w:r w:rsidR="003D0CBC" w:rsidRPr="007F6AD7">
        <w:rPr>
          <w:rFonts w:ascii="Arial" w:hAnsi="Arial" w:cs="Arial"/>
          <w:vertAlign w:val="superscript"/>
        </w:rPr>
        <w:t xml:space="preserve"> </w:t>
      </w:r>
      <w:r w:rsidR="00500A4E" w:rsidRPr="007F6AD7">
        <w:rPr>
          <w:rStyle w:val="Refdenotaalpie"/>
          <w:rFonts w:ascii="Arial" w:hAnsi="Arial" w:cs="Arial"/>
        </w:rPr>
        <w:footnoteReference w:id="10"/>
      </w:r>
      <w:r w:rsidR="00F61B00" w:rsidRPr="007F6AD7">
        <w:rPr>
          <w:rFonts w:ascii="Arial" w:hAnsi="Arial" w:cs="Arial"/>
        </w:rPr>
        <w:t xml:space="preserve"> </w:t>
      </w:r>
      <w:r w:rsidR="00500A4E" w:rsidRPr="007F6AD7">
        <w:rPr>
          <w:rFonts w:ascii="Arial" w:hAnsi="Arial" w:cs="Arial"/>
        </w:rPr>
        <w:t>Frecuentemente, el informe ACDEI tratará de manifestar los imaginarios y representaciones de la población sobre determinada norma cubana. ACDEI acepta que las restricciones</w:t>
      </w:r>
      <w:r w:rsidR="00EA1F91" w:rsidRPr="007F6AD7">
        <w:rPr>
          <w:rFonts w:ascii="Arial" w:hAnsi="Arial" w:cs="Arial"/>
        </w:rPr>
        <w:t xml:space="preserve"> </w:t>
      </w:r>
      <w:r w:rsidR="00500A4E" w:rsidRPr="007F6AD7">
        <w:rPr>
          <w:rFonts w:ascii="Arial" w:hAnsi="Arial" w:cs="Arial"/>
        </w:rPr>
        <w:t xml:space="preserve">en </w:t>
      </w:r>
      <w:r w:rsidR="00396BCD" w:rsidRPr="007F6AD7">
        <w:rPr>
          <w:rFonts w:ascii="Arial" w:hAnsi="Arial" w:cs="Arial"/>
        </w:rPr>
        <w:t>Cuba a la información sobre temas policíacos</w:t>
      </w:r>
      <w:r w:rsidR="00396BCD" w:rsidRPr="007F6AD7">
        <w:rPr>
          <w:rFonts w:ascii="Arial" w:hAnsi="Arial" w:cs="Arial"/>
          <w:vertAlign w:val="superscript"/>
        </w:rPr>
        <w:footnoteReference w:id="11"/>
      </w:r>
      <w:r w:rsidR="00396BCD" w:rsidRPr="007F6AD7">
        <w:rPr>
          <w:rFonts w:ascii="Arial" w:hAnsi="Arial" w:cs="Arial"/>
        </w:rPr>
        <w:t xml:space="preserve"> y </w:t>
      </w:r>
      <w:r w:rsidR="00396BCD" w:rsidRPr="007F6AD7">
        <w:rPr>
          <w:rFonts w:ascii="Arial" w:hAnsi="Arial" w:cs="Arial"/>
        </w:rPr>
        <w:lastRenderedPageBreak/>
        <w:t>procesos judiciales</w:t>
      </w:r>
      <w:r w:rsidR="00396BCD" w:rsidRPr="007F6AD7">
        <w:rPr>
          <w:rStyle w:val="Refdenotaalpie"/>
          <w:rFonts w:ascii="Arial" w:hAnsi="Arial" w:cs="Arial"/>
        </w:rPr>
        <w:footnoteReference w:id="12"/>
      </w:r>
      <w:r w:rsidR="00396BCD" w:rsidRPr="007F6AD7">
        <w:rPr>
          <w:rFonts w:ascii="Arial" w:hAnsi="Arial" w:cs="Arial"/>
        </w:rPr>
        <w:t xml:space="preserve"> dificultan una mejor interpretación de la realidad del país</w:t>
      </w:r>
      <w:r w:rsidR="00EA1F91" w:rsidRPr="007F6AD7">
        <w:rPr>
          <w:rFonts w:ascii="Arial" w:hAnsi="Arial" w:cs="Arial"/>
          <w:vertAlign w:val="superscript"/>
        </w:rPr>
        <w:footnoteReference w:id="13"/>
      </w:r>
      <w:r w:rsidR="00EA1F91" w:rsidRPr="007F6AD7">
        <w:rPr>
          <w:rFonts w:ascii="Arial" w:hAnsi="Arial" w:cs="Arial"/>
          <w:vertAlign w:val="superscript"/>
        </w:rPr>
        <w:t xml:space="preserve">, </w:t>
      </w:r>
      <w:r w:rsidR="00EA1F91" w:rsidRPr="007F6AD7">
        <w:rPr>
          <w:rFonts w:ascii="Arial" w:hAnsi="Arial" w:cs="Arial"/>
          <w:vertAlign w:val="superscript"/>
        </w:rPr>
        <w:footnoteReference w:id="14"/>
      </w:r>
      <w:r w:rsidR="00EA1F91" w:rsidRPr="007F6AD7">
        <w:rPr>
          <w:rFonts w:ascii="Arial" w:hAnsi="Arial" w:cs="Arial"/>
          <w:vertAlign w:val="superscript"/>
        </w:rPr>
        <w:t xml:space="preserve"> </w:t>
      </w:r>
      <w:r w:rsidR="00396BCD" w:rsidRPr="007F6AD7">
        <w:rPr>
          <w:rFonts w:ascii="Arial" w:hAnsi="Arial" w:cs="Arial"/>
        </w:rPr>
        <w:t xml:space="preserve"> y de la niñez cubana</w:t>
      </w:r>
      <w:r w:rsidR="005542FD" w:rsidRPr="007F6AD7">
        <w:rPr>
          <w:rFonts w:ascii="Arial" w:hAnsi="Arial" w:cs="Arial"/>
        </w:rPr>
        <w:t>.</w:t>
      </w:r>
      <w:r w:rsidR="004306CD" w:rsidRPr="007F6AD7">
        <w:rPr>
          <w:rFonts w:ascii="Arial" w:hAnsi="Arial" w:cs="Arial"/>
          <w:vertAlign w:val="superscript"/>
        </w:rPr>
        <w:t xml:space="preserve"> </w:t>
      </w:r>
      <w:r w:rsidR="005542FD" w:rsidRPr="007F6AD7">
        <w:rPr>
          <w:rFonts w:ascii="Arial" w:hAnsi="Arial" w:cs="Arial"/>
        </w:rPr>
        <w:t>A</w:t>
      </w:r>
      <w:r w:rsidR="00396BCD" w:rsidRPr="007F6AD7">
        <w:rPr>
          <w:rFonts w:ascii="Arial" w:hAnsi="Arial" w:cs="Arial"/>
        </w:rPr>
        <w:t xml:space="preserve">un </w:t>
      </w:r>
      <w:r w:rsidR="00BA5E84" w:rsidRPr="007F6AD7">
        <w:rPr>
          <w:rFonts w:ascii="Arial" w:hAnsi="Arial" w:cs="Arial"/>
        </w:rPr>
        <w:t>así,</w:t>
      </w:r>
      <w:r w:rsidR="00396BCD" w:rsidRPr="007F6AD7">
        <w:rPr>
          <w:rFonts w:ascii="Arial" w:hAnsi="Arial" w:cs="Arial"/>
        </w:rPr>
        <w:t xml:space="preserve"> los hechos y argumentos presentados en este informe se sustentan en un riguroso proceso de examen social donde la técnica de recogida de información se obtuvo de observadores</w:t>
      </w:r>
      <w:r w:rsidR="00EA1F91" w:rsidRPr="007F6AD7">
        <w:rPr>
          <w:rFonts w:ascii="Arial" w:hAnsi="Arial" w:cs="Arial"/>
          <w:vertAlign w:val="superscript"/>
        </w:rPr>
        <w:footnoteReference w:id="15"/>
      </w:r>
      <w:r w:rsidR="00396BCD" w:rsidRPr="007F6AD7">
        <w:rPr>
          <w:rFonts w:ascii="Arial" w:hAnsi="Arial" w:cs="Arial"/>
        </w:rPr>
        <w:t xml:space="preserve"> participantes</w:t>
      </w:r>
      <w:r w:rsidR="00306A7A" w:rsidRPr="007F6AD7">
        <w:rPr>
          <w:rFonts w:ascii="Arial" w:hAnsi="Arial" w:cs="Arial"/>
        </w:rPr>
        <w:t>, entrevistas</w:t>
      </w:r>
      <w:r w:rsidR="00396BCD" w:rsidRPr="007F6AD7">
        <w:rPr>
          <w:rFonts w:ascii="Arial" w:hAnsi="Arial" w:cs="Arial"/>
        </w:rPr>
        <w:t>, análisis de contenidos y datos primarios y secundarios confiables.</w:t>
      </w:r>
      <w:r w:rsidR="00396BCD" w:rsidRPr="007F6AD7">
        <w:rPr>
          <w:rFonts w:ascii="Arial" w:hAnsi="Arial" w:cs="Arial"/>
          <w:vertAlign w:val="superscript"/>
        </w:rPr>
        <w:footnoteReference w:id="16"/>
      </w:r>
    </w:p>
    <w:p w14:paraId="4FBE9085" w14:textId="77777777" w:rsidR="004E0E09" w:rsidRDefault="00D738DC" w:rsidP="00D738DC">
      <w:pPr>
        <w:tabs>
          <w:tab w:val="left" w:pos="720"/>
        </w:tabs>
        <w:spacing w:line="360" w:lineRule="auto"/>
        <w:jc w:val="both"/>
        <w:rPr>
          <w:rFonts w:ascii="Arial" w:hAnsi="Arial" w:cs="Arial"/>
        </w:rPr>
      </w:pPr>
      <w:r>
        <w:rPr>
          <w:rFonts w:ascii="Arial" w:hAnsi="Arial" w:cs="Arial"/>
        </w:rPr>
        <w:t>4</w:t>
      </w:r>
      <w:r w:rsidR="007F2A01" w:rsidRPr="007F6AD7">
        <w:rPr>
          <w:rFonts w:ascii="Arial" w:hAnsi="Arial" w:cs="Arial"/>
        </w:rPr>
        <w:t>.</w:t>
      </w:r>
      <w:r w:rsidR="0040000E" w:rsidRPr="007F6AD7">
        <w:rPr>
          <w:rFonts w:ascii="Arial" w:hAnsi="Arial" w:cs="Arial"/>
        </w:rPr>
        <w:t xml:space="preserve"> </w:t>
      </w:r>
      <w:r w:rsidR="00D6354E" w:rsidRPr="007F6AD7">
        <w:rPr>
          <w:rFonts w:ascii="Arial" w:hAnsi="Arial" w:cs="Arial"/>
        </w:rPr>
        <w:t xml:space="preserve">Una parte </w:t>
      </w:r>
      <w:r w:rsidR="00BA5E84" w:rsidRPr="007F6AD7">
        <w:rPr>
          <w:rFonts w:ascii="Arial" w:hAnsi="Arial" w:cs="Arial"/>
        </w:rPr>
        <w:t>significativa</w:t>
      </w:r>
      <w:r w:rsidR="003E67A9" w:rsidRPr="007F6AD7">
        <w:rPr>
          <w:rFonts w:ascii="Arial" w:hAnsi="Arial" w:cs="Arial"/>
        </w:rPr>
        <w:t xml:space="preserve"> de la información recib</w:t>
      </w:r>
      <w:r w:rsidR="00D6354E" w:rsidRPr="007F6AD7">
        <w:rPr>
          <w:rFonts w:ascii="Arial" w:hAnsi="Arial" w:cs="Arial"/>
        </w:rPr>
        <w:t>ida</w:t>
      </w:r>
      <w:r w:rsidR="003E67A9" w:rsidRPr="007F6AD7">
        <w:rPr>
          <w:rFonts w:ascii="Arial" w:hAnsi="Arial" w:cs="Arial"/>
        </w:rPr>
        <w:t xml:space="preserve"> por </w:t>
      </w:r>
      <w:r w:rsidR="00D6354E" w:rsidRPr="007F6AD7">
        <w:rPr>
          <w:rFonts w:ascii="Arial" w:hAnsi="Arial" w:cs="Arial"/>
        </w:rPr>
        <w:t>ACDEI</w:t>
      </w:r>
      <w:r w:rsidR="003E67A9" w:rsidRPr="007F6AD7">
        <w:rPr>
          <w:rFonts w:ascii="Arial" w:hAnsi="Arial" w:cs="Arial"/>
        </w:rPr>
        <w:t xml:space="preserve"> ha sido a </w:t>
      </w:r>
      <w:r w:rsidR="00B011BF" w:rsidRPr="007F6AD7">
        <w:rPr>
          <w:rFonts w:ascii="Arial" w:hAnsi="Arial" w:cs="Arial"/>
        </w:rPr>
        <w:t xml:space="preserve">través de llamadas telefónicas, </w:t>
      </w:r>
      <w:r w:rsidR="003E67A9" w:rsidRPr="007F6AD7">
        <w:rPr>
          <w:rFonts w:ascii="Arial" w:hAnsi="Arial" w:cs="Arial"/>
        </w:rPr>
        <w:t xml:space="preserve">correspondencia, </w:t>
      </w:r>
      <w:r w:rsidR="00D6354E" w:rsidRPr="007F6AD7">
        <w:rPr>
          <w:rFonts w:ascii="Arial" w:hAnsi="Arial" w:cs="Arial"/>
        </w:rPr>
        <w:t>y visita</w:t>
      </w:r>
      <w:r w:rsidR="00D470CC" w:rsidRPr="007F6AD7">
        <w:rPr>
          <w:rFonts w:ascii="Arial" w:hAnsi="Arial" w:cs="Arial"/>
        </w:rPr>
        <w:t>s</w:t>
      </w:r>
      <w:r w:rsidR="00F61B00" w:rsidRPr="007F6AD7">
        <w:rPr>
          <w:rFonts w:ascii="Arial" w:hAnsi="Arial" w:cs="Arial"/>
        </w:rPr>
        <w:t xml:space="preserve"> </w:t>
      </w:r>
      <w:r w:rsidR="005542FD" w:rsidRPr="007F6AD7">
        <w:rPr>
          <w:rFonts w:ascii="Arial" w:hAnsi="Arial" w:cs="Arial"/>
        </w:rPr>
        <w:t>de personas</w:t>
      </w:r>
      <w:r w:rsidR="00D470CC" w:rsidRPr="007F6AD7">
        <w:rPr>
          <w:rFonts w:ascii="Arial" w:hAnsi="Arial" w:cs="Arial"/>
        </w:rPr>
        <w:t xml:space="preserve">, </w:t>
      </w:r>
      <w:r w:rsidR="00D6354E" w:rsidRPr="007F6AD7">
        <w:rPr>
          <w:rFonts w:ascii="Arial" w:hAnsi="Arial" w:cs="Arial"/>
        </w:rPr>
        <w:t>progenitores y familiares</w:t>
      </w:r>
      <w:r w:rsidR="003E67A9" w:rsidRPr="007F6AD7">
        <w:rPr>
          <w:rFonts w:ascii="Arial" w:hAnsi="Arial" w:cs="Arial"/>
        </w:rPr>
        <w:t xml:space="preserve"> a nuestra sede aportando</w:t>
      </w:r>
      <w:r w:rsidR="00F61B00" w:rsidRPr="007F6AD7">
        <w:rPr>
          <w:rFonts w:ascii="Arial" w:hAnsi="Arial" w:cs="Arial"/>
        </w:rPr>
        <w:t xml:space="preserve"> </w:t>
      </w:r>
      <w:r w:rsidR="00C97097" w:rsidRPr="007F6AD7">
        <w:rPr>
          <w:rFonts w:ascii="Arial" w:hAnsi="Arial" w:cs="Arial"/>
        </w:rPr>
        <w:t>la mayoría</w:t>
      </w:r>
      <w:r w:rsidR="00B011BF" w:rsidRPr="007F6AD7">
        <w:rPr>
          <w:rFonts w:ascii="Arial" w:hAnsi="Arial" w:cs="Arial"/>
        </w:rPr>
        <w:t xml:space="preserve"> de las </w:t>
      </w:r>
      <w:r w:rsidR="00C97097" w:rsidRPr="007F6AD7">
        <w:rPr>
          <w:rFonts w:ascii="Arial" w:hAnsi="Arial" w:cs="Arial"/>
        </w:rPr>
        <w:t>veces,</w:t>
      </w:r>
      <w:r w:rsidR="003E67A9" w:rsidRPr="007F6AD7">
        <w:rPr>
          <w:rFonts w:ascii="Arial" w:hAnsi="Arial" w:cs="Arial"/>
        </w:rPr>
        <w:t xml:space="preserve"> la documentación necesaria para el estudio de sus respectivos </w:t>
      </w:r>
      <w:r w:rsidR="00D470CC" w:rsidRPr="007F6AD7">
        <w:rPr>
          <w:rFonts w:ascii="Arial" w:hAnsi="Arial" w:cs="Arial"/>
        </w:rPr>
        <w:t>casos</w:t>
      </w:r>
      <w:r w:rsidR="00923BCE" w:rsidRPr="007F6AD7">
        <w:rPr>
          <w:rFonts w:ascii="Arial" w:hAnsi="Arial" w:cs="Arial"/>
        </w:rPr>
        <w:t>.</w:t>
      </w:r>
      <w:r w:rsidR="00F61B00" w:rsidRPr="007F6AD7">
        <w:rPr>
          <w:rFonts w:ascii="Arial" w:hAnsi="Arial" w:cs="Arial"/>
        </w:rPr>
        <w:t xml:space="preserve"> </w:t>
      </w:r>
      <w:r w:rsidR="00923BCE" w:rsidRPr="007F6AD7">
        <w:rPr>
          <w:rFonts w:ascii="Arial" w:hAnsi="Arial" w:cs="Arial"/>
        </w:rPr>
        <w:t xml:space="preserve">Por temor a represalias </w:t>
      </w:r>
      <w:r w:rsidR="00B011BF" w:rsidRPr="007F6AD7">
        <w:rPr>
          <w:rFonts w:ascii="Arial" w:hAnsi="Arial" w:cs="Arial"/>
        </w:rPr>
        <w:t>s</w:t>
      </w:r>
      <w:r w:rsidR="00D470CC" w:rsidRPr="007F6AD7">
        <w:rPr>
          <w:rFonts w:ascii="Arial" w:hAnsi="Arial" w:cs="Arial"/>
        </w:rPr>
        <w:t>on comu</w:t>
      </w:r>
      <w:r w:rsidR="00B011BF" w:rsidRPr="007F6AD7">
        <w:rPr>
          <w:rFonts w:ascii="Arial" w:hAnsi="Arial" w:cs="Arial"/>
        </w:rPr>
        <w:t>n</w:t>
      </w:r>
      <w:r w:rsidR="00D470CC" w:rsidRPr="007F6AD7">
        <w:rPr>
          <w:rFonts w:ascii="Arial" w:hAnsi="Arial" w:cs="Arial"/>
        </w:rPr>
        <w:t>es</w:t>
      </w:r>
      <w:r w:rsidR="00B011BF" w:rsidRPr="007F6AD7">
        <w:rPr>
          <w:rFonts w:ascii="Arial" w:hAnsi="Arial" w:cs="Arial"/>
        </w:rPr>
        <w:t xml:space="preserve"> las consultas imprevistas en la calle</w:t>
      </w:r>
      <w:r w:rsidR="003E67A9" w:rsidRPr="007F6AD7">
        <w:rPr>
          <w:rFonts w:ascii="Arial" w:hAnsi="Arial" w:cs="Arial"/>
        </w:rPr>
        <w:t xml:space="preserve">. </w:t>
      </w:r>
      <w:r w:rsidR="00D6354E" w:rsidRPr="007F6AD7">
        <w:rPr>
          <w:rFonts w:ascii="Arial" w:hAnsi="Arial" w:cs="Arial"/>
        </w:rPr>
        <w:t>Este escenario</w:t>
      </w:r>
      <w:r w:rsidR="003E67A9" w:rsidRPr="007F6AD7">
        <w:rPr>
          <w:rFonts w:ascii="Arial" w:hAnsi="Arial" w:cs="Arial"/>
        </w:rPr>
        <w:t xml:space="preserve"> nos ha </w:t>
      </w:r>
      <w:r w:rsidR="00D470CC" w:rsidRPr="007F6AD7">
        <w:rPr>
          <w:rFonts w:ascii="Arial" w:hAnsi="Arial" w:cs="Arial"/>
        </w:rPr>
        <w:t>p</w:t>
      </w:r>
      <w:r w:rsidR="003E67A9" w:rsidRPr="007F6AD7">
        <w:rPr>
          <w:rFonts w:ascii="Arial" w:hAnsi="Arial" w:cs="Arial"/>
        </w:rPr>
        <w:t xml:space="preserve">ermitido hacer un análisis </w:t>
      </w:r>
      <w:r w:rsidR="00280A97" w:rsidRPr="007F6AD7">
        <w:rPr>
          <w:rFonts w:ascii="Arial" w:hAnsi="Arial" w:cs="Arial"/>
        </w:rPr>
        <w:t xml:space="preserve">actualizado y </w:t>
      </w:r>
      <w:r w:rsidR="00D6354E" w:rsidRPr="007F6AD7">
        <w:rPr>
          <w:rFonts w:ascii="Arial" w:hAnsi="Arial" w:cs="Arial"/>
        </w:rPr>
        <w:t>general</w:t>
      </w:r>
      <w:r w:rsidR="000C2EDF" w:rsidRPr="007F6AD7">
        <w:rPr>
          <w:rFonts w:ascii="Arial" w:hAnsi="Arial" w:cs="Arial"/>
        </w:rPr>
        <w:t xml:space="preserve"> de los retos que </w:t>
      </w:r>
      <w:r w:rsidR="00A0629A" w:rsidRPr="007F6AD7">
        <w:rPr>
          <w:rFonts w:ascii="Arial" w:hAnsi="Arial" w:cs="Arial"/>
        </w:rPr>
        <w:t>enfrenta la</w:t>
      </w:r>
      <w:r w:rsidR="00D6354E" w:rsidRPr="007F6AD7">
        <w:rPr>
          <w:rFonts w:ascii="Arial" w:hAnsi="Arial" w:cs="Arial"/>
        </w:rPr>
        <w:t xml:space="preserve"> niñez cubana</w:t>
      </w:r>
      <w:r w:rsidR="00F61B00" w:rsidRPr="007F6AD7">
        <w:rPr>
          <w:rFonts w:ascii="Arial" w:hAnsi="Arial" w:cs="Arial"/>
        </w:rPr>
        <w:t>,</w:t>
      </w:r>
      <w:r w:rsidR="006B5AD6" w:rsidRPr="007F6AD7">
        <w:rPr>
          <w:rFonts w:ascii="Arial" w:hAnsi="Arial" w:cs="Arial"/>
        </w:rPr>
        <w:t xml:space="preserve"> </w:t>
      </w:r>
      <w:r w:rsidR="00F61B00" w:rsidRPr="007F6AD7">
        <w:rPr>
          <w:rFonts w:ascii="Arial" w:hAnsi="Arial" w:cs="Arial"/>
        </w:rPr>
        <w:t>a pesar</w:t>
      </w:r>
      <w:r w:rsidR="006B5AD6" w:rsidRPr="007F6AD7">
        <w:rPr>
          <w:rFonts w:ascii="Arial" w:hAnsi="Arial" w:cs="Arial"/>
        </w:rPr>
        <w:t xml:space="preserve"> </w:t>
      </w:r>
      <w:r w:rsidR="00F61B00" w:rsidRPr="007F6AD7">
        <w:rPr>
          <w:rFonts w:ascii="Arial" w:hAnsi="Arial" w:cs="Arial"/>
        </w:rPr>
        <w:t>d</w:t>
      </w:r>
      <w:r w:rsidR="006B5AD6" w:rsidRPr="007F6AD7">
        <w:rPr>
          <w:rFonts w:ascii="Arial" w:hAnsi="Arial" w:cs="Arial"/>
        </w:rPr>
        <w:t>el inconveniente</w:t>
      </w:r>
      <w:r w:rsidR="00F61B00" w:rsidRPr="007F6AD7">
        <w:rPr>
          <w:rFonts w:ascii="Arial" w:hAnsi="Arial" w:cs="Arial"/>
        </w:rPr>
        <w:t xml:space="preserve"> </w:t>
      </w:r>
      <w:r w:rsidR="00A0629A" w:rsidRPr="007F6AD7">
        <w:rPr>
          <w:rFonts w:ascii="Arial" w:hAnsi="Arial" w:cs="Arial"/>
        </w:rPr>
        <w:t>de</w:t>
      </w:r>
      <w:r w:rsidR="00F61B00" w:rsidRPr="007F6AD7">
        <w:rPr>
          <w:rFonts w:ascii="Arial" w:hAnsi="Arial" w:cs="Arial"/>
        </w:rPr>
        <w:t xml:space="preserve"> que </w:t>
      </w:r>
      <w:r w:rsidR="000932E3" w:rsidRPr="007F6AD7">
        <w:rPr>
          <w:rFonts w:ascii="Arial" w:hAnsi="Arial" w:cs="Arial"/>
        </w:rPr>
        <w:t xml:space="preserve">este informe </w:t>
      </w:r>
      <w:r w:rsidR="006B5AD6" w:rsidRPr="007F6AD7">
        <w:rPr>
          <w:rFonts w:ascii="Arial" w:hAnsi="Arial" w:cs="Arial"/>
        </w:rPr>
        <w:t>e</w:t>
      </w:r>
      <w:r w:rsidR="00F61B00" w:rsidRPr="007F6AD7">
        <w:rPr>
          <w:rFonts w:ascii="Arial" w:hAnsi="Arial" w:cs="Arial"/>
        </w:rPr>
        <w:t>n</w:t>
      </w:r>
      <w:r w:rsidR="00A0629A" w:rsidRPr="007F6AD7">
        <w:rPr>
          <w:rFonts w:ascii="Arial" w:hAnsi="Arial" w:cs="Arial"/>
        </w:rPr>
        <w:t xml:space="preserve"> ningún modo </w:t>
      </w:r>
      <w:r w:rsidR="00782B79" w:rsidRPr="007F6AD7">
        <w:rPr>
          <w:rFonts w:ascii="Arial" w:hAnsi="Arial" w:cs="Arial"/>
        </w:rPr>
        <w:t xml:space="preserve">es </w:t>
      </w:r>
      <w:r w:rsidR="00AE5E59" w:rsidRPr="007F6AD7">
        <w:rPr>
          <w:rFonts w:ascii="Arial" w:hAnsi="Arial" w:cs="Arial"/>
        </w:rPr>
        <w:t>exhaustivo y</w:t>
      </w:r>
      <w:r w:rsidR="00782B79" w:rsidRPr="007F6AD7">
        <w:rPr>
          <w:rFonts w:ascii="Arial" w:hAnsi="Arial" w:cs="Arial"/>
        </w:rPr>
        <w:t xml:space="preserve"> siempre</w:t>
      </w:r>
      <w:r w:rsidR="00AA425D" w:rsidRPr="007F6AD7">
        <w:rPr>
          <w:rFonts w:ascii="Arial" w:hAnsi="Arial" w:cs="Arial"/>
        </w:rPr>
        <w:t xml:space="preserve"> tratara de reflejar la posición de ACDEI respecto al alcance de las normas </w:t>
      </w:r>
      <w:r w:rsidR="00A94F0D" w:rsidRPr="007F6AD7">
        <w:rPr>
          <w:rFonts w:ascii="Arial" w:hAnsi="Arial" w:cs="Arial"/>
        </w:rPr>
        <w:t>interna</w:t>
      </w:r>
      <w:r w:rsidR="00AA425D" w:rsidRPr="007F6AD7">
        <w:rPr>
          <w:rFonts w:ascii="Arial" w:hAnsi="Arial" w:cs="Arial"/>
        </w:rPr>
        <w:t xml:space="preserve">s de la </w:t>
      </w:r>
      <w:r w:rsidR="00F61B00" w:rsidRPr="007F6AD7">
        <w:rPr>
          <w:rFonts w:ascii="Arial" w:hAnsi="Arial" w:cs="Arial"/>
        </w:rPr>
        <w:t>República</w:t>
      </w:r>
      <w:r w:rsidR="00AA425D" w:rsidRPr="007F6AD7">
        <w:rPr>
          <w:rFonts w:ascii="Arial" w:hAnsi="Arial" w:cs="Arial"/>
        </w:rPr>
        <w:t xml:space="preserve"> de Cuba</w:t>
      </w:r>
      <w:r w:rsidR="00A94F0D" w:rsidRPr="007F6AD7">
        <w:rPr>
          <w:rFonts w:ascii="Arial" w:hAnsi="Arial" w:cs="Arial"/>
        </w:rPr>
        <w:t xml:space="preserve">, </w:t>
      </w:r>
      <w:r w:rsidR="00BA5E84" w:rsidRPr="007F6AD7">
        <w:rPr>
          <w:rFonts w:ascii="Arial" w:hAnsi="Arial" w:cs="Arial"/>
        </w:rPr>
        <w:t>las obligaciones</w:t>
      </w:r>
      <w:r w:rsidR="00AA425D" w:rsidRPr="007F6AD7">
        <w:rPr>
          <w:rFonts w:ascii="Arial" w:hAnsi="Arial" w:cs="Arial"/>
        </w:rPr>
        <w:t xml:space="preserve"> jurídicas</w:t>
      </w:r>
      <w:r w:rsidR="00BA5E84" w:rsidRPr="007F6AD7">
        <w:rPr>
          <w:rFonts w:ascii="Arial" w:hAnsi="Arial" w:cs="Arial"/>
        </w:rPr>
        <w:t xml:space="preserve"> asumidas por el Gobierno </w:t>
      </w:r>
      <w:r w:rsidR="00AA425D" w:rsidRPr="007F6AD7">
        <w:rPr>
          <w:rFonts w:ascii="Arial" w:hAnsi="Arial" w:cs="Arial"/>
        </w:rPr>
        <w:t xml:space="preserve">cubano </w:t>
      </w:r>
      <w:r w:rsidR="00BA5E84" w:rsidRPr="007F6AD7">
        <w:rPr>
          <w:rFonts w:ascii="Arial" w:hAnsi="Arial" w:cs="Arial"/>
        </w:rPr>
        <w:t xml:space="preserve">en el ámbito </w:t>
      </w:r>
      <w:r w:rsidR="00DF126D" w:rsidRPr="007F6AD7">
        <w:rPr>
          <w:rFonts w:ascii="Arial" w:hAnsi="Arial" w:cs="Arial"/>
        </w:rPr>
        <w:t>internacional</w:t>
      </w:r>
      <w:r w:rsidR="00F61B00" w:rsidRPr="007F6AD7">
        <w:rPr>
          <w:rFonts w:ascii="Arial" w:hAnsi="Arial" w:cs="Arial"/>
        </w:rPr>
        <w:t>,</w:t>
      </w:r>
      <w:r w:rsidR="00AA425D" w:rsidRPr="007F6AD7">
        <w:rPr>
          <w:rFonts w:ascii="Arial" w:hAnsi="Arial" w:cs="Arial"/>
        </w:rPr>
        <w:t xml:space="preserve"> así como de las obligaciones jurídicas que se derivan del corpus juris internacional y de los estándares fijados por los órganos creados en virtud de tratados internacionales en materia de</w:t>
      </w:r>
      <w:r w:rsidR="00820732" w:rsidRPr="007F6AD7">
        <w:rPr>
          <w:rFonts w:ascii="Arial" w:hAnsi="Arial" w:cs="Arial"/>
        </w:rPr>
        <w:t xml:space="preserve"> la</w:t>
      </w:r>
      <w:r w:rsidR="00AA425D" w:rsidRPr="007F6AD7">
        <w:rPr>
          <w:rFonts w:ascii="Arial" w:hAnsi="Arial" w:cs="Arial"/>
        </w:rPr>
        <w:t xml:space="preserve"> niñez</w:t>
      </w:r>
      <w:r w:rsidR="007F2A01" w:rsidRPr="007F6AD7">
        <w:rPr>
          <w:rFonts w:ascii="Arial" w:hAnsi="Arial" w:cs="Arial"/>
        </w:rPr>
        <w:t xml:space="preserve"> y mujeres</w:t>
      </w:r>
      <w:r w:rsidR="00AA425D" w:rsidRPr="007F6AD7">
        <w:rPr>
          <w:rFonts w:ascii="Arial" w:hAnsi="Arial" w:cs="Arial"/>
        </w:rPr>
        <w:t>.</w:t>
      </w:r>
    </w:p>
    <w:p w14:paraId="2EEE2E19" w14:textId="5CBB2005" w:rsidR="00D738DC" w:rsidRPr="00715476" w:rsidRDefault="006046DC" w:rsidP="00715476">
      <w:pPr>
        <w:pStyle w:val="Ttulo1"/>
        <w:rPr>
          <w:rStyle w:val="nfasis"/>
          <w:i w:val="0"/>
        </w:rPr>
      </w:pPr>
      <w:r w:rsidRPr="007F6AD7">
        <w:lastRenderedPageBreak/>
        <w:br/>
      </w:r>
      <w:bookmarkStart w:id="29" w:name="situaciona"/>
      <w:bookmarkStart w:id="30" w:name="_Toc510108725"/>
      <w:bookmarkStart w:id="31" w:name="_Toc515359783"/>
      <w:r w:rsidR="00357ACC" w:rsidRPr="00715476">
        <w:rPr>
          <w:rStyle w:val="nfasis"/>
          <w:i w:val="0"/>
        </w:rPr>
        <w:t>A</w:t>
      </w:r>
      <w:r w:rsidR="00963980" w:rsidRPr="00715476">
        <w:rPr>
          <w:rStyle w:val="nfasis"/>
          <w:i w:val="0"/>
        </w:rPr>
        <w:t xml:space="preserve">. </w:t>
      </w:r>
      <w:bookmarkEnd w:id="29"/>
      <w:bookmarkEnd w:id="30"/>
      <w:r w:rsidR="001F6FE4" w:rsidRPr="00715476">
        <w:rPr>
          <w:rStyle w:val="nfasis"/>
          <w:i w:val="0"/>
        </w:rPr>
        <w:t xml:space="preserve">Medidas </w:t>
      </w:r>
      <w:r w:rsidR="00561EB1" w:rsidRPr="00715476">
        <w:rPr>
          <w:rStyle w:val="nfasis"/>
          <w:i w:val="0"/>
        </w:rPr>
        <w:t>G</w:t>
      </w:r>
      <w:r w:rsidR="001F6FE4" w:rsidRPr="00715476">
        <w:rPr>
          <w:rStyle w:val="nfasis"/>
          <w:i w:val="0"/>
        </w:rPr>
        <w:t xml:space="preserve">enerales de </w:t>
      </w:r>
      <w:r w:rsidR="00561EB1" w:rsidRPr="00715476">
        <w:rPr>
          <w:rStyle w:val="nfasis"/>
          <w:i w:val="0"/>
        </w:rPr>
        <w:t>I</w:t>
      </w:r>
      <w:r w:rsidR="00D738DC" w:rsidRPr="00715476">
        <w:rPr>
          <w:rStyle w:val="nfasis"/>
          <w:i w:val="0"/>
        </w:rPr>
        <w:t>mplementación</w:t>
      </w:r>
      <w:bookmarkEnd w:id="31"/>
    </w:p>
    <w:p w14:paraId="7D52611E" w14:textId="026B3048" w:rsidR="009C79D5" w:rsidRPr="00D738DC" w:rsidRDefault="009C79D5" w:rsidP="00DA7CB5">
      <w:pPr>
        <w:pStyle w:val="Ttulo2"/>
        <w:rPr>
          <w:color w:val="0D0D0D"/>
          <w:sz w:val="28"/>
          <w:szCs w:val="28"/>
          <w:lang w:eastAsia="en-US"/>
        </w:rPr>
      </w:pPr>
      <w:bookmarkStart w:id="32" w:name="_Toc515359784"/>
      <w:r w:rsidRPr="007F6AD7">
        <w:t>Estatus legal de</w:t>
      </w:r>
      <w:r w:rsidR="00785936" w:rsidRPr="007F6AD7">
        <w:t xml:space="preserve"> </w:t>
      </w:r>
      <w:r w:rsidRPr="007F6AD7">
        <w:t>l</w:t>
      </w:r>
      <w:r w:rsidR="00785936" w:rsidRPr="007F6AD7">
        <w:t>a</w:t>
      </w:r>
      <w:r w:rsidRPr="007F6AD7">
        <w:t xml:space="preserve"> ICERD en </w:t>
      </w:r>
      <w:r w:rsidRPr="00715476">
        <w:t>Cuba</w:t>
      </w:r>
      <w:bookmarkEnd w:id="32"/>
    </w:p>
    <w:p w14:paraId="218DCC3B" w14:textId="3036EAEE" w:rsidR="006E2FB0" w:rsidRPr="007F6AD7" w:rsidRDefault="00D738DC" w:rsidP="00D738DC">
      <w:pPr>
        <w:spacing w:after="0" w:line="360" w:lineRule="auto"/>
        <w:jc w:val="both"/>
        <w:rPr>
          <w:rFonts w:ascii="Arial" w:hAnsi="Arial" w:cs="Arial"/>
        </w:rPr>
      </w:pPr>
      <w:r>
        <w:rPr>
          <w:rFonts w:ascii="Arial" w:hAnsi="Arial" w:cs="Arial"/>
        </w:rPr>
        <w:t xml:space="preserve">5. </w:t>
      </w:r>
      <w:r w:rsidR="00017199" w:rsidRPr="007F6AD7">
        <w:rPr>
          <w:rFonts w:ascii="Arial" w:hAnsi="Arial" w:cs="Arial"/>
        </w:rPr>
        <w:t>Los acuerdos internacionales ratificados por Cuba aunque pueden aplicarse directamente; no pueden crear responsabilidad penal.</w:t>
      </w:r>
      <w:r w:rsidR="00017199" w:rsidRPr="007F6AD7">
        <w:rPr>
          <w:rStyle w:val="Refdenotaalpie"/>
          <w:rFonts w:ascii="Arial" w:hAnsi="Arial" w:cs="Arial"/>
        </w:rPr>
        <w:footnoteReference w:id="17"/>
      </w:r>
      <w:r w:rsidR="00017199" w:rsidRPr="007F6AD7">
        <w:rPr>
          <w:rFonts w:ascii="Arial" w:hAnsi="Arial" w:cs="Arial"/>
        </w:rPr>
        <w:t xml:space="preserve"> </w:t>
      </w:r>
      <w:r w:rsidR="006437A8" w:rsidRPr="007F6AD7">
        <w:rPr>
          <w:rFonts w:ascii="Arial" w:hAnsi="Arial" w:cs="Arial"/>
        </w:rPr>
        <w:t xml:space="preserve">Cabe advertir que </w:t>
      </w:r>
      <w:r w:rsidR="0040000E" w:rsidRPr="007F6AD7">
        <w:rPr>
          <w:rFonts w:ascii="Arial" w:hAnsi="Arial" w:cs="Arial"/>
        </w:rPr>
        <w:t>Cuba impone</w:t>
      </w:r>
      <w:r w:rsidR="006437A8" w:rsidRPr="007F6AD7">
        <w:rPr>
          <w:rFonts w:ascii="Arial" w:hAnsi="Arial" w:cs="Arial"/>
        </w:rPr>
        <w:t xml:space="preserve"> </w:t>
      </w:r>
      <w:r w:rsidR="00131C8F" w:rsidRPr="007F6AD7">
        <w:rPr>
          <w:rFonts w:ascii="Arial" w:hAnsi="Arial" w:cs="Arial"/>
        </w:rPr>
        <w:t>a</w:t>
      </w:r>
      <w:r w:rsidR="006437A8" w:rsidRPr="007F6AD7">
        <w:rPr>
          <w:rFonts w:ascii="Arial" w:hAnsi="Arial" w:cs="Arial"/>
        </w:rPr>
        <w:t xml:space="preserve"> las regulac</w:t>
      </w:r>
      <w:r w:rsidR="00FD572A" w:rsidRPr="007F6AD7">
        <w:rPr>
          <w:rFonts w:ascii="Arial" w:hAnsi="Arial" w:cs="Arial"/>
        </w:rPr>
        <w:t>iones internacionales</w:t>
      </w:r>
      <w:r w:rsidR="006437A8" w:rsidRPr="007F6AD7">
        <w:rPr>
          <w:rFonts w:ascii="Arial" w:hAnsi="Arial" w:cs="Arial"/>
        </w:rPr>
        <w:t xml:space="preserve"> predeterminados requisitos</w:t>
      </w:r>
      <w:r w:rsidR="0049109A" w:rsidRPr="007F6AD7">
        <w:rPr>
          <w:rFonts w:ascii="Arial" w:hAnsi="Arial" w:cs="Arial"/>
        </w:rPr>
        <w:t xml:space="preserve"> relacionados con los principios del régimen político, social y económico de la República de Cuba.</w:t>
      </w:r>
      <w:r w:rsidR="006437A8" w:rsidRPr="007F6AD7">
        <w:rPr>
          <w:rFonts w:ascii="Arial" w:hAnsi="Arial" w:cs="Arial"/>
        </w:rPr>
        <w:t xml:space="preserve"> </w:t>
      </w:r>
      <w:r w:rsidR="006437A8" w:rsidRPr="007F6AD7">
        <w:rPr>
          <w:rStyle w:val="Refdenotaalpie"/>
          <w:rFonts w:ascii="Arial" w:hAnsi="Arial" w:cs="Arial"/>
        </w:rPr>
        <w:footnoteReference w:id="18"/>
      </w:r>
      <w:r w:rsidR="0049109A" w:rsidRPr="007F6AD7">
        <w:rPr>
          <w:rFonts w:ascii="Arial" w:hAnsi="Arial" w:cs="Arial"/>
          <w:vertAlign w:val="superscript"/>
        </w:rPr>
        <w:t xml:space="preserve">, </w:t>
      </w:r>
      <w:r w:rsidR="006437A8" w:rsidRPr="007F6AD7">
        <w:rPr>
          <w:rFonts w:ascii="Arial" w:hAnsi="Arial" w:cs="Arial"/>
          <w:lang w:val="es-MX" w:eastAsia="es-MX"/>
        </w:rPr>
        <w:t xml:space="preserve"> </w:t>
      </w:r>
      <w:r w:rsidR="006437A8" w:rsidRPr="007F6AD7">
        <w:rPr>
          <w:rStyle w:val="Refdenotaalpie"/>
          <w:rFonts w:ascii="Arial" w:hAnsi="Arial" w:cs="Arial"/>
        </w:rPr>
        <w:footnoteReference w:id="19"/>
      </w:r>
      <w:r w:rsidR="0049109A" w:rsidRPr="007F6AD7">
        <w:rPr>
          <w:rFonts w:ascii="Arial" w:hAnsi="Arial" w:cs="Arial"/>
          <w:vertAlign w:val="superscript"/>
          <w:lang w:val="es-MX" w:eastAsia="es-MX"/>
        </w:rPr>
        <w:t xml:space="preserve">,  </w:t>
      </w:r>
      <w:r w:rsidR="006437A8" w:rsidRPr="007F6AD7">
        <w:rPr>
          <w:rFonts w:ascii="Arial" w:hAnsi="Arial" w:cs="Arial"/>
        </w:rPr>
        <w:t xml:space="preserve"> </w:t>
      </w:r>
      <w:r w:rsidR="006437A8" w:rsidRPr="007F6AD7">
        <w:rPr>
          <w:rFonts w:ascii="Arial" w:hAnsi="Arial" w:cs="Arial"/>
          <w:bCs/>
          <w:vertAlign w:val="superscript"/>
        </w:rPr>
        <w:footnoteReference w:id="20"/>
      </w:r>
      <w:r w:rsidR="006437A8" w:rsidRPr="007F6AD7">
        <w:rPr>
          <w:rFonts w:ascii="Arial" w:hAnsi="Arial" w:cs="Arial"/>
          <w:bCs/>
          <w:vertAlign w:val="superscript"/>
        </w:rPr>
        <w:t xml:space="preserve">, </w:t>
      </w:r>
      <w:r w:rsidR="0049109A" w:rsidRPr="007F6AD7">
        <w:rPr>
          <w:rFonts w:ascii="Arial" w:hAnsi="Arial" w:cs="Arial"/>
          <w:bCs/>
          <w:vertAlign w:val="superscript"/>
        </w:rPr>
        <w:t xml:space="preserve">  </w:t>
      </w:r>
      <w:r w:rsidR="006437A8" w:rsidRPr="007F6AD7">
        <w:rPr>
          <w:rFonts w:ascii="Arial" w:hAnsi="Arial" w:cs="Arial"/>
          <w:bCs/>
          <w:vertAlign w:val="superscript"/>
        </w:rPr>
        <w:footnoteReference w:id="21"/>
      </w:r>
      <w:r w:rsidR="006437A8" w:rsidRPr="007F6AD7">
        <w:rPr>
          <w:rFonts w:ascii="Arial" w:hAnsi="Arial" w:cs="Arial"/>
          <w:bCs/>
        </w:rPr>
        <w:t xml:space="preserve"> </w:t>
      </w:r>
      <w:r w:rsidR="006437A8" w:rsidRPr="007F6AD7">
        <w:rPr>
          <w:rFonts w:ascii="Arial" w:hAnsi="Arial" w:cs="Arial"/>
        </w:rPr>
        <w:t>El ordenamiento jurídico cubano  resulta sui generis  al no reconocer expresamente, las fuentes del derecho en ningún cuerpo normativo.</w:t>
      </w:r>
      <w:r w:rsidR="006437A8" w:rsidRPr="007F6AD7">
        <w:rPr>
          <w:rStyle w:val="Refdenotaalpie"/>
          <w:rFonts w:ascii="Arial" w:hAnsi="Arial" w:cs="Arial"/>
        </w:rPr>
        <w:t xml:space="preserve"> </w:t>
      </w:r>
      <w:r w:rsidR="006437A8" w:rsidRPr="007F6AD7">
        <w:rPr>
          <w:rStyle w:val="Refdenotaalpie"/>
          <w:rFonts w:ascii="Arial" w:hAnsi="Arial" w:cs="Arial"/>
        </w:rPr>
        <w:footnoteReference w:id="22"/>
      </w:r>
      <w:r w:rsidR="006437A8" w:rsidRPr="007F6AD7">
        <w:rPr>
          <w:rFonts w:ascii="Arial" w:hAnsi="Arial" w:cs="Arial"/>
        </w:rPr>
        <w:t xml:space="preserve">  La ley, en su sentido genérico, es la única fuente de Derecho en su aspecto formal </w:t>
      </w:r>
      <w:r w:rsidR="00137524" w:rsidRPr="007F6AD7">
        <w:rPr>
          <w:rFonts w:ascii="Arial" w:hAnsi="Arial" w:cs="Arial"/>
        </w:rPr>
        <w:t>y material</w:t>
      </w:r>
      <w:r w:rsidR="006437A8" w:rsidRPr="007F6AD7">
        <w:rPr>
          <w:rFonts w:ascii="Arial" w:hAnsi="Arial" w:cs="Arial"/>
        </w:rPr>
        <w:t xml:space="preserve"> tanto en la práctica, como en lo que a partir de la propia Constitución cubana puede inferirse, </w:t>
      </w:r>
      <w:r w:rsidR="00137524" w:rsidRPr="007F6AD7">
        <w:rPr>
          <w:rFonts w:ascii="Arial" w:hAnsi="Arial" w:cs="Arial"/>
        </w:rPr>
        <w:t>pues no</w:t>
      </w:r>
      <w:r w:rsidR="006437A8" w:rsidRPr="007F6AD7">
        <w:rPr>
          <w:rFonts w:ascii="Arial" w:hAnsi="Arial" w:cs="Arial"/>
        </w:rPr>
        <w:t xml:space="preserve"> se hace explícitamente.  En el contexto jurídico cubano actual la teoría sobre las fuentes marcha por una senda y la práctica por otra; mientras coexiste un peculiar tipo de jurisprudencia generada en la actividad del Consejo de Gobierno del Tribunal Supremo Popular. </w:t>
      </w:r>
      <w:r w:rsidR="00137524" w:rsidRPr="007F6AD7">
        <w:rPr>
          <w:rFonts w:ascii="Arial" w:hAnsi="Arial" w:cs="Arial"/>
        </w:rPr>
        <w:t xml:space="preserve">Una futura reforma </w:t>
      </w:r>
      <w:r w:rsidR="00D372D8" w:rsidRPr="007F6AD7">
        <w:rPr>
          <w:rFonts w:ascii="Arial" w:hAnsi="Arial" w:cs="Arial"/>
        </w:rPr>
        <w:t>de la</w:t>
      </w:r>
      <w:r w:rsidR="00137524" w:rsidRPr="007F6AD7">
        <w:rPr>
          <w:rFonts w:ascii="Arial" w:hAnsi="Arial" w:cs="Arial"/>
        </w:rPr>
        <w:t xml:space="preserve"> actual </w:t>
      </w:r>
      <w:r w:rsidR="00F06396" w:rsidRPr="007F6AD7">
        <w:rPr>
          <w:rFonts w:ascii="Arial" w:hAnsi="Arial" w:cs="Arial"/>
        </w:rPr>
        <w:t>C</w:t>
      </w:r>
      <w:r w:rsidR="00137524" w:rsidRPr="007F6AD7">
        <w:rPr>
          <w:rFonts w:ascii="Arial" w:hAnsi="Arial" w:cs="Arial"/>
        </w:rPr>
        <w:t>onstitución está en estudio.</w:t>
      </w:r>
      <w:r w:rsidR="00137524" w:rsidRPr="007F6AD7">
        <w:rPr>
          <w:rStyle w:val="Refdenotaalpie"/>
          <w:rFonts w:ascii="Arial" w:hAnsi="Arial" w:cs="Arial"/>
        </w:rPr>
        <w:footnoteReference w:id="23"/>
      </w:r>
      <w:r w:rsidR="00531DB0">
        <w:rPr>
          <w:rFonts w:ascii="Arial" w:hAnsi="Arial" w:cs="Arial"/>
        </w:rPr>
        <w:t xml:space="preserve"> </w:t>
      </w:r>
    </w:p>
    <w:p w14:paraId="57E0A5EF" w14:textId="415CF99E" w:rsidR="00017199" w:rsidRPr="00531DB0" w:rsidRDefault="004E0E09" w:rsidP="004E0E09">
      <w:pPr>
        <w:spacing w:after="0" w:line="360" w:lineRule="auto"/>
        <w:jc w:val="both"/>
        <w:rPr>
          <w:rFonts w:ascii="Arial" w:hAnsi="Arial" w:cs="Arial"/>
        </w:rPr>
      </w:pPr>
      <w:r>
        <w:rPr>
          <w:rFonts w:ascii="Arial" w:hAnsi="Arial" w:cs="Arial"/>
        </w:rPr>
        <w:lastRenderedPageBreak/>
        <w:t>6.  S</w:t>
      </w:r>
      <w:r w:rsidR="00017199" w:rsidRPr="007F6AD7">
        <w:rPr>
          <w:rFonts w:ascii="Arial" w:hAnsi="Arial" w:cs="Arial"/>
        </w:rPr>
        <w:t>e debe subrayar que en Cuba ha influido durante un prolongado periodo la idea de que sólo el acto normativo, como derecho positivo y escrito, es la única manifestación de la creación jurídica, pero este reconocimiento ni siquiera se ha hecho explícito en algunas de las disposiciones normativas de más alto rango, en particular la Constitución.</w:t>
      </w:r>
      <w:r w:rsidR="00017199" w:rsidRPr="007F6AD7">
        <w:rPr>
          <w:rStyle w:val="Refdenotaalpie"/>
          <w:rFonts w:ascii="Arial" w:hAnsi="Arial" w:cs="Arial"/>
        </w:rPr>
        <w:footnoteReference w:id="24"/>
      </w:r>
      <w:r w:rsidR="00017199" w:rsidRPr="007F6AD7">
        <w:rPr>
          <w:rFonts w:ascii="Arial" w:hAnsi="Arial" w:cs="Arial"/>
          <w:vertAlign w:val="superscript"/>
        </w:rPr>
        <w:t>,</w:t>
      </w:r>
      <w:r w:rsidR="00017199" w:rsidRPr="007F6AD7">
        <w:rPr>
          <w:rFonts w:ascii="Arial" w:hAnsi="Arial" w:cs="Arial"/>
        </w:rPr>
        <w:t xml:space="preserve"> </w:t>
      </w:r>
      <w:r w:rsidR="0040000E" w:rsidRPr="007F6AD7">
        <w:rPr>
          <w:rFonts w:ascii="Arial" w:hAnsi="Arial" w:cs="Arial"/>
        </w:rPr>
        <w:t xml:space="preserve"> </w:t>
      </w:r>
      <w:r w:rsidR="00017199" w:rsidRPr="007F6AD7">
        <w:rPr>
          <w:rStyle w:val="Refdenotaalpie"/>
          <w:rFonts w:ascii="Arial" w:hAnsi="Arial" w:cs="Arial"/>
        </w:rPr>
        <w:footnoteReference w:id="25"/>
      </w:r>
      <w:r w:rsidR="00017199" w:rsidRPr="007F6AD7">
        <w:rPr>
          <w:rFonts w:ascii="Arial" w:hAnsi="Arial" w:cs="Arial"/>
          <w:vertAlign w:val="superscript"/>
        </w:rPr>
        <w:t xml:space="preserve">,  </w:t>
      </w:r>
      <w:r w:rsidR="00017199" w:rsidRPr="007F6AD7">
        <w:rPr>
          <w:rStyle w:val="Refdenotaalpie"/>
          <w:rFonts w:ascii="Arial" w:hAnsi="Arial" w:cs="Arial"/>
        </w:rPr>
        <w:footnoteReference w:id="26"/>
      </w:r>
      <w:r w:rsidR="00017199" w:rsidRPr="007F6AD7">
        <w:rPr>
          <w:rFonts w:ascii="Arial" w:hAnsi="Arial" w:cs="Arial"/>
        </w:rPr>
        <w:t xml:space="preserve">  En el país no caben dudas acerca de que la ley es la regla suprema del ordenamiento jurídico, de aplicación preferente.</w:t>
      </w:r>
      <w:r w:rsidR="00017199" w:rsidRPr="007F6AD7">
        <w:rPr>
          <w:rFonts w:ascii="Arial" w:hAnsi="Arial" w:cs="Arial"/>
          <w:vertAlign w:val="superscript"/>
        </w:rPr>
        <w:footnoteReference w:id="27"/>
      </w:r>
      <w:r w:rsidR="00017199" w:rsidRPr="007F6AD7">
        <w:rPr>
          <w:rFonts w:ascii="Arial" w:hAnsi="Arial" w:cs="Arial"/>
          <w:vertAlign w:val="superscript"/>
        </w:rPr>
        <w:t xml:space="preserve"> </w:t>
      </w:r>
      <w:r w:rsidR="00017199" w:rsidRPr="007F6AD7">
        <w:rPr>
          <w:rFonts w:ascii="Arial" w:hAnsi="Arial" w:cs="Arial"/>
        </w:rPr>
        <w:t>Estas son las normas nacidas de la potestas normandi del Estado; las normas de origen estatal decretadas</w:t>
      </w:r>
      <w:r>
        <w:rPr>
          <w:rFonts w:ascii="Arial" w:hAnsi="Arial" w:cs="Arial"/>
        </w:rPr>
        <w:t xml:space="preserve"> </w:t>
      </w:r>
      <w:r w:rsidRPr="007F6AD7">
        <w:rPr>
          <w:rFonts w:ascii="Arial" w:hAnsi="Arial" w:cs="Arial"/>
          <w:vertAlign w:val="superscript"/>
        </w:rPr>
        <w:footnoteReference w:id="28"/>
      </w:r>
      <w:r w:rsidRPr="007F6AD7">
        <w:rPr>
          <w:rFonts w:ascii="Arial" w:hAnsi="Arial" w:cs="Arial"/>
          <w:vertAlign w:val="superscript"/>
        </w:rPr>
        <w:t xml:space="preserve"> </w:t>
      </w:r>
      <w:r>
        <w:rPr>
          <w:rFonts w:ascii="Arial" w:hAnsi="Arial" w:cs="Arial"/>
          <w:vertAlign w:val="superscript"/>
        </w:rPr>
        <w:t xml:space="preserve">  </w:t>
      </w:r>
      <w:r w:rsidR="00017199" w:rsidRPr="007F6AD7">
        <w:rPr>
          <w:rFonts w:ascii="Arial" w:hAnsi="Arial" w:cs="Arial"/>
        </w:rPr>
        <w:t xml:space="preserve">por la organización política. </w:t>
      </w:r>
    </w:p>
    <w:p w14:paraId="604AABFF" w14:textId="6A7E6371" w:rsidR="00017199" w:rsidRPr="007F6AD7" w:rsidRDefault="004E0E09" w:rsidP="004E0E09">
      <w:pPr>
        <w:spacing w:after="0" w:line="360" w:lineRule="auto"/>
        <w:jc w:val="both"/>
        <w:rPr>
          <w:rFonts w:ascii="Arial" w:hAnsi="Arial" w:cs="Arial"/>
        </w:rPr>
      </w:pPr>
      <w:r>
        <w:rPr>
          <w:rFonts w:ascii="Arial" w:hAnsi="Arial" w:cs="Arial"/>
        </w:rPr>
        <w:t xml:space="preserve">7. </w:t>
      </w:r>
      <w:r w:rsidR="00017199" w:rsidRPr="007F6AD7">
        <w:rPr>
          <w:rFonts w:ascii="Arial" w:hAnsi="Arial" w:cs="Arial"/>
        </w:rPr>
        <w:t>Al no existir  una definición categórica de las vías por las cuales se origina el fenómeno jurídico cubano, que es en esencia el concepto más general de la categoría fuente, los principios generales del derecho tampoco son reconocidos como fuentes,</w:t>
      </w:r>
      <w:r w:rsidR="00017199" w:rsidRPr="007F6AD7">
        <w:rPr>
          <w:rFonts w:ascii="Arial" w:hAnsi="Arial" w:cs="Arial"/>
          <w:vertAlign w:val="superscript"/>
        </w:rPr>
        <w:footnoteReference w:id="29"/>
      </w:r>
      <w:r w:rsidR="00017199" w:rsidRPr="007F6AD7">
        <w:rPr>
          <w:rFonts w:ascii="Arial" w:hAnsi="Arial" w:cs="Arial"/>
          <w:vertAlign w:val="superscript"/>
        </w:rPr>
        <w:t xml:space="preserve"> , </w:t>
      </w:r>
      <w:r w:rsidR="00145BAF" w:rsidRPr="007F6AD7">
        <w:rPr>
          <w:rFonts w:ascii="Arial" w:hAnsi="Arial" w:cs="Arial"/>
          <w:vertAlign w:val="superscript"/>
        </w:rPr>
        <w:t xml:space="preserve"> </w:t>
      </w:r>
      <w:r w:rsidR="00017199" w:rsidRPr="007F6AD7">
        <w:rPr>
          <w:rFonts w:ascii="Arial" w:hAnsi="Arial" w:cs="Arial"/>
          <w:vertAlign w:val="superscript"/>
        </w:rPr>
        <w:footnoteReference w:id="30"/>
      </w:r>
      <w:r w:rsidR="00017199" w:rsidRPr="007F6AD7">
        <w:rPr>
          <w:rFonts w:ascii="Arial" w:hAnsi="Arial" w:cs="Arial"/>
          <w:vertAlign w:val="superscript"/>
        </w:rPr>
        <w:t xml:space="preserve"> </w:t>
      </w:r>
      <w:r w:rsidR="00017199" w:rsidRPr="007F6AD7">
        <w:rPr>
          <w:rFonts w:ascii="Arial" w:hAnsi="Arial" w:cs="Arial"/>
        </w:rPr>
        <w:t xml:space="preserve">aunque no se puede obviar su aplicación dentro </w:t>
      </w:r>
      <w:r w:rsidR="00017199" w:rsidRPr="007F6AD7">
        <w:rPr>
          <w:rFonts w:ascii="Arial" w:hAnsi="Arial" w:cs="Arial"/>
        </w:rPr>
        <w:lastRenderedPageBreak/>
        <w:t>del ordenamiento jurídico interno, pues  de alguna manera están contenidos en la propia legislación sustantiva.</w:t>
      </w:r>
      <w:r w:rsidR="0053720D" w:rsidRPr="007F6AD7">
        <w:rPr>
          <w:rFonts w:ascii="Arial" w:hAnsi="Arial" w:cs="Arial"/>
          <w:vertAlign w:val="superscript"/>
        </w:rPr>
        <w:footnoteReference w:id="31"/>
      </w:r>
      <w:r w:rsidR="0053720D" w:rsidRPr="007F6AD7">
        <w:rPr>
          <w:rFonts w:ascii="Arial" w:hAnsi="Arial" w:cs="Arial"/>
        </w:rPr>
        <w:t xml:space="preserve"> </w:t>
      </w:r>
      <w:r w:rsidR="00D62D32" w:rsidRPr="007F6AD7">
        <w:rPr>
          <w:rFonts w:ascii="Arial" w:hAnsi="Arial" w:cs="Arial"/>
        </w:rPr>
        <w:t>No obstante el principio ne bis in idem está en silencio en la Constitución y también en el Código penal.</w:t>
      </w:r>
      <w:r w:rsidR="00017199" w:rsidRPr="007F6AD7">
        <w:rPr>
          <w:rFonts w:ascii="Arial" w:hAnsi="Arial" w:cs="Arial"/>
        </w:rPr>
        <w:tab/>
      </w:r>
    </w:p>
    <w:p w14:paraId="6A63679B" w14:textId="707C5843" w:rsidR="00734703" w:rsidRPr="007F6AD7" w:rsidRDefault="004E0E09" w:rsidP="004E0E09">
      <w:pPr>
        <w:spacing w:after="0" w:line="360" w:lineRule="auto"/>
        <w:jc w:val="both"/>
        <w:rPr>
          <w:rFonts w:ascii="Arial" w:hAnsi="Arial" w:cs="Arial"/>
        </w:rPr>
      </w:pPr>
      <w:r>
        <w:rPr>
          <w:rFonts w:ascii="Arial" w:hAnsi="Arial" w:cs="Arial"/>
        </w:rPr>
        <w:t xml:space="preserve">8. </w:t>
      </w:r>
      <w:r w:rsidR="00017199" w:rsidRPr="007F6AD7">
        <w:rPr>
          <w:rFonts w:ascii="Arial" w:hAnsi="Arial" w:cs="Arial"/>
        </w:rPr>
        <w:t xml:space="preserve">En la Constitución de la República de Cuba no está previsto un precepto que establezca la jerarquía y la interrelación entre las normas jurídicas que conforman el derecho </w:t>
      </w:r>
      <w:r w:rsidR="00EF03FC" w:rsidRPr="007F6AD7">
        <w:rPr>
          <w:rFonts w:ascii="Arial" w:hAnsi="Arial" w:cs="Arial"/>
        </w:rPr>
        <w:t xml:space="preserve">positivo cubano </w:t>
      </w:r>
      <w:r w:rsidR="00017199" w:rsidRPr="007F6AD7">
        <w:rPr>
          <w:rFonts w:ascii="Arial" w:hAnsi="Arial" w:cs="Arial"/>
        </w:rPr>
        <w:t xml:space="preserve">y los tratados internacionales, lo </w:t>
      </w:r>
      <w:r w:rsidR="00734703" w:rsidRPr="007F6AD7">
        <w:rPr>
          <w:rFonts w:ascii="Arial" w:hAnsi="Arial" w:cs="Arial"/>
        </w:rPr>
        <w:t>cual implica</w:t>
      </w:r>
      <w:r w:rsidR="00017199" w:rsidRPr="007F6AD7">
        <w:rPr>
          <w:rFonts w:ascii="Arial" w:hAnsi="Arial" w:cs="Arial"/>
        </w:rPr>
        <w:t xml:space="preserve"> que las leyes penales no necesariamente se ajustan   a lo dispuesto en dichos instrumentos. En cambio, la legislación cubana </w:t>
      </w:r>
      <w:r w:rsidR="00734703" w:rsidRPr="007F6AD7">
        <w:rPr>
          <w:rFonts w:ascii="Arial" w:hAnsi="Arial" w:cs="Arial"/>
        </w:rPr>
        <w:t>vigente prescribe</w:t>
      </w:r>
      <w:r w:rsidR="00017199" w:rsidRPr="007F6AD7">
        <w:rPr>
          <w:rFonts w:ascii="Arial" w:hAnsi="Arial" w:cs="Arial"/>
        </w:rPr>
        <w:t xml:space="preserve"> la igualdad además de condenar y sancionar todo acto de discriminación racial contra personas, grupos de personas o instituciones. </w:t>
      </w:r>
      <w:r w:rsidR="00017199" w:rsidRPr="007F6AD7">
        <w:rPr>
          <w:rStyle w:val="Refdenotaalpie"/>
          <w:rFonts w:ascii="Arial" w:hAnsi="Arial" w:cs="Arial"/>
        </w:rPr>
        <w:footnoteReference w:id="32"/>
      </w:r>
      <w:r w:rsidR="00017199" w:rsidRPr="007F6AD7">
        <w:rPr>
          <w:rFonts w:ascii="Arial" w:hAnsi="Arial" w:cs="Arial"/>
        </w:rPr>
        <w:t xml:space="preserve"> </w:t>
      </w:r>
    </w:p>
    <w:p w14:paraId="6EE95DA3" w14:textId="2A1ECCE4" w:rsidR="000527F0" w:rsidRPr="007F6AD7" w:rsidRDefault="00063C92" w:rsidP="00715476">
      <w:pPr>
        <w:pStyle w:val="Ttulo3"/>
      </w:pPr>
      <w:bookmarkStart w:id="39" w:name="_Toc515359785"/>
      <w:r w:rsidRPr="007F6AD7">
        <w:t xml:space="preserve">Responsabilidad del Estado Parte y las </w:t>
      </w:r>
      <w:r w:rsidRPr="00715476">
        <w:t>Personas</w:t>
      </w:r>
      <w:r w:rsidRPr="007F6AD7">
        <w:t xml:space="preserve"> Jurídicas</w:t>
      </w:r>
      <w:bookmarkEnd w:id="39"/>
    </w:p>
    <w:p w14:paraId="15454898" w14:textId="1B842FE9" w:rsidR="00D16FBE" w:rsidRDefault="004E0E09" w:rsidP="00D16FBE">
      <w:pPr>
        <w:spacing w:after="0" w:line="360" w:lineRule="auto"/>
        <w:jc w:val="both"/>
        <w:rPr>
          <w:rFonts w:ascii="Times New Roman" w:eastAsia="STKaiti" w:hAnsi="Times New Roman"/>
          <w:sz w:val="24"/>
          <w:szCs w:val="24"/>
          <w:lang w:eastAsia="es-ES"/>
        </w:rPr>
      </w:pPr>
      <w:r>
        <w:rPr>
          <w:rFonts w:ascii="Arial" w:hAnsi="Arial" w:cs="Arial"/>
        </w:rPr>
        <w:t xml:space="preserve">9.  </w:t>
      </w:r>
      <w:r w:rsidR="000527F0" w:rsidRPr="007F6AD7">
        <w:rPr>
          <w:rFonts w:ascii="Arial" w:hAnsi="Arial" w:cs="Arial"/>
        </w:rPr>
        <w:t>El ordenamiento jurídico cubano prevé la responsabilidad penal, civil y administrativa de las personas jurídicas. Las sanciones penales todavía no se han aplicado,</w:t>
      </w:r>
      <w:r w:rsidR="00D84F73" w:rsidRPr="007F6AD7">
        <w:rPr>
          <w:rStyle w:val="Refdenotaalpie"/>
          <w:rFonts w:ascii="Arial" w:hAnsi="Arial" w:cs="Arial"/>
        </w:rPr>
        <w:footnoteReference w:id="33"/>
      </w:r>
      <w:r w:rsidR="00D16FBE">
        <w:rPr>
          <w:rFonts w:ascii="Arial" w:hAnsi="Arial" w:cs="Arial"/>
        </w:rPr>
        <w:t xml:space="preserve"> </w:t>
      </w:r>
      <w:r w:rsidR="00D84F73" w:rsidRPr="007F6AD7">
        <w:rPr>
          <w:rFonts w:ascii="Arial" w:hAnsi="Arial" w:cs="Arial"/>
          <w:vertAlign w:val="superscript"/>
        </w:rPr>
        <w:t xml:space="preserve">,   </w:t>
      </w:r>
      <w:r w:rsidR="00D84F73" w:rsidRPr="007F6AD7">
        <w:rPr>
          <w:rStyle w:val="Refdenotaalpie"/>
          <w:rFonts w:ascii="Arial" w:hAnsi="Arial" w:cs="Arial"/>
        </w:rPr>
        <w:footnoteReference w:id="34"/>
      </w:r>
      <w:r w:rsidR="00D84F73" w:rsidRPr="007F6AD7">
        <w:rPr>
          <w:rFonts w:ascii="Arial" w:hAnsi="Arial" w:cs="Arial"/>
          <w:vertAlign w:val="superscript"/>
        </w:rPr>
        <w:t xml:space="preserve"> </w:t>
      </w:r>
      <w:r w:rsidR="000527F0" w:rsidRPr="007F6AD7">
        <w:rPr>
          <w:rFonts w:ascii="Arial" w:hAnsi="Arial" w:cs="Arial"/>
        </w:rPr>
        <w:t>dada la diversidad de medidas administrativas.</w:t>
      </w:r>
      <w:r w:rsidR="000527F0" w:rsidRPr="007F6AD7">
        <w:rPr>
          <w:rFonts w:ascii="Arial" w:hAnsi="Arial" w:cs="Arial"/>
          <w:vertAlign w:val="superscript"/>
        </w:rPr>
        <w:t xml:space="preserve"> </w:t>
      </w:r>
      <w:r w:rsidR="000527F0" w:rsidRPr="007F6AD7">
        <w:rPr>
          <w:rFonts w:ascii="Arial" w:hAnsi="Arial" w:cs="Arial"/>
        </w:rPr>
        <w:t>Las personas jurídicas estatales en la nación (formulado usualmente como societas delinquere non potest) quedan exentas de responsabilidad</w:t>
      </w:r>
      <w:r>
        <w:rPr>
          <w:rFonts w:ascii="Arial" w:hAnsi="Arial" w:cs="Arial"/>
        </w:rPr>
        <w:t xml:space="preserve"> </w:t>
      </w:r>
      <w:r w:rsidR="000527F0" w:rsidRPr="007F6AD7">
        <w:rPr>
          <w:rFonts w:ascii="Arial" w:hAnsi="Arial" w:cs="Arial"/>
        </w:rPr>
        <w:t xml:space="preserve">por motivos legalmente establecidos. En el Código Penal cubano, la responsabilidad penal y civil corresponde a los individuos y personas jurídicas no estatales o privadas. </w:t>
      </w:r>
      <w:r w:rsidR="00D16FBE">
        <w:rPr>
          <w:rStyle w:val="Refdenotaalpie"/>
          <w:rFonts w:ascii="Arial" w:hAnsi="Arial"/>
        </w:rPr>
        <w:footnoteReference w:id="35"/>
      </w:r>
      <w:r w:rsidR="00D16FBE">
        <w:rPr>
          <w:rFonts w:ascii="Arial" w:hAnsi="Arial" w:cs="Arial"/>
          <w:vertAlign w:val="superscript"/>
        </w:rPr>
        <w:t xml:space="preserve"> </w:t>
      </w:r>
    </w:p>
    <w:p w14:paraId="1C6DF4CE" w14:textId="63B7D4F8" w:rsidR="00D16FBE" w:rsidRDefault="00D16FBE" w:rsidP="00D16FBE">
      <w:pPr>
        <w:spacing w:after="0" w:line="360" w:lineRule="auto"/>
        <w:jc w:val="both"/>
        <w:rPr>
          <w:rFonts w:ascii="Arial" w:hAnsi="Arial" w:cs="Arial"/>
        </w:rPr>
      </w:pPr>
    </w:p>
    <w:p w14:paraId="070DF5BB" w14:textId="64CA2B5E" w:rsidR="000527F0" w:rsidRPr="00D16FBE" w:rsidRDefault="00D16FBE" w:rsidP="00D16FBE">
      <w:pPr>
        <w:spacing w:after="0" w:line="360" w:lineRule="auto"/>
        <w:jc w:val="both"/>
        <w:rPr>
          <w:rFonts w:ascii="Times New Roman" w:eastAsia="STKaiti" w:hAnsi="Times New Roman"/>
          <w:sz w:val="24"/>
          <w:szCs w:val="24"/>
          <w:lang w:eastAsia="es-ES"/>
        </w:rPr>
      </w:pPr>
      <w:r>
        <w:rPr>
          <w:rFonts w:ascii="Arial" w:hAnsi="Arial" w:cs="Arial"/>
        </w:rPr>
        <w:lastRenderedPageBreak/>
        <w:t xml:space="preserve">10.   </w:t>
      </w:r>
      <w:r w:rsidR="000527F0" w:rsidRPr="007F6AD7">
        <w:rPr>
          <w:rFonts w:ascii="Arial" w:hAnsi="Arial" w:cs="Arial"/>
        </w:rPr>
        <w:t>La ley exime de responsabilidad penal</w:t>
      </w:r>
      <w:r>
        <w:rPr>
          <w:rFonts w:ascii="Arial" w:hAnsi="Arial" w:cs="Arial"/>
        </w:rPr>
        <w:t xml:space="preserve"> </w:t>
      </w:r>
      <w:r w:rsidR="004E0E09">
        <w:rPr>
          <w:rStyle w:val="Refdenotaalpie"/>
          <w:rFonts w:ascii="Arial" w:hAnsi="Arial"/>
        </w:rPr>
        <w:footnoteReference w:id="36"/>
      </w:r>
      <w:r w:rsidR="004E0E09">
        <w:rPr>
          <w:rFonts w:ascii="Arial" w:hAnsi="Arial" w:cs="Arial"/>
        </w:rPr>
        <w:t xml:space="preserve"> </w:t>
      </w:r>
      <w:r w:rsidR="004E0E09" w:rsidRPr="004E0E09">
        <w:rPr>
          <w:rFonts w:ascii="Arial" w:hAnsi="Arial" w:cs="Arial"/>
          <w:vertAlign w:val="superscript"/>
        </w:rPr>
        <w:t>,</w:t>
      </w:r>
      <w:r w:rsidR="004E0E09" w:rsidRPr="007F6AD7">
        <w:rPr>
          <w:rFonts w:ascii="Arial" w:hAnsi="Arial" w:cs="Arial"/>
        </w:rPr>
        <w:t xml:space="preserve"> </w:t>
      </w:r>
      <w:r w:rsidR="000527F0" w:rsidRPr="007F6AD7">
        <w:rPr>
          <w:rStyle w:val="Refdenotaalpie"/>
          <w:rFonts w:ascii="Arial" w:hAnsi="Arial" w:cs="Arial"/>
        </w:rPr>
        <w:footnoteReference w:id="37"/>
      </w:r>
      <w:r w:rsidR="000527F0" w:rsidRPr="007F6AD7">
        <w:rPr>
          <w:rFonts w:ascii="Arial" w:hAnsi="Arial" w:cs="Arial"/>
        </w:rPr>
        <w:t xml:space="preserve"> al que cause un daño al obrar en cumplimiento de un deber o en el ejercicio legítimo de su derecho, profesión, cargo u oficio o en virtud de obediencia debida.  Asimismo se instituye la posibilidad de inhabilitar judicialmente a quienes demanden justicia a partir del artículo 26, de mayor jerarquía por ser un mandato constitucional </w:t>
      </w:r>
      <w:r>
        <w:rPr>
          <w:rFonts w:ascii="Arial" w:hAnsi="Arial" w:cs="Arial"/>
        </w:rPr>
        <w:t>pero no aplicable directamente.</w:t>
      </w:r>
      <w:r w:rsidR="000527F0" w:rsidRPr="007F6AD7">
        <w:rPr>
          <w:rFonts w:ascii="Arial" w:hAnsi="Arial" w:cs="Arial"/>
        </w:rPr>
        <w:t xml:space="preserve">   Los tribunales no están facultados para   interpretar directamente la Constitución cubana y aplicar sus preceptos</w:t>
      </w:r>
      <w:r w:rsidR="001C0F18" w:rsidRPr="007F6AD7">
        <w:rPr>
          <w:rFonts w:ascii="Arial" w:hAnsi="Arial" w:cs="Arial"/>
        </w:rPr>
        <w:t>, aunque nada lo prohibe</w:t>
      </w:r>
      <w:r w:rsidR="000527F0" w:rsidRPr="007F6AD7">
        <w:rPr>
          <w:rFonts w:ascii="Arial" w:hAnsi="Arial" w:cs="Arial"/>
        </w:rPr>
        <w:t xml:space="preserve">. </w:t>
      </w:r>
      <w:r w:rsidR="000527F0" w:rsidRPr="007F6AD7">
        <w:rPr>
          <w:rFonts w:ascii="Arial" w:hAnsi="Arial" w:cs="Arial"/>
          <w:vertAlign w:val="superscript"/>
        </w:rPr>
        <w:footnoteReference w:id="38"/>
      </w:r>
      <w:r w:rsidR="000527F0" w:rsidRPr="007F6AD7">
        <w:rPr>
          <w:rFonts w:ascii="Arial" w:hAnsi="Arial" w:cs="Arial"/>
        </w:rPr>
        <w:t xml:space="preserve">Los principios, garantías y derechos </w:t>
      </w:r>
      <w:r w:rsidR="000527F0" w:rsidRPr="007F6AD7">
        <w:rPr>
          <w:rFonts w:ascii="Arial" w:hAnsi="Arial" w:cs="Arial"/>
          <w:lang w:eastAsia="es-MX"/>
        </w:rPr>
        <w:t>reconocidos en mandatos constitucionales, podrán ser alterados por las leyes que reglamentan su ejercicio. La propia Constitución admite la posibilidad de limitar sus disposiciones por la ley, y sugiere ella misma el medio honesto y legal de faltar a todo lo que promete.</w:t>
      </w:r>
      <w:r w:rsidR="000527F0" w:rsidRPr="007F6AD7">
        <w:rPr>
          <w:rStyle w:val="Refdenotaalpie"/>
          <w:rFonts w:ascii="Arial" w:hAnsi="Arial" w:cs="Arial"/>
          <w:lang w:eastAsia="es-MX"/>
        </w:rPr>
        <w:footnoteReference w:id="39"/>
      </w:r>
      <w:r w:rsidR="000527F0" w:rsidRPr="007F6AD7">
        <w:rPr>
          <w:rFonts w:ascii="Arial" w:hAnsi="Arial" w:cs="Arial"/>
          <w:lang w:eastAsia="es-MX"/>
        </w:rPr>
        <w:t xml:space="preserve"> La jurisdicción militar tampoco está acotada.</w:t>
      </w:r>
      <w:r w:rsidR="000527F0" w:rsidRPr="007F6AD7">
        <w:rPr>
          <w:rStyle w:val="Refdenotaalpie"/>
          <w:rFonts w:ascii="Arial" w:hAnsi="Arial" w:cs="Arial"/>
          <w:lang w:eastAsia="es-MX"/>
        </w:rPr>
        <w:footnoteReference w:id="40"/>
      </w:r>
      <w:r w:rsidR="000527F0" w:rsidRPr="007F6AD7">
        <w:rPr>
          <w:rFonts w:ascii="Arial" w:hAnsi="Arial" w:cs="Arial"/>
          <w:vertAlign w:val="superscript"/>
          <w:lang w:eastAsia="es-MX"/>
        </w:rPr>
        <w:t xml:space="preserve">, </w:t>
      </w:r>
      <w:r w:rsidR="000527F0" w:rsidRPr="007F6AD7">
        <w:rPr>
          <w:rStyle w:val="Refdenotaalpie"/>
          <w:rFonts w:ascii="Arial" w:hAnsi="Arial" w:cs="Arial"/>
          <w:lang w:eastAsia="es-MX"/>
        </w:rPr>
        <w:footnoteReference w:id="41"/>
      </w:r>
    </w:p>
    <w:p w14:paraId="51ED8089" w14:textId="7010BF4B" w:rsidR="007839C2" w:rsidRPr="007F6AD7" w:rsidRDefault="00AD1E8A" w:rsidP="00DA7CB5">
      <w:pPr>
        <w:pStyle w:val="Ttulo2"/>
        <w:rPr>
          <w:noProof/>
        </w:rPr>
      </w:pPr>
      <w:bookmarkStart w:id="40" w:name="_Toc515359786"/>
      <w:r w:rsidRPr="007F6AD7">
        <w:rPr>
          <w:noProof/>
        </w:rPr>
        <w:lastRenderedPageBreak/>
        <w:t xml:space="preserve">Difusión </w:t>
      </w:r>
      <w:r w:rsidR="00063C92" w:rsidRPr="007F6AD7">
        <w:rPr>
          <w:noProof/>
        </w:rPr>
        <w:t xml:space="preserve">en Cuba </w:t>
      </w:r>
      <w:r w:rsidRPr="007F6AD7">
        <w:rPr>
          <w:noProof/>
        </w:rPr>
        <w:t>de</w:t>
      </w:r>
      <w:r w:rsidR="00063C92" w:rsidRPr="007F6AD7">
        <w:rPr>
          <w:noProof/>
        </w:rPr>
        <w:t xml:space="preserve"> </w:t>
      </w:r>
      <w:r w:rsidRPr="007F6AD7">
        <w:rPr>
          <w:noProof/>
        </w:rPr>
        <w:t>l</w:t>
      </w:r>
      <w:r w:rsidR="00063C92" w:rsidRPr="007F6AD7">
        <w:rPr>
          <w:noProof/>
        </w:rPr>
        <w:t xml:space="preserve">a Convencion </w:t>
      </w:r>
      <w:r w:rsidRPr="007F6AD7">
        <w:rPr>
          <w:noProof/>
        </w:rPr>
        <w:t xml:space="preserve"> ICERD</w:t>
      </w:r>
      <w:bookmarkEnd w:id="40"/>
      <w:r w:rsidR="00063C92" w:rsidRPr="007F6AD7">
        <w:rPr>
          <w:noProof/>
        </w:rPr>
        <w:t xml:space="preserve"> </w:t>
      </w:r>
    </w:p>
    <w:p w14:paraId="3DB01BFF" w14:textId="4B6F99B5" w:rsidR="00AD1E8A" w:rsidRPr="007F6AD7" w:rsidRDefault="007839C2" w:rsidP="00531DB0">
      <w:pPr>
        <w:pStyle w:val="Ttulo3"/>
      </w:pPr>
      <w:bookmarkStart w:id="41" w:name="_Toc515359787"/>
      <w:r w:rsidRPr="007F6AD7">
        <w:t xml:space="preserve">Incumplimiento de  </w:t>
      </w:r>
      <w:r w:rsidR="00AD1E8A" w:rsidRPr="007F6AD7">
        <w:t>mandato</w:t>
      </w:r>
      <w:r w:rsidR="00B00F74" w:rsidRPr="007F6AD7">
        <w:t>s</w:t>
      </w:r>
      <w:r w:rsidR="00AD1E8A" w:rsidRPr="007F6AD7">
        <w:t xml:space="preserve"> constitucional</w:t>
      </w:r>
      <w:r w:rsidR="00B00F74" w:rsidRPr="007F6AD7">
        <w:t>es</w:t>
      </w:r>
      <w:bookmarkEnd w:id="41"/>
    </w:p>
    <w:p w14:paraId="285CF1AE" w14:textId="77777777" w:rsidR="00D16FBE" w:rsidRDefault="00D16FBE" w:rsidP="00D16FBE">
      <w:pPr>
        <w:tabs>
          <w:tab w:val="left" w:pos="567"/>
        </w:tabs>
        <w:spacing w:line="360" w:lineRule="auto"/>
        <w:jc w:val="both"/>
        <w:rPr>
          <w:rFonts w:ascii="Arial" w:hAnsi="Arial" w:cs="Arial"/>
        </w:rPr>
      </w:pPr>
      <w:r>
        <w:rPr>
          <w:rFonts w:ascii="Arial" w:hAnsi="Arial" w:cs="Arial"/>
          <w:noProof/>
        </w:rPr>
        <w:t xml:space="preserve">11.  </w:t>
      </w:r>
      <w:r w:rsidR="00CC30AD" w:rsidRPr="007F6AD7">
        <w:rPr>
          <w:rFonts w:ascii="Arial" w:hAnsi="Arial" w:cs="Arial"/>
          <w:noProof/>
        </w:rPr>
        <w:t>L</w:t>
      </w:r>
      <w:r w:rsidR="00B00F74" w:rsidRPr="007F6AD7">
        <w:rPr>
          <w:rFonts w:ascii="Arial" w:hAnsi="Arial" w:cs="Arial"/>
          <w:noProof/>
        </w:rPr>
        <w:t>a difusión del contenido y objetivos de</w:t>
      </w:r>
      <w:r w:rsidR="00A53682" w:rsidRPr="007F6AD7">
        <w:rPr>
          <w:rFonts w:ascii="Arial" w:hAnsi="Arial" w:cs="Arial"/>
          <w:noProof/>
        </w:rPr>
        <w:t xml:space="preserve"> </w:t>
      </w:r>
      <w:r w:rsidR="00B00F74" w:rsidRPr="007F6AD7">
        <w:rPr>
          <w:rFonts w:ascii="Arial" w:hAnsi="Arial" w:cs="Arial"/>
          <w:noProof/>
        </w:rPr>
        <w:t>l</w:t>
      </w:r>
      <w:r w:rsidR="00A53682" w:rsidRPr="007F6AD7">
        <w:rPr>
          <w:rFonts w:ascii="Arial" w:hAnsi="Arial" w:cs="Arial"/>
          <w:noProof/>
        </w:rPr>
        <w:t>a</w:t>
      </w:r>
      <w:r w:rsidR="00B00F74" w:rsidRPr="007F6AD7">
        <w:rPr>
          <w:rFonts w:ascii="Arial" w:hAnsi="Arial" w:cs="Arial"/>
        </w:rPr>
        <w:t xml:space="preserve"> </w:t>
      </w:r>
      <w:bookmarkStart w:id="42" w:name="OLE_LINK16"/>
      <w:r w:rsidR="00B00F74" w:rsidRPr="007F6AD7">
        <w:rPr>
          <w:rFonts w:ascii="Arial" w:hAnsi="Arial" w:cs="Arial"/>
        </w:rPr>
        <w:t>I</w:t>
      </w:r>
      <w:r w:rsidR="00B00F74" w:rsidRPr="007F6AD7">
        <w:rPr>
          <w:rFonts w:ascii="Arial" w:hAnsi="Arial" w:cs="Arial"/>
          <w:noProof/>
        </w:rPr>
        <w:t>CERD</w:t>
      </w:r>
      <w:bookmarkEnd w:id="42"/>
      <w:r w:rsidR="00B00F74" w:rsidRPr="007F6AD7">
        <w:rPr>
          <w:rFonts w:ascii="Arial" w:hAnsi="Arial" w:cs="Arial"/>
          <w:noProof/>
        </w:rPr>
        <w:t>,</w:t>
      </w:r>
      <w:r w:rsidR="00B00F74" w:rsidRPr="007F6AD7">
        <w:rPr>
          <w:rStyle w:val="Refdenotaalpie"/>
          <w:rFonts w:ascii="Arial" w:hAnsi="Arial" w:cs="Arial"/>
          <w:noProof/>
        </w:rPr>
        <w:footnoteReference w:id="42"/>
      </w:r>
      <w:r w:rsidR="00B00F74" w:rsidRPr="007F6AD7">
        <w:rPr>
          <w:rFonts w:ascii="Arial" w:hAnsi="Arial" w:cs="Arial"/>
          <w:noProof/>
        </w:rPr>
        <w:t xml:space="preserve"> </w:t>
      </w:r>
      <w:r w:rsidR="009968B2" w:rsidRPr="007F6AD7">
        <w:rPr>
          <w:rFonts w:ascii="Arial" w:hAnsi="Arial" w:cs="Arial"/>
          <w:noProof/>
        </w:rPr>
        <w:t xml:space="preserve">es </w:t>
      </w:r>
      <w:r w:rsidR="00385844" w:rsidRPr="007F6AD7">
        <w:rPr>
          <w:rFonts w:ascii="Arial" w:hAnsi="Arial" w:cs="Arial"/>
          <w:noProof/>
        </w:rPr>
        <w:t>precaria</w:t>
      </w:r>
      <w:r w:rsidR="00CC30AD" w:rsidRPr="007F6AD7">
        <w:rPr>
          <w:rFonts w:ascii="Arial" w:hAnsi="Arial" w:cs="Arial"/>
          <w:noProof/>
        </w:rPr>
        <w:t xml:space="preserve"> en Cuba</w:t>
      </w:r>
      <w:r w:rsidR="00385844" w:rsidRPr="007F6AD7">
        <w:rPr>
          <w:rFonts w:ascii="Arial" w:hAnsi="Arial" w:cs="Arial"/>
          <w:noProof/>
        </w:rPr>
        <w:t xml:space="preserve"> </w:t>
      </w:r>
      <w:r w:rsidR="00B00F74" w:rsidRPr="007F6AD7">
        <w:rPr>
          <w:rFonts w:ascii="Arial" w:hAnsi="Arial" w:cs="Arial"/>
          <w:noProof/>
        </w:rPr>
        <w:t xml:space="preserve">desde 1977 </w:t>
      </w:r>
      <w:r w:rsidR="00B00F74" w:rsidRPr="007F6AD7">
        <w:rPr>
          <w:rStyle w:val="Refdenotaalpie"/>
          <w:rFonts w:ascii="Arial" w:hAnsi="Arial" w:cs="Arial"/>
          <w:noProof/>
        </w:rPr>
        <w:footnoteReference w:id="43"/>
      </w:r>
      <w:r w:rsidR="00B00F74" w:rsidRPr="007F6AD7">
        <w:rPr>
          <w:rFonts w:ascii="Arial" w:hAnsi="Arial" w:cs="Arial"/>
          <w:noProof/>
        </w:rPr>
        <w:t xml:space="preserve"> </w:t>
      </w:r>
      <w:r w:rsidR="00B00F74" w:rsidRPr="007F6AD7">
        <w:rPr>
          <w:rFonts w:ascii="Arial" w:hAnsi="Arial" w:cs="Arial"/>
          <w:noProof/>
          <w:vertAlign w:val="superscript"/>
        </w:rPr>
        <w:t>,</w:t>
      </w:r>
      <w:r w:rsidR="00B00F74" w:rsidRPr="007F6AD7">
        <w:rPr>
          <w:rFonts w:ascii="Arial" w:hAnsi="Arial" w:cs="Arial"/>
          <w:noProof/>
        </w:rPr>
        <w:t xml:space="preserve"> </w:t>
      </w:r>
      <w:r w:rsidR="00B00F74" w:rsidRPr="007F6AD7">
        <w:rPr>
          <w:rStyle w:val="Refdenotaalpie"/>
          <w:rFonts w:ascii="Arial" w:hAnsi="Arial" w:cs="Arial"/>
        </w:rPr>
        <w:footnoteReference w:id="44"/>
      </w:r>
      <w:r w:rsidR="00B00F74" w:rsidRPr="007F6AD7">
        <w:rPr>
          <w:rFonts w:ascii="Arial" w:hAnsi="Arial" w:cs="Arial"/>
          <w:noProof/>
          <w:vertAlign w:val="superscript"/>
        </w:rPr>
        <w:t>,</w:t>
      </w:r>
      <w:r w:rsidR="00B00F74" w:rsidRPr="007F6AD7">
        <w:rPr>
          <w:rFonts w:ascii="Arial" w:hAnsi="Arial" w:cs="Arial"/>
          <w:vertAlign w:val="superscript"/>
          <w:lang w:eastAsia="es-MX"/>
        </w:rPr>
        <w:t xml:space="preserve"> </w:t>
      </w:r>
      <w:r w:rsidR="00B00F74" w:rsidRPr="007F6AD7">
        <w:rPr>
          <w:rFonts w:ascii="Arial" w:hAnsi="Arial" w:cs="Arial"/>
          <w:noProof/>
        </w:rPr>
        <w:t xml:space="preserve">  </w:t>
      </w:r>
      <w:r w:rsidR="00B00F74" w:rsidRPr="007F6AD7">
        <w:rPr>
          <w:rStyle w:val="Refdenotaalpie"/>
          <w:rFonts w:ascii="Arial" w:hAnsi="Arial" w:cs="Arial"/>
          <w:noProof/>
        </w:rPr>
        <w:footnoteReference w:id="45"/>
      </w:r>
      <w:r w:rsidR="00B00F74" w:rsidRPr="007F6AD7">
        <w:rPr>
          <w:rFonts w:ascii="Arial" w:hAnsi="Arial" w:cs="Arial"/>
          <w:noProof/>
        </w:rPr>
        <w:t xml:space="preserve">  </w:t>
      </w:r>
      <w:r w:rsidR="009968B2" w:rsidRPr="007F6AD7">
        <w:rPr>
          <w:rFonts w:ascii="Arial" w:hAnsi="Arial" w:cs="Arial"/>
          <w:noProof/>
        </w:rPr>
        <w:t xml:space="preserve">tanto entre los ciudadanos como </w:t>
      </w:r>
      <w:r w:rsidR="00385844" w:rsidRPr="007F6AD7">
        <w:rPr>
          <w:rFonts w:ascii="Arial" w:hAnsi="Arial" w:cs="Arial"/>
          <w:noProof/>
        </w:rPr>
        <w:t>en los medios de divulgación y comunicación nacionales</w:t>
      </w:r>
      <w:r w:rsidR="00B00F74" w:rsidRPr="007F6AD7">
        <w:rPr>
          <w:rFonts w:ascii="Arial" w:hAnsi="Arial" w:cs="Arial"/>
          <w:noProof/>
        </w:rPr>
        <w:t>.</w:t>
      </w:r>
      <w:r w:rsidR="00B00F74" w:rsidRPr="007F6AD7">
        <w:rPr>
          <w:rFonts w:ascii="Arial" w:hAnsi="Arial" w:cs="Arial"/>
        </w:rPr>
        <w:t xml:space="preserve"> </w:t>
      </w:r>
      <w:r w:rsidR="00567374" w:rsidRPr="007F6AD7">
        <w:rPr>
          <w:rFonts w:ascii="Arial" w:hAnsi="Arial" w:cs="Arial"/>
        </w:rPr>
        <w:t xml:space="preserve">La ICERD </w:t>
      </w:r>
      <w:r w:rsidR="00CC30AD" w:rsidRPr="007F6AD7">
        <w:rPr>
          <w:rFonts w:ascii="Arial" w:hAnsi="Arial" w:cs="Arial"/>
        </w:rPr>
        <w:t>es jurídicamente vinculante para los Estados partes miembros; cada Estado tiene la obligación de defender y aplicar todas las disposiciones de la Convención. Sin embargo, un Estado podrá realizar una declaración o reserva sobre artí</w:t>
      </w:r>
      <w:r w:rsidR="00567374" w:rsidRPr="007F6AD7">
        <w:rPr>
          <w:rFonts w:ascii="Arial" w:hAnsi="Arial" w:cs="Arial"/>
        </w:rPr>
        <w:t xml:space="preserve">culos particulares de la ICERD. </w:t>
      </w:r>
      <w:r w:rsidR="00CC30AD" w:rsidRPr="007F6AD7">
        <w:rPr>
          <w:rStyle w:val="Refdenotaalpie"/>
          <w:rFonts w:ascii="Arial" w:hAnsi="Arial" w:cs="Arial"/>
        </w:rPr>
        <w:footnoteReference w:id="46"/>
      </w:r>
      <w:r w:rsidR="00981D09" w:rsidRPr="007F6AD7">
        <w:rPr>
          <w:rFonts w:ascii="Arial" w:hAnsi="Arial" w:cs="Arial"/>
        </w:rPr>
        <w:t xml:space="preserve"> </w:t>
      </w:r>
      <w:r w:rsidR="00B00F74" w:rsidRPr="007F6AD7">
        <w:rPr>
          <w:rFonts w:ascii="Arial" w:hAnsi="Arial" w:cs="Arial"/>
        </w:rPr>
        <w:t xml:space="preserve">La </w:t>
      </w:r>
      <w:r w:rsidR="00981D09" w:rsidRPr="007F6AD7">
        <w:rPr>
          <w:rFonts w:ascii="Arial" w:hAnsi="Arial" w:cs="Arial"/>
        </w:rPr>
        <w:t>Constitución dispone</w:t>
      </w:r>
      <w:r w:rsidR="00B00F74" w:rsidRPr="007F6AD7">
        <w:rPr>
          <w:rFonts w:ascii="Arial" w:hAnsi="Arial" w:cs="Arial"/>
        </w:rPr>
        <w:t xml:space="preserve"> preceptos que sirven como recursos normativos para combatir toda manifestación que divida o discrimine a los cubanos, en el todo o en las partes.</w:t>
      </w:r>
      <w:r w:rsidR="00B00F74" w:rsidRPr="007F6AD7">
        <w:rPr>
          <w:rStyle w:val="Refdenotaalpie"/>
          <w:rFonts w:ascii="Arial" w:hAnsi="Arial" w:cs="Arial"/>
        </w:rPr>
        <w:footnoteReference w:id="47"/>
      </w:r>
      <w:r w:rsidR="00B00F74" w:rsidRPr="007F6AD7">
        <w:rPr>
          <w:rFonts w:ascii="Arial" w:hAnsi="Arial" w:cs="Arial"/>
        </w:rPr>
        <w:t xml:space="preserve">  El Preámbulo de la Constitución de la República de Cuba consagra el “cubanos” como un todo, depositario de una herencia de varios siglos. Al mismo tiempo reconoce como ley suprema – “el culto de los cubanos a la dignidad plena del hombre”, según aspiración del Héroe Nacional José Martí. En el artículo16, también dentro del </w:t>
      </w:r>
      <w:r w:rsidR="008C77CB" w:rsidRPr="007F6AD7">
        <w:rPr>
          <w:rFonts w:ascii="Arial" w:hAnsi="Arial" w:cs="Arial"/>
        </w:rPr>
        <w:t>C</w:t>
      </w:r>
      <w:r w:rsidR="00B00F74" w:rsidRPr="007F6AD7">
        <w:rPr>
          <w:rFonts w:ascii="Arial" w:hAnsi="Arial" w:cs="Arial"/>
        </w:rPr>
        <w:t>apítulo I, destaca que el “Estado promueve el desenvolvimiento de la persona humana y su dignidad”. Por otro lado, se vincula la discriminación por el color de la piel con la dignidad humana sobre la base de la lucha por la igualdad de todos y todas.</w:t>
      </w:r>
      <w:r w:rsidR="00981D09" w:rsidRPr="007F6AD7">
        <w:rPr>
          <w:rStyle w:val="Refdenotaalpie"/>
          <w:rFonts w:ascii="Arial" w:hAnsi="Arial" w:cs="Arial"/>
          <w:noProof/>
        </w:rPr>
        <w:t xml:space="preserve"> </w:t>
      </w:r>
      <w:r w:rsidR="00981D09" w:rsidRPr="007F6AD7">
        <w:rPr>
          <w:rStyle w:val="Refdenotaalpie"/>
          <w:rFonts w:ascii="Arial" w:hAnsi="Arial" w:cs="Arial"/>
          <w:noProof/>
        </w:rPr>
        <w:footnoteReference w:id="48"/>
      </w:r>
      <w:r w:rsidR="00B00F74" w:rsidRPr="007F6AD7">
        <w:rPr>
          <w:rFonts w:ascii="Arial" w:hAnsi="Arial" w:cs="Arial"/>
        </w:rPr>
        <w:t xml:space="preserve"> </w:t>
      </w:r>
    </w:p>
    <w:p w14:paraId="3AEEDB51" w14:textId="687A7C80" w:rsidR="008C77CB" w:rsidRPr="007F6AD7" w:rsidRDefault="00D16FBE" w:rsidP="00D16FBE">
      <w:pPr>
        <w:tabs>
          <w:tab w:val="left" w:pos="567"/>
        </w:tabs>
        <w:spacing w:line="360" w:lineRule="auto"/>
        <w:jc w:val="both"/>
        <w:rPr>
          <w:rFonts w:ascii="Arial" w:hAnsi="Arial" w:cs="Arial"/>
        </w:rPr>
      </w:pPr>
      <w:r>
        <w:rPr>
          <w:rFonts w:ascii="Arial" w:hAnsi="Arial" w:cs="Arial"/>
        </w:rPr>
        <w:lastRenderedPageBreak/>
        <w:t xml:space="preserve">12.  </w:t>
      </w:r>
      <w:r w:rsidR="008C77CB" w:rsidRPr="007F6AD7">
        <w:rPr>
          <w:rFonts w:ascii="Arial" w:hAnsi="Arial" w:cs="Arial"/>
        </w:rPr>
        <w:t>También</w:t>
      </w:r>
      <w:r w:rsidR="00684378" w:rsidRPr="007F6AD7">
        <w:rPr>
          <w:rFonts w:ascii="Arial" w:hAnsi="Arial" w:cs="Arial"/>
        </w:rPr>
        <w:t xml:space="preserve"> </w:t>
      </w:r>
      <w:r w:rsidR="00684378" w:rsidRPr="007F6AD7">
        <w:rPr>
          <w:rFonts w:ascii="Arial" w:hAnsi="Arial" w:cs="Arial"/>
          <w:noProof/>
        </w:rPr>
        <w:t>resulta u</w:t>
      </w:r>
      <w:r w:rsidR="00385844" w:rsidRPr="007F6AD7">
        <w:rPr>
          <w:rFonts w:ascii="Arial" w:hAnsi="Arial" w:cs="Arial"/>
          <w:noProof/>
        </w:rPr>
        <w:t xml:space="preserve">na anomalía </w:t>
      </w:r>
      <w:r w:rsidR="00B00F74" w:rsidRPr="007F6AD7">
        <w:rPr>
          <w:rFonts w:ascii="Arial" w:hAnsi="Arial" w:cs="Arial"/>
          <w:noProof/>
        </w:rPr>
        <w:t xml:space="preserve"> </w:t>
      </w:r>
      <w:r w:rsidR="00385844" w:rsidRPr="007F6AD7">
        <w:rPr>
          <w:rFonts w:ascii="Arial" w:hAnsi="Arial" w:cs="Arial"/>
          <w:noProof/>
        </w:rPr>
        <w:t xml:space="preserve">el </w:t>
      </w:r>
      <w:r w:rsidR="00B00F74" w:rsidRPr="007F6AD7">
        <w:rPr>
          <w:rFonts w:ascii="Arial" w:hAnsi="Arial" w:cs="Arial"/>
          <w:noProof/>
        </w:rPr>
        <w:t>in</w:t>
      </w:r>
      <w:r w:rsidR="00385844" w:rsidRPr="007F6AD7">
        <w:rPr>
          <w:rFonts w:ascii="Arial" w:hAnsi="Arial" w:cs="Arial"/>
          <w:noProof/>
        </w:rPr>
        <w:t>cumplimiento del mandato constitucional</w:t>
      </w:r>
      <w:r w:rsidR="005F6AF2" w:rsidRPr="007F6AD7">
        <w:rPr>
          <w:rFonts w:ascii="Arial" w:hAnsi="Arial" w:cs="Arial"/>
          <w:noProof/>
        </w:rPr>
        <w:t xml:space="preserve"> </w:t>
      </w:r>
      <w:r w:rsidR="00551309" w:rsidRPr="007F6AD7">
        <w:rPr>
          <w:rFonts w:ascii="Arial" w:hAnsi="Arial" w:cs="Arial"/>
        </w:rPr>
        <w:t>ARTÍCULO</w:t>
      </w:r>
      <w:r w:rsidR="005F6AF2" w:rsidRPr="007F6AD7">
        <w:rPr>
          <w:rFonts w:ascii="Arial" w:hAnsi="Arial" w:cs="Arial"/>
        </w:rPr>
        <w:t xml:space="preserve"> 53 </w:t>
      </w:r>
      <w:r w:rsidR="009968B2" w:rsidRPr="007F6AD7">
        <w:rPr>
          <w:rFonts w:ascii="Arial" w:hAnsi="Arial" w:cs="Arial"/>
          <w:noProof/>
        </w:rPr>
        <w:t xml:space="preserve"> </w:t>
      </w:r>
      <w:r w:rsidR="00AD1E8A" w:rsidRPr="007F6AD7">
        <w:rPr>
          <w:rStyle w:val="Refdenotaalpie"/>
          <w:rFonts w:ascii="Arial" w:hAnsi="Arial" w:cs="Arial"/>
        </w:rPr>
        <w:footnoteReference w:id="49"/>
      </w:r>
      <w:r w:rsidR="00AD1E8A" w:rsidRPr="007F6AD7">
        <w:rPr>
          <w:rFonts w:ascii="Arial" w:hAnsi="Arial" w:cs="Arial"/>
        </w:rPr>
        <w:t xml:space="preserve"> </w:t>
      </w:r>
      <w:r w:rsidR="00801345" w:rsidRPr="007F6AD7">
        <w:rPr>
          <w:rFonts w:ascii="Arial" w:hAnsi="Arial" w:cs="Arial"/>
          <w:noProof/>
        </w:rPr>
        <w:t>el cual</w:t>
      </w:r>
      <w:r w:rsidR="009968B2" w:rsidRPr="007F6AD7">
        <w:rPr>
          <w:rFonts w:ascii="Arial" w:hAnsi="Arial" w:cs="Arial"/>
          <w:noProof/>
        </w:rPr>
        <w:t xml:space="preserve"> dispone</w:t>
      </w:r>
      <w:r w:rsidR="00385844" w:rsidRPr="007F6AD7">
        <w:rPr>
          <w:rFonts w:ascii="Arial" w:hAnsi="Arial" w:cs="Arial"/>
        </w:rPr>
        <w:t xml:space="preserve"> </w:t>
      </w:r>
      <w:r w:rsidR="00801345" w:rsidRPr="007F6AD7">
        <w:rPr>
          <w:rFonts w:ascii="Arial" w:hAnsi="Arial" w:cs="Arial"/>
          <w:noProof/>
        </w:rPr>
        <w:t xml:space="preserve">al servicio del pueblo, </w:t>
      </w:r>
      <w:r w:rsidR="00385844" w:rsidRPr="007F6AD7">
        <w:rPr>
          <w:rFonts w:ascii="Arial" w:hAnsi="Arial" w:cs="Arial"/>
          <w:noProof/>
        </w:rPr>
        <w:t xml:space="preserve">el uso exclusivo </w:t>
      </w:r>
      <w:r w:rsidR="00801345" w:rsidRPr="007F6AD7">
        <w:rPr>
          <w:rFonts w:ascii="Arial" w:hAnsi="Arial" w:cs="Arial"/>
          <w:noProof/>
        </w:rPr>
        <w:t xml:space="preserve">del Gobierno cubano </w:t>
      </w:r>
      <w:r w:rsidR="00385844" w:rsidRPr="007F6AD7">
        <w:rPr>
          <w:rFonts w:ascii="Arial" w:hAnsi="Arial" w:cs="Arial"/>
          <w:noProof/>
        </w:rPr>
        <w:t xml:space="preserve">de los medios de comunicación y </w:t>
      </w:r>
      <w:r w:rsidR="008657FB" w:rsidRPr="007F6AD7">
        <w:rPr>
          <w:rFonts w:ascii="Arial" w:hAnsi="Arial" w:cs="Arial"/>
          <w:noProof/>
        </w:rPr>
        <w:t>difusión</w:t>
      </w:r>
      <w:r w:rsidR="009968B2" w:rsidRPr="007F6AD7">
        <w:rPr>
          <w:rFonts w:ascii="Arial" w:hAnsi="Arial" w:cs="Arial"/>
          <w:noProof/>
        </w:rPr>
        <w:t xml:space="preserve"> </w:t>
      </w:r>
      <w:r w:rsidR="008C77CB" w:rsidRPr="007F6AD7">
        <w:rPr>
          <w:rFonts w:ascii="Arial" w:hAnsi="Arial" w:cs="Arial"/>
          <w:noProof/>
        </w:rPr>
        <w:t xml:space="preserve">nacionales. </w:t>
      </w:r>
      <w:r w:rsidR="00EB55F6" w:rsidRPr="007F6AD7">
        <w:rPr>
          <w:rFonts w:ascii="Arial" w:hAnsi="Arial" w:cs="Arial"/>
          <w:lang w:val="es-MX"/>
        </w:rPr>
        <w:t>Los</w:t>
      </w:r>
      <w:r w:rsidR="0020134C" w:rsidRPr="007F6AD7">
        <w:rPr>
          <w:rFonts w:ascii="Arial" w:hAnsi="Arial" w:cs="Arial"/>
          <w:lang w:val="es-MX"/>
        </w:rPr>
        <w:t xml:space="preserve"> textos constitucionales tienen valor normativo</w:t>
      </w:r>
      <w:r w:rsidR="00684378" w:rsidRPr="007F6AD7">
        <w:rPr>
          <w:rFonts w:ascii="Arial" w:hAnsi="Arial" w:cs="Arial"/>
          <w:lang w:val="es-MX"/>
        </w:rPr>
        <w:t xml:space="preserve"> </w:t>
      </w:r>
      <w:r w:rsidR="008C77CB" w:rsidRPr="007F6AD7">
        <w:rPr>
          <w:rFonts w:ascii="Arial" w:hAnsi="Arial" w:cs="Arial"/>
          <w:lang w:val="es-MX"/>
        </w:rPr>
        <w:t xml:space="preserve">y </w:t>
      </w:r>
      <w:r w:rsidR="00684378" w:rsidRPr="007F6AD7">
        <w:rPr>
          <w:rFonts w:ascii="Arial" w:hAnsi="Arial" w:cs="Arial"/>
          <w:lang w:val="es-MX"/>
        </w:rPr>
        <w:t>e</w:t>
      </w:r>
      <w:r w:rsidR="0020134C" w:rsidRPr="007F6AD7">
        <w:rPr>
          <w:rFonts w:ascii="Arial" w:hAnsi="Arial" w:cs="Arial"/>
          <w:lang w:val="es-MX"/>
        </w:rPr>
        <w:t xml:space="preserve">l Tribunal Supremo Popular </w:t>
      </w:r>
      <w:r w:rsidR="00200E49" w:rsidRPr="007F6AD7">
        <w:rPr>
          <w:rStyle w:val="Refdenotaalpie"/>
          <w:rFonts w:ascii="Arial" w:hAnsi="Arial" w:cs="Arial"/>
          <w:lang w:val="es-MX"/>
        </w:rPr>
        <w:footnoteReference w:id="50"/>
      </w:r>
      <w:r w:rsidR="00053FD3" w:rsidRPr="007F6AD7">
        <w:rPr>
          <w:rFonts w:ascii="Arial" w:hAnsi="Arial" w:cs="Arial"/>
          <w:lang w:val="es-MX"/>
        </w:rPr>
        <w:t xml:space="preserve"> </w:t>
      </w:r>
      <w:r w:rsidR="008657FB" w:rsidRPr="007F6AD7">
        <w:rPr>
          <w:rFonts w:ascii="Arial" w:hAnsi="Arial" w:cs="Arial"/>
          <w:lang w:val="es-MX"/>
        </w:rPr>
        <w:t xml:space="preserve">reiteradamente acude a los preceptos constitucionales en sus </w:t>
      </w:r>
      <w:r w:rsidR="00EB454F" w:rsidRPr="007F6AD7">
        <w:rPr>
          <w:rFonts w:ascii="Arial" w:hAnsi="Arial" w:cs="Arial"/>
          <w:lang w:val="es-MX"/>
        </w:rPr>
        <w:t>disposiciones</w:t>
      </w:r>
      <w:r w:rsidR="00EB454F" w:rsidRPr="007F6AD7">
        <w:rPr>
          <w:rStyle w:val="Refdenotaalpie"/>
          <w:rFonts w:ascii="Arial" w:hAnsi="Arial" w:cs="Arial"/>
          <w:lang w:val="es-MX"/>
        </w:rPr>
        <w:footnoteReference w:id="51"/>
      </w:r>
      <w:r w:rsidR="00200E49" w:rsidRPr="007F6AD7">
        <w:rPr>
          <w:rFonts w:ascii="Arial" w:hAnsi="Arial" w:cs="Arial"/>
          <w:lang w:val="es-MX"/>
        </w:rPr>
        <w:t xml:space="preserve"> y en todo asunto de cualquier naturaleza donde </w:t>
      </w:r>
      <w:r w:rsidR="00053FD3" w:rsidRPr="007F6AD7">
        <w:rPr>
          <w:rFonts w:ascii="Arial" w:hAnsi="Arial" w:cs="Arial"/>
          <w:lang w:val="es-MX"/>
        </w:rPr>
        <w:t>intervenga.</w:t>
      </w:r>
      <w:r w:rsidR="008657FB" w:rsidRPr="007F6AD7">
        <w:rPr>
          <w:rFonts w:ascii="Arial" w:hAnsi="Arial" w:cs="Arial"/>
        </w:rPr>
        <w:t xml:space="preserve"> </w:t>
      </w:r>
      <w:r w:rsidR="00063C92" w:rsidRPr="007F6AD7">
        <w:rPr>
          <w:rFonts w:ascii="Arial" w:hAnsi="Arial" w:cs="Arial"/>
        </w:rPr>
        <w:t>El</w:t>
      </w:r>
      <w:r w:rsidR="00684378" w:rsidRPr="007F6AD7">
        <w:rPr>
          <w:rFonts w:ascii="Arial" w:hAnsi="Arial" w:cs="Arial"/>
        </w:rPr>
        <w:t xml:space="preserve"> cumplimiento estricto de la Constitución y de las leyes es un deber inexcusable de todos.</w:t>
      </w:r>
      <w:r w:rsidR="00684378" w:rsidRPr="007F6AD7">
        <w:rPr>
          <w:rStyle w:val="Refdenotaalpie"/>
          <w:rFonts w:ascii="Arial" w:hAnsi="Arial" w:cs="Arial"/>
        </w:rPr>
        <w:footnoteReference w:id="52"/>
      </w:r>
      <w:r w:rsidR="00684378" w:rsidRPr="007F6AD7">
        <w:rPr>
          <w:rFonts w:ascii="Arial" w:hAnsi="Arial" w:cs="Arial"/>
        </w:rPr>
        <w:t xml:space="preserve"> </w:t>
      </w:r>
      <w:r w:rsidR="00684378" w:rsidRPr="007F6AD7">
        <w:rPr>
          <w:rFonts w:ascii="Arial" w:hAnsi="Arial" w:cs="Arial"/>
          <w:b/>
        </w:rPr>
        <w:t xml:space="preserve">ACDEI ruega al Comité </w:t>
      </w:r>
      <w:r w:rsidR="008C77CB" w:rsidRPr="007F6AD7">
        <w:rPr>
          <w:rFonts w:ascii="Arial" w:hAnsi="Arial" w:cs="Arial"/>
          <w:b/>
        </w:rPr>
        <w:t>CERD pida al Estado cubano:</w:t>
      </w:r>
    </w:p>
    <w:p w14:paraId="72798E42" w14:textId="05450D3A" w:rsidR="00684378" w:rsidRPr="007F6AD7" w:rsidRDefault="008C77CB" w:rsidP="001C28B6">
      <w:pPr>
        <w:pStyle w:val="Prrafodelista"/>
        <w:numPr>
          <w:ilvl w:val="0"/>
          <w:numId w:val="15"/>
        </w:numPr>
        <w:ind w:left="426"/>
        <w:jc w:val="both"/>
        <w:rPr>
          <w:rFonts w:cs="Arial"/>
          <w:b/>
          <w:lang w:val="es-ES" w:eastAsia="es-ES"/>
        </w:rPr>
      </w:pPr>
      <w:r w:rsidRPr="007F6AD7">
        <w:rPr>
          <w:rFonts w:cs="Arial"/>
          <w:b/>
        </w:rPr>
        <w:t>Aplicar</w:t>
      </w:r>
      <w:r w:rsidR="00684378" w:rsidRPr="007F6AD7">
        <w:rPr>
          <w:rFonts w:cs="Arial"/>
          <w:b/>
        </w:rPr>
        <w:t xml:space="preserve"> los mandatos constitucionales </w:t>
      </w:r>
      <w:r w:rsidRPr="007F6AD7">
        <w:rPr>
          <w:rFonts w:cs="Arial"/>
          <w:b/>
        </w:rPr>
        <w:t>para</w:t>
      </w:r>
      <w:r w:rsidR="00684378" w:rsidRPr="007F6AD7">
        <w:rPr>
          <w:rFonts w:cs="Arial"/>
          <w:b/>
        </w:rPr>
        <w:t xml:space="preserve"> la </w:t>
      </w:r>
      <w:r w:rsidRPr="007F6AD7">
        <w:rPr>
          <w:rFonts w:cs="Arial"/>
          <w:b/>
        </w:rPr>
        <w:t xml:space="preserve">difusión </w:t>
      </w:r>
      <w:r w:rsidR="00CC30AD" w:rsidRPr="007F6AD7">
        <w:rPr>
          <w:rFonts w:cs="Arial"/>
          <w:b/>
        </w:rPr>
        <w:t xml:space="preserve">en Cuba </w:t>
      </w:r>
      <w:r w:rsidRPr="007F6AD7">
        <w:rPr>
          <w:rFonts w:cs="Arial"/>
          <w:b/>
        </w:rPr>
        <w:t xml:space="preserve">de </w:t>
      </w:r>
      <w:r w:rsidR="00684378" w:rsidRPr="007F6AD7">
        <w:rPr>
          <w:rFonts w:cs="Arial"/>
          <w:b/>
        </w:rPr>
        <w:t>l</w:t>
      </w:r>
      <w:r w:rsidRPr="007F6AD7">
        <w:rPr>
          <w:rFonts w:cs="Arial"/>
          <w:b/>
        </w:rPr>
        <w:t>a Convención ICERD</w:t>
      </w:r>
      <w:r w:rsidR="00CC30AD" w:rsidRPr="007F6AD7">
        <w:rPr>
          <w:rFonts w:cs="Arial"/>
          <w:b/>
        </w:rPr>
        <w:t xml:space="preserve"> y sus artículos, en particular</w:t>
      </w:r>
      <w:r w:rsidR="001C28B6" w:rsidRPr="007F6AD7">
        <w:rPr>
          <w:rFonts w:cs="Arial"/>
          <w:b/>
        </w:rPr>
        <w:t xml:space="preserve"> desde</w:t>
      </w:r>
      <w:r w:rsidR="00CC30AD" w:rsidRPr="007F6AD7">
        <w:rPr>
          <w:rFonts w:cs="Arial"/>
          <w:b/>
        </w:rPr>
        <w:t xml:space="preserve"> </w:t>
      </w:r>
      <w:r w:rsidR="00D84F73" w:rsidRPr="007F6AD7">
        <w:rPr>
          <w:rFonts w:cs="Arial"/>
          <w:b/>
        </w:rPr>
        <w:t>el artículo</w:t>
      </w:r>
      <w:r w:rsidR="001C28B6" w:rsidRPr="007F6AD7">
        <w:rPr>
          <w:rFonts w:cs="Arial"/>
          <w:b/>
        </w:rPr>
        <w:t xml:space="preserve"> 1 hasta el artículo </w:t>
      </w:r>
      <w:r w:rsidR="00744B47" w:rsidRPr="007F6AD7">
        <w:rPr>
          <w:rFonts w:cs="Arial"/>
          <w:b/>
        </w:rPr>
        <w:t>7.</w:t>
      </w:r>
    </w:p>
    <w:p w14:paraId="01CC14BD" w14:textId="09E91B54" w:rsidR="00486A59" w:rsidRDefault="00063C92" w:rsidP="00D84F73">
      <w:pPr>
        <w:pStyle w:val="Prrafodelista"/>
        <w:numPr>
          <w:ilvl w:val="0"/>
          <w:numId w:val="15"/>
        </w:numPr>
        <w:ind w:left="426"/>
        <w:jc w:val="both"/>
        <w:rPr>
          <w:rFonts w:cs="Arial"/>
          <w:b/>
          <w:lang w:val="es-ES" w:eastAsia="es-ES"/>
        </w:rPr>
      </w:pPr>
      <w:r w:rsidRPr="007F6AD7">
        <w:rPr>
          <w:rFonts w:cs="Arial"/>
          <w:b/>
          <w:lang w:val="es-ES"/>
        </w:rPr>
        <w:t>Exigir</w:t>
      </w:r>
      <w:r w:rsidR="008C77CB" w:rsidRPr="007F6AD7">
        <w:rPr>
          <w:rFonts w:cs="Arial"/>
          <w:b/>
          <w:lang w:val="es-ES"/>
        </w:rPr>
        <w:t xml:space="preserve"> responsabilidades a cualquier persona natural y/o jurídica que bajo cualquier </w:t>
      </w:r>
      <w:r w:rsidR="00A53682" w:rsidRPr="007F6AD7">
        <w:rPr>
          <w:rFonts w:cs="Arial"/>
          <w:b/>
          <w:lang w:val="es-ES"/>
        </w:rPr>
        <w:t>pretexto de</w:t>
      </w:r>
      <w:r w:rsidRPr="007F6AD7">
        <w:rPr>
          <w:rFonts w:cs="Arial"/>
          <w:b/>
          <w:lang w:val="es-ES"/>
        </w:rPr>
        <w:t xml:space="preserve"> diversa naturaleza </w:t>
      </w:r>
      <w:r w:rsidR="008C77CB" w:rsidRPr="007F6AD7">
        <w:rPr>
          <w:rFonts w:cs="Arial"/>
          <w:b/>
          <w:lang w:val="es-ES"/>
        </w:rPr>
        <w:t xml:space="preserve">y/o procedimiento impida la </w:t>
      </w:r>
      <w:r w:rsidRPr="007F6AD7">
        <w:rPr>
          <w:rFonts w:cs="Arial"/>
          <w:b/>
          <w:lang w:val="es-ES"/>
        </w:rPr>
        <w:t xml:space="preserve"> adecuada y </w:t>
      </w:r>
      <w:r w:rsidR="008C77CB" w:rsidRPr="007F6AD7">
        <w:rPr>
          <w:rFonts w:cs="Arial"/>
          <w:b/>
          <w:lang w:val="es-ES"/>
        </w:rPr>
        <w:t>eficaz difusión de la Convención ICERD en Cuba.</w:t>
      </w:r>
    </w:p>
    <w:p w14:paraId="4CF46DC2" w14:textId="77777777" w:rsidR="00304C87" w:rsidRPr="007F6AD7" w:rsidRDefault="00304C87" w:rsidP="00304C87">
      <w:pPr>
        <w:pStyle w:val="Prrafodelista"/>
        <w:ind w:left="426" w:firstLine="0"/>
        <w:jc w:val="both"/>
        <w:rPr>
          <w:rFonts w:cs="Arial"/>
          <w:b/>
          <w:lang w:val="es-ES" w:eastAsia="es-ES"/>
        </w:rPr>
      </w:pPr>
    </w:p>
    <w:p w14:paraId="2696DBA5" w14:textId="63564D13" w:rsidR="00AD1E8A" w:rsidRPr="007F6AD7" w:rsidRDefault="00F4775A" w:rsidP="001B02B4">
      <w:pPr>
        <w:pStyle w:val="Ttulo3"/>
        <w:rPr>
          <w:lang w:eastAsia="es-MX"/>
        </w:rPr>
      </w:pPr>
      <w:bookmarkStart w:id="48" w:name="_Toc515359788"/>
      <w:r w:rsidRPr="007F6AD7">
        <w:t>L</w:t>
      </w:r>
      <w:r w:rsidR="00AD1E8A" w:rsidRPr="007F6AD7">
        <w:t xml:space="preserve">a Convencion ICERD </w:t>
      </w:r>
      <w:r w:rsidR="0071721A" w:rsidRPr="007F6AD7">
        <w:t xml:space="preserve">en silencio </w:t>
      </w:r>
      <w:r w:rsidR="00AD1E8A" w:rsidRPr="007F6AD7">
        <w:t xml:space="preserve">por </w:t>
      </w:r>
      <w:r w:rsidR="0084282C" w:rsidRPr="007F6AD7">
        <w:t>derivaciones</w:t>
      </w:r>
      <w:r w:rsidR="00A422DE" w:rsidRPr="007F6AD7">
        <w:t xml:space="preserve">  de la </w:t>
      </w:r>
      <w:r w:rsidR="00AD1E8A" w:rsidRPr="007F6AD7">
        <w:t>discriminacion racial</w:t>
      </w:r>
      <w:bookmarkEnd w:id="48"/>
      <w:r w:rsidR="00AD1E8A" w:rsidRPr="007F6AD7">
        <w:t xml:space="preserve"> </w:t>
      </w:r>
    </w:p>
    <w:p w14:paraId="5893FD85" w14:textId="52DDE13B" w:rsidR="00CE5893" w:rsidRPr="007F6AD7" w:rsidRDefault="00D16FBE" w:rsidP="00D16FBE">
      <w:pPr>
        <w:tabs>
          <w:tab w:val="left" w:pos="567"/>
        </w:tabs>
        <w:spacing w:after="0" w:line="360" w:lineRule="auto"/>
        <w:jc w:val="both"/>
        <w:rPr>
          <w:rFonts w:ascii="Arial" w:hAnsi="Arial" w:cs="Arial"/>
          <w:lang w:eastAsia="es-ES"/>
        </w:rPr>
      </w:pPr>
      <w:r>
        <w:rPr>
          <w:rFonts w:ascii="Arial" w:hAnsi="Arial" w:cs="Arial"/>
        </w:rPr>
        <w:t xml:space="preserve">13.   </w:t>
      </w:r>
      <w:r w:rsidR="009E5D86">
        <w:rPr>
          <w:rFonts w:ascii="Arial" w:hAnsi="Arial" w:cs="Arial"/>
        </w:rPr>
        <w:t>A juicio</w:t>
      </w:r>
      <w:r w:rsidR="00801345" w:rsidRPr="007F6AD7">
        <w:rPr>
          <w:rFonts w:ascii="Arial" w:hAnsi="Arial" w:cs="Arial"/>
        </w:rPr>
        <w:t xml:space="preserve"> </w:t>
      </w:r>
      <w:r w:rsidR="00CE5893" w:rsidRPr="007F6AD7">
        <w:rPr>
          <w:rFonts w:ascii="Arial" w:hAnsi="Arial" w:cs="Arial"/>
        </w:rPr>
        <w:t xml:space="preserve">de </w:t>
      </w:r>
      <w:r w:rsidR="00EF03FC" w:rsidRPr="007F6AD7">
        <w:rPr>
          <w:rFonts w:ascii="Arial" w:hAnsi="Arial" w:cs="Arial"/>
        </w:rPr>
        <w:t>ACDEI,</w:t>
      </w:r>
      <w:r w:rsidR="00CE5893" w:rsidRPr="007F6AD7">
        <w:rPr>
          <w:rFonts w:ascii="Arial" w:hAnsi="Arial" w:cs="Arial"/>
        </w:rPr>
        <w:t xml:space="preserve"> la invisi</w:t>
      </w:r>
      <w:r w:rsidR="00A77555" w:rsidRPr="007F6AD7">
        <w:rPr>
          <w:rFonts w:ascii="Arial" w:hAnsi="Arial" w:cs="Arial"/>
        </w:rPr>
        <w:t>bilidad otorgada en Cuba a la Convención</w:t>
      </w:r>
      <w:r w:rsidR="00CE5893" w:rsidRPr="007F6AD7">
        <w:rPr>
          <w:rFonts w:ascii="Arial" w:hAnsi="Arial" w:cs="Arial"/>
        </w:rPr>
        <w:t xml:space="preserve"> I</w:t>
      </w:r>
      <w:r w:rsidR="00CE5893" w:rsidRPr="007F6AD7">
        <w:rPr>
          <w:rFonts w:ascii="Arial" w:hAnsi="Arial" w:cs="Arial"/>
          <w:noProof/>
        </w:rPr>
        <w:t xml:space="preserve">CERD tambien se  podria </w:t>
      </w:r>
      <w:r w:rsidR="00ED3954" w:rsidRPr="007F6AD7">
        <w:rPr>
          <w:rFonts w:ascii="Arial" w:hAnsi="Arial" w:cs="Arial"/>
          <w:noProof/>
        </w:rPr>
        <w:t xml:space="preserve">justificar </w:t>
      </w:r>
      <w:r w:rsidR="00CE5893" w:rsidRPr="007F6AD7">
        <w:rPr>
          <w:rFonts w:ascii="Arial" w:hAnsi="Arial" w:cs="Arial"/>
          <w:noProof/>
        </w:rPr>
        <w:t xml:space="preserve">por </w:t>
      </w:r>
      <w:r w:rsidR="00063C92" w:rsidRPr="007F6AD7">
        <w:rPr>
          <w:rFonts w:ascii="Arial" w:hAnsi="Arial" w:cs="Arial"/>
          <w:noProof/>
        </w:rPr>
        <w:t>otras</w:t>
      </w:r>
      <w:r w:rsidR="000B21AE" w:rsidRPr="007F6AD7">
        <w:rPr>
          <w:rFonts w:ascii="Arial" w:hAnsi="Arial" w:cs="Arial"/>
          <w:noProof/>
        </w:rPr>
        <w:t xml:space="preserve"> </w:t>
      </w:r>
      <w:r w:rsidR="00CE5893" w:rsidRPr="007F6AD7">
        <w:rPr>
          <w:rFonts w:ascii="Arial" w:hAnsi="Arial" w:cs="Arial"/>
          <w:noProof/>
        </w:rPr>
        <w:t>razones</w:t>
      </w:r>
      <w:r w:rsidR="004306CD" w:rsidRPr="007F6AD7">
        <w:rPr>
          <w:rFonts w:ascii="Arial" w:hAnsi="Arial" w:cs="Arial"/>
          <w:noProof/>
        </w:rPr>
        <w:t>.</w:t>
      </w:r>
      <w:r w:rsidR="00CE5893" w:rsidRPr="007F6AD7">
        <w:rPr>
          <w:rFonts w:ascii="Arial" w:hAnsi="Arial" w:cs="Arial"/>
          <w:noProof/>
        </w:rPr>
        <w:t xml:space="preserve"> </w:t>
      </w:r>
      <w:r w:rsidR="004306CD" w:rsidRPr="007F6AD7">
        <w:rPr>
          <w:rFonts w:ascii="Arial" w:hAnsi="Arial" w:cs="Arial"/>
          <w:noProof/>
        </w:rPr>
        <w:t>E</w:t>
      </w:r>
      <w:r w:rsidR="00147578" w:rsidRPr="007F6AD7">
        <w:rPr>
          <w:rFonts w:ascii="Arial" w:hAnsi="Arial" w:cs="Arial"/>
          <w:noProof/>
        </w:rPr>
        <w:t xml:space="preserve">xiste el </w:t>
      </w:r>
      <w:r w:rsidR="00A53682" w:rsidRPr="007F6AD7">
        <w:rPr>
          <w:rFonts w:ascii="Arial" w:hAnsi="Arial" w:cs="Arial"/>
          <w:noProof/>
        </w:rPr>
        <w:t>convencimiento</w:t>
      </w:r>
      <w:r w:rsidR="00147578" w:rsidRPr="007F6AD7">
        <w:rPr>
          <w:rFonts w:ascii="Arial" w:hAnsi="Arial" w:cs="Arial"/>
          <w:noProof/>
        </w:rPr>
        <w:t xml:space="preserve"> de que </w:t>
      </w:r>
      <w:r w:rsidR="004306CD" w:rsidRPr="007F6AD7">
        <w:rPr>
          <w:rFonts w:ascii="Arial" w:hAnsi="Arial" w:cs="Arial"/>
          <w:noProof/>
        </w:rPr>
        <w:t>e</w:t>
      </w:r>
      <w:r w:rsidR="00147578" w:rsidRPr="007F6AD7">
        <w:rPr>
          <w:rFonts w:ascii="Arial" w:hAnsi="Arial" w:cs="Arial"/>
          <w:noProof/>
        </w:rPr>
        <w:t xml:space="preserve">n el actual contexto la mayor dificultad para la deconstrucción del racismo está en el débil cuerpo teórico y baja producción de conocimientos filosóficos y científico social que el tema posee en Cuba, lo que incide en una limitada masa crítica </w:t>
      </w:r>
      <w:r w:rsidR="00147578" w:rsidRPr="007F6AD7">
        <w:rPr>
          <w:rFonts w:ascii="Arial" w:hAnsi="Arial" w:cs="Arial"/>
          <w:noProof/>
        </w:rPr>
        <w:lastRenderedPageBreak/>
        <w:t xml:space="preserve">científica capaz de asumir la complejidad </w:t>
      </w:r>
      <w:bookmarkStart w:id="49" w:name="OLE_LINK55"/>
      <w:bookmarkStart w:id="50" w:name="OLE_LINK56"/>
      <w:r w:rsidR="00147578" w:rsidRPr="007F6AD7">
        <w:rPr>
          <w:rFonts w:ascii="Arial" w:hAnsi="Arial" w:cs="Arial"/>
          <w:noProof/>
        </w:rPr>
        <w:t>ep</w:t>
      </w:r>
      <w:r w:rsidR="00486A59" w:rsidRPr="007F6AD7">
        <w:rPr>
          <w:rFonts w:ascii="Arial" w:hAnsi="Arial" w:cs="Arial"/>
          <w:noProof/>
        </w:rPr>
        <w:t>i</w:t>
      </w:r>
      <w:r w:rsidR="00147578" w:rsidRPr="007F6AD7">
        <w:rPr>
          <w:rFonts w:ascii="Arial" w:hAnsi="Arial" w:cs="Arial"/>
          <w:noProof/>
        </w:rPr>
        <w:t>stémica</w:t>
      </w:r>
      <w:bookmarkEnd w:id="49"/>
      <w:bookmarkEnd w:id="50"/>
      <w:r w:rsidR="00147578" w:rsidRPr="007F6AD7">
        <w:rPr>
          <w:rFonts w:ascii="Arial" w:hAnsi="Arial" w:cs="Arial"/>
          <w:noProof/>
        </w:rPr>
        <w:t xml:space="preserve"> del racismo.</w:t>
      </w:r>
      <w:r w:rsidR="00147578" w:rsidRPr="007F6AD7">
        <w:rPr>
          <w:rStyle w:val="Refdenotaalpie"/>
          <w:rFonts w:ascii="Arial" w:hAnsi="Arial" w:cs="Arial"/>
          <w:noProof/>
        </w:rPr>
        <w:footnoteReference w:id="53"/>
      </w:r>
      <w:r w:rsidR="00486A59" w:rsidRPr="007F6AD7">
        <w:rPr>
          <w:rFonts w:ascii="Arial" w:hAnsi="Arial" w:cs="Arial"/>
          <w:noProof/>
          <w:vertAlign w:val="superscript"/>
        </w:rPr>
        <w:t>,</w:t>
      </w:r>
      <w:r w:rsidR="00486A59" w:rsidRPr="007F6AD7">
        <w:rPr>
          <w:rFonts w:ascii="Arial" w:hAnsi="Arial" w:cs="Arial"/>
          <w:noProof/>
        </w:rPr>
        <w:t xml:space="preserve"> </w:t>
      </w:r>
      <w:r w:rsidR="00486A59" w:rsidRPr="007F6AD7">
        <w:rPr>
          <w:rStyle w:val="Refdenotaalpie"/>
          <w:rFonts w:ascii="Arial" w:hAnsi="Arial" w:cs="Arial"/>
          <w:noProof/>
        </w:rPr>
        <w:footnoteReference w:id="54"/>
      </w:r>
      <w:r w:rsidR="00486A59" w:rsidRPr="007F6AD7">
        <w:rPr>
          <w:rFonts w:ascii="Arial" w:hAnsi="Arial" w:cs="Arial"/>
          <w:noProof/>
        </w:rPr>
        <w:t xml:space="preserve"> </w:t>
      </w:r>
      <w:r w:rsidR="00486A59" w:rsidRPr="007F6AD7">
        <w:rPr>
          <w:rFonts w:ascii="Arial" w:hAnsi="Arial" w:cs="Arial"/>
          <w:noProof/>
          <w:vertAlign w:val="superscript"/>
        </w:rPr>
        <w:t>,</w:t>
      </w:r>
      <w:r w:rsidR="00486A59" w:rsidRPr="007F6AD7">
        <w:rPr>
          <w:rFonts w:ascii="Arial" w:hAnsi="Arial" w:cs="Arial"/>
          <w:noProof/>
        </w:rPr>
        <w:t xml:space="preserve">  </w:t>
      </w:r>
      <w:r w:rsidR="00486A59" w:rsidRPr="007F6AD7">
        <w:rPr>
          <w:rStyle w:val="Refdenotaalpie"/>
          <w:rFonts w:ascii="Arial" w:hAnsi="Arial" w:cs="Arial"/>
          <w:noProof/>
        </w:rPr>
        <w:footnoteReference w:id="55"/>
      </w:r>
      <w:r w:rsidR="00486A59" w:rsidRPr="007F6AD7">
        <w:rPr>
          <w:rFonts w:ascii="Arial" w:hAnsi="Arial" w:cs="Arial"/>
          <w:noProof/>
        </w:rPr>
        <w:t xml:space="preserve">   </w:t>
      </w:r>
      <w:r w:rsidR="006B44B9" w:rsidRPr="007F6AD7">
        <w:rPr>
          <w:rFonts w:ascii="Arial" w:hAnsi="Arial" w:cs="Arial"/>
          <w:noProof/>
        </w:rPr>
        <w:t xml:space="preserve">Es de </w:t>
      </w:r>
      <w:r w:rsidR="0020134C" w:rsidRPr="007F6AD7">
        <w:rPr>
          <w:rFonts w:ascii="Arial" w:hAnsi="Arial" w:cs="Arial"/>
          <w:noProof/>
        </w:rPr>
        <w:t xml:space="preserve">  observa</w:t>
      </w:r>
      <w:r w:rsidR="006B44B9" w:rsidRPr="007F6AD7">
        <w:rPr>
          <w:rFonts w:ascii="Arial" w:hAnsi="Arial" w:cs="Arial"/>
          <w:noProof/>
        </w:rPr>
        <w:t>r</w:t>
      </w:r>
      <w:r w:rsidR="0020134C" w:rsidRPr="007F6AD7">
        <w:rPr>
          <w:rFonts w:ascii="Arial" w:hAnsi="Arial" w:cs="Arial"/>
          <w:noProof/>
        </w:rPr>
        <w:t xml:space="preserve"> que  las investigaciones producidas en Cuba sobre  el tema racial</w:t>
      </w:r>
      <w:r w:rsidR="00A77555" w:rsidRPr="007F6AD7">
        <w:rPr>
          <w:rFonts w:ascii="Arial" w:hAnsi="Arial" w:cs="Arial"/>
          <w:noProof/>
        </w:rPr>
        <w:t xml:space="preserve"> </w:t>
      </w:r>
      <w:r w:rsidR="0020134C" w:rsidRPr="007F6AD7">
        <w:rPr>
          <w:rFonts w:ascii="Arial" w:hAnsi="Arial" w:cs="Arial"/>
          <w:noProof/>
        </w:rPr>
        <w:t>y la mujer afrodescendiente excep</w:t>
      </w:r>
      <w:r w:rsidR="00A77555" w:rsidRPr="007F6AD7">
        <w:rPr>
          <w:rFonts w:ascii="Arial" w:hAnsi="Arial" w:cs="Arial"/>
          <w:noProof/>
        </w:rPr>
        <w:t>c</w:t>
      </w:r>
      <w:r w:rsidR="0020134C" w:rsidRPr="007F6AD7">
        <w:rPr>
          <w:rFonts w:ascii="Arial" w:hAnsi="Arial" w:cs="Arial"/>
          <w:noProof/>
        </w:rPr>
        <w:t xml:space="preserve">ionalmente mencionan a las Convenciones ICERD y  </w:t>
      </w:r>
      <w:r w:rsidR="00B60696" w:rsidRPr="007F6AD7">
        <w:rPr>
          <w:rFonts w:ascii="Arial" w:hAnsi="Arial" w:cs="Arial"/>
          <w:noProof/>
        </w:rPr>
        <w:t>la Convencion sobre la Eliminación de Todas las Formas de Discriminación Contra la Mujer (CEDAW). V</w:t>
      </w:r>
      <w:r w:rsidR="005A2930" w:rsidRPr="007F6AD7">
        <w:rPr>
          <w:rFonts w:ascii="Arial" w:hAnsi="Arial" w:cs="Arial"/>
          <w:noProof/>
        </w:rPr>
        <w:t>isto desde otro angulo</w:t>
      </w:r>
      <w:r w:rsidR="00A77555" w:rsidRPr="007F6AD7">
        <w:rPr>
          <w:rFonts w:ascii="Arial" w:hAnsi="Arial" w:cs="Arial"/>
          <w:noProof/>
        </w:rPr>
        <w:t xml:space="preserve"> </w:t>
      </w:r>
      <w:r w:rsidR="00B60696" w:rsidRPr="007F6AD7">
        <w:rPr>
          <w:rFonts w:ascii="Arial" w:hAnsi="Arial" w:cs="Arial"/>
          <w:noProof/>
        </w:rPr>
        <w:t>es primordial tener en cuenta el</w:t>
      </w:r>
      <w:r w:rsidR="00CE5893" w:rsidRPr="007F6AD7">
        <w:rPr>
          <w:rFonts w:ascii="Arial" w:hAnsi="Arial" w:cs="Arial"/>
          <w:noProof/>
        </w:rPr>
        <w:t xml:space="preserve"> recelo que suscita el tema </w:t>
      </w:r>
      <w:r w:rsidR="000B21AE" w:rsidRPr="007F6AD7">
        <w:rPr>
          <w:rFonts w:ascii="Arial" w:hAnsi="Arial" w:cs="Arial"/>
          <w:noProof/>
        </w:rPr>
        <w:t xml:space="preserve">del racismo </w:t>
      </w:r>
      <w:r w:rsidR="00CE5893" w:rsidRPr="007F6AD7">
        <w:rPr>
          <w:rFonts w:ascii="Arial" w:hAnsi="Arial" w:cs="Arial"/>
          <w:noProof/>
        </w:rPr>
        <w:t>en la sociedad cubana,</w:t>
      </w:r>
      <w:r w:rsidR="00734703" w:rsidRPr="007F6AD7">
        <w:rPr>
          <w:rFonts w:ascii="Arial" w:hAnsi="Arial" w:cs="Arial"/>
          <w:noProof/>
        </w:rPr>
        <w:t xml:space="preserve"> </w:t>
      </w:r>
      <w:r w:rsidR="00CE5893" w:rsidRPr="007F6AD7">
        <w:rPr>
          <w:rFonts w:ascii="Arial" w:hAnsi="Arial" w:cs="Arial"/>
          <w:noProof/>
        </w:rPr>
        <w:t>los persistentes conflictos</w:t>
      </w:r>
      <w:r w:rsidR="005A2930" w:rsidRPr="007F6AD7">
        <w:rPr>
          <w:rFonts w:ascii="Arial" w:hAnsi="Arial" w:cs="Arial"/>
          <w:noProof/>
        </w:rPr>
        <w:t xml:space="preserve"> historicos</w:t>
      </w:r>
      <w:r w:rsidR="00A77555" w:rsidRPr="007F6AD7">
        <w:rPr>
          <w:rFonts w:ascii="Arial" w:hAnsi="Arial" w:cs="Arial"/>
          <w:noProof/>
        </w:rPr>
        <w:t xml:space="preserve"> </w:t>
      </w:r>
      <w:r w:rsidR="005A2930" w:rsidRPr="007F6AD7">
        <w:rPr>
          <w:rFonts w:ascii="Arial" w:hAnsi="Arial" w:cs="Arial"/>
          <w:noProof/>
        </w:rPr>
        <w:t>y dilemas morales</w:t>
      </w:r>
      <w:r w:rsidR="00486A59" w:rsidRPr="007F6AD7">
        <w:rPr>
          <w:rStyle w:val="Refdenotaalpie"/>
          <w:rFonts w:ascii="Arial" w:hAnsi="Arial" w:cs="Arial"/>
          <w:noProof/>
        </w:rPr>
        <w:footnoteReference w:id="56"/>
      </w:r>
      <w:r w:rsidR="00486A59" w:rsidRPr="007F6AD7">
        <w:rPr>
          <w:rFonts w:ascii="Arial" w:hAnsi="Arial" w:cs="Arial"/>
          <w:noProof/>
          <w:vertAlign w:val="superscript"/>
        </w:rPr>
        <w:t>,</w:t>
      </w:r>
      <w:r w:rsidR="00486A59" w:rsidRPr="007F6AD7">
        <w:rPr>
          <w:rFonts w:ascii="Arial" w:hAnsi="Arial" w:cs="Arial"/>
          <w:noProof/>
        </w:rPr>
        <w:t xml:space="preserve"> </w:t>
      </w:r>
      <w:r w:rsidR="00486A59" w:rsidRPr="007F6AD7">
        <w:rPr>
          <w:rStyle w:val="Refdenotaalpie"/>
          <w:rFonts w:ascii="Arial" w:hAnsi="Arial" w:cs="Arial"/>
          <w:noProof/>
        </w:rPr>
        <w:footnoteReference w:id="57"/>
      </w:r>
      <w:r w:rsidR="00486A59" w:rsidRPr="007F6AD7">
        <w:rPr>
          <w:rFonts w:ascii="Arial" w:hAnsi="Arial" w:cs="Arial"/>
          <w:noProof/>
          <w:vertAlign w:val="superscript"/>
        </w:rPr>
        <w:t>,</w:t>
      </w:r>
      <w:r w:rsidR="00486A59" w:rsidRPr="007F6AD7">
        <w:rPr>
          <w:rFonts w:ascii="Arial" w:hAnsi="Arial" w:cs="Arial"/>
          <w:noProof/>
        </w:rPr>
        <w:t xml:space="preserve"> </w:t>
      </w:r>
      <w:r w:rsidR="00486A59" w:rsidRPr="007F6AD7">
        <w:rPr>
          <w:rStyle w:val="Refdenotaalpie"/>
          <w:rFonts w:ascii="Arial" w:hAnsi="Arial" w:cs="Arial"/>
          <w:noProof/>
        </w:rPr>
        <w:footnoteReference w:id="58"/>
      </w:r>
      <w:r w:rsidR="00486A59" w:rsidRPr="007F6AD7">
        <w:rPr>
          <w:rFonts w:ascii="Arial" w:hAnsi="Arial" w:cs="Arial"/>
          <w:noProof/>
        </w:rPr>
        <w:t xml:space="preserve">  </w:t>
      </w:r>
      <w:r w:rsidR="005A2930" w:rsidRPr="007F6AD7">
        <w:rPr>
          <w:rFonts w:ascii="Arial" w:hAnsi="Arial" w:cs="Arial"/>
          <w:noProof/>
        </w:rPr>
        <w:t xml:space="preserve">originados </w:t>
      </w:r>
      <w:r w:rsidR="00172274" w:rsidRPr="007F6AD7">
        <w:rPr>
          <w:rFonts w:ascii="Arial" w:hAnsi="Arial" w:cs="Arial"/>
          <w:noProof/>
        </w:rPr>
        <w:t>desde la epoca colonial</w:t>
      </w:r>
      <w:r w:rsidR="00CE5893" w:rsidRPr="007F6AD7">
        <w:rPr>
          <w:rFonts w:ascii="Arial" w:hAnsi="Arial" w:cs="Arial"/>
          <w:noProof/>
        </w:rPr>
        <w:t>,</w:t>
      </w:r>
      <w:r w:rsidR="00172274" w:rsidRPr="007F6AD7">
        <w:rPr>
          <w:rStyle w:val="Refdenotaalpie"/>
          <w:rFonts w:ascii="Arial" w:hAnsi="Arial" w:cs="Arial"/>
          <w:noProof/>
        </w:rPr>
        <w:t xml:space="preserve"> </w:t>
      </w:r>
      <w:r w:rsidR="00C164A6" w:rsidRPr="007F6AD7">
        <w:rPr>
          <w:rFonts w:ascii="Arial" w:hAnsi="Arial" w:cs="Arial"/>
          <w:lang w:eastAsia="es-MX"/>
        </w:rPr>
        <w:t>añadido</w:t>
      </w:r>
      <w:r w:rsidR="00CE5893" w:rsidRPr="007F6AD7">
        <w:rPr>
          <w:rFonts w:ascii="Arial" w:hAnsi="Arial" w:cs="Arial"/>
          <w:noProof/>
        </w:rPr>
        <w:t xml:space="preserve"> </w:t>
      </w:r>
      <w:r w:rsidR="00C164A6" w:rsidRPr="007F6AD7">
        <w:rPr>
          <w:rFonts w:ascii="Arial" w:hAnsi="Arial" w:cs="Arial"/>
          <w:noProof/>
        </w:rPr>
        <w:t>a</w:t>
      </w:r>
      <w:r w:rsidR="00CE5893" w:rsidRPr="007F6AD7">
        <w:rPr>
          <w:rFonts w:ascii="Arial" w:hAnsi="Arial" w:cs="Arial"/>
          <w:noProof/>
        </w:rPr>
        <w:t xml:space="preserve">l rechazo </w:t>
      </w:r>
      <w:r w:rsidR="00CE5893" w:rsidRPr="007F6AD7">
        <w:rPr>
          <w:rFonts w:ascii="Arial" w:hAnsi="Arial" w:cs="Arial"/>
          <w:noProof/>
        </w:rPr>
        <w:lastRenderedPageBreak/>
        <w:t xml:space="preserve">a </w:t>
      </w:r>
      <w:r w:rsidR="00C164A6" w:rsidRPr="007F6AD7">
        <w:rPr>
          <w:rFonts w:ascii="Arial" w:hAnsi="Arial" w:cs="Arial"/>
          <w:noProof/>
        </w:rPr>
        <w:t>las opiniones</w:t>
      </w:r>
      <w:r w:rsidR="00CE5893" w:rsidRPr="007F6AD7">
        <w:rPr>
          <w:rStyle w:val="Refdenotaalpie"/>
          <w:rFonts w:ascii="Arial" w:hAnsi="Arial" w:cs="Arial"/>
          <w:noProof/>
        </w:rPr>
        <w:footnoteReference w:id="59"/>
      </w:r>
      <w:r w:rsidR="00CE5893" w:rsidRPr="007F6AD7">
        <w:rPr>
          <w:rFonts w:ascii="Arial" w:hAnsi="Arial" w:cs="Arial"/>
          <w:noProof/>
        </w:rPr>
        <w:t xml:space="preserve"> </w:t>
      </w:r>
      <w:r w:rsidR="00CE5893" w:rsidRPr="007F6AD7">
        <w:rPr>
          <w:rFonts w:ascii="Arial" w:hAnsi="Arial" w:cs="Arial"/>
          <w:noProof/>
          <w:vertAlign w:val="superscript"/>
        </w:rPr>
        <w:t>,</w:t>
      </w:r>
      <w:r w:rsidR="00CE5893" w:rsidRPr="007F6AD7">
        <w:rPr>
          <w:rFonts w:ascii="Arial" w:hAnsi="Arial" w:cs="Arial"/>
          <w:noProof/>
        </w:rPr>
        <w:t xml:space="preserve"> </w:t>
      </w:r>
      <w:r w:rsidR="00CE5893" w:rsidRPr="007F6AD7">
        <w:rPr>
          <w:rStyle w:val="Refdenotaalpie"/>
          <w:rFonts w:ascii="Arial" w:hAnsi="Arial" w:cs="Arial"/>
          <w:noProof/>
        </w:rPr>
        <w:footnoteReference w:id="60"/>
      </w:r>
      <w:r w:rsidR="00CE5893" w:rsidRPr="007F6AD7">
        <w:rPr>
          <w:rFonts w:ascii="Arial" w:hAnsi="Arial" w:cs="Arial"/>
          <w:noProof/>
        </w:rPr>
        <w:t xml:space="preserve"> y aspiraciones </w:t>
      </w:r>
      <w:r w:rsidR="00CE5893" w:rsidRPr="007F6AD7">
        <w:rPr>
          <w:rFonts w:ascii="Arial" w:hAnsi="Arial" w:cs="Arial"/>
          <w:lang w:eastAsia="es-MX"/>
        </w:rPr>
        <w:t xml:space="preserve">de </w:t>
      </w:r>
      <w:r w:rsidR="00CE5893" w:rsidRPr="007F6AD7">
        <w:rPr>
          <w:rFonts w:ascii="Arial" w:hAnsi="Arial" w:cs="Arial"/>
          <w:noProof/>
        </w:rPr>
        <w:t xml:space="preserve">negros y mestizos </w:t>
      </w:r>
      <w:r w:rsidR="00CE5893" w:rsidRPr="007F6AD7">
        <w:rPr>
          <w:rStyle w:val="Refdenotaalpie"/>
          <w:rFonts w:ascii="Arial" w:hAnsi="Arial" w:cs="Arial"/>
          <w:noProof/>
        </w:rPr>
        <w:footnoteReference w:id="61"/>
      </w:r>
      <w:r w:rsidR="00D07F65" w:rsidRPr="007F6AD7">
        <w:rPr>
          <w:rFonts w:ascii="Arial" w:hAnsi="Arial" w:cs="Arial"/>
          <w:noProof/>
        </w:rPr>
        <w:t xml:space="preserve"> </w:t>
      </w:r>
      <w:r w:rsidR="00CE5893" w:rsidRPr="007F6AD7">
        <w:rPr>
          <w:rFonts w:ascii="Arial" w:hAnsi="Arial" w:cs="Arial"/>
          <w:noProof/>
        </w:rPr>
        <w:t xml:space="preserve">todo lo cual gravita alrededor </w:t>
      </w:r>
      <w:bookmarkStart w:id="54" w:name="OLE_LINK37"/>
      <w:bookmarkStart w:id="55" w:name="OLE_LINK38"/>
      <w:r w:rsidR="00CE5893" w:rsidRPr="007F6AD7">
        <w:rPr>
          <w:rFonts w:ascii="Arial" w:hAnsi="Arial" w:cs="Arial"/>
          <w:noProof/>
        </w:rPr>
        <w:t>de la niñez</w:t>
      </w:r>
      <w:r w:rsidR="00D07F65" w:rsidRPr="007F6AD7">
        <w:rPr>
          <w:rFonts w:ascii="Arial" w:hAnsi="Arial" w:cs="Arial"/>
          <w:noProof/>
        </w:rPr>
        <w:t xml:space="preserve"> </w:t>
      </w:r>
      <w:bookmarkEnd w:id="54"/>
      <w:bookmarkEnd w:id="55"/>
      <w:r w:rsidR="00D07F65" w:rsidRPr="007F6AD7">
        <w:rPr>
          <w:rFonts w:ascii="Arial" w:hAnsi="Arial" w:cs="Arial"/>
          <w:noProof/>
        </w:rPr>
        <w:t xml:space="preserve">cubana y en especial , de la niñez </w:t>
      </w:r>
      <w:r w:rsidR="00CE5893" w:rsidRPr="007F6AD7">
        <w:rPr>
          <w:rFonts w:ascii="Arial" w:hAnsi="Arial" w:cs="Arial"/>
          <w:noProof/>
        </w:rPr>
        <w:t>afrodescendiente</w:t>
      </w:r>
      <w:r w:rsidR="00A77555" w:rsidRPr="007F6AD7">
        <w:rPr>
          <w:rFonts w:ascii="Arial" w:hAnsi="Arial" w:cs="Arial"/>
          <w:noProof/>
        </w:rPr>
        <w:t xml:space="preserve">. </w:t>
      </w:r>
      <w:r w:rsidR="00A77555" w:rsidRPr="007F6AD7">
        <w:rPr>
          <w:rStyle w:val="Refdenotaalpie"/>
          <w:rFonts w:ascii="Arial" w:hAnsi="Arial" w:cs="Arial"/>
          <w:noProof/>
        </w:rPr>
        <w:footnoteReference w:id="62"/>
      </w:r>
      <w:r w:rsidR="00A77555" w:rsidRPr="007F6AD7">
        <w:rPr>
          <w:rFonts w:ascii="Arial" w:hAnsi="Arial" w:cs="Arial"/>
          <w:vertAlign w:val="superscript"/>
          <w:lang w:eastAsia="es-MX"/>
        </w:rPr>
        <w:t xml:space="preserve"> ,</w:t>
      </w:r>
      <w:r w:rsidR="00A77555" w:rsidRPr="007F6AD7">
        <w:rPr>
          <w:rFonts w:ascii="Arial" w:hAnsi="Arial" w:cs="Arial"/>
          <w:noProof/>
        </w:rPr>
        <w:t xml:space="preserve"> </w:t>
      </w:r>
      <w:r w:rsidR="00A77555" w:rsidRPr="007F6AD7">
        <w:rPr>
          <w:rStyle w:val="Refdenotaalpie"/>
          <w:rFonts w:ascii="Arial" w:hAnsi="Arial" w:cs="Arial"/>
          <w:noProof/>
        </w:rPr>
        <w:footnoteReference w:id="63"/>
      </w:r>
      <w:r w:rsidR="00A77555" w:rsidRPr="007F6AD7">
        <w:rPr>
          <w:rFonts w:ascii="Arial" w:hAnsi="Arial" w:cs="Arial"/>
          <w:noProof/>
        </w:rPr>
        <w:t xml:space="preserve">  </w:t>
      </w:r>
      <w:r w:rsidR="00CE5893" w:rsidRPr="007F6AD7">
        <w:rPr>
          <w:rFonts w:ascii="Arial" w:hAnsi="Arial" w:cs="Arial"/>
          <w:noProof/>
          <w:vertAlign w:val="superscript"/>
        </w:rPr>
        <w:t xml:space="preserve">, </w:t>
      </w:r>
      <w:r w:rsidR="00CE5893" w:rsidRPr="007F6AD7">
        <w:rPr>
          <w:rStyle w:val="Refdenotaalpie"/>
          <w:rFonts w:ascii="Arial" w:hAnsi="Arial" w:cs="Arial"/>
          <w:noProof/>
        </w:rPr>
        <w:footnoteReference w:id="64"/>
      </w:r>
      <w:r w:rsidR="00CE5893" w:rsidRPr="007F6AD7">
        <w:rPr>
          <w:rFonts w:ascii="Arial" w:hAnsi="Arial" w:cs="Arial"/>
          <w:noProof/>
          <w:vertAlign w:val="superscript"/>
        </w:rPr>
        <w:t xml:space="preserve">   </w:t>
      </w:r>
    </w:p>
    <w:p w14:paraId="23B45F96" w14:textId="0C6937CC" w:rsidR="000A1B7B" w:rsidRPr="007F6AD7" w:rsidRDefault="00D16FBE" w:rsidP="00D16FBE">
      <w:pPr>
        <w:spacing w:line="360" w:lineRule="auto"/>
        <w:jc w:val="both"/>
        <w:rPr>
          <w:rFonts w:ascii="Arial" w:hAnsi="Arial" w:cs="Arial"/>
          <w:b/>
        </w:rPr>
      </w:pPr>
      <w:r>
        <w:rPr>
          <w:rFonts w:ascii="Arial" w:hAnsi="Arial" w:cs="Arial"/>
        </w:rPr>
        <w:t xml:space="preserve">14.   </w:t>
      </w:r>
      <w:r w:rsidR="00B00B7C" w:rsidRPr="007F6AD7">
        <w:rPr>
          <w:rFonts w:ascii="Arial" w:hAnsi="Arial" w:cs="Arial"/>
        </w:rPr>
        <w:t xml:space="preserve">Cuba </w:t>
      </w:r>
      <w:r w:rsidR="0028701B" w:rsidRPr="007F6AD7">
        <w:rPr>
          <w:rFonts w:ascii="Arial" w:hAnsi="Arial" w:cs="Arial"/>
        </w:rPr>
        <w:t xml:space="preserve">debe ampliar la protección por motivos de discriminación pues los </w:t>
      </w:r>
      <w:r w:rsidR="00063C92" w:rsidRPr="007F6AD7">
        <w:rPr>
          <w:rFonts w:ascii="Arial" w:hAnsi="Arial" w:cs="Arial"/>
        </w:rPr>
        <w:t>preceptos constitucionales</w:t>
      </w:r>
      <w:r w:rsidR="0028701B" w:rsidRPr="007F6AD7">
        <w:rPr>
          <w:rFonts w:ascii="Arial" w:hAnsi="Arial" w:cs="Arial"/>
        </w:rPr>
        <w:t xml:space="preserve"> no alcanzan el grado de protección reconocido en la ICERD</w:t>
      </w:r>
      <w:r w:rsidR="00A3473F" w:rsidRPr="007F6AD7">
        <w:rPr>
          <w:rFonts w:ascii="Arial" w:hAnsi="Arial" w:cs="Arial"/>
        </w:rPr>
        <w:t>,</w:t>
      </w:r>
      <w:r w:rsidR="0028701B" w:rsidRPr="007F6AD7">
        <w:rPr>
          <w:rFonts w:ascii="Arial" w:hAnsi="Arial" w:cs="Arial"/>
        </w:rPr>
        <w:t xml:space="preserve"> </w:t>
      </w:r>
      <w:r w:rsidR="00A3473F" w:rsidRPr="007F6AD7">
        <w:rPr>
          <w:rFonts w:ascii="Arial" w:hAnsi="Arial" w:cs="Arial"/>
        </w:rPr>
        <w:t xml:space="preserve">si bien se </w:t>
      </w:r>
      <w:r w:rsidR="00B00B7C" w:rsidRPr="007F6AD7">
        <w:rPr>
          <w:rFonts w:ascii="Arial" w:hAnsi="Arial" w:cs="Arial"/>
        </w:rPr>
        <w:t>ha</w:t>
      </w:r>
      <w:r w:rsidR="00A3473F" w:rsidRPr="007F6AD7">
        <w:rPr>
          <w:rFonts w:ascii="Arial" w:hAnsi="Arial" w:cs="Arial"/>
        </w:rPr>
        <w:t>n</w:t>
      </w:r>
      <w:r w:rsidR="001F6FE4" w:rsidRPr="007F6AD7">
        <w:rPr>
          <w:rFonts w:ascii="Arial" w:hAnsi="Arial" w:cs="Arial"/>
        </w:rPr>
        <w:t xml:space="preserve"> adoptado</w:t>
      </w:r>
      <w:r w:rsidR="00B00B7C" w:rsidRPr="007F6AD7">
        <w:rPr>
          <w:rFonts w:ascii="Arial" w:hAnsi="Arial" w:cs="Arial"/>
        </w:rPr>
        <w:t xml:space="preserve"> diversas</w:t>
      </w:r>
      <w:r w:rsidR="001F6FE4" w:rsidRPr="007F6AD7">
        <w:rPr>
          <w:rFonts w:ascii="Arial" w:hAnsi="Arial" w:cs="Arial"/>
        </w:rPr>
        <w:t xml:space="preserve"> </w:t>
      </w:r>
      <w:r w:rsidR="00B00B7C" w:rsidRPr="007F6AD7">
        <w:rPr>
          <w:rFonts w:ascii="Arial" w:hAnsi="Arial" w:cs="Arial"/>
        </w:rPr>
        <w:t>medidas relacionadas</w:t>
      </w:r>
      <w:r w:rsidR="001F6FE4" w:rsidRPr="007F6AD7">
        <w:rPr>
          <w:rFonts w:ascii="Arial" w:hAnsi="Arial" w:cs="Arial"/>
        </w:rPr>
        <w:t xml:space="preserve"> </w:t>
      </w:r>
      <w:r w:rsidR="00330DA1" w:rsidRPr="007F6AD7">
        <w:rPr>
          <w:rFonts w:ascii="Arial" w:hAnsi="Arial" w:cs="Arial"/>
        </w:rPr>
        <w:t>co</w:t>
      </w:r>
      <w:r w:rsidR="001F6FE4" w:rsidRPr="007F6AD7">
        <w:rPr>
          <w:rFonts w:ascii="Arial" w:hAnsi="Arial" w:cs="Arial"/>
        </w:rPr>
        <w:t xml:space="preserve">n la </w:t>
      </w:r>
      <w:bookmarkStart w:id="62" w:name="OLE_LINK59"/>
      <w:bookmarkStart w:id="63" w:name="OLE_LINK60"/>
      <w:r w:rsidR="0028701B" w:rsidRPr="007F6AD7">
        <w:rPr>
          <w:rFonts w:ascii="Arial" w:hAnsi="Arial" w:cs="Arial"/>
        </w:rPr>
        <w:t>Convención</w:t>
      </w:r>
      <w:bookmarkEnd w:id="62"/>
      <w:bookmarkEnd w:id="63"/>
      <w:r w:rsidR="0028701B" w:rsidRPr="007F6AD7">
        <w:rPr>
          <w:rFonts w:ascii="Arial" w:hAnsi="Arial" w:cs="Arial"/>
        </w:rPr>
        <w:t xml:space="preserve"> ICERD y la </w:t>
      </w:r>
      <w:r w:rsidR="001F6FE4" w:rsidRPr="007F6AD7">
        <w:rPr>
          <w:rFonts w:ascii="Arial" w:hAnsi="Arial" w:cs="Arial"/>
        </w:rPr>
        <w:t>Convención sobre los Derechos del Niño</w:t>
      </w:r>
      <w:r w:rsidR="00B00B7C" w:rsidRPr="007F6AD7">
        <w:rPr>
          <w:rFonts w:ascii="Arial" w:hAnsi="Arial" w:cs="Arial"/>
        </w:rPr>
        <w:t>.</w:t>
      </w:r>
      <w:r w:rsidR="001F6FE4" w:rsidRPr="007F6AD7">
        <w:rPr>
          <w:rFonts w:ascii="Arial" w:hAnsi="Arial" w:cs="Arial"/>
        </w:rPr>
        <w:t xml:space="preserve"> El Vicepresidente del Consejo de Estado, quien a su vez ocupa el cargo de Primer Vicepresidente del Consejo de </w:t>
      </w:r>
      <w:r w:rsidR="001F6FE4" w:rsidRPr="007F6AD7">
        <w:rPr>
          <w:rFonts w:ascii="Arial" w:hAnsi="Arial" w:cs="Arial"/>
        </w:rPr>
        <w:lastRenderedPageBreak/>
        <w:t>Ministros, Sr. Miguel Mario Díaz-Canel Bermúdez,</w:t>
      </w:r>
      <w:r w:rsidR="001F6FE4" w:rsidRPr="007F6AD7">
        <w:rPr>
          <w:rStyle w:val="Refdenotaalpie"/>
          <w:rFonts w:ascii="Arial" w:hAnsi="Arial" w:cs="Arial"/>
        </w:rPr>
        <w:t xml:space="preserve"> </w:t>
      </w:r>
      <w:r w:rsidR="001F6FE4" w:rsidRPr="007F6AD7">
        <w:rPr>
          <w:rStyle w:val="Refdenotaalpie"/>
          <w:rFonts w:ascii="Arial" w:hAnsi="Arial" w:cs="Arial"/>
        </w:rPr>
        <w:footnoteReference w:id="65"/>
      </w:r>
      <w:r w:rsidR="001F6FE4" w:rsidRPr="007F6AD7">
        <w:rPr>
          <w:rFonts w:ascii="Arial" w:hAnsi="Arial" w:cs="Arial"/>
        </w:rPr>
        <w:t xml:space="preserve"> </w:t>
      </w:r>
      <w:r w:rsidR="00976410" w:rsidRPr="007F6AD7">
        <w:rPr>
          <w:rFonts w:ascii="Arial" w:hAnsi="Arial" w:cs="Arial"/>
        </w:rPr>
        <w:t>fue</w:t>
      </w:r>
      <w:r w:rsidR="001F6FE4" w:rsidRPr="007F6AD7">
        <w:rPr>
          <w:rFonts w:ascii="Arial" w:hAnsi="Arial" w:cs="Arial"/>
        </w:rPr>
        <w:t xml:space="preserve"> nombrado la autoridad designada</w:t>
      </w:r>
      <w:r w:rsidR="00D07F65" w:rsidRPr="007F6AD7">
        <w:rPr>
          <w:rFonts w:ascii="Arial" w:hAnsi="Arial" w:cs="Arial"/>
        </w:rPr>
        <w:t xml:space="preserve"> </w:t>
      </w:r>
      <w:r w:rsidR="001F6FE4" w:rsidRPr="007F6AD7">
        <w:rPr>
          <w:rFonts w:ascii="Arial" w:hAnsi="Arial" w:cs="Arial"/>
        </w:rPr>
        <w:t xml:space="preserve">para coordinar la protección y supervisión de los derechos de la niñez. </w:t>
      </w:r>
      <w:r w:rsidR="001F6FE4" w:rsidRPr="007F6AD7">
        <w:rPr>
          <w:rStyle w:val="Refdenotaalpie"/>
          <w:rFonts w:ascii="Arial" w:hAnsi="Arial" w:cs="Arial"/>
        </w:rPr>
        <w:footnoteReference w:id="66"/>
      </w:r>
      <w:r w:rsidR="001F6FE4" w:rsidRPr="007F6AD7">
        <w:rPr>
          <w:rFonts w:ascii="Arial" w:hAnsi="Arial" w:cs="Arial"/>
        </w:rPr>
        <w:t xml:space="preserve">  </w:t>
      </w:r>
      <w:r w:rsidR="001651DD" w:rsidRPr="007F6AD7">
        <w:rPr>
          <w:rFonts w:ascii="Arial" w:hAnsi="Arial" w:cs="Arial"/>
        </w:rPr>
        <w:t xml:space="preserve">El Comité de los </w:t>
      </w:r>
      <w:r w:rsidR="00C164A6" w:rsidRPr="007F6AD7">
        <w:rPr>
          <w:rFonts w:ascii="Arial" w:hAnsi="Arial" w:cs="Arial"/>
        </w:rPr>
        <w:t>D</w:t>
      </w:r>
      <w:r w:rsidR="001651DD" w:rsidRPr="007F6AD7">
        <w:rPr>
          <w:rFonts w:ascii="Arial" w:hAnsi="Arial" w:cs="Arial"/>
        </w:rPr>
        <w:t>erechos del Niño al hacer referencia a otros instrumentos internacionales sostiene que todos los derechos humanos son indivisible e interdependientes</w:t>
      </w:r>
      <w:r w:rsidR="001651DD" w:rsidRPr="007F6AD7">
        <w:rPr>
          <w:rStyle w:val="Refdenotaalpie"/>
          <w:rFonts w:ascii="Arial" w:hAnsi="Arial" w:cs="Arial"/>
        </w:rPr>
        <w:footnoteReference w:id="67"/>
      </w:r>
      <w:r w:rsidR="00C344BB" w:rsidRPr="007F6AD7">
        <w:rPr>
          <w:rFonts w:ascii="Arial" w:hAnsi="Arial" w:cs="Arial"/>
        </w:rPr>
        <w:t xml:space="preserve"> y enfatiza el deber de los Estados en respetar otras leyes internacionales relevantes referidas a la protección de </w:t>
      </w:r>
      <w:r w:rsidR="00C164A6" w:rsidRPr="007F6AD7">
        <w:rPr>
          <w:rFonts w:ascii="Arial" w:hAnsi="Arial" w:cs="Arial"/>
        </w:rPr>
        <w:t>la infancia</w:t>
      </w:r>
      <w:r w:rsidR="00C344BB" w:rsidRPr="007F6AD7">
        <w:rPr>
          <w:rFonts w:ascii="Arial" w:hAnsi="Arial" w:cs="Arial"/>
        </w:rPr>
        <w:t>. Por tanto</w:t>
      </w:r>
      <w:r w:rsidR="001651DD" w:rsidRPr="007F6AD7">
        <w:rPr>
          <w:rFonts w:ascii="Arial" w:hAnsi="Arial" w:cs="Arial"/>
        </w:rPr>
        <w:t xml:space="preserve">   c</w:t>
      </w:r>
      <w:commentRangeStart w:id="66"/>
      <w:r w:rsidR="001F6FE4" w:rsidRPr="007F6AD7">
        <w:rPr>
          <w:rFonts w:ascii="Arial" w:hAnsi="Arial" w:cs="Arial"/>
        </w:rPr>
        <w:t>onforme</w:t>
      </w:r>
      <w:commentRangeEnd w:id="66"/>
      <w:r w:rsidR="001F6FE4" w:rsidRPr="007F6AD7">
        <w:rPr>
          <w:rStyle w:val="Refdecomentario"/>
          <w:rFonts w:ascii="Arial" w:hAnsi="Arial" w:cs="Arial"/>
          <w:szCs w:val="22"/>
        </w:rPr>
        <w:commentReference w:id="66"/>
      </w:r>
      <w:r w:rsidR="001F6FE4" w:rsidRPr="007F6AD7">
        <w:rPr>
          <w:rFonts w:ascii="Arial" w:hAnsi="Arial" w:cs="Arial"/>
        </w:rPr>
        <w:t xml:space="preserve"> a lo estipulado en   </w:t>
      </w:r>
      <w:r w:rsidR="00B60696" w:rsidRPr="007F6AD7">
        <w:rPr>
          <w:rFonts w:ascii="Arial" w:hAnsi="Arial" w:cs="Arial"/>
        </w:rPr>
        <w:t>el artículo</w:t>
      </w:r>
      <w:r w:rsidR="001F6FE4" w:rsidRPr="007F6AD7">
        <w:rPr>
          <w:rFonts w:ascii="Arial" w:hAnsi="Arial" w:cs="Arial"/>
        </w:rPr>
        <w:t xml:space="preserve"> 41 de la </w:t>
      </w:r>
      <w:r w:rsidR="00D07F65" w:rsidRPr="007F6AD7">
        <w:rPr>
          <w:rFonts w:ascii="Arial" w:hAnsi="Arial" w:cs="Arial"/>
        </w:rPr>
        <w:t>Convención</w:t>
      </w:r>
      <w:r w:rsidR="001F6FE4" w:rsidRPr="007F6AD7">
        <w:rPr>
          <w:rFonts w:ascii="Arial" w:hAnsi="Arial" w:cs="Arial"/>
        </w:rPr>
        <w:t xml:space="preserve"> de los Derechos del Niño, referido a la ley más adecuada, </w:t>
      </w:r>
      <w:r w:rsidR="001F6FE4" w:rsidRPr="007F6AD7">
        <w:rPr>
          <w:rStyle w:val="Refdenotaalpie"/>
          <w:rFonts w:ascii="Arial" w:hAnsi="Arial" w:cs="Arial"/>
        </w:rPr>
        <w:footnoteReference w:id="68"/>
      </w:r>
      <w:r w:rsidR="001F6FE4" w:rsidRPr="007F6AD7">
        <w:rPr>
          <w:rFonts w:ascii="Arial" w:hAnsi="Arial" w:cs="Arial"/>
        </w:rPr>
        <w:t xml:space="preserve"> difundir ampliamente </w:t>
      </w:r>
      <w:r w:rsidR="00B60696" w:rsidRPr="007F6AD7">
        <w:rPr>
          <w:rFonts w:ascii="Arial" w:hAnsi="Arial" w:cs="Arial"/>
        </w:rPr>
        <w:t>y aplicar</w:t>
      </w:r>
      <w:r w:rsidR="001F6FE4" w:rsidRPr="007F6AD7">
        <w:rPr>
          <w:rFonts w:ascii="Arial" w:hAnsi="Arial" w:cs="Arial"/>
        </w:rPr>
        <w:t xml:space="preserve"> la </w:t>
      </w:r>
      <w:r w:rsidR="00EC7CA7" w:rsidRPr="007F6AD7">
        <w:rPr>
          <w:rFonts w:ascii="Arial" w:hAnsi="Arial" w:cs="Arial"/>
        </w:rPr>
        <w:t xml:space="preserve">Convención </w:t>
      </w:r>
      <w:r w:rsidR="001F6FE4" w:rsidRPr="007F6AD7">
        <w:rPr>
          <w:rFonts w:ascii="Arial" w:hAnsi="Arial" w:cs="Arial"/>
        </w:rPr>
        <w:t>ICERD benefici</w:t>
      </w:r>
      <w:r w:rsidR="00EC7CA7" w:rsidRPr="007F6AD7">
        <w:rPr>
          <w:rFonts w:ascii="Arial" w:hAnsi="Arial" w:cs="Arial"/>
        </w:rPr>
        <w:t>a</w:t>
      </w:r>
      <w:r w:rsidR="001F6FE4" w:rsidRPr="007F6AD7">
        <w:rPr>
          <w:rFonts w:ascii="Arial" w:hAnsi="Arial" w:cs="Arial"/>
        </w:rPr>
        <w:t xml:space="preserve"> </w:t>
      </w:r>
      <w:r w:rsidR="00EC7CA7" w:rsidRPr="007F6AD7">
        <w:rPr>
          <w:rFonts w:ascii="Arial" w:hAnsi="Arial" w:cs="Arial"/>
        </w:rPr>
        <w:t>a</w:t>
      </w:r>
      <w:r w:rsidR="001F6FE4" w:rsidRPr="007F6AD7">
        <w:rPr>
          <w:rFonts w:ascii="Arial" w:hAnsi="Arial" w:cs="Arial"/>
        </w:rPr>
        <w:t xml:space="preserve"> la niñez cubana</w:t>
      </w:r>
      <w:r w:rsidR="00EC7CA7" w:rsidRPr="007F6AD7">
        <w:rPr>
          <w:rFonts w:ascii="Arial" w:hAnsi="Arial" w:cs="Arial"/>
        </w:rPr>
        <w:t>, y en particular a</w:t>
      </w:r>
      <w:r w:rsidR="00A3473F" w:rsidRPr="007F6AD7">
        <w:rPr>
          <w:rFonts w:ascii="Arial" w:hAnsi="Arial" w:cs="Arial"/>
        </w:rPr>
        <w:t xml:space="preserve"> uno de los</w:t>
      </w:r>
      <w:r w:rsidR="00EC7CA7" w:rsidRPr="007F6AD7">
        <w:rPr>
          <w:rFonts w:ascii="Arial" w:hAnsi="Arial" w:cs="Arial"/>
        </w:rPr>
        <w:t xml:space="preserve"> </w:t>
      </w:r>
      <w:r w:rsidR="00A3473F" w:rsidRPr="007F6AD7">
        <w:rPr>
          <w:rFonts w:ascii="Arial" w:hAnsi="Arial" w:cs="Arial"/>
        </w:rPr>
        <w:t xml:space="preserve">sectores </w:t>
      </w:r>
      <w:r w:rsidR="00EC7CA7" w:rsidRPr="007F6AD7">
        <w:rPr>
          <w:rFonts w:ascii="Arial" w:hAnsi="Arial" w:cs="Arial"/>
        </w:rPr>
        <w:t>más vulnerables, la niñez afrodescendiente</w:t>
      </w:r>
      <w:r w:rsidR="001F6FE4" w:rsidRPr="007F6AD7">
        <w:rPr>
          <w:rFonts w:ascii="Arial" w:hAnsi="Arial" w:cs="Arial"/>
        </w:rPr>
        <w:t>.</w:t>
      </w:r>
      <w:r w:rsidR="001F6FE4" w:rsidRPr="007F6AD7">
        <w:rPr>
          <w:rFonts w:ascii="Arial" w:hAnsi="Arial" w:cs="Arial"/>
          <w:vertAlign w:val="superscript"/>
        </w:rPr>
        <w:t xml:space="preserve"> </w:t>
      </w:r>
      <w:r w:rsidR="001F6FE4" w:rsidRPr="007F6AD7">
        <w:rPr>
          <w:rFonts w:ascii="Arial" w:hAnsi="Arial" w:cs="Arial"/>
          <w:b/>
        </w:rPr>
        <w:t xml:space="preserve">ACDEI suplica al Comité </w:t>
      </w:r>
      <w:r w:rsidR="000A1B7B" w:rsidRPr="007F6AD7">
        <w:rPr>
          <w:rFonts w:ascii="Arial" w:hAnsi="Arial" w:cs="Arial"/>
          <w:b/>
        </w:rPr>
        <w:t>CERD</w:t>
      </w:r>
      <w:r w:rsidR="00567374" w:rsidRPr="007F6AD7">
        <w:rPr>
          <w:rFonts w:ascii="Arial" w:hAnsi="Arial" w:cs="Arial"/>
          <w:b/>
        </w:rPr>
        <w:t xml:space="preserve"> recomiende al  Estado parte, t</w:t>
      </w:r>
      <w:r w:rsidR="000A1B7B" w:rsidRPr="007F6AD7">
        <w:rPr>
          <w:rFonts w:ascii="Arial" w:hAnsi="Arial" w:cs="Arial"/>
          <w:b/>
        </w:rPr>
        <w:t>rabajar en la promoción y divulgación de los preceptos de la Convención</w:t>
      </w:r>
      <w:r w:rsidR="00EC7CA7" w:rsidRPr="007F6AD7">
        <w:rPr>
          <w:rFonts w:ascii="Arial" w:hAnsi="Arial" w:cs="Arial"/>
          <w:b/>
        </w:rPr>
        <w:t xml:space="preserve"> ICERD</w:t>
      </w:r>
      <w:r w:rsidR="000A1B7B" w:rsidRPr="007F6AD7">
        <w:rPr>
          <w:rFonts w:ascii="Arial" w:hAnsi="Arial" w:cs="Arial"/>
          <w:b/>
        </w:rPr>
        <w:t xml:space="preserve">, con acciones educativas concretas en todos los sectores de la sociedad e instituciones gubernamentales, con el fin de que la </w:t>
      </w:r>
      <w:r w:rsidR="00EC7CA7" w:rsidRPr="007F6AD7">
        <w:rPr>
          <w:rFonts w:ascii="Arial" w:hAnsi="Arial" w:cs="Arial"/>
          <w:b/>
        </w:rPr>
        <w:t xml:space="preserve">población y en particular la niñez, </w:t>
      </w:r>
      <w:r w:rsidR="000A1B7B" w:rsidRPr="007F6AD7">
        <w:rPr>
          <w:rFonts w:ascii="Arial" w:hAnsi="Arial" w:cs="Arial"/>
          <w:b/>
        </w:rPr>
        <w:t>conozca mejor estos temas.</w:t>
      </w:r>
    </w:p>
    <w:p w14:paraId="6C2D297C" w14:textId="1F81F0A2" w:rsidR="007373D0" w:rsidRPr="007F6AD7" w:rsidRDefault="007373D0" w:rsidP="00DA7CB5">
      <w:pPr>
        <w:pStyle w:val="Ttulo2"/>
      </w:pPr>
      <w:bookmarkStart w:id="67" w:name="_Toc515359789"/>
      <w:r w:rsidRPr="007F6AD7">
        <w:t xml:space="preserve">Implementación en </w:t>
      </w:r>
      <w:r w:rsidR="00063C92" w:rsidRPr="007F6AD7">
        <w:t>Cuba de</w:t>
      </w:r>
      <w:r w:rsidRPr="007F6AD7">
        <w:t xml:space="preserve"> </w:t>
      </w:r>
      <w:r w:rsidR="00AA6F66" w:rsidRPr="007F6AD7">
        <w:t>P</w:t>
      </w:r>
      <w:r w:rsidRPr="007F6AD7">
        <w:t xml:space="preserve">olíticas </w:t>
      </w:r>
      <w:r w:rsidR="00AA6F66" w:rsidRPr="007F6AD7">
        <w:t>P</w:t>
      </w:r>
      <w:r w:rsidRPr="007F6AD7">
        <w:t>úblicas relacionadas con la ICERD</w:t>
      </w:r>
      <w:bookmarkEnd w:id="67"/>
    </w:p>
    <w:p w14:paraId="79AD95ED" w14:textId="7F3690F4" w:rsidR="00C75817" w:rsidRPr="007F6AD7" w:rsidRDefault="00D16FBE" w:rsidP="00D16FBE">
      <w:pPr>
        <w:pStyle w:val="Sinespaciado"/>
        <w:spacing w:after="0" w:afterAutospacing="0" w:line="360" w:lineRule="auto"/>
        <w:ind w:left="0" w:firstLine="0"/>
        <w:jc w:val="both"/>
        <w:rPr>
          <w:rFonts w:ascii="Arial" w:eastAsia="STKaiti" w:hAnsi="Arial" w:cs="Arial"/>
          <w:lang w:val="es-ES" w:eastAsia="es-US"/>
        </w:rPr>
      </w:pPr>
      <w:r>
        <w:rPr>
          <w:rFonts w:ascii="Arial" w:eastAsia="STKaiti" w:hAnsi="Arial" w:cs="Arial"/>
          <w:lang w:val="es-US" w:eastAsia="es-US"/>
        </w:rPr>
        <w:t xml:space="preserve">15.   </w:t>
      </w:r>
      <w:r w:rsidR="007373D0" w:rsidRPr="007F6AD7">
        <w:rPr>
          <w:rFonts w:ascii="Arial" w:eastAsia="STKaiti" w:hAnsi="Arial" w:cs="Arial"/>
          <w:lang w:val="es-US" w:eastAsia="es-US"/>
        </w:rPr>
        <w:t>E</w:t>
      </w:r>
      <w:r w:rsidR="00663E2D" w:rsidRPr="007F6AD7">
        <w:rPr>
          <w:rFonts w:ascii="Arial" w:eastAsia="STKaiti" w:hAnsi="Arial" w:cs="Arial"/>
          <w:lang w:val="es-US" w:eastAsia="es-US"/>
        </w:rPr>
        <w:t xml:space="preserve">l Informe CERD Cuba </w:t>
      </w:r>
      <w:r w:rsidR="007373D0" w:rsidRPr="007F6AD7">
        <w:rPr>
          <w:rFonts w:ascii="Arial" w:eastAsia="STKaiti" w:hAnsi="Arial" w:cs="Arial"/>
          <w:lang w:val="es-US" w:eastAsia="es-US"/>
        </w:rPr>
        <w:t xml:space="preserve">19-21 </w:t>
      </w:r>
      <w:r w:rsidR="006F5CA9" w:rsidRPr="007F6AD7">
        <w:rPr>
          <w:rFonts w:ascii="Arial" w:eastAsia="STKaiti" w:hAnsi="Arial" w:cs="Arial"/>
          <w:lang w:val="es-US" w:eastAsia="es-US"/>
        </w:rPr>
        <w:t xml:space="preserve">al </w:t>
      </w:r>
      <w:r w:rsidR="007373D0" w:rsidRPr="007F6AD7">
        <w:rPr>
          <w:rFonts w:ascii="Arial" w:eastAsia="STKaiti" w:hAnsi="Arial" w:cs="Arial"/>
          <w:lang w:val="es-US" w:eastAsia="es-US"/>
        </w:rPr>
        <w:t>notifica</w:t>
      </w:r>
      <w:r w:rsidR="006F5CA9" w:rsidRPr="007F6AD7">
        <w:rPr>
          <w:rFonts w:ascii="Arial" w:eastAsia="STKaiti" w:hAnsi="Arial" w:cs="Arial"/>
          <w:lang w:val="es-US" w:eastAsia="es-US"/>
        </w:rPr>
        <w:t>r</w:t>
      </w:r>
      <w:r w:rsidR="007373D0" w:rsidRPr="007F6AD7">
        <w:rPr>
          <w:rFonts w:ascii="Arial" w:eastAsia="STKaiti" w:hAnsi="Arial" w:cs="Arial"/>
          <w:lang w:val="es-US" w:eastAsia="es-US"/>
        </w:rPr>
        <w:t xml:space="preserve"> una amplia gama de proyectos y actividades </w:t>
      </w:r>
      <w:r w:rsidR="00663E2D" w:rsidRPr="007F6AD7">
        <w:rPr>
          <w:rFonts w:ascii="Arial" w:eastAsia="STKaiti" w:hAnsi="Arial" w:cs="Arial"/>
          <w:vertAlign w:val="superscript"/>
          <w:lang w:val="es-US" w:eastAsia="es-US"/>
        </w:rPr>
        <w:footnoteReference w:id="69"/>
      </w:r>
      <w:r w:rsidR="00663E2D" w:rsidRPr="007F6AD7">
        <w:rPr>
          <w:rFonts w:ascii="Arial" w:eastAsia="STKaiti" w:hAnsi="Arial" w:cs="Arial"/>
          <w:lang w:val="es-US" w:eastAsia="es-US"/>
        </w:rPr>
        <w:t xml:space="preserve"> </w:t>
      </w:r>
      <w:r w:rsidR="007373D0" w:rsidRPr="007F6AD7">
        <w:rPr>
          <w:rFonts w:ascii="Arial" w:eastAsia="STKaiti" w:hAnsi="Arial" w:cs="Arial"/>
          <w:lang w:val="es-US" w:eastAsia="es-US"/>
        </w:rPr>
        <w:t xml:space="preserve">realizadas en </w:t>
      </w:r>
      <w:r w:rsidR="00567374" w:rsidRPr="007F6AD7">
        <w:rPr>
          <w:rFonts w:ascii="Arial" w:eastAsia="STKaiti" w:hAnsi="Arial" w:cs="Arial"/>
          <w:lang w:val="es-US" w:eastAsia="es-US"/>
        </w:rPr>
        <w:t>el país</w:t>
      </w:r>
      <w:r w:rsidR="007373D0" w:rsidRPr="007F6AD7">
        <w:rPr>
          <w:rFonts w:ascii="Arial" w:eastAsia="STKaiti" w:hAnsi="Arial" w:cs="Arial"/>
          <w:lang w:val="es-US" w:eastAsia="es-US"/>
        </w:rPr>
        <w:t xml:space="preserve">, </w:t>
      </w:r>
      <w:r w:rsidR="007373D0" w:rsidRPr="007F6AD7">
        <w:rPr>
          <w:rFonts w:ascii="Arial" w:eastAsia="STKaiti" w:hAnsi="Arial" w:cs="Arial"/>
          <w:vertAlign w:val="superscript"/>
          <w:lang w:val="es-US" w:eastAsia="es-US"/>
        </w:rPr>
        <w:footnoteReference w:id="70"/>
      </w:r>
      <w:r w:rsidR="007373D0" w:rsidRPr="007F6AD7">
        <w:rPr>
          <w:rFonts w:ascii="Arial" w:eastAsia="STKaiti" w:hAnsi="Arial" w:cs="Arial"/>
          <w:lang w:val="es-US" w:eastAsia="es-US"/>
        </w:rPr>
        <w:t xml:space="preserve"> </w:t>
      </w:r>
      <w:r w:rsidR="00AD67F9" w:rsidRPr="007F6AD7">
        <w:rPr>
          <w:rFonts w:ascii="Arial" w:eastAsia="STKaiti" w:hAnsi="Arial" w:cs="Arial"/>
          <w:lang w:val="es-US" w:eastAsia="es-US"/>
        </w:rPr>
        <w:t xml:space="preserve">parece </w:t>
      </w:r>
      <w:r w:rsidR="007373D0" w:rsidRPr="007F6AD7">
        <w:rPr>
          <w:rFonts w:ascii="Arial" w:eastAsia="STKaiti" w:hAnsi="Arial" w:cs="Arial"/>
          <w:lang w:val="es-US" w:eastAsia="es-US"/>
        </w:rPr>
        <w:t>adopta</w:t>
      </w:r>
      <w:r w:rsidR="00AD67F9" w:rsidRPr="007F6AD7">
        <w:rPr>
          <w:rFonts w:ascii="Arial" w:eastAsia="STKaiti" w:hAnsi="Arial" w:cs="Arial"/>
          <w:lang w:val="es-US" w:eastAsia="es-US"/>
        </w:rPr>
        <w:t>r</w:t>
      </w:r>
      <w:r w:rsidR="007373D0" w:rsidRPr="007F6AD7">
        <w:rPr>
          <w:rFonts w:ascii="Arial" w:eastAsia="STKaiti" w:hAnsi="Arial" w:cs="Arial"/>
          <w:lang w:val="es-US" w:eastAsia="es-US"/>
        </w:rPr>
        <w:t xml:space="preserve"> </w:t>
      </w:r>
      <w:r w:rsidR="00AD67F9" w:rsidRPr="007F6AD7">
        <w:rPr>
          <w:rFonts w:ascii="Arial" w:eastAsia="STKaiti" w:hAnsi="Arial" w:cs="Arial"/>
          <w:lang w:val="es-US" w:eastAsia="es-US"/>
        </w:rPr>
        <w:t>la posición</w:t>
      </w:r>
      <w:r w:rsidR="007373D0" w:rsidRPr="007F6AD7">
        <w:rPr>
          <w:rFonts w:ascii="Arial" w:eastAsia="STKaiti" w:hAnsi="Arial" w:cs="Arial"/>
          <w:lang w:val="es-US" w:eastAsia="es-US"/>
        </w:rPr>
        <w:t xml:space="preserve"> de considerar la implementación de la ICERD como una función </w:t>
      </w:r>
      <w:r w:rsidR="007373D0" w:rsidRPr="007F6AD7">
        <w:rPr>
          <w:rFonts w:ascii="Arial" w:eastAsia="STKaiti" w:hAnsi="Arial" w:cs="Arial"/>
          <w:lang w:val="es-US" w:eastAsia="es-US"/>
        </w:rPr>
        <w:lastRenderedPageBreak/>
        <w:t>puramente ejecutiva.</w:t>
      </w:r>
      <w:r w:rsidR="007373D0" w:rsidRPr="007F6AD7">
        <w:rPr>
          <w:rFonts w:ascii="Arial" w:eastAsia="STKaiti" w:hAnsi="Arial" w:cs="Arial"/>
          <w:vertAlign w:val="superscript"/>
          <w:lang w:val="es-US" w:eastAsia="es-US"/>
        </w:rPr>
        <w:footnoteReference w:id="71"/>
      </w:r>
      <w:r w:rsidR="007373D0" w:rsidRPr="007F6AD7">
        <w:rPr>
          <w:rFonts w:ascii="Arial" w:eastAsia="STKaiti" w:hAnsi="Arial" w:cs="Arial"/>
          <w:vertAlign w:val="superscript"/>
          <w:lang w:val="es-US" w:eastAsia="es-US"/>
        </w:rPr>
        <w:t xml:space="preserve"> , </w:t>
      </w:r>
      <w:r w:rsidR="007373D0" w:rsidRPr="007F6AD7">
        <w:rPr>
          <w:rFonts w:ascii="Arial" w:eastAsia="STKaiti" w:hAnsi="Arial" w:cs="Arial"/>
          <w:vertAlign w:val="superscript"/>
          <w:lang w:val="es-US" w:eastAsia="es-US"/>
        </w:rPr>
        <w:footnoteReference w:id="72"/>
      </w:r>
      <w:r w:rsidR="007373D0" w:rsidRPr="007F6AD7">
        <w:rPr>
          <w:rFonts w:ascii="Arial" w:eastAsia="STKaiti" w:hAnsi="Arial" w:cs="Arial"/>
          <w:vertAlign w:val="superscript"/>
          <w:lang w:val="es-US" w:eastAsia="es-US"/>
        </w:rPr>
        <w:t xml:space="preserve"> </w:t>
      </w:r>
      <w:r w:rsidR="006F5CA9" w:rsidRPr="007F6AD7">
        <w:rPr>
          <w:rFonts w:ascii="Arial" w:eastAsia="STKaiti" w:hAnsi="Arial" w:cs="Arial"/>
          <w:lang w:val="es-US" w:eastAsia="es-US"/>
        </w:rPr>
        <w:t>dada la omisión de</w:t>
      </w:r>
      <w:r w:rsidR="007373D0" w:rsidRPr="007F6AD7">
        <w:rPr>
          <w:rFonts w:ascii="Arial" w:eastAsia="STKaiti" w:hAnsi="Arial" w:cs="Arial"/>
          <w:lang w:val="es-US" w:eastAsia="es-US"/>
        </w:rPr>
        <w:t xml:space="preserve"> </w:t>
      </w:r>
      <w:r w:rsidR="00AD67F9" w:rsidRPr="007F6AD7">
        <w:rPr>
          <w:rFonts w:ascii="Arial" w:eastAsia="STKaiti" w:hAnsi="Arial" w:cs="Arial"/>
          <w:lang w:val="es-US" w:eastAsia="es-US"/>
        </w:rPr>
        <w:t>casos, indicadores y denuncias</w:t>
      </w:r>
      <w:r w:rsidR="007373D0" w:rsidRPr="007F6AD7">
        <w:rPr>
          <w:rFonts w:ascii="Arial" w:eastAsia="STKaiti" w:hAnsi="Arial" w:cs="Arial"/>
          <w:lang w:val="es-US" w:eastAsia="es-US"/>
        </w:rPr>
        <w:t xml:space="preserve"> de discriminación racial.</w:t>
      </w:r>
      <w:r w:rsidR="007373D0" w:rsidRPr="007F6AD7">
        <w:rPr>
          <w:rFonts w:ascii="Arial" w:eastAsia="STKaiti" w:hAnsi="Arial" w:cs="Arial"/>
          <w:vertAlign w:val="superscript"/>
          <w:lang w:val="es-US" w:eastAsia="es-US"/>
        </w:rPr>
        <w:footnoteReference w:id="73"/>
      </w:r>
      <w:r w:rsidR="007373D0" w:rsidRPr="007F6AD7">
        <w:rPr>
          <w:rFonts w:ascii="Arial" w:eastAsia="STKaiti" w:hAnsi="Arial" w:cs="Arial"/>
          <w:lang w:val="es-US" w:eastAsia="es-US"/>
        </w:rPr>
        <w:t xml:space="preserve"> Al respecto, el   </w:t>
      </w:r>
      <w:r w:rsidR="006F5CA9" w:rsidRPr="007F6AD7">
        <w:rPr>
          <w:rFonts w:ascii="Arial" w:eastAsia="STKaiti" w:hAnsi="Arial" w:cs="Arial"/>
          <w:lang w:val="es-US" w:eastAsia="es-US"/>
        </w:rPr>
        <w:t>Comité CERD</w:t>
      </w:r>
      <w:r w:rsidR="007373D0" w:rsidRPr="007F6AD7">
        <w:rPr>
          <w:rFonts w:ascii="Arial" w:eastAsia="STKaiti" w:hAnsi="Arial" w:cs="Arial"/>
          <w:lang w:val="es-US" w:eastAsia="es-US"/>
        </w:rPr>
        <w:t xml:space="preserve">  </w:t>
      </w:r>
      <w:r w:rsidR="00965E05" w:rsidRPr="007F6AD7">
        <w:rPr>
          <w:rFonts w:ascii="Arial" w:eastAsia="STKaiti" w:hAnsi="Arial" w:cs="Arial"/>
          <w:lang w:val="es-US" w:eastAsia="es-US"/>
        </w:rPr>
        <w:t xml:space="preserve"> </w:t>
      </w:r>
      <w:r w:rsidR="007373D0" w:rsidRPr="007F6AD7">
        <w:rPr>
          <w:rFonts w:ascii="Arial" w:eastAsia="STKaiti" w:hAnsi="Arial" w:cs="Arial"/>
          <w:lang w:val="es-US" w:eastAsia="es-US"/>
        </w:rPr>
        <w:t>sostiene que la falta de denuncias o casos de discriminación  no demuestra la</w:t>
      </w:r>
      <w:r w:rsidR="007373D0" w:rsidRPr="007F6AD7">
        <w:rPr>
          <w:rFonts w:ascii="Arial" w:hAnsi="Arial" w:cs="Arial"/>
        </w:rPr>
        <w:t xml:space="preserve"> </w:t>
      </w:r>
      <w:r w:rsidR="007373D0" w:rsidRPr="007F6AD7">
        <w:rPr>
          <w:rFonts w:ascii="Arial" w:hAnsi="Arial" w:cs="Arial"/>
          <w:lang w:val="es-ES"/>
        </w:rPr>
        <w:t>ausencia de situaciones de discriminación racial,</w:t>
      </w:r>
      <w:r w:rsidR="00AD67F9" w:rsidRPr="007F6AD7">
        <w:rPr>
          <w:rFonts w:ascii="Arial" w:hAnsi="Arial" w:cs="Arial"/>
          <w:lang w:val="es-ES"/>
        </w:rPr>
        <w:t xml:space="preserve"> </w:t>
      </w:r>
      <w:r w:rsidR="007373D0" w:rsidRPr="007F6AD7">
        <w:rPr>
          <w:rFonts w:ascii="Arial" w:hAnsi="Arial" w:cs="Arial"/>
          <w:vertAlign w:val="superscript"/>
          <w:lang w:val="es-ES"/>
        </w:rPr>
        <w:footnoteReference w:id="74"/>
      </w:r>
      <w:r w:rsidR="007373D0" w:rsidRPr="007F6AD7">
        <w:rPr>
          <w:rFonts w:ascii="Arial" w:hAnsi="Arial" w:cs="Arial"/>
          <w:vertAlign w:val="superscript"/>
          <w:lang w:val="es-ES"/>
        </w:rPr>
        <w:t xml:space="preserve">,  </w:t>
      </w:r>
      <w:r w:rsidR="007373D0" w:rsidRPr="007F6AD7">
        <w:rPr>
          <w:rFonts w:ascii="Arial" w:hAnsi="Arial" w:cs="Arial"/>
          <w:vertAlign w:val="superscript"/>
          <w:lang w:val="es-ES"/>
        </w:rPr>
        <w:footnoteReference w:id="75"/>
      </w:r>
      <w:r w:rsidR="007373D0" w:rsidRPr="007F6AD7">
        <w:rPr>
          <w:rFonts w:ascii="Arial" w:hAnsi="Arial" w:cs="Arial"/>
          <w:lang w:val="es-ES"/>
        </w:rPr>
        <w:t xml:space="preserve">   sino que puede constituir una </w:t>
      </w:r>
      <w:r w:rsidR="007373D0" w:rsidRPr="007F6AD7">
        <w:rPr>
          <w:rFonts w:ascii="Arial" w:hAnsi="Arial" w:cs="Arial"/>
          <w:lang w:val="es-ES"/>
        </w:rPr>
        <w:lastRenderedPageBreak/>
        <w:t xml:space="preserve">prueba de falta de conocimiento de sus  derechos por parte de los ciudadanos, tal y como sucede en Cuba. </w:t>
      </w:r>
      <w:r w:rsidR="007373D0" w:rsidRPr="007F6AD7">
        <w:rPr>
          <w:rFonts w:ascii="Arial" w:hAnsi="Arial" w:cs="Arial"/>
          <w:vertAlign w:val="superscript"/>
          <w:lang w:val="es-ES"/>
        </w:rPr>
        <w:footnoteReference w:id="76"/>
      </w:r>
      <w:r w:rsidR="007373D0" w:rsidRPr="007F6AD7">
        <w:rPr>
          <w:rFonts w:ascii="Arial" w:hAnsi="Arial" w:cs="Arial"/>
          <w:vertAlign w:val="superscript"/>
          <w:lang w:val="es-ES"/>
        </w:rPr>
        <w:t xml:space="preserve"> ,</w:t>
      </w:r>
      <w:r w:rsidR="007373D0" w:rsidRPr="007F6AD7">
        <w:rPr>
          <w:rFonts w:ascii="Arial" w:hAnsi="Arial" w:cs="Arial"/>
          <w:vertAlign w:val="superscript"/>
          <w:lang w:val="es-ES"/>
        </w:rPr>
        <w:footnoteReference w:id="77"/>
      </w:r>
      <w:r w:rsidR="007373D0" w:rsidRPr="007F6AD7">
        <w:rPr>
          <w:rFonts w:ascii="Arial" w:hAnsi="Arial" w:cs="Arial"/>
          <w:lang w:val="es-ES"/>
        </w:rPr>
        <w:t xml:space="preserve"> El informe </w:t>
      </w:r>
      <w:r w:rsidR="00567374" w:rsidRPr="007F6AD7">
        <w:rPr>
          <w:rFonts w:ascii="Arial" w:hAnsi="Arial" w:cs="Arial"/>
          <w:lang w:val="es-ES"/>
        </w:rPr>
        <w:t>(2012</w:t>
      </w:r>
      <w:r w:rsidR="007373D0" w:rsidRPr="007F6AD7">
        <w:rPr>
          <w:rFonts w:ascii="Arial" w:hAnsi="Arial" w:cs="Arial"/>
          <w:lang w:val="es-ES"/>
        </w:rPr>
        <w:t xml:space="preserve">) de la Comisión Interamericana de Derechos Humanos, </w:t>
      </w:r>
      <w:r w:rsidR="007373D0" w:rsidRPr="007F6AD7">
        <w:rPr>
          <w:rFonts w:ascii="Arial" w:hAnsi="Arial" w:cs="Arial"/>
          <w:vertAlign w:val="superscript"/>
        </w:rPr>
        <w:footnoteReference w:id="78"/>
      </w:r>
      <w:r w:rsidR="007373D0" w:rsidRPr="007F6AD7">
        <w:rPr>
          <w:rFonts w:ascii="Arial" w:hAnsi="Arial" w:cs="Arial"/>
          <w:lang w:val="es-ES"/>
        </w:rPr>
        <w:t xml:space="preserve"> destaca los esfuerzos del Estado </w:t>
      </w:r>
      <w:r w:rsidR="00567374" w:rsidRPr="007F6AD7">
        <w:rPr>
          <w:rFonts w:ascii="Arial" w:hAnsi="Arial" w:cs="Arial"/>
          <w:lang w:val="es-ES"/>
        </w:rPr>
        <w:t>cubano al</w:t>
      </w:r>
      <w:r w:rsidR="007373D0" w:rsidRPr="007F6AD7">
        <w:rPr>
          <w:rFonts w:ascii="Arial" w:hAnsi="Arial" w:cs="Arial"/>
          <w:lang w:val="es-ES"/>
        </w:rPr>
        <w:t xml:space="preserve"> tratar la situación de discriminación racial en </w:t>
      </w:r>
      <w:r w:rsidR="00567374" w:rsidRPr="007F6AD7">
        <w:rPr>
          <w:rFonts w:ascii="Arial" w:hAnsi="Arial" w:cs="Arial"/>
          <w:lang w:val="es-ES"/>
        </w:rPr>
        <w:t>la nación</w:t>
      </w:r>
      <w:r w:rsidR="00FD572A" w:rsidRPr="007F6AD7">
        <w:rPr>
          <w:rFonts w:ascii="Arial" w:hAnsi="Arial" w:cs="Arial"/>
          <w:lang w:val="es-ES"/>
        </w:rPr>
        <w:t>. Las</w:t>
      </w:r>
      <w:r w:rsidR="007373D0" w:rsidRPr="007F6AD7">
        <w:rPr>
          <w:rFonts w:ascii="Arial" w:hAnsi="Arial" w:cs="Arial"/>
          <w:lang w:val="es-ES"/>
        </w:rPr>
        <w:t xml:space="preserve"> acciones afirmativas </w:t>
      </w:r>
      <w:r w:rsidR="00FD572A" w:rsidRPr="007F6AD7">
        <w:rPr>
          <w:rFonts w:ascii="Arial" w:hAnsi="Arial" w:cs="Arial"/>
          <w:lang w:val="es-ES"/>
        </w:rPr>
        <w:t>realizadas tienen</w:t>
      </w:r>
      <w:r w:rsidR="007373D0" w:rsidRPr="007F6AD7">
        <w:rPr>
          <w:rFonts w:ascii="Arial" w:hAnsi="Arial" w:cs="Arial"/>
          <w:lang w:val="es-ES"/>
        </w:rPr>
        <w:t xml:space="preserve"> el </w:t>
      </w:r>
      <w:r w:rsidR="00F215EC" w:rsidRPr="007F6AD7">
        <w:rPr>
          <w:rFonts w:ascii="Arial" w:hAnsi="Arial" w:cs="Arial"/>
          <w:lang w:val="es-ES"/>
        </w:rPr>
        <w:t>objetivo de</w:t>
      </w:r>
      <w:r w:rsidR="007373D0" w:rsidRPr="007F6AD7">
        <w:rPr>
          <w:rFonts w:ascii="Arial" w:hAnsi="Arial" w:cs="Arial"/>
          <w:lang w:val="es-ES"/>
        </w:rPr>
        <w:t xml:space="preserve"> asegurar una mayor representación de personas afrodescendientes en cargos </w:t>
      </w:r>
      <w:r w:rsidR="00567374" w:rsidRPr="007F6AD7">
        <w:rPr>
          <w:rFonts w:ascii="Arial" w:hAnsi="Arial" w:cs="Arial"/>
          <w:lang w:val="es-ES"/>
        </w:rPr>
        <w:t xml:space="preserve">públicos. </w:t>
      </w:r>
      <w:r w:rsidR="007373D0" w:rsidRPr="007F6AD7">
        <w:rPr>
          <w:rStyle w:val="Refdenotaalpie"/>
          <w:rFonts w:ascii="Arial" w:hAnsi="Arial" w:cs="Arial"/>
          <w:lang w:val="es-ES"/>
        </w:rPr>
        <w:footnoteReference w:id="79"/>
      </w:r>
      <w:r w:rsidR="00EB55F6" w:rsidRPr="007F6AD7">
        <w:rPr>
          <w:rFonts w:ascii="Arial" w:hAnsi="Arial" w:cs="Arial"/>
          <w:vertAlign w:val="superscript"/>
          <w:lang w:val="es-ES"/>
        </w:rPr>
        <w:t>,</w:t>
      </w:r>
      <w:r w:rsidR="00EB55F6" w:rsidRPr="007F6AD7">
        <w:rPr>
          <w:rFonts w:ascii="Arial" w:hAnsi="Arial" w:cs="Arial"/>
          <w:lang w:val="es-ES"/>
        </w:rPr>
        <w:t xml:space="preserve"> </w:t>
      </w:r>
      <w:r w:rsidR="00EB55F6" w:rsidRPr="007F6AD7">
        <w:rPr>
          <w:rStyle w:val="Refdenotaalpie"/>
          <w:rFonts w:ascii="Arial" w:hAnsi="Arial" w:cs="Arial"/>
          <w:lang w:val="es-ES"/>
        </w:rPr>
        <w:footnoteReference w:id="80"/>
      </w:r>
      <w:r w:rsidR="007373D0" w:rsidRPr="007F6AD7">
        <w:rPr>
          <w:rFonts w:ascii="Arial" w:hAnsi="Arial" w:cs="Arial"/>
          <w:lang w:val="es-ES"/>
        </w:rPr>
        <w:t xml:space="preserve"> </w:t>
      </w:r>
      <w:r w:rsidR="00FD572A" w:rsidRPr="007F6AD7">
        <w:rPr>
          <w:rFonts w:ascii="Arial" w:hAnsi="Arial" w:cs="Arial"/>
          <w:lang w:val="es-ES"/>
        </w:rPr>
        <w:t>Al respecto, e</w:t>
      </w:r>
      <w:r w:rsidR="007373D0" w:rsidRPr="007F6AD7">
        <w:rPr>
          <w:rFonts w:ascii="Arial" w:hAnsi="Arial" w:cs="Arial"/>
          <w:lang w:val="es-ES"/>
        </w:rPr>
        <w:t xml:space="preserve">l Presidente Raúl Castro, desde el 2008, ha desarrollado una política de cuotas en los cargos dirigentes </w:t>
      </w:r>
      <w:r w:rsidR="00FD572A" w:rsidRPr="007F6AD7">
        <w:rPr>
          <w:rFonts w:ascii="Arial" w:hAnsi="Arial" w:cs="Arial"/>
          <w:lang w:val="es-ES"/>
        </w:rPr>
        <w:t>para</w:t>
      </w:r>
      <w:r w:rsidR="007373D0" w:rsidRPr="007F6AD7">
        <w:rPr>
          <w:rFonts w:ascii="Arial" w:hAnsi="Arial" w:cs="Arial"/>
          <w:lang w:val="es-ES"/>
        </w:rPr>
        <w:t xml:space="preserve"> incrementar el número de mujeres y afrodescendientes </w:t>
      </w:r>
      <w:r w:rsidR="00A836C7" w:rsidRPr="007F6AD7">
        <w:rPr>
          <w:rFonts w:ascii="Arial" w:hAnsi="Arial" w:cs="Arial"/>
          <w:lang w:val="es-ES"/>
        </w:rPr>
        <w:t>elegidos</w:t>
      </w:r>
      <w:r w:rsidR="007373D0" w:rsidRPr="007F6AD7">
        <w:rPr>
          <w:rFonts w:ascii="Arial" w:hAnsi="Arial" w:cs="Arial"/>
          <w:lang w:val="es-ES"/>
        </w:rPr>
        <w:t>.</w:t>
      </w:r>
      <w:r w:rsidR="00AD67F9" w:rsidRPr="007F6AD7">
        <w:rPr>
          <w:rFonts w:ascii="Arial" w:hAnsi="Arial" w:cs="Arial"/>
          <w:lang w:val="es-ES"/>
        </w:rPr>
        <w:t xml:space="preserve"> </w:t>
      </w:r>
      <w:r w:rsidR="00AD67F9" w:rsidRPr="007F6AD7">
        <w:rPr>
          <w:rFonts w:ascii="Arial" w:eastAsia="STKaiti" w:hAnsi="Arial" w:cs="Arial"/>
          <w:lang w:val="es-ES" w:eastAsia="es-US"/>
        </w:rPr>
        <w:t>Estas</w:t>
      </w:r>
      <w:r w:rsidR="007373D0" w:rsidRPr="007F6AD7">
        <w:rPr>
          <w:rFonts w:ascii="Arial" w:eastAsia="STKaiti" w:hAnsi="Arial" w:cs="Arial"/>
          <w:lang w:val="es-ES" w:eastAsia="es-US"/>
        </w:rPr>
        <w:t xml:space="preserve"> iniciativas gubernamentales favorece</w:t>
      </w:r>
      <w:r w:rsidR="00FD572A" w:rsidRPr="007F6AD7">
        <w:rPr>
          <w:rFonts w:ascii="Arial" w:eastAsia="STKaiti" w:hAnsi="Arial" w:cs="Arial"/>
          <w:lang w:val="es-ES" w:eastAsia="es-US"/>
        </w:rPr>
        <w:t>n</w:t>
      </w:r>
      <w:r w:rsidR="007373D0" w:rsidRPr="007F6AD7">
        <w:rPr>
          <w:rFonts w:ascii="Arial" w:eastAsia="STKaiti" w:hAnsi="Arial" w:cs="Arial"/>
          <w:lang w:val="es-ES" w:eastAsia="es-US"/>
        </w:rPr>
        <w:t xml:space="preserve">  los derechos de las personas afrodescendientes </w:t>
      </w:r>
      <w:r w:rsidR="00FD572A" w:rsidRPr="007F6AD7">
        <w:rPr>
          <w:rFonts w:ascii="Arial" w:eastAsia="STKaiti" w:hAnsi="Arial" w:cs="Arial"/>
          <w:lang w:val="es-ES" w:eastAsia="es-US"/>
        </w:rPr>
        <w:t xml:space="preserve"> </w:t>
      </w:r>
      <w:r w:rsidR="00190D60" w:rsidRPr="007F6AD7">
        <w:rPr>
          <w:rFonts w:ascii="Arial" w:eastAsia="STKaiti" w:hAnsi="Arial" w:cs="Arial"/>
          <w:lang w:val="es-ES" w:eastAsia="es-US"/>
        </w:rPr>
        <w:t xml:space="preserve">y a </w:t>
      </w:r>
      <w:r w:rsidR="00504285" w:rsidRPr="007F6AD7">
        <w:rPr>
          <w:rFonts w:ascii="Arial" w:eastAsia="STKaiti" w:hAnsi="Arial" w:cs="Arial"/>
          <w:lang w:val="es-ES" w:eastAsia="es-US"/>
        </w:rPr>
        <w:t>su</w:t>
      </w:r>
      <w:r w:rsidR="00190D60" w:rsidRPr="007F6AD7">
        <w:rPr>
          <w:rFonts w:ascii="Arial" w:eastAsia="STKaiti" w:hAnsi="Arial" w:cs="Arial"/>
          <w:lang w:val="es-ES" w:eastAsia="es-US"/>
        </w:rPr>
        <w:t xml:space="preserve"> vez acepta</w:t>
      </w:r>
      <w:r w:rsidR="00504285" w:rsidRPr="007F6AD7">
        <w:rPr>
          <w:rFonts w:ascii="Arial" w:eastAsia="STKaiti" w:hAnsi="Arial" w:cs="Arial"/>
          <w:lang w:val="es-ES" w:eastAsia="es-US"/>
        </w:rPr>
        <w:t>ron</w:t>
      </w:r>
      <w:r w:rsidR="00361DE5" w:rsidRPr="007F6AD7">
        <w:rPr>
          <w:rFonts w:ascii="Arial" w:eastAsia="STKaiti" w:hAnsi="Arial" w:cs="Arial"/>
          <w:lang w:val="es-ES" w:eastAsia="es-US"/>
        </w:rPr>
        <w:t xml:space="preserve"> </w:t>
      </w:r>
      <w:r w:rsidR="007373D0" w:rsidRPr="007F6AD7">
        <w:rPr>
          <w:rFonts w:ascii="Arial" w:eastAsia="STKaiti" w:hAnsi="Arial" w:cs="Arial"/>
          <w:lang w:val="es-ES" w:eastAsia="es-US"/>
        </w:rPr>
        <w:t xml:space="preserve">la  destitución del intelectual cubano Roberto Zurbano,  quien perdió su cargo de director del Fondo Editorial de Casa de las Américas </w:t>
      </w:r>
      <w:r w:rsidR="00C75817" w:rsidRPr="007F6AD7">
        <w:rPr>
          <w:rFonts w:ascii="Arial" w:eastAsia="STKaiti" w:hAnsi="Arial" w:cs="Arial"/>
          <w:lang w:val="es-ES" w:eastAsia="es-US"/>
        </w:rPr>
        <w:t>p</w:t>
      </w:r>
      <w:r w:rsidR="007373D0" w:rsidRPr="007F6AD7">
        <w:rPr>
          <w:rFonts w:ascii="Arial" w:eastAsia="STKaiti" w:hAnsi="Arial" w:cs="Arial"/>
          <w:lang w:val="es-ES" w:eastAsia="es-US"/>
        </w:rPr>
        <w:t>or opinar en el periódico New York Times,</w:t>
      </w:r>
      <w:r w:rsidR="007373D0" w:rsidRPr="007F6AD7">
        <w:rPr>
          <w:rFonts w:ascii="Arial" w:eastAsia="STKaiti" w:hAnsi="Arial" w:cs="Arial"/>
          <w:vertAlign w:val="superscript"/>
          <w:lang w:val="es-ES" w:eastAsia="es-US"/>
        </w:rPr>
        <w:footnoteReference w:id="81"/>
      </w:r>
      <w:r w:rsidR="007373D0" w:rsidRPr="007F6AD7">
        <w:rPr>
          <w:rFonts w:ascii="Arial" w:eastAsia="STKaiti" w:hAnsi="Arial" w:cs="Arial"/>
          <w:vertAlign w:val="superscript"/>
          <w:lang w:val="es-ES" w:eastAsia="es-US"/>
        </w:rPr>
        <w:t xml:space="preserve"> </w:t>
      </w:r>
      <w:r w:rsidR="007373D0" w:rsidRPr="007F6AD7">
        <w:rPr>
          <w:rFonts w:ascii="Arial" w:eastAsia="STKaiti" w:hAnsi="Arial" w:cs="Arial"/>
          <w:lang w:val="es-ES" w:eastAsia="es-US"/>
        </w:rPr>
        <w:t>sobre el racismo en Cuba después de 1959.</w:t>
      </w:r>
      <w:r w:rsidR="007373D0" w:rsidRPr="007F6AD7">
        <w:rPr>
          <w:rFonts w:ascii="Arial" w:eastAsia="STKaiti" w:hAnsi="Arial" w:cs="Arial"/>
          <w:vertAlign w:val="superscript"/>
          <w:lang w:val="es-ES" w:eastAsia="es-US"/>
        </w:rPr>
        <w:footnoteReference w:id="82"/>
      </w:r>
      <w:r w:rsidR="007373D0" w:rsidRPr="007F6AD7">
        <w:rPr>
          <w:rFonts w:ascii="Arial" w:eastAsia="STKaiti" w:hAnsi="Arial" w:cs="Arial"/>
          <w:lang w:val="es-ES" w:eastAsia="es-US"/>
        </w:rPr>
        <w:t xml:space="preserve">  </w:t>
      </w:r>
      <w:r w:rsidR="00C75817" w:rsidRPr="007F6AD7">
        <w:rPr>
          <w:rFonts w:ascii="Arial" w:eastAsia="STKaiti" w:hAnsi="Arial" w:cs="Arial"/>
          <w:lang w:val="es-ES" w:eastAsia="es-US"/>
        </w:rPr>
        <w:t>La Casa de las Américas es una</w:t>
      </w:r>
      <w:r w:rsidR="00567374" w:rsidRPr="007F6AD7">
        <w:rPr>
          <w:rFonts w:ascii="Arial" w:eastAsia="STKaiti" w:hAnsi="Arial" w:cs="Arial"/>
          <w:lang w:val="es-ES" w:eastAsia="es-US"/>
        </w:rPr>
        <w:t xml:space="preserve"> </w:t>
      </w:r>
      <w:r w:rsidR="00BD2AC8" w:rsidRPr="007F6AD7">
        <w:rPr>
          <w:rFonts w:ascii="Arial" w:eastAsia="STKaiti" w:hAnsi="Arial" w:cs="Arial"/>
          <w:lang w:val="es-ES" w:eastAsia="es-US"/>
        </w:rPr>
        <w:t>influyente institución</w:t>
      </w:r>
      <w:r w:rsidR="00C75817" w:rsidRPr="007F6AD7">
        <w:rPr>
          <w:rFonts w:ascii="Arial" w:eastAsia="STKaiti" w:hAnsi="Arial" w:cs="Arial"/>
          <w:lang w:val="es-ES" w:eastAsia="es-US"/>
        </w:rPr>
        <w:t xml:space="preserve"> estatal</w:t>
      </w:r>
      <w:r w:rsidR="00567374" w:rsidRPr="007F6AD7">
        <w:rPr>
          <w:rFonts w:ascii="Arial" w:eastAsia="STKaiti" w:hAnsi="Arial" w:cs="Arial"/>
          <w:lang w:val="es-ES" w:eastAsia="es-US"/>
        </w:rPr>
        <w:t xml:space="preserve">, catalogada </w:t>
      </w:r>
      <w:r w:rsidR="00BD2AC8" w:rsidRPr="007F6AD7">
        <w:rPr>
          <w:rFonts w:ascii="Arial" w:eastAsia="STKaiti" w:hAnsi="Arial" w:cs="Arial"/>
          <w:lang w:val="es-ES" w:eastAsia="es-US"/>
        </w:rPr>
        <w:t>como insignia</w:t>
      </w:r>
      <w:r w:rsidR="00C75817" w:rsidRPr="007F6AD7">
        <w:rPr>
          <w:rFonts w:ascii="Arial" w:eastAsia="STKaiti" w:hAnsi="Arial" w:cs="Arial"/>
          <w:lang w:val="es-ES" w:eastAsia="es-US"/>
        </w:rPr>
        <w:t xml:space="preserve"> de la cultura </w:t>
      </w:r>
      <w:r w:rsidR="00567374" w:rsidRPr="007F6AD7">
        <w:rPr>
          <w:rFonts w:ascii="Arial" w:eastAsia="STKaiti" w:hAnsi="Arial" w:cs="Arial"/>
          <w:lang w:val="es-ES" w:eastAsia="es-US"/>
        </w:rPr>
        <w:t>nacional</w:t>
      </w:r>
      <w:r w:rsidR="00C75817" w:rsidRPr="007F6AD7">
        <w:rPr>
          <w:rFonts w:ascii="Arial" w:eastAsia="STKaiti" w:hAnsi="Arial" w:cs="Arial"/>
          <w:lang w:val="es-ES" w:eastAsia="es-US"/>
        </w:rPr>
        <w:t>.</w:t>
      </w:r>
    </w:p>
    <w:p w14:paraId="54DFFFC5" w14:textId="192BB765" w:rsidR="007373D0" w:rsidRPr="007F6AD7" w:rsidRDefault="00D16FBE" w:rsidP="00D16FBE">
      <w:pPr>
        <w:spacing w:line="360" w:lineRule="auto"/>
        <w:jc w:val="both"/>
        <w:rPr>
          <w:rFonts w:ascii="Arial" w:hAnsi="Arial" w:cs="Arial"/>
        </w:rPr>
      </w:pPr>
      <w:r>
        <w:rPr>
          <w:rFonts w:ascii="Arial" w:hAnsi="Arial" w:cs="Arial"/>
        </w:rPr>
        <w:t xml:space="preserve">16.   </w:t>
      </w:r>
      <w:r w:rsidR="007373D0" w:rsidRPr="007F6AD7">
        <w:rPr>
          <w:rFonts w:ascii="Arial" w:hAnsi="Arial" w:cs="Arial"/>
        </w:rPr>
        <w:t>En consecuencia, con algunos avances</w:t>
      </w:r>
      <w:r w:rsidR="00B60C5F" w:rsidRPr="007F6AD7">
        <w:rPr>
          <w:rFonts w:ascii="Arial" w:hAnsi="Arial" w:cs="Arial"/>
        </w:rPr>
        <w:t>, el</w:t>
      </w:r>
      <w:r w:rsidR="007373D0" w:rsidRPr="007F6AD7">
        <w:rPr>
          <w:rFonts w:ascii="Arial" w:hAnsi="Arial" w:cs="Arial"/>
        </w:rPr>
        <w:t xml:space="preserve"> tema racial </w:t>
      </w:r>
      <w:r w:rsidR="002F1ABD" w:rsidRPr="007F6AD7">
        <w:rPr>
          <w:rFonts w:ascii="Arial" w:hAnsi="Arial" w:cs="Arial"/>
        </w:rPr>
        <w:t xml:space="preserve">convive </w:t>
      </w:r>
      <w:r w:rsidR="00FD572A" w:rsidRPr="007F6AD7">
        <w:rPr>
          <w:rFonts w:ascii="Arial" w:hAnsi="Arial" w:cs="Arial"/>
        </w:rPr>
        <w:t>entre</w:t>
      </w:r>
      <w:r w:rsidR="007373D0" w:rsidRPr="007F6AD7">
        <w:rPr>
          <w:rFonts w:ascii="Arial" w:hAnsi="Arial" w:cs="Arial"/>
        </w:rPr>
        <w:t xml:space="preserve"> las élites intelectuales cubanas y activistas de derechos humanos.</w:t>
      </w:r>
      <w:r w:rsidR="007373D0" w:rsidRPr="007F6AD7">
        <w:rPr>
          <w:rStyle w:val="Refdenotaalpie"/>
          <w:rFonts w:ascii="Arial" w:hAnsi="Arial" w:cs="Arial"/>
        </w:rPr>
        <w:footnoteReference w:id="83"/>
      </w:r>
      <w:r w:rsidR="007373D0" w:rsidRPr="007F6AD7">
        <w:rPr>
          <w:rFonts w:ascii="Arial" w:hAnsi="Arial" w:cs="Arial"/>
          <w:vertAlign w:val="superscript"/>
        </w:rPr>
        <w:t xml:space="preserve">,  </w:t>
      </w:r>
      <w:r w:rsidR="007373D0" w:rsidRPr="007F6AD7">
        <w:rPr>
          <w:rStyle w:val="Refdenotaalpie"/>
          <w:rFonts w:ascii="Arial" w:hAnsi="Arial" w:cs="Arial"/>
        </w:rPr>
        <w:footnoteReference w:id="84"/>
      </w:r>
      <w:r w:rsidR="007373D0" w:rsidRPr="007F6AD7">
        <w:rPr>
          <w:rFonts w:ascii="Arial" w:hAnsi="Arial" w:cs="Arial"/>
        </w:rPr>
        <w:t xml:space="preserve">  Al obviar </w:t>
      </w:r>
      <w:r w:rsidR="002F1ABD" w:rsidRPr="007F6AD7">
        <w:rPr>
          <w:rFonts w:ascii="Arial" w:hAnsi="Arial" w:cs="Arial"/>
        </w:rPr>
        <w:t xml:space="preserve">otras formas de </w:t>
      </w:r>
      <w:r w:rsidR="007373D0" w:rsidRPr="007F6AD7">
        <w:rPr>
          <w:rFonts w:ascii="Arial" w:hAnsi="Arial" w:cs="Arial"/>
        </w:rPr>
        <w:t>discriminación</w:t>
      </w:r>
      <w:r w:rsidR="002F1ABD" w:rsidRPr="007F6AD7">
        <w:rPr>
          <w:rFonts w:ascii="Arial" w:hAnsi="Arial" w:cs="Arial"/>
        </w:rPr>
        <w:t xml:space="preserve"> racial</w:t>
      </w:r>
      <w:r w:rsidR="007373D0" w:rsidRPr="007F6AD7">
        <w:rPr>
          <w:rFonts w:ascii="Arial" w:hAnsi="Arial" w:cs="Arial"/>
        </w:rPr>
        <w:t xml:space="preserve"> </w:t>
      </w:r>
      <w:r w:rsidR="002F1ABD" w:rsidRPr="007F6AD7">
        <w:rPr>
          <w:rFonts w:ascii="Arial" w:hAnsi="Arial" w:cs="Arial"/>
        </w:rPr>
        <w:t xml:space="preserve">y la </w:t>
      </w:r>
      <w:r w:rsidR="002F1ABD" w:rsidRPr="007F6AD7">
        <w:rPr>
          <w:rFonts w:ascii="Arial" w:hAnsi="Arial" w:cs="Arial"/>
        </w:rPr>
        <w:lastRenderedPageBreak/>
        <w:t>ICERD</w:t>
      </w:r>
      <w:r w:rsidR="00B60C5F" w:rsidRPr="007F6AD7">
        <w:rPr>
          <w:rFonts w:ascii="Arial" w:hAnsi="Arial" w:cs="Arial"/>
        </w:rPr>
        <w:t>, la</w:t>
      </w:r>
      <w:r w:rsidR="007373D0" w:rsidRPr="007F6AD7">
        <w:rPr>
          <w:rFonts w:ascii="Arial" w:hAnsi="Arial" w:cs="Arial"/>
        </w:rPr>
        <w:t xml:space="preserve"> Academia al parecer, todavía emplea conceptos discutibles y no </w:t>
      </w:r>
      <w:r w:rsidR="00FD572A" w:rsidRPr="007F6AD7">
        <w:rPr>
          <w:rFonts w:ascii="Arial" w:hAnsi="Arial" w:cs="Arial"/>
        </w:rPr>
        <w:t>instruye</w:t>
      </w:r>
      <w:r w:rsidR="007373D0" w:rsidRPr="007F6AD7">
        <w:rPr>
          <w:rFonts w:ascii="Arial" w:hAnsi="Arial" w:cs="Arial"/>
        </w:rPr>
        <w:t xml:space="preserve"> de forma adecuada e integral a los profesionales de las distintas disciplinas en los conocimientos que se necesitan para barrer con la discriminación por género y raza. </w:t>
      </w:r>
      <w:r w:rsidR="007373D0" w:rsidRPr="007F6AD7">
        <w:rPr>
          <w:rFonts w:ascii="Arial" w:hAnsi="Arial" w:cs="Arial"/>
          <w:vertAlign w:val="superscript"/>
        </w:rPr>
        <w:footnoteReference w:id="85"/>
      </w:r>
      <w:r w:rsidR="007373D0" w:rsidRPr="007F6AD7">
        <w:rPr>
          <w:rFonts w:ascii="Arial" w:hAnsi="Arial" w:cs="Arial"/>
          <w:vertAlign w:val="superscript"/>
        </w:rPr>
        <w:t xml:space="preserve"> </w:t>
      </w:r>
      <w:r w:rsidR="007373D0" w:rsidRPr="007F6AD7">
        <w:rPr>
          <w:rFonts w:ascii="Arial" w:hAnsi="Arial" w:cs="Arial"/>
        </w:rPr>
        <w:t xml:space="preserve">La televisión debería ser un mecanismo de cambio, pero quienes determinan la programación no están </w:t>
      </w:r>
      <w:r w:rsidR="00FD572A" w:rsidRPr="007F6AD7">
        <w:rPr>
          <w:rFonts w:ascii="Arial" w:hAnsi="Arial" w:cs="Arial"/>
        </w:rPr>
        <w:t>listos</w:t>
      </w:r>
      <w:r w:rsidR="007373D0" w:rsidRPr="007F6AD7">
        <w:rPr>
          <w:rFonts w:ascii="Arial" w:hAnsi="Arial" w:cs="Arial"/>
        </w:rPr>
        <w:t xml:space="preserve"> tampoco.</w:t>
      </w:r>
      <w:r w:rsidR="007373D0" w:rsidRPr="007F6AD7">
        <w:rPr>
          <w:rStyle w:val="Refdenotaalpie"/>
          <w:rFonts w:ascii="Arial" w:hAnsi="Arial" w:cs="Arial"/>
        </w:rPr>
        <w:footnoteReference w:id="86"/>
      </w:r>
      <w:r w:rsidR="007373D0" w:rsidRPr="007F6AD7">
        <w:rPr>
          <w:rFonts w:ascii="Arial" w:hAnsi="Arial" w:cs="Arial"/>
        </w:rPr>
        <w:t xml:space="preserve"> </w:t>
      </w:r>
      <w:r w:rsidR="007373D0" w:rsidRPr="007F6AD7">
        <w:rPr>
          <w:rFonts w:ascii="Arial" w:hAnsi="Arial" w:cs="Arial"/>
          <w:vertAlign w:val="superscript"/>
        </w:rPr>
        <w:t xml:space="preserve">, </w:t>
      </w:r>
      <w:r w:rsidR="007373D0" w:rsidRPr="007F6AD7">
        <w:rPr>
          <w:rStyle w:val="Refdenotaalpie"/>
          <w:rFonts w:ascii="Arial" w:hAnsi="Arial" w:cs="Arial"/>
        </w:rPr>
        <w:footnoteReference w:id="87"/>
      </w:r>
      <w:r w:rsidR="007373D0" w:rsidRPr="007F6AD7">
        <w:rPr>
          <w:rFonts w:ascii="Arial" w:hAnsi="Arial" w:cs="Arial"/>
        </w:rPr>
        <w:t xml:space="preserve">  También concurren otras circunstancias </w:t>
      </w:r>
      <w:r w:rsidR="00FD572A" w:rsidRPr="007F6AD7">
        <w:rPr>
          <w:rFonts w:ascii="Arial" w:hAnsi="Arial" w:cs="Arial"/>
        </w:rPr>
        <w:t>y</w:t>
      </w:r>
      <w:r w:rsidR="007373D0" w:rsidRPr="007F6AD7">
        <w:rPr>
          <w:rFonts w:ascii="Arial" w:hAnsi="Arial" w:cs="Arial"/>
        </w:rPr>
        <w:t xml:space="preserve"> normativas, algunas mencionadas anteriormente en este informe</w:t>
      </w:r>
      <w:r w:rsidR="007373D0" w:rsidRPr="007F6AD7">
        <w:rPr>
          <w:rStyle w:val="Refdenotaalpie"/>
          <w:rFonts w:ascii="Arial" w:hAnsi="Arial" w:cs="Arial"/>
        </w:rPr>
        <w:t xml:space="preserve"> </w:t>
      </w:r>
      <w:r w:rsidR="007373D0" w:rsidRPr="007F6AD7">
        <w:rPr>
          <w:rFonts w:ascii="Arial" w:hAnsi="Arial" w:cs="Arial"/>
        </w:rPr>
        <w:t xml:space="preserve"> que dejan en estado de indefensión al ciudadano. La Resolución Número 175/2015, dictada por el Ministerio de Justicia, obliga a los abogados y otros técnicos del derecho a brindar información a las autoridades sobre las actividades de sus representados que pudieran considerarse ilegales.</w:t>
      </w:r>
      <w:r w:rsidR="007373D0" w:rsidRPr="007F6AD7">
        <w:rPr>
          <w:rStyle w:val="Refdenotaalpie"/>
          <w:rFonts w:ascii="Arial" w:hAnsi="Arial" w:cs="Arial"/>
        </w:rPr>
        <w:footnoteReference w:id="88"/>
      </w:r>
      <w:r w:rsidR="007373D0" w:rsidRPr="007F6AD7">
        <w:rPr>
          <w:rFonts w:ascii="Arial" w:hAnsi="Arial" w:cs="Arial"/>
        </w:rPr>
        <w:t xml:space="preserve"> </w:t>
      </w:r>
    </w:p>
    <w:p w14:paraId="7DE1D866" w14:textId="4F0C8C94" w:rsidR="000A1A1E" w:rsidRPr="007F6AD7" w:rsidRDefault="000A1A1E" w:rsidP="00DA7CB5">
      <w:pPr>
        <w:pStyle w:val="Ttulo2"/>
      </w:pPr>
      <w:bookmarkStart w:id="70" w:name="_Toc515359790"/>
      <w:r w:rsidRPr="007F6AD7">
        <w:t>Obstáculos en la Implementación de la Convención ICERD</w:t>
      </w:r>
      <w:bookmarkEnd w:id="70"/>
    </w:p>
    <w:p w14:paraId="45235D54" w14:textId="6E92078F" w:rsidR="000A1A1E" w:rsidRPr="007F6AD7" w:rsidRDefault="00CA4FF3" w:rsidP="00A7397D">
      <w:pPr>
        <w:pStyle w:val="Ttulo3"/>
        <w:rPr>
          <w:lang w:val="es-ES"/>
        </w:rPr>
      </w:pPr>
      <w:bookmarkStart w:id="71" w:name="_Toc515359791"/>
      <w:r w:rsidRPr="007F6AD7">
        <w:t>Legislaci</w:t>
      </w:r>
      <w:r w:rsidR="00FB42AE" w:rsidRPr="007F6AD7">
        <w:t>o</w:t>
      </w:r>
      <w:r w:rsidRPr="007F6AD7">
        <w:t>n y diligencias excluyentes</w:t>
      </w:r>
      <w:bookmarkEnd w:id="71"/>
      <w:r w:rsidR="00785E2F" w:rsidRPr="007F6AD7">
        <w:t xml:space="preserve"> </w:t>
      </w:r>
    </w:p>
    <w:p w14:paraId="37841910" w14:textId="4DAD1A55" w:rsidR="005970A9" w:rsidRPr="007F6AD7" w:rsidRDefault="009E5D86" w:rsidP="009E5D86">
      <w:pPr>
        <w:tabs>
          <w:tab w:val="left" w:pos="567"/>
        </w:tabs>
        <w:spacing w:after="0" w:line="360" w:lineRule="auto"/>
        <w:jc w:val="both"/>
        <w:rPr>
          <w:rFonts w:ascii="Arial" w:hAnsi="Arial" w:cs="Arial"/>
        </w:rPr>
      </w:pPr>
      <w:r>
        <w:rPr>
          <w:rFonts w:ascii="Arial" w:hAnsi="Arial" w:cs="Arial"/>
        </w:rPr>
        <w:t xml:space="preserve">17.  </w:t>
      </w:r>
      <w:r w:rsidR="00674AB7" w:rsidRPr="007F6AD7">
        <w:rPr>
          <w:rFonts w:ascii="Arial" w:hAnsi="Arial" w:cs="Arial"/>
        </w:rPr>
        <w:t>El</w:t>
      </w:r>
      <w:r w:rsidR="000A1A1E" w:rsidRPr="007F6AD7">
        <w:rPr>
          <w:rFonts w:ascii="Arial" w:hAnsi="Arial" w:cs="Arial"/>
        </w:rPr>
        <w:t xml:space="preserve"> Ministerio de Justicia (MINJUS),</w:t>
      </w:r>
      <w:r w:rsidR="00AA5F93" w:rsidRPr="007F6AD7">
        <w:rPr>
          <w:rStyle w:val="Refdenotaalpie"/>
          <w:rFonts w:ascii="Arial" w:hAnsi="Arial" w:cs="Arial"/>
        </w:rPr>
        <w:footnoteReference w:id="89"/>
      </w:r>
      <w:r w:rsidR="000A1A1E" w:rsidRPr="007F6AD7">
        <w:rPr>
          <w:rFonts w:ascii="Arial" w:hAnsi="Arial" w:cs="Arial"/>
        </w:rPr>
        <w:t xml:space="preserve"> autoridad encargada del registro de asociaciones, deniega las solicitudes de inscripción de organizaciones surgidas de manera </w:t>
      </w:r>
      <w:r w:rsidR="00C536F0" w:rsidRPr="007F6AD7">
        <w:rPr>
          <w:rFonts w:ascii="Arial" w:hAnsi="Arial" w:cs="Arial"/>
        </w:rPr>
        <w:t xml:space="preserve">espontánea </w:t>
      </w:r>
      <w:r w:rsidR="000A1A1E" w:rsidRPr="007F6AD7">
        <w:rPr>
          <w:rFonts w:ascii="Arial" w:hAnsi="Arial" w:cs="Arial"/>
        </w:rPr>
        <w:t>y</w:t>
      </w:r>
      <w:r w:rsidR="00C536F0" w:rsidRPr="007F6AD7">
        <w:rPr>
          <w:rFonts w:ascii="Arial" w:hAnsi="Arial" w:cs="Arial"/>
        </w:rPr>
        <w:t xml:space="preserve"> autónoma</w:t>
      </w:r>
      <w:r w:rsidR="000A1A1E" w:rsidRPr="007F6AD7">
        <w:rPr>
          <w:rFonts w:ascii="Arial" w:hAnsi="Arial" w:cs="Arial"/>
        </w:rPr>
        <w:t>,</w:t>
      </w:r>
      <w:r w:rsidR="00C536F0" w:rsidRPr="007F6AD7">
        <w:rPr>
          <w:rFonts w:ascii="Arial" w:hAnsi="Arial" w:cs="Arial"/>
        </w:rPr>
        <w:t xml:space="preserve"> </w:t>
      </w:r>
      <w:r w:rsidR="006B1074" w:rsidRPr="007F6AD7">
        <w:rPr>
          <w:rFonts w:ascii="Arial" w:hAnsi="Arial" w:cs="Arial"/>
        </w:rPr>
        <w:t xml:space="preserve">si </w:t>
      </w:r>
      <w:r w:rsidR="006B1074" w:rsidRPr="007F6AD7">
        <w:rPr>
          <w:rFonts w:ascii="Arial" w:hAnsi="Arial" w:cs="Arial"/>
        </w:rPr>
        <w:lastRenderedPageBreak/>
        <w:t>pretenden promover</w:t>
      </w:r>
      <w:r w:rsidR="000A1A1E" w:rsidRPr="007F6AD7">
        <w:rPr>
          <w:rFonts w:ascii="Arial" w:hAnsi="Arial" w:cs="Arial"/>
        </w:rPr>
        <w:t xml:space="preserve"> y defender el derecho de las personas</w:t>
      </w:r>
      <w:r w:rsidR="00AA13CF" w:rsidRPr="007F6AD7">
        <w:rPr>
          <w:rFonts w:ascii="Arial" w:hAnsi="Arial" w:cs="Arial"/>
        </w:rPr>
        <w:t xml:space="preserve"> u otros intereses</w:t>
      </w:r>
      <w:r w:rsidR="006B1074" w:rsidRPr="007F6AD7">
        <w:rPr>
          <w:rFonts w:ascii="Arial" w:hAnsi="Arial" w:cs="Arial"/>
        </w:rPr>
        <w:t>.</w:t>
      </w:r>
      <w:r w:rsidR="000A1A1E" w:rsidRPr="007F6AD7">
        <w:rPr>
          <w:rStyle w:val="Refdenotaalpie"/>
          <w:rFonts w:ascii="Arial" w:hAnsi="Arial" w:cs="Arial"/>
        </w:rPr>
        <w:footnoteReference w:id="90"/>
      </w:r>
      <w:r w:rsidR="000A1A1E" w:rsidRPr="007F6AD7">
        <w:rPr>
          <w:rFonts w:ascii="Arial" w:hAnsi="Arial" w:cs="Arial"/>
        </w:rPr>
        <w:t xml:space="preserve"> </w:t>
      </w:r>
      <w:r w:rsidR="002A121E" w:rsidRPr="007F6AD7">
        <w:rPr>
          <w:rFonts w:ascii="Arial" w:hAnsi="Arial" w:cs="Arial"/>
        </w:rPr>
        <w:t>Mediante el</w:t>
      </w:r>
      <w:r w:rsidR="000A1A1E" w:rsidRPr="007F6AD7">
        <w:rPr>
          <w:rFonts w:ascii="Arial" w:hAnsi="Arial" w:cs="Arial"/>
        </w:rPr>
        <w:t xml:space="preserve"> argumento de que la Ley de Asociaciones</w:t>
      </w:r>
      <w:r w:rsidR="00AA13CF" w:rsidRPr="007F6AD7">
        <w:rPr>
          <w:rStyle w:val="Refdenotaalpie"/>
          <w:rFonts w:ascii="Arial" w:hAnsi="Arial" w:cs="Arial"/>
        </w:rPr>
        <w:footnoteReference w:id="91"/>
      </w:r>
      <w:r w:rsidR="00CA4FF3" w:rsidRPr="007F6AD7">
        <w:rPr>
          <w:rFonts w:ascii="Arial" w:hAnsi="Arial" w:cs="Arial"/>
        </w:rPr>
        <w:t xml:space="preserve"> </w:t>
      </w:r>
      <w:r w:rsidR="000A1A1E" w:rsidRPr="007F6AD7">
        <w:rPr>
          <w:rFonts w:ascii="Arial" w:hAnsi="Arial" w:cs="Arial"/>
        </w:rPr>
        <w:t>prohíbe la coincidencia de objetivos con</w:t>
      </w:r>
      <w:r w:rsidR="00CA4FF3" w:rsidRPr="007F6AD7">
        <w:rPr>
          <w:rFonts w:ascii="Arial" w:hAnsi="Arial" w:cs="Arial"/>
        </w:rPr>
        <w:t xml:space="preserve"> entidades del Estado </w:t>
      </w:r>
      <w:r w:rsidR="00AA13CF" w:rsidRPr="007F6AD7">
        <w:rPr>
          <w:rFonts w:ascii="Arial" w:hAnsi="Arial" w:cs="Arial"/>
        </w:rPr>
        <w:t>u</w:t>
      </w:r>
      <w:r w:rsidR="000A1A1E" w:rsidRPr="007F6AD7">
        <w:rPr>
          <w:rFonts w:ascii="Arial" w:hAnsi="Arial" w:cs="Arial"/>
        </w:rPr>
        <w:t xml:space="preserve"> otras organizaciones ya constituidas</w:t>
      </w:r>
      <w:r w:rsidR="00FB42AE" w:rsidRPr="007F6AD7">
        <w:rPr>
          <w:rFonts w:ascii="Arial" w:hAnsi="Arial" w:cs="Arial"/>
        </w:rPr>
        <w:t>,</w:t>
      </w:r>
      <w:r w:rsidR="00423C6B" w:rsidRPr="007F6AD7">
        <w:rPr>
          <w:rFonts w:ascii="Arial" w:hAnsi="Arial" w:cs="Arial"/>
        </w:rPr>
        <w:t xml:space="preserve"> </w:t>
      </w:r>
      <w:r w:rsidR="000B496D" w:rsidRPr="007F6AD7">
        <w:rPr>
          <w:rFonts w:ascii="Arial" w:hAnsi="Arial" w:cs="Arial"/>
        </w:rPr>
        <w:t>obstaculiza la aplicación de la mayoría de las disposiciones de la Convención ICERD y desalienta a nuevos grupos y movimientos multirraciales e integracionistas encaminados a eliminar las barreras entre las razas</w:t>
      </w:r>
      <w:r w:rsidR="00FB42AE" w:rsidRPr="007F6AD7">
        <w:rPr>
          <w:rStyle w:val="Refdenotaalpie"/>
          <w:rFonts w:ascii="Arial" w:hAnsi="Arial" w:cs="Arial"/>
        </w:rPr>
        <w:t xml:space="preserve"> </w:t>
      </w:r>
      <w:r w:rsidR="00FB42AE" w:rsidRPr="007F6AD7">
        <w:rPr>
          <w:rStyle w:val="Refdenotaalpie"/>
          <w:rFonts w:ascii="Arial" w:hAnsi="Arial" w:cs="Arial"/>
        </w:rPr>
        <w:footnoteReference w:id="92"/>
      </w:r>
      <w:r w:rsidR="000B496D" w:rsidRPr="007F6AD7">
        <w:rPr>
          <w:rFonts w:ascii="Arial" w:hAnsi="Arial" w:cs="Arial"/>
        </w:rPr>
        <w:t xml:space="preserve">. </w:t>
      </w:r>
      <w:r w:rsidR="005970A9" w:rsidRPr="007F6AD7">
        <w:rPr>
          <w:rFonts w:ascii="Arial" w:hAnsi="Arial" w:cs="Arial"/>
        </w:rPr>
        <w:t xml:space="preserve">Los procedimientos de inscripción también son engorrosos y varias normativas imponen limitaciones sobre los tipos de actividades que las organizaciones de la sociedad civil pueden llevar a cabo sin la autorización previa del Gobierno. </w:t>
      </w:r>
    </w:p>
    <w:p w14:paraId="5D0918ED" w14:textId="61864F92" w:rsidR="002F7715" w:rsidRPr="007F6AD7" w:rsidRDefault="009E5D86" w:rsidP="009E5D86">
      <w:pPr>
        <w:spacing w:line="360" w:lineRule="auto"/>
        <w:jc w:val="both"/>
        <w:rPr>
          <w:rFonts w:ascii="Arial" w:hAnsi="Arial" w:cs="Arial"/>
          <w:lang w:eastAsia="es-ES"/>
        </w:rPr>
      </w:pPr>
      <w:r>
        <w:rPr>
          <w:rFonts w:ascii="Arial" w:hAnsi="Arial" w:cs="Arial"/>
        </w:rPr>
        <w:t>18.   L</w:t>
      </w:r>
      <w:r w:rsidR="00423C6B" w:rsidRPr="007F6AD7">
        <w:rPr>
          <w:rFonts w:ascii="Arial" w:hAnsi="Arial" w:cs="Arial"/>
        </w:rPr>
        <w:t>a mayoría de las organizaciones de la sociedad civil</w:t>
      </w:r>
      <w:r w:rsidR="00882E40" w:rsidRPr="007F6AD7">
        <w:rPr>
          <w:rFonts w:ascii="Arial" w:hAnsi="Arial" w:cs="Arial"/>
        </w:rPr>
        <w:t xml:space="preserve"> cubana</w:t>
      </w:r>
      <w:r w:rsidR="00423C6B" w:rsidRPr="007F6AD7">
        <w:rPr>
          <w:rFonts w:ascii="Arial" w:hAnsi="Arial" w:cs="Arial"/>
        </w:rPr>
        <w:t xml:space="preserve"> </w:t>
      </w:r>
      <w:r w:rsidRPr="007F6AD7">
        <w:rPr>
          <w:rFonts w:ascii="Arial" w:hAnsi="Arial" w:cs="Arial"/>
        </w:rPr>
        <w:t xml:space="preserve">(más de cuatrocientos) </w:t>
      </w:r>
      <w:r w:rsidR="00423C6B" w:rsidRPr="007F6AD7">
        <w:rPr>
          <w:rFonts w:ascii="Arial" w:hAnsi="Arial" w:cs="Arial"/>
        </w:rPr>
        <w:t>que participaron</w:t>
      </w:r>
      <w:r w:rsidR="00DA6390" w:rsidRPr="007F6AD7">
        <w:rPr>
          <w:rFonts w:ascii="Arial" w:hAnsi="Arial" w:cs="Arial"/>
        </w:rPr>
        <w:t xml:space="preserve"> </w:t>
      </w:r>
      <w:r>
        <w:rPr>
          <w:rFonts w:ascii="Arial" w:hAnsi="Arial" w:cs="Arial"/>
        </w:rPr>
        <w:t>e</w:t>
      </w:r>
      <w:r w:rsidRPr="007F6AD7">
        <w:rPr>
          <w:rFonts w:ascii="Arial" w:hAnsi="Arial" w:cs="Arial"/>
        </w:rPr>
        <w:t xml:space="preserve">n el 2do Examen Periódico Universal (UPR) 2013 </w:t>
      </w:r>
      <w:r w:rsidR="00DA6390" w:rsidRPr="007F6AD7">
        <w:rPr>
          <w:rFonts w:ascii="Arial" w:hAnsi="Arial" w:cs="Arial"/>
        </w:rPr>
        <w:t>están legalizadas por</w:t>
      </w:r>
      <w:r w:rsidR="00423C6B" w:rsidRPr="007F6AD7">
        <w:rPr>
          <w:rFonts w:ascii="Arial" w:hAnsi="Arial" w:cs="Arial"/>
        </w:rPr>
        <w:t xml:space="preserve"> el </w:t>
      </w:r>
      <w:r w:rsidR="00DA6390" w:rsidRPr="007F6AD7">
        <w:rPr>
          <w:rFonts w:ascii="Arial" w:hAnsi="Arial" w:cs="Arial"/>
        </w:rPr>
        <w:t>MINJUS. Est</w:t>
      </w:r>
      <w:r w:rsidR="000B496D" w:rsidRPr="007F6AD7">
        <w:rPr>
          <w:rFonts w:ascii="Arial" w:hAnsi="Arial" w:cs="Arial"/>
        </w:rPr>
        <w:t>a</w:t>
      </w:r>
      <w:r w:rsidR="00DA6390" w:rsidRPr="007F6AD7">
        <w:rPr>
          <w:rFonts w:ascii="Arial" w:hAnsi="Arial" w:cs="Arial"/>
        </w:rPr>
        <w:t xml:space="preserve">s </w:t>
      </w:r>
      <w:r w:rsidR="000B496D" w:rsidRPr="007F6AD7">
        <w:rPr>
          <w:rFonts w:ascii="Arial" w:hAnsi="Arial" w:cs="Arial"/>
        </w:rPr>
        <w:t>sociedades</w:t>
      </w:r>
      <w:r w:rsidR="00423C6B" w:rsidRPr="007F6AD7">
        <w:rPr>
          <w:rFonts w:ascii="Arial" w:hAnsi="Arial" w:cs="Arial"/>
        </w:rPr>
        <w:t xml:space="preserve"> presentaron al mecanismo UPR informes</w:t>
      </w:r>
      <w:r w:rsidR="00FB42AE" w:rsidRPr="007F6AD7">
        <w:rPr>
          <w:rFonts w:ascii="Arial" w:hAnsi="Arial" w:cs="Arial"/>
        </w:rPr>
        <w:t xml:space="preserve"> independientes</w:t>
      </w:r>
      <w:r w:rsidR="00423C6B" w:rsidRPr="007F6AD7">
        <w:rPr>
          <w:rFonts w:ascii="Arial" w:hAnsi="Arial" w:cs="Arial"/>
        </w:rPr>
        <w:t xml:space="preserve"> muy</w:t>
      </w:r>
      <w:r w:rsidR="00A00ED2" w:rsidRPr="007F6AD7">
        <w:rPr>
          <w:rFonts w:ascii="Arial" w:hAnsi="Arial" w:cs="Arial"/>
        </w:rPr>
        <w:t xml:space="preserve"> obsequiosos y</w:t>
      </w:r>
      <w:r w:rsidR="00FB42AE" w:rsidRPr="007F6AD7">
        <w:rPr>
          <w:rFonts w:ascii="Arial" w:hAnsi="Arial" w:cs="Arial"/>
        </w:rPr>
        <w:t xml:space="preserve"> semejantes en </w:t>
      </w:r>
      <w:r w:rsidR="00A00ED2" w:rsidRPr="007F6AD7">
        <w:rPr>
          <w:rFonts w:ascii="Arial" w:hAnsi="Arial" w:cs="Arial"/>
        </w:rPr>
        <w:t>su</w:t>
      </w:r>
      <w:r w:rsidR="00FB42AE" w:rsidRPr="007F6AD7">
        <w:rPr>
          <w:rFonts w:ascii="Arial" w:hAnsi="Arial" w:cs="Arial"/>
        </w:rPr>
        <w:t xml:space="preserve"> formato</w:t>
      </w:r>
      <w:r w:rsidR="00A00ED2" w:rsidRPr="007F6AD7">
        <w:rPr>
          <w:rFonts w:ascii="Arial" w:hAnsi="Arial" w:cs="Arial"/>
        </w:rPr>
        <w:t xml:space="preserve"> y </w:t>
      </w:r>
      <w:r w:rsidR="00FB42AE" w:rsidRPr="007F6AD7">
        <w:rPr>
          <w:rFonts w:ascii="Arial" w:hAnsi="Arial" w:cs="Arial"/>
        </w:rPr>
        <w:t>texto,</w:t>
      </w:r>
      <w:r w:rsidR="00DA6390" w:rsidRPr="007F6AD7">
        <w:rPr>
          <w:rFonts w:ascii="Arial" w:hAnsi="Arial" w:cs="Arial"/>
        </w:rPr>
        <w:t xml:space="preserve"> </w:t>
      </w:r>
      <w:r w:rsidR="006D38DA" w:rsidRPr="007F6AD7">
        <w:rPr>
          <w:rFonts w:ascii="Arial" w:hAnsi="Arial" w:cs="Arial"/>
        </w:rPr>
        <w:t>mientras omitían</w:t>
      </w:r>
      <w:r w:rsidR="000B496D" w:rsidRPr="007F6AD7">
        <w:rPr>
          <w:rFonts w:ascii="Arial" w:hAnsi="Arial" w:cs="Arial"/>
        </w:rPr>
        <w:t xml:space="preserve"> los avances y retos al aplicarse</w:t>
      </w:r>
      <w:r w:rsidR="006D38DA" w:rsidRPr="007F6AD7">
        <w:rPr>
          <w:rFonts w:ascii="Arial" w:hAnsi="Arial" w:cs="Arial"/>
        </w:rPr>
        <w:t xml:space="preserve"> </w:t>
      </w:r>
      <w:r w:rsidR="000B496D" w:rsidRPr="007F6AD7">
        <w:rPr>
          <w:rFonts w:ascii="Arial" w:hAnsi="Arial" w:cs="Arial"/>
        </w:rPr>
        <w:t>las recomendaciones</w:t>
      </w:r>
      <w:r w:rsidR="006D38DA" w:rsidRPr="007F6AD7">
        <w:rPr>
          <w:rFonts w:ascii="Arial" w:hAnsi="Arial" w:cs="Arial"/>
        </w:rPr>
        <w:t xml:space="preserve"> </w:t>
      </w:r>
      <w:r w:rsidR="000B496D" w:rsidRPr="007F6AD7">
        <w:rPr>
          <w:rFonts w:ascii="Arial" w:hAnsi="Arial" w:cs="Arial"/>
        </w:rPr>
        <w:t>de</w:t>
      </w:r>
      <w:r w:rsidR="00A00ED2" w:rsidRPr="007F6AD7">
        <w:rPr>
          <w:rFonts w:ascii="Arial" w:hAnsi="Arial" w:cs="Arial"/>
        </w:rPr>
        <w:t>l Mecanismo UPR y</w:t>
      </w:r>
      <w:r w:rsidR="006D38DA" w:rsidRPr="007F6AD7">
        <w:rPr>
          <w:rFonts w:ascii="Arial" w:hAnsi="Arial" w:cs="Arial"/>
        </w:rPr>
        <w:t xml:space="preserve"> los </w:t>
      </w:r>
      <w:r w:rsidR="00882E40" w:rsidRPr="007F6AD7">
        <w:rPr>
          <w:rFonts w:ascii="Arial" w:hAnsi="Arial" w:cs="Arial"/>
        </w:rPr>
        <w:t>Órganos</w:t>
      </w:r>
      <w:r w:rsidR="006D38DA" w:rsidRPr="007F6AD7">
        <w:rPr>
          <w:rFonts w:ascii="Arial" w:hAnsi="Arial" w:cs="Arial"/>
        </w:rPr>
        <w:t xml:space="preserve"> de </w:t>
      </w:r>
      <w:r w:rsidR="00814790" w:rsidRPr="007F6AD7">
        <w:rPr>
          <w:rFonts w:ascii="Arial" w:hAnsi="Arial" w:cs="Arial"/>
        </w:rPr>
        <w:t xml:space="preserve">tratados de </w:t>
      </w:r>
      <w:r w:rsidR="006D38DA" w:rsidRPr="007F6AD7">
        <w:rPr>
          <w:rFonts w:ascii="Arial" w:hAnsi="Arial" w:cs="Arial"/>
        </w:rPr>
        <w:t>derechos humanos d</w:t>
      </w:r>
      <w:r w:rsidR="00814790" w:rsidRPr="007F6AD7">
        <w:rPr>
          <w:rFonts w:ascii="Arial" w:hAnsi="Arial" w:cs="Arial"/>
        </w:rPr>
        <w:t>onde</w:t>
      </w:r>
      <w:r w:rsidR="006D38DA" w:rsidRPr="007F6AD7">
        <w:rPr>
          <w:rFonts w:ascii="Arial" w:hAnsi="Arial" w:cs="Arial"/>
        </w:rPr>
        <w:t xml:space="preserve"> </w:t>
      </w:r>
      <w:r w:rsidR="00814790" w:rsidRPr="007F6AD7">
        <w:rPr>
          <w:rFonts w:ascii="Arial" w:hAnsi="Arial" w:cs="Arial"/>
        </w:rPr>
        <w:t>Cuba tiene obligaciones</w:t>
      </w:r>
      <w:r w:rsidR="006D38DA" w:rsidRPr="007F6AD7">
        <w:rPr>
          <w:rFonts w:ascii="Arial" w:hAnsi="Arial" w:cs="Arial"/>
        </w:rPr>
        <w:t xml:space="preserve">.  </w:t>
      </w:r>
      <w:r w:rsidR="00007F1B" w:rsidRPr="007F6AD7">
        <w:rPr>
          <w:rFonts w:ascii="Arial" w:hAnsi="Arial" w:cs="Arial"/>
        </w:rPr>
        <w:t xml:space="preserve">El Informe CERD Cuba 19-21 </w:t>
      </w:r>
      <w:r w:rsidR="002F7715" w:rsidRPr="007F6AD7">
        <w:rPr>
          <w:rFonts w:ascii="Arial" w:hAnsi="Arial" w:cs="Arial"/>
        </w:rPr>
        <w:t xml:space="preserve">no menciona cuantas </w:t>
      </w:r>
      <w:r w:rsidR="00785E2F" w:rsidRPr="007F6AD7">
        <w:rPr>
          <w:rFonts w:ascii="Arial" w:hAnsi="Arial" w:cs="Arial"/>
        </w:rPr>
        <w:t xml:space="preserve">solicitudes de nuevas </w:t>
      </w:r>
      <w:r w:rsidR="002F7715" w:rsidRPr="007F6AD7">
        <w:rPr>
          <w:rFonts w:ascii="Arial" w:hAnsi="Arial" w:cs="Arial"/>
        </w:rPr>
        <w:t xml:space="preserve">organizaciones de la sociedad civil </w:t>
      </w:r>
      <w:r w:rsidR="00785E2F" w:rsidRPr="007F6AD7">
        <w:rPr>
          <w:rFonts w:ascii="Arial" w:hAnsi="Arial" w:cs="Arial"/>
        </w:rPr>
        <w:t xml:space="preserve">han sido aceptadas y denegadas por </w:t>
      </w:r>
      <w:r w:rsidR="000B496D" w:rsidRPr="007F6AD7">
        <w:rPr>
          <w:rFonts w:ascii="Arial" w:hAnsi="Arial" w:cs="Arial"/>
        </w:rPr>
        <w:t>pretender participar</w:t>
      </w:r>
      <w:r w:rsidR="002F7715" w:rsidRPr="007F6AD7">
        <w:rPr>
          <w:rFonts w:ascii="Arial" w:hAnsi="Arial" w:cs="Arial"/>
        </w:rPr>
        <w:t xml:space="preserve"> </w:t>
      </w:r>
      <w:r w:rsidR="000B496D" w:rsidRPr="007F6AD7">
        <w:rPr>
          <w:rFonts w:ascii="Arial" w:hAnsi="Arial" w:cs="Arial"/>
        </w:rPr>
        <w:t>contra</w:t>
      </w:r>
      <w:r w:rsidR="002F7715" w:rsidRPr="007F6AD7">
        <w:rPr>
          <w:rFonts w:ascii="Arial" w:hAnsi="Arial" w:cs="Arial"/>
        </w:rPr>
        <w:t xml:space="preserve"> la discriminación en diferentes ámbitos: </w:t>
      </w:r>
      <w:r w:rsidR="004854BB" w:rsidRPr="007F6AD7">
        <w:rPr>
          <w:rFonts w:ascii="Arial" w:hAnsi="Arial" w:cs="Arial"/>
        </w:rPr>
        <w:t xml:space="preserve">racial, </w:t>
      </w:r>
      <w:r w:rsidR="002F7715" w:rsidRPr="007F6AD7">
        <w:rPr>
          <w:rFonts w:ascii="Arial" w:hAnsi="Arial" w:cs="Arial"/>
        </w:rPr>
        <w:t xml:space="preserve">laboral, personas con VIH, libertad de opinión, libertad de expresión, entre otras. </w:t>
      </w:r>
      <w:r w:rsidR="004854BB" w:rsidRPr="007F6AD7">
        <w:rPr>
          <w:rFonts w:ascii="Arial" w:hAnsi="Arial" w:cs="Arial"/>
        </w:rPr>
        <w:t xml:space="preserve">El Gobierno de Cuba </w:t>
      </w:r>
      <w:r w:rsidR="004854BB" w:rsidRPr="007F6AD7">
        <w:rPr>
          <w:rFonts w:ascii="Arial" w:hAnsi="Arial" w:cs="Arial"/>
          <w:vertAlign w:val="superscript"/>
        </w:rPr>
        <w:footnoteReference w:id="93"/>
      </w:r>
      <w:r w:rsidR="004854BB" w:rsidRPr="007F6AD7">
        <w:rPr>
          <w:rFonts w:ascii="Arial" w:hAnsi="Arial" w:cs="Arial"/>
        </w:rPr>
        <w:t xml:space="preserve"> reconoce la sociedad civil sin contraposición a sus intereses, como complemento político, y si corresponde con el modo de producción socialista existente.</w:t>
      </w:r>
      <w:r w:rsidR="004854BB" w:rsidRPr="007F6AD7">
        <w:rPr>
          <w:rFonts w:ascii="Arial" w:hAnsi="Arial" w:cs="Arial"/>
          <w:vertAlign w:val="superscript"/>
        </w:rPr>
        <w:footnoteReference w:id="94"/>
      </w:r>
      <w:r w:rsidR="004854BB" w:rsidRPr="007F6AD7">
        <w:rPr>
          <w:rFonts w:ascii="Arial" w:hAnsi="Arial" w:cs="Arial"/>
        </w:rPr>
        <w:t xml:space="preserve">  </w:t>
      </w:r>
      <w:r w:rsidR="002F7715" w:rsidRPr="007F6AD7">
        <w:rPr>
          <w:rFonts w:ascii="Arial" w:hAnsi="Arial" w:cs="Arial"/>
          <w:b/>
        </w:rPr>
        <w:t xml:space="preserve">ACDEI pide al Comité </w:t>
      </w:r>
      <w:r w:rsidR="002F7715" w:rsidRPr="007F6AD7">
        <w:rPr>
          <w:rFonts w:ascii="Arial" w:hAnsi="Arial" w:cs="Arial"/>
          <w:b/>
        </w:rPr>
        <w:lastRenderedPageBreak/>
        <w:t xml:space="preserve">CERD solicite al Estado </w:t>
      </w:r>
      <w:r w:rsidR="00674AB7" w:rsidRPr="007F6AD7">
        <w:rPr>
          <w:rFonts w:ascii="Arial" w:hAnsi="Arial" w:cs="Arial"/>
          <w:b/>
        </w:rPr>
        <w:t xml:space="preserve">cubano que el Registro de Asociaciones del Ministerio de Justicia </w:t>
      </w:r>
      <w:r w:rsidR="00726487" w:rsidRPr="007F6AD7">
        <w:rPr>
          <w:rFonts w:ascii="Arial" w:hAnsi="Arial" w:cs="Arial"/>
          <w:b/>
        </w:rPr>
        <w:t>le</w:t>
      </w:r>
      <w:r w:rsidR="00674AB7" w:rsidRPr="007F6AD7">
        <w:rPr>
          <w:rFonts w:ascii="Arial" w:hAnsi="Arial" w:cs="Arial"/>
          <w:b/>
        </w:rPr>
        <w:t xml:space="preserve"> </w:t>
      </w:r>
      <w:r w:rsidR="00726487" w:rsidRPr="007F6AD7">
        <w:rPr>
          <w:rFonts w:ascii="Arial" w:hAnsi="Arial" w:cs="Arial"/>
          <w:b/>
        </w:rPr>
        <w:t>entregue</w:t>
      </w:r>
      <w:r w:rsidR="00674AB7" w:rsidRPr="007F6AD7">
        <w:rPr>
          <w:rFonts w:ascii="Arial" w:hAnsi="Arial" w:cs="Arial"/>
          <w:b/>
        </w:rPr>
        <w:t xml:space="preserve"> </w:t>
      </w:r>
      <w:r w:rsidR="002F7715" w:rsidRPr="007F6AD7">
        <w:rPr>
          <w:rFonts w:ascii="Arial" w:hAnsi="Arial" w:cs="Arial"/>
          <w:b/>
        </w:rPr>
        <w:t xml:space="preserve">una lista detallada de las organizaciones de la sociedad </w:t>
      </w:r>
      <w:r w:rsidR="005970A9" w:rsidRPr="007F6AD7">
        <w:rPr>
          <w:rFonts w:ascii="Arial" w:hAnsi="Arial" w:cs="Arial"/>
          <w:b/>
        </w:rPr>
        <w:t>civil inscritas</w:t>
      </w:r>
      <w:r w:rsidR="00674AB7" w:rsidRPr="007F6AD7">
        <w:rPr>
          <w:rFonts w:ascii="Arial" w:hAnsi="Arial" w:cs="Arial"/>
          <w:b/>
        </w:rPr>
        <w:t xml:space="preserve"> y </w:t>
      </w:r>
      <w:r w:rsidR="00785E2F" w:rsidRPr="007F6AD7">
        <w:rPr>
          <w:rFonts w:ascii="Arial" w:hAnsi="Arial" w:cs="Arial"/>
          <w:b/>
        </w:rPr>
        <w:t>denegadas</w:t>
      </w:r>
      <w:r w:rsidR="002F7715" w:rsidRPr="007F6AD7">
        <w:rPr>
          <w:rFonts w:ascii="Arial" w:hAnsi="Arial" w:cs="Arial"/>
          <w:b/>
        </w:rPr>
        <w:t>, cuy</w:t>
      </w:r>
      <w:r w:rsidR="00674AB7" w:rsidRPr="007F6AD7">
        <w:rPr>
          <w:rFonts w:ascii="Arial" w:hAnsi="Arial" w:cs="Arial"/>
          <w:b/>
        </w:rPr>
        <w:t xml:space="preserve">a </w:t>
      </w:r>
      <w:r w:rsidR="002F7715" w:rsidRPr="007F6AD7">
        <w:rPr>
          <w:rFonts w:ascii="Arial" w:hAnsi="Arial" w:cs="Arial"/>
          <w:b/>
        </w:rPr>
        <w:t>misión armonice con la Convención ICERD,</w:t>
      </w:r>
      <w:r w:rsidR="00785E2F" w:rsidRPr="007F6AD7">
        <w:rPr>
          <w:rFonts w:ascii="Arial" w:hAnsi="Arial" w:cs="Arial"/>
          <w:b/>
        </w:rPr>
        <w:t xml:space="preserve"> fecha,</w:t>
      </w:r>
      <w:r w:rsidR="00726487" w:rsidRPr="007F6AD7">
        <w:rPr>
          <w:rFonts w:ascii="Arial" w:hAnsi="Arial" w:cs="Arial"/>
          <w:b/>
        </w:rPr>
        <w:t xml:space="preserve"> nombre</w:t>
      </w:r>
      <w:r w:rsidR="002F7715" w:rsidRPr="007F6AD7">
        <w:rPr>
          <w:rFonts w:ascii="Arial" w:hAnsi="Arial" w:cs="Arial"/>
          <w:b/>
        </w:rPr>
        <w:t xml:space="preserve"> de la entidad, direcci</w:t>
      </w:r>
      <w:r w:rsidR="00726487" w:rsidRPr="007F6AD7">
        <w:rPr>
          <w:rFonts w:ascii="Arial" w:hAnsi="Arial" w:cs="Arial"/>
          <w:b/>
        </w:rPr>
        <w:t>ón de la sede y fecha de creada</w:t>
      </w:r>
      <w:r w:rsidR="002F7715" w:rsidRPr="007F6AD7">
        <w:rPr>
          <w:rFonts w:ascii="Arial" w:hAnsi="Arial" w:cs="Arial"/>
          <w:b/>
        </w:rPr>
        <w:t xml:space="preserve">, entre otros datos que el </w:t>
      </w:r>
      <w:r w:rsidR="00785E2F" w:rsidRPr="007F6AD7">
        <w:rPr>
          <w:rFonts w:ascii="Arial" w:hAnsi="Arial" w:cs="Arial"/>
          <w:b/>
        </w:rPr>
        <w:t>Comité</w:t>
      </w:r>
      <w:r w:rsidR="002F7715" w:rsidRPr="007F6AD7">
        <w:rPr>
          <w:rFonts w:ascii="Arial" w:hAnsi="Arial" w:cs="Arial"/>
          <w:b/>
        </w:rPr>
        <w:t xml:space="preserve"> considere de interés.</w:t>
      </w:r>
    </w:p>
    <w:p w14:paraId="0E04947A" w14:textId="01610682" w:rsidR="002F7715" w:rsidRPr="007F6AD7" w:rsidRDefault="002F7715" w:rsidP="00A7397D">
      <w:pPr>
        <w:pStyle w:val="Ttulo3"/>
      </w:pPr>
      <w:bookmarkStart w:id="72" w:name="_Toc515359792"/>
      <w:r w:rsidRPr="007F6AD7">
        <w:t>Prohibición de Portar Documentación de las Naciones Unidas</w:t>
      </w:r>
      <w:bookmarkEnd w:id="72"/>
    </w:p>
    <w:p w14:paraId="2F79E734" w14:textId="039CA781" w:rsidR="000A1A1E" w:rsidRPr="007F6AD7" w:rsidRDefault="009E5D86" w:rsidP="009E5D86">
      <w:pPr>
        <w:tabs>
          <w:tab w:val="left" w:pos="567"/>
        </w:tabs>
        <w:spacing w:line="360" w:lineRule="auto"/>
        <w:jc w:val="both"/>
        <w:rPr>
          <w:rFonts w:ascii="Arial" w:hAnsi="Arial" w:cs="Arial"/>
          <w:lang w:eastAsia="es-ES"/>
        </w:rPr>
      </w:pPr>
      <w:r>
        <w:rPr>
          <w:rFonts w:ascii="Arial" w:hAnsi="Arial" w:cs="Arial"/>
        </w:rPr>
        <w:t xml:space="preserve">19.  </w:t>
      </w:r>
      <w:r w:rsidR="00785E2F" w:rsidRPr="007F6AD7">
        <w:rPr>
          <w:rFonts w:ascii="Arial" w:hAnsi="Arial" w:cs="Arial"/>
        </w:rPr>
        <w:t xml:space="preserve">Los materiales elaborados por el Comité ICERD, </w:t>
      </w:r>
      <w:r w:rsidR="00622DB3" w:rsidRPr="007F6AD7">
        <w:rPr>
          <w:rFonts w:ascii="Arial" w:hAnsi="Arial" w:cs="Arial"/>
        </w:rPr>
        <w:t>observaciones finales, recomendaciones, manuales y guías para actores de la sociedad civil</w:t>
      </w:r>
      <w:r w:rsidR="00785E2F" w:rsidRPr="007F6AD7">
        <w:rPr>
          <w:rFonts w:ascii="Arial" w:hAnsi="Arial" w:cs="Arial"/>
        </w:rPr>
        <w:t xml:space="preserve"> deben ser reproducidos </w:t>
      </w:r>
      <w:r w:rsidR="00622DB3" w:rsidRPr="007F6AD7">
        <w:rPr>
          <w:rFonts w:ascii="Arial" w:hAnsi="Arial" w:cs="Arial"/>
        </w:rPr>
        <w:t>para la</w:t>
      </w:r>
      <w:r w:rsidR="00785E2F" w:rsidRPr="007F6AD7">
        <w:rPr>
          <w:rFonts w:ascii="Arial" w:hAnsi="Arial" w:cs="Arial"/>
        </w:rPr>
        <w:t xml:space="preserve"> enseñanza y difusión de la Convención ICERD, así como para cualquier otro fin no comercial.  </w:t>
      </w:r>
      <w:r w:rsidR="00622DB3" w:rsidRPr="007F6AD7">
        <w:rPr>
          <w:rFonts w:ascii="Arial" w:hAnsi="Arial" w:cs="Arial"/>
        </w:rPr>
        <w:t>Sin embargo</w:t>
      </w:r>
      <w:r w:rsidR="00726487" w:rsidRPr="007F6AD7">
        <w:rPr>
          <w:rFonts w:ascii="Arial" w:hAnsi="Arial" w:cs="Arial"/>
        </w:rPr>
        <w:t>,</w:t>
      </w:r>
      <w:r w:rsidR="00785E2F" w:rsidRPr="007F6AD7">
        <w:rPr>
          <w:rFonts w:ascii="Arial" w:hAnsi="Arial" w:cs="Arial"/>
        </w:rPr>
        <w:t xml:space="preserve"> </w:t>
      </w:r>
      <w:r w:rsidR="00C46FA9" w:rsidRPr="007F6AD7">
        <w:rPr>
          <w:rStyle w:val="normal1"/>
          <w:rFonts w:ascii="Arial" w:hAnsi="Arial" w:cs="Arial"/>
          <w:iCs/>
        </w:rPr>
        <w:t>tras</w:t>
      </w:r>
      <w:r w:rsidR="00726487" w:rsidRPr="007F6AD7">
        <w:rPr>
          <w:rStyle w:val="normal1"/>
          <w:rFonts w:ascii="Arial" w:hAnsi="Arial" w:cs="Arial"/>
          <w:iCs/>
        </w:rPr>
        <w:t xml:space="preserve"> más de cinco décadas, la locución” derechos humanos” y toda su documentación </w:t>
      </w:r>
      <w:r w:rsidR="00C46FA9" w:rsidRPr="007F6AD7">
        <w:rPr>
          <w:rStyle w:val="normal1"/>
          <w:rFonts w:ascii="Arial" w:hAnsi="Arial" w:cs="Arial"/>
          <w:iCs/>
        </w:rPr>
        <w:t>sigue</w:t>
      </w:r>
      <w:r w:rsidR="00726487" w:rsidRPr="007F6AD7">
        <w:rPr>
          <w:rStyle w:val="normal1"/>
          <w:rFonts w:ascii="Arial" w:hAnsi="Arial" w:cs="Arial"/>
          <w:iCs/>
        </w:rPr>
        <w:t xml:space="preserve"> penalizada en Cuba.</w:t>
      </w:r>
      <w:r w:rsidR="00726487" w:rsidRPr="007F6AD7">
        <w:rPr>
          <w:rStyle w:val="normal1"/>
          <w:rFonts w:ascii="Arial" w:hAnsi="Arial" w:cs="Arial"/>
          <w:iCs/>
          <w:caps/>
          <w:vertAlign w:val="superscript"/>
        </w:rPr>
        <w:footnoteReference w:id="95"/>
      </w:r>
      <w:r w:rsidR="00726487" w:rsidRPr="007F6AD7">
        <w:rPr>
          <w:rStyle w:val="normal1"/>
          <w:rFonts w:ascii="Arial" w:hAnsi="Arial" w:cs="Arial"/>
          <w:iCs/>
        </w:rPr>
        <w:t xml:space="preserve"> </w:t>
      </w:r>
      <w:r w:rsidR="00726487" w:rsidRPr="007F6AD7">
        <w:rPr>
          <w:rFonts w:ascii="Arial" w:hAnsi="Arial" w:cs="Arial"/>
        </w:rPr>
        <w:t xml:space="preserve">Hoy día el </w:t>
      </w:r>
      <w:r w:rsidR="009A21D5" w:rsidRPr="007F6AD7">
        <w:rPr>
          <w:rFonts w:ascii="Arial" w:hAnsi="Arial" w:cs="Arial"/>
        </w:rPr>
        <w:t>término”</w:t>
      </w:r>
      <w:r w:rsidR="009A21D5" w:rsidRPr="007F6AD7">
        <w:rPr>
          <w:rStyle w:val="normal1"/>
          <w:rFonts w:ascii="Arial" w:hAnsi="Arial" w:cs="Arial"/>
          <w:iCs/>
        </w:rPr>
        <w:t xml:space="preserve"> derechos humanos” </w:t>
      </w:r>
      <w:r w:rsidR="009A21D5" w:rsidRPr="007F6AD7">
        <w:rPr>
          <w:rFonts w:ascii="Arial" w:hAnsi="Arial" w:cs="Arial"/>
        </w:rPr>
        <w:t>es</w:t>
      </w:r>
      <w:r w:rsidR="00726487" w:rsidRPr="007F6AD7">
        <w:rPr>
          <w:rFonts w:ascii="Arial" w:hAnsi="Arial" w:cs="Arial"/>
        </w:rPr>
        <w:t xml:space="preserve"> </w:t>
      </w:r>
      <w:r w:rsidR="009A21D5" w:rsidRPr="007F6AD7">
        <w:rPr>
          <w:rFonts w:ascii="Arial" w:hAnsi="Arial" w:cs="Arial"/>
        </w:rPr>
        <w:t>empleado</w:t>
      </w:r>
      <w:r w:rsidR="00726487" w:rsidRPr="007F6AD7">
        <w:rPr>
          <w:rFonts w:ascii="Arial" w:hAnsi="Arial" w:cs="Arial"/>
        </w:rPr>
        <w:t xml:space="preserve"> por diferentes medios </w:t>
      </w:r>
      <w:r w:rsidR="009A21D5" w:rsidRPr="007F6AD7">
        <w:rPr>
          <w:rFonts w:ascii="Arial" w:hAnsi="Arial" w:cs="Arial"/>
        </w:rPr>
        <w:t>oficiales,</w:t>
      </w:r>
      <w:r w:rsidR="00C46FA9" w:rsidRPr="007F6AD7">
        <w:rPr>
          <w:rStyle w:val="Ttulo4Car"/>
          <w:rFonts w:ascii="Arial" w:hAnsi="Arial"/>
        </w:rPr>
        <w:t xml:space="preserve"> </w:t>
      </w:r>
      <w:r w:rsidR="00C46FA9" w:rsidRPr="007F6AD7">
        <w:rPr>
          <w:rStyle w:val="Refdenotaalpie"/>
          <w:rFonts w:ascii="Arial" w:hAnsi="Arial" w:cs="Arial"/>
        </w:rPr>
        <w:footnoteReference w:id="96"/>
      </w:r>
      <w:r w:rsidR="00C46FA9" w:rsidRPr="007F6AD7">
        <w:rPr>
          <w:rFonts w:ascii="Arial" w:hAnsi="Arial" w:cs="Arial"/>
          <w:lang w:eastAsia="es-ES"/>
        </w:rPr>
        <w:t xml:space="preserve"> </w:t>
      </w:r>
      <w:r w:rsidR="009A21D5" w:rsidRPr="007F6AD7">
        <w:rPr>
          <w:rFonts w:ascii="Arial" w:hAnsi="Arial" w:cs="Arial"/>
        </w:rPr>
        <w:t xml:space="preserve"> mientras los</w:t>
      </w:r>
      <w:r w:rsidR="002F7715" w:rsidRPr="007F6AD7">
        <w:rPr>
          <w:rFonts w:ascii="Arial" w:hAnsi="Arial" w:cs="Arial"/>
        </w:rPr>
        <w:t xml:space="preserve"> materiales sobre </w:t>
      </w:r>
      <w:r w:rsidR="009A21D5" w:rsidRPr="007F6AD7">
        <w:rPr>
          <w:rFonts w:ascii="Arial" w:hAnsi="Arial" w:cs="Arial"/>
        </w:rPr>
        <w:t>la materia en cuestión son</w:t>
      </w:r>
      <w:r w:rsidR="002F7715" w:rsidRPr="007F6AD7">
        <w:rPr>
          <w:rFonts w:ascii="Arial" w:hAnsi="Arial" w:cs="Arial"/>
        </w:rPr>
        <w:t xml:space="preserve"> clasificados como “contrarrevolucionarios” por</w:t>
      </w:r>
      <w:r w:rsidR="00C46FA9" w:rsidRPr="007F6AD7">
        <w:rPr>
          <w:rFonts w:ascii="Arial" w:hAnsi="Arial" w:cs="Arial"/>
        </w:rPr>
        <w:t xml:space="preserve"> </w:t>
      </w:r>
      <w:r w:rsidR="002F7715" w:rsidRPr="007F6AD7">
        <w:rPr>
          <w:rFonts w:ascii="Arial" w:hAnsi="Arial" w:cs="Arial"/>
        </w:rPr>
        <w:t>autoridades cubanas</w:t>
      </w:r>
      <w:r w:rsidR="009A21D5" w:rsidRPr="007F6AD7">
        <w:rPr>
          <w:rFonts w:ascii="Arial" w:hAnsi="Arial" w:cs="Arial"/>
        </w:rPr>
        <w:t xml:space="preserve"> </w:t>
      </w:r>
      <w:r w:rsidR="002F1ABD" w:rsidRPr="007F6AD7">
        <w:rPr>
          <w:rFonts w:ascii="Arial" w:hAnsi="Arial" w:cs="Arial"/>
        </w:rPr>
        <w:t xml:space="preserve">al </w:t>
      </w:r>
      <w:r w:rsidR="002F1ABD" w:rsidRPr="007F6AD7">
        <w:rPr>
          <w:rStyle w:val="normal1"/>
          <w:rFonts w:ascii="Arial" w:hAnsi="Arial" w:cs="Arial"/>
          <w:iCs/>
        </w:rPr>
        <w:t>considerarla</w:t>
      </w:r>
      <w:r w:rsidR="002F7715" w:rsidRPr="007F6AD7">
        <w:rPr>
          <w:rStyle w:val="normal1"/>
          <w:rFonts w:ascii="Arial" w:hAnsi="Arial" w:cs="Arial"/>
          <w:iCs/>
        </w:rPr>
        <w:t xml:space="preserve"> subversiva</w:t>
      </w:r>
      <w:r w:rsidR="00726487" w:rsidRPr="007F6AD7">
        <w:rPr>
          <w:rStyle w:val="normal1"/>
          <w:rFonts w:ascii="Arial" w:hAnsi="Arial" w:cs="Arial"/>
          <w:iCs/>
        </w:rPr>
        <w:t>.</w:t>
      </w:r>
      <w:r w:rsidR="002F7715" w:rsidRPr="007F6AD7">
        <w:rPr>
          <w:rFonts w:ascii="Arial" w:hAnsi="Arial" w:cs="Arial"/>
          <w:vertAlign w:val="superscript"/>
        </w:rPr>
        <w:t xml:space="preserve">  </w:t>
      </w:r>
      <w:r w:rsidR="002F7715" w:rsidRPr="007F6AD7">
        <w:rPr>
          <w:rFonts w:ascii="Arial" w:hAnsi="Arial" w:cs="Arial"/>
          <w:vertAlign w:val="superscript"/>
        </w:rPr>
        <w:footnoteReference w:id="97"/>
      </w:r>
      <w:r w:rsidR="002F7715" w:rsidRPr="007F6AD7">
        <w:rPr>
          <w:rFonts w:ascii="Arial" w:hAnsi="Arial" w:cs="Arial"/>
          <w:vertAlign w:val="superscript"/>
        </w:rPr>
        <w:t xml:space="preserve">,  </w:t>
      </w:r>
      <w:r w:rsidR="00726487" w:rsidRPr="007F6AD7">
        <w:rPr>
          <w:rFonts w:ascii="Arial" w:hAnsi="Arial" w:cs="Arial"/>
          <w:vertAlign w:val="superscript"/>
        </w:rPr>
        <w:t xml:space="preserve"> </w:t>
      </w:r>
      <w:r w:rsidR="002F7715" w:rsidRPr="007F6AD7">
        <w:rPr>
          <w:rFonts w:ascii="Arial" w:hAnsi="Arial" w:cs="Arial"/>
          <w:vertAlign w:val="superscript"/>
        </w:rPr>
        <w:footnoteReference w:id="98"/>
      </w:r>
      <w:r w:rsidR="002F7715" w:rsidRPr="007F6AD7">
        <w:rPr>
          <w:rFonts w:ascii="Arial" w:hAnsi="Arial" w:cs="Arial"/>
          <w:vertAlign w:val="superscript"/>
        </w:rPr>
        <w:t xml:space="preserve">,   </w:t>
      </w:r>
      <w:r w:rsidR="002F7715" w:rsidRPr="007F6AD7">
        <w:rPr>
          <w:rStyle w:val="Refdenotaalpie"/>
          <w:rFonts w:ascii="Arial" w:hAnsi="Arial" w:cs="Arial"/>
        </w:rPr>
        <w:footnoteReference w:id="99"/>
      </w:r>
      <w:r w:rsidR="002F7715" w:rsidRPr="007F6AD7">
        <w:rPr>
          <w:rFonts w:ascii="Arial" w:hAnsi="Arial" w:cs="Arial"/>
        </w:rPr>
        <w:t xml:space="preserve">  Aunque están disponibles </w:t>
      </w:r>
      <w:r w:rsidR="00C46FA9" w:rsidRPr="007F6AD7">
        <w:rPr>
          <w:rFonts w:ascii="Arial" w:hAnsi="Arial" w:cs="Arial"/>
        </w:rPr>
        <w:t>otras</w:t>
      </w:r>
      <w:r w:rsidR="002F7715" w:rsidRPr="007F6AD7">
        <w:rPr>
          <w:rFonts w:ascii="Arial" w:hAnsi="Arial" w:cs="Arial"/>
        </w:rPr>
        <w:t xml:space="preserve"> </w:t>
      </w:r>
      <w:r w:rsidR="002F1ABD" w:rsidRPr="007F6AD7">
        <w:rPr>
          <w:rFonts w:ascii="Arial" w:hAnsi="Arial" w:cs="Arial"/>
        </w:rPr>
        <w:t>evidencias</w:t>
      </w:r>
      <w:r w:rsidR="002F7715" w:rsidRPr="007F6AD7">
        <w:rPr>
          <w:rFonts w:ascii="Arial" w:hAnsi="Arial" w:cs="Arial"/>
        </w:rPr>
        <w:t xml:space="preserve">, </w:t>
      </w:r>
      <w:r w:rsidR="002F7715" w:rsidRPr="007F6AD7">
        <w:rPr>
          <w:rStyle w:val="normal1"/>
          <w:rFonts w:ascii="Arial" w:hAnsi="Arial" w:cs="Arial"/>
          <w:iCs/>
        </w:rPr>
        <w:t xml:space="preserve">el 17 de </w:t>
      </w:r>
      <w:r w:rsidR="002F7715" w:rsidRPr="007F6AD7">
        <w:rPr>
          <w:rStyle w:val="normal1"/>
          <w:rFonts w:ascii="Arial" w:hAnsi="Arial" w:cs="Arial"/>
          <w:iCs/>
        </w:rPr>
        <w:lastRenderedPageBreak/>
        <w:t>septiembre del 2017, en el Aeropuerto</w:t>
      </w:r>
      <w:r w:rsidR="002F7715" w:rsidRPr="007F6AD7">
        <w:rPr>
          <w:rFonts w:ascii="Arial" w:hAnsi="Arial" w:cs="Arial"/>
        </w:rPr>
        <w:t xml:space="preserve"> Internacional José Martí de La Habana, a la Sra. Dora L. Mesa, directora ejecutiva de ACDEI, fue detenida</w:t>
      </w:r>
      <w:r w:rsidR="002F7715" w:rsidRPr="007F6AD7">
        <w:rPr>
          <w:rStyle w:val="Refdenotaalpie"/>
          <w:rFonts w:ascii="Arial" w:hAnsi="Arial" w:cs="Arial"/>
        </w:rPr>
        <w:footnoteReference w:id="100"/>
      </w:r>
      <w:r w:rsidR="002F7715" w:rsidRPr="007F6AD7">
        <w:rPr>
          <w:rFonts w:ascii="Arial" w:hAnsi="Arial" w:cs="Arial"/>
        </w:rPr>
        <w:t xml:space="preserve"> y  le fueron </w:t>
      </w:r>
      <w:r w:rsidR="00B16B56" w:rsidRPr="007F6AD7">
        <w:rPr>
          <w:rFonts w:ascii="Arial" w:hAnsi="Arial" w:cs="Arial"/>
        </w:rPr>
        <w:t>decomisadas</w:t>
      </w:r>
      <w:r w:rsidR="002F7715" w:rsidRPr="007F6AD7">
        <w:rPr>
          <w:rFonts w:ascii="Arial" w:hAnsi="Arial" w:cs="Arial"/>
        </w:rPr>
        <w:t xml:space="preserve"> por funcionarios de la Aduana, varios documentos del Consejo de Derechos Humanos de Naciones Unidas</w:t>
      </w:r>
      <w:r w:rsidR="009A21D5" w:rsidRPr="007F6AD7">
        <w:rPr>
          <w:rFonts w:ascii="Arial" w:hAnsi="Arial" w:cs="Arial"/>
        </w:rPr>
        <w:t>.</w:t>
      </w:r>
      <w:r w:rsidR="002F7715" w:rsidRPr="007F6AD7">
        <w:rPr>
          <w:rStyle w:val="Refdenotaalpie"/>
          <w:rFonts w:ascii="Arial" w:hAnsi="Arial" w:cs="Arial"/>
        </w:rPr>
        <w:footnoteReference w:id="101"/>
      </w:r>
      <w:r w:rsidR="002F7715" w:rsidRPr="007F6AD7">
        <w:rPr>
          <w:rFonts w:ascii="Arial" w:hAnsi="Arial" w:cs="Arial"/>
        </w:rPr>
        <w:t xml:space="preserve"> </w:t>
      </w:r>
      <w:r w:rsidR="00674AB7" w:rsidRPr="007F6AD7">
        <w:rPr>
          <w:rFonts w:ascii="Arial" w:hAnsi="Arial" w:cs="Arial"/>
        </w:rPr>
        <w:t xml:space="preserve">Estas actuaciones constituyen </w:t>
      </w:r>
      <w:r w:rsidR="00622DB3" w:rsidRPr="007F6AD7">
        <w:rPr>
          <w:rFonts w:ascii="Arial" w:hAnsi="Arial" w:cs="Arial"/>
        </w:rPr>
        <w:t xml:space="preserve"> </w:t>
      </w:r>
      <w:r w:rsidR="002F7715" w:rsidRPr="007F6AD7">
        <w:rPr>
          <w:rFonts w:ascii="Arial" w:hAnsi="Arial" w:cs="Arial"/>
        </w:rPr>
        <w:t>una seria desavenencia con la Convención relativa a la Lucha contra las Discriminaciones en la Esfera de la Enseñanza (UNESCO) de la cual Cuba es Estado parte</w:t>
      </w:r>
      <w:r w:rsidR="002F7715" w:rsidRPr="007F6AD7">
        <w:rPr>
          <w:rStyle w:val="Refdenotaalpie"/>
          <w:rFonts w:ascii="Arial" w:hAnsi="Arial" w:cs="Arial"/>
        </w:rPr>
        <w:footnoteReference w:id="102"/>
      </w:r>
      <w:r w:rsidR="002F7715" w:rsidRPr="007F6AD7">
        <w:rPr>
          <w:rFonts w:ascii="Arial" w:hAnsi="Arial" w:cs="Arial"/>
        </w:rPr>
        <w:t xml:space="preserve"> y</w:t>
      </w:r>
      <w:r w:rsidR="00674AB7" w:rsidRPr="007F6AD7">
        <w:rPr>
          <w:rFonts w:ascii="Arial" w:hAnsi="Arial" w:cs="Arial"/>
        </w:rPr>
        <w:t xml:space="preserve"> también con </w:t>
      </w:r>
      <w:r w:rsidR="002F7715" w:rsidRPr="007F6AD7">
        <w:rPr>
          <w:rFonts w:ascii="Arial" w:hAnsi="Arial" w:cs="Arial"/>
        </w:rPr>
        <w:t xml:space="preserve"> la  legislación interna, la cual dispone que la documentación que el país recibe de la Organización de Naciones Unidas sea depositada en la Biblioteca Nacional.</w:t>
      </w:r>
      <w:r w:rsidR="002F7715" w:rsidRPr="007F6AD7">
        <w:rPr>
          <w:rStyle w:val="Refdenotaalpie"/>
          <w:rFonts w:ascii="Arial" w:hAnsi="Arial" w:cs="Arial"/>
        </w:rPr>
        <w:footnoteReference w:id="103"/>
      </w:r>
      <w:r w:rsidR="002F7715" w:rsidRPr="007F6AD7">
        <w:rPr>
          <w:rFonts w:ascii="Arial" w:hAnsi="Arial" w:cs="Arial"/>
        </w:rPr>
        <w:t xml:space="preserve"> </w:t>
      </w:r>
    </w:p>
    <w:p w14:paraId="6386AA22" w14:textId="5035C66F" w:rsidR="00073A90" w:rsidRPr="007F6AD7" w:rsidRDefault="00357ACC" w:rsidP="00715476">
      <w:pPr>
        <w:pStyle w:val="Ttulo1"/>
      </w:pPr>
      <w:bookmarkStart w:id="73" w:name="_Toc515359793"/>
      <w:r w:rsidRPr="007F6AD7">
        <w:t>B.</w:t>
      </w:r>
      <w:r w:rsidR="00802520" w:rsidRPr="007F6AD7">
        <w:t xml:space="preserve"> </w:t>
      </w:r>
      <w:r w:rsidR="00073A90" w:rsidRPr="007F6AD7">
        <w:t>Legislación y Sistema Judicial</w:t>
      </w:r>
      <w:bookmarkEnd w:id="73"/>
    </w:p>
    <w:p w14:paraId="3E9F943C" w14:textId="09C38C00" w:rsidR="00802520" w:rsidRPr="009B1367" w:rsidRDefault="00802520" w:rsidP="00DA7CB5">
      <w:pPr>
        <w:pStyle w:val="Ttulo2"/>
      </w:pPr>
      <w:bookmarkStart w:id="74" w:name="_Toc515359794"/>
      <w:r w:rsidRPr="009B1367">
        <w:t>Ordenamiento Jurídico Interno</w:t>
      </w:r>
      <w:bookmarkEnd w:id="74"/>
    </w:p>
    <w:p w14:paraId="04F59D1C" w14:textId="61D1E064" w:rsidR="00073A90" w:rsidRPr="000531D7" w:rsidRDefault="009E5D86" w:rsidP="000531D7">
      <w:pPr>
        <w:tabs>
          <w:tab w:val="left" w:pos="720"/>
          <w:tab w:val="left" w:pos="810"/>
        </w:tabs>
        <w:spacing w:after="0" w:line="360" w:lineRule="auto"/>
        <w:jc w:val="both"/>
        <w:rPr>
          <w:rFonts w:ascii="Arial" w:hAnsi="Arial" w:cs="Arial"/>
          <w:lang w:val="es-MX"/>
        </w:rPr>
      </w:pPr>
      <w:r>
        <w:rPr>
          <w:rFonts w:ascii="Arial" w:hAnsi="Arial" w:cs="Arial"/>
        </w:rPr>
        <w:t>20</w:t>
      </w:r>
      <w:r w:rsidR="00073A90" w:rsidRPr="007F6AD7">
        <w:rPr>
          <w:rFonts w:ascii="Arial" w:hAnsi="Arial" w:cs="Arial"/>
        </w:rPr>
        <w:t xml:space="preserve">. El ordenamiento jurídico </w:t>
      </w:r>
      <w:r w:rsidR="0095026A" w:rsidRPr="007F6AD7">
        <w:rPr>
          <w:rFonts w:ascii="Arial" w:hAnsi="Arial" w:cs="Arial"/>
        </w:rPr>
        <w:t>c</w:t>
      </w:r>
      <w:r w:rsidR="00073A90" w:rsidRPr="007F6AD7">
        <w:rPr>
          <w:rFonts w:ascii="Arial" w:hAnsi="Arial" w:cs="Arial"/>
        </w:rPr>
        <w:t>uba</w:t>
      </w:r>
      <w:r w:rsidR="0095026A" w:rsidRPr="007F6AD7">
        <w:rPr>
          <w:rFonts w:ascii="Arial" w:hAnsi="Arial" w:cs="Arial"/>
        </w:rPr>
        <w:t>no</w:t>
      </w:r>
      <w:r w:rsidR="00073A90" w:rsidRPr="007F6AD7">
        <w:rPr>
          <w:rFonts w:ascii="Arial" w:hAnsi="Arial" w:cs="Arial"/>
        </w:rPr>
        <w:t>, aunque cuenta con características especiales, se basa en la tradición jurídica continental. El proceso penal es de tipo mixto; se distinguen las fases de la investigación previa y el juicio oral. Los acuerdos internacionales ratificados por Cuba pueden aplicarse directamente; sin embargo, no pueden crear responsabilidad penal.</w:t>
      </w:r>
      <w:r w:rsidR="00073A90" w:rsidRPr="007F6AD7">
        <w:rPr>
          <w:rStyle w:val="Refdenotaalpie"/>
          <w:rFonts w:ascii="Arial" w:hAnsi="Arial" w:cs="Arial"/>
        </w:rPr>
        <w:footnoteReference w:id="104"/>
      </w:r>
      <w:r w:rsidR="00D62D32" w:rsidRPr="007F6AD7">
        <w:rPr>
          <w:rFonts w:ascii="Arial" w:hAnsi="Arial" w:cs="Arial"/>
        </w:rPr>
        <w:t xml:space="preserve"> </w:t>
      </w:r>
      <w:r w:rsidR="00073A90" w:rsidRPr="007F6AD7">
        <w:rPr>
          <w:rFonts w:ascii="Arial" w:hAnsi="Arial" w:cs="Arial"/>
        </w:rPr>
        <w:t xml:space="preserve">ACDEI en conversaciones informales con letrados o cuando distribuye copias de conclusiones finales de determinados órganos de la ONU, </w:t>
      </w:r>
      <w:r w:rsidR="00183EAA" w:rsidRPr="007F6AD7">
        <w:rPr>
          <w:rStyle w:val="Refdenotaalpie"/>
          <w:rFonts w:ascii="Arial" w:hAnsi="Arial" w:cs="Arial"/>
        </w:rPr>
        <w:footnoteReference w:id="105"/>
      </w:r>
      <w:r w:rsidR="00183EAA" w:rsidRPr="007F6AD7">
        <w:rPr>
          <w:rFonts w:ascii="Arial" w:hAnsi="Arial" w:cs="Arial"/>
          <w:vertAlign w:val="superscript"/>
        </w:rPr>
        <w:t xml:space="preserve">,   </w:t>
      </w:r>
      <w:r w:rsidR="00183EAA" w:rsidRPr="007F6AD7">
        <w:rPr>
          <w:rStyle w:val="Refdenotaalpie"/>
          <w:rFonts w:ascii="Arial" w:hAnsi="Arial" w:cs="Arial"/>
        </w:rPr>
        <w:footnoteReference w:id="106"/>
      </w:r>
      <w:r w:rsidR="00183EAA" w:rsidRPr="007F6AD7">
        <w:rPr>
          <w:rFonts w:ascii="Arial" w:hAnsi="Arial" w:cs="Arial"/>
          <w:vertAlign w:val="superscript"/>
        </w:rPr>
        <w:t xml:space="preserve">,  </w:t>
      </w:r>
      <w:r w:rsidR="00183EAA" w:rsidRPr="007F6AD7">
        <w:rPr>
          <w:rStyle w:val="Refdenotaalpie"/>
          <w:rFonts w:ascii="Arial" w:hAnsi="Arial" w:cs="Arial"/>
        </w:rPr>
        <w:footnoteReference w:id="107"/>
      </w:r>
      <w:r w:rsidR="00183EAA" w:rsidRPr="007F6AD7">
        <w:rPr>
          <w:rFonts w:ascii="Arial" w:hAnsi="Arial" w:cs="Arial"/>
          <w:vertAlign w:val="superscript"/>
        </w:rPr>
        <w:t xml:space="preserve">,    </w:t>
      </w:r>
      <w:r w:rsidR="00073A90" w:rsidRPr="007F6AD7">
        <w:rPr>
          <w:rFonts w:ascii="Arial" w:hAnsi="Arial" w:cs="Arial"/>
        </w:rPr>
        <w:t xml:space="preserve">constata que muchos jurisconsultos cubanos conocen limitadamente sobre el </w:t>
      </w:r>
      <w:r w:rsidR="00073A90" w:rsidRPr="007F6AD7">
        <w:rPr>
          <w:rFonts w:ascii="Arial" w:hAnsi="Arial" w:cs="Arial"/>
        </w:rPr>
        <w:lastRenderedPageBreak/>
        <w:t>desarrollo y actividades del Estado en el ámbito del Derecho Internacional.</w:t>
      </w:r>
      <w:r w:rsidR="00027B74" w:rsidRPr="007F6AD7">
        <w:rPr>
          <w:rStyle w:val="Ttulo5Car"/>
          <w:rFonts w:ascii="Arial" w:hAnsi="Arial" w:cs="Arial"/>
        </w:rPr>
        <w:t xml:space="preserve"> </w:t>
      </w:r>
      <w:r w:rsidR="00027B74" w:rsidRPr="007F6AD7">
        <w:rPr>
          <w:rStyle w:val="Refdenotaalpie"/>
          <w:rFonts w:ascii="Arial" w:hAnsi="Arial" w:cs="Arial"/>
        </w:rPr>
        <w:footnoteReference w:id="108"/>
      </w:r>
      <w:r w:rsidR="00027B74" w:rsidRPr="007F6AD7">
        <w:rPr>
          <w:rFonts w:ascii="Arial" w:hAnsi="Arial" w:cs="Arial"/>
          <w:lang w:eastAsia="es-ES"/>
        </w:rPr>
        <w:t xml:space="preserve"> </w:t>
      </w:r>
      <w:r w:rsidR="00073A90" w:rsidRPr="007F6AD7">
        <w:rPr>
          <w:rFonts w:ascii="Arial" w:hAnsi="Arial" w:cs="Arial"/>
        </w:rPr>
        <w:t>En lo que concierne a los Comités de expertos de otros órganos y procedimientos de Derechos Humanos de los que Cuba forma parte,</w:t>
      </w:r>
      <w:r w:rsidR="005705FA" w:rsidRPr="007F6AD7">
        <w:rPr>
          <w:rFonts w:ascii="Arial" w:hAnsi="Arial" w:cs="Arial"/>
          <w:vertAlign w:val="superscript"/>
        </w:rPr>
        <w:t xml:space="preserve"> </w:t>
      </w:r>
      <w:r w:rsidR="00073A90" w:rsidRPr="007F6AD7">
        <w:rPr>
          <w:rFonts w:ascii="Arial" w:hAnsi="Arial" w:cs="Arial"/>
        </w:rPr>
        <w:t>recomiendan armonizar</w:t>
      </w:r>
      <w:r w:rsidR="00D739E9" w:rsidRPr="007F6AD7">
        <w:rPr>
          <w:rFonts w:ascii="Arial" w:hAnsi="Arial" w:cs="Arial"/>
        </w:rPr>
        <w:t xml:space="preserve"> </w:t>
      </w:r>
      <w:r w:rsidR="00073A90" w:rsidRPr="007F6AD7">
        <w:rPr>
          <w:rFonts w:ascii="Arial" w:hAnsi="Arial" w:cs="Arial"/>
        </w:rPr>
        <w:t>la legislación nacional con las normas internacionales pertinentes</w:t>
      </w:r>
      <w:r w:rsidR="00027B74" w:rsidRPr="007F6AD7">
        <w:rPr>
          <w:rFonts w:ascii="Arial" w:hAnsi="Arial" w:cs="Arial"/>
        </w:rPr>
        <w:t>.</w:t>
      </w:r>
      <w:r w:rsidR="00073A90" w:rsidRPr="007F6AD7">
        <w:rPr>
          <w:rFonts w:ascii="Arial" w:hAnsi="Arial" w:cs="Arial"/>
        </w:rPr>
        <w:t xml:space="preserve"> Las declaraciones</w:t>
      </w:r>
      <w:r w:rsidR="00183EAA" w:rsidRPr="007F6AD7">
        <w:rPr>
          <w:rFonts w:ascii="Arial" w:hAnsi="Arial" w:cs="Arial"/>
        </w:rPr>
        <w:t xml:space="preserve"> </w:t>
      </w:r>
      <w:r w:rsidR="005705FA" w:rsidRPr="007F6AD7">
        <w:rPr>
          <w:rFonts w:ascii="Arial" w:hAnsi="Arial" w:cs="Arial"/>
        </w:rPr>
        <w:t>gubernamentales</w:t>
      </w:r>
      <w:r w:rsidR="00073A90" w:rsidRPr="007F6AD7">
        <w:rPr>
          <w:rFonts w:ascii="Arial" w:hAnsi="Arial" w:cs="Arial"/>
        </w:rPr>
        <w:t xml:space="preserve"> que recibe la ciudadanía sobre la Organización de Estados Americanos (OEA) ha convencido a la mayoría de la población, entre ellos a juristas, que Cuba no pertenece a la OEA. La Resolución VI de la Octava Reunión de Consulta</w:t>
      </w:r>
      <w:r w:rsidR="005705FA" w:rsidRPr="007F6AD7">
        <w:rPr>
          <w:rFonts w:ascii="Arial" w:hAnsi="Arial" w:cs="Arial"/>
        </w:rPr>
        <w:t xml:space="preserve"> </w:t>
      </w:r>
      <w:r w:rsidR="00073A90" w:rsidRPr="007F6AD7">
        <w:rPr>
          <w:rFonts w:ascii="Arial" w:hAnsi="Arial" w:cs="Arial"/>
        </w:rPr>
        <w:t>excluyó al gobierno de Cuba, y no al Estado, de</w:t>
      </w:r>
      <w:r w:rsidR="00027B74" w:rsidRPr="007F6AD7">
        <w:rPr>
          <w:rFonts w:ascii="Arial" w:hAnsi="Arial" w:cs="Arial"/>
        </w:rPr>
        <w:t xml:space="preserve"> su participación en el </w:t>
      </w:r>
      <w:r w:rsidR="00C164A6" w:rsidRPr="007F6AD7">
        <w:rPr>
          <w:rFonts w:ascii="Arial" w:hAnsi="Arial" w:cs="Arial"/>
        </w:rPr>
        <w:t>S</w:t>
      </w:r>
      <w:r w:rsidR="00027B74" w:rsidRPr="007F6AD7">
        <w:rPr>
          <w:rFonts w:ascii="Arial" w:hAnsi="Arial" w:cs="Arial"/>
        </w:rPr>
        <w:t xml:space="preserve">istema </w:t>
      </w:r>
      <w:r w:rsidR="00C164A6" w:rsidRPr="007F6AD7">
        <w:rPr>
          <w:rFonts w:ascii="Arial" w:hAnsi="Arial" w:cs="Arial"/>
        </w:rPr>
        <w:t>I</w:t>
      </w:r>
      <w:r w:rsidR="00073A90" w:rsidRPr="007F6AD7">
        <w:rPr>
          <w:rFonts w:ascii="Arial" w:hAnsi="Arial" w:cs="Arial"/>
        </w:rPr>
        <w:t xml:space="preserve">nteramericano”. </w:t>
      </w:r>
      <w:r w:rsidR="00073A90" w:rsidRPr="007F6AD7">
        <w:rPr>
          <w:rFonts w:ascii="Arial" w:hAnsi="Arial" w:cs="Arial"/>
          <w:vertAlign w:val="superscript"/>
        </w:rPr>
        <w:footnoteReference w:id="109"/>
      </w:r>
      <w:r w:rsidR="00027B74" w:rsidRPr="007F6AD7">
        <w:rPr>
          <w:rFonts w:ascii="Arial" w:hAnsi="Arial" w:cs="Arial"/>
        </w:rPr>
        <w:t xml:space="preserve"> </w:t>
      </w:r>
    </w:p>
    <w:p w14:paraId="2C433F05" w14:textId="68BC6997" w:rsidR="00AD67F9" w:rsidRPr="007F6AD7" w:rsidRDefault="00073A90" w:rsidP="009E5D86">
      <w:pPr>
        <w:tabs>
          <w:tab w:val="left" w:pos="567"/>
        </w:tabs>
        <w:spacing w:after="0" w:line="360" w:lineRule="auto"/>
        <w:jc w:val="both"/>
        <w:rPr>
          <w:rFonts w:ascii="Arial" w:hAnsi="Arial" w:cs="Arial"/>
          <w:lang w:eastAsia="es-ES"/>
        </w:rPr>
      </w:pPr>
      <w:r w:rsidRPr="007F6AD7">
        <w:rPr>
          <w:rFonts w:ascii="Arial" w:hAnsi="Arial" w:cs="Arial"/>
        </w:rPr>
        <w:t>2</w:t>
      </w:r>
      <w:r w:rsidR="009E5D86">
        <w:rPr>
          <w:rFonts w:ascii="Arial" w:hAnsi="Arial" w:cs="Arial"/>
        </w:rPr>
        <w:t>1</w:t>
      </w:r>
      <w:r w:rsidRPr="007F6AD7">
        <w:rPr>
          <w:rFonts w:ascii="Arial" w:hAnsi="Arial" w:cs="Arial"/>
        </w:rPr>
        <w:t>.</w:t>
      </w:r>
      <w:r w:rsidR="00965E05" w:rsidRPr="007F6AD7">
        <w:rPr>
          <w:rFonts w:ascii="Arial" w:hAnsi="Arial" w:cs="Arial"/>
        </w:rPr>
        <w:t xml:space="preserve"> </w:t>
      </w:r>
      <w:r w:rsidR="000531D7">
        <w:rPr>
          <w:rFonts w:ascii="Arial" w:hAnsi="Arial" w:cs="Arial"/>
        </w:rPr>
        <w:t xml:space="preserve">Hay </w:t>
      </w:r>
      <w:r w:rsidR="000531D7" w:rsidRPr="007F6AD7">
        <w:rPr>
          <w:rFonts w:ascii="Arial" w:hAnsi="Arial" w:cs="Arial"/>
        </w:rPr>
        <w:t>diversas incompatibilidades</w:t>
      </w:r>
      <w:r w:rsidR="000531D7">
        <w:rPr>
          <w:rFonts w:ascii="Arial" w:hAnsi="Arial" w:cs="Arial"/>
        </w:rPr>
        <w:t xml:space="preserve"> de</w:t>
      </w:r>
      <w:r w:rsidR="000531D7" w:rsidRPr="007F6AD7">
        <w:rPr>
          <w:rFonts w:ascii="Arial" w:hAnsi="Arial" w:cs="Arial"/>
        </w:rPr>
        <w:t xml:space="preserve"> </w:t>
      </w:r>
      <w:r w:rsidR="00027B74" w:rsidRPr="007F6AD7">
        <w:rPr>
          <w:rFonts w:ascii="Arial" w:hAnsi="Arial" w:cs="Arial"/>
        </w:rPr>
        <w:t>la</w:t>
      </w:r>
      <w:r w:rsidRPr="007F6AD7">
        <w:rPr>
          <w:rFonts w:ascii="Arial" w:hAnsi="Arial" w:cs="Arial"/>
        </w:rPr>
        <w:t xml:space="preserve"> </w:t>
      </w:r>
      <w:r w:rsidR="00AD67F9" w:rsidRPr="007F6AD7">
        <w:rPr>
          <w:rFonts w:ascii="Arial" w:hAnsi="Arial" w:cs="Arial"/>
        </w:rPr>
        <w:t>legislación cubana con preceptos legales del Derecho Internacional y Penal.</w:t>
      </w:r>
      <w:r w:rsidR="008B5399" w:rsidRPr="007F6AD7">
        <w:rPr>
          <w:rFonts w:ascii="Arial" w:hAnsi="Arial" w:cs="Arial"/>
          <w:vertAlign w:val="superscript"/>
        </w:rPr>
        <w:footnoteReference w:id="110"/>
      </w:r>
      <w:r w:rsidR="008B5399" w:rsidRPr="007F6AD7">
        <w:rPr>
          <w:rFonts w:ascii="Arial" w:hAnsi="Arial" w:cs="Arial"/>
          <w:vertAlign w:val="superscript"/>
        </w:rPr>
        <w:t xml:space="preserve">,  </w:t>
      </w:r>
      <w:r w:rsidR="008B5399" w:rsidRPr="007F6AD7">
        <w:rPr>
          <w:rFonts w:ascii="Arial" w:hAnsi="Arial" w:cs="Arial"/>
          <w:vertAlign w:val="superscript"/>
        </w:rPr>
        <w:footnoteReference w:id="111"/>
      </w:r>
      <w:r w:rsidR="008B5399" w:rsidRPr="007F6AD7">
        <w:rPr>
          <w:rFonts w:ascii="Arial" w:hAnsi="Arial" w:cs="Arial"/>
          <w:vertAlign w:val="superscript"/>
        </w:rPr>
        <w:t xml:space="preserve">, </w:t>
      </w:r>
      <w:r w:rsidR="00027B74" w:rsidRPr="007F6AD7">
        <w:rPr>
          <w:rFonts w:ascii="Arial" w:hAnsi="Arial" w:cs="Arial"/>
          <w:vertAlign w:val="superscript"/>
        </w:rPr>
        <w:t xml:space="preserve"> </w:t>
      </w:r>
      <w:r w:rsidR="008B5399" w:rsidRPr="007F6AD7">
        <w:rPr>
          <w:rFonts w:ascii="Arial" w:hAnsi="Arial" w:cs="Arial"/>
          <w:vertAlign w:val="superscript"/>
        </w:rPr>
        <w:footnoteReference w:id="112"/>
      </w:r>
      <w:r w:rsidR="008B5399" w:rsidRPr="007F6AD7">
        <w:rPr>
          <w:rFonts w:ascii="Arial" w:hAnsi="Arial" w:cs="Arial"/>
        </w:rPr>
        <w:t xml:space="preserve">  </w:t>
      </w:r>
      <w:r w:rsidR="00AD67F9" w:rsidRPr="007F6AD7">
        <w:rPr>
          <w:rFonts w:ascii="Arial" w:hAnsi="Arial" w:cs="Arial"/>
        </w:rPr>
        <w:t xml:space="preserve">En ocasiones existen las normas pero no abordan exhaustivamente </w:t>
      </w:r>
      <w:r w:rsidR="00AD67F9" w:rsidRPr="007F6AD7">
        <w:rPr>
          <w:rFonts w:ascii="Arial" w:hAnsi="Arial" w:cs="Arial"/>
        </w:rPr>
        <w:lastRenderedPageBreak/>
        <w:t xml:space="preserve">los delitos, así sucede por ejemplo con hechos punibles como </w:t>
      </w:r>
      <w:r w:rsidR="008B5399" w:rsidRPr="007F6AD7">
        <w:rPr>
          <w:rFonts w:ascii="Arial" w:hAnsi="Arial" w:cs="Arial"/>
        </w:rPr>
        <w:t xml:space="preserve">la </w:t>
      </w:r>
      <w:r w:rsidR="00AD67F9" w:rsidRPr="007F6AD7">
        <w:rPr>
          <w:rFonts w:ascii="Arial" w:hAnsi="Arial" w:cs="Arial"/>
        </w:rPr>
        <w:t>obstrucción de la justicia,</w:t>
      </w:r>
      <w:r w:rsidR="000531D7" w:rsidRPr="000531D7">
        <w:rPr>
          <w:rFonts w:ascii="Arial" w:hAnsi="Arial" w:cs="Arial"/>
          <w:vertAlign w:val="superscript"/>
        </w:rPr>
        <w:t xml:space="preserve"> </w:t>
      </w:r>
      <w:r w:rsidR="000531D7" w:rsidRPr="007F6AD7">
        <w:rPr>
          <w:rFonts w:ascii="Arial" w:hAnsi="Arial" w:cs="Arial"/>
          <w:vertAlign w:val="superscript"/>
        </w:rPr>
        <w:footnoteReference w:id="113"/>
      </w:r>
      <w:r w:rsidR="000531D7" w:rsidRPr="007F6AD7">
        <w:rPr>
          <w:rFonts w:ascii="Arial" w:hAnsi="Arial" w:cs="Arial"/>
          <w:vertAlign w:val="superscript"/>
        </w:rPr>
        <w:t xml:space="preserve"> </w:t>
      </w:r>
      <w:r w:rsidR="00AD67F9" w:rsidRPr="007F6AD7">
        <w:rPr>
          <w:rFonts w:ascii="Arial" w:hAnsi="Arial" w:cs="Arial"/>
        </w:rPr>
        <w:t xml:space="preserve"> la t</w:t>
      </w:r>
      <w:r w:rsidR="00C12397">
        <w:rPr>
          <w:rFonts w:ascii="Arial" w:hAnsi="Arial" w:cs="Arial"/>
        </w:rPr>
        <w:t xml:space="preserve">rata </w:t>
      </w:r>
      <w:r w:rsidR="000531D7" w:rsidRPr="007F6AD7">
        <w:rPr>
          <w:rFonts w:ascii="Arial" w:hAnsi="Arial" w:cs="Arial"/>
          <w:vertAlign w:val="superscript"/>
        </w:rPr>
        <w:footnoteReference w:id="114"/>
      </w:r>
      <w:r w:rsidR="00C12397">
        <w:rPr>
          <w:rFonts w:ascii="Arial" w:hAnsi="Arial" w:cs="Arial"/>
        </w:rPr>
        <w:t xml:space="preserve"> y la desaparición forzada</w:t>
      </w:r>
      <w:r w:rsidR="008B5399" w:rsidRPr="007F6AD7">
        <w:rPr>
          <w:rFonts w:ascii="Arial" w:hAnsi="Arial" w:cs="Arial"/>
        </w:rPr>
        <w:t>.</w:t>
      </w:r>
      <w:r w:rsidR="00C12397">
        <w:rPr>
          <w:rFonts w:ascii="Arial" w:hAnsi="Arial" w:cs="Arial"/>
          <w:lang w:val="es-MX" w:eastAsia="es-MX"/>
        </w:rPr>
        <w:t xml:space="preserve"> </w:t>
      </w:r>
      <w:r w:rsidR="00C12397">
        <w:rPr>
          <w:rFonts w:ascii="Arial" w:hAnsi="Arial" w:cs="Arial"/>
          <w:bCs/>
        </w:rPr>
        <w:t>La práctica judicial cubana no aplica directamente la Constitución.</w:t>
      </w:r>
      <w:r w:rsidR="00C12397">
        <w:rPr>
          <w:rStyle w:val="Refdenotaalpie"/>
          <w:rFonts w:ascii="Arial" w:hAnsi="Arial"/>
          <w:bCs/>
        </w:rPr>
        <w:footnoteReference w:id="115"/>
      </w:r>
      <w:r w:rsidR="00C12397">
        <w:rPr>
          <w:rFonts w:ascii="Arial" w:hAnsi="Arial" w:cs="Arial"/>
          <w:bCs/>
        </w:rPr>
        <w:t xml:space="preserve"> </w:t>
      </w:r>
      <w:r w:rsidR="00C12397">
        <w:rPr>
          <w:rFonts w:ascii="Arial" w:hAnsi="Arial" w:cs="Arial"/>
        </w:rPr>
        <w:t xml:space="preserve">Por el contrario, </w:t>
      </w:r>
      <w:r w:rsidR="00C12397">
        <w:rPr>
          <w:rFonts w:ascii="Arial" w:hAnsi="Arial" w:cs="Arial"/>
          <w:bCs/>
        </w:rPr>
        <w:t>nada impide legalmente aplicarla.</w:t>
      </w:r>
      <w:r w:rsidR="00C12397">
        <w:rPr>
          <w:rStyle w:val="Refdenotaalpie"/>
          <w:rFonts w:ascii="Arial" w:hAnsi="Arial"/>
          <w:bCs/>
        </w:rPr>
        <w:footnoteReference w:id="116"/>
      </w:r>
      <w:r w:rsidR="00C12397">
        <w:rPr>
          <w:rFonts w:ascii="Arial" w:hAnsi="Arial" w:cs="Arial"/>
          <w:bCs/>
        </w:rPr>
        <w:t xml:space="preserve"> De hecho, se ha invocado la Constitución en sentencias recientes de tribunales de todas las instancias.</w:t>
      </w:r>
      <w:r w:rsidR="00C12397">
        <w:rPr>
          <w:rFonts w:ascii="Arial" w:hAnsi="Arial" w:cs="Arial"/>
          <w:bCs/>
          <w:vertAlign w:val="superscript"/>
        </w:rPr>
        <w:t xml:space="preserve"> </w:t>
      </w:r>
      <w:r w:rsidR="00C12397">
        <w:rPr>
          <w:rFonts w:ascii="Arial" w:hAnsi="Arial" w:cs="Arial"/>
          <w:bCs/>
        </w:rPr>
        <w:t>No pueden reclamarse por la vía jurisdiccional cuestiones constitucionales.</w:t>
      </w:r>
      <w:r w:rsidR="00C12397">
        <w:rPr>
          <w:rStyle w:val="Refdenotaalpie"/>
          <w:rFonts w:ascii="Arial" w:hAnsi="Arial"/>
          <w:bCs/>
        </w:rPr>
        <w:footnoteReference w:id="117"/>
      </w:r>
    </w:p>
    <w:p w14:paraId="07ADB5AB" w14:textId="77777777" w:rsidR="00073A90" w:rsidRPr="007F6AD7" w:rsidRDefault="00073A90" w:rsidP="00DA7CB5">
      <w:pPr>
        <w:pStyle w:val="Ttulo2"/>
      </w:pPr>
      <w:bookmarkStart w:id="79" w:name="_Toc515359795"/>
      <w:r w:rsidRPr="007F6AD7">
        <w:t>Sistema Judicial</w:t>
      </w:r>
      <w:bookmarkEnd w:id="79"/>
    </w:p>
    <w:p w14:paraId="79A1EC85" w14:textId="4B9A4142" w:rsidR="001948BB" w:rsidRPr="007F6AD7" w:rsidRDefault="000531D7" w:rsidP="000531D7">
      <w:pPr>
        <w:tabs>
          <w:tab w:val="left" w:pos="567"/>
        </w:tabs>
        <w:spacing w:after="0" w:line="360" w:lineRule="auto"/>
        <w:jc w:val="both"/>
        <w:rPr>
          <w:rFonts w:ascii="Arial" w:hAnsi="Arial" w:cs="Arial"/>
        </w:rPr>
      </w:pPr>
      <w:r>
        <w:rPr>
          <w:rFonts w:ascii="Arial" w:hAnsi="Arial" w:cs="Arial"/>
        </w:rPr>
        <w:t xml:space="preserve">22. </w:t>
      </w:r>
      <w:r w:rsidR="00FA7A03" w:rsidRPr="007F6AD7">
        <w:rPr>
          <w:rFonts w:ascii="Arial" w:hAnsi="Arial" w:cs="Arial"/>
        </w:rPr>
        <w:t xml:space="preserve">El </w:t>
      </w:r>
      <w:r w:rsidR="00842921" w:rsidRPr="007F6AD7">
        <w:rPr>
          <w:rFonts w:ascii="Arial" w:hAnsi="Arial" w:cs="Arial"/>
        </w:rPr>
        <w:t>S</w:t>
      </w:r>
      <w:r w:rsidR="00FA7A03" w:rsidRPr="007F6AD7">
        <w:rPr>
          <w:rFonts w:ascii="Arial" w:hAnsi="Arial" w:cs="Arial"/>
        </w:rPr>
        <w:t xml:space="preserve">istema </w:t>
      </w:r>
      <w:r w:rsidR="00842921" w:rsidRPr="007F6AD7">
        <w:rPr>
          <w:rFonts w:ascii="Arial" w:hAnsi="Arial" w:cs="Arial"/>
        </w:rPr>
        <w:t>J</w:t>
      </w:r>
      <w:r w:rsidR="00FA7A03" w:rsidRPr="007F6AD7">
        <w:rPr>
          <w:rFonts w:ascii="Arial" w:hAnsi="Arial" w:cs="Arial"/>
        </w:rPr>
        <w:t xml:space="preserve">udicial </w:t>
      </w:r>
      <w:r w:rsidR="00842921" w:rsidRPr="007F6AD7">
        <w:rPr>
          <w:rFonts w:ascii="Arial" w:hAnsi="Arial" w:cs="Arial"/>
        </w:rPr>
        <w:t>C</w:t>
      </w:r>
      <w:r w:rsidR="00FA7A03" w:rsidRPr="007F6AD7">
        <w:rPr>
          <w:rFonts w:ascii="Arial" w:hAnsi="Arial" w:cs="Arial"/>
        </w:rPr>
        <w:t>ubano</w:t>
      </w:r>
      <w:r w:rsidR="00842921" w:rsidRPr="007F6AD7">
        <w:rPr>
          <w:rFonts w:ascii="Arial" w:hAnsi="Arial" w:cs="Arial"/>
        </w:rPr>
        <w:t xml:space="preserve"> está con</w:t>
      </w:r>
      <w:r w:rsidR="00667876" w:rsidRPr="007F6AD7">
        <w:rPr>
          <w:rFonts w:ascii="Arial" w:hAnsi="Arial" w:cs="Arial"/>
        </w:rPr>
        <w:t>figurado</w:t>
      </w:r>
      <w:r w:rsidR="00842921" w:rsidRPr="007F6AD7">
        <w:rPr>
          <w:rFonts w:ascii="Arial" w:hAnsi="Arial" w:cs="Arial"/>
        </w:rPr>
        <w:t xml:space="preserve">, en lo </w:t>
      </w:r>
      <w:r w:rsidR="00667876" w:rsidRPr="007F6AD7">
        <w:rPr>
          <w:rFonts w:ascii="Arial" w:hAnsi="Arial" w:cs="Arial"/>
        </w:rPr>
        <w:t xml:space="preserve">esencial, por </w:t>
      </w:r>
      <w:r w:rsidR="00005956" w:rsidRPr="007F6AD7">
        <w:rPr>
          <w:rFonts w:ascii="Arial" w:hAnsi="Arial" w:cs="Arial"/>
        </w:rPr>
        <w:t xml:space="preserve">los tribunales </w:t>
      </w:r>
      <w:r w:rsidR="001B02B4">
        <w:rPr>
          <w:rFonts w:ascii="Arial" w:hAnsi="Arial" w:cs="Arial"/>
        </w:rPr>
        <w:t xml:space="preserve">los cuales </w:t>
      </w:r>
      <w:r w:rsidR="00005956" w:rsidRPr="007F6AD7">
        <w:rPr>
          <w:rFonts w:ascii="Arial" w:hAnsi="Arial" w:cs="Arial"/>
        </w:rPr>
        <w:t>constituyen</w:t>
      </w:r>
      <w:r w:rsidR="001B02B4">
        <w:rPr>
          <w:rFonts w:ascii="Arial" w:hAnsi="Arial" w:cs="Arial"/>
        </w:rPr>
        <w:t xml:space="preserve"> </w:t>
      </w:r>
      <w:r w:rsidR="00005956" w:rsidRPr="007F6AD7">
        <w:rPr>
          <w:rFonts w:ascii="Arial" w:hAnsi="Arial" w:cs="Arial"/>
        </w:rPr>
        <w:t>un sistema de órganos del Poder Revolucionario</w:t>
      </w:r>
      <w:r w:rsidR="00667876" w:rsidRPr="007F6AD7">
        <w:rPr>
          <w:rFonts w:ascii="Arial" w:hAnsi="Arial" w:cs="Arial"/>
        </w:rPr>
        <w:t>,</w:t>
      </w:r>
      <w:r w:rsidR="00005956" w:rsidRPr="007F6AD7">
        <w:rPr>
          <w:rStyle w:val="Refdenotaalpie"/>
          <w:rFonts w:ascii="Arial" w:hAnsi="Arial" w:cs="Arial"/>
        </w:rPr>
        <w:footnoteReference w:id="118"/>
      </w:r>
      <w:r w:rsidR="00667876" w:rsidRPr="007F6AD7">
        <w:rPr>
          <w:rFonts w:ascii="Arial" w:hAnsi="Arial" w:cs="Arial"/>
        </w:rPr>
        <w:t xml:space="preserve"> el Ministerio de Justicia</w:t>
      </w:r>
      <w:r w:rsidR="00842921" w:rsidRPr="007F6AD7">
        <w:rPr>
          <w:rFonts w:ascii="Arial" w:hAnsi="Arial" w:cs="Arial"/>
        </w:rPr>
        <w:t xml:space="preserve">, </w:t>
      </w:r>
      <w:r w:rsidR="00667876" w:rsidRPr="007F6AD7">
        <w:rPr>
          <w:rFonts w:ascii="Arial" w:hAnsi="Arial" w:cs="Arial"/>
        </w:rPr>
        <w:t>la Fiscalía General de la República</w:t>
      </w:r>
      <w:r w:rsidR="00842921" w:rsidRPr="007F6AD7">
        <w:rPr>
          <w:rFonts w:ascii="Arial" w:hAnsi="Arial" w:cs="Arial"/>
        </w:rPr>
        <w:t xml:space="preserve">, </w:t>
      </w:r>
      <w:r w:rsidR="00667876" w:rsidRPr="007F6AD7">
        <w:rPr>
          <w:rFonts w:ascii="Arial" w:hAnsi="Arial" w:cs="Arial"/>
        </w:rPr>
        <w:t xml:space="preserve">y otros organismos </w:t>
      </w:r>
      <w:r w:rsidR="00842921" w:rsidRPr="007F6AD7">
        <w:rPr>
          <w:rFonts w:ascii="Arial" w:hAnsi="Arial" w:cs="Arial"/>
        </w:rPr>
        <w:t>que cumplen funciones vinculadas al ámbito jurisdiccional</w:t>
      </w:r>
      <w:r w:rsidR="00667876" w:rsidRPr="007F6AD7">
        <w:rPr>
          <w:rFonts w:ascii="Arial" w:hAnsi="Arial" w:cs="Arial"/>
        </w:rPr>
        <w:t>.</w:t>
      </w:r>
      <w:r w:rsidR="00237246" w:rsidRPr="007F6AD7">
        <w:rPr>
          <w:rFonts w:ascii="Arial" w:hAnsi="Arial" w:cs="Arial"/>
        </w:rPr>
        <w:t xml:space="preserve"> </w:t>
      </w:r>
      <w:r w:rsidR="00842921" w:rsidRPr="007F6AD7">
        <w:rPr>
          <w:rFonts w:ascii="Arial" w:hAnsi="Arial" w:cs="Arial"/>
        </w:rPr>
        <w:t xml:space="preserve">En </w:t>
      </w:r>
      <w:r w:rsidR="00667876" w:rsidRPr="007F6AD7">
        <w:rPr>
          <w:rFonts w:ascii="Arial" w:hAnsi="Arial" w:cs="Arial"/>
        </w:rPr>
        <w:t>Cuba</w:t>
      </w:r>
      <w:r w:rsidR="00842921" w:rsidRPr="007F6AD7">
        <w:rPr>
          <w:rFonts w:ascii="Arial" w:hAnsi="Arial" w:cs="Arial"/>
        </w:rPr>
        <w:t xml:space="preserve">, </w:t>
      </w:r>
      <w:r w:rsidR="00005956" w:rsidRPr="007F6AD7">
        <w:rPr>
          <w:rFonts w:ascii="Arial" w:hAnsi="Arial" w:cs="Arial"/>
        </w:rPr>
        <w:t xml:space="preserve">los tribunales </w:t>
      </w:r>
      <w:r w:rsidR="00842921" w:rsidRPr="007F6AD7">
        <w:rPr>
          <w:rFonts w:ascii="Arial" w:hAnsi="Arial" w:cs="Arial"/>
        </w:rPr>
        <w:t>tiene</w:t>
      </w:r>
      <w:r w:rsidR="00005956" w:rsidRPr="007F6AD7">
        <w:rPr>
          <w:rFonts w:ascii="Arial" w:hAnsi="Arial" w:cs="Arial"/>
        </w:rPr>
        <w:t>n</w:t>
      </w:r>
      <w:r w:rsidR="00842921" w:rsidRPr="007F6AD7">
        <w:rPr>
          <w:rFonts w:ascii="Arial" w:hAnsi="Arial" w:cs="Arial"/>
        </w:rPr>
        <w:t xml:space="preserve"> como func</w:t>
      </w:r>
      <w:r w:rsidR="001948BB" w:rsidRPr="007F6AD7">
        <w:rPr>
          <w:rFonts w:ascii="Arial" w:hAnsi="Arial" w:cs="Arial"/>
        </w:rPr>
        <w:t>ión el ejercicio de la potestad j</w:t>
      </w:r>
      <w:r w:rsidR="00842921" w:rsidRPr="007F6AD7">
        <w:rPr>
          <w:rFonts w:ascii="Arial" w:hAnsi="Arial" w:cs="Arial"/>
        </w:rPr>
        <w:t>urisdiccional, o potestad de administrar justicia</w:t>
      </w:r>
      <w:r w:rsidR="00304C87">
        <w:rPr>
          <w:rFonts w:ascii="Arial" w:hAnsi="Arial" w:cs="Arial"/>
        </w:rPr>
        <w:t>.</w:t>
      </w:r>
      <w:r w:rsidR="00667876" w:rsidRPr="007F6AD7">
        <w:rPr>
          <w:rStyle w:val="Refdenotaalpie"/>
          <w:rFonts w:ascii="Arial" w:hAnsi="Arial" w:cs="Arial"/>
        </w:rPr>
        <w:footnoteReference w:id="119"/>
      </w:r>
      <w:r w:rsidR="001948BB" w:rsidRPr="007F6AD7">
        <w:rPr>
          <w:rFonts w:ascii="Arial" w:hAnsi="Arial" w:cs="Arial"/>
        </w:rPr>
        <w:t xml:space="preserve"> Al igual que la Fiscalía General de la República, </w:t>
      </w:r>
      <w:r w:rsidR="00237246" w:rsidRPr="007F6AD7">
        <w:rPr>
          <w:rFonts w:ascii="Arial" w:hAnsi="Arial" w:cs="Arial"/>
        </w:rPr>
        <w:t xml:space="preserve">los </w:t>
      </w:r>
      <w:r w:rsidR="001B02B4" w:rsidRPr="007F6AD7">
        <w:rPr>
          <w:rFonts w:ascii="Arial" w:hAnsi="Arial" w:cs="Arial"/>
        </w:rPr>
        <w:t>tribunales están</w:t>
      </w:r>
      <w:r w:rsidR="001948BB" w:rsidRPr="007F6AD7">
        <w:rPr>
          <w:rFonts w:ascii="Arial" w:hAnsi="Arial" w:cs="Arial"/>
        </w:rPr>
        <w:t xml:space="preserve"> </w:t>
      </w:r>
      <w:r w:rsidR="00CE0BDB" w:rsidRPr="007F6AD7">
        <w:rPr>
          <w:rFonts w:ascii="Arial" w:hAnsi="Arial" w:cs="Arial"/>
        </w:rPr>
        <w:t>subordinado</w:t>
      </w:r>
      <w:r w:rsidR="001948BB" w:rsidRPr="007F6AD7">
        <w:rPr>
          <w:rFonts w:ascii="Arial" w:hAnsi="Arial" w:cs="Arial"/>
        </w:rPr>
        <w:t>s</w:t>
      </w:r>
      <w:r w:rsidR="00CE0BDB" w:rsidRPr="007F6AD7">
        <w:rPr>
          <w:rFonts w:ascii="Arial" w:hAnsi="Arial" w:cs="Arial"/>
        </w:rPr>
        <w:t xml:space="preserve"> jerárquicamente a la Asamblea Nacional del Poder Popular </w:t>
      </w:r>
      <w:r w:rsidR="00842921" w:rsidRPr="007F6AD7">
        <w:rPr>
          <w:rFonts w:ascii="Arial" w:hAnsi="Arial" w:cs="Arial"/>
        </w:rPr>
        <w:t>(Parlamento</w:t>
      </w:r>
      <w:r w:rsidR="00CE0BDB" w:rsidRPr="007F6AD7">
        <w:rPr>
          <w:rFonts w:ascii="Arial" w:hAnsi="Arial" w:cs="Arial"/>
        </w:rPr>
        <w:t>) y al Consejo de Estado.</w:t>
      </w:r>
      <w:r w:rsidR="00842921" w:rsidRPr="007F6AD7">
        <w:rPr>
          <w:rStyle w:val="Refdenotaalpie"/>
          <w:rFonts w:ascii="Arial" w:hAnsi="Arial" w:cs="Arial"/>
        </w:rPr>
        <w:footnoteReference w:id="120"/>
      </w:r>
      <w:r w:rsidR="00CE0BDB" w:rsidRPr="007F6AD7">
        <w:rPr>
          <w:rFonts w:ascii="Arial" w:hAnsi="Arial" w:cs="Arial"/>
        </w:rPr>
        <w:t xml:space="preserve"> </w:t>
      </w:r>
      <w:r w:rsidR="00DA685C" w:rsidRPr="007F6AD7">
        <w:rPr>
          <w:rFonts w:ascii="Arial" w:hAnsi="Arial" w:cs="Arial"/>
        </w:rPr>
        <w:t xml:space="preserve">El presidente del Tribunal Supremo y el Fiscal General de la Republica deben rendir cuenta </w:t>
      </w:r>
      <w:r w:rsidR="00842921" w:rsidRPr="007F6AD7">
        <w:rPr>
          <w:rFonts w:ascii="Arial" w:hAnsi="Arial" w:cs="Arial"/>
        </w:rPr>
        <w:lastRenderedPageBreak/>
        <w:t xml:space="preserve">de su labor </w:t>
      </w:r>
      <w:r w:rsidR="00DA685C" w:rsidRPr="007F6AD7">
        <w:rPr>
          <w:rFonts w:ascii="Arial" w:hAnsi="Arial" w:cs="Arial"/>
        </w:rPr>
        <w:t>periódicamente.</w:t>
      </w:r>
      <w:r w:rsidR="00DA685C" w:rsidRPr="007F6AD7">
        <w:rPr>
          <w:rStyle w:val="Refdenotaalpie"/>
          <w:rFonts w:ascii="Arial" w:hAnsi="Arial" w:cs="Arial"/>
        </w:rPr>
        <w:footnoteReference w:id="121"/>
      </w:r>
      <w:r w:rsidR="00AA5659" w:rsidRPr="00AA5659">
        <w:rPr>
          <w:rFonts w:ascii="Arial" w:hAnsi="Arial" w:cs="Arial"/>
          <w:vertAlign w:val="superscript"/>
        </w:rPr>
        <w:t>,</w:t>
      </w:r>
      <w:r w:rsidR="00AA5659">
        <w:rPr>
          <w:rFonts w:ascii="Arial" w:hAnsi="Arial" w:cs="Arial"/>
        </w:rPr>
        <w:t xml:space="preserve"> </w:t>
      </w:r>
      <w:r w:rsidR="00AA5659">
        <w:rPr>
          <w:rStyle w:val="Refdenotaalpie"/>
          <w:rFonts w:ascii="Arial" w:hAnsi="Arial" w:cs="Arial"/>
        </w:rPr>
        <w:footnoteReference w:id="122"/>
      </w:r>
      <w:r w:rsidR="00AA5659">
        <w:rPr>
          <w:rFonts w:ascii="Arial" w:hAnsi="Arial" w:cs="Arial"/>
        </w:rPr>
        <w:t xml:space="preserve"> </w:t>
      </w:r>
      <w:r w:rsidR="00CE0BDB" w:rsidRPr="007F6AD7">
        <w:rPr>
          <w:rFonts w:ascii="Arial" w:hAnsi="Arial" w:cs="Arial"/>
        </w:rPr>
        <w:t>E</w:t>
      </w:r>
      <w:r w:rsidR="00200246" w:rsidRPr="007F6AD7">
        <w:rPr>
          <w:rFonts w:ascii="Arial" w:hAnsi="Arial" w:cs="Arial"/>
        </w:rPr>
        <w:t xml:space="preserve">n general, </w:t>
      </w:r>
      <w:r w:rsidR="00CE0BDB" w:rsidRPr="007F6AD7">
        <w:rPr>
          <w:rFonts w:ascii="Arial" w:hAnsi="Arial" w:cs="Arial"/>
        </w:rPr>
        <w:t xml:space="preserve">los tribunales están </w:t>
      </w:r>
      <w:r w:rsidR="00FA7A03" w:rsidRPr="007F6AD7">
        <w:rPr>
          <w:rFonts w:ascii="Arial" w:hAnsi="Arial" w:cs="Arial"/>
        </w:rPr>
        <w:t>estructurado</w:t>
      </w:r>
      <w:r w:rsidR="00CE0BDB" w:rsidRPr="007F6AD7">
        <w:rPr>
          <w:rFonts w:ascii="Arial" w:hAnsi="Arial" w:cs="Arial"/>
        </w:rPr>
        <w:t>s</w:t>
      </w:r>
      <w:r w:rsidR="003D458B" w:rsidRPr="007F6AD7">
        <w:rPr>
          <w:rStyle w:val="Refdenotaalpie"/>
          <w:rFonts w:ascii="Arial" w:hAnsi="Arial" w:cs="Arial"/>
        </w:rPr>
        <w:footnoteReference w:id="123"/>
      </w:r>
      <w:r w:rsidR="00FA7A03" w:rsidRPr="007F6AD7">
        <w:rPr>
          <w:rFonts w:ascii="Arial" w:hAnsi="Arial" w:cs="Arial"/>
        </w:rPr>
        <w:t>de la siguiente forma:</w:t>
      </w:r>
      <w:r w:rsidR="00A36C40" w:rsidRPr="007F6AD7">
        <w:rPr>
          <w:rStyle w:val="Refdenotaalpie"/>
          <w:rFonts w:ascii="Arial" w:hAnsi="Arial" w:cs="Arial"/>
        </w:rPr>
        <w:t xml:space="preserve"> </w:t>
      </w:r>
      <w:r w:rsidR="00FA7A03" w:rsidRPr="007F6AD7">
        <w:rPr>
          <w:rFonts w:ascii="Arial" w:hAnsi="Arial" w:cs="Arial"/>
        </w:rPr>
        <w:t>Tribunales Municipales</w:t>
      </w:r>
      <w:r w:rsidR="00266888" w:rsidRPr="007F6AD7">
        <w:rPr>
          <w:rFonts w:ascii="Arial" w:hAnsi="Arial" w:cs="Arial"/>
        </w:rPr>
        <w:t>– Tribunales Provinciales</w:t>
      </w:r>
      <w:r w:rsidR="00FA7A03" w:rsidRPr="007F6AD7">
        <w:rPr>
          <w:rFonts w:ascii="Arial" w:hAnsi="Arial" w:cs="Arial"/>
        </w:rPr>
        <w:t xml:space="preserve">– </w:t>
      </w:r>
      <w:r w:rsidR="001B02B4" w:rsidRPr="007F6AD7">
        <w:rPr>
          <w:rFonts w:ascii="Arial" w:hAnsi="Arial" w:cs="Arial"/>
        </w:rPr>
        <w:t>Tribunal Supremo Popular</w:t>
      </w:r>
      <w:r w:rsidR="001B02B4">
        <w:rPr>
          <w:rFonts w:ascii="Arial" w:hAnsi="Arial" w:cs="Arial"/>
        </w:rPr>
        <w:t xml:space="preserve"> y la Jurisdicción Militar q</w:t>
      </w:r>
      <w:r w:rsidR="001B02B4" w:rsidRPr="001B02B4">
        <w:rPr>
          <w:rFonts w:ascii="Arial" w:hAnsi="Arial" w:cs="Arial"/>
        </w:rPr>
        <w:t>ue funciona en las Fuerzas Armadas Rev</w:t>
      </w:r>
      <w:r w:rsidR="001B02B4">
        <w:rPr>
          <w:rFonts w:ascii="Arial" w:hAnsi="Arial" w:cs="Arial"/>
        </w:rPr>
        <w:t xml:space="preserve">olucionarias y en el Ministerio </w:t>
      </w:r>
      <w:r w:rsidR="001B02B4" w:rsidRPr="001B02B4">
        <w:rPr>
          <w:rFonts w:ascii="Arial" w:hAnsi="Arial" w:cs="Arial"/>
        </w:rPr>
        <w:t>del Interior.</w:t>
      </w:r>
      <w:r w:rsidR="004C1FF6">
        <w:rPr>
          <w:rStyle w:val="Refdenotaalpie"/>
          <w:rFonts w:ascii="Arial" w:hAnsi="Arial" w:cs="Arial"/>
        </w:rPr>
        <w:footnoteReference w:id="124"/>
      </w:r>
      <w:r w:rsidR="001B02B4">
        <w:rPr>
          <w:rFonts w:ascii="Arial" w:hAnsi="Arial" w:cs="Arial"/>
        </w:rPr>
        <w:t xml:space="preserve"> </w:t>
      </w:r>
      <w:r w:rsidR="001F6055" w:rsidRPr="007F6AD7">
        <w:rPr>
          <w:rFonts w:ascii="Arial" w:hAnsi="Arial" w:cs="Arial"/>
        </w:rPr>
        <w:t xml:space="preserve">La Constitución </w:t>
      </w:r>
      <w:r w:rsidR="005B71DC" w:rsidRPr="007F6AD7">
        <w:rPr>
          <w:rFonts w:ascii="Arial" w:hAnsi="Arial" w:cs="Arial"/>
        </w:rPr>
        <w:t xml:space="preserve">no tiene prevista ninguna decisión fundamental en materia </w:t>
      </w:r>
      <w:r w:rsidR="001F6055" w:rsidRPr="007F6AD7">
        <w:rPr>
          <w:rFonts w:ascii="Arial" w:hAnsi="Arial" w:cs="Arial"/>
        </w:rPr>
        <w:t>de tribunales especiales, un precepto para suprimir los tribunales ad hoc</w:t>
      </w:r>
      <w:r w:rsidR="00295BC5" w:rsidRPr="007F6AD7">
        <w:rPr>
          <w:rFonts w:ascii="Arial" w:hAnsi="Arial" w:cs="Arial"/>
        </w:rPr>
        <w:t>.</w:t>
      </w:r>
      <w:r w:rsidR="00EB2483" w:rsidRPr="007F6AD7">
        <w:rPr>
          <w:rFonts w:ascii="Arial" w:hAnsi="Arial" w:cs="Arial"/>
        </w:rPr>
        <w:t xml:space="preserve"> Tampoco da garantía individual del civil o nacional que </w:t>
      </w:r>
      <w:r w:rsidR="00C164A6" w:rsidRPr="007F6AD7">
        <w:rPr>
          <w:rFonts w:ascii="Arial" w:hAnsi="Arial" w:cs="Arial"/>
        </w:rPr>
        <w:t>d</w:t>
      </w:r>
      <w:r w:rsidR="00EB2483" w:rsidRPr="007F6AD7">
        <w:rPr>
          <w:rFonts w:ascii="Arial" w:hAnsi="Arial" w:cs="Arial"/>
        </w:rPr>
        <w:t xml:space="preserve">elinque con un militar, para ser juzgado por la justicia ordinaria. </w:t>
      </w:r>
      <w:r w:rsidR="00237246" w:rsidRPr="007F6AD7">
        <w:rPr>
          <w:rStyle w:val="Refdenotaalpie"/>
          <w:rFonts w:ascii="Arial" w:hAnsi="Arial" w:cs="Arial"/>
        </w:rPr>
        <w:footnoteReference w:id="125"/>
      </w:r>
    </w:p>
    <w:p w14:paraId="199DB9BE" w14:textId="5C114086" w:rsidR="00FA7A03" w:rsidRPr="007F6AD7" w:rsidRDefault="000531D7" w:rsidP="000531D7">
      <w:pPr>
        <w:spacing w:after="0" w:line="360" w:lineRule="auto"/>
        <w:jc w:val="both"/>
        <w:rPr>
          <w:rFonts w:ascii="Arial" w:hAnsi="Arial" w:cs="Arial"/>
          <w:lang w:val="es-US"/>
        </w:rPr>
      </w:pPr>
      <w:r>
        <w:rPr>
          <w:rFonts w:ascii="Arial" w:hAnsi="Arial" w:cs="Arial"/>
        </w:rPr>
        <w:t xml:space="preserve">23.   </w:t>
      </w:r>
      <w:r w:rsidR="00DA685C" w:rsidRPr="007F6AD7">
        <w:rPr>
          <w:rFonts w:ascii="Arial" w:hAnsi="Arial" w:cs="Arial"/>
        </w:rPr>
        <w:t>L</w:t>
      </w:r>
      <w:r w:rsidR="00CE0BDB" w:rsidRPr="007F6AD7">
        <w:rPr>
          <w:rFonts w:ascii="Arial" w:hAnsi="Arial" w:cs="Arial"/>
        </w:rPr>
        <w:t xml:space="preserve">a Constitución de 1976, con sus reformas en 1992 y 2002, </w:t>
      </w:r>
      <w:r w:rsidR="00DA685C" w:rsidRPr="007F6AD7">
        <w:rPr>
          <w:rFonts w:ascii="Arial" w:hAnsi="Arial" w:cs="Arial"/>
        </w:rPr>
        <w:t>carece</w:t>
      </w:r>
      <w:r w:rsidR="00CE0BDB" w:rsidRPr="007F6AD7">
        <w:rPr>
          <w:rFonts w:ascii="Arial" w:hAnsi="Arial" w:cs="Arial"/>
        </w:rPr>
        <w:t xml:space="preserve"> de mecanismos de defensa constitucional para proteger tanto el sistema institucional como para la realización más efectiva del catálogo de derechos individuales que establece. Esto es, la imposibilidad de asegurar desde el lugar del ciudadano el cumplimiento de la ley, más allá de la voluntad del Estado de hacerla cumplir.</w:t>
      </w:r>
      <w:r w:rsidR="00CE0BDB" w:rsidRPr="007F6AD7">
        <w:rPr>
          <w:rStyle w:val="Refdenotaalpie"/>
          <w:rFonts w:ascii="Arial" w:hAnsi="Arial" w:cs="Arial"/>
        </w:rPr>
        <w:footnoteReference w:id="126"/>
      </w:r>
      <w:r w:rsidR="00CE0BDB" w:rsidRPr="007F6AD7">
        <w:rPr>
          <w:rFonts w:ascii="Arial" w:hAnsi="Arial" w:cs="Arial"/>
        </w:rPr>
        <w:t xml:space="preserve"> </w:t>
      </w:r>
    </w:p>
    <w:p w14:paraId="2E1F27A1" w14:textId="087EB3ED" w:rsidR="00073A90" w:rsidRPr="007F6AD7" w:rsidRDefault="00237246" w:rsidP="00D66C45">
      <w:pPr>
        <w:spacing w:after="0" w:line="360" w:lineRule="auto"/>
        <w:jc w:val="both"/>
        <w:rPr>
          <w:rFonts w:ascii="Arial" w:hAnsi="Arial" w:cs="Arial"/>
        </w:rPr>
      </w:pPr>
      <w:r w:rsidRPr="007F6AD7">
        <w:rPr>
          <w:rFonts w:ascii="Arial" w:hAnsi="Arial" w:cs="Arial"/>
        </w:rPr>
        <w:t xml:space="preserve"> </w:t>
      </w:r>
      <w:r w:rsidR="000531D7">
        <w:rPr>
          <w:rFonts w:ascii="Arial" w:hAnsi="Arial" w:cs="Arial"/>
        </w:rPr>
        <w:t xml:space="preserve"> 24.   </w:t>
      </w:r>
      <w:r w:rsidR="00073A90" w:rsidRPr="007F6AD7">
        <w:rPr>
          <w:rFonts w:ascii="Arial" w:hAnsi="Arial" w:cs="Arial"/>
        </w:rPr>
        <w:t>Cuba enfrenta la tendencia mundial de disminuir el costo económico en materia de la impartición de justicia, inquietud compartida por la máxima dirección del Tribunal Supremo Popular (TSP),  quien en estudios realizados</w:t>
      </w:r>
      <w:r w:rsidR="00397B8E">
        <w:rPr>
          <w:rStyle w:val="Refdenotaalpie"/>
          <w:rFonts w:ascii="Arial" w:hAnsi="Arial" w:cs="Arial"/>
        </w:rPr>
        <w:footnoteReference w:id="127"/>
      </w:r>
      <w:r w:rsidR="00073A90" w:rsidRPr="007F6AD7">
        <w:rPr>
          <w:rFonts w:ascii="Arial" w:hAnsi="Arial" w:cs="Arial"/>
        </w:rPr>
        <w:t xml:space="preserve"> para conocer los costos de los distintos procesos judiciales, por materias y </w:t>
      </w:r>
      <w:r w:rsidR="00073A90" w:rsidRPr="007F6AD7">
        <w:rPr>
          <w:rFonts w:ascii="Arial" w:hAnsi="Arial" w:cs="Arial"/>
        </w:rPr>
        <w:lastRenderedPageBreak/>
        <w:t xml:space="preserve">territorios, comprobó que, de enero a  septiembre del año 2011, aproximadamente y solo en los procesos penales de instancia municipal , el país incurrió en un gasto promedio de $ 368,00 por cada proceso. En provincia fue de $ 531,00 y, en el TSP, de $ 327,00. Si a ello sumamos los </w:t>
      </w:r>
      <w:r w:rsidRPr="007F6AD7">
        <w:rPr>
          <w:rFonts w:ascii="Arial" w:hAnsi="Arial" w:cs="Arial"/>
        </w:rPr>
        <w:t xml:space="preserve">gastos en </w:t>
      </w:r>
      <w:r w:rsidRPr="00A60F4B">
        <w:rPr>
          <w:rFonts w:ascii="Arial" w:hAnsi="Arial" w:cs="Arial"/>
          <w:vertAlign w:val="superscript"/>
        </w:rPr>
        <w:footnoteReference w:id="128"/>
      </w:r>
      <w:r w:rsidR="00D66C45">
        <w:rPr>
          <w:rFonts w:ascii="Arial" w:hAnsi="Arial" w:cs="Arial"/>
          <w:vertAlign w:val="superscript"/>
        </w:rPr>
        <w:t xml:space="preserve"> </w:t>
      </w:r>
      <w:r w:rsidRPr="007F6AD7">
        <w:rPr>
          <w:rFonts w:ascii="Arial" w:hAnsi="Arial" w:cs="Arial"/>
        </w:rPr>
        <w:t>que</w:t>
      </w:r>
      <w:r w:rsidR="00073A90" w:rsidRPr="007F6AD7">
        <w:rPr>
          <w:rFonts w:ascii="Arial" w:hAnsi="Arial" w:cs="Arial"/>
        </w:rPr>
        <w:t xml:space="preserve"> incurrió anteriormente el Ministerio del Interior y la Fiscalía para su investigación y procesamiento y, con posterioridad, los gastos concernientes a la ejecución de la sanción</w:t>
      </w:r>
      <w:r w:rsidRPr="007F6AD7">
        <w:rPr>
          <w:rFonts w:ascii="Arial" w:hAnsi="Arial" w:cs="Arial"/>
        </w:rPr>
        <w:t xml:space="preserve"> y</w:t>
      </w:r>
      <w:r w:rsidR="00073A90" w:rsidRPr="007F6AD7">
        <w:rPr>
          <w:rFonts w:ascii="Arial" w:hAnsi="Arial" w:cs="Arial"/>
        </w:rPr>
        <w:t xml:space="preserve"> del sistema penitenciario, los costos generales son elevados.</w:t>
      </w:r>
    </w:p>
    <w:p w14:paraId="438FFD47" w14:textId="65D7260E" w:rsidR="00304C87" w:rsidRPr="007F6AD7" w:rsidRDefault="00073A90" w:rsidP="00460D88">
      <w:pPr>
        <w:spacing w:line="360" w:lineRule="auto"/>
        <w:jc w:val="both"/>
        <w:rPr>
          <w:rFonts w:ascii="Arial" w:hAnsi="Arial" w:cs="Arial"/>
        </w:rPr>
      </w:pPr>
      <w:r w:rsidRPr="007F6AD7">
        <w:rPr>
          <w:rFonts w:ascii="Arial" w:hAnsi="Arial" w:cs="Arial"/>
        </w:rPr>
        <w:t>2</w:t>
      </w:r>
      <w:r w:rsidR="000531D7">
        <w:rPr>
          <w:rFonts w:ascii="Arial" w:hAnsi="Arial" w:cs="Arial"/>
        </w:rPr>
        <w:t>5</w:t>
      </w:r>
      <w:r w:rsidRPr="007F6AD7">
        <w:rPr>
          <w:rFonts w:ascii="Arial" w:hAnsi="Arial" w:cs="Arial"/>
        </w:rPr>
        <w:t>.    Medios de prensa indican que en el quinquenio 2012-2016 ingresaron a los tribunales</w:t>
      </w:r>
      <w:r w:rsidRPr="003D458B">
        <w:rPr>
          <w:rFonts w:ascii="Arial" w:hAnsi="Arial" w:cs="Arial"/>
          <w:vertAlign w:val="superscript"/>
        </w:rPr>
        <w:footnoteReference w:id="129"/>
      </w:r>
      <w:r w:rsidRPr="003D458B">
        <w:rPr>
          <w:rFonts w:ascii="Arial" w:hAnsi="Arial" w:cs="Arial"/>
          <w:vertAlign w:val="superscript"/>
        </w:rPr>
        <w:t xml:space="preserve"> </w:t>
      </w:r>
      <w:r w:rsidRPr="007F6AD7">
        <w:rPr>
          <w:rFonts w:ascii="Arial" w:hAnsi="Arial" w:cs="Arial"/>
        </w:rPr>
        <w:t>del país, en todas las instancias y materias un total de 948 068 asuntos.</w:t>
      </w:r>
      <w:r w:rsidRPr="003D458B">
        <w:rPr>
          <w:rFonts w:ascii="Arial" w:hAnsi="Arial" w:cs="Arial"/>
          <w:vertAlign w:val="superscript"/>
        </w:rPr>
        <w:footnoteReference w:id="130"/>
      </w:r>
      <w:r w:rsidRPr="003D458B">
        <w:rPr>
          <w:rFonts w:ascii="Arial" w:hAnsi="Arial" w:cs="Arial"/>
          <w:vertAlign w:val="superscript"/>
        </w:rPr>
        <w:t xml:space="preserve"> </w:t>
      </w:r>
      <w:r w:rsidRPr="007F6AD7">
        <w:rPr>
          <w:rFonts w:ascii="Arial" w:hAnsi="Arial" w:cs="Arial"/>
        </w:rPr>
        <w:t>En idéntico periodo, el 97% de los asuntos fueron tramitados y resueltos (924 685). Del total de los resueltos, 84% se tramit</w:t>
      </w:r>
      <w:r w:rsidR="0096012B" w:rsidRPr="007F6AD7">
        <w:rPr>
          <w:rFonts w:ascii="Arial" w:hAnsi="Arial" w:cs="Arial"/>
        </w:rPr>
        <w:t>ó</w:t>
      </w:r>
      <w:r w:rsidRPr="007F6AD7">
        <w:rPr>
          <w:rFonts w:ascii="Arial" w:hAnsi="Arial" w:cs="Arial"/>
        </w:rPr>
        <w:t xml:space="preserve"> y concluy</w:t>
      </w:r>
      <w:r w:rsidR="0096012B" w:rsidRPr="007F6AD7">
        <w:rPr>
          <w:rFonts w:ascii="Arial" w:hAnsi="Arial" w:cs="Arial"/>
        </w:rPr>
        <w:t xml:space="preserve">ó </w:t>
      </w:r>
      <w:r w:rsidRPr="007F6AD7">
        <w:rPr>
          <w:rFonts w:ascii="Arial" w:hAnsi="Arial" w:cs="Arial"/>
        </w:rPr>
        <w:t>en los términos y plazos establecidos. La nota informativa explica, que un por ciento del total de los asuntos resueltos tuvo dilaciones justificadas y también otros, deficiente desempeño de jueces y personal judicial. La siguiente tabla, sobre la Labor judicial en Cuba Periodo 2010-2017 notifica escuetamente algunos datos de interés.</w:t>
      </w:r>
      <w:r w:rsidRPr="00460D88">
        <w:rPr>
          <w:rFonts w:ascii="Arial" w:hAnsi="Arial" w:cs="Arial"/>
          <w:vertAlign w:val="superscript"/>
        </w:rPr>
        <w:footnoteReference w:id="131"/>
      </w:r>
      <w:r w:rsidRPr="007F6AD7">
        <w:rPr>
          <w:rFonts w:ascii="Arial" w:hAnsi="Arial" w:cs="Arial"/>
        </w:rPr>
        <w:t xml:space="preserve"> Por ejemplo, la propia tabla no indica los casos atendidos por el Tribunal Supremo en la materia De</w:t>
      </w:r>
      <w:r w:rsidR="00460D88">
        <w:rPr>
          <w:rFonts w:ascii="Arial" w:hAnsi="Arial" w:cs="Arial"/>
        </w:rPr>
        <w:t>recho de familia</w:t>
      </w:r>
      <w:r w:rsidR="003D458B">
        <w:rPr>
          <w:rFonts w:ascii="Arial" w:hAnsi="Arial" w:cs="Arial"/>
        </w:rPr>
        <w:t>, hay diferencias significativas entre las estadísticas de personas atendidas por la F</w:t>
      </w:r>
      <w:r w:rsidR="009376EA">
        <w:rPr>
          <w:rFonts w:ascii="Arial" w:hAnsi="Arial" w:cs="Arial"/>
        </w:rPr>
        <w:t>iscalía General de la Republica</w:t>
      </w:r>
      <w:r w:rsidR="00622AA1">
        <w:rPr>
          <w:rFonts w:ascii="Arial" w:hAnsi="Arial" w:cs="Arial"/>
        </w:rPr>
        <w:t>, etc</w:t>
      </w:r>
      <w:r w:rsidR="003D458B">
        <w:rPr>
          <w:rFonts w:ascii="Arial" w:hAnsi="Arial" w:cs="Arial"/>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0"/>
        <w:gridCol w:w="1991"/>
        <w:gridCol w:w="1991"/>
        <w:gridCol w:w="1991"/>
        <w:gridCol w:w="1991"/>
      </w:tblGrid>
      <w:tr w:rsidR="00073A90" w:rsidRPr="007F6AD7" w14:paraId="70B2BE2A" w14:textId="77777777" w:rsidTr="00073A90">
        <w:tc>
          <w:tcPr>
            <w:tcW w:w="5000" w:type="pct"/>
            <w:gridSpan w:val="5"/>
            <w:tcBorders>
              <w:top w:val="single" w:sz="4" w:space="0" w:color="000000"/>
              <w:left w:val="single" w:sz="4" w:space="0" w:color="000000"/>
              <w:bottom w:val="single" w:sz="4" w:space="0" w:color="000000"/>
              <w:right w:val="single" w:sz="4" w:space="0" w:color="000000"/>
            </w:tcBorders>
            <w:hideMark/>
          </w:tcPr>
          <w:p w14:paraId="4374BE3B" w14:textId="77777777" w:rsidR="00073A90" w:rsidRPr="007F6AD7" w:rsidRDefault="00073A90">
            <w:pPr>
              <w:ind w:firstLine="720"/>
              <w:jc w:val="center"/>
              <w:rPr>
                <w:rFonts w:ascii="Arial" w:hAnsi="Arial" w:cs="Arial"/>
                <w:b/>
              </w:rPr>
            </w:pPr>
            <w:r w:rsidRPr="007F6AD7">
              <w:rPr>
                <w:rFonts w:ascii="Arial" w:hAnsi="Arial" w:cs="Arial"/>
                <w:b/>
              </w:rPr>
              <w:t>Labor judicial en Cuba Periodo 2010-2017</w:t>
            </w:r>
          </w:p>
        </w:tc>
      </w:tr>
      <w:tr w:rsidR="00073A90" w:rsidRPr="007F6AD7" w14:paraId="06D15ED1" w14:textId="77777777" w:rsidTr="00073A90">
        <w:tc>
          <w:tcPr>
            <w:tcW w:w="1000" w:type="pct"/>
            <w:tcBorders>
              <w:top w:val="single" w:sz="4" w:space="0" w:color="000000"/>
              <w:left w:val="single" w:sz="4" w:space="0" w:color="000000"/>
              <w:bottom w:val="single" w:sz="4" w:space="0" w:color="000000"/>
              <w:right w:val="single" w:sz="4" w:space="0" w:color="000000"/>
            </w:tcBorders>
            <w:hideMark/>
          </w:tcPr>
          <w:p w14:paraId="14363E35" w14:textId="77777777" w:rsidR="00073A90" w:rsidRPr="00D66C45" w:rsidRDefault="00073A90">
            <w:pPr>
              <w:jc w:val="center"/>
              <w:rPr>
                <w:rFonts w:ascii="Arial" w:hAnsi="Arial" w:cs="Arial"/>
                <w:sz w:val="20"/>
                <w:szCs w:val="20"/>
              </w:rPr>
            </w:pPr>
            <w:r w:rsidRPr="00D66C45">
              <w:rPr>
                <w:rFonts w:ascii="Arial" w:hAnsi="Arial" w:cs="Arial"/>
                <w:b/>
                <w:sz w:val="20"/>
                <w:szCs w:val="20"/>
              </w:rPr>
              <w:t>Tribunales</w:t>
            </w:r>
          </w:p>
        </w:tc>
        <w:tc>
          <w:tcPr>
            <w:tcW w:w="1000" w:type="pct"/>
            <w:tcBorders>
              <w:top w:val="single" w:sz="4" w:space="0" w:color="000000"/>
              <w:left w:val="single" w:sz="4" w:space="0" w:color="000000"/>
              <w:bottom w:val="single" w:sz="4" w:space="0" w:color="000000"/>
              <w:right w:val="single" w:sz="4" w:space="0" w:color="000000"/>
            </w:tcBorders>
            <w:hideMark/>
          </w:tcPr>
          <w:p w14:paraId="7FFD2EEC" w14:textId="77777777" w:rsidR="00073A90" w:rsidRPr="00D66C45" w:rsidRDefault="00073A90">
            <w:pPr>
              <w:ind w:firstLine="720"/>
              <w:rPr>
                <w:rFonts w:ascii="Arial" w:hAnsi="Arial" w:cs="Arial"/>
                <w:b/>
                <w:sz w:val="20"/>
                <w:szCs w:val="20"/>
              </w:rPr>
            </w:pPr>
            <w:r w:rsidRPr="00D66C45">
              <w:rPr>
                <w:rFonts w:ascii="Arial" w:hAnsi="Arial" w:cs="Arial"/>
                <w:b/>
                <w:sz w:val="20"/>
                <w:szCs w:val="20"/>
              </w:rPr>
              <w:t>Años</w:t>
            </w:r>
          </w:p>
        </w:tc>
        <w:tc>
          <w:tcPr>
            <w:tcW w:w="1000" w:type="pct"/>
            <w:tcBorders>
              <w:top w:val="single" w:sz="4" w:space="0" w:color="000000"/>
              <w:left w:val="single" w:sz="4" w:space="0" w:color="000000"/>
              <w:bottom w:val="single" w:sz="4" w:space="0" w:color="000000"/>
              <w:right w:val="single" w:sz="4" w:space="0" w:color="000000"/>
            </w:tcBorders>
            <w:hideMark/>
          </w:tcPr>
          <w:p w14:paraId="2EFE125D" w14:textId="77777777" w:rsidR="00073A90" w:rsidRPr="00D66C45" w:rsidRDefault="00073A90">
            <w:pPr>
              <w:ind w:firstLine="720"/>
              <w:rPr>
                <w:rFonts w:ascii="Arial" w:hAnsi="Arial" w:cs="Arial"/>
                <w:b/>
                <w:sz w:val="20"/>
                <w:szCs w:val="20"/>
              </w:rPr>
            </w:pPr>
            <w:r w:rsidRPr="00D66C45">
              <w:rPr>
                <w:rFonts w:ascii="Arial" w:hAnsi="Arial" w:cs="Arial"/>
                <w:b/>
                <w:sz w:val="20"/>
                <w:szCs w:val="20"/>
              </w:rPr>
              <w:t>Personas</w:t>
            </w:r>
          </w:p>
        </w:tc>
        <w:tc>
          <w:tcPr>
            <w:tcW w:w="1000" w:type="pct"/>
            <w:tcBorders>
              <w:top w:val="single" w:sz="4" w:space="0" w:color="000000"/>
              <w:left w:val="single" w:sz="4" w:space="0" w:color="000000"/>
              <w:bottom w:val="single" w:sz="4" w:space="0" w:color="000000"/>
              <w:right w:val="single" w:sz="4" w:space="0" w:color="000000"/>
            </w:tcBorders>
            <w:hideMark/>
          </w:tcPr>
          <w:p w14:paraId="641352B9" w14:textId="77777777" w:rsidR="00073A90" w:rsidRPr="00D66C45" w:rsidRDefault="00073A90">
            <w:pPr>
              <w:ind w:firstLine="720"/>
              <w:jc w:val="both"/>
              <w:rPr>
                <w:rFonts w:ascii="Arial" w:hAnsi="Arial" w:cs="Arial"/>
                <w:b/>
                <w:sz w:val="20"/>
                <w:szCs w:val="20"/>
              </w:rPr>
            </w:pPr>
            <w:r w:rsidRPr="00D66C45">
              <w:rPr>
                <w:rFonts w:ascii="Arial" w:hAnsi="Arial" w:cs="Arial"/>
                <w:b/>
                <w:sz w:val="20"/>
                <w:szCs w:val="20"/>
                <w:lang w:eastAsia="es-MX"/>
              </w:rPr>
              <w:t>Asuntos</w:t>
            </w:r>
          </w:p>
        </w:tc>
        <w:tc>
          <w:tcPr>
            <w:tcW w:w="1000" w:type="pct"/>
            <w:tcBorders>
              <w:top w:val="single" w:sz="4" w:space="0" w:color="000000"/>
              <w:left w:val="single" w:sz="4" w:space="0" w:color="000000"/>
              <w:bottom w:val="single" w:sz="4" w:space="0" w:color="000000"/>
              <w:right w:val="single" w:sz="4" w:space="0" w:color="000000"/>
            </w:tcBorders>
            <w:hideMark/>
          </w:tcPr>
          <w:p w14:paraId="54597459" w14:textId="77777777" w:rsidR="00073A90" w:rsidRPr="00D66C45" w:rsidRDefault="00073A90" w:rsidP="00D66C45">
            <w:pPr>
              <w:spacing w:after="0"/>
              <w:rPr>
                <w:rFonts w:ascii="Arial" w:hAnsi="Arial" w:cs="Arial"/>
                <w:b/>
                <w:sz w:val="20"/>
                <w:szCs w:val="20"/>
              </w:rPr>
            </w:pPr>
            <w:r w:rsidRPr="00D66C45">
              <w:rPr>
                <w:rFonts w:ascii="Arial" w:hAnsi="Arial" w:cs="Arial"/>
                <w:b/>
                <w:sz w:val="20"/>
                <w:szCs w:val="20"/>
              </w:rPr>
              <w:t>Por ciento resueltos</w:t>
            </w:r>
          </w:p>
        </w:tc>
      </w:tr>
      <w:tr w:rsidR="00073A90" w:rsidRPr="007F6AD7" w14:paraId="46C7942C" w14:textId="77777777" w:rsidTr="00073A90">
        <w:tc>
          <w:tcPr>
            <w:tcW w:w="1000" w:type="pct"/>
            <w:vMerge w:val="restart"/>
            <w:tcBorders>
              <w:top w:val="single" w:sz="4" w:space="0" w:color="000000"/>
              <w:left w:val="single" w:sz="4" w:space="0" w:color="000000"/>
              <w:bottom w:val="single" w:sz="4" w:space="0" w:color="000000"/>
              <w:right w:val="single" w:sz="4" w:space="0" w:color="000000"/>
            </w:tcBorders>
            <w:vAlign w:val="center"/>
            <w:hideMark/>
          </w:tcPr>
          <w:p w14:paraId="292F1B4B" w14:textId="77777777" w:rsidR="00073A90" w:rsidRPr="00D66C45" w:rsidRDefault="00073A90" w:rsidP="009376EA">
            <w:pPr>
              <w:spacing w:after="0" w:line="240" w:lineRule="auto"/>
              <w:ind w:firstLine="720"/>
              <w:rPr>
                <w:rFonts w:ascii="Arial" w:hAnsi="Arial" w:cs="Arial"/>
                <w:sz w:val="18"/>
                <w:szCs w:val="18"/>
              </w:rPr>
            </w:pPr>
            <w:r w:rsidRPr="00D66C45">
              <w:rPr>
                <w:rFonts w:ascii="Arial" w:hAnsi="Arial" w:cs="Arial"/>
                <w:sz w:val="18"/>
                <w:szCs w:val="18"/>
              </w:rPr>
              <w:t>Fiscalía</w:t>
            </w:r>
          </w:p>
          <w:p w14:paraId="0F36DBE6" w14:textId="77777777" w:rsidR="00073A90" w:rsidRPr="00D66C45" w:rsidRDefault="00073A90" w:rsidP="009376EA">
            <w:pPr>
              <w:spacing w:after="0" w:line="240" w:lineRule="auto"/>
              <w:ind w:firstLine="720"/>
              <w:rPr>
                <w:rFonts w:ascii="Arial" w:hAnsi="Arial" w:cs="Arial"/>
                <w:sz w:val="18"/>
                <w:szCs w:val="18"/>
              </w:rPr>
            </w:pPr>
            <w:r w:rsidRPr="00D66C45">
              <w:rPr>
                <w:rFonts w:ascii="Arial" w:hAnsi="Arial" w:cs="Arial"/>
                <w:sz w:val="18"/>
                <w:szCs w:val="18"/>
              </w:rPr>
              <w:t>889 fiscales</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C25DE85" w14:textId="77777777" w:rsidR="00511626" w:rsidRPr="00D66C45" w:rsidRDefault="00511626" w:rsidP="009376EA">
            <w:pPr>
              <w:spacing w:after="0" w:line="240" w:lineRule="auto"/>
              <w:ind w:firstLine="720"/>
              <w:rPr>
                <w:rFonts w:ascii="Arial" w:hAnsi="Arial" w:cs="Arial"/>
                <w:sz w:val="18"/>
                <w:szCs w:val="18"/>
              </w:rPr>
            </w:pPr>
          </w:p>
          <w:p w14:paraId="31F894A2" w14:textId="41131AC6" w:rsidR="00511626" w:rsidRPr="00D66C45" w:rsidRDefault="00511626" w:rsidP="009376EA">
            <w:pPr>
              <w:spacing w:after="0" w:line="240" w:lineRule="auto"/>
              <w:ind w:firstLine="720"/>
              <w:rPr>
                <w:rFonts w:ascii="Arial" w:hAnsi="Arial" w:cs="Arial"/>
                <w:sz w:val="18"/>
                <w:szCs w:val="18"/>
              </w:rPr>
            </w:pPr>
            <w:r w:rsidRPr="00D66C45">
              <w:rPr>
                <w:rFonts w:ascii="Arial" w:hAnsi="Arial" w:cs="Arial"/>
                <w:sz w:val="18"/>
                <w:szCs w:val="18"/>
              </w:rPr>
              <w:t>2007 al 2011</w:t>
            </w:r>
          </w:p>
          <w:p w14:paraId="6EAEC6BC" w14:textId="77777777" w:rsidR="00511626" w:rsidRPr="00D66C45" w:rsidRDefault="00511626" w:rsidP="009376EA">
            <w:pPr>
              <w:spacing w:after="0" w:line="240" w:lineRule="auto"/>
              <w:ind w:firstLine="720"/>
              <w:rPr>
                <w:rFonts w:ascii="Arial" w:hAnsi="Arial" w:cs="Arial"/>
                <w:sz w:val="18"/>
                <w:szCs w:val="18"/>
              </w:rPr>
            </w:pPr>
          </w:p>
          <w:p w14:paraId="560F4BBF" w14:textId="71A5C470" w:rsidR="00073A90" w:rsidRPr="00D66C45" w:rsidRDefault="00073A90" w:rsidP="009376EA">
            <w:pPr>
              <w:spacing w:after="0" w:line="240" w:lineRule="auto"/>
              <w:ind w:firstLine="720"/>
              <w:rPr>
                <w:rFonts w:ascii="Arial" w:hAnsi="Arial" w:cs="Arial"/>
                <w:sz w:val="18"/>
                <w:szCs w:val="18"/>
              </w:rPr>
            </w:pPr>
            <w:r w:rsidRPr="00D66C45">
              <w:rPr>
                <w:rFonts w:ascii="Arial" w:hAnsi="Arial" w:cs="Arial"/>
                <w:sz w:val="18"/>
                <w:szCs w:val="18"/>
              </w:rPr>
              <w:t xml:space="preserve">2010 </w:t>
            </w:r>
            <w:r w:rsidR="00511626" w:rsidRPr="00D66C45">
              <w:rPr>
                <w:rFonts w:ascii="Arial" w:hAnsi="Arial" w:cs="Arial"/>
                <w:sz w:val="18"/>
                <w:szCs w:val="18"/>
              </w:rPr>
              <w:t>–</w:t>
            </w:r>
            <w:r w:rsidRPr="00D66C45">
              <w:rPr>
                <w:rFonts w:ascii="Arial" w:hAnsi="Arial" w:cs="Arial"/>
                <w:sz w:val="18"/>
                <w:szCs w:val="18"/>
              </w:rPr>
              <w:t xml:space="preserve"> 2013</w:t>
            </w:r>
          </w:p>
          <w:p w14:paraId="469EBD41" w14:textId="77777777" w:rsidR="00511626" w:rsidRPr="00D66C45" w:rsidRDefault="00511626" w:rsidP="009376EA">
            <w:pPr>
              <w:spacing w:after="0" w:line="240" w:lineRule="auto"/>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D995732" w14:textId="4092CBD7" w:rsidR="00511626" w:rsidRPr="00460D88" w:rsidRDefault="00511626" w:rsidP="009376EA">
            <w:pPr>
              <w:spacing w:after="0" w:line="240" w:lineRule="auto"/>
              <w:rPr>
                <w:rFonts w:ascii="Arial" w:hAnsi="Arial" w:cs="Arial"/>
                <w:sz w:val="16"/>
                <w:szCs w:val="16"/>
              </w:rPr>
            </w:pPr>
            <w:r w:rsidRPr="00D66C45">
              <w:rPr>
                <w:rFonts w:ascii="Arial" w:hAnsi="Arial" w:cs="Arial"/>
                <w:sz w:val="18"/>
                <w:szCs w:val="18"/>
              </w:rPr>
              <w:t>420 mil personas</w:t>
            </w:r>
            <w:r w:rsidR="00460D88">
              <w:rPr>
                <w:rFonts w:ascii="Arial" w:hAnsi="Arial" w:cs="Arial"/>
                <w:sz w:val="18"/>
                <w:szCs w:val="18"/>
              </w:rPr>
              <w:t xml:space="preserve"> </w:t>
            </w:r>
            <w:r w:rsidR="00460D88">
              <w:rPr>
                <w:rFonts w:ascii="Arial" w:hAnsi="Arial" w:cs="Arial"/>
                <w:sz w:val="16"/>
                <w:szCs w:val="16"/>
              </w:rPr>
              <w:t>*</w:t>
            </w:r>
          </w:p>
          <w:p w14:paraId="51150622" w14:textId="3EB2DC00" w:rsidR="00511626" w:rsidRPr="00D66C45" w:rsidRDefault="00511626" w:rsidP="009376EA">
            <w:pPr>
              <w:spacing w:after="0" w:line="240" w:lineRule="auto"/>
              <w:rPr>
                <w:rFonts w:ascii="Arial" w:hAnsi="Arial" w:cs="Arial"/>
                <w:sz w:val="18"/>
                <w:szCs w:val="18"/>
              </w:rPr>
            </w:pPr>
            <w:r w:rsidRPr="00D66C45">
              <w:rPr>
                <w:rFonts w:ascii="Arial" w:hAnsi="Arial" w:cs="Arial"/>
                <w:sz w:val="18"/>
                <w:szCs w:val="18"/>
              </w:rPr>
              <w:t xml:space="preserve"> </w:t>
            </w:r>
          </w:p>
          <w:p w14:paraId="52CF3104" w14:textId="2E992F7A" w:rsidR="00073A90" w:rsidRPr="00D66C45" w:rsidRDefault="00073A90" w:rsidP="009376EA">
            <w:pPr>
              <w:spacing w:after="0" w:line="240" w:lineRule="auto"/>
              <w:rPr>
                <w:rFonts w:ascii="Arial" w:hAnsi="Arial" w:cs="Arial"/>
                <w:sz w:val="18"/>
                <w:szCs w:val="18"/>
              </w:rPr>
            </w:pPr>
            <w:r w:rsidRPr="00D66C45">
              <w:rPr>
                <w:rFonts w:ascii="Arial" w:hAnsi="Arial" w:cs="Arial"/>
                <w:sz w:val="18"/>
                <w:szCs w:val="18"/>
              </w:rPr>
              <w:t xml:space="preserve">358 mil 019 </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6F0E2D2" w14:textId="77777777" w:rsidR="00511626" w:rsidRPr="00D66C45" w:rsidRDefault="00511626" w:rsidP="009376EA">
            <w:pPr>
              <w:spacing w:after="0" w:line="240" w:lineRule="auto"/>
              <w:rPr>
                <w:rFonts w:ascii="Arial" w:hAnsi="Arial" w:cs="Arial"/>
                <w:sz w:val="18"/>
                <w:szCs w:val="18"/>
              </w:rPr>
            </w:pPr>
          </w:p>
          <w:p w14:paraId="423A7100" w14:textId="77777777" w:rsidR="00511626" w:rsidRPr="00D66C45" w:rsidRDefault="00511626" w:rsidP="009376EA">
            <w:pPr>
              <w:spacing w:after="0" w:line="240" w:lineRule="auto"/>
              <w:rPr>
                <w:rFonts w:ascii="Arial" w:hAnsi="Arial" w:cs="Arial"/>
                <w:sz w:val="18"/>
                <w:szCs w:val="18"/>
              </w:rPr>
            </w:pPr>
          </w:p>
          <w:p w14:paraId="570DD741" w14:textId="77777777" w:rsidR="00511626" w:rsidRPr="00D66C45" w:rsidRDefault="00511626" w:rsidP="009376EA">
            <w:pPr>
              <w:spacing w:after="0" w:line="240" w:lineRule="auto"/>
              <w:rPr>
                <w:rFonts w:ascii="Arial" w:hAnsi="Arial" w:cs="Arial"/>
                <w:sz w:val="18"/>
                <w:szCs w:val="18"/>
              </w:rPr>
            </w:pPr>
          </w:p>
          <w:p w14:paraId="71984E73" w14:textId="60872A70" w:rsidR="00073A90" w:rsidRPr="00D66C45" w:rsidRDefault="00073A90" w:rsidP="009376EA">
            <w:pPr>
              <w:spacing w:after="0" w:line="240" w:lineRule="auto"/>
              <w:rPr>
                <w:rFonts w:ascii="Arial" w:hAnsi="Arial" w:cs="Arial"/>
                <w:sz w:val="18"/>
                <w:szCs w:val="18"/>
              </w:rPr>
            </w:pPr>
            <w:r w:rsidRPr="00D66C45">
              <w:rPr>
                <w:rFonts w:ascii="Arial" w:hAnsi="Arial" w:cs="Arial"/>
                <w:sz w:val="18"/>
                <w:szCs w:val="18"/>
              </w:rPr>
              <w:t xml:space="preserve">54 mil 881 escritos, reclamaciones, </w:t>
            </w:r>
            <w:r w:rsidRPr="00D66C45">
              <w:rPr>
                <w:rFonts w:ascii="Arial" w:hAnsi="Arial" w:cs="Arial"/>
                <w:sz w:val="18"/>
                <w:szCs w:val="18"/>
              </w:rPr>
              <w:lastRenderedPageBreak/>
              <w:t xml:space="preserve">quejas y denuncias </w:t>
            </w:r>
            <w:r w:rsidR="00622AA1">
              <w:rPr>
                <w:rFonts w:ascii="Arial" w:hAnsi="Arial" w:cs="Arial"/>
                <w:sz w:val="18"/>
                <w:szCs w:val="18"/>
              </w:rPr>
              <w:t xml:space="preserve">de </w:t>
            </w:r>
            <w:r w:rsidRPr="00D66C45">
              <w:rPr>
                <w:rFonts w:ascii="Arial" w:hAnsi="Arial" w:cs="Arial"/>
                <w:sz w:val="18"/>
                <w:szCs w:val="18"/>
              </w:rPr>
              <w:t>diversa índole</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2B10AB1D" w14:textId="77777777" w:rsidR="00B33C41" w:rsidRDefault="00B33C41" w:rsidP="009376EA">
            <w:pPr>
              <w:spacing w:after="0" w:line="240" w:lineRule="auto"/>
              <w:rPr>
                <w:rFonts w:ascii="Arial" w:hAnsi="Arial" w:cs="Arial"/>
                <w:sz w:val="18"/>
                <w:szCs w:val="18"/>
              </w:rPr>
            </w:pPr>
          </w:p>
          <w:p w14:paraId="3981417D" w14:textId="77777777" w:rsidR="00B33C41" w:rsidRDefault="00B33C41" w:rsidP="009376EA">
            <w:pPr>
              <w:spacing w:after="0" w:line="240" w:lineRule="auto"/>
              <w:rPr>
                <w:rFonts w:ascii="Arial" w:hAnsi="Arial" w:cs="Arial"/>
                <w:sz w:val="18"/>
                <w:szCs w:val="18"/>
              </w:rPr>
            </w:pPr>
          </w:p>
          <w:p w14:paraId="7B069679" w14:textId="77777777" w:rsidR="00073A90" w:rsidRPr="00D66C45" w:rsidRDefault="00073A90" w:rsidP="009376EA">
            <w:pPr>
              <w:spacing w:after="0" w:line="240" w:lineRule="auto"/>
              <w:rPr>
                <w:rFonts w:ascii="Arial" w:hAnsi="Arial" w:cs="Arial"/>
                <w:sz w:val="18"/>
                <w:szCs w:val="18"/>
              </w:rPr>
            </w:pPr>
            <w:r w:rsidRPr="00D66C45">
              <w:rPr>
                <w:rFonts w:ascii="Arial" w:hAnsi="Arial" w:cs="Arial"/>
                <w:sz w:val="18"/>
                <w:szCs w:val="18"/>
              </w:rPr>
              <w:t>22.3 %. Con razón</w:t>
            </w:r>
          </w:p>
        </w:tc>
      </w:tr>
      <w:tr w:rsidR="00073A90" w:rsidRPr="007F6AD7" w14:paraId="0ACC8698" w14:textId="77777777" w:rsidTr="00073A9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8C2B55" w14:textId="77777777" w:rsidR="00073A90" w:rsidRPr="00D66C45" w:rsidRDefault="00073A90" w:rsidP="00B33C41">
            <w:pPr>
              <w:spacing w:after="0" w:line="240" w:lineRule="auto"/>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hideMark/>
          </w:tcPr>
          <w:p w14:paraId="2967436E"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2014-2017</w:t>
            </w:r>
          </w:p>
        </w:tc>
        <w:tc>
          <w:tcPr>
            <w:tcW w:w="1000" w:type="pct"/>
            <w:tcBorders>
              <w:top w:val="single" w:sz="4" w:space="0" w:color="000000"/>
              <w:left w:val="single" w:sz="4" w:space="0" w:color="000000"/>
              <w:bottom w:val="single" w:sz="4" w:space="0" w:color="000000"/>
              <w:right w:val="single" w:sz="4" w:space="0" w:color="000000"/>
            </w:tcBorders>
            <w:hideMark/>
          </w:tcPr>
          <w:p w14:paraId="7992ADFF"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w:t>
            </w:r>
          </w:p>
        </w:tc>
        <w:tc>
          <w:tcPr>
            <w:tcW w:w="1000" w:type="pct"/>
            <w:tcBorders>
              <w:top w:val="single" w:sz="4" w:space="0" w:color="000000"/>
              <w:left w:val="single" w:sz="4" w:space="0" w:color="000000"/>
              <w:bottom w:val="single" w:sz="4" w:space="0" w:color="000000"/>
              <w:right w:val="single" w:sz="4" w:space="0" w:color="000000"/>
            </w:tcBorders>
            <w:hideMark/>
          </w:tcPr>
          <w:p w14:paraId="0B2A0414"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w:t>
            </w:r>
          </w:p>
        </w:tc>
        <w:tc>
          <w:tcPr>
            <w:tcW w:w="1000" w:type="pct"/>
            <w:tcBorders>
              <w:top w:val="single" w:sz="4" w:space="0" w:color="000000"/>
              <w:left w:val="single" w:sz="4" w:space="0" w:color="000000"/>
              <w:bottom w:val="single" w:sz="4" w:space="0" w:color="000000"/>
              <w:right w:val="single" w:sz="4" w:space="0" w:color="000000"/>
            </w:tcBorders>
            <w:hideMark/>
          </w:tcPr>
          <w:p w14:paraId="65EB313B"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w:t>
            </w:r>
          </w:p>
        </w:tc>
      </w:tr>
      <w:tr w:rsidR="00073A90" w:rsidRPr="007F6AD7" w14:paraId="20C18E3A" w14:textId="77777777" w:rsidTr="00073A9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5426BF" w14:textId="77777777" w:rsidR="00073A90" w:rsidRPr="00D66C45" w:rsidRDefault="00073A90" w:rsidP="00B33C41">
            <w:pPr>
              <w:spacing w:after="0" w:line="240" w:lineRule="auto"/>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hideMark/>
          </w:tcPr>
          <w:p w14:paraId="2E5F49B3"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Dic.2017</w:t>
            </w:r>
          </w:p>
        </w:tc>
        <w:tc>
          <w:tcPr>
            <w:tcW w:w="1000" w:type="pct"/>
            <w:tcBorders>
              <w:top w:val="single" w:sz="4" w:space="0" w:color="000000"/>
              <w:left w:val="single" w:sz="4" w:space="0" w:color="000000"/>
              <w:bottom w:val="single" w:sz="4" w:space="0" w:color="000000"/>
              <w:right w:val="single" w:sz="4" w:space="0" w:color="000000"/>
            </w:tcBorders>
            <w:hideMark/>
          </w:tcPr>
          <w:p w14:paraId="189B297A"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w:t>
            </w:r>
          </w:p>
        </w:tc>
        <w:tc>
          <w:tcPr>
            <w:tcW w:w="1000" w:type="pct"/>
            <w:tcBorders>
              <w:top w:val="single" w:sz="4" w:space="0" w:color="000000"/>
              <w:left w:val="single" w:sz="4" w:space="0" w:color="000000"/>
              <w:bottom w:val="single" w:sz="4" w:space="0" w:color="000000"/>
              <w:right w:val="single" w:sz="4" w:space="0" w:color="000000"/>
            </w:tcBorders>
            <w:hideMark/>
          </w:tcPr>
          <w:p w14:paraId="1392F1CF" w14:textId="77777777" w:rsidR="00073A90" w:rsidRPr="00D66C45" w:rsidRDefault="00073A90" w:rsidP="00B33C41">
            <w:pPr>
              <w:spacing w:after="0"/>
              <w:ind w:firstLine="720"/>
              <w:rPr>
                <w:rFonts w:ascii="Arial" w:hAnsi="Arial" w:cs="Arial"/>
                <w:sz w:val="18"/>
                <w:szCs w:val="18"/>
              </w:rPr>
            </w:pPr>
            <w:r w:rsidRPr="00D66C45">
              <w:rPr>
                <w:rFonts w:ascii="Arial" w:hAnsi="Arial" w:cs="Arial"/>
                <w:sz w:val="18"/>
                <w:szCs w:val="18"/>
              </w:rPr>
              <w:t>-</w:t>
            </w:r>
          </w:p>
        </w:tc>
        <w:tc>
          <w:tcPr>
            <w:tcW w:w="1000" w:type="pct"/>
            <w:tcBorders>
              <w:top w:val="single" w:sz="4" w:space="0" w:color="000000"/>
              <w:left w:val="single" w:sz="4" w:space="0" w:color="000000"/>
              <w:bottom w:val="single" w:sz="4" w:space="0" w:color="000000"/>
              <w:right w:val="single" w:sz="4" w:space="0" w:color="000000"/>
            </w:tcBorders>
          </w:tcPr>
          <w:p w14:paraId="0753466E" w14:textId="5D1D2FA2" w:rsidR="00073A90" w:rsidRPr="00D66C45" w:rsidRDefault="00FD572A" w:rsidP="00B33C41">
            <w:pPr>
              <w:spacing w:after="0"/>
              <w:ind w:firstLine="720"/>
              <w:rPr>
                <w:rFonts w:ascii="Arial" w:hAnsi="Arial" w:cs="Arial"/>
                <w:sz w:val="18"/>
                <w:szCs w:val="18"/>
              </w:rPr>
            </w:pPr>
            <w:r w:rsidRPr="00D66C45">
              <w:rPr>
                <w:rFonts w:ascii="Arial" w:hAnsi="Arial" w:cs="Arial"/>
                <w:sz w:val="18"/>
                <w:szCs w:val="18"/>
              </w:rPr>
              <w:t>-</w:t>
            </w:r>
          </w:p>
        </w:tc>
      </w:tr>
      <w:tr w:rsidR="00073A90" w:rsidRPr="007F6AD7" w14:paraId="5EEB0EE7"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3C7A1D9D"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Tribunales del país, en todas instancias y</w:t>
            </w:r>
          </w:p>
          <w:p w14:paraId="33CEE202"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materias</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22C135A1" w14:textId="77777777" w:rsidR="00073A90" w:rsidRPr="00D66C45" w:rsidRDefault="00073A90" w:rsidP="00C27D9A">
            <w:pPr>
              <w:jc w:val="center"/>
              <w:rPr>
                <w:rFonts w:ascii="Arial" w:hAnsi="Arial" w:cs="Arial"/>
                <w:sz w:val="18"/>
                <w:szCs w:val="18"/>
              </w:rPr>
            </w:pPr>
            <w:r w:rsidRPr="00D66C45">
              <w:rPr>
                <w:rFonts w:ascii="Arial" w:hAnsi="Arial" w:cs="Arial"/>
                <w:sz w:val="18"/>
                <w:szCs w:val="18"/>
              </w:rPr>
              <w:t>2012-2016</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9331F3A" w14:textId="77777777" w:rsidR="00073A90" w:rsidRPr="00D66C45" w:rsidRDefault="00073A90" w:rsidP="00B33C41">
            <w:pPr>
              <w:jc w:val="center"/>
              <w:rPr>
                <w:rFonts w:ascii="Arial" w:hAnsi="Arial" w:cs="Arial"/>
                <w:sz w:val="18"/>
                <w:szCs w:val="18"/>
              </w:rPr>
            </w:pPr>
            <w:r w:rsidRPr="00D66C45">
              <w:rPr>
                <w:rFonts w:ascii="Arial" w:hAnsi="Arial" w:cs="Arial"/>
                <w:sz w:val="18"/>
                <w:szCs w:val="18"/>
              </w:rPr>
              <w:t>-</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941E7AF" w14:textId="77777777" w:rsidR="00073A90" w:rsidRPr="00D66C45" w:rsidRDefault="00073A90">
            <w:pPr>
              <w:rPr>
                <w:rFonts w:ascii="Arial" w:hAnsi="Arial" w:cs="Arial"/>
                <w:sz w:val="18"/>
                <w:szCs w:val="18"/>
              </w:rPr>
            </w:pPr>
            <w:r w:rsidRPr="00D66C45">
              <w:rPr>
                <w:rFonts w:ascii="Arial" w:hAnsi="Arial" w:cs="Arial"/>
                <w:sz w:val="18"/>
                <w:szCs w:val="18"/>
              </w:rPr>
              <w:t>948 068 asuntos</w:t>
            </w:r>
          </w:p>
        </w:tc>
        <w:tc>
          <w:tcPr>
            <w:tcW w:w="1000" w:type="pct"/>
            <w:tcBorders>
              <w:top w:val="single" w:sz="4" w:space="0" w:color="000000"/>
              <w:left w:val="single" w:sz="4" w:space="0" w:color="000000"/>
              <w:bottom w:val="single" w:sz="4" w:space="0" w:color="000000"/>
              <w:right w:val="single" w:sz="4" w:space="0" w:color="000000"/>
            </w:tcBorders>
          </w:tcPr>
          <w:p w14:paraId="6BF98833" w14:textId="360BDA43" w:rsidR="00073A90" w:rsidRPr="00D66C45" w:rsidRDefault="00073A90" w:rsidP="00D66C45">
            <w:pPr>
              <w:autoSpaceDE w:val="0"/>
              <w:autoSpaceDN w:val="0"/>
              <w:adjustRightInd w:val="0"/>
              <w:rPr>
                <w:rFonts w:ascii="Arial" w:hAnsi="Arial" w:cs="Arial"/>
                <w:sz w:val="18"/>
                <w:szCs w:val="18"/>
              </w:rPr>
            </w:pPr>
            <w:r w:rsidRPr="00D66C45">
              <w:rPr>
                <w:rFonts w:ascii="Arial" w:hAnsi="Arial" w:cs="Arial"/>
                <w:sz w:val="18"/>
                <w:szCs w:val="18"/>
              </w:rPr>
              <w:t>97% tramitados y resueltos (924 685)</w:t>
            </w:r>
          </w:p>
        </w:tc>
      </w:tr>
      <w:tr w:rsidR="00073A90" w:rsidRPr="007F6AD7" w14:paraId="09469988" w14:textId="77777777" w:rsidTr="00073A90">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7AA78FDA" w14:textId="77777777" w:rsidR="00073A90" w:rsidRPr="00D66C45" w:rsidRDefault="00073A90" w:rsidP="009376EA">
            <w:pPr>
              <w:spacing w:after="0"/>
              <w:ind w:firstLine="720"/>
              <w:jc w:val="center"/>
              <w:rPr>
                <w:rFonts w:ascii="Arial" w:hAnsi="Arial" w:cs="Arial"/>
                <w:sz w:val="18"/>
                <w:szCs w:val="18"/>
              </w:rPr>
            </w:pPr>
          </w:p>
        </w:tc>
      </w:tr>
      <w:tr w:rsidR="00073A90" w:rsidRPr="007F6AD7" w14:paraId="4CD02647"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747CA948" w14:textId="77777777" w:rsidR="00073A90" w:rsidRPr="00D66C45" w:rsidRDefault="00073A90">
            <w:pPr>
              <w:jc w:val="center"/>
              <w:rPr>
                <w:rFonts w:ascii="Arial" w:hAnsi="Arial" w:cs="Arial"/>
                <w:b/>
                <w:sz w:val="18"/>
                <w:szCs w:val="18"/>
              </w:rPr>
            </w:pPr>
            <w:r w:rsidRPr="00D66C45">
              <w:rPr>
                <w:rFonts w:ascii="Arial" w:hAnsi="Arial" w:cs="Arial"/>
                <w:b/>
                <w:sz w:val="18"/>
                <w:szCs w:val="18"/>
              </w:rPr>
              <w:t>Tribunales</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D7715CE" w14:textId="77777777" w:rsidR="00073A90" w:rsidRPr="00D66C45" w:rsidRDefault="00073A90">
            <w:pPr>
              <w:jc w:val="center"/>
              <w:rPr>
                <w:rFonts w:ascii="Arial" w:hAnsi="Arial" w:cs="Arial"/>
                <w:b/>
                <w:sz w:val="18"/>
                <w:szCs w:val="18"/>
              </w:rPr>
            </w:pPr>
            <w:r w:rsidRPr="00D66C45">
              <w:rPr>
                <w:rFonts w:ascii="Arial" w:hAnsi="Arial" w:cs="Arial"/>
                <w:b/>
                <w:sz w:val="18"/>
                <w:szCs w:val="18"/>
              </w:rPr>
              <w:t>Enero-Octubre 2017</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C8C7A59" w14:textId="77777777" w:rsidR="00073A90" w:rsidRPr="00D66C45" w:rsidRDefault="00073A90">
            <w:pPr>
              <w:jc w:val="center"/>
              <w:rPr>
                <w:rFonts w:ascii="Arial" w:hAnsi="Arial" w:cs="Arial"/>
                <w:b/>
                <w:sz w:val="18"/>
                <w:szCs w:val="18"/>
              </w:rPr>
            </w:pPr>
            <w:r w:rsidRPr="00D66C45">
              <w:rPr>
                <w:rFonts w:ascii="Arial" w:hAnsi="Arial" w:cs="Arial"/>
                <w:b/>
                <w:sz w:val="18"/>
                <w:szCs w:val="18"/>
              </w:rPr>
              <w:t>Materia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43E5B36" w14:textId="77777777" w:rsidR="00073A90" w:rsidRPr="00D66C45" w:rsidRDefault="00073A90">
            <w:pPr>
              <w:jc w:val="center"/>
              <w:rPr>
                <w:rFonts w:ascii="Arial" w:hAnsi="Arial" w:cs="Arial"/>
                <w:b/>
                <w:sz w:val="18"/>
                <w:szCs w:val="18"/>
              </w:rPr>
            </w:pPr>
            <w:r w:rsidRPr="00D66C45">
              <w:rPr>
                <w:rFonts w:ascii="Arial" w:hAnsi="Arial" w:cs="Arial"/>
                <w:b/>
                <w:sz w:val="18"/>
                <w:szCs w:val="18"/>
              </w:rPr>
              <w:t>Causas a resolver</w:t>
            </w:r>
          </w:p>
        </w:tc>
        <w:tc>
          <w:tcPr>
            <w:tcW w:w="1000" w:type="pct"/>
            <w:tcBorders>
              <w:top w:val="single" w:sz="4" w:space="0" w:color="000000"/>
              <w:left w:val="single" w:sz="4" w:space="0" w:color="000000"/>
              <w:bottom w:val="single" w:sz="4" w:space="0" w:color="000000"/>
              <w:right w:val="single" w:sz="4" w:space="0" w:color="000000"/>
            </w:tcBorders>
            <w:hideMark/>
          </w:tcPr>
          <w:p w14:paraId="673DE6E7" w14:textId="77777777" w:rsidR="00073A90" w:rsidRPr="00D66C45" w:rsidRDefault="00073A90">
            <w:pPr>
              <w:jc w:val="center"/>
              <w:rPr>
                <w:rFonts w:ascii="Arial" w:hAnsi="Arial" w:cs="Arial"/>
                <w:b/>
                <w:sz w:val="18"/>
                <w:szCs w:val="18"/>
              </w:rPr>
            </w:pPr>
            <w:r w:rsidRPr="00D66C45">
              <w:rPr>
                <w:rFonts w:ascii="Arial" w:hAnsi="Arial" w:cs="Arial"/>
                <w:b/>
                <w:sz w:val="18"/>
                <w:szCs w:val="18"/>
              </w:rPr>
              <w:t>Asuntos resueltos</w:t>
            </w:r>
          </w:p>
        </w:tc>
      </w:tr>
      <w:tr w:rsidR="00073A90" w:rsidRPr="007F6AD7" w14:paraId="6FC8FB39"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68593D05"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no reporta</w:t>
            </w:r>
          </w:p>
        </w:tc>
        <w:tc>
          <w:tcPr>
            <w:tcW w:w="1000" w:type="pct"/>
            <w:tcBorders>
              <w:top w:val="single" w:sz="4" w:space="0" w:color="000000"/>
              <w:left w:val="single" w:sz="4" w:space="0" w:color="000000"/>
              <w:bottom w:val="single" w:sz="4" w:space="0" w:color="000000"/>
              <w:right w:val="single" w:sz="4" w:space="0" w:color="000000"/>
            </w:tcBorders>
            <w:hideMark/>
          </w:tcPr>
          <w:p w14:paraId="4286D0BE"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902E064"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Penal</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E672E3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36 847</w:t>
            </w:r>
          </w:p>
        </w:tc>
        <w:tc>
          <w:tcPr>
            <w:tcW w:w="1000" w:type="pct"/>
            <w:tcBorders>
              <w:top w:val="single" w:sz="4" w:space="0" w:color="000000"/>
              <w:left w:val="single" w:sz="4" w:space="0" w:color="000000"/>
              <w:bottom w:val="single" w:sz="4" w:space="0" w:color="000000"/>
              <w:right w:val="single" w:sz="4" w:space="0" w:color="000000"/>
            </w:tcBorders>
            <w:hideMark/>
          </w:tcPr>
          <w:p w14:paraId="27652F01"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33 469 (90 %)</w:t>
            </w:r>
          </w:p>
        </w:tc>
      </w:tr>
      <w:tr w:rsidR="00073A90" w:rsidRPr="007F6AD7" w14:paraId="1365A5A3"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0C5AACF3"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no reporta</w:t>
            </w:r>
          </w:p>
        </w:tc>
        <w:tc>
          <w:tcPr>
            <w:tcW w:w="1000" w:type="pct"/>
            <w:tcBorders>
              <w:top w:val="single" w:sz="4" w:space="0" w:color="000000"/>
              <w:left w:val="single" w:sz="4" w:space="0" w:color="000000"/>
              <w:bottom w:val="single" w:sz="4" w:space="0" w:color="000000"/>
              <w:right w:val="single" w:sz="4" w:space="0" w:color="000000"/>
            </w:tcBorders>
            <w:hideMark/>
          </w:tcPr>
          <w:p w14:paraId="0DA9A7D8"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098BA79"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Civil</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E3685D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12 809</w:t>
            </w:r>
          </w:p>
        </w:tc>
        <w:tc>
          <w:tcPr>
            <w:tcW w:w="1000" w:type="pct"/>
            <w:tcBorders>
              <w:top w:val="single" w:sz="4" w:space="0" w:color="000000"/>
              <w:left w:val="single" w:sz="4" w:space="0" w:color="000000"/>
              <w:bottom w:val="single" w:sz="4" w:space="0" w:color="000000"/>
              <w:right w:val="single" w:sz="4" w:space="0" w:color="000000"/>
            </w:tcBorders>
            <w:hideMark/>
          </w:tcPr>
          <w:p w14:paraId="4CB9EA7D"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9 638  (75 %)</w:t>
            </w:r>
          </w:p>
        </w:tc>
      </w:tr>
      <w:tr w:rsidR="00073A90" w:rsidRPr="007F6AD7" w14:paraId="7F72EB26"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3D902B17"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Municipales y Provinciales</w:t>
            </w:r>
          </w:p>
        </w:tc>
        <w:tc>
          <w:tcPr>
            <w:tcW w:w="1000" w:type="pct"/>
            <w:tcBorders>
              <w:top w:val="single" w:sz="4" w:space="0" w:color="000000"/>
              <w:left w:val="single" w:sz="4" w:space="0" w:color="000000"/>
              <w:bottom w:val="single" w:sz="4" w:space="0" w:color="000000"/>
              <w:right w:val="single" w:sz="4" w:space="0" w:color="000000"/>
            </w:tcBorders>
            <w:hideMark/>
          </w:tcPr>
          <w:p w14:paraId="5ED1F921"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84F56C8"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Derecho de Familia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56C110C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37012</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7AE294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30 728 (83%)</w:t>
            </w:r>
          </w:p>
        </w:tc>
      </w:tr>
      <w:tr w:rsidR="00073A90" w:rsidRPr="007F6AD7" w14:paraId="538E9D94"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76B406E3"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Tribunal Supremo</w:t>
            </w:r>
          </w:p>
        </w:tc>
        <w:tc>
          <w:tcPr>
            <w:tcW w:w="1000" w:type="pct"/>
            <w:tcBorders>
              <w:top w:val="single" w:sz="4" w:space="0" w:color="000000"/>
              <w:left w:val="single" w:sz="4" w:space="0" w:color="000000"/>
              <w:bottom w:val="single" w:sz="4" w:space="0" w:color="000000"/>
              <w:right w:val="single" w:sz="4" w:space="0" w:color="000000"/>
            </w:tcBorders>
            <w:hideMark/>
          </w:tcPr>
          <w:p w14:paraId="73793CD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D208A48"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Derecho de Familia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465B536"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no reporta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CE5B647" w14:textId="77777777" w:rsidR="00073A90" w:rsidRPr="00D66C45" w:rsidRDefault="00073A90" w:rsidP="00D66C45">
            <w:pPr>
              <w:spacing w:after="0"/>
              <w:jc w:val="center"/>
              <w:rPr>
                <w:rFonts w:ascii="Arial" w:hAnsi="Arial" w:cs="Arial"/>
                <w:sz w:val="18"/>
                <w:szCs w:val="18"/>
              </w:rPr>
            </w:pPr>
            <w:r w:rsidRPr="00D66C45">
              <w:rPr>
                <w:rFonts w:ascii="Arial" w:hAnsi="Arial" w:cs="Arial"/>
                <w:sz w:val="18"/>
                <w:szCs w:val="18"/>
              </w:rPr>
              <w:t>-</w:t>
            </w:r>
          </w:p>
        </w:tc>
      </w:tr>
      <w:tr w:rsidR="00073A90" w:rsidRPr="007F6AD7" w14:paraId="26795F15"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2140242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Provinciales</w:t>
            </w:r>
          </w:p>
        </w:tc>
        <w:tc>
          <w:tcPr>
            <w:tcW w:w="1000" w:type="pct"/>
            <w:tcBorders>
              <w:top w:val="single" w:sz="4" w:space="0" w:color="000000"/>
              <w:left w:val="single" w:sz="4" w:space="0" w:color="000000"/>
              <w:bottom w:val="single" w:sz="4" w:space="0" w:color="000000"/>
              <w:right w:val="single" w:sz="4" w:space="0" w:color="000000"/>
            </w:tcBorders>
            <w:hideMark/>
          </w:tcPr>
          <w:p w14:paraId="34B81A3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15D2FB0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Administrativa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59F56B8C"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2 995</w:t>
            </w:r>
          </w:p>
        </w:tc>
        <w:tc>
          <w:tcPr>
            <w:tcW w:w="1000" w:type="pct"/>
            <w:tcBorders>
              <w:top w:val="single" w:sz="4" w:space="0" w:color="000000"/>
              <w:left w:val="single" w:sz="4" w:space="0" w:color="000000"/>
              <w:bottom w:val="single" w:sz="4" w:space="0" w:color="000000"/>
              <w:right w:val="single" w:sz="4" w:space="0" w:color="000000"/>
            </w:tcBorders>
            <w:hideMark/>
          </w:tcPr>
          <w:p w14:paraId="372BCD8D"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2 050 (68 %)</w:t>
            </w:r>
          </w:p>
        </w:tc>
      </w:tr>
      <w:tr w:rsidR="00073A90" w:rsidRPr="007F6AD7" w14:paraId="0B51FEC7"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19417FB3"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Tribunal Supremo</w:t>
            </w:r>
          </w:p>
        </w:tc>
        <w:tc>
          <w:tcPr>
            <w:tcW w:w="1000" w:type="pct"/>
            <w:tcBorders>
              <w:top w:val="single" w:sz="4" w:space="0" w:color="000000"/>
              <w:left w:val="single" w:sz="4" w:space="0" w:color="000000"/>
              <w:bottom w:val="single" w:sz="4" w:space="0" w:color="000000"/>
              <w:right w:val="single" w:sz="4" w:space="0" w:color="000000"/>
            </w:tcBorders>
            <w:hideMark/>
          </w:tcPr>
          <w:p w14:paraId="00CCAC0E"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6F14723"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Administrativa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142F072"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1 193</w:t>
            </w:r>
          </w:p>
        </w:tc>
        <w:tc>
          <w:tcPr>
            <w:tcW w:w="1000" w:type="pct"/>
            <w:tcBorders>
              <w:top w:val="single" w:sz="4" w:space="0" w:color="000000"/>
              <w:left w:val="single" w:sz="4" w:space="0" w:color="000000"/>
              <w:bottom w:val="single" w:sz="4" w:space="0" w:color="000000"/>
              <w:right w:val="single" w:sz="4" w:space="0" w:color="000000"/>
            </w:tcBorders>
            <w:hideMark/>
          </w:tcPr>
          <w:p w14:paraId="700F057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947 (79,3%)</w:t>
            </w:r>
          </w:p>
        </w:tc>
      </w:tr>
      <w:tr w:rsidR="00073A90" w:rsidRPr="007F6AD7" w14:paraId="730EF500"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63A7C9A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Municipales y Provinciales</w:t>
            </w:r>
          </w:p>
        </w:tc>
        <w:tc>
          <w:tcPr>
            <w:tcW w:w="1000" w:type="pct"/>
            <w:tcBorders>
              <w:top w:val="single" w:sz="4" w:space="0" w:color="000000"/>
              <w:left w:val="single" w:sz="4" w:space="0" w:color="000000"/>
              <w:bottom w:val="single" w:sz="4" w:space="0" w:color="000000"/>
              <w:right w:val="single" w:sz="4" w:space="0" w:color="000000"/>
            </w:tcBorders>
            <w:hideMark/>
          </w:tcPr>
          <w:p w14:paraId="36F099DC"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74B669C"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Laboral</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2AC58C5"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3 228</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18D65F33"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 xml:space="preserve">2 956 (91,6%)* </w:t>
            </w:r>
          </w:p>
        </w:tc>
      </w:tr>
      <w:tr w:rsidR="00073A90" w:rsidRPr="007F6AD7" w14:paraId="697D8875"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1FD9FA29"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Tribunal Supremo</w:t>
            </w:r>
          </w:p>
        </w:tc>
        <w:tc>
          <w:tcPr>
            <w:tcW w:w="1000" w:type="pct"/>
            <w:tcBorders>
              <w:top w:val="single" w:sz="4" w:space="0" w:color="000000"/>
              <w:left w:val="single" w:sz="4" w:space="0" w:color="000000"/>
              <w:bottom w:val="single" w:sz="4" w:space="0" w:color="000000"/>
              <w:right w:val="single" w:sz="4" w:space="0" w:color="000000"/>
            </w:tcBorders>
            <w:hideMark/>
          </w:tcPr>
          <w:p w14:paraId="085EC5CC"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36D6E0D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Laboral</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6C7CD872"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729</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C8871AC"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612 (83,9%)</w:t>
            </w:r>
          </w:p>
        </w:tc>
      </w:tr>
      <w:tr w:rsidR="00073A90" w:rsidRPr="007F6AD7" w14:paraId="3A2CF93B"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0FE8DA75"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Provinciales</w:t>
            </w:r>
          </w:p>
        </w:tc>
        <w:tc>
          <w:tcPr>
            <w:tcW w:w="1000" w:type="pct"/>
            <w:tcBorders>
              <w:top w:val="single" w:sz="4" w:space="0" w:color="000000"/>
              <w:left w:val="single" w:sz="4" w:space="0" w:color="000000"/>
              <w:bottom w:val="single" w:sz="4" w:space="0" w:color="000000"/>
              <w:right w:val="single" w:sz="4" w:space="0" w:color="000000"/>
            </w:tcBorders>
            <w:hideMark/>
          </w:tcPr>
          <w:p w14:paraId="731167D5"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7DC95275"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Económica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2F6D4AEA"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6 198</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0EDFC8F4"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5 166 (84%)</w:t>
            </w:r>
          </w:p>
        </w:tc>
      </w:tr>
      <w:tr w:rsidR="00073A90" w:rsidRPr="007F6AD7" w14:paraId="10D3D235"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hideMark/>
          </w:tcPr>
          <w:p w14:paraId="6A6215F0"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Tribunal Supremo</w:t>
            </w:r>
          </w:p>
        </w:tc>
        <w:tc>
          <w:tcPr>
            <w:tcW w:w="1000" w:type="pct"/>
            <w:tcBorders>
              <w:top w:val="single" w:sz="4" w:space="0" w:color="000000"/>
              <w:left w:val="single" w:sz="4" w:space="0" w:color="000000"/>
              <w:bottom w:val="single" w:sz="4" w:space="0" w:color="000000"/>
              <w:right w:val="single" w:sz="4" w:space="0" w:color="000000"/>
            </w:tcBorders>
            <w:hideMark/>
          </w:tcPr>
          <w:p w14:paraId="4FF0794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Ídem.</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576A1BAB"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Económica</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1CB45EC4"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223</w:t>
            </w:r>
          </w:p>
        </w:tc>
        <w:tc>
          <w:tcPr>
            <w:tcW w:w="1000" w:type="pct"/>
            <w:tcBorders>
              <w:top w:val="single" w:sz="4" w:space="0" w:color="000000"/>
              <w:left w:val="single" w:sz="4" w:space="0" w:color="000000"/>
              <w:bottom w:val="single" w:sz="4" w:space="0" w:color="000000"/>
              <w:right w:val="single" w:sz="4" w:space="0" w:color="000000"/>
            </w:tcBorders>
            <w:vAlign w:val="center"/>
            <w:hideMark/>
          </w:tcPr>
          <w:p w14:paraId="4EA45168" w14:textId="77777777" w:rsidR="00073A90" w:rsidRPr="00D66C45" w:rsidRDefault="00073A90" w:rsidP="00D66C45">
            <w:pPr>
              <w:spacing w:after="0"/>
              <w:rPr>
                <w:rFonts w:ascii="Arial" w:hAnsi="Arial" w:cs="Arial"/>
                <w:sz w:val="18"/>
                <w:szCs w:val="18"/>
              </w:rPr>
            </w:pPr>
            <w:r w:rsidRPr="00D66C45">
              <w:rPr>
                <w:rFonts w:ascii="Arial" w:hAnsi="Arial" w:cs="Arial"/>
                <w:sz w:val="18"/>
                <w:szCs w:val="18"/>
              </w:rPr>
              <w:t>198 (89 %)</w:t>
            </w:r>
          </w:p>
        </w:tc>
      </w:tr>
      <w:tr w:rsidR="004D18C5" w:rsidRPr="007F6AD7" w14:paraId="19121D3F" w14:textId="77777777" w:rsidTr="00073A90">
        <w:tc>
          <w:tcPr>
            <w:tcW w:w="1000" w:type="pct"/>
            <w:tcBorders>
              <w:top w:val="single" w:sz="4" w:space="0" w:color="000000"/>
              <w:left w:val="single" w:sz="4" w:space="0" w:color="000000"/>
              <w:bottom w:val="single" w:sz="4" w:space="0" w:color="000000"/>
              <w:right w:val="single" w:sz="4" w:space="0" w:color="000000"/>
            </w:tcBorders>
            <w:vAlign w:val="center"/>
          </w:tcPr>
          <w:p w14:paraId="56630E66" w14:textId="77777777" w:rsidR="004D18C5" w:rsidRPr="00D66C45" w:rsidRDefault="004D18C5" w:rsidP="009376EA">
            <w:pPr>
              <w:spacing w:after="0" w:line="240" w:lineRule="auto"/>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tcPr>
          <w:p w14:paraId="312C3320" w14:textId="77777777" w:rsidR="004D18C5" w:rsidRPr="00D66C45" w:rsidRDefault="004D18C5" w:rsidP="00D66C45">
            <w:pPr>
              <w:spacing w:after="0"/>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vAlign w:val="center"/>
          </w:tcPr>
          <w:p w14:paraId="07B224D3" w14:textId="77777777" w:rsidR="004D18C5" w:rsidRPr="00D66C45" w:rsidRDefault="004D18C5" w:rsidP="00D66C45">
            <w:pPr>
              <w:spacing w:after="0"/>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vAlign w:val="center"/>
          </w:tcPr>
          <w:p w14:paraId="583B7018" w14:textId="77777777" w:rsidR="004D18C5" w:rsidRPr="00D66C45" w:rsidRDefault="004D18C5" w:rsidP="00D66C45">
            <w:pPr>
              <w:spacing w:after="0"/>
              <w:rPr>
                <w:rFonts w:ascii="Arial" w:hAnsi="Arial" w:cs="Arial"/>
                <w:sz w:val="18"/>
                <w:szCs w:val="18"/>
              </w:rPr>
            </w:pPr>
          </w:p>
        </w:tc>
        <w:tc>
          <w:tcPr>
            <w:tcW w:w="1000" w:type="pct"/>
            <w:tcBorders>
              <w:top w:val="single" w:sz="4" w:space="0" w:color="000000"/>
              <w:left w:val="single" w:sz="4" w:space="0" w:color="000000"/>
              <w:bottom w:val="single" w:sz="4" w:space="0" w:color="000000"/>
              <w:right w:val="single" w:sz="4" w:space="0" w:color="000000"/>
            </w:tcBorders>
            <w:vAlign w:val="center"/>
          </w:tcPr>
          <w:p w14:paraId="7B482075" w14:textId="77777777" w:rsidR="004D18C5" w:rsidRPr="00D66C45" w:rsidRDefault="004D18C5" w:rsidP="00D66C45">
            <w:pPr>
              <w:spacing w:after="0"/>
              <w:rPr>
                <w:rFonts w:ascii="Arial" w:hAnsi="Arial" w:cs="Arial"/>
                <w:sz w:val="18"/>
                <w:szCs w:val="18"/>
              </w:rPr>
            </w:pPr>
          </w:p>
        </w:tc>
      </w:tr>
    </w:tbl>
    <w:p w14:paraId="5115B507" w14:textId="743EEF2B" w:rsidR="00266888" w:rsidRPr="00460D88" w:rsidRDefault="00460D88" w:rsidP="00837D86">
      <w:pPr>
        <w:rPr>
          <w:rFonts w:ascii="Times New Roman" w:hAnsi="Times New Roman"/>
          <w:sz w:val="20"/>
          <w:szCs w:val="20"/>
        </w:rPr>
      </w:pPr>
      <w:r w:rsidRPr="00460D88">
        <w:rPr>
          <w:rFonts w:ascii="Arial" w:hAnsi="Arial" w:cs="Arial"/>
        </w:rPr>
        <w:t>* Del Informe de rendición de cuenta (2011) de la Fiscalía General de la República presentado por Darío Delgado Cura, Fiscal General</w:t>
      </w:r>
      <w:r>
        <w:rPr>
          <w:rFonts w:ascii="Times New Roman" w:hAnsi="Times New Roman"/>
          <w:sz w:val="20"/>
          <w:szCs w:val="20"/>
        </w:rPr>
        <w:t>.</w:t>
      </w:r>
      <w:r>
        <w:rPr>
          <w:rStyle w:val="Refdenotaalpie"/>
          <w:rFonts w:ascii="Times New Roman" w:hAnsi="Times New Roman"/>
          <w:sz w:val="20"/>
        </w:rPr>
        <w:footnoteReference w:id="132"/>
      </w:r>
    </w:p>
    <w:p w14:paraId="4B73A9E9" w14:textId="4457BA18" w:rsidR="00073A90" w:rsidRPr="007F6AD7" w:rsidRDefault="00073A90" w:rsidP="00A7397D">
      <w:pPr>
        <w:pStyle w:val="Ttulo3"/>
      </w:pPr>
      <w:bookmarkStart w:id="84" w:name="_Toc515359796"/>
      <w:r w:rsidRPr="007F6AD7">
        <w:t xml:space="preserve">Vía </w:t>
      </w:r>
      <w:r w:rsidR="004D18C5" w:rsidRPr="007F6AD7">
        <w:t>E</w:t>
      </w:r>
      <w:r w:rsidRPr="007F6AD7">
        <w:t xml:space="preserve">xtrajudicial de </w:t>
      </w:r>
      <w:r w:rsidR="004D18C5" w:rsidRPr="007F6AD7">
        <w:t>I</w:t>
      </w:r>
      <w:r w:rsidRPr="007F6AD7">
        <w:t xml:space="preserve">nfluencia para </w:t>
      </w:r>
      <w:r w:rsidR="004D18C5" w:rsidRPr="007F6AD7">
        <w:t>P</w:t>
      </w:r>
      <w:r w:rsidRPr="007F6AD7">
        <w:t xml:space="preserve">roteger los </w:t>
      </w:r>
      <w:r w:rsidR="004D18C5" w:rsidRPr="007F6AD7">
        <w:t>D</w:t>
      </w:r>
      <w:r w:rsidRPr="007F6AD7">
        <w:t xml:space="preserve">erechos de la </w:t>
      </w:r>
      <w:r w:rsidR="004D18C5" w:rsidRPr="007F6AD7">
        <w:t>N</w:t>
      </w:r>
      <w:r w:rsidRPr="007F6AD7">
        <w:t>iñez</w:t>
      </w:r>
      <w:bookmarkEnd w:id="84"/>
      <w:r w:rsidRPr="007F6AD7">
        <w:t xml:space="preserve"> </w:t>
      </w:r>
    </w:p>
    <w:p w14:paraId="2F4A3686" w14:textId="1285C748" w:rsidR="00073A90" w:rsidRPr="007F6AD7" w:rsidRDefault="00073A90" w:rsidP="00A7397D">
      <w:pPr>
        <w:pStyle w:val="Ttulo3"/>
        <w:rPr>
          <w:lang w:eastAsia="en-US"/>
        </w:rPr>
      </w:pPr>
      <w:bookmarkStart w:id="85" w:name="_Toc515359797"/>
      <w:r w:rsidRPr="007F6AD7">
        <w:t xml:space="preserve">La </w:t>
      </w:r>
      <w:r w:rsidR="004D18C5" w:rsidRPr="007F6AD7">
        <w:t>G</w:t>
      </w:r>
      <w:r w:rsidRPr="007F6AD7">
        <w:t>estión de la  Fiscalia General de la Republica</w:t>
      </w:r>
      <w:bookmarkEnd w:id="85"/>
    </w:p>
    <w:p w14:paraId="0B0FA436" w14:textId="530E6185" w:rsidR="00073A90" w:rsidRPr="007F6AD7" w:rsidRDefault="00073A90" w:rsidP="000531D7">
      <w:pPr>
        <w:tabs>
          <w:tab w:val="left" w:pos="567"/>
        </w:tabs>
        <w:spacing w:after="0" w:line="360" w:lineRule="auto"/>
        <w:jc w:val="both"/>
        <w:rPr>
          <w:rFonts w:ascii="Arial" w:hAnsi="Arial" w:cs="Arial"/>
        </w:rPr>
      </w:pPr>
      <w:r w:rsidRPr="007F6AD7">
        <w:rPr>
          <w:rStyle w:val="normal1"/>
          <w:rFonts w:ascii="Arial" w:hAnsi="Arial" w:cs="Arial"/>
        </w:rPr>
        <w:t>2</w:t>
      </w:r>
      <w:r w:rsidR="000531D7">
        <w:rPr>
          <w:rStyle w:val="normal1"/>
          <w:rFonts w:ascii="Arial" w:hAnsi="Arial" w:cs="Arial"/>
        </w:rPr>
        <w:t>6</w:t>
      </w:r>
      <w:r w:rsidRPr="007F6AD7">
        <w:rPr>
          <w:rStyle w:val="normal1"/>
          <w:rFonts w:ascii="Arial" w:hAnsi="Arial" w:cs="Arial"/>
        </w:rPr>
        <w:t xml:space="preserve">.    </w:t>
      </w:r>
      <w:r w:rsidR="00B530CC" w:rsidRPr="007F6AD7">
        <w:rPr>
          <w:rFonts w:ascii="Arial" w:hAnsi="Arial" w:cs="Arial"/>
        </w:rPr>
        <w:t>En el control de la legalidad por parte de la Fiscalía General de la República queda contenida la protección de la Constitución,</w:t>
      </w:r>
      <w:r w:rsidR="00B530CC" w:rsidRPr="007F6AD7">
        <w:rPr>
          <w:rStyle w:val="Refdenotaalpie"/>
          <w:rFonts w:ascii="Arial" w:hAnsi="Arial" w:cs="Arial"/>
        </w:rPr>
        <w:footnoteReference w:id="133"/>
      </w:r>
      <w:r w:rsidR="00B530CC" w:rsidRPr="007F6AD7">
        <w:rPr>
          <w:rFonts w:ascii="Arial" w:hAnsi="Arial" w:cs="Arial"/>
        </w:rPr>
        <w:t xml:space="preserve"> aunque en la práctica esta función se concentra en la protección de derechos ciudadanos.</w:t>
      </w:r>
      <w:r w:rsidR="00B530CC" w:rsidRPr="007F6AD7">
        <w:rPr>
          <w:rStyle w:val="Refdenotaalpie"/>
          <w:rFonts w:ascii="Arial" w:hAnsi="Arial" w:cs="Arial"/>
        </w:rPr>
        <w:t xml:space="preserve"> </w:t>
      </w:r>
      <w:r w:rsidR="00B530CC" w:rsidRPr="007F6AD7">
        <w:rPr>
          <w:rStyle w:val="Refdenotaalpie"/>
          <w:rFonts w:ascii="Arial" w:hAnsi="Arial" w:cs="Arial"/>
        </w:rPr>
        <w:footnoteReference w:id="134"/>
      </w:r>
      <w:r w:rsidR="00B530CC" w:rsidRPr="007F6AD7">
        <w:rPr>
          <w:rFonts w:ascii="Arial" w:hAnsi="Arial" w:cs="Arial"/>
        </w:rPr>
        <w:t xml:space="preserve"> La Fiscalía General de la República </w:t>
      </w:r>
      <w:r w:rsidRPr="007F6AD7">
        <w:rPr>
          <w:rStyle w:val="normal1"/>
          <w:rFonts w:ascii="Arial" w:hAnsi="Arial" w:cs="Arial"/>
        </w:rPr>
        <w:t>realiza la vía extrajudicial de influencia</w:t>
      </w:r>
      <w:r w:rsidR="003A472F" w:rsidRPr="007F6AD7">
        <w:rPr>
          <w:rStyle w:val="normal1"/>
          <w:rFonts w:ascii="Arial" w:hAnsi="Arial" w:cs="Arial"/>
        </w:rPr>
        <w:t xml:space="preserve"> </w:t>
      </w:r>
      <w:r w:rsidR="00B530CC" w:rsidRPr="007F6AD7">
        <w:rPr>
          <w:rStyle w:val="normal1"/>
          <w:rFonts w:ascii="Arial" w:hAnsi="Arial" w:cs="Arial"/>
        </w:rPr>
        <w:t xml:space="preserve">al </w:t>
      </w:r>
      <w:r w:rsidR="00B530CC" w:rsidRPr="007F6AD7">
        <w:rPr>
          <w:rStyle w:val="normal1"/>
          <w:rFonts w:ascii="Arial" w:hAnsi="Arial" w:cs="Arial"/>
        </w:rPr>
        <w:lastRenderedPageBreak/>
        <w:t>ser la</w:t>
      </w:r>
      <w:r w:rsidR="003A472F" w:rsidRPr="007F6AD7">
        <w:rPr>
          <w:rStyle w:val="normal1"/>
          <w:rFonts w:ascii="Arial" w:hAnsi="Arial" w:cs="Arial"/>
        </w:rPr>
        <w:t xml:space="preserve"> encargada</w:t>
      </w:r>
      <w:r w:rsidR="004B1F6D" w:rsidRPr="007F6AD7">
        <w:rPr>
          <w:rStyle w:val="normal1"/>
          <w:rFonts w:ascii="Arial" w:hAnsi="Arial" w:cs="Arial"/>
        </w:rPr>
        <w:t xml:space="preserve"> </w:t>
      </w:r>
      <w:r w:rsidR="003A472F" w:rsidRPr="007F6AD7">
        <w:rPr>
          <w:rStyle w:val="normal1"/>
          <w:rFonts w:ascii="Arial" w:hAnsi="Arial" w:cs="Arial"/>
        </w:rPr>
        <w:t xml:space="preserve">de responder jurídicamente por el derecho de </w:t>
      </w:r>
      <w:r w:rsidR="00AC1E2C" w:rsidRPr="007F6AD7">
        <w:rPr>
          <w:rStyle w:val="normal1"/>
          <w:rFonts w:ascii="Arial" w:hAnsi="Arial" w:cs="Arial"/>
        </w:rPr>
        <w:t>queja.</w:t>
      </w:r>
      <w:r w:rsidR="00E45B1E" w:rsidRPr="007F6AD7">
        <w:rPr>
          <w:rStyle w:val="normal1"/>
          <w:rFonts w:ascii="Arial" w:hAnsi="Arial" w:cs="Arial"/>
        </w:rPr>
        <w:t xml:space="preserve"> </w:t>
      </w:r>
      <w:r w:rsidRPr="007F6AD7">
        <w:rPr>
          <w:rStyle w:val="normal1"/>
          <w:rFonts w:ascii="Arial" w:hAnsi="Arial" w:cs="Arial"/>
        </w:rPr>
        <w:t xml:space="preserve">Utiliza como instrumento las quejas y reclamaciones de la </w:t>
      </w:r>
      <w:r w:rsidR="0058064B" w:rsidRPr="007F6AD7">
        <w:rPr>
          <w:rStyle w:val="normal1"/>
          <w:rFonts w:ascii="Arial" w:hAnsi="Arial" w:cs="Arial"/>
        </w:rPr>
        <w:t>p</w:t>
      </w:r>
      <w:r w:rsidR="00650165" w:rsidRPr="007F6AD7">
        <w:rPr>
          <w:rStyle w:val="normal1"/>
          <w:rFonts w:ascii="Arial" w:hAnsi="Arial" w:cs="Arial"/>
        </w:rPr>
        <w:t>oblación</w:t>
      </w:r>
      <w:r w:rsidR="00285B0B" w:rsidRPr="007F6AD7">
        <w:rPr>
          <w:rStyle w:val="normal1"/>
          <w:rFonts w:ascii="Arial" w:hAnsi="Arial" w:cs="Arial"/>
        </w:rPr>
        <w:t>.</w:t>
      </w:r>
      <w:r w:rsidR="00285B0B" w:rsidRPr="007F6AD7">
        <w:rPr>
          <w:rStyle w:val="Refdenotaalpie"/>
          <w:rFonts w:ascii="Arial" w:hAnsi="Arial" w:cs="Arial"/>
        </w:rPr>
        <w:t xml:space="preserve"> </w:t>
      </w:r>
      <w:r w:rsidR="00285B0B" w:rsidRPr="007F6AD7">
        <w:rPr>
          <w:rStyle w:val="Refdenotaalpie"/>
          <w:rFonts w:ascii="Arial" w:hAnsi="Arial" w:cs="Arial"/>
        </w:rPr>
        <w:footnoteReference w:id="135"/>
      </w:r>
      <w:r w:rsidR="00AC1E2C" w:rsidRPr="007F6AD7">
        <w:rPr>
          <w:rStyle w:val="normal1"/>
          <w:rFonts w:ascii="Arial" w:hAnsi="Arial" w:cs="Arial"/>
        </w:rPr>
        <w:t xml:space="preserve"> También tien</w:t>
      </w:r>
      <w:r w:rsidR="00285B0B" w:rsidRPr="007F6AD7">
        <w:rPr>
          <w:rStyle w:val="normal1"/>
          <w:rFonts w:ascii="Arial" w:hAnsi="Arial" w:cs="Arial"/>
        </w:rPr>
        <w:t>e</w:t>
      </w:r>
      <w:r w:rsidRPr="007F6AD7">
        <w:rPr>
          <w:rStyle w:val="normal1"/>
          <w:rFonts w:ascii="Arial" w:hAnsi="Arial" w:cs="Arial"/>
        </w:rPr>
        <w:t xml:space="preserve"> la función fiscal </w:t>
      </w:r>
      <w:r w:rsidR="00285B0B" w:rsidRPr="007F6AD7">
        <w:rPr>
          <w:rStyle w:val="normal1"/>
          <w:rFonts w:ascii="Arial" w:hAnsi="Arial" w:cs="Arial"/>
        </w:rPr>
        <w:t xml:space="preserve">de </w:t>
      </w:r>
      <w:r w:rsidRPr="007F6AD7">
        <w:rPr>
          <w:rStyle w:val="normal1"/>
          <w:rFonts w:ascii="Arial" w:hAnsi="Arial" w:cs="Arial"/>
        </w:rPr>
        <w:t>controla</w:t>
      </w:r>
      <w:r w:rsidR="00285B0B" w:rsidRPr="007F6AD7">
        <w:rPr>
          <w:rStyle w:val="normal1"/>
          <w:rFonts w:ascii="Arial" w:hAnsi="Arial" w:cs="Arial"/>
        </w:rPr>
        <w:t>r</w:t>
      </w:r>
      <w:r w:rsidRPr="007F6AD7">
        <w:rPr>
          <w:rStyle w:val="normal1"/>
          <w:rFonts w:ascii="Arial" w:hAnsi="Arial" w:cs="Arial"/>
        </w:rPr>
        <w:t xml:space="preserve"> y preserva</w:t>
      </w:r>
      <w:r w:rsidR="00285B0B" w:rsidRPr="007F6AD7">
        <w:rPr>
          <w:rStyle w:val="normal1"/>
          <w:rFonts w:ascii="Arial" w:hAnsi="Arial" w:cs="Arial"/>
        </w:rPr>
        <w:t>r</w:t>
      </w:r>
      <w:r w:rsidRPr="007F6AD7">
        <w:rPr>
          <w:rStyle w:val="normal1"/>
          <w:rFonts w:ascii="Arial" w:hAnsi="Arial" w:cs="Arial"/>
        </w:rPr>
        <w:t xml:space="preserve"> la legalidad en la atención y protección de la niñ</w:t>
      </w:r>
      <w:r w:rsidR="00A836C7" w:rsidRPr="007F6AD7">
        <w:rPr>
          <w:rStyle w:val="normal1"/>
          <w:rFonts w:ascii="Arial" w:hAnsi="Arial" w:cs="Arial"/>
        </w:rPr>
        <w:t>os, niñas</w:t>
      </w:r>
      <w:r w:rsidRPr="007F6AD7">
        <w:rPr>
          <w:rStyle w:val="normal1"/>
          <w:rFonts w:ascii="Arial" w:hAnsi="Arial" w:cs="Arial"/>
        </w:rPr>
        <w:t xml:space="preserve"> y adolescen</w:t>
      </w:r>
      <w:r w:rsidR="00A836C7" w:rsidRPr="007F6AD7">
        <w:rPr>
          <w:rStyle w:val="normal1"/>
          <w:rFonts w:ascii="Arial" w:hAnsi="Arial" w:cs="Arial"/>
        </w:rPr>
        <w:t>tes</w:t>
      </w:r>
      <w:r w:rsidR="00A836C7" w:rsidRPr="007F6AD7">
        <w:rPr>
          <w:rFonts w:ascii="Arial" w:hAnsi="Arial" w:cs="Arial"/>
        </w:rPr>
        <w:t xml:space="preserve"> </w:t>
      </w:r>
      <w:r w:rsidR="00A836C7" w:rsidRPr="007F6AD7">
        <w:rPr>
          <w:rStyle w:val="normal1"/>
          <w:rFonts w:ascii="Arial" w:hAnsi="Arial" w:cs="Arial"/>
        </w:rPr>
        <w:t>(en adelante, NNA)</w:t>
      </w:r>
      <w:r w:rsidRPr="007F6AD7">
        <w:rPr>
          <w:rStyle w:val="normal1"/>
          <w:rFonts w:ascii="Arial" w:hAnsi="Arial" w:cs="Arial"/>
        </w:rPr>
        <w:t>.</w:t>
      </w:r>
      <w:r w:rsidR="00285B0B" w:rsidRPr="007F6AD7">
        <w:rPr>
          <w:rFonts w:ascii="Arial" w:hAnsi="Arial" w:cs="Arial"/>
        </w:rPr>
        <w:t xml:space="preserve"> </w:t>
      </w:r>
    </w:p>
    <w:p w14:paraId="721B6E4D" w14:textId="09F6BA26" w:rsidR="00073A90" w:rsidRPr="007F6AD7" w:rsidRDefault="00073A90" w:rsidP="00460D88">
      <w:pPr>
        <w:spacing w:after="0" w:line="360" w:lineRule="auto"/>
        <w:jc w:val="both"/>
        <w:rPr>
          <w:rFonts w:ascii="Arial" w:hAnsi="Arial" w:cs="Arial"/>
          <w:lang w:eastAsia="es-ES"/>
        </w:rPr>
      </w:pPr>
      <w:r w:rsidRPr="007F6AD7">
        <w:rPr>
          <w:rFonts w:ascii="Arial" w:hAnsi="Arial" w:cs="Arial"/>
        </w:rPr>
        <w:t>2</w:t>
      </w:r>
      <w:r w:rsidR="000531D7">
        <w:rPr>
          <w:rFonts w:ascii="Arial" w:hAnsi="Arial" w:cs="Arial"/>
        </w:rPr>
        <w:t>7</w:t>
      </w:r>
      <w:r w:rsidRPr="007F6AD7">
        <w:rPr>
          <w:rFonts w:ascii="Arial" w:hAnsi="Arial" w:cs="Arial"/>
        </w:rPr>
        <w:t>. Acudir a la Fiscalía General de la República es una vía respetada para las personas satisfacer sus peticiones, reclamaciones y denuncias.</w:t>
      </w:r>
      <w:r w:rsidR="00EA6815" w:rsidRPr="007F6AD7">
        <w:rPr>
          <w:rFonts w:ascii="Arial" w:hAnsi="Arial" w:cs="Arial"/>
        </w:rPr>
        <w:t xml:space="preserve"> </w:t>
      </w:r>
      <w:r w:rsidR="00885286" w:rsidRPr="007F6AD7">
        <w:rPr>
          <w:rFonts w:ascii="Arial" w:hAnsi="Arial" w:cs="Arial"/>
        </w:rPr>
        <w:t>Esta</w:t>
      </w:r>
      <w:r w:rsidRPr="007F6AD7">
        <w:rPr>
          <w:rFonts w:ascii="Arial" w:hAnsi="Arial" w:cs="Arial"/>
        </w:rPr>
        <w:t xml:space="preserve"> entidad ha evolucionado notablemente en cuanto a materia de comunicación institucional. Cuenta con spots </w:t>
      </w:r>
      <w:r w:rsidR="00650165" w:rsidRPr="007F6AD7">
        <w:rPr>
          <w:rFonts w:ascii="Arial" w:hAnsi="Arial" w:cs="Arial"/>
        </w:rPr>
        <w:t>televisivos de</w:t>
      </w:r>
      <w:r w:rsidRPr="007F6AD7">
        <w:rPr>
          <w:rFonts w:ascii="Arial" w:hAnsi="Arial" w:cs="Arial"/>
        </w:rPr>
        <w:t xml:space="preserve"> calidad </w:t>
      </w:r>
      <w:r w:rsidR="00650165" w:rsidRPr="007F6AD7">
        <w:rPr>
          <w:rFonts w:ascii="Arial" w:hAnsi="Arial" w:cs="Arial"/>
        </w:rPr>
        <w:t>y líneas</w:t>
      </w:r>
      <w:r w:rsidRPr="007F6AD7">
        <w:rPr>
          <w:rFonts w:ascii="Arial" w:hAnsi="Arial" w:cs="Arial"/>
        </w:rPr>
        <w:t xml:space="preserve"> telefónicas que funcionan al servicio del ciudadano</w:t>
      </w:r>
      <w:r w:rsidR="00650165" w:rsidRPr="007F6AD7">
        <w:rPr>
          <w:rFonts w:ascii="Arial" w:hAnsi="Arial" w:cs="Arial"/>
        </w:rPr>
        <w:t>, con</w:t>
      </w:r>
      <w:r w:rsidRPr="007F6AD7">
        <w:rPr>
          <w:rFonts w:ascii="Arial" w:hAnsi="Arial" w:cs="Arial"/>
        </w:rPr>
        <w:t xml:space="preserve"> el inconveniente de injustificadas sobrecargas de </w:t>
      </w:r>
      <w:r w:rsidR="00650165" w:rsidRPr="007F6AD7">
        <w:rPr>
          <w:rFonts w:ascii="Arial" w:hAnsi="Arial" w:cs="Arial"/>
        </w:rPr>
        <w:t>trabajo para</w:t>
      </w:r>
      <w:r w:rsidRPr="007F6AD7">
        <w:rPr>
          <w:rFonts w:ascii="Arial" w:hAnsi="Arial" w:cs="Arial"/>
        </w:rPr>
        <w:t xml:space="preserve"> la institución</w:t>
      </w:r>
      <w:r w:rsidR="00650165" w:rsidRPr="007F6AD7">
        <w:rPr>
          <w:rFonts w:ascii="Arial" w:hAnsi="Arial" w:cs="Arial"/>
        </w:rPr>
        <w:t>, dado</w:t>
      </w:r>
      <w:r w:rsidRPr="007F6AD7">
        <w:rPr>
          <w:rFonts w:ascii="Arial" w:hAnsi="Arial" w:cs="Arial"/>
        </w:rPr>
        <w:t xml:space="preserve"> los miles de casos que atiende anualmente,</w:t>
      </w:r>
      <w:r w:rsidRPr="007F6AD7">
        <w:rPr>
          <w:rStyle w:val="Refdenotaalpie"/>
          <w:rFonts w:ascii="Arial" w:hAnsi="Arial" w:cs="Arial"/>
          <w:lang w:eastAsia="es-MX"/>
        </w:rPr>
        <w:footnoteReference w:id="136"/>
      </w:r>
      <w:r w:rsidR="0058064B" w:rsidRPr="007F6AD7">
        <w:rPr>
          <w:rFonts w:ascii="Arial" w:hAnsi="Arial" w:cs="Arial"/>
        </w:rPr>
        <w:t xml:space="preserve"> </w:t>
      </w:r>
      <w:r w:rsidRPr="007F6AD7">
        <w:rPr>
          <w:rFonts w:ascii="Arial" w:hAnsi="Arial" w:cs="Arial"/>
        </w:rPr>
        <w:t xml:space="preserve">la complejidad de los mismos en el </w:t>
      </w:r>
      <w:r w:rsidR="00650165" w:rsidRPr="007F6AD7">
        <w:rPr>
          <w:rFonts w:ascii="Arial" w:hAnsi="Arial" w:cs="Arial"/>
        </w:rPr>
        <w:t>actual contexto</w:t>
      </w:r>
      <w:r w:rsidRPr="007F6AD7">
        <w:rPr>
          <w:rFonts w:ascii="Arial" w:hAnsi="Arial" w:cs="Arial"/>
        </w:rPr>
        <w:t xml:space="preserve"> económico y social cubano y las condiciones laborales del sector judicial a lo que hacen alusión los parlamentarios.</w:t>
      </w:r>
      <w:r w:rsidRPr="007F6AD7">
        <w:rPr>
          <w:rStyle w:val="Refdenotaalpie"/>
          <w:rFonts w:ascii="Arial" w:hAnsi="Arial" w:cs="Arial"/>
          <w:lang w:eastAsia="es-MX"/>
        </w:rPr>
        <w:footnoteReference w:id="137"/>
      </w:r>
      <w:r w:rsidRPr="007F6AD7">
        <w:rPr>
          <w:rFonts w:ascii="Arial" w:hAnsi="Arial" w:cs="Arial"/>
        </w:rPr>
        <w:t>Todo ello se refleja de alguna forma en la celeridad</w:t>
      </w:r>
      <w:r w:rsidR="0053720D" w:rsidRPr="007F6AD7">
        <w:rPr>
          <w:rFonts w:ascii="Arial" w:hAnsi="Arial" w:cs="Arial"/>
        </w:rPr>
        <w:t xml:space="preserve"> </w:t>
      </w:r>
      <w:r w:rsidRPr="007F6AD7">
        <w:rPr>
          <w:rFonts w:ascii="Arial" w:hAnsi="Arial" w:cs="Arial"/>
        </w:rPr>
        <w:t>y respuestas institucionales no siempre comprendidas por la ciudadanía.</w:t>
      </w:r>
      <w:r w:rsidR="00FB4388" w:rsidRPr="007F6AD7">
        <w:rPr>
          <w:rFonts w:ascii="Arial" w:hAnsi="Arial" w:cs="Arial"/>
          <w:vertAlign w:val="superscript"/>
          <w:lang w:eastAsia="es-MX"/>
        </w:rPr>
        <w:t xml:space="preserve"> </w:t>
      </w:r>
      <w:r w:rsidR="00FB4388" w:rsidRPr="007F6AD7">
        <w:rPr>
          <w:rFonts w:ascii="Arial" w:hAnsi="Arial" w:cs="Arial"/>
        </w:rPr>
        <w:t xml:space="preserve">El artículo </w:t>
      </w:r>
      <w:r w:rsidR="00885286" w:rsidRPr="007F6AD7">
        <w:rPr>
          <w:rFonts w:ascii="Arial" w:hAnsi="Arial" w:cs="Arial"/>
        </w:rPr>
        <w:t xml:space="preserve">63 de la Constitución </w:t>
      </w:r>
      <w:r w:rsidR="00FB4388" w:rsidRPr="007F6AD7">
        <w:rPr>
          <w:rFonts w:ascii="Arial" w:hAnsi="Arial" w:cs="Arial"/>
        </w:rPr>
        <w:t>establece el derecho de dirigir quejas y peticiones a las autoridades, sin más especificaciones ni correspondientes salidas procesales a esta garantía.</w:t>
      </w:r>
      <w:r w:rsidR="0067699C" w:rsidRPr="007F6AD7">
        <w:rPr>
          <w:rStyle w:val="Ttulo4Car"/>
          <w:rFonts w:ascii="Arial" w:hAnsi="Arial"/>
          <w:lang w:eastAsia="es-MX"/>
        </w:rPr>
        <w:t xml:space="preserve"> </w:t>
      </w:r>
      <w:r w:rsidR="00FB4388" w:rsidRPr="007F6AD7">
        <w:rPr>
          <w:rFonts w:ascii="Arial" w:hAnsi="Arial" w:cs="Arial"/>
        </w:rPr>
        <w:t xml:space="preserve"> En la práctica de las instituciones cubanas, no se distinguen las solicitaciones entre quejas, reclamaciones de derechos y peticiones, por lo que se generan diversos problemas: número extraordinario de documentos a procesar,</w:t>
      </w:r>
      <w:r w:rsidR="0067699C" w:rsidRPr="007F6AD7">
        <w:rPr>
          <w:rStyle w:val="Refdenotaalpie"/>
          <w:rFonts w:ascii="Arial" w:hAnsi="Arial" w:cs="Arial"/>
          <w:lang w:eastAsia="es-MX"/>
        </w:rPr>
        <w:t xml:space="preserve"> </w:t>
      </w:r>
      <w:r w:rsidR="00FB4388" w:rsidRPr="007F6AD7">
        <w:rPr>
          <w:rFonts w:ascii="Arial" w:hAnsi="Arial" w:cs="Arial"/>
        </w:rPr>
        <w:t>seguimiento de los mismos requisitos y lapsos para tramitar asuntos de diferente naturaleza,</w:t>
      </w:r>
      <w:r w:rsidR="0067699C" w:rsidRPr="007F6AD7">
        <w:rPr>
          <w:rStyle w:val="Refdenotaalpie"/>
          <w:rFonts w:ascii="Arial" w:hAnsi="Arial" w:cs="Arial"/>
          <w:lang w:eastAsia="es-MX"/>
        </w:rPr>
        <w:t xml:space="preserve"> </w:t>
      </w:r>
      <w:r w:rsidR="0067699C" w:rsidRPr="007F6AD7">
        <w:rPr>
          <w:rStyle w:val="Refdenotaalpie"/>
          <w:rFonts w:ascii="Arial" w:hAnsi="Arial" w:cs="Arial"/>
          <w:lang w:eastAsia="es-MX"/>
        </w:rPr>
        <w:footnoteReference w:id="138"/>
      </w:r>
      <w:r w:rsidR="0067699C" w:rsidRPr="007F6AD7">
        <w:rPr>
          <w:rFonts w:ascii="Arial" w:hAnsi="Arial" w:cs="Arial"/>
          <w:vertAlign w:val="superscript"/>
          <w:lang w:eastAsia="es-MX"/>
        </w:rPr>
        <w:t xml:space="preserve">   </w:t>
      </w:r>
      <w:r w:rsidR="0067699C" w:rsidRPr="007F6AD7">
        <w:rPr>
          <w:rFonts w:ascii="Arial" w:hAnsi="Arial" w:cs="Arial"/>
          <w:lang w:eastAsia="es-ES"/>
        </w:rPr>
        <w:t xml:space="preserve"> </w:t>
      </w:r>
      <w:r w:rsidR="00FB4388" w:rsidRPr="007F6AD7">
        <w:rPr>
          <w:rFonts w:ascii="Arial" w:hAnsi="Arial" w:cs="Arial"/>
        </w:rPr>
        <w:t>falta de inmediatez en la reposición del derecho y falta de efecto vinculante de la disposición de la Fiscalía.</w:t>
      </w:r>
      <w:r w:rsidR="00FB4388" w:rsidRPr="007F6AD7">
        <w:rPr>
          <w:rStyle w:val="Refdenotaalpie"/>
          <w:rFonts w:ascii="Arial" w:hAnsi="Arial" w:cs="Arial"/>
        </w:rPr>
        <w:footnoteReference w:id="139"/>
      </w:r>
      <w:r w:rsidR="00FB4388" w:rsidRPr="007F6AD7">
        <w:rPr>
          <w:rFonts w:ascii="Arial" w:hAnsi="Arial" w:cs="Arial"/>
        </w:rPr>
        <w:t xml:space="preserve"> </w:t>
      </w:r>
    </w:p>
    <w:p w14:paraId="21637324" w14:textId="6538BF8F" w:rsidR="00073A90" w:rsidRPr="007F6AD7" w:rsidRDefault="00073A90" w:rsidP="00C64339">
      <w:pPr>
        <w:pStyle w:val="Ttulo3"/>
      </w:pPr>
      <w:bookmarkStart w:id="86" w:name="_Toc515359798"/>
      <w:r w:rsidRPr="007F6AD7">
        <w:t>Medios de</w:t>
      </w:r>
      <w:r w:rsidR="004D18C5" w:rsidRPr="007F6AD7">
        <w:rPr>
          <w:lang w:val="es-ES"/>
        </w:rPr>
        <w:t xml:space="preserve"> Divulgación</w:t>
      </w:r>
      <w:r w:rsidRPr="007F6AD7">
        <w:t xml:space="preserve">: </w:t>
      </w:r>
      <w:r w:rsidR="004D18C5" w:rsidRPr="007F6AD7">
        <w:t>O</w:t>
      </w:r>
      <w:r w:rsidRPr="007F6AD7">
        <w:t xml:space="preserve">tra </w:t>
      </w:r>
      <w:r w:rsidR="004D18C5" w:rsidRPr="007F6AD7">
        <w:t>V</w:t>
      </w:r>
      <w:r w:rsidRPr="007F6AD7">
        <w:t xml:space="preserve">ía </w:t>
      </w:r>
      <w:r w:rsidR="004D18C5" w:rsidRPr="007F6AD7">
        <w:t>E</w:t>
      </w:r>
      <w:r w:rsidRPr="007F6AD7">
        <w:t xml:space="preserve">xtrajudicial de </w:t>
      </w:r>
      <w:r w:rsidR="004D18C5" w:rsidRPr="007F6AD7">
        <w:t>I</w:t>
      </w:r>
      <w:r w:rsidRPr="007F6AD7">
        <w:t>nfluencia</w:t>
      </w:r>
      <w:bookmarkEnd w:id="86"/>
    </w:p>
    <w:p w14:paraId="7F44E698" w14:textId="6EF3329D" w:rsidR="00073A90" w:rsidRPr="00C64339" w:rsidRDefault="00073A90" w:rsidP="00C64339">
      <w:pPr>
        <w:spacing w:after="0" w:line="360" w:lineRule="auto"/>
        <w:jc w:val="both"/>
        <w:rPr>
          <w:rFonts w:ascii="Arial" w:hAnsi="Arial" w:cs="Arial"/>
          <w:lang w:eastAsia="es-ES"/>
        </w:rPr>
      </w:pPr>
      <w:r w:rsidRPr="007F6AD7">
        <w:rPr>
          <w:rFonts w:ascii="Arial" w:hAnsi="Arial" w:cs="Arial"/>
          <w:bCs/>
        </w:rPr>
        <w:t>2</w:t>
      </w:r>
      <w:r w:rsidR="000531D7">
        <w:rPr>
          <w:rFonts w:ascii="Arial" w:hAnsi="Arial" w:cs="Arial"/>
          <w:bCs/>
        </w:rPr>
        <w:t>8</w:t>
      </w:r>
      <w:r w:rsidRPr="007F6AD7">
        <w:rPr>
          <w:rFonts w:ascii="Arial" w:hAnsi="Arial" w:cs="Arial"/>
          <w:bCs/>
        </w:rPr>
        <w:t xml:space="preserve">.     Para quejas y propuestas ciudadanas existe otra vía extrajudicial. Los ciudadanos de toda la nación tratan de comunicarse a través de disímiles recursos </w:t>
      </w:r>
      <w:r w:rsidR="000F56DB" w:rsidRPr="007F6AD7">
        <w:rPr>
          <w:rFonts w:ascii="Arial" w:hAnsi="Arial" w:cs="Arial"/>
          <w:bCs/>
        </w:rPr>
        <w:t>con los</w:t>
      </w:r>
      <w:r w:rsidR="00197CC3" w:rsidRPr="007F6AD7">
        <w:rPr>
          <w:rFonts w:ascii="Arial" w:hAnsi="Arial" w:cs="Arial"/>
          <w:bCs/>
        </w:rPr>
        <w:t xml:space="preserve"> </w:t>
      </w:r>
      <w:r w:rsidRPr="007F6AD7">
        <w:rPr>
          <w:rFonts w:ascii="Arial" w:hAnsi="Arial" w:cs="Arial"/>
          <w:bCs/>
        </w:rPr>
        <w:t xml:space="preserve">medios de </w:t>
      </w:r>
      <w:bookmarkStart w:id="87" w:name="OLE_LINK5"/>
      <w:bookmarkStart w:id="88" w:name="OLE_LINK6"/>
      <w:r w:rsidRPr="007F6AD7">
        <w:rPr>
          <w:rFonts w:ascii="Arial" w:hAnsi="Arial" w:cs="Arial"/>
          <w:bCs/>
        </w:rPr>
        <w:t>divulgación</w:t>
      </w:r>
      <w:bookmarkEnd w:id="87"/>
      <w:bookmarkEnd w:id="88"/>
      <w:r w:rsidR="004D18C5" w:rsidRPr="007F6AD7">
        <w:rPr>
          <w:rFonts w:ascii="Arial" w:hAnsi="Arial" w:cs="Arial"/>
          <w:bCs/>
        </w:rPr>
        <w:t xml:space="preserve"> y </w:t>
      </w:r>
      <w:r w:rsidR="004D18C5" w:rsidRPr="007F6AD7">
        <w:rPr>
          <w:rFonts w:ascii="Arial" w:hAnsi="Arial" w:cs="Arial"/>
        </w:rPr>
        <w:lastRenderedPageBreak/>
        <w:t>comunicación</w:t>
      </w:r>
      <w:r w:rsidRPr="007F6AD7">
        <w:rPr>
          <w:rFonts w:ascii="Arial" w:hAnsi="Arial" w:cs="Arial"/>
          <w:bCs/>
        </w:rPr>
        <w:t xml:space="preserve"> nacionales como el periódico Granma,</w:t>
      </w:r>
      <w:r w:rsidRPr="007F6AD7">
        <w:rPr>
          <w:rStyle w:val="Refdenotaalpie"/>
          <w:rFonts w:ascii="Arial" w:hAnsi="Arial" w:cs="Arial"/>
          <w:bCs/>
        </w:rPr>
        <w:footnoteReference w:id="140"/>
      </w:r>
      <w:r w:rsidRPr="007F6AD7">
        <w:rPr>
          <w:rFonts w:ascii="Arial" w:hAnsi="Arial" w:cs="Arial"/>
          <w:bCs/>
        </w:rPr>
        <w:t xml:space="preserve"> el más importante del país, el diario Juventud Rebelde,</w:t>
      </w:r>
      <w:r w:rsidRPr="007F6AD7">
        <w:rPr>
          <w:rStyle w:val="Refdenotaalpie"/>
          <w:rFonts w:ascii="Arial" w:hAnsi="Arial" w:cs="Arial"/>
          <w:bCs/>
        </w:rPr>
        <w:footnoteReference w:id="141"/>
      </w:r>
      <w:r w:rsidRPr="007F6AD7">
        <w:rPr>
          <w:rFonts w:ascii="Arial" w:hAnsi="Arial" w:cs="Arial"/>
          <w:bCs/>
        </w:rPr>
        <w:t xml:space="preserve"> entre otros, incluyendo algunos programas radiales y televisivos.</w:t>
      </w:r>
      <w:r w:rsidRPr="007F6AD7">
        <w:rPr>
          <w:rStyle w:val="Refdenotaalpie"/>
          <w:rFonts w:ascii="Arial" w:hAnsi="Arial" w:cs="Arial"/>
          <w:bCs/>
        </w:rPr>
        <w:footnoteReference w:id="142"/>
      </w:r>
      <w:r w:rsidRPr="007F6AD7">
        <w:rPr>
          <w:rFonts w:ascii="Arial" w:hAnsi="Arial" w:cs="Arial"/>
          <w:bCs/>
        </w:rPr>
        <w:t xml:space="preserve">  </w:t>
      </w:r>
      <w:r w:rsidR="00967D4D" w:rsidRPr="007F6AD7">
        <w:rPr>
          <w:rFonts w:ascii="Arial" w:hAnsi="Arial" w:cs="Arial"/>
          <w:bCs/>
        </w:rPr>
        <w:t xml:space="preserve">Habitualmente las instituciones involucradas en las peticiones y comentarios de la población, actúan impuestas a dar respuestas y soluciones. </w:t>
      </w:r>
      <w:r w:rsidRPr="007F6AD7">
        <w:rPr>
          <w:rFonts w:ascii="Arial" w:hAnsi="Arial" w:cs="Arial"/>
          <w:bCs/>
        </w:rPr>
        <w:t>Este contacto con los medios de comunicación estatales tiene varias ventajas: llega a un amplio segmento de la ciudadanía cuando los hechos se hacen públicos</w:t>
      </w:r>
      <w:r w:rsidR="00967D4D" w:rsidRPr="007F6AD7">
        <w:rPr>
          <w:rFonts w:ascii="Arial" w:hAnsi="Arial" w:cs="Arial"/>
          <w:bCs/>
        </w:rPr>
        <w:t xml:space="preserve"> </w:t>
      </w:r>
      <w:r w:rsidR="0058105B" w:rsidRPr="007F6AD7">
        <w:rPr>
          <w:rFonts w:ascii="Arial" w:hAnsi="Arial" w:cs="Arial"/>
          <w:bCs/>
        </w:rPr>
        <w:t>y posee</w:t>
      </w:r>
      <w:r w:rsidRPr="007F6AD7">
        <w:rPr>
          <w:rFonts w:ascii="Arial" w:hAnsi="Arial" w:cs="Arial"/>
          <w:bCs/>
        </w:rPr>
        <w:t xml:space="preserve"> un enfoque didáctico en temas </w:t>
      </w:r>
      <w:r w:rsidR="00967D4D" w:rsidRPr="007F6AD7">
        <w:rPr>
          <w:rFonts w:ascii="Arial" w:hAnsi="Arial" w:cs="Arial"/>
          <w:bCs/>
        </w:rPr>
        <w:t>judiciales</w:t>
      </w:r>
      <w:r w:rsidRPr="007F6AD7">
        <w:rPr>
          <w:rFonts w:ascii="Arial" w:hAnsi="Arial" w:cs="Arial"/>
          <w:bCs/>
        </w:rPr>
        <w:t xml:space="preserve"> y sociales</w:t>
      </w:r>
      <w:r w:rsidR="00967D4D" w:rsidRPr="007F6AD7">
        <w:rPr>
          <w:rFonts w:ascii="Arial" w:hAnsi="Arial" w:cs="Arial"/>
          <w:bCs/>
        </w:rPr>
        <w:t>.</w:t>
      </w:r>
      <w:r w:rsidR="00967D4D" w:rsidRPr="007F6AD7">
        <w:rPr>
          <w:rFonts w:ascii="Arial" w:hAnsi="Arial" w:cs="Arial"/>
        </w:rPr>
        <w:t xml:space="preserve"> </w:t>
      </w:r>
      <w:r w:rsidR="0067699C" w:rsidRPr="007F6AD7">
        <w:rPr>
          <w:rStyle w:val="Refdenotaalpie"/>
          <w:rFonts w:ascii="Arial" w:hAnsi="Arial" w:cs="Arial"/>
          <w:lang w:eastAsia="es-MX"/>
        </w:rPr>
        <w:footnoteReference w:id="143"/>
      </w:r>
      <w:r w:rsidR="0067699C" w:rsidRPr="007F6AD7">
        <w:rPr>
          <w:rFonts w:ascii="Arial" w:hAnsi="Arial" w:cs="Arial"/>
          <w:vertAlign w:val="superscript"/>
          <w:lang w:eastAsia="es-MX"/>
        </w:rPr>
        <w:t xml:space="preserve">  </w:t>
      </w:r>
    </w:p>
    <w:p w14:paraId="467A9F4E" w14:textId="4B37CA9A" w:rsidR="00CC60F0" w:rsidRPr="007F6AD7" w:rsidRDefault="000531D7" w:rsidP="000F426B">
      <w:pPr>
        <w:tabs>
          <w:tab w:val="left" w:pos="567"/>
        </w:tabs>
        <w:spacing w:after="0" w:line="360" w:lineRule="auto"/>
        <w:jc w:val="both"/>
        <w:rPr>
          <w:rFonts w:ascii="Arial" w:hAnsi="Arial" w:cs="Arial"/>
          <w:bCs/>
        </w:rPr>
      </w:pPr>
      <w:r>
        <w:rPr>
          <w:rFonts w:ascii="Arial" w:hAnsi="Arial" w:cs="Arial"/>
          <w:bCs/>
        </w:rPr>
        <w:t>29</w:t>
      </w:r>
      <w:r w:rsidR="00073A90" w:rsidRPr="007F6AD7">
        <w:rPr>
          <w:rFonts w:ascii="Arial" w:hAnsi="Arial" w:cs="Arial"/>
          <w:bCs/>
        </w:rPr>
        <w:t>.</w:t>
      </w:r>
      <w:r w:rsidR="00000CBE" w:rsidRPr="007F6AD7">
        <w:rPr>
          <w:rFonts w:ascii="Arial" w:hAnsi="Arial" w:cs="Arial"/>
          <w:bCs/>
        </w:rPr>
        <w:t xml:space="preserve"> </w:t>
      </w:r>
      <w:r w:rsidR="000F426B">
        <w:rPr>
          <w:rFonts w:ascii="Arial" w:hAnsi="Arial" w:cs="Arial"/>
          <w:bCs/>
        </w:rPr>
        <w:t xml:space="preserve">  </w:t>
      </w:r>
      <w:r w:rsidR="00073A90" w:rsidRPr="007F6AD7">
        <w:rPr>
          <w:rFonts w:ascii="Arial" w:hAnsi="Arial" w:cs="Arial"/>
          <w:bCs/>
        </w:rPr>
        <w:t>Los asuntos divulgados son muy variados y complejos. Excepcionalmente tratan sobre conflictos relacionados con la niñez. Aunque sin confirmar</w:t>
      </w:r>
      <w:r w:rsidR="0058064B" w:rsidRPr="007F6AD7">
        <w:rPr>
          <w:rFonts w:ascii="Arial" w:hAnsi="Arial" w:cs="Arial"/>
          <w:bCs/>
        </w:rPr>
        <w:t xml:space="preserve"> por terceras partes</w:t>
      </w:r>
      <w:r w:rsidR="00073A90" w:rsidRPr="007F6AD7">
        <w:rPr>
          <w:rFonts w:ascii="Arial" w:hAnsi="Arial" w:cs="Arial"/>
          <w:bCs/>
        </w:rPr>
        <w:t xml:space="preserve">, </w:t>
      </w:r>
      <w:r w:rsidR="0058064B" w:rsidRPr="007F6AD7">
        <w:rPr>
          <w:rFonts w:ascii="Arial" w:hAnsi="Arial" w:cs="Arial"/>
          <w:bCs/>
        </w:rPr>
        <w:t xml:space="preserve">fuentes confiables y en condición de anonimato refieren, </w:t>
      </w:r>
      <w:r w:rsidR="00073A90" w:rsidRPr="007F6AD7">
        <w:rPr>
          <w:rFonts w:ascii="Arial" w:hAnsi="Arial" w:cs="Arial"/>
          <w:bCs/>
        </w:rPr>
        <w:t xml:space="preserve">que las cartas enviadas por los ciudadanos son elegidas y publicadas en base a criterios </w:t>
      </w:r>
      <w:r w:rsidR="0058064B" w:rsidRPr="007F6AD7">
        <w:rPr>
          <w:rFonts w:ascii="Arial" w:hAnsi="Arial" w:cs="Arial"/>
          <w:bCs/>
        </w:rPr>
        <w:t>definidos</w:t>
      </w:r>
      <w:r w:rsidR="00073A90" w:rsidRPr="007F6AD7">
        <w:rPr>
          <w:rFonts w:ascii="Arial" w:hAnsi="Arial" w:cs="Arial"/>
          <w:bCs/>
        </w:rPr>
        <w:t xml:space="preserve"> por el Gobierno. Los propios medios de prensa </w:t>
      </w:r>
      <w:r w:rsidR="00814495" w:rsidRPr="007F6AD7">
        <w:rPr>
          <w:rFonts w:ascii="Arial" w:hAnsi="Arial" w:cs="Arial"/>
          <w:bCs/>
        </w:rPr>
        <w:t>aceptan</w:t>
      </w:r>
      <w:r w:rsidR="00073A90" w:rsidRPr="007F6AD7">
        <w:rPr>
          <w:rFonts w:ascii="Arial" w:hAnsi="Arial" w:cs="Arial"/>
          <w:bCs/>
        </w:rPr>
        <w:t xml:space="preserve"> que la cantidad de casos recibidos en la </w:t>
      </w:r>
      <w:r w:rsidR="00081B66" w:rsidRPr="007F6AD7">
        <w:rPr>
          <w:rFonts w:ascii="Arial" w:hAnsi="Arial" w:cs="Arial"/>
          <w:bCs/>
        </w:rPr>
        <w:t>r</w:t>
      </w:r>
      <w:r w:rsidR="00073A90" w:rsidRPr="007F6AD7">
        <w:rPr>
          <w:rFonts w:ascii="Arial" w:hAnsi="Arial" w:cs="Arial"/>
          <w:bCs/>
        </w:rPr>
        <w:t>edacción de los periódicos, excede la real posibilidad de darle la visibilidad y solución que la mayoría de la población necesita.</w:t>
      </w:r>
      <w:r w:rsidR="00073A90" w:rsidRPr="007F6AD7">
        <w:rPr>
          <w:rStyle w:val="Refdenotaalpie"/>
          <w:rFonts w:ascii="Arial" w:hAnsi="Arial" w:cs="Arial"/>
          <w:bCs/>
        </w:rPr>
        <w:footnoteReference w:id="144"/>
      </w:r>
      <w:r w:rsidR="0053720D" w:rsidRPr="007F6AD7">
        <w:rPr>
          <w:rFonts w:ascii="Arial" w:hAnsi="Arial" w:cs="Arial"/>
          <w:bCs/>
        </w:rPr>
        <w:t xml:space="preserve"> </w:t>
      </w:r>
    </w:p>
    <w:p w14:paraId="2AC0CB17" w14:textId="2AFD1C6A" w:rsidR="00073A90" w:rsidRPr="007F6AD7" w:rsidRDefault="000531D7" w:rsidP="000F426B">
      <w:pPr>
        <w:tabs>
          <w:tab w:val="left" w:pos="567"/>
        </w:tabs>
        <w:spacing w:line="360" w:lineRule="auto"/>
        <w:jc w:val="both"/>
        <w:rPr>
          <w:rFonts w:ascii="Arial" w:hAnsi="Arial" w:cs="Arial"/>
          <w:bCs/>
        </w:rPr>
      </w:pPr>
      <w:r>
        <w:rPr>
          <w:rFonts w:ascii="Arial" w:hAnsi="Arial" w:cs="Arial"/>
        </w:rPr>
        <w:t>30</w:t>
      </w:r>
      <w:r w:rsidR="000F426B">
        <w:rPr>
          <w:rFonts w:ascii="Arial" w:hAnsi="Arial" w:cs="Arial"/>
        </w:rPr>
        <w:t>.  A</w:t>
      </w:r>
      <w:r w:rsidR="000F426B" w:rsidRPr="000F426B">
        <w:rPr>
          <w:rFonts w:ascii="Arial" w:hAnsi="Arial" w:cs="Arial"/>
        </w:rPr>
        <w:t xml:space="preserve"> fin de cuentas</w:t>
      </w:r>
      <w:r w:rsidR="00197CC3" w:rsidRPr="007F6AD7">
        <w:rPr>
          <w:rFonts w:ascii="Arial" w:hAnsi="Arial" w:cs="Arial"/>
        </w:rPr>
        <w:t xml:space="preserve">, </w:t>
      </w:r>
      <w:r w:rsidR="000F426B">
        <w:rPr>
          <w:rFonts w:ascii="Arial" w:hAnsi="Arial" w:cs="Arial"/>
        </w:rPr>
        <w:t xml:space="preserve">al </w:t>
      </w:r>
      <w:r w:rsidR="00073A90" w:rsidRPr="007F6AD7">
        <w:rPr>
          <w:rFonts w:ascii="Arial" w:hAnsi="Arial" w:cs="Arial"/>
          <w:lang w:eastAsia="es-MX"/>
        </w:rPr>
        <w:t xml:space="preserve">establecer en Cuba una institución nacional de derechos humanos independiente, de conformidad con los Principios de París, cuyo mandato incluya la promoción y la protección de los derechos consagrados en los tratados internacionales de los cuales Cuba forma parte, no solo perfeccionaría el arduo trabajo de la </w:t>
      </w:r>
      <w:r w:rsidR="00073A90" w:rsidRPr="007F6AD7">
        <w:rPr>
          <w:rFonts w:ascii="Arial" w:hAnsi="Arial" w:cs="Arial"/>
        </w:rPr>
        <w:t>Fiscalía General de la República</w:t>
      </w:r>
      <w:r w:rsidR="00073A90" w:rsidRPr="007F6AD7">
        <w:rPr>
          <w:rFonts w:ascii="Arial" w:hAnsi="Arial" w:cs="Arial"/>
          <w:lang w:eastAsia="es-MX"/>
        </w:rPr>
        <w:t xml:space="preserve">, sino haría   la actividad </w:t>
      </w:r>
      <w:r w:rsidR="00197CC3" w:rsidRPr="007F6AD7">
        <w:rPr>
          <w:rFonts w:ascii="Arial" w:hAnsi="Arial" w:cs="Arial"/>
          <w:lang w:eastAsia="es-MX"/>
        </w:rPr>
        <w:t>jurisdiccional</w:t>
      </w:r>
      <w:r w:rsidR="00073A90" w:rsidRPr="007F6AD7">
        <w:rPr>
          <w:rFonts w:ascii="Arial" w:hAnsi="Arial" w:cs="Arial"/>
          <w:lang w:eastAsia="es-MX"/>
        </w:rPr>
        <w:t xml:space="preserve"> en su conjunto más efectiva y garantista.</w:t>
      </w:r>
      <w:r w:rsidR="00266888" w:rsidRPr="007F6AD7">
        <w:rPr>
          <w:rFonts w:ascii="Arial" w:hAnsi="Arial" w:cs="Arial"/>
          <w:lang w:eastAsia="es-MX"/>
        </w:rPr>
        <w:t xml:space="preserve"> </w:t>
      </w:r>
      <w:r w:rsidR="00073A90" w:rsidRPr="007F6AD7">
        <w:rPr>
          <w:rFonts w:ascii="Arial" w:hAnsi="Arial" w:cs="Arial"/>
          <w:lang w:eastAsia="es-MX"/>
        </w:rPr>
        <w:t xml:space="preserve">Otra alternativa </w:t>
      </w:r>
      <w:r w:rsidR="00EB2CA1" w:rsidRPr="007F6AD7">
        <w:rPr>
          <w:rFonts w:ascii="Arial" w:hAnsi="Arial" w:cs="Arial"/>
          <w:lang w:eastAsia="es-MX"/>
        </w:rPr>
        <w:t>consistiría</w:t>
      </w:r>
      <w:r w:rsidR="00000CBE" w:rsidRPr="007F6AD7">
        <w:rPr>
          <w:rFonts w:ascii="Arial" w:hAnsi="Arial" w:cs="Arial"/>
          <w:lang w:eastAsia="es-MX"/>
        </w:rPr>
        <w:t xml:space="preserve"> en dar mayor protagonismo a</w:t>
      </w:r>
      <w:r w:rsidR="00814495" w:rsidRPr="007F6AD7">
        <w:rPr>
          <w:rFonts w:ascii="Arial" w:hAnsi="Arial" w:cs="Arial"/>
          <w:lang w:eastAsia="es-MX"/>
        </w:rPr>
        <w:t>l</w:t>
      </w:r>
      <w:r w:rsidR="00073A90" w:rsidRPr="007F6AD7">
        <w:rPr>
          <w:rFonts w:ascii="Arial" w:hAnsi="Arial" w:cs="Arial"/>
          <w:lang w:eastAsia="es-MX"/>
        </w:rPr>
        <w:t xml:space="preserve"> ciudadano</w:t>
      </w:r>
      <w:r w:rsidR="00000CBE" w:rsidRPr="007F6AD7">
        <w:rPr>
          <w:rFonts w:ascii="Arial" w:hAnsi="Arial" w:cs="Arial"/>
          <w:lang w:eastAsia="es-MX"/>
        </w:rPr>
        <w:t xml:space="preserve"> </w:t>
      </w:r>
      <w:r w:rsidR="00073A90" w:rsidRPr="007F6AD7">
        <w:rPr>
          <w:rFonts w:ascii="Arial" w:hAnsi="Arial" w:cs="Arial"/>
          <w:lang w:eastAsia="es-MX"/>
        </w:rPr>
        <w:t xml:space="preserve">común </w:t>
      </w:r>
      <w:r w:rsidR="005A5394" w:rsidRPr="007F6AD7">
        <w:rPr>
          <w:rFonts w:ascii="Arial" w:hAnsi="Arial" w:cs="Arial"/>
          <w:lang w:eastAsia="es-MX"/>
        </w:rPr>
        <w:t>mediante modificaciones</w:t>
      </w:r>
      <w:r w:rsidR="00000CBE" w:rsidRPr="007F6AD7">
        <w:rPr>
          <w:rFonts w:ascii="Arial" w:hAnsi="Arial" w:cs="Arial"/>
          <w:lang w:eastAsia="es-MX"/>
        </w:rPr>
        <w:t xml:space="preserve"> sustantivas a</w:t>
      </w:r>
      <w:r w:rsidR="00073A90" w:rsidRPr="007F6AD7">
        <w:rPr>
          <w:rFonts w:ascii="Arial" w:hAnsi="Arial" w:cs="Arial"/>
          <w:lang w:eastAsia="es-MX"/>
        </w:rPr>
        <w:t xml:space="preserve"> la Ley de Asociaciones</w:t>
      </w:r>
      <w:r w:rsidR="00073A90" w:rsidRPr="007F6AD7">
        <w:rPr>
          <w:rStyle w:val="Refdenotaalpie"/>
          <w:rFonts w:ascii="Arial" w:hAnsi="Arial" w:cs="Arial"/>
          <w:lang w:eastAsia="es-MX"/>
        </w:rPr>
        <w:footnoteReference w:id="145"/>
      </w:r>
      <w:r w:rsidR="00073A90" w:rsidRPr="007F6AD7">
        <w:rPr>
          <w:rFonts w:ascii="Arial" w:hAnsi="Arial" w:cs="Arial"/>
          <w:lang w:eastAsia="es-MX"/>
        </w:rPr>
        <w:t xml:space="preserve"> y </w:t>
      </w:r>
      <w:r w:rsidR="00073A90" w:rsidRPr="007F6AD7">
        <w:rPr>
          <w:rFonts w:ascii="Arial" w:hAnsi="Arial" w:cs="Arial"/>
          <w:lang w:eastAsia="es-MX"/>
        </w:rPr>
        <w:lastRenderedPageBreak/>
        <w:t xml:space="preserve">aceptar como </w:t>
      </w:r>
      <w:r w:rsidR="00CC60F0" w:rsidRPr="007F6AD7">
        <w:rPr>
          <w:rFonts w:ascii="Arial" w:hAnsi="Arial" w:cs="Arial"/>
          <w:lang w:eastAsia="es-MX"/>
        </w:rPr>
        <w:t>legítimas y necesarias</w:t>
      </w:r>
      <w:r w:rsidR="00073A90" w:rsidRPr="007F6AD7">
        <w:rPr>
          <w:rFonts w:ascii="Arial" w:hAnsi="Arial" w:cs="Arial"/>
          <w:lang w:eastAsia="es-MX"/>
        </w:rPr>
        <w:t xml:space="preserve"> las actividades de los defensores de derechos humanos,</w:t>
      </w:r>
      <w:r w:rsidR="006B33AB" w:rsidRPr="007F6AD7">
        <w:rPr>
          <w:rFonts w:ascii="Arial" w:hAnsi="Arial" w:cs="Arial"/>
          <w:lang w:eastAsia="es-MX"/>
        </w:rPr>
        <w:t xml:space="preserve"> </w:t>
      </w:r>
      <w:r w:rsidR="006B33AB" w:rsidRPr="007F6AD7">
        <w:rPr>
          <w:rStyle w:val="Refdenotaalpie"/>
          <w:rFonts w:ascii="Arial" w:hAnsi="Arial" w:cs="Arial"/>
          <w:lang w:eastAsia="es-MX"/>
        </w:rPr>
        <w:footnoteReference w:id="146"/>
      </w:r>
      <w:r w:rsidR="00927584" w:rsidRPr="007F6AD7">
        <w:rPr>
          <w:rFonts w:ascii="Arial" w:hAnsi="Arial" w:cs="Arial"/>
          <w:lang w:eastAsia="es-MX"/>
        </w:rPr>
        <w:t xml:space="preserve"> </w:t>
      </w:r>
      <w:r w:rsidR="006B33AB" w:rsidRPr="007F6AD7">
        <w:rPr>
          <w:rFonts w:ascii="Arial" w:hAnsi="Arial" w:cs="Arial"/>
          <w:vertAlign w:val="superscript"/>
          <w:lang w:eastAsia="es-MX"/>
        </w:rPr>
        <w:t>,</w:t>
      </w:r>
      <w:r w:rsidR="006B33AB" w:rsidRPr="007F6AD7">
        <w:rPr>
          <w:rFonts w:ascii="Arial" w:hAnsi="Arial" w:cs="Arial"/>
          <w:lang w:eastAsia="es-MX"/>
        </w:rPr>
        <w:t xml:space="preserve"> </w:t>
      </w:r>
      <w:r w:rsidR="00073A90" w:rsidRPr="007F6AD7">
        <w:rPr>
          <w:rStyle w:val="Refdenotaalpie"/>
          <w:rFonts w:ascii="Arial" w:hAnsi="Arial" w:cs="Arial"/>
          <w:lang w:eastAsia="es-MX"/>
        </w:rPr>
        <w:footnoteReference w:id="147"/>
      </w:r>
      <w:r w:rsidR="00073A90" w:rsidRPr="007F6AD7">
        <w:rPr>
          <w:rFonts w:ascii="Arial" w:hAnsi="Arial" w:cs="Arial"/>
          <w:lang w:eastAsia="es-MX"/>
        </w:rPr>
        <w:t xml:space="preserve"> en especial aquellos dedicados </w:t>
      </w:r>
      <w:r w:rsidR="00814495" w:rsidRPr="007F6AD7">
        <w:rPr>
          <w:rFonts w:ascii="Arial" w:hAnsi="Arial" w:cs="Arial"/>
          <w:lang w:eastAsia="es-MX"/>
        </w:rPr>
        <w:t>a la discriminación y otras formas conexas de intolerancia</w:t>
      </w:r>
      <w:r w:rsidR="00197CC3" w:rsidRPr="007F6AD7">
        <w:rPr>
          <w:rFonts w:ascii="Arial" w:hAnsi="Arial" w:cs="Arial"/>
          <w:lang w:eastAsia="es-MX"/>
        </w:rPr>
        <w:t>,</w:t>
      </w:r>
      <w:r w:rsidR="00607F9C" w:rsidRPr="007F6AD7">
        <w:rPr>
          <w:rStyle w:val="Refdenotaalpie"/>
          <w:rFonts w:ascii="Arial" w:hAnsi="Arial" w:cs="Arial"/>
          <w:lang w:eastAsia="es-MX"/>
        </w:rPr>
        <w:footnoteReference w:id="148"/>
      </w:r>
      <w:r w:rsidR="00607F9C" w:rsidRPr="007F6AD7">
        <w:rPr>
          <w:rFonts w:ascii="Arial" w:hAnsi="Arial" w:cs="Arial"/>
          <w:vertAlign w:val="superscript"/>
          <w:lang w:eastAsia="es-MX"/>
        </w:rPr>
        <w:t>,</w:t>
      </w:r>
      <w:r w:rsidR="00607F9C" w:rsidRPr="007F6AD7">
        <w:rPr>
          <w:rStyle w:val="Refdenotaalpie"/>
          <w:rFonts w:ascii="Arial" w:hAnsi="Arial" w:cs="Arial"/>
        </w:rPr>
        <w:t xml:space="preserve"> </w:t>
      </w:r>
      <w:r w:rsidR="00607F9C" w:rsidRPr="007F6AD7">
        <w:rPr>
          <w:rStyle w:val="Refdenotaalpie"/>
          <w:rFonts w:ascii="Arial" w:hAnsi="Arial" w:cs="Arial"/>
          <w:lang w:eastAsia="es-MX"/>
        </w:rPr>
        <w:footnoteReference w:id="149"/>
      </w:r>
      <w:r w:rsidR="00AE6AAC" w:rsidRPr="007F6AD7">
        <w:rPr>
          <w:rFonts w:ascii="Arial" w:hAnsi="Arial" w:cs="Arial"/>
          <w:lang w:eastAsia="es-MX"/>
        </w:rPr>
        <w:t xml:space="preserve">  </w:t>
      </w:r>
      <w:r w:rsidR="00CC60F0" w:rsidRPr="007F6AD7">
        <w:rPr>
          <w:rFonts w:ascii="Arial" w:hAnsi="Arial" w:cs="Arial"/>
          <w:lang w:eastAsia="es-MX"/>
        </w:rPr>
        <w:t>teniendo en cuenta</w:t>
      </w:r>
      <w:r w:rsidR="00073A90" w:rsidRPr="007F6AD7">
        <w:rPr>
          <w:rFonts w:ascii="Arial" w:hAnsi="Arial" w:cs="Arial"/>
          <w:lang w:eastAsia="es-MX"/>
        </w:rPr>
        <w:t xml:space="preserve"> las obligaciones asumidas por el Gobierno cubano mediante la ratificación de la Convención</w:t>
      </w:r>
      <w:r w:rsidR="00814495" w:rsidRPr="007F6AD7">
        <w:rPr>
          <w:rFonts w:ascii="Arial" w:hAnsi="Arial" w:cs="Arial"/>
          <w:lang w:eastAsia="es-MX"/>
        </w:rPr>
        <w:t xml:space="preserve"> ICERD</w:t>
      </w:r>
      <w:r w:rsidR="00073A90" w:rsidRPr="007F6AD7">
        <w:rPr>
          <w:rFonts w:ascii="Arial" w:hAnsi="Arial" w:cs="Arial"/>
          <w:lang w:eastAsia="es-MX"/>
        </w:rPr>
        <w:t xml:space="preserve">. </w:t>
      </w:r>
      <w:r w:rsidR="00073A90" w:rsidRPr="007F6AD7">
        <w:rPr>
          <w:rFonts w:ascii="Arial" w:hAnsi="Arial" w:cs="Arial"/>
          <w:b/>
          <w:lang w:eastAsia="es-MX"/>
        </w:rPr>
        <w:t>ACDEI ruega al Comité</w:t>
      </w:r>
      <w:r w:rsidR="00814495" w:rsidRPr="007F6AD7">
        <w:rPr>
          <w:rFonts w:ascii="Arial" w:hAnsi="Arial" w:cs="Arial"/>
          <w:b/>
          <w:lang w:eastAsia="es-MX"/>
        </w:rPr>
        <w:t xml:space="preserve"> </w:t>
      </w:r>
      <w:r w:rsidR="00EB2CA1" w:rsidRPr="007F6AD7">
        <w:rPr>
          <w:rFonts w:ascii="Arial" w:hAnsi="Arial" w:cs="Arial"/>
          <w:b/>
          <w:lang w:eastAsia="es-MX"/>
        </w:rPr>
        <w:t>CERD aliente</w:t>
      </w:r>
      <w:r w:rsidR="00073A90" w:rsidRPr="007F6AD7">
        <w:rPr>
          <w:rFonts w:ascii="Arial" w:hAnsi="Arial" w:cs="Arial"/>
          <w:b/>
          <w:lang w:eastAsia="es-MX"/>
        </w:rPr>
        <w:t xml:space="preserve"> al Estado parte a </w:t>
      </w:r>
      <w:r w:rsidR="0012002D" w:rsidRPr="007F6AD7">
        <w:rPr>
          <w:rFonts w:ascii="Arial" w:hAnsi="Arial" w:cs="Arial"/>
          <w:b/>
          <w:lang w:eastAsia="es-MX"/>
        </w:rPr>
        <w:t xml:space="preserve">proteger </w:t>
      </w:r>
      <w:r w:rsidR="00073A90" w:rsidRPr="007F6AD7">
        <w:rPr>
          <w:rFonts w:ascii="Arial" w:hAnsi="Arial" w:cs="Arial"/>
          <w:b/>
          <w:lang w:eastAsia="es-MX"/>
        </w:rPr>
        <w:t>a defensores de derechos humanos y reconocer como legitimas las actividades que realizan.</w:t>
      </w:r>
    </w:p>
    <w:p w14:paraId="22BA5879" w14:textId="0127E6D8" w:rsidR="00FA6904" w:rsidRPr="007F6AD7" w:rsidRDefault="00357ACC" w:rsidP="00715476">
      <w:pPr>
        <w:pStyle w:val="Ttulo1"/>
      </w:pPr>
      <w:bookmarkStart w:id="89" w:name="_Toc515359799"/>
      <w:r w:rsidRPr="007F6AD7">
        <w:t>C</w:t>
      </w:r>
      <w:r w:rsidR="00FA6904" w:rsidRPr="007F6AD7">
        <w:t xml:space="preserve">. Situación de las </w:t>
      </w:r>
      <w:r w:rsidR="00561EB1" w:rsidRPr="007F6AD7">
        <w:t>N</w:t>
      </w:r>
      <w:r w:rsidR="00FA6904" w:rsidRPr="007F6AD7">
        <w:t>orma</w:t>
      </w:r>
      <w:r w:rsidR="009B1367">
        <w:t>s</w:t>
      </w:r>
      <w:r w:rsidR="00FA6904" w:rsidRPr="007F6AD7">
        <w:t xml:space="preserve"> contra la </w:t>
      </w:r>
      <w:r w:rsidR="00561EB1" w:rsidRPr="007F6AD7">
        <w:t>D</w:t>
      </w:r>
      <w:r w:rsidR="00FA6904" w:rsidRPr="007F6AD7">
        <w:t>iscriminación en Cuba</w:t>
      </w:r>
      <w:bookmarkEnd w:id="89"/>
    </w:p>
    <w:p w14:paraId="5BD89C51" w14:textId="5AAEF509" w:rsidR="00940571" w:rsidRPr="007F6AD7" w:rsidRDefault="00667AC5" w:rsidP="00DA7CB5">
      <w:pPr>
        <w:pStyle w:val="Ttulo2"/>
      </w:pPr>
      <w:bookmarkStart w:id="90" w:name="_Toc515359800"/>
      <w:r w:rsidRPr="007F6AD7">
        <w:t>Restricciones</w:t>
      </w:r>
      <w:r w:rsidR="00940571" w:rsidRPr="007F6AD7">
        <w:t xml:space="preserve"> </w:t>
      </w:r>
      <w:r w:rsidRPr="007F6AD7">
        <w:t>al derecho</w:t>
      </w:r>
      <w:r w:rsidR="00940571" w:rsidRPr="007F6AD7">
        <w:t xml:space="preserve"> de igualdad</w:t>
      </w:r>
      <w:bookmarkEnd w:id="90"/>
    </w:p>
    <w:p w14:paraId="2CFED24F" w14:textId="1D2573C7" w:rsidR="000F426B" w:rsidRDefault="000F426B" w:rsidP="000F426B">
      <w:pPr>
        <w:spacing w:after="0" w:line="360" w:lineRule="auto"/>
        <w:jc w:val="both"/>
        <w:rPr>
          <w:rFonts w:ascii="Arial" w:hAnsi="Arial" w:cs="Arial"/>
          <w:vertAlign w:val="superscript"/>
          <w:lang w:eastAsia="es-MX"/>
        </w:rPr>
      </w:pPr>
      <w:r>
        <w:rPr>
          <w:rFonts w:ascii="Arial" w:hAnsi="Arial" w:cs="Arial"/>
        </w:rPr>
        <w:t xml:space="preserve">31.   </w:t>
      </w:r>
      <w:r w:rsidR="00444F60" w:rsidRPr="007F6AD7">
        <w:rPr>
          <w:rFonts w:ascii="Arial" w:hAnsi="Arial" w:cs="Arial"/>
        </w:rPr>
        <w:t xml:space="preserve"> La legislación contra la discriminación en el sistema legal cubano es reducida y no cubre todos los ámbitos regulados en la Convención ICERD.</w:t>
      </w:r>
      <w:r w:rsidR="00444F60" w:rsidRPr="007F6AD7">
        <w:rPr>
          <w:rStyle w:val="Refdenotaalpie"/>
          <w:rFonts w:ascii="Arial" w:hAnsi="Arial" w:cs="Arial"/>
        </w:rPr>
        <w:footnoteReference w:id="150"/>
      </w:r>
      <w:r w:rsidR="00444F60" w:rsidRPr="007F6AD7">
        <w:rPr>
          <w:rFonts w:ascii="Arial" w:hAnsi="Arial" w:cs="Arial"/>
        </w:rPr>
        <w:t xml:space="preserve"> El Artículo 295.1 del Código Penal protege contra la discriminación en el ejercicio de los derechos de igualdad establecidos en los Artículo 41 y 42 de la Constitución de la República de Cuba</w:t>
      </w:r>
      <w:r w:rsidR="00033BE7" w:rsidRPr="007F6AD7">
        <w:rPr>
          <w:rFonts w:ascii="Arial" w:hAnsi="Arial" w:cs="Arial"/>
        </w:rPr>
        <w:t>,</w:t>
      </w:r>
      <w:r w:rsidR="00444F60" w:rsidRPr="007F6AD7">
        <w:rPr>
          <w:rStyle w:val="Refdenotaalpie"/>
          <w:rFonts w:ascii="Arial" w:hAnsi="Arial" w:cs="Arial"/>
        </w:rPr>
        <w:footnoteReference w:id="151"/>
      </w:r>
      <w:r w:rsidR="00444F60" w:rsidRPr="007F6AD7">
        <w:rPr>
          <w:rFonts w:ascii="Arial" w:hAnsi="Arial" w:cs="Arial"/>
        </w:rPr>
        <w:t xml:space="preserve"> pero estos preceptos constitucionales son restrictivos al excluir como razón de discriminación a la opinión política, la libertad de expresión, la discapacidad y otras aplicables en contextos privados y </w:t>
      </w:r>
      <w:r w:rsidR="00DC2299" w:rsidRPr="007F6AD7">
        <w:rPr>
          <w:rFonts w:ascii="Arial" w:hAnsi="Arial" w:cs="Arial"/>
        </w:rPr>
        <w:t>públicos</w:t>
      </w:r>
      <w:r w:rsidR="00007106" w:rsidRPr="007F6AD7">
        <w:rPr>
          <w:rFonts w:ascii="Arial" w:hAnsi="Arial" w:cs="Arial"/>
          <w:lang w:eastAsia="es-MX"/>
        </w:rPr>
        <w:t>.</w:t>
      </w:r>
      <w:r w:rsidR="00033BE7" w:rsidRPr="007F6AD7">
        <w:rPr>
          <w:rStyle w:val="Refdenotaalpie"/>
          <w:rFonts w:ascii="Arial" w:hAnsi="Arial" w:cs="Arial"/>
          <w:lang w:eastAsia="es-MX"/>
        </w:rPr>
        <w:footnoteReference w:id="152"/>
      </w:r>
      <w:r w:rsidR="00CF3327" w:rsidRPr="007F6AD7">
        <w:rPr>
          <w:rFonts w:ascii="Arial" w:hAnsi="Arial" w:cs="Arial"/>
        </w:rPr>
        <w:t xml:space="preserve"> </w:t>
      </w:r>
      <w:r w:rsidR="00CF3327" w:rsidRPr="007F6AD7">
        <w:rPr>
          <w:rFonts w:ascii="Arial" w:hAnsi="Arial" w:cs="Arial"/>
          <w:lang w:eastAsia="es-MX"/>
        </w:rPr>
        <w:t xml:space="preserve">Otras derivaciones del principio de igualdad ante la ley, </w:t>
      </w:r>
      <w:r w:rsidR="007278FA" w:rsidRPr="007F6AD7">
        <w:rPr>
          <w:rFonts w:ascii="Arial" w:hAnsi="Arial" w:cs="Arial"/>
          <w:lang w:eastAsia="es-MX"/>
        </w:rPr>
        <w:t>está</w:t>
      </w:r>
      <w:r w:rsidR="00CF3327" w:rsidRPr="007F6AD7">
        <w:rPr>
          <w:rFonts w:ascii="Arial" w:hAnsi="Arial" w:cs="Arial"/>
          <w:lang w:eastAsia="es-MX"/>
        </w:rPr>
        <w:t xml:space="preserve"> en la proscripción de leyes privativas y de tribunales especiales. La </w:t>
      </w:r>
      <w:r w:rsidR="00BB77F1" w:rsidRPr="007F6AD7">
        <w:rPr>
          <w:rFonts w:ascii="Arial" w:hAnsi="Arial" w:cs="Arial"/>
          <w:lang w:eastAsia="es-MX"/>
        </w:rPr>
        <w:t>Constitución</w:t>
      </w:r>
      <w:r w:rsidR="00CF3327" w:rsidRPr="007F6AD7">
        <w:rPr>
          <w:rFonts w:ascii="Arial" w:hAnsi="Arial" w:cs="Arial"/>
          <w:lang w:eastAsia="es-MX"/>
        </w:rPr>
        <w:t xml:space="preserve"> cubana nada dice al respecto</w:t>
      </w:r>
      <w:r w:rsidR="00BB77F1" w:rsidRPr="007F6AD7">
        <w:rPr>
          <w:rFonts w:ascii="Arial" w:hAnsi="Arial" w:cs="Arial"/>
          <w:lang w:eastAsia="es-MX"/>
        </w:rPr>
        <w:t>.</w:t>
      </w:r>
      <w:r>
        <w:rPr>
          <w:rStyle w:val="Refdenotaalpie"/>
          <w:rFonts w:ascii="Arial" w:hAnsi="Arial"/>
          <w:lang w:eastAsia="es-MX"/>
        </w:rPr>
        <w:footnoteReference w:id="153"/>
      </w:r>
      <w:r>
        <w:rPr>
          <w:rFonts w:ascii="Arial" w:hAnsi="Arial" w:cs="Arial"/>
          <w:vertAlign w:val="superscript"/>
          <w:lang w:eastAsia="es-MX"/>
        </w:rPr>
        <w:t xml:space="preserve"> </w:t>
      </w:r>
    </w:p>
    <w:p w14:paraId="166343BC" w14:textId="7A9489B2" w:rsidR="00C36F3C" w:rsidRPr="009D5903" w:rsidRDefault="009D5903" w:rsidP="009D5903">
      <w:pPr>
        <w:tabs>
          <w:tab w:val="left" w:pos="567"/>
        </w:tabs>
        <w:spacing w:after="0" w:line="360" w:lineRule="auto"/>
        <w:jc w:val="both"/>
        <w:rPr>
          <w:rFonts w:ascii="Times New Roman" w:eastAsia="STKaiti" w:hAnsi="Times New Roman"/>
          <w:sz w:val="24"/>
          <w:szCs w:val="24"/>
          <w:lang w:eastAsia="es-ES"/>
        </w:rPr>
      </w:pPr>
      <w:r>
        <w:rPr>
          <w:rFonts w:ascii="Arial" w:hAnsi="Arial" w:cs="Arial"/>
        </w:rPr>
        <w:lastRenderedPageBreak/>
        <w:t xml:space="preserve">32.  </w:t>
      </w:r>
      <w:r w:rsidR="00BD624E" w:rsidRPr="007F6AD7">
        <w:rPr>
          <w:rFonts w:ascii="Arial" w:hAnsi="Arial" w:cs="Arial"/>
        </w:rPr>
        <w:t xml:space="preserve">Tampoco </w:t>
      </w:r>
      <w:r w:rsidR="00022404" w:rsidRPr="007F6AD7">
        <w:rPr>
          <w:rFonts w:ascii="Arial" w:hAnsi="Arial" w:cs="Arial"/>
        </w:rPr>
        <w:t>queda debidamente regulado</w:t>
      </w:r>
      <w:r w:rsidR="00BD624E" w:rsidRPr="007F6AD7">
        <w:rPr>
          <w:rFonts w:ascii="Arial" w:hAnsi="Arial" w:cs="Arial"/>
        </w:rPr>
        <w:t xml:space="preserve"> el procedimiento político y penal </w:t>
      </w:r>
      <w:r w:rsidR="007278FA" w:rsidRPr="007F6AD7">
        <w:rPr>
          <w:rFonts w:ascii="Arial" w:hAnsi="Arial" w:cs="Arial"/>
        </w:rPr>
        <w:t>ante</w:t>
      </w:r>
      <w:r w:rsidR="00BD624E" w:rsidRPr="007F6AD7">
        <w:rPr>
          <w:rFonts w:ascii="Arial" w:hAnsi="Arial" w:cs="Arial"/>
        </w:rPr>
        <w:t xml:space="preserve"> la exigencia de responsabilidad penal en contra de nacionales inmunes e impunes.</w:t>
      </w:r>
      <w:r w:rsidR="00BD624E" w:rsidRPr="007F6AD7">
        <w:rPr>
          <w:rStyle w:val="Refdenotaalpie"/>
          <w:rFonts w:ascii="Arial" w:hAnsi="Arial" w:cs="Arial"/>
          <w:lang w:eastAsia="es-MX"/>
        </w:rPr>
        <w:footnoteReference w:id="154"/>
      </w:r>
      <w:r w:rsidR="00022404" w:rsidRPr="007F6AD7">
        <w:rPr>
          <w:rFonts w:ascii="Arial" w:hAnsi="Arial" w:cs="Arial"/>
          <w:vertAlign w:val="superscript"/>
          <w:lang w:eastAsia="es-MX"/>
        </w:rPr>
        <w:t xml:space="preserve">, </w:t>
      </w:r>
      <w:r w:rsidR="00022404" w:rsidRPr="007F6AD7">
        <w:rPr>
          <w:rStyle w:val="Refdenotaalpie"/>
          <w:rFonts w:ascii="Arial" w:hAnsi="Arial" w:cs="Arial"/>
          <w:lang w:eastAsia="es-MX"/>
        </w:rPr>
        <w:footnoteReference w:id="155"/>
      </w:r>
      <w:r w:rsidR="00C64339">
        <w:rPr>
          <w:rFonts w:ascii="Arial" w:hAnsi="Arial" w:cs="Arial"/>
          <w:vertAlign w:val="superscript"/>
          <w:lang w:eastAsia="es-MX"/>
        </w:rPr>
        <w:t xml:space="preserve"> </w:t>
      </w:r>
      <w:r w:rsidR="00007106" w:rsidRPr="007F6AD7">
        <w:rPr>
          <w:rFonts w:ascii="Arial" w:hAnsi="Arial" w:cs="Arial"/>
          <w:lang w:eastAsia="es-MX"/>
        </w:rPr>
        <w:t xml:space="preserve"> </w:t>
      </w:r>
      <w:r w:rsidR="002A3656" w:rsidRPr="007F6AD7">
        <w:rPr>
          <w:rFonts w:ascii="Arial" w:hAnsi="Arial" w:cs="Arial"/>
          <w:lang w:eastAsia="es-MX"/>
        </w:rPr>
        <w:t xml:space="preserve">La finalidad de la legislación contra la discriminación es ofrecer a todas las personas posibilidades equitativas y justas de acceder a las oportunidades sociales. </w:t>
      </w:r>
      <w:r w:rsidR="007B596A" w:rsidRPr="007F6AD7">
        <w:rPr>
          <w:rFonts w:ascii="Arial" w:hAnsi="Arial" w:cs="Arial"/>
          <w:lang w:eastAsia="es-MX"/>
        </w:rPr>
        <w:t>Las disposiciones constitucionales relativas a la igualdad y otras norm</w:t>
      </w:r>
      <w:r w:rsidR="0096102E" w:rsidRPr="007F6AD7">
        <w:rPr>
          <w:rFonts w:ascii="Arial" w:hAnsi="Arial" w:cs="Arial"/>
          <w:lang w:eastAsia="es-MX"/>
        </w:rPr>
        <w:t xml:space="preserve">ativas </w:t>
      </w:r>
      <w:r w:rsidR="007B596A" w:rsidRPr="007F6AD7">
        <w:rPr>
          <w:rFonts w:ascii="Arial" w:hAnsi="Arial" w:cs="Arial"/>
          <w:lang w:eastAsia="es-MX"/>
        </w:rPr>
        <w:t>carecen de sentido a menos que existieran medidas legislativas para aplicar las mencionadas normas.</w:t>
      </w:r>
      <w:r w:rsidR="007B596A" w:rsidRPr="007F6AD7">
        <w:rPr>
          <w:rFonts w:ascii="Arial" w:hAnsi="Arial" w:cs="Arial"/>
          <w:vertAlign w:val="superscript"/>
          <w:lang w:eastAsia="es-MX"/>
        </w:rPr>
        <w:footnoteReference w:id="156"/>
      </w:r>
      <w:r w:rsidR="000836A7" w:rsidRPr="007F6AD7">
        <w:rPr>
          <w:rFonts w:ascii="Arial" w:hAnsi="Arial" w:cs="Arial"/>
        </w:rPr>
        <w:t xml:space="preserve"> </w:t>
      </w:r>
      <w:r w:rsidR="00CC60F0" w:rsidRPr="007F6AD7">
        <w:rPr>
          <w:rFonts w:ascii="Arial" w:hAnsi="Arial" w:cs="Arial"/>
          <w:b/>
          <w:lang w:eastAsia="es-MX"/>
        </w:rPr>
        <w:t>ACDEI</w:t>
      </w:r>
      <w:r w:rsidR="00CC60F0" w:rsidRPr="007F6AD7">
        <w:rPr>
          <w:rFonts w:ascii="Arial" w:hAnsi="Arial" w:cs="Arial"/>
          <w:b/>
        </w:rPr>
        <w:t xml:space="preserve"> </w:t>
      </w:r>
      <w:r w:rsidR="00C12397" w:rsidRPr="007F6AD7">
        <w:rPr>
          <w:rFonts w:ascii="Arial" w:hAnsi="Arial" w:cs="Arial"/>
          <w:b/>
        </w:rPr>
        <w:t>p</w:t>
      </w:r>
      <w:r w:rsidR="00C12397">
        <w:rPr>
          <w:rFonts w:ascii="Arial" w:hAnsi="Arial" w:cs="Arial"/>
          <w:b/>
        </w:rPr>
        <w:t>ide</w:t>
      </w:r>
      <w:r w:rsidR="00C12397" w:rsidRPr="007F6AD7">
        <w:rPr>
          <w:rFonts w:ascii="Arial" w:hAnsi="Arial" w:cs="Arial"/>
          <w:b/>
        </w:rPr>
        <w:t xml:space="preserve"> </w:t>
      </w:r>
      <w:r w:rsidR="00CC60F0" w:rsidRPr="007F6AD7">
        <w:rPr>
          <w:rFonts w:ascii="Arial" w:hAnsi="Arial" w:cs="Arial"/>
          <w:b/>
        </w:rPr>
        <w:t xml:space="preserve">al Comité CERD </w:t>
      </w:r>
      <w:r w:rsidR="00C12397" w:rsidRPr="007F6AD7">
        <w:rPr>
          <w:rFonts w:ascii="Arial" w:hAnsi="Arial" w:cs="Arial"/>
          <w:b/>
        </w:rPr>
        <w:t>insta</w:t>
      </w:r>
      <w:r w:rsidR="00C12397">
        <w:rPr>
          <w:rFonts w:ascii="Arial" w:hAnsi="Arial" w:cs="Arial"/>
          <w:b/>
        </w:rPr>
        <w:t>r</w:t>
      </w:r>
      <w:r w:rsidR="00C12397" w:rsidRPr="007F6AD7">
        <w:rPr>
          <w:rFonts w:ascii="Arial" w:hAnsi="Arial" w:cs="Arial"/>
          <w:b/>
        </w:rPr>
        <w:t xml:space="preserve"> </w:t>
      </w:r>
      <w:r w:rsidR="00CC60F0" w:rsidRPr="007F6AD7">
        <w:rPr>
          <w:rFonts w:ascii="Arial" w:hAnsi="Arial" w:cs="Arial"/>
          <w:b/>
        </w:rPr>
        <w:t xml:space="preserve">al Gobierno cubano ratificar el Pacto Internacional de Derechos Económicos, Sociales y Culturales y el Pacto Internacional de Derechos Civiles y Políticos, así como de acceder a los Protocolos Facultativos </w:t>
      </w:r>
      <w:r w:rsidR="00295BC5" w:rsidRPr="007F6AD7">
        <w:rPr>
          <w:rFonts w:ascii="Arial" w:hAnsi="Arial" w:cs="Arial"/>
          <w:b/>
        </w:rPr>
        <w:t>correspondientes</w:t>
      </w:r>
      <w:r w:rsidR="00CC60F0" w:rsidRPr="007F6AD7">
        <w:rPr>
          <w:rFonts w:ascii="Arial" w:hAnsi="Arial" w:cs="Arial"/>
          <w:b/>
        </w:rPr>
        <w:t>.</w:t>
      </w:r>
    </w:p>
    <w:p w14:paraId="2BB4553D" w14:textId="77777777" w:rsidR="00266888" w:rsidRPr="007F6AD7" w:rsidRDefault="008879FB" w:rsidP="00DA7CB5">
      <w:pPr>
        <w:pStyle w:val="Ttulo2"/>
      </w:pPr>
      <w:bookmarkStart w:id="91" w:name="_Toc515359801"/>
      <w:r w:rsidRPr="007F6AD7">
        <w:lastRenderedPageBreak/>
        <w:t>Acceso a la justicia</w:t>
      </w:r>
      <w:bookmarkEnd w:id="91"/>
    </w:p>
    <w:p w14:paraId="24EF3B31" w14:textId="5F561AAE" w:rsidR="00C64339" w:rsidRPr="00257FEE" w:rsidRDefault="009D5903" w:rsidP="009D5903">
      <w:pPr>
        <w:spacing w:after="0" w:line="360" w:lineRule="auto"/>
        <w:jc w:val="both"/>
        <w:rPr>
          <w:rFonts w:ascii="Arial" w:hAnsi="Arial" w:cs="Arial"/>
        </w:rPr>
      </w:pPr>
      <w:r>
        <w:rPr>
          <w:rFonts w:ascii="Arial" w:hAnsi="Arial" w:cs="Arial"/>
        </w:rPr>
        <w:t xml:space="preserve">33.   </w:t>
      </w:r>
      <w:r w:rsidR="00C558E0" w:rsidRPr="007F6AD7">
        <w:rPr>
          <w:rFonts w:ascii="Arial" w:hAnsi="Arial" w:cs="Arial"/>
        </w:rPr>
        <w:t xml:space="preserve">En Cuba, </w:t>
      </w:r>
      <w:r w:rsidR="007151CF" w:rsidRPr="007F6AD7">
        <w:rPr>
          <w:rFonts w:ascii="Arial" w:hAnsi="Arial" w:cs="Arial"/>
        </w:rPr>
        <w:t xml:space="preserve">la norma jus cogens, </w:t>
      </w:r>
      <w:r w:rsidR="00C558E0" w:rsidRPr="007F6AD7">
        <w:rPr>
          <w:rFonts w:ascii="Arial" w:hAnsi="Arial" w:cs="Arial"/>
        </w:rPr>
        <w:t>acceso a la justicia</w:t>
      </w:r>
      <w:r w:rsidR="007151CF" w:rsidRPr="007F6AD7">
        <w:rPr>
          <w:rFonts w:ascii="Arial" w:hAnsi="Arial" w:cs="Arial"/>
        </w:rPr>
        <w:t xml:space="preserve"> </w:t>
      </w:r>
      <w:r w:rsidR="00C558E0" w:rsidRPr="007F6AD7">
        <w:rPr>
          <w:rFonts w:ascii="Arial" w:hAnsi="Arial" w:cs="Arial"/>
        </w:rPr>
        <w:t>no es un derecho constitucional.</w:t>
      </w:r>
      <w:r w:rsidR="00085E61">
        <w:rPr>
          <w:rFonts w:ascii="Arial" w:hAnsi="Arial" w:cs="Arial"/>
        </w:rPr>
        <w:t xml:space="preserve"> </w:t>
      </w:r>
      <w:r w:rsidR="00085E61">
        <w:rPr>
          <w:rStyle w:val="Refdenotaalpie"/>
          <w:rFonts w:ascii="Arial" w:hAnsi="Arial" w:cs="Arial"/>
        </w:rPr>
        <w:footnoteReference w:id="157"/>
      </w:r>
      <w:r w:rsidR="00085E61" w:rsidRPr="00085E61">
        <w:rPr>
          <w:rFonts w:ascii="Arial" w:hAnsi="Arial" w:cs="Arial"/>
          <w:vertAlign w:val="superscript"/>
        </w:rPr>
        <w:t>,</w:t>
      </w:r>
      <w:r w:rsidR="00085E61">
        <w:rPr>
          <w:rFonts w:ascii="Arial" w:hAnsi="Arial" w:cs="Arial"/>
        </w:rPr>
        <w:t xml:space="preserve">  </w:t>
      </w:r>
      <w:r w:rsidR="00C558E0" w:rsidRPr="007F6AD7">
        <w:rPr>
          <w:rStyle w:val="Refdenotaalpie"/>
          <w:rFonts w:ascii="Arial" w:hAnsi="Arial" w:cs="Arial"/>
        </w:rPr>
        <w:footnoteReference w:id="158"/>
      </w:r>
      <w:r w:rsidR="00C558E0" w:rsidRPr="007F6AD7">
        <w:rPr>
          <w:rFonts w:ascii="Arial" w:hAnsi="Arial" w:cs="Arial"/>
          <w:vertAlign w:val="superscript"/>
        </w:rPr>
        <w:t xml:space="preserve">,  </w:t>
      </w:r>
      <w:r w:rsidR="00C558E0" w:rsidRPr="007F6AD7">
        <w:rPr>
          <w:rStyle w:val="Refdenotaalpie"/>
          <w:rFonts w:ascii="Arial" w:hAnsi="Arial" w:cs="Arial"/>
        </w:rPr>
        <w:footnoteReference w:id="159"/>
      </w:r>
      <w:r w:rsidR="00C558E0" w:rsidRPr="007F6AD7">
        <w:rPr>
          <w:rFonts w:ascii="Arial" w:hAnsi="Arial" w:cs="Arial"/>
        </w:rPr>
        <w:t xml:space="preserve">  </w:t>
      </w:r>
      <w:r w:rsidR="008879FB" w:rsidRPr="007F6AD7">
        <w:rPr>
          <w:rFonts w:ascii="Arial" w:hAnsi="Arial" w:cs="Arial"/>
        </w:rPr>
        <w:t xml:space="preserve">La mayoría de los ciudadanos cubanos no está familiarizada con la Administración Pública </w:t>
      </w:r>
      <w:r w:rsidR="008879FB" w:rsidRPr="007F6AD7">
        <w:rPr>
          <w:rStyle w:val="Refdenotaalpie"/>
          <w:rFonts w:ascii="Arial" w:hAnsi="Arial" w:cs="Arial"/>
        </w:rPr>
        <w:footnoteReference w:id="160"/>
      </w:r>
      <w:r w:rsidR="008879FB" w:rsidRPr="007F6AD7">
        <w:rPr>
          <w:rFonts w:ascii="Arial" w:hAnsi="Arial" w:cs="Arial"/>
          <w:vertAlign w:val="superscript"/>
        </w:rPr>
        <w:t xml:space="preserve">,  </w:t>
      </w:r>
      <w:r w:rsidR="00FA7A03" w:rsidRPr="007F6AD7">
        <w:rPr>
          <w:rFonts w:ascii="Arial" w:hAnsi="Arial" w:cs="Arial"/>
          <w:vertAlign w:val="superscript"/>
        </w:rPr>
        <w:t xml:space="preserve"> </w:t>
      </w:r>
      <w:r w:rsidR="008879FB" w:rsidRPr="007F6AD7">
        <w:rPr>
          <w:rStyle w:val="Refdenotaalpie"/>
          <w:rFonts w:ascii="Arial" w:hAnsi="Arial" w:cs="Arial"/>
        </w:rPr>
        <w:footnoteReference w:id="161"/>
      </w:r>
      <w:r w:rsidR="008879FB" w:rsidRPr="007F6AD7">
        <w:rPr>
          <w:rFonts w:ascii="Arial" w:hAnsi="Arial" w:cs="Arial"/>
          <w:vertAlign w:val="superscript"/>
        </w:rPr>
        <w:t xml:space="preserve">,  </w:t>
      </w:r>
      <w:r w:rsidR="008879FB" w:rsidRPr="007F6AD7">
        <w:rPr>
          <w:rStyle w:val="Refdenotaalpie"/>
          <w:rFonts w:ascii="Arial" w:hAnsi="Arial" w:cs="Arial"/>
        </w:rPr>
        <w:footnoteReference w:id="162"/>
      </w:r>
      <w:r w:rsidR="008879FB" w:rsidRPr="007F6AD7">
        <w:rPr>
          <w:rFonts w:ascii="Arial" w:hAnsi="Arial" w:cs="Arial"/>
          <w:vertAlign w:val="superscript"/>
        </w:rPr>
        <w:t xml:space="preserve"> </w:t>
      </w:r>
      <w:r w:rsidR="008879FB" w:rsidRPr="007F6AD7">
        <w:rPr>
          <w:rFonts w:ascii="Arial" w:hAnsi="Arial" w:cs="Arial"/>
        </w:rPr>
        <w:t>y el sistema judicial prevalente en el país,</w:t>
      </w:r>
      <w:r w:rsidR="008879FB" w:rsidRPr="007F6AD7">
        <w:rPr>
          <w:rStyle w:val="Refdenotaalpie"/>
          <w:rFonts w:ascii="Arial" w:hAnsi="Arial" w:cs="Arial"/>
        </w:rPr>
        <w:footnoteReference w:id="163"/>
      </w:r>
      <w:r w:rsidR="008879FB" w:rsidRPr="007F6AD7">
        <w:rPr>
          <w:rFonts w:ascii="Arial" w:hAnsi="Arial" w:cs="Arial"/>
        </w:rPr>
        <w:t xml:space="preserve"> ni con las diligencias que debe asumir para realizar determinada acción legal, ya sea civil, criminal, administrativa o relacionada con la familia. Esta</w:t>
      </w:r>
      <w:r w:rsidR="00304C87">
        <w:rPr>
          <w:rFonts w:ascii="Arial" w:hAnsi="Arial" w:cs="Arial"/>
        </w:rPr>
        <w:t xml:space="preserve"> </w:t>
      </w:r>
      <w:r w:rsidR="008879FB" w:rsidRPr="007F6AD7">
        <w:rPr>
          <w:rFonts w:ascii="Arial" w:hAnsi="Arial" w:cs="Arial"/>
        </w:rPr>
        <w:t xml:space="preserve">situación empeora cuando el ciudadano trata de defender sus derechos civiles y </w:t>
      </w:r>
      <w:r w:rsidR="007151CF" w:rsidRPr="007F6AD7">
        <w:rPr>
          <w:rFonts w:ascii="Arial" w:hAnsi="Arial" w:cs="Arial"/>
        </w:rPr>
        <w:t>políticos y</w:t>
      </w:r>
      <w:r w:rsidR="008879FB" w:rsidRPr="007F6AD7">
        <w:rPr>
          <w:rFonts w:ascii="Arial" w:hAnsi="Arial" w:cs="Arial"/>
        </w:rPr>
        <w:t xml:space="preserve"> busca el reconocimiento como víctima</w:t>
      </w:r>
      <w:r w:rsidR="00D836A9">
        <w:rPr>
          <w:rFonts w:ascii="Arial" w:hAnsi="Arial" w:cs="Arial"/>
        </w:rPr>
        <w:t>.</w:t>
      </w:r>
      <w:r w:rsidR="00C64339">
        <w:rPr>
          <w:rFonts w:ascii="Arial" w:hAnsi="Arial" w:cs="Arial"/>
          <w:vertAlign w:val="superscript"/>
        </w:rPr>
        <w:t xml:space="preserve">  </w:t>
      </w:r>
      <w:r w:rsidR="00C64339">
        <w:rPr>
          <w:rFonts w:ascii="Arial" w:hAnsi="Arial" w:cs="Arial"/>
          <w:vertAlign w:val="superscript"/>
        </w:rPr>
        <w:footnoteReference w:id="164"/>
      </w:r>
      <w:r w:rsidR="00C64339">
        <w:rPr>
          <w:rFonts w:ascii="Arial" w:hAnsi="Arial" w:cs="Arial"/>
          <w:vertAlign w:val="superscript"/>
        </w:rPr>
        <w:t xml:space="preserve">   </w:t>
      </w:r>
    </w:p>
    <w:p w14:paraId="10609A74" w14:textId="77777777" w:rsidR="00D836A9" w:rsidRDefault="00D836A9" w:rsidP="00D836A9">
      <w:pPr>
        <w:pStyle w:val="Sinespaciado"/>
        <w:tabs>
          <w:tab w:val="left" w:pos="567"/>
        </w:tabs>
        <w:spacing w:after="0" w:afterAutospacing="0" w:line="360" w:lineRule="auto"/>
        <w:ind w:left="0" w:firstLine="0"/>
        <w:jc w:val="both"/>
        <w:rPr>
          <w:rFonts w:ascii="Arial" w:hAnsi="Arial" w:cs="Arial"/>
        </w:rPr>
      </w:pPr>
      <w:r>
        <w:rPr>
          <w:rFonts w:ascii="Arial" w:hAnsi="Arial" w:cs="Arial"/>
        </w:rPr>
        <w:lastRenderedPageBreak/>
        <w:t xml:space="preserve">34.   </w:t>
      </w:r>
      <w:r w:rsidR="0084729D" w:rsidRPr="007F6AD7">
        <w:rPr>
          <w:rFonts w:ascii="Arial" w:hAnsi="Arial" w:cs="Arial"/>
        </w:rPr>
        <w:t>La</w:t>
      </w:r>
      <w:r w:rsidR="0082610F" w:rsidRPr="007F6AD7">
        <w:rPr>
          <w:rFonts w:ascii="Arial" w:hAnsi="Arial" w:cs="Arial"/>
        </w:rPr>
        <w:t xml:space="preserve"> Ley No. 4 de 1977 de la Organización del Sistema Judicial, estableció esencialmente en el artículo 145 el cese del ejercicio privado,</w:t>
      </w:r>
      <w:r w:rsidR="0084729D" w:rsidRPr="007F6AD7">
        <w:rPr>
          <w:rFonts w:ascii="Arial" w:hAnsi="Arial" w:cs="Arial"/>
        </w:rPr>
        <w:t xml:space="preserve"> </w:t>
      </w:r>
      <w:r w:rsidR="0082610F" w:rsidRPr="007F6AD7">
        <w:rPr>
          <w:rFonts w:ascii="Arial" w:hAnsi="Arial" w:cs="Arial"/>
        </w:rPr>
        <w:t>al circunscribir el ejercicio de la abogacía solo formando parte de la organización de Bufetes Colectivos, de los órganos, organismos y empresas del</w:t>
      </w:r>
      <w:r w:rsidR="00266888" w:rsidRPr="007F6AD7">
        <w:rPr>
          <w:rFonts w:ascii="Arial" w:hAnsi="Arial" w:cs="Arial"/>
        </w:rPr>
        <w:t xml:space="preserve"> </w:t>
      </w:r>
      <w:r w:rsidR="00AA5F93" w:rsidRPr="007F6AD7">
        <w:rPr>
          <w:rFonts w:ascii="Arial" w:hAnsi="Arial" w:cs="Arial"/>
        </w:rPr>
        <w:t>E</w:t>
      </w:r>
      <w:r w:rsidR="00266888" w:rsidRPr="007F6AD7">
        <w:rPr>
          <w:rFonts w:ascii="Arial" w:hAnsi="Arial" w:cs="Arial"/>
        </w:rPr>
        <w:t>st</w:t>
      </w:r>
      <w:r w:rsidR="0082610F" w:rsidRPr="007F6AD7">
        <w:rPr>
          <w:rFonts w:ascii="Arial" w:hAnsi="Arial" w:cs="Arial"/>
        </w:rPr>
        <w:t>ado</w:t>
      </w:r>
      <w:r w:rsidR="00AA5F93" w:rsidRPr="007F6AD7">
        <w:rPr>
          <w:rFonts w:ascii="Arial" w:hAnsi="Arial" w:cs="Arial"/>
        </w:rPr>
        <w:t xml:space="preserve"> cubano</w:t>
      </w:r>
      <w:r w:rsidR="0082610F" w:rsidRPr="007F6AD7">
        <w:rPr>
          <w:rFonts w:ascii="Arial" w:hAnsi="Arial" w:cs="Arial"/>
        </w:rPr>
        <w:t xml:space="preserve">, y de organizaciones sociales y de masas dirigidas por </w:t>
      </w:r>
      <w:r w:rsidR="00AA5F93" w:rsidRPr="007F6AD7">
        <w:rPr>
          <w:rFonts w:ascii="Arial" w:hAnsi="Arial" w:cs="Arial"/>
        </w:rPr>
        <w:t>é</w:t>
      </w:r>
      <w:r w:rsidR="0082610F" w:rsidRPr="007F6AD7">
        <w:rPr>
          <w:rFonts w:ascii="Arial" w:hAnsi="Arial" w:cs="Arial"/>
        </w:rPr>
        <w:t>l.</w:t>
      </w:r>
      <w:r w:rsidR="00266888" w:rsidRPr="007F6AD7">
        <w:rPr>
          <w:rFonts w:ascii="Arial" w:hAnsi="Arial" w:cs="Arial"/>
        </w:rPr>
        <w:t xml:space="preserve"> </w:t>
      </w:r>
      <w:r w:rsidR="001E3B4D" w:rsidRPr="007F6AD7">
        <w:rPr>
          <w:rFonts w:ascii="Arial" w:hAnsi="Arial" w:cs="Arial"/>
        </w:rPr>
        <w:t>P</w:t>
      </w:r>
      <w:r w:rsidR="000624E1" w:rsidRPr="007F6AD7">
        <w:rPr>
          <w:rFonts w:ascii="Arial" w:hAnsi="Arial" w:cs="Arial"/>
        </w:rPr>
        <w:t xml:space="preserve">or lo general, </w:t>
      </w:r>
      <w:r w:rsidR="001E3B4D" w:rsidRPr="007F6AD7">
        <w:rPr>
          <w:rFonts w:ascii="Arial" w:hAnsi="Arial" w:cs="Arial"/>
        </w:rPr>
        <w:t xml:space="preserve">los abogados que pertenezcan a un bufete colectivo </w:t>
      </w:r>
      <w:r w:rsidR="000624E1" w:rsidRPr="007F6AD7">
        <w:rPr>
          <w:rFonts w:ascii="Arial" w:hAnsi="Arial" w:cs="Arial"/>
        </w:rPr>
        <w:t>prefieren evitar casos delicados en los que esté involucrada la Seguridad del Estado.</w:t>
      </w:r>
      <w:r w:rsidR="000624E1" w:rsidRPr="007F6AD7">
        <w:rPr>
          <w:rStyle w:val="Refdenotaalpie"/>
          <w:rFonts w:ascii="Arial" w:hAnsi="Arial" w:cs="Arial"/>
        </w:rPr>
        <w:footnoteReference w:id="165"/>
      </w:r>
      <w:r w:rsidR="00FA7A03" w:rsidRPr="007F6AD7">
        <w:rPr>
          <w:rFonts w:ascii="Arial" w:hAnsi="Arial" w:cs="Arial"/>
        </w:rPr>
        <w:t xml:space="preserve"> </w:t>
      </w:r>
      <w:r w:rsidR="001E3B4D" w:rsidRPr="007F6AD7">
        <w:rPr>
          <w:rFonts w:ascii="Arial" w:hAnsi="Arial" w:cs="Arial"/>
        </w:rPr>
        <w:t>Los Bufetes</w:t>
      </w:r>
      <w:r w:rsidR="002F51EE" w:rsidRPr="007F6AD7">
        <w:rPr>
          <w:rFonts w:ascii="Arial" w:hAnsi="Arial" w:cs="Arial"/>
        </w:rPr>
        <w:t xml:space="preserve"> Colectivos (BC) son </w:t>
      </w:r>
      <w:r w:rsidR="001E3B4D" w:rsidRPr="007F6AD7">
        <w:rPr>
          <w:rFonts w:ascii="Arial" w:hAnsi="Arial" w:cs="Arial"/>
        </w:rPr>
        <w:t>una entidad</w:t>
      </w:r>
      <w:r w:rsidR="002F51EE" w:rsidRPr="007F6AD7">
        <w:rPr>
          <w:rFonts w:ascii="Arial" w:hAnsi="Arial" w:cs="Arial"/>
        </w:rPr>
        <w:t xml:space="preserve"> autónoma cuyo funcionamiento se regula en el Decreto Ley No. 81 de 1984. Los abogados vinculados a la Organización Nacional de Bufetes Colectivos (ONBC) pueden asistir y representar tanto a las personas naturales como jurídicas cubanas o extranjeras, ofreciendo un servicio en virtud de un contrato de mandato entre abogado y cliente. Las reglas para la vinculación a la organización y la prestación de los servicios son determinadas por la ley y por las propias normas internas de la ONBC.</w:t>
      </w:r>
      <w:r w:rsidR="0084729D" w:rsidRPr="007F6AD7">
        <w:rPr>
          <w:rStyle w:val="Refdenotaalpie"/>
          <w:rFonts w:ascii="Arial" w:hAnsi="Arial" w:cs="Arial"/>
        </w:rPr>
        <w:footnoteReference w:id="166"/>
      </w:r>
      <w:r w:rsidR="002F51EE" w:rsidRPr="007F6AD7">
        <w:rPr>
          <w:rFonts w:ascii="Arial" w:hAnsi="Arial" w:cs="Arial"/>
        </w:rPr>
        <w:t xml:space="preserve"> </w:t>
      </w:r>
      <w:r w:rsidR="0084729D" w:rsidRPr="007F6AD7">
        <w:rPr>
          <w:rFonts w:ascii="Arial" w:hAnsi="Arial" w:cs="Arial"/>
        </w:rPr>
        <w:t xml:space="preserve">Aunque el Ministerio de Justicia tiene la alta inspección de los bufetes colectivos, estos no le están </w:t>
      </w:r>
      <w:r w:rsidR="008873EB" w:rsidRPr="007F6AD7">
        <w:rPr>
          <w:rFonts w:ascii="Arial" w:hAnsi="Arial" w:cs="Arial"/>
        </w:rPr>
        <w:t xml:space="preserve">subordinados. </w:t>
      </w:r>
    </w:p>
    <w:p w14:paraId="2234C781" w14:textId="65239204" w:rsidR="00A82169" w:rsidRPr="007F6AD7" w:rsidRDefault="00D836A9" w:rsidP="00D836A9">
      <w:pPr>
        <w:pStyle w:val="Sinespaciado"/>
        <w:tabs>
          <w:tab w:val="left" w:pos="567"/>
        </w:tabs>
        <w:spacing w:after="0" w:afterAutospacing="0" w:line="360" w:lineRule="auto"/>
        <w:ind w:left="0" w:firstLine="0"/>
        <w:jc w:val="both"/>
        <w:rPr>
          <w:rFonts w:ascii="Arial" w:hAnsi="Arial" w:cs="Arial"/>
        </w:rPr>
      </w:pPr>
      <w:r>
        <w:rPr>
          <w:rFonts w:ascii="Arial" w:hAnsi="Arial" w:cs="Arial"/>
        </w:rPr>
        <w:t xml:space="preserve">35.   </w:t>
      </w:r>
      <w:r w:rsidR="008873EB" w:rsidRPr="007F6AD7">
        <w:rPr>
          <w:rFonts w:ascii="Arial" w:hAnsi="Arial" w:cs="Arial"/>
        </w:rPr>
        <w:t>El</w:t>
      </w:r>
      <w:r w:rsidR="0084729D" w:rsidRPr="007F6AD7">
        <w:rPr>
          <w:rFonts w:ascii="Arial" w:hAnsi="Arial" w:cs="Arial"/>
        </w:rPr>
        <w:t xml:space="preserve"> </w:t>
      </w:r>
      <w:r w:rsidR="0082610F" w:rsidRPr="007F6AD7">
        <w:rPr>
          <w:rFonts w:ascii="Arial" w:hAnsi="Arial" w:cs="Arial"/>
        </w:rPr>
        <w:t xml:space="preserve">Decreto No. 138 de 1987 </w:t>
      </w:r>
      <w:r w:rsidR="00AA5F93" w:rsidRPr="007F6AD7">
        <w:rPr>
          <w:rFonts w:ascii="Arial" w:hAnsi="Arial" w:cs="Arial"/>
        </w:rPr>
        <w:t>r</w:t>
      </w:r>
      <w:r w:rsidR="000624E1" w:rsidRPr="007F6AD7">
        <w:rPr>
          <w:rFonts w:ascii="Arial" w:hAnsi="Arial" w:cs="Arial"/>
        </w:rPr>
        <w:t xml:space="preserve">egula </w:t>
      </w:r>
      <w:r w:rsidR="0082610F" w:rsidRPr="007F6AD7">
        <w:rPr>
          <w:rFonts w:ascii="Arial" w:hAnsi="Arial" w:cs="Arial"/>
        </w:rPr>
        <w:t>a</w:t>
      </w:r>
      <w:r w:rsidR="000624E1" w:rsidRPr="007F6AD7">
        <w:rPr>
          <w:rFonts w:ascii="Arial" w:hAnsi="Arial" w:cs="Arial"/>
        </w:rPr>
        <w:t xml:space="preserve"> </w:t>
      </w:r>
      <w:r w:rsidR="00AA5F93" w:rsidRPr="007F6AD7">
        <w:rPr>
          <w:rFonts w:ascii="Arial" w:hAnsi="Arial" w:cs="Arial"/>
        </w:rPr>
        <w:t>l</w:t>
      </w:r>
      <w:r w:rsidR="002F51EE" w:rsidRPr="007F6AD7">
        <w:rPr>
          <w:rFonts w:ascii="Arial" w:hAnsi="Arial" w:cs="Arial"/>
        </w:rPr>
        <w:t>os asesores propios</w:t>
      </w:r>
      <w:r w:rsidR="000624E1" w:rsidRPr="007F6AD7">
        <w:rPr>
          <w:rFonts w:ascii="Arial" w:hAnsi="Arial" w:cs="Arial"/>
        </w:rPr>
        <w:t xml:space="preserve">, y las </w:t>
      </w:r>
      <w:r w:rsidR="001E3B4D" w:rsidRPr="007F6AD7">
        <w:rPr>
          <w:rFonts w:ascii="Arial" w:hAnsi="Arial" w:cs="Arial"/>
        </w:rPr>
        <w:t>c</w:t>
      </w:r>
      <w:r w:rsidR="000624E1" w:rsidRPr="007F6AD7">
        <w:rPr>
          <w:rFonts w:ascii="Arial" w:hAnsi="Arial" w:cs="Arial"/>
        </w:rPr>
        <w:t xml:space="preserve">onsultorías </w:t>
      </w:r>
      <w:r w:rsidR="001E3B4D" w:rsidRPr="007F6AD7">
        <w:rPr>
          <w:rFonts w:ascii="Arial" w:hAnsi="Arial" w:cs="Arial"/>
        </w:rPr>
        <w:t>j</w:t>
      </w:r>
      <w:r w:rsidR="000624E1" w:rsidRPr="007F6AD7">
        <w:rPr>
          <w:rFonts w:ascii="Arial" w:hAnsi="Arial" w:cs="Arial"/>
        </w:rPr>
        <w:t xml:space="preserve">urídicas </w:t>
      </w:r>
      <w:r w:rsidR="001E3B4D" w:rsidRPr="007F6AD7">
        <w:rPr>
          <w:rFonts w:ascii="Arial" w:hAnsi="Arial" w:cs="Arial"/>
        </w:rPr>
        <w:t>e</w:t>
      </w:r>
      <w:r w:rsidR="000624E1" w:rsidRPr="007F6AD7">
        <w:rPr>
          <w:rFonts w:ascii="Arial" w:hAnsi="Arial" w:cs="Arial"/>
        </w:rPr>
        <w:t>statales (CJE),</w:t>
      </w:r>
      <w:r w:rsidR="00AA5F93" w:rsidRPr="007F6AD7">
        <w:rPr>
          <w:rFonts w:ascii="Arial" w:hAnsi="Arial" w:cs="Arial"/>
        </w:rPr>
        <w:t xml:space="preserve"> </w:t>
      </w:r>
      <w:r w:rsidR="000624E1" w:rsidRPr="007F6AD7">
        <w:rPr>
          <w:rFonts w:ascii="Arial" w:hAnsi="Arial" w:cs="Arial"/>
        </w:rPr>
        <w:t>unidades de prestación de servicios legales dentro de la estructura de las Direcciones Provinciales de Justicia adscritas a los Órganos Locales del Poder Popular. A partir de 2000, comienza la reorganización de los servicios legales y con ello se incorpora un mayor número de juristas a entidades prestadoras de estos servicios.</w:t>
      </w:r>
      <w:r w:rsidR="00A82169" w:rsidRPr="007F6AD7">
        <w:rPr>
          <w:rStyle w:val="Ttulo4Car"/>
          <w:rFonts w:ascii="Arial" w:hAnsi="Arial"/>
        </w:rPr>
        <w:t xml:space="preserve"> </w:t>
      </w:r>
      <w:r w:rsidR="00A82169" w:rsidRPr="007F6AD7">
        <w:rPr>
          <w:rStyle w:val="Refdenotaalpie"/>
          <w:rFonts w:ascii="Arial" w:hAnsi="Arial" w:cs="Arial"/>
        </w:rPr>
        <w:footnoteReference w:id="167"/>
      </w:r>
      <w:r w:rsidR="00A82169" w:rsidRPr="007F6AD7">
        <w:rPr>
          <w:rFonts w:ascii="Arial" w:hAnsi="Arial" w:cs="Arial"/>
        </w:rPr>
        <w:t xml:space="preserve"> </w:t>
      </w:r>
    </w:p>
    <w:p w14:paraId="504E1D56" w14:textId="3A48B4BC" w:rsidR="00D97685" w:rsidRPr="007F6AD7" w:rsidRDefault="00D836A9" w:rsidP="00D836A9">
      <w:pPr>
        <w:spacing w:after="0" w:line="360" w:lineRule="auto"/>
        <w:jc w:val="both"/>
        <w:rPr>
          <w:rFonts w:ascii="Arial" w:hAnsi="Arial" w:cs="Arial"/>
          <w:lang w:eastAsia="es-ES"/>
        </w:rPr>
      </w:pPr>
      <w:r>
        <w:rPr>
          <w:rFonts w:ascii="Arial" w:hAnsi="Arial" w:cs="Arial"/>
        </w:rPr>
        <w:t xml:space="preserve">36.   </w:t>
      </w:r>
      <w:r w:rsidR="00D97685" w:rsidRPr="007F6AD7">
        <w:rPr>
          <w:rFonts w:ascii="Arial" w:hAnsi="Arial" w:cs="Arial"/>
        </w:rPr>
        <w:t>Las tarifas oficiales por los servicios</w:t>
      </w:r>
      <w:r w:rsidR="0082610F" w:rsidRPr="007F6AD7">
        <w:rPr>
          <w:rFonts w:ascii="Arial" w:hAnsi="Arial" w:cs="Arial"/>
        </w:rPr>
        <w:t xml:space="preserve"> legales a </w:t>
      </w:r>
      <w:r w:rsidR="001E3B4D" w:rsidRPr="007F6AD7">
        <w:rPr>
          <w:rFonts w:ascii="Arial" w:hAnsi="Arial" w:cs="Arial"/>
        </w:rPr>
        <w:t>ciudadanos son</w:t>
      </w:r>
      <w:r w:rsidR="00D97685" w:rsidRPr="007F6AD7">
        <w:rPr>
          <w:rFonts w:ascii="Arial" w:hAnsi="Arial" w:cs="Arial"/>
        </w:rPr>
        <w:t xml:space="preserve"> relativamente módicas comparadas con los honorarios que perciben los abogados en otros países. </w:t>
      </w:r>
      <w:r w:rsidR="009D5AFC" w:rsidRPr="007F6AD7">
        <w:rPr>
          <w:rFonts w:ascii="Arial" w:hAnsi="Arial" w:cs="Arial"/>
        </w:rPr>
        <w:t xml:space="preserve">Los demandantes </w:t>
      </w:r>
      <w:r w:rsidR="0050614D" w:rsidRPr="007F6AD7">
        <w:rPr>
          <w:rFonts w:ascii="Arial" w:hAnsi="Arial" w:cs="Arial"/>
        </w:rPr>
        <w:t>tienen que</w:t>
      </w:r>
      <w:r w:rsidR="009D5AFC" w:rsidRPr="007F6AD7">
        <w:rPr>
          <w:rFonts w:ascii="Arial" w:hAnsi="Arial" w:cs="Arial"/>
        </w:rPr>
        <w:t xml:space="preserve"> aceptar las recomendaciones jurídicas del letrado</w:t>
      </w:r>
      <w:r w:rsidR="0050614D" w:rsidRPr="007F6AD7">
        <w:rPr>
          <w:rFonts w:ascii="Arial" w:hAnsi="Arial" w:cs="Arial"/>
        </w:rPr>
        <w:t>, quien nombra</w:t>
      </w:r>
      <w:r w:rsidR="009D5AFC" w:rsidRPr="007F6AD7">
        <w:rPr>
          <w:rFonts w:ascii="Arial" w:hAnsi="Arial" w:cs="Arial"/>
        </w:rPr>
        <w:t xml:space="preserve"> el</w:t>
      </w:r>
      <w:r w:rsidR="0050614D" w:rsidRPr="007F6AD7">
        <w:rPr>
          <w:rFonts w:ascii="Arial" w:hAnsi="Arial" w:cs="Arial"/>
        </w:rPr>
        <w:t xml:space="preserve"> </w:t>
      </w:r>
      <w:r w:rsidR="009D5AFC" w:rsidRPr="007F6AD7">
        <w:rPr>
          <w:rFonts w:ascii="Arial" w:hAnsi="Arial" w:cs="Arial"/>
        </w:rPr>
        <w:t>asunto</w:t>
      </w:r>
      <w:r w:rsidR="00D805E5" w:rsidRPr="007F6AD7">
        <w:rPr>
          <w:rFonts w:ascii="Arial" w:hAnsi="Arial" w:cs="Arial"/>
        </w:rPr>
        <w:t xml:space="preserve"> o la causa</w:t>
      </w:r>
      <w:r w:rsidR="00DC2299" w:rsidRPr="007F6AD7">
        <w:rPr>
          <w:rFonts w:ascii="Arial" w:hAnsi="Arial" w:cs="Arial"/>
        </w:rPr>
        <w:t xml:space="preserve"> a discreción. </w:t>
      </w:r>
      <w:r w:rsidR="008873EB" w:rsidRPr="007F6AD7">
        <w:rPr>
          <w:rFonts w:ascii="Arial" w:hAnsi="Arial" w:cs="Arial"/>
        </w:rPr>
        <w:t>Tal es el caso</w:t>
      </w:r>
      <w:r w:rsidR="0050614D" w:rsidRPr="007F6AD7">
        <w:rPr>
          <w:rFonts w:ascii="Arial" w:hAnsi="Arial" w:cs="Arial"/>
        </w:rPr>
        <w:t xml:space="preserve"> </w:t>
      </w:r>
      <w:r w:rsidR="008873EB" w:rsidRPr="007F6AD7">
        <w:rPr>
          <w:rFonts w:ascii="Arial" w:hAnsi="Arial" w:cs="Arial"/>
        </w:rPr>
        <w:t>de</w:t>
      </w:r>
      <w:r w:rsidR="0050614D" w:rsidRPr="007F6AD7">
        <w:rPr>
          <w:rFonts w:ascii="Arial" w:hAnsi="Arial" w:cs="Arial"/>
        </w:rPr>
        <w:t xml:space="preserve"> una demanda</w:t>
      </w:r>
      <w:r w:rsidR="009D5AFC" w:rsidRPr="007F6AD7">
        <w:rPr>
          <w:rFonts w:ascii="Arial" w:hAnsi="Arial" w:cs="Arial"/>
        </w:rPr>
        <w:t xml:space="preserve"> </w:t>
      </w:r>
      <w:r w:rsidR="0050614D" w:rsidRPr="007F6AD7">
        <w:rPr>
          <w:rFonts w:ascii="Arial" w:hAnsi="Arial" w:cs="Arial"/>
        </w:rPr>
        <w:t xml:space="preserve">presentada </w:t>
      </w:r>
      <w:r w:rsidR="00710F4E" w:rsidRPr="007F6AD7">
        <w:rPr>
          <w:rFonts w:ascii="Arial" w:hAnsi="Arial" w:cs="Arial"/>
        </w:rPr>
        <w:t>(Asunto</w:t>
      </w:r>
      <w:r w:rsidR="0050614D" w:rsidRPr="007F6AD7">
        <w:rPr>
          <w:rFonts w:ascii="Arial" w:hAnsi="Arial" w:cs="Arial"/>
        </w:rPr>
        <w:t xml:space="preserve">: Limitaciones en relaciones de vecindad) </w:t>
      </w:r>
      <w:r w:rsidR="009D5AFC" w:rsidRPr="007F6AD7">
        <w:rPr>
          <w:rFonts w:ascii="Arial" w:hAnsi="Arial" w:cs="Arial"/>
        </w:rPr>
        <w:t xml:space="preserve">a una entidad </w:t>
      </w:r>
      <w:r w:rsidR="0050614D" w:rsidRPr="007F6AD7">
        <w:rPr>
          <w:rFonts w:ascii="Arial" w:hAnsi="Arial" w:cs="Arial"/>
        </w:rPr>
        <w:t>estatal (GECAL) por</w:t>
      </w:r>
      <w:r w:rsidR="009D5AFC" w:rsidRPr="007F6AD7">
        <w:rPr>
          <w:rFonts w:ascii="Arial" w:hAnsi="Arial" w:cs="Arial"/>
        </w:rPr>
        <w:t xml:space="preserve"> </w:t>
      </w:r>
      <w:r w:rsidR="006C3A4B" w:rsidRPr="007F6AD7">
        <w:rPr>
          <w:rFonts w:ascii="Arial" w:hAnsi="Arial" w:cs="Arial"/>
        </w:rPr>
        <w:t>usurpación del</w:t>
      </w:r>
      <w:r w:rsidR="009D5AFC" w:rsidRPr="007F6AD7">
        <w:rPr>
          <w:rFonts w:ascii="Arial" w:hAnsi="Arial" w:cs="Arial"/>
        </w:rPr>
        <w:t xml:space="preserve"> terreno de un propietario</w:t>
      </w:r>
      <w:r w:rsidR="0050614D" w:rsidRPr="007F6AD7">
        <w:rPr>
          <w:rFonts w:ascii="Arial" w:hAnsi="Arial" w:cs="Arial"/>
        </w:rPr>
        <w:t>,</w:t>
      </w:r>
      <w:r w:rsidR="009D5AFC" w:rsidRPr="007F6AD7">
        <w:rPr>
          <w:rFonts w:ascii="Arial" w:hAnsi="Arial" w:cs="Arial"/>
        </w:rPr>
        <w:t xml:space="preserve"> la sentencia</w:t>
      </w:r>
      <w:r w:rsidR="00D97685" w:rsidRPr="007F6AD7">
        <w:rPr>
          <w:rFonts w:ascii="Arial" w:hAnsi="Arial" w:cs="Arial"/>
        </w:rPr>
        <w:t xml:space="preserve"> firme</w:t>
      </w:r>
      <w:r w:rsidR="009D5AFC" w:rsidRPr="007F6AD7">
        <w:rPr>
          <w:rFonts w:ascii="Arial" w:hAnsi="Arial" w:cs="Arial"/>
        </w:rPr>
        <w:t xml:space="preserve"> del tribunal no </w:t>
      </w:r>
      <w:r w:rsidR="0050614D" w:rsidRPr="007F6AD7">
        <w:rPr>
          <w:rFonts w:ascii="Arial" w:hAnsi="Arial" w:cs="Arial"/>
        </w:rPr>
        <w:t>era</w:t>
      </w:r>
      <w:r w:rsidR="009D5AFC" w:rsidRPr="007F6AD7">
        <w:rPr>
          <w:rFonts w:ascii="Arial" w:hAnsi="Arial" w:cs="Arial"/>
        </w:rPr>
        <w:t xml:space="preserve"> ejecutada por la entidad </w:t>
      </w:r>
      <w:r w:rsidR="007278FA" w:rsidRPr="007F6AD7">
        <w:rPr>
          <w:rFonts w:ascii="Arial" w:hAnsi="Arial" w:cs="Arial"/>
        </w:rPr>
        <w:t xml:space="preserve">estatal </w:t>
      </w:r>
      <w:r w:rsidR="009D5AFC" w:rsidRPr="007F6AD7">
        <w:rPr>
          <w:rFonts w:ascii="Arial" w:hAnsi="Arial" w:cs="Arial"/>
        </w:rPr>
        <w:t>demandada</w:t>
      </w:r>
      <w:r w:rsidR="00762E94" w:rsidRPr="007F6AD7">
        <w:rPr>
          <w:rFonts w:ascii="Arial" w:hAnsi="Arial" w:cs="Arial"/>
        </w:rPr>
        <w:t xml:space="preserve"> a pesar de diversos </w:t>
      </w:r>
      <w:r w:rsidR="0050614D" w:rsidRPr="007F6AD7">
        <w:rPr>
          <w:rFonts w:ascii="Arial" w:hAnsi="Arial" w:cs="Arial"/>
        </w:rPr>
        <w:t>requerimientos judiciales</w:t>
      </w:r>
      <w:r w:rsidR="00D97685" w:rsidRPr="007F6AD7">
        <w:rPr>
          <w:rFonts w:ascii="Arial" w:hAnsi="Arial" w:cs="Arial"/>
        </w:rPr>
        <w:t>.</w:t>
      </w:r>
      <w:r w:rsidR="009D5AFC" w:rsidRPr="007F6AD7">
        <w:rPr>
          <w:rFonts w:ascii="Arial" w:hAnsi="Arial" w:cs="Arial"/>
        </w:rPr>
        <w:t xml:space="preserve"> </w:t>
      </w:r>
      <w:r w:rsidR="008D255B" w:rsidRPr="007F6AD7">
        <w:rPr>
          <w:rStyle w:val="Refdenotaalpie"/>
          <w:rFonts w:ascii="Arial" w:hAnsi="Arial" w:cs="Arial"/>
        </w:rPr>
        <w:footnoteReference w:id="168"/>
      </w:r>
      <w:r w:rsidR="008D255B" w:rsidRPr="007F6AD7">
        <w:rPr>
          <w:rFonts w:ascii="Arial" w:hAnsi="Arial" w:cs="Arial"/>
        </w:rPr>
        <w:t xml:space="preserve"> </w:t>
      </w:r>
      <w:r w:rsidR="00D97685" w:rsidRPr="007F6AD7">
        <w:rPr>
          <w:rFonts w:ascii="Arial" w:hAnsi="Arial" w:cs="Arial"/>
        </w:rPr>
        <w:t>E</w:t>
      </w:r>
      <w:r w:rsidR="009D5AFC" w:rsidRPr="007F6AD7">
        <w:rPr>
          <w:rFonts w:ascii="Arial" w:hAnsi="Arial" w:cs="Arial"/>
        </w:rPr>
        <w:t>l asunto</w:t>
      </w:r>
      <w:r>
        <w:rPr>
          <w:rFonts w:ascii="Arial" w:hAnsi="Arial" w:cs="Arial"/>
        </w:rPr>
        <w:t xml:space="preserve"> </w:t>
      </w:r>
      <w:r w:rsidR="0050614D" w:rsidRPr="007F6AD7">
        <w:rPr>
          <w:rFonts w:ascii="Arial" w:hAnsi="Arial" w:cs="Arial"/>
        </w:rPr>
        <w:lastRenderedPageBreak/>
        <w:t xml:space="preserve">que </w:t>
      </w:r>
      <w:r w:rsidR="00C85683" w:rsidRPr="007F6AD7">
        <w:rPr>
          <w:rFonts w:ascii="Arial" w:hAnsi="Arial" w:cs="Arial"/>
        </w:rPr>
        <w:t>declara</w:t>
      </w:r>
      <w:r w:rsidR="009D5AFC" w:rsidRPr="007F6AD7">
        <w:rPr>
          <w:rFonts w:ascii="Arial" w:hAnsi="Arial" w:cs="Arial"/>
        </w:rPr>
        <w:t xml:space="preserve"> el contrato </w:t>
      </w:r>
      <w:r w:rsidR="0050614D" w:rsidRPr="007F6AD7">
        <w:rPr>
          <w:rFonts w:ascii="Arial" w:hAnsi="Arial" w:cs="Arial"/>
        </w:rPr>
        <w:t xml:space="preserve">de servicios </w:t>
      </w:r>
      <w:r w:rsidR="009D5AFC" w:rsidRPr="007F6AD7">
        <w:rPr>
          <w:rFonts w:ascii="Arial" w:hAnsi="Arial" w:cs="Arial"/>
        </w:rPr>
        <w:t>jurídico</w:t>
      </w:r>
      <w:r w:rsidR="0050614D" w:rsidRPr="007F6AD7">
        <w:rPr>
          <w:rFonts w:ascii="Arial" w:hAnsi="Arial" w:cs="Arial"/>
        </w:rPr>
        <w:t>s</w:t>
      </w:r>
      <w:r w:rsidR="009D5AFC" w:rsidRPr="007F6AD7">
        <w:rPr>
          <w:rFonts w:ascii="Arial" w:hAnsi="Arial" w:cs="Arial"/>
        </w:rPr>
        <w:t xml:space="preserve"> </w:t>
      </w:r>
      <w:r w:rsidR="0050614D" w:rsidRPr="007F6AD7">
        <w:rPr>
          <w:rFonts w:ascii="Arial" w:hAnsi="Arial" w:cs="Arial"/>
        </w:rPr>
        <w:t xml:space="preserve">reza </w:t>
      </w:r>
      <w:r w:rsidR="009D5AFC" w:rsidRPr="007F6AD7">
        <w:rPr>
          <w:rFonts w:ascii="Arial" w:hAnsi="Arial" w:cs="Arial"/>
        </w:rPr>
        <w:t xml:space="preserve">como </w:t>
      </w:r>
      <w:r w:rsidR="00DC2299" w:rsidRPr="007F6AD7">
        <w:rPr>
          <w:rFonts w:ascii="Arial" w:hAnsi="Arial" w:cs="Arial"/>
        </w:rPr>
        <w:t>“</w:t>
      </w:r>
      <w:r w:rsidR="00762E94" w:rsidRPr="007F6AD7">
        <w:rPr>
          <w:rFonts w:ascii="Arial" w:hAnsi="Arial" w:cs="Arial"/>
        </w:rPr>
        <w:t>Ejecución de Sentencia</w:t>
      </w:r>
      <w:r w:rsidR="00DC2299" w:rsidRPr="007F6AD7">
        <w:rPr>
          <w:rFonts w:ascii="Arial" w:hAnsi="Arial" w:cs="Arial"/>
        </w:rPr>
        <w:t>”</w:t>
      </w:r>
      <w:r w:rsidR="00762E94" w:rsidRPr="007F6AD7">
        <w:rPr>
          <w:rFonts w:ascii="Arial" w:hAnsi="Arial" w:cs="Arial"/>
        </w:rPr>
        <w:t>, en vez de</w:t>
      </w:r>
      <w:r w:rsidR="00C85683" w:rsidRPr="007F6AD7">
        <w:rPr>
          <w:rFonts w:ascii="Arial" w:hAnsi="Arial" w:cs="Arial"/>
        </w:rPr>
        <w:t>l</w:t>
      </w:r>
      <w:r w:rsidR="0050614D" w:rsidRPr="007F6AD7">
        <w:rPr>
          <w:rFonts w:ascii="Arial" w:hAnsi="Arial" w:cs="Arial"/>
        </w:rPr>
        <w:t xml:space="preserve"> </w:t>
      </w:r>
      <w:r w:rsidR="00C36F3C" w:rsidRPr="007F6AD7">
        <w:rPr>
          <w:rFonts w:ascii="Arial" w:hAnsi="Arial" w:cs="Arial"/>
        </w:rPr>
        <w:t>sugerido</w:t>
      </w:r>
      <w:r w:rsidR="00C85683" w:rsidRPr="007F6AD7">
        <w:rPr>
          <w:rFonts w:ascii="Arial" w:hAnsi="Arial" w:cs="Arial"/>
        </w:rPr>
        <w:t xml:space="preserve"> por la demandante</w:t>
      </w:r>
      <w:r w:rsidR="00152BB0" w:rsidRPr="007F6AD7">
        <w:rPr>
          <w:rFonts w:ascii="Arial" w:hAnsi="Arial" w:cs="Arial"/>
        </w:rPr>
        <w:t xml:space="preserve"> como</w:t>
      </w:r>
      <w:r w:rsidR="00C85683" w:rsidRPr="007F6AD7">
        <w:rPr>
          <w:rFonts w:ascii="Arial" w:hAnsi="Arial" w:cs="Arial"/>
        </w:rPr>
        <w:t xml:space="preserve"> </w:t>
      </w:r>
      <w:r w:rsidR="00C36F3C" w:rsidRPr="007F6AD7">
        <w:rPr>
          <w:rFonts w:ascii="Arial" w:hAnsi="Arial" w:cs="Arial"/>
        </w:rPr>
        <w:t>“</w:t>
      </w:r>
      <w:r w:rsidR="007278FA" w:rsidRPr="007F6AD7">
        <w:rPr>
          <w:rFonts w:ascii="Arial" w:hAnsi="Arial" w:cs="Arial"/>
        </w:rPr>
        <w:t>D</w:t>
      </w:r>
      <w:r w:rsidR="00762E94" w:rsidRPr="007F6AD7">
        <w:rPr>
          <w:rFonts w:ascii="Arial" w:hAnsi="Arial" w:cs="Arial"/>
        </w:rPr>
        <w:t xml:space="preserve">elito de </w:t>
      </w:r>
      <w:r w:rsidR="0050614D" w:rsidRPr="007F6AD7">
        <w:rPr>
          <w:rFonts w:ascii="Arial" w:hAnsi="Arial" w:cs="Arial"/>
        </w:rPr>
        <w:t>D</w:t>
      </w:r>
      <w:r w:rsidR="00762E94" w:rsidRPr="007F6AD7">
        <w:rPr>
          <w:rFonts w:ascii="Arial" w:hAnsi="Arial" w:cs="Arial"/>
        </w:rPr>
        <w:t>esobediencia</w:t>
      </w:r>
      <w:r w:rsidR="00C36F3C" w:rsidRPr="007F6AD7">
        <w:rPr>
          <w:rFonts w:ascii="Arial" w:hAnsi="Arial" w:cs="Arial"/>
        </w:rPr>
        <w:t>”</w:t>
      </w:r>
      <w:r w:rsidR="00762E94" w:rsidRPr="007F6AD7">
        <w:rPr>
          <w:rFonts w:ascii="Arial" w:hAnsi="Arial" w:cs="Arial"/>
        </w:rPr>
        <w:t xml:space="preserve"> </w:t>
      </w:r>
      <w:r w:rsidR="00D97685" w:rsidRPr="007F6AD7">
        <w:rPr>
          <w:rFonts w:ascii="Arial" w:hAnsi="Arial" w:cs="Arial"/>
        </w:rPr>
        <w:t xml:space="preserve">en el </w:t>
      </w:r>
      <w:r w:rsidR="00762E94" w:rsidRPr="007F6AD7">
        <w:rPr>
          <w:rFonts w:ascii="Arial" w:hAnsi="Arial" w:cs="Arial"/>
        </w:rPr>
        <w:t>Código Penal</w:t>
      </w:r>
      <w:r w:rsidR="0050614D" w:rsidRPr="007F6AD7">
        <w:rPr>
          <w:rFonts w:ascii="Arial" w:hAnsi="Arial" w:cs="Arial"/>
        </w:rPr>
        <w:t>.</w:t>
      </w:r>
      <w:r w:rsidR="009D5AFC" w:rsidRPr="007F6AD7">
        <w:rPr>
          <w:rFonts w:ascii="Arial" w:hAnsi="Arial" w:cs="Arial"/>
        </w:rPr>
        <w:t xml:space="preserve"> </w:t>
      </w:r>
    </w:p>
    <w:p w14:paraId="0652CB94" w14:textId="30A9F994" w:rsidR="00C12397" w:rsidRPr="00C12397" w:rsidRDefault="00D836A9" w:rsidP="00D836A9">
      <w:pPr>
        <w:tabs>
          <w:tab w:val="left" w:pos="567"/>
        </w:tabs>
        <w:spacing w:after="0" w:line="360" w:lineRule="auto"/>
        <w:jc w:val="both"/>
        <w:rPr>
          <w:rFonts w:ascii="Arial" w:hAnsi="Arial" w:cs="Arial"/>
          <w:bCs/>
        </w:rPr>
      </w:pPr>
      <w:r>
        <w:rPr>
          <w:rFonts w:ascii="Arial" w:hAnsi="Arial" w:cs="Arial"/>
        </w:rPr>
        <w:t xml:space="preserve">37.  </w:t>
      </w:r>
      <w:r w:rsidR="00C27D9A" w:rsidRPr="007F6AD7">
        <w:rPr>
          <w:rFonts w:ascii="Arial" w:hAnsi="Arial" w:cs="Arial"/>
        </w:rPr>
        <w:t>Existe una limitación importante en la aplicación de la ley: los plazos de prescripción. Los profesionales del derecho</w:t>
      </w:r>
      <w:r w:rsidR="004015C8" w:rsidRPr="007F6AD7">
        <w:rPr>
          <w:rFonts w:ascii="Arial" w:hAnsi="Arial" w:cs="Arial"/>
        </w:rPr>
        <w:t xml:space="preserve"> deben conocer </w:t>
      </w:r>
      <w:bookmarkStart w:id="92" w:name="OLE_LINK1"/>
      <w:bookmarkStart w:id="93" w:name="OLE_LINK2"/>
      <w:r w:rsidR="004015C8" w:rsidRPr="007F6AD7">
        <w:rPr>
          <w:rFonts w:ascii="Arial" w:hAnsi="Arial" w:cs="Arial"/>
        </w:rPr>
        <w:t>los plazos de prescripción</w:t>
      </w:r>
      <w:bookmarkEnd w:id="92"/>
      <w:bookmarkEnd w:id="93"/>
      <w:r w:rsidR="00DC2299" w:rsidRPr="007F6AD7">
        <w:rPr>
          <w:rFonts w:ascii="Arial" w:hAnsi="Arial" w:cs="Arial"/>
        </w:rPr>
        <w:t>,</w:t>
      </w:r>
      <w:r w:rsidR="00C27D9A" w:rsidRPr="007F6AD7">
        <w:rPr>
          <w:rFonts w:ascii="Arial" w:hAnsi="Arial" w:cs="Arial"/>
        </w:rPr>
        <w:t xml:space="preserve"> y </w:t>
      </w:r>
      <w:r w:rsidR="004015C8" w:rsidRPr="007F6AD7">
        <w:rPr>
          <w:rFonts w:ascii="Arial" w:hAnsi="Arial" w:cs="Arial"/>
        </w:rPr>
        <w:t>más importante aún, deben conocerlos</w:t>
      </w:r>
      <w:r w:rsidR="00C27D9A" w:rsidRPr="007F6AD7">
        <w:rPr>
          <w:rFonts w:ascii="Arial" w:hAnsi="Arial" w:cs="Arial"/>
        </w:rPr>
        <w:t xml:space="preserve"> los clientes</w:t>
      </w:r>
      <w:r w:rsidR="004015C8" w:rsidRPr="007F6AD7">
        <w:rPr>
          <w:rFonts w:ascii="Arial" w:hAnsi="Arial" w:cs="Arial"/>
        </w:rPr>
        <w:t xml:space="preserve">, quienes por desconocimiento y con sentencia firme a su favor </w:t>
      </w:r>
      <w:r w:rsidR="00152BB0" w:rsidRPr="007F6AD7">
        <w:rPr>
          <w:rFonts w:ascii="Arial" w:hAnsi="Arial" w:cs="Arial"/>
        </w:rPr>
        <w:t>pueden quedar</w:t>
      </w:r>
      <w:r w:rsidR="004015C8" w:rsidRPr="007F6AD7">
        <w:rPr>
          <w:rFonts w:ascii="Arial" w:hAnsi="Arial" w:cs="Arial"/>
        </w:rPr>
        <w:t xml:space="preserve"> en estado de indefensión</w:t>
      </w:r>
      <w:r w:rsidR="00564FB7" w:rsidRPr="007F6AD7">
        <w:rPr>
          <w:rFonts w:ascii="Arial" w:hAnsi="Arial" w:cs="Arial"/>
        </w:rPr>
        <w:t xml:space="preserve"> por diferentes motivos</w:t>
      </w:r>
      <w:r w:rsidR="00C27D9A" w:rsidRPr="007F6AD7">
        <w:rPr>
          <w:rFonts w:ascii="Arial" w:hAnsi="Arial" w:cs="Arial"/>
        </w:rPr>
        <w:t xml:space="preserve">. La ejecución de sentencias </w:t>
      </w:r>
      <w:r w:rsidR="004015C8" w:rsidRPr="007F6AD7">
        <w:rPr>
          <w:rFonts w:ascii="Arial" w:hAnsi="Arial" w:cs="Arial"/>
        </w:rPr>
        <w:t>firmes</w:t>
      </w:r>
      <w:r w:rsidR="00C27D9A" w:rsidRPr="007F6AD7">
        <w:rPr>
          <w:rFonts w:ascii="Arial" w:hAnsi="Arial" w:cs="Arial"/>
        </w:rPr>
        <w:t xml:space="preserve"> en materia civil común</w:t>
      </w:r>
      <w:r w:rsidR="00E169B5" w:rsidRPr="007F6AD7">
        <w:rPr>
          <w:rFonts w:ascii="Arial" w:hAnsi="Arial" w:cs="Arial"/>
        </w:rPr>
        <w:t>mente</w:t>
      </w:r>
      <w:r w:rsidR="00C27D9A" w:rsidRPr="007F6AD7">
        <w:rPr>
          <w:rFonts w:ascii="Arial" w:hAnsi="Arial" w:cs="Arial"/>
        </w:rPr>
        <w:t xml:space="preserve"> demor</w:t>
      </w:r>
      <w:r w:rsidR="00E169B5" w:rsidRPr="007F6AD7">
        <w:rPr>
          <w:rFonts w:ascii="Arial" w:hAnsi="Arial" w:cs="Arial"/>
        </w:rPr>
        <w:t>a</w:t>
      </w:r>
      <w:r w:rsidR="00C27D9A" w:rsidRPr="007F6AD7">
        <w:rPr>
          <w:rFonts w:ascii="Arial" w:hAnsi="Arial" w:cs="Arial"/>
        </w:rPr>
        <w:t xml:space="preserve"> años, en particular cuando el demandado es una institución del Estado</w:t>
      </w:r>
      <w:r w:rsidR="00DC2299" w:rsidRPr="007F6AD7">
        <w:rPr>
          <w:rFonts w:ascii="Arial" w:hAnsi="Arial" w:cs="Arial"/>
        </w:rPr>
        <w:t xml:space="preserve"> obligada a cumplirla</w:t>
      </w:r>
      <w:r w:rsidR="00C27D9A" w:rsidRPr="007F6AD7">
        <w:rPr>
          <w:rFonts w:ascii="Arial" w:hAnsi="Arial" w:cs="Arial"/>
        </w:rPr>
        <w:t>.</w:t>
      </w:r>
      <w:r w:rsidR="00212381">
        <w:rPr>
          <w:rStyle w:val="Refdenotaalpie"/>
          <w:rFonts w:ascii="Arial" w:hAnsi="Arial" w:cs="Arial"/>
        </w:rPr>
        <w:footnoteReference w:id="169"/>
      </w:r>
      <w:r w:rsidR="008879FB" w:rsidRPr="007F6AD7">
        <w:rPr>
          <w:rFonts w:ascii="Arial" w:hAnsi="Arial" w:cs="Arial"/>
        </w:rPr>
        <w:t xml:space="preserve"> Existe en el país un sistema </w:t>
      </w:r>
      <w:r w:rsidR="008879FB" w:rsidRPr="007F6AD7">
        <w:rPr>
          <w:rFonts w:ascii="Arial" w:hAnsi="Arial" w:cs="Arial"/>
          <w:bCs/>
        </w:rPr>
        <w:t xml:space="preserve">interinstitucional, que prevé la recepción de quejas o peticiones individuales, respaldado constitucionalmente </w:t>
      </w:r>
      <w:r w:rsidR="008879FB" w:rsidRPr="007F6AD7">
        <w:rPr>
          <w:rFonts w:ascii="Arial" w:hAnsi="Arial" w:cs="Arial"/>
          <w:bCs/>
          <w:vertAlign w:val="superscript"/>
        </w:rPr>
        <w:footnoteReference w:id="170"/>
      </w:r>
      <w:r w:rsidR="008879FB" w:rsidRPr="007F6AD7">
        <w:rPr>
          <w:rFonts w:ascii="Arial" w:hAnsi="Arial" w:cs="Arial"/>
          <w:bCs/>
        </w:rPr>
        <w:t xml:space="preserve"> e integrado por instituciones tales como la Fiscalía General de la República</w:t>
      </w:r>
      <w:r w:rsidR="00015EC5" w:rsidRPr="007F6AD7">
        <w:rPr>
          <w:rFonts w:ascii="Arial" w:hAnsi="Arial" w:cs="Arial"/>
          <w:bCs/>
          <w:vertAlign w:val="superscript"/>
        </w:rPr>
        <w:footnoteReference w:id="171"/>
      </w:r>
      <w:r w:rsidR="00015EC5" w:rsidRPr="007F6AD7">
        <w:rPr>
          <w:rFonts w:ascii="Arial" w:hAnsi="Arial" w:cs="Arial"/>
          <w:bCs/>
        </w:rPr>
        <w:t xml:space="preserve"> </w:t>
      </w:r>
      <w:r w:rsidR="008879FB" w:rsidRPr="007F6AD7">
        <w:rPr>
          <w:rFonts w:ascii="Arial" w:hAnsi="Arial" w:cs="Arial"/>
          <w:bCs/>
        </w:rPr>
        <w:t xml:space="preserve"> y el Tribunal Supremo Popular</w:t>
      </w:r>
      <w:r w:rsidR="00015EC5" w:rsidRPr="007F6AD7">
        <w:rPr>
          <w:rFonts w:ascii="Arial" w:hAnsi="Arial" w:cs="Arial"/>
          <w:bCs/>
        </w:rPr>
        <w:t>, la</w:t>
      </w:r>
      <w:r w:rsidR="008879FB" w:rsidRPr="007F6AD7">
        <w:rPr>
          <w:rFonts w:ascii="Arial" w:hAnsi="Arial" w:cs="Arial"/>
          <w:bCs/>
        </w:rPr>
        <w:t xml:space="preserve"> Organización Nacional d</w:t>
      </w:r>
      <w:r w:rsidR="008879FB" w:rsidRPr="007F6AD7">
        <w:rPr>
          <w:rFonts w:ascii="Arial" w:hAnsi="Arial" w:cs="Arial"/>
        </w:rPr>
        <w:t xml:space="preserve">e </w:t>
      </w:r>
      <w:r w:rsidR="008879FB" w:rsidRPr="007F6AD7">
        <w:rPr>
          <w:rFonts w:ascii="Arial" w:hAnsi="Arial" w:cs="Arial"/>
          <w:bCs/>
        </w:rPr>
        <w:t>Buf</w:t>
      </w:r>
      <w:r w:rsidR="008879FB" w:rsidRPr="007F6AD7">
        <w:rPr>
          <w:rFonts w:ascii="Arial" w:hAnsi="Arial" w:cs="Arial"/>
        </w:rPr>
        <w:t>e</w:t>
      </w:r>
      <w:r w:rsidR="008879FB" w:rsidRPr="007F6AD7">
        <w:rPr>
          <w:rFonts w:ascii="Arial" w:hAnsi="Arial" w:cs="Arial"/>
          <w:bCs/>
        </w:rPr>
        <w:t>t</w:t>
      </w:r>
      <w:r w:rsidR="008879FB" w:rsidRPr="007F6AD7">
        <w:rPr>
          <w:rFonts w:ascii="Arial" w:hAnsi="Arial" w:cs="Arial"/>
        </w:rPr>
        <w:t>e</w:t>
      </w:r>
      <w:r w:rsidR="008879FB" w:rsidRPr="007F6AD7">
        <w:rPr>
          <w:rFonts w:ascii="Arial" w:hAnsi="Arial" w:cs="Arial"/>
          <w:bCs/>
        </w:rPr>
        <w:t>s d</w:t>
      </w:r>
      <w:r w:rsidR="008879FB" w:rsidRPr="007F6AD7">
        <w:rPr>
          <w:rFonts w:ascii="Arial" w:hAnsi="Arial" w:cs="Arial"/>
        </w:rPr>
        <w:t>e</w:t>
      </w:r>
      <w:r w:rsidR="00015EC5" w:rsidRPr="007F6AD7">
        <w:rPr>
          <w:rFonts w:ascii="Arial" w:hAnsi="Arial" w:cs="Arial"/>
          <w:bCs/>
        </w:rPr>
        <w:t xml:space="preserve"> Cuba,</w:t>
      </w:r>
      <w:r w:rsidR="008879FB" w:rsidRPr="007F6AD7">
        <w:rPr>
          <w:rFonts w:ascii="Arial" w:hAnsi="Arial" w:cs="Arial"/>
          <w:vertAlign w:val="superscript"/>
        </w:rPr>
        <w:footnoteReference w:id="172"/>
      </w:r>
      <w:r w:rsidR="008879FB" w:rsidRPr="007F6AD7">
        <w:rPr>
          <w:rFonts w:ascii="Arial" w:hAnsi="Arial" w:cs="Arial"/>
          <w:bCs/>
        </w:rPr>
        <w:t xml:space="preserve">  los Órganos del Poder Popular </w:t>
      </w:r>
      <w:r w:rsidR="008879FB" w:rsidRPr="007F6AD7">
        <w:rPr>
          <w:rFonts w:ascii="Arial" w:hAnsi="Arial" w:cs="Arial"/>
          <w:vertAlign w:val="superscript"/>
        </w:rPr>
        <w:footnoteReference w:id="173"/>
      </w:r>
      <w:r w:rsidR="008879FB" w:rsidRPr="007F6AD7">
        <w:rPr>
          <w:rFonts w:ascii="Arial" w:hAnsi="Arial" w:cs="Arial"/>
          <w:bCs/>
        </w:rPr>
        <w:t xml:space="preserve"> y los Organismos de la Administración Central del Estado.</w:t>
      </w:r>
      <w:r w:rsidR="008879FB" w:rsidRPr="007F6AD7">
        <w:rPr>
          <w:rFonts w:ascii="Arial" w:hAnsi="Arial" w:cs="Arial"/>
          <w:bCs/>
          <w:vertAlign w:val="superscript"/>
        </w:rPr>
        <w:footnoteReference w:id="174"/>
      </w:r>
      <w:r w:rsidR="008879FB" w:rsidRPr="007F6AD7">
        <w:rPr>
          <w:rFonts w:ascii="Arial" w:hAnsi="Arial" w:cs="Arial"/>
          <w:bCs/>
        </w:rPr>
        <w:t xml:space="preserve"> El sistema prevé la obligatoriedad de respuestas</w:t>
      </w:r>
      <w:r w:rsidR="00DC2299" w:rsidRPr="007F6AD7">
        <w:rPr>
          <w:rFonts w:ascii="Arial" w:hAnsi="Arial" w:cs="Arial"/>
          <w:bCs/>
        </w:rPr>
        <w:t xml:space="preserve"> en un lapso de 60 </w:t>
      </w:r>
      <w:r w:rsidR="00C36F3C" w:rsidRPr="007F6AD7">
        <w:rPr>
          <w:rFonts w:ascii="Arial" w:hAnsi="Arial" w:cs="Arial"/>
          <w:bCs/>
        </w:rPr>
        <w:t>días;</w:t>
      </w:r>
      <w:r w:rsidR="008879FB" w:rsidRPr="007F6AD7">
        <w:rPr>
          <w:rFonts w:ascii="Arial" w:hAnsi="Arial" w:cs="Arial"/>
          <w:bCs/>
        </w:rPr>
        <w:t xml:space="preserve"> pero no su </w:t>
      </w:r>
      <w:r w:rsidR="008879FB" w:rsidRPr="007F6AD7">
        <w:rPr>
          <w:rFonts w:ascii="Arial" w:hAnsi="Arial" w:cs="Arial"/>
          <w:bCs/>
        </w:rPr>
        <w:lastRenderedPageBreak/>
        <w:t>tramitación en la vía judicial,</w:t>
      </w:r>
      <w:r w:rsidR="00EC2140" w:rsidRPr="007F6AD7">
        <w:rPr>
          <w:rFonts w:ascii="Arial" w:hAnsi="Arial" w:cs="Arial"/>
          <w:bCs/>
          <w:vertAlign w:val="superscript"/>
        </w:rPr>
        <w:t xml:space="preserve"> </w:t>
      </w:r>
      <w:r w:rsidR="00EC2140" w:rsidRPr="007F6AD7">
        <w:rPr>
          <w:rFonts w:ascii="Arial" w:hAnsi="Arial" w:cs="Arial"/>
          <w:bCs/>
          <w:vertAlign w:val="superscript"/>
        </w:rPr>
        <w:footnoteReference w:id="175"/>
      </w:r>
      <w:r w:rsidR="00EC2140" w:rsidRPr="007F6AD7">
        <w:rPr>
          <w:rFonts w:ascii="Arial" w:hAnsi="Arial" w:cs="Arial"/>
          <w:lang w:eastAsia="es-ES"/>
        </w:rPr>
        <w:t xml:space="preserve"> </w:t>
      </w:r>
      <w:r w:rsidR="008879FB" w:rsidRPr="007F6AD7">
        <w:rPr>
          <w:rFonts w:ascii="Arial" w:hAnsi="Arial" w:cs="Arial"/>
          <w:bCs/>
        </w:rPr>
        <w:t xml:space="preserve"> ni la </w:t>
      </w:r>
      <w:r w:rsidR="007278FA" w:rsidRPr="007F6AD7">
        <w:rPr>
          <w:rFonts w:ascii="Arial" w:hAnsi="Arial" w:cs="Arial"/>
          <w:bCs/>
        </w:rPr>
        <w:t xml:space="preserve">solución efectiva </w:t>
      </w:r>
      <w:r w:rsidR="008879FB" w:rsidRPr="007F6AD7">
        <w:rPr>
          <w:rFonts w:ascii="Arial" w:hAnsi="Arial" w:cs="Arial"/>
          <w:bCs/>
        </w:rPr>
        <w:t>si se comprueba fundada la denuncia</w:t>
      </w:r>
      <w:r w:rsidR="00C12397">
        <w:rPr>
          <w:rFonts w:ascii="Arial" w:hAnsi="Arial" w:cs="Arial"/>
          <w:bCs/>
        </w:rPr>
        <w:t>.</w:t>
      </w:r>
      <w:r w:rsidR="00212381" w:rsidRPr="00212381">
        <w:rPr>
          <w:rFonts w:ascii="Arial" w:hAnsi="Arial" w:cs="Arial"/>
        </w:rPr>
        <w:t xml:space="preserve"> </w:t>
      </w:r>
      <w:r w:rsidR="00212381" w:rsidRPr="00212381">
        <w:rPr>
          <w:rFonts w:ascii="Arial" w:hAnsi="Arial" w:cs="Arial"/>
          <w:bCs/>
        </w:rPr>
        <w:t>Hasta el presente no se ha previsto la modificación de este sistema</w:t>
      </w:r>
      <w:r w:rsidR="00212381">
        <w:rPr>
          <w:rFonts w:ascii="Arial" w:hAnsi="Arial" w:cs="Arial"/>
          <w:bCs/>
        </w:rPr>
        <w:t>.</w:t>
      </w:r>
      <w:r w:rsidR="00212381">
        <w:rPr>
          <w:rFonts w:ascii="Arial" w:hAnsi="Arial" w:cs="Arial"/>
          <w:vertAlign w:val="superscript"/>
        </w:rPr>
        <w:footnoteReference w:id="176"/>
      </w:r>
      <w:r w:rsidR="00212381">
        <w:rPr>
          <w:rFonts w:ascii="Arial" w:hAnsi="Arial" w:cs="Arial"/>
          <w:vertAlign w:val="superscript"/>
        </w:rPr>
        <w:t xml:space="preserve"> ,</w:t>
      </w:r>
      <w:r w:rsidR="00212381">
        <w:rPr>
          <w:rFonts w:ascii="Arial" w:hAnsi="Arial" w:cs="Arial"/>
          <w:vertAlign w:val="superscript"/>
        </w:rPr>
        <w:footnoteReference w:id="177"/>
      </w:r>
      <w:r w:rsidR="00212381">
        <w:rPr>
          <w:rFonts w:ascii="Arial" w:hAnsi="Arial" w:cs="Arial"/>
          <w:vertAlign w:val="superscript"/>
        </w:rPr>
        <w:t xml:space="preserve">  </w:t>
      </w:r>
      <w:r w:rsidR="00212381">
        <w:rPr>
          <w:rFonts w:ascii="Times New Roman" w:eastAsia="STKaiti" w:hAnsi="Times New Roman"/>
          <w:sz w:val="24"/>
          <w:szCs w:val="24"/>
          <w:lang w:eastAsia="es-ES"/>
        </w:rPr>
        <w:t xml:space="preserve"> </w:t>
      </w:r>
    </w:p>
    <w:p w14:paraId="32334A51" w14:textId="4C0D7784" w:rsidR="002602ED" w:rsidRPr="007F6AD7" w:rsidRDefault="00292B79" w:rsidP="00001B78">
      <w:pPr>
        <w:pStyle w:val="Ttulo3"/>
      </w:pPr>
      <w:bookmarkStart w:id="96" w:name="_Toc515359802"/>
      <w:r w:rsidRPr="007F6AD7">
        <w:t>L</w:t>
      </w:r>
      <w:r w:rsidR="0026643E" w:rsidRPr="007F6AD7">
        <w:t xml:space="preserve">a </w:t>
      </w:r>
      <w:r w:rsidR="00DB527F" w:rsidRPr="007F6AD7">
        <w:t>d</w:t>
      </w:r>
      <w:r w:rsidR="002602ED" w:rsidRPr="007F6AD7">
        <w:t>iscapacidad</w:t>
      </w:r>
      <w:r w:rsidRPr="007F6AD7">
        <w:t>,</w:t>
      </w:r>
      <w:r w:rsidR="0026643E" w:rsidRPr="007F6AD7">
        <w:t xml:space="preserve"> un </w:t>
      </w:r>
      <w:r w:rsidR="00DB527F" w:rsidRPr="007F6AD7">
        <w:t>m</w:t>
      </w:r>
      <w:r w:rsidR="0026643E" w:rsidRPr="007F6AD7">
        <w:t xml:space="preserve">otivo </w:t>
      </w:r>
      <w:r w:rsidR="00DB527F" w:rsidRPr="007F6AD7">
        <w:t>p</w:t>
      </w:r>
      <w:r w:rsidR="0026643E" w:rsidRPr="007F6AD7">
        <w:t>rotegido</w:t>
      </w:r>
      <w:r w:rsidRPr="007F6AD7">
        <w:t xml:space="preserve"> por la ICERD</w:t>
      </w:r>
      <w:bookmarkEnd w:id="96"/>
    </w:p>
    <w:p w14:paraId="5E71FD57" w14:textId="3C1469A3" w:rsidR="00D93994" w:rsidRPr="00C12397" w:rsidRDefault="00D836A9" w:rsidP="00D836A9">
      <w:pPr>
        <w:tabs>
          <w:tab w:val="left" w:pos="567"/>
        </w:tabs>
        <w:spacing w:after="0" w:line="360" w:lineRule="auto"/>
        <w:jc w:val="both"/>
        <w:rPr>
          <w:rFonts w:ascii="Times New Roman" w:eastAsia="STKaiti" w:hAnsi="Times New Roman"/>
          <w:sz w:val="24"/>
          <w:szCs w:val="24"/>
          <w:lang w:eastAsia="es-ES"/>
        </w:rPr>
      </w:pPr>
      <w:r>
        <w:rPr>
          <w:rFonts w:ascii="Arial" w:hAnsi="Arial" w:cs="Arial"/>
        </w:rPr>
        <w:t xml:space="preserve">38.   </w:t>
      </w:r>
      <w:r w:rsidRPr="007F6AD7">
        <w:rPr>
          <w:rFonts w:ascii="Arial" w:hAnsi="Arial" w:cs="Arial"/>
        </w:rPr>
        <w:t>La discapacidad en NNA aparece con más frecuencia en zonas rurales que en zonas urbanas. En general, las cifras más elevadas en zonas rurales las obtienen municipios de la parte centro oriental y oriental del país, donde se concentran los NNA de color no blanco.</w:t>
      </w:r>
      <w:r w:rsidRPr="007F6AD7">
        <w:rPr>
          <w:rStyle w:val="Refdenotaalpie"/>
          <w:rFonts w:ascii="Arial" w:hAnsi="Arial" w:cs="Arial"/>
        </w:rPr>
        <w:footnoteReference w:id="178"/>
      </w:r>
      <w:r w:rsidRPr="007F6AD7">
        <w:rPr>
          <w:rFonts w:ascii="Arial" w:hAnsi="Arial" w:cs="Arial"/>
        </w:rPr>
        <w:t xml:space="preserve"> Las discapacidades más frecuentes en niños y adolescentes resultaron el débil visual y el retraso mental, que concentran el 57 % del total de las discapacidades. </w:t>
      </w:r>
      <w:r w:rsidR="004B537A" w:rsidRPr="007F6AD7">
        <w:rPr>
          <w:rFonts w:ascii="Arial" w:hAnsi="Arial" w:cs="Arial"/>
        </w:rPr>
        <w:t>El Censo</w:t>
      </w:r>
      <w:r w:rsidR="00292B79" w:rsidRPr="007F6AD7">
        <w:rPr>
          <w:rFonts w:ascii="Arial" w:hAnsi="Arial" w:cs="Arial"/>
        </w:rPr>
        <w:t xml:space="preserve"> de Población y Viviendas </w:t>
      </w:r>
      <w:r w:rsidR="004B537A" w:rsidRPr="007F6AD7">
        <w:rPr>
          <w:rFonts w:ascii="Arial" w:hAnsi="Arial" w:cs="Arial"/>
        </w:rPr>
        <w:t xml:space="preserve">2012 registró un total de 41 374 niños, </w:t>
      </w:r>
      <w:r w:rsidR="003F7FBC" w:rsidRPr="007F6AD7">
        <w:rPr>
          <w:rFonts w:ascii="Arial" w:hAnsi="Arial" w:cs="Arial"/>
        </w:rPr>
        <w:t>niñas y</w:t>
      </w:r>
      <w:r w:rsidR="004B537A" w:rsidRPr="007F6AD7">
        <w:rPr>
          <w:rFonts w:ascii="Arial" w:hAnsi="Arial" w:cs="Arial"/>
        </w:rPr>
        <w:t xml:space="preserve"> adolescentes con alguna discapacidad.</w:t>
      </w:r>
      <w:r w:rsidR="00163E30" w:rsidRPr="007F6AD7">
        <w:rPr>
          <w:rFonts w:ascii="Arial" w:hAnsi="Arial" w:cs="Arial"/>
        </w:rPr>
        <w:t xml:space="preserve"> </w:t>
      </w:r>
      <w:r w:rsidR="00C12397">
        <w:rPr>
          <w:rStyle w:val="Refdenotaalpie"/>
          <w:rFonts w:ascii="Arial" w:hAnsi="Arial" w:cs="Arial"/>
        </w:rPr>
        <w:footnoteReference w:id="179"/>
      </w:r>
      <w:r w:rsidR="00C12397">
        <w:rPr>
          <w:rFonts w:ascii="Arial" w:hAnsi="Arial" w:cs="Arial"/>
        </w:rPr>
        <w:t xml:space="preserve"> </w:t>
      </w:r>
      <w:r w:rsidR="00566666" w:rsidRPr="007F6AD7">
        <w:rPr>
          <w:rFonts w:ascii="Arial" w:hAnsi="Arial" w:cs="Arial"/>
        </w:rPr>
        <w:t>L</w:t>
      </w:r>
      <w:r w:rsidR="004B537A" w:rsidRPr="007F6AD7">
        <w:rPr>
          <w:rFonts w:ascii="Arial" w:hAnsi="Arial" w:cs="Arial"/>
        </w:rPr>
        <w:t>a mitad de</w:t>
      </w:r>
      <w:r w:rsidR="00566666" w:rsidRPr="007F6AD7">
        <w:rPr>
          <w:rFonts w:ascii="Arial" w:hAnsi="Arial" w:cs="Arial"/>
        </w:rPr>
        <w:t>l</w:t>
      </w:r>
      <w:r w:rsidR="004B537A" w:rsidRPr="007F6AD7">
        <w:rPr>
          <w:rFonts w:ascii="Arial" w:hAnsi="Arial" w:cs="Arial"/>
        </w:rPr>
        <w:t xml:space="preserve"> total</w:t>
      </w:r>
      <w:r w:rsidR="00566666" w:rsidRPr="007F6AD7">
        <w:rPr>
          <w:rFonts w:ascii="Arial" w:hAnsi="Arial" w:cs="Arial"/>
        </w:rPr>
        <w:t xml:space="preserve"> </w:t>
      </w:r>
      <w:r w:rsidR="003F7FBC" w:rsidRPr="007F6AD7">
        <w:rPr>
          <w:rFonts w:ascii="Arial" w:hAnsi="Arial" w:cs="Arial"/>
        </w:rPr>
        <w:t xml:space="preserve">de </w:t>
      </w:r>
      <w:r w:rsidR="00D4381C" w:rsidRPr="007F6AD7">
        <w:rPr>
          <w:rFonts w:ascii="Arial" w:hAnsi="Arial" w:cs="Arial"/>
        </w:rPr>
        <w:t xml:space="preserve">estos </w:t>
      </w:r>
      <w:r w:rsidR="003F7FBC" w:rsidRPr="007F6AD7">
        <w:rPr>
          <w:rFonts w:ascii="Arial" w:hAnsi="Arial" w:cs="Arial"/>
        </w:rPr>
        <w:t>discapacitados</w:t>
      </w:r>
      <w:r w:rsidR="00566666" w:rsidRPr="007F6AD7">
        <w:rPr>
          <w:rFonts w:ascii="Arial" w:hAnsi="Arial" w:cs="Arial"/>
        </w:rPr>
        <w:t xml:space="preserve"> se </w:t>
      </w:r>
      <w:r w:rsidR="00163E30" w:rsidRPr="007F6AD7">
        <w:rPr>
          <w:rFonts w:ascii="Arial" w:hAnsi="Arial" w:cs="Arial"/>
        </w:rPr>
        <w:t>concentra en</w:t>
      </w:r>
      <w:r w:rsidR="004B537A" w:rsidRPr="007F6AD7">
        <w:rPr>
          <w:rFonts w:ascii="Arial" w:hAnsi="Arial" w:cs="Arial"/>
        </w:rPr>
        <w:t xml:space="preserve"> los grupos de edades más altos </w:t>
      </w:r>
      <w:r w:rsidR="00163E30" w:rsidRPr="007F6AD7">
        <w:rPr>
          <w:rFonts w:ascii="Arial" w:hAnsi="Arial" w:cs="Arial"/>
        </w:rPr>
        <w:t>(de</w:t>
      </w:r>
      <w:r w:rsidR="004B537A" w:rsidRPr="007F6AD7">
        <w:rPr>
          <w:rFonts w:ascii="Arial" w:hAnsi="Arial" w:cs="Arial"/>
        </w:rPr>
        <w:t xml:space="preserve"> 12 a 17 años)</w:t>
      </w:r>
      <w:r w:rsidR="00163E30" w:rsidRPr="007F6AD7">
        <w:rPr>
          <w:rFonts w:ascii="Arial" w:hAnsi="Arial" w:cs="Arial"/>
        </w:rPr>
        <w:t xml:space="preserve">. </w:t>
      </w:r>
      <w:r w:rsidR="00566666" w:rsidRPr="007F6AD7">
        <w:rPr>
          <w:rFonts w:ascii="Arial" w:hAnsi="Arial" w:cs="Arial"/>
        </w:rPr>
        <w:t>La limitación físico motora</w:t>
      </w:r>
      <w:r w:rsidR="003F7FBC" w:rsidRPr="007F6AD7">
        <w:rPr>
          <w:rFonts w:ascii="Arial" w:hAnsi="Arial" w:cs="Arial"/>
        </w:rPr>
        <w:t xml:space="preserve"> (17%)</w:t>
      </w:r>
      <w:r w:rsidR="00566666" w:rsidRPr="007F6AD7">
        <w:rPr>
          <w:rFonts w:ascii="Arial" w:hAnsi="Arial" w:cs="Arial"/>
        </w:rPr>
        <w:t xml:space="preserve"> y la deficiencia permanente del habla</w:t>
      </w:r>
      <w:r w:rsidR="003F7FBC" w:rsidRPr="007F6AD7">
        <w:rPr>
          <w:rFonts w:ascii="Arial" w:hAnsi="Arial" w:cs="Arial"/>
        </w:rPr>
        <w:t xml:space="preserve"> (10%)</w:t>
      </w:r>
      <w:r w:rsidR="00566666" w:rsidRPr="007F6AD7">
        <w:rPr>
          <w:rFonts w:ascii="Arial" w:hAnsi="Arial" w:cs="Arial"/>
        </w:rPr>
        <w:t xml:space="preserve"> </w:t>
      </w:r>
      <w:r w:rsidR="002730EF" w:rsidRPr="007F6AD7">
        <w:rPr>
          <w:rFonts w:ascii="Arial" w:hAnsi="Arial" w:cs="Arial"/>
        </w:rPr>
        <w:t>alcanzan juntos un</w:t>
      </w:r>
      <w:r w:rsidR="00566666" w:rsidRPr="007F6AD7">
        <w:rPr>
          <w:rFonts w:ascii="Arial" w:hAnsi="Arial" w:cs="Arial"/>
        </w:rPr>
        <w:t xml:space="preserve"> 27</w:t>
      </w:r>
      <w:r w:rsidR="002730EF" w:rsidRPr="007F6AD7">
        <w:rPr>
          <w:rFonts w:ascii="Arial" w:hAnsi="Arial" w:cs="Arial"/>
        </w:rPr>
        <w:t>% de</w:t>
      </w:r>
      <w:r w:rsidR="003F7FBC" w:rsidRPr="007F6AD7">
        <w:rPr>
          <w:rFonts w:ascii="Arial" w:hAnsi="Arial" w:cs="Arial"/>
        </w:rPr>
        <w:t xml:space="preserve"> </w:t>
      </w:r>
      <w:r w:rsidR="002730EF" w:rsidRPr="007F6AD7">
        <w:rPr>
          <w:rFonts w:ascii="Arial" w:hAnsi="Arial" w:cs="Arial"/>
        </w:rPr>
        <w:t>incidencia.</w:t>
      </w:r>
      <w:r w:rsidR="00C12397" w:rsidRPr="00C12397">
        <w:rPr>
          <w:rStyle w:val="Ttulo4Car"/>
          <w:rFonts w:ascii="Arial" w:hAnsi="Arial"/>
        </w:rPr>
        <w:t xml:space="preserve"> </w:t>
      </w:r>
      <w:r w:rsidR="00C12397">
        <w:rPr>
          <w:rStyle w:val="Refdenotaalpie"/>
          <w:rFonts w:ascii="Arial" w:hAnsi="Arial"/>
        </w:rPr>
        <w:footnoteReference w:id="180"/>
      </w:r>
      <w:r w:rsidR="00C12397">
        <w:rPr>
          <w:rFonts w:ascii="Arial" w:hAnsi="Arial" w:cs="Arial"/>
          <w:vertAlign w:val="superscript"/>
        </w:rPr>
        <w:t xml:space="preserve"> </w:t>
      </w:r>
    </w:p>
    <w:p w14:paraId="5020543E" w14:textId="34B8D740" w:rsidR="002F7715" w:rsidRPr="007F6AD7" w:rsidRDefault="00D836A9" w:rsidP="002658A6">
      <w:pPr>
        <w:tabs>
          <w:tab w:val="left" w:pos="567"/>
        </w:tabs>
        <w:spacing w:after="0" w:line="360" w:lineRule="auto"/>
        <w:jc w:val="both"/>
        <w:rPr>
          <w:rFonts w:ascii="Arial" w:hAnsi="Arial" w:cs="Arial"/>
        </w:rPr>
      </w:pPr>
      <w:r>
        <w:rPr>
          <w:rFonts w:ascii="Arial" w:hAnsi="Arial" w:cs="Arial"/>
        </w:rPr>
        <w:t xml:space="preserve">39.   </w:t>
      </w:r>
      <w:r w:rsidR="002658A6">
        <w:rPr>
          <w:rFonts w:ascii="Arial" w:hAnsi="Arial" w:cs="Arial"/>
        </w:rPr>
        <w:t>P</w:t>
      </w:r>
      <w:r w:rsidRPr="007F6AD7">
        <w:rPr>
          <w:rFonts w:ascii="Arial" w:hAnsi="Arial" w:cs="Arial"/>
        </w:rPr>
        <w:t>ersonas con discapacidad</w:t>
      </w:r>
      <w:r w:rsidRPr="007F6AD7">
        <w:rPr>
          <w:rStyle w:val="Refdenotaalpie"/>
          <w:rFonts w:ascii="Arial" w:hAnsi="Arial" w:cs="Arial"/>
        </w:rPr>
        <w:footnoteReference w:id="181"/>
      </w:r>
      <w:r w:rsidRPr="007F6AD7">
        <w:rPr>
          <w:rFonts w:ascii="Arial" w:hAnsi="Arial" w:cs="Arial"/>
        </w:rPr>
        <w:t xml:space="preserve"> </w:t>
      </w:r>
      <w:r w:rsidR="002658A6">
        <w:rPr>
          <w:rFonts w:ascii="Arial" w:hAnsi="Arial" w:cs="Arial"/>
        </w:rPr>
        <w:t>y</w:t>
      </w:r>
      <w:r w:rsidR="002658A6" w:rsidRPr="007F6AD7">
        <w:rPr>
          <w:rFonts w:ascii="Arial" w:hAnsi="Arial" w:cs="Arial"/>
        </w:rPr>
        <w:t xml:space="preserve"> </w:t>
      </w:r>
      <w:r w:rsidR="002658A6">
        <w:rPr>
          <w:rFonts w:ascii="Arial" w:hAnsi="Arial" w:cs="Arial"/>
        </w:rPr>
        <w:t>sus m</w:t>
      </w:r>
      <w:r w:rsidR="002658A6" w:rsidRPr="007F6AD7">
        <w:rPr>
          <w:rFonts w:ascii="Arial" w:hAnsi="Arial" w:cs="Arial"/>
        </w:rPr>
        <w:t xml:space="preserve">ovimientos sociales </w:t>
      </w:r>
      <w:r w:rsidR="002658A6">
        <w:rPr>
          <w:rFonts w:ascii="Arial" w:hAnsi="Arial" w:cs="Arial"/>
        </w:rPr>
        <w:t>sufren discriminación</w:t>
      </w:r>
      <w:r w:rsidR="006E097A" w:rsidRPr="007F6AD7">
        <w:rPr>
          <w:rFonts w:ascii="Arial" w:hAnsi="Arial" w:cs="Arial"/>
        </w:rPr>
        <w:t>.</w:t>
      </w:r>
      <w:r w:rsidR="00DC4B3B" w:rsidRPr="007F6AD7">
        <w:rPr>
          <w:rFonts w:ascii="Arial" w:hAnsi="Arial" w:cs="Arial"/>
        </w:rPr>
        <w:t xml:space="preserve"> </w:t>
      </w:r>
      <w:r w:rsidR="002658A6">
        <w:rPr>
          <w:rFonts w:ascii="Arial" w:hAnsi="Arial" w:cs="Arial"/>
        </w:rPr>
        <w:t xml:space="preserve">También </w:t>
      </w:r>
      <w:r w:rsidR="002658A6" w:rsidRPr="007F6AD7">
        <w:rPr>
          <w:rFonts w:ascii="Arial" w:hAnsi="Arial" w:cs="Arial"/>
        </w:rPr>
        <w:t>ACDEI</w:t>
      </w:r>
      <w:r w:rsidR="002658A6">
        <w:rPr>
          <w:rFonts w:ascii="Arial" w:hAnsi="Arial" w:cs="Arial"/>
        </w:rPr>
        <w:t xml:space="preserve"> tiene</w:t>
      </w:r>
      <w:r w:rsidR="00DC4B3B" w:rsidRPr="007F6AD7">
        <w:rPr>
          <w:rFonts w:ascii="Arial" w:hAnsi="Arial" w:cs="Arial"/>
        </w:rPr>
        <w:t xml:space="preserve"> c</w:t>
      </w:r>
      <w:r w:rsidR="00EE1343" w:rsidRPr="007F6AD7">
        <w:rPr>
          <w:rFonts w:ascii="Arial" w:hAnsi="Arial" w:cs="Arial"/>
        </w:rPr>
        <w:t>asos</w:t>
      </w:r>
      <w:r w:rsidR="00DC4B3B" w:rsidRPr="007F6AD7">
        <w:rPr>
          <w:rFonts w:ascii="Arial" w:hAnsi="Arial" w:cs="Arial"/>
        </w:rPr>
        <w:t xml:space="preserve"> reportados </w:t>
      </w:r>
      <w:r w:rsidR="00EE1343" w:rsidRPr="007F6AD7">
        <w:rPr>
          <w:rFonts w:ascii="Arial" w:hAnsi="Arial" w:cs="Arial"/>
        </w:rPr>
        <w:t xml:space="preserve">de NNA con padres enfermos de VIH </w:t>
      </w:r>
      <w:r w:rsidR="00DC4B3B" w:rsidRPr="007F6AD7">
        <w:rPr>
          <w:rFonts w:ascii="Arial" w:hAnsi="Arial" w:cs="Arial"/>
        </w:rPr>
        <w:t xml:space="preserve">que han </w:t>
      </w:r>
      <w:r w:rsidR="00EE1343" w:rsidRPr="007F6AD7">
        <w:rPr>
          <w:rFonts w:ascii="Arial" w:hAnsi="Arial" w:cs="Arial"/>
        </w:rPr>
        <w:t>sufr</w:t>
      </w:r>
      <w:r w:rsidR="00DC4B3B" w:rsidRPr="007F6AD7">
        <w:rPr>
          <w:rFonts w:ascii="Arial" w:hAnsi="Arial" w:cs="Arial"/>
        </w:rPr>
        <w:t>ido</w:t>
      </w:r>
      <w:r w:rsidR="00EE1343" w:rsidRPr="007F6AD7">
        <w:rPr>
          <w:rFonts w:ascii="Arial" w:hAnsi="Arial" w:cs="Arial"/>
        </w:rPr>
        <w:t xml:space="preserve"> acoso escolar</w:t>
      </w:r>
      <w:r w:rsidR="00DC4B3B" w:rsidRPr="007F6AD7">
        <w:rPr>
          <w:rFonts w:ascii="Arial" w:hAnsi="Arial" w:cs="Arial"/>
        </w:rPr>
        <w:t>.</w:t>
      </w:r>
      <w:r w:rsidR="00EE1343" w:rsidRPr="007F6AD7">
        <w:rPr>
          <w:rFonts w:ascii="Arial" w:hAnsi="Arial" w:cs="Arial"/>
        </w:rPr>
        <w:t xml:space="preserve"> </w:t>
      </w:r>
      <w:r w:rsidR="00E169B5" w:rsidRPr="007F6AD7">
        <w:rPr>
          <w:rFonts w:ascii="Arial" w:hAnsi="Arial" w:cs="Arial"/>
        </w:rPr>
        <w:lastRenderedPageBreak/>
        <w:t>Recientemente</w:t>
      </w:r>
      <w:r w:rsidR="002602ED" w:rsidRPr="007F6AD7">
        <w:rPr>
          <w:rFonts w:ascii="Arial" w:hAnsi="Arial" w:cs="Arial"/>
        </w:rPr>
        <w:t xml:space="preserve"> la Red de Cultura Inclusiva</w:t>
      </w:r>
      <w:r w:rsidR="00E169B5" w:rsidRPr="007F6AD7">
        <w:rPr>
          <w:rFonts w:ascii="Arial" w:hAnsi="Arial" w:cs="Arial"/>
        </w:rPr>
        <w:t xml:space="preserve"> ha informado sobre la situación de los discapacitados en Cuba</w:t>
      </w:r>
      <w:r w:rsidR="002602ED" w:rsidRPr="007F6AD7">
        <w:rPr>
          <w:rFonts w:ascii="Arial" w:hAnsi="Arial" w:cs="Arial"/>
        </w:rPr>
        <w:t xml:space="preserve">. </w:t>
      </w:r>
      <w:r w:rsidR="002602ED" w:rsidRPr="007F6AD7">
        <w:rPr>
          <w:rStyle w:val="Refdenotaalpie"/>
          <w:rFonts w:ascii="Arial" w:hAnsi="Arial" w:cs="Arial"/>
        </w:rPr>
        <w:footnoteReference w:id="182"/>
      </w:r>
      <w:r w:rsidR="002602ED" w:rsidRPr="007F6AD7">
        <w:rPr>
          <w:rFonts w:ascii="Arial" w:hAnsi="Arial" w:cs="Arial"/>
        </w:rPr>
        <w:t xml:space="preserve"> Informaciones disponibles</w:t>
      </w:r>
      <w:r w:rsidR="002F7715" w:rsidRPr="007F6AD7">
        <w:rPr>
          <w:rFonts w:ascii="Arial" w:hAnsi="Arial" w:cs="Arial"/>
        </w:rPr>
        <w:t xml:space="preserve"> </w:t>
      </w:r>
      <w:r w:rsidR="002602ED" w:rsidRPr="007F6AD7">
        <w:rPr>
          <w:rFonts w:ascii="Arial" w:hAnsi="Arial" w:cs="Arial"/>
        </w:rPr>
        <w:t xml:space="preserve">evidencian que al menos seis personas con discapacidad están siendo discriminadas debido a sus ideas y opiniones. A Juan del Pilar Goberna Hernández y Alcibiade Idelmaro Brizuela Angulo no se les permite asociarse a la Asociación Nacional de Ciegos y Débiles Visuales (ANCI)   por ser defensores de los derechos humanos. El Sr. Goberna perdió totalmente la vista a una edad avanzada (66 años) y debido a que hasta la fecha no ha podido recibir clases de Braille y del uso del bastón, depende de su esposa para realizar sus actividades diarias. </w:t>
      </w:r>
      <w:r w:rsidR="00E169B5" w:rsidRPr="007F6AD7">
        <w:rPr>
          <w:rFonts w:ascii="Arial" w:hAnsi="Arial" w:cs="Arial"/>
        </w:rPr>
        <w:t>En marzo (2018)</w:t>
      </w:r>
      <w:r w:rsidR="002602ED" w:rsidRPr="007F6AD7">
        <w:rPr>
          <w:rFonts w:ascii="Arial" w:hAnsi="Arial" w:cs="Arial"/>
        </w:rPr>
        <w:t xml:space="preserve"> no pudo asistir a un evento de la ONU pues a su esposa le prohíben viajar al extranjero </w:t>
      </w:r>
      <w:r w:rsidR="002602ED" w:rsidRPr="007F6AD7">
        <w:rPr>
          <w:rStyle w:val="Refdenotaalpie"/>
          <w:rFonts w:ascii="Arial" w:hAnsi="Arial" w:cs="Arial"/>
        </w:rPr>
        <w:footnoteReference w:id="183"/>
      </w:r>
      <w:r w:rsidR="002602ED" w:rsidRPr="007F6AD7">
        <w:rPr>
          <w:rFonts w:ascii="Arial" w:hAnsi="Arial" w:cs="Arial"/>
        </w:rPr>
        <w:t xml:space="preserve"> </w:t>
      </w:r>
      <w:r w:rsidR="002602ED" w:rsidRPr="007F6AD7">
        <w:rPr>
          <w:rFonts w:ascii="Arial" w:hAnsi="Arial" w:cs="Arial"/>
          <w:vertAlign w:val="superscript"/>
        </w:rPr>
        <w:t xml:space="preserve">, </w:t>
      </w:r>
      <w:r w:rsidR="002602ED" w:rsidRPr="007F6AD7">
        <w:rPr>
          <w:rStyle w:val="Refdenotaalpie"/>
          <w:rFonts w:ascii="Arial" w:hAnsi="Arial" w:cs="Arial"/>
        </w:rPr>
        <w:footnoteReference w:id="184"/>
      </w:r>
      <w:r w:rsidR="002602ED" w:rsidRPr="007F6AD7">
        <w:rPr>
          <w:rFonts w:ascii="Arial" w:hAnsi="Arial" w:cs="Arial"/>
          <w:vertAlign w:val="superscript"/>
        </w:rPr>
        <w:t xml:space="preserve"> </w:t>
      </w:r>
      <w:r w:rsidR="002602ED" w:rsidRPr="007F6AD7">
        <w:rPr>
          <w:rFonts w:ascii="Arial" w:hAnsi="Arial" w:cs="Arial"/>
        </w:rPr>
        <w:t xml:space="preserve">presuntamente por causa de su activismo en pro de las personas discapacitadas. </w:t>
      </w:r>
    </w:p>
    <w:p w14:paraId="6F5D5632" w14:textId="534E7BB1" w:rsidR="002602ED" w:rsidRPr="007F6AD7" w:rsidRDefault="002658A6" w:rsidP="006C3A4B">
      <w:pPr>
        <w:spacing w:after="0" w:line="360" w:lineRule="auto"/>
        <w:jc w:val="both"/>
        <w:rPr>
          <w:rFonts w:ascii="Arial" w:hAnsi="Arial" w:cs="Arial"/>
          <w:lang w:eastAsia="es-ES"/>
        </w:rPr>
      </w:pPr>
      <w:r>
        <w:rPr>
          <w:rFonts w:ascii="Arial" w:hAnsi="Arial" w:cs="Arial"/>
        </w:rPr>
        <w:t xml:space="preserve">40.   </w:t>
      </w:r>
      <w:r w:rsidR="002602ED" w:rsidRPr="007F6AD7">
        <w:rPr>
          <w:rFonts w:ascii="Arial" w:hAnsi="Arial" w:cs="Arial"/>
        </w:rPr>
        <w:t>No poseer un carné de asociado a la ANCI, impide a las personas ciegas y débiles visuales disfrutar de los beneficios que están estipulados como el pago del 50% de los costos de pasaje y otros servicios fundamentales.</w:t>
      </w:r>
      <w:r w:rsidR="002F7715" w:rsidRPr="007F6AD7">
        <w:rPr>
          <w:rFonts w:ascii="Arial" w:hAnsi="Arial" w:cs="Arial"/>
        </w:rPr>
        <w:t xml:space="preserve"> </w:t>
      </w:r>
      <w:r w:rsidR="002602ED" w:rsidRPr="007F6AD7">
        <w:rPr>
          <w:rFonts w:ascii="Arial" w:hAnsi="Arial" w:cs="Arial"/>
        </w:rPr>
        <w:t>Enrique Pérez González, lleva 17 años sin casa y fue expulsado de la Asociación Nacional de Sordos de Cuba por ser considerado opositor.</w:t>
      </w:r>
      <w:r w:rsidR="002602ED" w:rsidRPr="007F6AD7">
        <w:rPr>
          <w:rStyle w:val="Refdenotaalpie"/>
          <w:rFonts w:ascii="Arial" w:hAnsi="Arial" w:cs="Arial"/>
        </w:rPr>
        <w:footnoteReference w:id="185"/>
      </w:r>
      <w:r w:rsidR="002602ED" w:rsidRPr="007F6AD7">
        <w:rPr>
          <w:rFonts w:ascii="Arial" w:hAnsi="Arial" w:cs="Arial"/>
        </w:rPr>
        <w:t xml:space="preserve"> </w:t>
      </w:r>
      <w:r w:rsidR="009E25A1" w:rsidRPr="007F6AD7">
        <w:rPr>
          <w:rFonts w:ascii="Arial" w:hAnsi="Arial" w:cs="Arial"/>
        </w:rPr>
        <w:t xml:space="preserve">Desde hace varios años </w:t>
      </w:r>
      <w:r w:rsidR="002602ED" w:rsidRPr="007F6AD7">
        <w:rPr>
          <w:rFonts w:ascii="Arial" w:hAnsi="Arial" w:cs="Arial"/>
        </w:rPr>
        <w:t>Juana Rodríguez Crespo,</w:t>
      </w:r>
      <w:r w:rsidR="009E25A1" w:rsidRPr="007F6AD7">
        <w:rPr>
          <w:rStyle w:val="Ttulo3Car"/>
          <w:rFonts w:ascii="Arial" w:hAnsi="Arial"/>
          <w:b/>
        </w:rPr>
        <w:t xml:space="preserve"> </w:t>
      </w:r>
      <w:r w:rsidR="009E25A1" w:rsidRPr="007F6AD7">
        <w:rPr>
          <w:rStyle w:val="Refdenotaalpie"/>
          <w:rFonts w:ascii="Arial" w:hAnsi="Arial" w:cs="Arial"/>
          <w:b/>
        </w:rPr>
        <w:footnoteReference w:id="186"/>
      </w:r>
      <w:r w:rsidR="009E25A1" w:rsidRPr="007F6AD7">
        <w:rPr>
          <w:rFonts w:ascii="Arial" w:hAnsi="Arial" w:cs="Arial"/>
          <w:lang w:eastAsia="es-ES"/>
        </w:rPr>
        <w:t xml:space="preserve"> </w:t>
      </w:r>
      <w:r w:rsidR="002602ED" w:rsidRPr="007F6AD7">
        <w:rPr>
          <w:rFonts w:ascii="Arial" w:hAnsi="Arial" w:cs="Arial"/>
        </w:rPr>
        <w:t xml:space="preserve"> enferma de VIH, </w:t>
      </w:r>
      <w:r w:rsidR="009E25A1" w:rsidRPr="007F6AD7">
        <w:rPr>
          <w:rFonts w:ascii="Arial" w:hAnsi="Arial" w:cs="Arial"/>
        </w:rPr>
        <w:t>convive en</w:t>
      </w:r>
      <w:r w:rsidR="002602ED" w:rsidRPr="007F6AD7">
        <w:rPr>
          <w:rFonts w:ascii="Arial" w:hAnsi="Arial" w:cs="Arial"/>
        </w:rPr>
        <w:t xml:space="preserve"> un albergue con su hija, madre </w:t>
      </w:r>
      <w:r w:rsidR="00CF2F8D" w:rsidRPr="007F6AD7">
        <w:rPr>
          <w:rFonts w:ascii="Arial" w:hAnsi="Arial" w:cs="Arial"/>
        </w:rPr>
        <w:t>soltera y</w:t>
      </w:r>
      <w:r w:rsidR="002602ED" w:rsidRPr="007F6AD7">
        <w:rPr>
          <w:rFonts w:ascii="Arial" w:hAnsi="Arial" w:cs="Arial"/>
        </w:rPr>
        <w:t xml:space="preserve"> 2 nietos pequeños, uno de ellos enfermo de criptorquidia </w:t>
      </w:r>
      <w:r w:rsidR="00CF2F8D" w:rsidRPr="007F6AD7">
        <w:rPr>
          <w:rFonts w:ascii="Arial" w:hAnsi="Arial" w:cs="Arial"/>
        </w:rPr>
        <w:t>(ya</w:t>
      </w:r>
      <w:r w:rsidR="002602ED" w:rsidRPr="007F6AD7">
        <w:rPr>
          <w:rFonts w:ascii="Arial" w:hAnsi="Arial" w:cs="Arial"/>
        </w:rPr>
        <w:t xml:space="preserve"> perdió un </w:t>
      </w:r>
      <w:r w:rsidR="002730EF" w:rsidRPr="007F6AD7">
        <w:rPr>
          <w:rFonts w:ascii="Arial" w:hAnsi="Arial" w:cs="Arial"/>
        </w:rPr>
        <w:t>testículo)</w:t>
      </w:r>
      <w:r w:rsidR="00703579" w:rsidRPr="007F6AD7">
        <w:rPr>
          <w:rFonts w:ascii="Arial" w:hAnsi="Arial" w:cs="Arial"/>
        </w:rPr>
        <w:t>.</w:t>
      </w:r>
      <w:r w:rsidR="002602ED" w:rsidRPr="007F6AD7">
        <w:rPr>
          <w:rFonts w:ascii="Arial" w:hAnsi="Arial" w:cs="Arial"/>
        </w:rPr>
        <w:t xml:space="preserve"> Diana Rodríguez </w:t>
      </w:r>
      <w:r w:rsidR="002602ED" w:rsidRPr="007F6AD7">
        <w:rPr>
          <w:rFonts w:ascii="Arial" w:hAnsi="Arial" w:cs="Arial"/>
        </w:rPr>
        <w:lastRenderedPageBreak/>
        <w:t xml:space="preserve">Crespo, </w:t>
      </w:r>
      <w:r w:rsidR="002730EF" w:rsidRPr="007F6AD7">
        <w:rPr>
          <w:rFonts w:ascii="Arial" w:hAnsi="Arial" w:cs="Arial"/>
        </w:rPr>
        <w:t>enferma psiquiátrica</w:t>
      </w:r>
      <w:r w:rsidR="002602ED" w:rsidRPr="007F6AD7">
        <w:rPr>
          <w:rFonts w:ascii="Arial" w:hAnsi="Arial" w:cs="Arial"/>
        </w:rPr>
        <w:t>,</w:t>
      </w:r>
      <w:r w:rsidR="00703579" w:rsidRPr="007F6AD7">
        <w:rPr>
          <w:rFonts w:ascii="Arial" w:hAnsi="Arial" w:cs="Arial"/>
        </w:rPr>
        <w:t xml:space="preserve"> vive con su hija en una vivienda declarada inhabitable.</w:t>
      </w:r>
      <w:r w:rsidR="002602ED" w:rsidRPr="007F6AD7">
        <w:rPr>
          <w:rFonts w:ascii="Arial" w:hAnsi="Arial" w:cs="Arial"/>
        </w:rPr>
        <w:t xml:space="preserve"> Estas hermanas afrodescendientes </w:t>
      </w:r>
      <w:r w:rsidR="00703579" w:rsidRPr="007F6AD7">
        <w:rPr>
          <w:rFonts w:ascii="Arial" w:hAnsi="Arial" w:cs="Arial"/>
        </w:rPr>
        <w:t>c</w:t>
      </w:r>
      <w:r w:rsidR="002602ED" w:rsidRPr="007F6AD7">
        <w:rPr>
          <w:rFonts w:ascii="Arial" w:hAnsi="Arial" w:cs="Arial"/>
        </w:rPr>
        <w:t>ontinúan sin apoyo estatal</w:t>
      </w:r>
      <w:r w:rsidR="00703579" w:rsidRPr="007F6AD7">
        <w:rPr>
          <w:rFonts w:ascii="Arial" w:hAnsi="Arial" w:cs="Arial"/>
        </w:rPr>
        <w:t>. S</w:t>
      </w:r>
      <w:r w:rsidR="001E3B4D" w:rsidRPr="007F6AD7">
        <w:rPr>
          <w:rFonts w:ascii="Arial" w:hAnsi="Arial" w:cs="Arial"/>
        </w:rPr>
        <w:t>us limitaciones</w:t>
      </w:r>
      <w:r w:rsidR="002602ED" w:rsidRPr="007F6AD7">
        <w:rPr>
          <w:rFonts w:ascii="Arial" w:hAnsi="Arial" w:cs="Arial"/>
        </w:rPr>
        <w:t xml:space="preserve"> intelectuales y económicas </w:t>
      </w:r>
      <w:r w:rsidR="00292B79" w:rsidRPr="007F6AD7">
        <w:rPr>
          <w:rFonts w:ascii="Arial" w:hAnsi="Arial" w:cs="Arial"/>
        </w:rPr>
        <w:t xml:space="preserve">le </w:t>
      </w:r>
      <w:r w:rsidR="00C25676" w:rsidRPr="007F6AD7">
        <w:rPr>
          <w:rFonts w:ascii="Arial" w:hAnsi="Arial" w:cs="Arial"/>
        </w:rPr>
        <w:t>impiden</w:t>
      </w:r>
      <w:r w:rsidR="002602ED" w:rsidRPr="007F6AD7">
        <w:rPr>
          <w:rFonts w:ascii="Arial" w:hAnsi="Arial" w:cs="Arial"/>
        </w:rPr>
        <w:t xml:space="preserve"> obtener la </w:t>
      </w:r>
      <w:r w:rsidR="001E3B4D" w:rsidRPr="007F6AD7">
        <w:rPr>
          <w:rFonts w:ascii="Arial" w:hAnsi="Arial" w:cs="Arial"/>
        </w:rPr>
        <w:t>documentación de</w:t>
      </w:r>
      <w:r w:rsidR="002602ED" w:rsidRPr="007F6AD7">
        <w:rPr>
          <w:rFonts w:ascii="Arial" w:hAnsi="Arial" w:cs="Arial"/>
        </w:rPr>
        <w:t xml:space="preserve"> su vivienda ubicada en</w:t>
      </w:r>
      <w:r w:rsidR="00703579" w:rsidRPr="007F6AD7">
        <w:rPr>
          <w:rFonts w:ascii="Arial" w:hAnsi="Arial" w:cs="Arial"/>
        </w:rPr>
        <w:t xml:space="preserve"> Buenavista,</w:t>
      </w:r>
      <w:r w:rsidR="002602ED" w:rsidRPr="007F6AD7">
        <w:rPr>
          <w:rFonts w:ascii="Arial" w:hAnsi="Arial" w:cs="Arial"/>
        </w:rPr>
        <w:t xml:space="preserve"> un lugar muy </w:t>
      </w:r>
      <w:r w:rsidR="00304C87">
        <w:rPr>
          <w:rFonts w:ascii="Arial" w:hAnsi="Arial" w:cs="Arial"/>
        </w:rPr>
        <w:t>valorado</w:t>
      </w:r>
      <w:r w:rsidR="00703579" w:rsidRPr="007F6AD7">
        <w:rPr>
          <w:rFonts w:ascii="Arial" w:hAnsi="Arial" w:cs="Arial"/>
        </w:rPr>
        <w:t xml:space="preserve"> por su cercanía al mundialmente </w:t>
      </w:r>
      <w:r w:rsidR="009E25A1" w:rsidRPr="007F6AD7">
        <w:rPr>
          <w:rFonts w:ascii="Arial" w:hAnsi="Arial" w:cs="Arial"/>
        </w:rPr>
        <w:t>famoso</w:t>
      </w:r>
      <w:r w:rsidR="00703579" w:rsidRPr="007F6AD7">
        <w:rPr>
          <w:rFonts w:ascii="Arial" w:hAnsi="Arial" w:cs="Arial"/>
        </w:rPr>
        <w:t xml:space="preserve"> C</w:t>
      </w:r>
      <w:r w:rsidR="002602ED" w:rsidRPr="007F6AD7">
        <w:rPr>
          <w:rFonts w:ascii="Arial" w:hAnsi="Arial" w:cs="Arial"/>
        </w:rPr>
        <w:t>abaret Tropicana.</w:t>
      </w:r>
      <w:r w:rsidR="002602ED" w:rsidRPr="007F6AD7">
        <w:rPr>
          <w:rStyle w:val="Ttulo4Car"/>
          <w:rFonts w:ascii="Arial" w:hAnsi="Arial"/>
          <w:b/>
        </w:rPr>
        <w:t xml:space="preserve"> </w:t>
      </w:r>
    </w:p>
    <w:p w14:paraId="6AC0BC97" w14:textId="72C59330" w:rsidR="002602ED" w:rsidRPr="007F6AD7" w:rsidRDefault="0026643E" w:rsidP="006C3A4B">
      <w:pPr>
        <w:pStyle w:val="Ttulo3"/>
      </w:pPr>
      <w:bookmarkStart w:id="99" w:name="_Toc515359803"/>
      <w:r w:rsidRPr="007F6AD7">
        <w:t>D</w:t>
      </w:r>
      <w:r w:rsidR="002602ED" w:rsidRPr="007F6AD7">
        <w:t xml:space="preserve">iscapacitados </w:t>
      </w:r>
      <w:r w:rsidRPr="007F6AD7">
        <w:t>en el ámbito del empleo</w:t>
      </w:r>
      <w:bookmarkEnd w:id="99"/>
    </w:p>
    <w:p w14:paraId="6718829E" w14:textId="277C4E10" w:rsidR="00097944" w:rsidRPr="007F6AD7" w:rsidRDefault="002658A6" w:rsidP="002658A6">
      <w:pPr>
        <w:tabs>
          <w:tab w:val="left" w:pos="567"/>
        </w:tabs>
        <w:spacing w:after="0" w:line="360" w:lineRule="auto"/>
        <w:jc w:val="both"/>
        <w:rPr>
          <w:rFonts w:ascii="Arial" w:hAnsi="Arial" w:cs="Arial"/>
        </w:rPr>
      </w:pPr>
      <w:r>
        <w:rPr>
          <w:rFonts w:ascii="Arial" w:hAnsi="Arial" w:cs="Arial"/>
        </w:rPr>
        <w:t xml:space="preserve">41.   </w:t>
      </w:r>
      <w:r w:rsidR="00097944" w:rsidRPr="007F6AD7">
        <w:rPr>
          <w:rFonts w:ascii="Arial" w:hAnsi="Arial" w:cs="Arial"/>
        </w:rPr>
        <w:t>Estudios realizados muestran la discriminación que experimentan las personas con discapacidad en el ámbito laboral, lo cual incluye la contratación, salarios e igualdad de acceso al empleo.</w:t>
      </w:r>
      <w:r w:rsidR="00097944" w:rsidRPr="007F6AD7">
        <w:rPr>
          <w:rStyle w:val="Refdenotaalpie"/>
          <w:rFonts w:ascii="Arial" w:hAnsi="Arial" w:cs="Arial"/>
        </w:rPr>
        <w:footnoteReference w:id="187"/>
      </w:r>
      <w:r w:rsidR="00097944" w:rsidRPr="007F6AD7">
        <w:rPr>
          <w:rFonts w:ascii="Arial" w:hAnsi="Arial" w:cs="Arial"/>
        </w:rPr>
        <w:t xml:space="preserve"> Las páginas del periódico Trabajadores publicaron en diciembre del año 2017 denuncias por el funcionamiento de talleres para personas discapacitadas en Baracoa (zona montañosa al este de la isla). En la provincia Matanzas, el Sr. Ramon A. Tihers Perez presidente de la filial de la Asociación Nacional del Ciego (ANCI) expresa su preocupación por la ausencia de empleo para las personas discapacitadas. Con el retiro laboral de estas personas no se admiten nuevas contrataciones de trabajadores discapacitados bajo diversos pretextos administrativos.</w:t>
      </w:r>
      <w:r w:rsidR="00097944" w:rsidRPr="007F6AD7">
        <w:rPr>
          <w:rStyle w:val="Refdenotaalpie"/>
          <w:rFonts w:ascii="Arial" w:hAnsi="Arial" w:cs="Arial"/>
        </w:rPr>
        <w:footnoteReference w:id="188"/>
      </w:r>
      <w:r w:rsidR="00097944" w:rsidRPr="007F6AD7">
        <w:rPr>
          <w:rFonts w:ascii="Arial" w:hAnsi="Arial" w:cs="Arial"/>
        </w:rPr>
        <w:t xml:space="preserve">  </w:t>
      </w:r>
      <w:r w:rsidR="000B5FBF" w:rsidRPr="007F6AD7">
        <w:rPr>
          <w:rFonts w:ascii="Arial" w:hAnsi="Arial" w:cs="Arial"/>
        </w:rPr>
        <w:t>Con posterioridad un directivo desmintió públicamente la queja</w:t>
      </w:r>
      <w:r w:rsidR="009E25A1" w:rsidRPr="007F6AD7">
        <w:rPr>
          <w:rFonts w:ascii="Arial" w:hAnsi="Arial" w:cs="Arial"/>
        </w:rPr>
        <w:t xml:space="preserve"> pero</w:t>
      </w:r>
      <w:r w:rsidR="000B5FBF" w:rsidRPr="007F6AD7">
        <w:rPr>
          <w:rFonts w:ascii="Arial" w:hAnsi="Arial" w:cs="Arial"/>
        </w:rPr>
        <w:t xml:space="preserve"> sin confirmarse la veracidad del </w:t>
      </w:r>
      <w:r w:rsidR="009E25A1" w:rsidRPr="007F6AD7">
        <w:rPr>
          <w:rFonts w:ascii="Arial" w:hAnsi="Arial" w:cs="Arial"/>
        </w:rPr>
        <w:t>alegato</w:t>
      </w:r>
      <w:r w:rsidR="000B5FBF" w:rsidRPr="007F6AD7">
        <w:rPr>
          <w:rFonts w:ascii="Arial" w:hAnsi="Arial" w:cs="Arial"/>
        </w:rPr>
        <w:t>.</w:t>
      </w:r>
      <w:r w:rsidR="00097944" w:rsidRPr="007F6AD7">
        <w:rPr>
          <w:rFonts w:ascii="Arial" w:hAnsi="Arial" w:cs="Arial"/>
        </w:rPr>
        <w:t xml:space="preserve">   </w:t>
      </w:r>
    </w:p>
    <w:p w14:paraId="5394F5F9" w14:textId="05515B91" w:rsidR="002602ED" w:rsidRPr="007F6AD7" w:rsidRDefault="002658A6" w:rsidP="002658A6">
      <w:pPr>
        <w:tabs>
          <w:tab w:val="left" w:pos="567"/>
        </w:tabs>
        <w:spacing w:after="0" w:line="360" w:lineRule="auto"/>
        <w:jc w:val="both"/>
        <w:rPr>
          <w:rFonts w:ascii="Arial" w:hAnsi="Arial" w:cs="Arial"/>
          <w:lang w:eastAsia="es-ES"/>
        </w:rPr>
      </w:pPr>
      <w:r>
        <w:rPr>
          <w:rFonts w:ascii="Arial" w:hAnsi="Arial" w:cs="Arial"/>
        </w:rPr>
        <w:t xml:space="preserve">42.   </w:t>
      </w:r>
      <w:r w:rsidR="000A7641" w:rsidRPr="007F6AD7">
        <w:rPr>
          <w:rFonts w:ascii="Arial" w:hAnsi="Arial" w:cs="Arial"/>
        </w:rPr>
        <w:t xml:space="preserve">El sistema de salud cubano </w:t>
      </w:r>
      <w:r w:rsidR="00586A9E" w:rsidRPr="007F6AD7">
        <w:rPr>
          <w:rFonts w:ascii="Arial" w:hAnsi="Arial" w:cs="Arial"/>
        </w:rPr>
        <w:t xml:space="preserve">ofrece cobertura universal y </w:t>
      </w:r>
      <w:r w:rsidR="000A7641" w:rsidRPr="007F6AD7">
        <w:rPr>
          <w:rFonts w:ascii="Arial" w:hAnsi="Arial" w:cs="Arial"/>
        </w:rPr>
        <w:t>gratuit</w:t>
      </w:r>
      <w:r w:rsidR="00586A9E" w:rsidRPr="007F6AD7">
        <w:rPr>
          <w:rFonts w:ascii="Arial" w:hAnsi="Arial" w:cs="Arial"/>
        </w:rPr>
        <w:t>a</w:t>
      </w:r>
      <w:r w:rsidR="000A7641" w:rsidRPr="007F6AD7">
        <w:rPr>
          <w:rFonts w:ascii="Arial" w:hAnsi="Arial" w:cs="Arial"/>
        </w:rPr>
        <w:t xml:space="preserve"> y muchos pensionados se benefician. El sistema de seguridad social cubano era uno de los más avanzados en Latinoamérica, pero la inflación hizo desaparecer el valor de la pensión por retiro laboral. Según estimados gubernamentales del 2010, uno de cada tres pensionados tenía que seguir trabajando.</w:t>
      </w:r>
      <w:r w:rsidR="000A7641" w:rsidRPr="007F6AD7">
        <w:rPr>
          <w:rStyle w:val="Refdenotaalpie"/>
          <w:rFonts w:ascii="Arial" w:hAnsi="Arial" w:cs="Arial"/>
        </w:rPr>
        <w:footnoteReference w:id="189"/>
      </w:r>
      <w:r w:rsidR="000A7641" w:rsidRPr="007F6AD7">
        <w:rPr>
          <w:rFonts w:ascii="Arial" w:hAnsi="Arial" w:cs="Arial"/>
        </w:rPr>
        <w:t xml:space="preserve"> </w:t>
      </w:r>
      <w:r w:rsidR="00634E7F" w:rsidRPr="007F6AD7">
        <w:rPr>
          <w:rFonts w:ascii="Arial" w:hAnsi="Arial" w:cs="Arial"/>
        </w:rPr>
        <w:t>Los cuentapropistas</w:t>
      </w:r>
      <w:r w:rsidR="001D76FE" w:rsidRPr="007F6AD7">
        <w:rPr>
          <w:rFonts w:ascii="Arial" w:hAnsi="Arial" w:cs="Arial"/>
        </w:rPr>
        <w:t xml:space="preserve"> </w:t>
      </w:r>
      <w:r w:rsidR="00652316" w:rsidRPr="007F6AD7">
        <w:rPr>
          <w:rFonts w:ascii="Arial" w:hAnsi="Arial" w:cs="Arial"/>
        </w:rPr>
        <w:t>(</w:t>
      </w:r>
      <w:r w:rsidR="000A7641" w:rsidRPr="007F6AD7">
        <w:rPr>
          <w:rFonts w:ascii="Arial" w:hAnsi="Arial" w:cs="Arial"/>
        </w:rPr>
        <w:t>trabajadores autónomos)</w:t>
      </w:r>
      <w:r w:rsidR="00634E7F" w:rsidRPr="007F6AD7">
        <w:rPr>
          <w:rFonts w:ascii="Arial" w:hAnsi="Arial" w:cs="Arial"/>
        </w:rPr>
        <w:t xml:space="preserve"> a veces contratan a su personal tomando en cuenta su apariencia física y n</w:t>
      </w:r>
      <w:r w:rsidR="001E3B4D" w:rsidRPr="007F6AD7">
        <w:rPr>
          <w:rFonts w:ascii="Arial" w:hAnsi="Arial" w:cs="Arial"/>
        </w:rPr>
        <w:t>o sus capacidades intelectuales</w:t>
      </w:r>
      <w:r w:rsidR="00634E7F" w:rsidRPr="007F6AD7">
        <w:rPr>
          <w:rFonts w:ascii="Arial" w:hAnsi="Arial" w:cs="Arial"/>
        </w:rPr>
        <w:t>.</w:t>
      </w:r>
      <w:r w:rsidR="00634E7F" w:rsidRPr="007F6AD7">
        <w:rPr>
          <w:rStyle w:val="Refdenotaalpie"/>
          <w:rFonts w:ascii="Arial" w:hAnsi="Arial" w:cs="Arial"/>
        </w:rPr>
        <w:footnoteReference w:id="190"/>
      </w:r>
      <w:r w:rsidR="00EB1570" w:rsidRPr="007F6AD7">
        <w:rPr>
          <w:rFonts w:ascii="Arial" w:hAnsi="Arial" w:cs="Arial"/>
        </w:rPr>
        <w:t xml:space="preserve"> </w:t>
      </w:r>
      <w:r w:rsidR="00097944" w:rsidRPr="007F6AD7">
        <w:rPr>
          <w:rFonts w:ascii="Arial" w:hAnsi="Arial" w:cs="Arial"/>
        </w:rPr>
        <w:t>En Cuba no existe una ley específica referida a las personas con discapacidad.</w:t>
      </w:r>
      <w:r w:rsidR="00097944" w:rsidRPr="007F6AD7">
        <w:rPr>
          <w:rStyle w:val="Refdenotaalpie"/>
          <w:rFonts w:ascii="Arial" w:hAnsi="Arial" w:cs="Arial"/>
        </w:rPr>
        <w:footnoteReference w:id="191"/>
      </w:r>
      <w:r w:rsidR="00097944" w:rsidRPr="007F6AD7">
        <w:rPr>
          <w:rFonts w:ascii="Arial" w:hAnsi="Arial" w:cs="Arial"/>
        </w:rPr>
        <w:t xml:space="preserve"> Existen leyes, decretos leyes, disposiciones y regulaciones </w:t>
      </w:r>
      <w:r w:rsidR="00097944" w:rsidRPr="007F6AD7">
        <w:rPr>
          <w:rFonts w:ascii="Arial" w:hAnsi="Arial" w:cs="Arial"/>
        </w:rPr>
        <w:lastRenderedPageBreak/>
        <w:t>contenidas en diferentes cuerpos legales</w:t>
      </w:r>
      <w:r w:rsidR="00097944" w:rsidRPr="007F6AD7">
        <w:rPr>
          <w:rStyle w:val="Refdenotaalpie"/>
          <w:rFonts w:ascii="Arial" w:hAnsi="Arial" w:cs="Arial"/>
        </w:rPr>
        <w:footnoteReference w:id="192"/>
      </w:r>
      <w:r w:rsidR="00097944" w:rsidRPr="007F6AD7">
        <w:rPr>
          <w:rFonts w:ascii="Arial" w:hAnsi="Arial" w:cs="Arial"/>
        </w:rPr>
        <w:t xml:space="preserve">  que regulan el ejercicio de los derechos de estas personas. El Código del Trabajo es la única disposición legal que dentro del sistema prohíbe explícitamente la discriminación por motivo de discapacidad.</w:t>
      </w:r>
      <w:r w:rsidR="00097944" w:rsidRPr="007F6AD7">
        <w:rPr>
          <w:rStyle w:val="Refdenotaalpie"/>
          <w:rFonts w:ascii="Arial" w:hAnsi="Arial" w:cs="Arial"/>
        </w:rPr>
        <w:footnoteReference w:id="193"/>
      </w:r>
      <w:r w:rsidR="00097944" w:rsidRPr="007F6AD7">
        <w:rPr>
          <w:rFonts w:ascii="Arial" w:hAnsi="Arial" w:cs="Arial"/>
          <w:lang w:eastAsia="es-ES"/>
        </w:rPr>
        <w:t xml:space="preserve"> </w:t>
      </w:r>
      <w:r w:rsidR="002602ED" w:rsidRPr="007F6AD7">
        <w:rPr>
          <w:rFonts w:ascii="Arial" w:hAnsi="Arial" w:cs="Arial"/>
          <w:b/>
        </w:rPr>
        <w:t xml:space="preserve">ACDEI </w:t>
      </w:r>
      <w:r w:rsidR="00D805E5" w:rsidRPr="007F6AD7">
        <w:rPr>
          <w:rFonts w:ascii="Arial" w:hAnsi="Arial" w:cs="Arial"/>
          <w:b/>
        </w:rPr>
        <w:t>ruega</w:t>
      </w:r>
      <w:r w:rsidR="002602ED" w:rsidRPr="007F6AD7">
        <w:rPr>
          <w:rFonts w:ascii="Arial" w:hAnsi="Arial" w:cs="Arial"/>
          <w:b/>
        </w:rPr>
        <w:t xml:space="preserve"> al Comité CERD solicite al Estado cubano provea </w:t>
      </w:r>
      <w:r w:rsidR="00D805E5" w:rsidRPr="007F6AD7">
        <w:rPr>
          <w:rFonts w:ascii="Arial" w:hAnsi="Arial" w:cs="Arial"/>
          <w:b/>
        </w:rPr>
        <w:t xml:space="preserve">información </w:t>
      </w:r>
      <w:r w:rsidR="002602ED" w:rsidRPr="007F6AD7">
        <w:rPr>
          <w:rFonts w:ascii="Arial" w:hAnsi="Arial" w:cs="Arial"/>
          <w:b/>
        </w:rPr>
        <w:t xml:space="preserve"> sobre </w:t>
      </w:r>
      <w:r w:rsidR="00D805E5" w:rsidRPr="007F6AD7">
        <w:rPr>
          <w:rFonts w:ascii="Arial" w:hAnsi="Arial" w:cs="Arial"/>
          <w:b/>
        </w:rPr>
        <w:t>cifra de</w:t>
      </w:r>
      <w:r w:rsidR="002602ED" w:rsidRPr="007F6AD7">
        <w:rPr>
          <w:rFonts w:ascii="Arial" w:hAnsi="Arial" w:cs="Arial"/>
          <w:b/>
        </w:rPr>
        <w:t xml:space="preserve"> personas</w:t>
      </w:r>
      <w:r w:rsidR="00C1279F" w:rsidRPr="007F6AD7">
        <w:rPr>
          <w:rFonts w:ascii="Arial" w:hAnsi="Arial" w:cs="Arial"/>
          <w:b/>
        </w:rPr>
        <w:t xml:space="preserve"> discapacitadas</w:t>
      </w:r>
      <w:r w:rsidR="002602ED" w:rsidRPr="007F6AD7">
        <w:rPr>
          <w:rFonts w:ascii="Arial" w:hAnsi="Arial" w:cs="Arial"/>
          <w:b/>
        </w:rPr>
        <w:t xml:space="preserve"> desglosado por </w:t>
      </w:r>
      <w:r w:rsidR="00C1279F" w:rsidRPr="007F6AD7">
        <w:rPr>
          <w:rFonts w:ascii="Arial" w:hAnsi="Arial" w:cs="Arial"/>
          <w:b/>
        </w:rPr>
        <w:t xml:space="preserve">edad, sexo </w:t>
      </w:r>
      <w:r w:rsidR="002602ED" w:rsidRPr="007F6AD7">
        <w:rPr>
          <w:rFonts w:ascii="Arial" w:hAnsi="Arial" w:cs="Arial"/>
          <w:b/>
        </w:rPr>
        <w:t xml:space="preserve">raza , tipo de discapacidad, </w:t>
      </w:r>
      <w:r w:rsidR="000C154F" w:rsidRPr="007F6AD7">
        <w:rPr>
          <w:rFonts w:ascii="Arial" w:hAnsi="Arial" w:cs="Arial"/>
          <w:b/>
        </w:rPr>
        <w:t xml:space="preserve"> si </w:t>
      </w:r>
      <w:r w:rsidR="002602ED" w:rsidRPr="007F6AD7">
        <w:rPr>
          <w:rFonts w:ascii="Arial" w:hAnsi="Arial" w:cs="Arial"/>
          <w:b/>
        </w:rPr>
        <w:t>viven en viviendas en mal estado o están albergadas por derrumbes, así como tipo de empleo, situación laboral,  y zona de residencia, entre otros datos que el Comité considere de interés.</w:t>
      </w:r>
    </w:p>
    <w:p w14:paraId="6D1B8EE1" w14:textId="4B4E81F7" w:rsidR="000C154F" w:rsidRPr="007F6AD7" w:rsidRDefault="0026643E" w:rsidP="00DA7CB5">
      <w:pPr>
        <w:pStyle w:val="Ttulo2"/>
      </w:pPr>
      <w:bookmarkStart w:id="100" w:name="_Toc515359804"/>
      <w:r w:rsidRPr="007F6AD7">
        <w:t>Trato diferenciado</w:t>
      </w:r>
      <w:r w:rsidR="000C154F" w:rsidRPr="007F6AD7">
        <w:t xml:space="preserve"> por razón de nacionalidad</w:t>
      </w:r>
      <w:bookmarkEnd w:id="100"/>
    </w:p>
    <w:p w14:paraId="4E3C5880" w14:textId="77777777" w:rsidR="002658A6" w:rsidRDefault="002658A6" w:rsidP="002658A6">
      <w:pPr>
        <w:tabs>
          <w:tab w:val="left" w:pos="567"/>
        </w:tabs>
        <w:spacing w:after="0" w:line="360" w:lineRule="auto"/>
        <w:jc w:val="both"/>
        <w:rPr>
          <w:rFonts w:ascii="Arial" w:hAnsi="Arial" w:cs="Arial"/>
          <w:bCs/>
        </w:rPr>
      </w:pPr>
      <w:r>
        <w:rPr>
          <w:rFonts w:ascii="Arial" w:hAnsi="Arial" w:cs="Arial"/>
        </w:rPr>
        <w:t xml:space="preserve">43.  </w:t>
      </w:r>
      <w:r w:rsidR="000C154F" w:rsidRPr="007F6AD7">
        <w:rPr>
          <w:rFonts w:ascii="Arial" w:hAnsi="Arial" w:cs="Arial"/>
        </w:rPr>
        <w:t xml:space="preserve">En el ámbito familiar, cultural y en los medios de prensa nacionales </w:t>
      </w:r>
      <w:r w:rsidR="000C154F" w:rsidRPr="007F6AD7">
        <w:rPr>
          <w:rStyle w:val="Refdenotaalpie"/>
          <w:rFonts w:ascii="Arial" w:hAnsi="Arial" w:cs="Arial"/>
          <w:bCs/>
        </w:rPr>
        <w:footnoteReference w:id="194"/>
      </w:r>
      <w:r w:rsidR="000C154F" w:rsidRPr="007F6AD7">
        <w:rPr>
          <w:rFonts w:ascii="Arial" w:hAnsi="Arial" w:cs="Arial"/>
        </w:rPr>
        <w:t xml:space="preserve"> se </w:t>
      </w:r>
      <w:r w:rsidR="00B81952" w:rsidRPr="007F6AD7">
        <w:rPr>
          <w:rFonts w:ascii="Arial" w:hAnsi="Arial" w:cs="Arial"/>
        </w:rPr>
        <w:t>debate</w:t>
      </w:r>
      <w:r w:rsidR="0026643E" w:rsidRPr="007F6AD7">
        <w:rPr>
          <w:rFonts w:ascii="Arial" w:hAnsi="Arial" w:cs="Arial"/>
        </w:rPr>
        <w:t xml:space="preserve"> sobre</w:t>
      </w:r>
      <w:r w:rsidR="000C154F" w:rsidRPr="007F6AD7">
        <w:rPr>
          <w:rFonts w:ascii="Arial" w:hAnsi="Arial" w:cs="Arial"/>
        </w:rPr>
        <w:t xml:space="preserve"> la discriminación por motivo de nacionalidad</w:t>
      </w:r>
      <w:r w:rsidR="00B81952" w:rsidRPr="007F6AD7">
        <w:rPr>
          <w:rFonts w:ascii="Arial" w:hAnsi="Arial" w:cs="Arial"/>
        </w:rPr>
        <w:t>.</w:t>
      </w:r>
      <w:r w:rsidR="000C154F" w:rsidRPr="007F6AD7">
        <w:rPr>
          <w:rFonts w:ascii="Arial" w:hAnsi="Arial" w:cs="Arial"/>
        </w:rPr>
        <w:t xml:space="preserve"> Un reciente artículo</w:t>
      </w:r>
      <w:r w:rsidR="00B81952" w:rsidRPr="007F6AD7">
        <w:rPr>
          <w:rStyle w:val="Refdenotaalpie"/>
          <w:rFonts w:ascii="Arial" w:hAnsi="Arial" w:cs="Arial"/>
        </w:rPr>
        <w:footnoteReference w:id="195"/>
      </w:r>
      <w:r w:rsidR="00B81952" w:rsidRPr="007F6AD7">
        <w:rPr>
          <w:rFonts w:ascii="Arial" w:hAnsi="Arial" w:cs="Arial"/>
          <w:lang w:eastAsia="es-ES"/>
        </w:rPr>
        <w:t xml:space="preserve"> </w:t>
      </w:r>
      <w:r w:rsidR="000C154F" w:rsidRPr="007F6AD7">
        <w:rPr>
          <w:rFonts w:ascii="Arial" w:hAnsi="Arial" w:cs="Arial"/>
        </w:rPr>
        <w:t xml:space="preserve">publicado en la prensa nacional, menciona el trato </w:t>
      </w:r>
      <w:r w:rsidR="00B81952" w:rsidRPr="007F6AD7">
        <w:rPr>
          <w:rFonts w:ascii="Arial" w:hAnsi="Arial" w:cs="Arial"/>
        </w:rPr>
        <w:t>diferenciado</w:t>
      </w:r>
      <w:r w:rsidR="000C154F" w:rsidRPr="007F6AD7">
        <w:rPr>
          <w:rFonts w:ascii="Arial" w:hAnsi="Arial" w:cs="Arial"/>
        </w:rPr>
        <w:t xml:space="preserve"> a turistas cubanos catalogados “escombros” por sus conciudadanos. El </w:t>
      </w:r>
      <w:r w:rsidR="00B81952" w:rsidRPr="007F6AD7">
        <w:rPr>
          <w:rFonts w:ascii="Arial" w:hAnsi="Arial" w:cs="Arial"/>
        </w:rPr>
        <w:t>periodista</w:t>
      </w:r>
      <w:r w:rsidR="000C154F" w:rsidRPr="007F6AD7">
        <w:rPr>
          <w:rFonts w:ascii="Arial" w:hAnsi="Arial" w:cs="Arial"/>
        </w:rPr>
        <w:t xml:space="preserve"> no aclara si alguno de los participantes posteriormente estableció demandas judiciales por incumplimiento del servicio turístico y/o discriminación. </w:t>
      </w:r>
      <w:r w:rsidR="00AF0FDA" w:rsidRPr="007F6AD7">
        <w:rPr>
          <w:rFonts w:ascii="Arial" w:hAnsi="Arial" w:cs="Arial"/>
          <w:bCs/>
        </w:rPr>
        <w:t xml:space="preserve">La protección al consumidor nacional es </w:t>
      </w:r>
      <w:r w:rsidR="00C1279F" w:rsidRPr="007F6AD7">
        <w:rPr>
          <w:rFonts w:ascii="Arial" w:hAnsi="Arial" w:cs="Arial"/>
          <w:bCs/>
        </w:rPr>
        <w:t>otro</w:t>
      </w:r>
      <w:r w:rsidR="00AF0FDA" w:rsidRPr="007F6AD7">
        <w:rPr>
          <w:rFonts w:ascii="Arial" w:hAnsi="Arial" w:cs="Arial"/>
          <w:bCs/>
        </w:rPr>
        <w:t xml:space="preserve"> reclamo ciudadano </w:t>
      </w:r>
      <w:r w:rsidR="007D4422" w:rsidRPr="007F6AD7">
        <w:rPr>
          <w:rFonts w:ascii="Arial" w:hAnsi="Arial" w:cs="Arial"/>
          <w:bCs/>
        </w:rPr>
        <w:t>muy debatido durante décadas</w:t>
      </w:r>
      <w:r w:rsidR="007D4422" w:rsidRPr="007F6AD7">
        <w:rPr>
          <w:rStyle w:val="Refdenotaalpie"/>
          <w:rFonts w:ascii="Arial" w:hAnsi="Arial" w:cs="Arial"/>
          <w:bCs/>
        </w:rPr>
        <w:footnoteReference w:id="196"/>
      </w:r>
      <w:r w:rsidR="007D4422" w:rsidRPr="007F6AD7">
        <w:rPr>
          <w:rFonts w:ascii="Arial" w:hAnsi="Arial" w:cs="Arial"/>
          <w:bCs/>
        </w:rPr>
        <w:t xml:space="preserve">  y </w:t>
      </w:r>
      <w:r w:rsidR="00AF0FDA" w:rsidRPr="007F6AD7">
        <w:rPr>
          <w:rFonts w:ascii="Arial" w:hAnsi="Arial" w:cs="Arial"/>
          <w:bCs/>
        </w:rPr>
        <w:t>sin solución</w:t>
      </w:r>
      <w:r w:rsidR="006B4FC3" w:rsidRPr="007F6AD7">
        <w:rPr>
          <w:rFonts w:ascii="Arial" w:hAnsi="Arial" w:cs="Arial"/>
          <w:bCs/>
        </w:rPr>
        <w:t xml:space="preserve"> inmediata </w:t>
      </w:r>
      <w:r w:rsidR="007D4422" w:rsidRPr="007F6AD7">
        <w:rPr>
          <w:rFonts w:ascii="Arial" w:hAnsi="Arial" w:cs="Arial"/>
          <w:bCs/>
        </w:rPr>
        <w:t>por la precaria oferta de productos nacionales, en especial productos agropecuarios</w:t>
      </w:r>
      <w:r w:rsidR="009B33BF" w:rsidRPr="007F6AD7">
        <w:rPr>
          <w:rFonts w:ascii="Arial" w:hAnsi="Arial" w:cs="Arial"/>
          <w:bCs/>
        </w:rPr>
        <w:t xml:space="preserve"> </w:t>
      </w:r>
      <w:r w:rsidR="00273D0F" w:rsidRPr="007F6AD7">
        <w:rPr>
          <w:rFonts w:ascii="Arial" w:hAnsi="Arial" w:cs="Arial"/>
          <w:bCs/>
        </w:rPr>
        <w:t>y</w:t>
      </w:r>
      <w:r w:rsidR="009B33BF" w:rsidRPr="007F6AD7">
        <w:rPr>
          <w:rFonts w:ascii="Arial" w:hAnsi="Arial" w:cs="Arial"/>
          <w:bCs/>
        </w:rPr>
        <w:t xml:space="preserve"> equipos </w:t>
      </w:r>
      <w:r w:rsidR="009B4E0F" w:rsidRPr="007F6AD7">
        <w:rPr>
          <w:rFonts w:ascii="Arial" w:hAnsi="Arial" w:cs="Arial"/>
          <w:bCs/>
        </w:rPr>
        <w:t>electrodomésticos importados</w:t>
      </w:r>
      <w:r w:rsidR="009B33BF" w:rsidRPr="007F6AD7">
        <w:rPr>
          <w:rFonts w:ascii="Arial" w:hAnsi="Arial" w:cs="Arial"/>
          <w:bCs/>
        </w:rPr>
        <w:t xml:space="preserve"> con baja calidad</w:t>
      </w:r>
      <w:r w:rsidR="009E25A1" w:rsidRPr="007F6AD7">
        <w:rPr>
          <w:rFonts w:ascii="Arial" w:hAnsi="Arial" w:cs="Arial"/>
          <w:bCs/>
        </w:rPr>
        <w:t>. Estos hechos son</w:t>
      </w:r>
      <w:r w:rsidR="009B33BF" w:rsidRPr="007F6AD7">
        <w:rPr>
          <w:rFonts w:ascii="Arial" w:hAnsi="Arial" w:cs="Arial"/>
          <w:bCs/>
        </w:rPr>
        <w:t xml:space="preserve"> favorecidos por</w:t>
      </w:r>
      <w:r w:rsidR="00273D0F" w:rsidRPr="007F6AD7">
        <w:rPr>
          <w:rFonts w:ascii="Arial" w:hAnsi="Arial" w:cs="Arial"/>
          <w:bCs/>
        </w:rPr>
        <w:t xml:space="preserve"> la frecuente imposición de</w:t>
      </w:r>
      <w:r w:rsidR="009B33BF" w:rsidRPr="007F6AD7">
        <w:rPr>
          <w:rFonts w:ascii="Arial" w:hAnsi="Arial" w:cs="Arial"/>
          <w:bCs/>
        </w:rPr>
        <w:t xml:space="preserve"> leyes aduanales muy</w:t>
      </w:r>
      <w:r w:rsidR="00273D0F" w:rsidRPr="007F6AD7">
        <w:rPr>
          <w:rFonts w:ascii="Arial" w:hAnsi="Arial" w:cs="Arial"/>
          <w:bCs/>
        </w:rPr>
        <w:t xml:space="preserve"> variables y</w:t>
      </w:r>
      <w:r w:rsidR="009B33BF" w:rsidRPr="007F6AD7">
        <w:rPr>
          <w:rFonts w:ascii="Arial" w:hAnsi="Arial" w:cs="Arial"/>
          <w:bCs/>
        </w:rPr>
        <w:t xml:space="preserve"> restrictivas</w:t>
      </w:r>
      <w:r w:rsidR="007D4422" w:rsidRPr="007F6AD7">
        <w:rPr>
          <w:rFonts w:ascii="Arial" w:hAnsi="Arial" w:cs="Arial"/>
          <w:bCs/>
        </w:rPr>
        <w:t xml:space="preserve"> </w:t>
      </w:r>
      <w:r w:rsidR="00273D0F" w:rsidRPr="007F6AD7">
        <w:rPr>
          <w:rFonts w:ascii="Arial" w:hAnsi="Arial" w:cs="Arial"/>
          <w:bCs/>
        </w:rPr>
        <w:t>, de conjunto con</w:t>
      </w:r>
      <w:r w:rsidR="007D4422" w:rsidRPr="007F6AD7">
        <w:rPr>
          <w:rFonts w:ascii="Arial" w:hAnsi="Arial" w:cs="Arial"/>
          <w:bCs/>
        </w:rPr>
        <w:t xml:space="preserve"> </w:t>
      </w:r>
      <w:r w:rsidR="00273D0F" w:rsidRPr="007F6AD7">
        <w:rPr>
          <w:rFonts w:ascii="Arial" w:hAnsi="Arial" w:cs="Arial"/>
          <w:bCs/>
        </w:rPr>
        <w:t xml:space="preserve">los intermediarios </w:t>
      </w:r>
      <w:r w:rsidR="00666A90">
        <w:rPr>
          <w:rFonts w:ascii="Arial" w:hAnsi="Arial" w:cs="Arial"/>
          <w:bCs/>
        </w:rPr>
        <w:t xml:space="preserve">y </w:t>
      </w:r>
      <w:r w:rsidR="00E937EE">
        <w:rPr>
          <w:rFonts w:ascii="Arial" w:hAnsi="Arial" w:cs="Arial"/>
          <w:bCs/>
        </w:rPr>
        <w:t>desmedidas</w:t>
      </w:r>
      <w:r w:rsidR="00273D0F" w:rsidRPr="007F6AD7">
        <w:rPr>
          <w:rFonts w:ascii="Arial" w:hAnsi="Arial" w:cs="Arial"/>
          <w:bCs/>
        </w:rPr>
        <w:t xml:space="preserve"> </w:t>
      </w:r>
      <w:r w:rsidR="007D4422" w:rsidRPr="007F6AD7">
        <w:rPr>
          <w:rFonts w:ascii="Arial" w:hAnsi="Arial" w:cs="Arial"/>
          <w:bCs/>
        </w:rPr>
        <w:t xml:space="preserve"> </w:t>
      </w:r>
      <w:r w:rsidR="0001236E">
        <w:rPr>
          <w:rFonts w:ascii="Arial" w:hAnsi="Arial" w:cs="Arial"/>
          <w:bCs/>
        </w:rPr>
        <w:t>soluc</w:t>
      </w:r>
      <w:r w:rsidR="00E937EE">
        <w:rPr>
          <w:rFonts w:ascii="Arial" w:hAnsi="Arial" w:cs="Arial"/>
          <w:bCs/>
        </w:rPr>
        <w:t>iones</w:t>
      </w:r>
      <w:r w:rsidR="00273D0F" w:rsidRPr="007F6AD7">
        <w:rPr>
          <w:rFonts w:ascii="Arial" w:hAnsi="Arial" w:cs="Arial"/>
          <w:bCs/>
        </w:rPr>
        <w:t xml:space="preserve"> de protección de precios: incumplimientos de contratos con los productores nacionales,</w:t>
      </w:r>
      <w:r w:rsidR="007D4422" w:rsidRPr="007F6AD7">
        <w:rPr>
          <w:rFonts w:ascii="Arial" w:hAnsi="Arial" w:cs="Arial"/>
          <w:bCs/>
        </w:rPr>
        <w:t xml:space="preserve"> pref</w:t>
      </w:r>
      <w:r w:rsidR="00273D0F" w:rsidRPr="007F6AD7">
        <w:rPr>
          <w:rFonts w:ascii="Arial" w:hAnsi="Arial" w:cs="Arial"/>
          <w:bCs/>
        </w:rPr>
        <w:t>erencia</w:t>
      </w:r>
      <w:r w:rsidR="007D4422" w:rsidRPr="007F6AD7">
        <w:rPr>
          <w:rFonts w:ascii="Arial" w:hAnsi="Arial" w:cs="Arial"/>
          <w:bCs/>
        </w:rPr>
        <w:t xml:space="preserve"> </w:t>
      </w:r>
      <w:r w:rsidR="00273D0F" w:rsidRPr="007F6AD7">
        <w:rPr>
          <w:rFonts w:ascii="Arial" w:hAnsi="Arial" w:cs="Arial"/>
          <w:bCs/>
        </w:rPr>
        <w:t>a</w:t>
      </w:r>
      <w:r w:rsidR="009B33BF" w:rsidRPr="007F6AD7">
        <w:rPr>
          <w:rFonts w:ascii="Arial" w:hAnsi="Arial" w:cs="Arial"/>
          <w:bCs/>
        </w:rPr>
        <w:t>l</w:t>
      </w:r>
      <w:r w:rsidR="007D4422" w:rsidRPr="007F6AD7">
        <w:rPr>
          <w:rFonts w:ascii="Arial" w:hAnsi="Arial" w:cs="Arial"/>
          <w:bCs/>
        </w:rPr>
        <w:t xml:space="preserve"> </w:t>
      </w:r>
      <w:r w:rsidR="009B33BF" w:rsidRPr="007F6AD7">
        <w:rPr>
          <w:rFonts w:ascii="Arial" w:hAnsi="Arial" w:cs="Arial"/>
          <w:bCs/>
        </w:rPr>
        <w:t>deterioro d</w:t>
      </w:r>
      <w:r w:rsidR="007D4422" w:rsidRPr="007F6AD7">
        <w:rPr>
          <w:rFonts w:ascii="Arial" w:hAnsi="Arial" w:cs="Arial"/>
          <w:bCs/>
        </w:rPr>
        <w:t xml:space="preserve">el producto </w:t>
      </w:r>
      <w:r w:rsidR="009B33BF" w:rsidRPr="007F6AD7">
        <w:rPr>
          <w:rFonts w:ascii="Arial" w:hAnsi="Arial" w:cs="Arial"/>
          <w:bCs/>
        </w:rPr>
        <w:t xml:space="preserve">antes </w:t>
      </w:r>
      <w:r w:rsidR="009B4E0F" w:rsidRPr="007F6AD7">
        <w:rPr>
          <w:rFonts w:ascii="Arial" w:hAnsi="Arial" w:cs="Arial"/>
          <w:bCs/>
        </w:rPr>
        <w:t>que rebajar</w:t>
      </w:r>
      <w:r w:rsidR="007D4422" w:rsidRPr="007F6AD7">
        <w:rPr>
          <w:rFonts w:ascii="Arial" w:hAnsi="Arial" w:cs="Arial"/>
          <w:bCs/>
        </w:rPr>
        <w:t xml:space="preserve"> </w:t>
      </w:r>
      <w:r w:rsidR="0001236E">
        <w:rPr>
          <w:rFonts w:ascii="Arial" w:hAnsi="Arial" w:cs="Arial"/>
          <w:bCs/>
        </w:rPr>
        <w:t>el</w:t>
      </w:r>
      <w:r w:rsidR="007D4422" w:rsidRPr="007F6AD7">
        <w:rPr>
          <w:rFonts w:ascii="Arial" w:hAnsi="Arial" w:cs="Arial"/>
          <w:bCs/>
        </w:rPr>
        <w:t xml:space="preserve"> p</w:t>
      </w:r>
      <w:r w:rsidR="00273D0F" w:rsidRPr="007F6AD7">
        <w:rPr>
          <w:rFonts w:ascii="Arial" w:hAnsi="Arial" w:cs="Arial"/>
          <w:bCs/>
        </w:rPr>
        <w:t>recio, etc</w:t>
      </w:r>
      <w:r w:rsidR="007D4422" w:rsidRPr="007F6AD7">
        <w:rPr>
          <w:rFonts w:ascii="Arial" w:hAnsi="Arial" w:cs="Arial"/>
          <w:bCs/>
        </w:rPr>
        <w:t>.</w:t>
      </w:r>
      <w:r w:rsidR="007D4422" w:rsidRPr="007F6AD7">
        <w:rPr>
          <w:rStyle w:val="Refdenotaalpie"/>
          <w:rFonts w:ascii="Arial" w:hAnsi="Arial" w:cs="Arial"/>
          <w:bCs/>
        </w:rPr>
        <w:footnoteReference w:id="197"/>
      </w:r>
      <w:r w:rsidR="00AF0FDA" w:rsidRPr="007F6AD7">
        <w:rPr>
          <w:rFonts w:ascii="Arial" w:hAnsi="Arial" w:cs="Arial"/>
          <w:bCs/>
        </w:rPr>
        <w:t xml:space="preserve"> </w:t>
      </w:r>
    </w:p>
    <w:p w14:paraId="4F1BE79A" w14:textId="5ABE3565" w:rsidR="00AF0FDA" w:rsidRPr="002658A6" w:rsidRDefault="002658A6" w:rsidP="002658A6">
      <w:pPr>
        <w:tabs>
          <w:tab w:val="left" w:pos="567"/>
        </w:tabs>
        <w:spacing w:after="0" w:line="360" w:lineRule="auto"/>
        <w:jc w:val="both"/>
        <w:rPr>
          <w:rFonts w:ascii="Arial" w:hAnsi="Arial" w:cs="Arial"/>
          <w:bCs/>
        </w:rPr>
      </w:pPr>
      <w:r>
        <w:rPr>
          <w:rFonts w:ascii="Arial" w:hAnsi="Arial" w:cs="Arial"/>
          <w:bCs/>
        </w:rPr>
        <w:lastRenderedPageBreak/>
        <w:t>44.    Un</w:t>
      </w:r>
      <w:r w:rsidR="00AF0FDA" w:rsidRPr="007F6AD7">
        <w:rPr>
          <w:rFonts w:ascii="Arial" w:hAnsi="Arial" w:cs="Arial"/>
          <w:bCs/>
        </w:rPr>
        <w:t xml:space="preserve"> </w:t>
      </w:r>
      <w:r w:rsidR="00080036" w:rsidRPr="007F6AD7">
        <w:rPr>
          <w:rFonts w:ascii="Arial" w:hAnsi="Arial" w:cs="Arial"/>
          <w:bCs/>
        </w:rPr>
        <w:t>artículo</w:t>
      </w:r>
      <w:r w:rsidR="00AF0FDA" w:rsidRPr="007F6AD7">
        <w:rPr>
          <w:rFonts w:ascii="Arial" w:hAnsi="Arial" w:cs="Arial"/>
          <w:bCs/>
        </w:rPr>
        <w:t xml:space="preserve"> de </w:t>
      </w:r>
      <w:r>
        <w:rPr>
          <w:rFonts w:ascii="Arial" w:hAnsi="Arial" w:cs="Arial"/>
          <w:bCs/>
        </w:rPr>
        <w:t xml:space="preserve">la </w:t>
      </w:r>
      <w:r w:rsidR="00AF0FDA" w:rsidRPr="007F6AD7">
        <w:rPr>
          <w:rFonts w:ascii="Arial" w:hAnsi="Arial" w:cs="Arial"/>
          <w:bCs/>
        </w:rPr>
        <w:t xml:space="preserve">prensa </w:t>
      </w:r>
      <w:r>
        <w:rPr>
          <w:rFonts w:ascii="Arial" w:hAnsi="Arial" w:cs="Arial"/>
          <w:bCs/>
        </w:rPr>
        <w:t xml:space="preserve">nacional </w:t>
      </w:r>
      <w:r w:rsidR="00AF0FDA" w:rsidRPr="007F6AD7">
        <w:rPr>
          <w:rFonts w:ascii="Arial" w:hAnsi="Arial" w:cs="Arial"/>
          <w:bCs/>
        </w:rPr>
        <w:t xml:space="preserve"> </w:t>
      </w:r>
      <w:r w:rsidR="00AF0FDA" w:rsidRPr="007F6AD7">
        <w:rPr>
          <w:rStyle w:val="Refdenotaalpie"/>
          <w:rFonts w:ascii="Arial" w:hAnsi="Arial" w:cs="Arial"/>
          <w:bCs/>
        </w:rPr>
        <w:footnoteReference w:id="198"/>
      </w:r>
      <w:r w:rsidR="00AF0FDA" w:rsidRPr="007F6AD7">
        <w:rPr>
          <w:rFonts w:ascii="Arial" w:hAnsi="Arial" w:cs="Arial"/>
          <w:bCs/>
        </w:rPr>
        <w:t xml:space="preserve"> explica que desde la serie de disposiciones de la Constitución de la República de Cuba  sobre la protección a la población y cubrir sus necesidades básicas, </w:t>
      </w:r>
      <w:r w:rsidR="00C1279F" w:rsidRPr="007F6AD7">
        <w:rPr>
          <w:rFonts w:ascii="Arial" w:hAnsi="Arial" w:cs="Arial"/>
          <w:bCs/>
        </w:rPr>
        <w:t>atravesando</w:t>
      </w:r>
      <w:r w:rsidR="00273D0F" w:rsidRPr="007F6AD7">
        <w:rPr>
          <w:rFonts w:ascii="Arial" w:hAnsi="Arial" w:cs="Arial"/>
          <w:bCs/>
        </w:rPr>
        <w:t xml:space="preserve"> </w:t>
      </w:r>
      <w:r w:rsidR="009E25A1" w:rsidRPr="007F6AD7">
        <w:rPr>
          <w:rFonts w:ascii="Arial" w:hAnsi="Arial" w:cs="Arial"/>
          <w:bCs/>
        </w:rPr>
        <w:t xml:space="preserve">por </w:t>
      </w:r>
      <w:r w:rsidR="00AF0FDA" w:rsidRPr="007F6AD7">
        <w:rPr>
          <w:rFonts w:ascii="Arial" w:hAnsi="Arial" w:cs="Arial"/>
          <w:bCs/>
        </w:rPr>
        <w:t>el Código Penal vigente donde se sanciona por negar injustificadamente los servicios que se prestan en la entidad, vender artículos incompletos en su composición, peso o deteriorados, entre otros, hasta</w:t>
      </w:r>
      <w:r w:rsidR="00C1279F" w:rsidRPr="007F6AD7">
        <w:rPr>
          <w:rFonts w:ascii="Arial" w:hAnsi="Arial" w:cs="Arial"/>
          <w:bCs/>
        </w:rPr>
        <w:t xml:space="preserve"> llegar</w:t>
      </w:r>
      <w:r w:rsidR="00AF0FDA" w:rsidRPr="007F6AD7">
        <w:rPr>
          <w:rFonts w:ascii="Arial" w:hAnsi="Arial" w:cs="Arial"/>
          <w:bCs/>
        </w:rPr>
        <w:t xml:space="preserve"> </w:t>
      </w:r>
      <w:r w:rsidR="00C1279F" w:rsidRPr="007F6AD7">
        <w:rPr>
          <w:rFonts w:ascii="Arial" w:hAnsi="Arial" w:cs="Arial"/>
          <w:bCs/>
        </w:rPr>
        <w:t>a</w:t>
      </w:r>
      <w:r w:rsidR="00AF0FDA" w:rsidRPr="007F6AD7">
        <w:rPr>
          <w:rFonts w:ascii="Arial" w:hAnsi="Arial" w:cs="Arial"/>
          <w:bCs/>
        </w:rPr>
        <w:t>l Acuerdo No. 3529 de 1999</w:t>
      </w:r>
      <w:r w:rsidR="009B4E0F" w:rsidRPr="007F6AD7">
        <w:rPr>
          <w:rFonts w:ascii="Arial" w:hAnsi="Arial" w:cs="Arial"/>
          <w:bCs/>
        </w:rPr>
        <w:t>,</w:t>
      </w:r>
      <w:r w:rsidR="00080036" w:rsidRPr="007F6AD7">
        <w:rPr>
          <w:rFonts w:ascii="Arial" w:hAnsi="Arial" w:cs="Arial"/>
          <w:bCs/>
        </w:rPr>
        <w:t xml:space="preserve"> </w:t>
      </w:r>
      <w:r w:rsidR="00AF0FDA" w:rsidRPr="007F6AD7">
        <w:rPr>
          <w:rFonts w:ascii="Arial" w:hAnsi="Arial" w:cs="Arial"/>
          <w:bCs/>
        </w:rPr>
        <w:t xml:space="preserve"> existen ineficientes procedimientos legales y administrativos en la protección y defensa de los consumidores. El texto periodístico relaciona algunas causas sin mencionar las responsabilidades de los poderes estatales</w:t>
      </w:r>
      <w:r w:rsidR="007D4422" w:rsidRPr="007F6AD7">
        <w:rPr>
          <w:rFonts w:ascii="Arial" w:hAnsi="Arial" w:cs="Arial"/>
          <w:bCs/>
        </w:rPr>
        <w:t xml:space="preserve"> y la </w:t>
      </w:r>
      <w:r w:rsidR="00273D0F" w:rsidRPr="007F6AD7">
        <w:rPr>
          <w:rFonts w:ascii="Arial" w:hAnsi="Arial" w:cs="Arial"/>
          <w:bCs/>
        </w:rPr>
        <w:t>polémica</w:t>
      </w:r>
      <w:r w:rsidR="007D4422" w:rsidRPr="007F6AD7">
        <w:rPr>
          <w:rFonts w:ascii="Arial" w:hAnsi="Arial" w:cs="Arial"/>
          <w:bCs/>
        </w:rPr>
        <w:t xml:space="preserve"> oferta nacional; </w:t>
      </w:r>
      <w:r w:rsidR="00AF0FDA" w:rsidRPr="007F6AD7">
        <w:rPr>
          <w:rFonts w:ascii="Arial" w:hAnsi="Arial" w:cs="Arial"/>
          <w:bCs/>
        </w:rPr>
        <w:t>tampoco recomienda explícitamente al lector emplear la vía judicial, aunque se refiere a ella cuando menciona los “derechos a la reparación integra, oportuna y adecuada por daños y prejuicios”. Al final deja en manos del ciudadano el uso de mecanismos y vías de reclamación administrativas que anteriormente había declarado ineficaces.</w:t>
      </w:r>
    </w:p>
    <w:p w14:paraId="3090CC05" w14:textId="6DB1D827" w:rsidR="00C30DAA" w:rsidRDefault="002658A6" w:rsidP="002658A6">
      <w:pPr>
        <w:spacing w:after="0" w:line="360" w:lineRule="auto"/>
        <w:jc w:val="both"/>
        <w:rPr>
          <w:rFonts w:ascii="Arial" w:hAnsi="Arial" w:cs="Arial"/>
          <w:b/>
        </w:rPr>
      </w:pPr>
      <w:r>
        <w:rPr>
          <w:rFonts w:ascii="Arial" w:hAnsi="Arial" w:cs="Arial"/>
        </w:rPr>
        <w:t xml:space="preserve">45.   </w:t>
      </w:r>
      <w:r w:rsidR="000C154F" w:rsidRPr="007F6AD7">
        <w:rPr>
          <w:rFonts w:ascii="Arial" w:hAnsi="Arial" w:cs="Arial"/>
        </w:rPr>
        <w:t>Un</w:t>
      </w:r>
      <w:r>
        <w:rPr>
          <w:rFonts w:ascii="Arial" w:hAnsi="Arial" w:cs="Arial"/>
        </w:rPr>
        <w:t>a</w:t>
      </w:r>
      <w:r w:rsidR="000C154F" w:rsidRPr="007F6AD7">
        <w:rPr>
          <w:rFonts w:ascii="Arial" w:hAnsi="Arial" w:cs="Arial"/>
        </w:rPr>
        <w:t xml:space="preserve"> </w:t>
      </w:r>
      <w:r>
        <w:rPr>
          <w:rFonts w:ascii="Arial" w:hAnsi="Arial" w:cs="Arial"/>
        </w:rPr>
        <w:t xml:space="preserve">investigación </w:t>
      </w:r>
      <w:r w:rsidRPr="007F6AD7">
        <w:rPr>
          <w:rFonts w:ascii="Arial" w:hAnsi="Arial" w:cs="Arial"/>
        </w:rPr>
        <w:t>de</w:t>
      </w:r>
      <w:r w:rsidR="000C154F" w:rsidRPr="007F6AD7">
        <w:rPr>
          <w:rFonts w:ascii="Arial" w:hAnsi="Arial" w:cs="Arial"/>
        </w:rPr>
        <w:t xml:space="preserve"> la Universidad Internacional de Florida (FIU) revela que las personas que hablan el español como en España son percibidas entre los hispanohablantes de Miami de una manera más favorable que las que lo hacen como en Cuba o en Colombia.</w:t>
      </w:r>
      <w:r w:rsidR="000C154F" w:rsidRPr="007F6AD7">
        <w:rPr>
          <w:rFonts w:ascii="Arial" w:hAnsi="Arial" w:cs="Arial"/>
          <w:vertAlign w:val="superscript"/>
        </w:rPr>
        <w:footnoteReference w:id="199"/>
      </w:r>
      <w:r w:rsidR="000C154F" w:rsidRPr="007F6AD7">
        <w:rPr>
          <w:rFonts w:ascii="Arial" w:hAnsi="Arial" w:cs="Arial"/>
        </w:rPr>
        <w:t xml:space="preserve"> Lejos de ser algo anecdótico, el estudio muestra que los juicios que se hacen sobre una persona por su manera de hablar pueden tener un impacto importante y hasta “grave” en la vida, y podría influir a la hora de ganar un empleo, alquilar un apartamento o solicitar un crédito. Los cubanos, "no sabían por qué eran discriminados en su propio país", dijo Reinaldo, un habanero de 57 años, a Efe.</w:t>
      </w:r>
      <w:r w:rsidR="000C154F" w:rsidRPr="007F6AD7">
        <w:rPr>
          <w:rFonts w:ascii="Arial" w:hAnsi="Arial" w:cs="Arial"/>
          <w:vertAlign w:val="superscript"/>
        </w:rPr>
        <w:footnoteReference w:id="200"/>
      </w:r>
      <w:r w:rsidR="000C154F" w:rsidRPr="007F6AD7">
        <w:rPr>
          <w:rFonts w:ascii="Arial" w:hAnsi="Arial" w:cs="Arial"/>
        </w:rPr>
        <w:t xml:space="preserve"> </w:t>
      </w:r>
      <w:r w:rsidR="000C154F" w:rsidRPr="007F6AD7">
        <w:rPr>
          <w:rFonts w:ascii="Arial" w:hAnsi="Arial" w:cs="Arial"/>
          <w:b/>
        </w:rPr>
        <w:t xml:space="preserve"> </w:t>
      </w:r>
    </w:p>
    <w:p w14:paraId="5B0613C0" w14:textId="7B1B1CBA" w:rsidR="000C154F" w:rsidRPr="007F6AD7" w:rsidRDefault="002658A6" w:rsidP="002658A6">
      <w:pPr>
        <w:spacing w:after="0" w:line="360" w:lineRule="auto"/>
        <w:jc w:val="both"/>
        <w:rPr>
          <w:rFonts w:ascii="Arial" w:hAnsi="Arial" w:cs="Arial"/>
        </w:rPr>
      </w:pPr>
      <w:r>
        <w:rPr>
          <w:rFonts w:ascii="Arial" w:hAnsi="Arial" w:cs="Arial"/>
        </w:rPr>
        <w:t>46.   Desde</w:t>
      </w:r>
      <w:r w:rsidR="000C154F" w:rsidRPr="007F6AD7">
        <w:rPr>
          <w:rFonts w:ascii="Arial" w:hAnsi="Arial" w:cs="Arial"/>
        </w:rPr>
        <w:t xml:space="preserve"> 1993 dejó de ser ilegal poseer monedas extranjeras</w:t>
      </w:r>
      <w:r w:rsidR="000C154F" w:rsidRPr="007F6AD7">
        <w:rPr>
          <w:rStyle w:val="Refdenotaalpie"/>
          <w:rFonts w:ascii="Arial" w:hAnsi="Arial" w:cs="Arial"/>
        </w:rPr>
        <w:footnoteReference w:id="201"/>
      </w:r>
      <w:r w:rsidR="000C154F" w:rsidRPr="007F6AD7">
        <w:rPr>
          <w:rFonts w:ascii="Arial" w:hAnsi="Arial" w:cs="Arial"/>
        </w:rPr>
        <w:t xml:space="preserve">  y los </w:t>
      </w:r>
      <w:r w:rsidR="00C30DAA" w:rsidRPr="007F6AD7">
        <w:rPr>
          <w:rFonts w:ascii="Arial" w:hAnsi="Arial" w:cs="Arial"/>
        </w:rPr>
        <w:t>cubanos también</w:t>
      </w:r>
      <w:r w:rsidR="000C154F" w:rsidRPr="007F6AD7">
        <w:rPr>
          <w:rFonts w:ascii="Arial" w:hAnsi="Arial" w:cs="Arial"/>
        </w:rPr>
        <w:t xml:space="preserve"> pudieron </w:t>
      </w:r>
      <w:r w:rsidR="00C30DAA">
        <w:rPr>
          <w:rFonts w:ascii="Arial" w:hAnsi="Arial" w:cs="Arial"/>
        </w:rPr>
        <w:t xml:space="preserve">visitar y </w:t>
      </w:r>
      <w:r w:rsidR="000C154F" w:rsidRPr="007F6AD7">
        <w:rPr>
          <w:rFonts w:ascii="Arial" w:hAnsi="Arial" w:cs="Arial"/>
        </w:rPr>
        <w:t xml:space="preserve">comprar </w:t>
      </w:r>
      <w:r w:rsidR="00C30DAA">
        <w:rPr>
          <w:rFonts w:ascii="Arial" w:hAnsi="Arial" w:cs="Arial"/>
        </w:rPr>
        <w:t xml:space="preserve">directamente con dólares </w:t>
      </w:r>
      <w:r w:rsidR="000C154F" w:rsidRPr="007F6AD7">
        <w:rPr>
          <w:rFonts w:ascii="Arial" w:hAnsi="Arial" w:cs="Arial"/>
        </w:rPr>
        <w:t>en</w:t>
      </w:r>
      <w:r w:rsidR="00C30DAA">
        <w:rPr>
          <w:rFonts w:ascii="Arial" w:hAnsi="Arial" w:cs="Arial"/>
        </w:rPr>
        <w:t xml:space="preserve"> aquellas </w:t>
      </w:r>
      <w:r w:rsidR="000C154F" w:rsidRPr="007F6AD7">
        <w:rPr>
          <w:rFonts w:ascii="Arial" w:hAnsi="Arial" w:cs="Arial"/>
        </w:rPr>
        <w:t>tiendas y mercados (conocidas popularmente por “shopping”)</w:t>
      </w:r>
      <w:r w:rsidR="00C30DAA">
        <w:rPr>
          <w:rFonts w:ascii="Arial" w:hAnsi="Arial" w:cs="Arial"/>
        </w:rPr>
        <w:t xml:space="preserve"> situados en el territorio nacional,</w:t>
      </w:r>
      <w:r w:rsidR="000C154F" w:rsidRPr="007F6AD7">
        <w:rPr>
          <w:rFonts w:ascii="Arial" w:hAnsi="Arial" w:cs="Arial"/>
        </w:rPr>
        <w:t xml:space="preserve"> </w:t>
      </w:r>
      <w:r w:rsidR="00C30DAA">
        <w:rPr>
          <w:rFonts w:ascii="Arial" w:hAnsi="Arial" w:cs="Arial"/>
        </w:rPr>
        <w:t>donde antes</w:t>
      </w:r>
      <w:r w:rsidR="000C154F" w:rsidRPr="007F6AD7">
        <w:rPr>
          <w:rFonts w:ascii="Arial" w:hAnsi="Arial" w:cs="Arial"/>
        </w:rPr>
        <w:t xml:space="preserve"> solo podían </w:t>
      </w:r>
      <w:r w:rsidR="00C30DAA">
        <w:rPr>
          <w:rFonts w:ascii="Arial" w:hAnsi="Arial" w:cs="Arial"/>
        </w:rPr>
        <w:t xml:space="preserve">hacerlo </w:t>
      </w:r>
      <w:r w:rsidR="000C154F" w:rsidRPr="007F6AD7">
        <w:rPr>
          <w:rFonts w:ascii="Arial" w:hAnsi="Arial" w:cs="Arial"/>
        </w:rPr>
        <w:t xml:space="preserve">extranjeros y </w:t>
      </w:r>
      <w:r w:rsidR="000C154F" w:rsidRPr="007F6AD7">
        <w:rPr>
          <w:rFonts w:ascii="Arial" w:hAnsi="Arial" w:cs="Arial"/>
        </w:rPr>
        <w:lastRenderedPageBreak/>
        <w:t>cubanos autorizados. En igual periodo, con el objetivo de recaudar divisas para encarar la crisis económica</w:t>
      </w:r>
      <w:r w:rsidR="00F92C35" w:rsidRPr="007F6AD7">
        <w:rPr>
          <w:rFonts w:ascii="Arial" w:hAnsi="Arial" w:cs="Arial"/>
        </w:rPr>
        <w:t xml:space="preserve"> de la década de los noventa</w:t>
      </w:r>
      <w:r w:rsidR="001D13E2">
        <w:rPr>
          <w:rFonts w:ascii="Arial" w:hAnsi="Arial" w:cs="Arial"/>
        </w:rPr>
        <w:t>,</w:t>
      </w:r>
      <w:r w:rsidR="00C30DAA">
        <w:rPr>
          <w:rFonts w:ascii="Arial" w:hAnsi="Arial" w:cs="Arial"/>
        </w:rPr>
        <w:t xml:space="preserve"> </w:t>
      </w:r>
      <w:r w:rsidR="000C154F" w:rsidRPr="007F6AD7">
        <w:rPr>
          <w:rFonts w:ascii="Arial" w:hAnsi="Arial" w:cs="Arial"/>
        </w:rPr>
        <w:t>los hoteles comenzaron a funcionar en moneda dura, aunque sólo para extranjeros. Al prohibirse el alojamiento a los nativos y negárseles otros servicios, era común el maltrato hacia ellos por parte de funcionarios nacionales y foráneos. En algun</w:t>
      </w:r>
      <w:r w:rsidR="00F92C35" w:rsidRPr="007F6AD7">
        <w:rPr>
          <w:rFonts w:ascii="Arial" w:hAnsi="Arial" w:cs="Arial"/>
        </w:rPr>
        <w:t>as instalaciones hoteleras</w:t>
      </w:r>
      <w:r w:rsidR="000C154F" w:rsidRPr="007F6AD7">
        <w:rPr>
          <w:rFonts w:ascii="Arial" w:hAnsi="Arial" w:cs="Arial"/>
        </w:rPr>
        <w:t xml:space="preserve">, se mantuvo el acceso en pesos </w:t>
      </w:r>
      <w:r w:rsidR="0001236E" w:rsidRPr="007F6AD7">
        <w:rPr>
          <w:rFonts w:ascii="Arial" w:hAnsi="Arial" w:cs="Arial"/>
        </w:rPr>
        <w:t>cubanos,</w:t>
      </w:r>
      <w:r w:rsidR="00F92C35" w:rsidRPr="007F6AD7">
        <w:rPr>
          <w:rFonts w:ascii="Arial" w:hAnsi="Arial" w:cs="Arial"/>
        </w:rPr>
        <w:t xml:space="preserve"> </w:t>
      </w:r>
      <w:r w:rsidR="001D13E2">
        <w:rPr>
          <w:rFonts w:ascii="Arial" w:hAnsi="Arial" w:cs="Arial"/>
        </w:rPr>
        <w:t xml:space="preserve">mediante </w:t>
      </w:r>
      <w:r w:rsidR="00F92C35" w:rsidRPr="007F6AD7">
        <w:rPr>
          <w:rFonts w:ascii="Arial" w:hAnsi="Arial" w:cs="Arial"/>
        </w:rPr>
        <w:t xml:space="preserve">una </w:t>
      </w:r>
      <w:r w:rsidR="001D13E2">
        <w:rPr>
          <w:rFonts w:ascii="Arial" w:hAnsi="Arial" w:cs="Arial"/>
        </w:rPr>
        <w:t>forma</w:t>
      </w:r>
      <w:r w:rsidR="000C154F" w:rsidRPr="007F6AD7">
        <w:rPr>
          <w:rFonts w:ascii="Arial" w:hAnsi="Arial" w:cs="Arial"/>
        </w:rPr>
        <w:t xml:space="preserve"> de premio material (“estímulo") a trabajadores y estudiantes destacados. También las parejas recién casadas podían hospedarse en estos lugares para cubanos y acceder a determinados servicios si mostraban la documentación pertinente al hacer la reservación. </w:t>
      </w:r>
    </w:p>
    <w:p w14:paraId="133090B5" w14:textId="05AAD495" w:rsidR="000C154F" w:rsidRPr="007F6AD7" w:rsidRDefault="002658A6" w:rsidP="002658A6">
      <w:pPr>
        <w:tabs>
          <w:tab w:val="left" w:pos="567"/>
        </w:tabs>
        <w:spacing w:after="0" w:line="360" w:lineRule="auto"/>
        <w:jc w:val="both"/>
        <w:rPr>
          <w:rFonts w:ascii="Arial" w:hAnsi="Arial" w:cs="Arial"/>
        </w:rPr>
      </w:pPr>
      <w:r>
        <w:rPr>
          <w:rFonts w:ascii="Arial" w:hAnsi="Arial" w:cs="Arial"/>
        </w:rPr>
        <w:t xml:space="preserve">47.   </w:t>
      </w:r>
      <w:r w:rsidR="000C154F" w:rsidRPr="007F6AD7">
        <w:rPr>
          <w:rFonts w:ascii="Arial" w:hAnsi="Arial" w:cs="Arial"/>
        </w:rPr>
        <w:t xml:space="preserve">El presidente cubano Raúl Castro, dentro de sus primeras reformas en el 2008, puso fin a varias regulaciones gubernamentales con prohibiciones para alojarse en hoteles, rentar autos y comprar y </w:t>
      </w:r>
      <w:r w:rsidR="00F92C35" w:rsidRPr="007F6AD7">
        <w:rPr>
          <w:rFonts w:ascii="Arial" w:hAnsi="Arial" w:cs="Arial"/>
        </w:rPr>
        <w:t>poseer</w:t>
      </w:r>
      <w:r w:rsidR="000C154F" w:rsidRPr="007F6AD7">
        <w:rPr>
          <w:rFonts w:ascii="Arial" w:hAnsi="Arial" w:cs="Arial"/>
        </w:rPr>
        <w:t xml:space="preserve"> teléfonos móviles </w:t>
      </w:r>
      <w:r w:rsidR="00F92C35" w:rsidRPr="007F6AD7">
        <w:rPr>
          <w:rFonts w:ascii="Arial" w:hAnsi="Arial" w:cs="Arial"/>
        </w:rPr>
        <w:t>como personas naturales</w:t>
      </w:r>
      <w:r w:rsidR="000C154F" w:rsidRPr="007F6AD7">
        <w:rPr>
          <w:rFonts w:ascii="Arial" w:hAnsi="Arial" w:cs="Arial"/>
        </w:rPr>
        <w:t xml:space="preserve">. Hasta entonces también estaba prohibida la compraventa de casas, autos, ordenadores y otros electrodomésticos. Hoy día continúan algunos servicios disponibles solo para foráneos. </w:t>
      </w:r>
      <w:r w:rsidR="000C154F" w:rsidRPr="007F6AD7">
        <w:rPr>
          <w:rStyle w:val="Refdenotaalpie"/>
          <w:rFonts w:ascii="Arial" w:hAnsi="Arial" w:cs="Arial"/>
        </w:rPr>
        <w:footnoteReference w:id="202"/>
      </w:r>
      <w:r w:rsidR="000C154F" w:rsidRPr="007F6AD7">
        <w:rPr>
          <w:rFonts w:ascii="Arial" w:hAnsi="Arial" w:cs="Arial"/>
          <w:vertAlign w:val="superscript"/>
        </w:rPr>
        <w:t>,</w:t>
      </w:r>
      <w:r w:rsidR="000C154F" w:rsidRPr="007F6AD7">
        <w:rPr>
          <w:rFonts w:ascii="Arial" w:hAnsi="Arial" w:cs="Arial"/>
        </w:rPr>
        <w:t xml:space="preserve"> </w:t>
      </w:r>
      <w:r w:rsidR="000C154F" w:rsidRPr="007F6AD7">
        <w:rPr>
          <w:rStyle w:val="Refdenotaalpie"/>
          <w:rFonts w:ascii="Arial" w:hAnsi="Arial" w:cs="Arial"/>
        </w:rPr>
        <w:footnoteReference w:id="203"/>
      </w:r>
      <w:r w:rsidR="000C154F" w:rsidRPr="007F6AD7">
        <w:rPr>
          <w:rFonts w:ascii="Arial" w:hAnsi="Arial" w:cs="Arial"/>
        </w:rPr>
        <w:t xml:space="preserve"> La contratación de servicios de televisión por cable no está autorizada para </w:t>
      </w:r>
      <w:r w:rsidR="00447AA2" w:rsidRPr="007F6AD7">
        <w:rPr>
          <w:rFonts w:ascii="Arial" w:hAnsi="Arial" w:cs="Arial"/>
        </w:rPr>
        <w:t>nativos</w:t>
      </w:r>
      <w:r w:rsidR="000C154F" w:rsidRPr="007F6AD7">
        <w:rPr>
          <w:rFonts w:ascii="Arial" w:hAnsi="Arial" w:cs="Arial"/>
        </w:rPr>
        <w:t>, aunque existe la posibilidad de contrato en situaciones especiales. La empresa estatal</w:t>
      </w:r>
      <w:r w:rsidR="000C154F" w:rsidRPr="007F6AD7">
        <w:rPr>
          <w:rFonts w:ascii="Arial" w:eastAsiaTheme="majorEastAsia" w:hAnsi="Arial" w:cs="Arial"/>
          <w:bCs/>
          <w:lang w:val="es-ES_tradnl"/>
        </w:rPr>
        <w:t xml:space="preserve"> </w:t>
      </w:r>
      <w:r w:rsidR="000C154F" w:rsidRPr="007F6AD7">
        <w:rPr>
          <w:rFonts w:ascii="Arial" w:hAnsi="Arial" w:cs="Arial"/>
        </w:rPr>
        <w:t>Telecable perteneciente a</w:t>
      </w:r>
      <w:r w:rsidR="00D805E5" w:rsidRPr="007F6AD7">
        <w:rPr>
          <w:rFonts w:ascii="Arial" w:hAnsi="Arial" w:cs="Arial"/>
        </w:rPr>
        <w:t xml:space="preserve"> la</w:t>
      </w:r>
      <w:r w:rsidR="00574D47" w:rsidRPr="007F6AD7">
        <w:rPr>
          <w:rFonts w:ascii="Arial" w:hAnsi="Arial" w:cs="Arial"/>
        </w:rPr>
        <w:t xml:space="preserve"> también empresa estatal CIMEX</w:t>
      </w:r>
      <w:r w:rsidR="000C154F" w:rsidRPr="007F6AD7">
        <w:rPr>
          <w:rFonts w:ascii="Arial" w:hAnsi="Arial" w:cs="Arial"/>
        </w:rPr>
        <w:t xml:space="preserve"> es la única autorizada a ofrecer este servicio en la isla pero solamente a instalaciones turísticas, diplomáticos, compañías foráneas y extranjeros residentes en Cuba. Para suplir esta falta, los cubanos consumen medios audiovisuales didácticos, noticiosos y de entretenimiento, la mayoría de factura internacional, mediante el servicio del “paquete”, una selección de programas grabados que circulan en memorias flash y discos duros. </w:t>
      </w:r>
    </w:p>
    <w:p w14:paraId="492C2F11" w14:textId="644707F7" w:rsidR="000C154F" w:rsidRPr="007F6AD7" w:rsidRDefault="000C154F" w:rsidP="002658A6">
      <w:pPr>
        <w:tabs>
          <w:tab w:val="left" w:pos="567"/>
        </w:tabs>
        <w:spacing w:after="0" w:line="360" w:lineRule="auto"/>
        <w:jc w:val="both"/>
        <w:rPr>
          <w:rFonts w:ascii="Arial" w:eastAsia="Times New Roman" w:hAnsi="Arial" w:cs="Arial"/>
          <w:bCs/>
          <w:lang w:val="es-MX"/>
        </w:rPr>
      </w:pPr>
      <w:r w:rsidRPr="007F6AD7">
        <w:rPr>
          <w:rFonts w:ascii="Arial" w:eastAsiaTheme="majorEastAsia" w:hAnsi="Arial" w:cs="Arial"/>
          <w:bCs/>
          <w:lang w:val="es-ES_tradnl"/>
        </w:rPr>
        <w:t> </w:t>
      </w:r>
      <w:r w:rsidR="002658A6">
        <w:rPr>
          <w:rFonts w:ascii="Arial" w:eastAsiaTheme="majorEastAsia" w:hAnsi="Arial" w:cs="Arial"/>
          <w:bCs/>
          <w:lang w:val="es-ES_tradnl"/>
        </w:rPr>
        <w:t xml:space="preserve">48.   </w:t>
      </w:r>
      <w:r w:rsidRPr="007F6AD7">
        <w:rPr>
          <w:rFonts w:ascii="Arial" w:hAnsi="Arial" w:cs="Arial"/>
        </w:rPr>
        <w:t xml:space="preserve">Recibir educación en una institución privada es un derecho solo </w:t>
      </w:r>
      <w:r w:rsidR="00BB3A02" w:rsidRPr="007F6AD7">
        <w:rPr>
          <w:rFonts w:ascii="Arial" w:hAnsi="Arial" w:cs="Arial"/>
        </w:rPr>
        <w:t>reconocido</w:t>
      </w:r>
      <w:r w:rsidRPr="007F6AD7">
        <w:rPr>
          <w:rFonts w:ascii="Arial" w:hAnsi="Arial" w:cs="Arial"/>
        </w:rPr>
        <w:t xml:space="preserve"> a los hijos de los diplomáticos extranjeros y nacionales casados con extranjeros que </w:t>
      </w:r>
      <w:r w:rsidR="00F92C35" w:rsidRPr="007F6AD7">
        <w:rPr>
          <w:rFonts w:ascii="Arial" w:hAnsi="Arial" w:cs="Arial"/>
        </w:rPr>
        <w:t>asisten</w:t>
      </w:r>
      <w:r w:rsidRPr="007F6AD7">
        <w:rPr>
          <w:rFonts w:ascii="Arial" w:hAnsi="Arial" w:cs="Arial"/>
        </w:rPr>
        <w:t xml:space="preserve"> a una institución internacional en La Habana. Los niños y niñas cubanos reciben una educación conforme al ideario marxista y se promoverá la formación comunista.</w:t>
      </w:r>
      <w:r w:rsidR="00637B52" w:rsidRPr="007F6AD7">
        <w:rPr>
          <w:rStyle w:val="Refdenotaalpie"/>
          <w:rFonts w:ascii="Arial" w:hAnsi="Arial" w:cs="Arial"/>
        </w:rPr>
        <w:footnoteReference w:id="204"/>
      </w:r>
      <w:r w:rsidRPr="007F6AD7">
        <w:rPr>
          <w:rFonts w:ascii="Arial" w:hAnsi="Arial" w:cs="Arial"/>
        </w:rPr>
        <w:t xml:space="preserve"> </w:t>
      </w:r>
      <w:r w:rsidR="00975773">
        <w:rPr>
          <w:rFonts w:ascii="Arial" w:hAnsi="Arial" w:cs="Arial"/>
        </w:rPr>
        <w:t>Asimismo</w:t>
      </w:r>
      <w:r w:rsidRPr="007F6AD7">
        <w:rPr>
          <w:rFonts w:ascii="Arial" w:hAnsi="Arial" w:cs="Arial"/>
        </w:rPr>
        <w:t xml:space="preserve">, por potestad del Estado cubano, toda </w:t>
      </w:r>
      <w:r w:rsidRPr="007F6AD7">
        <w:rPr>
          <w:rFonts w:ascii="Arial" w:hAnsi="Arial" w:cs="Arial"/>
        </w:rPr>
        <w:lastRenderedPageBreak/>
        <w:t>persona natural residente en Cuba y con ciudadanía cubana queda excluida de invertir en una mediana o gran empresa</w:t>
      </w:r>
      <w:r w:rsidR="005E2DCA" w:rsidRPr="007F6AD7">
        <w:rPr>
          <w:rFonts w:ascii="Arial" w:eastAsia="Times New Roman" w:hAnsi="Arial" w:cs="Arial"/>
          <w:lang w:val="es-MX"/>
        </w:rPr>
        <w:t xml:space="preserve"> y su única opción para </w:t>
      </w:r>
      <w:r w:rsidR="00637B52" w:rsidRPr="007F6AD7">
        <w:rPr>
          <w:rFonts w:ascii="Arial" w:eastAsia="Times New Roman" w:hAnsi="Arial" w:cs="Arial"/>
          <w:lang w:val="es-MX"/>
        </w:rPr>
        <w:t xml:space="preserve">hacer </w:t>
      </w:r>
      <w:r w:rsidR="005E2DCA" w:rsidRPr="007F6AD7">
        <w:rPr>
          <w:rFonts w:ascii="Arial" w:eastAsia="Times New Roman" w:hAnsi="Arial" w:cs="Arial"/>
          <w:lang w:val="es-MX"/>
        </w:rPr>
        <w:t>negoci</w:t>
      </w:r>
      <w:r w:rsidR="00637B52" w:rsidRPr="007F6AD7">
        <w:rPr>
          <w:rFonts w:ascii="Arial" w:eastAsia="Times New Roman" w:hAnsi="Arial" w:cs="Arial"/>
          <w:lang w:val="es-MX"/>
        </w:rPr>
        <w:t>os</w:t>
      </w:r>
      <w:r w:rsidR="005E2DCA" w:rsidRPr="007F6AD7">
        <w:rPr>
          <w:rFonts w:ascii="Arial" w:eastAsia="Times New Roman" w:hAnsi="Arial" w:cs="Arial"/>
          <w:lang w:val="es-MX"/>
        </w:rPr>
        <w:t xml:space="preserve"> es ser cuentapropista</w:t>
      </w:r>
      <w:r w:rsidR="00DB527F" w:rsidRPr="007F6AD7">
        <w:rPr>
          <w:rFonts w:ascii="Arial" w:eastAsia="Times New Roman" w:hAnsi="Arial" w:cs="Arial"/>
          <w:lang w:val="es-MX"/>
        </w:rPr>
        <w:t xml:space="preserve"> </w:t>
      </w:r>
      <w:r w:rsidR="00B2751A" w:rsidRPr="007F6AD7">
        <w:rPr>
          <w:rFonts w:ascii="Arial" w:eastAsia="Times New Roman" w:hAnsi="Arial" w:cs="Arial"/>
          <w:lang w:val="es-MX"/>
        </w:rPr>
        <w:t>(trabajador</w:t>
      </w:r>
      <w:r w:rsidR="001E3B4D" w:rsidRPr="007F6AD7">
        <w:rPr>
          <w:rFonts w:ascii="Arial" w:eastAsia="Times New Roman" w:hAnsi="Arial" w:cs="Arial"/>
          <w:lang w:val="es-MX"/>
        </w:rPr>
        <w:t xml:space="preserve"> autónomo)</w:t>
      </w:r>
      <w:r w:rsidR="005E2DCA" w:rsidRPr="007F6AD7">
        <w:rPr>
          <w:rFonts w:ascii="Arial" w:eastAsia="Times New Roman" w:hAnsi="Arial" w:cs="Arial"/>
          <w:lang w:val="es-MX"/>
        </w:rPr>
        <w:t>.</w:t>
      </w:r>
      <w:r w:rsidR="00B8316F" w:rsidRPr="007F6AD7">
        <w:rPr>
          <w:rFonts w:ascii="Arial" w:hAnsi="Arial" w:cs="Arial"/>
        </w:rPr>
        <w:t xml:space="preserve"> </w:t>
      </w:r>
      <w:r w:rsidR="004420D5" w:rsidRPr="007F6AD7">
        <w:rPr>
          <w:rFonts w:ascii="Arial" w:hAnsi="Arial" w:cs="Arial"/>
        </w:rPr>
        <w:t>La LEY No. 118</w:t>
      </w:r>
      <w:r w:rsidR="005E2DCA" w:rsidRPr="007F6AD7">
        <w:rPr>
          <w:rFonts w:ascii="Arial" w:hAnsi="Arial" w:cs="Arial"/>
        </w:rPr>
        <w:t>/2014,</w:t>
      </w:r>
      <w:r w:rsidR="004420D5" w:rsidRPr="007F6AD7">
        <w:rPr>
          <w:rFonts w:ascii="Arial" w:hAnsi="Arial" w:cs="Arial"/>
        </w:rPr>
        <w:t xml:space="preserve"> </w:t>
      </w:r>
      <w:r w:rsidR="00B81952" w:rsidRPr="007F6AD7">
        <w:rPr>
          <w:rFonts w:ascii="Arial" w:hAnsi="Arial" w:cs="Arial"/>
        </w:rPr>
        <w:t>Ley de la Inversión Extranjera</w:t>
      </w:r>
      <w:r w:rsidR="00461F84" w:rsidRPr="007F6AD7">
        <w:rPr>
          <w:rFonts w:ascii="Arial" w:hAnsi="Arial" w:cs="Arial"/>
        </w:rPr>
        <w:t xml:space="preserve">, </w:t>
      </w:r>
      <w:r w:rsidR="00BB3A02" w:rsidRPr="007F6AD7">
        <w:rPr>
          <w:rStyle w:val="Refdenotaalpie"/>
          <w:rFonts w:ascii="Arial" w:hAnsi="Arial" w:cs="Arial"/>
        </w:rPr>
        <w:footnoteReference w:id="205"/>
      </w:r>
      <w:r w:rsidR="004A4D2A" w:rsidRPr="007F6AD7">
        <w:rPr>
          <w:rFonts w:ascii="Arial" w:hAnsi="Arial" w:cs="Arial"/>
        </w:rPr>
        <w:t xml:space="preserve"> </w:t>
      </w:r>
      <w:r w:rsidR="00B81952" w:rsidRPr="007F6AD7">
        <w:rPr>
          <w:rFonts w:ascii="Arial" w:eastAsia="Times New Roman" w:hAnsi="Arial" w:cs="Arial"/>
          <w:bCs/>
          <w:lang w:val="es-MX"/>
        </w:rPr>
        <w:t>promulgada</w:t>
      </w:r>
      <w:r w:rsidR="00B81952" w:rsidRPr="007F6AD7">
        <w:rPr>
          <w:rFonts w:ascii="Arial" w:hAnsi="Arial" w:cs="Arial"/>
        </w:rPr>
        <w:t xml:space="preserve"> sin remisión</w:t>
      </w:r>
      <w:r w:rsidR="00B81952" w:rsidRPr="007F6AD7">
        <w:rPr>
          <w:rFonts w:ascii="Arial" w:eastAsia="Times New Roman" w:hAnsi="Arial" w:cs="Arial"/>
          <w:lang w:val="es-MX"/>
        </w:rPr>
        <w:t xml:space="preserve"> al Código Civil cubano,</w:t>
      </w:r>
      <w:r w:rsidR="00461F84" w:rsidRPr="007F6AD7">
        <w:rPr>
          <w:rStyle w:val="Refdenotaalpie"/>
          <w:rFonts w:ascii="Arial" w:eastAsia="Times New Roman" w:hAnsi="Arial" w:cs="Arial"/>
          <w:lang w:val="es-MX"/>
        </w:rPr>
        <w:footnoteReference w:id="206"/>
      </w:r>
      <w:r w:rsidR="00B81952" w:rsidRPr="007F6AD7">
        <w:rPr>
          <w:rFonts w:ascii="Arial" w:eastAsia="Times New Roman" w:hAnsi="Arial" w:cs="Arial"/>
          <w:lang w:val="es-MX"/>
        </w:rPr>
        <w:t xml:space="preserve"> </w:t>
      </w:r>
      <w:r w:rsidR="00637B52" w:rsidRPr="007F6AD7">
        <w:rPr>
          <w:rFonts w:ascii="Arial" w:eastAsia="Times New Roman" w:hAnsi="Arial" w:cs="Arial"/>
          <w:lang w:val="es-MX"/>
        </w:rPr>
        <w:t>busca</w:t>
      </w:r>
      <w:r w:rsidR="004420D5" w:rsidRPr="007F6AD7">
        <w:rPr>
          <w:rFonts w:ascii="Arial" w:eastAsia="Times New Roman" w:hAnsi="Arial" w:cs="Arial"/>
          <w:bCs/>
          <w:lang w:val="es-MX"/>
        </w:rPr>
        <w:t xml:space="preserve"> </w:t>
      </w:r>
      <w:r w:rsidR="005E2DCA" w:rsidRPr="007F6AD7">
        <w:rPr>
          <w:rFonts w:ascii="Arial" w:eastAsia="Times New Roman" w:hAnsi="Arial" w:cs="Arial"/>
          <w:bCs/>
          <w:lang w:val="es-MX"/>
        </w:rPr>
        <w:t xml:space="preserve">contribuir a la recuperación de la economía nacional y el desarrollo </w:t>
      </w:r>
      <w:r w:rsidR="00461F84" w:rsidRPr="007F6AD7">
        <w:rPr>
          <w:rFonts w:ascii="Arial" w:eastAsia="Times New Roman" w:hAnsi="Arial" w:cs="Arial"/>
          <w:bCs/>
          <w:lang w:val="es-MX"/>
        </w:rPr>
        <w:t>económico sostenible del país</w:t>
      </w:r>
      <w:r w:rsidR="00F63EE8" w:rsidRPr="007F6AD7">
        <w:rPr>
          <w:rFonts w:ascii="Arial" w:eastAsia="Times New Roman" w:hAnsi="Arial" w:cs="Arial"/>
          <w:bCs/>
          <w:lang w:val="es-MX"/>
        </w:rPr>
        <w:t>.</w:t>
      </w:r>
      <w:r w:rsidR="004420D5" w:rsidRPr="007F6AD7">
        <w:rPr>
          <w:rFonts w:ascii="Arial" w:eastAsia="Times New Roman" w:hAnsi="Arial" w:cs="Arial"/>
          <w:bCs/>
          <w:lang w:val="es-MX"/>
        </w:rPr>
        <w:t xml:space="preserve"> </w:t>
      </w:r>
      <w:r w:rsidR="00F63EE8" w:rsidRPr="007F6AD7">
        <w:rPr>
          <w:rFonts w:ascii="Arial" w:eastAsia="Times New Roman" w:hAnsi="Arial" w:cs="Arial"/>
          <w:bCs/>
          <w:lang w:val="es-MX"/>
        </w:rPr>
        <w:t>The Economist califica como embargo</w:t>
      </w:r>
      <w:r w:rsidR="00637B52" w:rsidRPr="007F6AD7">
        <w:rPr>
          <w:rStyle w:val="Refdenotaalpie"/>
          <w:rFonts w:ascii="Arial" w:hAnsi="Arial" w:cs="Arial"/>
        </w:rPr>
        <w:footnoteReference w:id="207"/>
      </w:r>
      <w:r w:rsidR="004420D5" w:rsidRPr="007F6AD7">
        <w:rPr>
          <w:rFonts w:ascii="Arial" w:eastAsia="Times New Roman" w:hAnsi="Arial" w:cs="Arial"/>
          <w:bCs/>
          <w:lang w:val="es-MX"/>
        </w:rPr>
        <w:t xml:space="preserve"> </w:t>
      </w:r>
      <w:r w:rsidR="00F63EE8" w:rsidRPr="007F6AD7">
        <w:rPr>
          <w:rFonts w:ascii="Arial" w:eastAsia="Times New Roman" w:hAnsi="Arial" w:cs="Arial"/>
          <w:bCs/>
          <w:lang w:val="es-MX"/>
        </w:rPr>
        <w:t>no</w:t>
      </w:r>
      <w:r w:rsidR="0013056A" w:rsidRPr="007F6AD7">
        <w:rPr>
          <w:rFonts w:ascii="Arial" w:eastAsia="Times New Roman" w:hAnsi="Arial" w:cs="Arial"/>
          <w:bCs/>
          <w:lang w:val="es-MX"/>
        </w:rPr>
        <w:t xml:space="preserve"> autorizar</w:t>
      </w:r>
      <w:r w:rsidR="00B81952" w:rsidRPr="007F6AD7">
        <w:rPr>
          <w:rFonts w:ascii="Arial" w:eastAsia="Times New Roman" w:hAnsi="Arial" w:cs="Arial"/>
          <w:bCs/>
          <w:lang w:val="es-MX"/>
        </w:rPr>
        <w:t xml:space="preserve"> </w:t>
      </w:r>
      <w:r w:rsidR="00F63EE8" w:rsidRPr="007F6AD7">
        <w:rPr>
          <w:rFonts w:ascii="Arial" w:eastAsia="Times New Roman" w:hAnsi="Arial" w:cs="Arial"/>
          <w:bCs/>
          <w:lang w:val="es-MX"/>
        </w:rPr>
        <w:t>la</w:t>
      </w:r>
      <w:r w:rsidR="00B81952" w:rsidRPr="007F6AD7">
        <w:rPr>
          <w:rFonts w:ascii="Arial" w:eastAsia="Times New Roman" w:hAnsi="Arial" w:cs="Arial"/>
          <w:bCs/>
          <w:lang w:val="es-MX"/>
        </w:rPr>
        <w:t xml:space="preserve"> </w:t>
      </w:r>
      <w:r w:rsidR="00F63EE8" w:rsidRPr="007F6AD7">
        <w:rPr>
          <w:rFonts w:ascii="Arial" w:eastAsia="Times New Roman" w:hAnsi="Arial" w:cs="Arial"/>
          <w:bCs/>
          <w:lang w:val="es-MX"/>
        </w:rPr>
        <w:t>inversión de</w:t>
      </w:r>
      <w:r w:rsidR="004420D5" w:rsidRPr="007F6AD7">
        <w:rPr>
          <w:rFonts w:ascii="Arial" w:eastAsia="Times New Roman" w:hAnsi="Arial" w:cs="Arial"/>
          <w:bCs/>
          <w:lang w:val="es-MX"/>
        </w:rPr>
        <w:t xml:space="preserve"> los cubanos</w:t>
      </w:r>
      <w:r w:rsidR="00F91BEA" w:rsidRPr="007F6AD7">
        <w:rPr>
          <w:rFonts w:ascii="Arial" w:eastAsia="Times New Roman" w:hAnsi="Arial" w:cs="Arial"/>
          <w:bCs/>
          <w:lang w:val="es-MX"/>
        </w:rPr>
        <w:t xml:space="preserve"> como personas naturales</w:t>
      </w:r>
      <w:r w:rsidR="004420D5" w:rsidRPr="007F6AD7">
        <w:rPr>
          <w:rFonts w:ascii="Arial" w:eastAsia="Times New Roman" w:hAnsi="Arial" w:cs="Arial"/>
          <w:bCs/>
          <w:lang w:val="es-MX"/>
        </w:rPr>
        <w:t xml:space="preserve"> de la isla</w:t>
      </w:r>
      <w:r w:rsidR="005E2DCA" w:rsidRPr="007F6AD7">
        <w:rPr>
          <w:rFonts w:ascii="Arial" w:eastAsia="Times New Roman" w:hAnsi="Arial" w:cs="Arial"/>
          <w:bCs/>
          <w:lang w:val="es-MX"/>
        </w:rPr>
        <w:t xml:space="preserve"> excepto aquell</w:t>
      </w:r>
      <w:r w:rsidR="00461F84" w:rsidRPr="007F6AD7">
        <w:rPr>
          <w:rFonts w:ascii="Arial" w:eastAsia="Times New Roman" w:hAnsi="Arial" w:cs="Arial"/>
          <w:bCs/>
          <w:lang w:val="es-MX"/>
        </w:rPr>
        <w:t>o</w:t>
      </w:r>
      <w:r w:rsidR="005E2DCA" w:rsidRPr="007F6AD7">
        <w:rPr>
          <w:rFonts w:ascii="Arial" w:eastAsia="Times New Roman" w:hAnsi="Arial" w:cs="Arial"/>
          <w:bCs/>
          <w:lang w:val="es-MX"/>
        </w:rPr>
        <w:t xml:space="preserve">s </w:t>
      </w:r>
      <w:r w:rsidR="00BB3A02" w:rsidRPr="007F6AD7">
        <w:rPr>
          <w:rFonts w:ascii="Arial" w:eastAsia="Times New Roman" w:hAnsi="Arial" w:cs="Arial"/>
          <w:bCs/>
          <w:lang w:val="es-MX"/>
        </w:rPr>
        <w:t xml:space="preserve">nacionales </w:t>
      </w:r>
      <w:r w:rsidR="00461F84" w:rsidRPr="007F6AD7">
        <w:rPr>
          <w:rFonts w:ascii="Arial" w:eastAsia="Times New Roman" w:hAnsi="Arial" w:cs="Arial"/>
          <w:bCs/>
          <w:lang w:val="es-MX"/>
        </w:rPr>
        <w:t xml:space="preserve">pertenecientes a </w:t>
      </w:r>
      <w:r w:rsidR="005E2DCA" w:rsidRPr="007F6AD7">
        <w:rPr>
          <w:rFonts w:ascii="Arial" w:eastAsia="Times New Roman" w:hAnsi="Arial" w:cs="Arial"/>
          <w:bCs/>
          <w:lang w:val="es-MX"/>
        </w:rPr>
        <w:t xml:space="preserve">empresas </w:t>
      </w:r>
      <w:r w:rsidR="00F91BEA" w:rsidRPr="007F6AD7">
        <w:rPr>
          <w:rFonts w:ascii="Arial" w:eastAsia="Times New Roman" w:hAnsi="Arial" w:cs="Arial"/>
          <w:bCs/>
          <w:lang w:val="es-MX"/>
        </w:rPr>
        <w:t>cubanas con</w:t>
      </w:r>
      <w:r w:rsidR="005E2DCA" w:rsidRPr="007F6AD7">
        <w:rPr>
          <w:rFonts w:ascii="Arial" w:eastAsia="Times New Roman" w:hAnsi="Arial" w:cs="Arial"/>
          <w:bCs/>
          <w:lang w:val="es-MX"/>
        </w:rPr>
        <w:t xml:space="preserve"> </w:t>
      </w:r>
      <w:r w:rsidR="00F91BEA" w:rsidRPr="007F6AD7">
        <w:rPr>
          <w:rFonts w:ascii="Arial" w:eastAsia="Times New Roman" w:hAnsi="Arial" w:cs="Arial"/>
          <w:bCs/>
          <w:lang w:val="es-MX"/>
        </w:rPr>
        <w:t>la personalidad</w:t>
      </w:r>
      <w:r w:rsidR="005E2DCA" w:rsidRPr="007F6AD7">
        <w:rPr>
          <w:rFonts w:ascii="Arial" w:eastAsia="Times New Roman" w:hAnsi="Arial" w:cs="Arial"/>
          <w:bCs/>
          <w:lang w:val="es-MX"/>
        </w:rPr>
        <w:t xml:space="preserve"> jurídica reconocida por la ley</w:t>
      </w:r>
      <w:r w:rsidR="00F91BEA" w:rsidRPr="007F6AD7">
        <w:rPr>
          <w:rFonts w:ascii="Arial" w:eastAsia="Times New Roman" w:hAnsi="Arial" w:cs="Arial"/>
          <w:bCs/>
          <w:lang w:val="es-MX"/>
        </w:rPr>
        <w:t xml:space="preserve"> y el </w:t>
      </w:r>
      <w:r w:rsidR="00637B52" w:rsidRPr="007F6AD7">
        <w:rPr>
          <w:rFonts w:ascii="Arial" w:eastAsia="Times New Roman" w:hAnsi="Arial" w:cs="Arial"/>
          <w:bCs/>
          <w:lang w:val="es-MX"/>
        </w:rPr>
        <w:t xml:space="preserve">Estado. </w:t>
      </w:r>
      <w:r w:rsidR="005E2DCA" w:rsidRPr="007F6AD7">
        <w:rPr>
          <w:rStyle w:val="Refdenotaalpie"/>
          <w:rFonts w:ascii="Arial" w:eastAsia="Times New Roman" w:hAnsi="Arial" w:cs="Arial"/>
          <w:bCs/>
          <w:lang w:val="es-MX"/>
        </w:rPr>
        <w:footnoteReference w:id="208"/>
      </w:r>
    </w:p>
    <w:p w14:paraId="3F168BAC" w14:textId="75496AC7" w:rsidR="000C154F" w:rsidRPr="007F6AD7" w:rsidRDefault="000C154F" w:rsidP="006C3A4B">
      <w:pPr>
        <w:pStyle w:val="Ttulo3"/>
      </w:pPr>
      <w:bookmarkStart w:id="101" w:name="_Toc515359805"/>
      <w:r w:rsidRPr="007F6AD7">
        <w:t xml:space="preserve">Valoraciones </w:t>
      </w:r>
      <w:r w:rsidR="007D3599" w:rsidRPr="007F6AD7">
        <w:t>subjetivas para a</w:t>
      </w:r>
      <w:r w:rsidRPr="007F6AD7">
        <w:t xml:space="preserve">cceder a los </w:t>
      </w:r>
      <w:r w:rsidR="007D3599" w:rsidRPr="007F6AD7">
        <w:t>s</w:t>
      </w:r>
      <w:r w:rsidRPr="007F6AD7">
        <w:t xml:space="preserve">ervicios de </w:t>
      </w:r>
      <w:r w:rsidR="007D3599" w:rsidRPr="007F6AD7">
        <w:t>i</w:t>
      </w:r>
      <w:r w:rsidRPr="007F6AD7">
        <w:t xml:space="preserve">nternet y </w:t>
      </w:r>
      <w:r w:rsidR="007D3599" w:rsidRPr="007F6AD7">
        <w:t>t</w:t>
      </w:r>
      <w:r w:rsidRPr="007F6AD7">
        <w:t>elefonÍa</w:t>
      </w:r>
      <w:bookmarkEnd w:id="101"/>
      <w:r w:rsidRPr="007F6AD7">
        <w:t xml:space="preserve"> </w:t>
      </w:r>
    </w:p>
    <w:p w14:paraId="5EF91FEC" w14:textId="792C2245" w:rsidR="000C154F" w:rsidRPr="007F6AD7" w:rsidRDefault="000C154F" w:rsidP="00975773">
      <w:pPr>
        <w:tabs>
          <w:tab w:val="left" w:pos="567"/>
        </w:tabs>
        <w:spacing w:after="0" w:line="360" w:lineRule="auto"/>
        <w:jc w:val="both"/>
        <w:rPr>
          <w:rFonts w:ascii="Arial" w:hAnsi="Arial" w:cs="Arial"/>
        </w:rPr>
      </w:pPr>
      <w:r w:rsidRPr="007F6AD7">
        <w:rPr>
          <w:rFonts w:ascii="Arial" w:hAnsi="Arial" w:cs="Arial"/>
        </w:rPr>
        <w:t>4</w:t>
      </w:r>
      <w:r w:rsidR="00975773">
        <w:rPr>
          <w:rFonts w:ascii="Arial" w:hAnsi="Arial" w:cs="Arial"/>
        </w:rPr>
        <w:t>9</w:t>
      </w:r>
      <w:r w:rsidRPr="007F6AD7">
        <w:rPr>
          <w:rFonts w:ascii="Arial" w:hAnsi="Arial" w:cs="Arial"/>
        </w:rPr>
        <w:t xml:space="preserve">. </w:t>
      </w:r>
      <w:r w:rsidR="00975773">
        <w:rPr>
          <w:rFonts w:ascii="Arial" w:hAnsi="Arial" w:cs="Arial"/>
        </w:rPr>
        <w:t xml:space="preserve"> </w:t>
      </w:r>
      <w:r w:rsidR="006503FF" w:rsidRPr="007F6AD7">
        <w:rPr>
          <w:rFonts w:ascii="Arial" w:hAnsi="Arial" w:cs="Arial"/>
        </w:rPr>
        <w:t xml:space="preserve">Los derechos ciudadanos relativos al acceso a las </w:t>
      </w:r>
      <w:r w:rsidR="002501AF" w:rsidRPr="007F6AD7">
        <w:rPr>
          <w:rFonts w:ascii="Arial" w:hAnsi="Arial" w:cs="Arial"/>
        </w:rPr>
        <w:t>Tecnologías de la Información y las Comunicaciones (TIC)</w:t>
      </w:r>
      <w:r w:rsidR="006503FF" w:rsidRPr="007F6AD7">
        <w:rPr>
          <w:rFonts w:ascii="Arial" w:hAnsi="Arial" w:cs="Arial"/>
        </w:rPr>
        <w:t xml:space="preserve"> específicamente, no están reglamentados en la Constitución de la República</w:t>
      </w:r>
      <w:r w:rsidR="00857B85" w:rsidRPr="007F6AD7">
        <w:rPr>
          <w:rFonts w:ascii="Arial" w:hAnsi="Arial" w:cs="Arial"/>
        </w:rPr>
        <w:t>,</w:t>
      </w:r>
      <w:r w:rsidR="006503FF" w:rsidRPr="007F6AD7">
        <w:rPr>
          <w:rFonts w:ascii="Arial" w:hAnsi="Arial" w:cs="Arial"/>
        </w:rPr>
        <w:t xml:space="preserve"> ni en ninguna otra norma hasta donde </w:t>
      </w:r>
      <w:r w:rsidR="002501AF" w:rsidRPr="007F6AD7">
        <w:rPr>
          <w:rFonts w:ascii="Arial" w:hAnsi="Arial" w:cs="Arial"/>
        </w:rPr>
        <w:t>ACDEI ha</w:t>
      </w:r>
      <w:r w:rsidR="006503FF" w:rsidRPr="007F6AD7">
        <w:rPr>
          <w:rFonts w:ascii="Arial" w:hAnsi="Arial" w:cs="Arial"/>
        </w:rPr>
        <w:t xml:space="preserve"> </w:t>
      </w:r>
      <w:r w:rsidR="002501AF" w:rsidRPr="007F6AD7">
        <w:rPr>
          <w:rFonts w:ascii="Arial" w:hAnsi="Arial" w:cs="Arial"/>
        </w:rPr>
        <w:t>podido acceder</w:t>
      </w:r>
      <w:r w:rsidR="006503FF" w:rsidRPr="007F6AD7">
        <w:rPr>
          <w:rFonts w:ascii="Arial" w:hAnsi="Arial" w:cs="Arial"/>
        </w:rPr>
        <w:t xml:space="preserve">. </w:t>
      </w:r>
      <w:r w:rsidRPr="007F6AD7">
        <w:rPr>
          <w:rFonts w:ascii="Arial" w:hAnsi="Arial" w:cs="Arial"/>
        </w:rPr>
        <w:t xml:space="preserve">Al triunfo de la Revolución (1959) había en Cuba alrededor de 200.000 teléfonos para una población de 6.812.400 habitantes (CICRED, 1974), con una penetración aproximada del 3%. En 1994, al comenzar la Empresa de Telecomunicaciones de Cuba S. A. (ETECSA), un monopolio estatal, la penetración telefónica (fija) era solo de 6,37 en una población que casi se había duplicado. En 2012 todavía era de 10,1 </w:t>
      </w:r>
      <w:r w:rsidR="00C25676" w:rsidRPr="007F6AD7">
        <w:rPr>
          <w:rFonts w:ascii="Arial" w:hAnsi="Arial" w:cs="Arial"/>
        </w:rPr>
        <w:t xml:space="preserve">según </w:t>
      </w:r>
      <w:r w:rsidR="00C51A66" w:rsidRPr="007F6AD7">
        <w:rPr>
          <w:rFonts w:ascii="Arial" w:hAnsi="Arial" w:cs="Arial"/>
        </w:rPr>
        <w:t>informa la</w:t>
      </w:r>
      <w:r w:rsidR="00C25676" w:rsidRPr="007F6AD7">
        <w:rPr>
          <w:rFonts w:ascii="Arial" w:hAnsi="Arial" w:cs="Arial"/>
        </w:rPr>
        <w:t xml:space="preserve"> </w:t>
      </w:r>
      <w:r w:rsidRPr="007F6AD7">
        <w:rPr>
          <w:rFonts w:ascii="Arial" w:hAnsi="Arial" w:cs="Arial"/>
        </w:rPr>
        <w:t xml:space="preserve">Oficina Nacional de Estadísticas e Información, considerando que residían en el país 11.163.934 personas. </w:t>
      </w:r>
      <w:r w:rsidRPr="007F6AD7">
        <w:rPr>
          <w:rStyle w:val="Refdenotaalpie"/>
          <w:rFonts w:ascii="Arial" w:hAnsi="Arial" w:cs="Arial"/>
        </w:rPr>
        <w:footnoteReference w:id="209"/>
      </w:r>
      <w:r w:rsidRPr="007F6AD7">
        <w:rPr>
          <w:rFonts w:ascii="Arial" w:hAnsi="Arial" w:cs="Arial"/>
        </w:rPr>
        <w:t xml:space="preserve"> Aunque sin confirmar, padres de zonas rurales reportan sobre la existencia de escuelas sin teléfonos. Otro </w:t>
      </w:r>
      <w:r w:rsidRPr="007F6AD7">
        <w:rPr>
          <w:rFonts w:ascii="Arial" w:hAnsi="Arial" w:cs="Arial"/>
        </w:rPr>
        <w:lastRenderedPageBreak/>
        <w:t xml:space="preserve">rasgo estimado para convertirse en potenciales usuarios de servicios telefónicos fijos residenciales fue, y sigue siendo, el “mérito” siempre de escala social. </w:t>
      </w:r>
      <w:r w:rsidRPr="007F6AD7">
        <w:rPr>
          <w:rStyle w:val="Refdenotaalpie"/>
          <w:rFonts w:ascii="Arial" w:hAnsi="Arial" w:cs="Arial"/>
        </w:rPr>
        <w:footnoteReference w:id="210"/>
      </w:r>
      <w:r w:rsidRPr="007F6AD7">
        <w:rPr>
          <w:rFonts w:ascii="Arial" w:hAnsi="Arial" w:cs="Arial"/>
        </w:rPr>
        <w:t xml:space="preserve"> Para asignar una línea telefónica a una persona natural, preponderan en la selección, la valoración de virtudes sociales fundamentadas, sobre todo la participación económica y/o política definida por el canon revolucionario institucionalizado. Una práctica llena de subjetivismos y corrupción.</w:t>
      </w:r>
      <w:r w:rsidRPr="007F6AD7">
        <w:rPr>
          <w:rStyle w:val="Refdenotaalpie"/>
          <w:rFonts w:ascii="Arial" w:hAnsi="Arial" w:cs="Arial"/>
        </w:rPr>
        <w:footnoteReference w:id="211"/>
      </w:r>
      <w:r w:rsidRPr="007F6AD7">
        <w:rPr>
          <w:rFonts w:ascii="Arial" w:hAnsi="Arial" w:cs="Arial"/>
        </w:rPr>
        <w:t xml:space="preserve"> </w:t>
      </w:r>
    </w:p>
    <w:p w14:paraId="164A83CB" w14:textId="24932161" w:rsidR="000C154F" w:rsidRPr="007F6AD7" w:rsidRDefault="00975773" w:rsidP="00975773">
      <w:pPr>
        <w:tabs>
          <w:tab w:val="left" w:pos="720"/>
        </w:tabs>
        <w:spacing w:after="0" w:line="360" w:lineRule="auto"/>
        <w:jc w:val="both"/>
        <w:rPr>
          <w:rFonts w:ascii="Arial" w:hAnsi="Arial" w:cs="Arial"/>
        </w:rPr>
      </w:pPr>
      <w:r>
        <w:rPr>
          <w:rFonts w:ascii="Arial" w:hAnsi="Arial" w:cs="Arial"/>
        </w:rPr>
        <w:t xml:space="preserve">50.   </w:t>
      </w:r>
      <w:r w:rsidR="000C154F" w:rsidRPr="007F6AD7">
        <w:rPr>
          <w:rFonts w:ascii="Arial" w:hAnsi="Arial" w:cs="Arial"/>
        </w:rPr>
        <w:t>La aprobación gubernamental de la política para la informatización de toda la sociedad cubana es bastante reciente.</w:t>
      </w:r>
      <w:r w:rsidR="002501AF" w:rsidRPr="007F6AD7">
        <w:rPr>
          <w:rStyle w:val="Refdenotaalpie"/>
          <w:rFonts w:ascii="Arial" w:hAnsi="Arial" w:cs="Arial"/>
        </w:rPr>
        <w:footnoteReference w:id="212"/>
      </w:r>
      <w:r w:rsidR="002501AF" w:rsidRPr="007F6AD7">
        <w:rPr>
          <w:rFonts w:ascii="Arial" w:hAnsi="Arial" w:cs="Arial"/>
        </w:rPr>
        <w:t xml:space="preserve"> </w:t>
      </w:r>
      <w:r w:rsidR="002501AF" w:rsidRPr="007F6AD7">
        <w:rPr>
          <w:rFonts w:ascii="Arial" w:hAnsi="Arial" w:cs="Arial"/>
          <w:vertAlign w:val="superscript"/>
        </w:rPr>
        <w:t>,</w:t>
      </w:r>
      <w:r w:rsidR="00AE5E3F" w:rsidRPr="007F6AD7">
        <w:rPr>
          <w:rFonts w:ascii="Arial" w:hAnsi="Arial" w:cs="Arial"/>
          <w:vertAlign w:val="superscript"/>
        </w:rPr>
        <w:t xml:space="preserve"> </w:t>
      </w:r>
      <w:r w:rsidR="000C154F" w:rsidRPr="007F6AD7">
        <w:rPr>
          <w:rStyle w:val="Refdenotaalpie"/>
          <w:rFonts w:ascii="Arial" w:hAnsi="Arial" w:cs="Arial"/>
        </w:rPr>
        <w:footnoteReference w:id="213"/>
      </w:r>
      <w:r w:rsidR="002501AF" w:rsidRPr="007F6AD7">
        <w:rPr>
          <w:rFonts w:ascii="Arial" w:hAnsi="Arial" w:cs="Arial"/>
        </w:rPr>
        <w:t xml:space="preserve"> </w:t>
      </w:r>
      <w:r w:rsidR="000C154F" w:rsidRPr="007F6AD7">
        <w:rPr>
          <w:rFonts w:ascii="Arial" w:hAnsi="Arial" w:cs="Arial"/>
        </w:rPr>
        <w:t xml:space="preserve"> Cuba ya estaba conectada a Internet desde 1996, de manera muy precaria y con unos resultados muy inferiores a las expectativas y las necesidades de una sociedad con un alto nivel educativo y una economía subordinada a ingresos provenientes de la exportación de servicios profesionales, principalmente en las áreas de salud, educación y deportes.</w:t>
      </w:r>
      <w:r w:rsidR="000C154F" w:rsidRPr="007F6AD7">
        <w:rPr>
          <w:rStyle w:val="Refdenotaalpie"/>
          <w:rFonts w:ascii="Arial" w:hAnsi="Arial" w:cs="Arial"/>
        </w:rPr>
        <w:footnoteReference w:id="214"/>
      </w:r>
      <w:r w:rsidR="000C154F" w:rsidRPr="007F6AD7">
        <w:rPr>
          <w:rFonts w:ascii="Arial" w:hAnsi="Arial" w:cs="Arial"/>
        </w:rPr>
        <w:t xml:space="preserve"> De acuerdo con datos oficiales del 2012, el 70 por ciento de los ingresos por exportaciones de la isla.</w:t>
      </w:r>
    </w:p>
    <w:p w14:paraId="214F31D8" w14:textId="66358925" w:rsidR="000C154F" w:rsidRPr="007F6AD7" w:rsidRDefault="00975773" w:rsidP="00975773">
      <w:pPr>
        <w:spacing w:after="0" w:line="360" w:lineRule="auto"/>
        <w:jc w:val="both"/>
        <w:rPr>
          <w:rFonts w:ascii="Arial" w:hAnsi="Arial" w:cs="Arial"/>
        </w:rPr>
      </w:pPr>
      <w:r>
        <w:rPr>
          <w:rFonts w:ascii="Arial" w:hAnsi="Arial" w:cs="Arial"/>
        </w:rPr>
        <w:t xml:space="preserve">51.   </w:t>
      </w:r>
      <w:r w:rsidR="000C154F" w:rsidRPr="007F6AD7">
        <w:rPr>
          <w:rFonts w:ascii="Arial" w:hAnsi="Arial" w:cs="Arial"/>
        </w:rPr>
        <w:t>Cuba</w:t>
      </w:r>
      <w:r>
        <w:rPr>
          <w:rFonts w:ascii="Arial" w:hAnsi="Arial" w:cs="Arial"/>
        </w:rPr>
        <w:t>,</w:t>
      </w:r>
      <w:r w:rsidR="000C154F" w:rsidRPr="007F6AD7">
        <w:rPr>
          <w:rFonts w:ascii="Arial" w:hAnsi="Arial" w:cs="Arial"/>
        </w:rPr>
        <w:t xml:space="preserve"> </w:t>
      </w:r>
      <w:r>
        <w:rPr>
          <w:rFonts w:ascii="Arial" w:hAnsi="Arial" w:cs="Arial"/>
        </w:rPr>
        <w:t>e</w:t>
      </w:r>
      <w:r w:rsidRPr="007F6AD7">
        <w:rPr>
          <w:rFonts w:ascii="Arial" w:hAnsi="Arial" w:cs="Arial"/>
        </w:rPr>
        <w:t>n el 2013</w:t>
      </w:r>
      <w:r>
        <w:rPr>
          <w:rFonts w:ascii="Arial" w:hAnsi="Arial" w:cs="Arial"/>
        </w:rPr>
        <w:t xml:space="preserve">, </w:t>
      </w:r>
      <w:r w:rsidR="000C154F" w:rsidRPr="007F6AD7">
        <w:rPr>
          <w:rFonts w:ascii="Arial" w:hAnsi="Arial" w:cs="Arial"/>
        </w:rPr>
        <w:t xml:space="preserve">es uno de los países peor conectados en América Latina, en el lugar 111 del Índice de Desarrollo de las TIC (IDI), </w:t>
      </w:r>
      <w:r w:rsidR="00AE5E3F" w:rsidRPr="007F6AD7">
        <w:rPr>
          <w:rFonts w:ascii="Arial" w:hAnsi="Arial" w:cs="Arial"/>
        </w:rPr>
        <w:t xml:space="preserve">en una lista de 157 países </w:t>
      </w:r>
      <w:r w:rsidR="000C154F" w:rsidRPr="007F6AD7">
        <w:rPr>
          <w:rFonts w:ascii="Arial" w:hAnsi="Arial" w:cs="Arial"/>
        </w:rPr>
        <w:t xml:space="preserve">según la Unión Internacional de Telecomunicaciones (UIT); por otro </w:t>
      </w:r>
      <w:r w:rsidR="00AE5E3F" w:rsidRPr="007F6AD7">
        <w:rPr>
          <w:rFonts w:ascii="Arial" w:hAnsi="Arial" w:cs="Arial"/>
        </w:rPr>
        <w:t>lado Cuba</w:t>
      </w:r>
      <w:r w:rsidR="000C154F" w:rsidRPr="007F6AD7">
        <w:rPr>
          <w:rFonts w:ascii="Arial" w:hAnsi="Arial" w:cs="Arial"/>
        </w:rPr>
        <w:t xml:space="preserve"> fue el segundo país de menor IDI en la región latinoamericana, con un promedio de 2,72.</w:t>
      </w:r>
      <w:r w:rsidR="000C154F" w:rsidRPr="007F6AD7">
        <w:rPr>
          <w:rStyle w:val="Refdenotaalpie"/>
          <w:rFonts w:ascii="Arial" w:hAnsi="Arial" w:cs="Arial"/>
        </w:rPr>
        <w:footnoteReference w:id="215"/>
      </w:r>
      <w:r w:rsidR="00AE5E3F" w:rsidRPr="007F6AD7">
        <w:rPr>
          <w:rFonts w:ascii="Arial" w:hAnsi="Arial" w:cs="Arial"/>
          <w:vertAlign w:val="superscript"/>
        </w:rPr>
        <w:t xml:space="preserve"> </w:t>
      </w:r>
      <w:r w:rsidR="00AE5E3F" w:rsidRPr="007F6AD7">
        <w:rPr>
          <w:rFonts w:ascii="Arial" w:hAnsi="Arial" w:cs="Arial"/>
          <w:lang w:eastAsia="es-ES"/>
        </w:rPr>
        <w:t xml:space="preserve"> </w:t>
      </w:r>
      <w:r w:rsidR="000C154F" w:rsidRPr="007F6AD7">
        <w:rPr>
          <w:rFonts w:ascii="Arial" w:hAnsi="Arial" w:cs="Arial"/>
        </w:rPr>
        <w:t>En el 2017, la mayoría de las escuelas del país</w:t>
      </w:r>
      <w:r w:rsidR="00AE5E3F" w:rsidRPr="007F6AD7">
        <w:rPr>
          <w:rFonts w:ascii="Arial" w:hAnsi="Arial" w:cs="Arial"/>
        </w:rPr>
        <w:t xml:space="preserve"> </w:t>
      </w:r>
      <w:r w:rsidR="00AE5E3F" w:rsidRPr="007F6AD7">
        <w:rPr>
          <w:rFonts w:ascii="Arial" w:hAnsi="Arial" w:cs="Arial"/>
          <w:vertAlign w:val="superscript"/>
        </w:rPr>
        <w:footnoteReference w:id="216"/>
      </w:r>
      <w:r w:rsidR="000C154F" w:rsidRPr="007F6AD7">
        <w:rPr>
          <w:rFonts w:ascii="Arial" w:hAnsi="Arial" w:cs="Arial"/>
        </w:rPr>
        <w:t xml:space="preserve"> no </w:t>
      </w:r>
      <w:r w:rsidR="000C154F" w:rsidRPr="007F6AD7">
        <w:rPr>
          <w:rFonts w:ascii="Arial" w:hAnsi="Arial" w:cs="Arial"/>
        </w:rPr>
        <w:lastRenderedPageBreak/>
        <w:t>tienen acceso a la red de redes y el acceso a Internet se caracteriza por el acceso temporal,</w:t>
      </w:r>
      <w:r w:rsidR="000C154F" w:rsidRPr="007F6AD7">
        <w:rPr>
          <w:rStyle w:val="Refdenotaalpie"/>
          <w:rFonts w:ascii="Arial" w:hAnsi="Arial" w:cs="Arial"/>
        </w:rPr>
        <w:footnoteReference w:id="217"/>
      </w:r>
      <w:r w:rsidR="000C154F" w:rsidRPr="007F6AD7">
        <w:rPr>
          <w:rFonts w:ascii="Arial" w:hAnsi="Arial" w:cs="Arial"/>
        </w:rPr>
        <w:t xml:space="preserve"> costos elevados para las familias, lenta conectividad y elevada censura.</w:t>
      </w:r>
      <w:r w:rsidR="000C154F" w:rsidRPr="007F6AD7">
        <w:rPr>
          <w:rFonts w:ascii="Arial" w:hAnsi="Arial" w:cs="Arial"/>
          <w:vertAlign w:val="superscript"/>
        </w:rPr>
        <w:footnoteReference w:id="218"/>
      </w:r>
      <w:r w:rsidR="00AE5E3F" w:rsidRPr="007F6AD7">
        <w:rPr>
          <w:rFonts w:ascii="Arial" w:hAnsi="Arial" w:cs="Arial"/>
        </w:rPr>
        <w:t xml:space="preserve"> </w:t>
      </w:r>
      <w:r>
        <w:rPr>
          <w:rFonts w:ascii="Arial" w:hAnsi="Arial" w:cs="Arial"/>
        </w:rPr>
        <w:t xml:space="preserve">El  </w:t>
      </w:r>
      <w:r w:rsidR="000C154F" w:rsidRPr="007F6AD7">
        <w:rPr>
          <w:rFonts w:ascii="Arial" w:hAnsi="Arial" w:cs="Arial"/>
        </w:rPr>
        <w:t>85% de la población que desea utilizar Internet se conecta en lugares conocidos popularmente como "Zonas WIFI</w:t>
      </w:r>
      <w:r w:rsidR="002501AF" w:rsidRPr="007F6AD7">
        <w:rPr>
          <w:rFonts w:ascii="Arial" w:hAnsi="Arial" w:cs="Arial"/>
        </w:rPr>
        <w:t>”</w:t>
      </w:r>
      <w:r w:rsidR="000C154F" w:rsidRPr="007F6AD7">
        <w:rPr>
          <w:rFonts w:ascii="Arial" w:hAnsi="Arial" w:cs="Arial"/>
        </w:rPr>
        <w:t xml:space="preserve">, </w:t>
      </w:r>
      <w:r w:rsidR="002501AF" w:rsidRPr="007F6AD7">
        <w:rPr>
          <w:rFonts w:ascii="Arial" w:hAnsi="Arial" w:cs="Arial"/>
        </w:rPr>
        <w:t xml:space="preserve">la mayoría instalada en espacios </w:t>
      </w:r>
      <w:r w:rsidR="000C154F" w:rsidRPr="007F6AD7">
        <w:rPr>
          <w:rFonts w:ascii="Arial" w:hAnsi="Arial" w:cs="Arial"/>
        </w:rPr>
        <w:t xml:space="preserve">carentes de condiciones de seguridad y </w:t>
      </w:r>
      <w:r w:rsidR="00AB2350" w:rsidRPr="007F6AD7">
        <w:rPr>
          <w:rFonts w:ascii="Arial" w:hAnsi="Arial" w:cs="Arial"/>
        </w:rPr>
        <w:t>confort,</w:t>
      </w:r>
      <w:r w:rsidR="000C154F" w:rsidRPr="007F6AD7">
        <w:rPr>
          <w:rFonts w:ascii="Arial" w:hAnsi="Arial" w:cs="Arial"/>
        </w:rPr>
        <w:t xml:space="preserve"> frecuentemente a la intemperie (en parques, aceras, etc.).</w:t>
      </w:r>
      <w:r w:rsidR="000C154F" w:rsidRPr="007F6AD7">
        <w:rPr>
          <w:rStyle w:val="Refdenotaalpie"/>
          <w:rFonts w:ascii="Arial" w:hAnsi="Arial" w:cs="Arial"/>
        </w:rPr>
        <w:footnoteReference w:id="219"/>
      </w:r>
      <w:r w:rsidR="000C154F" w:rsidRPr="007F6AD7">
        <w:rPr>
          <w:rFonts w:ascii="Arial" w:hAnsi="Arial" w:cs="Arial"/>
        </w:rPr>
        <w:t xml:space="preserve"> El servicio Nauta Hogar facilitaría el acceso a Internet desde su domicilio a clientes residenciales. Actualmente se comercializa en algunas localidades del país y una de las exigencias es un servicio telefónico activo (línea fija), el cual solo es posible adquirirlo mediante valoraciones subjetivas y justificaciones técnicas de ETECSA explicadas en los párrafos supra.</w:t>
      </w:r>
      <w:r w:rsidR="000C154F" w:rsidRPr="007F6AD7">
        <w:rPr>
          <w:rStyle w:val="Refdenotaalpie"/>
          <w:rFonts w:ascii="Arial" w:hAnsi="Arial" w:cs="Arial"/>
        </w:rPr>
        <w:footnoteReference w:id="220"/>
      </w:r>
      <w:r w:rsidR="000C154F" w:rsidRPr="007F6AD7">
        <w:rPr>
          <w:rFonts w:ascii="Arial" w:hAnsi="Arial" w:cs="Arial"/>
        </w:rPr>
        <w:t xml:space="preserve"> </w:t>
      </w:r>
    </w:p>
    <w:p w14:paraId="76380169" w14:textId="3A58B8D8" w:rsidR="000C154F" w:rsidRPr="007F6AD7" w:rsidRDefault="00975773" w:rsidP="000A24B8">
      <w:pPr>
        <w:shd w:val="clear" w:color="auto" w:fill="FFFFFF"/>
        <w:tabs>
          <w:tab w:val="left" w:pos="720"/>
        </w:tabs>
        <w:spacing w:after="0" w:line="360" w:lineRule="auto"/>
        <w:jc w:val="both"/>
        <w:rPr>
          <w:rFonts w:ascii="Arial" w:hAnsi="Arial" w:cs="Arial"/>
          <w:b/>
          <w:lang w:val="es-ES_tradnl" w:eastAsia="es-MX"/>
        </w:rPr>
      </w:pPr>
      <w:r>
        <w:rPr>
          <w:rFonts w:ascii="Arial" w:eastAsia="Times New Roman" w:hAnsi="Arial" w:cs="Arial"/>
          <w:color w:val="000000"/>
          <w:lang w:eastAsia="es-ES"/>
        </w:rPr>
        <w:t>52</w:t>
      </w:r>
      <w:r w:rsidR="000C154F" w:rsidRPr="007F6AD7">
        <w:rPr>
          <w:rFonts w:ascii="Arial" w:eastAsia="Times New Roman" w:hAnsi="Arial" w:cs="Arial"/>
          <w:color w:val="000000"/>
          <w:lang w:eastAsia="es-ES"/>
        </w:rPr>
        <w:t>. El Código Penal vigente no protege la seguridad informática como bien jurídico. Aunque existen recientes actualizaciones de la legislación dirigidas al sector estatal, no concurre una Ley de delitos informáticos</w:t>
      </w:r>
      <w:r w:rsidR="000C154F" w:rsidRPr="007F6AD7">
        <w:rPr>
          <w:rStyle w:val="Refdenotaalpie"/>
          <w:rFonts w:ascii="Arial" w:eastAsia="Times New Roman" w:hAnsi="Arial" w:cs="Arial"/>
          <w:color w:val="000000"/>
          <w:lang w:eastAsia="es-ES"/>
        </w:rPr>
        <w:footnoteReference w:id="221"/>
      </w:r>
      <w:r w:rsidR="000C154F" w:rsidRPr="007F6AD7">
        <w:rPr>
          <w:rFonts w:ascii="Arial" w:eastAsia="Times New Roman" w:hAnsi="Arial" w:cs="Arial"/>
          <w:color w:val="000000"/>
          <w:lang w:eastAsia="es-ES"/>
        </w:rPr>
        <w:t xml:space="preserve"> . En caso de que una persona menor de 18 años cometa este delito en Cuba, los jueces deben realizar una interpretación amplia para sancionarlo por algunos de los delitos ya establecidos en la legislación, atendiendo a los medios informáticos empleados para cometerlo.</w:t>
      </w:r>
      <w:r w:rsidR="000C154F" w:rsidRPr="007F6AD7">
        <w:rPr>
          <w:rStyle w:val="Refdenotaalpie"/>
          <w:rFonts w:ascii="Arial" w:eastAsia="Times New Roman" w:hAnsi="Arial" w:cs="Arial"/>
          <w:color w:val="000000"/>
          <w:lang w:eastAsia="es-ES"/>
        </w:rPr>
        <w:footnoteReference w:id="222"/>
      </w:r>
      <w:r w:rsidR="000C154F" w:rsidRPr="007F6AD7">
        <w:rPr>
          <w:rFonts w:ascii="Arial" w:eastAsia="Times New Roman" w:hAnsi="Arial" w:cs="Arial"/>
          <w:color w:val="000000"/>
          <w:vertAlign w:val="superscript"/>
          <w:lang w:eastAsia="es-ES"/>
        </w:rPr>
        <w:t xml:space="preserve">, </w:t>
      </w:r>
      <w:r w:rsidR="002501AF" w:rsidRPr="007F6AD7">
        <w:rPr>
          <w:rFonts w:ascii="Arial" w:eastAsia="Times New Roman" w:hAnsi="Arial" w:cs="Arial"/>
          <w:color w:val="000000"/>
          <w:vertAlign w:val="superscript"/>
          <w:lang w:eastAsia="es-ES"/>
        </w:rPr>
        <w:t xml:space="preserve"> </w:t>
      </w:r>
      <w:r w:rsidR="000C154F" w:rsidRPr="007F6AD7">
        <w:rPr>
          <w:rStyle w:val="Refdenotaalpie"/>
          <w:rFonts w:ascii="Arial" w:eastAsia="Times New Roman" w:hAnsi="Arial" w:cs="Arial"/>
          <w:lang w:val="es-ES_tradnl"/>
        </w:rPr>
        <w:footnoteReference w:id="223"/>
      </w:r>
      <w:r w:rsidR="000C154F" w:rsidRPr="007F6AD7">
        <w:rPr>
          <w:rFonts w:ascii="Arial" w:hAnsi="Arial" w:cs="Arial"/>
          <w:vertAlign w:val="superscript"/>
          <w:lang w:eastAsia="es-MX"/>
        </w:rPr>
        <w:t xml:space="preserve">, </w:t>
      </w:r>
      <w:r w:rsidR="00737B43" w:rsidRPr="007F6AD7">
        <w:rPr>
          <w:rFonts w:ascii="Arial" w:hAnsi="Arial" w:cs="Arial"/>
          <w:vertAlign w:val="superscript"/>
          <w:lang w:eastAsia="es-MX"/>
        </w:rPr>
        <w:t xml:space="preserve"> </w:t>
      </w:r>
      <w:r w:rsidR="002501AF" w:rsidRPr="007F6AD7">
        <w:rPr>
          <w:rFonts w:ascii="Arial" w:hAnsi="Arial" w:cs="Arial"/>
          <w:vertAlign w:val="superscript"/>
          <w:lang w:eastAsia="es-MX"/>
        </w:rPr>
        <w:t xml:space="preserve"> </w:t>
      </w:r>
      <w:r w:rsidR="000C154F" w:rsidRPr="007F6AD7">
        <w:rPr>
          <w:rStyle w:val="Refdenotaalpie"/>
          <w:rFonts w:ascii="Arial" w:eastAsia="Times New Roman" w:hAnsi="Arial" w:cs="Arial"/>
          <w:lang w:val="es-ES_tradnl"/>
        </w:rPr>
        <w:footnoteReference w:id="224"/>
      </w:r>
      <w:r w:rsidR="00AB2350" w:rsidRPr="007F6AD7">
        <w:rPr>
          <w:rFonts w:ascii="Arial" w:hAnsi="Arial" w:cs="Arial"/>
          <w:vertAlign w:val="superscript"/>
          <w:lang w:eastAsia="es-MX"/>
        </w:rPr>
        <w:t xml:space="preserve"> </w:t>
      </w:r>
      <w:r w:rsidR="00AB2350" w:rsidRPr="007F6AD7">
        <w:rPr>
          <w:rFonts w:ascii="Arial" w:hAnsi="Arial" w:cs="Arial"/>
          <w:b/>
          <w:lang w:eastAsia="es-MX"/>
        </w:rPr>
        <w:t xml:space="preserve">ACDEI ruega al Comité CERD pida al Gobierno cubano derogue las normativas que incumplen los mandatos </w:t>
      </w:r>
      <w:r w:rsidR="00AB2350" w:rsidRPr="007F6AD7">
        <w:rPr>
          <w:rFonts w:ascii="Arial" w:hAnsi="Arial" w:cs="Arial"/>
          <w:b/>
          <w:lang w:eastAsia="es-MX"/>
        </w:rPr>
        <w:lastRenderedPageBreak/>
        <w:t xml:space="preserve">constitucionales sobre la igualdad </w:t>
      </w:r>
      <w:r w:rsidR="00E972A9" w:rsidRPr="007F6AD7">
        <w:rPr>
          <w:rFonts w:ascii="Arial" w:hAnsi="Arial" w:cs="Arial"/>
          <w:b/>
          <w:lang w:eastAsia="es-MX"/>
        </w:rPr>
        <w:t xml:space="preserve"> y</w:t>
      </w:r>
      <w:r w:rsidR="001D13E2">
        <w:rPr>
          <w:rFonts w:ascii="Arial" w:hAnsi="Arial" w:cs="Arial"/>
          <w:b/>
          <w:lang w:eastAsia="es-MX"/>
        </w:rPr>
        <w:t xml:space="preserve"> </w:t>
      </w:r>
      <w:r w:rsidR="00B220AF">
        <w:rPr>
          <w:rFonts w:ascii="Arial" w:hAnsi="Arial" w:cs="Arial"/>
          <w:b/>
          <w:lang w:eastAsia="es-MX"/>
        </w:rPr>
        <w:t>favorecen</w:t>
      </w:r>
      <w:r w:rsidR="001D13E2">
        <w:rPr>
          <w:rFonts w:ascii="Arial" w:hAnsi="Arial" w:cs="Arial"/>
          <w:b/>
          <w:lang w:eastAsia="es-MX"/>
        </w:rPr>
        <w:t xml:space="preserve"> la</w:t>
      </w:r>
      <w:r w:rsidR="00E972A9" w:rsidRPr="007F6AD7">
        <w:rPr>
          <w:rFonts w:ascii="Arial" w:hAnsi="Arial" w:cs="Arial"/>
          <w:b/>
          <w:lang w:eastAsia="es-MX"/>
        </w:rPr>
        <w:t xml:space="preserve"> discriminación </w:t>
      </w:r>
      <w:r w:rsidR="001D13E2">
        <w:rPr>
          <w:rFonts w:ascii="Arial" w:hAnsi="Arial" w:cs="Arial"/>
          <w:b/>
          <w:lang w:eastAsia="es-MX"/>
        </w:rPr>
        <w:t xml:space="preserve"> por motivos de origen nacional.</w:t>
      </w:r>
    </w:p>
    <w:p w14:paraId="2C85777C" w14:textId="5FF043ED" w:rsidR="00007106" w:rsidRPr="007F6AD7" w:rsidRDefault="00F552ED" w:rsidP="00DA7CB5">
      <w:pPr>
        <w:pStyle w:val="Ttulo2"/>
        <w:rPr>
          <w:b/>
        </w:rPr>
      </w:pPr>
      <w:bookmarkStart w:id="102" w:name="_Toc515359806"/>
      <w:r w:rsidRPr="007F6AD7">
        <w:t>Restricciones</w:t>
      </w:r>
      <w:r w:rsidR="00007106" w:rsidRPr="007F6AD7">
        <w:t xml:space="preserve"> a Derechos y </w:t>
      </w:r>
      <w:r w:rsidRPr="007F6AD7">
        <w:t>Garantías</w:t>
      </w:r>
      <w:r w:rsidR="00007106" w:rsidRPr="007F6AD7">
        <w:t xml:space="preserve"> Constitucionales </w:t>
      </w:r>
      <w:r w:rsidR="00FA6904" w:rsidRPr="007F6AD7">
        <w:t xml:space="preserve">de </w:t>
      </w:r>
      <w:r w:rsidRPr="007F6AD7">
        <w:t>Protección a</w:t>
      </w:r>
      <w:r w:rsidR="00FA6904" w:rsidRPr="007F6AD7">
        <w:t xml:space="preserve"> la Niñez</w:t>
      </w:r>
      <w:bookmarkEnd w:id="102"/>
    </w:p>
    <w:p w14:paraId="75A747C7" w14:textId="77777777" w:rsidR="00975773" w:rsidRDefault="00975773" w:rsidP="00975773">
      <w:pPr>
        <w:spacing w:after="0" w:line="360" w:lineRule="auto"/>
        <w:jc w:val="both"/>
        <w:rPr>
          <w:rFonts w:ascii="Times New Roman" w:eastAsia="STKaiti" w:hAnsi="Times New Roman"/>
          <w:sz w:val="24"/>
          <w:szCs w:val="24"/>
          <w:lang w:eastAsia="es-ES"/>
        </w:rPr>
      </w:pPr>
      <w:r>
        <w:rPr>
          <w:rFonts w:ascii="Arial" w:hAnsi="Arial" w:cs="Arial"/>
        </w:rPr>
        <w:t xml:space="preserve">53. </w:t>
      </w:r>
      <w:r w:rsidR="005A4932" w:rsidRPr="007F6AD7">
        <w:rPr>
          <w:rFonts w:ascii="Arial" w:hAnsi="Arial" w:cs="Arial"/>
        </w:rPr>
        <w:t>Los articulados</w:t>
      </w:r>
      <w:r w:rsidR="00007106" w:rsidRPr="007F6AD7">
        <w:rPr>
          <w:rFonts w:ascii="Arial" w:hAnsi="Arial" w:cs="Arial"/>
        </w:rPr>
        <w:t xml:space="preserve"> de la </w:t>
      </w:r>
      <w:r w:rsidR="00695C57" w:rsidRPr="007F6AD7">
        <w:rPr>
          <w:rFonts w:ascii="Arial" w:hAnsi="Arial" w:cs="Arial"/>
        </w:rPr>
        <w:t>Convención de los Derechos del Niño</w:t>
      </w:r>
      <w:r w:rsidR="00007106" w:rsidRPr="007F6AD7">
        <w:rPr>
          <w:rFonts w:ascii="Arial" w:hAnsi="Arial" w:cs="Arial"/>
        </w:rPr>
        <w:t xml:space="preserve"> </w:t>
      </w:r>
      <w:r w:rsidR="005A4932" w:rsidRPr="007F6AD7">
        <w:rPr>
          <w:rFonts w:ascii="Arial" w:hAnsi="Arial" w:cs="Arial"/>
        </w:rPr>
        <w:t xml:space="preserve">y </w:t>
      </w:r>
      <w:r w:rsidR="00695C57" w:rsidRPr="007F6AD7">
        <w:rPr>
          <w:rFonts w:ascii="Arial" w:hAnsi="Arial" w:cs="Arial"/>
        </w:rPr>
        <w:t xml:space="preserve">otros </w:t>
      </w:r>
      <w:r w:rsidR="00BE25E4">
        <w:rPr>
          <w:rFonts w:ascii="Arial" w:hAnsi="Arial" w:cs="Arial"/>
        </w:rPr>
        <w:t>ó</w:t>
      </w:r>
      <w:r w:rsidR="00BE25E4" w:rsidRPr="007F6AD7">
        <w:rPr>
          <w:rFonts w:ascii="Arial" w:hAnsi="Arial" w:cs="Arial"/>
        </w:rPr>
        <w:t>rganos</w:t>
      </w:r>
      <w:r w:rsidR="00695C57" w:rsidRPr="007F6AD7">
        <w:rPr>
          <w:rFonts w:ascii="Arial" w:hAnsi="Arial" w:cs="Arial"/>
        </w:rPr>
        <w:t xml:space="preserve"> y tratados de </w:t>
      </w:r>
      <w:r w:rsidR="00BE25E4">
        <w:rPr>
          <w:rFonts w:ascii="Arial" w:hAnsi="Arial" w:cs="Arial"/>
        </w:rPr>
        <w:t>d</w:t>
      </w:r>
      <w:r w:rsidR="00695C57" w:rsidRPr="007F6AD7">
        <w:rPr>
          <w:rFonts w:ascii="Arial" w:hAnsi="Arial" w:cs="Arial"/>
        </w:rPr>
        <w:t xml:space="preserve">erechos </w:t>
      </w:r>
      <w:r w:rsidR="00BE25E4">
        <w:rPr>
          <w:rFonts w:ascii="Arial" w:hAnsi="Arial" w:cs="Arial"/>
        </w:rPr>
        <w:t>h</w:t>
      </w:r>
      <w:r w:rsidR="00695C57" w:rsidRPr="007F6AD7">
        <w:rPr>
          <w:rFonts w:ascii="Arial" w:hAnsi="Arial" w:cs="Arial"/>
        </w:rPr>
        <w:t>umanos</w:t>
      </w:r>
      <w:r w:rsidR="00007106" w:rsidRPr="007F6AD7">
        <w:rPr>
          <w:rFonts w:ascii="Arial" w:hAnsi="Arial" w:cs="Arial"/>
        </w:rPr>
        <w:t xml:space="preserve"> están restringidos </w:t>
      </w:r>
      <w:r w:rsidR="005A4932" w:rsidRPr="007F6AD7">
        <w:rPr>
          <w:rFonts w:ascii="Arial" w:hAnsi="Arial" w:cs="Arial"/>
        </w:rPr>
        <w:t xml:space="preserve">en Cuba </w:t>
      </w:r>
      <w:r w:rsidR="00007106" w:rsidRPr="007F6AD7">
        <w:rPr>
          <w:rFonts w:ascii="Arial" w:hAnsi="Arial" w:cs="Arial"/>
        </w:rPr>
        <w:t>por mandato</w:t>
      </w:r>
      <w:r w:rsidR="005A4932" w:rsidRPr="007F6AD7">
        <w:rPr>
          <w:rFonts w:ascii="Arial" w:hAnsi="Arial" w:cs="Arial"/>
        </w:rPr>
        <w:t>s</w:t>
      </w:r>
      <w:r w:rsidR="00007106" w:rsidRPr="007F6AD7">
        <w:rPr>
          <w:rFonts w:ascii="Arial" w:hAnsi="Arial" w:cs="Arial"/>
        </w:rPr>
        <w:t xml:space="preserve"> constitucional</w:t>
      </w:r>
      <w:r w:rsidR="005A4932" w:rsidRPr="007F6AD7">
        <w:rPr>
          <w:rFonts w:ascii="Arial" w:hAnsi="Arial" w:cs="Arial"/>
        </w:rPr>
        <w:t>es.</w:t>
      </w:r>
      <w:r w:rsidR="00CE3032" w:rsidRPr="007F6AD7">
        <w:rPr>
          <w:rFonts w:ascii="Arial" w:hAnsi="Arial" w:cs="Arial"/>
        </w:rPr>
        <w:t xml:space="preserve"> Al igual que </w:t>
      </w:r>
      <w:r w:rsidR="008529B3" w:rsidRPr="007F6AD7">
        <w:rPr>
          <w:rFonts w:ascii="Arial" w:hAnsi="Arial" w:cs="Arial"/>
        </w:rPr>
        <w:t>ocurre</w:t>
      </w:r>
      <w:r w:rsidR="00CE3032" w:rsidRPr="007F6AD7">
        <w:rPr>
          <w:rFonts w:ascii="Arial" w:hAnsi="Arial" w:cs="Arial"/>
        </w:rPr>
        <w:t xml:space="preserve"> en la mayoría de las constituciones de otros países,</w:t>
      </w:r>
      <w:r w:rsidR="00CE3032" w:rsidRPr="007F6AD7">
        <w:rPr>
          <w:rStyle w:val="Refdenotaalpie"/>
          <w:rFonts w:ascii="Arial" w:hAnsi="Arial" w:cs="Arial"/>
        </w:rPr>
        <w:footnoteReference w:id="225"/>
      </w:r>
      <w:r w:rsidR="00CE3032" w:rsidRPr="007F6AD7">
        <w:rPr>
          <w:rFonts w:ascii="Arial" w:hAnsi="Arial" w:cs="Arial"/>
        </w:rPr>
        <w:t xml:space="preserve"> la Constitución cubana </w:t>
      </w:r>
      <w:r w:rsidR="00121223" w:rsidRPr="007F6AD7">
        <w:rPr>
          <w:rFonts w:ascii="Arial" w:hAnsi="Arial" w:cs="Arial"/>
        </w:rPr>
        <w:t>omite</w:t>
      </w:r>
      <w:r w:rsidR="00CE3032" w:rsidRPr="007F6AD7">
        <w:rPr>
          <w:rFonts w:ascii="Arial" w:hAnsi="Arial" w:cs="Arial"/>
        </w:rPr>
        <w:t xml:space="preserve"> los derechos de las personas con discapacidad, en particular infantes.  </w:t>
      </w:r>
      <w:r w:rsidR="00007106" w:rsidRPr="007F6AD7">
        <w:rPr>
          <w:rFonts w:ascii="Arial" w:hAnsi="Arial" w:cs="Arial"/>
        </w:rPr>
        <w:t xml:space="preserve">La </w:t>
      </w:r>
      <w:r w:rsidR="00007106" w:rsidRPr="007F6AD7">
        <w:rPr>
          <w:rFonts w:ascii="Arial" w:hAnsi="Arial" w:cs="Arial"/>
          <w:lang w:eastAsia="es-MX"/>
        </w:rPr>
        <w:t>Carta Mag</w:t>
      </w:r>
      <w:r w:rsidR="00007106" w:rsidRPr="007F6AD7">
        <w:rPr>
          <w:rFonts w:ascii="Arial" w:hAnsi="Arial" w:cs="Arial"/>
        </w:rPr>
        <w:t>n</w:t>
      </w:r>
      <w:r w:rsidR="00007106" w:rsidRPr="007F6AD7">
        <w:rPr>
          <w:rFonts w:ascii="Arial" w:hAnsi="Arial" w:cs="Arial"/>
          <w:lang w:eastAsia="es-MX"/>
        </w:rPr>
        <w:t xml:space="preserve">a </w:t>
      </w:r>
      <w:r w:rsidR="00007106" w:rsidRPr="007F6AD7">
        <w:rPr>
          <w:rFonts w:ascii="Arial" w:hAnsi="Arial" w:cs="Arial"/>
        </w:rPr>
        <w:t>refrenda la protección a la niñez</w:t>
      </w:r>
      <w:r w:rsidR="00BE25E4" w:rsidRPr="007F6AD7">
        <w:rPr>
          <w:rStyle w:val="Refdenotaalpie"/>
          <w:rFonts w:ascii="Arial" w:hAnsi="Arial" w:cs="Arial"/>
        </w:rPr>
        <w:footnoteReference w:id="226"/>
      </w:r>
      <w:r w:rsidR="00007106" w:rsidRPr="007F6AD7">
        <w:rPr>
          <w:rFonts w:ascii="Arial" w:hAnsi="Arial" w:cs="Arial"/>
        </w:rPr>
        <w:t xml:space="preserve"> y la </w:t>
      </w:r>
      <w:r w:rsidR="00BE25E4" w:rsidRPr="007F6AD7">
        <w:rPr>
          <w:rFonts w:ascii="Arial" w:hAnsi="Arial" w:cs="Arial"/>
        </w:rPr>
        <w:t>juventud por</w:t>
      </w:r>
      <w:r w:rsidR="00007106" w:rsidRPr="007F6AD7">
        <w:rPr>
          <w:rFonts w:ascii="Arial" w:hAnsi="Arial" w:cs="Arial"/>
        </w:rPr>
        <w:t xml:space="preserve"> parte del Estado cubano y la sociedad. </w:t>
      </w:r>
      <w:r w:rsidR="00007106" w:rsidRPr="007F6AD7">
        <w:rPr>
          <w:rFonts w:ascii="Arial" w:hAnsi="Arial" w:cs="Arial"/>
          <w:iCs/>
          <w:lang w:eastAsia="es-MX"/>
        </w:rPr>
        <w:t>Aun así,</w:t>
      </w:r>
      <w:r w:rsidR="00007106" w:rsidRPr="007F6AD7">
        <w:rPr>
          <w:rFonts w:ascii="Arial" w:hAnsi="Arial" w:cs="Arial"/>
        </w:rPr>
        <w:t xml:space="preserve"> las</w:t>
      </w:r>
      <w:r w:rsidR="00007106" w:rsidRPr="007F6AD7">
        <w:rPr>
          <w:rFonts w:ascii="Arial" w:hAnsi="Arial" w:cs="Arial"/>
          <w:bCs/>
        </w:rPr>
        <w:t xml:space="preserve"> garantías de seguridad y protección de los niños, niñas, adolescentes (NNA) y jóvenes en la Constitución, el Código de Familia, Código de la Niñez y la Juventud, entre otros decretos y resoluciones, están limitadas por restricciones para el desarrollo de los derechos,</w:t>
      </w:r>
      <w:r w:rsidR="00007106" w:rsidRPr="007F6AD7">
        <w:rPr>
          <w:rStyle w:val="Refdenotaalpie"/>
          <w:rFonts w:ascii="Arial" w:hAnsi="Arial" w:cs="Arial"/>
        </w:rPr>
        <w:footnoteReference w:id="227"/>
      </w:r>
      <w:r w:rsidR="00007106" w:rsidRPr="007F6AD7">
        <w:rPr>
          <w:rFonts w:ascii="Arial" w:hAnsi="Arial" w:cs="Arial"/>
          <w:bCs/>
          <w:vertAlign w:val="superscript"/>
        </w:rPr>
        <w:t xml:space="preserve">, </w:t>
      </w:r>
      <w:r w:rsidR="0021640E" w:rsidRPr="007F6AD7">
        <w:rPr>
          <w:rFonts w:ascii="Arial" w:hAnsi="Arial" w:cs="Arial"/>
          <w:bCs/>
          <w:vertAlign w:val="superscript"/>
        </w:rPr>
        <w:t xml:space="preserve"> </w:t>
      </w:r>
      <w:r w:rsidR="00007106" w:rsidRPr="007F6AD7">
        <w:rPr>
          <w:rFonts w:ascii="Arial" w:hAnsi="Arial" w:cs="Arial"/>
          <w:bCs/>
          <w:vertAlign w:val="superscript"/>
        </w:rPr>
        <w:t xml:space="preserve"> </w:t>
      </w:r>
      <w:r w:rsidR="00007106" w:rsidRPr="007F6AD7">
        <w:rPr>
          <w:rStyle w:val="Refdenotaalpie"/>
          <w:rFonts w:ascii="Arial" w:hAnsi="Arial" w:cs="Arial"/>
        </w:rPr>
        <w:footnoteReference w:id="228"/>
      </w:r>
      <w:r w:rsidR="00007106" w:rsidRPr="007F6AD7">
        <w:rPr>
          <w:rFonts w:ascii="Arial" w:hAnsi="Arial" w:cs="Arial"/>
          <w:bCs/>
          <w:vertAlign w:val="superscript"/>
        </w:rPr>
        <w:t xml:space="preserve">,  </w:t>
      </w:r>
      <w:r w:rsidR="00007106" w:rsidRPr="007F6AD7">
        <w:rPr>
          <w:rStyle w:val="Refdenotaalpie"/>
          <w:rFonts w:ascii="Arial" w:hAnsi="Arial" w:cs="Arial"/>
        </w:rPr>
        <w:footnoteReference w:id="229"/>
      </w:r>
      <w:r w:rsidR="00117277" w:rsidRPr="007F6AD7">
        <w:rPr>
          <w:rFonts w:ascii="Arial" w:hAnsi="Arial" w:cs="Arial"/>
          <w:bCs/>
          <w:vertAlign w:val="superscript"/>
        </w:rPr>
        <w:t xml:space="preserve"> </w:t>
      </w:r>
      <w:r w:rsidR="00007106" w:rsidRPr="007F6AD7">
        <w:rPr>
          <w:rFonts w:ascii="Arial" w:hAnsi="Arial" w:cs="Arial"/>
        </w:rPr>
        <w:t>al  estipular que por encima de todos los derechos y garantías que formalmente pueda reconocer la Constitución, se encuentran los intereses</w:t>
      </w:r>
      <w:r w:rsidR="00BE25E4">
        <w:rPr>
          <w:rStyle w:val="Refdenotaalpie"/>
          <w:rFonts w:ascii="Arial" w:hAnsi="Arial"/>
        </w:rPr>
        <w:footnoteReference w:id="230"/>
      </w:r>
      <w:r w:rsidR="00BE25E4">
        <w:rPr>
          <w:rFonts w:ascii="Times New Roman" w:eastAsia="STKaiti" w:hAnsi="Times New Roman"/>
          <w:sz w:val="24"/>
          <w:szCs w:val="24"/>
          <w:lang w:eastAsia="es-ES"/>
        </w:rPr>
        <w:t xml:space="preserve"> </w:t>
      </w:r>
      <w:r w:rsidR="00007106" w:rsidRPr="007F6AD7">
        <w:rPr>
          <w:rFonts w:ascii="Arial" w:hAnsi="Arial" w:cs="Arial"/>
        </w:rPr>
        <w:t xml:space="preserve"> del Estado socialista. Esto significa que, cuando </w:t>
      </w:r>
      <w:r w:rsidR="00444F60" w:rsidRPr="007F6AD7">
        <w:rPr>
          <w:rFonts w:ascii="Arial" w:hAnsi="Arial" w:cs="Arial"/>
        </w:rPr>
        <w:t>algún funcionario</w:t>
      </w:r>
      <w:r w:rsidR="00007106" w:rsidRPr="007F6AD7">
        <w:rPr>
          <w:rFonts w:ascii="Arial" w:hAnsi="Arial" w:cs="Arial"/>
        </w:rPr>
        <w:t xml:space="preserve"> considere que las libertades fundamentales se ejercen contra el sistema socialista, la niñez y la juventud queda desprotegida al anularse el mandato especial de protección constitucional. Igualmente, </w:t>
      </w:r>
      <w:r w:rsidR="00007106" w:rsidRPr="007F6AD7">
        <w:rPr>
          <w:rFonts w:ascii="Arial" w:hAnsi="Arial" w:cs="Arial"/>
          <w:bCs/>
        </w:rPr>
        <w:t xml:space="preserve">otras normativas e instrumentos jurídicos internos </w:t>
      </w:r>
      <w:r w:rsidR="00007106" w:rsidRPr="007F6AD7">
        <w:rPr>
          <w:rStyle w:val="Refdenotaalpie"/>
          <w:rFonts w:ascii="Arial" w:hAnsi="Arial" w:cs="Arial"/>
          <w:bCs/>
        </w:rPr>
        <w:footnoteReference w:id="231"/>
      </w:r>
      <w:r w:rsidR="00007106" w:rsidRPr="007F6AD7">
        <w:rPr>
          <w:rFonts w:ascii="Arial" w:hAnsi="Arial" w:cs="Arial"/>
          <w:bCs/>
        </w:rPr>
        <w:t xml:space="preserve"> </w:t>
      </w:r>
      <w:r w:rsidR="006769BE">
        <w:rPr>
          <w:rFonts w:ascii="Arial" w:hAnsi="Arial" w:cs="Arial"/>
          <w:bCs/>
        </w:rPr>
        <w:t xml:space="preserve"> e</w:t>
      </w:r>
      <w:r w:rsidR="00007106" w:rsidRPr="007F6AD7">
        <w:rPr>
          <w:rFonts w:ascii="Arial" w:hAnsi="Arial" w:cs="Arial"/>
        </w:rPr>
        <w:t>ntran en conflicto con tratados internacionales de los que Cuba forma parte.</w:t>
      </w:r>
      <w:r w:rsidR="000A24B8">
        <w:rPr>
          <w:rFonts w:ascii="Arial" w:hAnsi="Arial" w:cs="Arial"/>
          <w:u w:val="single"/>
        </w:rPr>
        <w:t xml:space="preserve"> </w:t>
      </w:r>
    </w:p>
    <w:p w14:paraId="7BBE95BA" w14:textId="5C6671EF" w:rsidR="00191A70" w:rsidRPr="00975773" w:rsidRDefault="00975773" w:rsidP="00975773">
      <w:pPr>
        <w:tabs>
          <w:tab w:val="left" w:pos="567"/>
        </w:tabs>
        <w:spacing w:after="0" w:line="360" w:lineRule="auto"/>
        <w:jc w:val="both"/>
        <w:rPr>
          <w:rFonts w:ascii="Times New Roman" w:eastAsia="STKaiti" w:hAnsi="Times New Roman"/>
          <w:sz w:val="24"/>
          <w:szCs w:val="24"/>
          <w:lang w:eastAsia="es-ES"/>
        </w:rPr>
      </w:pPr>
      <w:r>
        <w:rPr>
          <w:rFonts w:ascii="Arial" w:hAnsi="Arial" w:cs="Arial"/>
        </w:rPr>
        <w:lastRenderedPageBreak/>
        <w:t>54.</w:t>
      </w:r>
      <w:r w:rsidR="00191A70" w:rsidRPr="007F6AD7">
        <w:rPr>
          <w:rFonts w:ascii="Arial" w:hAnsi="Arial" w:cs="Arial"/>
        </w:rPr>
        <w:t xml:space="preserve"> </w:t>
      </w:r>
      <w:r>
        <w:rPr>
          <w:rFonts w:ascii="Arial" w:hAnsi="Arial" w:cs="Arial"/>
        </w:rPr>
        <w:t xml:space="preserve"> </w:t>
      </w:r>
      <w:r w:rsidR="000E721C" w:rsidRPr="007F6AD7">
        <w:rPr>
          <w:rFonts w:ascii="Arial" w:hAnsi="Arial" w:cs="Arial"/>
        </w:rPr>
        <w:t>El Código de Familia</w:t>
      </w:r>
      <w:r w:rsidR="000E721C" w:rsidRPr="007F6AD7">
        <w:rPr>
          <w:rStyle w:val="Refdenotaalpie"/>
          <w:rFonts w:ascii="Arial" w:hAnsi="Arial" w:cs="Arial"/>
        </w:rPr>
        <w:footnoteReference w:id="232"/>
      </w:r>
      <w:r w:rsidR="000E721C" w:rsidRPr="007F6AD7">
        <w:rPr>
          <w:rFonts w:ascii="Arial" w:hAnsi="Arial" w:cs="Arial"/>
        </w:rPr>
        <w:t xml:space="preserve"> es el cuerpo normativo </w:t>
      </w:r>
      <w:r w:rsidR="00143503" w:rsidRPr="007F6AD7">
        <w:rPr>
          <w:rFonts w:ascii="Arial" w:hAnsi="Arial" w:cs="Arial"/>
        </w:rPr>
        <w:t xml:space="preserve">encargado </w:t>
      </w:r>
      <w:r w:rsidR="008756F3" w:rsidRPr="007F6AD7">
        <w:rPr>
          <w:rFonts w:ascii="Arial" w:hAnsi="Arial" w:cs="Arial"/>
        </w:rPr>
        <w:t>de la</w:t>
      </w:r>
      <w:r w:rsidR="000E721C" w:rsidRPr="007F6AD7">
        <w:rPr>
          <w:rFonts w:ascii="Arial" w:hAnsi="Arial" w:cs="Arial"/>
        </w:rPr>
        <w:t xml:space="preserve"> regulación de esta institución jurídica de naturaleza eminentemente sustantiva. </w:t>
      </w:r>
      <w:r w:rsidR="00191A70" w:rsidRPr="007F6AD7">
        <w:rPr>
          <w:rFonts w:ascii="Arial" w:hAnsi="Arial" w:cs="Arial"/>
        </w:rPr>
        <w:t xml:space="preserve"> El marco jurídico cubano no define el concepto familia,</w:t>
      </w:r>
      <w:r w:rsidR="00191A70" w:rsidRPr="007F6AD7">
        <w:rPr>
          <w:rStyle w:val="Refdenotaalpie"/>
          <w:rFonts w:ascii="Arial" w:hAnsi="Arial" w:cs="Arial"/>
        </w:rPr>
        <w:footnoteReference w:id="233"/>
      </w:r>
      <w:r w:rsidR="00191A70" w:rsidRPr="007F6AD7">
        <w:rPr>
          <w:rFonts w:ascii="Arial" w:hAnsi="Arial" w:cs="Arial"/>
        </w:rPr>
        <w:t xml:space="preserve"> </w:t>
      </w:r>
      <w:r w:rsidR="00191A70" w:rsidRPr="007F6AD7">
        <w:rPr>
          <w:rFonts w:ascii="Arial" w:hAnsi="Arial" w:cs="Arial"/>
          <w:iCs/>
          <w:lang w:eastAsia="es-MX"/>
        </w:rPr>
        <w:t>en cambio</w:t>
      </w:r>
      <w:r w:rsidR="00191A70" w:rsidRPr="007F6AD7">
        <w:rPr>
          <w:rFonts w:ascii="Arial" w:hAnsi="Arial" w:cs="Arial"/>
        </w:rPr>
        <w:t xml:space="preserve"> la familia esta instituida constitucionalmente.</w:t>
      </w:r>
      <w:r w:rsidR="00191A70" w:rsidRPr="007F6AD7">
        <w:rPr>
          <w:rStyle w:val="Refdenotaalpie"/>
          <w:rFonts w:ascii="Arial" w:hAnsi="Arial" w:cs="Arial"/>
        </w:rPr>
        <w:footnoteReference w:id="234"/>
      </w:r>
      <w:r w:rsidR="00191A70" w:rsidRPr="007F6AD7">
        <w:rPr>
          <w:rFonts w:ascii="Arial" w:hAnsi="Arial" w:cs="Arial"/>
        </w:rPr>
        <w:t xml:space="preserve"> La Constitución de 1976 no solo llevó al plexo normativo el principio de no discriminación de los hijos por razón de la filiación, sino que este principio luego tuvo un desarrollo normativo, sobre todo en el Código de Familia, en la Ley del Registro del Estado Civil y en el Código Civil, de modo que a la tutela constitucional responde el Derecho sustantivo infraconstitucional.</w:t>
      </w:r>
      <w:r w:rsidR="00191A70" w:rsidRPr="007F6AD7">
        <w:rPr>
          <w:rStyle w:val="Refdenotaalpie"/>
          <w:rFonts w:ascii="Arial" w:hAnsi="Arial" w:cs="Arial"/>
        </w:rPr>
        <w:footnoteReference w:id="235"/>
      </w:r>
      <w:r w:rsidR="00191A70" w:rsidRPr="007F6AD7">
        <w:rPr>
          <w:rFonts w:ascii="Arial" w:hAnsi="Arial" w:cs="Arial"/>
        </w:rPr>
        <w:t xml:space="preserve"> Por ello el matrimonio en Cuba no es la vía fundamental de legitimación de la paternidad y ésta se hace descansar, fundamentalmente, en el reconocimiento e inscripción del hijo, aunque no mediare matrimonio entre los padres.</w:t>
      </w:r>
      <w:r w:rsidR="00191A70" w:rsidRPr="007F6AD7">
        <w:rPr>
          <w:rStyle w:val="Refdenotaalpie"/>
          <w:rFonts w:ascii="Arial" w:hAnsi="Arial" w:cs="Arial"/>
        </w:rPr>
        <w:footnoteReference w:id="236"/>
      </w:r>
      <w:r w:rsidR="00191A70" w:rsidRPr="007F6AD7">
        <w:rPr>
          <w:rFonts w:ascii="Arial" w:hAnsi="Arial" w:cs="Arial"/>
        </w:rPr>
        <w:t xml:space="preserve"> </w:t>
      </w:r>
    </w:p>
    <w:p w14:paraId="520ADAAA" w14:textId="31EA34C1" w:rsidR="004C4385" w:rsidRPr="007F6AD7" w:rsidRDefault="0065073D" w:rsidP="000A24B8">
      <w:pPr>
        <w:pStyle w:val="Ttulo3"/>
      </w:pPr>
      <w:bookmarkStart w:id="103" w:name="_Toc515359807"/>
      <w:r w:rsidRPr="007F6AD7">
        <w:t>Impunidad en s</w:t>
      </w:r>
      <w:r w:rsidR="00B40858" w:rsidRPr="007F6AD7">
        <w:t>ituaciones de vulneración de los derechos de la niñez</w:t>
      </w:r>
      <w:bookmarkEnd w:id="103"/>
    </w:p>
    <w:p w14:paraId="65B51771" w14:textId="3CEA0923" w:rsidR="00980FE2" w:rsidRPr="007F6AD7" w:rsidRDefault="00975773" w:rsidP="00975773">
      <w:pPr>
        <w:tabs>
          <w:tab w:val="left" w:pos="567"/>
        </w:tabs>
        <w:spacing w:after="0" w:line="360" w:lineRule="auto"/>
        <w:jc w:val="both"/>
        <w:rPr>
          <w:rFonts w:ascii="Arial" w:hAnsi="Arial" w:cs="Arial"/>
        </w:rPr>
      </w:pPr>
      <w:r>
        <w:rPr>
          <w:rFonts w:ascii="Arial" w:hAnsi="Arial" w:cs="Arial"/>
        </w:rPr>
        <w:t xml:space="preserve">55.  </w:t>
      </w:r>
      <w:r w:rsidR="00D32D97" w:rsidRPr="007F6AD7">
        <w:rPr>
          <w:rFonts w:ascii="Arial" w:hAnsi="Arial" w:cs="Arial"/>
        </w:rPr>
        <w:t>Las fuerzas policiales son agentes determinantes en la prevención y la respuesta a los de</w:t>
      </w:r>
      <w:r w:rsidR="00A358C0" w:rsidRPr="007F6AD7">
        <w:rPr>
          <w:rFonts w:ascii="Arial" w:hAnsi="Arial" w:cs="Arial"/>
        </w:rPr>
        <w:t>litos motivados por prejuicios.</w:t>
      </w:r>
      <w:r w:rsidR="00D32D97" w:rsidRPr="007F6AD7">
        <w:rPr>
          <w:rStyle w:val="Refdenotaalpie"/>
          <w:rFonts w:ascii="Arial" w:hAnsi="Arial" w:cs="Arial"/>
        </w:rPr>
        <w:footnoteReference w:id="237"/>
      </w:r>
      <w:r w:rsidR="00A358C0" w:rsidRPr="007F6AD7">
        <w:rPr>
          <w:rFonts w:ascii="Arial" w:hAnsi="Arial" w:cs="Arial"/>
        </w:rPr>
        <w:t xml:space="preserve"> </w:t>
      </w:r>
      <w:r w:rsidR="00D46AB0" w:rsidRPr="007F6AD7">
        <w:rPr>
          <w:rFonts w:ascii="Arial" w:hAnsi="Arial" w:cs="Arial"/>
        </w:rPr>
        <w:t>Aunque</w:t>
      </w:r>
      <w:r w:rsidR="00165ECC" w:rsidRPr="007F6AD7">
        <w:rPr>
          <w:rFonts w:ascii="Arial" w:hAnsi="Arial" w:cs="Arial"/>
        </w:rPr>
        <w:t xml:space="preserve"> </w:t>
      </w:r>
      <w:r w:rsidR="009939A8" w:rsidRPr="007F6AD7">
        <w:rPr>
          <w:rFonts w:ascii="Arial" w:hAnsi="Arial" w:cs="Arial"/>
        </w:rPr>
        <w:t xml:space="preserve">hasta ahora </w:t>
      </w:r>
      <w:r w:rsidR="00D46AB0" w:rsidRPr="007F6AD7">
        <w:rPr>
          <w:rFonts w:ascii="Arial" w:hAnsi="Arial" w:cs="Arial"/>
        </w:rPr>
        <w:t>no hay</w:t>
      </w:r>
      <w:r w:rsidR="00165ECC" w:rsidRPr="007F6AD7">
        <w:rPr>
          <w:rFonts w:ascii="Arial" w:hAnsi="Arial" w:cs="Arial"/>
        </w:rPr>
        <w:t xml:space="preserve"> </w:t>
      </w:r>
      <w:r w:rsidR="00007132" w:rsidRPr="007F6AD7">
        <w:rPr>
          <w:rFonts w:ascii="Arial" w:hAnsi="Arial" w:cs="Arial"/>
        </w:rPr>
        <w:t>disponibles</w:t>
      </w:r>
      <w:r w:rsidR="00E12641" w:rsidRPr="007F6AD7">
        <w:rPr>
          <w:rFonts w:ascii="Arial" w:hAnsi="Arial" w:cs="Arial"/>
        </w:rPr>
        <w:t xml:space="preserve"> públicamente las</w:t>
      </w:r>
      <w:r w:rsidR="00007132" w:rsidRPr="007F6AD7">
        <w:rPr>
          <w:rFonts w:ascii="Arial" w:hAnsi="Arial" w:cs="Arial"/>
        </w:rPr>
        <w:t xml:space="preserve"> cifras</w:t>
      </w:r>
      <w:r w:rsidR="00D32D97" w:rsidRPr="007F6AD7">
        <w:rPr>
          <w:rFonts w:ascii="Arial" w:hAnsi="Arial" w:cs="Arial"/>
        </w:rPr>
        <w:t xml:space="preserve"> </w:t>
      </w:r>
      <w:r w:rsidR="00007132" w:rsidRPr="007F6AD7">
        <w:rPr>
          <w:rFonts w:ascii="Arial" w:hAnsi="Arial" w:cs="Arial"/>
        </w:rPr>
        <w:t>oficiales,</w:t>
      </w:r>
      <w:r w:rsidR="00D32D97" w:rsidRPr="007F6AD7">
        <w:rPr>
          <w:rFonts w:ascii="Arial" w:hAnsi="Arial" w:cs="Arial"/>
        </w:rPr>
        <w:t xml:space="preserve"> las denuncias contra funcionarios encargados de hacer cumplir la ley (Agentes de la Seguridad del Estado y policiales)</w:t>
      </w:r>
      <w:r w:rsidR="004C4385" w:rsidRPr="007F6AD7">
        <w:rPr>
          <w:rFonts w:ascii="Arial" w:hAnsi="Arial" w:cs="Arial"/>
        </w:rPr>
        <w:t xml:space="preserve"> </w:t>
      </w:r>
      <w:r w:rsidR="00D32D97" w:rsidRPr="007F6AD7">
        <w:rPr>
          <w:rFonts w:ascii="Arial" w:hAnsi="Arial" w:cs="Arial"/>
        </w:rPr>
        <w:t>son</w:t>
      </w:r>
      <w:r w:rsidR="00117277" w:rsidRPr="007F6AD7">
        <w:rPr>
          <w:rFonts w:ascii="Arial" w:hAnsi="Arial" w:cs="Arial"/>
        </w:rPr>
        <w:t>,</w:t>
      </w:r>
      <w:r w:rsidR="00AB75C7" w:rsidRPr="007F6AD7">
        <w:rPr>
          <w:rFonts w:ascii="Arial" w:hAnsi="Arial" w:cs="Arial"/>
        </w:rPr>
        <w:t xml:space="preserve"> al parecer</w:t>
      </w:r>
      <w:r w:rsidR="00117277" w:rsidRPr="007F6AD7">
        <w:rPr>
          <w:rFonts w:ascii="Arial" w:hAnsi="Arial" w:cs="Arial"/>
        </w:rPr>
        <w:t>,</w:t>
      </w:r>
      <w:r w:rsidR="00D32D97" w:rsidRPr="007F6AD7">
        <w:rPr>
          <w:rFonts w:ascii="Arial" w:hAnsi="Arial" w:cs="Arial"/>
        </w:rPr>
        <w:t xml:space="preserve"> cada vez más frecuentes.</w:t>
      </w:r>
      <w:r w:rsidR="00AB75C7" w:rsidRPr="007F6AD7">
        <w:rPr>
          <w:rStyle w:val="Refdenotaalpie"/>
          <w:rFonts w:ascii="Arial" w:hAnsi="Arial" w:cs="Arial"/>
        </w:rPr>
        <w:footnoteReference w:id="238"/>
      </w:r>
      <w:r w:rsidR="00D32D97" w:rsidRPr="007F6AD7">
        <w:rPr>
          <w:rFonts w:ascii="Arial" w:hAnsi="Arial" w:cs="Arial"/>
        </w:rPr>
        <w:t xml:space="preserve"> Los</w:t>
      </w:r>
      <w:r w:rsidR="00AB75C7" w:rsidRPr="007F6AD7">
        <w:rPr>
          <w:rFonts w:ascii="Arial" w:hAnsi="Arial" w:cs="Arial"/>
        </w:rPr>
        <w:t xml:space="preserve"> más </w:t>
      </w:r>
      <w:r w:rsidR="00D32D97" w:rsidRPr="007F6AD7">
        <w:rPr>
          <w:rFonts w:ascii="Arial" w:hAnsi="Arial" w:cs="Arial"/>
        </w:rPr>
        <w:t xml:space="preserve"> </w:t>
      </w:r>
      <w:r w:rsidR="00AB75C7" w:rsidRPr="007F6AD7">
        <w:rPr>
          <w:rFonts w:ascii="Arial" w:hAnsi="Arial" w:cs="Arial"/>
        </w:rPr>
        <w:t xml:space="preserve">recientes </w:t>
      </w:r>
      <w:r w:rsidR="00D32D97" w:rsidRPr="007F6AD7">
        <w:rPr>
          <w:rFonts w:ascii="Arial" w:hAnsi="Arial" w:cs="Arial"/>
        </w:rPr>
        <w:t>alegatos</w:t>
      </w:r>
      <w:r w:rsidR="009939A8" w:rsidRPr="007F6AD7">
        <w:rPr>
          <w:rFonts w:ascii="Arial" w:hAnsi="Arial" w:cs="Arial"/>
        </w:rPr>
        <w:t xml:space="preserve"> de </w:t>
      </w:r>
      <w:r w:rsidR="00143503" w:rsidRPr="007F6AD7">
        <w:rPr>
          <w:rFonts w:ascii="Arial" w:hAnsi="Arial" w:cs="Arial"/>
        </w:rPr>
        <w:t>un</w:t>
      </w:r>
      <w:r w:rsidR="009939A8" w:rsidRPr="007F6AD7">
        <w:rPr>
          <w:rFonts w:ascii="Arial" w:hAnsi="Arial" w:cs="Arial"/>
        </w:rPr>
        <w:t xml:space="preserve"> sector de la </w:t>
      </w:r>
      <w:r w:rsidR="00A358C0" w:rsidRPr="007F6AD7">
        <w:rPr>
          <w:rFonts w:ascii="Arial" w:hAnsi="Arial" w:cs="Arial"/>
        </w:rPr>
        <w:t xml:space="preserve">población </w:t>
      </w:r>
      <w:r w:rsidR="00DC1E01" w:rsidRPr="007F6AD7">
        <w:rPr>
          <w:rFonts w:ascii="Arial" w:hAnsi="Arial" w:cs="Arial"/>
        </w:rPr>
        <w:t xml:space="preserve"> contra </w:t>
      </w:r>
      <w:r w:rsidR="00CF1B91" w:rsidRPr="007F6AD7">
        <w:rPr>
          <w:rFonts w:ascii="Arial" w:hAnsi="Arial" w:cs="Arial"/>
        </w:rPr>
        <w:t>autoridades y</w:t>
      </w:r>
      <w:r w:rsidR="00DC1E01" w:rsidRPr="007F6AD7">
        <w:rPr>
          <w:rFonts w:ascii="Arial" w:hAnsi="Arial" w:cs="Arial"/>
        </w:rPr>
        <w:t xml:space="preserve"> agentes estatales indican</w:t>
      </w:r>
      <w:r w:rsidR="00D32D97" w:rsidRPr="007F6AD7">
        <w:rPr>
          <w:rFonts w:ascii="Arial" w:hAnsi="Arial" w:cs="Arial"/>
        </w:rPr>
        <w:t xml:space="preserve"> </w:t>
      </w:r>
      <w:r w:rsidR="00DC1E01" w:rsidRPr="007F6AD7">
        <w:rPr>
          <w:rFonts w:ascii="Arial" w:hAnsi="Arial" w:cs="Arial"/>
        </w:rPr>
        <w:t>el empleo</w:t>
      </w:r>
      <w:r w:rsidR="004C4385" w:rsidRPr="007F6AD7">
        <w:rPr>
          <w:rFonts w:ascii="Arial" w:hAnsi="Arial" w:cs="Arial"/>
        </w:rPr>
        <w:t xml:space="preserve"> habitual </w:t>
      </w:r>
      <w:r w:rsidR="00DC1E01" w:rsidRPr="007F6AD7">
        <w:rPr>
          <w:rFonts w:ascii="Arial" w:hAnsi="Arial" w:cs="Arial"/>
        </w:rPr>
        <w:t xml:space="preserve"> de</w:t>
      </w:r>
      <w:r w:rsidR="004C4385" w:rsidRPr="007F6AD7">
        <w:rPr>
          <w:rFonts w:ascii="Arial" w:hAnsi="Arial" w:cs="Arial"/>
        </w:rPr>
        <w:t xml:space="preserve"> amenazas de</w:t>
      </w:r>
      <w:r w:rsidR="00D32D97" w:rsidRPr="007F6AD7">
        <w:rPr>
          <w:rFonts w:ascii="Arial" w:hAnsi="Arial" w:cs="Arial"/>
        </w:rPr>
        <w:t xml:space="preserve"> diverso tipo, entre ellas, </w:t>
      </w:r>
      <w:r w:rsidR="009B191B" w:rsidRPr="007F6AD7">
        <w:rPr>
          <w:rFonts w:ascii="Arial" w:hAnsi="Arial" w:cs="Arial"/>
        </w:rPr>
        <w:t xml:space="preserve">algunas muy graves, </w:t>
      </w:r>
      <w:r w:rsidR="00D32D97" w:rsidRPr="007F6AD7">
        <w:rPr>
          <w:rFonts w:ascii="Arial" w:hAnsi="Arial" w:cs="Arial"/>
        </w:rPr>
        <w:t>interrupción</w:t>
      </w:r>
      <w:r w:rsidR="004C4385" w:rsidRPr="007F6AD7">
        <w:rPr>
          <w:rFonts w:ascii="Arial" w:hAnsi="Arial" w:cs="Arial"/>
        </w:rPr>
        <w:t xml:space="preserve"> de embarazos</w:t>
      </w:r>
      <w:r w:rsidR="004D1DD7" w:rsidRPr="007F6AD7">
        <w:rPr>
          <w:rStyle w:val="Refdenotaalpie"/>
          <w:rFonts w:ascii="Arial" w:hAnsi="Arial" w:cs="Arial"/>
        </w:rPr>
        <w:footnoteReference w:id="239"/>
      </w:r>
      <w:r w:rsidR="004C4385" w:rsidRPr="007F6AD7">
        <w:rPr>
          <w:rFonts w:ascii="Arial" w:hAnsi="Arial" w:cs="Arial"/>
        </w:rPr>
        <w:t xml:space="preserve"> (caso Adriana Zamora</w:t>
      </w:r>
      <w:r w:rsidR="00121223" w:rsidRPr="007F6AD7">
        <w:rPr>
          <w:rFonts w:ascii="Arial" w:hAnsi="Arial" w:cs="Arial"/>
        </w:rPr>
        <w:t xml:space="preserve"> </w:t>
      </w:r>
      <w:r w:rsidR="00121223" w:rsidRPr="007F6AD7">
        <w:rPr>
          <w:rFonts w:ascii="Arial" w:hAnsi="Arial" w:cs="Arial"/>
        </w:rPr>
        <w:lastRenderedPageBreak/>
        <w:t>y otros</w:t>
      </w:r>
      <w:r w:rsidR="004C4385" w:rsidRPr="007F6AD7">
        <w:rPr>
          <w:rFonts w:ascii="Arial" w:hAnsi="Arial" w:cs="Arial"/>
        </w:rPr>
        <w:t xml:space="preserve">) </w:t>
      </w:r>
      <w:r w:rsidR="004C4385" w:rsidRPr="007F6AD7">
        <w:rPr>
          <w:rFonts w:ascii="Arial" w:hAnsi="Arial" w:cs="Arial"/>
          <w:vertAlign w:val="superscript"/>
        </w:rPr>
        <w:footnoteReference w:id="240"/>
      </w:r>
      <w:r w:rsidR="005361EA" w:rsidRPr="007F6AD7">
        <w:rPr>
          <w:rFonts w:ascii="Arial" w:hAnsi="Arial" w:cs="Arial"/>
          <w:vertAlign w:val="superscript"/>
        </w:rPr>
        <w:t>,</w:t>
      </w:r>
      <w:r w:rsidR="005361EA" w:rsidRPr="007F6AD7">
        <w:rPr>
          <w:rFonts w:ascii="Arial" w:hAnsi="Arial" w:cs="Arial"/>
        </w:rPr>
        <w:t xml:space="preserve"> </w:t>
      </w:r>
      <w:r w:rsidR="0070159E" w:rsidRPr="007F6AD7">
        <w:rPr>
          <w:rFonts w:ascii="Arial" w:hAnsi="Arial" w:cs="Arial"/>
        </w:rPr>
        <w:t xml:space="preserve"> </w:t>
      </w:r>
      <w:r w:rsidR="0070159E" w:rsidRPr="007F6AD7">
        <w:rPr>
          <w:rStyle w:val="Refdenotaalpie"/>
          <w:rFonts w:ascii="Arial" w:hAnsi="Arial" w:cs="Arial"/>
        </w:rPr>
        <w:footnoteReference w:id="241"/>
      </w:r>
      <w:r w:rsidR="0070159E" w:rsidRPr="007F6AD7">
        <w:rPr>
          <w:rFonts w:ascii="Arial" w:hAnsi="Arial" w:cs="Arial"/>
        </w:rPr>
        <w:t xml:space="preserve"> </w:t>
      </w:r>
      <w:r w:rsidR="0070159E" w:rsidRPr="007F6AD7">
        <w:rPr>
          <w:rFonts w:ascii="Arial" w:hAnsi="Arial" w:cs="Arial"/>
          <w:vertAlign w:val="superscript"/>
        </w:rPr>
        <w:t xml:space="preserve">, </w:t>
      </w:r>
      <w:r w:rsidR="005361EA" w:rsidRPr="007F6AD7">
        <w:rPr>
          <w:rStyle w:val="Refdenotaalpie"/>
          <w:rFonts w:ascii="Arial" w:hAnsi="Arial" w:cs="Arial"/>
        </w:rPr>
        <w:footnoteReference w:id="242"/>
      </w:r>
      <w:r w:rsidR="005361EA" w:rsidRPr="007F6AD7">
        <w:rPr>
          <w:rFonts w:ascii="Arial" w:hAnsi="Arial" w:cs="Arial"/>
        </w:rPr>
        <w:t xml:space="preserve"> </w:t>
      </w:r>
      <w:r w:rsidR="00CF1B91" w:rsidRPr="007F6AD7">
        <w:rPr>
          <w:rFonts w:ascii="Arial" w:hAnsi="Arial" w:cs="Arial"/>
        </w:rPr>
        <w:t>o</w:t>
      </w:r>
      <w:r w:rsidR="00DC1E01" w:rsidRPr="007F6AD7">
        <w:rPr>
          <w:rFonts w:ascii="Arial" w:hAnsi="Arial" w:cs="Arial"/>
        </w:rPr>
        <w:t xml:space="preserve"> la suspensión </w:t>
      </w:r>
      <w:r w:rsidR="00377040" w:rsidRPr="007F6AD7">
        <w:rPr>
          <w:rFonts w:ascii="Arial" w:hAnsi="Arial" w:cs="Arial"/>
        </w:rPr>
        <w:t xml:space="preserve"> </w:t>
      </w:r>
      <w:r w:rsidR="00DC1E01" w:rsidRPr="007F6AD7">
        <w:rPr>
          <w:rFonts w:ascii="Arial" w:hAnsi="Arial" w:cs="Arial"/>
        </w:rPr>
        <w:t>de</w:t>
      </w:r>
      <w:r w:rsidR="00CF1B91" w:rsidRPr="007F6AD7">
        <w:rPr>
          <w:rFonts w:ascii="Arial" w:hAnsi="Arial" w:cs="Arial"/>
        </w:rPr>
        <w:t xml:space="preserve"> la </w:t>
      </w:r>
      <w:r w:rsidR="00DC1E01" w:rsidRPr="007F6AD7">
        <w:rPr>
          <w:rFonts w:ascii="Arial" w:hAnsi="Arial" w:cs="Arial"/>
        </w:rPr>
        <w:t xml:space="preserve"> </w:t>
      </w:r>
      <w:r w:rsidR="00CF1B91" w:rsidRPr="007F6AD7">
        <w:rPr>
          <w:rFonts w:ascii="Arial" w:hAnsi="Arial" w:cs="Arial"/>
        </w:rPr>
        <w:t>potestad</w:t>
      </w:r>
      <w:r w:rsidR="00DC1E01" w:rsidRPr="007F6AD7">
        <w:rPr>
          <w:rFonts w:ascii="Arial" w:hAnsi="Arial" w:cs="Arial"/>
        </w:rPr>
        <w:t xml:space="preserve"> de</w:t>
      </w:r>
      <w:r w:rsidR="00377040" w:rsidRPr="007F6AD7">
        <w:rPr>
          <w:rFonts w:ascii="Arial" w:hAnsi="Arial" w:cs="Arial"/>
        </w:rPr>
        <w:t xml:space="preserve"> </w:t>
      </w:r>
      <w:r w:rsidR="00DC1E01" w:rsidRPr="007F6AD7">
        <w:rPr>
          <w:rFonts w:ascii="Arial" w:hAnsi="Arial" w:cs="Arial"/>
        </w:rPr>
        <w:t>los</w:t>
      </w:r>
      <w:r w:rsidR="00377040" w:rsidRPr="007F6AD7">
        <w:rPr>
          <w:rFonts w:ascii="Arial" w:hAnsi="Arial" w:cs="Arial"/>
        </w:rPr>
        <w:t xml:space="preserve"> hijos a periodistas independientes y activistas, en particular a mujeres.</w:t>
      </w:r>
      <w:r w:rsidR="00377040" w:rsidRPr="007F6AD7">
        <w:rPr>
          <w:rFonts w:ascii="Arial" w:hAnsi="Arial" w:cs="Arial"/>
          <w:vertAlign w:val="superscript"/>
        </w:rPr>
        <w:footnoteReference w:id="243"/>
      </w:r>
      <w:r w:rsidR="00377040" w:rsidRPr="007F6AD7">
        <w:rPr>
          <w:rFonts w:ascii="Arial" w:hAnsi="Arial" w:cs="Arial"/>
        </w:rPr>
        <w:t xml:space="preserve"> </w:t>
      </w:r>
      <w:r w:rsidR="00DC1E01" w:rsidRPr="007F6AD7">
        <w:rPr>
          <w:rFonts w:ascii="Arial" w:hAnsi="Arial" w:cs="Arial"/>
        </w:rPr>
        <w:t xml:space="preserve">Los testimonios documentados </w:t>
      </w:r>
      <w:r w:rsidR="00CF1B91" w:rsidRPr="007F6AD7">
        <w:rPr>
          <w:rFonts w:ascii="Arial" w:hAnsi="Arial" w:cs="Arial"/>
        </w:rPr>
        <w:t xml:space="preserve">sobre este tipo de hechos </w:t>
      </w:r>
      <w:r w:rsidR="00DC1E01" w:rsidRPr="007F6AD7">
        <w:rPr>
          <w:rFonts w:ascii="Arial" w:hAnsi="Arial" w:cs="Arial"/>
        </w:rPr>
        <w:t xml:space="preserve">revelan </w:t>
      </w:r>
      <w:r w:rsidR="00CF1B91" w:rsidRPr="007F6AD7">
        <w:rPr>
          <w:rFonts w:ascii="Arial" w:hAnsi="Arial" w:cs="Arial"/>
        </w:rPr>
        <w:t xml:space="preserve">la </w:t>
      </w:r>
      <w:r w:rsidR="009B191B" w:rsidRPr="007F6AD7">
        <w:rPr>
          <w:rFonts w:ascii="Arial" w:hAnsi="Arial" w:cs="Arial"/>
        </w:rPr>
        <w:t xml:space="preserve"> </w:t>
      </w:r>
      <w:r w:rsidR="00377040" w:rsidRPr="007F6AD7">
        <w:rPr>
          <w:rFonts w:ascii="Arial" w:hAnsi="Arial" w:cs="Arial"/>
        </w:rPr>
        <w:t xml:space="preserve"> costumbr</w:t>
      </w:r>
      <w:r w:rsidR="00CF1B91" w:rsidRPr="007F6AD7">
        <w:rPr>
          <w:rFonts w:ascii="Arial" w:hAnsi="Arial" w:cs="Arial"/>
        </w:rPr>
        <w:t>e</w:t>
      </w:r>
      <w:r w:rsidR="00377040" w:rsidRPr="007F6AD7">
        <w:rPr>
          <w:rFonts w:ascii="Arial" w:hAnsi="Arial" w:cs="Arial"/>
        </w:rPr>
        <w:t xml:space="preserve"> </w:t>
      </w:r>
      <w:r w:rsidR="00CF1B91" w:rsidRPr="007F6AD7">
        <w:rPr>
          <w:rFonts w:ascii="Arial" w:hAnsi="Arial" w:cs="Arial"/>
        </w:rPr>
        <w:t>de</w:t>
      </w:r>
      <w:r w:rsidR="00377040" w:rsidRPr="007F6AD7">
        <w:rPr>
          <w:rFonts w:ascii="Arial" w:hAnsi="Arial" w:cs="Arial"/>
        </w:rPr>
        <w:t xml:space="preserve"> presenta</w:t>
      </w:r>
      <w:r w:rsidR="009B191B" w:rsidRPr="007F6AD7">
        <w:rPr>
          <w:rFonts w:ascii="Arial" w:hAnsi="Arial" w:cs="Arial"/>
        </w:rPr>
        <w:t>r</w:t>
      </w:r>
      <w:r w:rsidR="00377040" w:rsidRPr="007F6AD7">
        <w:rPr>
          <w:rFonts w:ascii="Arial" w:hAnsi="Arial" w:cs="Arial"/>
        </w:rPr>
        <w:t xml:space="preserve"> el proceso de retirada de la patria potestad como un procedimiento simple y rápido que pueden hacer en cualquier momento, pese a que las leyes y los tribunales no lo contemplan así por constituir una enorme responsabilidad.</w:t>
      </w:r>
      <w:r w:rsidR="00377040" w:rsidRPr="007F6AD7">
        <w:rPr>
          <w:rStyle w:val="Refdenotaalpie"/>
          <w:rFonts w:ascii="Arial" w:hAnsi="Arial" w:cs="Arial"/>
        </w:rPr>
        <w:footnoteReference w:id="244"/>
      </w:r>
      <w:r w:rsidR="00377040" w:rsidRPr="007F6AD7">
        <w:rPr>
          <w:rFonts w:ascii="Arial" w:hAnsi="Arial" w:cs="Arial"/>
        </w:rPr>
        <w:t xml:space="preserve"> </w:t>
      </w:r>
    </w:p>
    <w:p w14:paraId="586726DB" w14:textId="32628BE0" w:rsidR="00AB75C7" w:rsidRPr="007F6AD7" w:rsidRDefault="00975773" w:rsidP="00975773">
      <w:pPr>
        <w:tabs>
          <w:tab w:val="left" w:pos="567"/>
        </w:tabs>
        <w:spacing w:after="0" w:line="360" w:lineRule="auto"/>
        <w:jc w:val="both"/>
        <w:rPr>
          <w:rFonts w:ascii="Arial" w:hAnsi="Arial" w:cs="Arial"/>
        </w:rPr>
      </w:pPr>
      <w:r>
        <w:rPr>
          <w:rFonts w:ascii="Arial" w:hAnsi="Arial" w:cs="Arial"/>
        </w:rPr>
        <w:t xml:space="preserve">56.    </w:t>
      </w:r>
      <w:r w:rsidR="00A610E0" w:rsidRPr="007F6AD7">
        <w:rPr>
          <w:rFonts w:ascii="Arial" w:hAnsi="Arial" w:cs="Arial"/>
        </w:rPr>
        <w:t>El Consejo de Gobierno del Tribunal Supremo Popular de la República de Cuba adoptó el Acuerdo no. 72 conocido como las Reglas de Brasilia para garantizar el acceso a la justicia de personas en condición de vulnerabilidad.</w:t>
      </w:r>
      <w:r w:rsidR="00A610E0" w:rsidRPr="007F6AD7">
        <w:rPr>
          <w:rStyle w:val="Refdenotaalpie"/>
          <w:rFonts w:ascii="Arial" w:hAnsi="Arial" w:cs="Arial"/>
        </w:rPr>
        <w:footnoteReference w:id="245"/>
      </w:r>
      <w:r w:rsidR="00A610E0" w:rsidRPr="007F6AD7">
        <w:rPr>
          <w:rFonts w:ascii="Arial" w:hAnsi="Arial" w:cs="Arial"/>
        </w:rPr>
        <w:t xml:space="preserve"> En el </w:t>
      </w:r>
      <w:r w:rsidR="00B410E4" w:rsidRPr="007F6AD7">
        <w:rPr>
          <w:rFonts w:ascii="Arial" w:hAnsi="Arial" w:cs="Arial"/>
        </w:rPr>
        <w:t>mismo</w:t>
      </w:r>
      <w:r w:rsidR="00A610E0" w:rsidRPr="007F6AD7">
        <w:rPr>
          <w:rFonts w:ascii="Arial" w:hAnsi="Arial" w:cs="Arial"/>
        </w:rPr>
        <w:t xml:space="preserve"> periodo</w:t>
      </w:r>
      <w:r w:rsidR="009C30EB" w:rsidRPr="007F6AD7">
        <w:rPr>
          <w:rFonts w:ascii="Arial" w:hAnsi="Arial" w:cs="Arial"/>
        </w:rPr>
        <w:t xml:space="preserve"> (2012) l</w:t>
      </w:r>
      <w:r w:rsidR="00AB75C7" w:rsidRPr="007F6AD7">
        <w:rPr>
          <w:rFonts w:ascii="Arial" w:hAnsi="Arial" w:cs="Arial"/>
        </w:rPr>
        <w:t>a familia de la adolescente Berenice Héctor González</w:t>
      </w:r>
      <w:r w:rsidR="0070159E" w:rsidRPr="007F6AD7">
        <w:rPr>
          <w:rFonts w:ascii="Arial" w:hAnsi="Arial" w:cs="Arial"/>
        </w:rPr>
        <w:t>, denunció</w:t>
      </w:r>
      <w:r w:rsidR="00AB75C7" w:rsidRPr="007F6AD7">
        <w:rPr>
          <w:rFonts w:ascii="Arial" w:hAnsi="Arial" w:cs="Arial"/>
        </w:rPr>
        <w:t xml:space="preserve"> que la policía cubana la presionaba para que cambiara su testimonio sobre </w:t>
      </w:r>
      <w:r w:rsidR="009C30EB" w:rsidRPr="007F6AD7">
        <w:rPr>
          <w:rFonts w:ascii="Arial" w:hAnsi="Arial" w:cs="Arial"/>
        </w:rPr>
        <w:t xml:space="preserve">el </w:t>
      </w:r>
      <w:r w:rsidR="00AB75C7" w:rsidRPr="007F6AD7">
        <w:rPr>
          <w:rFonts w:ascii="Arial" w:hAnsi="Arial" w:cs="Arial"/>
        </w:rPr>
        <w:t>incidente</w:t>
      </w:r>
      <w:r w:rsidR="00AB75C7" w:rsidRPr="007F6AD7">
        <w:rPr>
          <w:rStyle w:val="Refdenotaalpie"/>
          <w:rFonts w:ascii="Arial" w:hAnsi="Arial" w:cs="Arial"/>
        </w:rPr>
        <w:footnoteReference w:id="246"/>
      </w:r>
      <w:r w:rsidR="00AB75C7" w:rsidRPr="007F6AD7">
        <w:rPr>
          <w:rFonts w:ascii="Arial" w:hAnsi="Arial" w:cs="Arial"/>
        </w:rPr>
        <w:t xml:space="preserve"> </w:t>
      </w:r>
      <w:r w:rsidR="009C30EB" w:rsidRPr="007F6AD7">
        <w:rPr>
          <w:rFonts w:ascii="Arial" w:hAnsi="Arial" w:cs="Arial"/>
        </w:rPr>
        <w:t xml:space="preserve"> donde la chica con 15 años de edad fue atacada a navajazos en Cienfuegos por defender a las Damas de Blanco, un grupo de mujeres cubanas que reclaman en las calles sus derechos civiles y familiares.</w:t>
      </w:r>
    </w:p>
    <w:p w14:paraId="4AD4C014" w14:textId="03D6F010" w:rsidR="00FF5925" w:rsidRPr="007F6AD7" w:rsidRDefault="00975773" w:rsidP="00975773">
      <w:pPr>
        <w:spacing w:after="0" w:line="360" w:lineRule="auto"/>
        <w:jc w:val="both"/>
        <w:rPr>
          <w:rFonts w:ascii="Arial" w:hAnsi="Arial" w:cs="Arial"/>
        </w:rPr>
      </w:pPr>
      <w:r>
        <w:rPr>
          <w:rFonts w:ascii="Arial" w:hAnsi="Arial" w:cs="Arial"/>
        </w:rPr>
        <w:t xml:space="preserve">57.   </w:t>
      </w:r>
      <w:r w:rsidR="0032314E" w:rsidRPr="007F6AD7">
        <w:rPr>
          <w:rFonts w:ascii="Arial" w:hAnsi="Arial" w:cs="Arial"/>
        </w:rPr>
        <w:t>Al este de la isla, (</w:t>
      </w:r>
      <w:r w:rsidR="005312C5" w:rsidRPr="007F6AD7">
        <w:rPr>
          <w:rFonts w:ascii="Arial" w:hAnsi="Arial" w:cs="Arial"/>
        </w:rPr>
        <w:t xml:space="preserve">Caimanera, </w:t>
      </w:r>
      <w:r w:rsidR="0032314E" w:rsidRPr="007F6AD7">
        <w:rPr>
          <w:rFonts w:ascii="Arial" w:hAnsi="Arial" w:cs="Arial"/>
        </w:rPr>
        <w:t xml:space="preserve">provincia de </w:t>
      </w:r>
      <w:r w:rsidR="0070159E" w:rsidRPr="007F6AD7">
        <w:rPr>
          <w:rFonts w:ascii="Arial" w:hAnsi="Arial" w:cs="Arial"/>
        </w:rPr>
        <w:t>Guantánamo)</w:t>
      </w:r>
      <w:r w:rsidR="002B2808" w:rsidRPr="007F6AD7">
        <w:rPr>
          <w:rFonts w:ascii="Arial" w:hAnsi="Arial" w:cs="Arial"/>
        </w:rPr>
        <w:t xml:space="preserve"> </w:t>
      </w:r>
      <w:r w:rsidR="00D739E9" w:rsidRPr="007F6AD7">
        <w:rPr>
          <w:rFonts w:ascii="Arial" w:hAnsi="Arial" w:cs="Arial"/>
        </w:rPr>
        <w:t>María Herrera Alfonso, madre de la niña Hélen Fuentes de ocho años</w:t>
      </w:r>
      <w:r w:rsidR="005312C5" w:rsidRPr="007F6AD7">
        <w:rPr>
          <w:rFonts w:ascii="Arial" w:hAnsi="Arial" w:cs="Arial"/>
        </w:rPr>
        <w:t>,</w:t>
      </w:r>
      <w:r w:rsidR="00D739E9" w:rsidRPr="007F6AD7">
        <w:rPr>
          <w:rFonts w:ascii="Arial" w:hAnsi="Arial" w:cs="Arial"/>
        </w:rPr>
        <w:t xml:space="preserve">   fue citada </w:t>
      </w:r>
      <w:r w:rsidR="005312C5" w:rsidRPr="007F6AD7">
        <w:rPr>
          <w:rFonts w:ascii="Arial" w:hAnsi="Arial" w:cs="Arial"/>
        </w:rPr>
        <w:t xml:space="preserve">por una funcionaria del Departamento de Menores, </w:t>
      </w:r>
      <w:r w:rsidR="002B2808" w:rsidRPr="007F6AD7">
        <w:rPr>
          <w:rFonts w:ascii="Arial" w:hAnsi="Arial" w:cs="Arial"/>
        </w:rPr>
        <w:t xml:space="preserve">para hacer un expediente a su hija. El Departamento de Menores es una </w:t>
      </w:r>
      <w:r w:rsidR="005312C5" w:rsidRPr="007F6AD7">
        <w:rPr>
          <w:rFonts w:ascii="Arial" w:hAnsi="Arial" w:cs="Arial"/>
        </w:rPr>
        <w:t xml:space="preserve">institución </w:t>
      </w:r>
      <w:r w:rsidR="002B2808" w:rsidRPr="007F6AD7">
        <w:rPr>
          <w:rFonts w:ascii="Arial" w:hAnsi="Arial" w:cs="Arial"/>
        </w:rPr>
        <w:t xml:space="preserve">gubernamental </w:t>
      </w:r>
      <w:r w:rsidR="005312C5" w:rsidRPr="007F6AD7">
        <w:rPr>
          <w:rFonts w:ascii="Arial" w:hAnsi="Arial" w:cs="Arial"/>
        </w:rPr>
        <w:t>encargada de atender</w:t>
      </w:r>
      <w:r w:rsidR="002B2808" w:rsidRPr="007F6AD7">
        <w:rPr>
          <w:rFonts w:ascii="Arial" w:hAnsi="Arial" w:cs="Arial"/>
        </w:rPr>
        <w:t xml:space="preserve"> y recluir a</w:t>
      </w:r>
      <w:r w:rsidR="005312C5" w:rsidRPr="007F6AD7">
        <w:rPr>
          <w:rFonts w:ascii="Arial" w:hAnsi="Arial" w:cs="Arial"/>
        </w:rPr>
        <w:t xml:space="preserve"> niños infractores de la ley y con problemas de conducta</w:t>
      </w:r>
      <w:r w:rsidR="002B2808" w:rsidRPr="007F6AD7">
        <w:rPr>
          <w:rFonts w:ascii="Arial" w:hAnsi="Arial" w:cs="Arial"/>
        </w:rPr>
        <w:t>.</w:t>
      </w:r>
      <w:r w:rsidR="005312C5" w:rsidRPr="007F6AD7">
        <w:rPr>
          <w:rFonts w:ascii="Arial" w:hAnsi="Arial" w:cs="Arial"/>
        </w:rPr>
        <w:t xml:space="preserve"> </w:t>
      </w:r>
      <w:r w:rsidR="002B2808" w:rsidRPr="007F6AD7">
        <w:rPr>
          <w:rFonts w:ascii="Arial" w:hAnsi="Arial" w:cs="Arial"/>
        </w:rPr>
        <w:t xml:space="preserve">El hecho </w:t>
      </w:r>
      <w:r w:rsidR="00E12D39" w:rsidRPr="007F6AD7">
        <w:rPr>
          <w:rFonts w:ascii="Arial" w:hAnsi="Arial" w:cs="Arial"/>
        </w:rPr>
        <w:t>fue</w:t>
      </w:r>
      <w:r w:rsidR="002B2808" w:rsidRPr="007F6AD7">
        <w:rPr>
          <w:rFonts w:ascii="Arial" w:hAnsi="Arial" w:cs="Arial"/>
        </w:rPr>
        <w:t xml:space="preserve"> visto</w:t>
      </w:r>
      <w:r w:rsidR="005312C5" w:rsidRPr="007F6AD7">
        <w:rPr>
          <w:rFonts w:ascii="Arial" w:hAnsi="Arial" w:cs="Arial"/>
        </w:rPr>
        <w:t xml:space="preserve"> como represalia por ser hija del activista encarcelado</w:t>
      </w:r>
      <w:r w:rsidR="002B2808" w:rsidRPr="007F6AD7">
        <w:rPr>
          <w:rFonts w:ascii="Arial" w:hAnsi="Arial" w:cs="Arial"/>
        </w:rPr>
        <w:t xml:space="preserve"> por atentado,</w:t>
      </w:r>
      <w:r w:rsidR="005312C5" w:rsidRPr="007F6AD7">
        <w:rPr>
          <w:rFonts w:ascii="Arial" w:hAnsi="Arial" w:cs="Arial"/>
        </w:rPr>
        <w:t xml:space="preserve"> Yeider Fuentes,</w:t>
      </w:r>
      <w:r w:rsidR="002B2808" w:rsidRPr="007F6AD7">
        <w:rPr>
          <w:rFonts w:ascii="Arial" w:hAnsi="Arial" w:cs="Arial"/>
        </w:rPr>
        <w:t xml:space="preserve"> </w:t>
      </w:r>
      <w:r w:rsidR="005312C5" w:rsidRPr="007F6AD7">
        <w:rPr>
          <w:rFonts w:ascii="Arial" w:hAnsi="Arial" w:cs="Arial"/>
        </w:rPr>
        <w:t>miembro de la Unión Patriótica de Cuba</w:t>
      </w:r>
      <w:r w:rsidR="008756F3" w:rsidRPr="007F6AD7">
        <w:rPr>
          <w:rFonts w:ascii="Arial" w:hAnsi="Arial" w:cs="Arial"/>
        </w:rPr>
        <w:t xml:space="preserve"> también conocida por sus siglas “UNPACU”</w:t>
      </w:r>
      <w:r w:rsidR="002B2808" w:rsidRPr="007F6AD7">
        <w:rPr>
          <w:rFonts w:ascii="Arial" w:hAnsi="Arial" w:cs="Arial"/>
        </w:rPr>
        <w:t>.</w:t>
      </w:r>
      <w:r w:rsidR="005312C5" w:rsidRPr="007F6AD7">
        <w:rPr>
          <w:rFonts w:ascii="Arial" w:hAnsi="Arial" w:cs="Arial"/>
        </w:rPr>
        <w:t xml:space="preserve"> </w:t>
      </w:r>
      <w:r w:rsidR="00B57558" w:rsidRPr="007F6AD7">
        <w:rPr>
          <w:rFonts w:ascii="Arial" w:hAnsi="Arial" w:cs="Arial"/>
          <w:vertAlign w:val="superscript"/>
        </w:rPr>
        <w:footnoteReference w:id="247"/>
      </w:r>
      <w:r w:rsidR="00FF5925" w:rsidRPr="007F6AD7">
        <w:rPr>
          <w:rFonts w:ascii="Arial" w:hAnsi="Arial" w:cs="Arial"/>
          <w:vertAlign w:val="superscript"/>
        </w:rPr>
        <w:t xml:space="preserve"> </w:t>
      </w:r>
    </w:p>
    <w:p w14:paraId="707D762A" w14:textId="7FBE2374" w:rsidR="00FF5925" w:rsidRPr="007F6AD7" w:rsidRDefault="00975773" w:rsidP="00975773">
      <w:pPr>
        <w:tabs>
          <w:tab w:val="left" w:pos="567"/>
        </w:tabs>
        <w:spacing w:after="0" w:line="360" w:lineRule="auto"/>
        <w:jc w:val="both"/>
        <w:rPr>
          <w:rFonts w:ascii="Arial" w:hAnsi="Arial" w:cs="Arial"/>
        </w:rPr>
      </w:pPr>
      <w:r>
        <w:rPr>
          <w:rFonts w:ascii="Arial" w:hAnsi="Arial" w:cs="Arial"/>
        </w:rPr>
        <w:lastRenderedPageBreak/>
        <w:t xml:space="preserve">58.  </w:t>
      </w:r>
      <w:r w:rsidR="00FF5925" w:rsidRPr="007F6AD7">
        <w:rPr>
          <w:rFonts w:ascii="Arial" w:hAnsi="Arial" w:cs="Arial"/>
        </w:rPr>
        <w:t xml:space="preserve">Yamilka Abascal, esposa del preso político Rolando Casares, </w:t>
      </w:r>
      <w:r w:rsidR="009C30EB" w:rsidRPr="007F6AD7">
        <w:rPr>
          <w:rFonts w:ascii="Arial" w:hAnsi="Arial" w:cs="Arial"/>
        </w:rPr>
        <w:t xml:space="preserve">presuntamente </w:t>
      </w:r>
      <w:r w:rsidR="009939A8" w:rsidRPr="007F6AD7">
        <w:rPr>
          <w:rFonts w:ascii="Arial" w:hAnsi="Arial" w:cs="Arial"/>
        </w:rPr>
        <w:t>había</w:t>
      </w:r>
      <w:r w:rsidR="00FF5925" w:rsidRPr="007F6AD7">
        <w:rPr>
          <w:rFonts w:ascii="Arial" w:hAnsi="Arial" w:cs="Arial"/>
        </w:rPr>
        <w:t xml:space="preserve"> sido amenazada con </w:t>
      </w:r>
      <w:r w:rsidR="009C30EB" w:rsidRPr="007F6AD7">
        <w:rPr>
          <w:rFonts w:ascii="Arial" w:hAnsi="Arial" w:cs="Arial"/>
        </w:rPr>
        <w:t xml:space="preserve">la </w:t>
      </w:r>
      <w:r w:rsidR="00FF5925" w:rsidRPr="007F6AD7">
        <w:rPr>
          <w:rFonts w:ascii="Arial" w:hAnsi="Arial" w:cs="Arial"/>
        </w:rPr>
        <w:t>cár</w:t>
      </w:r>
      <w:r w:rsidR="00F819DD" w:rsidRPr="007F6AD7">
        <w:rPr>
          <w:rFonts w:ascii="Arial" w:hAnsi="Arial" w:cs="Arial"/>
        </w:rPr>
        <w:t xml:space="preserve">cel si no se “pone a trabajar”. </w:t>
      </w:r>
      <w:r w:rsidR="002B783E" w:rsidRPr="007F6AD7">
        <w:rPr>
          <w:rFonts w:ascii="Arial" w:hAnsi="Arial" w:cs="Arial"/>
        </w:rPr>
        <w:t>El</w:t>
      </w:r>
      <w:r w:rsidR="00FF5925" w:rsidRPr="007F6AD7">
        <w:rPr>
          <w:rFonts w:ascii="Arial" w:hAnsi="Arial" w:cs="Arial"/>
        </w:rPr>
        <w:t xml:space="preserve"> hijo más pequeño </w:t>
      </w:r>
      <w:r w:rsidR="00F819DD" w:rsidRPr="007F6AD7">
        <w:rPr>
          <w:rFonts w:ascii="Arial" w:hAnsi="Arial" w:cs="Arial"/>
        </w:rPr>
        <w:t xml:space="preserve">de </w:t>
      </w:r>
      <w:r w:rsidR="002B783E" w:rsidRPr="007F6AD7">
        <w:rPr>
          <w:rFonts w:ascii="Arial" w:hAnsi="Arial" w:cs="Arial"/>
        </w:rPr>
        <w:t>la Sra.</w:t>
      </w:r>
      <w:r w:rsidR="00DA120B" w:rsidRPr="007F6AD7">
        <w:rPr>
          <w:rFonts w:ascii="Arial" w:hAnsi="Arial" w:cs="Arial"/>
        </w:rPr>
        <w:t xml:space="preserve"> </w:t>
      </w:r>
      <w:r w:rsidR="00F819DD" w:rsidRPr="007F6AD7">
        <w:rPr>
          <w:rFonts w:ascii="Arial" w:hAnsi="Arial" w:cs="Arial"/>
        </w:rPr>
        <w:t xml:space="preserve">Abascal </w:t>
      </w:r>
      <w:r w:rsidR="009C30EB" w:rsidRPr="007F6AD7">
        <w:rPr>
          <w:rFonts w:ascii="Arial" w:hAnsi="Arial" w:cs="Arial"/>
        </w:rPr>
        <w:t>tenía</w:t>
      </w:r>
      <w:r w:rsidR="00FF5925" w:rsidRPr="007F6AD7">
        <w:rPr>
          <w:rFonts w:ascii="Arial" w:hAnsi="Arial" w:cs="Arial"/>
        </w:rPr>
        <w:t xml:space="preserve"> apenas diez meses de nacido. Según </w:t>
      </w:r>
      <w:r w:rsidR="002B783E" w:rsidRPr="007F6AD7">
        <w:rPr>
          <w:rFonts w:ascii="Arial" w:hAnsi="Arial" w:cs="Arial"/>
        </w:rPr>
        <w:t>ella relata</w:t>
      </w:r>
      <w:r w:rsidR="00FF5925" w:rsidRPr="007F6AD7">
        <w:rPr>
          <w:rFonts w:ascii="Arial" w:hAnsi="Arial" w:cs="Arial"/>
        </w:rPr>
        <w:t>, la jueza de ejecución amenazó con quitarle a sus tres hijos pequeños y llevarlos a un hogar de niños sin amparo filial.</w:t>
      </w:r>
      <w:r w:rsidR="00FF5925" w:rsidRPr="007F6AD7">
        <w:rPr>
          <w:rStyle w:val="Refdenotaalpie"/>
          <w:rFonts w:ascii="Arial" w:hAnsi="Arial" w:cs="Arial"/>
        </w:rPr>
        <w:footnoteReference w:id="248"/>
      </w:r>
      <w:r w:rsidR="00A105D5" w:rsidRPr="007F6AD7">
        <w:rPr>
          <w:rFonts w:ascii="Arial" w:hAnsi="Arial" w:cs="Arial"/>
        </w:rPr>
        <w:t xml:space="preserve"> </w:t>
      </w:r>
    </w:p>
    <w:p w14:paraId="03E69FC0" w14:textId="6066B6D5" w:rsidR="00F819DD" w:rsidRPr="007F6AD7" w:rsidRDefault="00975773" w:rsidP="00975773">
      <w:pPr>
        <w:tabs>
          <w:tab w:val="left" w:pos="567"/>
        </w:tabs>
        <w:spacing w:after="0" w:line="360" w:lineRule="auto"/>
        <w:jc w:val="both"/>
        <w:rPr>
          <w:rFonts w:ascii="Arial" w:hAnsi="Arial" w:cs="Arial"/>
        </w:rPr>
      </w:pPr>
      <w:r>
        <w:rPr>
          <w:rFonts w:ascii="Arial" w:hAnsi="Arial" w:cs="Arial"/>
        </w:rPr>
        <w:t>59.   Varias</w:t>
      </w:r>
      <w:r w:rsidR="00F819DD" w:rsidRPr="007F6AD7">
        <w:rPr>
          <w:rFonts w:ascii="Arial" w:hAnsi="Arial" w:cs="Arial"/>
        </w:rPr>
        <w:t xml:space="preserve"> familias de activistas y opositoras denuncian el acoso de fuerzas </w:t>
      </w:r>
      <w:r w:rsidR="00CF1B91" w:rsidRPr="007F6AD7">
        <w:rPr>
          <w:rFonts w:ascii="Arial" w:hAnsi="Arial" w:cs="Arial"/>
        </w:rPr>
        <w:t>estatales</w:t>
      </w:r>
      <w:r w:rsidR="00F819DD" w:rsidRPr="007F6AD7">
        <w:rPr>
          <w:rFonts w:ascii="Arial" w:hAnsi="Arial" w:cs="Arial"/>
        </w:rPr>
        <w:t xml:space="preserve"> contra sus hijos y la ausencia de medidas previas en relación al cuidado de los </w:t>
      </w:r>
      <w:r w:rsidR="00CF1B91" w:rsidRPr="007F6AD7">
        <w:rPr>
          <w:rFonts w:ascii="Arial" w:hAnsi="Arial" w:cs="Arial"/>
        </w:rPr>
        <w:t>NNA</w:t>
      </w:r>
      <w:r w:rsidR="00F819DD" w:rsidRPr="007F6AD7">
        <w:rPr>
          <w:rFonts w:ascii="Arial" w:hAnsi="Arial" w:cs="Arial"/>
        </w:rPr>
        <w:t xml:space="preserve"> de todos los padres y madres encarcelados para proteger el derecho del menor a estar en contacto con su </w:t>
      </w:r>
      <w:r w:rsidR="00CF1B91" w:rsidRPr="007F6AD7">
        <w:rPr>
          <w:rFonts w:ascii="Arial" w:hAnsi="Arial" w:cs="Arial"/>
        </w:rPr>
        <w:t>progenitor(a) en prisión</w:t>
      </w:r>
    </w:p>
    <w:p w14:paraId="72F5C96E" w14:textId="55E160B7" w:rsidR="006F34EA" w:rsidRPr="007F6AD7" w:rsidRDefault="00F819DD" w:rsidP="000A24B8">
      <w:pPr>
        <w:spacing w:after="0" w:line="360" w:lineRule="auto"/>
        <w:jc w:val="both"/>
        <w:rPr>
          <w:rFonts w:ascii="Arial" w:hAnsi="Arial" w:cs="Arial"/>
        </w:rPr>
      </w:pPr>
      <w:r w:rsidRPr="007F6AD7">
        <w:rPr>
          <w:rFonts w:ascii="Arial" w:hAnsi="Arial" w:cs="Arial"/>
        </w:rPr>
        <w:t xml:space="preserve">siempre que </w:t>
      </w:r>
      <w:r w:rsidR="00CF1B91" w:rsidRPr="007F6AD7">
        <w:rPr>
          <w:rFonts w:ascii="Arial" w:hAnsi="Arial" w:cs="Arial"/>
        </w:rPr>
        <w:t>coincida</w:t>
      </w:r>
      <w:r w:rsidRPr="007F6AD7">
        <w:rPr>
          <w:rFonts w:ascii="Arial" w:hAnsi="Arial" w:cs="Arial"/>
        </w:rPr>
        <w:t xml:space="preserve"> con el interés superior del </w:t>
      </w:r>
      <w:r w:rsidR="00CF1B91" w:rsidRPr="007F6AD7">
        <w:rPr>
          <w:rFonts w:ascii="Arial" w:hAnsi="Arial" w:cs="Arial"/>
        </w:rPr>
        <w:t>NNA</w:t>
      </w:r>
      <w:r w:rsidRPr="007F6AD7">
        <w:rPr>
          <w:rFonts w:ascii="Arial" w:hAnsi="Arial" w:cs="Arial"/>
        </w:rPr>
        <w:t>.</w:t>
      </w:r>
      <w:r w:rsidRPr="007F6AD7">
        <w:rPr>
          <w:rStyle w:val="Refdenotaalpie"/>
          <w:rFonts w:ascii="Arial" w:hAnsi="Arial" w:cs="Arial"/>
        </w:rPr>
        <w:footnoteReference w:id="249"/>
      </w:r>
      <w:r w:rsidRPr="007F6AD7">
        <w:rPr>
          <w:rFonts w:ascii="Arial" w:hAnsi="Arial" w:cs="Arial"/>
        </w:rPr>
        <w:t xml:space="preserve"> </w:t>
      </w:r>
      <w:r w:rsidR="00B57558" w:rsidRPr="007F6AD7">
        <w:rPr>
          <w:rFonts w:ascii="Arial" w:hAnsi="Arial" w:cs="Arial"/>
        </w:rPr>
        <w:t>En un nuevo capítulo de la serie "Vamos por ti y por tu familia" del proyecto audiovisual independiente Estado de Sats, la madre y las hijas</w:t>
      </w:r>
      <w:r w:rsidR="00AE2D3D" w:rsidRPr="007F6AD7">
        <w:rPr>
          <w:rFonts w:ascii="Arial" w:hAnsi="Arial" w:cs="Arial"/>
        </w:rPr>
        <w:t>, una de cinco años y otra de nueve, de</w:t>
      </w:r>
      <w:r w:rsidR="00B57558" w:rsidRPr="007F6AD7">
        <w:rPr>
          <w:rFonts w:ascii="Arial" w:hAnsi="Arial" w:cs="Arial"/>
        </w:rPr>
        <w:t xml:space="preserve"> Aimara Nieto e Ismael Reñí </w:t>
      </w:r>
      <w:r w:rsidRPr="007F6AD7">
        <w:rPr>
          <w:rFonts w:ascii="Arial" w:hAnsi="Arial" w:cs="Arial"/>
        </w:rPr>
        <w:t>describen</w:t>
      </w:r>
      <w:r w:rsidR="00B57558" w:rsidRPr="007F6AD7">
        <w:rPr>
          <w:rFonts w:ascii="Arial" w:hAnsi="Arial" w:cs="Arial"/>
        </w:rPr>
        <w:t xml:space="preserve"> las vicisitudes que enfrentan para ir a visitarlos en las cárceles donde permanecen conﬁnados, a la espera de un juicio</w:t>
      </w:r>
      <w:r w:rsidR="00AE2D3D" w:rsidRPr="007F6AD7">
        <w:rPr>
          <w:rFonts w:ascii="Arial" w:hAnsi="Arial" w:cs="Arial"/>
        </w:rPr>
        <w:t xml:space="preserve"> dilatado en el tiempo</w:t>
      </w:r>
      <w:r w:rsidR="00B57558" w:rsidRPr="007F6AD7">
        <w:rPr>
          <w:rFonts w:ascii="Arial" w:hAnsi="Arial" w:cs="Arial"/>
        </w:rPr>
        <w:t>.</w:t>
      </w:r>
      <w:r w:rsidR="009C30EB" w:rsidRPr="007F6AD7">
        <w:rPr>
          <w:rFonts w:ascii="Arial" w:hAnsi="Arial" w:cs="Arial"/>
        </w:rPr>
        <w:t xml:space="preserve"> Los activistas Aimara Nieto e Ismael Reñí llevaban nueve meses en la cárcel a la espera de un juicio cuya fecha desconocían, mientras por la separación, sus hijas pequeñas se despiertan llorando en las noches.</w:t>
      </w:r>
      <w:r w:rsidR="009C30EB" w:rsidRPr="007F6AD7">
        <w:rPr>
          <w:rStyle w:val="Refdenotaalpie"/>
          <w:rFonts w:ascii="Arial" w:hAnsi="Arial" w:cs="Arial"/>
        </w:rPr>
        <w:footnoteReference w:id="250"/>
      </w:r>
      <w:r w:rsidR="006F34EA" w:rsidRPr="007F6AD7">
        <w:rPr>
          <w:rFonts w:ascii="Arial" w:hAnsi="Arial" w:cs="Arial"/>
        </w:rPr>
        <w:t xml:space="preserve"> </w:t>
      </w:r>
    </w:p>
    <w:p w14:paraId="63C4D9F0" w14:textId="521DFFCA" w:rsidR="004D5CFC" w:rsidRPr="007F6AD7" w:rsidRDefault="008B485E" w:rsidP="008B485E">
      <w:pPr>
        <w:tabs>
          <w:tab w:val="left" w:pos="567"/>
        </w:tabs>
        <w:spacing w:after="0" w:line="360" w:lineRule="auto"/>
        <w:jc w:val="both"/>
        <w:rPr>
          <w:rFonts w:ascii="Arial" w:hAnsi="Arial" w:cs="Arial"/>
        </w:rPr>
      </w:pPr>
      <w:r>
        <w:rPr>
          <w:rFonts w:ascii="Arial" w:hAnsi="Arial" w:cs="Arial"/>
        </w:rPr>
        <w:t>60.   El artículo 5 y el</w:t>
      </w:r>
      <w:r w:rsidRPr="007F6AD7">
        <w:rPr>
          <w:rFonts w:ascii="Arial" w:hAnsi="Arial" w:cs="Arial"/>
        </w:rPr>
        <w:t xml:space="preserve"> artículo 16 de la Convención de los Derechos del Niño </w:t>
      </w:r>
      <w:r>
        <w:rPr>
          <w:rFonts w:ascii="Arial" w:hAnsi="Arial" w:cs="Arial"/>
        </w:rPr>
        <w:t>definen</w:t>
      </w:r>
      <w:r w:rsidRPr="007F6AD7">
        <w:rPr>
          <w:rFonts w:ascii="Arial" w:hAnsi="Arial" w:cs="Arial"/>
        </w:rPr>
        <w:t xml:space="preserve"> </w:t>
      </w:r>
      <w:r>
        <w:rPr>
          <w:rFonts w:ascii="Arial" w:hAnsi="Arial" w:cs="Arial"/>
        </w:rPr>
        <w:t>e</w:t>
      </w:r>
      <w:r w:rsidR="009C30EB" w:rsidRPr="007F6AD7">
        <w:rPr>
          <w:rFonts w:ascii="Arial" w:hAnsi="Arial" w:cs="Arial"/>
        </w:rPr>
        <w:t>l equilibrio entre las responsabilidades del Estado y las de la familia con respecto al niño</w:t>
      </w:r>
      <w:r w:rsidR="002B783E" w:rsidRPr="007F6AD7">
        <w:rPr>
          <w:rFonts w:ascii="Arial" w:hAnsi="Arial" w:cs="Arial"/>
        </w:rPr>
        <w:t>.</w:t>
      </w:r>
      <w:r w:rsidR="007B22C3" w:rsidRPr="007F6AD7">
        <w:rPr>
          <w:rStyle w:val="Refdenotaalpie"/>
          <w:rFonts w:ascii="Arial" w:hAnsi="Arial" w:cs="Arial"/>
        </w:rPr>
        <w:footnoteReference w:id="251"/>
      </w:r>
      <w:r w:rsidR="002B783E" w:rsidRPr="007F6AD7">
        <w:rPr>
          <w:rFonts w:ascii="Arial" w:hAnsi="Arial" w:cs="Arial"/>
        </w:rPr>
        <w:t xml:space="preserve"> </w:t>
      </w:r>
      <w:r w:rsidR="00B10F33" w:rsidRPr="007F6AD7">
        <w:rPr>
          <w:rFonts w:ascii="Arial" w:hAnsi="Arial" w:cs="Arial"/>
        </w:rPr>
        <w:t>El Comité Contra la Tortura (CAT) ha señalado como motivo de preocupación, al examinar el informe inicial de Cuba en 1997, “ciertos delitos bastante nebulosos, denominados ‘falta de respeto’, ‘resistencia a la autoridad’</w:t>
      </w:r>
      <w:r w:rsidR="00B10F33" w:rsidRPr="007F6AD7">
        <w:rPr>
          <w:rStyle w:val="Refdenotaalpie"/>
          <w:rFonts w:ascii="Arial" w:hAnsi="Arial" w:cs="Arial"/>
        </w:rPr>
        <w:footnoteReference w:id="252"/>
      </w:r>
      <w:r w:rsidR="00B10F33" w:rsidRPr="007F6AD7">
        <w:rPr>
          <w:rFonts w:ascii="Arial" w:hAnsi="Arial" w:cs="Arial"/>
        </w:rPr>
        <w:t xml:space="preserve"> y ‘propaganda enemiga.</w:t>
      </w:r>
      <w:r w:rsidR="00B10F33" w:rsidRPr="007F6AD7">
        <w:rPr>
          <w:rStyle w:val="Refdenotaalpie"/>
          <w:rFonts w:ascii="Arial" w:hAnsi="Arial" w:cs="Arial"/>
        </w:rPr>
        <w:footnoteReference w:id="253"/>
      </w:r>
      <w:r w:rsidR="00B10F33" w:rsidRPr="007F6AD7">
        <w:rPr>
          <w:rFonts w:ascii="Arial" w:hAnsi="Arial" w:cs="Arial"/>
        </w:rPr>
        <w:t xml:space="preserve"> En dicha ocasión, el Comité remarcó “las incertidumbres que rodean a los elementos constitutivos de esas infracciones y la posibilidad que ofrecen, por su propia naturaleza, de hacer un uso indebido o un uso abusivo de ellos”. </w:t>
      </w:r>
      <w:r w:rsidR="004D5CFC" w:rsidRPr="007F6AD7">
        <w:rPr>
          <w:rFonts w:ascii="Arial" w:hAnsi="Arial" w:cs="Arial"/>
        </w:rPr>
        <w:t xml:space="preserve">En la actualidad continúan vigentes los delitos </w:t>
      </w:r>
      <w:r w:rsidR="004D5CFC" w:rsidRPr="007F6AD7">
        <w:rPr>
          <w:rFonts w:ascii="Arial" w:hAnsi="Arial" w:cs="Arial"/>
        </w:rPr>
        <w:lastRenderedPageBreak/>
        <w:t xml:space="preserve">‘resistencia a la autoridad’ y ‘propaganda enemiga” mientras </w:t>
      </w:r>
      <w:r w:rsidR="00B10F33" w:rsidRPr="007F6AD7">
        <w:rPr>
          <w:rFonts w:ascii="Arial" w:hAnsi="Arial" w:cs="Arial"/>
        </w:rPr>
        <w:t xml:space="preserve">el </w:t>
      </w:r>
      <w:r w:rsidR="004D5CFC" w:rsidRPr="007F6AD7">
        <w:rPr>
          <w:rFonts w:ascii="Arial" w:hAnsi="Arial" w:cs="Arial"/>
        </w:rPr>
        <w:t>tipo “</w:t>
      </w:r>
      <w:r w:rsidR="00B10F33" w:rsidRPr="007F6AD7">
        <w:rPr>
          <w:rFonts w:ascii="Arial" w:hAnsi="Arial" w:cs="Arial"/>
        </w:rPr>
        <w:t xml:space="preserve">falta de respeto” </w:t>
      </w:r>
      <w:r w:rsidR="00F848D6" w:rsidRPr="007F6AD7">
        <w:rPr>
          <w:rFonts w:ascii="Arial" w:hAnsi="Arial" w:cs="Arial"/>
        </w:rPr>
        <w:t>está derogado.</w:t>
      </w:r>
      <w:r w:rsidR="004D5CFC" w:rsidRPr="007F6AD7">
        <w:rPr>
          <w:rFonts w:ascii="Arial" w:hAnsi="Arial" w:cs="Arial"/>
        </w:rPr>
        <w:t xml:space="preserve"> </w:t>
      </w:r>
      <w:r w:rsidR="00F848D6" w:rsidRPr="007F6AD7">
        <w:rPr>
          <w:rFonts w:ascii="Arial" w:hAnsi="Arial" w:cs="Arial"/>
        </w:rPr>
        <w:t>No obstante</w:t>
      </w:r>
      <w:r w:rsidR="00BB525F" w:rsidRPr="007F6AD7">
        <w:rPr>
          <w:rFonts w:ascii="Arial" w:hAnsi="Arial" w:cs="Arial"/>
        </w:rPr>
        <w:t xml:space="preserve"> </w:t>
      </w:r>
      <w:r w:rsidR="00B10F33" w:rsidRPr="007F6AD7">
        <w:rPr>
          <w:rFonts w:ascii="Arial" w:hAnsi="Arial" w:cs="Arial"/>
        </w:rPr>
        <w:t xml:space="preserve">el </w:t>
      </w:r>
      <w:r w:rsidR="004D5CFC" w:rsidRPr="007F6AD7">
        <w:rPr>
          <w:rFonts w:ascii="Arial" w:hAnsi="Arial" w:cs="Arial"/>
        </w:rPr>
        <w:t>Código</w:t>
      </w:r>
      <w:r w:rsidR="00B10F33" w:rsidRPr="007F6AD7">
        <w:rPr>
          <w:rFonts w:ascii="Arial" w:hAnsi="Arial" w:cs="Arial"/>
        </w:rPr>
        <w:t xml:space="preserve"> penal </w:t>
      </w:r>
      <w:r w:rsidR="002B783E" w:rsidRPr="007F6AD7">
        <w:rPr>
          <w:rFonts w:ascii="Arial" w:hAnsi="Arial" w:cs="Arial"/>
        </w:rPr>
        <w:t xml:space="preserve">vigente </w:t>
      </w:r>
      <w:r w:rsidR="00F848D6" w:rsidRPr="007F6AD7">
        <w:rPr>
          <w:rFonts w:ascii="Arial" w:hAnsi="Arial" w:cs="Arial"/>
        </w:rPr>
        <w:t>describe el</w:t>
      </w:r>
      <w:r w:rsidR="00B10F33" w:rsidRPr="007F6AD7">
        <w:rPr>
          <w:rFonts w:ascii="Arial" w:hAnsi="Arial" w:cs="Arial"/>
        </w:rPr>
        <w:t xml:space="preserve"> </w:t>
      </w:r>
      <w:r w:rsidR="004D5CFC" w:rsidRPr="007F6AD7">
        <w:rPr>
          <w:rFonts w:ascii="Arial" w:hAnsi="Arial" w:cs="Arial"/>
        </w:rPr>
        <w:t>delito de desacato.</w:t>
      </w:r>
      <w:r w:rsidR="004D5CFC" w:rsidRPr="007F6AD7">
        <w:rPr>
          <w:rStyle w:val="Refdenotaalpie"/>
          <w:rFonts w:ascii="Arial" w:hAnsi="Arial" w:cs="Arial"/>
        </w:rPr>
        <w:footnoteReference w:id="254"/>
      </w:r>
      <w:r w:rsidR="00B10F33" w:rsidRPr="007F6AD7">
        <w:rPr>
          <w:rFonts w:ascii="Arial" w:hAnsi="Arial" w:cs="Arial"/>
        </w:rPr>
        <w:t xml:space="preserve">  </w:t>
      </w:r>
      <w:r w:rsidR="004D5CFC" w:rsidRPr="007F6AD7">
        <w:rPr>
          <w:rFonts w:ascii="Arial" w:hAnsi="Arial" w:cs="Arial"/>
        </w:rPr>
        <w:t xml:space="preserve">En </w:t>
      </w:r>
      <w:r w:rsidR="00BB525F" w:rsidRPr="007F6AD7">
        <w:rPr>
          <w:rFonts w:ascii="Arial" w:hAnsi="Arial" w:cs="Arial"/>
        </w:rPr>
        <w:t xml:space="preserve">los años </w:t>
      </w:r>
      <w:r w:rsidR="004D5CFC" w:rsidRPr="007F6AD7">
        <w:rPr>
          <w:rFonts w:ascii="Arial" w:hAnsi="Arial" w:cs="Arial"/>
        </w:rPr>
        <w:t>2006</w:t>
      </w:r>
      <w:r w:rsidR="00BB525F" w:rsidRPr="007F6AD7">
        <w:rPr>
          <w:rFonts w:ascii="Arial" w:hAnsi="Arial" w:cs="Arial"/>
        </w:rPr>
        <w:t xml:space="preserve"> y 2013</w:t>
      </w:r>
      <w:r w:rsidR="004D5CFC" w:rsidRPr="007F6AD7">
        <w:rPr>
          <w:rFonts w:ascii="Arial" w:hAnsi="Arial" w:cs="Arial"/>
        </w:rPr>
        <w:t xml:space="preserve"> el Comité para Eliminación de la Discriminación contra la Mujer expresó preocupación por la ausencia en la legislación nacional de una definición explícita de discriminación contra la mujer</w:t>
      </w:r>
      <w:r w:rsidR="008B446D" w:rsidRPr="007F6AD7">
        <w:rPr>
          <w:rFonts w:ascii="Arial" w:hAnsi="Arial" w:cs="Arial"/>
        </w:rPr>
        <w:t xml:space="preserve"> y sus dificultades en acceder a la justicia</w:t>
      </w:r>
      <w:r w:rsidR="004D5CFC" w:rsidRPr="007F6AD7">
        <w:rPr>
          <w:rFonts w:ascii="Arial" w:hAnsi="Arial" w:cs="Arial"/>
        </w:rPr>
        <w:t xml:space="preserve">. </w:t>
      </w:r>
      <w:r w:rsidR="004D5CFC" w:rsidRPr="007F6AD7">
        <w:rPr>
          <w:rStyle w:val="Refdenotaalpie"/>
          <w:rFonts w:ascii="Arial" w:hAnsi="Arial" w:cs="Arial"/>
        </w:rPr>
        <w:footnoteReference w:id="255"/>
      </w:r>
      <w:r w:rsidR="004D5CFC" w:rsidRPr="007F6AD7">
        <w:rPr>
          <w:rFonts w:ascii="Arial" w:hAnsi="Arial" w:cs="Arial"/>
          <w:vertAlign w:val="superscript"/>
        </w:rPr>
        <w:t xml:space="preserve">, </w:t>
      </w:r>
      <w:r w:rsidR="00BB525F" w:rsidRPr="007F6AD7">
        <w:rPr>
          <w:rFonts w:ascii="Arial" w:hAnsi="Arial" w:cs="Arial"/>
          <w:vertAlign w:val="superscript"/>
        </w:rPr>
        <w:t xml:space="preserve"> </w:t>
      </w:r>
      <w:r w:rsidR="00BB525F" w:rsidRPr="007F6AD7">
        <w:rPr>
          <w:rStyle w:val="Refdenotaalpie"/>
          <w:rFonts w:ascii="Arial" w:hAnsi="Arial" w:cs="Arial"/>
        </w:rPr>
        <w:footnoteReference w:id="256"/>
      </w:r>
      <w:r w:rsidR="00BB525F" w:rsidRPr="007F6AD7">
        <w:rPr>
          <w:rFonts w:ascii="Arial" w:hAnsi="Arial" w:cs="Arial"/>
          <w:vertAlign w:val="superscript"/>
        </w:rPr>
        <w:t xml:space="preserve"> , </w:t>
      </w:r>
      <w:r w:rsidR="004D5CFC" w:rsidRPr="007F6AD7">
        <w:rPr>
          <w:rStyle w:val="Refdenotaalpie"/>
          <w:rFonts w:ascii="Arial" w:hAnsi="Arial" w:cs="Arial"/>
        </w:rPr>
        <w:footnoteReference w:id="257"/>
      </w:r>
      <w:r w:rsidR="004D5CFC" w:rsidRPr="007F6AD7">
        <w:rPr>
          <w:rFonts w:ascii="Arial" w:hAnsi="Arial" w:cs="Arial"/>
        </w:rPr>
        <w:t xml:space="preserve">  </w:t>
      </w:r>
    </w:p>
    <w:p w14:paraId="64F6F231" w14:textId="7A3B9BEA" w:rsidR="00A81169" w:rsidRPr="000A24B8" w:rsidRDefault="008B485E" w:rsidP="008B485E">
      <w:pPr>
        <w:spacing w:after="0" w:line="360" w:lineRule="auto"/>
        <w:jc w:val="both"/>
        <w:rPr>
          <w:rFonts w:ascii="Arial" w:hAnsi="Arial" w:cs="Arial"/>
          <w:lang w:eastAsia="es-ES"/>
        </w:rPr>
      </w:pPr>
      <w:r>
        <w:rPr>
          <w:rFonts w:ascii="Arial" w:hAnsi="Arial" w:cs="Arial"/>
        </w:rPr>
        <w:t xml:space="preserve">61.   </w:t>
      </w:r>
      <w:r w:rsidR="00165ECC" w:rsidRPr="007F6AD7">
        <w:rPr>
          <w:rFonts w:ascii="Arial" w:hAnsi="Arial" w:cs="Arial"/>
        </w:rPr>
        <w:t>La Fiscalía General de la Republica en el ejercicio de la acción penal pública y en el control de la legalidad en todos los ámbitos de la sociedad</w:t>
      </w:r>
      <w:r w:rsidR="00345DF7" w:rsidRPr="007F6AD7">
        <w:rPr>
          <w:rFonts w:ascii="Arial" w:hAnsi="Arial" w:cs="Arial"/>
        </w:rPr>
        <w:t xml:space="preserve"> es el órgano del Estado al que corresponde, como objetivos fundamentales, el control y la preservación de la legalidad</w:t>
      </w:r>
      <w:r w:rsidR="002F65F1" w:rsidRPr="007F6AD7">
        <w:rPr>
          <w:rFonts w:ascii="Arial" w:hAnsi="Arial" w:cs="Arial"/>
        </w:rPr>
        <w:t>.</w:t>
      </w:r>
      <w:r w:rsidR="00345DF7" w:rsidRPr="007F6AD7">
        <w:rPr>
          <w:rFonts w:ascii="Arial" w:hAnsi="Arial" w:cs="Arial"/>
        </w:rPr>
        <w:t xml:space="preserve"> </w:t>
      </w:r>
      <w:r w:rsidR="00345DF7" w:rsidRPr="007F6AD7">
        <w:rPr>
          <w:rFonts w:ascii="Arial" w:hAnsi="Arial" w:cs="Arial"/>
          <w:vertAlign w:val="superscript"/>
        </w:rPr>
        <w:footnoteReference w:id="258"/>
      </w:r>
      <w:r w:rsidR="002F65F1" w:rsidRPr="007F6AD7">
        <w:rPr>
          <w:rFonts w:ascii="Arial" w:hAnsi="Arial" w:cs="Arial"/>
        </w:rPr>
        <w:t xml:space="preserve"> </w:t>
      </w:r>
      <w:r w:rsidR="002B783E" w:rsidRPr="007F6AD7">
        <w:rPr>
          <w:rFonts w:ascii="Arial" w:hAnsi="Arial" w:cs="Arial"/>
        </w:rPr>
        <w:t>La Constitución dispone que</w:t>
      </w:r>
      <w:r w:rsidR="000C162F" w:rsidRPr="007F6AD7">
        <w:rPr>
          <w:rFonts w:ascii="Arial" w:hAnsi="Arial" w:cs="Arial"/>
        </w:rPr>
        <w:t xml:space="preserve"> </w:t>
      </w:r>
      <w:r w:rsidR="002B783E" w:rsidRPr="007F6AD7">
        <w:rPr>
          <w:rFonts w:ascii="Arial" w:hAnsi="Arial" w:cs="Arial"/>
        </w:rPr>
        <w:t>t</w:t>
      </w:r>
      <w:r w:rsidR="00C65A7F" w:rsidRPr="007F6AD7">
        <w:rPr>
          <w:rFonts w:ascii="Arial" w:hAnsi="Arial" w:cs="Arial"/>
        </w:rPr>
        <w:t xml:space="preserve">odos los órganos del Estado, sus dirigentes, funcionarios y empleados, </w:t>
      </w:r>
      <w:r w:rsidR="00C60D56" w:rsidRPr="007F6AD7">
        <w:rPr>
          <w:rFonts w:ascii="Arial" w:hAnsi="Arial" w:cs="Arial"/>
        </w:rPr>
        <w:t>actú</w:t>
      </w:r>
      <w:r w:rsidR="002B783E" w:rsidRPr="007F6AD7">
        <w:rPr>
          <w:rFonts w:ascii="Arial" w:hAnsi="Arial" w:cs="Arial"/>
        </w:rPr>
        <w:t>a</w:t>
      </w:r>
      <w:r w:rsidR="00C60D56" w:rsidRPr="007F6AD7">
        <w:rPr>
          <w:rFonts w:ascii="Arial" w:hAnsi="Arial" w:cs="Arial"/>
        </w:rPr>
        <w:t>n</w:t>
      </w:r>
      <w:r w:rsidR="00C65A7F" w:rsidRPr="007F6AD7">
        <w:rPr>
          <w:rFonts w:ascii="Arial" w:hAnsi="Arial" w:cs="Arial"/>
        </w:rPr>
        <w:t xml:space="preserve"> dentro de los límites de sus respectivas competencias y</w:t>
      </w:r>
      <w:r w:rsidR="000C162F" w:rsidRPr="007F6AD7">
        <w:rPr>
          <w:rFonts w:ascii="Arial" w:hAnsi="Arial" w:cs="Arial"/>
        </w:rPr>
        <w:t xml:space="preserve"> t</w:t>
      </w:r>
      <w:r w:rsidR="002B783E" w:rsidRPr="007F6AD7">
        <w:rPr>
          <w:rFonts w:ascii="Arial" w:hAnsi="Arial" w:cs="Arial"/>
        </w:rPr>
        <w:t>i</w:t>
      </w:r>
      <w:r w:rsidR="000C162F" w:rsidRPr="007F6AD7">
        <w:rPr>
          <w:rFonts w:ascii="Arial" w:hAnsi="Arial" w:cs="Arial"/>
        </w:rPr>
        <w:t>en</w:t>
      </w:r>
      <w:r w:rsidR="002B783E" w:rsidRPr="007F6AD7">
        <w:rPr>
          <w:rFonts w:ascii="Arial" w:hAnsi="Arial" w:cs="Arial"/>
        </w:rPr>
        <w:t>e</w:t>
      </w:r>
      <w:r w:rsidR="00C60D56" w:rsidRPr="007F6AD7">
        <w:rPr>
          <w:rFonts w:ascii="Arial" w:hAnsi="Arial" w:cs="Arial"/>
        </w:rPr>
        <w:t>n</w:t>
      </w:r>
      <w:r w:rsidR="00C65A7F" w:rsidRPr="007F6AD7">
        <w:rPr>
          <w:rFonts w:ascii="Arial" w:hAnsi="Arial" w:cs="Arial"/>
        </w:rPr>
        <w:t xml:space="preserve"> la obligación de observar estrictamente la legalidad socialista y velar por su respeto en la vida de toda la sociedad</w:t>
      </w:r>
      <w:r w:rsidR="00A81169" w:rsidRPr="007F6AD7">
        <w:rPr>
          <w:rFonts w:ascii="Arial" w:hAnsi="Arial" w:cs="Arial"/>
        </w:rPr>
        <w:t>.</w:t>
      </w:r>
      <w:r w:rsidR="00C65A7F" w:rsidRPr="007F6AD7">
        <w:rPr>
          <w:rStyle w:val="Refdenotaalpie"/>
          <w:rFonts w:ascii="Arial" w:hAnsi="Arial" w:cs="Arial"/>
        </w:rPr>
        <w:footnoteReference w:id="259"/>
      </w:r>
      <w:r w:rsidR="009939A8" w:rsidRPr="007F6AD7">
        <w:rPr>
          <w:rFonts w:ascii="Arial" w:hAnsi="Arial" w:cs="Arial"/>
        </w:rPr>
        <w:t xml:space="preserve"> </w:t>
      </w:r>
      <w:r w:rsidR="00086D8B" w:rsidRPr="007F6AD7">
        <w:rPr>
          <w:rFonts w:ascii="Arial" w:hAnsi="Arial" w:cs="Arial"/>
        </w:rPr>
        <w:t>Con</w:t>
      </w:r>
      <w:r w:rsidR="00AD4919" w:rsidRPr="007F6AD7">
        <w:rPr>
          <w:rFonts w:ascii="Arial" w:hAnsi="Arial" w:cs="Arial"/>
        </w:rPr>
        <w:t xml:space="preserve"> independencia de la </w:t>
      </w:r>
      <w:r w:rsidR="00086D8B" w:rsidRPr="007F6AD7">
        <w:rPr>
          <w:rFonts w:ascii="Arial" w:hAnsi="Arial" w:cs="Arial"/>
        </w:rPr>
        <w:t>participación de</w:t>
      </w:r>
      <w:r w:rsidR="00AD4919" w:rsidRPr="007F6AD7">
        <w:rPr>
          <w:rFonts w:ascii="Arial" w:hAnsi="Arial" w:cs="Arial"/>
        </w:rPr>
        <w:t xml:space="preserve"> otras entidades ya creadas o por </w:t>
      </w:r>
      <w:r w:rsidR="00086D8B" w:rsidRPr="007F6AD7">
        <w:rPr>
          <w:rFonts w:ascii="Arial" w:hAnsi="Arial" w:cs="Arial"/>
        </w:rPr>
        <w:t>crear,</w:t>
      </w:r>
      <w:r w:rsidR="00AD4919" w:rsidRPr="007F6AD7">
        <w:rPr>
          <w:rFonts w:ascii="Arial" w:hAnsi="Arial" w:cs="Arial"/>
        </w:rPr>
        <w:t xml:space="preserve"> </w:t>
      </w:r>
      <w:r w:rsidR="00086D8B" w:rsidRPr="007F6AD7">
        <w:rPr>
          <w:rFonts w:ascii="Arial" w:hAnsi="Arial" w:cs="Arial"/>
        </w:rPr>
        <w:t>es primordial</w:t>
      </w:r>
      <w:r w:rsidR="00AD4919" w:rsidRPr="007F6AD7">
        <w:rPr>
          <w:rFonts w:ascii="Arial" w:hAnsi="Arial" w:cs="Arial"/>
        </w:rPr>
        <w:t xml:space="preserve"> lograr el cumplimiento estricto de la Constitución y de las leyes,</w:t>
      </w:r>
      <w:r w:rsidR="00AD4919" w:rsidRPr="007F6AD7">
        <w:rPr>
          <w:rStyle w:val="Refdenotaalpie"/>
          <w:rFonts w:ascii="Arial" w:hAnsi="Arial" w:cs="Arial"/>
        </w:rPr>
        <w:footnoteReference w:id="260"/>
      </w:r>
      <w:r w:rsidR="00AD4919" w:rsidRPr="007F6AD7">
        <w:rPr>
          <w:rFonts w:ascii="Arial" w:hAnsi="Arial" w:cs="Arial"/>
        </w:rPr>
        <w:t xml:space="preserve"> </w:t>
      </w:r>
      <w:r w:rsidR="00086D8B" w:rsidRPr="007F6AD7">
        <w:rPr>
          <w:rFonts w:ascii="Arial" w:hAnsi="Arial" w:cs="Arial"/>
        </w:rPr>
        <w:t xml:space="preserve">donde </w:t>
      </w:r>
      <w:r w:rsidR="00FA24C5" w:rsidRPr="007F6AD7">
        <w:rPr>
          <w:rFonts w:ascii="Arial" w:hAnsi="Arial" w:cs="Arial"/>
        </w:rPr>
        <w:t>la presencia</w:t>
      </w:r>
      <w:r w:rsidR="00AD4919" w:rsidRPr="007F6AD7">
        <w:rPr>
          <w:rFonts w:ascii="Arial" w:hAnsi="Arial" w:cs="Arial"/>
        </w:rPr>
        <w:t xml:space="preserve"> de la </w:t>
      </w:r>
      <w:r w:rsidR="006F042C" w:rsidRPr="007F6AD7">
        <w:rPr>
          <w:rFonts w:ascii="Arial" w:hAnsi="Arial" w:cs="Arial"/>
        </w:rPr>
        <w:t>Fiscalía</w:t>
      </w:r>
      <w:r w:rsidR="00AD4919" w:rsidRPr="007F6AD7">
        <w:rPr>
          <w:rFonts w:ascii="Arial" w:hAnsi="Arial" w:cs="Arial"/>
        </w:rPr>
        <w:t xml:space="preserve"> es una condición sine qua non frente a cualquier vulneración de </w:t>
      </w:r>
      <w:r w:rsidR="00086D8B" w:rsidRPr="007F6AD7">
        <w:rPr>
          <w:rFonts w:ascii="Arial" w:hAnsi="Arial" w:cs="Arial"/>
        </w:rPr>
        <w:t xml:space="preserve">derechos </w:t>
      </w:r>
      <w:r w:rsidR="00086D8B" w:rsidRPr="007F6AD7">
        <w:rPr>
          <w:rStyle w:val="Refdenotaalpie"/>
          <w:rFonts w:ascii="Arial" w:hAnsi="Arial" w:cs="Arial"/>
        </w:rPr>
        <w:footnoteReference w:id="261"/>
      </w:r>
      <w:r w:rsidR="00AD4919" w:rsidRPr="007F6AD7">
        <w:rPr>
          <w:rFonts w:ascii="Arial" w:hAnsi="Arial" w:cs="Arial"/>
        </w:rPr>
        <w:t xml:space="preserve"> y </w:t>
      </w:r>
      <w:r w:rsidR="00086D8B" w:rsidRPr="007F6AD7">
        <w:rPr>
          <w:rFonts w:ascii="Arial" w:hAnsi="Arial" w:cs="Arial"/>
        </w:rPr>
        <w:t xml:space="preserve">ante </w:t>
      </w:r>
      <w:r w:rsidR="0070159E" w:rsidRPr="007F6AD7">
        <w:rPr>
          <w:rFonts w:ascii="Arial" w:hAnsi="Arial" w:cs="Arial"/>
        </w:rPr>
        <w:t>un manifiesto</w:t>
      </w:r>
      <w:r w:rsidR="00AD4919" w:rsidRPr="007F6AD7">
        <w:rPr>
          <w:rFonts w:ascii="Arial" w:hAnsi="Arial" w:cs="Arial"/>
        </w:rPr>
        <w:t xml:space="preserve"> trato diferenciado a un sector de la ciudadanía donde la niñez sufre de victimización reiterada.</w:t>
      </w:r>
      <w:r w:rsidR="00F97F8A" w:rsidRPr="007F6AD7">
        <w:rPr>
          <w:rFonts w:ascii="Arial" w:hAnsi="Arial" w:cs="Arial"/>
        </w:rPr>
        <w:t xml:space="preserve"> </w:t>
      </w:r>
      <w:r w:rsidR="00F97F8A" w:rsidRPr="007F6AD7">
        <w:rPr>
          <w:rStyle w:val="Refdenotaalpie"/>
          <w:rFonts w:ascii="Arial" w:hAnsi="Arial" w:cs="Arial"/>
        </w:rPr>
        <w:footnoteReference w:id="262"/>
      </w:r>
      <w:r w:rsidR="00F97F8A" w:rsidRPr="007F6AD7">
        <w:rPr>
          <w:rFonts w:ascii="Arial" w:hAnsi="Arial" w:cs="Arial"/>
          <w:vertAlign w:val="superscript"/>
        </w:rPr>
        <w:t xml:space="preserve">, </w:t>
      </w:r>
      <w:r w:rsidR="00AD4919" w:rsidRPr="007F6AD7">
        <w:rPr>
          <w:rFonts w:ascii="Arial" w:hAnsi="Arial" w:cs="Arial"/>
          <w:vertAlign w:val="superscript"/>
        </w:rPr>
        <w:footnoteReference w:id="263"/>
      </w:r>
      <w:r w:rsidR="00AD4919" w:rsidRPr="007F6AD7">
        <w:rPr>
          <w:rFonts w:ascii="Arial" w:hAnsi="Arial" w:cs="Arial"/>
          <w:vertAlign w:val="superscript"/>
        </w:rPr>
        <w:t xml:space="preserve"> </w:t>
      </w:r>
    </w:p>
    <w:p w14:paraId="01ECC93A" w14:textId="5C44FAFD" w:rsidR="001C3457" w:rsidRPr="007F6AD7" w:rsidRDefault="008B485E" w:rsidP="008B485E">
      <w:pPr>
        <w:tabs>
          <w:tab w:val="left" w:pos="567"/>
        </w:tabs>
        <w:spacing w:after="0" w:line="360" w:lineRule="auto"/>
        <w:jc w:val="both"/>
        <w:rPr>
          <w:rFonts w:ascii="Arial" w:hAnsi="Arial" w:cs="Arial"/>
        </w:rPr>
      </w:pPr>
      <w:r>
        <w:rPr>
          <w:rFonts w:ascii="Arial" w:hAnsi="Arial" w:cs="Arial"/>
        </w:rPr>
        <w:lastRenderedPageBreak/>
        <w:t>62.</w:t>
      </w:r>
      <w:r w:rsidRPr="008B485E">
        <w:rPr>
          <w:rFonts w:ascii="Arial" w:hAnsi="Arial" w:cs="Arial"/>
        </w:rPr>
        <w:t xml:space="preserve"> </w:t>
      </w:r>
      <w:r>
        <w:rPr>
          <w:rFonts w:ascii="Arial" w:hAnsi="Arial" w:cs="Arial"/>
        </w:rPr>
        <w:t xml:space="preserve">  C</w:t>
      </w:r>
      <w:r w:rsidRPr="007F6AD7">
        <w:rPr>
          <w:rFonts w:ascii="Arial" w:hAnsi="Arial" w:cs="Arial"/>
        </w:rPr>
        <w:t>ualquier tipo de agresión contra un niño o niña considerado por la legislación interna como personas en situación de vulnerabilidad</w:t>
      </w:r>
      <w:r w:rsidR="00762E79" w:rsidRPr="007F6AD7">
        <w:rPr>
          <w:rFonts w:ascii="Arial" w:hAnsi="Arial" w:cs="Arial"/>
        </w:rPr>
        <w:t xml:space="preserve">, </w:t>
      </w:r>
      <w:r w:rsidR="00086D8B" w:rsidRPr="007F6AD7">
        <w:rPr>
          <w:rFonts w:ascii="Arial" w:hAnsi="Arial" w:cs="Arial"/>
        </w:rPr>
        <w:t>robustece los argumentos implícitos dentro de</w:t>
      </w:r>
      <w:r w:rsidR="005F076A" w:rsidRPr="007F6AD7">
        <w:rPr>
          <w:rFonts w:ascii="Arial" w:hAnsi="Arial" w:cs="Arial"/>
        </w:rPr>
        <w:t xml:space="preserve"> las recomendaciones y observaciones del Comité de los Derechos del Niño, el Comité ICERD y el </w:t>
      </w:r>
      <w:r w:rsidR="00086D8B" w:rsidRPr="007F6AD7">
        <w:rPr>
          <w:rFonts w:ascii="Arial" w:hAnsi="Arial" w:cs="Arial"/>
        </w:rPr>
        <w:t>CEDAW</w:t>
      </w:r>
      <w:r w:rsidR="005F076A" w:rsidRPr="007F6AD7">
        <w:rPr>
          <w:rFonts w:ascii="Arial" w:hAnsi="Arial" w:cs="Arial"/>
        </w:rPr>
        <w:t xml:space="preserve"> </w:t>
      </w:r>
      <w:r w:rsidR="00FA24C5" w:rsidRPr="007F6AD7">
        <w:rPr>
          <w:rFonts w:ascii="Arial" w:hAnsi="Arial" w:cs="Arial"/>
        </w:rPr>
        <w:t xml:space="preserve">al Gobierno cubano </w:t>
      </w:r>
      <w:r w:rsidR="00086D8B" w:rsidRPr="007F6AD7">
        <w:rPr>
          <w:rFonts w:ascii="Arial" w:hAnsi="Arial" w:cs="Arial"/>
        </w:rPr>
        <w:t>:</w:t>
      </w:r>
      <w:r w:rsidR="00CB3063" w:rsidRPr="007F6AD7">
        <w:rPr>
          <w:rFonts w:ascii="Arial" w:hAnsi="Arial" w:cs="Arial"/>
        </w:rPr>
        <w:t xml:space="preserve"> </w:t>
      </w:r>
      <w:r w:rsidR="00086D8B" w:rsidRPr="007F6AD7">
        <w:rPr>
          <w:rFonts w:ascii="Arial" w:hAnsi="Arial" w:cs="Arial"/>
        </w:rPr>
        <w:t>L</w:t>
      </w:r>
      <w:r w:rsidR="00456FF4" w:rsidRPr="007F6AD7">
        <w:rPr>
          <w:rFonts w:ascii="Arial" w:hAnsi="Arial" w:cs="Arial"/>
        </w:rPr>
        <w:t>a carencia nacional de un marco jurídico de amplio alcance en la protección de la infancia</w:t>
      </w:r>
      <w:r w:rsidR="008B446D" w:rsidRPr="007F6AD7">
        <w:rPr>
          <w:rFonts w:ascii="Arial" w:hAnsi="Arial" w:cs="Arial"/>
        </w:rPr>
        <w:t xml:space="preserve"> y las mujeres</w:t>
      </w:r>
      <w:r w:rsidR="00456FF4" w:rsidRPr="007F6AD7">
        <w:rPr>
          <w:rFonts w:ascii="Arial" w:hAnsi="Arial" w:cs="Arial"/>
        </w:rPr>
        <w:t>, que vincule</w:t>
      </w:r>
      <w:r w:rsidR="00C60D56" w:rsidRPr="007F6AD7">
        <w:rPr>
          <w:rFonts w:ascii="Arial" w:hAnsi="Arial" w:cs="Arial"/>
        </w:rPr>
        <w:t>, al</w:t>
      </w:r>
      <w:r w:rsidR="00283D0D" w:rsidRPr="007F6AD7">
        <w:rPr>
          <w:rFonts w:ascii="Arial" w:hAnsi="Arial" w:cs="Arial"/>
        </w:rPr>
        <w:t xml:space="preserve"> menos, </w:t>
      </w:r>
      <w:r w:rsidR="00456FF4" w:rsidRPr="007F6AD7">
        <w:rPr>
          <w:rFonts w:ascii="Arial" w:hAnsi="Arial" w:cs="Arial"/>
        </w:rPr>
        <w:t xml:space="preserve">a los diferentes actores relacionados con la protección de la niñez: poderes del Estado, entidades de la </w:t>
      </w:r>
      <w:r w:rsidR="00C60D56" w:rsidRPr="007F6AD7">
        <w:rPr>
          <w:rFonts w:ascii="Arial" w:hAnsi="Arial" w:cs="Arial"/>
        </w:rPr>
        <w:t xml:space="preserve">infancia, </w:t>
      </w:r>
      <w:r w:rsidR="00456FF4" w:rsidRPr="007F6AD7">
        <w:rPr>
          <w:rFonts w:ascii="Arial" w:hAnsi="Arial" w:cs="Arial"/>
        </w:rPr>
        <w:t>padres</w:t>
      </w:r>
      <w:r w:rsidR="00C60D56" w:rsidRPr="007F6AD7">
        <w:rPr>
          <w:rFonts w:ascii="Arial" w:hAnsi="Arial" w:cs="Arial"/>
        </w:rPr>
        <w:t>, madres</w:t>
      </w:r>
      <w:r w:rsidR="00456FF4" w:rsidRPr="007F6AD7">
        <w:rPr>
          <w:rFonts w:ascii="Arial" w:hAnsi="Arial" w:cs="Arial"/>
        </w:rPr>
        <w:t xml:space="preserve"> y ciudadanía en </w:t>
      </w:r>
      <w:r w:rsidR="00500C82" w:rsidRPr="007F6AD7">
        <w:rPr>
          <w:rFonts w:ascii="Arial" w:hAnsi="Arial" w:cs="Arial"/>
        </w:rPr>
        <w:t>general.</w:t>
      </w:r>
      <w:r w:rsidR="00B20F99" w:rsidRPr="007F6AD7">
        <w:rPr>
          <w:rFonts w:ascii="Arial" w:hAnsi="Arial" w:cs="Arial"/>
        </w:rPr>
        <w:t xml:space="preserve"> Situaciones como las mencionadas en los párrafos supra debilitan l</w:t>
      </w:r>
      <w:r w:rsidR="00602673" w:rsidRPr="007F6AD7">
        <w:rPr>
          <w:rFonts w:ascii="Arial" w:hAnsi="Arial" w:cs="Arial"/>
        </w:rPr>
        <w:t>o</w:t>
      </w:r>
      <w:r w:rsidR="00500C82" w:rsidRPr="007F6AD7">
        <w:rPr>
          <w:rFonts w:ascii="Arial" w:hAnsi="Arial" w:cs="Arial"/>
        </w:rPr>
        <w:t xml:space="preserve">s </w:t>
      </w:r>
      <w:r w:rsidR="005F076A" w:rsidRPr="007F6AD7">
        <w:rPr>
          <w:rFonts w:ascii="Arial" w:hAnsi="Arial" w:cs="Arial"/>
        </w:rPr>
        <w:t>argumentos esgrimidos</w:t>
      </w:r>
      <w:r w:rsidR="00283D0D" w:rsidRPr="007F6AD7">
        <w:rPr>
          <w:rFonts w:ascii="Arial" w:hAnsi="Arial" w:cs="Arial"/>
        </w:rPr>
        <w:t xml:space="preserve"> en informes</w:t>
      </w:r>
      <w:r w:rsidR="00602673" w:rsidRPr="007F6AD7">
        <w:rPr>
          <w:rFonts w:ascii="Arial" w:hAnsi="Arial" w:cs="Arial"/>
        </w:rPr>
        <w:t xml:space="preserve"> </w:t>
      </w:r>
      <w:r w:rsidR="005F076A" w:rsidRPr="007F6AD7">
        <w:rPr>
          <w:rFonts w:ascii="Arial" w:hAnsi="Arial" w:cs="Arial"/>
        </w:rPr>
        <w:t>anteriores del</w:t>
      </w:r>
      <w:r w:rsidR="00283D0D" w:rsidRPr="007F6AD7">
        <w:rPr>
          <w:rFonts w:ascii="Arial" w:hAnsi="Arial" w:cs="Arial"/>
        </w:rPr>
        <w:t xml:space="preserve"> Estado parte</w:t>
      </w:r>
      <w:r w:rsidR="00C60D56" w:rsidRPr="007F6AD7">
        <w:rPr>
          <w:rFonts w:ascii="Arial" w:hAnsi="Arial" w:cs="Arial"/>
        </w:rPr>
        <w:t xml:space="preserve"> sobre el</w:t>
      </w:r>
      <w:r w:rsidR="00E12D39" w:rsidRPr="007F6AD7">
        <w:rPr>
          <w:rFonts w:ascii="Arial" w:hAnsi="Arial" w:cs="Arial"/>
        </w:rPr>
        <w:t xml:space="preserve"> innecesario defensor del pueblo, mecanismo </w:t>
      </w:r>
      <w:r w:rsidR="00847338" w:rsidRPr="007F6AD7">
        <w:rPr>
          <w:rFonts w:ascii="Arial" w:hAnsi="Arial" w:cs="Arial"/>
        </w:rPr>
        <w:t>independiente</w:t>
      </w:r>
      <w:r w:rsidR="00C60D56" w:rsidRPr="007F6AD7">
        <w:rPr>
          <w:rFonts w:ascii="Arial" w:hAnsi="Arial" w:cs="Arial"/>
        </w:rPr>
        <w:t>,</w:t>
      </w:r>
      <w:r w:rsidR="00847338" w:rsidRPr="007F6AD7">
        <w:rPr>
          <w:rFonts w:ascii="Arial" w:hAnsi="Arial" w:cs="Arial"/>
        </w:rPr>
        <w:t xml:space="preserve"> o</w:t>
      </w:r>
      <w:r w:rsidR="00E12D39" w:rsidRPr="007F6AD7">
        <w:rPr>
          <w:rFonts w:ascii="Arial" w:hAnsi="Arial" w:cs="Arial"/>
        </w:rPr>
        <w:t xml:space="preserve"> al menos</w:t>
      </w:r>
      <w:r w:rsidR="00C60D56" w:rsidRPr="007F6AD7">
        <w:rPr>
          <w:rFonts w:ascii="Arial" w:hAnsi="Arial" w:cs="Arial"/>
        </w:rPr>
        <w:t>,</w:t>
      </w:r>
      <w:r w:rsidR="00E12D39" w:rsidRPr="007F6AD7">
        <w:rPr>
          <w:rFonts w:ascii="Arial" w:hAnsi="Arial" w:cs="Arial"/>
        </w:rPr>
        <w:t xml:space="preserve"> la protección independiente de la infancia cubana</w:t>
      </w:r>
      <w:r w:rsidR="00C86F1B" w:rsidRPr="007F6AD7">
        <w:rPr>
          <w:rFonts w:ascii="Arial" w:hAnsi="Arial" w:cs="Arial"/>
        </w:rPr>
        <w:t xml:space="preserve"> </w:t>
      </w:r>
      <w:r w:rsidR="00283D0D" w:rsidRPr="007F6AD7">
        <w:rPr>
          <w:rStyle w:val="Refdenotaalpie"/>
          <w:rFonts w:ascii="Arial" w:hAnsi="Arial" w:cs="Arial"/>
        </w:rPr>
        <w:footnoteReference w:id="264"/>
      </w:r>
      <w:r w:rsidR="00E12D39" w:rsidRPr="007F6AD7">
        <w:rPr>
          <w:rFonts w:ascii="Arial" w:hAnsi="Arial" w:cs="Arial"/>
        </w:rPr>
        <w:t xml:space="preserve"> </w:t>
      </w:r>
      <w:r w:rsidR="00B20F99" w:rsidRPr="007F6AD7">
        <w:rPr>
          <w:rFonts w:ascii="Arial" w:hAnsi="Arial" w:cs="Arial"/>
        </w:rPr>
        <w:t xml:space="preserve"> </w:t>
      </w:r>
    </w:p>
    <w:p w14:paraId="25A71C3D" w14:textId="70FF4F24" w:rsidR="00213392" w:rsidRPr="007F6AD7" w:rsidRDefault="008B485E" w:rsidP="008B485E">
      <w:pPr>
        <w:spacing w:after="0" w:line="360" w:lineRule="auto"/>
        <w:jc w:val="both"/>
        <w:rPr>
          <w:rFonts w:ascii="Arial" w:hAnsi="Arial" w:cs="Arial"/>
        </w:rPr>
      </w:pPr>
      <w:r>
        <w:rPr>
          <w:rFonts w:ascii="Arial" w:hAnsi="Arial" w:cs="Arial"/>
        </w:rPr>
        <w:t xml:space="preserve">63.   </w:t>
      </w:r>
      <w:r w:rsidR="00F54641" w:rsidRPr="007F6AD7">
        <w:rPr>
          <w:rFonts w:ascii="Arial" w:hAnsi="Arial" w:cs="Arial"/>
        </w:rPr>
        <w:t>Los Estados son responsables en última instancia de crear un ambiente en el cual todos los seres humanos puedan ejercer sus derechos en igualdad.</w:t>
      </w:r>
      <w:r w:rsidR="00AD4A41" w:rsidRPr="007F6AD7">
        <w:rPr>
          <w:rStyle w:val="Refdenotaalpie"/>
          <w:rFonts w:ascii="Arial" w:hAnsi="Arial" w:cs="Arial"/>
        </w:rPr>
        <w:t xml:space="preserve"> </w:t>
      </w:r>
      <w:r w:rsidR="00AD4A41" w:rsidRPr="007F6AD7">
        <w:rPr>
          <w:rStyle w:val="Refdenotaalpie"/>
          <w:rFonts w:ascii="Arial" w:hAnsi="Arial" w:cs="Arial"/>
        </w:rPr>
        <w:footnoteReference w:id="265"/>
      </w:r>
      <w:r w:rsidR="00F54641" w:rsidRPr="007F6AD7">
        <w:rPr>
          <w:rFonts w:ascii="Arial" w:hAnsi="Arial" w:cs="Arial"/>
        </w:rPr>
        <w:t xml:space="preserve"> </w:t>
      </w:r>
      <w:r w:rsidR="00E972A9" w:rsidRPr="007F6AD7">
        <w:rPr>
          <w:rFonts w:ascii="Arial" w:hAnsi="Arial" w:cs="Arial"/>
        </w:rPr>
        <w:t>El</w:t>
      </w:r>
      <w:r w:rsidR="00401BF7" w:rsidRPr="007F6AD7">
        <w:rPr>
          <w:rFonts w:ascii="Arial" w:hAnsi="Arial" w:cs="Arial"/>
        </w:rPr>
        <w:t xml:space="preserve"> agente debe contener su conducta en el límite de la acción razonable, sin embargo no se puede prescindir de pena cuando hay exceso.  </w:t>
      </w:r>
      <w:r w:rsidR="001C3457" w:rsidRPr="007F6AD7">
        <w:rPr>
          <w:rFonts w:ascii="Arial" w:hAnsi="Arial" w:cs="Arial"/>
        </w:rPr>
        <w:t xml:space="preserve">El exceso en las excluyentes de ilicitud: </w:t>
      </w:r>
      <w:r w:rsidR="00CF1B91" w:rsidRPr="007F6AD7">
        <w:rPr>
          <w:rFonts w:ascii="Arial" w:hAnsi="Arial" w:cs="Arial"/>
        </w:rPr>
        <w:t>legítimo</w:t>
      </w:r>
      <w:r w:rsidR="001C3457" w:rsidRPr="007F6AD7">
        <w:rPr>
          <w:rFonts w:ascii="Arial" w:hAnsi="Arial" w:cs="Arial"/>
        </w:rPr>
        <w:t xml:space="preserve"> defensa, estado de necesidad, cumplimiento de un deber, ejercicio de un derecho y obediencia jerárquica debida</w:t>
      </w:r>
      <w:r w:rsidR="00CF1B91" w:rsidRPr="007F6AD7">
        <w:rPr>
          <w:rFonts w:ascii="Arial" w:hAnsi="Arial" w:cs="Arial"/>
        </w:rPr>
        <w:t>,</w:t>
      </w:r>
      <w:r w:rsidR="001C3457" w:rsidRPr="007F6AD7">
        <w:rPr>
          <w:rFonts w:ascii="Arial" w:hAnsi="Arial" w:cs="Arial"/>
        </w:rPr>
        <w:t xml:space="preserve"> se sanciona con la pena que corresponda al delincuente culposo.</w:t>
      </w:r>
      <w:r w:rsidR="001C3457" w:rsidRPr="007F6AD7">
        <w:rPr>
          <w:rStyle w:val="Refdenotaalpie"/>
          <w:rFonts w:ascii="Arial" w:hAnsi="Arial" w:cs="Arial"/>
        </w:rPr>
        <w:footnoteReference w:id="266"/>
      </w:r>
      <w:r w:rsidR="004D1DD7" w:rsidRPr="007F6AD7">
        <w:rPr>
          <w:rFonts w:ascii="Arial" w:hAnsi="Arial" w:cs="Arial"/>
          <w:vertAlign w:val="superscript"/>
        </w:rPr>
        <w:t>,</w:t>
      </w:r>
      <w:r w:rsidR="004D1DD7" w:rsidRPr="007F6AD7">
        <w:rPr>
          <w:rFonts w:ascii="Arial" w:hAnsi="Arial" w:cs="Arial"/>
        </w:rPr>
        <w:t xml:space="preserve"> </w:t>
      </w:r>
      <w:r w:rsidR="004D1DD7" w:rsidRPr="007F6AD7">
        <w:rPr>
          <w:rStyle w:val="Refdenotaalpie"/>
          <w:rFonts w:ascii="Arial" w:hAnsi="Arial" w:cs="Arial"/>
        </w:rPr>
        <w:footnoteReference w:id="267"/>
      </w:r>
      <w:r w:rsidR="001C3457" w:rsidRPr="007F6AD7">
        <w:rPr>
          <w:rFonts w:ascii="Arial" w:hAnsi="Arial" w:cs="Arial"/>
        </w:rPr>
        <w:t xml:space="preserve"> </w:t>
      </w:r>
      <w:r w:rsidR="00401BF7" w:rsidRPr="007F6AD7">
        <w:rPr>
          <w:rFonts w:ascii="Arial" w:hAnsi="Arial" w:cs="Arial"/>
        </w:rPr>
        <w:t xml:space="preserve"> </w:t>
      </w:r>
      <w:r w:rsidR="00E30B7F" w:rsidRPr="007F6AD7">
        <w:rPr>
          <w:rFonts w:ascii="Arial" w:hAnsi="Arial" w:cs="Arial"/>
        </w:rPr>
        <w:t xml:space="preserve">Ante </w:t>
      </w:r>
      <w:r w:rsidR="009C2C5B" w:rsidRPr="007F6AD7">
        <w:rPr>
          <w:rFonts w:ascii="Arial" w:hAnsi="Arial" w:cs="Arial"/>
        </w:rPr>
        <w:t>los</w:t>
      </w:r>
      <w:r w:rsidR="00E30B7F" w:rsidRPr="007F6AD7">
        <w:rPr>
          <w:rFonts w:ascii="Arial" w:hAnsi="Arial" w:cs="Arial"/>
        </w:rPr>
        <w:t xml:space="preserve"> </w:t>
      </w:r>
      <w:r w:rsidR="0063410F" w:rsidRPr="007F6AD7">
        <w:rPr>
          <w:rFonts w:ascii="Arial" w:hAnsi="Arial" w:cs="Arial"/>
        </w:rPr>
        <w:t>elementos aportados</w:t>
      </w:r>
      <w:r w:rsidR="00FA24C5" w:rsidRPr="007F6AD7">
        <w:rPr>
          <w:rFonts w:ascii="Arial" w:hAnsi="Arial" w:cs="Arial"/>
        </w:rPr>
        <w:t>,</w:t>
      </w:r>
      <w:r w:rsidR="009C2C5B" w:rsidRPr="007F6AD7">
        <w:rPr>
          <w:rFonts w:ascii="Arial" w:hAnsi="Arial" w:cs="Arial"/>
        </w:rPr>
        <w:t xml:space="preserve"> </w:t>
      </w:r>
      <w:r w:rsidR="00A67804" w:rsidRPr="007F6AD7">
        <w:rPr>
          <w:rFonts w:ascii="Arial" w:hAnsi="Arial" w:cs="Arial"/>
          <w:b/>
        </w:rPr>
        <w:t>ACDEI</w:t>
      </w:r>
      <w:r w:rsidR="00E30B7F" w:rsidRPr="007F6AD7">
        <w:rPr>
          <w:rFonts w:ascii="Arial" w:hAnsi="Arial" w:cs="Arial"/>
          <w:b/>
        </w:rPr>
        <w:t xml:space="preserve"> </w:t>
      </w:r>
      <w:r w:rsidR="00FA24C5" w:rsidRPr="007F6AD7">
        <w:rPr>
          <w:rFonts w:ascii="Arial" w:hAnsi="Arial" w:cs="Arial"/>
          <w:b/>
        </w:rPr>
        <w:t>ruega</w:t>
      </w:r>
      <w:r w:rsidR="00E30B7F" w:rsidRPr="007F6AD7">
        <w:rPr>
          <w:rFonts w:ascii="Arial" w:hAnsi="Arial" w:cs="Arial"/>
          <w:b/>
        </w:rPr>
        <w:t xml:space="preserve"> al </w:t>
      </w:r>
      <w:r w:rsidR="00A67804" w:rsidRPr="007F6AD7">
        <w:rPr>
          <w:rFonts w:ascii="Arial" w:hAnsi="Arial" w:cs="Arial"/>
          <w:b/>
        </w:rPr>
        <w:t xml:space="preserve">Comité </w:t>
      </w:r>
      <w:r w:rsidR="00E30B7F" w:rsidRPr="007F6AD7">
        <w:rPr>
          <w:rFonts w:ascii="Arial" w:hAnsi="Arial" w:cs="Arial"/>
          <w:b/>
        </w:rPr>
        <w:t xml:space="preserve">CERD </w:t>
      </w:r>
      <w:r w:rsidR="00A67804" w:rsidRPr="007F6AD7">
        <w:rPr>
          <w:rFonts w:ascii="Arial" w:hAnsi="Arial" w:cs="Arial"/>
          <w:b/>
        </w:rPr>
        <w:t>instar al</w:t>
      </w:r>
      <w:r w:rsidR="00E30B7F" w:rsidRPr="007F6AD7">
        <w:rPr>
          <w:rFonts w:ascii="Arial" w:hAnsi="Arial" w:cs="Arial"/>
          <w:b/>
        </w:rPr>
        <w:t xml:space="preserve"> Estado cubano</w:t>
      </w:r>
      <w:r w:rsidR="00152140" w:rsidRPr="007F6AD7">
        <w:rPr>
          <w:rFonts w:ascii="Arial" w:hAnsi="Arial" w:cs="Arial"/>
          <w:b/>
        </w:rPr>
        <w:t>:</w:t>
      </w:r>
    </w:p>
    <w:p w14:paraId="29ADEDAE" w14:textId="1208D538" w:rsidR="00456FF4" w:rsidRPr="007F6AD7" w:rsidRDefault="00213392" w:rsidP="00466B68">
      <w:pPr>
        <w:pStyle w:val="Prrafodelista"/>
        <w:numPr>
          <w:ilvl w:val="0"/>
          <w:numId w:val="9"/>
        </w:numPr>
        <w:ind w:left="284"/>
        <w:jc w:val="both"/>
        <w:rPr>
          <w:rFonts w:cs="Arial"/>
        </w:rPr>
      </w:pPr>
      <w:r w:rsidRPr="007F6AD7">
        <w:rPr>
          <w:rFonts w:cs="Arial"/>
          <w:b/>
        </w:rPr>
        <w:t>I</w:t>
      </w:r>
      <w:r w:rsidR="00A67804" w:rsidRPr="007F6AD7">
        <w:rPr>
          <w:rFonts w:cs="Arial"/>
          <w:b/>
        </w:rPr>
        <w:t>mplementa</w:t>
      </w:r>
      <w:r w:rsidR="00E30B7F" w:rsidRPr="007F6AD7">
        <w:rPr>
          <w:rFonts w:cs="Arial"/>
          <w:b/>
        </w:rPr>
        <w:t xml:space="preserve">r </w:t>
      </w:r>
      <w:r w:rsidR="00A67804" w:rsidRPr="007F6AD7">
        <w:rPr>
          <w:rFonts w:cs="Arial"/>
          <w:b/>
        </w:rPr>
        <w:t>cambios sustanciales d</w:t>
      </w:r>
      <w:r w:rsidR="00E30B7F" w:rsidRPr="007F6AD7">
        <w:rPr>
          <w:rFonts w:cs="Arial"/>
          <w:b/>
        </w:rPr>
        <w:t>e</w:t>
      </w:r>
      <w:r w:rsidR="00A67804" w:rsidRPr="007F6AD7">
        <w:rPr>
          <w:rFonts w:cs="Arial"/>
          <w:b/>
        </w:rPr>
        <w:t xml:space="preserve">ntro del </w:t>
      </w:r>
      <w:r w:rsidR="00E30B7F" w:rsidRPr="007F6AD7">
        <w:rPr>
          <w:rFonts w:cs="Arial"/>
          <w:b/>
        </w:rPr>
        <w:t xml:space="preserve">marco jurídico </w:t>
      </w:r>
      <w:r w:rsidR="00FA24C5" w:rsidRPr="007F6AD7">
        <w:rPr>
          <w:rFonts w:cs="Arial"/>
          <w:b/>
        </w:rPr>
        <w:t>nacional cuando</w:t>
      </w:r>
      <w:r w:rsidR="0063410F" w:rsidRPr="007F6AD7">
        <w:rPr>
          <w:rFonts w:cs="Arial"/>
          <w:b/>
        </w:rPr>
        <w:t xml:space="preserve"> la</w:t>
      </w:r>
      <w:r w:rsidR="00E30B7F" w:rsidRPr="007F6AD7">
        <w:rPr>
          <w:rFonts w:cs="Arial"/>
          <w:b/>
        </w:rPr>
        <w:t xml:space="preserve"> discriminación racial y otras formas de </w:t>
      </w:r>
      <w:r w:rsidR="00522DB4" w:rsidRPr="007F6AD7">
        <w:rPr>
          <w:rFonts w:cs="Arial"/>
          <w:b/>
        </w:rPr>
        <w:t xml:space="preserve">conexas de </w:t>
      </w:r>
      <w:r w:rsidR="00DF183A" w:rsidRPr="007F6AD7">
        <w:rPr>
          <w:rFonts w:cs="Arial"/>
          <w:b/>
        </w:rPr>
        <w:t xml:space="preserve">intolerancia </w:t>
      </w:r>
      <w:r w:rsidR="00146859" w:rsidRPr="007F6AD7">
        <w:rPr>
          <w:rFonts w:cs="Arial"/>
          <w:b/>
        </w:rPr>
        <w:t>sea</w:t>
      </w:r>
      <w:r w:rsidR="0063410F" w:rsidRPr="007F6AD7">
        <w:rPr>
          <w:rFonts w:cs="Arial"/>
          <w:b/>
        </w:rPr>
        <w:t xml:space="preserve"> alentada y/o practicada </w:t>
      </w:r>
      <w:r w:rsidR="00A67804" w:rsidRPr="007F6AD7">
        <w:rPr>
          <w:rFonts w:cs="Arial"/>
          <w:b/>
        </w:rPr>
        <w:t xml:space="preserve">por </w:t>
      </w:r>
      <w:r w:rsidR="00B20F99" w:rsidRPr="007F6AD7">
        <w:rPr>
          <w:rFonts w:cs="Arial"/>
          <w:b/>
        </w:rPr>
        <w:t xml:space="preserve">funcionarios encargados de hacer cumplir la ley y </w:t>
      </w:r>
      <w:r w:rsidR="00294168" w:rsidRPr="007F6AD7">
        <w:rPr>
          <w:rFonts w:cs="Arial"/>
          <w:b/>
        </w:rPr>
        <w:t>miembros del</w:t>
      </w:r>
      <w:r w:rsidR="00A67804" w:rsidRPr="007F6AD7">
        <w:rPr>
          <w:rFonts w:cs="Arial"/>
          <w:b/>
        </w:rPr>
        <w:t xml:space="preserve"> ejército.</w:t>
      </w:r>
    </w:p>
    <w:p w14:paraId="3A22CEB2" w14:textId="7842B05C" w:rsidR="00213392" w:rsidRPr="007F6AD7" w:rsidRDefault="00213392" w:rsidP="00466B68">
      <w:pPr>
        <w:pStyle w:val="Prrafodelista"/>
        <w:numPr>
          <w:ilvl w:val="0"/>
          <w:numId w:val="9"/>
        </w:numPr>
        <w:ind w:left="284"/>
        <w:jc w:val="both"/>
        <w:rPr>
          <w:rFonts w:cs="Arial"/>
          <w:b/>
        </w:rPr>
      </w:pPr>
      <w:r w:rsidRPr="007F6AD7">
        <w:rPr>
          <w:rFonts w:cs="Arial"/>
          <w:b/>
        </w:rPr>
        <w:t>Tipificar el delito de tortura en la legislación penal cubana conforme a lo establecido en la Convención Contra la Tortura y en los estándares internacionales de derechos humanos.</w:t>
      </w:r>
    </w:p>
    <w:p w14:paraId="2ABACBEF" w14:textId="2D839EED" w:rsidR="00213392" w:rsidRPr="007F6AD7" w:rsidRDefault="00213392" w:rsidP="00466B68">
      <w:pPr>
        <w:pStyle w:val="Prrafodelista"/>
        <w:numPr>
          <w:ilvl w:val="0"/>
          <w:numId w:val="9"/>
        </w:numPr>
        <w:ind w:left="284" w:hanging="284"/>
        <w:jc w:val="both"/>
        <w:rPr>
          <w:rFonts w:cs="Arial"/>
          <w:b/>
        </w:rPr>
      </w:pPr>
      <w:r w:rsidRPr="007F6AD7">
        <w:rPr>
          <w:rFonts w:cs="Arial"/>
          <w:b/>
        </w:rPr>
        <w:lastRenderedPageBreak/>
        <w:t xml:space="preserve">Incluir en la legislación disposiciones específicas para garantizar la reparación a las </w:t>
      </w:r>
      <w:r w:rsidR="00152140" w:rsidRPr="007F6AD7">
        <w:rPr>
          <w:rFonts w:cs="Arial"/>
          <w:b/>
        </w:rPr>
        <w:t>víctimas de</w:t>
      </w:r>
      <w:r w:rsidRPr="007F6AD7">
        <w:rPr>
          <w:rFonts w:cs="Arial"/>
          <w:b/>
        </w:rPr>
        <w:t xml:space="preserve"> tortura y</w:t>
      </w:r>
      <w:r w:rsidR="000974A9" w:rsidRPr="007F6AD7">
        <w:rPr>
          <w:rFonts w:cs="Arial"/>
          <w:b/>
        </w:rPr>
        <w:t xml:space="preserve"> discriminación, de conjunto con el</w:t>
      </w:r>
      <w:r w:rsidRPr="007F6AD7">
        <w:rPr>
          <w:rFonts w:cs="Arial"/>
          <w:b/>
        </w:rPr>
        <w:t xml:space="preserve"> derecho a una indemnización justa y adecuada.</w:t>
      </w:r>
    </w:p>
    <w:p w14:paraId="7B6C61CE" w14:textId="718BA487" w:rsidR="00AD4145" w:rsidRPr="007F6AD7" w:rsidRDefault="004D4BB6" w:rsidP="00DA7CB5">
      <w:pPr>
        <w:pStyle w:val="Ttulo2"/>
      </w:pPr>
      <w:bookmarkStart w:id="106" w:name="_Toc515359808"/>
      <w:r w:rsidRPr="007F6AD7">
        <w:t xml:space="preserve">Diferencia de trato </w:t>
      </w:r>
      <w:r w:rsidR="00A82667" w:rsidRPr="007F6AD7">
        <w:t>a las p</w:t>
      </w:r>
      <w:r w:rsidRPr="007F6AD7">
        <w:t>ersonas menores de 18 años</w:t>
      </w:r>
      <w:bookmarkEnd w:id="106"/>
      <w:r w:rsidRPr="007F6AD7">
        <w:t xml:space="preserve"> </w:t>
      </w:r>
    </w:p>
    <w:p w14:paraId="57C531D6" w14:textId="50138AB2" w:rsidR="00401BF7" w:rsidRPr="007F6AD7" w:rsidRDefault="008B485E" w:rsidP="008B485E">
      <w:pPr>
        <w:tabs>
          <w:tab w:val="left" w:pos="567"/>
          <w:tab w:val="left" w:pos="720"/>
        </w:tabs>
        <w:spacing w:line="360" w:lineRule="auto"/>
        <w:jc w:val="both"/>
        <w:rPr>
          <w:rFonts w:ascii="Arial" w:hAnsi="Arial" w:cs="Arial"/>
        </w:rPr>
      </w:pPr>
      <w:r>
        <w:rPr>
          <w:rFonts w:ascii="Arial" w:hAnsi="Arial" w:cs="Arial"/>
        </w:rPr>
        <w:t>64</w:t>
      </w:r>
      <w:r w:rsidR="00AD4145" w:rsidRPr="007F6AD7">
        <w:rPr>
          <w:rFonts w:ascii="Arial" w:hAnsi="Arial" w:cs="Arial"/>
        </w:rPr>
        <w:t xml:space="preserve">. </w:t>
      </w:r>
      <w:r>
        <w:rPr>
          <w:rFonts w:ascii="Arial" w:hAnsi="Arial" w:cs="Arial"/>
        </w:rPr>
        <w:t xml:space="preserve">  </w:t>
      </w:r>
      <w:r w:rsidR="00AD4145" w:rsidRPr="007F6AD7">
        <w:rPr>
          <w:rFonts w:ascii="Arial" w:hAnsi="Arial" w:cs="Arial"/>
        </w:rPr>
        <w:t>A casi 27 años de ratificada la Convención de los Derechos del Niño (CDN), Cuba continua sin un marco institucional que integralmente reconozca a los niños, niñas y adolescentes</w:t>
      </w:r>
      <w:r w:rsidR="006769BE">
        <w:rPr>
          <w:rFonts w:ascii="Arial" w:hAnsi="Arial" w:cs="Arial"/>
        </w:rPr>
        <w:t xml:space="preserve"> </w:t>
      </w:r>
      <w:r w:rsidR="00AD4145" w:rsidRPr="007F6AD7">
        <w:rPr>
          <w:rFonts w:ascii="Arial" w:hAnsi="Arial" w:cs="Arial"/>
        </w:rPr>
        <w:t>(NNA) como sujetos de derechos.</w:t>
      </w:r>
      <w:r w:rsidR="00AD4145" w:rsidRPr="007F6AD7">
        <w:rPr>
          <w:rFonts w:ascii="Arial" w:hAnsi="Arial" w:cs="Arial"/>
          <w:vertAlign w:val="superscript"/>
        </w:rPr>
        <w:footnoteReference w:id="268"/>
      </w:r>
      <w:r w:rsidR="00AD4145" w:rsidRPr="007F6AD7">
        <w:rPr>
          <w:rFonts w:ascii="Arial" w:hAnsi="Arial" w:cs="Arial"/>
          <w:vertAlign w:val="superscript"/>
        </w:rPr>
        <w:t xml:space="preserve">, </w:t>
      </w:r>
      <w:r w:rsidR="00F00D32" w:rsidRPr="007F6AD7">
        <w:rPr>
          <w:rFonts w:ascii="Arial" w:hAnsi="Arial" w:cs="Arial"/>
          <w:vertAlign w:val="superscript"/>
        </w:rPr>
        <w:t xml:space="preserve"> </w:t>
      </w:r>
      <w:r w:rsidR="00AD4145" w:rsidRPr="007F6AD7">
        <w:rPr>
          <w:rFonts w:ascii="Arial" w:hAnsi="Arial" w:cs="Arial"/>
          <w:vertAlign w:val="superscript"/>
        </w:rPr>
        <w:footnoteReference w:id="269"/>
      </w:r>
      <w:r w:rsidR="00AD4145" w:rsidRPr="007F6AD7">
        <w:rPr>
          <w:rFonts w:ascii="Arial" w:hAnsi="Arial" w:cs="Arial"/>
          <w:vertAlign w:val="superscript"/>
        </w:rPr>
        <w:t xml:space="preserve"> , </w:t>
      </w:r>
      <w:r w:rsidR="00AD4145" w:rsidRPr="007F6AD7">
        <w:rPr>
          <w:rFonts w:ascii="Arial" w:hAnsi="Arial" w:cs="Arial"/>
          <w:vertAlign w:val="superscript"/>
        </w:rPr>
        <w:footnoteReference w:id="270"/>
      </w:r>
      <w:r w:rsidR="00AD4145" w:rsidRPr="007F6AD7">
        <w:rPr>
          <w:rFonts w:ascii="Arial" w:hAnsi="Arial" w:cs="Arial"/>
          <w:vertAlign w:val="superscript"/>
        </w:rPr>
        <w:t xml:space="preserve"> </w:t>
      </w:r>
      <w:r w:rsidR="00AD4145" w:rsidRPr="007F6AD7">
        <w:rPr>
          <w:rFonts w:ascii="Arial" w:hAnsi="Arial" w:cs="Arial"/>
        </w:rPr>
        <w:t>Existe un reconocimiento constitucional,</w:t>
      </w:r>
      <w:r w:rsidR="00AD4145" w:rsidRPr="007F6AD7">
        <w:rPr>
          <w:rFonts w:ascii="Arial" w:hAnsi="Arial" w:cs="Arial"/>
          <w:vertAlign w:val="superscript"/>
        </w:rPr>
        <w:footnoteReference w:id="271"/>
      </w:r>
      <w:r w:rsidR="00AD4145" w:rsidRPr="007F6AD7">
        <w:rPr>
          <w:rFonts w:ascii="Arial" w:hAnsi="Arial" w:cs="Arial"/>
        </w:rPr>
        <w:t xml:space="preserve"> que carece de ley de protección integral de la niñez, códigos actualizados de la infancia, </w:t>
      </w:r>
      <w:bookmarkStart w:id="107" w:name="OLE_LINK68"/>
      <w:bookmarkStart w:id="108" w:name="OLE_LINK69"/>
      <w:r w:rsidR="00AD4145" w:rsidRPr="007F6AD7">
        <w:rPr>
          <w:rFonts w:ascii="Arial" w:hAnsi="Arial" w:cs="Arial"/>
        </w:rPr>
        <w:t>código de familia</w:t>
      </w:r>
      <w:r w:rsidR="00AB09D3" w:rsidRPr="007F6AD7">
        <w:rPr>
          <w:rFonts w:ascii="Arial" w:hAnsi="Arial" w:cs="Arial"/>
        </w:rPr>
        <w:t xml:space="preserve"> con eficaz</w:t>
      </w:r>
      <w:r w:rsidR="008D2C1D" w:rsidRPr="007F6AD7">
        <w:rPr>
          <w:rFonts w:ascii="Arial" w:hAnsi="Arial" w:cs="Arial"/>
        </w:rPr>
        <w:t xml:space="preserve"> regulación jurídica de la</w:t>
      </w:r>
      <w:r w:rsidR="00AB09D3" w:rsidRPr="007F6AD7">
        <w:rPr>
          <w:rFonts w:ascii="Arial" w:hAnsi="Arial" w:cs="Arial"/>
        </w:rPr>
        <w:t xml:space="preserve"> f</w:t>
      </w:r>
      <w:r w:rsidR="008D2C1D" w:rsidRPr="007F6AD7">
        <w:rPr>
          <w:rFonts w:ascii="Arial" w:hAnsi="Arial" w:cs="Arial"/>
        </w:rPr>
        <w:t>iliación</w:t>
      </w:r>
      <w:bookmarkEnd w:id="107"/>
      <w:bookmarkEnd w:id="108"/>
      <w:r w:rsidR="008D2C1D" w:rsidRPr="007F6AD7">
        <w:rPr>
          <w:rFonts w:ascii="Arial" w:hAnsi="Arial" w:cs="Arial"/>
        </w:rPr>
        <w:t>,</w:t>
      </w:r>
      <w:r w:rsidR="00AB09D3" w:rsidRPr="007F6AD7">
        <w:rPr>
          <w:rStyle w:val="Refdenotaalpie"/>
          <w:rFonts w:ascii="Arial" w:hAnsi="Arial" w:cs="Arial"/>
        </w:rPr>
        <w:footnoteReference w:id="272"/>
      </w:r>
      <w:r w:rsidR="008D2C1D" w:rsidRPr="007F6AD7">
        <w:rPr>
          <w:rFonts w:ascii="Arial" w:hAnsi="Arial" w:cs="Arial"/>
        </w:rPr>
        <w:t xml:space="preserve"> </w:t>
      </w:r>
      <w:r w:rsidR="00AD4145" w:rsidRPr="007F6AD7">
        <w:rPr>
          <w:rFonts w:ascii="Arial" w:hAnsi="Arial" w:cs="Arial"/>
        </w:rPr>
        <w:t xml:space="preserve">un ente defensor y una institución independiente para coordinar y desarrollar iniciativas públicas hacia </w:t>
      </w:r>
      <w:bookmarkStart w:id="109" w:name="OLE_LINK31"/>
      <w:bookmarkStart w:id="110" w:name="OLE_LINK32"/>
      <w:r w:rsidR="00AD4145" w:rsidRPr="007F6AD7">
        <w:rPr>
          <w:rFonts w:ascii="Arial" w:hAnsi="Arial" w:cs="Arial"/>
        </w:rPr>
        <w:t>NNA</w:t>
      </w:r>
      <w:bookmarkEnd w:id="109"/>
      <w:bookmarkEnd w:id="110"/>
      <w:r w:rsidR="00AD4145" w:rsidRPr="007F6AD7">
        <w:rPr>
          <w:rFonts w:ascii="Arial" w:hAnsi="Arial" w:cs="Arial"/>
        </w:rPr>
        <w:t>.</w:t>
      </w:r>
      <w:r w:rsidR="00AD4145" w:rsidRPr="007F6AD7">
        <w:rPr>
          <w:rFonts w:ascii="Arial" w:hAnsi="Arial" w:cs="Arial"/>
          <w:vertAlign w:val="superscript"/>
        </w:rPr>
        <w:footnoteReference w:id="273"/>
      </w:r>
      <w:r w:rsidR="00007106" w:rsidRPr="007F6AD7">
        <w:rPr>
          <w:rFonts w:ascii="Arial" w:hAnsi="Arial" w:cs="Arial"/>
        </w:rPr>
        <w:t xml:space="preserve"> </w:t>
      </w:r>
    </w:p>
    <w:p w14:paraId="2292B8B2" w14:textId="6A9CB996" w:rsidR="000D2742" w:rsidRPr="007F6AD7" w:rsidRDefault="003345E1" w:rsidP="00A7397D">
      <w:pPr>
        <w:pStyle w:val="Ttulo3"/>
      </w:pPr>
      <w:bookmarkStart w:id="111" w:name="_Toc515359809"/>
      <w:r w:rsidRPr="007F6AD7">
        <w:t>Den</w:t>
      </w:r>
      <w:r w:rsidR="000D2742" w:rsidRPr="007F6AD7">
        <w:t>egacion de la  nacionalidad y apatridia de infantes</w:t>
      </w:r>
      <w:bookmarkEnd w:id="111"/>
    </w:p>
    <w:p w14:paraId="6EB127DE" w14:textId="0E816F9A" w:rsidR="007F4AFB" w:rsidRPr="007F6AD7" w:rsidRDefault="008B485E" w:rsidP="00FF64F6">
      <w:pPr>
        <w:autoSpaceDE w:val="0"/>
        <w:autoSpaceDN w:val="0"/>
        <w:adjustRightInd w:val="0"/>
        <w:spacing w:after="0" w:line="360" w:lineRule="auto"/>
        <w:rPr>
          <w:rFonts w:ascii="Arial" w:hAnsi="Arial" w:cs="Arial"/>
          <w:bCs/>
          <w:color w:val="000000"/>
        </w:rPr>
      </w:pPr>
      <w:r>
        <w:rPr>
          <w:rFonts w:ascii="Arial" w:eastAsia="TimesNewRomanPSMT" w:hAnsi="Arial" w:cs="Arial"/>
          <w:lang w:eastAsia="es-MX"/>
        </w:rPr>
        <w:t>65</w:t>
      </w:r>
      <w:r w:rsidR="000D2742" w:rsidRPr="007F6AD7">
        <w:rPr>
          <w:rFonts w:ascii="Arial" w:eastAsia="TimesNewRomanPSMT" w:hAnsi="Arial" w:cs="Arial"/>
          <w:lang w:eastAsia="es-MX"/>
        </w:rPr>
        <w:t xml:space="preserve">.   </w:t>
      </w:r>
      <w:r w:rsidR="007F4AFB" w:rsidRPr="007F6AD7">
        <w:rPr>
          <w:rFonts w:ascii="Arial" w:eastAsia="TimesNewRomanPSMT" w:hAnsi="Arial" w:cs="Arial"/>
          <w:lang w:eastAsia="es-MX"/>
        </w:rPr>
        <w:t xml:space="preserve">La recomendación del Comité CERD </w:t>
      </w:r>
      <w:r w:rsidR="007F4AFB" w:rsidRPr="007F6AD7">
        <w:rPr>
          <w:rFonts w:ascii="Arial" w:hAnsi="Arial" w:cs="Arial"/>
          <w:bCs/>
          <w:color w:val="000000"/>
        </w:rPr>
        <w:t>al Estado parte de abordar sin dilación la reforma de la</w:t>
      </w:r>
    </w:p>
    <w:p w14:paraId="3C3DAA39" w14:textId="3CAE7A0F" w:rsidR="00586C37" w:rsidRPr="0096767A" w:rsidRDefault="007F4AFB" w:rsidP="0096767A">
      <w:pPr>
        <w:spacing w:after="0" w:line="360" w:lineRule="auto"/>
        <w:jc w:val="both"/>
        <w:rPr>
          <w:rFonts w:ascii="Arial" w:hAnsi="Arial" w:cs="Arial"/>
          <w:bCs/>
          <w:color w:val="000000"/>
        </w:rPr>
      </w:pPr>
      <w:r w:rsidRPr="007F6AD7">
        <w:rPr>
          <w:rFonts w:ascii="Arial" w:hAnsi="Arial" w:cs="Arial"/>
          <w:bCs/>
          <w:color w:val="000000"/>
        </w:rPr>
        <w:t xml:space="preserve">legislación en materia de migración y extranjería, así como la normativa sobre nacionalidad a fin de prevenir la apatridia </w:t>
      </w:r>
      <w:r w:rsidR="004F01F3" w:rsidRPr="007F6AD7">
        <w:rPr>
          <w:rStyle w:val="Refdenotaalpie"/>
          <w:rFonts w:ascii="Arial" w:hAnsi="Arial" w:cs="Arial"/>
          <w:bCs/>
          <w:color w:val="000000"/>
        </w:rPr>
        <w:footnoteReference w:id="274"/>
      </w:r>
      <w:r w:rsidRPr="007F6AD7">
        <w:rPr>
          <w:rFonts w:ascii="Arial" w:hAnsi="Arial" w:cs="Arial"/>
          <w:bCs/>
          <w:color w:val="000000"/>
        </w:rPr>
        <w:t xml:space="preserve">se ha cumplido </w:t>
      </w:r>
      <w:r w:rsidR="006769BE">
        <w:rPr>
          <w:rFonts w:ascii="Arial" w:hAnsi="Arial" w:cs="Arial"/>
          <w:bCs/>
          <w:color w:val="000000"/>
        </w:rPr>
        <w:t>en parte</w:t>
      </w:r>
      <w:r w:rsidR="004F01F3" w:rsidRPr="007F6AD7">
        <w:rPr>
          <w:rFonts w:ascii="Arial" w:hAnsi="Arial" w:cs="Arial"/>
          <w:bCs/>
          <w:color w:val="000000"/>
        </w:rPr>
        <w:t xml:space="preserve">. </w:t>
      </w:r>
      <w:r w:rsidR="006D0D28" w:rsidRPr="007F6AD7">
        <w:rPr>
          <w:rFonts w:ascii="Arial" w:hAnsi="Arial" w:cs="Arial"/>
          <w:bCs/>
          <w:color w:val="000000"/>
        </w:rPr>
        <w:t>Ahora</w:t>
      </w:r>
      <w:r w:rsidR="004F01F3" w:rsidRPr="007F6AD7">
        <w:rPr>
          <w:rFonts w:ascii="Arial" w:hAnsi="Arial" w:cs="Arial"/>
          <w:bCs/>
          <w:color w:val="000000"/>
        </w:rPr>
        <w:t>,</w:t>
      </w:r>
      <w:r w:rsidRPr="007F6AD7">
        <w:rPr>
          <w:rFonts w:ascii="Arial" w:hAnsi="Arial" w:cs="Arial"/>
          <w:bCs/>
          <w:color w:val="000000"/>
        </w:rPr>
        <w:t xml:space="preserve"> </w:t>
      </w:r>
      <w:r w:rsidR="00117277" w:rsidRPr="007F6AD7">
        <w:rPr>
          <w:rFonts w:ascii="Arial" w:hAnsi="Arial" w:cs="Arial"/>
          <w:bCs/>
          <w:color w:val="000000"/>
        </w:rPr>
        <w:t>una nueva</w:t>
      </w:r>
      <w:r w:rsidR="006D0D28" w:rsidRPr="007F6AD7">
        <w:rPr>
          <w:rFonts w:ascii="Arial" w:hAnsi="Arial" w:cs="Arial"/>
          <w:bCs/>
          <w:color w:val="000000"/>
        </w:rPr>
        <w:t xml:space="preserve"> </w:t>
      </w:r>
      <w:r w:rsidRPr="007F6AD7">
        <w:rPr>
          <w:rFonts w:ascii="Arial" w:hAnsi="Arial" w:cs="Arial"/>
          <w:bCs/>
          <w:color w:val="000000"/>
        </w:rPr>
        <w:t>normativa</w:t>
      </w:r>
      <w:r w:rsidR="00117277" w:rsidRPr="007F6AD7">
        <w:rPr>
          <w:rFonts w:ascii="Arial" w:hAnsi="Arial" w:cs="Arial"/>
          <w:bCs/>
          <w:color w:val="000000"/>
        </w:rPr>
        <w:t>,</w:t>
      </w:r>
      <w:r w:rsidR="006D0D28" w:rsidRPr="007F6AD7">
        <w:rPr>
          <w:rFonts w:ascii="Arial" w:hAnsi="Arial" w:cs="Arial"/>
          <w:bCs/>
          <w:color w:val="000000"/>
        </w:rPr>
        <w:t xml:space="preserve"> </w:t>
      </w:r>
      <w:r w:rsidR="006D0D28" w:rsidRPr="007F6AD7">
        <w:rPr>
          <w:rFonts w:ascii="Arial" w:hAnsi="Arial" w:cs="Arial"/>
        </w:rPr>
        <w:t>Decreto-Ley No. 352/2017,</w:t>
      </w:r>
      <w:r w:rsidR="006D0D28" w:rsidRPr="007F6AD7">
        <w:rPr>
          <w:rStyle w:val="Refdenotaalpie"/>
          <w:rFonts w:ascii="Arial" w:hAnsi="Arial" w:cs="Arial"/>
        </w:rPr>
        <w:footnoteReference w:id="275"/>
      </w:r>
      <w:r w:rsidR="006D0D28" w:rsidRPr="007F6AD7">
        <w:rPr>
          <w:rFonts w:ascii="Arial" w:hAnsi="Arial" w:cs="Arial"/>
        </w:rPr>
        <w:t xml:space="preserve">  </w:t>
      </w:r>
      <w:r w:rsidR="006D0D28" w:rsidRPr="007F6AD7">
        <w:rPr>
          <w:rFonts w:ascii="Arial" w:hAnsi="Arial" w:cs="Arial"/>
          <w:lang w:eastAsia="es-ES"/>
        </w:rPr>
        <w:t xml:space="preserve"> </w:t>
      </w:r>
      <w:r w:rsidR="006D0D28" w:rsidRPr="007F6AD7">
        <w:rPr>
          <w:rFonts w:ascii="Arial" w:hAnsi="Arial" w:cs="Arial"/>
          <w:bCs/>
          <w:color w:val="000000"/>
        </w:rPr>
        <w:t xml:space="preserve"> que modifica </w:t>
      </w:r>
      <w:r w:rsidR="005D55D5" w:rsidRPr="007F6AD7">
        <w:rPr>
          <w:rFonts w:ascii="Arial" w:hAnsi="Arial" w:cs="Arial"/>
          <w:bCs/>
          <w:color w:val="000000"/>
        </w:rPr>
        <w:t>en parte</w:t>
      </w:r>
      <w:r w:rsidR="006D0D28" w:rsidRPr="007F6AD7">
        <w:rPr>
          <w:rFonts w:ascii="Arial" w:hAnsi="Arial" w:cs="Arial"/>
          <w:bCs/>
          <w:color w:val="000000"/>
        </w:rPr>
        <w:t xml:space="preserve"> </w:t>
      </w:r>
      <w:r w:rsidR="006D0D28" w:rsidRPr="007F6AD7">
        <w:rPr>
          <w:rFonts w:ascii="Arial" w:hAnsi="Arial" w:cs="Arial"/>
        </w:rPr>
        <w:t xml:space="preserve">a la Ley de Inmigración </w:t>
      </w:r>
      <w:r w:rsidR="004F01F3" w:rsidRPr="007F6AD7">
        <w:rPr>
          <w:rFonts w:ascii="Arial" w:hAnsi="Arial" w:cs="Arial"/>
          <w:bCs/>
          <w:color w:val="000000"/>
        </w:rPr>
        <w:t xml:space="preserve">niega </w:t>
      </w:r>
      <w:r w:rsidRPr="007F6AD7">
        <w:rPr>
          <w:rFonts w:ascii="Arial" w:hAnsi="Arial" w:cs="Arial"/>
          <w:bCs/>
          <w:color w:val="000000"/>
        </w:rPr>
        <w:t>la ciudadanía</w:t>
      </w:r>
      <w:r w:rsidR="004F01F3" w:rsidRPr="007F6AD7">
        <w:rPr>
          <w:rFonts w:ascii="Arial" w:hAnsi="Arial" w:cs="Arial"/>
          <w:bCs/>
          <w:color w:val="000000"/>
        </w:rPr>
        <w:t xml:space="preserve"> </w:t>
      </w:r>
      <w:r w:rsidR="006769BE" w:rsidRPr="007F6AD7">
        <w:rPr>
          <w:rFonts w:ascii="Arial" w:hAnsi="Arial" w:cs="Arial"/>
          <w:bCs/>
          <w:color w:val="000000"/>
        </w:rPr>
        <w:t>cubana a</w:t>
      </w:r>
      <w:r w:rsidRPr="007F6AD7">
        <w:rPr>
          <w:rFonts w:ascii="Arial" w:hAnsi="Arial" w:cs="Arial"/>
          <w:bCs/>
          <w:color w:val="000000"/>
        </w:rPr>
        <w:t xml:space="preserve"> </w:t>
      </w:r>
      <w:r w:rsidR="004F01F3" w:rsidRPr="007F6AD7">
        <w:rPr>
          <w:rFonts w:ascii="Arial" w:hAnsi="Arial" w:cs="Arial"/>
          <w:bCs/>
          <w:color w:val="000000"/>
        </w:rPr>
        <w:t xml:space="preserve">un grupo de </w:t>
      </w:r>
      <w:r w:rsidRPr="007F6AD7">
        <w:rPr>
          <w:rFonts w:ascii="Arial" w:hAnsi="Arial" w:cs="Arial"/>
          <w:bCs/>
          <w:color w:val="000000"/>
        </w:rPr>
        <w:t xml:space="preserve">niños y </w:t>
      </w:r>
      <w:r w:rsidR="006769BE" w:rsidRPr="007F6AD7">
        <w:rPr>
          <w:rFonts w:ascii="Arial" w:hAnsi="Arial" w:cs="Arial"/>
          <w:bCs/>
          <w:color w:val="000000"/>
        </w:rPr>
        <w:t xml:space="preserve">niñas </w:t>
      </w:r>
      <w:r w:rsidR="0096767A">
        <w:rPr>
          <w:rFonts w:ascii="Arial" w:hAnsi="Arial" w:cs="Arial"/>
          <w:bCs/>
          <w:color w:val="000000"/>
        </w:rPr>
        <w:t xml:space="preserve">por interferencias indebidas </w:t>
      </w:r>
      <w:r w:rsidR="0096767A" w:rsidRPr="0096767A">
        <w:rPr>
          <w:rFonts w:ascii="Arial" w:hAnsi="Arial" w:cs="Arial"/>
          <w:bCs/>
          <w:color w:val="000000"/>
        </w:rPr>
        <w:t>del Estado</w:t>
      </w:r>
      <w:r w:rsidR="0096767A">
        <w:rPr>
          <w:rFonts w:ascii="Arial" w:hAnsi="Arial" w:cs="Arial"/>
          <w:bCs/>
          <w:color w:val="000000"/>
        </w:rPr>
        <w:t xml:space="preserve">, de manera que  </w:t>
      </w:r>
      <w:r w:rsidR="0096767A">
        <w:rPr>
          <w:rFonts w:ascii="Arial" w:hAnsi="Arial" w:cs="Arial"/>
        </w:rPr>
        <w:t>l</w:t>
      </w:r>
      <w:r w:rsidR="000D2742" w:rsidRPr="007F6AD7">
        <w:rPr>
          <w:rFonts w:ascii="Arial" w:hAnsi="Arial" w:cs="Arial"/>
        </w:rPr>
        <w:t xml:space="preserve">os hijos menores de edad nacidos en el extranjero, de las personas , padre o madre cubanos o representantes legales de los </w:t>
      </w:r>
      <w:r w:rsidR="000D2742" w:rsidRPr="007F6AD7">
        <w:rPr>
          <w:rFonts w:ascii="Arial" w:hAnsi="Arial" w:cs="Arial"/>
        </w:rPr>
        <w:lastRenderedPageBreak/>
        <w:t xml:space="preserve">menores de edad que </w:t>
      </w:r>
      <w:r w:rsidR="00A061B9" w:rsidRPr="007F6AD7">
        <w:rPr>
          <w:rFonts w:ascii="Arial" w:hAnsi="Arial" w:cs="Arial"/>
        </w:rPr>
        <w:t xml:space="preserve">según criterios gubernamentales </w:t>
      </w:r>
      <w:r w:rsidR="000D2742" w:rsidRPr="007F6AD7">
        <w:rPr>
          <w:rFonts w:ascii="Arial" w:hAnsi="Arial" w:cs="Arial"/>
        </w:rPr>
        <w:t xml:space="preserve">hayan cometido hechos o realizado acciones contra los fundamentos políticos, sociales y económicos del Estado cubano, no pueden solicitar la ciudadanía cubana para sus hijos y/o representados. </w:t>
      </w:r>
      <w:r w:rsidR="005D55D5" w:rsidRPr="007F6AD7">
        <w:rPr>
          <w:rFonts w:ascii="Arial" w:hAnsi="Arial" w:cs="Arial"/>
        </w:rPr>
        <w:t>En tales</w:t>
      </w:r>
      <w:r w:rsidR="000D2742" w:rsidRPr="007F6AD7">
        <w:rPr>
          <w:rFonts w:ascii="Arial" w:hAnsi="Arial" w:cs="Arial"/>
        </w:rPr>
        <w:t xml:space="preserve"> caso</w:t>
      </w:r>
      <w:r w:rsidR="005D55D5" w:rsidRPr="007F6AD7">
        <w:rPr>
          <w:rFonts w:ascii="Arial" w:hAnsi="Arial" w:cs="Arial"/>
        </w:rPr>
        <w:t>s</w:t>
      </w:r>
      <w:r w:rsidR="000D2742" w:rsidRPr="007F6AD7">
        <w:rPr>
          <w:rFonts w:ascii="Arial" w:hAnsi="Arial" w:cs="Arial"/>
        </w:rPr>
        <w:t xml:space="preserve">, se archiva el expediente </w:t>
      </w:r>
      <w:r w:rsidR="00857B85" w:rsidRPr="007F6AD7">
        <w:rPr>
          <w:rFonts w:ascii="Arial" w:hAnsi="Arial" w:cs="Arial"/>
        </w:rPr>
        <w:t>iniciado de</w:t>
      </w:r>
      <w:r w:rsidR="000D2742" w:rsidRPr="007F6AD7">
        <w:rPr>
          <w:rFonts w:ascii="Arial" w:hAnsi="Arial" w:cs="Arial"/>
        </w:rPr>
        <w:t xml:space="preserve"> solicitud de ciudadanía y se notifica al solicitante. </w:t>
      </w:r>
      <w:r w:rsidR="00586C37" w:rsidRPr="007F6AD7">
        <w:rPr>
          <w:rFonts w:ascii="Arial" w:hAnsi="Arial" w:cs="Arial"/>
        </w:rPr>
        <w:t>Estos</w:t>
      </w:r>
      <w:r w:rsidR="006D0D28" w:rsidRPr="007F6AD7">
        <w:rPr>
          <w:rFonts w:ascii="Arial" w:hAnsi="Arial" w:cs="Arial"/>
        </w:rPr>
        <w:t xml:space="preserve"> </w:t>
      </w:r>
      <w:r w:rsidR="00586C37" w:rsidRPr="007F6AD7">
        <w:rPr>
          <w:rFonts w:ascii="Arial" w:hAnsi="Arial" w:cs="Arial"/>
        </w:rPr>
        <w:t>niños</w:t>
      </w:r>
      <w:r w:rsidR="006D0D28" w:rsidRPr="007F6AD7">
        <w:rPr>
          <w:rFonts w:ascii="Arial" w:hAnsi="Arial" w:cs="Arial"/>
        </w:rPr>
        <w:t xml:space="preserve"> niñas </w:t>
      </w:r>
      <w:r w:rsidR="00586C37" w:rsidRPr="007F6AD7">
        <w:rPr>
          <w:rFonts w:ascii="Arial" w:hAnsi="Arial" w:cs="Arial"/>
        </w:rPr>
        <w:t xml:space="preserve">y adolescentes </w:t>
      </w:r>
      <w:r w:rsidR="00A061B9" w:rsidRPr="007F6AD7">
        <w:rPr>
          <w:rFonts w:ascii="Arial" w:hAnsi="Arial" w:cs="Arial"/>
        </w:rPr>
        <w:t xml:space="preserve">solo </w:t>
      </w:r>
      <w:r w:rsidR="006D0D28" w:rsidRPr="007F6AD7">
        <w:rPr>
          <w:rFonts w:ascii="Arial" w:hAnsi="Arial" w:cs="Arial"/>
        </w:rPr>
        <w:t xml:space="preserve">pueden solicitar la ciudadanía cubana </w:t>
      </w:r>
      <w:r w:rsidR="00586C37" w:rsidRPr="007F6AD7">
        <w:rPr>
          <w:rFonts w:ascii="Arial" w:hAnsi="Arial" w:cs="Arial"/>
        </w:rPr>
        <w:t>a</w:t>
      </w:r>
      <w:r w:rsidR="000D2742" w:rsidRPr="007F6AD7">
        <w:rPr>
          <w:rFonts w:ascii="Arial" w:hAnsi="Arial" w:cs="Arial"/>
        </w:rPr>
        <w:t>l</w:t>
      </w:r>
      <w:r w:rsidR="00857B85" w:rsidRPr="007F6AD7">
        <w:rPr>
          <w:rFonts w:ascii="Arial" w:hAnsi="Arial" w:cs="Arial"/>
        </w:rPr>
        <w:t xml:space="preserve"> arribar a la mayoría de </w:t>
      </w:r>
      <w:r w:rsidR="00586C37" w:rsidRPr="007F6AD7">
        <w:rPr>
          <w:rFonts w:ascii="Arial" w:hAnsi="Arial" w:cs="Arial"/>
        </w:rPr>
        <w:t>edad de</w:t>
      </w:r>
      <w:r w:rsidR="000D2742" w:rsidRPr="007F6AD7">
        <w:rPr>
          <w:rFonts w:ascii="Arial" w:hAnsi="Arial" w:cs="Arial"/>
        </w:rPr>
        <w:t xml:space="preserve"> acuerdo con las disposiciones de este Decreto-Ley</w:t>
      </w:r>
      <w:r w:rsidR="00857B85" w:rsidRPr="007F6AD7">
        <w:rPr>
          <w:rFonts w:ascii="Arial" w:hAnsi="Arial" w:cs="Arial"/>
        </w:rPr>
        <w:t>.</w:t>
      </w:r>
      <w:r w:rsidR="000D2742" w:rsidRPr="007F6AD7">
        <w:rPr>
          <w:rFonts w:ascii="Arial" w:hAnsi="Arial" w:cs="Arial"/>
        </w:rPr>
        <w:t xml:space="preserve"> </w:t>
      </w:r>
      <w:r w:rsidR="000D2742" w:rsidRPr="007F6AD7">
        <w:rPr>
          <w:rStyle w:val="Refdenotaalpie"/>
          <w:rFonts w:ascii="Arial" w:hAnsi="Arial" w:cs="Arial"/>
        </w:rPr>
        <w:footnoteReference w:id="276"/>
      </w:r>
      <w:r w:rsidR="000D2742" w:rsidRPr="007F6AD7">
        <w:rPr>
          <w:rFonts w:ascii="Arial" w:hAnsi="Arial" w:cs="Arial"/>
          <w:lang w:eastAsia="es-ES"/>
        </w:rPr>
        <w:t xml:space="preserve"> </w:t>
      </w:r>
    </w:p>
    <w:p w14:paraId="7006D3AB" w14:textId="300BE8BE" w:rsidR="00675307" w:rsidRPr="0023408A" w:rsidRDefault="008B485E" w:rsidP="0023408A">
      <w:pPr>
        <w:spacing w:after="0" w:line="360" w:lineRule="auto"/>
        <w:jc w:val="both"/>
        <w:rPr>
          <w:rFonts w:ascii="Times New Roman" w:eastAsia="STKaiti" w:hAnsi="Times New Roman"/>
          <w:sz w:val="24"/>
          <w:szCs w:val="24"/>
          <w:lang w:eastAsia="es-ES"/>
        </w:rPr>
      </w:pPr>
      <w:r>
        <w:rPr>
          <w:rFonts w:ascii="Arial" w:hAnsi="Arial" w:cs="Arial"/>
        </w:rPr>
        <w:t xml:space="preserve">66.   </w:t>
      </w:r>
      <w:r w:rsidR="00586C37" w:rsidRPr="007F6AD7">
        <w:rPr>
          <w:rFonts w:ascii="Arial" w:hAnsi="Arial" w:cs="Arial"/>
        </w:rPr>
        <w:t>Una medida colateral resulta</w:t>
      </w:r>
      <w:r w:rsidR="00E83535" w:rsidRPr="007F6AD7">
        <w:rPr>
          <w:rFonts w:ascii="Arial" w:hAnsi="Arial" w:cs="Arial"/>
        </w:rPr>
        <w:t xml:space="preserve"> el A</w:t>
      </w:r>
      <w:r w:rsidR="00F00D32" w:rsidRPr="007F6AD7">
        <w:rPr>
          <w:rFonts w:ascii="Arial" w:hAnsi="Arial" w:cs="Arial"/>
        </w:rPr>
        <w:t xml:space="preserve">rticulo </w:t>
      </w:r>
      <w:r w:rsidR="00E83535" w:rsidRPr="007F6AD7">
        <w:rPr>
          <w:rFonts w:ascii="Arial" w:hAnsi="Arial" w:cs="Arial"/>
        </w:rPr>
        <w:t>20 al estipular</w:t>
      </w:r>
      <w:r w:rsidR="00F00D32" w:rsidRPr="007F6AD7">
        <w:rPr>
          <w:rFonts w:ascii="Arial" w:hAnsi="Arial" w:cs="Arial"/>
        </w:rPr>
        <w:t xml:space="preserve"> “</w:t>
      </w:r>
      <w:r w:rsidR="00AA3D5D" w:rsidRPr="007F6AD7">
        <w:rPr>
          <w:rFonts w:ascii="Arial" w:hAnsi="Arial" w:cs="Arial"/>
        </w:rPr>
        <w:t xml:space="preserve">(…) </w:t>
      </w:r>
      <w:r w:rsidR="00F00D32" w:rsidRPr="007F6AD7">
        <w:rPr>
          <w:rFonts w:ascii="Arial" w:hAnsi="Arial" w:cs="Arial"/>
        </w:rPr>
        <w:t>la solicitud de Revisión ante el Ministro del Interior</w:t>
      </w:r>
      <w:r w:rsidR="00F00D32" w:rsidRPr="007F6AD7">
        <w:rPr>
          <w:rFonts w:ascii="Arial" w:hAnsi="Arial" w:cs="Arial"/>
          <w:lang w:eastAsia="ja-JP"/>
        </w:rPr>
        <w:t>, quien resuelve lo pertinente. Contra lo resuelto en Revisión, de acuerdo con lo establecido en el presente artículo y en el número 18, no procede Recurso alguno en lo administrativo ni en lo judicial.”</w:t>
      </w:r>
      <w:r w:rsidR="00BC34E0" w:rsidRPr="007F6AD7">
        <w:rPr>
          <w:rFonts w:ascii="Arial" w:hAnsi="Arial" w:cs="Arial"/>
          <w:lang w:eastAsia="ja-JP"/>
        </w:rPr>
        <w:t xml:space="preserve"> </w:t>
      </w:r>
      <w:r w:rsidR="00BC34E0" w:rsidRPr="007F6AD7">
        <w:rPr>
          <w:rFonts w:ascii="Arial" w:hAnsi="Arial" w:cs="Arial"/>
        </w:rPr>
        <w:t xml:space="preserve">Aunque </w:t>
      </w:r>
      <w:r w:rsidR="003A65E2" w:rsidRPr="007F6AD7">
        <w:rPr>
          <w:rFonts w:ascii="Arial" w:hAnsi="Arial" w:cs="Arial"/>
        </w:rPr>
        <w:t xml:space="preserve">el Comité CERD y el </w:t>
      </w:r>
      <w:r w:rsidR="008F6A12" w:rsidRPr="007F6AD7">
        <w:rPr>
          <w:rFonts w:ascii="Arial" w:hAnsi="Arial" w:cs="Arial"/>
        </w:rPr>
        <w:t xml:space="preserve">Comité CRC </w:t>
      </w:r>
      <w:r w:rsidR="003A65E2" w:rsidRPr="007F6AD7">
        <w:rPr>
          <w:rFonts w:ascii="Arial" w:hAnsi="Arial" w:cs="Arial"/>
        </w:rPr>
        <w:t>resolverán</w:t>
      </w:r>
      <w:r w:rsidR="003C6E60" w:rsidRPr="007F6AD7">
        <w:rPr>
          <w:rFonts w:ascii="Arial" w:hAnsi="Arial" w:cs="Arial"/>
        </w:rPr>
        <w:t xml:space="preserve"> en su momento</w:t>
      </w:r>
      <w:r w:rsidR="003A65E2" w:rsidRPr="007F6AD7">
        <w:rPr>
          <w:rFonts w:ascii="Arial" w:hAnsi="Arial" w:cs="Arial"/>
        </w:rPr>
        <w:t xml:space="preserve"> </w:t>
      </w:r>
      <w:r w:rsidR="00BC34E0" w:rsidRPr="007F6AD7">
        <w:rPr>
          <w:rFonts w:ascii="Arial" w:hAnsi="Arial" w:cs="Arial"/>
        </w:rPr>
        <w:t xml:space="preserve">la </w:t>
      </w:r>
      <w:r w:rsidR="003A65E2" w:rsidRPr="007F6AD7">
        <w:rPr>
          <w:rFonts w:ascii="Arial" w:hAnsi="Arial" w:cs="Arial"/>
        </w:rPr>
        <w:t>controversia</w:t>
      </w:r>
      <w:r w:rsidR="00BC34E0" w:rsidRPr="007F6AD7">
        <w:rPr>
          <w:rFonts w:ascii="Arial" w:hAnsi="Arial" w:cs="Arial"/>
        </w:rPr>
        <w:t xml:space="preserve"> </w:t>
      </w:r>
      <w:r w:rsidR="00827281" w:rsidRPr="007F6AD7">
        <w:rPr>
          <w:rFonts w:ascii="Arial" w:hAnsi="Arial" w:cs="Arial"/>
        </w:rPr>
        <w:t>suscitada por</w:t>
      </w:r>
      <w:r w:rsidR="00BC34E0" w:rsidRPr="007F6AD7">
        <w:rPr>
          <w:rFonts w:ascii="Arial" w:hAnsi="Arial" w:cs="Arial"/>
        </w:rPr>
        <w:t xml:space="preserve"> esta norma</w:t>
      </w:r>
      <w:r w:rsidR="003A65E2" w:rsidRPr="007F6AD7">
        <w:rPr>
          <w:rFonts w:ascii="Arial" w:hAnsi="Arial" w:cs="Arial"/>
        </w:rPr>
        <w:t xml:space="preserve"> y actos de autoridad de presentarse</w:t>
      </w:r>
      <w:r w:rsidR="008F6A12" w:rsidRPr="007F6AD7">
        <w:rPr>
          <w:rFonts w:ascii="Arial" w:hAnsi="Arial" w:cs="Arial"/>
        </w:rPr>
        <w:t>,</w:t>
      </w:r>
      <w:r w:rsidR="00B7734D" w:rsidRPr="007F6AD7">
        <w:rPr>
          <w:rStyle w:val="Refdenotaalpie"/>
          <w:rFonts w:ascii="Arial" w:hAnsi="Arial" w:cs="Arial"/>
        </w:rPr>
        <w:footnoteReference w:id="277"/>
      </w:r>
      <w:r w:rsidR="00BC34E0" w:rsidRPr="007F6AD7">
        <w:rPr>
          <w:rFonts w:ascii="Arial" w:hAnsi="Arial" w:cs="Arial"/>
        </w:rPr>
        <w:t xml:space="preserve"> </w:t>
      </w:r>
      <w:r w:rsidR="008F6A12" w:rsidRPr="007F6AD7">
        <w:rPr>
          <w:rFonts w:ascii="Arial" w:hAnsi="Arial" w:cs="Arial"/>
        </w:rPr>
        <w:t>u</w:t>
      </w:r>
      <w:r w:rsidR="00C16D49" w:rsidRPr="007F6AD7">
        <w:rPr>
          <w:rFonts w:ascii="Arial" w:hAnsi="Arial" w:cs="Arial"/>
        </w:rPr>
        <w:t>na interpretación literal</w:t>
      </w:r>
      <w:r w:rsidR="00BC34E0" w:rsidRPr="007F6AD7">
        <w:rPr>
          <w:rFonts w:ascii="Arial" w:hAnsi="Arial" w:cs="Arial"/>
        </w:rPr>
        <w:t xml:space="preserve"> </w:t>
      </w:r>
      <w:r w:rsidR="00C16D49" w:rsidRPr="007F6AD7">
        <w:rPr>
          <w:rFonts w:ascii="Arial" w:hAnsi="Arial" w:cs="Arial"/>
        </w:rPr>
        <w:t>d</w:t>
      </w:r>
      <w:r w:rsidR="00BC34E0" w:rsidRPr="007F6AD7">
        <w:rPr>
          <w:rFonts w:ascii="Arial" w:hAnsi="Arial" w:cs="Arial"/>
        </w:rPr>
        <w:t xml:space="preserve">el </w:t>
      </w:r>
      <w:r w:rsidR="00586C37" w:rsidRPr="007F6AD7">
        <w:rPr>
          <w:rFonts w:ascii="Arial" w:hAnsi="Arial" w:cs="Arial"/>
        </w:rPr>
        <w:t xml:space="preserve">precitado </w:t>
      </w:r>
      <w:r w:rsidR="003A65E2" w:rsidRPr="007F6AD7">
        <w:rPr>
          <w:rFonts w:ascii="Arial" w:hAnsi="Arial" w:cs="Arial"/>
        </w:rPr>
        <w:t>artículo</w:t>
      </w:r>
      <w:r w:rsidR="00BC34E0" w:rsidRPr="007F6AD7">
        <w:rPr>
          <w:rFonts w:ascii="Arial" w:hAnsi="Arial" w:cs="Arial"/>
        </w:rPr>
        <w:t xml:space="preserve"> </w:t>
      </w:r>
      <w:r w:rsidR="00C16D49" w:rsidRPr="007F6AD7">
        <w:rPr>
          <w:rFonts w:ascii="Arial" w:hAnsi="Arial" w:cs="Arial"/>
        </w:rPr>
        <w:t xml:space="preserve">20 </w:t>
      </w:r>
      <w:r w:rsidR="008F6A12" w:rsidRPr="007F6AD7">
        <w:rPr>
          <w:rFonts w:ascii="Arial" w:hAnsi="Arial" w:cs="Arial"/>
        </w:rPr>
        <w:t xml:space="preserve">revela su contradicción con </w:t>
      </w:r>
      <w:r w:rsidR="006C0F55" w:rsidRPr="007F6AD7">
        <w:rPr>
          <w:rFonts w:ascii="Arial" w:hAnsi="Arial" w:cs="Arial"/>
        </w:rPr>
        <w:t>varios</w:t>
      </w:r>
      <w:r w:rsidR="00BC34E0" w:rsidRPr="007F6AD7">
        <w:rPr>
          <w:rFonts w:ascii="Arial" w:hAnsi="Arial" w:cs="Arial"/>
        </w:rPr>
        <w:t xml:space="preserve"> mandato</w:t>
      </w:r>
      <w:r w:rsidR="006C0F55" w:rsidRPr="007F6AD7">
        <w:rPr>
          <w:rFonts w:ascii="Arial" w:hAnsi="Arial" w:cs="Arial"/>
        </w:rPr>
        <w:t>s</w:t>
      </w:r>
      <w:r w:rsidR="00BC34E0" w:rsidRPr="007F6AD7">
        <w:rPr>
          <w:rFonts w:ascii="Arial" w:hAnsi="Arial" w:cs="Arial"/>
        </w:rPr>
        <w:t xml:space="preserve"> constitucional</w:t>
      </w:r>
      <w:r w:rsidR="00574D47" w:rsidRPr="007F6AD7">
        <w:rPr>
          <w:rFonts w:ascii="Arial" w:hAnsi="Arial" w:cs="Arial"/>
        </w:rPr>
        <w:t>es.</w:t>
      </w:r>
      <w:r w:rsidR="0029381C" w:rsidRPr="007F6AD7">
        <w:rPr>
          <w:rFonts w:ascii="Arial" w:hAnsi="Arial" w:cs="Arial"/>
          <w:vertAlign w:val="superscript"/>
        </w:rPr>
        <w:t xml:space="preserve"> </w:t>
      </w:r>
      <w:r w:rsidR="00586C37" w:rsidRPr="007F6AD7">
        <w:rPr>
          <w:rFonts w:ascii="Arial" w:hAnsi="Arial" w:cs="Arial"/>
        </w:rPr>
        <w:t xml:space="preserve">De hecho, </w:t>
      </w:r>
      <w:r w:rsidR="00003043" w:rsidRPr="007F6AD7">
        <w:rPr>
          <w:rFonts w:ascii="Arial" w:hAnsi="Arial" w:cs="Arial"/>
        </w:rPr>
        <w:t>la Constitución Nacional de 1976, con sus sucesivas modificaciones, es la norma rígida</w:t>
      </w:r>
      <w:r w:rsidR="00365064" w:rsidRPr="007F6AD7">
        <w:rPr>
          <w:rFonts w:ascii="Arial" w:hAnsi="Arial" w:cs="Arial"/>
        </w:rPr>
        <w:t xml:space="preserve"> y suprema  </w:t>
      </w:r>
      <w:r w:rsidR="00003043" w:rsidRPr="007F6AD7">
        <w:rPr>
          <w:rFonts w:ascii="Arial" w:hAnsi="Arial" w:cs="Arial"/>
        </w:rPr>
        <w:t xml:space="preserve"> que regula la convivencia entre los cubanos y sus disposiciones</w:t>
      </w:r>
      <w:r w:rsidR="005943A3" w:rsidRPr="007F6AD7">
        <w:rPr>
          <w:rFonts w:ascii="Arial" w:hAnsi="Arial" w:cs="Arial"/>
        </w:rPr>
        <w:t>;</w:t>
      </w:r>
      <w:r w:rsidR="00003043" w:rsidRPr="007F6AD7">
        <w:rPr>
          <w:rFonts w:ascii="Arial" w:hAnsi="Arial" w:cs="Arial"/>
        </w:rPr>
        <w:t xml:space="preserve"> </w:t>
      </w:r>
      <w:r w:rsidR="00586C37" w:rsidRPr="007F6AD7">
        <w:rPr>
          <w:rFonts w:ascii="Arial" w:hAnsi="Arial" w:cs="Arial"/>
        </w:rPr>
        <w:t>dada</w:t>
      </w:r>
      <w:r w:rsidR="00003043" w:rsidRPr="007F6AD7">
        <w:rPr>
          <w:rFonts w:ascii="Arial" w:hAnsi="Arial" w:cs="Arial"/>
        </w:rPr>
        <w:t xml:space="preserve"> su máxima jerarquía, deben ser acatadas por todo el resto del ordenamiento jurídico.</w:t>
      </w:r>
      <w:r w:rsidR="009D37DB" w:rsidRPr="007F6AD7">
        <w:rPr>
          <w:rStyle w:val="Refdenotaalpie"/>
          <w:rFonts w:ascii="Arial" w:hAnsi="Arial" w:cs="Arial"/>
        </w:rPr>
        <w:footnoteReference w:id="278"/>
      </w:r>
      <w:r w:rsidR="00003043" w:rsidRPr="007F6AD7">
        <w:rPr>
          <w:rFonts w:ascii="Arial" w:hAnsi="Arial" w:cs="Arial"/>
        </w:rPr>
        <w:t xml:space="preserve"> </w:t>
      </w:r>
      <w:r w:rsidR="00864F6C" w:rsidRPr="00864F6C">
        <w:rPr>
          <w:rFonts w:ascii="Arial" w:hAnsi="Arial" w:cs="Arial"/>
        </w:rPr>
        <w:t>En el Artículo 2(2)</w:t>
      </w:r>
      <w:r w:rsidR="00864F6C">
        <w:rPr>
          <w:rFonts w:ascii="Arial" w:hAnsi="Arial" w:cs="Arial"/>
        </w:rPr>
        <w:t xml:space="preserve"> de la </w:t>
      </w:r>
      <w:r w:rsidR="006A2C7B">
        <w:rPr>
          <w:rFonts w:ascii="Arial" w:hAnsi="Arial" w:cs="Arial"/>
        </w:rPr>
        <w:t>Convención</w:t>
      </w:r>
      <w:r w:rsidR="00864F6C">
        <w:rPr>
          <w:rFonts w:ascii="Arial" w:hAnsi="Arial" w:cs="Arial"/>
        </w:rPr>
        <w:t xml:space="preserve"> de los Derechos del Niño</w:t>
      </w:r>
      <w:r w:rsidR="00864F6C" w:rsidRPr="00864F6C">
        <w:rPr>
          <w:rFonts w:ascii="Arial" w:hAnsi="Arial" w:cs="Arial"/>
        </w:rPr>
        <w:t>, se obliga</w:t>
      </w:r>
      <w:r w:rsidR="00864F6C">
        <w:rPr>
          <w:rFonts w:ascii="Arial" w:hAnsi="Arial" w:cs="Arial"/>
        </w:rPr>
        <w:t xml:space="preserve"> a los Estados a garantizar que </w:t>
      </w:r>
      <w:r w:rsidR="00864F6C" w:rsidRPr="00864F6C">
        <w:rPr>
          <w:rFonts w:ascii="Arial" w:hAnsi="Arial" w:cs="Arial"/>
        </w:rPr>
        <w:t>ningún niño o niña sea discriminado/a por las acciones de s</w:t>
      </w:r>
      <w:r w:rsidR="00864F6C">
        <w:rPr>
          <w:rFonts w:ascii="Arial" w:hAnsi="Arial" w:cs="Arial"/>
        </w:rPr>
        <w:t xml:space="preserve">us </w:t>
      </w:r>
      <w:r w:rsidR="00864F6C">
        <w:rPr>
          <w:rFonts w:ascii="Arial" w:hAnsi="Arial" w:cs="Arial"/>
        </w:rPr>
        <w:lastRenderedPageBreak/>
        <w:t>progenitores.</w:t>
      </w:r>
      <w:r w:rsidR="0023408A" w:rsidRPr="0023408A">
        <w:rPr>
          <w:rFonts w:ascii="Arial" w:hAnsi="Arial" w:cs="Arial"/>
          <w:vertAlign w:val="superscript"/>
        </w:rPr>
        <w:t xml:space="preserve"> </w:t>
      </w:r>
      <w:r w:rsidR="0023408A">
        <w:rPr>
          <w:rFonts w:ascii="Arial" w:hAnsi="Arial" w:cs="Arial"/>
          <w:vertAlign w:val="superscript"/>
        </w:rPr>
        <w:footnoteReference w:id="279"/>
      </w:r>
      <w:r w:rsidR="0023408A">
        <w:rPr>
          <w:rFonts w:ascii="Arial" w:hAnsi="Arial" w:cs="Arial"/>
          <w:vertAlign w:val="superscript"/>
        </w:rPr>
        <w:t xml:space="preserve"> </w:t>
      </w:r>
      <w:r w:rsidR="0023408A">
        <w:rPr>
          <w:rFonts w:ascii="Arial" w:hAnsi="Arial" w:cs="Arial"/>
        </w:rPr>
        <w:t>En</w:t>
      </w:r>
      <w:r w:rsidR="00864F6C">
        <w:rPr>
          <w:rFonts w:ascii="Arial" w:hAnsi="Arial" w:cs="Arial"/>
        </w:rPr>
        <w:t xml:space="preserve"> palabras de</w:t>
      </w:r>
      <w:r w:rsidR="00864F6C" w:rsidRPr="00864F6C">
        <w:rPr>
          <w:rFonts w:ascii="Arial" w:hAnsi="Arial" w:cs="Arial"/>
        </w:rPr>
        <w:t xml:space="preserve"> </w:t>
      </w:r>
      <w:r w:rsidR="00864F6C">
        <w:rPr>
          <w:rFonts w:ascii="Arial" w:hAnsi="Arial" w:cs="Arial"/>
        </w:rPr>
        <w:t>un juez</w:t>
      </w:r>
      <w:r w:rsidR="00864F6C" w:rsidRPr="00864F6C">
        <w:rPr>
          <w:rFonts w:ascii="Arial" w:hAnsi="Arial" w:cs="Arial"/>
        </w:rPr>
        <w:t>, un menor “no puede ser tratado como mera extensión de sus progenitores</w:t>
      </w:r>
      <w:r w:rsidR="00864F6C">
        <w:rPr>
          <w:rFonts w:ascii="Arial" w:hAnsi="Arial" w:cs="Arial"/>
        </w:rPr>
        <w:t>,</w:t>
      </w:r>
      <w:r w:rsidR="00864F6C" w:rsidRPr="00864F6C">
        <w:t xml:space="preserve"> </w:t>
      </w:r>
      <w:r w:rsidR="00864F6C" w:rsidRPr="00864F6C">
        <w:rPr>
          <w:rFonts w:ascii="Arial" w:hAnsi="Arial" w:cs="Arial"/>
        </w:rPr>
        <w:t>destinado</w:t>
      </w:r>
      <w:r w:rsidR="00864F6C">
        <w:rPr>
          <w:rFonts w:ascii="Arial" w:hAnsi="Arial" w:cs="Arial"/>
        </w:rPr>
        <w:t xml:space="preserve"> </w:t>
      </w:r>
      <w:r w:rsidR="00864F6C" w:rsidRPr="00864F6C">
        <w:rPr>
          <w:rFonts w:ascii="Arial" w:hAnsi="Arial" w:cs="Arial"/>
        </w:rPr>
        <w:t xml:space="preserve">umbilicalmente a hundirse o a nadar con ellos [...] </w:t>
      </w:r>
      <w:r w:rsidR="00864F6C">
        <w:rPr>
          <w:rStyle w:val="Refdenotaalpie"/>
          <w:rFonts w:ascii="Arial" w:hAnsi="Arial" w:cs="Arial"/>
        </w:rPr>
        <w:footnoteReference w:id="280"/>
      </w:r>
    </w:p>
    <w:p w14:paraId="0BEA90A4" w14:textId="3B62BF6D" w:rsidR="00D278CF" w:rsidRPr="00675307" w:rsidRDefault="0023408A" w:rsidP="0023408A">
      <w:pPr>
        <w:spacing w:after="0" w:line="360" w:lineRule="auto"/>
        <w:jc w:val="both"/>
        <w:rPr>
          <w:rFonts w:ascii="Arial" w:hAnsi="Arial" w:cs="Arial"/>
        </w:rPr>
      </w:pPr>
      <w:r>
        <w:rPr>
          <w:rFonts w:ascii="Arial" w:hAnsi="Arial" w:cs="Arial"/>
        </w:rPr>
        <w:t xml:space="preserve">67. </w:t>
      </w:r>
      <w:r w:rsidR="00D278CF" w:rsidRPr="007F6AD7">
        <w:rPr>
          <w:rFonts w:ascii="Arial" w:hAnsi="Arial" w:cs="Arial"/>
        </w:rPr>
        <w:t xml:space="preserve">Las cifras de NNA cubanos </w:t>
      </w:r>
      <w:r w:rsidR="00D55E98" w:rsidRPr="007F6AD7">
        <w:rPr>
          <w:rFonts w:ascii="Arial" w:hAnsi="Arial" w:cs="Arial"/>
        </w:rPr>
        <w:t xml:space="preserve">desaparecidos y </w:t>
      </w:r>
      <w:r w:rsidR="00D278CF" w:rsidRPr="007F6AD7">
        <w:rPr>
          <w:rFonts w:ascii="Arial" w:hAnsi="Arial" w:cs="Arial"/>
        </w:rPr>
        <w:t>apátridas</w:t>
      </w:r>
      <w:r w:rsidR="00AA3D5D" w:rsidRPr="007F6AD7">
        <w:rPr>
          <w:rFonts w:ascii="Arial" w:hAnsi="Arial" w:cs="Arial"/>
        </w:rPr>
        <w:t xml:space="preserve"> </w:t>
      </w:r>
      <w:r w:rsidR="00351EBC" w:rsidRPr="007F6AD7">
        <w:rPr>
          <w:rFonts w:ascii="Arial" w:hAnsi="Arial" w:cs="Arial"/>
          <w:vertAlign w:val="superscript"/>
        </w:rPr>
        <w:footnoteReference w:id="281"/>
      </w:r>
      <w:r w:rsidR="00351EBC" w:rsidRPr="007F6AD7">
        <w:rPr>
          <w:rFonts w:ascii="Arial" w:hAnsi="Arial" w:cs="Arial"/>
          <w:vertAlign w:val="superscript"/>
        </w:rPr>
        <w:t xml:space="preserve">, </w:t>
      </w:r>
      <w:r w:rsidR="00351EBC" w:rsidRPr="007F6AD7">
        <w:rPr>
          <w:rFonts w:ascii="Arial" w:hAnsi="Arial" w:cs="Arial"/>
          <w:vertAlign w:val="superscript"/>
        </w:rPr>
        <w:footnoteReference w:id="282"/>
      </w:r>
      <w:r w:rsidR="00351EBC" w:rsidRPr="007F6AD7">
        <w:rPr>
          <w:rFonts w:ascii="Arial" w:hAnsi="Arial" w:cs="Arial"/>
        </w:rPr>
        <w:t xml:space="preserve"> </w:t>
      </w:r>
      <w:r w:rsidR="00D55E98" w:rsidRPr="007F6AD7">
        <w:rPr>
          <w:rFonts w:ascii="Arial" w:hAnsi="Arial" w:cs="Arial"/>
        </w:rPr>
        <w:t>por</w:t>
      </w:r>
      <w:r w:rsidR="00D278CF" w:rsidRPr="007F6AD7">
        <w:rPr>
          <w:rFonts w:ascii="Arial" w:hAnsi="Arial" w:cs="Arial"/>
        </w:rPr>
        <w:t xml:space="preserve"> abandonar el país ilegalmente son conjeturables. Las nefastas consecuencias de la apatridia afectan a una incierta cifra de infantes</w:t>
      </w:r>
      <w:r w:rsidR="00574D47" w:rsidRPr="007F6AD7">
        <w:rPr>
          <w:rFonts w:ascii="Arial" w:hAnsi="Arial" w:cs="Arial"/>
        </w:rPr>
        <w:t xml:space="preserve"> y adolescentes</w:t>
      </w:r>
      <w:r w:rsidR="00D278CF" w:rsidRPr="007F6AD7">
        <w:rPr>
          <w:rFonts w:ascii="Arial" w:hAnsi="Arial" w:cs="Arial"/>
        </w:rPr>
        <w:t xml:space="preserve"> cubanos y deben ser tomadas en consideración con voluntad política y oportuno respaldo público. Las anteriores reformas migratorias</w:t>
      </w:r>
      <w:r w:rsidR="00D278CF" w:rsidRPr="007F6AD7">
        <w:rPr>
          <w:rFonts w:ascii="Arial" w:hAnsi="Arial" w:cs="Arial"/>
          <w:vertAlign w:val="superscript"/>
        </w:rPr>
        <w:t xml:space="preserve"> </w:t>
      </w:r>
      <w:r w:rsidR="00D278CF" w:rsidRPr="007F6AD7">
        <w:rPr>
          <w:rFonts w:ascii="Arial" w:hAnsi="Arial" w:cs="Arial"/>
          <w:vertAlign w:val="superscript"/>
        </w:rPr>
        <w:footnoteReference w:id="283"/>
      </w:r>
      <w:r w:rsidR="009F77F7" w:rsidRPr="007F6AD7">
        <w:rPr>
          <w:rFonts w:ascii="Arial" w:hAnsi="Arial" w:cs="Arial"/>
        </w:rPr>
        <w:t xml:space="preserve"> </w:t>
      </w:r>
      <w:r w:rsidR="00D278CF" w:rsidRPr="007F6AD7">
        <w:rPr>
          <w:rFonts w:ascii="Arial" w:hAnsi="Arial" w:cs="Arial"/>
        </w:rPr>
        <w:t xml:space="preserve">incorporaron también </w:t>
      </w:r>
      <w:r w:rsidR="00B7734D" w:rsidRPr="007F6AD7">
        <w:rPr>
          <w:rFonts w:ascii="Arial" w:hAnsi="Arial" w:cs="Arial"/>
        </w:rPr>
        <w:t>los riesgos</w:t>
      </w:r>
      <w:r w:rsidR="00D278CF" w:rsidRPr="007F6AD7">
        <w:rPr>
          <w:rFonts w:ascii="Arial" w:hAnsi="Arial" w:cs="Arial"/>
        </w:rPr>
        <w:t xml:space="preserve"> advertidos por el Comité de los Derechos del Niño desde 1997,</w:t>
      </w:r>
      <w:r w:rsidR="00E972A9" w:rsidRPr="007F6AD7">
        <w:rPr>
          <w:rStyle w:val="Ttulo4Car"/>
          <w:rFonts w:ascii="Arial" w:hAnsi="Arial"/>
        </w:rPr>
        <w:t xml:space="preserve"> </w:t>
      </w:r>
      <w:r w:rsidRPr="007F6AD7">
        <w:rPr>
          <w:rFonts w:ascii="Arial" w:hAnsi="Arial" w:cs="Arial"/>
          <w:vertAlign w:val="superscript"/>
        </w:rPr>
        <w:footnoteReference w:id="284"/>
      </w:r>
      <w:r w:rsidRPr="0023408A">
        <w:rPr>
          <w:rStyle w:val="Ttulo4Car"/>
          <w:rFonts w:ascii="Arial" w:hAnsi="Arial"/>
          <w:vertAlign w:val="superscript"/>
        </w:rPr>
        <w:t xml:space="preserve">, </w:t>
      </w:r>
      <w:r>
        <w:rPr>
          <w:rStyle w:val="Ttulo4Car"/>
          <w:rFonts w:ascii="Arial" w:hAnsi="Arial"/>
          <w:vertAlign w:val="superscript"/>
        </w:rPr>
        <w:t xml:space="preserve"> </w:t>
      </w:r>
      <w:r w:rsidR="00E972A9" w:rsidRPr="007F6AD7">
        <w:rPr>
          <w:rStyle w:val="Refdenotaalpie"/>
          <w:rFonts w:ascii="Arial" w:hAnsi="Arial" w:cs="Arial"/>
        </w:rPr>
        <w:footnoteReference w:id="285"/>
      </w:r>
      <w:r w:rsidR="00E972A9" w:rsidRPr="007F6AD7">
        <w:rPr>
          <w:rFonts w:ascii="Arial" w:hAnsi="Arial" w:cs="Arial"/>
          <w:vertAlign w:val="superscript"/>
        </w:rPr>
        <w:t xml:space="preserve"> </w:t>
      </w:r>
      <w:r w:rsidR="009F77F7" w:rsidRPr="007F6AD7">
        <w:rPr>
          <w:rFonts w:ascii="Arial" w:hAnsi="Arial" w:cs="Arial"/>
        </w:rPr>
        <w:t xml:space="preserve"> </w:t>
      </w:r>
      <w:r w:rsidR="00D278CF" w:rsidRPr="007F6AD7">
        <w:rPr>
          <w:rFonts w:ascii="Arial" w:hAnsi="Arial" w:cs="Arial"/>
        </w:rPr>
        <w:t>al colocar en situación de apatridia</w:t>
      </w:r>
      <w:r w:rsidR="00AA3D5D" w:rsidRPr="007F6AD7">
        <w:rPr>
          <w:rFonts w:ascii="Arial" w:hAnsi="Arial" w:cs="Arial"/>
        </w:rPr>
        <w:t>,</w:t>
      </w:r>
      <w:r w:rsidR="00160633" w:rsidRPr="007F6AD7">
        <w:rPr>
          <w:rFonts w:ascii="Arial" w:hAnsi="Arial" w:cs="Arial"/>
          <w:vertAlign w:val="superscript"/>
        </w:rPr>
        <w:footnoteReference w:id="286"/>
      </w:r>
      <w:r w:rsidR="00160633" w:rsidRPr="007F6AD7">
        <w:rPr>
          <w:rFonts w:ascii="Arial" w:hAnsi="Arial" w:cs="Arial"/>
          <w:vertAlign w:val="superscript"/>
        </w:rPr>
        <w:t xml:space="preserve"> </w:t>
      </w:r>
      <w:r w:rsidR="00D278CF" w:rsidRPr="007F6AD7">
        <w:rPr>
          <w:rFonts w:ascii="Arial" w:hAnsi="Arial" w:cs="Arial"/>
        </w:rPr>
        <w:t xml:space="preserve">  a los </w:t>
      </w:r>
      <w:r w:rsidR="007B2953" w:rsidRPr="007F6AD7">
        <w:rPr>
          <w:rFonts w:ascii="Arial" w:hAnsi="Arial" w:cs="Arial"/>
        </w:rPr>
        <w:t xml:space="preserve">NNA </w:t>
      </w:r>
      <w:r w:rsidR="007B2953" w:rsidRPr="007F6AD7">
        <w:rPr>
          <w:rFonts w:ascii="Arial" w:hAnsi="Arial" w:cs="Arial"/>
        </w:rPr>
        <w:lastRenderedPageBreak/>
        <w:t>que</w:t>
      </w:r>
      <w:r w:rsidR="00101FC1" w:rsidRPr="007F6AD7">
        <w:rPr>
          <w:rFonts w:ascii="Arial" w:hAnsi="Arial" w:cs="Arial"/>
        </w:rPr>
        <w:t xml:space="preserve"> </w:t>
      </w:r>
      <w:r w:rsidR="00D278CF" w:rsidRPr="007F6AD7">
        <w:rPr>
          <w:rFonts w:ascii="Arial" w:hAnsi="Arial" w:cs="Arial"/>
        </w:rPr>
        <w:t xml:space="preserve"> visitaban otros países </w:t>
      </w:r>
      <w:r w:rsidR="00D278CF" w:rsidRPr="007F6AD7">
        <w:rPr>
          <w:rFonts w:ascii="Arial" w:hAnsi="Arial" w:cs="Arial"/>
          <w:vertAlign w:val="superscript"/>
        </w:rPr>
        <w:footnoteReference w:id="287"/>
      </w:r>
      <w:r w:rsidR="00D278CF" w:rsidRPr="007F6AD7">
        <w:rPr>
          <w:rFonts w:ascii="Arial" w:hAnsi="Arial" w:cs="Arial"/>
          <w:vertAlign w:val="superscript"/>
        </w:rPr>
        <w:t xml:space="preserve">, </w:t>
      </w:r>
      <w:r w:rsidR="00D278CF" w:rsidRPr="007F6AD7">
        <w:rPr>
          <w:rFonts w:ascii="Arial" w:hAnsi="Arial" w:cs="Arial"/>
          <w:vertAlign w:val="superscript"/>
        </w:rPr>
        <w:footnoteReference w:id="288"/>
      </w:r>
      <w:r w:rsidR="00D278CF" w:rsidRPr="007F6AD7">
        <w:rPr>
          <w:rFonts w:ascii="Arial" w:hAnsi="Arial" w:cs="Arial"/>
        </w:rPr>
        <w:t xml:space="preserve"> o han  nacidos en el extranjero de progenitores cubanos no incluidos en las categorías de personas que transmiten la nacionalidad establecidas en el artículo 29 de la Constitución del Estado </w:t>
      </w:r>
      <w:r w:rsidR="009F77F7" w:rsidRPr="007F6AD7">
        <w:rPr>
          <w:rFonts w:ascii="Arial" w:hAnsi="Arial" w:cs="Arial"/>
        </w:rPr>
        <w:t>cubano</w:t>
      </w:r>
      <w:r w:rsidR="00D278CF" w:rsidRPr="007F6AD7">
        <w:rPr>
          <w:rFonts w:ascii="Arial" w:hAnsi="Arial" w:cs="Arial"/>
        </w:rPr>
        <w:t>.</w:t>
      </w:r>
      <w:r w:rsidR="00101FC1" w:rsidRPr="007F6AD7">
        <w:rPr>
          <w:rFonts w:ascii="Arial" w:hAnsi="Arial" w:cs="Arial"/>
          <w:vertAlign w:val="superscript"/>
        </w:rPr>
        <w:t xml:space="preserve"> </w:t>
      </w:r>
      <w:r w:rsidR="00D278CF" w:rsidRPr="007F6AD7">
        <w:rPr>
          <w:rFonts w:ascii="Arial" w:hAnsi="Arial" w:cs="Arial"/>
        </w:rPr>
        <w:t xml:space="preserve">La negación </w:t>
      </w:r>
      <w:r w:rsidR="00D278CF" w:rsidRPr="007F6AD7">
        <w:rPr>
          <w:rStyle w:val="Refdenotaalpie"/>
          <w:rFonts w:ascii="Arial" w:hAnsi="Arial" w:cs="Arial"/>
        </w:rPr>
        <w:footnoteReference w:id="289"/>
      </w:r>
      <w:r w:rsidR="00D278CF" w:rsidRPr="007F6AD7">
        <w:rPr>
          <w:rFonts w:ascii="Arial" w:hAnsi="Arial" w:cs="Arial"/>
        </w:rPr>
        <w:t xml:space="preserve"> o pérdida de la nacionalidad cubana, muchas veces es involuntaria.</w:t>
      </w:r>
      <w:r w:rsidR="00D278CF" w:rsidRPr="007F6AD7">
        <w:rPr>
          <w:rStyle w:val="Refdenotaalpie"/>
          <w:rFonts w:ascii="Arial" w:hAnsi="Arial" w:cs="Arial"/>
        </w:rPr>
        <w:footnoteReference w:id="290"/>
      </w:r>
      <w:r w:rsidR="00D278CF" w:rsidRPr="007F6AD7">
        <w:rPr>
          <w:rFonts w:ascii="Arial" w:hAnsi="Arial" w:cs="Arial"/>
        </w:rPr>
        <w:t xml:space="preserve"> Los niños, niñas y adolescentes privados de nacionalidad y los que son apátridas</w:t>
      </w:r>
      <w:r w:rsidR="00D55E98" w:rsidRPr="007F6AD7">
        <w:rPr>
          <w:rFonts w:ascii="Arial" w:hAnsi="Arial" w:cs="Arial"/>
        </w:rPr>
        <w:t xml:space="preserve"> </w:t>
      </w:r>
      <w:r w:rsidR="00D278CF" w:rsidRPr="007F6AD7">
        <w:rPr>
          <w:rFonts w:ascii="Arial" w:hAnsi="Arial" w:cs="Arial"/>
        </w:rPr>
        <w:t xml:space="preserve">corren mayor riesgo de sufrir formas particulares de violaciones de los derechos humanos, la trata, </w:t>
      </w:r>
      <w:r w:rsidR="00377F6A" w:rsidRPr="007F6AD7">
        <w:rPr>
          <w:rFonts w:ascii="Arial" w:hAnsi="Arial" w:cs="Arial"/>
        </w:rPr>
        <w:t xml:space="preserve">la </w:t>
      </w:r>
      <w:r w:rsidR="00D278CF" w:rsidRPr="007F6AD7">
        <w:rPr>
          <w:rFonts w:ascii="Arial" w:hAnsi="Arial" w:cs="Arial"/>
        </w:rPr>
        <w:t>desaparición forzada y otras formas de explotación.</w:t>
      </w:r>
      <w:r w:rsidR="00D278CF" w:rsidRPr="007F6AD7">
        <w:rPr>
          <w:rStyle w:val="Refdenotaalpie"/>
          <w:rFonts w:ascii="Arial" w:hAnsi="Arial" w:cs="Arial"/>
        </w:rPr>
        <w:footnoteReference w:id="291"/>
      </w:r>
      <w:r w:rsidR="00D278CF" w:rsidRPr="007F6AD7">
        <w:rPr>
          <w:rFonts w:ascii="Arial" w:hAnsi="Arial" w:cs="Arial"/>
          <w:vertAlign w:val="superscript"/>
        </w:rPr>
        <w:t xml:space="preserve">, </w:t>
      </w:r>
      <w:r w:rsidR="00D278CF" w:rsidRPr="007F6AD7">
        <w:rPr>
          <w:rStyle w:val="Refdenotaalpie"/>
          <w:rFonts w:ascii="Arial" w:hAnsi="Arial" w:cs="Arial"/>
        </w:rPr>
        <w:footnoteReference w:id="292"/>
      </w:r>
      <w:r w:rsidR="00D278CF" w:rsidRPr="007F6AD7">
        <w:rPr>
          <w:rFonts w:ascii="Arial" w:hAnsi="Arial" w:cs="Arial"/>
          <w:vertAlign w:val="superscript"/>
        </w:rPr>
        <w:t xml:space="preserve"> </w:t>
      </w:r>
      <w:r w:rsidR="00D278CF" w:rsidRPr="007F6AD7">
        <w:rPr>
          <w:rFonts w:ascii="Arial" w:hAnsi="Arial" w:cs="Arial"/>
        </w:rPr>
        <w:t xml:space="preserve">Las regulaciones migratorias vigentes en el </w:t>
      </w:r>
      <w:r w:rsidR="00D278CF" w:rsidRPr="007F6AD7">
        <w:rPr>
          <w:rFonts w:ascii="Arial" w:hAnsi="Arial" w:cs="Arial"/>
        </w:rPr>
        <w:lastRenderedPageBreak/>
        <w:t>marco</w:t>
      </w:r>
      <w:r w:rsidR="00B56FA7" w:rsidRPr="007F6AD7">
        <w:rPr>
          <w:rFonts w:ascii="Arial" w:hAnsi="Arial" w:cs="Arial"/>
        </w:rPr>
        <w:t xml:space="preserve"> </w:t>
      </w:r>
      <w:r w:rsidR="00D278CF" w:rsidRPr="007F6AD7">
        <w:rPr>
          <w:rFonts w:ascii="Arial" w:hAnsi="Arial" w:cs="Arial"/>
        </w:rPr>
        <w:t>jurídico del Estado</w:t>
      </w:r>
      <w:r w:rsidR="009F77F7" w:rsidRPr="007F6AD7">
        <w:rPr>
          <w:rFonts w:ascii="Arial" w:hAnsi="Arial" w:cs="Arial"/>
        </w:rPr>
        <w:t xml:space="preserve"> </w:t>
      </w:r>
      <w:r w:rsidR="00D278CF" w:rsidRPr="007F6AD7">
        <w:rPr>
          <w:rFonts w:ascii="Arial" w:hAnsi="Arial" w:cs="Arial"/>
        </w:rPr>
        <w:t>cubano dejan en estado de indefensión</w:t>
      </w:r>
      <w:r w:rsidR="00377F6A" w:rsidRPr="007F6AD7">
        <w:rPr>
          <w:rFonts w:ascii="Arial" w:hAnsi="Arial" w:cs="Arial"/>
        </w:rPr>
        <w:t xml:space="preserve"> </w:t>
      </w:r>
      <w:r w:rsidR="00D278CF" w:rsidRPr="007F6AD7">
        <w:rPr>
          <w:rFonts w:ascii="Arial" w:hAnsi="Arial" w:cs="Arial"/>
        </w:rPr>
        <w:t>a víctimas infantiles</w:t>
      </w:r>
      <w:r w:rsidR="00744C79">
        <w:rPr>
          <w:rFonts w:ascii="Arial" w:hAnsi="Arial" w:cs="Arial"/>
        </w:rPr>
        <w:t xml:space="preserve"> </w:t>
      </w:r>
      <w:r w:rsidR="00744C79">
        <w:rPr>
          <w:rFonts w:ascii="Arial" w:hAnsi="Arial" w:cs="Arial"/>
          <w:vertAlign w:val="superscript"/>
          <w:lang w:eastAsia="ja-JP"/>
        </w:rPr>
        <w:footnoteReference w:id="293"/>
      </w:r>
      <w:r w:rsidR="00744C79">
        <w:rPr>
          <w:rFonts w:ascii="Arial" w:hAnsi="Arial" w:cs="Arial"/>
          <w:lang w:eastAsia="ja-JP"/>
        </w:rPr>
        <w:t xml:space="preserve"> </w:t>
      </w:r>
      <w:r w:rsidR="00D278CF" w:rsidRPr="007F6AD7">
        <w:rPr>
          <w:rFonts w:ascii="Arial" w:hAnsi="Arial" w:cs="Arial"/>
        </w:rPr>
        <w:t xml:space="preserve"> que las propias normativas internas reconocen como tales. </w:t>
      </w:r>
    </w:p>
    <w:p w14:paraId="34FE8D65" w14:textId="77777777" w:rsidR="00BC6CD6" w:rsidRDefault="0023408A" w:rsidP="00FF64F6">
      <w:pPr>
        <w:spacing w:after="0" w:line="360" w:lineRule="auto"/>
        <w:jc w:val="both"/>
        <w:rPr>
          <w:rFonts w:ascii="Times New Roman" w:eastAsia="STKaiti" w:hAnsi="Times New Roman"/>
          <w:sz w:val="24"/>
          <w:szCs w:val="24"/>
          <w:lang w:eastAsia="es-ES"/>
        </w:rPr>
      </w:pPr>
      <w:r>
        <w:rPr>
          <w:rFonts w:ascii="Arial" w:hAnsi="Arial" w:cs="Arial"/>
        </w:rPr>
        <w:t>6</w:t>
      </w:r>
      <w:r w:rsidR="00D278CF" w:rsidRPr="007F6AD7">
        <w:rPr>
          <w:rFonts w:ascii="Arial" w:hAnsi="Arial" w:cs="Arial"/>
        </w:rPr>
        <w:t>8.     Desde la Declaración de los Derechos del Niño de las Naciones Unidas se reconoce que “el niño, por su falta de madurez física y mental, necesita protección y cuidado especiales, incluso la debida protección legal”.</w:t>
      </w:r>
      <w:r w:rsidR="00D278CF" w:rsidRPr="007F6AD7">
        <w:rPr>
          <w:rFonts w:ascii="Arial" w:hAnsi="Arial" w:cs="Arial"/>
          <w:vertAlign w:val="superscript"/>
        </w:rPr>
        <w:footnoteReference w:id="294"/>
      </w:r>
      <w:r w:rsidR="00D278CF" w:rsidRPr="007F6AD7">
        <w:rPr>
          <w:rFonts w:ascii="Arial" w:hAnsi="Arial" w:cs="Arial"/>
        </w:rPr>
        <w:t xml:space="preserve"> Este considerando fue retomado en el Preámbulo de la Convención sobre los </w:t>
      </w:r>
      <w:r w:rsidR="00101FC1" w:rsidRPr="007F6AD7">
        <w:rPr>
          <w:rFonts w:ascii="Arial" w:hAnsi="Arial" w:cs="Arial"/>
        </w:rPr>
        <w:t xml:space="preserve"> </w:t>
      </w:r>
      <w:r w:rsidR="00D278CF" w:rsidRPr="007F6AD7">
        <w:rPr>
          <w:rFonts w:ascii="Arial" w:hAnsi="Arial" w:cs="Arial"/>
        </w:rPr>
        <w:t>Derechos del Niño. La República de Cuba está obligada a otorgar la nacionalidad</w:t>
      </w:r>
      <w:r w:rsidR="00744C79">
        <w:rPr>
          <w:rFonts w:ascii="Arial" w:hAnsi="Arial" w:cs="Arial"/>
        </w:rPr>
        <w:t xml:space="preserve"> </w:t>
      </w:r>
      <w:r w:rsidR="00D278CF" w:rsidRPr="007F6AD7">
        <w:rPr>
          <w:rFonts w:ascii="Arial" w:hAnsi="Arial" w:cs="Arial"/>
          <w:vertAlign w:val="superscript"/>
        </w:rPr>
        <w:footnoteReference w:id="295"/>
      </w:r>
      <w:r w:rsidR="00D278CF" w:rsidRPr="007F6AD7">
        <w:rPr>
          <w:rFonts w:ascii="Arial" w:hAnsi="Arial" w:cs="Arial"/>
          <w:vertAlign w:val="superscript"/>
        </w:rPr>
        <w:t xml:space="preserve">, </w:t>
      </w:r>
      <w:r w:rsidR="00D278CF" w:rsidRPr="007F6AD7">
        <w:rPr>
          <w:rFonts w:ascii="Arial" w:hAnsi="Arial" w:cs="Arial"/>
          <w:vertAlign w:val="superscript"/>
        </w:rPr>
        <w:footnoteReference w:id="296"/>
      </w:r>
      <w:r w:rsidR="00D278CF" w:rsidRPr="007F6AD7">
        <w:rPr>
          <w:rFonts w:ascii="Arial" w:hAnsi="Arial" w:cs="Arial"/>
        </w:rPr>
        <w:t xml:space="preserve">  a través de</w:t>
      </w:r>
      <w:r w:rsidR="00D278CF" w:rsidRPr="007F6AD7">
        <w:rPr>
          <w:rFonts w:ascii="Arial" w:hAnsi="Arial" w:cs="Arial"/>
          <w:lang w:eastAsia="ja-JP"/>
        </w:rPr>
        <w:t xml:space="preserve"> su legislación </w:t>
      </w:r>
      <w:r w:rsidR="00D278CF" w:rsidRPr="007F6AD7">
        <w:rPr>
          <w:rFonts w:ascii="Arial" w:hAnsi="Arial" w:cs="Arial"/>
        </w:rPr>
        <w:t>interna</w:t>
      </w:r>
      <w:r w:rsidR="00D278CF" w:rsidRPr="007F6AD7">
        <w:rPr>
          <w:rFonts w:ascii="Arial" w:hAnsi="Arial" w:cs="Arial"/>
          <w:lang w:eastAsia="ja-JP"/>
        </w:rPr>
        <w:t xml:space="preserve"> y de las obligaciones contraídas con la Convención</w:t>
      </w:r>
      <w:r w:rsidR="00D278CF" w:rsidRPr="007F6AD7">
        <w:rPr>
          <w:rFonts w:ascii="Arial" w:hAnsi="Arial" w:cs="Arial"/>
        </w:rPr>
        <w:t xml:space="preserve"> de los Derechos del Niño</w:t>
      </w:r>
      <w:r w:rsidR="00D278CF" w:rsidRPr="007F6AD7">
        <w:rPr>
          <w:rFonts w:ascii="Arial" w:hAnsi="Arial" w:cs="Arial"/>
          <w:lang w:eastAsia="ja-JP"/>
        </w:rPr>
        <w:t>, entre otros tratados internacionales.</w:t>
      </w:r>
      <w:r w:rsidR="00D278CF" w:rsidRPr="007F6AD7">
        <w:rPr>
          <w:rFonts w:ascii="Arial" w:hAnsi="Arial" w:cs="Arial"/>
          <w:vertAlign w:val="superscript"/>
          <w:lang w:eastAsia="ja-JP"/>
        </w:rPr>
        <w:footnoteReference w:id="297"/>
      </w:r>
      <w:r w:rsidR="00D278CF" w:rsidRPr="007F6AD7">
        <w:rPr>
          <w:rFonts w:ascii="Arial" w:hAnsi="Arial" w:cs="Arial"/>
          <w:lang w:eastAsia="ja-JP"/>
        </w:rPr>
        <w:t>. Estas obligaciones incluyen reconocer y proteger a</w:t>
      </w:r>
      <w:r w:rsidR="00D278CF" w:rsidRPr="007F6AD7">
        <w:rPr>
          <w:rFonts w:ascii="Arial" w:hAnsi="Arial" w:cs="Arial"/>
        </w:rPr>
        <w:t xml:space="preserve"> los </w:t>
      </w:r>
      <w:r w:rsidR="00D278CF" w:rsidRPr="007F6AD7">
        <w:rPr>
          <w:rFonts w:ascii="Arial" w:hAnsi="Arial" w:cs="Arial"/>
          <w:lang w:eastAsia="ja-JP"/>
        </w:rPr>
        <w:t>nacionales de origen, muy especialmente a la niñez, bajo cualquier circunstancia diplomática.</w:t>
      </w:r>
      <w:r w:rsidR="00744C79" w:rsidRPr="00744C79">
        <w:rPr>
          <w:rFonts w:ascii="Arial" w:hAnsi="Arial" w:cs="Arial"/>
          <w:vertAlign w:val="superscript"/>
          <w:lang w:eastAsia="ja-JP"/>
        </w:rPr>
        <w:t xml:space="preserve"> </w:t>
      </w:r>
      <w:r w:rsidR="00744C79">
        <w:rPr>
          <w:rFonts w:ascii="Arial" w:hAnsi="Arial" w:cs="Arial"/>
          <w:vertAlign w:val="superscript"/>
          <w:lang w:eastAsia="ja-JP"/>
        </w:rPr>
        <w:footnoteReference w:id="298"/>
      </w:r>
      <w:r w:rsidR="00744C79">
        <w:rPr>
          <w:rFonts w:ascii="Times New Roman" w:eastAsia="STKaiti" w:hAnsi="Times New Roman"/>
          <w:sz w:val="24"/>
          <w:szCs w:val="24"/>
          <w:lang w:eastAsia="es-ES"/>
        </w:rPr>
        <w:t xml:space="preserve"> </w:t>
      </w:r>
    </w:p>
    <w:p w14:paraId="345AAC9E" w14:textId="1A688F16" w:rsidR="006C0F55" w:rsidRPr="00BC6CD6" w:rsidRDefault="00D278CF" w:rsidP="00BC6CD6">
      <w:pPr>
        <w:tabs>
          <w:tab w:val="left" w:pos="567"/>
        </w:tabs>
        <w:spacing w:after="0" w:line="360" w:lineRule="auto"/>
        <w:jc w:val="both"/>
        <w:rPr>
          <w:rFonts w:ascii="Times New Roman" w:eastAsia="STKaiti" w:hAnsi="Times New Roman"/>
          <w:sz w:val="24"/>
          <w:szCs w:val="24"/>
          <w:lang w:eastAsia="es-ES"/>
        </w:rPr>
      </w:pPr>
      <w:r w:rsidRPr="007F6AD7">
        <w:rPr>
          <w:rFonts w:ascii="Arial" w:hAnsi="Arial" w:cs="Arial"/>
          <w:lang w:eastAsia="ja-JP"/>
        </w:rPr>
        <w:lastRenderedPageBreak/>
        <w:t xml:space="preserve"> </w:t>
      </w:r>
      <w:r w:rsidR="00BC6CD6">
        <w:rPr>
          <w:rFonts w:ascii="Arial" w:hAnsi="Arial" w:cs="Arial"/>
          <w:lang w:eastAsia="ja-JP"/>
        </w:rPr>
        <w:t xml:space="preserve">69.  </w:t>
      </w:r>
      <w:r w:rsidRPr="007F6AD7">
        <w:rPr>
          <w:rFonts w:ascii="Arial" w:hAnsi="Arial" w:cs="Arial"/>
          <w:lang w:eastAsia="ja-JP"/>
        </w:rPr>
        <w:t>La apatridia</w:t>
      </w:r>
      <w:r w:rsidR="00741A40" w:rsidRPr="007F6AD7">
        <w:rPr>
          <w:rFonts w:ascii="Arial" w:hAnsi="Arial" w:cs="Arial"/>
          <w:lang w:eastAsia="ja-JP"/>
        </w:rPr>
        <w:t xml:space="preserve"> </w:t>
      </w:r>
      <w:r w:rsidR="00D55E98" w:rsidRPr="007F6AD7">
        <w:rPr>
          <w:rStyle w:val="Refdenotaalpie"/>
          <w:rFonts w:ascii="Arial" w:hAnsi="Arial" w:cs="Arial"/>
        </w:rPr>
        <w:footnoteReference w:id="299"/>
      </w:r>
      <w:r w:rsidR="00D55E98" w:rsidRPr="007F6AD7">
        <w:rPr>
          <w:rFonts w:ascii="Arial" w:hAnsi="Arial" w:cs="Arial"/>
          <w:vertAlign w:val="superscript"/>
        </w:rPr>
        <w:t xml:space="preserve">,  </w:t>
      </w:r>
      <w:r w:rsidR="00D55E98" w:rsidRPr="007F6AD7">
        <w:rPr>
          <w:rStyle w:val="Refdenotaalpie"/>
          <w:rFonts w:ascii="Arial" w:hAnsi="Arial" w:cs="Arial"/>
          <w:lang w:eastAsia="es-MX"/>
        </w:rPr>
        <w:footnoteReference w:id="300"/>
      </w:r>
      <w:r w:rsidR="00D55E98" w:rsidRPr="007F6AD7">
        <w:rPr>
          <w:rFonts w:ascii="Arial" w:hAnsi="Arial" w:cs="Arial"/>
          <w:vertAlign w:val="superscript"/>
        </w:rPr>
        <w:t xml:space="preserve">,  </w:t>
      </w:r>
      <w:r w:rsidR="00D55E98" w:rsidRPr="007F6AD7">
        <w:rPr>
          <w:rStyle w:val="Refdenotaalpie"/>
          <w:rFonts w:ascii="Arial" w:hAnsi="Arial" w:cs="Arial"/>
        </w:rPr>
        <w:footnoteReference w:id="301"/>
      </w:r>
      <w:r w:rsidR="00D55E98" w:rsidRPr="007F6AD7">
        <w:rPr>
          <w:rFonts w:ascii="Arial" w:hAnsi="Arial" w:cs="Arial"/>
          <w:vertAlign w:val="superscript"/>
        </w:rPr>
        <w:t xml:space="preserve"> </w:t>
      </w:r>
      <w:r w:rsidRPr="007F6AD7">
        <w:rPr>
          <w:rFonts w:ascii="Arial" w:hAnsi="Arial" w:cs="Arial"/>
          <w:lang w:eastAsia="ja-JP"/>
        </w:rPr>
        <w:t xml:space="preserve"> es un complemento de la impunidad. El Consejo de Derechos Humanos de Naciones Unidas y varios expertos han alertado sobre las inconsistencias de la legislación cubana relacionada con los</w:t>
      </w:r>
      <w:r w:rsidR="0024337A" w:rsidRPr="007F6AD7">
        <w:rPr>
          <w:rFonts w:ascii="Arial" w:hAnsi="Arial" w:cs="Arial"/>
          <w:lang w:eastAsia="ja-JP"/>
        </w:rPr>
        <w:t xml:space="preserve"> </w:t>
      </w:r>
      <w:r w:rsidRPr="007F6AD7">
        <w:rPr>
          <w:rFonts w:ascii="Arial" w:hAnsi="Arial" w:cs="Arial"/>
          <w:lang w:eastAsia="ja-JP"/>
        </w:rPr>
        <w:t>asuntos de ciudadanía</w:t>
      </w:r>
      <w:r w:rsidR="0024337A" w:rsidRPr="007F6AD7">
        <w:rPr>
          <w:rFonts w:ascii="Arial" w:hAnsi="Arial" w:cs="Arial"/>
          <w:lang w:eastAsia="ja-JP"/>
        </w:rPr>
        <w:t>,</w:t>
      </w:r>
      <w:r w:rsidRPr="007F6AD7">
        <w:rPr>
          <w:rFonts w:ascii="Arial" w:hAnsi="Arial" w:cs="Arial"/>
          <w:lang w:eastAsia="ja-JP"/>
        </w:rPr>
        <w:t xml:space="preserve"> lo cual incumple lo establecido en cuerpos legales internacionales</w:t>
      </w:r>
      <w:r w:rsidR="0024337A" w:rsidRPr="007F6AD7">
        <w:rPr>
          <w:rFonts w:ascii="Arial" w:hAnsi="Arial" w:cs="Arial"/>
          <w:lang w:eastAsia="ja-JP"/>
        </w:rPr>
        <w:t xml:space="preserve"> </w:t>
      </w:r>
      <w:r w:rsidR="00741A40" w:rsidRPr="007F6AD7">
        <w:rPr>
          <w:rFonts w:ascii="Arial" w:hAnsi="Arial" w:cs="Arial"/>
          <w:vertAlign w:val="superscript"/>
          <w:lang w:eastAsia="ja-JP"/>
        </w:rPr>
        <w:t xml:space="preserve">   </w:t>
      </w:r>
      <w:r w:rsidR="0024337A" w:rsidRPr="007F6AD7">
        <w:rPr>
          <w:rFonts w:ascii="Arial" w:hAnsi="Arial" w:cs="Arial"/>
          <w:vertAlign w:val="superscript"/>
          <w:lang w:eastAsia="ja-JP"/>
        </w:rPr>
        <w:t xml:space="preserve">  </w:t>
      </w:r>
      <w:r w:rsidR="00741A40" w:rsidRPr="007F6AD7">
        <w:rPr>
          <w:rFonts w:ascii="Arial" w:hAnsi="Arial" w:cs="Arial"/>
          <w:lang w:eastAsia="ja-JP"/>
        </w:rPr>
        <w:t>ratificados por</w:t>
      </w:r>
      <w:r w:rsidRPr="007F6AD7">
        <w:rPr>
          <w:rFonts w:ascii="Arial" w:hAnsi="Arial" w:cs="Arial"/>
          <w:lang w:eastAsia="ja-JP"/>
        </w:rPr>
        <w:t xml:space="preserve"> Cuba</w:t>
      </w:r>
      <w:r w:rsidRPr="007F6AD7">
        <w:rPr>
          <w:rFonts w:ascii="Arial" w:hAnsi="Arial" w:cs="Arial"/>
        </w:rPr>
        <w:t xml:space="preserve">. </w:t>
      </w:r>
      <w:r w:rsidRPr="007F6AD7">
        <w:rPr>
          <w:rStyle w:val="Refdenotaalpie"/>
          <w:rFonts w:ascii="Arial" w:hAnsi="Arial" w:cs="Arial"/>
        </w:rPr>
        <w:footnoteReference w:id="302"/>
      </w:r>
      <w:r w:rsidRPr="007F6AD7">
        <w:rPr>
          <w:rFonts w:ascii="Arial" w:hAnsi="Arial" w:cs="Arial"/>
          <w:vertAlign w:val="superscript"/>
        </w:rPr>
        <w:t xml:space="preserve">, </w:t>
      </w:r>
      <w:r w:rsidR="00ED56DC" w:rsidRPr="007F6AD7">
        <w:rPr>
          <w:rFonts w:ascii="Arial" w:hAnsi="Arial" w:cs="Arial"/>
          <w:vertAlign w:val="superscript"/>
        </w:rPr>
        <w:t xml:space="preserve"> </w:t>
      </w:r>
      <w:r w:rsidRPr="007F6AD7">
        <w:rPr>
          <w:rStyle w:val="Refdenotaalpie"/>
          <w:rFonts w:ascii="Arial" w:hAnsi="Arial" w:cs="Arial"/>
        </w:rPr>
        <w:footnoteReference w:id="303"/>
      </w:r>
      <w:r w:rsidRPr="007F6AD7">
        <w:rPr>
          <w:rFonts w:ascii="Arial" w:hAnsi="Arial" w:cs="Arial"/>
          <w:vertAlign w:val="superscript"/>
        </w:rPr>
        <w:t>,</w:t>
      </w:r>
      <w:r w:rsidR="00D179B1" w:rsidRPr="007F6AD7">
        <w:rPr>
          <w:rFonts w:ascii="Arial" w:hAnsi="Arial" w:cs="Arial"/>
          <w:vertAlign w:val="superscript"/>
        </w:rPr>
        <w:t xml:space="preserve"> </w:t>
      </w:r>
      <w:r w:rsidRPr="007F6AD7">
        <w:rPr>
          <w:rFonts w:ascii="Arial" w:hAnsi="Arial" w:cs="Arial"/>
          <w:vertAlign w:val="superscript"/>
        </w:rPr>
        <w:t xml:space="preserve"> </w:t>
      </w:r>
      <w:r w:rsidRPr="007F6AD7">
        <w:rPr>
          <w:rStyle w:val="Refdenotaalpie"/>
          <w:rFonts w:ascii="Arial" w:hAnsi="Arial" w:cs="Arial"/>
        </w:rPr>
        <w:footnoteReference w:id="304"/>
      </w:r>
      <w:r w:rsidRPr="007F6AD7">
        <w:rPr>
          <w:rFonts w:ascii="Arial" w:hAnsi="Arial" w:cs="Arial"/>
          <w:vertAlign w:val="superscript"/>
        </w:rPr>
        <w:t xml:space="preserve">, </w:t>
      </w:r>
      <w:r w:rsidR="00D179B1" w:rsidRPr="007F6AD7">
        <w:rPr>
          <w:rFonts w:ascii="Arial" w:hAnsi="Arial" w:cs="Arial"/>
          <w:vertAlign w:val="superscript"/>
        </w:rPr>
        <w:t xml:space="preserve"> </w:t>
      </w:r>
      <w:r w:rsidRPr="007F6AD7">
        <w:rPr>
          <w:rStyle w:val="Refdenotaalpie"/>
          <w:rFonts w:ascii="Arial" w:hAnsi="Arial" w:cs="Arial"/>
        </w:rPr>
        <w:footnoteReference w:id="305"/>
      </w:r>
      <w:r w:rsidR="009F77F7" w:rsidRPr="007F6AD7">
        <w:rPr>
          <w:rFonts w:ascii="Arial" w:hAnsi="Arial" w:cs="Arial"/>
          <w:vertAlign w:val="superscript"/>
        </w:rPr>
        <w:t xml:space="preserve"> </w:t>
      </w:r>
      <w:r w:rsidR="005A2262" w:rsidRPr="007F6AD7">
        <w:rPr>
          <w:rFonts w:ascii="Arial" w:hAnsi="Arial" w:cs="Arial"/>
        </w:rPr>
        <w:t xml:space="preserve"> </w:t>
      </w:r>
      <w:r w:rsidR="005A2262" w:rsidRPr="007F6AD7">
        <w:rPr>
          <w:rFonts w:ascii="Arial" w:hAnsi="Arial" w:cs="Arial"/>
          <w:b/>
        </w:rPr>
        <w:t xml:space="preserve">ACDEI ruega al Comité CERD </w:t>
      </w:r>
      <w:r w:rsidR="006C0F55" w:rsidRPr="007F6AD7">
        <w:rPr>
          <w:rFonts w:ascii="Arial" w:hAnsi="Arial" w:cs="Arial"/>
          <w:b/>
        </w:rPr>
        <w:t>pregunt</w:t>
      </w:r>
      <w:r w:rsidR="00DA120B" w:rsidRPr="007F6AD7">
        <w:rPr>
          <w:rFonts w:ascii="Arial" w:hAnsi="Arial" w:cs="Arial"/>
          <w:b/>
        </w:rPr>
        <w:t xml:space="preserve">ar </w:t>
      </w:r>
      <w:r w:rsidR="005A2262" w:rsidRPr="007F6AD7">
        <w:rPr>
          <w:rFonts w:ascii="Arial" w:hAnsi="Arial" w:cs="Arial"/>
          <w:b/>
        </w:rPr>
        <w:t>al Estado cubano</w:t>
      </w:r>
      <w:r w:rsidR="006C0F55" w:rsidRPr="007F6AD7">
        <w:rPr>
          <w:rFonts w:ascii="Arial" w:hAnsi="Arial" w:cs="Arial"/>
          <w:b/>
        </w:rPr>
        <w:t>:</w:t>
      </w:r>
    </w:p>
    <w:p w14:paraId="71419FE2" w14:textId="78CC270A" w:rsidR="006C0F55" w:rsidRPr="007F6AD7" w:rsidRDefault="006C0F55" w:rsidP="006C0F55">
      <w:pPr>
        <w:pStyle w:val="Prrafodelista"/>
        <w:numPr>
          <w:ilvl w:val="0"/>
          <w:numId w:val="19"/>
        </w:numPr>
        <w:tabs>
          <w:tab w:val="left" w:pos="720"/>
        </w:tabs>
        <w:jc w:val="both"/>
        <w:rPr>
          <w:rFonts w:cs="Arial"/>
          <w:b/>
          <w:lang w:eastAsia="en-US"/>
        </w:rPr>
      </w:pPr>
      <w:r w:rsidRPr="007F6AD7">
        <w:rPr>
          <w:rFonts w:cs="Arial"/>
          <w:b/>
          <w:lang w:eastAsia="en-US"/>
        </w:rPr>
        <w:t xml:space="preserve">Los motivos protegidos del Decreto-Ley No. 352 </w:t>
      </w:r>
      <w:r w:rsidR="00D55E98" w:rsidRPr="007F6AD7">
        <w:rPr>
          <w:rFonts w:cs="Arial"/>
          <w:b/>
          <w:lang w:eastAsia="en-US"/>
        </w:rPr>
        <w:t>/2017</w:t>
      </w:r>
      <w:r w:rsidRPr="007F6AD7">
        <w:rPr>
          <w:rFonts w:cs="Arial"/>
          <w:b/>
          <w:lang w:eastAsia="en-US"/>
        </w:rPr>
        <w:t xml:space="preserve"> </w:t>
      </w:r>
      <w:r w:rsidR="003345E1" w:rsidRPr="007F6AD7">
        <w:rPr>
          <w:rFonts w:cs="Arial"/>
          <w:b/>
          <w:lang w:eastAsia="en-US"/>
        </w:rPr>
        <w:t>y en</w:t>
      </w:r>
      <w:r w:rsidRPr="007F6AD7">
        <w:rPr>
          <w:rFonts w:cs="Arial"/>
          <w:b/>
          <w:lang w:eastAsia="en-US"/>
        </w:rPr>
        <w:t xml:space="preserve"> particular del Articulo 20 del </w:t>
      </w:r>
      <w:r w:rsidR="00D55E98" w:rsidRPr="007F6AD7">
        <w:rPr>
          <w:rFonts w:cs="Arial"/>
          <w:b/>
          <w:lang w:eastAsia="en-US"/>
        </w:rPr>
        <w:t xml:space="preserve">propio </w:t>
      </w:r>
      <w:r w:rsidRPr="007F6AD7">
        <w:rPr>
          <w:rFonts w:cs="Arial"/>
          <w:b/>
          <w:lang w:eastAsia="en-US"/>
        </w:rPr>
        <w:t>Decreto-Ley No. 352.</w:t>
      </w:r>
    </w:p>
    <w:p w14:paraId="1988A62E" w14:textId="25287D89" w:rsidR="003345E1" w:rsidRPr="007F6AD7" w:rsidRDefault="003345E1" w:rsidP="006C0F55">
      <w:pPr>
        <w:pStyle w:val="Prrafodelista"/>
        <w:numPr>
          <w:ilvl w:val="0"/>
          <w:numId w:val="19"/>
        </w:numPr>
        <w:tabs>
          <w:tab w:val="left" w:pos="720"/>
        </w:tabs>
        <w:jc w:val="both"/>
        <w:rPr>
          <w:rFonts w:cs="Arial"/>
          <w:b/>
          <w:lang w:eastAsia="en-US"/>
        </w:rPr>
      </w:pPr>
      <w:r w:rsidRPr="007F6AD7">
        <w:rPr>
          <w:rFonts w:cs="Arial"/>
          <w:b/>
          <w:lang w:eastAsia="en-US"/>
        </w:rPr>
        <w:t xml:space="preserve">Las justificaciones </w:t>
      </w:r>
      <w:r w:rsidR="005D55D5" w:rsidRPr="007F6AD7">
        <w:rPr>
          <w:rFonts w:cs="Arial"/>
          <w:b/>
          <w:lang w:eastAsia="en-US"/>
        </w:rPr>
        <w:t xml:space="preserve">legales y humanitarias </w:t>
      </w:r>
      <w:r w:rsidR="00B56FA7" w:rsidRPr="007F6AD7">
        <w:rPr>
          <w:rFonts w:cs="Arial"/>
          <w:b/>
          <w:lang w:eastAsia="en-US"/>
        </w:rPr>
        <w:t>que sustentan</w:t>
      </w:r>
      <w:r w:rsidRPr="007F6AD7">
        <w:rPr>
          <w:rFonts w:cs="Arial"/>
          <w:b/>
          <w:lang w:eastAsia="en-US"/>
        </w:rPr>
        <w:t xml:space="preserve"> el trato diferenciado a </w:t>
      </w:r>
      <w:r w:rsidR="00D55E98" w:rsidRPr="007F6AD7">
        <w:rPr>
          <w:rFonts w:cs="Arial"/>
          <w:b/>
          <w:lang w:eastAsia="en-US"/>
        </w:rPr>
        <w:t>algunas</w:t>
      </w:r>
      <w:r w:rsidRPr="007F6AD7">
        <w:rPr>
          <w:rFonts w:cs="Arial"/>
          <w:b/>
          <w:lang w:eastAsia="en-US"/>
        </w:rPr>
        <w:t xml:space="preserve"> solicitudes de ciudadanía </w:t>
      </w:r>
      <w:r w:rsidR="00B56FA7" w:rsidRPr="007F6AD7">
        <w:rPr>
          <w:rFonts w:cs="Arial"/>
          <w:b/>
          <w:lang w:eastAsia="en-US"/>
        </w:rPr>
        <w:t xml:space="preserve">cubana </w:t>
      </w:r>
      <w:r w:rsidR="00ED56DC" w:rsidRPr="007F6AD7">
        <w:rPr>
          <w:rFonts w:cs="Arial"/>
          <w:b/>
          <w:lang w:eastAsia="en-US"/>
        </w:rPr>
        <w:t>de niños</w:t>
      </w:r>
      <w:r w:rsidRPr="007F6AD7">
        <w:rPr>
          <w:rFonts w:cs="Arial"/>
          <w:b/>
          <w:lang w:eastAsia="en-US"/>
        </w:rPr>
        <w:t xml:space="preserve"> y niñas</w:t>
      </w:r>
      <w:r w:rsidR="00E64F91" w:rsidRPr="007F6AD7">
        <w:rPr>
          <w:rFonts w:cs="Arial"/>
          <w:b/>
          <w:lang w:eastAsia="en-US"/>
        </w:rPr>
        <w:t>.</w:t>
      </w:r>
      <w:r w:rsidRPr="007F6AD7">
        <w:rPr>
          <w:rFonts w:cs="Arial"/>
          <w:b/>
          <w:lang w:eastAsia="en-US"/>
        </w:rPr>
        <w:t xml:space="preserve"> </w:t>
      </w:r>
    </w:p>
    <w:p w14:paraId="3274D549" w14:textId="7281BDC6" w:rsidR="0018078B" w:rsidRPr="00DA7CB5" w:rsidRDefault="00223EEF" w:rsidP="00DA7CB5">
      <w:pPr>
        <w:pStyle w:val="Ttulo1"/>
        <w:rPr>
          <w:rStyle w:val="nfasis"/>
        </w:rPr>
      </w:pPr>
      <w:bookmarkStart w:id="112" w:name="_Toc515359810"/>
      <w:r w:rsidRPr="00DA7CB5">
        <w:rPr>
          <w:rStyle w:val="nfasis"/>
        </w:rPr>
        <w:t xml:space="preserve">D. </w:t>
      </w:r>
      <w:r w:rsidR="00064377" w:rsidRPr="00DA7CB5">
        <w:rPr>
          <w:rStyle w:val="nfasis"/>
        </w:rPr>
        <w:t xml:space="preserve">Compromisos </w:t>
      </w:r>
      <w:r w:rsidRPr="00DA7CB5">
        <w:rPr>
          <w:rStyle w:val="nfasis"/>
        </w:rPr>
        <w:t>I</w:t>
      </w:r>
      <w:r w:rsidR="00064377" w:rsidRPr="00DA7CB5">
        <w:rPr>
          <w:rStyle w:val="nfasis"/>
        </w:rPr>
        <w:t>nternacionales</w:t>
      </w:r>
      <w:r w:rsidR="00E81657" w:rsidRPr="00DA7CB5">
        <w:rPr>
          <w:rStyle w:val="nfasis"/>
        </w:rPr>
        <w:t xml:space="preserve"> </w:t>
      </w:r>
      <w:r w:rsidR="00064377" w:rsidRPr="00DA7CB5">
        <w:rPr>
          <w:rStyle w:val="nfasis"/>
        </w:rPr>
        <w:t xml:space="preserve">y </w:t>
      </w:r>
      <w:r w:rsidRPr="00DA7CB5">
        <w:rPr>
          <w:rStyle w:val="nfasis"/>
        </w:rPr>
        <w:t>O</w:t>
      </w:r>
      <w:r w:rsidR="00064377" w:rsidRPr="00DA7CB5">
        <w:rPr>
          <w:rStyle w:val="nfasis"/>
        </w:rPr>
        <w:t xml:space="preserve">bligaciones </w:t>
      </w:r>
      <w:r w:rsidR="006D243B" w:rsidRPr="00DA7CB5">
        <w:rPr>
          <w:rStyle w:val="nfasis"/>
        </w:rPr>
        <w:t>N</w:t>
      </w:r>
      <w:r w:rsidR="00064377" w:rsidRPr="00DA7CB5">
        <w:rPr>
          <w:rStyle w:val="nfasis"/>
        </w:rPr>
        <w:t>acionales</w:t>
      </w:r>
      <w:r w:rsidR="00E81657" w:rsidRPr="00DA7CB5">
        <w:rPr>
          <w:rStyle w:val="nfasis"/>
        </w:rPr>
        <w:t xml:space="preserve"> </w:t>
      </w:r>
      <w:r w:rsidR="00561EB1" w:rsidRPr="00DA7CB5">
        <w:rPr>
          <w:rStyle w:val="nfasis"/>
        </w:rPr>
        <w:t>con</w:t>
      </w:r>
      <w:r w:rsidR="00064377" w:rsidRPr="00DA7CB5">
        <w:rPr>
          <w:rStyle w:val="nfasis"/>
        </w:rPr>
        <w:t xml:space="preserve"> </w:t>
      </w:r>
      <w:r w:rsidR="00561EB1" w:rsidRPr="00DA7CB5">
        <w:rPr>
          <w:rStyle w:val="nfasis"/>
        </w:rPr>
        <w:t xml:space="preserve">Ausencia de Regulación y </w:t>
      </w:r>
      <w:r w:rsidRPr="00DA7CB5">
        <w:rPr>
          <w:rStyle w:val="nfasis"/>
        </w:rPr>
        <w:t>L</w:t>
      </w:r>
      <w:r w:rsidR="00064377" w:rsidRPr="00DA7CB5">
        <w:rPr>
          <w:rStyle w:val="nfasis"/>
        </w:rPr>
        <w:t>agunas</w:t>
      </w:r>
      <w:r w:rsidR="00513FE2" w:rsidRPr="00DA7CB5">
        <w:rPr>
          <w:rStyle w:val="nfasis"/>
        </w:rPr>
        <w:t xml:space="preserve"> de la</w:t>
      </w:r>
      <w:r w:rsidR="007B197D" w:rsidRPr="00DA7CB5">
        <w:rPr>
          <w:rStyle w:val="nfasis"/>
        </w:rPr>
        <w:t>s</w:t>
      </w:r>
      <w:r w:rsidR="00513FE2" w:rsidRPr="00DA7CB5">
        <w:rPr>
          <w:rStyle w:val="nfasis"/>
        </w:rPr>
        <w:t xml:space="preserve"> </w:t>
      </w:r>
      <w:r w:rsidR="006D243B" w:rsidRPr="00DA7CB5">
        <w:rPr>
          <w:rStyle w:val="nfasis"/>
        </w:rPr>
        <w:t>L</w:t>
      </w:r>
      <w:r w:rsidR="00513FE2" w:rsidRPr="00DA7CB5">
        <w:rPr>
          <w:rStyle w:val="nfasis"/>
        </w:rPr>
        <w:t>ey</w:t>
      </w:r>
      <w:r w:rsidR="007B197D" w:rsidRPr="00DA7CB5">
        <w:rPr>
          <w:rStyle w:val="nfasis"/>
        </w:rPr>
        <w:t>es</w:t>
      </w:r>
      <w:bookmarkEnd w:id="112"/>
      <w:r w:rsidR="0018078B" w:rsidRPr="00DA7CB5">
        <w:rPr>
          <w:rStyle w:val="nfasis"/>
        </w:rPr>
        <w:t xml:space="preserve"> </w:t>
      </w:r>
    </w:p>
    <w:p w14:paraId="7E966F9B" w14:textId="29E165CE" w:rsidR="00EE1343" w:rsidRPr="007F6AD7" w:rsidRDefault="00BC6CD6" w:rsidP="00BC6CD6">
      <w:pPr>
        <w:spacing w:after="0" w:line="360" w:lineRule="auto"/>
        <w:jc w:val="both"/>
        <w:rPr>
          <w:rFonts w:ascii="Arial" w:hAnsi="Arial" w:cs="Arial"/>
        </w:rPr>
      </w:pPr>
      <w:r>
        <w:rPr>
          <w:rFonts w:ascii="Arial" w:hAnsi="Arial" w:cs="Arial"/>
        </w:rPr>
        <w:t>70.  D</w:t>
      </w:r>
      <w:r w:rsidRPr="007F6AD7">
        <w:rPr>
          <w:rFonts w:ascii="Arial" w:hAnsi="Arial" w:cs="Arial"/>
        </w:rPr>
        <w:t>ebido a la codificación de los derechos humanos en tratados internacionales</w:t>
      </w:r>
      <w:r>
        <w:rPr>
          <w:rFonts w:ascii="Arial" w:hAnsi="Arial" w:cs="Arial"/>
        </w:rPr>
        <w:t>,</w:t>
      </w:r>
      <w:r w:rsidRPr="007F6AD7">
        <w:rPr>
          <w:rFonts w:ascii="Arial" w:hAnsi="Arial" w:cs="Arial"/>
        </w:rPr>
        <w:t xml:space="preserve"> </w:t>
      </w:r>
      <w:r>
        <w:rPr>
          <w:rFonts w:ascii="Arial" w:hAnsi="Arial" w:cs="Arial"/>
        </w:rPr>
        <w:t>e</w:t>
      </w:r>
      <w:r w:rsidR="00A3126C" w:rsidRPr="007F6AD7">
        <w:rPr>
          <w:rFonts w:ascii="Arial" w:hAnsi="Arial" w:cs="Arial"/>
        </w:rPr>
        <w:t>l Derecho Internacional ha sufrido un cambio revolucionario</w:t>
      </w:r>
      <w:r w:rsidR="00FF7D9E" w:rsidRPr="007F6AD7">
        <w:rPr>
          <w:rFonts w:ascii="Arial" w:hAnsi="Arial" w:cs="Arial"/>
        </w:rPr>
        <w:t xml:space="preserve">. </w:t>
      </w:r>
      <w:r w:rsidR="00FF7D9E" w:rsidRPr="007F6AD7">
        <w:rPr>
          <w:rFonts w:ascii="Arial" w:hAnsi="Arial" w:cs="Arial"/>
          <w:lang w:eastAsia="ja-JP"/>
        </w:rPr>
        <w:t>Gracias a la relevancia adquirida mundialmente,</w:t>
      </w:r>
      <w:r w:rsidR="00FF7D9E" w:rsidRPr="007F6AD7">
        <w:rPr>
          <w:rFonts w:ascii="Arial" w:hAnsi="Arial" w:cs="Arial"/>
        </w:rPr>
        <w:t xml:space="preserve"> </w:t>
      </w:r>
      <w:r w:rsidR="00E81657" w:rsidRPr="007F6AD7">
        <w:rPr>
          <w:rFonts w:ascii="Arial" w:hAnsi="Arial" w:cs="Arial"/>
          <w:lang w:eastAsia="ja-JP"/>
        </w:rPr>
        <w:t xml:space="preserve">los instrumentos internacionales de </w:t>
      </w:r>
      <w:r w:rsidR="00FF7D9E" w:rsidRPr="007F6AD7">
        <w:rPr>
          <w:rFonts w:ascii="Arial" w:hAnsi="Arial" w:cs="Arial"/>
          <w:lang w:eastAsia="ja-JP"/>
        </w:rPr>
        <w:t>protección</w:t>
      </w:r>
      <w:r w:rsidR="00E81657" w:rsidRPr="007F6AD7">
        <w:rPr>
          <w:rFonts w:ascii="Arial" w:hAnsi="Arial" w:cs="Arial"/>
          <w:lang w:eastAsia="ja-JP"/>
        </w:rPr>
        <w:t xml:space="preserve"> de los derechos humanos </w:t>
      </w:r>
      <w:r w:rsidR="00FF7D9E" w:rsidRPr="007F6AD7">
        <w:rPr>
          <w:rFonts w:ascii="Arial" w:hAnsi="Arial" w:cs="Arial"/>
          <w:lang w:eastAsia="ja-JP"/>
        </w:rPr>
        <w:t>se han</w:t>
      </w:r>
      <w:r w:rsidR="00A3126C" w:rsidRPr="007F6AD7">
        <w:rPr>
          <w:rFonts w:ascii="Arial" w:hAnsi="Arial" w:cs="Arial"/>
          <w:lang w:eastAsia="ja-JP"/>
        </w:rPr>
        <w:t xml:space="preserve"> convertido </w:t>
      </w:r>
      <w:r w:rsidR="00FF7D9E" w:rsidRPr="007F6AD7">
        <w:rPr>
          <w:rFonts w:ascii="Arial" w:hAnsi="Arial" w:cs="Arial"/>
          <w:lang w:eastAsia="ja-JP"/>
        </w:rPr>
        <w:t>en importante</w:t>
      </w:r>
      <w:r w:rsidR="00A3126C" w:rsidRPr="007F6AD7">
        <w:rPr>
          <w:rFonts w:ascii="Arial" w:hAnsi="Arial" w:cs="Arial"/>
          <w:lang w:eastAsia="ja-JP"/>
        </w:rPr>
        <w:t xml:space="preserve"> fuente de derecho y progresivamente se han incorporado a la legislación interna de los</w:t>
      </w:r>
      <w:r w:rsidR="00586C37" w:rsidRPr="007F6AD7">
        <w:rPr>
          <w:rFonts w:ascii="Arial" w:hAnsi="Arial" w:cs="Arial"/>
          <w:lang w:eastAsia="ja-JP"/>
        </w:rPr>
        <w:t xml:space="preserve"> </w:t>
      </w:r>
      <w:r w:rsidR="005D55D5" w:rsidRPr="007F6AD7">
        <w:rPr>
          <w:rFonts w:ascii="Arial" w:hAnsi="Arial" w:cs="Arial"/>
          <w:lang w:eastAsia="ja-JP"/>
        </w:rPr>
        <w:t xml:space="preserve">Estados. </w:t>
      </w:r>
      <w:r w:rsidR="005D55D5" w:rsidRPr="007F6AD7">
        <w:rPr>
          <w:rFonts w:ascii="Arial" w:hAnsi="Arial" w:cs="Arial"/>
        </w:rPr>
        <w:t xml:space="preserve">Dichas transformaciones se han </w:t>
      </w:r>
      <w:r w:rsidR="00766ED7" w:rsidRPr="007F6AD7">
        <w:rPr>
          <w:rFonts w:ascii="Arial" w:hAnsi="Arial" w:cs="Arial"/>
          <w:lang w:eastAsia="ja-JP"/>
        </w:rPr>
        <w:t xml:space="preserve">convertido </w:t>
      </w:r>
      <w:r w:rsidR="005D55D5" w:rsidRPr="007F6AD7">
        <w:rPr>
          <w:rFonts w:ascii="Arial" w:hAnsi="Arial" w:cs="Arial"/>
          <w:lang w:eastAsia="ja-JP"/>
        </w:rPr>
        <w:t>en una</w:t>
      </w:r>
      <w:r w:rsidR="00FF7D9E" w:rsidRPr="007F6AD7">
        <w:rPr>
          <w:rFonts w:ascii="Arial" w:hAnsi="Arial" w:cs="Arial"/>
          <w:lang w:eastAsia="ja-JP"/>
        </w:rPr>
        <w:t xml:space="preserve"> auténtica reforma del régimen legal que predomina en Cuba.</w:t>
      </w:r>
      <w:r w:rsidR="00FF7D9E" w:rsidRPr="007F6AD7">
        <w:rPr>
          <w:rFonts w:ascii="Arial" w:hAnsi="Arial" w:cs="Arial"/>
        </w:rPr>
        <w:t xml:space="preserve"> </w:t>
      </w:r>
      <w:r>
        <w:rPr>
          <w:rFonts w:ascii="Arial" w:hAnsi="Arial" w:cs="Arial"/>
        </w:rPr>
        <w:t xml:space="preserve"> </w:t>
      </w:r>
      <w:r w:rsidR="00766ED7" w:rsidRPr="007F6AD7">
        <w:rPr>
          <w:rFonts w:ascii="Arial" w:hAnsi="Arial" w:cs="Arial"/>
        </w:rPr>
        <w:t>Junto a</w:t>
      </w:r>
      <w:r w:rsidR="00766ED7" w:rsidRPr="007F6AD7">
        <w:rPr>
          <w:rFonts w:ascii="Arial" w:hAnsi="Arial" w:cs="Arial"/>
          <w:lang w:eastAsia="ja-JP"/>
        </w:rPr>
        <w:t xml:space="preserve"> </w:t>
      </w:r>
      <w:r w:rsidR="00D14EC3" w:rsidRPr="007F6AD7">
        <w:rPr>
          <w:rFonts w:ascii="Arial" w:hAnsi="Arial" w:cs="Arial"/>
          <w:lang w:eastAsia="ja-JP"/>
        </w:rPr>
        <w:t xml:space="preserve">los avances en el tema de la </w:t>
      </w:r>
      <w:r w:rsidR="00766ED7" w:rsidRPr="007F6AD7">
        <w:rPr>
          <w:rFonts w:ascii="Arial" w:hAnsi="Arial" w:cs="Arial"/>
          <w:lang w:eastAsia="ja-JP"/>
        </w:rPr>
        <w:t>niñez,</w:t>
      </w:r>
      <w:r w:rsidR="00D14EC3" w:rsidRPr="007F6AD7">
        <w:rPr>
          <w:rFonts w:ascii="Arial" w:hAnsi="Arial" w:cs="Arial"/>
          <w:lang w:eastAsia="ja-JP"/>
        </w:rPr>
        <w:t xml:space="preserve"> visibles en toda la nación, los </w:t>
      </w:r>
      <w:r w:rsidR="00766ED7" w:rsidRPr="007F6AD7">
        <w:rPr>
          <w:rFonts w:ascii="Arial" w:hAnsi="Arial" w:cs="Arial"/>
          <w:lang w:eastAsia="ja-JP"/>
        </w:rPr>
        <w:t xml:space="preserve">prolongados </w:t>
      </w:r>
      <w:r w:rsidR="00D14EC3" w:rsidRPr="007F6AD7">
        <w:rPr>
          <w:rFonts w:ascii="Arial" w:hAnsi="Arial" w:cs="Arial"/>
          <w:lang w:eastAsia="ja-JP"/>
        </w:rPr>
        <w:t xml:space="preserve">desafíos en </w:t>
      </w:r>
      <w:r w:rsidR="00D14EC3" w:rsidRPr="007F6AD7">
        <w:rPr>
          <w:rFonts w:ascii="Arial" w:hAnsi="Arial" w:cs="Arial"/>
          <w:lang w:eastAsia="ja-JP"/>
        </w:rPr>
        <w:lastRenderedPageBreak/>
        <w:t xml:space="preserve">materia de la efectiva vigencia de los derechos de la niñez </w:t>
      </w:r>
      <w:r w:rsidR="00B56FA7" w:rsidRPr="007F6AD7">
        <w:rPr>
          <w:rFonts w:ascii="Arial" w:hAnsi="Arial" w:cs="Arial"/>
          <w:lang w:eastAsia="ja-JP"/>
        </w:rPr>
        <w:t xml:space="preserve">cubana </w:t>
      </w:r>
      <w:r w:rsidR="00D14EC3" w:rsidRPr="007F6AD7">
        <w:rPr>
          <w:rFonts w:ascii="Arial" w:hAnsi="Arial" w:cs="Arial"/>
          <w:lang w:eastAsia="ja-JP"/>
        </w:rPr>
        <w:t xml:space="preserve">son </w:t>
      </w:r>
      <w:r w:rsidR="008F6A12" w:rsidRPr="007F6AD7">
        <w:rPr>
          <w:rFonts w:ascii="Arial" w:hAnsi="Arial" w:cs="Arial"/>
          <w:lang w:eastAsia="ja-JP"/>
        </w:rPr>
        <w:t xml:space="preserve">asimismo muy </w:t>
      </w:r>
      <w:r w:rsidR="00B56FA7" w:rsidRPr="007F6AD7">
        <w:rPr>
          <w:rFonts w:ascii="Arial" w:hAnsi="Arial" w:cs="Arial"/>
          <w:lang w:eastAsia="ja-JP"/>
        </w:rPr>
        <w:t>evidentes</w:t>
      </w:r>
      <w:r w:rsidR="00E547AB" w:rsidRPr="007F6AD7">
        <w:rPr>
          <w:rFonts w:ascii="Arial" w:hAnsi="Arial" w:cs="Arial"/>
          <w:lang w:eastAsia="ja-JP"/>
        </w:rPr>
        <w:t xml:space="preserve"> a causa de </w:t>
      </w:r>
      <w:r w:rsidR="000A010C" w:rsidRPr="007F6AD7">
        <w:rPr>
          <w:rFonts w:ascii="Arial" w:hAnsi="Arial" w:cs="Arial"/>
          <w:lang w:eastAsia="ja-JP"/>
        </w:rPr>
        <w:t>la postura</w:t>
      </w:r>
      <w:r w:rsidR="00E547AB" w:rsidRPr="007F6AD7">
        <w:rPr>
          <w:rFonts w:ascii="Arial" w:hAnsi="Arial" w:cs="Arial"/>
          <w:lang w:eastAsia="ja-JP"/>
        </w:rPr>
        <w:t xml:space="preserve"> cautelosa asumida </w:t>
      </w:r>
      <w:r w:rsidR="000A010C" w:rsidRPr="007F6AD7">
        <w:rPr>
          <w:rFonts w:ascii="Arial" w:hAnsi="Arial" w:cs="Arial"/>
          <w:lang w:eastAsia="ja-JP"/>
        </w:rPr>
        <w:t xml:space="preserve">por </w:t>
      </w:r>
      <w:r w:rsidR="00214B2A" w:rsidRPr="007F6AD7">
        <w:rPr>
          <w:rFonts w:ascii="Arial" w:hAnsi="Arial" w:cs="Arial"/>
          <w:lang w:eastAsia="ja-JP"/>
        </w:rPr>
        <w:t>Cuba</w:t>
      </w:r>
      <w:r w:rsidR="00744C79">
        <w:rPr>
          <w:rFonts w:ascii="Arial" w:hAnsi="Arial" w:cs="Arial"/>
          <w:lang w:eastAsia="ja-JP"/>
        </w:rPr>
        <w:t>.</w:t>
      </w:r>
      <w:r w:rsidR="00214B2A" w:rsidRPr="007F6AD7">
        <w:rPr>
          <w:rFonts w:ascii="Arial" w:hAnsi="Arial" w:cs="Arial"/>
          <w:lang w:eastAsia="ja-JP"/>
        </w:rPr>
        <w:t xml:space="preserve"> </w:t>
      </w:r>
      <w:r w:rsidR="00A53647" w:rsidRPr="007F6AD7">
        <w:rPr>
          <w:rFonts w:ascii="Arial" w:hAnsi="Arial" w:cs="Arial"/>
          <w:lang w:eastAsia="ja-JP"/>
        </w:rPr>
        <w:t>Un problema que afecta al dogma de la plenitud en todos los ordenamientos jurídicos</w:t>
      </w:r>
      <w:r w:rsidR="00A53647">
        <w:rPr>
          <w:rFonts w:ascii="Arial" w:hAnsi="Arial" w:cs="Arial"/>
          <w:lang w:eastAsia="ja-JP"/>
        </w:rPr>
        <w:t xml:space="preserve"> consiste en</w:t>
      </w:r>
      <w:r w:rsidR="006D243B" w:rsidRPr="007F6AD7">
        <w:rPr>
          <w:rFonts w:ascii="Arial" w:hAnsi="Arial" w:cs="Arial"/>
          <w:lang w:eastAsia="ja-JP"/>
        </w:rPr>
        <w:t xml:space="preserve"> </w:t>
      </w:r>
      <w:r w:rsidR="00A53647">
        <w:rPr>
          <w:rFonts w:ascii="Arial" w:hAnsi="Arial" w:cs="Arial"/>
          <w:lang w:eastAsia="ja-JP"/>
        </w:rPr>
        <w:t xml:space="preserve">la </w:t>
      </w:r>
      <w:r w:rsidR="00A53647" w:rsidRPr="007F6AD7">
        <w:rPr>
          <w:rFonts w:ascii="Arial" w:hAnsi="Arial" w:cs="Arial"/>
          <w:lang w:eastAsia="ja-JP"/>
        </w:rPr>
        <w:t xml:space="preserve">ausencia de regulación </w:t>
      </w:r>
      <w:r w:rsidR="00A53647">
        <w:rPr>
          <w:rFonts w:ascii="Arial" w:hAnsi="Arial" w:cs="Arial"/>
          <w:lang w:eastAsia="ja-JP"/>
        </w:rPr>
        <w:t>de injustos muy graves, además de</w:t>
      </w:r>
      <w:r w:rsidR="00214B2A" w:rsidRPr="007F6AD7">
        <w:rPr>
          <w:rFonts w:ascii="Arial" w:hAnsi="Arial" w:cs="Arial"/>
          <w:lang w:eastAsia="ja-JP"/>
        </w:rPr>
        <w:t xml:space="preserve"> </w:t>
      </w:r>
      <w:r w:rsidR="00A53647">
        <w:rPr>
          <w:rFonts w:ascii="Arial" w:hAnsi="Arial" w:cs="Arial"/>
          <w:lang w:eastAsia="ja-JP"/>
        </w:rPr>
        <w:t xml:space="preserve">las </w:t>
      </w:r>
      <w:r w:rsidR="00214B2A" w:rsidRPr="007F6AD7">
        <w:rPr>
          <w:rFonts w:ascii="Arial" w:hAnsi="Arial" w:cs="Arial"/>
          <w:lang w:eastAsia="ja-JP"/>
        </w:rPr>
        <w:t xml:space="preserve">lagunas </w:t>
      </w:r>
      <w:r w:rsidR="00160633" w:rsidRPr="007F6AD7">
        <w:rPr>
          <w:rFonts w:ascii="Arial" w:hAnsi="Arial" w:cs="Arial"/>
          <w:lang w:eastAsia="ja-JP"/>
        </w:rPr>
        <w:t>de las leyes</w:t>
      </w:r>
      <w:r w:rsidR="00766ED7" w:rsidRPr="007F6AD7">
        <w:rPr>
          <w:rFonts w:ascii="Arial" w:hAnsi="Arial" w:cs="Arial"/>
          <w:lang w:eastAsia="ja-JP"/>
        </w:rPr>
        <w:t>,</w:t>
      </w:r>
      <w:r w:rsidR="00160633" w:rsidRPr="007F6AD7">
        <w:rPr>
          <w:rFonts w:ascii="Arial" w:hAnsi="Arial" w:cs="Arial"/>
          <w:lang w:eastAsia="ja-JP"/>
        </w:rPr>
        <w:t xml:space="preserve"> </w:t>
      </w:r>
      <w:r w:rsidR="00EE1343" w:rsidRPr="007F6AD7">
        <w:rPr>
          <w:rFonts w:ascii="Arial" w:hAnsi="Arial" w:cs="Arial"/>
        </w:rPr>
        <w:t>El uso de términos vagos y ambiguos en algunas disposiciones, podría dar lugar a un amplio margen de discrecionalidad en la aplicación de la Ley.</w:t>
      </w:r>
      <w:r w:rsidR="00EE1343" w:rsidRPr="007F6AD7">
        <w:rPr>
          <w:rStyle w:val="Refdenotaalpie"/>
          <w:rFonts w:ascii="Arial" w:hAnsi="Arial" w:cs="Arial"/>
        </w:rPr>
        <w:footnoteReference w:id="306"/>
      </w:r>
      <w:r w:rsidR="00EE1343" w:rsidRPr="007F6AD7">
        <w:rPr>
          <w:rFonts w:ascii="Arial" w:hAnsi="Arial" w:cs="Arial"/>
          <w:vertAlign w:val="superscript"/>
        </w:rPr>
        <w:t xml:space="preserve">, </w:t>
      </w:r>
      <w:r w:rsidR="00EE1343" w:rsidRPr="007F6AD7">
        <w:rPr>
          <w:rStyle w:val="Refdenotaalpie"/>
          <w:rFonts w:ascii="Arial" w:hAnsi="Arial" w:cs="Arial"/>
        </w:rPr>
        <w:footnoteReference w:id="307"/>
      </w:r>
      <w:r w:rsidR="00EE1343" w:rsidRPr="007F6AD7">
        <w:rPr>
          <w:rFonts w:ascii="Arial" w:hAnsi="Arial" w:cs="Arial"/>
          <w:vertAlign w:val="superscript"/>
        </w:rPr>
        <w:t xml:space="preserve"> </w:t>
      </w:r>
      <w:r w:rsidR="00766ED7" w:rsidRPr="007F6AD7">
        <w:rPr>
          <w:rFonts w:ascii="Arial" w:hAnsi="Arial" w:cs="Arial"/>
          <w:vertAlign w:val="superscript"/>
        </w:rPr>
        <w:t xml:space="preserve">, </w:t>
      </w:r>
      <w:r w:rsidR="00766ED7" w:rsidRPr="007F6AD7">
        <w:rPr>
          <w:rStyle w:val="Refdenotaalpie"/>
          <w:rFonts w:ascii="Arial" w:hAnsi="Arial" w:cs="Arial"/>
          <w:lang w:eastAsia="ja-JP"/>
        </w:rPr>
        <w:footnoteReference w:id="308"/>
      </w:r>
    </w:p>
    <w:p w14:paraId="731B4130" w14:textId="6E64D462" w:rsidR="00857AFB" w:rsidRPr="007F6AD7" w:rsidRDefault="00857AFB" w:rsidP="006B1A3F">
      <w:pPr>
        <w:pStyle w:val="Ttulo3"/>
      </w:pPr>
      <w:bookmarkStart w:id="113" w:name="_Toc515359811"/>
      <w:r w:rsidRPr="007F6AD7">
        <w:t xml:space="preserve">Derechos sexuales y </w:t>
      </w:r>
      <w:r w:rsidR="00EF7270" w:rsidRPr="007F6AD7">
        <w:t xml:space="preserve">derechos </w:t>
      </w:r>
      <w:r w:rsidRPr="007F6AD7">
        <w:t>reproductivos en</w:t>
      </w:r>
      <w:r w:rsidR="00E64F91" w:rsidRPr="007F6AD7">
        <w:t xml:space="preserve"> las</w:t>
      </w:r>
      <w:r w:rsidRPr="007F6AD7">
        <w:t xml:space="preserve"> edades tempranas</w:t>
      </w:r>
      <w:bookmarkEnd w:id="113"/>
    </w:p>
    <w:p w14:paraId="7B44D54D" w14:textId="421A77C0" w:rsidR="00857AFB" w:rsidRPr="007F6AD7" w:rsidRDefault="00BC6CD6" w:rsidP="00BC6CD6">
      <w:pPr>
        <w:tabs>
          <w:tab w:val="left" w:pos="720"/>
        </w:tabs>
        <w:autoSpaceDE w:val="0"/>
        <w:autoSpaceDN w:val="0"/>
        <w:adjustRightInd w:val="0"/>
        <w:spacing w:after="0" w:line="360" w:lineRule="auto"/>
        <w:jc w:val="both"/>
        <w:rPr>
          <w:rFonts w:ascii="Arial" w:hAnsi="Arial" w:cs="Arial"/>
        </w:rPr>
      </w:pPr>
      <w:r>
        <w:rPr>
          <w:rFonts w:ascii="Arial" w:hAnsi="Arial" w:cs="Arial"/>
        </w:rPr>
        <w:t xml:space="preserve">71.   </w:t>
      </w:r>
      <w:r w:rsidR="00857AFB" w:rsidRPr="007F6AD7">
        <w:rPr>
          <w:rFonts w:ascii="Arial" w:hAnsi="Arial" w:cs="Arial"/>
        </w:rPr>
        <w:t>Análisis demográficos manifiestan la paradoja que vive Cuba al presentar indicadores de baja fecundidad y en contraste, la persistencia de elevadas tasas de fecundidad de adolescentes, con preferencia al crecimiento en el rango de edades de 12 a 14 años</w:t>
      </w:r>
      <w:r w:rsidR="00211E42" w:rsidRPr="007F6AD7">
        <w:rPr>
          <w:rFonts w:ascii="Arial" w:hAnsi="Arial" w:cs="Arial"/>
        </w:rPr>
        <w:t xml:space="preserve">, cuando por ley (delito de estupro) la anuencia del pasivo es irrelevante para el orden penal. </w:t>
      </w:r>
      <w:r w:rsidR="00857AFB" w:rsidRPr="007F6AD7">
        <w:rPr>
          <w:rFonts w:ascii="Arial" w:hAnsi="Arial" w:cs="Arial"/>
        </w:rPr>
        <w:t xml:space="preserve">En el grupo de 15 y 19 años, la fecundidad disminuye sutilmente desde los últimos años. </w:t>
      </w:r>
      <w:r w:rsidR="00857AFB" w:rsidRPr="007F6AD7">
        <w:rPr>
          <w:rFonts w:ascii="Arial" w:hAnsi="Arial" w:cs="Arial"/>
          <w:vertAlign w:val="superscript"/>
        </w:rPr>
        <w:footnoteReference w:id="309"/>
      </w:r>
      <w:r w:rsidR="00386574" w:rsidRPr="007F6AD7">
        <w:rPr>
          <w:rFonts w:ascii="Arial" w:hAnsi="Arial" w:cs="Arial"/>
        </w:rPr>
        <w:t xml:space="preserve"> </w:t>
      </w:r>
      <w:r w:rsidR="00857AFB" w:rsidRPr="007F6AD7">
        <w:rPr>
          <w:rFonts w:ascii="Arial" w:hAnsi="Arial" w:cs="Arial"/>
        </w:rPr>
        <w:t>Como tendencia, los adolescentes cubanos inician las relaciones sexuales entre los 13 y 15 años. Conforme con la Encuesta Nacional de Fecundidad del 2009, el 30% de las personas de estas edades, de ambos sexos, tuvo su primera relación sexual sin protección.</w:t>
      </w:r>
      <w:r w:rsidR="00857AFB" w:rsidRPr="007F6AD7">
        <w:rPr>
          <w:rStyle w:val="Refdenotaalpie"/>
          <w:rFonts w:ascii="Arial" w:hAnsi="Arial" w:cs="Arial"/>
        </w:rPr>
        <w:footnoteReference w:id="310"/>
      </w:r>
      <w:r w:rsidR="00857AFB" w:rsidRPr="007F6AD7">
        <w:rPr>
          <w:rFonts w:ascii="Arial" w:hAnsi="Arial" w:cs="Arial"/>
        </w:rPr>
        <w:t xml:space="preserve"> En el 2016, según el Anuario Demográfico de Cuba, 377 bebes nacidos vivos fueron de madres menores de 15 años, mientras que 16 mil 725, de madres entre 15 y 19 años. Por la parte paterna, 7 fueron de progenitores menores de 15 años y 2 mil 559 de padres entre 15 y 19 años.</w:t>
      </w:r>
      <w:r w:rsidR="00C57F26" w:rsidRPr="007F6AD7">
        <w:rPr>
          <w:rFonts w:ascii="Arial" w:hAnsi="Arial" w:cs="Arial"/>
        </w:rPr>
        <w:t xml:space="preserve"> </w:t>
      </w:r>
      <w:r w:rsidR="00857AFB" w:rsidRPr="007F6AD7">
        <w:rPr>
          <w:rFonts w:ascii="Arial" w:hAnsi="Arial" w:cs="Arial"/>
        </w:rPr>
        <w:t>Los factores de la vida cotidiana</w:t>
      </w:r>
      <w:r w:rsidR="00470F02" w:rsidRPr="007F6AD7">
        <w:rPr>
          <w:rFonts w:ascii="Arial" w:hAnsi="Arial" w:cs="Arial"/>
        </w:rPr>
        <w:t xml:space="preserve"> </w:t>
      </w:r>
      <w:r w:rsidR="00857AFB" w:rsidRPr="007F6AD7">
        <w:rPr>
          <w:rFonts w:ascii="Arial" w:hAnsi="Arial" w:cs="Arial"/>
        </w:rPr>
        <w:t>que inciden en estos acontecimientos son diversos.</w:t>
      </w:r>
      <w:r w:rsidR="00857AFB" w:rsidRPr="007F6AD7">
        <w:rPr>
          <w:rStyle w:val="Refdenotaalpie"/>
          <w:rFonts w:ascii="Arial" w:hAnsi="Arial" w:cs="Arial"/>
        </w:rPr>
        <w:footnoteReference w:id="311"/>
      </w:r>
      <w:r w:rsidR="00857AFB" w:rsidRPr="007F6AD7">
        <w:rPr>
          <w:rFonts w:ascii="Arial" w:hAnsi="Arial" w:cs="Arial"/>
        </w:rPr>
        <w:t xml:space="preserve"> Uno de ellos, atañe a los progenitores. Muchos delegan casi totalmente su responsabilidad formativa o bien en otras </w:t>
      </w:r>
      <w:r w:rsidR="00A53647" w:rsidRPr="007F6AD7">
        <w:rPr>
          <w:rFonts w:ascii="Arial" w:hAnsi="Arial" w:cs="Arial"/>
        </w:rPr>
        <w:t>personas (</w:t>
      </w:r>
      <w:r w:rsidR="00857AFB" w:rsidRPr="007F6AD7">
        <w:rPr>
          <w:rFonts w:ascii="Arial" w:hAnsi="Arial" w:cs="Arial"/>
        </w:rPr>
        <w:t>por ejemplo, los abuelos) o en las escuelas y otras instituciones.</w:t>
      </w:r>
      <w:r w:rsidR="00A53647" w:rsidRPr="00A53647">
        <w:rPr>
          <w:rStyle w:val="Refdenotaalpie"/>
          <w:rFonts w:ascii="Arial" w:hAnsi="Arial" w:cs="Arial"/>
        </w:rPr>
        <w:t xml:space="preserve"> </w:t>
      </w:r>
      <w:r w:rsidR="00A53647" w:rsidRPr="007F6AD7">
        <w:rPr>
          <w:rStyle w:val="Refdenotaalpie"/>
          <w:rFonts w:ascii="Arial" w:hAnsi="Arial" w:cs="Arial"/>
        </w:rPr>
        <w:footnoteReference w:id="312"/>
      </w:r>
      <w:r w:rsidR="00857AFB" w:rsidRPr="007F6AD7">
        <w:rPr>
          <w:rFonts w:ascii="Arial" w:hAnsi="Arial" w:cs="Arial"/>
        </w:rPr>
        <w:t xml:space="preserve"> La comunicación </w:t>
      </w:r>
      <w:r w:rsidR="00857AFB" w:rsidRPr="007F6AD7">
        <w:rPr>
          <w:rFonts w:ascii="Arial" w:hAnsi="Arial" w:cs="Arial"/>
        </w:rPr>
        <w:lastRenderedPageBreak/>
        <w:t>intrafamiliar está deteriorada: servicios fuera del país para aumentar el ingreso familiar, excesivo tiempo empleado para atender necesidades básicas, las actividades extra laborales, etc.</w:t>
      </w:r>
    </w:p>
    <w:p w14:paraId="5E248090" w14:textId="21FE667F" w:rsidR="007E3D11" w:rsidRPr="007F6AD7" w:rsidRDefault="007E3D11" w:rsidP="0074466E">
      <w:pPr>
        <w:pStyle w:val="Ttulo3"/>
        <w:spacing w:before="0"/>
        <w:rPr>
          <w:lang w:eastAsia="es-MX"/>
        </w:rPr>
      </w:pPr>
      <w:bookmarkStart w:id="114" w:name="_Toc515359812"/>
      <w:r w:rsidRPr="007F6AD7">
        <w:t>Relaciones sexuales con menores de 14 años</w:t>
      </w:r>
      <w:bookmarkEnd w:id="114"/>
    </w:p>
    <w:p w14:paraId="69A85617" w14:textId="34C5709E" w:rsidR="00857AFB" w:rsidRPr="007F6AD7" w:rsidRDefault="00BC6CD6" w:rsidP="00BC6CD6">
      <w:pPr>
        <w:tabs>
          <w:tab w:val="left" w:pos="567"/>
        </w:tabs>
        <w:spacing w:after="0" w:line="360" w:lineRule="auto"/>
        <w:jc w:val="both"/>
        <w:rPr>
          <w:rFonts w:ascii="Arial" w:hAnsi="Arial" w:cs="Arial"/>
          <w:lang w:eastAsia="es-ES"/>
        </w:rPr>
      </w:pPr>
      <w:r>
        <w:rPr>
          <w:rFonts w:ascii="Arial" w:hAnsi="Arial" w:cs="Arial"/>
          <w:iCs/>
          <w:lang w:val="es-MX" w:eastAsia="es-MX"/>
        </w:rPr>
        <w:t xml:space="preserve">72.   </w:t>
      </w:r>
      <w:r w:rsidR="00857AFB" w:rsidRPr="007F6AD7">
        <w:rPr>
          <w:rFonts w:ascii="Arial" w:hAnsi="Arial" w:cs="Arial"/>
          <w:iCs/>
          <w:lang w:val="es-MX" w:eastAsia="es-MX"/>
        </w:rPr>
        <w:t xml:space="preserve">La legislación aplicable en estos casos es </w:t>
      </w:r>
      <w:r w:rsidR="00143503" w:rsidRPr="007F6AD7">
        <w:rPr>
          <w:rFonts w:ascii="Arial" w:hAnsi="Arial" w:cs="Arial"/>
          <w:iCs/>
          <w:lang w:val="es-MX" w:eastAsia="es-MX"/>
        </w:rPr>
        <w:t>un</w:t>
      </w:r>
      <w:r w:rsidR="00857AFB" w:rsidRPr="007F6AD7">
        <w:rPr>
          <w:rFonts w:ascii="Arial" w:hAnsi="Arial" w:cs="Arial"/>
          <w:iCs/>
          <w:lang w:val="es-MX" w:eastAsia="es-MX"/>
        </w:rPr>
        <w:t xml:space="preserve"> factor a considerar.</w:t>
      </w:r>
      <w:r w:rsidR="00E5208A" w:rsidRPr="007F6AD7">
        <w:rPr>
          <w:rFonts w:ascii="Arial" w:hAnsi="Arial" w:cs="Arial"/>
          <w:iCs/>
          <w:lang w:val="es-MX" w:eastAsia="es-MX"/>
        </w:rPr>
        <w:t xml:space="preserve"> Desde 1997 ya preocupaba al Comité   </w:t>
      </w:r>
      <w:r w:rsidR="00E5208A" w:rsidRPr="007F6AD7">
        <w:rPr>
          <w:rFonts w:ascii="Arial" w:hAnsi="Arial" w:cs="Arial"/>
        </w:rPr>
        <w:t>de los Derechos del Niño</w:t>
      </w:r>
      <w:r w:rsidR="00E5208A" w:rsidRPr="007F6AD7">
        <w:rPr>
          <w:rStyle w:val="Refdenotaalpie"/>
          <w:rFonts w:ascii="Arial" w:hAnsi="Arial" w:cs="Arial"/>
        </w:rPr>
        <w:footnoteReference w:id="313"/>
      </w:r>
      <w:r w:rsidR="00E5208A" w:rsidRPr="007F6AD7">
        <w:rPr>
          <w:rFonts w:ascii="Arial" w:hAnsi="Arial" w:cs="Arial"/>
          <w:iCs/>
          <w:lang w:val="es-MX" w:eastAsia="es-MX"/>
        </w:rPr>
        <w:t xml:space="preserve"> que no estuviera establecida una edad mínima para consentir en mantener relaciones sexuales,</w:t>
      </w:r>
      <w:r w:rsidR="00E5208A" w:rsidRPr="007F6AD7">
        <w:rPr>
          <w:rStyle w:val="Ttulo5Car"/>
          <w:rFonts w:ascii="Arial" w:hAnsi="Arial" w:cs="Arial"/>
        </w:rPr>
        <w:t xml:space="preserve"> </w:t>
      </w:r>
      <w:r w:rsidR="00E5208A" w:rsidRPr="007F6AD7">
        <w:rPr>
          <w:rFonts w:ascii="Arial" w:hAnsi="Arial" w:cs="Arial"/>
          <w:iCs/>
          <w:lang w:val="es-MX" w:eastAsia="es-MX"/>
        </w:rPr>
        <w:t>pues l</w:t>
      </w:r>
      <w:r w:rsidR="00857AFB" w:rsidRPr="007F6AD7">
        <w:rPr>
          <w:rFonts w:ascii="Arial" w:hAnsi="Arial" w:cs="Arial"/>
        </w:rPr>
        <w:t>a ley penal cubana no criminaliza debidamente la tenencia de relaciones sexuales con menores</w:t>
      </w:r>
      <w:r w:rsidR="00211E42" w:rsidRPr="007F6AD7">
        <w:rPr>
          <w:rFonts w:ascii="Arial" w:hAnsi="Arial" w:cs="Arial"/>
        </w:rPr>
        <w:t xml:space="preserve">; </w:t>
      </w:r>
      <w:r w:rsidR="00857AFB" w:rsidRPr="007F6AD7">
        <w:rPr>
          <w:rFonts w:ascii="Arial" w:hAnsi="Arial" w:cs="Arial"/>
        </w:rPr>
        <w:t>así los residentes en zonas remotas y los que viven en la pobreza están en situación muy vulnerable</w:t>
      </w:r>
      <w:r w:rsidR="00211E42" w:rsidRPr="007F6AD7">
        <w:rPr>
          <w:rFonts w:ascii="Arial" w:hAnsi="Arial" w:cs="Arial"/>
        </w:rPr>
        <w:t>.</w:t>
      </w:r>
      <w:r w:rsidR="00143503" w:rsidRPr="007F6AD7">
        <w:rPr>
          <w:rFonts w:ascii="Arial" w:hAnsi="Arial" w:cs="Arial"/>
        </w:rPr>
        <w:t xml:space="preserve"> </w:t>
      </w:r>
      <w:r w:rsidR="00857AFB" w:rsidRPr="007F6AD7">
        <w:rPr>
          <w:rFonts w:ascii="Arial" w:hAnsi="Arial" w:cs="Arial"/>
          <w:lang w:val="es-MX"/>
        </w:rPr>
        <w:t>En las provincias orientales, caracterizadas por tener zonas montañosas</w:t>
      </w:r>
      <w:r w:rsidR="009A1811" w:rsidRPr="007F6AD7">
        <w:rPr>
          <w:rFonts w:ascii="Arial" w:hAnsi="Arial" w:cs="Arial"/>
          <w:lang w:val="es-MX"/>
        </w:rPr>
        <w:t>, Santiago</w:t>
      </w:r>
      <w:r w:rsidR="00857AFB" w:rsidRPr="007F6AD7">
        <w:rPr>
          <w:rFonts w:ascii="Arial" w:hAnsi="Arial" w:cs="Arial"/>
          <w:lang w:val="es-MX"/>
        </w:rPr>
        <w:t xml:space="preserve"> de Cuba y Guantánamo prevalecen c</w:t>
      </w:r>
      <w:r w:rsidR="00211E42" w:rsidRPr="007F6AD7">
        <w:rPr>
          <w:rFonts w:ascii="Arial" w:hAnsi="Arial" w:cs="Arial"/>
          <w:lang w:val="es-MX"/>
        </w:rPr>
        <w:t xml:space="preserve">on más del 70% de niños y niñas </w:t>
      </w:r>
      <w:r w:rsidR="00857AFB" w:rsidRPr="007F6AD7">
        <w:rPr>
          <w:rFonts w:ascii="Arial" w:hAnsi="Arial" w:cs="Arial"/>
          <w:lang w:val="es-MX"/>
        </w:rPr>
        <w:t>afrodescendientes.</w:t>
      </w:r>
      <w:r w:rsidR="00E5208A" w:rsidRPr="007F6AD7">
        <w:rPr>
          <w:rStyle w:val="Ttulo5Car"/>
          <w:rFonts w:ascii="Arial" w:hAnsi="Arial" w:cs="Arial"/>
        </w:rPr>
        <w:t xml:space="preserve"> </w:t>
      </w:r>
      <w:r w:rsidR="00E5208A" w:rsidRPr="007F6AD7">
        <w:rPr>
          <w:rStyle w:val="Refdenotaalpie"/>
          <w:rFonts w:ascii="Arial" w:hAnsi="Arial" w:cs="Arial"/>
        </w:rPr>
        <w:footnoteReference w:id="314"/>
      </w:r>
      <w:r w:rsidR="00E5208A" w:rsidRPr="007F6AD7">
        <w:rPr>
          <w:rFonts w:ascii="Arial" w:hAnsi="Arial" w:cs="Arial"/>
          <w:vertAlign w:val="superscript"/>
        </w:rPr>
        <w:t>,</w:t>
      </w:r>
      <w:r w:rsidR="00E5208A" w:rsidRPr="007F6AD7">
        <w:rPr>
          <w:rFonts w:ascii="Arial" w:hAnsi="Arial" w:cs="Arial"/>
        </w:rPr>
        <w:t xml:space="preserve">  </w:t>
      </w:r>
      <w:r w:rsidR="00E5208A" w:rsidRPr="007F6AD7">
        <w:rPr>
          <w:rStyle w:val="Refdenotaalpie"/>
          <w:rFonts w:ascii="Arial" w:hAnsi="Arial" w:cs="Arial"/>
        </w:rPr>
        <w:footnoteReference w:id="315"/>
      </w:r>
      <w:r w:rsidR="00E5208A" w:rsidRPr="007F6AD7">
        <w:rPr>
          <w:rFonts w:ascii="Arial" w:hAnsi="Arial" w:cs="Arial"/>
          <w:vertAlign w:val="superscript"/>
        </w:rPr>
        <w:t xml:space="preserve">,   </w:t>
      </w:r>
      <w:r w:rsidR="00E5208A" w:rsidRPr="007F6AD7">
        <w:rPr>
          <w:rStyle w:val="Refdenotaalpie"/>
          <w:rFonts w:ascii="Arial" w:hAnsi="Arial" w:cs="Arial"/>
        </w:rPr>
        <w:footnoteReference w:id="316"/>
      </w:r>
      <w:r w:rsidR="00E5208A" w:rsidRPr="007F6AD7">
        <w:rPr>
          <w:rFonts w:ascii="Arial" w:hAnsi="Arial" w:cs="Arial"/>
          <w:vertAlign w:val="superscript"/>
        </w:rPr>
        <w:t xml:space="preserve">,  </w:t>
      </w:r>
      <w:r w:rsidR="00E5208A" w:rsidRPr="007F6AD7">
        <w:rPr>
          <w:rStyle w:val="Refdenotaalpie"/>
          <w:rFonts w:ascii="Arial" w:hAnsi="Arial" w:cs="Arial"/>
        </w:rPr>
        <w:footnoteReference w:id="317"/>
      </w:r>
      <w:r w:rsidR="00E5208A" w:rsidRPr="007F6AD7">
        <w:rPr>
          <w:rFonts w:ascii="Arial" w:hAnsi="Arial" w:cs="Arial"/>
          <w:vertAlign w:val="superscript"/>
        </w:rPr>
        <w:t xml:space="preserve"> </w:t>
      </w:r>
      <w:r w:rsidR="00E5208A" w:rsidRPr="007F6AD7">
        <w:rPr>
          <w:rFonts w:ascii="Arial" w:hAnsi="Arial" w:cs="Arial"/>
          <w:iCs/>
          <w:lang w:val="es-MX" w:eastAsia="es-MX"/>
        </w:rPr>
        <w:t xml:space="preserve"> </w:t>
      </w:r>
      <w:r w:rsidR="00857AFB" w:rsidRPr="007F6AD7">
        <w:rPr>
          <w:rFonts w:ascii="Arial" w:hAnsi="Arial" w:cs="Arial"/>
          <w:lang w:val="es-MX" w:eastAsia="es-MX"/>
        </w:rPr>
        <w:t xml:space="preserve">En atención al sujeto pasivo no serán constitutivas legalmente del delito de estupro las relaciones homosexuales. </w:t>
      </w:r>
      <w:r w:rsidR="00857AFB" w:rsidRPr="007F6AD7">
        <w:rPr>
          <w:rFonts w:ascii="Arial" w:hAnsi="Arial" w:cs="Arial"/>
        </w:rPr>
        <w:t>En caso de admisión de formas imperfectas omite la siempre sutil distinción entre tentativa y delito frustrado. Otra complicación de los tipos penales está asociada con las niñas y niños que sobrepasan los 16 años y hasta los 18 años, quienes no encuentran protección penal efectiva en la legislación, ni en la práctica, principalmente porque ya han adquirido responsabilidad penal y son tratados como adultos.</w:t>
      </w:r>
      <w:r w:rsidR="00857AFB" w:rsidRPr="007F6AD7">
        <w:rPr>
          <w:rStyle w:val="Refdenotaalpie"/>
          <w:rFonts w:ascii="Arial" w:hAnsi="Arial" w:cs="Arial"/>
        </w:rPr>
        <w:footnoteReference w:id="318"/>
      </w:r>
      <w:r w:rsidR="00857AFB" w:rsidRPr="007F6AD7">
        <w:rPr>
          <w:rFonts w:ascii="Arial" w:hAnsi="Arial" w:cs="Arial"/>
          <w:vertAlign w:val="superscript"/>
        </w:rPr>
        <w:t>,</w:t>
      </w:r>
      <w:r w:rsidR="00857AFB" w:rsidRPr="007F6AD7">
        <w:rPr>
          <w:rFonts w:ascii="Arial" w:hAnsi="Arial" w:cs="Arial"/>
        </w:rPr>
        <w:t xml:space="preserve"> </w:t>
      </w:r>
      <w:r w:rsidR="00857AFB" w:rsidRPr="007F6AD7">
        <w:rPr>
          <w:rStyle w:val="Refdenotaalpie"/>
          <w:rFonts w:ascii="Arial" w:hAnsi="Arial" w:cs="Arial"/>
        </w:rPr>
        <w:footnoteReference w:id="319"/>
      </w:r>
      <w:r w:rsidR="00857AFB" w:rsidRPr="007F6AD7">
        <w:rPr>
          <w:rFonts w:ascii="Arial" w:hAnsi="Arial" w:cs="Arial"/>
        </w:rPr>
        <w:t xml:space="preserve"> Al tipificarse el delito de estupro sin las </w:t>
      </w:r>
      <w:r w:rsidR="00857AFB" w:rsidRPr="007F6AD7">
        <w:rPr>
          <w:rFonts w:ascii="Arial" w:hAnsi="Arial" w:cs="Arial"/>
        </w:rPr>
        <w:lastRenderedPageBreak/>
        <w:t xml:space="preserve">diferencias de edades entre la menor y el sujeto activo, </w:t>
      </w:r>
      <w:r w:rsidR="00857AFB" w:rsidRPr="007F6AD7">
        <w:rPr>
          <w:rStyle w:val="Refdenotaalpie"/>
          <w:rFonts w:ascii="Arial" w:hAnsi="Arial" w:cs="Arial"/>
        </w:rPr>
        <w:footnoteReference w:id="320"/>
      </w:r>
      <w:r w:rsidR="00857AFB" w:rsidRPr="007F6AD7">
        <w:rPr>
          <w:rFonts w:ascii="Arial" w:hAnsi="Arial" w:cs="Arial"/>
        </w:rPr>
        <w:t xml:space="preserve"> es posible acusar de estupro a un chico de 16 años porque ya tiene responsabilidad penal.</w:t>
      </w:r>
    </w:p>
    <w:p w14:paraId="7E7CDD0F" w14:textId="298A0FD3" w:rsidR="00A66B36" w:rsidRPr="007F6AD7" w:rsidRDefault="00A66B36" w:rsidP="0074466E">
      <w:pPr>
        <w:pStyle w:val="Ttulo3"/>
      </w:pPr>
      <w:bookmarkStart w:id="115" w:name="_Toc515359813"/>
      <w:r w:rsidRPr="007F6AD7">
        <w:t xml:space="preserve">Matrimonios </w:t>
      </w:r>
      <w:r w:rsidR="00E64F91" w:rsidRPr="007F6AD7">
        <w:t>i</w:t>
      </w:r>
      <w:r w:rsidRPr="007F6AD7">
        <w:t xml:space="preserve">nfantiles con </w:t>
      </w:r>
      <w:r w:rsidR="00E64F91" w:rsidRPr="007F6AD7">
        <w:t>d</w:t>
      </w:r>
      <w:r w:rsidRPr="007F6AD7">
        <w:t xml:space="preserve">iferencias en </w:t>
      </w:r>
      <w:r w:rsidR="00E64F91" w:rsidRPr="007F6AD7">
        <w:t>e</w:t>
      </w:r>
      <w:r w:rsidRPr="007F6AD7">
        <w:t xml:space="preserve">dad y </w:t>
      </w:r>
      <w:r w:rsidR="00E64F91" w:rsidRPr="007F6AD7">
        <w:t>g</w:t>
      </w:r>
      <w:r w:rsidR="00C964BE" w:rsidRPr="007F6AD7">
        <w:t>é</w:t>
      </w:r>
      <w:r w:rsidRPr="007F6AD7">
        <w:t>nero</w:t>
      </w:r>
      <w:bookmarkEnd w:id="115"/>
      <w:r w:rsidRPr="007F6AD7">
        <w:t xml:space="preserve">  </w:t>
      </w:r>
    </w:p>
    <w:p w14:paraId="39F38EA3" w14:textId="50E088A5" w:rsidR="00A66B36" w:rsidRPr="007F6AD7" w:rsidRDefault="00BC6CD6" w:rsidP="00BC6CD6">
      <w:pPr>
        <w:tabs>
          <w:tab w:val="left" w:pos="567"/>
        </w:tabs>
        <w:spacing w:after="0" w:line="360" w:lineRule="auto"/>
        <w:jc w:val="both"/>
        <w:rPr>
          <w:rFonts w:ascii="Arial" w:hAnsi="Arial" w:cs="Arial"/>
          <w:lang w:eastAsia="es-ES"/>
        </w:rPr>
      </w:pPr>
      <w:r>
        <w:rPr>
          <w:rFonts w:ascii="Arial" w:hAnsi="Arial" w:cs="Arial"/>
        </w:rPr>
        <w:t xml:space="preserve">73.   </w:t>
      </w:r>
      <w:r w:rsidR="00A66B36" w:rsidRPr="007F6AD7">
        <w:rPr>
          <w:rFonts w:ascii="Arial" w:hAnsi="Arial" w:cs="Arial"/>
        </w:rPr>
        <w:t>Cuba aparece en la lista de los 10 países</w:t>
      </w:r>
      <w:r w:rsidR="00A66B36" w:rsidRPr="007F6AD7">
        <w:rPr>
          <w:rStyle w:val="Refdenotaalpie"/>
          <w:rFonts w:ascii="Arial" w:hAnsi="Arial" w:cs="Arial"/>
        </w:rPr>
        <w:footnoteReference w:id="321"/>
      </w:r>
      <w:r w:rsidR="00A66B36" w:rsidRPr="007F6AD7">
        <w:rPr>
          <w:rFonts w:ascii="Arial" w:hAnsi="Arial" w:cs="Arial"/>
        </w:rPr>
        <w:t xml:space="preserve"> donde la cantidad de niños casados antes los 18 años tiene tasas muy elevadas mundialmente(11%).</w:t>
      </w:r>
      <w:r w:rsidR="00A66B36" w:rsidRPr="007F6AD7">
        <w:rPr>
          <w:rFonts w:ascii="Arial" w:hAnsi="Arial" w:cs="Arial"/>
          <w:vertAlign w:val="superscript"/>
        </w:rPr>
        <w:footnoteReference w:id="322"/>
      </w:r>
      <w:r w:rsidR="00A66B36" w:rsidRPr="007F6AD7">
        <w:rPr>
          <w:rFonts w:ascii="Arial" w:hAnsi="Arial" w:cs="Arial"/>
          <w:vertAlign w:val="superscript"/>
        </w:rPr>
        <w:t xml:space="preserve">, </w:t>
      </w:r>
      <w:r w:rsidR="00A66B36" w:rsidRPr="007F6AD7">
        <w:rPr>
          <w:rFonts w:ascii="Arial" w:hAnsi="Arial" w:cs="Arial"/>
          <w:vertAlign w:val="superscript"/>
        </w:rPr>
        <w:footnoteReference w:id="323"/>
      </w:r>
      <w:r w:rsidR="00A66B36" w:rsidRPr="007F6AD7">
        <w:rPr>
          <w:rFonts w:ascii="Arial" w:hAnsi="Arial" w:cs="Arial"/>
          <w:vertAlign w:val="superscript"/>
        </w:rPr>
        <w:t xml:space="preserve">,  </w:t>
      </w:r>
      <w:r w:rsidR="00A66B36" w:rsidRPr="007F6AD7">
        <w:rPr>
          <w:rFonts w:ascii="Arial" w:hAnsi="Arial" w:cs="Arial"/>
          <w:vertAlign w:val="superscript"/>
        </w:rPr>
        <w:footnoteReference w:id="324"/>
      </w:r>
      <w:r w:rsidR="00A66B36" w:rsidRPr="007F6AD7">
        <w:rPr>
          <w:rFonts w:ascii="Arial" w:hAnsi="Arial" w:cs="Arial"/>
          <w:vertAlign w:val="superscript"/>
        </w:rPr>
        <w:t xml:space="preserve"> </w:t>
      </w:r>
      <w:r w:rsidR="00A66B36" w:rsidRPr="007F6AD7">
        <w:rPr>
          <w:rFonts w:ascii="Arial" w:hAnsi="Arial" w:cs="Arial"/>
        </w:rPr>
        <w:t>La ley establece como edad para contraer matrimonio,</w:t>
      </w:r>
      <w:r w:rsidR="00A66B36" w:rsidRPr="007F6AD7">
        <w:rPr>
          <w:rStyle w:val="Refdenotaalpie"/>
          <w:rFonts w:ascii="Arial" w:hAnsi="Arial" w:cs="Arial"/>
        </w:rPr>
        <w:footnoteReference w:id="325"/>
      </w:r>
      <w:r w:rsidR="00A66B36" w:rsidRPr="007F6AD7">
        <w:rPr>
          <w:rFonts w:ascii="Arial" w:hAnsi="Arial" w:cs="Arial"/>
        </w:rPr>
        <w:t xml:space="preserve">  16 años para el hombre y para la mujer, 14 años, con autorización de sus padres.</w:t>
      </w:r>
      <w:r w:rsidR="00A66B36" w:rsidRPr="007F6AD7">
        <w:rPr>
          <w:rStyle w:val="Refdenotaalpie"/>
          <w:rFonts w:ascii="Arial" w:hAnsi="Arial" w:cs="Arial"/>
        </w:rPr>
        <w:footnoteReference w:id="326"/>
      </w:r>
      <w:r w:rsidR="00A66B36" w:rsidRPr="007F6AD7">
        <w:rPr>
          <w:rFonts w:ascii="Arial" w:hAnsi="Arial" w:cs="Arial"/>
        </w:rPr>
        <w:t xml:space="preserve"> La edad de consentimiento sexual,</w:t>
      </w:r>
      <w:r w:rsidR="00A66B36" w:rsidRPr="007F6AD7">
        <w:rPr>
          <w:rStyle w:val="Refdenotaalpie"/>
          <w:rFonts w:ascii="Arial" w:hAnsi="Arial" w:cs="Arial"/>
        </w:rPr>
        <w:footnoteReference w:id="327"/>
      </w:r>
      <w:r w:rsidR="00A66B36" w:rsidRPr="007F6AD7">
        <w:rPr>
          <w:rFonts w:ascii="Arial" w:hAnsi="Arial" w:cs="Arial"/>
        </w:rPr>
        <w:t xml:space="preserve"> no está instituida adecuadamente. El Comité CEDAW recomendó al Estado cubano garantizar que en casos excepcionales de matrimonio de menores de 18 años se establezca el mismo límite de edad de 16 años para las niñas y los niños, y que se exija la autorización de un tribunal en todos esos casos.</w:t>
      </w:r>
      <w:r w:rsidR="00A66B36" w:rsidRPr="007F6AD7">
        <w:rPr>
          <w:rStyle w:val="Refdenotaalpie"/>
          <w:rFonts w:ascii="Arial" w:hAnsi="Arial" w:cs="Arial"/>
        </w:rPr>
        <w:footnoteReference w:id="328"/>
      </w:r>
      <w:r w:rsidR="00A71CF0" w:rsidRPr="007F6AD7">
        <w:rPr>
          <w:rFonts w:ascii="Arial" w:hAnsi="Arial" w:cs="Arial"/>
        </w:rPr>
        <w:t xml:space="preserve"> </w:t>
      </w:r>
      <w:r w:rsidR="00FD69A6" w:rsidRPr="007F6AD7">
        <w:rPr>
          <w:rFonts w:ascii="Arial" w:hAnsi="Arial" w:cs="Arial"/>
        </w:rPr>
        <w:t>Ahora</w:t>
      </w:r>
      <w:r w:rsidR="00A71CF0" w:rsidRPr="007F6AD7">
        <w:rPr>
          <w:rFonts w:ascii="Arial" w:hAnsi="Arial" w:cs="Arial"/>
        </w:rPr>
        <w:t xml:space="preserve"> en Cuba se analizan problemas como las brechas de género, explotación, discriminación y desprotección legal. Aunque en </w:t>
      </w:r>
      <w:r w:rsidR="00C964BE" w:rsidRPr="007F6AD7">
        <w:rPr>
          <w:rFonts w:ascii="Arial" w:hAnsi="Arial" w:cs="Arial"/>
        </w:rPr>
        <w:t>el país las</w:t>
      </w:r>
      <w:r w:rsidR="00A71CF0" w:rsidRPr="007F6AD7">
        <w:rPr>
          <w:rFonts w:ascii="Arial" w:hAnsi="Arial" w:cs="Arial"/>
        </w:rPr>
        <w:t xml:space="preserve"> mujeres han avanzado en el espacio público y representan la mayoría en diferentes sectores, a nivel de la subjetividad individual y social perdura la cultura patriarcal que se expresa en normas, costumbres, representaciones y categorizaciones sociales que reproducen la desigualdad.</w:t>
      </w:r>
      <w:r w:rsidR="00A71CF0" w:rsidRPr="007F6AD7">
        <w:rPr>
          <w:rStyle w:val="Refdenotaalpie"/>
          <w:rFonts w:ascii="Arial" w:hAnsi="Arial" w:cs="Arial"/>
        </w:rPr>
        <w:footnoteReference w:id="329"/>
      </w:r>
      <w:r w:rsidR="009B181D" w:rsidRPr="007F6AD7">
        <w:rPr>
          <w:rFonts w:ascii="Arial" w:hAnsi="Arial" w:cs="Arial"/>
        </w:rPr>
        <w:t xml:space="preserve"> </w:t>
      </w:r>
      <w:r w:rsidR="0064634E" w:rsidRPr="007F6AD7">
        <w:rPr>
          <w:rFonts w:ascii="Arial" w:hAnsi="Arial" w:cs="Arial"/>
        </w:rPr>
        <w:t>Por ejemplo</w:t>
      </w:r>
      <w:r w:rsidR="00014F96" w:rsidRPr="007F6AD7">
        <w:rPr>
          <w:rFonts w:ascii="Arial" w:hAnsi="Arial" w:cs="Arial"/>
        </w:rPr>
        <w:t>, los e</w:t>
      </w:r>
      <w:r w:rsidR="009B181D" w:rsidRPr="007F6AD7">
        <w:rPr>
          <w:rFonts w:ascii="Arial" w:hAnsi="Arial" w:cs="Arial"/>
        </w:rPr>
        <w:t xml:space="preserve">specialistas alertan </w:t>
      </w:r>
      <w:r w:rsidR="00C964BE" w:rsidRPr="007F6AD7">
        <w:rPr>
          <w:rFonts w:ascii="Arial" w:hAnsi="Arial" w:cs="Arial"/>
        </w:rPr>
        <w:t xml:space="preserve">sobre </w:t>
      </w:r>
      <w:r w:rsidR="00014F96" w:rsidRPr="007F6AD7">
        <w:rPr>
          <w:rFonts w:ascii="Arial" w:hAnsi="Arial" w:cs="Arial"/>
        </w:rPr>
        <w:t xml:space="preserve">las </w:t>
      </w:r>
      <w:r w:rsidR="0064634E" w:rsidRPr="007F6AD7">
        <w:rPr>
          <w:rFonts w:ascii="Arial" w:hAnsi="Arial" w:cs="Arial"/>
        </w:rPr>
        <w:t>predominantes brechas</w:t>
      </w:r>
      <w:r w:rsidR="009B181D" w:rsidRPr="007F6AD7">
        <w:rPr>
          <w:rFonts w:ascii="Arial" w:hAnsi="Arial" w:cs="Arial"/>
        </w:rPr>
        <w:t xml:space="preserve"> de género</w:t>
      </w:r>
      <w:r w:rsidR="0028158F" w:rsidRPr="007F6AD7">
        <w:rPr>
          <w:rStyle w:val="Refdenotaalpie"/>
          <w:rFonts w:ascii="Arial" w:hAnsi="Arial" w:cs="Arial"/>
        </w:rPr>
        <w:footnoteReference w:id="330"/>
      </w:r>
      <w:r w:rsidR="0028158F" w:rsidRPr="007F6AD7">
        <w:rPr>
          <w:rFonts w:ascii="Arial" w:hAnsi="Arial" w:cs="Arial"/>
          <w:lang w:eastAsia="es-ES"/>
        </w:rPr>
        <w:t xml:space="preserve"> </w:t>
      </w:r>
      <w:r w:rsidR="009B181D" w:rsidRPr="007F6AD7">
        <w:rPr>
          <w:rFonts w:ascii="Arial" w:hAnsi="Arial" w:cs="Arial"/>
        </w:rPr>
        <w:t xml:space="preserve"> cuando se </w:t>
      </w:r>
      <w:r w:rsidR="00FD69A6" w:rsidRPr="007F6AD7">
        <w:rPr>
          <w:rFonts w:ascii="Arial" w:hAnsi="Arial" w:cs="Arial"/>
        </w:rPr>
        <w:t>examina</w:t>
      </w:r>
      <w:r w:rsidR="009B181D" w:rsidRPr="007F6AD7">
        <w:rPr>
          <w:rFonts w:ascii="Arial" w:hAnsi="Arial" w:cs="Arial"/>
        </w:rPr>
        <w:t xml:space="preserve"> la tenencia de </w:t>
      </w:r>
      <w:r w:rsidR="009B181D" w:rsidRPr="007F6AD7">
        <w:rPr>
          <w:rFonts w:ascii="Arial" w:hAnsi="Arial" w:cs="Arial"/>
        </w:rPr>
        <w:lastRenderedPageBreak/>
        <w:t>la tierra en Cuba, a pesar de que la población</w:t>
      </w:r>
      <w:r w:rsidR="0028158F" w:rsidRPr="007F6AD7">
        <w:rPr>
          <w:rFonts w:ascii="Arial" w:hAnsi="Arial" w:cs="Arial"/>
        </w:rPr>
        <w:t xml:space="preserve"> </w:t>
      </w:r>
      <w:r w:rsidR="009B181D" w:rsidRPr="007F6AD7">
        <w:rPr>
          <w:rFonts w:ascii="Arial" w:hAnsi="Arial" w:cs="Arial"/>
        </w:rPr>
        <w:t xml:space="preserve">femenina tiene protegidos </w:t>
      </w:r>
      <w:r w:rsidR="0064634E" w:rsidRPr="007F6AD7">
        <w:rPr>
          <w:rFonts w:ascii="Arial" w:hAnsi="Arial" w:cs="Arial"/>
        </w:rPr>
        <w:t>legalmente</w:t>
      </w:r>
      <w:r w:rsidR="009B181D" w:rsidRPr="007F6AD7">
        <w:rPr>
          <w:rFonts w:ascii="Arial" w:hAnsi="Arial" w:cs="Arial"/>
        </w:rPr>
        <w:t xml:space="preserve"> sus derechos para heredar terrenos (única vía para ser titular de tierras en el país) y pedir en usufructo terrenos ociosos.</w:t>
      </w:r>
    </w:p>
    <w:p w14:paraId="23F52324" w14:textId="60944926" w:rsidR="00FF57DB" w:rsidRPr="007F6AD7" w:rsidRDefault="00BC6CD6" w:rsidP="00BC6CD6">
      <w:pPr>
        <w:spacing w:after="0" w:line="360" w:lineRule="auto"/>
        <w:jc w:val="both"/>
        <w:rPr>
          <w:rFonts w:ascii="Arial" w:hAnsi="Arial" w:cs="Arial"/>
          <w:lang w:eastAsia="es-ES"/>
        </w:rPr>
      </w:pPr>
      <w:r>
        <w:rPr>
          <w:rFonts w:ascii="Arial" w:hAnsi="Arial" w:cs="Arial"/>
        </w:rPr>
        <w:t>74.   T</w:t>
      </w:r>
      <w:r w:rsidRPr="007F6AD7">
        <w:rPr>
          <w:rFonts w:ascii="Arial" w:hAnsi="Arial" w:cs="Arial"/>
        </w:rPr>
        <w:t>anto dentro de Cuba como en el exterior</w:t>
      </w:r>
      <w:r>
        <w:rPr>
          <w:rFonts w:ascii="Arial" w:hAnsi="Arial" w:cs="Arial"/>
        </w:rPr>
        <w:t>,</w:t>
      </w:r>
      <w:r w:rsidRPr="007F6AD7">
        <w:rPr>
          <w:rFonts w:ascii="Arial" w:hAnsi="Arial" w:cs="Arial"/>
        </w:rPr>
        <w:t xml:space="preserve"> </w:t>
      </w:r>
      <w:r>
        <w:rPr>
          <w:rFonts w:ascii="Arial" w:hAnsi="Arial" w:cs="Arial"/>
        </w:rPr>
        <w:t>l</w:t>
      </w:r>
      <w:r w:rsidR="00A66B36" w:rsidRPr="007F6AD7">
        <w:rPr>
          <w:rFonts w:ascii="Arial" w:hAnsi="Arial" w:cs="Arial"/>
        </w:rPr>
        <w:t xml:space="preserve">a familia cubana enfrenta muchas contradicciones desde hace décadas. Los actuales desafíos económicos y sociales </w:t>
      </w:r>
      <w:r w:rsidR="00A66B36" w:rsidRPr="007F6AD7">
        <w:rPr>
          <w:rFonts w:ascii="Arial" w:hAnsi="Arial" w:cs="Arial"/>
          <w:vertAlign w:val="superscript"/>
        </w:rPr>
        <w:footnoteReference w:id="331"/>
      </w:r>
      <w:r w:rsidR="00F2199B" w:rsidRPr="007F6AD7">
        <w:rPr>
          <w:rFonts w:ascii="Arial" w:hAnsi="Arial" w:cs="Arial"/>
          <w:vertAlign w:val="superscript"/>
        </w:rPr>
        <w:t xml:space="preserve">,  </w:t>
      </w:r>
      <w:r w:rsidR="00A66B36" w:rsidRPr="007F6AD7">
        <w:rPr>
          <w:rFonts w:ascii="Arial" w:hAnsi="Arial" w:cs="Arial"/>
          <w:vertAlign w:val="superscript"/>
        </w:rPr>
        <w:footnoteReference w:id="332"/>
      </w:r>
      <w:r w:rsidR="00A66B36" w:rsidRPr="007F6AD7">
        <w:rPr>
          <w:rFonts w:ascii="Arial" w:hAnsi="Arial" w:cs="Arial"/>
          <w:vertAlign w:val="superscript"/>
        </w:rPr>
        <w:t xml:space="preserve">,  </w:t>
      </w:r>
      <w:r w:rsidR="00A66B36" w:rsidRPr="007F6AD7">
        <w:rPr>
          <w:rFonts w:ascii="Arial" w:hAnsi="Arial" w:cs="Arial"/>
          <w:vertAlign w:val="superscript"/>
        </w:rPr>
        <w:footnoteReference w:id="333"/>
      </w:r>
      <w:r w:rsidR="00A66B36" w:rsidRPr="007F6AD7">
        <w:rPr>
          <w:rFonts w:ascii="Arial" w:hAnsi="Arial" w:cs="Arial"/>
        </w:rPr>
        <w:t xml:space="preserve">  afectan a cubanos, especialmente NNA residentes en Cuba</w:t>
      </w:r>
      <w:r w:rsidR="00620120" w:rsidRPr="007F6AD7">
        <w:rPr>
          <w:rFonts w:ascii="Arial" w:hAnsi="Arial" w:cs="Arial"/>
        </w:rPr>
        <w:t xml:space="preserve">. </w:t>
      </w:r>
      <w:r w:rsidR="00A66B36" w:rsidRPr="007F6AD7">
        <w:rPr>
          <w:rFonts w:ascii="Arial" w:hAnsi="Arial" w:cs="Arial"/>
        </w:rPr>
        <w:t>En ocasiones para enfrentar las crisis, diversas familias consienten o alientan que alguno de sus miembros desarrolle acciones que laceran la conciencia individual y social y distorsionan el tejido ético e incluso el laboral productivo. En relación con el trabajo, prefieren mayores ingresos con menos calificación.</w:t>
      </w:r>
      <w:r w:rsidR="0028158F" w:rsidRPr="007F6AD7">
        <w:rPr>
          <w:rFonts w:ascii="Arial" w:hAnsi="Arial" w:cs="Arial"/>
        </w:rPr>
        <w:t xml:space="preserve"> Muchas mujeres profesionales</w:t>
      </w:r>
      <w:r w:rsidR="0028158F" w:rsidRPr="007F6AD7">
        <w:rPr>
          <w:rStyle w:val="Refdenotaalpie"/>
          <w:rFonts w:ascii="Arial" w:hAnsi="Arial" w:cs="Arial"/>
        </w:rPr>
        <w:footnoteReference w:id="334"/>
      </w:r>
      <w:r w:rsidR="0028158F" w:rsidRPr="007F6AD7">
        <w:rPr>
          <w:rFonts w:ascii="Arial" w:hAnsi="Arial" w:cs="Arial"/>
        </w:rPr>
        <w:t xml:space="preserve"> encuentran en el servicio doméstico ingresos muy superiores a los que obtendrían como empleadas en el sector estatal.</w:t>
      </w:r>
      <w:r w:rsidR="00A66B36" w:rsidRPr="007F6AD7">
        <w:rPr>
          <w:rFonts w:ascii="Arial" w:hAnsi="Arial" w:cs="Arial"/>
        </w:rPr>
        <w:t xml:space="preserve"> A veces el matrimonio es visto como una vía para emigrar y/o ascender económicamente y no para formar familia. En ocasiones se sustituye la calificación por la prostitución y el robo como medios para solucionar problemas económicos.</w:t>
      </w:r>
      <w:r w:rsidR="00A66B36" w:rsidRPr="007F6AD7">
        <w:rPr>
          <w:rStyle w:val="Refdenotaalpie"/>
          <w:rFonts w:ascii="Arial" w:hAnsi="Arial" w:cs="Arial"/>
        </w:rPr>
        <w:footnoteReference w:id="335"/>
      </w:r>
      <w:r w:rsidR="00914920" w:rsidRPr="007F6AD7">
        <w:rPr>
          <w:rFonts w:ascii="Arial" w:hAnsi="Arial" w:cs="Arial"/>
          <w:vertAlign w:val="superscript"/>
        </w:rPr>
        <w:t xml:space="preserve">, </w:t>
      </w:r>
      <w:r w:rsidR="00914920" w:rsidRPr="007F6AD7">
        <w:rPr>
          <w:rStyle w:val="Refdenotaalpie"/>
          <w:rFonts w:ascii="Arial" w:hAnsi="Arial" w:cs="Arial"/>
        </w:rPr>
        <w:footnoteReference w:id="336"/>
      </w:r>
      <w:r w:rsidR="0028158F" w:rsidRPr="007F6AD7">
        <w:rPr>
          <w:rFonts w:ascii="Arial" w:hAnsi="Arial" w:cs="Arial"/>
        </w:rPr>
        <w:t xml:space="preserve"> </w:t>
      </w:r>
      <w:r w:rsidR="00FF57DB" w:rsidRPr="007F6AD7">
        <w:rPr>
          <w:rFonts w:ascii="Arial" w:hAnsi="Arial" w:cs="Arial"/>
        </w:rPr>
        <w:t xml:space="preserve">La aprobación de leyes es un gran paso que, sin embargo, no siempre significa el cese definitivo de los casamientos tempranos y forzados. </w:t>
      </w:r>
      <w:r w:rsidR="00E64F91" w:rsidRPr="007F6AD7">
        <w:rPr>
          <w:rFonts w:ascii="Arial" w:hAnsi="Arial" w:cs="Arial"/>
        </w:rPr>
        <w:t>Es</w:t>
      </w:r>
      <w:r w:rsidR="00FF57DB" w:rsidRPr="007F6AD7">
        <w:rPr>
          <w:rFonts w:ascii="Arial" w:hAnsi="Arial" w:cs="Arial"/>
        </w:rPr>
        <w:t xml:space="preserve"> necesaria también una labor de sensibilización y concienciación a todos los niveles. </w:t>
      </w:r>
      <w:r w:rsidR="00FF57DB" w:rsidRPr="007F6AD7">
        <w:rPr>
          <w:rStyle w:val="Refdenotaalpie"/>
          <w:rFonts w:ascii="Arial" w:hAnsi="Arial" w:cs="Arial"/>
        </w:rPr>
        <w:footnoteReference w:id="337"/>
      </w:r>
      <w:r w:rsidR="00620120" w:rsidRPr="007F6AD7">
        <w:rPr>
          <w:rFonts w:ascii="Arial" w:hAnsi="Arial" w:cs="Arial"/>
          <w:vertAlign w:val="superscript"/>
        </w:rPr>
        <w:t>,</w:t>
      </w:r>
      <w:r w:rsidR="00620120" w:rsidRPr="007F6AD7">
        <w:rPr>
          <w:rFonts w:ascii="Arial" w:hAnsi="Arial" w:cs="Arial"/>
        </w:rPr>
        <w:t xml:space="preserve"> </w:t>
      </w:r>
      <w:r w:rsidR="00620120" w:rsidRPr="007F6AD7">
        <w:rPr>
          <w:rFonts w:ascii="Arial" w:hAnsi="Arial" w:cs="Arial"/>
          <w:vertAlign w:val="superscript"/>
        </w:rPr>
        <w:t>.</w:t>
      </w:r>
      <w:r w:rsidR="00620120" w:rsidRPr="007F6AD7">
        <w:rPr>
          <w:rFonts w:ascii="Arial" w:hAnsi="Arial" w:cs="Arial"/>
          <w:vertAlign w:val="superscript"/>
        </w:rPr>
        <w:footnoteReference w:id="338"/>
      </w:r>
      <w:r w:rsidR="00620120" w:rsidRPr="007F6AD7">
        <w:rPr>
          <w:rFonts w:ascii="Arial" w:hAnsi="Arial" w:cs="Arial"/>
          <w:vertAlign w:val="superscript"/>
        </w:rPr>
        <w:t xml:space="preserve">,  </w:t>
      </w:r>
      <w:r w:rsidR="00620120" w:rsidRPr="007F6AD7">
        <w:rPr>
          <w:rFonts w:ascii="Arial" w:hAnsi="Arial" w:cs="Arial"/>
          <w:vertAlign w:val="superscript"/>
        </w:rPr>
        <w:footnoteReference w:id="339"/>
      </w:r>
      <w:r w:rsidR="00620120" w:rsidRPr="007F6AD7">
        <w:rPr>
          <w:rFonts w:ascii="Arial" w:hAnsi="Arial" w:cs="Arial"/>
          <w:vertAlign w:val="superscript"/>
        </w:rPr>
        <w:t xml:space="preserve"> </w:t>
      </w:r>
    </w:p>
    <w:p w14:paraId="1AB65410" w14:textId="77777777" w:rsidR="00EF7270" w:rsidRPr="007F6AD7" w:rsidRDefault="00EF7270" w:rsidP="00A7397D">
      <w:pPr>
        <w:pStyle w:val="Ttulo3"/>
      </w:pPr>
      <w:bookmarkStart w:id="118" w:name="_Toc515359814"/>
      <w:r w:rsidRPr="007F6AD7">
        <w:lastRenderedPageBreak/>
        <w:t>Discriminación por razón de identidad de género y orientación sexual</w:t>
      </w:r>
      <w:bookmarkEnd w:id="118"/>
    </w:p>
    <w:p w14:paraId="5FC397E4" w14:textId="7407263F" w:rsidR="00EF7270" w:rsidRPr="007F6AD7" w:rsidRDefault="00BC6CD6" w:rsidP="00BC6CD6">
      <w:pPr>
        <w:tabs>
          <w:tab w:val="left" w:pos="567"/>
        </w:tabs>
        <w:spacing w:after="0" w:line="360" w:lineRule="auto"/>
        <w:jc w:val="both"/>
        <w:rPr>
          <w:rFonts w:ascii="Arial" w:hAnsi="Arial" w:cs="Arial"/>
          <w:b/>
        </w:rPr>
      </w:pPr>
      <w:r>
        <w:rPr>
          <w:rFonts w:ascii="Arial" w:hAnsi="Arial" w:cs="Arial"/>
          <w:bCs/>
          <w:noProof/>
        </w:rPr>
        <w:t>75</w:t>
      </w:r>
      <w:r w:rsidR="00EF7270" w:rsidRPr="007F6AD7">
        <w:rPr>
          <w:rFonts w:ascii="Arial" w:hAnsi="Arial" w:cs="Arial"/>
          <w:bCs/>
          <w:noProof/>
        </w:rPr>
        <w:t xml:space="preserve">. </w:t>
      </w:r>
      <w:r>
        <w:rPr>
          <w:rFonts w:ascii="Arial" w:hAnsi="Arial" w:cs="Arial"/>
          <w:bCs/>
          <w:noProof/>
        </w:rPr>
        <w:t xml:space="preserve">  </w:t>
      </w:r>
      <w:r w:rsidR="00EF7270" w:rsidRPr="007F6AD7">
        <w:rPr>
          <w:rFonts w:ascii="Arial" w:hAnsi="Arial" w:cs="Arial"/>
          <w:bCs/>
          <w:noProof/>
        </w:rPr>
        <w:t>ACDEI ha recibido reportes, 2 en el 2017, de casos ocurridos mayormente en zonas rurales y  tambien en la capital del pais, donde los progenitores expulsan del hogar a niños y niñas por motivos de identidad de género  y orientacion sexual de la víctima.El contagio del estigma puede generalizarse y cualquiera que se aproxime a una persona agredida es susceptible de sufrir la misma discriminación.</w:t>
      </w:r>
    </w:p>
    <w:p w14:paraId="4C87C584" w14:textId="04187491" w:rsidR="00EF7270" w:rsidRPr="007F6AD7" w:rsidRDefault="00EF7270" w:rsidP="0074466E">
      <w:pPr>
        <w:tabs>
          <w:tab w:val="left" w:pos="720"/>
        </w:tabs>
        <w:spacing w:after="0" w:line="360" w:lineRule="auto"/>
        <w:jc w:val="both"/>
        <w:rPr>
          <w:rFonts w:ascii="Arial" w:hAnsi="Arial" w:cs="Arial"/>
          <w:bCs/>
          <w:noProof/>
        </w:rPr>
      </w:pPr>
      <w:r w:rsidRPr="007F6AD7">
        <w:rPr>
          <w:rFonts w:ascii="Arial" w:hAnsi="Arial" w:cs="Arial"/>
          <w:bCs/>
          <w:noProof/>
        </w:rPr>
        <w:t>La diversidad sexual es vista como casi invisible y, la agresión a la misma también permanece inadvertida .</w:t>
      </w:r>
      <w:r w:rsidR="008552D9" w:rsidRPr="007F6AD7">
        <w:rPr>
          <w:rFonts w:ascii="Arial" w:hAnsi="Arial" w:cs="Arial"/>
          <w:bCs/>
          <w:noProof/>
        </w:rPr>
        <w:t xml:space="preserve"> </w:t>
      </w:r>
      <w:r w:rsidRPr="007F6AD7">
        <w:rPr>
          <w:rFonts w:ascii="Arial" w:hAnsi="Arial" w:cs="Arial"/>
          <w:bCs/>
          <w:noProof/>
        </w:rPr>
        <w:t xml:space="preserve">Situaciones de discriminación y violencia contra personas LGTBI acontecen </w:t>
      </w:r>
      <w:r w:rsidR="008552D9" w:rsidRPr="007F6AD7">
        <w:rPr>
          <w:rFonts w:ascii="Arial" w:hAnsi="Arial" w:cs="Arial"/>
          <w:bCs/>
          <w:noProof/>
        </w:rPr>
        <w:t xml:space="preserve">a diario </w:t>
      </w:r>
      <w:r w:rsidRPr="007F6AD7">
        <w:rPr>
          <w:rFonts w:ascii="Arial" w:hAnsi="Arial" w:cs="Arial"/>
          <w:bCs/>
          <w:noProof/>
        </w:rPr>
        <w:t>en Cuba a pesar de la promocion gubernamental, avances sociales</w:t>
      </w:r>
      <w:r w:rsidRPr="007F6AD7">
        <w:rPr>
          <w:rStyle w:val="Refdenotaalpie"/>
          <w:rFonts w:ascii="Arial" w:hAnsi="Arial" w:cs="Arial"/>
          <w:bCs/>
          <w:noProof/>
        </w:rPr>
        <w:footnoteReference w:id="340"/>
      </w:r>
      <w:r w:rsidRPr="007F6AD7">
        <w:rPr>
          <w:rFonts w:ascii="Arial" w:hAnsi="Arial" w:cs="Arial"/>
          <w:bCs/>
          <w:noProof/>
        </w:rPr>
        <w:t xml:space="preserve">  y una mayor tolerancia de la poblacion a los derechos de personas LGTBI.</w:t>
      </w:r>
      <w:r w:rsidR="00B4671D" w:rsidRPr="007F6AD7">
        <w:rPr>
          <w:rStyle w:val="Refdenotaalpie"/>
          <w:rFonts w:ascii="Arial" w:hAnsi="Arial" w:cs="Arial"/>
          <w:bCs/>
          <w:noProof/>
        </w:rPr>
        <w:t xml:space="preserve"> </w:t>
      </w:r>
      <w:r w:rsidR="00B4671D" w:rsidRPr="007F6AD7">
        <w:rPr>
          <w:rStyle w:val="Refdenotaalpie"/>
          <w:rFonts w:ascii="Arial" w:hAnsi="Arial" w:cs="Arial"/>
          <w:bCs/>
          <w:noProof/>
        </w:rPr>
        <w:footnoteReference w:id="341"/>
      </w:r>
      <w:r w:rsidR="00BC031E" w:rsidRPr="007F6AD7">
        <w:rPr>
          <w:rFonts w:ascii="Arial" w:hAnsi="Arial" w:cs="Arial"/>
        </w:rPr>
        <w:t xml:space="preserve"> </w:t>
      </w:r>
      <w:r w:rsidRPr="007F6AD7">
        <w:rPr>
          <w:rFonts w:ascii="Arial" w:hAnsi="Arial" w:cs="Arial"/>
          <w:bCs/>
          <w:noProof/>
        </w:rPr>
        <w:t xml:space="preserve">El bullying homofóbico se produce en mayor o menor medida en todos los centros docentes. </w:t>
      </w:r>
      <w:r w:rsidR="009E6BF3" w:rsidRPr="007F6AD7">
        <w:rPr>
          <w:rFonts w:ascii="Arial" w:hAnsi="Arial" w:cs="Arial"/>
          <w:bCs/>
          <w:noProof/>
        </w:rPr>
        <w:t>S</w:t>
      </w:r>
      <w:r w:rsidRPr="007F6AD7">
        <w:rPr>
          <w:rFonts w:ascii="Arial" w:hAnsi="Arial" w:cs="Arial"/>
          <w:bCs/>
          <w:noProof/>
        </w:rPr>
        <w:t>e tom</w:t>
      </w:r>
      <w:r w:rsidR="009E6BF3" w:rsidRPr="007F6AD7">
        <w:rPr>
          <w:rFonts w:ascii="Arial" w:hAnsi="Arial" w:cs="Arial"/>
          <w:bCs/>
          <w:noProof/>
        </w:rPr>
        <w:t>a</w:t>
      </w:r>
      <w:r w:rsidRPr="007F6AD7">
        <w:rPr>
          <w:rFonts w:ascii="Arial" w:hAnsi="Arial" w:cs="Arial"/>
          <w:bCs/>
          <w:noProof/>
        </w:rPr>
        <w:t>n algunas medidas y se estudi</w:t>
      </w:r>
      <w:r w:rsidR="009E6BF3" w:rsidRPr="007F6AD7">
        <w:rPr>
          <w:rFonts w:ascii="Arial" w:hAnsi="Arial" w:cs="Arial"/>
          <w:bCs/>
          <w:noProof/>
        </w:rPr>
        <w:t>a</w:t>
      </w:r>
      <w:r w:rsidRPr="007F6AD7">
        <w:rPr>
          <w:rFonts w:ascii="Arial" w:hAnsi="Arial" w:cs="Arial"/>
          <w:bCs/>
          <w:noProof/>
        </w:rPr>
        <w:t xml:space="preserve"> academicamente esta materia</w:t>
      </w:r>
      <w:r w:rsidR="00A53647">
        <w:rPr>
          <w:rFonts w:ascii="Arial" w:hAnsi="Arial" w:cs="Arial"/>
          <w:bCs/>
          <w:noProof/>
        </w:rPr>
        <w:t>.</w:t>
      </w:r>
      <w:r w:rsidR="00C60405" w:rsidRPr="007F6AD7">
        <w:rPr>
          <w:rStyle w:val="Refdenotaalpie"/>
          <w:rFonts w:ascii="Arial" w:hAnsi="Arial" w:cs="Arial"/>
          <w:bCs/>
          <w:noProof/>
        </w:rPr>
        <w:t xml:space="preserve"> </w:t>
      </w:r>
      <w:r w:rsidR="00C60405" w:rsidRPr="007F6AD7">
        <w:rPr>
          <w:rStyle w:val="Refdenotaalpie"/>
          <w:rFonts w:ascii="Arial" w:hAnsi="Arial" w:cs="Arial"/>
          <w:bCs/>
          <w:noProof/>
        </w:rPr>
        <w:footnoteReference w:id="342"/>
      </w:r>
      <w:r w:rsidR="00C60405" w:rsidRPr="007F6AD7">
        <w:rPr>
          <w:rFonts w:ascii="Arial" w:hAnsi="Arial" w:cs="Arial"/>
          <w:bCs/>
          <w:noProof/>
        </w:rPr>
        <w:t xml:space="preserve"> </w:t>
      </w:r>
      <w:r w:rsidR="00766ED7" w:rsidRPr="007F6AD7">
        <w:rPr>
          <w:rFonts w:ascii="Arial" w:hAnsi="Arial" w:cs="Arial"/>
          <w:bCs/>
          <w:noProof/>
          <w:vertAlign w:val="superscript"/>
        </w:rPr>
        <w:t xml:space="preserve">, </w:t>
      </w:r>
      <w:r w:rsidR="00B433F0" w:rsidRPr="007F6AD7">
        <w:rPr>
          <w:rStyle w:val="Refdenotaalpie"/>
          <w:rFonts w:ascii="Arial" w:hAnsi="Arial" w:cs="Arial"/>
          <w:bCs/>
          <w:noProof/>
        </w:rPr>
        <w:footnoteReference w:id="343"/>
      </w:r>
      <w:r w:rsidRPr="007F6AD7">
        <w:rPr>
          <w:rFonts w:ascii="Arial" w:hAnsi="Arial" w:cs="Arial"/>
          <w:bCs/>
          <w:noProof/>
        </w:rPr>
        <w:t xml:space="preserve"> </w:t>
      </w:r>
      <w:r w:rsidR="00A53647">
        <w:rPr>
          <w:rFonts w:ascii="Arial" w:hAnsi="Arial" w:cs="Arial"/>
          <w:bCs/>
          <w:noProof/>
        </w:rPr>
        <w:t xml:space="preserve"> Empero, t</w:t>
      </w:r>
      <w:r w:rsidR="008552D9" w:rsidRPr="007F6AD7">
        <w:rPr>
          <w:rFonts w:ascii="Arial" w:hAnsi="Arial" w:cs="Arial"/>
          <w:bCs/>
          <w:noProof/>
        </w:rPr>
        <w:t xml:space="preserve">odavia </w:t>
      </w:r>
      <w:r w:rsidR="00D658E0" w:rsidRPr="007F6AD7">
        <w:rPr>
          <w:rFonts w:ascii="Arial" w:hAnsi="Arial" w:cs="Arial"/>
          <w:bCs/>
          <w:noProof/>
        </w:rPr>
        <w:t>permanece ignorada</w:t>
      </w:r>
      <w:r w:rsidRPr="007F6AD7">
        <w:rPr>
          <w:rFonts w:ascii="Arial" w:hAnsi="Arial" w:cs="Arial"/>
          <w:bCs/>
          <w:noProof/>
        </w:rPr>
        <w:t xml:space="preserve"> la magnitud de</w:t>
      </w:r>
      <w:r w:rsidR="00D658E0" w:rsidRPr="007F6AD7">
        <w:rPr>
          <w:rFonts w:ascii="Arial" w:hAnsi="Arial" w:cs="Arial"/>
          <w:bCs/>
          <w:noProof/>
        </w:rPr>
        <w:t xml:space="preserve"> </w:t>
      </w:r>
      <w:r w:rsidRPr="007F6AD7">
        <w:rPr>
          <w:rFonts w:ascii="Arial" w:hAnsi="Arial" w:cs="Arial"/>
          <w:bCs/>
          <w:noProof/>
        </w:rPr>
        <w:t>l</w:t>
      </w:r>
      <w:r w:rsidR="00D658E0" w:rsidRPr="007F6AD7">
        <w:rPr>
          <w:rFonts w:ascii="Arial" w:hAnsi="Arial" w:cs="Arial"/>
          <w:bCs/>
          <w:noProof/>
        </w:rPr>
        <w:t>os</w:t>
      </w:r>
      <w:r w:rsidRPr="007F6AD7">
        <w:rPr>
          <w:rFonts w:ascii="Arial" w:hAnsi="Arial" w:cs="Arial"/>
          <w:bCs/>
          <w:noProof/>
        </w:rPr>
        <w:t xml:space="preserve"> su</w:t>
      </w:r>
      <w:r w:rsidR="00D658E0" w:rsidRPr="007F6AD7">
        <w:rPr>
          <w:rFonts w:ascii="Arial" w:hAnsi="Arial" w:cs="Arial"/>
          <w:bCs/>
          <w:noProof/>
        </w:rPr>
        <w:t>cesos</w:t>
      </w:r>
      <w:r w:rsidRPr="007F6AD7">
        <w:rPr>
          <w:rFonts w:ascii="Arial" w:hAnsi="Arial" w:cs="Arial"/>
          <w:bCs/>
          <w:noProof/>
        </w:rPr>
        <w:t xml:space="preserve"> y cifras de las victimas.</w:t>
      </w:r>
      <w:r w:rsidRPr="007F6AD7">
        <w:rPr>
          <w:rStyle w:val="Refdenotaalpie"/>
          <w:rFonts w:ascii="Arial" w:hAnsi="Arial" w:cs="Arial"/>
          <w:bCs/>
          <w:noProof/>
        </w:rPr>
        <w:footnoteReference w:id="344"/>
      </w:r>
      <w:r w:rsidRPr="007F6AD7">
        <w:rPr>
          <w:rFonts w:ascii="Arial" w:hAnsi="Arial" w:cs="Arial"/>
          <w:bCs/>
          <w:noProof/>
        </w:rPr>
        <w:t xml:space="preserve"> Especialistas refieren que progenitores preocupados, llevan a los hijos o hijas a</w:t>
      </w:r>
      <w:r w:rsidR="009E6BF3" w:rsidRPr="007F6AD7">
        <w:rPr>
          <w:rFonts w:ascii="Arial" w:hAnsi="Arial" w:cs="Arial"/>
          <w:bCs/>
          <w:noProof/>
        </w:rPr>
        <w:t xml:space="preserve"> </w:t>
      </w:r>
      <w:r w:rsidRPr="007F6AD7">
        <w:rPr>
          <w:rFonts w:ascii="Arial" w:hAnsi="Arial" w:cs="Arial"/>
          <w:bCs/>
          <w:noProof/>
        </w:rPr>
        <w:t> la  consulta</w:t>
      </w:r>
      <w:r w:rsidR="009E6BF3" w:rsidRPr="007F6AD7">
        <w:rPr>
          <w:rFonts w:ascii="Arial" w:hAnsi="Arial" w:cs="Arial"/>
          <w:bCs/>
          <w:noProof/>
        </w:rPr>
        <w:t xml:space="preserve"> </w:t>
      </w:r>
      <w:r w:rsidRPr="007F6AD7">
        <w:rPr>
          <w:rFonts w:ascii="Arial" w:hAnsi="Arial" w:cs="Arial"/>
          <w:bCs/>
          <w:noProof/>
        </w:rPr>
        <w:t> de siquiatría si muestran una orientación sexual diferente a la esperada Con frecuencia se trata de niños  y niñas muy pasivos, no juegan ni interactúan con otros niños.</w:t>
      </w:r>
      <w:r w:rsidRPr="007F6AD7">
        <w:rPr>
          <w:rStyle w:val="Refdenotaalpie"/>
          <w:rFonts w:ascii="Arial" w:hAnsi="Arial" w:cs="Arial"/>
          <w:bCs/>
          <w:noProof/>
        </w:rPr>
        <w:footnoteReference w:id="345"/>
      </w:r>
    </w:p>
    <w:p w14:paraId="1B301058" w14:textId="0BC80125" w:rsidR="00EF7270" w:rsidRPr="007F6AD7" w:rsidRDefault="00BC6CD6" w:rsidP="00BC6CD6">
      <w:pPr>
        <w:spacing w:after="0" w:line="360" w:lineRule="auto"/>
        <w:jc w:val="both"/>
        <w:rPr>
          <w:rFonts w:ascii="Arial" w:hAnsi="Arial" w:cs="Arial"/>
          <w:lang w:eastAsia="es-ES"/>
        </w:rPr>
      </w:pPr>
      <w:r>
        <w:rPr>
          <w:rFonts w:ascii="Arial" w:hAnsi="Arial" w:cs="Arial"/>
          <w:bCs/>
          <w:noProof/>
        </w:rPr>
        <w:lastRenderedPageBreak/>
        <w:t xml:space="preserve">76.  </w:t>
      </w:r>
      <w:r w:rsidR="00EF7270" w:rsidRPr="007F6AD7">
        <w:rPr>
          <w:rFonts w:ascii="Arial" w:hAnsi="Arial" w:cs="Arial"/>
          <w:bCs/>
          <w:noProof/>
        </w:rPr>
        <w:t>El Código Penal, de 1987 con modificaciones, no tipifica los crímenes de odio ni contempla la orientación sexual e identidad de género como agravantes de homicidio. Un homicidio es castigado por  la ley con privación de libertad de 15 a 30 años . La pena de muerte continua vigente, aunque no se aplica desde 2003</w:t>
      </w:r>
      <w:r w:rsidR="00EB2483" w:rsidRPr="007F6AD7">
        <w:rPr>
          <w:rFonts w:ascii="Arial" w:hAnsi="Arial" w:cs="Arial"/>
          <w:bCs/>
          <w:noProof/>
        </w:rPr>
        <w:t xml:space="preserve"> en el derecho ordinario</w:t>
      </w:r>
      <w:r w:rsidR="00EF7270" w:rsidRPr="007F6AD7">
        <w:rPr>
          <w:rFonts w:ascii="Arial" w:hAnsi="Arial" w:cs="Arial"/>
          <w:bCs/>
          <w:noProof/>
        </w:rPr>
        <w:t>.</w:t>
      </w:r>
      <w:r w:rsidR="00EF7270" w:rsidRPr="007F6AD7">
        <w:rPr>
          <w:rStyle w:val="Refdenotaalpie"/>
          <w:rFonts w:ascii="Arial" w:hAnsi="Arial" w:cs="Arial"/>
          <w:bCs/>
          <w:noProof/>
        </w:rPr>
        <w:t xml:space="preserve"> </w:t>
      </w:r>
      <w:r w:rsidR="00EF7270" w:rsidRPr="007F6AD7">
        <w:rPr>
          <w:rStyle w:val="Refdenotaalpie"/>
          <w:rFonts w:ascii="Arial" w:hAnsi="Arial" w:cs="Arial"/>
          <w:bCs/>
          <w:noProof/>
        </w:rPr>
        <w:footnoteReference w:id="346"/>
      </w:r>
      <w:r w:rsidR="00EF7270" w:rsidRPr="007F6AD7">
        <w:rPr>
          <w:rFonts w:ascii="Arial" w:hAnsi="Arial" w:cs="Arial"/>
          <w:bCs/>
          <w:noProof/>
        </w:rPr>
        <w:t xml:space="preserve"> </w:t>
      </w:r>
      <w:r w:rsidR="001B65D1" w:rsidRPr="007F6AD7">
        <w:rPr>
          <w:rFonts w:ascii="Arial" w:hAnsi="Arial" w:cs="Arial"/>
          <w:bCs/>
          <w:noProof/>
        </w:rPr>
        <w:t>La</w:t>
      </w:r>
      <w:r w:rsidR="00767B21" w:rsidRPr="007F6AD7">
        <w:rPr>
          <w:rFonts w:ascii="Arial" w:hAnsi="Arial" w:cs="Arial"/>
          <w:bCs/>
          <w:noProof/>
        </w:rPr>
        <w:t xml:space="preserve"> informacion sobre la pena capital en el fuero castrense</w:t>
      </w:r>
      <w:r w:rsidR="001B65D1" w:rsidRPr="007F6AD7">
        <w:rPr>
          <w:rFonts w:ascii="Arial" w:hAnsi="Arial" w:cs="Arial"/>
          <w:bCs/>
          <w:noProof/>
        </w:rPr>
        <w:t xml:space="preserve"> se desconoce</w:t>
      </w:r>
      <w:r w:rsidR="00767B21" w:rsidRPr="007F6AD7">
        <w:rPr>
          <w:rFonts w:ascii="Arial" w:hAnsi="Arial" w:cs="Arial"/>
          <w:bCs/>
          <w:noProof/>
        </w:rPr>
        <w:t>.</w:t>
      </w:r>
      <w:r w:rsidR="00A53085" w:rsidRPr="007F6AD7">
        <w:rPr>
          <w:rFonts w:ascii="Arial" w:hAnsi="Arial" w:cs="Arial"/>
          <w:vertAlign w:val="superscript"/>
        </w:rPr>
        <w:t xml:space="preserve"> </w:t>
      </w:r>
      <w:r w:rsidR="00A53085" w:rsidRPr="007F6AD7">
        <w:rPr>
          <w:rFonts w:ascii="Arial" w:hAnsi="Arial" w:cs="Arial"/>
          <w:vertAlign w:val="superscript"/>
        </w:rPr>
        <w:footnoteReference w:id="347"/>
      </w:r>
      <w:r w:rsidR="00A53085" w:rsidRPr="007F6AD7">
        <w:rPr>
          <w:rFonts w:ascii="Arial" w:hAnsi="Arial" w:cs="Arial"/>
          <w:vertAlign w:val="superscript"/>
        </w:rPr>
        <w:t xml:space="preserve"> </w:t>
      </w:r>
      <w:r w:rsidR="00EF7270" w:rsidRPr="007F6AD7">
        <w:rPr>
          <w:rFonts w:ascii="Arial" w:hAnsi="Arial" w:cs="Arial"/>
          <w:b/>
          <w:bCs/>
          <w:noProof/>
        </w:rPr>
        <w:t xml:space="preserve">ACDEI  ruega al Comité CERD pida  al Estado cubano: </w:t>
      </w:r>
    </w:p>
    <w:p w14:paraId="1DEFC2CF" w14:textId="5119F78A" w:rsidR="00EF7270" w:rsidRPr="007F6AD7" w:rsidRDefault="00EF7270" w:rsidP="00190E6E">
      <w:pPr>
        <w:pStyle w:val="Prrafodelista"/>
        <w:numPr>
          <w:ilvl w:val="0"/>
          <w:numId w:val="26"/>
        </w:numPr>
        <w:ind w:left="426"/>
        <w:jc w:val="both"/>
        <w:rPr>
          <w:rFonts w:cs="Arial"/>
          <w:bCs/>
          <w:noProof/>
          <w:lang w:val="es-ES"/>
        </w:rPr>
      </w:pPr>
      <w:r w:rsidRPr="007F6AD7">
        <w:rPr>
          <w:rFonts w:cs="Arial"/>
          <w:b/>
          <w:bCs/>
          <w:noProof/>
          <w:lang w:val="es-ES"/>
        </w:rPr>
        <w:t>Investigar de oficio por parte de la Fiscalía General de la República u otr</w:t>
      </w:r>
      <w:r w:rsidR="00190E6E" w:rsidRPr="007F6AD7">
        <w:rPr>
          <w:rFonts w:cs="Arial"/>
          <w:b/>
          <w:bCs/>
          <w:noProof/>
          <w:lang w:val="es-ES"/>
        </w:rPr>
        <w:t>a</w:t>
      </w:r>
      <w:r w:rsidRPr="007F6AD7">
        <w:rPr>
          <w:rFonts w:cs="Arial"/>
          <w:b/>
          <w:bCs/>
          <w:noProof/>
          <w:lang w:val="es-ES"/>
        </w:rPr>
        <w:t xml:space="preserve"> </w:t>
      </w:r>
      <w:r w:rsidR="00190E6E" w:rsidRPr="007F6AD7">
        <w:rPr>
          <w:rFonts w:cs="Arial"/>
          <w:b/>
          <w:bCs/>
          <w:noProof/>
          <w:lang w:val="es-ES"/>
        </w:rPr>
        <w:t xml:space="preserve">entidad </w:t>
      </w:r>
      <w:r w:rsidRPr="007F6AD7">
        <w:rPr>
          <w:rFonts w:cs="Arial"/>
          <w:b/>
          <w:bCs/>
          <w:noProof/>
          <w:lang w:val="es-ES"/>
        </w:rPr>
        <w:t>competente los actos de abandono y negligencia, asi como las agresiones fisicas, sicologicas y de otro tipo contra la presunta victima LGBTI  menor de 18 años  y sancionar a las personas que resulten responsables.</w:t>
      </w:r>
    </w:p>
    <w:p w14:paraId="5A57C896" w14:textId="512B2745" w:rsidR="00857AFB" w:rsidRPr="007B2CE7" w:rsidRDefault="00EF7270" w:rsidP="00EF7270">
      <w:pPr>
        <w:pStyle w:val="Prrafodelista"/>
        <w:numPr>
          <w:ilvl w:val="0"/>
          <w:numId w:val="26"/>
        </w:numPr>
        <w:ind w:left="426"/>
        <w:jc w:val="both"/>
        <w:rPr>
          <w:rFonts w:cs="Arial"/>
          <w:b/>
          <w:bCs/>
          <w:noProof/>
          <w:lang w:val="es-ES"/>
        </w:rPr>
      </w:pPr>
      <w:r w:rsidRPr="007F6AD7">
        <w:rPr>
          <w:rFonts w:cs="Arial"/>
          <w:b/>
          <w:bCs/>
          <w:noProof/>
          <w:lang w:val="es-ES"/>
        </w:rPr>
        <w:t>Tipificar en el Codigo Penal los crímenes de odio y contemplar la orientación sexual e identidad de género como agravantes de homicidio.</w:t>
      </w:r>
    </w:p>
    <w:p w14:paraId="14F4F866" w14:textId="77777777" w:rsidR="0018078B" w:rsidRPr="007F6AD7" w:rsidRDefault="0018078B" w:rsidP="00A7397D">
      <w:pPr>
        <w:pStyle w:val="Ttulo3"/>
      </w:pPr>
      <w:bookmarkStart w:id="119" w:name="_Toc515359815"/>
      <w:r w:rsidRPr="007F6AD7">
        <w:t>Delito de Desaparición Forzada  y Apropiación de Niños</w:t>
      </w:r>
      <w:bookmarkEnd w:id="119"/>
    </w:p>
    <w:p w14:paraId="764FF27A" w14:textId="0145A3F6" w:rsidR="0018078B" w:rsidRPr="007F6AD7" w:rsidRDefault="00741163" w:rsidP="00741163">
      <w:pPr>
        <w:tabs>
          <w:tab w:val="left" w:pos="567"/>
        </w:tabs>
        <w:spacing w:after="0" w:line="360" w:lineRule="auto"/>
        <w:jc w:val="both"/>
        <w:rPr>
          <w:rFonts w:ascii="Arial" w:hAnsi="Arial" w:cs="Arial"/>
          <w:lang w:eastAsia="es-ES"/>
        </w:rPr>
      </w:pPr>
      <w:r>
        <w:rPr>
          <w:rFonts w:ascii="Arial" w:hAnsi="Arial" w:cs="Arial"/>
        </w:rPr>
        <w:t>77</w:t>
      </w:r>
      <w:r w:rsidR="0018078B" w:rsidRPr="007F6AD7">
        <w:rPr>
          <w:rFonts w:ascii="Arial" w:hAnsi="Arial" w:cs="Arial"/>
        </w:rPr>
        <w:t xml:space="preserve">. </w:t>
      </w:r>
      <w:r>
        <w:rPr>
          <w:rFonts w:ascii="Arial" w:hAnsi="Arial" w:cs="Arial"/>
        </w:rPr>
        <w:t xml:space="preserve">   </w:t>
      </w:r>
      <w:r w:rsidR="0018078B" w:rsidRPr="007F6AD7">
        <w:rPr>
          <w:rFonts w:ascii="Arial" w:hAnsi="Arial" w:cs="Arial"/>
        </w:rPr>
        <w:t xml:space="preserve">El Comité contra la Desaparición Forzada (CED) considera que la legislación vigente en el Estado cubano no se ajusta plenamente a las obligaciones que corresponden a los Estados que son partes en la Convención </w:t>
      </w:r>
      <w:r w:rsidR="007B2CE7">
        <w:rPr>
          <w:rFonts w:ascii="Arial" w:hAnsi="Arial" w:cs="Arial"/>
        </w:rPr>
        <w:t>CED</w:t>
      </w:r>
      <w:r w:rsidR="0018078B" w:rsidRPr="007F6AD7">
        <w:rPr>
          <w:rFonts w:ascii="Arial" w:hAnsi="Arial" w:cs="Arial"/>
        </w:rPr>
        <w:t>.</w:t>
      </w:r>
      <w:r w:rsidR="0018078B" w:rsidRPr="007F6AD7">
        <w:rPr>
          <w:rStyle w:val="Refdenotaalpie"/>
          <w:rFonts w:ascii="Arial" w:hAnsi="Arial" w:cs="Arial"/>
        </w:rPr>
        <w:footnoteReference w:id="348"/>
      </w:r>
      <w:r w:rsidR="0018078B" w:rsidRPr="007F6AD7">
        <w:rPr>
          <w:rFonts w:ascii="Arial" w:hAnsi="Arial" w:cs="Arial"/>
        </w:rPr>
        <w:t xml:space="preserve"> La legislación cubana es omisa a delitos específicos de la desaparición forzada tales como la apropiación de niños.</w:t>
      </w:r>
      <w:r w:rsidR="00965E05" w:rsidRPr="007F6AD7">
        <w:rPr>
          <w:rStyle w:val="Ttulo2Car"/>
          <w:rFonts w:ascii="Arial" w:hAnsi="Arial"/>
          <w:sz w:val="22"/>
          <w:szCs w:val="22"/>
        </w:rPr>
        <w:t xml:space="preserve"> </w:t>
      </w:r>
      <w:r w:rsidR="00965E05" w:rsidRPr="007F6AD7">
        <w:rPr>
          <w:rStyle w:val="Refdenotaalpie"/>
          <w:rFonts w:ascii="Arial" w:hAnsi="Arial" w:cs="Arial"/>
        </w:rPr>
        <w:footnoteReference w:id="349"/>
      </w:r>
      <w:r w:rsidR="00965E05" w:rsidRPr="007F6AD7">
        <w:rPr>
          <w:rFonts w:ascii="Arial" w:hAnsi="Arial" w:cs="Arial"/>
          <w:lang w:eastAsia="es-ES"/>
        </w:rPr>
        <w:t xml:space="preserve"> </w:t>
      </w:r>
      <w:r w:rsidR="0018078B" w:rsidRPr="007F6AD7">
        <w:rPr>
          <w:rFonts w:ascii="Arial" w:hAnsi="Arial" w:cs="Arial"/>
        </w:rPr>
        <w:t>Además, da por supuesto el fallecimiento de la persona desaparecida sin establecer su suerte.</w:t>
      </w:r>
      <w:r w:rsidR="0018078B" w:rsidRPr="007F6AD7">
        <w:rPr>
          <w:rStyle w:val="Refdenotaalpie"/>
          <w:rFonts w:ascii="Arial" w:hAnsi="Arial" w:cs="Arial"/>
        </w:rPr>
        <w:footnoteReference w:id="350"/>
      </w:r>
      <w:r w:rsidR="0018078B" w:rsidRPr="007F6AD7">
        <w:rPr>
          <w:rFonts w:ascii="Arial" w:hAnsi="Arial" w:cs="Arial"/>
        </w:rPr>
        <w:t xml:space="preserve"> El Estado no ha adoptado   las medidas necesarias para garantizar que la legislación nacional regule de manera apropiada la situación legal de las personas </w:t>
      </w:r>
      <w:r w:rsidR="0018078B" w:rsidRPr="007F6AD7">
        <w:rPr>
          <w:rFonts w:ascii="Arial" w:hAnsi="Arial" w:cs="Arial"/>
        </w:rPr>
        <w:lastRenderedPageBreak/>
        <w:t>desaparecidas, cuya suerte no haya sido esclarecida y la de sus allegados, en ámbitos tales como la protección social, las cuestiones económicas, el derecho de familia y los derechos de propiedad, sin tener que declarar la muerte presunta de la persona desaparecida.</w:t>
      </w:r>
    </w:p>
    <w:p w14:paraId="1C6E559C" w14:textId="4A5AF8BF" w:rsidR="006F042C" w:rsidRPr="007F6AD7" w:rsidRDefault="006F042C" w:rsidP="0074466E">
      <w:pPr>
        <w:pStyle w:val="Ttulo3"/>
      </w:pPr>
      <w:bookmarkStart w:id="120" w:name="_Toc515359816"/>
      <w:r w:rsidRPr="007F6AD7">
        <w:t>Delitos de Secuestro y Sustracción del Menor</w:t>
      </w:r>
      <w:bookmarkEnd w:id="120"/>
    </w:p>
    <w:p w14:paraId="5A4537F5" w14:textId="557EEC8C" w:rsidR="00E64F91" w:rsidRPr="007F6AD7" w:rsidRDefault="00741163" w:rsidP="0074466E">
      <w:pPr>
        <w:tabs>
          <w:tab w:val="left" w:pos="720"/>
        </w:tabs>
        <w:spacing w:after="0" w:line="360" w:lineRule="auto"/>
        <w:jc w:val="both"/>
        <w:rPr>
          <w:rFonts w:ascii="Arial" w:hAnsi="Arial" w:cs="Arial"/>
        </w:rPr>
      </w:pPr>
      <w:r>
        <w:rPr>
          <w:rFonts w:ascii="Arial" w:hAnsi="Arial" w:cs="Arial"/>
        </w:rPr>
        <w:t>78</w:t>
      </w:r>
      <w:r w:rsidR="006F042C" w:rsidRPr="007F6AD7">
        <w:rPr>
          <w:rFonts w:ascii="Arial" w:hAnsi="Arial" w:cs="Arial"/>
        </w:rPr>
        <w:t xml:space="preserve">. </w:t>
      </w:r>
      <w:r w:rsidR="00973C31" w:rsidRPr="007F6AD7">
        <w:rPr>
          <w:rFonts w:ascii="Arial" w:hAnsi="Arial" w:cs="Arial"/>
        </w:rPr>
        <w:t xml:space="preserve">   Existen determinados tipos de delitos que tienden más que otros a ser poco denunciados, entre ellos la violencia contra la mujer y los delitos contra niños </w:t>
      </w:r>
      <w:r w:rsidR="00FF7248" w:rsidRPr="007F6AD7">
        <w:rPr>
          <w:rFonts w:ascii="Arial" w:hAnsi="Arial" w:cs="Arial"/>
        </w:rPr>
        <w:t>y jóvenes. Existe un reconocimiento universal de que las estadísticas policiales no se corresponden exactamente con la sensación de delincuencia que experimenta la población.</w:t>
      </w:r>
      <w:r w:rsidR="00FF7248" w:rsidRPr="007F6AD7">
        <w:rPr>
          <w:rStyle w:val="Refdenotaalpie"/>
          <w:rFonts w:ascii="Arial" w:hAnsi="Arial" w:cs="Arial"/>
        </w:rPr>
        <w:t xml:space="preserve"> </w:t>
      </w:r>
      <w:r w:rsidR="00FF7248" w:rsidRPr="007F6AD7">
        <w:rPr>
          <w:rStyle w:val="Refdenotaalpie"/>
          <w:rFonts w:ascii="Arial" w:hAnsi="Arial" w:cs="Arial"/>
        </w:rPr>
        <w:footnoteReference w:id="351"/>
      </w:r>
      <w:r w:rsidR="00FF7248" w:rsidRPr="007F6AD7">
        <w:rPr>
          <w:rFonts w:ascii="Arial" w:hAnsi="Arial" w:cs="Arial"/>
        </w:rPr>
        <w:t xml:space="preserve"> </w:t>
      </w:r>
      <w:r w:rsidR="00FF7248" w:rsidRPr="007F6AD7">
        <w:rPr>
          <w:rFonts w:ascii="Arial" w:hAnsi="Arial" w:cs="Arial"/>
          <w:vertAlign w:val="superscript"/>
        </w:rPr>
        <w:t>,</w:t>
      </w:r>
      <w:r w:rsidR="00FF7248" w:rsidRPr="007F6AD7">
        <w:rPr>
          <w:rFonts w:ascii="Arial" w:hAnsi="Arial" w:cs="Arial"/>
        </w:rPr>
        <w:t xml:space="preserve"> </w:t>
      </w:r>
      <w:r w:rsidR="00FF7248" w:rsidRPr="007F6AD7">
        <w:rPr>
          <w:rStyle w:val="Refdenotaalpie"/>
          <w:rFonts w:ascii="Arial" w:hAnsi="Arial" w:cs="Arial"/>
        </w:rPr>
        <w:footnoteReference w:id="352"/>
      </w:r>
      <w:r w:rsidR="00FF7248" w:rsidRPr="007F6AD7">
        <w:rPr>
          <w:rFonts w:ascii="Arial" w:hAnsi="Arial" w:cs="Arial"/>
        </w:rPr>
        <w:t xml:space="preserve"> </w:t>
      </w:r>
      <w:r w:rsidR="006F042C" w:rsidRPr="007F6AD7">
        <w:rPr>
          <w:rFonts w:ascii="Arial" w:hAnsi="Arial" w:cs="Arial"/>
        </w:rPr>
        <w:t xml:space="preserve">El Código Civil carece de </w:t>
      </w:r>
      <w:r w:rsidR="00C60405" w:rsidRPr="007F6AD7">
        <w:rPr>
          <w:rFonts w:ascii="Arial" w:hAnsi="Arial" w:cs="Arial"/>
        </w:rPr>
        <w:t>normas</w:t>
      </w:r>
      <w:r w:rsidR="006F042C" w:rsidRPr="007F6AD7">
        <w:rPr>
          <w:rFonts w:ascii="Arial" w:hAnsi="Arial" w:cs="Arial"/>
        </w:rPr>
        <w:t xml:space="preserve"> </w:t>
      </w:r>
      <w:r w:rsidR="00C60405" w:rsidRPr="007F6AD7">
        <w:rPr>
          <w:rFonts w:ascii="Arial" w:hAnsi="Arial" w:cs="Arial"/>
        </w:rPr>
        <w:t>adecuadas</w:t>
      </w:r>
      <w:r w:rsidR="006F042C" w:rsidRPr="007F6AD7">
        <w:rPr>
          <w:rFonts w:ascii="Arial" w:hAnsi="Arial" w:cs="Arial"/>
        </w:rPr>
        <w:t xml:space="preserve"> </w:t>
      </w:r>
      <w:r w:rsidR="006F042C" w:rsidRPr="007F6AD7">
        <w:rPr>
          <w:rFonts w:ascii="Arial" w:hAnsi="Arial" w:cs="Arial"/>
          <w:vertAlign w:val="superscript"/>
        </w:rPr>
        <w:footnoteReference w:id="353"/>
      </w:r>
      <w:r w:rsidR="006F042C" w:rsidRPr="007F6AD7">
        <w:rPr>
          <w:rFonts w:ascii="Arial" w:hAnsi="Arial" w:cs="Arial"/>
        </w:rPr>
        <w:t xml:space="preserve"> cuando existe riesgo de sustracción del menor por alguno de los cónyuges o por terceras personas. Las locuciones rapto y secuestro</w:t>
      </w:r>
      <w:r w:rsidR="006F042C" w:rsidRPr="007F6AD7">
        <w:rPr>
          <w:rFonts w:ascii="Arial" w:hAnsi="Arial" w:cs="Arial"/>
          <w:vertAlign w:val="superscript"/>
        </w:rPr>
        <w:footnoteReference w:id="354"/>
      </w:r>
      <w:r w:rsidR="006F042C" w:rsidRPr="007F6AD7">
        <w:rPr>
          <w:rFonts w:ascii="Arial" w:hAnsi="Arial" w:cs="Arial"/>
        </w:rPr>
        <w:t xml:space="preserve"> están excluidas en el Código Penal vigente. Tampoco están tipificados correctamente los delitos de detención ilegal.  Casos de recién nacidos</w:t>
      </w:r>
      <w:r w:rsidR="006F042C" w:rsidRPr="007F6AD7">
        <w:rPr>
          <w:rStyle w:val="Refdenotaalpie"/>
          <w:rFonts w:ascii="Arial" w:hAnsi="Arial" w:cs="Arial"/>
        </w:rPr>
        <w:footnoteReference w:id="355"/>
      </w:r>
      <w:r w:rsidR="006F042C" w:rsidRPr="007F6AD7">
        <w:rPr>
          <w:rFonts w:ascii="Arial" w:hAnsi="Arial" w:cs="Arial"/>
        </w:rPr>
        <w:t xml:space="preserve"> y niños desaparecidos</w:t>
      </w:r>
      <w:r w:rsidR="00C37DA4" w:rsidRPr="007F6AD7">
        <w:rPr>
          <w:rStyle w:val="Refdenotaalpie"/>
          <w:rFonts w:ascii="Arial" w:hAnsi="Arial" w:cs="Arial"/>
        </w:rPr>
        <w:footnoteReference w:id="356"/>
      </w:r>
      <w:r w:rsidR="006F042C" w:rsidRPr="007F6AD7">
        <w:rPr>
          <w:rFonts w:ascii="Arial" w:hAnsi="Arial" w:cs="Arial"/>
        </w:rPr>
        <w:t xml:space="preserve"> han </w:t>
      </w:r>
      <w:r w:rsidR="006F042C" w:rsidRPr="007F6AD7">
        <w:rPr>
          <w:rFonts w:ascii="Arial" w:hAnsi="Arial" w:cs="Arial"/>
        </w:rPr>
        <w:lastRenderedPageBreak/>
        <w:t>sido reportados, pero las autoridades cubanas y los medios de comunicación no se pronuncian al respecto.</w:t>
      </w:r>
      <w:r w:rsidR="006F042C" w:rsidRPr="007F6AD7">
        <w:rPr>
          <w:rStyle w:val="Refdenotaalpie"/>
          <w:rFonts w:ascii="Arial" w:hAnsi="Arial" w:cs="Arial"/>
        </w:rPr>
        <w:footnoteReference w:id="357"/>
      </w:r>
      <w:r w:rsidR="006F042C" w:rsidRPr="007F6AD7">
        <w:rPr>
          <w:rFonts w:ascii="Arial" w:hAnsi="Arial" w:cs="Arial"/>
        </w:rPr>
        <w:t xml:space="preserve"> </w:t>
      </w:r>
      <w:r w:rsidR="006554EA" w:rsidRPr="007F6AD7">
        <w:rPr>
          <w:rFonts w:ascii="Arial" w:hAnsi="Arial" w:cs="Arial"/>
          <w:vertAlign w:val="superscript"/>
        </w:rPr>
        <w:t>,</w:t>
      </w:r>
      <w:r w:rsidR="006554EA" w:rsidRPr="007F6AD7">
        <w:rPr>
          <w:rFonts w:ascii="Arial" w:hAnsi="Arial" w:cs="Arial"/>
        </w:rPr>
        <w:t xml:space="preserve"> </w:t>
      </w:r>
      <w:r w:rsidR="006554EA" w:rsidRPr="007F6AD7">
        <w:rPr>
          <w:rStyle w:val="Refdenotaalpie"/>
          <w:rFonts w:ascii="Arial" w:hAnsi="Arial" w:cs="Arial"/>
        </w:rPr>
        <w:footnoteReference w:id="358"/>
      </w:r>
    </w:p>
    <w:p w14:paraId="0A478656" w14:textId="77777777" w:rsidR="00741163" w:rsidRDefault="00741163" w:rsidP="00741163">
      <w:pPr>
        <w:tabs>
          <w:tab w:val="left" w:pos="720"/>
        </w:tabs>
        <w:spacing w:after="0" w:line="360" w:lineRule="auto"/>
        <w:jc w:val="both"/>
        <w:rPr>
          <w:rFonts w:ascii="Arial" w:hAnsi="Arial" w:cs="Arial"/>
        </w:rPr>
      </w:pPr>
      <w:r>
        <w:rPr>
          <w:rFonts w:ascii="Arial" w:hAnsi="Arial" w:cs="Arial"/>
        </w:rPr>
        <w:t>79</w:t>
      </w:r>
      <w:r w:rsidR="006F042C" w:rsidRPr="007F6AD7">
        <w:rPr>
          <w:rFonts w:ascii="Arial" w:hAnsi="Arial" w:cs="Arial"/>
        </w:rPr>
        <w:t xml:space="preserve">. </w:t>
      </w:r>
      <w:r>
        <w:rPr>
          <w:rFonts w:ascii="Arial" w:hAnsi="Arial" w:cs="Arial"/>
        </w:rPr>
        <w:t xml:space="preserve">  </w:t>
      </w:r>
      <w:r w:rsidR="006F042C" w:rsidRPr="007F6AD7">
        <w:rPr>
          <w:rFonts w:ascii="Arial" w:hAnsi="Arial" w:cs="Arial"/>
        </w:rPr>
        <w:t>La substracción de escolares</w:t>
      </w:r>
      <w:r w:rsidR="006F042C" w:rsidRPr="007F6AD7">
        <w:rPr>
          <w:rFonts w:ascii="Arial" w:hAnsi="Arial" w:cs="Arial"/>
          <w:vertAlign w:val="superscript"/>
        </w:rPr>
        <w:footnoteReference w:id="359"/>
      </w:r>
      <w:r w:rsidR="006F042C" w:rsidRPr="007F6AD7">
        <w:rPr>
          <w:rFonts w:ascii="Arial" w:hAnsi="Arial" w:cs="Arial"/>
          <w:vertAlign w:val="superscript"/>
        </w:rPr>
        <w:t xml:space="preserve">,  </w:t>
      </w:r>
      <w:r w:rsidR="006F042C" w:rsidRPr="007F6AD7">
        <w:rPr>
          <w:rFonts w:ascii="Arial" w:hAnsi="Arial" w:cs="Arial"/>
          <w:vertAlign w:val="superscript"/>
        </w:rPr>
        <w:footnoteReference w:id="360"/>
      </w:r>
      <w:r w:rsidR="006F042C" w:rsidRPr="007F6AD7">
        <w:rPr>
          <w:rFonts w:ascii="Arial" w:hAnsi="Arial" w:cs="Arial"/>
          <w:vertAlign w:val="superscript"/>
        </w:rPr>
        <w:t xml:space="preserve"> </w:t>
      </w:r>
      <w:r w:rsidR="006F042C" w:rsidRPr="007F6AD7">
        <w:rPr>
          <w:rFonts w:ascii="Arial" w:hAnsi="Arial" w:cs="Arial"/>
        </w:rPr>
        <w:t>de sus aulas por parte de funcionarios ocurre habitualmente, vulnerando los derechos de guarda</w:t>
      </w:r>
      <w:r w:rsidR="006F042C" w:rsidRPr="007F6AD7">
        <w:rPr>
          <w:rFonts w:ascii="Arial" w:hAnsi="Arial" w:cs="Arial"/>
          <w:bCs/>
          <w:lang w:eastAsia="es-MX"/>
        </w:rPr>
        <w:t>, los cuales se incorporan en su mayoría, en el rubro de los "delitos contra el orden familiar"</w:t>
      </w:r>
      <w:r w:rsidR="006F042C" w:rsidRPr="007F6AD7">
        <w:rPr>
          <w:rFonts w:ascii="Arial" w:hAnsi="Arial" w:cs="Arial"/>
        </w:rPr>
        <w:t xml:space="preserve">. </w:t>
      </w:r>
      <w:r w:rsidR="006F042C" w:rsidRPr="007F6AD7">
        <w:rPr>
          <w:rStyle w:val="Refdenotaalpie"/>
          <w:rFonts w:ascii="Arial" w:hAnsi="Arial" w:cs="Arial"/>
        </w:rPr>
        <w:footnoteReference w:id="361"/>
      </w:r>
      <w:r w:rsidR="006F042C" w:rsidRPr="007F6AD7">
        <w:rPr>
          <w:rFonts w:ascii="Arial" w:hAnsi="Arial" w:cs="Arial"/>
          <w:vertAlign w:val="superscript"/>
        </w:rPr>
        <w:t xml:space="preserve">, </w:t>
      </w:r>
      <w:r w:rsidR="006F042C" w:rsidRPr="007F6AD7">
        <w:rPr>
          <w:rStyle w:val="Refdenotaalpie"/>
          <w:rFonts w:ascii="Arial" w:hAnsi="Arial" w:cs="Arial"/>
        </w:rPr>
        <w:footnoteReference w:id="362"/>
      </w:r>
      <w:r w:rsidR="006F042C" w:rsidRPr="007F6AD7">
        <w:rPr>
          <w:rFonts w:ascii="Arial" w:hAnsi="Arial" w:cs="Arial"/>
        </w:rPr>
        <w:t xml:space="preserve"> Si algún alumno(a) se niega a obedecer, está en riesgo de sufrir represalias a pesar de ser Cuba un Estado parte de la Convención de la UNESCO contra la Discriminación en la Educación.</w:t>
      </w:r>
      <w:r w:rsidR="006F042C" w:rsidRPr="007F6AD7">
        <w:rPr>
          <w:rStyle w:val="Refdenotaalpie"/>
          <w:rFonts w:ascii="Arial" w:hAnsi="Arial" w:cs="Arial"/>
        </w:rPr>
        <w:footnoteReference w:id="363"/>
      </w:r>
      <w:r w:rsidR="006F042C" w:rsidRPr="007F6AD7">
        <w:rPr>
          <w:rFonts w:ascii="Arial" w:hAnsi="Arial" w:cs="Arial"/>
          <w:vertAlign w:val="superscript"/>
        </w:rPr>
        <w:t xml:space="preserve">, </w:t>
      </w:r>
      <w:r w:rsidR="006F042C" w:rsidRPr="007F6AD7">
        <w:rPr>
          <w:rStyle w:val="Refdenotaalpie"/>
          <w:rFonts w:ascii="Arial" w:hAnsi="Arial" w:cs="Arial"/>
        </w:rPr>
        <w:footnoteReference w:id="364"/>
      </w:r>
      <w:r w:rsidR="0074466E">
        <w:rPr>
          <w:rFonts w:ascii="Arial" w:hAnsi="Arial" w:cs="Arial"/>
          <w:vertAlign w:val="superscript"/>
        </w:rPr>
        <w:t xml:space="preserve"> </w:t>
      </w:r>
      <w:r>
        <w:rPr>
          <w:rFonts w:ascii="Arial" w:hAnsi="Arial" w:cs="Arial"/>
          <w:vertAlign w:val="superscript"/>
        </w:rPr>
        <w:t xml:space="preserve"> </w:t>
      </w:r>
      <w:r w:rsidR="006F042C" w:rsidRPr="00741163">
        <w:rPr>
          <w:rFonts w:ascii="Arial" w:hAnsi="Arial" w:cs="Arial"/>
        </w:rPr>
        <w:t xml:space="preserve">En la isla son frecuentes los desfiles de carácter político-ideológico, convocados y organizados por el Gobierno, donde participan organismos estatales u otros bajo su control. Las autoridades incitan reacciones violentas donde también participan los </w:t>
      </w:r>
      <w:r w:rsidR="007B2CE7" w:rsidRPr="00741163">
        <w:rPr>
          <w:rFonts w:ascii="Arial" w:hAnsi="Arial" w:cs="Arial"/>
        </w:rPr>
        <w:t>NNA</w:t>
      </w:r>
      <w:r w:rsidR="006F042C" w:rsidRPr="00741163">
        <w:rPr>
          <w:rFonts w:ascii="Arial" w:hAnsi="Arial" w:cs="Arial"/>
        </w:rPr>
        <w:t>, incluso con sus uniformes escolares y acompañados por maestros y/o directivos docentes. Usualmente los alumnos asisten sin el consentimiento de los padres o familiares. ACDEI logr</w:t>
      </w:r>
      <w:r w:rsidR="007B2CE7" w:rsidRPr="00741163">
        <w:rPr>
          <w:rFonts w:ascii="Arial" w:hAnsi="Arial" w:cs="Arial"/>
        </w:rPr>
        <w:t>ó</w:t>
      </w:r>
      <w:r w:rsidR="006F042C" w:rsidRPr="00741163">
        <w:rPr>
          <w:rFonts w:ascii="Arial" w:hAnsi="Arial" w:cs="Arial"/>
        </w:rPr>
        <w:t xml:space="preserve"> conversar con algunos de los </w:t>
      </w:r>
      <w:r w:rsidR="007B2CE7" w:rsidRPr="00741163">
        <w:rPr>
          <w:rFonts w:ascii="Arial" w:hAnsi="Arial" w:cs="Arial"/>
        </w:rPr>
        <w:t xml:space="preserve">escolares, </w:t>
      </w:r>
      <w:r w:rsidR="006F042C" w:rsidRPr="00741163">
        <w:rPr>
          <w:rFonts w:ascii="Arial" w:hAnsi="Arial" w:cs="Arial"/>
        </w:rPr>
        <w:t>participantes en el 2016. Los chicos</w:t>
      </w:r>
      <w:r w:rsidR="007B2CE7" w:rsidRPr="00741163">
        <w:rPr>
          <w:rFonts w:ascii="Arial" w:hAnsi="Arial" w:cs="Arial"/>
        </w:rPr>
        <w:t xml:space="preserve"> y chicas</w:t>
      </w:r>
      <w:r w:rsidR="006F042C" w:rsidRPr="00741163">
        <w:rPr>
          <w:rFonts w:ascii="Arial" w:hAnsi="Arial" w:cs="Arial"/>
        </w:rPr>
        <w:t>, estudiantes de Secundaria Básica</w:t>
      </w:r>
      <w:r>
        <w:rPr>
          <w:rFonts w:ascii="Arial" w:hAnsi="Arial" w:cs="Arial"/>
        </w:rPr>
        <w:t xml:space="preserve"> </w:t>
      </w:r>
      <w:r w:rsidR="006F042C" w:rsidRPr="00741163">
        <w:rPr>
          <w:rFonts w:ascii="Arial" w:hAnsi="Arial"/>
          <w:vertAlign w:val="superscript"/>
        </w:rPr>
        <w:footnoteReference w:id="365"/>
      </w:r>
      <w:r w:rsidR="006F042C" w:rsidRPr="00741163">
        <w:rPr>
          <w:rFonts w:ascii="Arial" w:hAnsi="Arial" w:cs="Arial"/>
          <w:vertAlign w:val="superscript"/>
        </w:rPr>
        <w:t xml:space="preserve"> </w:t>
      </w:r>
      <w:r w:rsidR="006F042C" w:rsidRPr="00741163">
        <w:rPr>
          <w:rFonts w:ascii="Arial" w:hAnsi="Arial" w:cs="Arial"/>
        </w:rPr>
        <w:lastRenderedPageBreak/>
        <w:t>asistieron a los actos contra las activistas conocidas como Damas de Blanco.  Al pre</w:t>
      </w:r>
      <w:r w:rsidR="00E64F91" w:rsidRPr="00741163">
        <w:rPr>
          <w:rFonts w:ascii="Arial" w:hAnsi="Arial" w:cs="Arial"/>
        </w:rPr>
        <w:t xml:space="preserve">guntársele porque participaban, </w:t>
      </w:r>
      <w:r w:rsidR="006F042C" w:rsidRPr="00741163">
        <w:rPr>
          <w:rFonts w:ascii="Arial" w:hAnsi="Arial" w:cs="Arial"/>
        </w:rPr>
        <w:t xml:space="preserve">explicaron que se divertían y "tenían que ir". </w:t>
      </w:r>
      <w:r w:rsidR="00D658E0" w:rsidRPr="00741163">
        <w:rPr>
          <w:rFonts w:ascii="Arial" w:hAnsi="Arial" w:cs="Arial"/>
          <w:b/>
        </w:rPr>
        <w:t xml:space="preserve">ACDEI ruega al Comité CERD pida al Estado </w:t>
      </w:r>
      <w:r w:rsidR="007B2CE7" w:rsidRPr="00741163">
        <w:rPr>
          <w:rFonts w:ascii="Arial" w:hAnsi="Arial" w:cs="Arial"/>
          <w:b/>
        </w:rPr>
        <w:t>cubano:</w:t>
      </w:r>
      <w:r w:rsidR="007B2CE7" w:rsidRPr="00741163">
        <w:rPr>
          <w:rFonts w:ascii="Arial" w:hAnsi="Arial" w:cs="Arial"/>
        </w:rPr>
        <w:t xml:space="preserve"> </w:t>
      </w:r>
    </w:p>
    <w:p w14:paraId="4CD68C53" w14:textId="5DD22338" w:rsidR="00741163" w:rsidRPr="00741163" w:rsidRDefault="007B2CE7" w:rsidP="00741163">
      <w:pPr>
        <w:tabs>
          <w:tab w:val="left" w:pos="720"/>
        </w:tabs>
        <w:spacing w:after="0" w:line="360" w:lineRule="auto"/>
        <w:jc w:val="both"/>
        <w:rPr>
          <w:rFonts w:ascii="Arial" w:hAnsi="Arial" w:cs="Arial"/>
          <w:b/>
        </w:rPr>
      </w:pPr>
      <w:r w:rsidRPr="00741163">
        <w:rPr>
          <w:rFonts w:ascii="Arial" w:hAnsi="Arial" w:cs="Arial"/>
          <w:b/>
        </w:rPr>
        <w:t xml:space="preserve">1. </w:t>
      </w:r>
      <w:r w:rsidR="00675307" w:rsidRPr="00741163">
        <w:rPr>
          <w:rFonts w:ascii="Arial" w:hAnsi="Arial" w:cs="Arial"/>
          <w:b/>
        </w:rPr>
        <w:t xml:space="preserve">   </w:t>
      </w:r>
      <w:r w:rsidRPr="00741163">
        <w:rPr>
          <w:rFonts w:ascii="Arial" w:hAnsi="Arial" w:cs="Arial"/>
          <w:b/>
        </w:rPr>
        <w:t xml:space="preserve">Modificar el Código penal vigente </w:t>
      </w:r>
      <w:r w:rsidR="009464F4" w:rsidRPr="00741163">
        <w:rPr>
          <w:rFonts w:ascii="Arial" w:hAnsi="Arial" w:cs="Arial"/>
          <w:b/>
        </w:rPr>
        <w:t xml:space="preserve">donde se incluya la  </w:t>
      </w:r>
      <w:r w:rsidR="00675307" w:rsidRPr="00741163">
        <w:rPr>
          <w:rFonts w:ascii="Arial" w:hAnsi="Arial" w:cs="Arial"/>
          <w:b/>
        </w:rPr>
        <w:t xml:space="preserve"> </w:t>
      </w:r>
      <w:r w:rsidR="009464F4" w:rsidRPr="00741163">
        <w:rPr>
          <w:rFonts w:ascii="Arial" w:hAnsi="Arial" w:cs="Arial"/>
          <w:b/>
        </w:rPr>
        <w:t>tipificación de los</w:t>
      </w:r>
      <w:r w:rsidR="00D658E0" w:rsidRPr="00741163">
        <w:rPr>
          <w:rFonts w:ascii="Arial" w:hAnsi="Arial" w:cs="Arial"/>
          <w:b/>
        </w:rPr>
        <w:t xml:space="preserve"> delitos relacionados con la desaparición forzada, </w:t>
      </w:r>
      <w:r w:rsidRPr="00741163">
        <w:rPr>
          <w:rFonts w:ascii="Arial" w:hAnsi="Arial" w:cs="Arial"/>
          <w:b/>
        </w:rPr>
        <w:t xml:space="preserve">rapto, </w:t>
      </w:r>
      <w:r w:rsidR="00D658E0" w:rsidRPr="00741163">
        <w:rPr>
          <w:rFonts w:ascii="Arial" w:hAnsi="Arial" w:cs="Arial"/>
          <w:b/>
        </w:rPr>
        <w:t>secuestro y sustracción de niños</w:t>
      </w:r>
      <w:r w:rsidRPr="00741163">
        <w:rPr>
          <w:rFonts w:ascii="Arial" w:hAnsi="Arial" w:cs="Arial"/>
          <w:b/>
        </w:rPr>
        <w:t>, niñas y adolescentes</w:t>
      </w:r>
      <w:r w:rsidR="00D658E0" w:rsidRPr="00741163">
        <w:rPr>
          <w:rFonts w:ascii="Arial" w:hAnsi="Arial" w:cs="Arial"/>
          <w:b/>
        </w:rPr>
        <w:t xml:space="preserve"> en diferentes ámbitos, incluyendo el ámbito docente.</w:t>
      </w:r>
    </w:p>
    <w:p w14:paraId="237D3BBB" w14:textId="166937B3" w:rsidR="00741163" w:rsidRPr="00741163" w:rsidRDefault="00741163" w:rsidP="00741163">
      <w:pPr>
        <w:tabs>
          <w:tab w:val="left" w:pos="720"/>
        </w:tabs>
        <w:spacing w:after="0" w:line="360" w:lineRule="auto"/>
        <w:jc w:val="both"/>
        <w:rPr>
          <w:rFonts w:ascii="Arial" w:hAnsi="Arial" w:cs="Arial"/>
          <w:b/>
        </w:rPr>
      </w:pPr>
      <w:r w:rsidRPr="00741163">
        <w:rPr>
          <w:rFonts w:ascii="Arial" w:hAnsi="Arial" w:cs="Arial"/>
          <w:b/>
        </w:rPr>
        <w:t>2.</w:t>
      </w:r>
      <w:r>
        <w:rPr>
          <w:rFonts w:ascii="Arial" w:hAnsi="Arial" w:cs="Arial"/>
          <w:b/>
        </w:rPr>
        <w:t xml:space="preserve"> </w:t>
      </w:r>
      <w:r w:rsidR="009464F4" w:rsidRPr="00741163">
        <w:rPr>
          <w:rFonts w:ascii="Arial" w:hAnsi="Arial" w:cs="Arial"/>
          <w:b/>
        </w:rPr>
        <w:t xml:space="preserve">Modificar el Código de Familia con una </w:t>
      </w:r>
      <w:r w:rsidR="00675307" w:rsidRPr="00741163">
        <w:rPr>
          <w:rFonts w:ascii="Arial" w:hAnsi="Arial" w:cs="Arial"/>
          <w:b/>
        </w:rPr>
        <w:t>eficaz regulación jurídica de la filiación</w:t>
      </w:r>
      <w:r w:rsidR="009464F4" w:rsidRPr="00741163">
        <w:rPr>
          <w:rFonts w:ascii="Arial" w:hAnsi="Arial" w:cs="Arial"/>
          <w:b/>
        </w:rPr>
        <w:t xml:space="preserve">. </w:t>
      </w:r>
    </w:p>
    <w:p w14:paraId="1AE7A672" w14:textId="24AE2E03" w:rsidR="007B2CE7" w:rsidRPr="007B2CE7" w:rsidRDefault="00741163" w:rsidP="00741163">
      <w:pPr>
        <w:pStyle w:val="Prrafodelista"/>
        <w:ind w:left="0" w:firstLine="0"/>
        <w:jc w:val="both"/>
        <w:rPr>
          <w:rFonts w:cs="Arial"/>
          <w:b/>
        </w:rPr>
      </w:pPr>
      <w:r>
        <w:rPr>
          <w:rFonts w:cs="Arial"/>
          <w:b/>
          <w:bCs/>
          <w:lang w:eastAsia="es-MX"/>
        </w:rPr>
        <w:t xml:space="preserve">3. </w:t>
      </w:r>
      <w:r w:rsidR="00675307">
        <w:rPr>
          <w:rFonts w:cs="Arial"/>
          <w:b/>
          <w:bCs/>
          <w:lang w:eastAsia="es-MX"/>
        </w:rPr>
        <w:t xml:space="preserve">Modificar el Código </w:t>
      </w:r>
      <w:r w:rsidR="009464F4">
        <w:rPr>
          <w:rFonts w:cs="Arial"/>
          <w:b/>
          <w:bCs/>
          <w:lang w:eastAsia="es-MX"/>
        </w:rPr>
        <w:t>Civil y</w:t>
      </w:r>
      <w:r w:rsidR="00675307">
        <w:rPr>
          <w:rFonts w:cs="Arial"/>
          <w:b/>
          <w:bCs/>
          <w:lang w:eastAsia="es-MX"/>
        </w:rPr>
        <w:t xml:space="preserve"> </w:t>
      </w:r>
      <w:r w:rsidR="00675307" w:rsidRPr="00675307">
        <w:rPr>
          <w:rFonts w:cs="Arial"/>
          <w:b/>
        </w:rPr>
        <w:t>regul</w:t>
      </w:r>
      <w:r w:rsidR="009464F4">
        <w:rPr>
          <w:rFonts w:cs="Arial"/>
          <w:b/>
        </w:rPr>
        <w:t>ar</w:t>
      </w:r>
      <w:r w:rsidR="00675307" w:rsidRPr="00675307">
        <w:rPr>
          <w:rFonts w:cs="Arial"/>
          <w:b/>
        </w:rPr>
        <w:t xml:space="preserve"> apropiada</w:t>
      </w:r>
      <w:r w:rsidR="009464F4">
        <w:rPr>
          <w:rFonts w:cs="Arial"/>
          <w:b/>
        </w:rPr>
        <w:t>mente</w:t>
      </w:r>
      <w:r w:rsidR="00675307" w:rsidRPr="00675307">
        <w:rPr>
          <w:rFonts w:cs="Arial"/>
          <w:b/>
        </w:rPr>
        <w:t xml:space="preserve"> la situación legal de las personas desaparecidas y la de sus allegados, en ámbitos tales como la protección social, las cuestiones económicas, el derecho de fami</w:t>
      </w:r>
      <w:r w:rsidR="00675307">
        <w:rPr>
          <w:rFonts w:cs="Arial"/>
          <w:b/>
        </w:rPr>
        <w:t>lia y los derechos de propiedad.</w:t>
      </w:r>
    </w:p>
    <w:p w14:paraId="00BD4AA3" w14:textId="33213FC6" w:rsidR="00600A11" w:rsidRPr="007F6AD7" w:rsidRDefault="00223EEF" w:rsidP="00715476">
      <w:pPr>
        <w:pStyle w:val="Ttulo1"/>
      </w:pPr>
      <w:bookmarkStart w:id="123" w:name="_Toc515359817"/>
      <w:r w:rsidRPr="007F6AD7">
        <w:t>E. L</w:t>
      </w:r>
      <w:r w:rsidR="002F576A" w:rsidRPr="007F6AD7">
        <w:t>a</w:t>
      </w:r>
      <w:r w:rsidR="00600A11" w:rsidRPr="007F6AD7">
        <w:t xml:space="preserve"> </w:t>
      </w:r>
      <w:r w:rsidRPr="007F6AD7">
        <w:t>P</w:t>
      </w:r>
      <w:r w:rsidR="00303D64" w:rsidRPr="007F6AD7">
        <w:t>rogresiva</w:t>
      </w:r>
      <w:r w:rsidR="002F576A" w:rsidRPr="007F6AD7">
        <w:t xml:space="preserve"> </w:t>
      </w:r>
      <w:r w:rsidRPr="007F6AD7">
        <w:t>D</w:t>
      </w:r>
      <w:r w:rsidR="002F576A" w:rsidRPr="007F6AD7">
        <w:t>iscriminación</w:t>
      </w:r>
      <w:r w:rsidR="00BE2E3D" w:rsidRPr="007F6AD7">
        <w:t xml:space="preserve"> </w:t>
      </w:r>
      <w:r w:rsidRPr="007F6AD7">
        <w:t>R</w:t>
      </w:r>
      <w:r w:rsidR="00BE2E3D" w:rsidRPr="007F6AD7">
        <w:t xml:space="preserve">acial </w:t>
      </w:r>
      <w:r w:rsidR="002F576A" w:rsidRPr="007F6AD7">
        <w:t>en Cuba</w:t>
      </w:r>
      <w:bookmarkEnd w:id="123"/>
      <w:r w:rsidRPr="007F6AD7">
        <w:t xml:space="preserve"> </w:t>
      </w:r>
    </w:p>
    <w:p w14:paraId="2F4F68EF" w14:textId="1555A07B" w:rsidR="006F3066" w:rsidRPr="007F6AD7" w:rsidRDefault="004D742D" w:rsidP="0074466E">
      <w:pPr>
        <w:pStyle w:val="Ttulo3"/>
      </w:pPr>
      <w:bookmarkStart w:id="124" w:name="_Toc515359818"/>
      <w:r w:rsidRPr="007F6AD7">
        <w:t>Presencia de</w:t>
      </w:r>
      <w:r w:rsidR="002F576A" w:rsidRPr="007F6AD7">
        <w:t xml:space="preserve"> </w:t>
      </w:r>
      <w:r w:rsidRPr="007F6AD7">
        <w:t>m</w:t>
      </w:r>
      <w:r w:rsidR="006E685D" w:rsidRPr="007F6AD7">
        <w:t xml:space="preserve">últiples </w:t>
      </w:r>
      <w:r w:rsidR="00BE2E3D" w:rsidRPr="007F6AD7">
        <w:t>recombinaciones</w:t>
      </w:r>
      <w:r w:rsidR="006E685D" w:rsidRPr="007F6AD7">
        <w:t xml:space="preserve"> social</w:t>
      </w:r>
      <w:r w:rsidR="00BE2E3D" w:rsidRPr="007F6AD7">
        <w:t>es</w:t>
      </w:r>
      <w:bookmarkEnd w:id="124"/>
      <w:r w:rsidR="006F3066" w:rsidRPr="007F6AD7">
        <w:t xml:space="preserve">  </w:t>
      </w:r>
    </w:p>
    <w:p w14:paraId="10E4C37A" w14:textId="6DCDE537" w:rsidR="00676CB1" w:rsidRPr="007F6AD7" w:rsidRDefault="00741163" w:rsidP="00741163">
      <w:pPr>
        <w:tabs>
          <w:tab w:val="left" w:pos="567"/>
        </w:tabs>
        <w:spacing w:after="0" w:line="360" w:lineRule="auto"/>
        <w:jc w:val="both"/>
        <w:rPr>
          <w:rFonts w:ascii="Arial" w:hAnsi="Arial" w:cs="Arial"/>
        </w:rPr>
      </w:pPr>
      <w:r>
        <w:rPr>
          <w:rFonts w:ascii="Arial" w:hAnsi="Arial" w:cs="Arial"/>
        </w:rPr>
        <w:t xml:space="preserve">80.  </w:t>
      </w:r>
      <w:r w:rsidR="00D17D80" w:rsidRPr="007F6AD7">
        <w:rPr>
          <w:rFonts w:ascii="Arial" w:hAnsi="Arial" w:cs="Arial"/>
        </w:rPr>
        <w:t xml:space="preserve">Ahora subsiste un espacio de identificación de prácticas sistemáticas de injusticia no resueltas definitivamente por las políticas </w:t>
      </w:r>
      <w:r w:rsidR="00AF4C45" w:rsidRPr="007F6AD7">
        <w:rPr>
          <w:rFonts w:ascii="Arial" w:hAnsi="Arial" w:cs="Arial"/>
        </w:rPr>
        <w:t>gubernamentale</w:t>
      </w:r>
      <w:r w:rsidR="00D17D80" w:rsidRPr="007F6AD7">
        <w:rPr>
          <w:rFonts w:ascii="Arial" w:hAnsi="Arial" w:cs="Arial"/>
        </w:rPr>
        <w:t xml:space="preserve">s. </w:t>
      </w:r>
      <w:r w:rsidR="00553BA8" w:rsidRPr="007F6AD7">
        <w:rPr>
          <w:rFonts w:ascii="Arial" w:hAnsi="Arial" w:cs="Arial"/>
        </w:rPr>
        <w:t>L</w:t>
      </w:r>
      <w:r w:rsidR="0058105B" w:rsidRPr="007F6AD7">
        <w:rPr>
          <w:rFonts w:ascii="Arial" w:hAnsi="Arial" w:cs="Arial"/>
        </w:rPr>
        <w:t>a identidad racial de los cubanos se construye atravesada por dos fenómenos de significación, la desigualdad social, en la que los grupos donde predominan los negros y mestizos están más desfavorecidos,</w:t>
      </w:r>
      <w:r w:rsidR="00B930E8" w:rsidRPr="007F6AD7">
        <w:rPr>
          <w:rStyle w:val="Refdenotaalpie"/>
          <w:rFonts w:ascii="Arial" w:hAnsi="Arial" w:cs="Arial"/>
        </w:rPr>
        <w:footnoteReference w:id="366"/>
      </w:r>
      <w:r w:rsidR="0058105B" w:rsidRPr="007F6AD7">
        <w:rPr>
          <w:rFonts w:ascii="Arial" w:hAnsi="Arial" w:cs="Arial"/>
        </w:rPr>
        <w:t xml:space="preserve"> y las prácticas culturales, que reproducen estereotipos y prejuicios que contribuyen a afianzar las desigualdades. En esta relación subyace la contradicción causal principal de la cual se derivan los procesos sociales.</w:t>
      </w:r>
      <w:r w:rsidR="0058105B" w:rsidRPr="007F6AD7">
        <w:rPr>
          <w:rStyle w:val="Ttulo1Car"/>
          <w:rFonts w:ascii="Arial" w:hAnsi="Arial"/>
        </w:rPr>
        <w:t xml:space="preserve"> </w:t>
      </w:r>
      <w:r w:rsidR="0058105B" w:rsidRPr="007F6AD7">
        <w:rPr>
          <w:rStyle w:val="Refdenotaalpie"/>
          <w:rFonts w:ascii="Arial" w:hAnsi="Arial" w:cs="Arial"/>
        </w:rPr>
        <w:footnoteReference w:id="367"/>
      </w:r>
      <w:r w:rsidR="008F3DDC" w:rsidRPr="007F6AD7">
        <w:rPr>
          <w:rFonts w:ascii="Arial" w:hAnsi="Arial" w:cs="Arial"/>
        </w:rPr>
        <w:t xml:space="preserve"> </w:t>
      </w:r>
      <w:r w:rsidR="0050186B" w:rsidRPr="007F6AD7">
        <w:rPr>
          <w:rFonts w:ascii="Arial" w:hAnsi="Arial" w:cs="Arial"/>
        </w:rPr>
        <w:t>El vacío acerca de la verdadera historia de la población afrodescendiente ha tenido una repercusión negativa en el imaginario social, donde ha sido recreada la epistemología de la inferioridad. Mientras que de manera consciente o no, es favorecida la búsqueda de la blanquitud como el modelo ideal de la sociedad.</w:t>
      </w:r>
      <w:r>
        <w:rPr>
          <w:rFonts w:ascii="Arial" w:hAnsi="Arial" w:cs="Arial"/>
        </w:rPr>
        <w:t xml:space="preserve"> </w:t>
      </w:r>
      <w:r w:rsidR="009155F5" w:rsidRPr="007F6AD7">
        <w:rPr>
          <w:rFonts w:ascii="Arial" w:hAnsi="Arial" w:cs="Arial"/>
        </w:rPr>
        <w:t xml:space="preserve">La esclavitud </w:t>
      </w:r>
      <w:r w:rsidR="00145BAF" w:rsidRPr="007F6AD7">
        <w:rPr>
          <w:rFonts w:ascii="Arial" w:hAnsi="Arial" w:cs="Arial"/>
        </w:rPr>
        <w:t>representa</w:t>
      </w:r>
      <w:r w:rsidR="009155F5" w:rsidRPr="007F6AD7">
        <w:rPr>
          <w:rFonts w:ascii="Arial" w:hAnsi="Arial" w:cs="Arial"/>
        </w:rPr>
        <w:t xml:space="preserve"> una injusticia histórica, </w:t>
      </w:r>
      <w:r w:rsidR="00145BAF" w:rsidRPr="007F6AD7">
        <w:rPr>
          <w:rFonts w:ascii="Arial" w:hAnsi="Arial" w:cs="Arial"/>
        </w:rPr>
        <w:t xml:space="preserve">carente </w:t>
      </w:r>
      <w:r w:rsidR="004D2632" w:rsidRPr="007F6AD7">
        <w:rPr>
          <w:rFonts w:ascii="Arial" w:hAnsi="Arial" w:cs="Arial"/>
        </w:rPr>
        <w:t xml:space="preserve">en Cuba </w:t>
      </w:r>
      <w:r w:rsidR="00145BAF" w:rsidRPr="007F6AD7">
        <w:rPr>
          <w:rFonts w:ascii="Arial" w:hAnsi="Arial" w:cs="Arial"/>
        </w:rPr>
        <w:t>de</w:t>
      </w:r>
      <w:r w:rsidR="009155F5" w:rsidRPr="007F6AD7">
        <w:rPr>
          <w:rFonts w:ascii="Arial" w:hAnsi="Arial" w:cs="Arial"/>
        </w:rPr>
        <w:t xml:space="preserve"> la suficiente comprensión social</w:t>
      </w:r>
      <w:r w:rsidR="00170DC4" w:rsidRPr="007F6AD7">
        <w:rPr>
          <w:rFonts w:ascii="Arial" w:hAnsi="Arial" w:cs="Arial"/>
        </w:rPr>
        <w:t xml:space="preserve"> y</w:t>
      </w:r>
      <w:r w:rsidR="009155F5" w:rsidRPr="007F6AD7">
        <w:rPr>
          <w:rFonts w:ascii="Arial" w:hAnsi="Arial" w:cs="Arial"/>
        </w:rPr>
        <w:t xml:space="preserve"> </w:t>
      </w:r>
      <w:r w:rsidR="00170DC4" w:rsidRPr="007F6AD7">
        <w:rPr>
          <w:rFonts w:ascii="Arial" w:hAnsi="Arial" w:cs="Arial"/>
        </w:rPr>
        <w:t>exige ser explicada principalmente a las generaciones más jóvenes, m</w:t>
      </w:r>
      <w:r w:rsidR="00CF5824" w:rsidRPr="007F6AD7">
        <w:rPr>
          <w:rFonts w:ascii="Arial" w:hAnsi="Arial" w:cs="Arial"/>
        </w:rPr>
        <w:t>uy</w:t>
      </w:r>
      <w:r w:rsidR="00170DC4" w:rsidRPr="007F6AD7">
        <w:rPr>
          <w:rFonts w:ascii="Arial" w:hAnsi="Arial" w:cs="Arial"/>
        </w:rPr>
        <w:t xml:space="preserve"> ajenas en el tiempo de esa tragedia</w:t>
      </w:r>
      <w:r w:rsidR="009155F5" w:rsidRPr="007F6AD7">
        <w:rPr>
          <w:rFonts w:ascii="Arial" w:hAnsi="Arial" w:cs="Arial"/>
        </w:rPr>
        <w:t xml:space="preserve">. </w:t>
      </w:r>
      <w:r w:rsidR="0050186B" w:rsidRPr="007F6AD7">
        <w:rPr>
          <w:rStyle w:val="Refdenotaalpie"/>
          <w:rFonts w:ascii="Arial" w:hAnsi="Arial" w:cs="Arial"/>
        </w:rPr>
        <w:footnoteReference w:id="368"/>
      </w:r>
      <w:r w:rsidR="0037100C" w:rsidRPr="007F6AD7">
        <w:rPr>
          <w:rFonts w:ascii="Arial" w:hAnsi="Arial" w:cs="Arial"/>
        </w:rPr>
        <w:t xml:space="preserve"> </w:t>
      </w:r>
      <w:r w:rsidR="006E685D" w:rsidRPr="007F6AD7">
        <w:rPr>
          <w:rFonts w:ascii="Arial" w:hAnsi="Arial" w:cs="Arial"/>
        </w:rPr>
        <w:t>Otros</w:t>
      </w:r>
      <w:r w:rsidR="0037100C" w:rsidRPr="007F6AD7">
        <w:rPr>
          <w:rFonts w:ascii="Arial" w:hAnsi="Arial" w:cs="Arial"/>
        </w:rPr>
        <w:t xml:space="preserve"> </w:t>
      </w:r>
      <w:r w:rsidR="00931277" w:rsidRPr="007F6AD7">
        <w:rPr>
          <w:rFonts w:ascii="Arial" w:hAnsi="Arial" w:cs="Arial"/>
        </w:rPr>
        <w:t>asume</w:t>
      </w:r>
      <w:r w:rsidR="00170DC4" w:rsidRPr="007F6AD7">
        <w:rPr>
          <w:rFonts w:ascii="Arial" w:hAnsi="Arial" w:cs="Arial"/>
        </w:rPr>
        <w:t>n</w:t>
      </w:r>
      <w:r w:rsidR="00931277" w:rsidRPr="007F6AD7">
        <w:rPr>
          <w:rFonts w:ascii="Arial" w:hAnsi="Arial" w:cs="Arial"/>
        </w:rPr>
        <w:t xml:space="preserve"> el</w:t>
      </w:r>
      <w:r w:rsidR="0037100C" w:rsidRPr="007F6AD7">
        <w:rPr>
          <w:rFonts w:ascii="Arial" w:hAnsi="Arial" w:cs="Arial"/>
        </w:rPr>
        <w:t xml:space="preserve"> complejo entramado de los prejuicios raciales en la Cuba contemporánea </w:t>
      </w:r>
      <w:r w:rsidR="0037100C" w:rsidRPr="007F6AD7">
        <w:rPr>
          <w:rFonts w:ascii="Arial" w:hAnsi="Arial" w:cs="Arial"/>
        </w:rPr>
        <w:lastRenderedPageBreak/>
        <w:t>conformado por el racismo del blanco, que tiene como antecedente la negación de la propia condición humana del negro que inspiró la institución esclavista; el racismo del negro que nace del rencor de la explotación y la humillación; y el racismo del mulato que quiere pasar por blanco convencido de que así adelanta la raza.</w:t>
      </w:r>
      <w:r w:rsidR="00A126F1" w:rsidRPr="007F6AD7">
        <w:rPr>
          <w:rStyle w:val="Refdenotaalpie"/>
          <w:rFonts w:ascii="Arial" w:hAnsi="Arial" w:cs="Arial"/>
        </w:rPr>
        <w:footnoteReference w:id="369"/>
      </w:r>
      <w:r w:rsidR="00676CB1" w:rsidRPr="007F6AD7">
        <w:rPr>
          <w:rFonts w:ascii="Arial" w:hAnsi="Arial" w:cs="Arial"/>
        </w:rPr>
        <w:t xml:space="preserve"> El racismo vive, </w:t>
      </w:r>
      <w:r w:rsidR="00A55A6D">
        <w:rPr>
          <w:rFonts w:ascii="Arial" w:hAnsi="Arial" w:cs="Arial"/>
        </w:rPr>
        <w:t>cambia</w:t>
      </w:r>
      <w:r w:rsidR="00AF4C45" w:rsidRPr="007F6AD7">
        <w:rPr>
          <w:rFonts w:ascii="Arial" w:hAnsi="Arial" w:cs="Arial"/>
        </w:rPr>
        <w:t xml:space="preserve">  y </w:t>
      </w:r>
      <w:r w:rsidR="00676CB1" w:rsidRPr="007F6AD7">
        <w:rPr>
          <w:rFonts w:ascii="Arial" w:hAnsi="Arial" w:cs="Arial"/>
        </w:rPr>
        <w:t xml:space="preserve"> </w:t>
      </w:r>
      <w:r w:rsidR="00AF4C45" w:rsidRPr="007F6AD7">
        <w:rPr>
          <w:rFonts w:ascii="Arial" w:hAnsi="Arial" w:cs="Arial"/>
        </w:rPr>
        <w:t>robustece</w:t>
      </w:r>
      <w:r w:rsidR="00676CB1" w:rsidRPr="007F6AD7">
        <w:rPr>
          <w:rFonts w:ascii="Arial" w:hAnsi="Arial" w:cs="Arial"/>
        </w:rPr>
        <w:t xml:space="preserve">  como  parte  de  las  relaciones  jerárquicas  de  poder independientemente  del  sistem</w:t>
      </w:r>
      <w:r w:rsidR="00293E48" w:rsidRPr="007F6AD7">
        <w:rPr>
          <w:rFonts w:ascii="Arial" w:hAnsi="Arial" w:cs="Arial"/>
        </w:rPr>
        <w:t xml:space="preserve">a  socio-económico imperante. Varios académicos </w:t>
      </w:r>
      <w:r w:rsidR="00AF4C45" w:rsidRPr="007F6AD7">
        <w:rPr>
          <w:rFonts w:ascii="Arial" w:hAnsi="Arial" w:cs="Arial"/>
        </w:rPr>
        <w:t>asumen</w:t>
      </w:r>
      <w:r w:rsidR="00293E48" w:rsidRPr="007F6AD7">
        <w:rPr>
          <w:rFonts w:ascii="Arial" w:hAnsi="Arial" w:cs="Arial"/>
        </w:rPr>
        <w:t xml:space="preserve"> que l</w:t>
      </w:r>
      <w:r w:rsidR="00676CB1" w:rsidRPr="007F6AD7">
        <w:rPr>
          <w:rFonts w:ascii="Arial" w:hAnsi="Arial" w:cs="Arial"/>
        </w:rPr>
        <w:t xml:space="preserve">a revolución </w:t>
      </w:r>
      <w:r w:rsidR="00293E48" w:rsidRPr="007F6AD7">
        <w:rPr>
          <w:rFonts w:ascii="Arial" w:hAnsi="Arial" w:cs="Arial"/>
        </w:rPr>
        <w:t xml:space="preserve">cubana </w:t>
      </w:r>
      <w:r w:rsidR="00676CB1" w:rsidRPr="007F6AD7">
        <w:rPr>
          <w:rFonts w:ascii="Arial" w:hAnsi="Arial" w:cs="Arial"/>
        </w:rPr>
        <w:t xml:space="preserve">de </w:t>
      </w:r>
      <w:r w:rsidR="00FD69A6" w:rsidRPr="007F6AD7">
        <w:rPr>
          <w:rFonts w:ascii="Arial" w:hAnsi="Arial" w:cs="Arial"/>
        </w:rPr>
        <w:t>1959 cooperó</w:t>
      </w:r>
      <w:r w:rsidR="00676CB1" w:rsidRPr="007F6AD7">
        <w:rPr>
          <w:rFonts w:ascii="Arial" w:hAnsi="Arial" w:cs="Arial"/>
        </w:rPr>
        <w:t xml:space="preserve"> y sigue colaborando bastante en la reproducción del racismo. </w:t>
      </w:r>
      <w:r w:rsidR="00676CB1" w:rsidRPr="007F6AD7">
        <w:rPr>
          <w:rStyle w:val="Refdenotaalpie"/>
          <w:rFonts w:ascii="Arial" w:hAnsi="Arial" w:cs="Arial"/>
        </w:rPr>
        <w:footnoteReference w:id="370"/>
      </w:r>
    </w:p>
    <w:p w14:paraId="39281C78" w14:textId="6AFB38F6" w:rsidR="00177325" w:rsidRPr="007F6AD7" w:rsidRDefault="00177325" w:rsidP="0074466E">
      <w:pPr>
        <w:pStyle w:val="Ttulo3"/>
      </w:pPr>
      <w:bookmarkStart w:id="125" w:name="_Toc515359819"/>
      <w:r w:rsidRPr="007F6AD7">
        <w:t>Acceso de l</w:t>
      </w:r>
      <w:r w:rsidR="00223EEF" w:rsidRPr="007F6AD7">
        <w:t>a</w:t>
      </w:r>
      <w:r w:rsidRPr="007F6AD7">
        <w:t xml:space="preserve"> </w:t>
      </w:r>
      <w:r w:rsidR="00223EEF" w:rsidRPr="007F6AD7">
        <w:t xml:space="preserve">población </w:t>
      </w:r>
      <w:r w:rsidRPr="007F6AD7">
        <w:t>negr</w:t>
      </w:r>
      <w:r w:rsidR="00223EEF" w:rsidRPr="007F6AD7">
        <w:t xml:space="preserve">a </w:t>
      </w:r>
      <w:r w:rsidRPr="007F6AD7">
        <w:t>y mestiz</w:t>
      </w:r>
      <w:r w:rsidR="00223EEF" w:rsidRPr="007F6AD7">
        <w:t>a</w:t>
      </w:r>
      <w:r w:rsidRPr="007F6AD7">
        <w:t xml:space="preserve"> a los estudios universitarios</w:t>
      </w:r>
      <w:bookmarkEnd w:id="125"/>
    </w:p>
    <w:p w14:paraId="479FB214" w14:textId="252DCD64" w:rsidR="00510EF1" w:rsidRPr="00EE6EB2" w:rsidRDefault="00741163" w:rsidP="00741163">
      <w:pPr>
        <w:tabs>
          <w:tab w:val="left" w:pos="567"/>
        </w:tabs>
        <w:spacing w:after="0" w:line="360" w:lineRule="auto"/>
        <w:jc w:val="both"/>
        <w:rPr>
          <w:rFonts w:ascii="Times New Roman" w:eastAsia="STKaiti" w:hAnsi="Times New Roman"/>
          <w:sz w:val="24"/>
          <w:szCs w:val="24"/>
          <w:lang w:eastAsia="es-ES"/>
        </w:rPr>
      </w:pPr>
      <w:r>
        <w:rPr>
          <w:rFonts w:ascii="Arial" w:hAnsi="Arial" w:cs="Arial"/>
        </w:rPr>
        <w:t xml:space="preserve">81.   </w:t>
      </w:r>
      <w:r w:rsidR="00C03841" w:rsidRPr="007F6AD7">
        <w:rPr>
          <w:rFonts w:ascii="Arial" w:hAnsi="Arial" w:cs="Arial"/>
        </w:rPr>
        <w:t xml:space="preserve">El ambiente social </w:t>
      </w:r>
      <w:r w:rsidR="009B1277" w:rsidRPr="007F6AD7">
        <w:rPr>
          <w:rFonts w:ascii="Arial" w:hAnsi="Arial" w:cs="Arial"/>
        </w:rPr>
        <w:t>del cual se procede</w:t>
      </w:r>
      <w:r w:rsidR="00C03841" w:rsidRPr="007F6AD7">
        <w:rPr>
          <w:rFonts w:ascii="Arial" w:hAnsi="Arial" w:cs="Arial"/>
        </w:rPr>
        <w:t xml:space="preserve"> tiene mucho que ver con e</w:t>
      </w:r>
      <w:r w:rsidR="00903106" w:rsidRPr="007F6AD7">
        <w:rPr>
          <w:rFonts w:ascii="Arial" w:hAnsi="Arial" w:cs="Arial"/>
        </w:rPr>
        <w:t xml:space="preserve">l tipo de decisiones que se </w:t>
      </w:r>
      <w:r w:rsidR="009B1277" w:rsidRPr="007F6AD7">
        <w:rPr>
          <w:rFonts w:ascii="Arial" w:hAnsi="Arial" w:cs="Arial"/>
        </w:rPr>
        <w:t>cree</w:t>
      </w:r>
      <w:r w:rsidR="00C03841" w:rsidRPr="007F6AD7">
        <w:rPr>
          <w:rFonts w:ascii="Arial" w:hAnsi="Arial" w:cs="Arial"/>
        </w:rPr>
        <w:t xml:space="preserve"> apropiadas</w:t>
      </w:r>
      <w:r w:rsidR="00185FCE" w:rsidRPr="007F6AD7">
        <w:rPr>
          <w:rFonts w:ascii="Arial" w:hAnsi="Arial" w:cs="Arial"/>
        </w:rPr>
        <w:t>.</w:t>
      </w:r>
      <w:r w:rsidR="00C03841" w:rsidRPr="007F6AD7">
        <w:rPr>
          <w:rStyle w:val="Refdenotaalpie"/>
          <w:rFonts w:ascii="Arial" w:hAnsi="Arial" w:cs="Arial"/>
        </w:rPr>
        <w:footnoteReference w:id="371"/>
      </w:r>
      <w:r w:rsidR="00C03841" w:rsidRPr="007F6AD7">
        <w:rPr>
          <w:rFonts w:ascii="Arial" w:hAnsi="Arial" w:cs="Arial"/>
        </w:rPr>
        <w:t xml:space="preserve"> </w:t>
      </w:r>
      <w:r w:rsidR="00185FCE" w:rsidRPr="007F6AD7">
        <w:rPr>
          <w:rFonts w:ascii="Arial" w:hAnsi="Arial" w:cs="Arial"/>
        </w:rPr>
        <w:t>D</w:t>
      </w:r>
      <w:r w:rsidR="00C03841" w:rsidRPr="007F6AD7">
        <w:rPr>
          <w:rFonts w:ascii="Arial" w:hAnsi="Arial" w:cs="Arial"/>
        </w:rPr>
        <w:t xml:space="preserve">esde </w:t>
      </w:r>
      <w:r w:rsidR="00185FCE" w:rsidRPr="007F6AD7">
        <w:rPr>
          <w:rFonts w:ascii="Arial" w:hAnsi="Arial" w:cs="Arial"/>
        </w:rPr>
        <w:t>tal</w:t>
      </w:r>
      <w:r w:rsidR="00C03841" w:rsidRPr="007F6AD7">
        <w:rPr>
          <w:rFonts w:ascii="Arial" w:hAnsi="Arial" w:cs="Arial"/>
        </w:rPr>
        <w:t xml:space="preserve"> perspectiva, los niños y niñas cubanos en riesgo de exclusión, la niñez en conflicto con la ley, sin amparo filial, y con progenitores recluidos en prisiones están en franca desventaja para alcanzar un nivel de vida satisfactorio mediante la educación.</w:t>
      </w:r>
      <w:r w:rsidR="00C03841" w:rsidRPr="007F6AD7">
        <w:rPr>
          <w:rStyle w:val="Refdenotaalpie"/>
          <w:rFonts w:ascii="Arial" w:hAnsi="Arial" w:cs="Arial"/>
          <w:lang w:val="es-MX"/>
        </w:rPr>
        <w:footnoteReference w:id="372"/>
      </w:r>
      <w:r w:rsidR="00C03841" w:rsidRPr="007F6AD7">
        <w:rPr>
          <w:rFonts w:ascii="Arial" w:hAnsi="Arial" w:cs="Arial"/>
          <w:lang w:val="es-MX"/>
        </w:rPr>
        <w:t xml:space="preserve"> </w:t>
      </w:r>
      <w:r w:rsidR="00ED0D72" w:rsidRPr="007F6AD7">
        <w:rPr>
          <w:rFonts w:ascii="Arial" w:hAnsi="Arial" w:cs="Arial"/>
          <w:lang w:val="es-MX"/>
        </w:rPr>
        <w:t>La</w:t>
      </w:r>
      <w:r w:rsidR="001C70DA" w:rsidRPr="007F6AD7">
        <w:rPr>
          <w:rFonts w:ascii="Arial" w:hAnsi="Arial" w:cs="Arial"/>
          <w:lang w:val="es-MX"/>
        </w:rPr>
        <w:t xml:space="preserve"> familia</w:t>
      </w:r>
      <w:r w:rsidR="00510EF1" w:rsidRPr="007F6AD7">
        <w:rPr>
          <w:rFonts w:ascii="Arial" w:hAnsi="Arial" w:cs="Arial"/>
          <w:lang w:val="es-MX"/>
        </w:rPr>
        <w:t xml:space="preserve"> </w:t>
      </w:r>
      <w:r w:rsidR="00185FCE" w:rsidRPr="007F6AD7">
        <w:rPr>
          <w:rFonts w:ascii="Arial" w:hAnsi="Arial" w:cs="Arial"/>
          <w:lang w:val="es-MX"/>
        </w:rPr>
        <w:t>y su</w:t>
      </w:r>
      <w:r w:rsidR="00510EF1" w:rsidRPr="007F6AD7">
        <w:rPr>
          <w:rFonts w:ascii="Arial" w:hAnsi="Arial" w:cs="Arial"/>
          <w:lang w:val="es-MX"/>
        </w:rPr>
        <w:t xml:space="preserve"> nivel socio-económico </w:t>
      </w:r>
      <w:r w:rsidR="001C70DA" w:rsidRPr="007F6AD7">
        <w:rPr>
          <w:rFonts w:ascii="Arial" w:hAnsi="Arial" w:cs="Arial"/>
          <w:lang w:val="es-MX"/>
        </w:rPr>
        <w:t xml:space="preserve">es un factor determinante para el acceso a la Educación Superior. </w:t>
      </w:r>
      <w:r w:rsidR="00ED0D72" w:rsidRPr="007F6AD7">
        <w:rPr>
          <w:rFonts w:ascii="Arial" w:hAnsi="Arial" w:cs="Arial"/>
          <w:lang w:val="es-MX"/>
        </w:rPr>
        <w:t>Si bien</w:t>
      </w:r>
      <w:r w:rsidR="001C70DA" w:rsidRPr="007F6AD7">
        <w:rPr>
          <w:rFonts w:ascii="Arial" w:hAnsi="Arial" w:cs="Arial"/>
          <w:lang w:val="es-MX"/>
        </w:rPr>
        <w:t xml:space="preserve"> no</w:t>
      </w:r>
      <w:r w:rsidR="00C03841" w:rsidRPr="007F6AD7">
        <w:rPr>
          <w:rFonts w:ascii="Arial" w:hAnsi="Arial" w:cs="Arial"/>
          <w:lang w:val="es-MX"/>
        </w:rPr>
        <w:t xml:space="preserve"> pocos</w:t>
      </w:r>
      <w:r w:rsidR="00185FCE" w:rsidRPr="007F6AD7">
        <w:rPr>
          <w:rFonts w:ascii="Arial" w:hAnsi="Arial" w:cs="Arial"/>
          <w:lang w:val="es-MX"/>
        </w:rPr>
        <w:t xml:space="preserve"> en la isla</w:t>
      </w:r>
      <w:r w:rsidR="00C03841" w:rsidRPr="007F6AD7">
        <w:rPr>
          <w:rFonts w:ascii="Arial" w:hAnsi="Arial" w:cs="Arial"/>
          <w:lang w:val="es-MX"/>
        </w:rPr>
        <w:t xml:space="preserve"> renuncian a la carrera universitaria por un puesto en el sector privado inseguro en el que tendrían mejores ingresos.</w:t>
      </w:r>
      <w:r w:rsidR="00C03841" w:rsidRPr="007F6AD7">
        <w:rPr>
          <w:rStyle w:val="Refdenotaalpie"/>
          <w:rFonts w:ascii="Arial" w:hAnsi="Arial" w:cs="Arial"/>
          <w:lang w:val="es-MX"/>
        </w:rPr>
        <w:footnoteReference w:id="373"/>
      </w:r>
      <w:r w:rsidR="00C03841" w:rsidRPr="007F6AD7">
        <w:rPr>
          <w:rFonts w:ascii="Arial" w:hAnsi="Arial" w:cs="Arial"/>
          <w:lang w:val="es-MX"/>
        </w:rPr>
        <w:t xml:space="preserve"> El sector estatal no paga lo suficiente para mantenerse ellos y su familia.</w:t>
      </w:r>
      <w:r w:rsidR="00C03841" w:rsidRPr="007F6AD7">
        <w:rPr>
          <w:rStyle w:val="Refdenotaalpie"/>
          <w:rFonts w:ascii="Arial" w:hAnsi="Arial" w:cs="Arial"/>
          <w:b/>
        </w:rPr>
        <w:footnoteReference w:id="374"/>
      </w:r>
      <w:r w:rsidR="00C03841" w:rsidRPr="007F6AD7">
        <w:rPr>
          <w:rFonts w:ascii="Arial" w:hAnsi="Arial" w:cs="Arial"/>
        </w:rPr>
        <w:t xml:space="preserve"> </w:t>
      </w:r>
      <w:r w:rsidR="00EE6EB2">
        <w:rPr>
          <w:rFonts w:ascii="Arial" w:hAnsi="Arial" w:cs="Arial"/>
        </w:rPr>
        <w:t xml:space="preserve">Problemas estructurales han incidido en el deterioro de la mayoría de los indicadores </w:t>
      </w:r>
      <w:r w:rsidR="00EE6EB2">
        <w:rPr>
          <w:rFonts w:ascii="Arial" w:hAnsi="Arial" w:cs="Arial"/>
        </w:rPr>
        <w:lastRenderedPageBreak/>
        <w:t>económicos de la nación,</w:t>
      </w:r>
      <w:r w:rsidR="00EE6EB2">
        <w:rPr>
          <w:rFonts w:ascii="Arial" w:hAnsi="Arial" w:cs="Arial"/>
          <w:vertAlign w:val="superscript"/>
        </w:rPr>
        <w:footnoteReference w:id="375"/>
      </w:r>
      <w:r w:rsidR="00EE6EB2">
        <w:rPr>
          <w:rFonts w:ascii="Arial" w:hAnsi="Arial" w:cs="Arial"/>
          <w:vertAlign w:val="superscript"/>
        </w:rPr>
        <w:t xml:space="preserve">  </w:t>
      </w:r>
      <w:r w:rsidR="00EE6EB2">
        <w:rPr>
          <w:rFonts w:ascii="Arial" w:hAnsi="Arial" w:cs="Arial"/>
          <w:vertAlign w:val="superscript"/>
        </w:rPr>
        <w:footnoteReference w:id="376"/>
      </w:r>
      <w:r w:rsidR="00EE6EB2">
        <w:rPr>
          <w:rFonts w:ascii="Arial" w:hAnsi="Arial" w:cs="Arial"/>
        </w:rPr>
        <w:t xml:space="preserve"> entre ellos la pérdida de dinamismo de las exportaciones, las inversiones y en definitiva, en el Producto Interno Bruto.</w:t>
      </w:r>
      <w:r w:rsidR="00EE6EB2">
        <w:rPr>
          <w:rFonts w:ascii="Arial" w:hAnsi="Arial" w:cs="Arial"/>
          <w:vertAlign w:val="superscript"/>
        </w:rPr>
        <w:footnoteReference w:id="377"/>
      </w:r>
      <w:r w:rsidR="00EE6EB2">
        <w:rPr>
          <w:rFonts w:ascii="Arial" w:hAnsi="Arial" w:cs="Arial"/>
          <w:vertAlign w:val="superscript"/>
        </w:rPr>
        <w:t xml:space="preserve"> </w:t>
      </w:r>
      <w:r w:rsidR="00EE6EB2">
        <w:rPr>
          <w:rFonts w:ascii="Arial" w:hAnsi="Arial" w:cs="Arial"/>
        </w:rPr>
        <w:t xml:space="preserve"> </w:t>
      </w:r>
      <w:r w:rsidR="00EE6EB2">
        <w:rPr>
          <w:rFonts w:ascii="Times New Roman" w:eastAsia="STKaiti" w:hAnsi="Times New Roman"/>
          <w:sz w:val="24"/>
          <w:szCs w:val="24"/>
          <w:lang w:eastAsia="es-ES"/>
        </w:rPr>
        <w:t xml:space="preserve"> </w:t>
      </w:r>
      <w:r w:rsidR="00510EF1" w:rsidRPr="007F6AD7">
        <w:rPr>
          <w:rFonts w:ascii="Arial" w:hAnsi="Arial" w:cs="Arial"/>
        </w:rPr>
        <w:t>Las cifras sobre el gasto educativo de los últimos años demuestran de manera</w:t>
      </w:r>
      <w:r w:rsidR="00ED0D72" w:rsidRPr="007F6AD7">
        <w:rPr>
          <w:rFonts w:ascii="Arial" w:hAnsi="Arial" w:cs="Arial"/>
        </w:rPr>
        <w:t xml:space="preserve"> s</w:t>
      </w:r>
      <w:r w:rsidR="00510EF1" w:rsidRPr="007F6AD7">
        <w:rPr>
          <w:rFonts w:ascii="Arial" w:hAnsi="Arial" w:cs="Arial"/>
        </w:rPr>
        <w:t>ostenida el</w:t>
      </w:r>
      <w:r w:rsidR="00ED0D72" w:rsidRPr="007F6AD7">
        <w:rPr>
          <w:rFonts w:ascii="Arial" w:hAnsi="Arial" w:cs="Arial"/>
        </w:rPr>
        <w:t xml:space="preserve"> r</w:t>
      </w:r>
      <w:r w:rsidR="00510EF1" w:rsidRPr="007F6AD7">
        <w:rPr>
          <w:rFonts w:ascii="Arial" w:hAnsi="Arial" w:cs="Arial"/>
        </w:rPr>
        <w:t xml:space="preserve">ecorte </w:t>
      </w:r>
      <w:r w:rsidR="00ED0D72" w:rsidRPr="007F6AD7">
        <w:rPr>
          <w:rFonts w:ascii="Arial" w:hAnsi="Arial" w:cs="Arial"/>
        </w:rPr>
        <w:t xml:space="preserve">gubernamental </w:t>
      </w:r>
      <w:r w:rsidR="00510EF1" w:rsidRPr="007F6AD7">
        <w:rPr>
          <w:rFonts w:ascii="Arial" w:hAnsi="Arial" w:cs="Arial"/>
        </w:rPr>
        <w:t>aplicado sistemáticamente:</w:t>
      </w:r>
      <w:r w:rsidR="00ED0D72" w:rsidRPr="007F6AD7">
        <w:rPr>
          <w:rFonts w:ascii="Arial" w:hAnsi="Arial" w:cs="Arial"/>
        </w:rPr>
        <w:t xml:space="preserve"> </w:t>
      </w:r>
      <w:r w:rsidR="00510EF1" w:rsidRPr="007F6AD7">
        <w:rPr>
          <w:rFonts w:ascii="Arial" w:hAnsi="Arial" w:cs="Arial"/>
        </w:rPr>
        <w:t xml:space="preserve">de un 9,4 </w:t>
      </w:r>
      <w:r w:rsidR="00ED0D72" w:rsidRPr="007F6AD7">
        <w:rPr>
          <w:rFonts w:ascii="Arial" w:hAnsi="Arial" w:cs="Arial"/>
        </w:rPr>
        <w:t xml:space="preserve">por </w:t>
      </w:r>
      <w:r w:rsidR="00510EF1" w:rsidRPr="007F6AD7">
        <w:rPr>
          <w:rFonts w:ascii="Arial" w:hAnsi="Arial" w:cs="Arial"/>
        </w:rPr>
        <w:t>ciento del PIB en 2011 a 8,8 (2012), 8,3 (2013) y 7,4 en</w:t>
      </w:r>
      <w:r w:rsidR="00ED0D72" w:rsidRPr="007F6AD7">
        <w:rPr>
          <w:rFonts w:ascii="Arial" w:hAnsi="Arial" w:cs="Arial"/>
        </w:rPr>
        <w:t xml:space="preserve"> 2014. Este último dato reflejó </w:t>
      </w:r>
      <w:r w:rsidR="00510EF1" w:rsidRPr="007F6AD7">
        <w:rPr>
          <w:rFonts w:ascii="Arial" w:hAnsi="Arial" w:cs="Arial"/>
        </w:rPr>
        <w:t>la mayor contracción (con casi un punto porcentual) en relación al resto de</w:t>
      </w:r>
      <w:r w:rsidR="00ED0D72" w:rsidRPr="007F6AD7">
        <w:rPr>
          <w:rFonts w:ascii="Arial" w:hAnsi="Arial" w:cs="Arial"/>
        </w:rPr>
        <w:t xml:space="preserve"> los rubros.</w:t>
      </w:r>
      <w:r w:rsidR="00ED0D72" w:rsidRPr="007F6AD7">
        <w:rPr>
          <w:rStyle w:val="Refdenotaalpie"/>
          <w:rFonts w:ascii="Arial" w:hAnsi="Arial" w:cs="Arial"/>
          <w:lang w:val="es-MX"/>
        </w:rPr>
        <w:t xml:space="preserve"> </w:t>
      </w:r>
      <w:r w:rsidR="00ED0D72" w:rsidRPr="007F6AD7">
        <w:rPr>
          <w:rStyle w:val="Refdenotaalpie"/>
          <w:rFonts w:ascii="Arial" w:hAnsi="Arial" w:cs="Arial"/>
          <w:lang w:val="es-MX"/>
        </w:rPr>
        <w:footnoteReference w:id="378"/>
      </w:r>
    </w:p>
    <w:p w14:paraId="06808B9C" w14:textId="23B420F2" w:rsidR="00D7365B" w:rsidRPr="007F6AD7" w:rsidRDefault="00741163" w:rsidP="00741163">
      <w:pPr>
        <w:spacing w:after="0" w:line="360" w:lineRule="auto"/>
        <w:jc w:val="both"/>
        <w:rPr>
          <w:rFonts w:ascii="Arial" w:hAnsi="Arial" w:cs="Arial"/>
          <w:lang w:eastAsia="es-ES"/>
        </w:rPr>
      </w:pPr>
      <w:r>
        <w:rPr>
          <w:rFonts w:ascii="Arial" w:hAnsi="Arial" w:cs="Arial"/>
        </w:rPr>
        <w:t xml:space="preserve">82. </w:t>
      </w:r>
      <w:r w:rsidR="00BF2BA3">
        <w:rPr>
          <w:rFonts w:ascii="Arial" w:hAnsi="Arial" w:cs="Arial"/>
        </w:rPr>
        <w:t xml:space="preserve">Al </w:t>
      </w:r>
      <w:r>
        <w:rPr>
          <w:rFonts w:ascii="Arial" w:hAnsi="Arial" w:cs="Arial"/>
        </w:rPr>
        <w:t xml:space="preserve"> </w:t>
      </w:r>
      <w:r w:rsidR="00BF2BA3">
        <w:rPr>
          <w:rFonts w:ascii="Arial" w:hAnsi="Arial" w:cs="Arial"/>
        </w:rPr>
        <w:t>desc</w:t>
      </w:r>
      <w:r w:rsidR="00BF2BA3" w:rsidRPr="007F6AD7">
        <w:rPr>
          <w:rFonts w:ascii="Arial" w:hAnsi="Arial" w:cs="Arial"/>
        </w:rPr>
        <w:t>ende</w:t>
      </w:r>
      <w:r w:rsidR="00BF2BA3">
        <w:rPr>
          <w:rFonts w:ascii="Arial" w:hAnsi="Arial" w:cs="Arial"/>
        </w:rPr>
        <w:t>r</w:t>
      </w:r>
      <w:r w:rsidR="00BF2BA3" w:rsidRPr="007F6AD7">
        <w:rPr>
          <w:rFonts w:ascii="Arial" w:hAnsi="Arial" w:cs="Arial"/>
        </w:rPr>
        <w:t xml:space="preserve"> </w:t>
      </w:r>
      <w:r w:rsidR="00BF2BA3">
        <w:rPr>
          <w:rFonts w:ascii="Arial" w:hAnsi="Arial" w:cs="Arial"/>
        </w:rPr>
        <w:t>l</w:t>
      </w:r>
      <w:r w:rsidR="00C03841" w:rsidRPr="007F6AD7">
        <w:rPr>
          <w:rFonts w:ascii="Arial" w:hAnsi="Arial" w:cs="Arial"/>
        </w:rPr>
        <w:t xml:space="preserve">a calidad de la educación y </w:t>
      </w:r>
      <w:r w:rsidR="00AF4C45" w:rsidRPr="007F6AD7">
        <w:rPr>
          <w:rFonts w:ascii="Arial" w:hAnsi="Arial" w:cs="Arial"/>
        </w:rPr>
        <w:t>la</w:t>
      </w:r>
      <w:r w:rsidR="00C03841" w:rsidRPr="007F6AD7">
        <w:rPr>
          <w:rFonts w:ascii="Arial" w:hAnsi="Arial" w:cs="Arial"/>
        </w:rPr>
        <w:t xml:space="preserve"> politización de la enseñanza aumenta</w:t>
      </w:r>
      <w:r w:rsidR="00BF2BA3">
        <w:rPr>
          <w:rFonts w:ascii="Arial" w:hAnsi="Arial" w:cs="Arial"/>
        </w:rPr>
        <w:t>r,</w:t>
      </w:r>
      <w:r w:rsidR="00C03841" w:rsidRPr="007F6AD7">
        <w:rPr>
          <w:rStyle w:val="Refdenotaalpie"/>
          <w:rFonts w:ascii="Arial" w:hAnsi="Arial" w:cs="Arial"/>
          <w:b/>
        </w:rPr>
        <w:footnoteReference w:id="379"/>
      </w:r>
      <w:r w:rsidR="00C03841" w:rsidRPr="007F6AD7">
        <w:rPr>
          <w:rFonts w:ascii="Arial" w:hAnsi="Arial" w:cs="Arial"/>
          <w:vertAlign w:val="superscript"/>
        </w:rPr>
        <w:t xml:space="preserve">, </w:t>
      </w:r>
      <w:r w:rsidR="00C03841" w:rsidRPr="007F6AD7">
        <w:rPr>
          <w:rStyle w:val="Refdenotaalpie"/>
          <w:rFonts w:ascii="Arial" w:hAnsi="Arial" w:cs="Arial"/>
          <w:b/>
        </w:rPr>
        <w:footnoteReference w:id="380"/>
      </w:r>
      <w:r w:rsidR="00C03841" w:rsidRPr="007F6AD7">
        <w:rPr>
          <w:rFonts w:ascii="Arial" w:hAnsi="Arial" w:cs="Arial"/>
          <w:vertAlign w:val="superscript"/>
        </w:rPr>
        <w:t xml:space="preserve">  </w:t>
      </w:r>
      <w:r w:rsidR="00BF2BA3" w:rsidRPr="00BF2BA3">
        <w:rPr>
          <w:rFonts w:ascii="Arial" w:hAnsi="Arial" w:cs="Arial"/>
        </w:rPr>
        <w:t>actualmente</w:t>
      </w:r>
      <w:r w:rsidR="00BF2BA3">
        <w:rPr>
          <w:rFonts w:ascii="Arial" w:hAnsi="Arial" w:cs="Arial"/>
        </w:rPr>
        <w:t xml:space="preserve"> </w:t>
      </w:r>
      <w:r w:rsidR="00BF2BA3" w:rsidRPr="007F6AD7">
        <w:rPr>
          <w:rFonts w:ascii="Arial" w:hAnsi="Arial" w:cs="Arial"/>
          <w:lang w:val="es-MX"/>
        </w:rPr>
        <w:t>solo el 11,2% de los adolescentes cubanos cree que la escuela les enseña lo que necesitan</w:t>
      </w:r>
      <w:r w:rsidR="00C03841" w:rsidRPr="007F6AD7">
        <w:rPr>
          <w:rFonts w:ascii="Arial" w:hAnsi="Arial" w:cs="Arial"/>
          <w:lang w:val="es-MX"/>
        </w:rPr>
        <w:t>.</w:t>
      </w:r>
      <w:r w:rsidR="00C03841" w:rsidRPr="007F6AD7">
        <w:rPr>
          <w:rStyle w:val="Refdenotaalpie"/>
          <w:rFonts w:ascii="Arial" w:hAnsi="Arial" w:cs="Arial"/>
          <w:lang w:val="es-MX"/>
        </w:rPr>
        <w:footnoteReference w:id="381"/>
      </w:r>
      <w:r w:rsidR="00C03841" w:rsidRPr="007F6AD7">
        <w:rPr>
          <w:rFonts w:ascii="Arial" w:hAnsi="Arial" w:cs="Arial"/>
          <w:lang w:val="es-MX"/>
        </w:rPr>
        <w:t xml:space="preserve"> </w:t>
      </w:r>
      <w:r w:rsidR="00D7365B" w:rsidRPr="007F6AD7">
        <w:rPr>
          <w:rFonts w:ascii="Arial" w:hAnsi="Arial" w:cs="Arial"/>
        </w:rPr>
        <w:t>El creciente descontento de los padres</w:t>
      </w:r>
      <w:r w:rsidR="000808E1" w:rsidRPr="007F6AD7">
        <w:rPr>
          <w:rFonts w:ascii="Arial" w:hAnsi="Arial" w:cs="Arial"/>
        </w:rPr>
        <w:t>,</w:t>
      </w:r>
      <w:r w:rsidR="000808E1" w:rsidRPr="007F6AD7">
        <w:rPr>
          <w:rFonts w:ascii="Arial" w:hAnsi="Arial" w:cs="Arial"/>
          <w:lang w:eastAsia="ja-JP"/>
        </w:rPr>
        <w:t xml:space="preserve"> educadores</w:t>
      </w:r>
      <w:r w:rsidR="009071A2" w:rsidRPr="007F6AD7">
        <w:rPr>
          <w:rFonts w:ascii="Arial" w:hAnsi="Arial" w:cs="Arial"/>
        </w:rPr>
        <w:t xml:space="preserve"> y alumnos</w:t>
      </w:r>
      <w:r w:rsidR="00AF4C45" w:rsidRPr="007F6AD7">
        <w:rPr>
          <w:rStyle w:val="Refdenotaalpie"/>
          <w:rFonts w:ascii="Arial" w:hAnsi="Arial" w:cs="Arial"/>
          <w:b/>
        </w:rPr>
        <w:footnoteReference w:id="382"/>
      </w:r>
      <w:r w:rsidR="00AF4C45" w:rsidRPr="007F6AD7">
        <w:rPr>
          <w:rFonts w:ascii="Arial" w:hAnsi="Arial" w:cs="Arial"/>
          <w:vertAlign w:val="superscript"/>
        </w:rPr>
        <w:t xml:space="preserve">, </w:t>
      </w:r>
      <w:r w:rsidR="00AF4C45" w:rsidRPr="007F6AD7">
        <w:rPr>
          <w:rStyle w:val="Refdenotaalpie"/>
          <w:rFonts w:ascii="Arial" w:hAnsi="Arial" w:cs="Arial"/>
          <w:b/>
          <w:lang w:val="es-MX"/>
        </w:rPr>
        <w:footnoteReference w:id="383"/>
      </w:r>
      <w:r w:rsidR="00AF4C45" w:rsidRPr="007F6AD7">
        <w:rPr>
          <w:rFonts w:ascii="Arial" w:hAnsi="Arial" w:cs="Arial"/>
          <w:vertAlign w:val="superscript"/>
          <w:lang w:val="es-MX"/>
        </w:rPr>
        <w:t xml:space="preserve"> </w:t>
      </w:r>
      <w:r w:rsidR="009071A2" w:rsidRPr="007F6AD7">
        <w:rPr>
          <w:rFonts w:ascii="Arial" w:hAnsi="Arial" w:cs="Arial"/>
        </w:rPr>
        <w:t xml:space="preserve"> con la educación estatal en todos los niveles</w:t>
      </w:r>
      <w:r w:rsidR="009071A2" w:rsidRPr="007F6AD7">
        <w:rPr>
          <w:rStyle w:val="Refdenotaalpie"/>
          <w:rFonts w:ascii="Arial" w:hAnsi="Arial" w:cs="Arial"/>
        </w:rPr>
        <w:footnoteReference w:id="384"/>
      </w:r>
      <w:r w:rsidR="009071A2" w:rsidRPr="007F6AD7">
        <w:rPr>
          <w:rFonts w:ascii="Arial" w:hAnsi="Arial" w:cs="Arial"/>
        </w:rPr>
        <w:t xml:space="preserve">  es </w:t>
      </w:r>
      <w:r w:rsidR="00D7365B" w:rsidRPr="007F6AD7">
        <w:rPr>
          <w:rFonts w:ascii="Arial" w:hAnsi="Arial" w:cs="Arial"/>
        </w:rPr>
        <w:t>un in</w:t>
      </w:r>
      <w:r w:rsidR="009071A2" w:rsidRPr="007F6AD7">
        <w:rPr>
          <w:rFonts w:ascii="Arial" w:hAnsi="Arial" w:cs="Arial"/>
        </w:rPr>
        <w:t>dicador</w:t>
      </w:r>
      <w:r w:rsidR="00D7365B" w:rsidRPr="007F6AD7">
        <w:rPr>
          <w:rFonts w:ascii="Arial" w:hAnsi="Arial" w:cs="Arial"/>
        </w:rPr>
        <w:t xml:space="preserve"> adicional</w:t>
      </w:r>
      <w:r w:rsidR="00BF2BA3">
        <w:rPr>
          <w:rFonts w:ascii="Arial" w:hAnsi="Arial" w:cs="Arial"/>
        </w:rPr>
        <w:t>.</w:t>
      </w:r>
      <w:r w:rsidR="00D7365B" w:rsidRPr="007F6AD7">
        <w:rPr>
          <w:rFonts w:ascii="Arial" w:hAnsi="Arial" w:cs="Arial"/>
        </w:rPr>
        <w:t xml:space="preserve">  </w:t>
      </w:r>
      <w:r w:rsidR="00D7365B" w:rsidRPr="007F6AD7">
        <w:rPr>
          <w:rFonts w:ascii="Arial" w:hAnsi="Arial" w:cs="Arial"/>
          <w:vertAlign w:val="superscript"/>
          <w:lang w:eastAsia="ja-JP"/>
        </w:rPr>
        <w:footnoteReference w:id="385"/>
      </w:r>
      <w:r w:rsidR="00D7365B" w:rsidRPr="007F6AD7">
        <w:rPr>
          <w:rFonts w:ascii="Arial" w:hAnsi="Arial" w:cs="Arial"/>
          <w:vertAlign w:val="superscript"/>
          <w:lang w:eastAsia="ja-JP"/>
        </w:rPr>
        <w:t xml:space="preserve"> ,</w:t>
      </w:r>
      <w:r w:rsidR="00D7365B" w:rsidRPr="007F6AD7">
        <w:rPr>
          <w:rStyle w:val="Ttulo4Car"/>
          <w:rFonts w:ascii="Arial" w:hAnsi="Arial"/>
          <w:lang w:val="es-US"/>
        </w:rPr>
        <w:t xml:space="preserve"> </w:t>
      </w:r>
      <w:r w:rsidR="00D7365B" w:rsidRPr="007F6AD7">
        <w:rPr>
          <w:rStyle w:val="Refdenotaalpie"/>
          <w:rFonts w:ascii="Arial" w:hAnsi="Arial" w:cs="Arial"/>
        </w:rPr>
        <w:footnoteReference w:id="386"/>
      </w:r>
      <w:r w:rsidR="00D7365B" w:rsidRPr="007F6AD7">
        <w:rPr>
          <w:rFonts w:ascii="Arial" w:hAnsi="Arial" w:cs="Arial"/>
          <w:vertAlign w:val="superscript"/>
        </w:rPr>
        <w:t xml:space="preserve"> </w:t>
      </w:r>
      <w:r w:rsidR="00C03841" w:rsidRPr="007F6AD7">
        <w:rPr>
          <w:rFonts w:ascii="Arial" w:hAnsi="Arial" w:cs="Arial"/>
          <w:lang w:val="es-MX"/>
        </w:rPr>
        <w:t xml:space="preserve">La cobertura docente en el país está </w:t>
      </w:r>
      <w:r w:rsidR="00C03841" w:rsidRPr="007F6AD7">
        <w:rPr>
          <w:rFonts w:ascii="Arial" w:hAnsi="Arial" w:cs="Arial"/>
          <w:lang w:val="es-MX"/>
        </w:rPr>
        <w:lastRenderedPageBreak/>
        <w:t>garantizada en un 93%.</w:t>
      </w:r>
      <w:r w:rsidR="00C03841" w:rsidRPr="007F6AD7">
        <w:rPr>
          <w:rStyle w:val="Refdenotaalpie"/>
          <w:rFonts w:ascii="Arial" w:hAnsi="Arial" w:cs="Arial"/>
          <w:b/>
        </w:rPr>
        <w:footnoteReference w:id="387"/>
      </w:r>
      <w:r w:rsidR="00C03841" w:rsidRPr="007F6AD7">
        <w:rPr>
          <w:rFonts w:ascii="Arial" w:hAnsi="Arial" w:cs="Arial"/>
          <w:vertAlign w:val="superscript"/>
          <w:lang w:val="es-MX"/>
        </w:rPr>
        <w:t>,</w:t>
      </w:r>
      <w:r w:rsidR="00C03841" w:rsidRPr="007F6AD7">
        <w:rPr>
          <w:rFonts w:ascii="Arial" w:hAnsi="Arial" w:cs="Arial"/>
          <w:lang w:val="es-MX"/>
        </w:rPr>
        <w:t xml:space="preserve"> </w:t>
      </w:r>
      <w:r w:rsidR="00C03841" w:rsidRPr="007F6AD7">
        <w:rPr>
          <w:rStyle w:val="Refdenotaalpie"/>
          <w:rFonts w:ascii="Arial" w:hAnsi="Arial" w:cs="Arial"/>
          <w:lang w:val="es-MX"/>
        </w:rPr>
        <w:footnoteReference w:id="388"/>
      </w:r>
      <w:r w:rsidR="00C03841" w:rsidRPr="007F6AD7">
        <w:rPr>
          <w:rFonts w:ascii="Arial" w:hAnsi="Arial" w:cs="Arial"/>
          <w:lang w:eastAsia="es-ES"/>
        </w:rPr>
        <w:t xml:space="preserve"> </w:t>
      </w:r>
      <w:r w:rsidR="00C03841" w:rsidRPr="007F6AD7">
        <w:rPr>
          <w:rFonts w:ascii="Arial" w:hAnsi="Arial" w:cs="Arial"/>
          <w:lang w:val="es-MX"/>
        </w:rPr>
        <w:t xml:space="preserve">El estatus de los educadores y educadoras tanto en su valoración social como en sus remuneraciones es bajo. El salario de los docentes se encuentra entre los más exiguos del continente. El salario medio del sector educacional es de 537 pesos mensuales, que equivale a $21,4 USD. </w:t>
      </w:r>
    </w:p>
    <w:p w14:paraId="7C59A154" w14:textId="462DF1BA" w:rsidR="00D7365B" w:rsidRPr="007F6AD7" w:rsidRDefault="00BF2BA3" w:rsidP="00BF2BA3">
      <w:pPr>
        <w:spacing w:after="0" w:line="360" w:lineRule="auto"/>
        <w:jc w:val="both"/>
        <w:rPr>
          <w:rFonts w:ascii="Arial" w:hAnsi="Arial" w:cs="Arial"/>
          <w:lang w:eastAsia="es-ES"/>
        </w:rPr>
      </w:pPr>
      <w:r>
        <w:rPr>
          <w:rFonts w:ascii="Arial" w:hAnsi="Arial" w:cs="Arial"/>
          <w:lang w:val="es-MX"/>
        </w:rPr>
        <w:t xml:space="preserve">83.  </w:t>
      </w:r>
      <w:r w:rsidR="00C03841" w:rsidRPr="007F6AD7">
        <w:rPr>
          <w:rFonts w:ascii="Arial" w:hAnsi="Arial" w:cs="Arial"/>
          <w:lang w:val="es-MX"/>
        </w:rPr>
        <w:t xml:space="preserve">Muchos maestros y profesores retirados </w:t>
      </w:r>
      <w:r>
        <w:rPr>
          <w:rFonts w:ascii="Arial" w:hAnsi="Arial" w:cs="Arial"/>
          <w:lang w:val="es-MX"/>
        </w:rPr>
        <w:t>laboran</w:t>
      </w:r>
      <w:r w:rsidR="00C03841" w:rsidRPr="007F6AD7">
        <w:rPr>
          <w:rFonts w:ascii="Arial" w:hAnsi="Arial" w:cs="Arial"/>
          <w:lang w:val="es-MX"/>
        </w:rPr>
        <w:t xml:space="preserve"> en el sector privado como trabajadores autónomos (cuentapropistas). </w:t>
      </w:r>
      <w:r w:rsidR="00C03841" w:rsidRPr="007F6AD7">
        <w:rPr>
          <w:rFonts w:ascii="Arial" w:hAnsi="Arial" w:cs="Arial"/>
        </w:rPr>
        <w:t xml:space="preserve">En la investigación realizada por Granma, el periódico más importante de la nación, se reconoce que no solo </w:t>
      </w:r>
      <w:r w:rsidR="00682FD0" w:rsidRPr="007F6AD7">
        <w:rPr>
          <w:rFonts w:ascii="Arial" w:hAnsi="Arial" w:cs="Arial"/>
        </w:rPr>
        <w:t>los</w:t>
      </w:r>
      <w:r w:rsidR="00C03841" w:rsidRPr="007F6AD7">
        <w:rPr>
          <w:rFonts w:ascii="Arial" w:hAnsi="Arial" w:cs="Arial"/>
        </w:rPr>
        <w:t xml:space="preserve"> </w:t>
      </w:r>
      <w:r w:rsidR="00D7365B" w:rsidRPr="007F6AD7">
        <w:rPr>
          <w:rFonts w:ascii="Arial" w:hAnsi="Arial" w:cs="Arial"/>
        </w:rPr>
        <w:t>profesionales</w:t>
      </w:r>
      <w:r w:rsidR="00C03841" w:rsidRPr="007F6AD7">
        <w:rPr>
          <w:rFonts w:ascii="Arial" w:hAnsi="Arial" w:cs="Arial"/>
        </w:rPr>
        <w:t xml:space="preserve"> con licencia ejercen la labor de repasador, mientras que los precios por cada repaso oscilan entre 10 CUC (250 pesos en moneda nacional) y 50 pesos por cada clase de dos horas.</w:t>
      </w:r>
      <w:r w:rsidR="00C03841" w:rsidRPr="007F6AD7">
        <w:rPr>
          <w:rStyle w:val="Refdenotaalpie"/>
          <w:rFonts w:ascii="Arial" w:hAnsi="Arial" w:cs="Arial"/>
        </w:rPr>
        <w:footnoteReference w:id="389"/>
      </w:r>
      <w:r w:rsidR="00C03841" w:rsidRPr="007F6AD7">
        <w:rPr>
          <w:rFonts w:ascii="Arial" w:hAnsi="Arial" w:cs="Arial"/>
        </w:rPr>
        <w:t xml:space="preserve"> Hay tarifas mucho más económicas pero el costo es alto para la mayoría de las familias.</w:t>
      </w:r>
      <w:r w:rsidR="00C03841" w:rsidRPr="007F6AD7">
        <w:rPr>
          <w:rStyle w:val="Refdenotaalpie"/>
          <w:rFonts w:ascii="Arial" w:hAnsi="Arial" w:cs="Arial"/>
        </w:rPr>
        <w:footnoteReference w:id="390"/>
      </w:r>
      <w:r w:rsidR="00C03841" w:rsidRPr="007F6AD7">
        <w:rPr>
          <w:rFonts w:ascii="Arial" w:hAnsi="Arial" w:cs="Arial"/>
        </w:rPr>
        <w:t xml:space="preserve"> </w:t>
      </w:r>
      <w:r w:rsidR="00037CA8" w:rsidRPr="007F6AD7">
        <w:rPr>
          <w:rFonts w:ascii="Arial" w:hAnsi="Arial" w:cs="Arial"/>
        </w:rPr>
        <w:t>Al menos desde la percepción de padres y estudiantes de 12 grado, c</w:t>
      </w:r>
      <w:r w:rsidR="00604B71" w:rsidRPr="007F6AD7">
        <w:rPr>
          <w:rFonts w:ascii="Arial" w:hAnsi="Arial" w:cs="Arial"/>
        </w:rPr>
        <w:t xml:space="preserve">ada vez </w:t>
      </w:r>
      <w:r w:rsidR="00037CA8" w:rsidRPr="007F6AD7">
        <w:rPr>
          <w:rFonts w:ascii="Arial" w:hAnsi="Arial" w:cs="Arial"/>
        </w:rPr>
        <w:t>es</w:t>
      </w:r>
      <w:r w:rsidR="00604B71" w:rsidRPr="007F6AD7">
        <w:rPr>
          <w:rFonts w:ascii="Arial" w:hAnsi="Arial" w:cs="Arial"/>
        </w:rPr>
        <w:t xml:space="preserve"> más necesari</w:t>
      </w:r>
      <w:r w:rsidR="00037CA8" w:rsidRPr="007F6AD7">
        <w:rPr>
          <w:rFonts w:ascii="Arial" w:hAnsi="Arial" w:cs="Arial"/>
        </w:rPr>
        <w:t xml:space="preserve">a </w:t>
      </w:r>
      <w:r w:rsidR="00604B71" w:rsidRPr="007F6AD7">
        <w:rPr>
          <w:rFonts w:ascii="Arial" w:hAnsi="Arial" w:cs="Arial"/>
        </w:rPr>
        <w:t xml:space="preserve">la asistencia a repasos particulares para </w:t>
      </w:r>
      <w:r w:rsidR="00D7365B" w:rsidRPr="007F6AD7">
        <w:rPr>
          <w:rFonts w:ascii="Arial" w:hAnsi="Arial" w:cs="Arial"/>
        </w:rPr>
        <w:t>enfrentar</w:t>
      </w:r>
      <w:r w:rsidR="00604B71" w:rsidRPr="007F6AD7">
        <w:rPr>
          <w:rFonts w:ascii="Arial" w:hAnsi="Arial" w:cs="Arial"/>
        </w:rPr>
        <w:t xml:space="preserve"> los exámenes de ingreso a la Universidad</w:t>
      </w:r>
      <w:r w:rsidR="008D18DB" w:rsidRPr="007F6AD7">
        <w:rPr>
          <w:rFonts w:ascii="Arial" w:hAnsi="Arial" w:cs="Arial"/>
        </w:rPr>
        <w:t xml:space="preserve"> </w:t>
      </w:r>
      <w:r w:rsidR="009A6274" w:rsidRPr="007F6AD7">
        <w:rPr>
          <w:rFonts w:ascii="Arial" w:hAnsi="Arial" w:cs="Arial"/>
        </w:rPr>
        <w:t>pues</w:t>
      </w:r>
      <w:r w:rsidR="008D18DB" w:rsidRPr="007F6AD7">
        <w:rPr>
          <w:rFonts w:ascii="Arial" w:hAnsi="Arial" w:cs="Arial"/>
        </w:rPr>
        <w:t xml:space="preserve"> </w:t>
      </w:r>
      <w:r w:rsidR="009A6274" w:rsidRPr="007F6AD7">
        <w:rPr>
          <w:rFonts w:ascii="Arial" w:hAnsi="Arial" w:cs="Arial"/>
        </w:rPr>
        <w:t xml:space="preserve">garantizan </w:t>
      </w:r>
      <w:r w:rsidR="00D7365B" w:rsidRPr="007F6AD7">
        <w:rPr>
          <w:rFonts w:ascii="Arial" w:hAnsi="Arial" w:cs="Arial"/>
        </w:rPr>
        <w:t>frecuentemente el</w:t>
      </w:r>
      <w:r w:rsidR="009A6274" w:rsidRPr="007F6AD7">
        <w:rPr>
          <w:rFonts w:ascii="Arial" w:hAnsi="Arial" w:cs="Arial"/>
        </w:rPr>
        <w:t xml:space="preserve"> éxito </w:t>
      </w:r>
      <w:r w:rsidR="00D7365B" w:rsidRPr="007F6AD7">
        <w:rPr>
          <w:rFonts w:ascii="Arial" w:hAnsi="Arial" w:cs="Arial"/>
        </w:rPr>
        <w:t>en</w:t>
      </w:r>
      <w:r w:rsidR="009A6274" w:rsidRPr="007F6AD7">
        <w:rPr>
          <w:rFonts w:ascii="Arial" w:hAnsi="Arial" w:cs="Arial"/>
        </w:rPr>
        <w:t xml:space="preserve"> los exámenes </w:t>
      </w:r>
      <w:r w:rsidR="009071A2" w:rsidRPr="007F6AD7">
        <w:rPr>
          <w:rFonts w:ascii="Arial" w:hAnsi="Arial" w:cs="Arial"/>
        </w:rPr>
        <w:t>y</w:t>
      </w:r>
      <w:r w:rsidR="009A6274" w:rsidRPr="007F6AD7">
        <w:rPr>
          <w:rFonts w:ascii="Arial" w:hAnsi="Arial" w:cs="Arial"/>
        </w:rPr>
        <w:t xml:space="preserve"> </w:t>
      </w:r>
      <w:r w:rsidR="00EE6EB2">
        <w:rPr>
          <w:rFonts w:ascii="Arial" w:hAnsi="Arial" w:cs="Arial"/>
        </w:rPr>
        <w:t>posteriores estudios</w:t>
      </w:r>
      <w:r w:rsidR="009A6274" w:rsidRPr="007F6AD7">
        <w:rPr>
          <w:rFonts w:ascii="Arial" w:hAnsi="Arial" w:cs="Arial"/>
        </w:rPr>
        <w:t xml:space="preserve">. </w:t>
      </w:r>
      <w:r w:rsidR="00604B71" w:rsidRPr="007F6AD7">
        <w:rPr>
          <w:rFonts w:ascii="Arial" w:hAnsi="Arial" w:cs="Arial"/>
        </w:rPr>
        <w:t>La</w:t>
      </w:r>
      <w:r w:rsidR="009071A2" w:rsidRPr="007F6AD7">
        <w:rPr>
          <w:rFonts w:ascii="Arial" w:hAnsi="Arial" w:cs="Arial"/>
        </w:rPr>
        <w:t>s</w:t>
      </w:r>
      <w:r w:rsidR="00604B71" w:rsidRPr="007F6AD7">
        <w:rPr>
          <w:rFonts w:ascii="Arial" w:hAnsi="Arial" w:cs="Arial"/>
        </w:rPr>
        <w:t xml:space="preserve"> principal</w:t>
      </w:r>
      <w:r w:rsidR="00037CA8" w:rsidRPr="007F6AD7">
        <w:rPr>
          <w:rFonts w:ascii="Arial" w:hAnsi="Arial" w:cs="Arial"/>
        </w:rPr>
        <w:t>es</w:t>
      </w:r>
      <w:r w:rsidR="00604B71" w:rsidRPr="007F6AD7">
        <w:rPr>
          <w:rFonts w:ascii="Arial" w:hAnsi="Arial" w:cs="Arial"/>
        </w:rPr>
        <w:t xml:space="preserve"> </w:t>
      </w:r>
      <w:r w:rsidR="00037CA8" w:rsidRPr="007F6AD7">
        <w:rPr>
          <w:rFonts w:ascii="Arial" w:hAnsi="Arial" w:cs="Arial"/>
        </w:rPr>
        <w:t>razones</w:t>
      </w:r>
      <w:r w:rsidR="008D18DB" w:rsidRPr="007F6AD7">
        <w:rPr>
          <w:rFonts w:ascii="Arial" w:hAnsi="Arial" w:cs="Arial"/>
        </w:rPr>
        <w:t xml:space="preserve"> </w:t>
      </w:r>
      <w:r w:rsidR="00450021" w:rsidRPr="007F6AD7">
        <w:rPr>
          <w:rFonts w:ascii="Arial" w:hAnsi="Arial" w:cs="Arial"/>
        </w:rPr>
        <w:t>defendidas</w:t>
      </w:r>
      <w:r w:rsidR="008D18DB" w:rsidRPr="007F6AD7">
        <w:rPr>
          <w:rFonts w:ascii="Arial" w:hAnsi="Arial" w:cs="Arial"/>
        </w:rPr>
        <w:t xml:space="preserve"> son:</w:t>
      </w:r>
      <w:r w:rsidR="00604B71" w:rsidRPr="007F6AD7">
        <w:rPr>
          <w:rFonts w:ascii="Arial" w:hAnsi="Arial" w:cs="Arial"/>
        </w:rPr>
        <w:t xml:space="preserve"> </w:t>
      </w:r>
      <w:r w:rsidR="008D18DB" w:rsidRPr="007F6AD7">
        <w:rPr>
          <w:rFonts w:ascii="Arial" w:hAnsi="Arial" w:cs="Arial"/>
        </w:rPr>
        <w:t>1.D</w:t>
      </w:r>
      <w:r w:rsidR="00604B71" w:rsidRPr="007F6AD7">
        <w:rPr>
          <w:rFonts w:ascii="Arial" w:hAnsi="Arial" w:cs="Arial"/>
        </w:rPr>
        <w:t xml:space="preserve">eficiente preparación </w:t>
      </w:r>
      <w:r w:rsidR="002F198C" w:rsidRPr="007F6AD7">
        <w:rPr>
          <w:rFonts w:ascii="Arial" w:hAnsi="Arial" w:cs="Arial"/>
        </w:rPr>
        <w:t xml:space="preserve">pedagógica </w:t>
      </w:r>
      <w:r w:rsidR="00604B71" w:rsidRPr="007F6AD7">
        <w:rPr>
          <w:rFonts w:ascii="Arial" w:hAnsi="Arial" w:cs="Arial"/>
        </w:rPr>
        <w:t>de los profesores de los institutos</w:t>
      </w:r>
      <w:r w:rsidR="009071A2" w:rsidRPr="007F6AD7">
        <w:rPr>
          <w:rFonts w:ascii="Arial" w:hAnsi="Arial" w:cs="Arial"/>
        </w:rPr>
        <w:t xml:space="preserve"> </w:t>
      </w:r>
      <w:r w:rsidR="00604B71" w:rsidRPr="007F6AD7">
        <w:rPr>
          <w:rFonts w:ascii="Arial" w:hAnsi="Arial" w:cs="Arial"/>
        </w:rPr>
        <w:t xml:space="preserve">preuniversitarios </w:t>
      </w:r>
      <w:r w:rsidR="008D18DB" w:rsidRPr="007F6AD7">
        <w:rPr>
          <w:rFonts w:ascii="Arial" w:hAnsi="Arial" w:cs="Arial"/>
        </w:rPr>
        <w:t>2.</w:t>
      </w:r>
      <w:r w:rsidR="00604B71" w:rsidRPr="007F6AD7">
        <w:rPr>
          <w:rFonts w:ascii="Arial" w:hAnsi="Arial" w:cs="Arial"/>
        </w:rPr>
        <w:t xml:space="preserve"> </w:t>
      </w:r>
      <w:r w:rsidR="008D18DB" w:rsidRPr="007F6AD7">
        <w:rPr>
          <w:rFonts w:ascii="Arial" w:hAnsi="Arial" w:cs="Arial"/>
        </w:rPr>
        <w:t>Insuficiente</w:t>
      </w:r>
      <w:r w:rsidR="00604B71" w:rsidRPr="007F6AD7">
        <w:rPr>
          <w:rFonts w:ascii="Arial" w:hAnsi="Arial" w:cs="Arial"/>
        </w:rPr>
        <w:t xml:space="preserve"> preparación académica </w:t>
      </w:r>
      <w:r w:rsidR="009071A2" w:rsidRPr="007F6AD7">
        <w:rPr>
          <w:rFonts w:ascii="Arial" w:hAnsi="Arial" w:cs="Arial"/>
        </w:rPr>
        <w:t>de</w:t>
      </w:r>
      <w:r w:rsidR="00604B71" w:rsidRPr="007F6AD7">
        <w:rPr>
          <w:rFonts w:ascii="Arial" w:hAnsi="Arial" w:cs="Arial"/>
        </w:rPr>
        <w:t xml:space="preserve"> los estudiantes.</w:t>
      </w:r>
      <w:r w:rsidR="002F198C" w:rsidRPr="007F6AD7">
        <w:rPr>
          <w:rFonts w:ascii="Arial" w:hAnsi="Arial" w:cs="Arial"/>
        </w:rPr>
        <w:t xml:space="preserve"> </w:t>
      </w:r>
      <w:r w:rsidR="008D18DB" w:rsidRPr="007F6AD7">
        <w:rPr>
          <w:rFonts w:ascii="Arial" w:hAnsi="Arial" w:cs="Arial"/>
        </w:rPr>
        <w:t xml:space="preserve">3. </w:t>
      </w:r>
      <w:r w:rsidR="002F198C" w:rsidRPr="007F6AD7">
        <w:rPr>
          <w:rFonts w:ascii="Arial" w:hAnsi="Arial" w:cs="Arial"/>
        </w:rPr>
        <w:t>La demostrada productividad de los repasos</w:t>
      </w:r>
      <w:r w:rsidR="008D18DB" w:rsidRPr="007F6AD7">
        <w:rPr>
          <w:rFonts w:ascii="Arial" w:hAnsi="Arial" w:cs="Arial"/>
        </w:rPr>
        <w:t xml:space="preserve"> particulares.</w:t>
      </w:r>
      <w:r w:rsidR="002F198C" w:rsidRPr="007F6AD7">
        <w:rPr>
          <w:rStyle w:val="Refdenotaalpie"/>
          <w:rFonts w:ascii="Arial" w:hAnsi="Arial" w:cs="Arial"/>
        </w:rPr>
        <w:footnoteReference w:id="391"/>
      </w:r>
      <w:r w:rsidR="002F198C" w:rsidRPr="007F6AD7">
        <w:rPr>
          <w:rFonts w:ascii="Arial" w:hAnsi="Arial" w:cs="Arial"/>
        </w:rPr>
        <w:t xml:space="preserve"> </w:t>
      </w:r>
    </w:p>
    <w:p w14:paraId="1EE73204" w14:textId="0FC3D0FB" w:rsidR="009A6274" w:rsidRPr="00EE6EB2" w:rsidRDefault="00BF2BA3" w:rsidP="00BF2BA3">
      <w:pPr>
        <w:spacing w:after="0" w:line="360" w:lineRule="auto"/>
        <w:jc w:val="both"/>
        <w:rPr>
          <w:rFonts w:ascii="Times New Roman" w:eastAsia="STKaiti" w:hAnsi="Times New Roman"/>
          <w:sz w:val="24"/>
          <w:szCs w:val="24"/>
          <w:lang w:eastAsia="es-ES"/>
        </w:rPr>
      </w:pPr>
      <w:r>
        <w:rPr>
          <w:rFonts w:ascii="Arial" w:hAnsi="Arial" w:cs="Arial"/>
        </w:rPr>
        <w:t xml:space="preserve">84.  </w:t>
      </w:r>
      <w:r w:rsidR="00EE6EB2">
        <w:rPr>
          <w:rFonts w:ascii="Arial" w:hAnsi="Arial" w:cs="Arial"/>
        </w:rPr>
        <w:t>No todos los estudiantes pueden asistir a repasos particulares, pues sus padres no están en condiciones de costearlos.</w:t>
      </w:r>
      <w:r w:rsidR="00EE6EB2" w:rsidRPr="00EE6EB2">
        <w:rPr>
          <w:rFonts w:ascii="Arial" w:hAnsi="Arial" w:cs="Arial"/>
          <w:vertAlign w:val="superscript"/>
          <w:lang w:val="es-MX"/>
        </w:rPr>
        <w:t xml:space="preserve"> </w:t>
      </w:r>
      <w:r w:rsidR="00EE6EB2">
        <w:rPr>
          <w:rFonts w:ascii="Arial" w:hAnsi="Arial" w:cs="Arial"/>
          <w:vertAlign w:val="superscript"/>
          <w:lang w:val="es-MX"/>
        </w:rPr>
        <w:footnoteReference w:id="392"/>
      </w:r>
      <w:r w:rsidR="00EE6EB2">
        <w:rPr>
          <w:rFonts w:ascii="Arial" w:hAnsi="Arial" w:cs="Arial"/>
          <w:lang w:eastAsia="es-ES"/>
        </w:rPr>
        <w:t xml:space="preserve"> </w:t>
      </w:r>
      <w:r w:rsidR="00EE6EB2">
        <w:rPr>
          <w:rFonts w:ascii="Arial" w:hAnsi="Arial" w:cs="Arial"/>
        </w:rPr>
        <w:t xml:space="preserve"> En última instancia, no es el conocimiento el que marca la diferencia. </w:t>
      </w:r>
      <w:r w:rsidR="008D18DB" w:rsidRPr="007F6AD7">
        <w:rPr>
          <w:rFonts w:ascii="Arial" w:hAnsi="Arial" w:cs="Arial"/>
          <w:lang w:eastAsia="es-MX"/>
        </w:rPr>
        <w:t xml:space="preserve">La </w:t>
      </w:r>
      <w:r w:rsidR="004A1144" w:rsidRPr="007F6AD7">
        <w:rPr>
          <w:rFonts w:ascii="Arial" w:hAnsi="Arial" w:cs="Arial"/>
          <w:lang w:eastAsia="es-MX"/>
        </w:rPr>
        <w:t>estructuración del</w:t>
      </w:r>
      <w:r w:rsidR="008D18DB" w:rsidRPr="007F6AD7">
        <w:rPr>
          <w:rFonts w:ascii="Arial" w:hAnsi="Arial" w:cs="Arial"/>
          <w:lang w:eastAsia="es-MX"/>
        </w:rPr>
        <w:t xml:space="preserve"> proceso gubernamental de reajuste económico,</w:t>
      </w:r>
      <w:r w:rsidR="008D18DB" w:rsidRPr="007F6AD7">
        <w:rPr>
          <w:rFonts w:ascii="Arial" w:hAnsi="Arial" w:cs="Arial"/>
          <w:vertAlign w:val="superscript"/>
          <w:lang w:eastAsia="es-MX"/>
        </w:rPr>
        <w:footnoteReference w:id="393"/>
      </w:r>
      <w:r w:rsidR="008D18DB" w:rsidRPr="007F6AD7">
        <w:rPr>
          <w:rFonts w:ascii="Arial" w:hAnsi="Arial" w:cs="Arial"/>
          <w:lang w:eastAsia="es-MX"/>
        </w:rPr>
        <w:t xml:space="preserve"> </w:t>
      </w:r>
      <w:r w:rsidR="008D18DB" w:rsidRPr="007F6AD7">
        <w:rPr>
          <w:rFonts w:ascii="Arial" w:hAnsi="Arial" w:cs="Arial"/>
          <w:lang w:val="es-MX"/>
        </w:rPr>
        <w:t xml:space="preserve"> </w:t>
      </w:r>
      <w:r w:rsidR="00C03841" w:rsidRPr="007F6AD7">
        <w:rPr>
          <w:rFonts w:ascii="Arial" w:hAnsi="Arial" w:cs="Arial"/>
          <w:lang w:val="es-MX"/>
        </w:rPr>
        <w:t>unid</w:t>
      </w:r>
      <w:r w:rsidR="008D18DB" w:rsidRPr="007F6AD7">
        <w:rPr>
          <w:rFonts w:ascii="Arial" w:hAnsi="Arial" w:cs="Arial"/>
          <w:lang w:val="es-MX"/>
        </w:rPr>
        <w:t>a</w:t>
      </w:r>
      <w:r w:rsidR="00C03841" w:rsidRPr="007F6AD7">
        <w:rPr>
          <w:rFonts w:ascii="Arial" w:hAnsi="Arial" w:cs="Arial"/>
          <w:lang w:val="es-MX"/>
        </w:rPr>
        <w:t xml:space="preserve"> al recorte de los recursos </w:t>
      </w:r>
      <w:r w:rsidR="00C03841" w:rsidRPr="007F6AD7">
        <w:rPr>
          <w:rFonts w:ascii="Arial" w:hAnsi="Arial" w:cs="Arial"/>
          <w:lang w:val="es-MX"/>
        </w:rPr>
        <w:lastRenderedPageBreak/>
        <w:t>asignados a la educación y el descenso en la calidad de la enseñanza, son tres de los principales problemas del sistema educativo en Cuba</w:t>
      </w:r>
      <w:r w:rsidR="009A6274" w:rsidRPr="007F6AD7">
        <w:rPr>
          <w:rFonts w:ascii="Arial" w:hAnsi="Arial" w:cs="Arial"/>
          <w:lang w:val="es-MX"/>
        </w:rPr>
        <w:t>.</w:t>
      </w:r>
      <w:r w:rsidR="00C03841" w:rsidRPr="007F6AD7">
        <w:rPr>
          <w:rFonts w:ascii="Arial" w:hAnsi="Arial" w:cs="Arial"/>
          <w:lang w:val="es-MX"/>
        </w:rPr>
        <w:t xml:space="preserve"> </w:t>
      </w:r>
      <w:r w:rsidR="009A6274" w:rsidRPr="007F6AD7">
        <w:rPr>
          <w:rFonts w:ascii="Arial" w:hAnsi="Arial" w:cs="Arial"/>
          <w:lang w:eastAsia="es-MX"/>
        </w:rPr>
        <w:t>L</w:t>
      </w:r>
      <w:r w:rsidR="00604B71" w:rsidRPr="007F6AD7">
        <w:rPr>
          <w:rFonts w:ascii="Arial" w:hAnsi="Arial" w:cs="Arial"/>
          <w:lang w:eastAsia="es-MX"/>
        </w:rPr>
        <w:t xml:space="preserve">a expectativa más frecuente de los padres </w:t>
      </w:r>
      <w:r w:rsidR="004A1144" w:rsidRPr="007F6AD7">
        <w:rPr>
          <w:rFonts w:ascii="Arial" w:hAnsi="Arial" w:cs="Arial"/>
          <w:lang w:eastAsia="es-MX"/>
        </w:rPr>
        <w:t xml:space="preserve">cubanos </w:t>
      </w:r>
      <w:r w:rsidR="00604B71" w:rsidRPr="007F6AD7">
        <w:rPr>
          <w:rFonts w:ascii="Arial" w:hAnsi="Arial" w:cs="Arial"/>
          <w:lang w:eastAsia="es-MX"/>
        </w:rPr>
        <w:t>respecto al futuro de sus hijos(as) es que ingresen a la universidad</w:t>
      </w:r>
      <w:r w:rsidR="009A6274" w:rsidRPr="007F6AD7">
        <w:rPr>
          <w:rFonts w:ascii="Arial" w:hAnsi="Arial" w:cs="Arial"/>
          <w:lang w:eastAsia="es-MX"/>
        </w:rPr>
        <w:t xml:space="preserve">, </w:t>
      </w:r>
      <w:r w:rsidR="004A1144" w:rsidRPr="007F6AD7">
        <w:rPr>
          <w:rFonts w:ascii="Arial" w:hAnsi="Arial" w:cs="Arial"/>
          <w:lang w:eastAsia="es-MX"/>
        </w:rPr>
        <w:t>y este</w:t>
      </w:r>
      <w:r w:rsidR="00E72587" w:rsidRPr="007F6AD7">
        <w:rPr>
          <w:rFonts w:ascii="Arial" w:hAnsi="Arial" w:cs="Arial"/>
          <w:lang w:eastAsia="es-MX"/>
        </w:rPr>
        <w:t xml:space="preserve"> anhelo </w:t>
      </w:r>
      <w:r w:rsidR="004A1144" w:rsidRPr="007F6AD7">
        <w:rPr>
          <w:rFonts w:ascii="Arial" w:hAnsi="Arial" w:cs="Arial"/>
          <w:lang w:eastAsia="es-MX"/>
        </w:rPr>
        <w:t>está</w:t>
      </w:r>
      <w:r w:rsidR="00E72587" w:rsidRPr="007F6AD7">
        <w:rPr>
          <w:rFonts w:ascii="Arial" w:hAnsi="Arial" w:cs="Arial"/>
          <w:lang w:eastAsia="es-MX"/>
        </w:rPr>
        <w:t xml:space="preserve"> motivado</w:t>
      </w:r>
      <w:r w:rsidR="009A6274" w:rsidRPr="007F6AD7">
        <w:rPr>
          <w:rFonts w:ascii="Arial" w:hAnsi="Arial" w:cs="Arial"/>
          <w:lang w:eastAsia="es-MX"/>
        </w:rPr>
        <w:t xml:space="preserve"> con independencia del nivel socio-económico de la familia</w:t>
      </w:r>
      <w:r w:rsidR="00604B71" w:rsidRPr="007F6AD7">
        <w:rPr>
          <w:rFonts w:ascii="Arial" w:hAnsi="Arial" w:cs="Arial"/>
          <w:lang w:eastAsia="es-MX"/>
        </w:rPr>
        <w:t xml:space="preserve">. </w:t>
      </w:r>
      <w:r w:rsidR="00C03841" w:rsidRPr="007F6AD7">
        <w:rPr>
          <w:rFonts w:ascii="Arial" w:hAnsi="Arial" w:cs="Arial"/>
          <w:lang w:eastAsia="es-MX"/>
        </w:rPr>
        <w:t xml:space="preserve">Otro dilema es </w:t>
      </w:r>
      <w:r w:rsidR="00C03841" w:rsidRPr="007F6AD7">
        <w:rPr>
          <w:rFonts w:ascii="Arial" w:hAnsi="Arial" w:cs="Arial"/>
          <w:lang w:val="es-MX"/>
        </w:rPr>
        <w:t>el rezago de la población negra y mestiza y la reproducción de la pobreza en un grupo con una alta representación en la población negra</w:t>
      </w:r>
      <w:r w:rsidR="002D7995" w:rsidRPr="007F6AD7">
        <w:rPr>
          <w:rFonts w:ascii="Arial" w:hAnsi="Arial" w:cs="Arial"/>
          <w:lang w:val="es-MX"/>
        </w:rPr>
        <w:t>.</w:t>
      </w:r>
      <w:r w:rsidR="002D7995" w:rsidRPr="007F6AD7">
        <w:rPr>
          <w:rFonts w:ascii="Arial" w:hAnsi="Arial" w:cs="Arial"/>
          <w:lang w:eastAsia="es-MX"/>
        </w:rPr>
        <w:t xml:space="preserve"> </w:t>
      </w:r>
      <w:r w:rsidR="00EE6EB2">
        <w:rPr>
          <w:rFonts w:ascii="Arial" w:hAnsi="Arial" w:cs="Arial"/>
          <w:lang w:eastAsia="es-MX"/>
        </w:rPr>
        <w:t>Frecuentemente</w:t>
      </w:r>
      <w:r w:rsidR="002D7995" w:rsidRPr="007F6AD7">
        <w:rPr>
          <w:rFonts w:ascii="Arial" w:hAnsi="Arial" w:cs="Arial"/>
          <w:lang w:eastAsia="es-MX"/>
        </w:rPr>
        <w:t xml:space="preserve"> </w:t>
      </w:r>
      <w:r w:rsidR="002D7995" w:rsidRPr="007F6AD7">
        <w:rPr>
          <w:rFonts w:ascii="Arial" w:hAnsi="Arial" w:cs="Arial"/>
        </w:rPr>
        <w:t xml:space="preserve">las </w:t>
      </w:r>
      <w:r w:rsidR="002D7995" w:rsidRPr="007F6AD7">
        <w:rPr>
          <w:rFonts w:ascii="Arial" w:hAnsi="Arial" w:cs="Arial"/>
          <w:lang w:val="es-MX"/>
        </w:rPr>
        <w:t>familias negras y mestizas con buena solvencia económica pueden contratar tutores privados</w:t>
      </w:r>
      <w:r w:rsidR="002D7995" w:rsidRPr="007F6AD7">
        <w:rPr>
          <w:rStyle w:val="Refdenotaalpie"/>
          <w:rFonts w:ascii="Arial" w:hAnsi="Arial" w:cs="Arial"/>
          <w:lang w:val="es-MX"/>
        </w:rPr>
        <w:footnoteReference w:id="394"/>
      </w:r>
      <w:r w:rsidR="00EE6EB2">
        <w:rPr>
          <w:rFonts w:ascii="Arial" w:hAnsi="Arial" w:cs="Arial"/>
          <w:vertAlign w:val="superscript"/>
          <w:lang w:val="es-MX" w:eastAsia="es-ES"/>
        </w:rPr>
        <w:t xml:space="preserve"> </w:t>
      </w:r>
      <w:r w:rsidR="002D7995" w:rsidRPr="007F6AD7">
        <w:rPr>
          <w:rFonts w:ascii="Arial" w:hAnsi="Arial" w:cs="Arial"/>
          <w:lang w:val="es-MX"/>
        </w:rPr>
        <w:t xml:space="preserve"> y garantizar un buen aprendizaje de su descendencia.</w:t>
      </w:r>
      <w:r w:rsidR="002D7995" w:rsidRPr="007F6AD7">
        <w:rPr>
          <w:rFonts w:ascii="Arial" w:hAnsi="Arial" w:cs="Arial"/>
          <w:vertAlign w:val="superscript"/>
          <w:lang w:eastAsia="es-ES"/>
        </w:rPr>
        <w:t xml:space="preserve">  </w:t>
      </w:r>
      <w:r w:rsidR="00C03841" w:rsidRPr="007F6AD7">
        <w:rPr>
          <w:rFonts w:ascii="Arial" w:hAnsi="Arial" w:cs="Arial"/>
          <w:lang w:val="es-MX"/>
        </w:rPr>
        <w:t xml:space="preserve"> </w:t>
      </w:r>
      <w:r w:rsidR="002D7995" w:rsidRPr="007F6AD7">
        <w:rPr>
          <w:rFonts w:ascii="Arial" w:hAnsi="Arial" w:cs="Arial"/>
          <w:lang w:val="es-MX"/>
        </w:rPr>
        <w:t>También</w:t>
      </w:r>
      <w:r w:rsidR="00C03841" w:rsidRPr="007F6AD7">
        <w:rPr>
          <w:rFonts w:ascii="Arial" w:hAnsi="Arial" w:cs="Arial"/>
          <w:lang w:val="es-MX"/>
        </w:rPr>
        <w:t xml:space="preserve"> confluyen las dificultades de vivir en determinadas zonas geográficas, más las ventajas demostradas por quienes descienden de padres con mayor nivel de escolaridad; efectos no deseados, todos documentados y presentes en la historia de la Educación Superior de las últimas cinco décadas.</w:t>
      </w:r>
      <w:r w:rsidR="00C03841" w:rsidRPr="007F6AD7">
        <w:rPr>
          <w:rStyle w:val="Refdenotaalpie"/>
          <w:rFonts w:ascii="Arial" w:hAnsi="Arial" w:cs="Arial"/>
          <w:lang w:val="es-MX"/>
        </w:rPr>
        <w:footnoteReference w:id="395"/>
      </w:r>
      <w:r w:rsidR="00C03841" w:rsidRPr="007F6AD7">
        <w:rPr>
          <w:rFonts w:ascii="Arial" w:hAnsi="Arial" w:cs="Arial"/>
          <w:lang w:val="es-MX"/>
        </w:rPr>
        <w:t xml:space="preserve"> </w:t>
      </w:r>
    </w:p>
    <w:p w14:paraId="369AF5DF" w14:textId="0006CB59" w:rsidR="00EE6EB2" w:rsidRDefault="00BF2BA3" w:rsidP="00BF2BA3">
      <w:pPr>
        <w:spacing w:after="0" w:line="360" w:lineRule="auto"/>
        <w:jc w:val="both"/>
        <w:rPr>
          <w:rFonts w:ascii="Arial" w:hAnsi="Arial" w:cs="Arial"/>
          <w:lang w:val="es-MX"/>
        </w:rPr>
      </w:pPr>
      <w:r>
        <w:rPr>
          <w:rFonts w:ascii="Arial" w:hAnsi="Arial" w:cs="Arial"/>
        </w:rPr>
        <w:t xml:space="preserve">85.   </w:t>
      </w:r>
      <w:r w:rsidR="00C03841" w:rsidRPr="007F6AD7">
        <w:rPr>
          <w:rFonts w:ascii="Arial" w:hAnsi="Arial" w:cs="Arial"/>
        </w:rPr>
        <w:t>Hoy en Cuba la contradicción se expresa en la reproducción de una composición al interior de las clases que mantiene asociados a los negros en los puestos de trabajo más duros y menos remunerados, manteniendo una discriminación prejuiciada, asociada a la pobreza y al monopolio histórico de los conocimientos.</w:t>
      </w:r>
      <w:r w:rsidR="00C03841" w:rsidRPr="007F6AD7">
        <w:rPr>
          <w:rStyle w:val="Refdenotaalpie"/>
          <w:rFonts w:ascii="Arial" w:hAnsi="Arial" w:cs="Arial"/>
        </w:rPr>
        <w:footnoteReference w:id="396"/>
      </w:r>
      <w:r w:rsidR="00EE6EB2">
        <w:rPr>
          <w:rFonts w:ascii="Arial" w:hAnsi="Arial" w:cs="Arial"/>
        </w:rPr>
        <w:t xml:space="preserve"> </w:t>
      </w:r>
      <w:r w:rsidR="00901531">
        <w:rPr>
          <w:rFonts w:ascii="Arial" w:hAnsi="Arial" w:cs="Arial"/>
        </w:rPr>
        <w:t xml:space="preserve">Los niños cubanos en riesgo de exclusión pertenecen a todos los estratos y razas pero los estereotipos raciales guardan una estrecha relación con el racismo. </w:t>
      </w:r>
      <w:r w:rsidR="00C03841" w:rsidRPr="007F6AD7">
        <w:rPr>
          <w:rFonts w:ascii="Arial" w:hAnsi="Arial" w:cs="Arial"/>
          <w:lang w:val="es-MX"/>
        </w:rPr>
        <w:t xml:space="preserve">Las investigaciones realizadas por el Centro de Estudios para el Perfeccionamiento de la Educación Superior (CEPES) han constatado que dada las características socioeconómicas de los jóvenes que </w:t>
      </w:r>
      <w:r w:rsidR="00C03841" w:rsidRPr="007F6AD7">
        <w:rPr>
          <w:rFonts w:ascii="Arial" w:hAnsi="Arial" w:cs="Arial"/>
          <w:lang w:val="es-MX"/>
        </w:rPr>
        <w:lastRenderedPageBreak/>
        <w:t xml:space="preserve">accedían a estudios universitarios, una cifra significativa de los mismos eran procedentes de los segmentos sociales más altos, al estudiar la ocupación de los padres y su ocupación laboral. </w:t>
      </w:r>
    </w:p>
    <w:p w14:paraId="5C7EAB35" w14:textId="41F4BA51" w:rsidR="00177325" w:rsidRPr="00EE6EB2" w:rsidRDefault="00BF2BA3" w:rsidP="00BF2BA3">
      <w:pPr>
        <w:spacing w:after="0" w:line="360" w:lineRule="auto"/>
        <w:jc w:val="both"/>
        <w:rPr>
          <w:rFonts w:ascii="Arial" w:hAnsi="Arial" w:cs="Arial"/>
        </w:rPr>
      </w:pPr>
      <w:r>
        <w:rPr>
          <w:rFonts w:ascii="Arial" w:hAnsi="Arial" w:cs="Arial"/>
          <w:lang w:val="es-MX"/>
        </w:rPr>
        <w:t xml:space="preserve">86.   </w:t>
      </w:r>
      <w:r w:rsidR="00C03841" w:rsidRPr="007F6AD7">
        <w:rPr>
          <w:rFonts w:ascii="Arial" w:hAnsi="Arial" w:cs="Arial"/>
          <w:lang w:val="es-MX"/>
        </w:rPr>
        <w:t>Según el color de la piel, la composición del ingreso a la educación terciaria no se correspondía tampoco con las proporciones resultantes de los estudios de la población, en las que había una mayoría de estudiantes blancos fundamentalmente mujeres en detrimento de los negros y negras, en particular, varones</w:t>
      </w:r>
      <w:r w:rsidR="00C03841" w:rsidRPr="007F6AD7">
        <w:rPr>
          <w:rFonts w:ascii="Arial" w:hAnsi="Arial" w:cs="Arial"/>
          <w:lang w:val="es-MX" w:eastAsia="es-MX"/>
        </w:rPr>
        <w:t xml:space="preserve"> </w:t>
      </w:r>
      <w:r w:rsidR="00C03841" w:rsidRPr="007F6AD7">
        <w:rPr>
          <w:rFonts w:ascii="Arial" w:hAnsi="Arial" w:cs="Arial"/>
          <w:lang w:val="es-MX"/>
        </w:rPr>
        <w:t>negros.</w:t>
      </w:r>
      <w:r w:rsidR="00C03841" w:rsidRPr="007F6AD7">
        <w:rPr>
          <w:rStyle w:val="Refdenotaalpie"/>
          <w:rFonts w:ascii="Arial" w:hAnsi="Arial" w:cs="Arial"/>
          <w:lang w:val="es-MX"/>
        </w:rPr>
        <w:footnoteReference w:id="397"/>
      </w:r>
      <w:r w:rsidR="00C03841" w:rsidRPr="007F6AD7">
        <w:rPr>
          <w:rFonts w:ascii="Arial" w:hAnsi="Arial" w:cs="Arial"/>
          <w:lang w:val="es-MX"/>
        </w:rPr>
        <w:t xml:space="preserve"> Uno de los primeros pronósticos sobre la disminución de la matrícula en los centros universitarios cubanos data del año 1997 en base a investigaciones desarrolladas por Domínguez y Díaz (2011).</w:t>
      </w:r>
      <w:r w:rsidR="00C03841" w:rsidRPr="007F6AD7">
        <w:rPr>
          <w:rStyle w:val="Refdenotaalpie"/>
          <w:rFonts w:ascii="Arial" w:hAnsi="Arial" w:cs="Arial"/>
          <w:lang w:val="es-MX"/>
        </w:rPr>
        <w:footnoteReference w:id="398"/>
      </w:r>
      <w:r w:rsidR="00C03841" w:rsidRPr="007F6AD7">
        <w:rPr>
          <w:rFonts w:ascii="Arial" w:hAnsi="Arial" w:cs="Arial"/>
          <w:lang w:val="es-MX"/>
        </w:rPr>
        <w:t xml:space="preserve"> </w:t>
      </w:r>
      <w:r w:rsidR="00C03841" w:rsidRPr="007F6AD7">
        <w:rPr>
          <w:rFonts w:ascii="Arial" w:hAnsi="Arial" w:cs="Arial"/>
        </w:rPr>
        <w:t>En resumen, las declaraciones de los parlamentarios en el 2014</w:t>
      </w:r>
      <w:r w:rsidR="00C03841" w:rsidRPr="007F6AD7">
        <w:rPr>
          <w:rStyle w:val="Refdenotaalpie"/>
          <w:rFonts w:ascii="Arial" w:hAnsi="Arial" w:cs="Arial"/>
        </w:rPr>
        <w:footnoteReference w:id="399"/>
      </w:r>
      <w:r w:rsidR="00C03841" w:rsidRPr="007F6AD7">
        <w:rPr>
          <w:rFonts w:ascii="Arial" w:hAnsi="Arial" w:cs="Arial"/>
        </w:rPr>
        <w:t xml:space="preserve"> confirman que los niños y niñas en riesgo de exclusión, son los más perjudicados ante los actuales desafíos de la educación </w:t>
      </w:r>
      <w:r w:rsidR="0042560A" w:rsidRPr="007F6AD7">
        <w:rPr>
          <w:rFonts w:ascii="Arial" w:hAnsi="Arial" w:cs="Arial"/>
        </w:rPr>
        <w:t>nacional</w:t>
      </w:r>
      <w:r w:rsidR="00C03841" w:rsidRPr="007F6AD7">
        <w:rPr>
          <w:rFonts w:ascii="Arial" w:hAnsi="Arial" w:cs="Arial"/>
        </w:rPr>
        <w:t xml:space="preserve"> y las posibilidades de lograr el bienestar individual y familiar en un futuro </w:t>
      </w:r>
      <w:r w:rsidR="009B1277" w:rsidRPr="007F6AD7">
        <w:rPr>
          <w:rFonts w:ascii="Arial" w:hAnsi="Arial" w:cs="Arial"/>
        </w:rPr>
        <w:t>próximo</w:t>
      </w:r>
      <w:r w:rsidR="00C03841" w:rsidRPr="007F6AD7">
        <w:rPr>
          <w:rFonts w:ascii="Arial" w:hAnsi="Arial" w:cs="Arial"/>
        </w:rPr>
        <w:t xml:space="preserve">. En </w:t>
      </w:r>
      <w:r w:rsidR="002D7995" w:rsidRPr="007F6AD7">
        <w:rPr>
          <w:rFonts w:ascii="Arial" w:hAnsi="Arial" w:cs="Arial"/>
        </w:rPr>
        <w:t>el 2do.Examen</w:t>
      </w:r>
      <w:r w:rsidR="00C03841" w:rsidRPr="007F6AD7">
        <w:rPr>
          <w:rFonts w:ascii="Arial" w:hAnsi="Arial" w:cs="Arial"/>
        </w:rPr>
        <w:t xml:space="preserve"> Periódico Universal 2013, Cuba aceptó 26 recomendaciones sobre la educación. El 65% tiene categoría 2. </w:t>
      </w:r>
      <w:r w:rsidR="00C03841" w:rsidRPr="007F6AD7">
        <w:rPr>
          <w:rStyle w:val="Refdenotaalpie"/>
          <w:rFonts w:ascii="Arial" w:hAnsi="Arial" w:cs="Arial"/>
        </w:rPr>
        <w:footnoteReference w:id="400"/>
      </w:r>
      <w:r w:rsidR="00C03841" w:rsidRPr="007F6AD7">
        <w:rPr>
          <w:rFonts w:ascii="Arial" w:hAnsi="Arial" w:cs="Arial"/>
        </w:rPr>
        <w:t xml:space="preserve"> </w:t>
      </w:r>
    </w:p>
    <w:p w14:paraId="75EAB86A" w14:textId="3A31E9F1" w:rsidR="007D3599" w:rsidRPr="007F6AD7" w:rsidRDefault="007D3599" w:rsidP="00EA24AA">
      <w:pPr>
        <w:pStyle w:val="Ttulo3"/>
      </w:pPr>
      <w:bookmarkStart w:id="128" w:name="_Toc515359820"/>
      <w:r w:rsidRPr="007F6AD7">
        <w:t>La vía administrativa para resolver quejas y delitos de discriminación racial</w:t>
      </w:r>
      <w:bookmarkEnd w:id="128"/>
    </w:p>
    <w:p w14:paraId="48B1BB02" w14:textId="05B12997" w:rsidR="007D3599" w:rsidRPr="00901531" w:rsidRDefault="00BF2BA3" w:rsidP="00BF2BA3">
      <w:pPr>
        <w:spacing w:after="0" w:line="360" w:lineRule="auto"/>
        <w:jc w:val="both"/>
        <w:rPr>
          <w:rFonts w:ascii="Times New Roman" w:eastAsia="STKaiti" w:hAnsi="Times New Roman"/>
          <w:sz w:val="24"/>
          <w:szCs w:val="24"/>
          <w:lang w:eastAsia="es-ES"/>
        </w:rPr>
      </w:pPr>
      <w:r>
        <w:rPr>
          <w:rFonts w:ascii="Arial" w:hAnsi="Arial" w:cs="Arial"/>
        </w:rPr>
        <w:t xml:space="preserve">87. </w:t>
      </w:r>
      <w:r w:rsidR="00094AD4" w:rsidRPr="007F6AD7">
        <w:rPr>
          <w:rFonts w:ascii="Arial" w:hAnsi="Arial" w:cs="Arial"/>
        </w:rPr>
        <w:t>La trascenden</w:t>
      </w:r>
      <w:r w:rsidR="00553BA8" w:rsidRPr="007F6AD7">
        <w:rPr>
          <w:rFonts w:ascii="Arial" w:hAnsi="Arial" w:cs="Arial"/>
        </w:rPr>
        <w:t>cia</w:t>
      </w:r>
      <w:r w:rsidR="00094AD4" w:rsidRPr="007F6AD7">
        <w:rPr>
          <w:rFonts w:ascii="Arial" w:hAnsi="Arial" w:cs="Arial"/>
        </w:rPr>
        <w:t xml:space="preserve"> del principio de no discriminación</w:t>
      </w:r>
      <w:r w:rsidR="00901531">
        <w:rPr>
          <w:rFonts w:ascii="Arial" w:hAnsi="Arial" w:cs="Arial"/>
          <w:vertAlign w:val="superscript"/>
        </w:rPr>
        <w:t xml:space="preserve"> </w:t>
      </w:r>
      <w:r w:rsidR="00094AD4" w:rsidRPr="007F6AD7">
        <w:rPr>
          <w:rFonts w:ascii="Arial" w:hAnsi="Arial" w:cs="Arial"/>
        </w:rPr>
        <w:t xml:space="preserve">explica las reiteradas referencias a este principio en los instrumentos internacionales más relevantes sobre derechos humanos. </w:t>
      </w:r>
      <w:r w:rsidR="00901531">
        <w:rPr>
          <w:rFonts w:ascii="Arial" w:hAnsi="Arial" w:cs="Arial"/>
        </w:rPr>
        <w:t>E</w:t>
      </w:r>
      <w:r w:rsidR="007D3599" w:rsidRPr="007F6AD7">
        <w:rPr>
          <w:rFonts w:ascii="Arial" w:hAnsi="Arial" w:cs="Arial"/>
        </w:rPr>
        <w:t>n Cuba opinan,</w:t>
      </w:r>
      <w:r w:rsidR="002D7995" w:rsidRPr="007F6AD7">
        <w:rPr>
          <w:rFonts w:ascii="Arial" w:hAnsi="Arial" w:cs="Arial"/>
          <w:vertAlign w:val="superscript"/>
        </w:rPr>
        <w:t xml:space="preserve"> </w:t>
      </w:r>
      <w:r w:rsidR="007D3599" w:rsidRPr="007F6AD7">
        <w:rPr>
          <w:rFonts w:ascii="Arial" w:hAnsi="Arial" w:cs="Arial"/>
        </w:rPr>
        <w:t>existe una forma institucionalizada de racismo.</w:t>
      </w:r>
      <w:r w:rsidR="007D3599" w:rsidRPr="007F6AD7">
        <w:rPr>
          <w:rFonts w:ascii="Arial" w:hAnsi="Arial" w:cs="Arial"/>
          <w:vertAlign w:val="superscript"/>
        </w:rPr>
        <w:t xml:space="preserve">  </w:t>
      </w:r>
      <w:r w:rsidR="007D3599" w:rsidRPr="007F6AD7">
        <w:rPr>
          <w:rFonts w:ascii="Arial" w:hAnsi="Arial" w:cs="Arial"/>
          <w:vertAlign w:val="superscript"/>
        </w:rPr>
        <w:footnoteReference w:id="401"/>
      </w:r>
      <w:r w:rsidR="007D3599" w:rsidRPr="007F6AD7">
        <w:rPr>
          <w:rFonts w:ascii="Arial" w:hAnsi="Arial" w:cs="Arial"/>
          <w:vertAlign w:val="superscript"/>
        </w:rPr>
        <w:t xml:space="preserve"> ,  </w:t>
      </w:r>
      <w:r w:rsidR="00901531">
        <w:rPr>
          <w:rFonts w:ascii="Arial" w:hAnsi="Arial" w:cs="Arial"/>
          <w:vertAlign w:val="superscript"/>
        </w:rPr>
        <w:footnoteReference w:id="402"/>
      </w:r>
      <w:r w:rsidR="00901531">
        <w:rPr>
          <w:rFonts w:ascii="Times New Roman" w:eastAsia="STKaiti" w:hAnsi="Times New Roman"/>
          <w:sz w:val="24"/>
          <w:szCs w:val="24"/>
          <w:lang w:eastAsia="es-ES"/>
        </w:rPr>
        <w:t xml:space="preserve"> </w:t>
      </w:r>
      <w:r w:rsidR="00094AD4" w:rsidRPr="007F6AD7">
        <w:rPr>
          <w:rFonts w:ascii="Arial" w:hAnsi="Arial" w:cs="Arial"/>
        </w:rPr>
        <w:t xml:space="preserve"> </w:t>
      </w:r>
      <w:r w:rsidR="007D3599" w:rsidRPr="007F6AD7">
        <w:rPr>
          <w:rFonts w:ascii="Arial" w:hAnsi="Arial" w:cs="Arial"/>
        </w:rPr>
        <w:t xml:space="preserve"> La población negra</w:t>
      </w:r>
      <w:r w:rsidR="00901531">
        <w:rPr>
          <w:rFonts w:ascii="Times New Roman" w:eastAsia="STKaiti" w:hAnsi="Times New Roman"/>
          <w:sz w:val="24"/>
          <w:szCs w:val="24"/>
          <w:lang w:eastAsia="es-ES"/>
        </w:rPr>
        <w:t xml:space="preserve"> </w:t>
      </w:r>
      <w:r w:rsidR="007D3599" w:rsidRPr="007F6AD7">
        <w:rPr>
          <w:rFonts w:ascii="Arial" w:hAnsi="Arial" w:cs="Arial"/>
        </w:rPr>
        <w:t>cubana sub</w:t>
      </w:r>
      <w:r w:rsidR="00FD69A6" w:rsidRPr="007F6AD7">
        <w:rPr>
          <w:rFonts w:ascii="Arial" w:hAnsi="Arial" w:cs="Arial"/>
        </w:rPr>
        <w:t xml:space="preserve">siste en los barrios </w:t>
      </w:r>
      <w:r w:rsidR="00FD69A6" w:rsidRPr="007F6AD7">
        <w:rPr>
          <w:rFonts w:ascii="Arial" w:hAnsi="Arial" w:cs="Arial"/>
        </w:rPr>
        <w:lastRenderedPageBreak/>
        <w:t>insalubres</w:t>
      </w:r>
      <w:bookmarkStart w:id="129" w:name="OLE_LINK39"/>
      <w:bookmarkStart w:id="130" w:name="OLE_LINK40"/>
      <w:r w:rsidR="004F1C6C" w:rsidRPr="007F6AD7">
        <w:rPr>
          <w:rFonts w:ascii="Arial" w:hAnsi="Arial" w:cs="Arial"/>
        </w:rPr>
        <w:t>, en</w:t>
      </w:r>
      <w:r w:rsidR="00D152E7" w:rsidRPr="007F6AD7">
        <w:rPr>
          <w:rFonts w:ascii="Arial" w:hAnsi="Arial" w:cs="Arial"/>
        </w:rPr>
        <w:t xml:space="preserve"> </w:t>
      </w:r>
      <w:r w:rsidR="007D3599" w:rsidRPr="007F6AD7">
        <w:rPr>
          <w:rFonts w:ascii="Arial" w:hAnsi="Arial" w:cs="Arial"/>
        </w:rPr>
        <w:t xml:space="preserve">donde </w:t>
      </w:r>
      <w:bookmarkEnd w:id="129"/>
      <w:bookmarkEnd w:id="130"/>
      <w:r w:rsidR="007D3599" w:rsidRPr="007F6AD7">
        <w:rPr>
          <w:rFonts w:ascii="Arial" w:hAnsi="Arial" w:cs="Arial"/>
        </w:rPr>
        <w:t>es mayoritaria.</w:t>
      </w:r>
      <w:r w:rsidR="003B6987" w:rsidRPr="007F6AD7">
        <w:rPr>
          <w:rFonts w:ascii="Arial" w:hAnsi="Arial" w:cs="Arial"/>
          <w:vertAlign w:val="superscript"/>
        </w:rPr>
        <w:t xml:space="preserve"> </w:t>
      </w:r>
      <w:r w:rsidR="003B6987" w:rsidRPr="007F6AD7">
        <w:rPr>
          <w:rFonts w:ascii="Arial" w:hAnsi="Arial" w:cs="Arial"/>
          <w:vertAlign w:val="superscript"/>
        </w:rPr>
        <w:footnoteReference w:id="403"/>
      </w:r>
      <w:r w:rsidR="003B6987" w:rsidRPr="007F6AD7">
        <w:rPr>
          <w:rFonts w:ascii="Arial" w:hAnsi="Arial" w:cs="Arial"/>
          <w:vertAlign w:val="superscript"/>
        </w:rPr>
        <w:t xml:space="preserve"> , </w:t>
      </w:r>
      <w:r w:rsidR="003B6987" w:rsidRPr="007F6AD7">
        <w:rPr>
          <w:rFonts w:ascii="Arial" w:hAnsi="Arial" w:cs="Arial"/>
          <w:vertAlign w:val="superscript"/>
        </w:rPr>
        <w:footnoteReference w:id="404"/>
      </w:r>
      <w:r w:rsidR="003B6987" w:rsidRPr="007F6AD7">
        <w:rPr>
          <w:rFonts w:ascii="Arial" w:hAnsi="Arial" w:cs="Arial"/>
        </w:rPr>
        <w:t xml:space="preserve">   </w:t>
      </w:r>
      <w:r w:rsidR="007D3599" w:rsidRPr="007F6AD7">
        <w:rPr>
          <w:rFonts w:ascii="Arial" w:hAnsi="Arial" w:cs="Arial"/>
        </w:rPr>
        <w:t xml:space="preserve">Concentrados en </w:t>
      </w:r>
      <w:r w:rsidR="00FC07AA" w:rsidRPr="007F6AD7">
        <w:rPr>
          <w:rFonts w:ascii="Arial" w:hAnsi="Arial" w:cs="Arial"/>
        </w:rPr>
        <w:t>la parte</w:t>
      </w:r>
      <w:r w:rsidR="007D3599" w:rsidRPr="007F6AD7">
        <w:rPr>
          <w:rFonts w:ascii="Arial" w:hAnsi="Arial" w:cs="Arial"/>
        </w:rPr>
        <w:t xml:space="preserve"> oriental, los niños y adolescentes superan el 25 % de la población total; en el caso de las tres provincias de la parte sur oriental, predomina la población afrodescendiente.</w:t>
      </w:r>
      <w:r w:rsidR="007D3599" w:rsidRPr="007F6AD7">
        <w:rPr>
          <w:rStyle w:val="Refdenotaalpie"/>
          <w:rFonts w:ascii="Arial" w:hAnsi="Arial" w:cs="Arial"/>
        </w:rPr>
        <w:footnoteReference w:id="405"/>
      </w:r>
      <w:r w:rsidR="007D3599" w:rsidRPr="007F6AD7">
        <w:rPr>
          <w:rFonts w:ascii="Arial" w:hAnsi="Arial" w:cs="Arial"/>
        </w:rPr>
        <w:t xml:space="preserve"> Según datos oficiales, en todo 2013 ocurrieron 14 temblores perceptibles sobre todo en zonas del centro y el oriente del país,  lugares azotados con frecuencia por catástrofes naturales como</w:t>
      </w:r>
      <w:r w:rsidR="00B02D25" w:rsidRPr="007F6AD7">
        <w:rPr>
          <w:rFonts w:ascii="Arial" w:hAnsi="Arial" w:cs="Arial"/>
        </w:rPr>
        <w:t xml:space="preserve"> sequias,</w:t>
      </w:r>
      <w:r w:rsidR="007D3599" w:rsidRPr="007F6AD7">
        <w:rPr>
          <w:rFonts w:ascii="Arial" w:hAnsi="Arial" w:cs="Arial"/>
        </w:rPr>
        <w:t xml:space="preserve"> huracanes y temblores de tierra perceptibles.</w:t>
      </w:r>
      <w:r w:rsidR="007D3599" w:rsidRPr="007F6AD7">
        <w:rPr>
          <w:rFonts w:ascii="Arial" w:hAnsi="Arial" w:cs="Arial"/>
          <w:vertAlign w:val="superscript"/>
        </w:rPr>
        <w:footnoteReference w:id="406"/>
      </w:r>
      <w:r w:rsidR="007D3599" w:rsidRPr="007F6AD7">
        <w:rPr>
          <w:rFonts w:ascii="Arial" w:hAnsi="Arial" w:cs="Arial"/>
        </w:rPr>
        <w:t xml:space="preserve"> </w:t>
      </w:r>
      <w:r w:rsidR="000E0478" w:rsidRPr="007F6AD7">
        <w:rPr>
          <w:rFonts w:ascii="Arial" w:hAnsi="Arial" w:cs="Arial"/>
        </w:rPr>
        <w:t>Predominando en el este de la isla, l</w:t>
      </w:r>
      <w:r w:rsidR="007D3599" w:rsidRPr="007F6AD7">
        <w:rPr>
          <w:rFonts w:ascii="Arial" w:hAnsi="Arial" w:cs="Arial"/>
        </w:rPr>
        <w:t>as deficiencias nutricionales aquejan a un sector de la población infantil. El déficit de hierro en la dieta de niños y madres embarazada acompañado por el problemático acceso a una alimentación sana con vegetales y frutas son algunos de los factores más influyentes.</w:t>
      </w:r>
      <w:r w:rsidR="007D3599" w:rsidRPr="007F6AD7">
        <w:rPr>
          <w:rStyle w:val="Refdenotaalpie"/>
          <w:rFonts w:ascii="Arial" w:hAnsi="Arial" w:cs="Arial"/>
        </w:rPr>
        <w:footnoteReference w:id="407"/>
      </w:r>
      <w:r w:rsidR="007D3599" w:rsidRPr="007F6AD7">
        <w:rPr>
          <w:rFonts w:ascii="Arial" w:hAnsi="Arial" w:cs="Arial"/>
        </w:rPr>
        <w:t xml:space="preserve"> </w:t>
      </w:r>
    </w:p>
    <w:p w14:paraId="1D280B39" w14:textId="77777777" w:rsidR="00BF2BA3" w:rsidRDefault="00BF2BA3" w:rsidP="00BF2BA3">
      <w:pPr>
        <w:tabs>
          <w:tab w:val="left" w:pos="567"/>
        </w:tabs>
        <w:spacing w:after="0" w:line="360" w:lineRule="auto"/>
        <w:jc w:val="both"/>
        <w:rPr>
          <w:rFonts w:ascii="Arial" w:hAnsi="Arial" w:cs="Arial"/>
        </w:rPr>
      </w:pPr>
      <w:r>
        <w:rPr>
          <w:rFonts w:ascii="Arial" w:hAnsi="Arial" w:cs="Arial"/>
        </w:rPr>
        <w:t xml:space="preserve">88.    </w:t>
      </w:r>
      <w:r w:rsidR="007D3599" w:rsidRPr="007F6AD7">
        <w:rPr>
          <w:rFonts w:ascii="Arial" w:hAnsi="Arial" w:cs="Arial"/>
        </w:rPr>
        <w:t>Estudios elaborados por el Banco Mundial revelan que la raza y la etnicidad son factores integrales en la medida de la exclusión social y la pobreza que enfrentan los afrodescendientes.</w:t>
      </w:r>
      <w:r w:rsidR="002D7995" w:rsidRPr="007F6AD7">
        <w:rPr>
          <w:rStyle w:val="Ttulo5Car"/>
          <w:rFonts w:ascii="Arial" w:hAnsi="Arial" w:cs="Arial"/>
        </w:rPr>
        <w:t xml:space="preserve"> </w:t>
      </w:r>
      <w:r w:rsidR="002D7995" w:rsidRPr="007F6AD7">
        <w:rPr>
          <w:rStyle w:val="Refdenotaalpie"/>
          <w:rFonts w:ascii="Arial" w:hAnsi="Arial" w:cs="Arial"/>
        </w:rPr>
        <w:footnoteReference w:id="408"/>
      </w:r>
      <w:r w:rsidR="002D7995" w:rsidRPr="007F6AD7">
        <w:rPr>
          <w:rFonts w:ascii="Arial" w:hAnsi="Arial" w:cs="Arial"/>
          <w:vertAlign w:val="superscript"/>
        </w:rPr>
        <w:t xml:space="preserve">, </w:t>
      </w:r>
      <w:r w:rsidR="002D7995" w:rsidRPr="007F6AD7">
        <w:rPr>
          <w:rStyle w:val="Refdenotaalpie"/>
          <w:rFonts w:ascii="Arial" w:hAnsi="Arial" w:cs="Arial"/>
        </w:rPr>
        <w:footnoteReference w:id="409"/>
      </w:r>
      <w:r w:rsidR="002D7995" w:rsidRPr="007F6AD7">
        <w:rPr>
          <w:rFonts w:ascii="Arial" w:hAnsi="Arial" w:cs="Arial"/>
        </w:rPr>
        <w:t xml:space="preserve">  </w:t>
      </w:r>
      <w:r w:rsidR="007D3599" w:rsidRPr="007F6AD7">
        <w:rPr>
          <w:rFonts w:ascii="Arial" w:hAnsi="Arial" w:cs="Arial"/>
        </w:rPr>
        <w:t xml:space="preserve">En el 2015 el salario real ajustado a la inflación permitía solamente cubrir un 28 por ciento del poder adquisitivo de </w:t>
      </w:r>
      <w:r w:rsidR="007D3599" w:rsidRPr="007F6AD7">
        <w:rPr>
          <w:rFonts w:ascii="Arial" w:hAnsi="Arial" w:cs="Arial"/>
        </w:rPr>
        <w:lastRenderedPageBreak/>
        <w:t>los ingresos de1989.</w:t>
      </w:r>
      <w:r w:rsidR="004F5496" w:rsidRPr="007F6AD7">
        <w:rPr>
          <w:rStyle w:val="Ttulo4Car"/>
          <w:rFonts w:ascii="Arial" w:hAnsi="Arial"/>
        </w:rPr>
        <w:t xml:space="preserve"> </w:t>
      </w:r>
      <w:r w:rsidR="004F5496" w:rsidRPr="007F6AD7">
        <w:rPr>
          <w:rStyle w:val="Refdenotaalpie"/>
          <w:rFonts w:ascii="Arial" w:hAnsi="Arial" w:cs="Arial"/>
        </w:rPr>
        <w:footnoteReference w:id="410"/>
      </w:r>
      <w:r w:rsidR="004F5496" w:rsidRPr="007F6AD7">
        <w:rPr>
          <w:rFonts w:ascii="Arial" w:hAnsi="Arial" w:cs="Arial"/>
        </w:rPr>
        <w:t xml:space="preserve"> A</w:t>
      </w:r>
      <w:r w:rsidR="007D3599" w:rsidRPr="007F6AD7">
        <w:rPr>
          <w:rFonts w:ascii="Arial" w:hAnsi="Arial" w:cs="Arial"/>
        </w:rPr>
        <w:t xml:space="preserve"> finales del 2017, el trabajo no constituía la principal fuente de ingresos de los habitantes de la isla.</w:t>
      </w:r>
      <w:r w:rsidR="007D3599" w:rsidRPr="007F6AD7">
        <w:rPr>
          <w:rStyle w:val="Refdenotaalpie"/>
          <w:rFonts w:ascii="Arial" w:hAnsi="Arial" w:cs="Arial"/>
        </w:rPr>
        <w:footnoteReference w:id="411"/>
      </w:r>
      <w:r w:rsidR="007D3599" w:rsidRPr="007F6AD7">
        <w:rPr>
          <w:rFonts w:ascii="Arial" w:hAnsi="Arial" w:cs="Arial"/>
        </w:rPr>
        <w:t xml:space="preserve"> La tendencia a no reflejar estadísticamente las diferencias raciales afecta seriamente la especificidad de la política social.</w:t>
      </w:r>
      <w:r w:rsidR="007D3599" w:rsidRPr="007F6AD7">
        <w:rPr>
          <w:rStyle w:val="Refdenotaalpie"/>
          <w:rFonts w:ascii="Arial" w:hAnsi="Arial" w:cs="Arial"/>
        </w:rPr>
        <w:footnoteReference w:id="412"/>
      </w:r>
      <w:r w:rsidR="007D3599" w:rsidRPr="007F6AD7">
        <w:rPr>
          <w:rFonts w:ascii="Arial" w:hAnsi="Arial" w:cs="Arial"/>
          <w:vertAlign w:val="superscript"/>
        </w:rPr>
        <w:t xml:space="preserve">, </w:t>
      </w:r>
      <w:r w:rsidR="007D3599" w:rsidRPr="007F6AD7">
        <w:rPr>
          <w:rFonts w:ascii="Arial" w:hAnsi="Arial" w:cs="Arial"/>
        </w:rPr>
        <w:t xml:space="preserve">La aplicación concienzuda de los principios de la Convención ICERD puede dar resultados variables en los distintos Estados partes dada la naturaleza de la Convención </w:t>
      </w:r>
      <w:r w:rsidR="00FC07AA" w:rsidRPr="007F6AD7">
        <w:rPr>
          <w:rFonts w:ascii="Arial" w:hAnsi="Arial" w:cs="Arial"/>
        </w:rPr>
        <w:t xml:space="preserve">ICERD </w:t>
      </w:r>
      <w:r w:rsidR="007D3599" w:rsidRPr="007F6AD7">
        <w:rPr>
          <w:rFonts w:ascii="Arial" w:hAnsi="Arial" w:cs="Arial"/>
        </w:rPr>
        <w:t xml:space="preserve">y el amplio alcance de sus disposiciones, no obstante estas variaciones deben ser plenamente justificables a tenor de los principios de la Convención. </w:t>
      </w:r>
      <w:r w:rsidR="007D3599" w:rsidRPr="007F6AD7">
        <w:rPr>
          <w:rFonts w:ascii="Arial" w:hAnsi="Arial" w:cs="Arial"/>
          <w:vertAlign w:val="superscript"/>
        </w:rPr>
        <w:footnoteReference w:id="413"/>
      </w:r>
      <w:r w:rsidR="007D3599" w:rsidRPr="007F6AD7">
        <w:rPr>
          <w:rFonts w:ascii="Arial" w:hAnsi="Arial" w:cs="Arial"/>
          <w:vertAlign w:val="superscript"/>
        </w:rPr>
        <w:t xml:space="preserve">   </w:t>
      </w:r>
      <w:r w:rsidR="007D3599" w:rsidRPr="007F6AD7">
        <w:rPr>
          <w:rFonts w:ascii="Arial" w:hAnsi="Arial" w:cs="Arial"/>
        </w:rPr>
        <w:t xml:space="preserve"> </w:t>
      </w:r>
    </w:p>
    <w:p w14:paraId="7EDEF1A9" w14:textId="548350BF" w:rsidR="00681A7C" w:rsidRPr="007F6AD7" w:rsidRDefault="00BF2BA3" w:rsidP="00BF2BA3">
      <w:pPr>
        <w:tabs>
          <w:tab w:val="left" w:pos="567"/>
        </w:tabs>
        <w:spacing w:after="0" w:line="360" w:lineRule="auto"/>
        <w:jc w:val="both"/>
        <w:rPr>
          <w:rFonts w:ascii="Arial" w:hAnsi="Arial" w:cs="Arial"/>
          <w:lang w:eastAsia="es-ES"/>
        </w:rPr>
      </w:pPr>
      <w:r>
        <w:rPr>
          <w:rFonts w:ascii="Arial" w:hAnsi="Arial" w:cs="Arial"/>
        </w:rPr>
        <w:t xml:space="preserve">89.   </w:t>
      </w:r>
      <w:r w:rsidR="007D3599" w:rsidRPr="007F6AD7">
        <w:rPr>
          <w:rFonts w:ascii="Arial" w:hAnsi="Arial" w:cs="Arial"/>
        </w:rPr>
        <w:t xml:space="preserve">El Informe estatal </w:t>
      </w:r>
      <w:r w:rsidR="000E0478" w:rsidRPr="007F6AD7">
        <w:rPr>
          <w:rFonts w:ascii="Arial" w:hAnsi="Arial" w:cs="Arial"/>
        </w:rPr>
        <w:t>CERD Cuba 19-2</w:t>
      </w:r>
      <w:r w:rsidR="00094AD4" w:rsidRPr="007F6AD7">
        <w:rPr>
          <w:rFonts w:ascii="Arial" w:hAnsi="Arial" w:cs="Arial"/>
        </w:rPr>
        <w:t xml:space="preserve">1 </w:t>
      </w:r>
      <w:r w:rsidR="007D3599" w:rsidRPr="007F6AD7">
        <w:rPr>
          <w:rFonts w:ascii="Arial" w:hAnsi="Arial" w:cs="Arial"/>
        </w:rPr>
        <w:t xml:space="preserve">describe el empleo de la vía administrativa </w:t>
      </w:r>
      <w:r w:rsidR="007D3599" w:rsidRPr="007F6AD7">
        <w:rPr>
          <w:rFonts w:ascii="Arial" w:hAnsi="Arial" w:cs="Arial"/>
          <w:vertAlign w:val="superscript"/>
        </w:rPr>
        <w:footnoteReference w:id="414"/>
      </w:r>
      <w:r w:rsidR="007D3599" w:rsidRPr="007F6AD7">
        <w:rPr>
          <w:rFonts w:ascii="Arial" w:hAnsi="Arial" w:cs="Arial"/>
          <w:vertAlign w:val="superscript"/>
        </w:rPr>
        <w:t xml:space="preserve"> </w:t>
      </w:r>
      <w:r w:rsidR="007D3599" w:rsidRPr="007F6AD7">
        <w:rPr>
          <w:rFonts w:ascii="Arial" w:hAnsi="Arial" w:cs="Arial"/>
        </w:rPr>
        <w:t xml:space="preserve"> para resolver </w:t>
      </w:r>
      <w:r w:rsidR="003B6987" w:rsidRPr="007F6AD7">
        <w:rPr>
          <w:rFonts w:ascii="Arial" w:hAnsi="Arial" w:cs="Arial"/>
        </w:rPr>
        <w:t xml:space="preserve">las </w:t>
      </w:r>
      <w:r w:rsidR="007D3599" w:rsidRPr="007F6AD7">
        <w:rPr>
          <w:rFonts w:ascii="Arial" w:hAnsi="Arial" w:cs="Arial"/>
        </w:rPr>
        <w:t xml:space="preserve">quejas motivadas por discriminación racial, </w:t>
      </w:r>
      <w:r w:rsidR="007D3599" w:rsidRPr="007F6AD7">
        <w:rPr>
          <w:rFonts w:ascii="Arial" w:hAnsi="Arial" w:cs="Arial"/>
          <w:vertAlign w:val="superscript"/>
        </w:rPr>
        <w:footnoteReference w:id="415"/>
      </w:r>
      <w:r w:rsidR="007D3599" w:rsidRPr="007F6AD7">
        <w:rPr>
          <w:rFonts w:ascii="Arial" w:hAnsi="Arial" w:cs="Arial"/>
          <w:vertAlign w:val="superscript"/>
        </w:rPr>
        <w:t xml:space="preserve"> </w:t>
      </w:r>
      <w:r w:rsidR="007D3599" w:rsidRPr="007F6AD7">
        <w:rPr>
          <w:rFonts w:ascii="Arial" w:hAnsi="Arial" w:cs="Arial"/>
        </w:rPr>
        <w:t xml:space="preserve"> una conducta tipificada como delito</w:t>
      </w:r>
      <w:r w:rsidR="003B6987" w:rsidRPr="007F6AD7">
        <w:rPr>
          <w:rFonts w:ascii="Arial" w:hAnsi="Arial" w:cs="Arial"/>
          <w:vertAlign w:val="superscript"/>
        </w:rPr>
        <w:t xml:space="preserve"> </w:t>
      </w:r>
      <w:r w:rsidR="007D3599" w:rsidRPr="007F6AD7">
        <w:rPr>
          <w:rFonts w:ascii="Arial" w:hAnsi="Arial" w:cs="Arial"/>
        </w:rPr>
        <w:t xml:space="preserve"> en el Código penal</w:t>
      </w:r>
      <w:r w:rsidR="003B6987" w:rsidRPr="007F6AD7">
        <w:rPr>
          <w:rFonts w:ascii="Arial" w:hAnsi="Arial" w:cs="Arial"/>
        </w:rPr>
        <w:t xml:space="preserve"> </w:t>
      </w:r>
      <w:r w:rsidR="003B6987" w:rsidRPr="007F6AD7">
        <w:rPr>
          <w:rFonts w:ascii="Arial" w:hAnsi="Arial" w:cs="Arial"/>
          <w:vertAlign w:val="superscript"/>
        </w:rPr>
        <w:footnoteReference w:id="416"/>
      </w:r>
      <w:r w:rsidR="003B6987" w:rsidRPr="007F6AD7">
        <w:rPr>
          <w:rFonts w:ascii="Arial" w:hAnsi="Arial" w:cs="Arial"/>
          <w:vertAlign w:val="superscript"/>
        </w:rPr>
        <w:t xml:space="preserve"> </w:t>
      </w:r>
      <w:r w:rsidR="007D3599" w:rsidRPr="007F6AD7">
        <w:rPr>
          <w:rFonts w:ascii="Arial" w:hAnsi="Arial" w:cs="Arial"/>
        </w:rPr>
        <w:t xml:space="preserve"> y sancionada por mandatos constitucionales referidos a la igualdad y la dignidad de cualquier </w:t>
      </w:r>
      <w:r w:rsidR="007D3599" w:rsidRPr="007F6AD7">
        <w:rPr>
          <w:rFonts w:ascii="Arial" w:hAnsi="Arial" w:cs="Arial"/>
        </w:rPr>
        <w:lastRenderedPageBreak/>
        <w:t>cubano. El artículo 1. 1. del Código penal</w:t>
      </w:r>
      <w:r w:rsidR="007D3599" w:rsidRPr="007F6AD7">
        <w:rPr>
          <w:rFonts w:ascii="Arial" w:hAnsi="Arial" w:cs="Arial"/>
          <w:vertAlign w:val="superscript"/>
        </w:rPr>
        <w:footnoteReference w:id="417"/>
      </w:r>
      <w:r w:rsidR="007D3599" w:rsidRPr="007F6AD7">
        <w:rPr>
          <w:rFonts w:ascii="Arial" w:hAnsi="Arial" w:cs="Arial"/>
          <w:vertAlign w:val="superscript"/>
        </w:rPr>
        <w:t xml:space="preserve"> </w:t>
      </w:r>
      <w:r w:rsidR="007D3599" w:rsidRPr="007F6AD7">
        <w:rPr>
          <w:rFonts w:ascii="Arial" w:hAnsi="Arial" w:cs="Arial"/>
        </w:rPr>
        <w:t xml:space="preserve"> tiene como objetivo promover la cabal observancia de los derechos y deberes de los ciudadanos. En todas las definiciones del delito, </w:t>
      </w:r>
      <w:r w:rsidR="007D3599" w:rsidRPr="007F6AD7">
        <w:rPr>
          <w:rStyle w:val="Refdenotaalpie"/>
          <w:rFonts w:ascii="Arial" w:hAnsi="Arial" w:cs="Arial"/>
        </w:rPr>
        <w:footnoteReference w:id="418"/>
      </w:r>
      <w:r w:rsidR="007D3599" w:rsidRPr="007F6AD7">
        <w:rPr>
          <w:rFonts w:ascii="Arial" w:hAnsi="Arial" w:cs="Arial"/>
        </w:rPr>
        <w:t xml:space="preserve"> están incluidas de modo genérico las infracciones punibles, cualquiera que sea su gravedad</w:t>
      </w:r>
      <w:r w:rsidR="008F6A12" w:rsidRPr="007F6AD7">
        <w:rPr>
          <w:rFonts w:ascii="Arial" w:hAnsi="Arial" w:cs="Arial"/>
        </w:rPr>
        <w:t>, un detalle a tener presente</w:t>
      </w:r>
      <w:r w:rsidR="007D3599" w:rsidRPr="007F6AD7">
        <w:rPr>
          <w:rFonts w:ascii="Arial" w:hAnsi="Arial" w:cs="Arial"/>
        </w:rPr>
        <w:t>. Supone una conducta infractora del Derecho penal, aquella acción u omisión tipificada y penada por la ley.</w:t>
      </w:r>
      <w:r w:rsidR="007D3599" w:rsidRPr="007F6AD7">
        <w:rPr>
          <w:rStyle w:val="Refdenotaalpie"/>
          <w:rFonts w:ascii="Arial" w:hAnsi="Arial" w:cs="Arial"/>
        </w:rPr>
        <w:footnoteReference w:id="419"/>
      </w:r>
      <w:r w:rsidR="007D3599" w:rsidRPr="007F6AD7">
        <w:rPr>
          <w:rFonts w:ascii="Arial" w:hAnsi="Arial" w:cs="Arial"/>
        </w:rPr>
        <w:t xml:space="preserve">  Constituye discriminación no solo una "distinción, exclusión o restricción" injustificables sino también una "preferencia" injustificable, lo que hace especialmente importante que los Estados partes distingan entre las "medidas especiales" y las preferencias injustificables.</w:t>
      </w:r>
      <w:r w:rsidR="007D3599" w:rsidRPr="007F6AD7">
        <w:rPr>
          <w:rStyle w:val="Refdenotaalpie"/>
          <w:rFonts w:ascii="Arial" w:hAnsi="Arial" w:cs="Arial"/>
        </w:rPr>
        <w:footnoteReference w:id="420"/>
      </w:r>
      <w:r w:rsidR="007D3599" w:rsidRPr="007F6AD7">
        <w:rPr>
          <w:rFonts w:ascii="Arial" w:hAnsi="Arial" w:cs="Arial"/>
        </w:rPr>
        <w:t xml:space="preserve"> </w:t>
      </w:r>
      <w:r w:rsidR="00207EB6" w:rsidRPr="007F6AD7">
        <w:rPr>
          <w:rFonts w:ascii="Arial" w:hAnsi="Arial" w:cs="Arial"/>
        </w:rPr>
        <w:t xml:space="preserve"> </w:t>
      </w:r>
    </w:p>
    <w:p w14:paraId="5EA968F5" w14:textId="57DC2336" w:rsidR="00085E61" w:rsidRDefault="00BF2BA3" w:rsidP="00BF2BA3">
      <w:pPr>
        <w:spacing w:after="0" w:line="360" w:lineRule="auto"/>
        <w:jc w:val="both"/>
        <w:rPr>
          <w:rFonts w:ascii="Arial" w:hAnsi="Arial" w:cs="Arial"/>
        </w:rPr>
      </w:pPr>
      <w:r>
        <w:rPr>
          <w:rFonts w:ascii="Arial" w:hAnsi="Arial" w:cs="Arial"/>
        </w:rPr>
        <w:t xml:space="preserve">90.  </w:t>
      </w:r>
      <w:r w:rsidR="00681A7C" w:rsidRPr="007F6AD7">
        <w:rPr>
          <w:rFonts w:ascii="Arial" w:hAnsi="Arial" w:cs="Arial"/>
        </w:rPr>
        <w:t>L</w:t>
      </w:r>
      <w:r w:rsidR="00207EB6" w:rsidRPr="007F6AD7">
        <w:rPr>
          <w:rFonts w:ascii="Arial" w:hAnsi="Arial" w:cs="Arial"/>
        </w:rPr>
        <w:t xml:space="preserve">a obligación de tomar medidas </w:t>
      </w:r>
      <w:r w:rsidR="00181804" w:rsidRPr="007F6AD7">
        <w:rPr>
          <w:rFonts w:ascii="Arial" w:hAnsi="Arial" w:cs="Arial"/>
        </w:rPr>
        <w:t>legislativas pudiera</w:t>
      </w:r>
      <w:r w:rsidR="00207EB6" w:rsidRPr="007F6AD7">
        <w:rPr>
          <w:rFonts w:ascii="Arial" w:hAnsi="Arial" w:cs="Arial"/>
        </w:rPr>
        <w:t xml:space="preserve"> implicar la obligación de ofrecer recursos judiciales y/o administrativos para asegurar el cabal cumplimiento de la norma. </w:t>
      </w:r>
      <w:r w:rsidR="00F52E30" w:rsidRPr="007F6AD7">
        <w:rPr>
          <w:rFonts w:ascii="Arial" w:hAnsi="Arial" w:cs="Arial"/>
        </w:rPr>
        <w:t xml:space="preserve">Los conceptos de igualdad y de no discriminación están estrechamente vinculados, </w:t>
      </w:r>
      <w:r w:rsidR="00094AD4" w:rsidRPr="007F6AD7">
        <w:rPr>
          <w:rFonts w:ascii="Arial" w:hAnsi="Arial" w:cs="Arial"/>
        </w:rPr>
        <w:t>pero no son</w:t>
      </w:r>
      <w:r w:rsidR="00F52E30" w:rsidRPr="007F6AD7">
        <w:rPr>
          <w:rFonts w:ascii="Arial" w:hAnsi="Arial" w:cs="Arial"/>
        </w:rPr>
        <w:t xml:space="preserve"> idénticos.</w:t>
      </w:r>
      <w:r w:rsidR="00094AD4" w:rsidRPr="007F6AD7">
        <w:rPr>
          <w:rFonts w:ascii="Arial" w:hAnsi="Arial" w:cs="Arial"/>
        </w:rPr>
        <w:t xml:space="preserve"> </w:t>
      </w:r>
      <w:r w:rsidR="00E37B54" w:rsidRPr="007F6AD7">
        <w:rPr>
          <w:rFonts w:ascii="Arial" w:hAnsi="Arial" w:cs="Arial"/>
        </w:rPr>
        <w:t xml:space="preserve">El párrafo </w:t>
      </w:r>
      <w:r w:rsidR="00094AD4" w:rsidRPr="007F6AD7">
        <w:rPr>
          <w:rFonts w:ascii="Arial" w:hAnsi="Arial" w:cs="Arial"/>
        </w:rPr>
        <w:t>2.1 del</w:t>
      </w:r>
      <w:r w:rsidR="00E37B54" w:rsidRPr="007F6AD7">
        <w:rPr>
          <w:rFonts w:ascii="Arial" w:hAnsi="Arial" w:cs="Arial"/>
        </w:rPr>
        <w:t xml:space="preserve"> Pacto Internacional de los Derechos Civiles y Políticos (</w:t>
      </w:r>
      <w:r w:rsidR="00094AD4" w:rsidRPr="007F6AD7">
        <w:rPr>
          <w:rFonts w:ascii="Arial" w:hAnsi="Arial" w:cs="Arial"/>
        </w:rPr>
        <w:t>PIDCP</w:t>
      </w:r>
      <w:r w:rsidR="00E37B54" w:rsidRPr="007F6AD7">
        <w:rPr>
          <w:rFonts w:ascii="Arial" w:hAnsi="Arial" w:cs="Arial"/>
        </w:rPr>
        <w:t>)</w:t>
      </w:r>
      <w:r w:rsidR="00094AD4" w:rsidRPr="007F6AD7">
        <w:rPr>
          <w:rFonts w:ascii="Arial" w:hAnsi="Arial" w:cs="Arial"/>
        </w:rPr>
        <w:t xml:space="preserve"> prohíbe la discriminación basada en “(…) raza, color, sexo, idioma, religión, opinión política o de otra índole, origen nacional</w:t>
      </w:r>
      <w:r w:rsidR="00E37B54" w:rsidRPr="007F6AD7">
        <w:rPr>
          <w:rFonts w:ascii="Arial" w:hAnsi="Arial" w:cs="Arial"/>
        </w:rPr>
        <w:t xml:space="preserve"> </w:t>
      </w:r>
      <w:r w:rsidR="00094AD4" w:rsidRPr="007F6AD7">
        <w:rPr>
          <w:rFonts w:ascii="Arial" w:hAnsi="Arial" w:cs="Arial"/>
        </w:rPr>
        <w:t>o social, posición económica, nacimiento o cualquier otra</w:t>
      </w:r>
      <w:r w:rsidR="00E37B54" w:rsidRPr="007F6AD7">
        <w:rPr>
          <w:rFonts w:ascii="Arial" w:hAnsi="Arial" w:cs="Arial"/>
        </w:rPr>
        <w:t xml:space="preserve"> </w:t>
      </w:r>
      <w:r w:rsidR="00094AD4" w:rsidRPr="007F6AD7">
        <w:rPr>
          <w:rFonts w:ascii="Arial" w:hAnsi="Arial" w:cs="Arial"/>
        </w:rPr>
        <w:t>condición</w:t>
      </w:r>
      <w:r w:rsidR="00E37B54" w:rsidRPr="007F6AD7">
        <w:rPr>
          <w:rFonts w:ascii="Arial" w:hAnsi="Arial" w:cs="Arial"/>
        </w:rPr>
        <w:t xml:space="preserve"> </w:t>
      </w:r>
      <w:r w:rsidR="00094AD4" w:rsidRPr="007F6AD7">
        <w:rPr>
          <w:rFonts w:ascii="Arial" w:hAnsi="Arial" w:cs="Arial"/>
        </w:rPr>
        <w:t>social” con respecto a los derechos y las libertades consagrados</w:t>
      </w:r>
      <w:r w:rsidR="00E37B54" w:rsidRPr="007F6AD7">
        <w:rPr>
          <w:rFonts w:ascii="Arial" w:hAnsi="Arial" w:cs="Arial"/>
        </w:rPr>
        <w:t xml:space="preserve"> </w:t>
      </w:r>
      <w:r w:rsidR="00094AD4" w:rsidRPr="007F6AD7">
        <w:rPr>
          <w:rFonts w:ascii="Arial" w:hAnsi="Arial" w:cs="Arial"/>
        </w:rPr>
        <w:t>por el</w:t>
      </w:r>
      <w:r w:rsidR="00E37B54" w:rsidRPr="007F6AD7">
        <w:rPr>
          <w:rFonts w:ascii="Arial" w:hAnsi="Arial" w:cs="Arial"/>
        </w:rPr>
        <w:t xml:space="preserve"> propio </w:t>
      </w:r>
      <w:r w:rsidR="00094AD4" w:rsidRPr="007F6AD7">
        <w:rPr>
          <w:rFonts w:ascii="Arial" w:hAnsi="Arial" w:cs="Arial"/>
        </w:rPr>
        <w:t>PIDCP,</w:t>
      </w:r>
      <w:r w:rsidR="00E37B54" w:rsidRPr="007F6AD7">
        <w:rPr>
          <w:rFonts w:ascii="Arial" w:hAnsi="Arial" w:cs="Arial"/>
        </w:rPr>
        <w:t xml:space="preserve"> </w:t>
      </w:r>
      <w:r w:rsidR="00094AD4" w:rsidRPr="007F6AD7">
        <w:rPr>
          <w:rFonts w:ascii="Arial" w:hAnsi="Arial" w:cs="Arial"/>
        </w:rPr>
        <w:t>y el artículo</w:t>
      </w:r>
      <w:r w:rsidR="00E37B54" w:rsidRPr="007F6AD7">
        <w:rPr>
          <w:rFonts w:ascii="Arial" w:hAnsi="Arial" w:cs="Arial"/>
        </w:rPr>
        <w:t xml:space="preserve"> </w:t>
      </w:r>
      <w:r w:rsidR="00094AD4" w:rsidRPr="007F6AD7">
        <w:rPr>
          <w:rFonts w:ascii="Arial" w:hAnsi="Arial" w:cs="Arial"/>
        </w:rPr>
        <w:t>26 extiende esa prohibición a los</w:t>
      </w:r>
      <w:r w:rsidR="00E37B54" w:rsidRPr="007F6AD7">
        <w:rPr>
          <w:rFonts w:ascii="Arial" w:hAnsi="Arial" w:cs="Arial"/>
        </w:rPr>
        <w:t xml:space="preserve"> </w:t>
      </w:r>
      <w:r w:rsidR="00094AD4" w:rsidRPr="007F6AD7">
        <w:rPr>
          <w:rFonts w:ascii="Arial" w:hAnsi="Arial" w:cs="Arial"/>
        </w:rPr>
        <w:t>derechos</w:t>
      </w:r>
      <w:r w:rsidR="00E37B54" w:rsidRPr="007F6AD7">
        <w:rPr>
          <w:rFonts w:ascii="Arial" w:hAnsi="Arial" w:cs="Arial"/>
        </w:rPr>
        <w:t xml:space="preserve"> </w:t>
      </w:r>
      <w:r w:rsidR="00094AD4" w:rsidRPr="007F6AD7">
        <w:rPr>
          <w:rFonts w:ascii="Arial" w:hAnsi="Arial" w:cs="Arial"/>
        </w:rPr>
        <w:t>reconocidos por el derecho</w:t>
      </w:r>
      <w:r w:rsidR="00E37B54" w:rsidRPr="007F6AD7">
        <w:rPr>
          <w:rFonts w:ascii="Arial" w:hAnsi="Arial" w:cs="Arial"/>
        </w:rPr>
        <w:t xml:space="preserve"> </w:t>
      </w:r>
      <w:r w:rsidR="00094AD4" w:rsidRPr="007F6AD7">
        <w:rPr>
          <w:rFonts w:ascii="Arial" w:hAnsi="Arial" w:cs="Arial"/>
        </w:rPr>
        <w:t>interno.</w:t>
      </w:r>
      <w:r w:rsidR="00F52E30" w:rsidRPr="007F6AD7">
        <w:rPr>
          <w:rStyle w:val="Refdenotaalpie"/>
          <w:rFonts w:ascii="Arial" w:hAnsi="Arial" w:cs="Arial"/>
        </w:rPr>
        <w:footnoteReference w:id="421"/>
      </w:r>
      <w:r w:rsidR="00F52E30" w:rsidRPr="007F6AD7">
        <w:rPr>
          <w:rFonts w:ascii="Arial" w:hAnsi="Arial" w:cs="Arial"/>
        </w:rPr>
        <w:t xml:space="preserve"> </w:t>
      </w:r>
      <w:r w:rsidR="00E37B54" w:rsidRPr="007F6AD7">
        <w:rPr>
          <w:rFonts w:ascii="Arial" w:hAnsi="Arial" w:cs="Arial"/>
        </w:rPr>
        <w:t xml:space="preserve"> </w:t>
      </w:r>
      <w:r w:rsidR="009071A2" w:rsidRPr="007F6AD7">
        <w:rPr>
          <w:rFonts w:ascii="Arial" w:hAnsi="Arial" w:cs="Arial"/>
        </w:rPr>
        <w:t>E</w:t>
      </w:r>
      <w:r w:rsidR="00E37B54" w:rsidRPr="007F6AD7">
        <w:rPr>
          <w:rFonts w:ascii="Arial" w:hAnsi="Arial" w:cs="Arial"/>
        </w:rPr>
        <w:t>l Gobierno de Cuba no ha ratificado este pacto, sin embargo, e</w:t>
      </w:r>
      <w:r w:rsidR="006F6844" w:rsidRPr="007F6AD7">
        <w:rPr>
          <w:rFonts w:ascii="Arial" w:hAnsi="Arial" w:cs="Arial"/>
        </w:rPr>
        <w:t xml:space="preserve">l Comité </w:t>
      </w:r>
      <w:r w:rsidR="00E37B54" w:rsidRPr="007F6AD7">
        <w:rPr>
          <w:rFonts w:ascii="Arial" w:hAnsi="Arial" w:cs="Arial"/>
        </w:rPr>
        <w:t>de los Derechos de</w:t>
      </w:r>
      <w:r w:rsidR="009071A2" w:rsidRPr="007F6AD7">
        <w:rPr>
          <w:rFonts w:ascii="Arial" w:hAnsi="Arial" w:cs="Arial"/>
        </w:rPr>
        <w:t>l</w:t>
      </w:r>
      <w:r w:rsidR="00E37B54" w:rsidRPr="007F6AD7">
        <w:rPr>
          <w:rFonts w:ascii="Arial" w:hAnsi="Arial" w:cs="Arial"/>
        </w:rPr>
        <w:t xml:space="preserve"> Niñ</w:t>
      </w:r>
      <w:r w:rsidR="009071A2" w:rsidRPr="007F6AD7">
        <w:rPr>
          <w:rFonts w:ascii="Arial" w:hAnsi="Arial" w:cs="Arial"/>
        </w:rPr>
        <w:t>o</w:t>
      </w:r>
      <w:r w:rsidR="00E37B54" w:rsidRPr="007F6AD7">
        <w:rPr>
          <w:rFonts w:ascii="Arial" w:hAnsi="Arial" w:cs="Arial"/>
        </w:rPr>
        <w:t xml:space="preserve"> </w:t>
      </w:r>
      <w:r w:rsidR="004F1C6C" w:rsidRPr="007F6AD7">
        <w:rPr>
          <w:rFonts w:ascii="Arial" w:hAnsi="Arial" w:cs="Arial"/>
        </w:rPr>
        <w:t>(en</w:t>
      </w:r>
      <w:r w:rsidR="00E37B54" w:rsidRPr="007F6AD7">
        <w:rPr>
          <w:rFonts w:ascii="Arial" w:hAnsi="Arial" w:cs="Arial"/>
        </w:rPr>
        <w:t xml:space="preserve"> lo adelante Comité </w:t>
      </w:r>
      <w:r w:rsidR="006F6844" w:rsidRPr="007F6AD7">
        <w:rPr>
          <w:rFonts w:ascii="Arial" w:hAnsi="Arial" w:cs="Arial"/>
        </w:rPr>
        <w:t>CRC</w:t>
      </w:r>
      <w:r w:rsidR="00E37B54" w:rsidRPr="007F6AD7">
        <w:rPr>
          <w:rFonts w:ascii="Arial" w:hAnsi="Arial" w:cs="Arial"/>
        </w:rPr>
        <w:t>)</w:t>
      </w:r>
      <w:r w:rsidR="006F6844" w:rsidRPr="007F6AD7">
        <w:rPr>
          <w:rFonts w:ascii="Arial" w:hAnsi="Arial" w:cs="Arial"/>
        </w:rPr>
        <w:t xml:space="preserve"> </w:t>
      </w:r>
      <w:r w:rsidR="008251A0" w:rsidRPr="007F6AD7">
        <w:rPr>
          <w:rFonts w:ascii="Arial" w:hAnsi="Arial" w:cs="Arial"/>
        </w:rPr>
        <w:t>reconoce su función supervisora</w:t>
      </w:r>
      <w:r w:rsidR="006F6844" w:rsidRPr="007F6AD7">
        <w:rPr>
          <w:rFonts w:ascii="Arial" w:hAnsi="Arial" w:cs="Arial"/>
        </w:rPr>
        <w:t xml:space="preserve"> </w:t>
      </w:r>
      <w:r w:rsidR="008251A0" w:rsidRPr="007F6AD7">
        <w:rPr>
          <w:rFonts w:ascii="Arial" w:hAnsi="Arial" w:cs="Arial"/>
        </w:rPr>
        <w:t xml:space="preserve">en la aplicación de </w:t>
      </w:r>
      <w:r w:rsidR="00181804" w:rsidRPr="007F6AD7">
        <w:rPr>
          <w:rFonts w:ascii="Arial" w:hAnsi="Arial" w:cs="Arial"/>
        </w:rPr>
        <w:t>la Convención</w:t>
      </w:r>
      <w:r w:rsidR="008251A0" w:rsidRPr="007F6AD7">
        <w:rPr>
          <w:rFonts w:ascii="Arial" w:hAnsi="Arial" w:cs="Arial"/>
        </w:rPr>
        <w:t xml:space="preserve"> </w:t>
      </w:r>
      <w:r w:rsidR="00181804" w:rsidRPr="007F6AD7">
        <w:rPr>
          <w:rFonts w:ascii="Arial" w:hAnsi="Arial" w:cs="Arial"/>
        </w:rPr>
        <w:t>(Convención</w:t>
      </w:r>
      <w:r w:rsidR="008251A0" w:rsidRPr="007F6AD7">
        <w:rPr>
          <w:rFonts w:ascii="Arial" w:hAnsi="Arial" w:cs="Arial"/>
        </w:rPr>
        <w:t xml:space="preserve"> CRC), la </w:t>
      </w:r>
      <w:r w:rsidR="00181804" w:rsidRPr="007F6AD7">
        <w:rPr>
          <w:rFonts w:ascii="Arial" w:hAnsi="Arial" w:cs="Arial"/>
        </w:rPr>
        <w:t>cual está</w:t>
      </w:r>
      <w:r w:rsidR="008251A0" w:rsidRPr="007F6AD7">
        <w:rPr>
          <w:rFonts w:ascii="Arial" w:hAnsi="Arial" w:cs="Arial"/>
        </w:rPr>
        <w:t xml:space="preserve"> muy interrelacionada con </w:t>
      </w:r>
      <w:r w:rsidR="006F6844" w:rsidRPr="007F6AD7">
        <w:rPr>
          <w:rFonts w:ascii="Arial" w:hAnsi="Arial" w:cs="Arial"/>
        </w:rPr>
        <w:t xml:space="preserve">otros instrumentos internacionales de derechos humanos. </w:t>
      </w:r>
      <w:r w:rsidR="009071A2" w:rsidRPr="007F6AD7">
        <w:rPr>
          <w:rFonts w:ascii="Arial" w:hAnsi="Arial" w:cs="Arial"/>
        </w:rPr>
        <w:t>Por consiguiente,</w:t>
      </w:r>
      <w:r w:rsidR="006F6844" w:rsidRPr="007F6AD7">
        <w:rPr>
          <w:rFonts w:ascii="Arial" w:hAnsi="Arial" w:cs="Arial"/>
        </w:rPr>
        <w:t xml:space="preserve"> los Pactos internacionales de </w:t>
      </w:r>
      <w:r w:rsidR="00A000DD" w:rsidRPr="007F6AD7">
        <w:rPr>
          <w:rFonts w:ascii="Arial" w:hAnsi="Arial" w:cs="Arial"/>
        </w:rPr>
        <w:t>D</w:t>
      </w:r>
      <w:r w:rsidR="006F6844" w:rsidRPr="007F6AD7">
        <w:rPr>
          <w:rFonts w:ascii="Arial" w:hAnsi="Arial" w:cs="Arial"/>
        </w:rPr>
        <w:t xml:space="preserve">erechos Humanos </w:t>
      </w:r>
      <w:r w:rsidR="008251A0" w:rsidRPr="007F6AD7">
        <w:rPr>
          <w:rFonts w:ascii="Arial" w:hAnsi="Arial" w:cs="Arial"/>
        </w:rPr>
        <w:t>aun</w:t>
      </w:r>
      <w:r w:rsidR="006F6844" w:rsidRPr="007F6AD7">
        <w:rPr>
          <w:rFonts w:ascii="Arial" w:hAnsi="Arial" w:cs="Arial"/>
        </w:rPr>
        <w:t xml:space="preserve">que no </w:t>
      </w:r>
      <w:r w:rsidR="009071A2" w:rsidRPr="007F6AD7">
        <w:rPr>
          <w:rFonts w:ascii="Arial" w:hAnsi="Arial" w:cs="Arial"/>
        </w:rPr>
        <w:t xml:space="preserve">crean </w:t>
      </w:r>
      <w:r w:rsidR="006F6844" w:rsidRPr="007F6AD7">
        <w:rPr>
          <w:rFonts w:ascii="Arial" w:hAnsi="Arial" w:cs="Arial"/>
        </w:rPr>
        <w:t xml:space="preserve"> obliga</w:t>
      </w:r>
      <w:r w:rsidR="009071A2" w:rsidRPr="007F6AD7">
        <w:rPr>
          <w:rFonts w:ascii="Arial" w:hAnsi="Arial" w:cs="Arial"/>
        </w:rPr>
        <w:t>ciones</w:t>
      </w:r>
      <w:r w:rsidR="006F6844" w:rsidRPr="007F6AD7">
        <w:rPr>
          <w:rFonts w:ascii="Arial" w:hAnsi="Arial" w:cs="Arial"/>
        </w:rPr>
        <w:t xml:space="preserve"> para el Estado cubano pues no han sido ratificados</w:t>
      </w:r>
      <w:r w:rsidR="00A000DD" w:rsidRPr="007F6AD7">
        <w:rPr>
          <w:rFonts w:ascii="Arial" w:hAnsi="Arial" w:cs="Arial"/>
        </w:rPr>
        <w:t>,</w:t>
      </w:r>
      <w:r w:rsidR="006F6844" w:rsidRPr="007F6AD7">
        <w:rPr>
          <w:rFonts w:ascii="Arial" w:hAnsi="Arial" w:cs="Arial"/>
        </w:rPr>
        <w:t xml:space="preserve"> </w:t>
      </w:r>
      <w:r w:rsidR="006F6844" w:rsidRPr="007F6AD7">
        <w:rPr>
          <w:rFonts w:ascii="Arial" w:hAnsi="Arial" w:cs="Arial"/>
        </w:rPr>
        <w:lastRenderedPageBreak/>
        <w:t>si son</w:t>
      </w:r>
      <w:r w:rsidR="00A000DD" w:rsidRPr="007F6AD7">
        <w:rPr>
          <w:rFonts w:ascii="Arial" w:hAnsi="Arial" w:cs="Arial"/>
        </w:rPr>
        <w:t xml:space="preserve"> de obligatorio cumplimiento</w:t>
      </w:r>
      <w:r w:rsidR="00D56455" w:rsidRPr="007F6AD7">
        <w:rPr>
          <w:rFonts w:ascii="Arial" w:hAnsi="Arial" w:cs="Arial"/>
        </w:rPr>
        <w:t xml:space="preserve"> para el Gobierno</w:t>
      </w:r>
      <w:r w:rsidR="006F6844" w:rsidRPr="007F6AD7">
        <w:rPr>
          <w:rFonts w:ascii="Arial" w:hAnsi="Arial" w:cs="Arial"/>
        </w:rPr>
        <w:t xml:space="preserve"> en el caso de </w:t>
      </w:r>
      <w:r w:rsidR="00A000DD" w:rsidRPr="007F6AD7">
        <w:rPr>
          <w:rFonts w:ascii="Arial" w:hAnsi="Arial" w:cs="Arial"/>
        </w:rPr>
        <w:t>NNA</w:t>
      </w:r>
      <w:r w:rsidR="006F6844" w:rsidRPr="007F6AD7">
        <w:rPr>
          <w:rFonts w:ascii="Arial" w:hAnsi="Arial" w:cs="Arial"/>
        </w:rPr>
        <w:t xml:space="preserve"> cuban</w:t>
      </w:r>
      <w:r w:rsidR="00A000DD" w:rsidRPr="007F6AD7">
        <w:rPr>
          <w:rFonts w:ascii="Arial" w:hAnsi="Arial" w:cs="Arial"/>
        </w:rPr>
        <w:t>os</w:t>
      </w:r>
      <w:r w:rsidR="006F6844" w:rsidRPr="007F6AD7">
        <w:rPr>
          <w:rFonts w:ascii="Arial" w:hAnsi="Arial" w:cs="Arial"/>
        </w:rPr>
        <w:t xml:space="preserve"> dados los compromisos adquiridos por ese mismo Estado parte con la </w:t>
      </w:r>
      <w:r w:rsidR="008251A0" w:rsidRPr="007F6AD7">
        <w:rPr>
          <w:rFonts w:ascii="Arial" w:hAnsi="Arial" w:cs="Arial"/>
        </w:rPr>
        <w:t>Convención</w:t>
      </w:r>
      <w:r w:rsidR="006F6844" w:rsidRPr="007F6AD7">
        <w:rPr>
          <w:rFonts w:ascii="Arial" w:hAnsi="Arial" w:cs="Arial"/>
        </w:rPr>
        <w:t xml:space="preserve"> de los Derechos del Niño</w:t>
      </w:r>
      <w:r w:rsidR="00A000DD" w:rsidRPr="007F6AD7">
        <w:rPr>
          <w:rFonts w:ascii="Arial" w:hAnsi="Arial" w:cs="Arial"/>
        </w:rPr>
        <w:t xml:space="preserve"> </w:t>
      </w:r>
      <w:r w:rsidR="008251A0" w:rsidRPr="007F6AD7">
        <w:rPr>
          <w:rFonts w:ascii="Arial" w:hAnsi="Arial" w:cs="Arial"/>
        </w:rPr>
        <w:t>.</w:t>
      </w:r>
      <w:r w:rsidR="00D56455" w:rsidRPr="007F6AD7">
        <w:rPr>
          <w:rStyle w:val="Refdenotaalpie"/>
          <w:rFonts w:ascii="Arial" w:hAnsi="Arial" w:cs="Arial"/>
        </w:rPr>
        <w:footnoteReference w:id="422"/>
      </w:r>
      <w:r w:rsidR="00D56455" w:rsidRPr="007F6AD7">
        <w:rPr>
          <w:rFonts w:ascii="Arial" w:hAnsi="Arial" w:cs="Arial"/>
        </w:rPr>
        <w:t xml:space="preserve"> </w:t>
      </w:r>
    </w:p>
    <w:p w14:paraId="084C37FF" w14:textId="4AF9AFAA" w:rsidR="007D3599" w:rsidRPr="007F6AD7" w:rsidRDefault="00BF2BA3" w:rsidP="006F6F99">
      <w:pPr>
        <w:spacing w:after="0" w:line="360" w:lineRule="auto"/>
        <w:jc w:val="both"/>
        <w:rPr>
          <w:rFonts w:ascii="Arial" w:hAnsi="Arial" w:cs="Arial"/>
        </w:rPr>
      </w:pPr>
      <w:r>
        <w:rPr>
          <w:rFonts w:ascii="Arial" w:hAnsi="Arial" w:cs="Arial"/>
        </w:rPr>
        <w:t>91.</w:t>
      </w:r>
      <w:r w:rsidR="008251A0" w:rsidRPr="007F6AD7">
        <w:rPr>
          <w:rFonts w:ascii="Arial" w:hAnsi="Arial" w:cs="Arial"/>
        </w:rPr>
        <w:t xml:space="preserve"> </w:t>
      </w:r>
      <w:r w:rsidR="006F6F99">
        <w:rPr>
          <w:rFonts w:ascii="Arial" w:hAnsi="Arial" w:cs="Arial"/>
        </w:rPr>
        <w:t xml:space="preserve"> E</w:t>
      </w:r>
      <w:r w:rsidR="006F6F99" w:rsidRPr="006F6F99">
        <w:rPr>
          <w:rFonts w:ascii="Arial" w:hAnsi="Arial" w:cs="Arial"/>
        </w:rPr>
        <w:t>n definitiva,</w:t>
      </w:r>
      <w:r w:rsidR="00A000DD" w:rsidRPr="007F6AD7">
        <w:rPr>
          <w:rFonts w:ascii="Arial" w:hAnsi="Arial" w:cs="Arial"/>
        </w:rPr>
        <w:t xml:space="preserve"> el Comité CRC tiene competencia reconocida para evaluar su cumplimiento en Cuba en asuntos de la infancia</w:t>
      </w:r>
      <w:r w:rsidR="00181804" w:rsidRPr="007F6AD7">
        <w:rPr>
          <w:rFonts w:ascii="Arial" w:hAnsi="Arial" w:cs="Arial"/>
        </w:rPr>
        <w:t>, en</w:t>
      </w:r>
      <w:r w:rsidR="008251A0" w:rsidRPr="007F6AD7">
        <w:rPr>
          <w:rFonts w:ascii="Arial" w:hAnsi="Arial" w:cs="Arial"/>
        </w:rPr>
        <w:t xml:space="preserve"> </w:t>
      </w:r>
      <w:r w:rsidR="00181804" w:rsidRPr="007F6AD7">
        <w:rPr>
          <w:rFonts w:ascii="Arial" w:hAnsi="Arial" w:cs="Arial"/>
        </w:rPr>
        <w:t>virtud de</w:t>
      </w:r>
      <w:r w:rsidR="008251A0" w:rsidRPr="007F6AD7">
        <w:rPr>
          <w:rFonts w:ascii="Arial" w:hAnsi="Arial" w:cs="Arial"/>
        </w:rPr>
        <w:t xml:space="preserve"> </w:t>
      </w:r>
      <w:r w:rsidR="00181804" w:rsidRPr="007F6AD7">
        <w:rPr>
          <w:rFonts w:ascii="Arial" w:hAnsi="Arial" w:cs="Arial"/>
        </w:rPr>
        <w:t>que “</w:t>
      </w:r>
      <w:r w:rsidR="00A000DD" w:rsidRPr="007F6AD7">
        <w:rPr>
          <w:rFonts w:ascii="Arial" w:hAnsi="Arial" w:cs="Arial"/>
        </w:rPr>
        <w:t>todos los derechos humanos son indivisibles e interdependientes”</w:t>
      </w:r>
      <w:r w:rsidR="008251A0" w:rsidRPr="007F6AD7">
        <w:rPr>
          <w:rFonts w:ascii="Arial" w:hAnsi="Arial" w:cs="Arial"/>
        </w:rPr>
        <w:t xml:space="preserve"> si están vinculados a la niñez</w:t>
      </w:r>
      <w:r w:rsidR="00A000DD" w:rsidRPr="007F6AD7">
        <w:rPr>
          <w:rFonts w:ascii="Arial" w:hAnsi="Arial" w:cs="Arial"/>
        </w:rPr>
        <w:t xml:space="preserve">. </w:t>
      </w:r>
      <w:r w:rsidR="00A26EA8" w:rsidRPr="007F6AD7">
        <w:rPr>
          <w:rFonts w:ascii="Arial" w:hAnsi="Arial" w:cs="Arial"/>
        </w:rPr>
        <w:t xml:space="preserve">Otros elementos merecen ser tomados en consideración referidos a la niñez y </w:t>
      </w:r>
      <w:r w:rsidR="00682FD0" w:rsidRPr="007F6AD7">
        <w:rPr>
          <w:rFonts w:ascii="Arial" w:hAnsi="Arial" w:cs="Arial"/>
        </w:rPr>
        <w:t>el Derecho</w:t>
      </w:r>
      <w:r w:rsidR="00A000DD" w:rsidRPr="007F6AD7">
        <w:rPr>
          <w:rFonts w:ascii="Arial" w:hAnsi="Arial" w:cs="Arial"/>
        </w:rPr>
        <w:t xml:space="preserve"> Internacional Consuetudinario y </w:t>
      </w:r>
      <w:r w:rsidR="008251A0" w:rsidRPr="007F6AD7">
        <w:rPr>
          <w:rFonts w:ascii="Arial" w:hAnsi="Arial" w:cs="Arial"/>
        </w:rPr>
        <w:t>el Derecho</w:t>
      </w:r>
      <w:r w:rsidR="00A000DD" w:rsidRPr="007F6AD7">
        <w:rPr>
          <w:rFonts w:ascii="Arial" w:hAnsi="Arial" w:cs="Arial"/>
        </w:rPr>
        <w:t xml:space="preserve"> Internacional Humanitario</w:t>
      </w:r>
      <w:r w:rsidR="00A26EA8" w:rsidRPr="007F6AD7">
        <w:rPr>
          <w:rFonts w:ascii="Arial" w:hAnsi="Arial" w:cs="Arial"/>
        </w:rPr>
        <w:t xml:space="preserve"> </w:t>
      </w:r>
      <w:r w:rsidR="00682FD0" w:rsidRPr="007F6AD7">
        <w:rPr>
          <w:rFonts w:ascii="Arial" w:hAnsi="Arial" w:cs="Arial"/>
        </w:rPr>
        <w:t>respectivamente.</w:t>
      </w:r>
      <w:r w:rsidR="00A000DD" w:rsidRPr="007F6AD7">
        <w:rPr>
          <w:rStyle w:val="Refdenotaalpie"/>
          <w:rFonts w:ascii="Arial" w:hAnsi="Arial" w:cs="Arial"/>
        </w:rPr>
        <w:footnoteReference w:id="423"/>
      </w:r>
      <w:r w:rsidR="00085E61">
        <w:rPr>
          <w:rFonts w:ascii="Arial" w:hAnsi="Arial" w:cs="Arial"/>
        </w:rPr>
        <w:t xml:space="preserve"> </w:t>
      </w:r>
      <w:r w:rsidR="007D3599" w:rsidRPr="007F6AD7">
        <w:rPr>
          <w:rFonts w:ascii="Arial" w:hAnsi="Arial" w:cs="Arial"/>
        </w:rPr>
        <w:t>Los gobiernos pueden asegurar la «igualdad sustantiva», es decir, la igualdad en el disfrute de las oportunidades de acceder a los beneficios disponibles en la sociedad, en lugar de la</w:t>
      </w:r>
      <w:r w:rsidR="007D3599" w:rsidRPr="007F6AD7">
        <w:rPr>
          <w:rFonts w:ascii="Arial" w:hAnsi="Arial" w:cs="Arial"/>
          <w:lang w:val="es-MX"/>
        </w:rPr>
        <w:t xml:space="preserve"> mera «igualdad formal». </w:t>
      </w:r>
      <w:r w:rsidR="007D3599" w:rsidRPr="007F6AD7">
        <w:rPr>
          <w:rFonts w:ascii="Arial" w:hAnsi="Arial" w:cs="Arial"/>
        </w:rPr>
        <w:t xml:space="preserve">La justicia como imparcialidad da cuenta del hecho de que cada miembro de la sociedad tiene una dignidad y unos derechos que no pueden ser violados sin que se incurra en injusticia. En Cuba, los actos de discriminación racial son tipificados como delitos. </w:t>
      </w:r>
      <w:r w:rsidR="007D3599" w:rsidRPr="007F6AD7">
        <w:rPr>
          <w:rStyle w:val="Refdenotaalpie"/>
          <w:rFonts w:ascii="Arial" w:hAnsi="Arial" w:cs="Arial"/>
        </w:rPr>
        <w:footnoteReference w:id="424"/>
      </w:r>
      <w:r w:rsidR="007D3599" w:rsidRPr="007F6AD7">
        <w:rPr>
          <w:rFonts w:ascii="Arial" w:hAnsi="Arial" w:cs="Arial"/>
        </w:rPr>
        <w:t xml:space="preserve"> </w:t>
      </w:r>
      <w:r w:rsidR="006F6F99" w:rsidRPr="006F6F99">
        <w:rPr>
          <w:rFonts w:ascii="Arial" w:hAnsi="Arial" w:cs="Arial"/>
          <w:vertAlign w:val="superscript"/>
        </w:rPr>
        <w:t>,</w:t>
      </w:r>
      <w:r w:rsidR="007D3599" w:rsidRPr="006F6F99">
        <w:rPr>
          <w:rFonts w:ascii="Arial" w:hAnsi="Arial" w:cs="Arial"/>
          <w:vertAlign w:val="superscript"/>
        </w:rPr>
        <w:t xml:space="preserve"> </w:t>
      </w:r>
      <w:r w:rsidR="007D3599" w:rsidRPr="007F6AD7">
        <w:rPr>
          <w:rStyle w:val="Refdenotaalpie"/>
          <w:rFonts w:ascii="Arial" w:hAnsi="Arial" w:cs="Arial"/>
        </w:rPr>
        <w:footnoteReference w:id="425"/>
      </w:r>
      <w:r w:rsidR="007D3599" w:rsidRPr="007F6AD7">
        <w:rPr>
          <w:rFonts w:ascii="Arial" w:hAnsi="Arial" w:cs="Arial"/>
        </w:rPr>
        <w:t xml:space="preserve"> </w:t>
      </w:r>
      <w:r w:rsidR="006F6F99">
        <w:rPr>
          <w:rFonts w:ascii="Arial" w:hAnsi="Arial" w:cs="Arial"/>
        </w:rPr>
        <w:t>L</w:t>
      </w:r>
      <w:r w:rsidR="006C351E" w:rsidRPr="007F6AD7">
        <w:rPr>
          <w:rFonts w:ascii="Arial" w:hAnsi="Arial" w:cs="Arial"/>
        </w:rPr>
        <w:t>a norma del Código penal, primero no especifica la gravedad del hecho discriminatorio en la aplicación de la ley, y segundo</w:t>
      </w:r>
      <w:r w:rsidR="00F92F6E">
        <w:rPr>
          <w:rFonts w:ascii="Arial" w:hAnsi="Arial" w:cs="Arial"/>
        </w:rPr>
        <w:t>,</w:t>
      </w:r>
      <w:r w:rsidR="000E2E57" w:rsidRPr="000E2E57">
        <w:t xml:space="preserve"> </w:t>
      </w:r>
      <w:r w:rsidR="000E2E57">
        <w:rPr>
          <w:rFonts w:ascii="Arial" w:hAnsi="Arial" w:cs="Arial"/>
        </w:rPr>
        <w:t>e</w:t>
      </w:r>
      <w:r w:rsidR="000E2E57" w:rsidRPr="000E2E57">
        <w:rPr>
          <w:rFonts w:ascii="Arial" w:hAnsi="Arial" w:cs="Arial"/>
        </w:rPr>
        <w:t>l enjuiciamiento de los jueces supon</w:t>
      </w:r>
      <w:r w:rsidR="000E2E57">
        <w:rPr>
          <w:rFonts w:ascii="Arial" w:hAnsi="Arial" w:cs="Arial"/>
        </w:rPr>
        <w:t xml:space="preserve">e emitir un juicio de valor que </w:t>
      </w:r>
      <w:r w:rsidR="000E2E57" w:rsidRPr="000E2E57">
        <w:rPr>
          <w:rFonts w:ascii="Arial" w:hAnsi="Arial" w:cs="Arial"/>
        </w:rPr>
        <w:t>se ajusta al derecho objetivo que se aplica a ese caso concreto.</w:t>
      </w:r>
      <w:r w:rsidR="000E2E57" w:rsidRPr="000E2E57">
        <w:t xml:space="preserve"> </w:t>
      </w:r>
      <w:r w:rsidR="000E2E57" w:rsidRPr="000E2E57">
        <w:rPr>
          <w:rFonts w:ascii="Arial" w:hAnsi="Arial" w:cs="Arial"/>
        </w:rPr>
        <w:t>La Administración tiene una forma de act</w:t>
      </w:r>
      <w:r w:rsidR="000E2E57">
        <w:rPr>
          <w:rFonts w:ascii="Arial" w:hAnsi="Arial" w:cs="Arial"/>
        </w:rPr>
        <w:t xml:space="preserve">uar diferente: los funcionarios </w:t>
      </w:r>
      <w:r w:rsidR="000E2E57" w:rsidRPr="000E2E57">
        <w:rPr>
          <w:rFonts w:ascii="Arial" w:hAnsi="Arial" w:cs="Arial"/>
        </w:rPr>
        <w:t xml:space="preserve">tienen un poder discrecional. Mientras en la Administración </w:t>
      </w:r>
      <w:r w:rsidR="00F92F6E" w:rsidRPr="00F92F6E">
        <w:rPr>
          <w:rFonts w:ascii="Arial" w:hAnsi="Arial" w:cs="Arial"/>
        </w:rPr>
        <w:t>predomina la voluntad de la Administració</w:t>
      </w:r>
      <w:r w:rsidR="00F92F6E">
        <w:rPr>
          <w:rFonts w:ascii="Arial" w:hAnsi="Arial" w:cs="Arial"/>
        </w:rPr>
        <w:t xml:space="preserve">n, en la Jurisdicción predomina la sujeción a la norma y la </w:t>
      </w:r>
      <w:r w:rsidR="00F92F6E" w:rsidRPr="00F92F6E">
        <w:rPr>
          <w:rFonts w:ascii="Arial" w:hAnsi="Arial" w:cs="Arial"/>
        </w:rPr>
        <w:t>lógica.</w:t>
      </w:r>
      <w:r w:rsidR="00F92F6E">
        <w:rPr>
          <w:rFonts w:ascii="Arial" w:hAnsi="Arial" w:cs="Arial"/>
        </w:rPr>
        <w:t xml:space="preserve"> </w:t>
      </w:r>
      <w:r w:rsidR="00F92F6E">
        <w:rPr>
          <w:rStyle w:val="Refdenotaalpie"/>
          <w:rFonts w:ascii="Arial" w:hAnsi="Arial" w:cs="Arial"/>
        </w:rPr>
        <w:footnoteReference w:id="426"/>
      </w:r>
      <w:r w:rsidR="006C351E" w:rsidRPr="007F6AD7">
        <w:rPr>
          <w:rFonts w:ascii="Arial" w:hAnsi="Arial" w:cs="Arial"/>
        </w:rPr>
        <w:t xml:space="preserve"> “En general las normas internacionales sobre derechos humanos jurídicamente vinculantes deben operar</w:t>
      </w:r>
      <w:r w:rsidR="004F1C6C" w:rsidRPr="007F6AD7">
        <w:rPr>
          <w:rFonts w:ascii="Arial" w:hAnsi="Arial" w:cs="Arial"/>
        </w:rPr>
        <w:t xml:space="preserve"> directa e inmediatamente en el s</w:t>
      </w:r>
      <w:r w:rsidR="006C351E" w:rsidRPr="007F6AD7">
        <w:rPr>
          <w:rFonts w:ascii="Arial" w:hAnsi="Arial" w:cs="Arial"/>
        </w:rPr>
        <w:t xml:space="preserve">istema jurídico interno de cada Estado Parte, permitiendo a los interesados reclamar la protección de sus derechos ante los jueces y tribunales </w:t>
      </w:r>
      <w:r w:rsidR="006C351E" w:rsidRPr="007F6AD7">
        <w:rPr>
          <w:rFonts w:ascii="Arial" w:hAnsi="Arial" w:cs="Arial"/>
        </w:rPr>
        <w:lastRenderedPageBreak/>
        <w:t>nacionales”.</w:t>
      </w:r>
      <w:r w:rsidR="006C351E" w:rsidRPr="007F6AD7">
        <w:rPr>
          <w:rStyle w:val="Refdenotaalpie"/>
          <w:rFonts w:ascii="Arial" w:hAnsi="Arial" w:cs="Arial"/>
        </w:rPr>
        <w:footnoteReference w:id="427"/>
      </w:r>
      <w:r w:rsidR="0019680A" w:rsidRPr="007F6AD7">
        <w:rPr>
          <w:rFonts w:ascii="Arial" w:hAnsi="Arial" w:cs="Arial"/>
        </w:rPr>
        <w:t xml:space="preserve"> </w:t>
      </w:r>
      <w:r w:rsidR="007D3599" w:rsidRPr="007F6AD7">
        <w:rPr>
          <w:rFonts w:ascii="Arial" w:hAnsi="Arial" w:cs="Arial"/>
          <w:b/>
        </w:rPr>
        <w:t>ACDEI ruega al Comité CERD pida al Estado parte que adopte las medidas legislativas y de otra índole que sean necesarias a fin de asegurar que el juzgamiento de la discriminación racial y otras formas conexas de intolerancia quede expresamente investigada y juzgada solamente en la jurisdicción ordinaria,</w:t>
      </w:r>
      <w:r w:rsidR="007D3599" w:rsidRPr="007F6AD7">
        <w:rPr>
          <w:rFonts w:ascii="Arial" w:hAnsi="Arial" w:cs="Arial"/>
        </w:rPr>
        <w:t xml:space="preserve"> </w:t>
      </w:r>
      <w:r w:rsidR="007D3599" w:rsidRPr="007F6AD7">
        <w:rPr>
          <w:rFonts w:ascii="Arial" w:hAnsi="Arial" w:cs="Arial"/>
          <w:b/>
        </w:rPr>
        <w:t>pues los instrumentos no judiciales de protección contra la discriminación utilizados en el Estado cubano no garantizan la igualdad como derecho</w:t>
      </w:r>
      <w:r w:rsidR="00A000DD" w:rsidRPr="007F6AD7">
        <w:rPr>
          <w:rFonts w:ascii="Arial" w:hAnsi="Arial" w:cs="Arial"/>
          <w:b/>
        </w:rPr>
        <w:t xml:space="preserve">, en especial cuando atañe a </w:t>
      </w:r>
      <w:r w:rsidR="006771B9" w:rsidRPr="007F6AD7">
        <w:rPr>
          <w:rFonts w:ascii="Arial" w:hAnsi="Arial" w:cs="Arial"/>
          <w:b/>
        </w:rPr>
        <w:t>niños, niñas y adolescentes</w:t>
      </w:r>
      <w:r w:rsidR="006C351E" w:rsidRPr="007F6AD7">
        <w:rPr>
          <w:rFonts w:ascii="Arial" w:hAnsi="Arial" w:cs="Arial"/>
          <w:b/>
        </w:rPr>
        <w:t xml:space="preserve"> cubanos</w:t>
      </w:r>
      <w:r w:rsidR="007D3599" w:rsidRPr="007F6AD7">
        <w:rPr>
          <w:rFonts w:ascii="Arial" w:hAnsi="Arial" w:cs="Arial"/>
          <w:b/>
        </w:rPr>
        <w:t>.</w:t>
      </w:r>
    </w:p>
    <w:p w14:paraId="54CA7832" w14:textId="77777777" w:rsidR="0027404B" w:rsidRPr="007F6AD7" w:rsidRDefault="0027404B" w:rsidP="00A7397D">
      <w:pPr>
        <w:pStyle w:val="Ttulo3"/>
      </w:pPr>
      <w:bookmarkStart w:id="133" w:name="_Toc515359821"/>
      <w:r w:rsidRPr="007F6AD7">
        <w:t>Afrodescendientes  y sus hijos paralizados dentro del  sistema penal</w:t>
      </w:r>
      <w:bookmarkEnd w:id="133"/>
      <w:r w:rsidRPr="007F6AD7">
        <w:t xml:space="preserve">  </w:t>
      </w:r>
    </w:p>
    <w:p w14:paraId="3400B964" w14:textId="71D747D8" w:rsidR="003D2CAC" w:rsidRPr="009C02EF" w:rsidRDefault="006F6F99" w:rsidP="006F6F99">
      <w:pPr>
        <w:tabs>
          <w:tab w:val="left" w:pos="567"/>
        </w:tabs>
        <w:spacing w:after="0" w:line="360" w:lineRule="auto"/>
        <w:jc w:val="both"/>
        <w:rPr>
          <w:rFonts w:ascii="Times New Roman" w:eastAsia="STKaiti" w:hAnsi="Times New Roman"/>
          <w:sz w:val="24"/>
          <w:szCs w:val="24"/>
          <w:lang w:eastAsia="es-ES"/>
        </w:rPr>
      </w:pPr>
      <w:r>
        <w:rPr>
          <w:rFonts w:ascii="Arial" w:hAnsi="Arial" w:cs="Arial"/>
        </w:rPr>
        <w:t xml:space="preserve">92.   </w:t>
      </w:r>
      <w:r w:rsidR="00DF674C" w:rsidRPr="007F6AD7">
        <w:rPr>
          <w:rFonts w:ascii="Arial" w:hAnsi="Arial" w:cs="Arial"/>
        </w:rPr>
        <w:t>Según</w:t>
      </w:r>
      <w:r w:rsidR="0019680A" w:rsidRPr="007F6AD7">
        <w:rPr>
          <w:rFonts w:ascii="Arial" w:hAnsi="Arial" w:cs="Arial"/>
        </w:rPr>
        <w:t xml:space="preserve"> </w:t>
      </w:r>
      <w:r w:rsidR="00181804" w:rsidRPr="007F6AD7">
        <w:rPr>
          <w:rFonts w:ascii="Arial" w:hAnsi="Arial" w:cs="Arial"/>
        </w:rPr>
        <w:t>criterios</w:t>
      </w:r>
      <w:r w:rsidR="0019680A" w:rsidRPr="007F6AD7">
        <w:rPr>
          <w:rFonts w:ascii="Arial" w:hAnsi="Arial" w:cs="Arial"/>
        </w:rPr>
        <w:t xml:space="preserve"> </w:t>
      </w:r>
      <w:r w:rsidR="00D42DBE" w:rsidRPr="007F6AD7">
        <w:rPr>
          <w:rFonts w:ascii="Arial" w:hAnsi="Arial" w:cs="Arial"/>
        </w:rPr>
        <w:t>extendidos</w:t>
      </w:r>
      <w:r w:rsidR="0019680A" w:rsidRPr="007F6AD7">
        <w:rPr>
          <w:rFonts w:ascii="Arial" w:hAnsi="Arial" w:cs="Arial"/>
        </w:rPr>
        <w:t xml:space="preserve"> </w:t>
      </w:r>
      <w:r w:rsidR="004040DD" w:rsidRPr="007F6AD7">
        <w:rPr>
          <w:rFonts w:ascii="Arial" w:hAnsi="Arial" w:cs="Arial"/>
        </w:rPr>
        <w:t>por</w:t>
      </w:r>
      <w:r w:rsidR="0019680A" w:rsidRPr="007F6AD7">
        <w:rPr>
          <w:rFonts w:ascii="Arial" w:hAnsi="Arial" w:cs="Arial"/>
        </w:rPr>
        <w:t xml:space="preserve"> </w:t>
      </w:r>
      <w:r w:rsidR="001B65D1" w:rsidRPr="007F6AD7">
        <w:rPr>
          <w:rFonts w:ascii="Arial" w:hAnsi="Arial" w:cs="Arial"/>
        </w:rPr>
        <w:t>la isla</w:t>
      </w:r>
      <w:r w:rsidR="00181804" w:rsidRPr="007F6AD7">
        <w:rPr>
          <w:rFonts w:ascii="Arial" w:hAnsi="Arial" w:cs="Arial"/>
        </w:rPr>
        <w:t>,</w:t>
      </w:r>
      <w:r w:rsidR="005D0095" w:rsidRPr="007F6AD7">
        <w:rPr>
          <w:rFonts w:ascii="Arial" w:hAnsi="Arial" w:cs="Arial"/>
        </w:rPr>
        <w:t xml:space="preserve"> negros</w:t>
      </w:r>
      <w:r w:rsidR="0027404B" w:rsidRPr="007F6AD7">
        <w:rPr>
          <w:rFonts w:ascii="Arial" w:hAnsi="Arial" w:cs="Arial"/>
        </w:rPr>
        <w:t xml:space="preserve"> y mestizos</w:t>
      </w:r>
      <w:r w:rsidR="0098372B" w:rsidRPr="007F6AD7">
        <w:rPr>
          <w:rFonts w:ascii="Arial" w:hAnsi="Arial" w:cs="Arial"/>
        </w:rPr>
        <w:t>, sean hombres o mujeres,</w:t>
      </w:r>
      <w:r w:rsidR="0098372B" w:rsidRPr="007F6AD7">
        <w:rPr>
          <w:rStyle w:val="Refdenotaalpie"/>
          <w:rFonts w:ascii="Arial" w:hAnsi="Arial" w:cs="Arial"/>
        </w:rPr>
        <w:footnoteReference w:id="428"/>
      </w:r>
      <w:r w:rsidR="0027404B" w:rsidRPr="007F6AD7">
        <w:rPr>
          <w:rFonts w:ascii="Arial" w:hAnsi="Arial" w:cs="Arial"/>
        </w:rPr>
        <w:t xml:space="preserve"> </w:t>
      </w:r>
      <w:r w:rsidR="00296536" w:rsidRPr="007F6AD7">
        <w:rPr>
          <w:rFonts w:ascii="Arial" w:hAnsi="Arial" w:cs="Arial"/>
        </w:rPr>
        <w:t>pertenecen</w:t>
      </w:r>
      <w:r w:rsidR="0027404B" w:rsidRPr="007F6AD7">
        <w:rPr>
          <w:rFonts w:ascii="Arial" w:hAnsi="Arial" w:cs="Arial"/>
        </w:rPr>
        <w:t xml:space="preserve"> </w:t>
      </w:r>
      <w:r w:rsidR="00296536" w:rsidRPr="007F6AD7">
        <w:rPr>
          <w:rFonts w:ascii="Arial" w:hAnsi="Arial" w:cs="Arial"/>
        </w:rPr>
        <w:t>a</w:t>
      </w:r>
      <w:r w:rsidR="0027404B" w:rsidRPr="007F6AD7">
        <w:rPr>
          <w:rFonts w:ascii="Arial" w:hAnsi="Arial" w:cs="Arial"/>
        </w:rPr>
        <w:t xml:space="preserve">l sector racial de mayor peligrosidad y el proveedor </w:t>
      </w:r>
      <w:r w:rsidR="00DF674C" w:rsidRPr="007F6AD7">
        <w:rPr>
          <w:rFonts w:ascii="Arial" w:hAnsi="Arial" w:cs="Arial"/>
        </w:rPr>
        <w:t xml:space="preserve">natural </w:t>
      </w:r>
      <w:r w:rsidR="0027404B" w:rsidRPr="007F6AD7">
        <w:rPr>
          <w:rFonts w:ascii="Arial" w:hAnsi="Arial" w:cs="Arial"/>
        </w:rPr>
        <w:t xml:space="preserve">y </w:t>
      </w:r>
      <w:r w:rsidR="00DF674C" w:rsidRPr="007F6AD7">
        <w:rPr>
          <w:rFonts w:ascii="Arial" w:hAnsi="Arial" w:cs="Arial"/>
        </w:rPr>
        <w:t>mayoritario a</w:t>
      </w:r>
      <w:r w:rsidR="0027404B" w:rsidRPr="007F6AD7">
        <w:rPr>
          <w:rFonts w:ascii="Arial" w:hAnsi="Arial" w:cs="Arial"/>
        </w:rPr>
        <w:t>l sistema penitenciario del país; los afrodescendientes son clasificados como sujetos tendientes al delito de desacato. Aunque por sus métodos, los miembros del cuerpo de la policía contribuyen también al propio delito.</w:t>
      </w:r>
      <w:r w:rsidR="0027404B" w:rsidRPr="007F6AD7">
        <w:rPr>
          <w:rFonts w:ascii="Arial" w:hAnsi="Arial" w:cs="Arial"/>
          <w:vertAlign w:val="superscript"/>
        </w:rPr>
        <w:footnoteReference w:id="429"/>
      </w:r>
      <w:r w:rsidR="0027404B" w:rsidRPr="007F6AD7">
        <w:rPr>
          <w:rFonts w:ascii="Arial" w:hAnsi="Arial" w:cs="Arial"/>
        </w:rPr>
        <w:t xml:space="preserve"> </w:t>
      </w:r>
      <w:r w:rsidR="00012A38" w:rsidRPr="007F6AD7">
        <w:rPr>
          <w:rFonts w:ascii="Arial" w:hAnsi="Arial" w:cs="Arial"/>
        </w:rPr>
        <w:t xml:space="preserve">La principal limitación de las estadísticas oficiales de crimen y delincuencia sobre cuestiones sociales radica </w:t>
      </w:r>
      <w:r w:rsidR="00686BF2" w:rsidRPr="007F6AD7">
        <w:rPr>
          <w:rFonts w:ascii="Arial" w:hAnsi="Arial" w:cs="Arial"/>
        </w:rPr>
        <w:t>en incluir</w:t>
      </w:r>
      <w:r w:rsidR="00012A38" w:rsidRPr="007F6AD7">
        <w:rPr>
          <w:rFonts w:ascii="Arial" w:hAnsi="Arial" w:cs="Arial"/>
        </w:rPr>
        <w:t xml:space="preserve"> solamente delitos registrados por la policía. Las </w:t>
      </w:r>
      <w:r w:rsidR="003D2CAC" w:rsidRPr="007F6AD7">
        <w:rPr>
          <w:rFonts w:ascii="Arial" w:hAnsi="Arial" w:cs="Arial"/>
        </w:rPr>
        <w:t xml:space="preserve">subculturas criminales, no </w:t>
      </w:r>
      <w:r w:rsidR="00686BF2" w:rsidRPr="007F6AD7">
        <w:rPr>
          <w:rFonts w:ascii="Arial" w:hAnsi="Arial" w:cs="Arial"/>
        </w:rPr>
        <w:t>necesariamente proceden</w:t>
      </w:r>
      <w:r w:rsidR="003D2CAC" w:rsidRPr="007F6AD7">
        <w:rPr>
          <w:rFonts w:ascii="Arial" w:hAnsi="Arial" w:cs="Arial"/>
        </w:rPr>
        <w:t xml:space="preserve"> de la pobreza</w:t>
      </w:r>
      <w:r w:rsidR="00012A38" w:rsidRPr="007F6AD7">
        <w:rPr>
          <w:rFonts w:ascii="Arial" w:hAnsi="Arial" w:cs="Arial"/>
        </w:rPr>
        <w:t xml:space="preserve">. </w:t>
      </w:r>
      <w:r w:rsidR="00E43A6B" w:rsidRPr="007F6AD7">
        <w:rPr>
          <w:rFonts w:ascii="Arial" w:hAnsi="Arial" w:cs="Arial"/>
        </w:rPr>
        <w:t>Los delitos de cuello blanco y los de los poderosos son los que cometen los que pertenecen a los sectores más acomodados de la sociedad.</w:t>
      </w:r>
      <w:r w:rsidR="00BC42B3" w:rsidRPr="007F6AD7">
        <w:rPr>
          <w:rStyle w:val="Ttulo4Car"/>
          <w:rFonts w:ascii="Arial" w:hAnsi="Arial"/>
        </w:rPr>
        <w:t xml:space="preserve"> </w:t>
      </w:r>
      <w:r w:rsidR="00BC42B3" w:rsidRPr="007F6AD7">
        <w:rPr>
          <w:rStyle w:val="Refdenotaalpie"/>
          <w:rFonts w:ascii="Arial" w:hAnsi="Arial" w:cs="Arial"/>
        </w:rPr>
        <w:footnoteReference w:id="430"/>
      </w:r>
      <w:r w:rsidR="00BC42B3" w:rsidRPr="007F6AD7">
        <w:rPr>
          <w:rFonts w:ascii="Arial" w:hAnsi="Arial" w:cs="Arial"/>
          <w:lang w:eastAsia="es-ES"/>
        </w:rPr>
        <w:t xml:space="preserve"> </w:t>
      </w:r>
      <w:r w:rsidR="00686BF2" w:rsidRPr="007F6AD7">
        <w:rPr>
          <w:rFonts w:ascii="Arial" w:hAnsi="Arial" w:cs="Arial"/>
        </w:rPr>
        <w:t>Muchos niños entran a jardines ajenos, rompen ventanas o roban frutas. En los barrios acomodados los padres, los profesores y la policía pueden considerar estas actividades como pasatiempos inocentes de la infancia, mientras que en las áreas pobres se pueden ver como síntomas de la propensión a la delincuencia juvenil.</w:t>
      </w:r>
      <w:r w:rsidR="00901531">
        <w:rPr>
          <w:rFonts w:ascii="Arial" w:hAnsi="Arial" w:cs="Arial"/>
          <w:vertAlign w:val="superscript"/>
        </w:rPr>
        <w:t xml:space="preserve"> </w:t>
      </w:r>
      <w:r w:rsidR="00901531">
        <w:rPr>
          <w:rFonts w:ascii="Arial" w:hAnsi="Arial" w:cs="Arial"/>
          <w:vertAlign w:val="superscript"/>
        </w:rPr>
        <w:footnoteReference w:id="431"/>
      </w:r>
    </w:p>
    <w:p w14:paraId="361FA946" w14:textId="44AB3A06" w:rsidR="004F1C6C" w:rsidRPr="001A5D02" w:rsidRDefault="006F6F99" w:rsidP="006F6F99">
      <w:pPr>
        <w:pStyle w:val="TextBody"/>
        <w:spacing w:after="0" w:line="360" w:lineRule="auto"/>
        <w:jc w:val="both"/>
        <w:rPr>
          <w:rFonts w:ascii="Arial" w:hAnsi="Arial" w:cs="Arial"/>
          <w:sz w:val="22"/>
          <w:szCs w:val="22"/>
          <w:lang w:val="es-ES"/>
        </w:rPr>
      </w:pPr>
      <w:r>
        <w:rPr>
          <w:rFonts w:ascii="Arial" w:hAnsi="Arial" w:cs="Arial"/>
          <w:sz w:val="22"/>
          <w:szCs w:val="22"/>
          <w:lang w:val="es-ES"/>
        </w:rPr>
        <w:t>93.   A</w:t>
      </w:r>
      <w:r w:rsidRPr="007F6AD7">
        <w:rPr>
          <w:rFonts w:ascii="Arial" w:hAnsi="Arial" w:cs="Arial"/>
          <w:sz w:val="22"/>
          <w:szCs w:val="22"/>
          <w:lang w:val="es-ES"/>
        </w:rPr>
        <w:t>utoridades cubana</w:t>
      </w:r>
      <w:r>
        <w:rPr>
          <w:rFonts w:ascii="Arial" w:hAnsi="Arial" w:cs="Arial"/>
          <w:sz w:val="22"/>
          <w:szCs w:val="22"/>
          <w:lang w:val="es-ES"/>
        </w:rPr>
        <w:t>s</w:t>
      </w:r>
      <w:r w:rsidRPr="007F6AD7">
        <w:rPr>
          <w:rFonts w:ascii="Arial" w:hAnsi="Arial" w:cs="Arial"/>
          <w:sz w:val="22"/>
          <w:szCs w:val="22"/>
          <w:lang w:val="es-ES"/>
        </w:rPr>
        <w:t xml:space="preserve"> </w:t>
      </w:r>
      <w:r>
        <w:rPr>
          <w:rFonts w:ascii="Arial" w:hAnsi="Arial" w:cs="Arial"/>
          <w:sz w:val="22"/>
          <w:szCs w:val="22"/>
          <w:lang w:val="es-ES"/>
        </w:rPr>
        <w:t>informaron e</w:t>
      </w:r>
      <w:r w:rsidRPr="007F6AD7">
        <w:rPr>
          <w:rFonts w:ascii="Arial" w:hAnsi="Arial" w:cs="Arial"/>
          <w:sz w:val="22"/>
          <w:szCs w:val="22"/>
          <w:lang w:val="es-ES"/>
        </w:rPr>
        <w:t>n el 2013</w:t>
      </w:r>
      <w:r>
        <w:rPr>
          <w:rFonts w:ascii="Arial" w:hAnsi="Arial" w:cs="Arial"/>
          <w:sz w:val="22"/>
          <w:szCs w:val="22"/>
          <w:lang w:val="es-ES"/>
        </w:rPr>
        <w:t xml:space="preserve"> que</w:t>
      </w:r>
      <w:r w:rsidR="0027404B" w:rsidRPr="007F6AD7">
        <w:rPr>
          <w:rFonts w:ascii="Arial" w:hAnsi="Arial" w:cs="Arial"/>
          <w:sz w:val="22"/>
          <w:szCs w:val="22"/>
          <w:lang w:val="es-ES"/>
        </w:rPr>
        <w:t xml:space="preserve"> 200 centros penitenciarios en la isla albergaban a 57.000 reclusos</w:t>
      </w:r>
      <w:r w:rsidR="00AD7D7E" w:rsidRPr="007F6AD7">
        <w:rPr>
          <w:rFonts w:ascii="Arial" w:hAnsi="Arial" w:cs="Arial"/>
          <w:sz w:val="22"/>
          <w:szCs w:val="22"/>
          <w:lang w:val="es-ES"/>
        </w:rPr>
        <w:t xml:space="preserve">, 510 reclusos por cada 100,000 habitantes, el sexto mayor índice de población penal a nivel mundial. </w:t>
      </w:r>
      <w:r w:rsidR="005D0095" w:rsidRPr="007F6AD7">
        <w:rPr>
          <w:rStyle w:val="Refdenotaalpie"/>
          <w:rFonts w:ascii="Arial" w:hAnsi="Arial" w:cs="Arial"/>
          <w:sz w:val="22"/>
          <w:szCs w:val="22"/>
          <w:lang w:val="es-ES"/>
        </w:rPr>
        <w:footnoteReference w:id="432"/>
      </w:r>
      <w:r w:rsidR="0027404B" w:rsidRPr="007F6AD7">
        <w:rPr>
          <w:rFonts w:ascii="Arial" w:hAnsi="Arial" w:cs="Arial"/>
          <w:sz w:val="22"/>
          <w:szCs w:val="22"/>
          <w:lang w:val="es-ES"/>
        </w:rPr>
        <w:t xml:space="preserve"> En ese año había en Cuba cinco prisiones de máxima seguridad, 40 normales y </w:t>
      </w:r>
      <w:r w:rsidR="0027404B" w:rsidRPr="007F6AD7">
        <w:rPr>
          <w:rFonts w:ascii="Arial" w:hAnsi="Arial" w:cs="Arial"/>
          <w:sz w:val="22"/>
          <w:szCs w:val="22"/>
          <w:lang w:val="es-ES"/>
        </w:rPr>
        <w:lastRenderedPageBreak/>
        <w:t>155 centros abiertos. Uno de estos es La Lima, cuyo director, el mayor Jorge Fonseca, le dijo a BBC Mundo que a nivel nacional aspiran a tener "al 70% de los internos en régimen abierto".</w:t>
      </w:r>
      <w:r w:rsidR="0027404B" w:rsidRPr="007F6AD7">
        <w:rPr>
          <w:rFonts w:ascii="Arial" w:hAnsi="Arial" w:cs="Arial"/>
          <w:sz w:val="22"/>
          <w:szCs w:val="22"/>
          <w:vertAlign w:val="superscript"/>
        </w:rPr>
        <w:footnoteReference w:id="433"/>
      </w:r>
      <w:r w:rsidR="001A5D02">
        <w:rPr>
          <w:rFonts w:ascii="Arial" w:hAnsi="Arial" w:cs="Arial"/>
          <w:sz w:val="22"/>
          <w:szCs w:val="22"/>
          <w:lang w:val="es-ES"/>
        </w:rPr>
        <w:t xml:space="preserve"> </w:t>
      </w:r>
      <w:r w:rsidR="0027404B" w:rsidRPr="007F6AD7">
        <w:rPr>
          <w:rFonts w:ascii="Arial" w:hAnsi="Arial" w:cs="Arial"/>
          <w:sz w:val="22"/>
          <w:szCs w:val="22"/>
          <w:lang w:val="es-ES"/>
        </w:rPr>
        <w:t xml:space="preserve">La Constitución cubana no tiene prevista ninguna decisión fundamental en materia de edad penal mínima. Al ser omisa la Constitución, nada se dice al respecto.  En general, las estadísticas sobre delincuencia y las prisiones de muchos países acusan un notable predominio de minorías étnicas, raciales e indígenas, así como de extranjeros. </w:t>
      </w:r>
      <w:r w:rsidR="0027404B" w:rsidRPr="007F6AD7">
        <w:rPr>
          <w:rFonts w:ascii="Arial" w:hAnsi="Arial" w:cs="Arial"/>
          <w:sz w:val="22"/>
          <w:szCs w:val="22"/>
          <w:vertAlign w:val="superscript"/>
          <w:lang w:val="es-ES"/>
        </w:rPr>
        <w:footnoteReference w:id="434"/>
      </w:r>
      <w:r w:rsidR="0027404B" w:rsidRPr="007F6AD7">
        <w:rPr>
          <w:rFonts w:ascii="Arial" w:hAnsi="Arial" w:cs="Arial"/>
          <w:sz w:val="22"/>
          <w:szCs w:val="22"/>
          <w:vertAlign w:val="superscript"/>
          <w:lang w:val="es-ES"/>
        </w:rPr>
        <w:t xml:space="preserve"> </w:t>
      </w:r>
      <w:r w:rsidR="0027404B" w:rsidRPr="007F6AD7">
        <w:rPr>
          <w:rFonts w:ascii="Arial" w:hAnsi="Arial" w:cs="Arial"/>
          <w:sz w:val="22"/>
          <w:szCs w:val="22"/>
          <w:lang w:val="es-ES"/>
        </w:rPr>
        <w:t>La organización independiente Cubalex en su trabajo sobre la situación de los reclusos,</w:t>
      </w:r>
      <w:r w:rsidR="0027404B" w:rsidRPr="007F6AD7">
        <w:rPr>
          <w:rFonts w:ascii="Arial" w:hAnsi="Arial" w:cs="Arial"/>
          <w:sz w:val="22"/>
          <w:szCs w:val="22"/>
          <w:vertAlign w:val="superscript"/>
          <w:lang w:val="es-ES"/>
        </w:rPr>
        <w:footnoteReference w:id="435"/>
      </w:r>
      <w:r w:rsidR="0027404B" w:rsidRPr="007F6AD7">
        <w:rPr>
          <w:rFonts w:ascii="Arial" w:hAnsi="Arial" w:cs="Arial"/>
          <w:sz w:val="22"/>
          <w:szCs w:val="22"/>
          <w:lang w:val="es-ES"/>
        </w:rPr>
        <w:t xml:space="preserve"> detectó que algunos de ellos ingresaron en la adolescencia en prisiones de adultos y hasta la fecha de emitido su informe aún permanecían recluidos. La lista de 3.522 reclusos indultados en el 2015 por el Gobierno de Cuba con motivo de la visita del papa Francisco no incluía a reclusos que activistas cubanos y Amnistía Internacional consideran presos de conciencia. </w:t>
      </w:r>
      <w:r w:rsidR="0027404B" w:rsidRPr="007F6AD7">
        <w:rPr>
          <w:rFonts w:ascii="Arial" w:hAnsi="Arial" w:cs="Arial"/>
          <w:sz w:val="22"/>
          <w:szCs w:val="22"/>
          <w:vertAlign w:val="superscript"/>
          <w:lang w:val="es-ES"/>
        </w:rPr>
        <w:footnoteReference w:id="436"/>
      </w:r>
      <w:r w:rsidR="0027404B" w:rsidRPr="007F6AD7">
        <w:rPr>
          <w:rFonts w:ascii="Arial" w:hAnsi="Arial" w:cs="Arial"/>
          <w:vertAlign w:val="superscript"/>
        </w:rPr>
        <w:t xml:space="preserve"> </w:t>
      </w:r>
      <w:r w:rsidR="0027404B" w:rsidRPr="007F6AD7">
        <w:rPr>
          <w:rFonts w:ascii="Arial" w:hAnsi="Arial" w:cs="Arial"/>
        </w:rPr>
        <w:t xml:space="preserve"> </w:t>
      </w:r>
      <w:r w:rsidR="0027404B" w:rsidRPr="001A5D02">
        <w:rPr>
          <w:rFonts w:ascii="Arial" w:hAnsi="Arial" w:cs="Arial"/>
          <w:sz w:val="22"/>
          <w:szCs w:val="22"/>
          <w:lang w:val="es-ES"/>
        </w:rPr>
        <w:t>Las transformaciones</w:t>
      </w:r>
      <w:r w:rsidR="0010505D" w:rsidRPr="001A5D02">
        <w:rPr>
          <w:rFonts w:ascii="Arial" w:hAnsi="Arial" w:cs="Arial"/>
          <w:sz w:val="22"/>
          <w:szCs w:val="22"/>
          <w:vertAlign w:val="superscript"/>
          <w:lang w:val="es-ES"/>
        </w:rPr>
        <w:footnoteReference w:id="437"/>
      </w:r>
      <w:r w:rsidR="0010505D" w:rsidRPr="001A5D02">
        <w:rPr>
          <w:rFonts w:ascii="Arial" w:hAnsi="Arial" w:cs="Arial"/>
          <w:sz w:val="22"/>
          <w:szCs w:val="22"/>
          <w:vertAlign w:val="superscript"/>
          <w:lang w:val="es-ES"/>
        </w:rPr>
        <w:t xml:space="preserve"> </w:t>
      </w:r>
      <w:r w:rsidR="0027404B" w:rsidRPr="001A5D02">
        <w:rPr>
          <w:rFonts w:ascii="Arial" w:hAnsi="Arial" w:cs="Arial"/>
          <w:sz w:val="22"/>
          <w:szCs w:val="22"/>
          <w:vertAlign w:val="superscript"/>
          <w:lang w:val="es-ES"/>
        </w:rPr>
        <w:t xml:space="preserve"> </w:t>
      </w:r>
      <w:r w:rsidR="0027404B" w:rsidRPr="001A5D02">
        <w:rPr>
          <w:rFonts w:ascii="Arial" w:hAnsi="Arial" w:cs="Arial"/>
          <w:sz w:val="22"/>
          <w:szCs w:val="22"/>
          <w:lang w:val="es-ES"/>
        </w:rPr>
        <w:t xml:space="preserve">que, desde hace años, vienen operándose en el sistema </w:t>
      </w:r>
      <w:r w:rsidR="00181804" w:rsidRPr="001A5D02">
        <w:rPr>
          <w:rFonts w:ascii="Arial" w:hAnsi="Arial" w:cs="Arial"/>
          <w:sz w:val="22"/>
          <w:szCs w:val="22"/>
          <w:lang w:val="es-ES"/>
        </w:rPr>
        <w:t>penitenciario</w:t>
      </w:r>
      <w:r w:rsidR="00181804" w:rsidRPr="007F6AD7">
        <w:rPr>
          <w:rFonts w:ascii="Arial" w:hAnsi="Arial" w:cs="Arial"/>
        </w:rPr>
        <w:t xml:space="preserve"> </w:t>
      </w:r>
      <w:r w:rsidR="00181804" w:rsidRPr="001A5D02">
        <w:rPr>
          <w:rFonts w:ascii="Arial" w:hAnsi="Arial" w:cs="Arial"/>
          <w:sz w:val="22"/>
          <w:szCs w:val="22"/>
        </w:rPr>
        <w:t>cubano</w:t>
      </w:r>
      <w:r w:rsidR="0027404B" w:rsidRPr="001A5D02">
        <w:rPr>
          <w:rFonts w:ascii="Arial" w:hAnsi="Arial" w:cs="Arial"/>
          <w:sz w:val="22"/>
          <w:szCs w:val="22"/>
        </w:rPr>
        <w:t xml:space="preserve">, han demostrado ser insuficientes. </w:t>
      </w:r>
      <w:r w:rsidR="0027404B" w:rsidRPr="001A5D02">
        <w:rPr>
          <w:rFonts w:ascii="Arial" w:hAnsi="Arial" w:cs="Arial"/>
          <w:sz w:val="22"/>
          <w:szCs w:val="22"/>
          <w:vertAlign w:val="superscript"/>
        </w:rPr>
        <w:footnoteReference w:id="438"/>
      </w:r>
      <w:r w:rsidR="0027404B" w:rsidRPr="001A5D02">
        <w:rPr>
          <w:rFonts w:ascii="Arial" w:hAnsi="Arial" w:cs="Arial"/>
          <w:sz w:val="22"/>
          <w:szCs w:val="22"/>
          <w:vertAlign w:val="superscript"/>
        </w:rPr>
        <w:t xml:space="preserve"> ,  </w:t>
      </w:r>
      <w:r w:rsidR="0027404B" w:rsidRPr="001A5D02">
        <w:rPr>
          <w:rFonts w:ascii="Arial" w:hAnsi="Arial" w:cs="Arial"/>
          <w:sz w:val="22"/>
          <w:szCs w:val="22"/>
          <w:vertAlign w:val="superscript"/>
        </w:rPr>
        <w:footnoteReference w:id="439"/>
      </w:r>
      <w:r w:rsidR="0027404B" w:rsidRPr="001A5D02">
        <w:rPr>
          <w:rFonts w:ascii="Arial" w:hAnsi="Arial" w:cs="Arial"/>
          <w:sz w:val="22"/>
          <w:szCs w:val="22"/>
        </w:rPr>
        <w:t xml:space="preserve">   Desde el siglo XIX, la reforma penal ha sido, una constante de </w:t>
      </w:r>
      <w:r w:rsidR="0027404B" w:rsidRPr="001A5D02">
        <w:rPr>
          <w:rFonts w:ascii="Arial" w:hAnsi="Arial" w:cs="Arial"/>
          <w:sz w:val="22"/>
          <w:szCs w:val="22"/>
        </w:rPr>
        <w:lastRenderedPageBreak/>
        <w:t>los reformistas sociales y filántropos. En la actualidad juristas y académicos cubanos</w:t>
      </w:r>
      <w:r w:rsidR="0010505D" w:rsidRPr="001A5D02">
        <w:rPr>
          <w:rFonts w:ascii="Arial" w:hAnsi="Arial" w:cs="Arial"/>
          <w:sz w:val="22"/>
          <w:szCs w:val="22"/>
        </w:rPr>
        <w:t xml:space="preserve"> </w:t>
      </w:r>
      <w:r w:rsidR="0027404B" w:rsidRPr="001A5D02">
        <w:rPr>
          <w:rFonts w:ascii="Arial" w:hAnsi="Arial" w:cs="Arial"/>
          <w:sz w:val="22"/>
          <w:szCs w:val="22"/>
          <w:vertAlign w:val="superscript"/>
        </w:rPr>
        <w:footnoteReference w:id="440"/>
      </w:r>
      <w:r w:rsidR="004F1C6C" w:rsidRPr="001A5D02">
        <w:rPr>
          <w:rFonts w:ascii="Arial" w:hAnsi="Arial" w:cs="Arial"/>
          <w:sz w:val="22"/>
          <w:szCs w:val="22"/>
        </w:rPr>
        <w:t xml:space="preserve"> </w:t>
      </w:r>
      <w:r w:rsidR="0027404B" w:rsidRPr="001A5D02">
        <w:rPr>
          <w:rFonts w:ascii="Arial" w:hAnsi="Arial" w:cs="Arial"/>
          <w:sz w:val="22"/>
          <w:szCs w:val="22"/>
        </w:rPr>
        <w:t>apuestan por la necesaria consagración de un sistema de derecho penal sustentado en los pilares de un debido proceso</w:t>
      </w:r>
      <w:r w:rsidR="006B57B1" w:rsidRPr="001A5D02">
        <w:rPr>
          <w:rFonts w:ascii="Arial" w:hAnsi="Arial" w:cs="Arial"/>
          <w:sz w:val="22"/>
          <w:szCs w:val="22"/>
        </w:rPr>
        <w:t xml:space="preserve"> y el enfoque de género en la legislación</w:t>
      </w:r>
      <w:r w:rsidR="0046339F" w:rsidRPr="001A5D02">
        <w:rPr>
          <w:rFonts w:ascii="Arial" w:hAnsi="Arial" w:cs="Arial"/>
          <w:sz w:val="22"/>
          <w:szCs w:val="22"/>
        </w:rPr>
        <w:t xml:space="preserve"> penal</w:t>
      </w:r>
      <w:r w:rsidR="006B57B1" w:rsidRPr="001A5D02">
        <w:rPr>
          <w:rFonts w:ascii="Arial" w:hAnsi="Arial" w:cs="Arial"/>
          <w:sz w:val="22"/>
          <w:szCs w:val="22"/>
        </w:rPr>
        <w:t>.</w:t>
      </w:r>
      <w:r w:rsidR="004F1C6C" w:rsidRPr="001A5D02">
        <w:rPr>
          <w:rStyle w:val="Ttulo5Car"/>
          <w:rFonts w:ascii="Arial" w:hAnsi="Arial" w:cs="Arial"/>
          <w:sz w:val="22"/>
          <w:szCs w:val="22"/>
        </w:rPr>
        <w:t xml:space="preserve"> </w:t>
      </w:r>
      <w:r w:rsidR="004F1C6C" w:rsidRPr="001A5D02">
        <w:rPr>
          <w:rStyle w:val="Refdenotaalpie"/>
          <w:rFonts w:ascii="Arial" w:hAnsi="Arial" w:cs="Arial"/>
          <w:sz w:val="22"/>
          <w:szCs w:val="22"/>
        </w:rPr>
        <w:footnoteReference w:id="441"/>
      </w:r>
      <w:r w:rsidR="004F1C6C" w:rsidRPr="001A5D02">
        <w:rPr>
          <w:rFonts w:ascii="Arial" w:hAnsi="Arial" w:cs="Arial"/>
          <w:sz w:val="22"/>
          <w:szCs w:val="22"/>
          <w:vertAlign w:val="superscript"/>
        </w:rPr>
        <w:t>,</w:t>
      </w:r>
      <w:r w:rsidR="004F1C6C" w:rsidRPr="001A5D02">
        <w:rPr>
          <w:rFonts w:ascii="Arial" w:hAnsi="Arial" w:cs="Arial"/>
          <w:sz w:val="22"/>
          <w:szCs w:val="22"/>
        </w:rPr>
        <w:t xml:space="preserve">  </w:t>
      </w:r>
      <w:r w:rsidR="004F1C6C" w:rsidRPr="001A5D02">
        <w:rPr>
          <w:rFonts w:ascii="Arial" w:hAnsi="Arial" w:cs="Arial"/>
          <w:sz w:val="22"/>
          <w:szCs w:val="22"/>
          <w:vertAlign w:val="superscript"/>
        </w:rPr>
        <w:footnoteReference w:id="442"/>
      </w:r>
      <w:r w:rsidR="004F1C6C" w:rsidRPr="001A5D02">
        <w:rPr>
          <w:rFonts w:ascii="Arial" w:hAnsi="Arial" w:cs="Arial"/>
          <w:sz w:val="22"/>
          <w:szCs w:val="22"/>
          <w:vertAlign w:val="superscript"/>
        </w:rPr>
        <w:t xml:space="preserve">  </w:t>
      </w:r>
    </w:p>
    <w:p w14:paraId="4E6C9231" w14:textId="12508CB1" w:rsidR="001A5D02" w:rsidRPr="001A5D02" w:rsidRDefault="006F6F99" w:rsidP="006F6F99">
      <w:pPr>
        <w:tabs>
          <w:tab w:val="left" w:pos="567"/>
        </w:tabs>
        <w:spacing w:after="0" w:line="360" w:lineRule="auto"/>
        <w:jc w:val="both"/>
        <w:rPr>
          <w:rFonts w:ascii="Times New Roman" w:eastAsia="STKaiti" w:hAnsi="Times New Roman"/>
          <w:sz w:val="24"/>
          <w:szCs w:val="24"/>
          <w:lang w:eastAsia="es-ES"/>
        </w:rPr>
      </w:pPr>
      <w:r>
        <w:rPr>
          <w:rFonts w:ascii="Arial" w:hAnsi="Arial" w:cs="Arial"/>
        </w:rPr>
        <w:t>94.</w:t>
      </w:r>
      <w:r w:rsidR="0027404B" w:rsidRPr="001A5D02">
        <w:rPr>
          <w:rFonts w:ascii="Arial" w:hAnsi="Arial" w:cs="Arial"/>
        </w:rPr>
        <w:t xml:space="preserve"> </w:t>
      </w:r>
      <w:r>
        <w:rPr>
          <w:rFonts w:ascii="Arial" w:hAnsi="Arial" w:cs="Arial"/>
        </w:rPr>
        <w:t xml:space="preserve"> </w:t>
      </w:r>
      <w:r w:rsidR="004F1C6C" w:rsidRPr="001A5D02">
        <w:rPr>
          <w:rFonts w:ascii="Arial" w:hAnsi="Arial" w:cs="Arial"/>
        </w:rPr>
        <w:t>Junto a lo anterior</w:t>
      </w:r>
      <w:r w:rsidR="004F1C6C" w:rsidRPr="007F6AD7">
        <w:rPr>
          <w:rFonts w:ascii="Arial" w:hAnsi="Arial" w:cs="Arial"/>
        </w:rPr>
        <w:t xml:space="preserve"> se suman</w:t>
      </w:r>
      <w:r w:rsidR="0027404B" w:rsidRPr="007F6AD7">
        <w:rPr>
          <w:rFonts w:ascii="Arial" w:hAnsi="Arial" w:cs="Arial"/>
        </w:rPr>
        <w:t xml:space="preserve"> los </w:t>
      </w:r>
      <w:r w:rsidR="00DF674C" w:rsidRPr="007F6AD7">
        <w:rPr>
          <w:rFonts w:ascii="Arial" w:hAnsi="Arial" w:cs="Arial"/>
        </w:rPr>
        <w:t>NNA</w:t>
      </w:r>
      <w:r w:rsidR="001A5D02">
        <w:rPr>
          <w:rFonts w:ascii="Arial" w:hAnsi="Arial" w:cs="Arial"/>
        </w:rPr>
        <w:t xml:space="preserve"> </w:t>
      </w:r>
      <w:r w:rsidR="0027404B" w:rsidRPr="007F6AD7">
        <w:rPr>
          <w:rFonts w:ascii="Arial" w:hAnsi="Arial" w:cs="Arial"/>
        </w:rPr>
        <w:t>afectados porque su madre o padre o ambos tienen problemas con el sistema de justicia penal.</w:t>
      </w:r>
      <w:r w:rsidR="0046339F" w:rsidRPr="007F6AD7">
        <w:rPr>
          <w:rFonts w:ascii="Arial" w:hAnsi="Arial" w:cs="Arial"/>
        </w:rPr>
        <w:t xml:space="preserve"> Las gestantes presas en Cuba tienen derecho a la misma atención de salud que el resto de las mujeres y reciben una dieta especial. Pero pueden permanecer con sus hijos solo hasta que cumplen un año de edad.</w:t>
      </w:r>
      <w:r w:rsidR="001A5D02">
        <w:rPr>
          <w:rStyle w:val="Refdenotaalpie"/>
          <w:rFonts w:ascii="Arial" w:hAnsi="Arial"/>
        </w:rPr>
        <w:footnoteReference w:id="443"/>
      </w:r>
      <w:r w:rsidR="00BA7B18" w:rsidRPr="00BA7B18">
        <w:rPr>
          <w:rFonts w:ascii="Arial" w:hAnsi="Arial" w:cs="Arial"/>
          <w:vertAlign w:val="superscript"/>
        </w:rPr>
        <w:t xml:space="preserve">, </w:t>
      </w:r>
      <w:r w:rsidR="00BA7B18">
        <w:rPr>
          <w:rStyle w:val="Refdenotaalpie"/>
          <w:rFonts w:ascii="Arial" w:hAnsi="Arial" w:cs="Arial"/>
        </w:rPr>
        <w:footnoteReference w:id="444"/>
      </w:r>
      <w:r w:rsidR="001A5D02">
        <w:rPr>
          <w:rFonts w:ascii="Times New Roman" w:eastAsia="STKaiti" w:hAnsi="Times New Roman"/>
          <w:sz w:val="24"/>
          <w:szCs w:val="24"/>
          <w:lang w:eastAsia="es-ES"/>
        </w:rPr>
        <w:t xml:space="preserve"> </w:t>
      </w:r>
      <w:r w:rsidR="0027404B" w:rsidRPr="007F6AD7">
        <w:rPr>
          <w:rFonts w:ascii="Arial" w:hAnsi="Arial" w:cs="Arial"/>
        </w:rPr>
        <w:t xml:space="preserve">Los </w:t>
      </w:r>
      <w:r w:rsidR="00DF674C" w:rsidRPr="007F6AD7">
        <w:rPr>
          <w:rFonts w:ascii="Arial" w:hAnsi="Arial" w:cs="Arial"/>
        </w:rPr>
        <w:t>NNA</w:t>
      </w:r>
      <w:r w:rsidR="0027404B" w:rsidRPr="007F6AD7">
        <w:rPr>
          <w:rFonts w:ascii="Arial" w:hAnsi="Arial" w:cs="Arial"/>
        </w:rPr>
        <w:t xml:space="preserve"> de progenitores encarcelados son fácilmente ignorados dentro del sistema de justicia penal</w:t>
      </w:r>
      <w:r w:rsidR="00C14C20" w:rsidRPr="007F6AD7">
        <w:rPr>
          <w:rFonts w:ascii="Arial" w:hAnsi="Arial" w:cs="Arial"/>
        </w:rPr>
        <w:t>.</w:t>
      </w:r>
      <w:r w:rsidR="00F64EA9" w:rsidRPr="007F6AD7">
        <w:rPr>
          <w:rFonts w:ascii="Arial" w:hAnsi="Arial" w:cs="Arial"/>
        </w:rPr>
        <w:t xml:space="preserve"> </w:t>
      </w:r>
      <w:r w:rsidR="00C14C20" w:rsidRPr="007F6AD7">
        <w:rPr>
          <w:rFonts w:ascii="Arial" w:hAnsi="Arial" w:cs="Arial"/>
        </w:rPr>
        <w:t xml:space="preserve">La trascendencia de la sanción penal </w:t>
      </w:r>
      <w:r w:rsidR="00D42DBE" w:rsidRPr="007F6AD7">
        <w:rPr>
          <w:rFonts w:ascii="Arial" w:hAnsi="Arial" w:cs="Arial"/>
        </w:rPr>
        <w:t xml:space="preserve">ha desaparecido del derecho </w:t>
      </w:r>
      <w:r w:rsidR="00C14C20" w:rsidRPr="007F6AD7">
        <w:rPr>
          <w:rFonts w:ascii="Arial" w:hAnsi="Arial" w:cs="Arial"/>
        </w:rPr>
        <w:t xml:space="preserve">moderno, aunque </w:t>
      </w:r>
      <w:r w:rsidR="00D42DBE" w:rsidRPr="007F6AD7">
        <w:rPr>
          <w:rFonts w:ascii="Arial" w:hAnsi="Arial" w:cs="Arial"/>
        </w:rPr>
        <w:t>los hechos</w:t>
      </w:r>
      <w:r w:rsidR="00C14C20" w:rsidRPr="007F6AD7">
        <w:rPr>
          <w:rFonts w:ascii="Arial" w:hAnsi="Arial" w:cs="Arial"/>
        </w:rPr>
        <w:t xml:space="preserve"> delictivos desarrollan la</w:t>
      </w:r>
      <w:r w:rsidR="00D42DBE" w:rsidRPr="007F6AD7">
        <w:rPr>
          <w:rFonts w:ascii="Arial" w:hAnsi="Arial" w:cs="Arial"/>
        </w:rPr>
        <w:t xml:space="preserve"> "estigmatización". </w:t>
      </w:r>
    </w:p>
    <w:p w14:paraId="5B225986" w14:textId="73C34D97" w:rsidR="0027404B" w:rsidRPr="007F6AD7" w:rsidRDefault="006F6F99" w:rsidP="006F6F99">
      <w:pPr>
        <w:tabs>
          <w:tab w:val="left" w:pos="567"/>
        </w:tabs>
        <w:spacing w:after="0" w:line="360" w:lineRule="auto"/>
        <w:jc w:val="both"/>
        <w:rPr>
          <w:rFonts w:ascii="Arial" w:hAnsi="Arial" w:cs="Arial"/>
          <w:lang w:eastAsia="es-MX"/>
        </w:rPr>
      </w:pPr>
      <w:r>
        <w:rPr>
          <w:rFonts w:ascii="Arial" w:hAnsi="Arial" w:cs="Arial"/>
        </w:rPr>
        <w:t xml:space="preserve">95.    </w:t>
      </w:r>
      <w:r w:rsidR="0027404B" w:rsidRPr="007F6AD7">
        <w:rPr>
          <w:rFonts w:ascii="Arial" w:hAnsi="Arial" w:cs="Arial"/>
        </w:rPr>
        <w:t xml:space="preserve">El encarcelamiento parental puede afectar todas las áreas de la vida de un </w:t>
      </w:r>
      <w:r w:rsidR="0019680A" w:rsidRPr="007F6AD7">
        <w:rPr>
          <w:rFonts w:ascii="Arial" w:hAnsi="Arial" w:cs="Arial"/>
        </w:rPr>
        <w:t>NNA</w:t>
      </w:r>
      <w:r w:rsidR="0027404B" w:rsidRPr="007F6AD7">
        <w:rPr>
          <w:rFonts w:ascii="Arial" w:hAnsi="Arial" w:cs="Arial"/>
        </w:rPr>
        <w:t>; por ello, se debe identificar</w:t>
      </w:r>
      <w:r w:rsidR="0019680A" w:rsidRPr="007F6AD7">
        <w:rPr>
          <w:rFonts w:ascii="Arial" w:hAnsi="Arial" w:cs="Arial"/>
        </w:rPr>
        <w:t xml:space="preserve"> como prioridad</w:t>
      </w:r>
      <w:r w:rsidR="0027404B" w:rsidRPr="007F6AD7">
        <w:rPr>
          <w:rFonts w:ascii="Arial" w:hAnsi="Arial" w:cs="Arial"/>
        </w:rPr>
        <w:t xml:space="preserve"> la variedad de impactos</w:t>
      </w:r>
      <w:r w:rsidR="0019680A" w:rsidRPr="007F6AD7">
        <w:rPr>
          <w:rFonts w:ascii="Arial" w:hAnsi="Arial" w:cs="Arial"/>
        </w:rPr>
        <w:t xml:space="preserve"> que le afectan</w:t>
      </w:r>
      <w:r w:rsidR="0027404B" w:rsidRPr="007F6AD7">
        <w:rPr>
          <w:rFonts w:ascii="Arial" w:hAnsi="Arial" w:cs="Arial"/>
        </w:rPr>
        <w:t>. Se requieren esfuerzos para reducir el estigma vinculado con el hecho de tener a un progenitor en la cárcel, qu</w:t>
      </w:r>
      <w:r w:rsidR="00056797" w:rsidRPr="007F6AD7">
        <w:rPr>
          <w:rFonts w:ascii="Arial" w:hAnsi="Arial" w:cs="Arial"/>
        </w:rPr>
        <w:t>ien</w:t>
      </w:r>
      <w:r w:rsidR="00D42DBE" w:rsidRPr="007F6AD7">
        <w:rPr>
          <w:rFonts w:ascii="Arial" w:hAnsi="Arial" w:cs="Arial"/>
        </w:rPr>
        <w:t xml:space="preserve"> en Cuba,</w:t>
      </w:r>
      <w:r w:rsidR="00056797" w:rsidRPr="007F6AD7">
        <w:rPr>
          <w:rFonts w:ascii="Arial" w:hAnsi="Arial" w:cs="Arial"/>
        </w:rPr>
        <w:t xml:space="preserve"> </w:t>
      </w:r>
      <w:r w:rsidR="0027404B" w:rsidRPr="007F6AD7">
        <w:rPr>
          <w:rFonts w:ascii="Arial" w:hAnsi="Arial" w:cs="Arial"/>
        </w:rPr>
        <w:t xml:space="preserve">por </w:t>
      </w:r>
      <w:r w:rsidR="00056797" w:rsidRPr="007F6AD7">
        <w:rPr>
          <w:rFonts w:ascii="Arial" w:hAnsi="Arial" w:cs="Arial"/>
        </w:rPr>
        <w:t>lo general</w:t>
      </w:r>
      <w:r w:rsidR="00D42DBE" w:rsidRPr="007F6AD7">
        <w:rPr>
          <w:rFonts w:ascii="Arial" w:hAnsi="Arial" w:cs="Arial"/>
        </w:rPr>
        <w:t xml:space="preserve">, </w:t>
      </w:r>
      <w:r w:rsidR="00056797" w:rsidRPr="007F6AD7">
        <w:rPr>
          <w:rFonts w:ascii="Arial" w:hAnsi="Arial" w:cs="Arial"/>
        </w:rPr>
        <w:t>es</w:t>
      </w:r>
      <w:r w:rsidR="0027404B" w:rsidRPr="007F6AD7">
        <w:rPr>
          <w:rFonts w:ascii="Arial" w:hAnsi="Arial" w:cs="Arial"/>
        </w:rPr>
        <w:t xml:space="preserve"> afrodescendiente.</w:t>
      </w:r>
      <w:r w:rsidR="0019680A" w:rsidRPr="007F6AD7">
        <w:rPr>
          <w:rFonts w:ascii="Arial" w:hAnsi="Arial" w:cs="Arial"/>
        </w:rPr>
        <w:t xml:space="preserve"> </w:t>
      </w:r>
      <w:r w:rsidR="0027404B" w:rsidRPr="007F6AD7">
        <w:rPr>
          <w:rFonts w:ascii="Arial" w:hAnsi="Arial" w:cs="Arial"/>
        </w:rPr>
        <w:t xml:space="preserve">Los riesgos asociados con el encarcelamiento parental </w:t>
      </w:r>
      <w:r w:rsidR="001A5D02" w:rsidRPr="007F6AD7">
        <w:rPr>
          <w:rStyle w:val="Refdenotaalpie"/>
          <w:rFonts w:ascii="Arial" w:hAnsi="Arial" w:cs="Arial"/>
        </w:rPr>
        <w:footnoteReference w:id="445"/>
      </w:r>
      <w:r w:rsidR="0027404B" w:rsidRPr="007F6AD7">
        <w:rPr>
          <w:rFonts w:ascii="Arial" w:hAnsi="Arial" w:cs="Arial"/>
        </w:rPr>
        <w:t xml:space="preserve">se han clasificado </w:t>
      </w:r>
      <w:r w:rsidR="00EA24AA">
        <w:rPr>
          <w:rFonts w:ascii="Arial" w:hAnsi="Arial" w:cs="Arial"/>
        </w:rPr>
        <w:t>en</w:t>
      </w:r>
      <w:r w:rsidR="001A5D02">
        <w:rPr>
          <w:rFonts w:ascii="Arial" w:hAnsi="Arial" w:cs="Arial"/>
        </w:rPr>
        <w:t xml:space="preserve"> cinco categorías principales:</w:t>
      </w:r>
      <w:r w:rsidR="00B44366" w:rsidRPr="00EA24AA">
        <w:rPr>
          <w:rFonts w:ascii="Arial" w:hAnsi="Arial" w:cs="Arial"/>
          <w:vertAlign w:val="superscript"/>
        </w:rPr>
        <w:t xml:space="preserve"> </w:t>
      </w:r>
    </w:p>
    <w:p w14:paraId="4FD1585A" w14:textId="77777777" w:rsidR="0027404B" w:rsidRPr="007F6AD7" w:rsidRDefault="0027404B" w:rsidP="0027404B">
      <w:pPr>
        <w:pStyle w:val="Prrafodelista"/>
        <w:numPr>
          <w:ilvl w:val="0"/>
          <w:numId w:val="27"/>
        </w:numPr>
        <w:tabs>
          <w:tab w:val="left" w:pos="720"/>
        </w:tabs>
        <w:jc w:val="both"/>
        <w:rPr>
          <w:rFonts w:cs="Arial"/>
          <w:lang w:val="es-ES"/>
        </w:rPr>
      </w:pPr>
      <w:r w:rsidRPr="007F6AD7">
        <w:rPr>
          <w:rFonts w:cs="Arial"/>
          <w:lang w:val="es-ES"/>
        </w:rPr>
        <w:t>Riesgo de ser privado de las necesidades y oportunidades básicas.</w:t>
      </w:r>
    </w:p>
    <w:p w14:paraId="2D374A0A" w14:textId="77777777" w:rsidR="0027404B" w:rsidRPr="007F6AD7" w:rsidRDefault="0027404B" w:rsidP="0027404B">
      <w:pPr>
        <w:pStyle w:val="Prrafodelista"/>
        <w:numPr>
          <w:ilvl w:val="0"/>
          <w:numId w:val="27"/>
        </w:numPr>
        <w:tabs>
          <w:tab w:val="left" w:pos="720"/>
        </w:tabs>
        <w:jc w:val="both"/>
        <w:rPr>
          <w:rFonts w:cs="Arial"/>
          <w:lang w:val="es-ES"/>
        </w:rPr>
      </w:pPr>
      <w:r w:rsidRPr="007F6AD7">
        <w:rPr>
          <w:rFonts w:cs="Arial"/>
          <w:lang w:val="es-ES"/>
        </w:rPr>
        <w:t>Riesgo de sufrir victimización secundaria y despersonalización.</w:t>
      </w:r>
    </w:p>
    <w:p w14:paraId="3D203734" w14:textId="77777777" w:rsidR="0027404B" w:rsidRPr="007F6AD7" w:rsidRDefault="0027404B" w:rsidP="0027404B">
      <w:pPr>
        <w:pStyle w:val="Prrafodelista"/>
        <w:numPr>
          <w:ilvl w:val="0"/>
          <w:numId w:val="27"/>
        </w:numPr>
        <w:tabs>
          <w:tab w:val="left" w:pos="720"/>
        </w:tabs>
        <w:jc w:val="both"/>
        <w:rPr>
          <w:rFonts w:cs="Arial"/>
          <w:lang w:val="es-ES"/>
        </w:rPr>
      </w:pPr>
      <w:r w:rsidRPr="007F6AD7">
        <w:rPr>
          <w:rFonts w:cs="Arial"/>
          <w:lang w:val="es-ES"/>
        </w:rPr>
        <w:t>Riesgo de que la situación general del menor se deteriore.</w:t>
      </w:r>
    </w:p>
    <w:p w14:paraId="17F28A01" w14:textId="77777777" w:rsidR="0027404B" w:rsidRPr="007F6AD7" w:rsidRDefault="0027404B" w:rsidP="0027404B">
      <w:pPr>
        <w:pStyle w:val="Prrafodelista"/>
        <w:numPr>
          <w:ilvl w:val="0"/>
          <w:numId w:val="27"/>
        </w:numPr>
        <w:tabs>
          <w:tab w:val="left" w:pos="720"/>
        </w:tabs>
        <w:jc w:val="both"/>
        <w:rPr>
          <w:rFonts w:cs="Arial"/>
          <w:lang w:val="es-ES"/>
        </w:rPr>
      </w:pPr>
      <w:r w:rsidRPr="007F6AD7">
        <w:rPr>
          <w:rFonts w:cs="Arial"/>
          <w:lang w:val="es-ES"/>
        </w:rPr>
        <w:t xml:space="preserve">Riesgo de quedar distanciado de su progenitor(a) encarcelado/a. </w:t>
      </w:r>
    </w:p>
    <w:p w14:paraId="4EA5001C" w14:textId="77777777" w:rsidR="0027404B" w:rsidRPr="007F6AD7" w:rsidRDefault="0027404B" w:rsidP="0027404B">
      <w:pPr>
        <w:pStyle w:val="Prrafodelista"/>
        <w:numPr>
          <w:ilvl w:val="0"/>
          <w:numId w:val="27"/>
        </w:numPr>
        <w:tabs>
          <w:tab w:val="left" w:pos="720"/>
        </w:tabs>
        <w:jc w:val="both"/>
        <w:rPr>
          <w:rFonts w:cs="Arial"/>
          <w:lang w:val="es-ES"/>
        </w:rPr>
      </w:pPr>
      <w:r w:rsidRPr="007F6AD7">
        <w:rPr>
          <w:rFonts w:cs="Arial"/>
          <w:lang w:val="es-ES"/>
        </w:rPr>
        <w:t xml:space="preserve">Riesgo de caer en conductas antisociales. </w:t>
      </w:r>
    </w:p>
    <w:p w14:paraId="1C9247C3" w14:textId="21397574" w:rsidR="007D3599" w:rsidRPr="00ED703C" w:rsidRDefault="00ED703C" w:rsidP="00ED703C">
      <w:pPr>
        <w:pStyle w:val="Prrafodelista"/>
        <w:ind w:left="0" w:firstLine="0"/>
        <w:jc w:val="both"/>
        <w:rPr>
          <w:rFonts w:ascii="Times New Roman" w:hAnsi="Times New Roman"/>
          <w:sz w:val="24"/>
          <w:szCs w:val="24"/>
          <w:lang w:eastAsia="es-ES"/>
        </w:rPr>
      </w:pPr>
      <w:r w:rsidRPr="00ED703C">
        <w:rPr>
          <w:rFonts w:cs="Arial"/>
        </w:rPr>
        <w:lastRenderedPageBreak/>
        <w:t>96.   ACDEI en entrevista con una trabajadora social, ella manifestó que dado el caso de</w:t>
      </w:r>
      <w:r>
        <w:rPr>
          <w:rFonts w:cs="Arial"/>
        </w:rPr>
        <w:t xml:space="preserve"> un </w:t>
      </w:r>
      <w:r w:rsidRPr="00ED703C">
        <w:rPr>
          <w:rFonts w:cs="Arial"/>
        </w:rPr>
        <w:t xml:space="preserve"> niño o niña mientras el progenitor está encarcelado, y cuente con un familiar que asuma los cuidados del menor, la familia recibe una pensión estatal especial. El monto de la misma no fue aclarado. La legislación referida a estos casos atendidos por el Ministerio de Trabajo y Seguridad Social tampoco pudo localizarse. El principio general recomendado por el Comité de los Derechos del Niño para ayudar a desarrollar políticas y buenas prácticas, consiste en recolectar, rutinariamente y de manera reiterada, estadísticas sobre los niños y niñas de progenitores presos.</w:t>
      </w:r>
      <w:r>
        <w:rPr>
          <w:rStyle w:val="Refdenotaalpie"/>
        </w:rPr>
        <w:footnoteReference w:id="446"/>
      </w:r>
      <w:r w:rsidRPr="00ED703C">
        <w:rPr>
          <w:rFonts w:cs="Arial"/>
          <w:vertAlign w:val="superscript"/>
        </w:rPr>
        <w:t>,</w:t>
      </w:r>
      <w:r w:rsidR="00183ED8" w:rsidRPr="007F6AD7">
        <w:rPr>
          <w:rStyle w:val="Refdenotaalpie"/>
          <w:rFonts w:cs="Arial"/>
        </w:rPr>
        <w:footnoteReference w:id="447"/>
      </w:r>
      <w:r w:rsidR="00DC00AE" w:rsidRPr="007F6AD7">
        <w:rPr>
          <w:rFonts w:cs="Arial"/>
        </w:rPr>
        <w:t xml:space="preserve"> </w:t>
      </w:r>
      <w:r w:rsidR="00DC00AE" w:rsidRPr="007F6AD7">
        <w:rPr>
          <w:rFonts w:cs="Arial"/>
          <w:bCs/>
          <w:noProof/>
        </w:rPr>
        <w:t xml:space="preserve">Hay consenso en que la mirada tutelar de la infancia debe ser reemplazada por el enfoque de derechos. </w:t>
      </w:r>
      <w:r w:rsidR="00DC00AE" w:rsidRPr="007F6AD7">
        <w:rPr>
          <w:rFonts w:cs="Arial"/>
        </w:rPr>
        <w:t>E</w:t>
      </w:r>
      <w:r w:rsidR="0027404B" w:rsidRPr="007F6AD7">
        <w:rPr>
          <w:rFonts w:cs="Arial"/>
        </w:rPr>
        <w:t xml:space="preserve">l informe gubernamental  CERD </w:t>
      </w:r>
      <w:r w:rsidR="006526C6" w:rsidRPr="007F6AD7">
        <w:rPr>
          <w:rFonts w:cs="Arial"/>
        </w:rPr>
        <w:t xml:space="preserve">Cuba </w:t>
      </w:r>
      <w:r w:rsidR="0027404B" w:rsidRPr="007F6AD7">
        <w:rPr>
          <w:rFonts w:cs="Arial"/>
        </w:rPr>
        <w:t xml:space="preserve">19-21 no aporta datos estadísticos sobre el total de personas afrodescendientes y  progenitores de </w:t>
      </w:r>
      <w:r w:rsidR="00DC00AE" w:rsidRPr="007F6AD7">
        <w:rPr>
          <w:rFonts w:cs="Arial"/>
        </w:rPr>
        <w:t xml:space="preserve"> NNA </w:t>
      </w:r>
      <w:r w:rsidR="0027404B" w:rsidRPr="007F6AD7">
        <w:rPr>
          <w:rFonts w:cs="Arial"/>
        </w:rPr>
        <w:t xml:space="preserve">menores de 18 años que están en las cárceles, ni </w:t>
      </w:r>
      <w:r w:rsidR="00D724F5" w:rsidRPr="007F6AD7">
        <w:rPr>
          <w:rFonts w:cs="Arial"/>
        </w:rPr>
        <w:t>la cifra de embarazadas</w:t>
      </w:r>
      <w:r w:rsidR="0027404B" w:rsidRPr="007F6AD7">
        <w:rPr>
          <w:rFonts w:cs="Arial"/>
        </w:rPr>
        <w:t xml:space="preserve"> enviadas a prisión, tampoco </w:t>
      </w:r>
      <w:r w:rsidR="00296536" w:rsidRPr="007F6AD7">
        <w:rPr>
          <w:rFonts w:cs="Arial"/>
        </w:rPr>
        <w:t>registra</w:t>
      </w:r>
      <w:r w:rsidR="0027404B" w:rsidRPr="007F6AD7">
        <w:rPr>
          <w:rFonts w:cs="Arial"/>
        </w:rPr>
        <w:t xml:space="preserve"> otros datos de interés, por ejemplo, la  cifra de personas afrodescendientes trabajando en los sistemas  penitenciarios y  de administración de justicia, presupuesto anual de las cárceles, datos sobre el personal penitenciario y </w:t>
      </w:r>
      <w:r w:rsidR="00296536" w:rsidRPr="007F6AD7">
        <w:rPr>
          <w:rFonts w:cs="Arial"/>
        </w:rPr>
        <w:t xml:space="preserve">reglamentos </w:t>
      </w:r>
      <w:r w:rsidR="006526C6" w:rsidRPr="007F6AD7">
        <w:rPr>
          <w:rFonts w:cs="Arial"/>
        </w:rPr>
        <w:t xml:space="preserve"> aplicables</w:t>
      </w:r>
      <w:r w:rsidR="0027404B" w:rsidRPr="007F6AD7">
        <w:rPr>
          <w:rFonts w:cs="Arial"/>
        </w:rPr>
        <w:t>.</w:t>
      </w:r>
      <w:r w:rsidR="006526C6" w:rsidRPr="007F6AD7">
        <w:rPr>
          <w:rFonts w:cs="Arial"/>
        </w:rPr>
        <w:t xml:space="preserve"> </w:t>
      </w:r>
      <w:r w:rsidR="006526C6" w:rsidRPr="007F6AD7">
        <w:rPr>
          <w:rFonts w:cs="Arial"/>
          <w:b/>
        </w:rPr>
        <w:t>ACDEI ruega al Comité CERD solicite</w:t>
      </w:r>
      <w:r w:rsidR="00A06A6A">
        <w:rPr>
          <w:rFonts w:cs="Arial"/>
          <w:b/>
        </w:rPr>
        <w:t xml:space="preserve"> al Estado parte </w:t>
      </w:r>
      <w:r w:rsidR="006526C6" w:rsidRPr="007F6AD7">
        <w:rPr>
          <w:rFonts w:cs="Arial"/>
          <w:b/>
        </w:rPr>
        <w:t xml:space="preserve"> información actualizada sobre número total de </w:t>
      </w:r>
      <w:r w:rsidR="0019680A" w:rsidRPr="007F6AD7">
        <w:rPr>
          <w:rFonts w:cs="Arial"/>
          <w:b/>
        </w:rPr>
        <w:t>reclusos,</w:t>
      </w:r>
      <w:r w:rsidR="006526C6" w:rsidRPr="007F6AD7">
        <w:rPr>
          <w:rFonts w:cs="Arial"/>
          <w:b/>
        </w:rPr>
        <w:t xml:space="preserve"> cuántos son progenitores de NNA, raza, cifra de personas afrodescendientes trabajando en los </w:t>
      </w:r>
      <w:r w:rsidR="00C14C20" w:rsidRPr="007F6AD7">
        <w:rPr>
          <w:rFonts w:cs="Arial"/>
          <w:b/>
        </w:rPr>
        <w:t>sistemas penitenciarios</w:t>
      </w:r>
      <w:r w:rsidR="006526C6" w:rsidRPr="007F6AD7">
        <w:rPr>
          <w:rFonts w:cs="Arial"/>
          <w:b/>
        </w:rPr>
        <w:t xml:space="preserve"> </w:t>
      </w:r>
      <w:r w:rsidR="00C14C20" w:rsidRPr="007F6AD7">
        <w:rPr>
          <w:rFonts w:cs="Arial"/>
          <w:b/>
        </w:rPr>
        <w:t>y de</w:t>
      </w:r>
      <w:r w:rsidR="006526C6" w:rsidRPr="007F6AD7">
        <w:rPr>
          <w:rFonts w:cs="Arial"/>
          <w:b/>
        </w:rPr>
        <w:t xml:space="preserve"> administración de justicia </w:t>
      </w:r>
      <w:r w:rsidR="00DC00AE" w:rsidRPr="007F6AD7">
        <w:rPr>
          <w:rFonts w:cs="Arial"/>
          <w:b/>
        </w:rPr>
        <w:t>así</w:t>
      </w:r>
      <w:r w:rsidR="006526C6" w:rsidRPr="007F6AD7">
        <w:rPr>
          <w:rFonts w:cs="Arial"/>
          <w:b/>
        </w:rPr>
        <w:t xml:space="preserve"> como otros datos de interés que el Comité CERD considere pertinentes.</w:t>
      </w:r>
    </w:p>
    <w:p w14:paraId="14865C8B" w14:textId="6EED8AF4" w:rsidR="006A0B41" w:rsidRPr="007F6AD7" w:rsidRDefault="00223EEF" w:rsidP="00715476">
      <w:pPr>
        <w:pStyle w:val="Ttulo1"/>
        <w:rPr>
          <w:b/>
          <w:bCs/>
          <w:noProof/>
        </w:rPr>
      </w:pPr>
      <w:bookmarkStart w:id="136" w:name="_Toc515359822"/>
      <w:r w:rsidRPr="007F6AD7">
        <w:lastRenderedPageBreak/>
        <w:t xml:space="preserve">F. </w:t>
      </w:r>
      <w:r w:rsidR="00682FD0" w:rsidRPr="007F6AD7">
        <w:t>Estadísticas</w:t>
      </w:r>
      <w:r w:rsidR="001F2D37" w:rsidRPr="007F6AD7">
        <w:t xml:space="preserve"> sobre</w:t>
      </w:r>
      <w:r w:rsidR="00561EB1" w:rsidRPr="007F6AD7">
        <w:t xml:space="preserve"> </w:t>
      </w:r>
      <w:r w:rsidR="003D25E4" w:rsidRPr="007F6AD7">
        <w:t xml:space="preserve">la </w:t>
      </w:r>
      <w:r w:rsidR="00A668BF" w:rsidRPr="007F6AD7">
        <w:t>Niñez y</w:t>
      </w:r>
      <w:r w:rsidR="004736E6" w:rsidRPr="007F6AD7">
        <w:t xml:space="preserve"> Adolescencia en Cuba con Riesgos de Exclusión</w:t>
      </w:r>
      <w:bookmarkEnd w:id="136"/>
      <w:r w:rsidR="004736E6" w:rsidRPr="007F6AD7">
        <w:rPr>
          <w:b/>
          <w:bCs/>
          <w:noProof/>
        </w:rPr>
        <w:t xml:space="preserve"> </w:t>
      </w:r>
    </w:p>
    <w:p w14:paraId="1D4F0FF9" w14:textId="7087B92A" w:rsidR="00261D83" w:rsidRPr="007F6AD7" w:rsidRDefault="00A668BF" w:rsidP="00A668BF">
      <w:pPr>
        <w:spacing w:after="0" w:line="360" w:lineRule="auto"/>
        <w:jc w:val="both"/>
        <w:rPr>
          <w:rFonts w:ascii="Arial" w:hAnsi="Arial" w:cs="Arial"/>
          <w:vertAlign w:val="superscript"/>
          <w:lang w:val="es-US" w:eastAsia="es-US"/>
        </w:rPr>
      </w:pPr>
      <w:r>
        <w:rPr>
          <w:rFonts w:ascii="Arial" w:hAnsi="Arial" w:cs="Arial"/>
          <w:lang w:eastAsia="es-ES"/>
        </w:rPr>
        <w:t>97.</w:t>
      </w:r>
      <w:r w:rsidR="00EF5626" w:rsidRPr="007F6AD7">
        <w:rPr>
          <w:rFonts w:ascii="Arial" w:hAnsi="Arial" w:cs="Arial"/>
          <w:lang w:eastAsia="es-ES"/>
        </w:rPr>
        <w:t xml:space="preserve"> </w:t>
      </w:r>
      <w:r w:rsidR="00EF5626" w:rsidRPr="007F6AD7">
        <w:rPr>
          <w:rFonts w:ascii="Arial" w:hAnsi="Arial" w:cs="Arial"/>
        </w:rPr>
        <w:t>El Estado cubano no ofrece razones, ni fundamentos</w:t>
      </w:r>
      <w:r>
        <w:rPr>
          <w:rFonts w:ascii="Arial" w:hAnsi="Arial" w:cs="Arial"/>
        </w:rPr>
        <w:t xml:space="preserve"> </w:t>
      </w:r>
      <w:r w:rsidR="00EF5626" w:rsidRPr="007F6AD7">
        <w:rPr>
          <w:rFonts w:ascii="Arial" w:hAnsi="Arial" w:cs="Arial"/>
          <w:vertAlign w:val="superscript"/>
        </w:rPr>
        <w:footnoteReference w:id="448"/>
      </w:r>
      <w:r w:rsidR="00EF5626" w:rsidRPr="007F6AD7">
        <w:rPr>
          <w:rFonts w:ascii="Arial" w:hAnsi="Arial" w:cs="Arial"/>
          <w:vertAlign w:val="superscript"/>
        </w:rPr>
        <w:t>,</w:t>
      </w:r>
      <w:r w:rsidR="00EF5626" w:rsidRPr="007F6AD7">
        <w:rPr>
          <w:rFonts w:ascii="Arial" w:hAnsi="Arial" w:cs="Arial"/>
        </w:rPr>
        <w:t xml:space="preserve"> </w:t>
      </w:r>
      <w:r w:rsidR="00EF5626" w:rsidRPr="007F6AD7">
        <w:rPr>
          <w:rFonts w:ascii="Arial" w:hAnsi="Arial" w:cs="Arial"/>
          <w:vertAlign w:val="superscript"/>
        </w:rPr>
        <w:footnoteReference w:id="449"/>
      </w:r>
      <w:r w:rsidR="00EF5626" w:rsidRPr="007F6AD7">
        <w:rPr>
          <w:rFonts w:ascii="Arial" w:hAnsi="Arial" w:cs="Arial"/>
          <w:vertAlign w:val="superscript"/>
        </w:rPr>
        <w:t xml:space="preserve">,  </w:t>
      </w:r>
      <w:r w:rsidR="00EF5626" w:rsidRPr="007F6AD7">
        <w:rPr>
          <w:rFonts w:ascii="Arial" w:hAnsi="Arial" w:cs="Arial"/>
          <w:vertAlign w:val="superscript"/>
        </w:rPr>
        <w:footnoteReference w:id="450"/>
      </w:r>
      <w:r w:rsidR="00EF5626" w:rsidRPr="007F6AD7">
        <w:rPr>
          <w:rFonts w:ascii="Arial" w:hAnsi="Arial" w:cs="Arial"/>
          <w:vertAlign w:val="superscript"/>
        </w:rPr>
        <w:t xml:space="preserve">  </w:t>
      </w:r>
      <w:r w:rsidR="00EF5626" w:rsidRPr="007F6AD7">
        <w:rPr>
          <w:rFonts w:ascii="Arial" w:hAnsi="Arial" w:cs="Arial"/>
        </w:rPr>
        <w:t xml:space="preserve"> para clasificar la  información al  público sobre la situación de los NNA que crecen  sin un entorno familiar.  </w:t>
      </w:r>
      <w:r w:rsidR="001C70DA" w:rsidRPr="007F6AD7">
        <w:rPr>
          <w:rFonts w:ascii="Arial" w:hAnsi="Arial" w:cs="Arial"/>
        </w:rPr>
        <w:t xml:space="preserve">La información producida por instituciones gubernamentales, atañe en definitiva a los ciudadanos, y es el fundamento final de su carácter público. El </w:t>
      </w:r>
      <w:r w:rsidR="00682FD0" w:rsidRPr="007F6AD7">
        <w:rPr>
          <w:rFonts w:ascii="Arial" w:hAnsi="Arial" w:cs="Arial"/>
        </w:rPr>
        <w:t xml:space="preserve">empeño </w:t>
      </w:r>
      <w:r w:rsidR="00EA24AA" w:rsidRPr="007F6AD7">
        <w:rPr>
          <w:rFonts w:ascii="Arial" w:hAnsi="Arial" w:cs="Arial"/>
        </w:rPr>
        <w:t>de Unicef</w:t>
      </w:r>
      <w:r w:rsidR="00A53085" w:rsidRPr="007F6AD7">
        <w:rPr>
          <w:rFonts w:ascii="Arial" w:hAnsi="Arial" w:cs="Arial"/>
        </w:rPr>
        <w:t xml:space="preserve"> y otras instituciones internacionales</w:t>
      </w:r>
      <w:r w:rsidR="00682FD0" w:rsidRPr="007F6AD7">
        <w:rPr>
          <w:rFonts w:ascii="Arial" w:hAnsi="Arial" w:cs="Arial"/>
        </w:rPr>
        <w:t xml:space="preserve"> por </w:t>
      </w:r>
      <w:r w:rsidR="00EF5626" w:rsidRPr="007F6AD7">
        <w:rPr>
          <w:rFonts w:ascii="Arial" w:hAnsi="Arial" w:cs="Arial"/>
        </w:rPr>
        <w:t>ampliar y perfeccionar</w:t>
      </w:r>
      <w:r w:rsidR="00682FD0" w:rsidRPr="007F6AD7">
        <w:rPr>
          <w:rFonts w:ascii="Arial" w:hAnsi="Arial" w:cs="Arial"/>
        </w:rPr>
        <w:t xml:space="preserve"> </w:t>
      </w:r>
      <w:r w:rsidR="00EF5626" w:rsidRPr="007F6AD7">
        <w:rPr>
          <w:rFonts w:ascii="Arial" w:hAnsi="Arial" w:cs="Arial"/>
        </w:rPr>
        <w:t xml:space="preserve">las estadísticas sobre la </w:t>
      </w:r>
      <w:r w:rsidR="00EA24AA" w:rsidRPr="007F6AD7">
        <w:rPr>
          <w:rFonts w:ascii="Arial" w:hAnsi="Arial" w:cs="Arial"/>
        </w:rPr>
        <w:t>infancia no</w:t>
      </w:r>
      <w:r w:rsidR="00A53085" w:rsidRPr="007F6AD7">
        <w:rPr>
          <w:rFonts w:ascii="Arial" w:hAnsi="Arial" w:cs="Arial"/>
        </w:rPr>
        <w:t xml:space="preserve"> abarca todos los </w:t>
      </w:r>
      <w:r w:rsidR="00EA24AA" w:rsidRPr="007F6AD7">
        <w:rPr>
          <w:rFonts w:ascii="Arial" w:hAnsi="Arial" w:cs="Arial"/>
        </w:rPr>
        <w:t>ámbitos relacionados</w:t>
      </w:r>
      <w:r w:rsidR="00A53085" w:rsidRPr="007F6AD7">
        <w:rPr>
          <w:rFonts w:ascii="Arial" w:hAnsi="Arial" w:cs="Arial"/>
        </w:rPr>
        <w:t xml:space="preserve"> con la niñez cubana</w:t>
      </w:r>
      <w:r w:rsidR="00EF5626" w:rsidRPr="007F6AD7">
        <w:rPr>
          <w:rFonts w:ascii="Arial" w:hAnsi="Arial" w:cs="Arial"/>
        </w:rPr>
        <w:t>.</w:t>
      </w:r>
      <w:r w:rsidR="00FB1F39" w:rsidRPr="007F6AD7">
        <w:rPr>
          <w:rFonts w:ascii="Arial" w:hAnsi="Arial" w:cs="Arial"/>
        </w:rPr>
        <w:t xml:space="preserve"> Normalmente, la información disponible en Cuba</w:t>
      </w:r>
      <w:r w:rsidR="00B23669" w:rsidRPr="007F6AD7">
        <w:rPr>
          <w:rFonts w:ascii="Arial" w:hAnsi="Arial" w:cs="Arial"/>
        </w:rPr>
        <w:t xml:space="preserve"> sobre muchos ámbitos de la </w:t>
      </w:r>
      <w:r w:rsidR="00EA24AA" w:rsidRPr="007F6AD7">
        <w:rPr>
          <w:rFonts w:ascii="Arial" w:hAnsi="Arial" w:cs="Arial"/>
        </w:rPr>
        <w:t>sociedad está</w:t>
      </w:r>
      <w:r w:rsidR="00B23669" w:rsidRPr="007F6AD7">
        <w:rPr>
          <w:rFonts w:ascii="Arial" w:hAnsi="Arial" w:cs="Arial"/>
        </w:rPr>
        <w:t xml:space="preserve"> clasificada indefinidamente.</w:t>
      </w:r>
      <w:r w:rsidR="00FB1F39" w:rsidRPr="007F6AD7">
        <w:rPr>
          <w:rFonts w:ascii="Arial" w:hAnsi="Arial" w:cs="Arial"/>
        </w:rPr>
        <w:t xml:space="preserve"> </w:t>
      </w:r>
      <w:r w:rsidR="004F1C6C" w:rsidRPr="007F6AD7">
        <w:rPr>
          <w:rFonts w:ascii="Arial" w:hAnsi="Arial" w:cs="Arial"/>
        </w:rPr>
        <w:t xml:space="preserve">Muchas veces </w:t>
      </w:r>
      <w:r w:rsidR="00EF5626" w:rsidRPr="007F6AD7">
        <w:rPr>
          <w:rFonts w:ascii="Arial" w:hAnsi="Arial" w:cs="Arial"/>
        </w:rPr>
        <w:t>la información</w:t>
      </w:r>
      <w:r w:rsidR="004F1C6C" w:rsidRPr="007F6AD7">
        <w:rPr>
          <w:rFonts w:ascii="Arial" w:hAnsi="Arial" w:cs="Arial"/>
        </w:rPr>
        <w:t xml:space="preserve"> </w:t>
      </w:r>
      <w:r w:rsidR="00B23669" w:rsidRPr="007F6AD7">
        <w:rPr>
          <w:rFonts w:ascii="Arial" w:hAnsi="Arial" w:cs="Arial"/>
        </w:rPr>
        <w:t xml:space="preserve">oficial </w:t>
      </w:r>
      <w:r w:rsidR="00EA24AA">
        <w:rPr>
          <w:rFonts w:ascii="Arial" w:hAnsi="Arial" w:cs="Arial"/>
        </w:rPr>
        <w:t>impide</w:t>
      </w:r>
      <w:r w:rsidR="00B23669" w:rsidRPr="007F6AD7">
        <w:rPr>
          <w:rFonts w:ascii="Arial" w:hAnsi="Arial" w:cs="Arial"/>
        </w:rPr>
        <w:t xml:space="preserve"> </w:t>
      </w:r>
      <w:r w:rsidR="00EF5626" w:rsidRPr="007F6AD7">
        <w:rPr>
          <w:rFonts w:ascii="Arial" w:hAnsi="Arial" w:cs="Arial"/>
        </w:rPr>
        <w:t>lograr</w:t>
      </w:r>
      <w:r w:rsidR="00B23669" w:rsidRPr="007F6AD7">
        <w:rPr>
          <w:rFonts w:ascii="Arial" w:hAnsi="Arial" w:cs="Arial"/>
        </w:rPr>
        <w:t xml:space="preserve"> una medida exacta del desarrollo  de eventos  de di</w:t>
      </w:r>
      <w:r w:rsidR="004F1C6C" w:rsidRPr="007F6AD7">
        <w:rPr>
          <w:rFonts w:ascii="Arial" w:hAnsi="Arial" w:cs="Arial"/>
        </w:rPr>
        <w:t xml:space="preserve">versa índole económica y social. </w:t>
      </w:r>
      <w:r w:rsidR="00FB1F39" w:rsidRPr="007F6AD7">
        <w:rPr>
          <w:rFonts w:ascii="Arial" w:hAnsi="Arial" w:cs="Arial"/>
          <w:vertAlign w:val="superscript"/>
        </w:rPr>
        <w:t xml:space="preserve"> </w:t>
      </w:r>
      <w:r w:rsidR="00FB1F39" w:rsidRPr="007F6AD7">
        <w:rPr>
          <w:rFonts w:ascii="Arial" w:hAnsi="Arial" w:cs="Arial"/>
        </w:rPr>
        <w:t xml:space="preserve">Esta coyuntura también incide </w:t>
      </w:r>
      <w:r w:rsidR="00EF5626" w:rsidRPr="007F6AD7">
        <w:rPr>
          <w:rFonts w:ascii="Arial" w:hAnsi="Arial" w:cs="Arial"/>
        </w:rPr>
        <w:t>en las</w:t>
      </w:r>
      <w:r w:rsidR="00FB1F39" w:rsidRPr="007F6AD7">
        <w:rPr>
          <w:rFonts w:ascii="Arial" w:hAnsi="Arial" w:cs="Arial"/>
        </w:rPr>
        <w:t xml:space="preserve"> recomendaciones </w:t>
      </w:r>
      <w:hyperlink r:id="rId11" w:history="1">
        <w:r w:rsidR="00EF5626" w:rsidRPr="007F6AD7">
          <w:rPr>
            <w:rStyle w:val="Hipervnculo"/>
            <w:rFonts w:ascii="Arial" w:hAnsi="Arial" w:cs="Arial"/>
          </w:rPr>
          <w:t>al</w:t>
        </w:r>
        <w:r w:rsidR="001D7B80" w:rsidRPr="007F6AD7">
          <w:rPr>
            <w:rStyle w:val="Hipervnculo"/>
            <w:rFonts w:ascii="Arial" w:hAnsi="Arial" w:cs="Arial"/>
          </w:rPr>
          <w:t xml:space="preserve"> </w:t>
        </w:r>
        <w:r w:rsidR="00FB1F39" w:rsidRPr="007F6AD7">
          <w:rPr>
            <w:rFonts w:ascii="Arial" w:hAnsi="Arial" w:cs="Arial"/>
          </w:rPr>
          <w:t>Estado</w:t>
        </w:r>
      </w:hyperlink>
      <w:r w:rsidR="00FB1F39" w:rsidRPr="007F6AD7">
        <w:rPr>
          <w:rFonts w:ascii="Arial" w:hAnsi="Arial" w:cs="Arial"/>
        </w:rPr>
        <w:t> cubano provenientes del</w:t>
      </w:r>
      <w:r w:rsidR="00A53085" w:rsidRPr="007F6AD7">
        <w:rPr>
          <w:rFonts w:ascii="Arial" w:hAnsi="Arial" w:cs="Arial"/>
        </w:rPr>
        <w:t xml:space="preserve"> 2do. </w:t>
      </w:r>
      <w:r w:rsidR="00FB1F39" w:rsidRPr="007F6AD7">
        <w:rPr>
          <w:rFonts w:ascii="Arial" w:hAnsi="Arial" w:cs="Arial"/>
        </w:rPr>
        <w:t xml:space="preserve"> Examen Periódico</w:t>
      </w:r>
      <w:r w:rsidR="00EF5626" w:rsidRPr="007F6AD7">
        <w:rPr>
          <w:rFonts w:ascii="Arial" w:hAnsi="Arial" w:cs="Arial"/>
        </w:rPr>
        <w:t xml:space="preserve"> </w:t>
      </w:r>
      <w:r w:rsidR="001F2D37" w:rsidRPr="007F6AD7">
        <w:rPr>
          <w:rFonts w:ascii="Arial" w:hAnsi="Arial" w:cs="Arial"/>
        </w:rPr>
        <w:t>Universal</w:t>
      </w:r>
      <w:r w:rsidR="00EF5626" w:rsidRPr="007F6AD7">
        <w:rPr>
          <w:rFonts w:ascii="Arial" w:hAnsi="Arial" w:cs="Arial"/>
          <w:vertAlign w:val="superscript"/>
        </w:rPr>
        <w:footnoteReference w:id="451"/>
      </w:r>
      <w:r>
        <w:rPr>
          <w:rFonts w:ascii="Arial" w:hAnsi="Arial" w:cs="Arial"/>
          <w:vertAlign w:val="superscript"/>
        </w:rPr>
        <w:t xml:space="preserve">, </w:t>
      </w:r>
      <w:r w:rsidR="00EF5626" w:rsidRPr="007F6AD7">
        <w:rPr>
          <w:rFonts w:ascii="Arial" w:hAnsi="Arial" w:cs="Arial"/>
          <w:vertAlign w:val="superscript"/>
        </w:rPr>
        <w:t xml:space="preserve"> </w:t>
      </w:r>
      <w:r w:rsidR="00EF5626" w:rsidRPr="007F6AD7">
        <w:rPr>
          <w:rFonts w:ascii="Arial" w:hAnsi="Arial" w:cs="Arial"/>
          <w:vertAlign w:val="superscript"/>
        </w:rPr>
        <w:footnoteReference w:id="452"/>
      </w:r>
      <w:r w:rsidR="00EF5626" w:rsidRPr="007F6AD7">
        <w:rPr>
          <w:rFonts w:ascii="Arial" w:hAnsi="Arial" w:cs="Arial"/>
          <w:vertAlign w:val="superscript"/>
        </w:rPr>
        <w:t xml:space="preserve">,  </w:t>
      </w:r>
      <w:r w:rsidR="00EF5626" w:rsidRPr="007F6AD7">
        <w:rPr>
          <w:rFonts w:ascii="Arial" w:hAnsi="Arial" w:cs="Arial"/>
          <w:vertAlign w:val="superscript"/>
        </w:rPr>
        <w:footnoteReference w:id="453"/>
      </w:r>
      <w:r w:rsidR="00EF5626" w:rsidRPr="007F6AD7">
        <w:rPr>
          <w:rFonts w:ascii="Arial" w:hAnsi="Arial" w:cs="Arial"/>
        </w:rPr>
        <w:t xml:space="preserve"> </w:t>
      </w:r>
      <w:r w:rsidR="001F2D37" w:rsidRPr="007F6AD7">
        <w:rPr>
          <w:rFonts w:ascii="Arial" w:hAnsi="Arial" w:cs="Arial"/>
        </w:rPr>
        <w:t xml:space="preserve"> </w:t>
      </w:r>
      <w:r w:rsidR="00FB1F39" w:rsidRPr="007F6AD7">
        <w:rPr>
          <w:rFonts w:ascii="Arial" w:hAnsi="Arial" w:cs="Arial"/>
        </w:rPr>
        <w:t xml:space="preserve">y la </w:t>
      </w:r>
      <w:r w:rsidR="00FB1F39" w:rsidRPr="007F6AD7">
        <w:rPr>
          <w:rFonts w:ascii="Arial" w:hAnsi="Arial" w:cs="Arial"/>
        </w:rPr>
        <w:lastRenderedPageBreak/>
        <w:t xml:space="preserve">postura que adopta el </w:t>
      </w:r>
      <w:r w:rsidR="00EF5626" w:rsidRPr="007F6AD7">
        <w:rPr>
          <w:rFonts w:ascii="Arial" w:hAnsi="Arial" w:cs="Arial"/>
        </w:rPr>
        <w:t>G</w:t>
      </w:r>
      <w:r w:rsidR="00FB1F39" w:rsidRPr="007F6AD7">
        <w:rPr>
          <w:rFonts w:ascii="Arial" w:hAnsi="Arial" w:cs="Arial"/>
        </w:rPr>
        <w:t xml:space="preserve">obierno  ante el cumplimiento de cada una de ellas.  </w:t>
      </w:r>
      <w:r w:rsidR="00FB1F39" w:rsidRPr="007F6AD7">
        <w:rPr>
          <w:rFonts w:ascii="Arial" w:hAnsi="Arial" w:cs="Arial"/>
          <w:vertAlign w:val="superscript"/>
        </w:rPr>
        <w:footnoteReference w:id="454"/>
      </w:r>
      <w:r w:rsidR="00FB1F39" w:rsidRPr="007F6AD7">
        <w:rPr>
          <w:rFonts w:ascii="Arial" w:hAnsi="Arial" w:cs="Arial"/>
          <w:vertAlign w:val="superscript"/>
        </w:rPr>
        <w:t xml:space="preserve">  </w:t>
      </w:r>
      <w:r w:rsidR="00EF5626" w:rsidRPr="007F6AD7">
        <w:rPr>
          <w:rFonts w:ascii="Arial" w:hAnsi="Arial" w:cs="Arial"/>
          <w:vertAlign w:val="superscript"/>
        </w:rPr>
        <w:t>,</w:t>
      </w:r>
      <w:r w:rsidR="001F2D37" w:rsidRPr="007F6AD7">
        <w:rPr>
          <w:rFonts w:ascii="Arial" w:hAnsi="Arial" w:cs="Arial"/>
          <w:vertAlign w:val="superscript"/>
        </w:rPr>
        <w:footnoteReference w:id="455"/>
      </w:r>
      <w:r w:rsidR="001F2D37" w:rsidRPr="007F6AD7">
        <w:rPr>
          <w:rFonts w:ascii="Arial" w:hAnsi="Arial" w:cs="Arial"/>
        </w:rPr>
        <w:t xml:space="preserve"> </w:t>
      </w:r>
      <w:r w:rsidR="00C048F6" w:rsidRPr="007F6AD7">
        <w:rPr>
          <w:rFonts w:ascii="Arial" w:hAnsi="Arial" w:cs="Arial"/>
        </w:rPr>
        <w:t>La pobreza</w:t>
      </w:r>
      <w:r w:rsidR="00C562FE" w:rsidRPr="007F6AD7">
        <w:rPr>
          <w:rFonts w:ascii="Arial" w:hAnsi="Arial" w:cs="Arial"/>
        </w:rPr>
        <w:t xml:space="preserve"> </w:t>
      </w:r>
      <w:r w:rsidR="00C048F6" w:rsidRPr="007F6AD7">
        <w:rPr>
          <w:rFonts w:ascii="Arial" w:hAnsi="Arial" w:cs="Arial"/>
        </w:rPr>
        <w:t>no puede ser por sí sola la causa de la separaci</w:t>
      </w:r>
      <w:r w:rsidR="00376050" w:rsidRPr="007F6AD7">
        <w:rPr>
          <w:rFonts w:ascii="Arial" w:hAnsi="Arial" w:cs="Arial"/>
        </w:rPr>
        <w:t xml:space="preserve">ón del niño de sus padres, y la </w:t>
      </w:r>
      <w:r w:rsidR="00C048F6" w:rsidRPr="007F6AD7">
        <w:rPr>
          <w:rFonts w:ascii="Arial" w:hAnsi="Arial" w:cs="Arial"/>
        </w:rPr>
        <w:t>consecuente privación de otros derechos consagrados en la Convención,</w:t>
      </w:r>
      <w:r w:rsidR="001F2D37" w:rsidRPr="007F6AD7">
        <w:rPr>
          <w:rFonts w:ascii="Arial" w:hAnsi="Arial" w:cs="Arial"/>
        </w:rPr>
        <w:t xml:space="preserve"> </w:t>
      </w:r>
      <w:r w:rsidR="001F2D37" w:rsidRPr="007F6AD7">
        <w:rPr>
          <w:rFonts w:ascii="Arial" w:hAnsi="Arial" w:cs="Arial"/>
          <w:vertAlign w:val="superscript"/>
        </w:rPr>
        <w:footnoteReference w:id="456"/>
      </w:r>
      <w:r w:rsidR="00C048F6" w:rsidRPr="007F6AD7">
        <w:rPr>
          <w:rFonts w:ascii="Arial" w:hAnsi="Arial" w:cs="Arial"/>
        </w:rPr>
        <w:t xml:space="preserve"> sino que ha de considerarse un indicio de la necesidad de tomar medidas para apoyar a la familia</w:t>
      </w:r>
      <w:r w:rsidR="00DF674C" w:rsidRPr="007F6AD7">
        <w:rPr>
          <w:rFonts w:ascii="Arial" w:hAnsi="Arial" w:cs="Arial"/>
        </w:rPr>
        <w:t xml:space="preserve"> extendida</w:t>
      </w:r>
      <w:r w:rsidR="00C048F6" w:rsidRPr="007F6AD7">
        <w:rPr>
          <w:rFonts w:ascii="Arial" w:hAnsi="Arial" w:cs="Arial"/>
        </w:rPr>
        <w:t>.</w:t>
      </w:r>
      <w:r w:rsidR="00C048F6" w:rsidRPr="007F6AD7">
        <w:rPr>
          <w:rFonts w:ascii="Arial" w:hAnsi="Arial" w:cs="Arial"/>
          <w:vertAlign w:val="superscript"/>
        </w:rPr>
        <w:footnoteReference w:id="457"/>
      </w:r>
    </w:p>
    <w:p w14:paraId="28E96832" w14:textId="61069C08" w:rsidR="00261D83" w:rsidRPr="007F6AD7" w:rsidRDefault="00A668BF" w:rsidP="00A668BF">
      <w:pPr>
        <w:tabs>
          <w:tab w:val="left" w:pos="567"/>
        </w:tabs>
        <w:spacing w:after="0" w:line="360" w:lineRule="auto"/>
        <w:jc w:val="both"/>
        <w:rPr>
          <w:rFonts w:ascii="Arial" w:hAnsi="Arial" w:cs="Arial"/>
        </w:rPr>
      </w:pPr>
      <w:r>
        <w:rPr>
          <w:rFonts w:ascii="Arial" w:hAnsi="Arial" w:cs="Arial"/>
        </w:rPr>
        <w:t>98.</w:t>
      </w:r>
      <w:r w:rsidR="00C048F6" w:rsidRPr="007F6AD7">
        <w:rPr>
          <w:rFonts w:ascii="Arial" w:hAnsi="Arial" w:cs="Arial"/>
        </w:rPr>
        <w:t xml:space="preserve"> </w:t>
      </w:r>
      <w:r>
        <w:rPr>
          <w:rFonts w:ascii="Arial" w:hAnsi="Arial" w:cs="Arial"/>
        </w:rPr>
        <w:t xml:space="preserve"> </w:t>
      </w:r>
      <w:r w:rsidR="00376050" w:rsidRPr="007F6AD7">
        <w:rPr>
          <w:rFonts w:ascii="Arial" w:hAnsi="Arial" w:cs="Arial"/>
        </w:rPr>
        <w:t xml:space="preserve">La siguiente tabla </w:t>
      </w:r>
      <w:r w:rsidR="00376050" w:rsidRPr="007F6AD7">
        <w:rPr>
          <w:rFonts w:ascii="Arial" w:hAnsi="Arial" w:cs="Arial"/>
          <w:b/>
        </w:rPr>
        <w:t xml:space="preserve">Niñez </w:t>
      </w:r>
      <w:r w:rsidR="001B6280" w:rsidRPr="007F6AD7">
        <w:rPr>
          <w:rFonts w:ascii="Arial" w:hAnsi="Arial" w:cs="Arial"/>
          <w:b/>
        </w:rPr>
        <w:t xml:space="preserve">y </w:t>
      </w:r>
      <w:r w:rsidR="006A0B41" w:rsidRPr="007F6AD7">
        <w:rPr>
          <w:rFonts w:ascii="Arial" w:hAnsi="Arial" w:cs="Arial"/>
          <w:b/>
        </w:rPr>
        <w:t>adolescencia en</w:t>
      </w:r>
      <w:r w:rsidR="004736E6" w:rsidRPr="007F6AD7">
        <w:rPr>
          <w:rFonts w:ascii="Arial" w:hAnsi="Arial" w:cs="Arial"/>
          <w:b/>
        </w:rPr>
        <w:t xml:space="preserve"> Cuba con</w:t>
      </w:r>
      <w:r w:rsidR="00376050" w:rsidRPr="007F6AD7">
        <w:rPr>
          <w:rFonts w:ascii="Arial" w:hAnsi="Arial" w:cs="Arial"/>
          <w:b/>
        </w:rPr>
        <w:t xml:space="preserve"> </w:t>
      </w:r>
      <w:r w:rsidR="006A0B41" w:rsidRPr="007F6AD7">
        <w:rPr>
          <w:rFonts w:ascii="Arial" w:hAnsi="Arial" w:cs="Arial"/>
          <w:b/>
        </w:rPr>
        <w:t>r</w:t>
      </w:r>
      <w:r w:rsidR="001B6280" w:rsidRPr="007F6AD7">
        <w:rPr>
          <w:rFonts w:ascii="Arial" w:hAnsi="Arial" w:cs="Arial"/>
          <w:b/>
        </w:rPr>
        <w:t>iesgo</w:t>
      </w:r>
      <w:r w:rsidR="004736E6" w:rsidRPr="007F6AD7">
        <w:rPr>
          <w:rFonts w:ascii="Arial" w:hAnsi="Arial" w:cs="Arial"/>
          <w:b/>
        </w:rPr>
        <w:t>s</w:t>
      </w:r>
      <w:r w:rsidR="001B6280" w:rsidRPr="007F6AD7">
        <w:rPr>
          <w:rFonts w:ascii="Arial" w:hAnsi="Arial" w:cs="Arial"/>
          <w:b/>
        </w:rPr>
        <w:t xml:space="preserve"> de </w:t>
      </w:r>
      <w:r w:rsidR="006A0B41" w:rsidRPr="007F6AD7">
        <w:rPr>
          <w:rFonts w:ascii="Arial" w:hAnsi="Arial" w:cs="Arial"/>
          <w:b/>
        </w:rPr>
        <w:t>e</w:t>
      </w:r>
      <w:r w:rsidR="001B6280" w:rsidRPr="007F6AD7">
        <w:rPr>
          <w:rFonts w:ascii="Arial" w:hAnsi="Arial" w:cs="Arial"/>
          <w:b/>
        </w:rPr>
        <w:t>xclusión</w:t>
      </w:r>
      <w:r w:rsidR="00376050" w:rsidRPr="007F6AD7">
        <w:rPr>
          <w:rFonts w:ascii="Arial" w:hAnsi="Arial" w:cs="Arial"/>
        </w:rPr>
        <w:t xml:space="preserve"> ha sido una elaboración propia de ACDEI para obtener gráficamente una </w:t>
      </w:r>
      <w:r w:rsidR="00EF5626" w:rsidRPr="007F6AD7">
        <w:rPr>
          <w:rFonts w:ascii="Arial" w:hAnsi="Arial" w:cs="Arial"/>
        </w:rPr>
        <w:t xml:space="preserve">mejor </w:t>
      </w:r>
      <w:r w:rsidR="00376050" w:rsidRPr="007F6AD7">
        <w:rPr>
          <w:rFonts w:ascii="Arial" w:hAnsi="Arial" w:cs="Arial"/>
        </w:rPr>
        <w:t xml:space="preserve">perspectiva sobre </w:t>
      </w:r>
      <w:r w:rsidR="00C562FE" w:rsidRPr="007F6AD7">
        <w:rPr>
          <w:rFonts w:ascii="Arial" w:hAnsi="Arial" w:cs="Arial"/>
        </w:rPr>
        <w:t>ciertos</w:t>
      </w:r>
      <w:r w:rsidR="00376050" w:rsidRPr="007F6AD7">
        <w:rPr>
          <w:rFonts w:ascii="Arial" w:hAnsi="Arial" w:cs="Arial"/>
        </w:rPr>
        <w:t xml:space="preserve"> sectores </w:t>
      </w:r>
      <w:r w:rsidR="00C562FE" w:rsidRPr="007F6AD7">
        <w:rPr>
          <w:rFonts w:ascii="Arial" w:hAnsi="Arial" w:cs="Arial"/>
        </w:rPr>
        <w:t xml:space="preserve">invisibles </w:t>
      </w:r>
      <w:r w:rsidR="00EF5626" w:rsidRPr="007F6AD7">
        <w:rPr>
          <w:rFonts w:ascii="Arial" w:hAnsi="Arial" w:cs="Arial"/>
        </w:rPr>
        <w:t>constituidos</w:t>
      </w:r>
      <w:r w:rsidR="00C562FE" w:rsidRPr="007F6AD7">
        <w:rPr>
          <w:rFonts w:ascii="Arial" w:hAnsi="Arial" w:cs="Arial"/>
        </w:rPr>
        <w:t xml:space="preserve"> por</w:t>
      </w:r>
      <w:r w:rsidR="00376050" w:rsidRPr="007F6AD7">
        <w:rPr>
          <w:rFonts w:ascii="Arial" w:hAnsi="Arial" w:cs="Arial"/>
        </w:rPr>
        <w:t xml:space="preserve"> la niñez</w:t>
      </w:r>
      <w:r w:rsidR="00C562FE" w:rsidRPr="007F6AD7">
        <w:rPr>
          <w:rFonts w:ascii="Arial" w:hAnsi="Arial" w:cs="Arial"/>
        </w:rPr>
        <w:t xml:space="preserve"> y adolescencia</w:t>
      </w:r>
      <w:r w:rsidR="00376050" w:rsidRPr="007F6AD7">
        <w:rPr>
          <w:rFonts w:ascii="Arial" w:hAnsi="Arial" w:cs="Arial"/>
        </w:rPr>
        <w:t xml:space="preserve"> cubana</w:t>
      </w:r>
      <w:r w:rsidR="001B6280" w:rsidRPr="007F6AD7">
        <w:rPr>
          <w:rFonts w:ascii="Arial" w:hAnsi="Arial" w:cs="Arial"/>
        </w:rPr>
        <w:t>s</w:t>
      </w:r>
      <w:r w:rsidR="003D25E4">
        <w:rPr>
          <w:rFonts w:ascii="Arial" w:hAnsi="Arial" w:cs="Arial"/>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1"/>
        <w:gridCol w:w="960"/>
        <w:gridCol w:w="1605"/>
        <w:gridCol w:w="1666"/>
        <w:gridCol w:w="1388"/>
        <w:gridCol w:w="1421"/>
        <w:gridCol w:w="1533"/>
      </w:tblGrid>
      <w:tr w:rsidR="00376050" w:rsidRPr="007F6AD7" w14:paraId="6473DA75" w14:textId="77777777" w:rsidTr="00376050">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798E5585" w14:textId="49540644" w:rsidR="00376050" w:rsidRPr="00A668BF" w:rsidRDefault="00376050" w:rsidP="00EA24AA">
            <w:pPr>
              <w:spacing w:after="0"/>
              <w:ind w:firstLine="720"/>
              <w:jc w:val="center"/>
              <w:rPr>
                <w:rFonts w:ascii="Arial Narrow" w:hAnsi="Arial Narrow" w:cs="Arial"/>
                <w:b/>
                <w:bCs/>
                <w:noProof/>
              </w:rPr>
            </w:pPr>
            <w:r w:rsidRPr="00A668BF">
              <w:rPr>
                <w:rFonts w:ascii="Arial Narrow" w:hAnsi="Arial Narrow" w:cs="Arial"/>
                <w:b/>
                <w:bCs/>
                <w:noProof/>
              </w:rPr>
              <w:t xml:space="preserve">Niñez </w:t>
            </w:r>
            <w:r w:rsidR="001B6280" w:rsidRPr="00A668BF">
              <w:rPr>
                <w:rFonts w:ascii="Arial Narrow" w:hAnsi="Arial Narrow" w:cs="Arial"/>
                <w:b/>
                <w:bCs/>
                <w:noProof/>
              </w:rPr>
              <w:t xml:space="preserve"> y </w:t>
            </w:r>
            <w:r w:rsidR="006A0B41" w:rsidRPr="00A668BF">
              <w:rPr>
                <w:rFonts w:ascii="Arial Narrow" w:hAnsi="Arial Narrow" w:cs="Arial"/>
                <w:b/>
                <w:bCs/>
                <w:noProof/>
              </w:rPr>
              <w:t>a</w:t>
            </w:r>
            <w:r w:rsidR="001B6280" w:rsidRPr="00A668BF">
              <w:rPr>
                <w:rFonts w:ascii="Arial Narrow" w:hAnsi="Arial Narrow" w:cs="Arial"/>
                <w:b/>
                <w:bCs/>
                <w:noProof/>
              </w:rPr>
              <w:t xml:space="preserve">dolescencia </w:t>
            </w:r>
            <w:r w:rsidR="004736E6" w:rsidRPr="00A668BF">
              <w:rPr>
                <w:rFonts w:ascii="Arial Narrow" w:hAnsi="Arial Narrow" w:cs="Arial"/>
                <w:b/>
                <w:bCs/>
                <w:noProof/>
              </w:rPr>
              <w:t>en Cuba con</w:t>
            </w:r>
            <w:r w:rsidR="001B6280" w:rsidRPr="00A668BF">
              <w:rPr>
                <w:rFonts w:ascii="Arial Narrow" w:hAnsi="Arial Narrow" w:cs="Arial"/>
                <w:b/>
                <w:bCs/>
                <w:noProof/>
              </w:rPr>
              <w:t xml:space="preserve"> </w:t>
            </w:r>
            <w:r w:rsidR="006A0B41" w:rsidRPr="00A668BF">
              <w:rPr>
                <w:rFonts w:ascii="Arial Narrow" w:hAnsi="Arial Narrow" w:cs="Arial"/>
                <w:b/>
                <w:bCs/>
                <w:noProof/>
              </w:rPr>
              <w:t>r</w:t>
            </w:r>
            <w:r w:rsidR="001B6280" w:rsidRPr="00A668BF">
              <w:rPr>
                <w:rFonts w:ascii="Arial Narrow" w:hAnsi="Arial Narrow" w:cs="Arial"/>
                <w:b/>
                <w:bCs/>
                <w:noProof/>
              </w:rPr>
              <w:t>iesgo</w:t>
            </w:r>
            <w:r w:rsidR="004736E6" w:rsidRPr="00A668BF">
              <w:rPr>
                <w:rFonts w:ascii="Arial Narrow" w:hAnsi="Arial Narrow" w:cs="Arial"/>
                <w:b/>
                <w:bCs/>
                <w:noProof/>
              </w:rPr>
              <w:t>s</w:t>
            </w:r>
            <w:r w:rsidR="001B6280" w:rsidRPr="00A668BF">
              <w:rPr>
                <w:rFonts w:ascii="Arial Narrow" w:hAnsi="Arial Narrow" w:cs="Arial"/>
                <w:b/>
                <w:bCs/>
                <w:noProof/>
              </w:rPr>
              <w:t xml:space="preserve"> de </w:t>
            </w:r>
            <w:r w:rsidR="006A0B41" w:rsidRPr="00A668BF">
              <w:rPr>
                <w:rFonts w:ascii="Arial Narrow" w:hAnsi="Arial Narrow" w:cs="Arial"/>
                <w:b/>
                <w:bCs/>
                <w:noProof/>
              </w:rPr>
              <w:t>e</w:t>
            </w:r>
            <w:r w:rsidR="001B6280" w:rsidRPr="00A668BF">
              <w:rPr>
                <w:rFonts w:ascii="Arial Narrow" w:hAnsi="Arial Narrow" w:cs="Arial"/>
                <w:b/>
                <w:bCs/>
                <w:noProof/>
              </w:rPr>
              <w:t>xclusión</w:t>
            </w:r>
            <w:r w:rsidR="004736E6" w:rsidRPr="00A668BF">
              <w:rPr>
                <w:rFonts w:ascii="Arial Narrow" w:hAnsi="Arial Narrow" w:cs="Arial"/>
                <w:b/>
                <w:bCs/>
                <w:noProof/>
              </w:rPr>
              <w:t xml:space="preserve"> </w:t>
            </w:r>
          </w:p>
        </w:tc>
      </w:tr>
      <w:tr w:rsidR="00376050" w:rsidRPr="007F6AD7" w14:paraId="351023D3" w14:textId="77777777" w:rsidTr="00376050">
        <w:trPr>
          <w:trHeight w:val="527"/>
        </w:trPr>
        <w:tc>
          <w:tcPr>
            <w:tcW w:w="694" w:type="pct"/>
            <w:tcBorders>
              <w:top w:val="single" w:sz="4" w:space="0" w:color="000000"/>
              <w:left w:val="single" w:sz="4" w:space="0" w:color="000000"/>
              <w:bottom w:val="single" w:sz="4" w:space="0" w:color="000000"/>
              <w:right w:val="single" w:sz="4" w:space="0" w:color="000000"/>
            </w:tcBorders>
            <w:vAlign w:val="center"/>
          </w:tcPr>
          <w:p w14:paraId="4B90A02E" w14:textId="77777777" w:rsidR="00376050" w:rsidRPr="00EA24AA" w:rsidRDefault="00376050" w:rsidP="00EA24AA">
            <w:pPr>
              <w:spacing w:after="0"/>
              <w:ind w:firstLine="720"/>
              <w:jc w:val="center"/>
              <w:rPr>
                <w:rFonts w:ascii="Arial" w:hAnsi="Arial" w:cs="Arial"/>
                <w:b/>
                <w:bCs/>
                <w:noProof/>
                <w:color w:val="538135"/>
                <w:sz w:val="20"/>
                <w:szCs w:val="20"/>
              </w:rPr>
            </w:pP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065DF136" w14:textId="77777777" w:rsidR="00376050" w:rsidRPr="00A668BF" w:rsidRDefault="00376050" w:rsidP="00EA24AA">
            <w:pPr>
              <w:spacing w:after="0"/>
              <w:rPr>
                <w:rFonts w:ascii="Arial Narrow" w:hAnsi="Arial Narrow" w:cs="Arial"/>
                <w:b/>
                <w:bCs/>
                <w:noProof/>
                <w:sz w:val="20"/>
                <w:szCs w:val="20"/>
              </w:rPr>
            </w:pPr>
            <w:r w:rsidRPr="00A668BF">
              <w:rPr>
                <w:rFonts w:ascii="Arial Narrow" w:hAnsi="Arial Narrow" w:cs="Arial"/>
                <w:b/>
                <w:bCs/>
                <w:noProof/>
                <w:sz w:val="20"/>
                <w:szCs w:val="20"/>
              </w:rPr>
              <w:t>Año</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5CFB58B1" w14:textId="77777777" w:rsidR="00376050" w:rsidRPr="00A668BF" w:rsidRDefault="00376050" w:rsidP="00EA24AA">
            <w:pPr>
              <w:spacing w:after="0"/>
              <w:rPr>
                <w:rFonts w:ascii="Arial Narrow" w:hAnsi="Arial Narrow" w:cs="Arial"/>
                <w:b/>
                <w:bCs/>
                <w:noProof/>
                <w:sz w:val="20"/>
                <w:szCs w:val="20"/>
              </w:rPr>
            </w:pPr>
            <w:r w:rsidRPr="00A668BF">
              <w:rPr>
                <w:rFonts w:ascii="Arial Narrow" w:hAnsi="Arial Narrow" w:cs="Arial"/>
                <w:b/>
                <w:bCs/>
                <w:noProof/>
                <w:sz w:val="20"/>
                <w:szCs w:val="20"/>
              </w:rPr>
              <w:t>Total nacional</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3186615B" w14:textId="77777777" w:rsidR="00376050" w:rsidRPr="00A668BF" w:rsidRDefault="00376050" w:rsidP="00EA24AA">
            <w:pPr>
              <w:spacing w:after="0"/>
              <w:rPr>
                <w:rFonts w:ascii="Arial Narrow" w:hAnsi="Arial Narrow" w:cs="Arial"/>
                <w:b/>
                <w:bCs/>
                <w:noProof/>
                <w:sz w:val="20"/>
                <w:szCs w:val="20"/>
              </w:rPr>
            </w:pPr>
            <w:r w:rsidRPr="00A668BF">
              <w:rPr>
                <w:rFonts w:ascii="Arial Narrow" w:hAnsi="Arial Narrow" w:cs="Arial"/>
                <w:b/>
                <w:bCs/>
                <w:noProof/>
                <w:sz w:val="20"/>
                <w:szCs w:val="20"/>
              </w:rPr>
              <w:t>Instituciones</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0B51BED9" w14:textId="77777777" w:rsidR="00376050" w:rsidRPr="00A668BF" w:rsidRDefault="00376050" w:rsidP="00EA24AA">
            <w:pPr>
              <w:spacing w:after="0"/>
              <w:rPr>
                <w:rFonts w:ascii="Arial Narrow" w:hAnsi="Arial Narrow" w:cs="Arial"/>
                <w:b/>
                <w:bCs/>
                <w:noProof/>
                <w:sz w:val="20"/>
                <w:szCs w:val="20"/>
              </w:rPr>
            </w:pPr>
            <w:r w:rsidRPr="00A668BF">
              <w:rPr>
                <w:rFonts w:ascii="Arial Narrow" w:hAnsi="Arial Narrow" w:cs="Arial"/>
                <w:b/>
                <w:bCs/>
                <w:noProof/>
                <w:sz w:val="20"/>
                <w:szCs w:val="20"/>
              </w:rPr>
              <w:t>Sexo</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5A1335B1" w14:textId="77777777" w:rsidR="00376050" w:rsidRPr="00A668BF" w:rsidRDefault="00376050" w:rsidP="00EA24AA">
            <w:pPr>
              <w:spacing w:after="0"/>
              <w:rPr>
                <w:rFonts w:ascii="Arial Narrow" w:hAnsi="Arial Narrow" w:cs="Arial"/>
                <w:b/>
                <w:bCs/>
                <w:noProof/>
              </w:rPr>
            </w:pPr>
            <w:r w:rsidRPr="00A668BF">
              <w:rPr>
                <w:rFonts w:ascii="Arial Narrow" w:hAnsi="Arial Narrow" w:cs="Arial"/>
                <w:b/>
                <w:bCs/>
                <w:noProof/>
              </w:rPr>
              <w:t>Grupo</w:t>
            </w:r>
          </w:p>
          <w:p w14:paraId="2DFF9D3F" w14:textId="77777777" w:rsidR="00376050" w:rsidRPr="00A668BF" w:rsidRDefault="00376050" w:rsidP="00EA24AA">
            <w:pPr>
              <w:spacing w:after="0"/>
              <w:ind w:right="313"/>
              <w:rPr>
                <w:rFonts w:ascii="Arial Narrow" w:hAnsi="Arial Narrow" w:cs="Arial"/>
                <w:b/>
                <w:bCs/>
                <w:noProof/>
              </w:rPr>
            </w:pPr>
            <w:r w:rsidRPr="00A668BF">
              <w:rPr>
                <w:rFonts w:ascii="Arial Narrow" w:hAnsi="Arial Narrow" w:cs="Arial"/>
                <w:b/>
                <w:bCs/>
                <w:noProof/>
              </w:rPr>
              <w:t>etnico</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42403A7A" w14:textId="77777777" w:rsidR="00376050" w:rsidRPr="00A668BF" w:rsidRDefault="00376050" w:rsidP="00EA24AA">
            <w:pPr>
              <w:spacing w:after="0"/>
              <w:rPr>
                <w:rFonts w:ascii="Arial Narrow" w:hAnsi="Arial Narrow" w:cs="Arial"/>
                <w:b/>
                <w:bCs/>
                <w:noProof/>
              </w:rPr>
            </w:pPr>
            <w:r w:rsidRPr="00A668BF">
              <w:rPr>
                <w:rFonts w:ascii="Arial Narrow" w:hAnsi="Arial Narrow" w:cs="Arial"/>
                <w:b/>
                <w:bCs/>
                <w:noProof/>
              </w:rPr>
              <w:t>Niñez con discapacidad</w:t>
            </w:r>
          </w:p>
        </w:tc>
      </w:tr>
      <w:tr w:rsidR="00376050" w:rsidRPr="007F6AD7" w14:paraId="53637A6F" w14:textId="77777777" w:rsidTr="00376050">
        <w:tc>
          <w:tcPr>
            <w:tcW w:w="694" w:type="pct"/>
            <w:tcBorders>
              <w:top w:val="single" w:sz="4" w:space="0" w:color="000000"/>
              <w:left w:val="single" w:sz="4" w:space="0" w:color="000000"/>
              <w:bottom w:val="single" w:sz="4" w:space="0" w:color="000000"/>
              <w:right w:val="single" w:sz="4" w:space="0" w:color="000000"/>
            </w:tcBorders>
            <w:vAlign w:val="center"/>
            <w:hideMark/>
          </w:tcPr>
          <w:p w14:paraId="473B36C2" w14:textId="77777777" w:rsidR="00376050" w:rsidRPr="00E40639" w:rsidRDefault="00376050" w:rsidP="00EA24AA">
            <w:pPr>
              <w:spacing w:after="0"/>
              <w:rPr>
                <w:rFonts w:ascii="Arial Narrow" w:hAnsi="Arial Narrow" w:cs="Arial"/>
                <w:sz w:val="20"/>
                <w:szCs w:val="20"/>
              </w:rPr>
            </w:pPr>
            <w:r w:rsidRPr="00E40639">
              <w:rPr>
                <w:rFonts w:ascii="Arial Narrow" w:hAnsi="Arial Narrow" w:cs="Arial"/>
                <w:sz w:val="20"/>
                <w:szCs w:val="20"/>
              </w:rPr>
              <w:t>Adopciones</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45B099E7" w14:textId="77777777" w:rsidR="00376050" w:rsidRPr="00E40639" w:rsidRDefault="00376050" w:rsidP="00EA24AA">
            <w:pPr>
              <w:tabs>
                <w:tab w:val="left" w:pos="540"/>
              </w:tabs>
              <w:spacing w:after="0"/>
              <w:ind w:right="49"/>
              <w:rPr>
                <w:rFonts w:ascii="Arial Narrow" w:hAnsi="Arial Narrow" w:cs="Arial"/>
                <w:b/>
                <w:bCs/>
                <w:noProof/>
                <w:sz w:val="20"/>
                <w:szCs w:val="20"/>
              </w:rPr>
            </w:pPr>
            <w:r w:rsidRPr="00E40639">
              <w:rPr>
                <w:rFonts w:ascii="Arial Narrow" w:hAnsi="Arial Narrow" w:cs="Arial"/>
                <w:b/>
                <w:bCs/>
                <w:noProof/>
                <w:sz w:val="20"/>
                <w:szCs w:val="20"/>
              </w:rPr>
              <w:t>2010-2013 A</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230CFC33" w14:textId="77777777" w:rsidR="00376050" w:rsidRPr="00E40639" w:rsidRDefault="00376050" w:rsidP="00EA24AA">
            <w:pPr>
              <w:tabs>
                <w:tab w:val="left" w:pos="540"/>
              </w:tabs>
              <w:spacing w:after="0"/>
              <w:ind w:right="49"/>
              <w:jc w:val="center"/>
              <w:rPr>
                <w:rFonts w:ascii="Arial Narrow" w:hAnsi="Arial Narrow" w:cs="Arial"/>
                <w:sz w:val="20"/>
                <w:szCs w:val="20"/>
                <w:vertAlign w:val="superscript"/>
              </w:rPr>
            </w:pPr>
            <w:r w:rsidRPr="00E40639">
              <w:rPr>
                <w:rFonts w:ascii="Arial Narrow" w:hAnsi="Arial Narrow" w:cs="Arial"/>
                <w:sz w:val="20"/>
                <w:szCs w:val="20"/>
              </w:rPr>
              <w:t>10</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4433FCBB" w14:textId="77777777" w:rsidR="00376050" w:rsidRPr="00E40639" w:rsidRDefault="00376050" w:rsidP="00EA24AA">
            <w:pPr>
              <w:spacing w:after="0"/>
              <w:ind w:left="-99" w:firstLine="720"/>
              <w:rPr>
                <w:rFonts w:ascii="Arial Narrow" w:hAnsi="Arial Narrow" w:cs="Arial"/>
                <w:b/>
                <w:bCs/>
                <w:noProof/>
                <w:sz w:val="20"/>
                <w:szCs w:val="20"/>
              </w:rPr>
            </w:pPr>
            <w:r w:rsidRPr="00E40639">
              <w:rPr>
                <w:rFonts w:ascii="Arial Narrow" w:hAnsi="Arial Narrow" w:cs="Arial"/>
                <w:b/>
                <w:bCs/>
                <w:noProof/>
                <w:sz w:val="20"/>
                <w:szCs w:val="20"/>
              </w:rPr>
              <w:t>-</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1973615C" w14:textId="77777777" w:rsidR="00376050" w:rsidRPr="00E40639" w:rsidRDefault="00376050" w:rsidP="00EA24AA">
            <w:pPr>
              <w:spacing w:after="0"/>
              <w:ind w:left="-99"/>
              <w:jc w:val="center"/>
              <w:rPr>
                <w:rFonts w:ascii="Arial Narrow" w:hAnsi="Arial Narrow" w:cs="Arial"/>
                <w:sz w:val="20"/>
                <w:szCs w:val="20"/>
              </w:rPr>
            </w:pPr>
            <w:r w:rsidRPr="00E40639">
              <w:rPr>
                <w:rFonts w:ascii="Arial Narrow" w:hAnsi="Arial Narrow" w:cs="Arial"/>
                <w:sz w:val="20"/>
                <w:szCs w:val="20"/>
              </w:rPr>
              <w:t>No reporta</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7A6ACE93" w14:textId="77777777" w:rsidR="00376050" w:rsidRPr="00E40639" w:rsidRDefault="00376050" w:rsidP="00EA24AA">
            <w:pPr>
              <w:spacing w:after="0"/>
              <w:ind w:left="-99" w:firstLine="720"/>
              <w:rPr>
                <w:rFonts w:ascii="Arial Narrow" w:hAnsi="Arial Narrow" w:cs="Arial"/>
              </w:rPr>
            </w:pPr>
            <w:r w:rsidRPr="00E40639">
              <w:rPr>
                <w:rFonts w:ascii="Arial Narrow" w:hAnsi="Arial Narrow" w:cs="Arial"/>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6E83DA88" w14:textId="77777777" w:rsidR="00376050" w:rsidRPr="00E40639" w:rsidRDefault="00376050" w:rsidP="00EA24AA">
            <w:pPr>
              <w:spacing w:after="0" w:line="240" w:lineRule="atLeast"/>
              <w:ind w:left="-101" w:firstLine="720"/>
              <w:rPr>
                <w:rFonts w:ascii="Arial Narrow" w:hAnsi="Arial Narrow" w:cs="Arial"/>
              </w:rPr>
            </w:pPr>
            <w:r w:rsidRPr="00E40639">
              <w:rPr>
                <w:rFonts w:ascii="Arial Narrow" w:hAnsi="Arial Narrow" w:cs="Arial"/>
              </w:rPr>
              <w:t>-</w:t>
            </w:r>
          </w:p>
        </w:tc>
      </w:tr>
      <w:tr w:rsidR="00376050" w:rsidRPr="007F6AD7" w14:paraId="58DAB46D" w14:textId="77777777" w:rsidTr="00376050">
        <w:tc>
          <w:tcPr>
            <w:tcW w:w="694" w:type="pct"/>
            <w:tcBorders>
              <w:top w:val="single" w:sz="4" w:space="0" w:color="000000"/>
              <w:left w:val="single" w:sz="4" w:space="0" w:color="000000"/>
              <w:bottom w:val="single" w:sz="4" w:space="0" w:color="000000"/>
              <w:right w:val="single" w:sz="4" w:space="0" w:color="000000"/>
            </w:tcBorders>
            <w:vAlign w:val="center"/>
            <w:hideMark/>
          </w:tcPr>
          <w:p w14:paraId="2A5CC4E0" w14:textId="77777777" w:rsidR="00376050" w:rsidRPr="00E40639" w:rsidRDefault="00376050">
            <w:pPr>
              <w:rPr>
                <w:rFonts w:ascii="Arial Narrow" w:hAnsi="Arial Narrow" w:cs="Arial"/>
                <w:sz w:val="20"/>
                <w:szCs w:val="20"/>
              </w:rPr>
            </w:pPr>
            <w:r w:rsidRPr="00E40639">
              <w:rPr>
                <w:rFonts w:ascii="Arial Narrow" w:hAnsi="Arial Narrow" w:cs="Arial"/>
                <w:sz w:val="20"/>
                <w:szCs w:val="20"/>
              </w:rPr>
              <w:t>Niños desaparecidos</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43F982F7" w14:textId="4D889DB3" w:rsidR="00376050" w:rsidRPr="00E40639" w:rsidRDefault="00035FC7" w:rsidP="00035FC7">
            <w:pPr>
              <w:tabs>
                <w:tab w:val="left" w:pos="540"/>
              </w:tabs>
              <w:ind w:right="49"/>
              <w:jc w:val="center"/>
              <w:rPr>
                <w:rFonts w:ascii="Arial Narrow" w:hAnsi="Arial Narrow" w:cs="Arial"/>
                <w:sz w:val="20"/>
                <w:szCs w:val="20"/>
              </w:rPr>
            </w:pPr>
            <w:r w:rsidRPr="00E40639">
              <w:rPr>
                <w:rFonts w:ascii="Arial Narrow" w:hAnsi="Arial Narrow" w:cs="Arial"/>
                <w:sz w:val="20"/>
                <w:szCs w:val="20"/>
              </w:rPr>
              <w:t>-</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56222368" w14:textId="77777777" w:rsidR="00376050" w:rsidRPr="00E40639" w:rsidRDefault="00376050">
            <w:pPr>
              <w:tabs>
                <w:tab w:val="left" w:pos="540"/>
              </w:tabs>
              <w:ind w:right="49" w:firstLine="720"/>
              <w:rPr>
                <w:rFonts w:ascii="Arial Narrow" w:hAnsi="Arial Narrow" w:cs="Arial"/>
                <w:sz w:val="20"/>
                <w:szCs w:val="20"/>
              </w:rPr>
            </w:pPr>
            <w:r w:rsidRPr="00E40639">
              <w:rPr>
                <w:rFonts w:ascii="Arial Narrow" w:hAnsi="Arial Narrow" w:cs="Arial"/>
                <w:sz w:val="20"/>
                <w:szCs w:val="20"/>
              </w:rPr>
              <w:t>-</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76B53946" w14:textId="77777777" w:rsidR="00376050" w:rsidRPr="00E40639" w:rsidRDefault="00376050">
            <w:pPr>
              <w:ind w:left="-99" w:firstLine="720"/>
              <w:rPr>
                <w:rFonts w:ascii="Arial Narrow" w:hAnsi="Arial Narrow" w:cs="Arial"/>
                <w:b/>
                <w:bCs/>
                <w:noProof/>
                <w:sz w:val="20"/>
                <w:szCs w:val="20"/>
              </w:rPr>
            </w:pPr>
            <w:r w:rsidRPr="00E40639">
              <w:rPr>
                <w:rFonts w:ascii="Arial Narrow" w:hAnsi="Arial Narrow" w:cs="Arial"/>
                <w:b/>
                <w:bCs/>
                <w:noProof/>
                <w:sz w:val="20"/>
                <w:szCs w:val="20"/>
              </w:rPr>
              <w:t>-</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2163333C" w14:textId="77777777" w:rsidR="00376050" w:rsidRPr="00E40639" w:rsidRDefault="00376050" w:rsidP="00035FC7">
            <w:pPr>
              <w:ind w:left="-99" w:firstLine="720"/>
              <w:rPr>
                <w:rFonts w:ascii="Arial Narrow" w:hAnsi="Arial Narrow" w:cs="Arial"/>
                <w:sz w:val="20"/>
                <w:szCs w:val="20"/>
              </w:rPr>
            </w:pPr>
            <w:r w:rsidRPr="00E40639">
              <w:rPr>
                <w:rFonts w:ascii="Arial Narrow" w:hAnsi="Arial Narrow" w:cs="Arial"/>
                <w:sz w:val="20"/>
                <w:szCs w:val="20"/>
              </w:rPr>
              <w:t>-</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75B14190" w14:textId="77777777" w:rsidR="00376050" w:rsidRPr="00E40639" w:rsidRDefault="00376050">
            <w:pPr>
              <w:ind w:left="-99" w:firstLine="720"/>
              <w:rPr>
                <w:rFonts w:ascii="Arial Narrow" w:hAnsi="Arial Narrow" w:cs="Arial"/>
              </w:rPr>
            </w:pPr>
            <w:r w:rsidRPr="00E40639">
              <w:rPr>
                <w:rFonts w:ascii="Arial Narrow" w:hAnsi="Arial Narrow" w:cs="Arial"/>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2C2D1711" w14:textId="77777777" w:rsidR="00376050" w:rsidRPr="00E40639" w:rsidRDefault="00376050">
            <w:pPr>
              <w:ind w:left="-99" w:firstLine="720"/>
              <w:rPr>
                <w:rFonts w:ascii="Arial Narrow" w:hAnsi="Arial Narrow" w:cs="Arial"/>
              </w:rPr>
            </w:pPr>
            <w:r w:rsidRPr="00E40639">
              <w:rPr>
                <w:rFonts w:ascii="Arial Narrow" w:hAnsi="Arial Narrow" w:cs="Arial"/>
              </w:rPr>
              <w:t>-</w:t>
            </w:r>
          </w:p>
        </w:tc>
      </w:tr>
      <w:tr w:rsidR="00376050" w:rsidRPr="007F6AD7" w14:paraId="49601EDE" w14:textId="77777777" w:rsidTr="00376050">
        <w:tc>
          <w:tcPr>
            <w:tcW w:w="694" w:type="pct"/>
            <w:vMerge w:val="restart"/>
            <w:tcBorders>
              <w:top w:val="single" w:sz="4" w:space="0" w:color="000000"/>
              <w:left w:val="single" w:sz="4" w:space="0" w:color="000000"/>
              <w:bottom w:val="single" w:sz="4" w:space="0" w:color="000000"/>
              <w:right w:val="single" w:sz="4" w:space="0" w:color="000000"/>
            </w:tcBorders>
            <w:vAlign w:val="center"/>
            <w:hideMark/>
          </w:tcPr>
          <w:p w14:paraId="59489DDA" w14:textId="77777777" w:rsidR="00376050" w:rsidRPr="00E40639" w:rsidRDefault="00376050">
            <w:pPr>
              <w:rPr>
                <w:rFonts w:ascii="Arial Narrow" w:hAnsi="Arial Narrow" w:cs="Arial"/>
                <w:sz w:val="20"/>
                <w:szCs w:val="20"/>
              </w:rPr>
            </w:pPr>
            <w:r w:rsidRPr="00E40639">
              <w:rPr>
                <w:rFonts w:ascii="Arial Narrow" w:hAnsi="Arial Narrow" w:cs="Arial"/>
                <w:sz w:val="20"/>
                <w:szCs w:val="20"/>
              </w:rPr>
              <w:t>Niños sin amparo familiar</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51DC8F62" w14:textId="77777777" w:rsidR="00376050" w:rsidRPr="00E40639" w:rsidRDefault="00376050">
            <w:pPr>
              <w:tabs>
                <w:tab w:val="left" w:pos="540"/>
              </w:tabs>
              <w:ind w:right="49"/>
              <w:rPr>
                <w:rFonts w:ascii="Arial Narrow" w:hAnsi="Arial Narrow" w:cs="Arial"/>
                <w:sz w:val="20"/>
                <w:szCs w:val="20"/>
              </w:rPr>
            </w:pPr>
            <w:r w:rsidRPr="00E40639">
              <w:rPr>
                <w:rFonts w:ascii="Arial Narrow" w:hAnsi="Arial Narrow" w:cs="Arial"/>
                <w:sz w:val="20"/>
                <w:szCs w:val="20"/>
              </w:rPr>
              <w:t>2014 A</w:t>
            </w:r>
          </w:p>
        </w:tc>
        <w:tc>
          <w:tcPr>
            <w:tcW w:w="806" w:type="pct"/>
            <w:tcBorders>
              <w:top w:val="single" w:sz="4" w:space="0" w:color="000000"/>
              <w:left w:val="single" w:sz="4" w:space="0" w:color="000000"/>
              <w:bottom w:val="single" w:sz="4" w:space="0" w:color="000000"/>
              <w:right w:val="single" w:sz="4" w:space="0" w:color="000000"/>
            </w:tcBorders>
            <w:vAlign w:val="center"/>
          </w:tcPr>
          <w:p w14:paraId="15757E9E" w14:textId="77777777" w:rsidR="00376050" w:rsidRPr="00E40639" w:rsidRDefault="00376050">
            <w:pPr>
              <w:tabs>
                <w:tab w:val="left" w:pos="540"/>
              </w:tabs>
              <w:ind w:right="49"/>
              <w:rPr>
                <w:rFonts w:ascii="Arial Narrow" w:hAnsi="Arial Narrow" w:cs="Arial"/>
                <w:sz w:val="20"/>
                <w:szCs w:val="20"/>
              </w:rPr>
            </w:pPr>
            <w:r w:rsidRPr="00E40639">
              <w:rPr>
                <w:rFonts w:ascii="Arial Narrow" w:hAnsi="Arial Narrow" w:cs="Arial"/>
                <w:sz w:val="20"/>
                <w:szCs w:val="20"/>
              </w:rPr>
              <w:t>401 niñas, niños y adolescentes</w:t>
            </w:r>
          </w:p>
          <w:p w14:paraId="578728F9" w14:textId="77777777" w:rsidR="00376050" w:rsidRPr="00E40639" w:rsidRDefault="00376050">
            <w:pPr>
              <w:ind w:firstLine="720"/>
              <w:jc w:val="center"/>
              <w:rPr>
                <w:rFonts w:ascii="Arial Narrow" w:hAnsi="Arial Narrow" w:cs="Arial"/>
                <w:sz w:val="20"/>
                <w:szCs w:val="20"/>
              </w:rPr>
            </w:pP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773BAD6C" w14:textId="77777777" w:rsidR="00376050" w:rsidRPr="00E40639" w:rsidRDefault="00376050" w:rsidP="00E40639">
            <w:pPr>
              <w:spacing w:after="0"/>
              <w:ind w:left="-101"/>
              <w:rPr>
                <w:rFonts w:ascii="Arial Narrow" w:hAnsi="Arial Narrow" w:cs="Arial"/>
                <w:b/>
                <w:bCs/>
                <w:noProof/>
                <w:sz w:val="20"/>
                <w:szCs w:val="20"/>
              </w:rPr>
            </w:pPr>
            <w:r w:rsidRPr="00E40639">
              <w:rPr>
                <w:rFonts w:ascii="Arial Narrow" w:hAnsi="Arial Narrow" w:cs="Arial"/>
                <w:b/>
                <w:bCs/>
                <w:noProof/>
                <w:sz w:val="20"/>
                <w:szCs w:val="20"/>
              </w:rPr>
              <w:t xml:space="preserve">Total nacional: </w:t>
            </w:r>
            <w:r w:rsidRPr="00E40639">
              <w:rPr>
                <w:rFonts w:ascii="Arial Narrow" w:hAnsi="Arial Narrow" w:cs="Arial"/>
                <w:b/>
                <w:sz w:val="20"/>
                <w:szCs w:val="20"/>
              </w:rPr>
              <w:t>49</w:t>
            </w:r>
          </w:p>
          <w:p w14:paraId="477907B0" w14:textId="0C2E2922"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b/>
                <w:sz w:val="20"/>
                <w:szCs w:val="20"/>
              </w:rPr>
              <w:t>15</w:t>
            </w:r>
            <w:r w:rsidR="00E40639">
              <w:rPr>
                <w:rFonts w:ascii="Arial Narrow" w:hAnsi="Arial Narrow" w:cs="Arial"/>
                <w:b/>
                <w:sz w:val="20"/>
                <w:szCs w:val="20"/>
              </w:rPr>
              <w:t xml:space="preserve"> </w:t>
            </w:r>
            <w:r w:rsidRPr="00E40639">
              <w:rPr>
                <w:rFonts w:ascii="Arial Narrow" w:hAnsi="Arial Narrow" w:cs="Arial"/>
                <w:sz w:val="20"/>
                <w:szCs w:val="20"/>
              </w:rPr>
              <w:t>con infantes de 0 a 6 años edad</w:t>
            </w:r>
          </w:p>
          <w:p w14:paraId="0928C3BB" w14:textId="0CDCC2E9"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b/>
                <w:sz w:val="20"/>
                <w:szCs w:val="20"/>
              </w:rPr>
              <w:t>34</w:t>
            </w:r>
            <w:r w:rsidR="00E40639">
              <w:rPr>
                <w:rFonts w:ascii="Arial Narrow" w:hAnsi="Arial Narrow" w:cs="Arial"/>
                <w:b/>
                <w:sz w:val="20"/>
                <w:szCs w:val="20"/>
              </w:rPr>
              <w:t xml:space="preserve"> </w:t>
            </w:r>
            <w:r w:rsidRPr="00E40639">
              <w:rPr>
                <w:rFonts w:ascii="Arial Narrow" w:hAnsi="Arial Narrow" w:cs="Arial"/>
                <w:sz w:val="20"/>
                <w:szCs w:val="20"/>
              </w:rPr>
              <w:t>con edades de 7 a 17 años edad</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7BE999C6" w14:textId="77777777" w:rsidR="00376050" w:rsidRPr="00E40639" w:rsidRDefault="00376050" w:rsidP="00035FC7">
            <w:pPr>
              <w:ind w:left="-99"/>
              <w:jc w:val="center"/>
              <w:rPr>
                <w:rFonts w:ascii="Arial Narrow" w:hAnsi="Arial Narrow" w:cs="Arial"/>
                <w:sz w:val="20"/>
                <w:szCs w:val="20"/>
              </w:rPr>
            </w:pPr>
            <w:r w:rsidRPr="00E40639">
              <w:rPr>
                <w:rFonts w:ascii="Arial Narrow" w:hAnsi="Arial Narrow" w:cs="Arial"/>
                <w:sz w:val="20"/>
                <w:szCs w:val="20"/>
              </w:rPr>
              <w:t>No reporta</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4BBD2DA6" w14:textId="77777777" w:rsidR="00376050" w:rsidRPr="00E40639" w:rsidRDefault="00376050">
            <w:pPr>
              <w:ind w:left="-99" w:firstLine="720"/>
              <w:rPr>
                <w:rFonts w:ascii="Arial Narrow" w:hAnsi="Arial Narrow" w:cs="Arial"/>
              </w:rPr>
            </w:pPr>
            <w:r w:rsidRPr="00E40639">
              <w:rPr>
                <w:rFonts w:ascii="Arial Narrow" w:hAnsi="Arial Narrow" w:cs="Arial"/>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338D28B9" w14:textId="77777777" w:rsidR="00376050" w:rsidRPr="00E40639" w:rsidRDefault="00376050">
            <w:pPr>
              <w:ind w:left="-99" w:firstLine="720"/>
              <w:rPr>
                <w:rFonts w:ascii="Arial Narrow" w:hAnsi="Arial Narrow" w:cs="Arial"/>
              </w:rPr>
            </w:pPr>
            <w:r w:rsidRPr="00E40639">
              <w:rPr>
                <w:rFonts w:ascii="Arial Narrow" w:hAnsi="Arial Narrow" w:cs="Arial"/>
              </w:rPr>
              <w:t>-</w:t>
            </w:r>
          </w:p>
        </w:tc>
      </w:tr>
      <w:tr w:rsidR="00376050" w:rsidRPr="007F6AD7" w14:paraId="1FED5313" w14:textId="77777777" w:rsidTr="00376050">
        <w:trPr>
          <w:trHeight w:val="13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8D0670" w14:textId="77777777" w:rsidR="00376050" w:rsidRPr="00E40639" w:rsidRDefault="00376050" w:rsidP="00E40639">
            <w:pPr>
              <w:spacing w:after="0" w:line="240" w:lineRule="auto"/>
              <w:rPr>
                <w:rFonts w:ascii="Arial Narrow" w:hAnsi="Arial Narrow" w:cs="Arial"/>
                <w:sz w:val="20"/>
                <w:szCs w:val="20"/>
              </w:rPr>
            </w:pP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483CBDB8" w14:textId="77777777" w:rsidR="00376050" w:rsidRPr="00E40639" w:rsidRDefault="00376050" w:rsidP="00E40639">
            <w:pPr>
              <w:tabs>
                <w:tab w:val="left" w:pos="540"/>
              </w:tabs>
              <w:spacing w:after="0"/>
              <w:ind w:right="49"/>
              <w:rPr>
                <w:rFonts w:ascii="Arial Narrow" w:hAnsi="Arial Narrow" w:cs="Arial"/>
                <w:sz w:val="20"/>
                <w:szCs w:val="20"/>
              </w:rPr>
            </w:pPr>
            <w:r w:rsidRPr="00E40639">
              <w:rPr>
                <w:rFonts w:ascii="Arial Narrow" w:hAnsi="Arial Narrow" w:cs="Arial"/>
                <w:sz w:val="20"/>
                <w:szCs w:val="20"/>
              </w:rPr>
              <w:t>Enero</w:t>
            </w:r>
          </w:p>
          <w:p w14:paraId="5D471D2D" w14:textId="77777777" w:rsidR="00376050" w:rsidRPr="00E40639" w:rsidRDefault="00376050" w:rsidP="00E40639">
            <w:pPr>
              <w:tabs>
                <w:tab w:val="left" w:pos="540"/>
              </w:tabs>
              <w:spacing w:after="0"/>
              <w:ind w:right="49"/>
              <w:rPr>
                <w:rFonts w:ascii="Arial Narrow" w:hAnsi="Arial Narrow" w:cs="Arial"/>
                <w:sz w:val="20"/>
                <w:szCs w:val="20"/>
              </w:rPr>
            </w:pPr>
            <w:r w:rsidRPr="00E40639">
              <w:rPr>
                <w:rFonts w:ascii="Arial Narrow" w:hAnsi="Arial Narrow" w:cs="Arial"/>
                <w:sz w:val="20"/>
                <w:szCs w:val="20"/>
              </w:rPr>
              <w:t>2018 B</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0C371F51" w14:textId="77777777" w:rsidR="00376050" w:rsidRPr="00E40639" w:rsidRDefault="00376050" w:rsidP="00E40639">
            <w:pPr>
              <w:spacing w:after="0" w:line="240" w:lineRule="exact"/>
              <w:jc w:val="center"/>
              <w:rPr>
                <w:rFonts w:ascii="Arial Narrow" w:hAnsi="Arial Narrow" w:cs="Arial"/>
                <w:sz w:val="20"/>
                <w:szCs w:val="20"/>
              </w:rPr>
            </w:pPr>
            <w:r w:rsidRPr="00E40639">
              <w:rPr>
                <w:rFonts w:ascii="Arial Narrow" w:hAnsi="Arial Narrow" w:cs="Arial"/>
                <w:sz w:val="20"/>
                <w:szCs w:val="20"/>
              </w:rPr>
              <w:t>No  reporta</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39B92358" w14:textId="77777777"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sz w:val="20"/>
                <w:szCs w:val="20"/>
              </w:rPr>
              <w:t>Total Provincial</w:t>
            </w:r>
          </w:p>
          <w:p w14:paraId="0E8DB44C" w14:textId="77777777"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sz w:val="20"/>
                <w:szCs w:val="20"/>
              </w:rPr>
              <w:t>La Habana</w:t>
            </w:r>
            <w:r w:rsidRPr="00E40639">
              <w:rPr>
                <w:rFonts w:ascii="Arial Narrow" w:hAnsi="Arial Narrow" w:cs="Arial"/>
                <w:b/>
                <w:sz w:val="20"/>
                <w:szCs w:val="20"/>
              </w:rPr>
              <w:t>: 9</w:t>
            </w:r>
          </w:p>
          <w:p w14:paraId="6D4A8C77" w14:textId="77777777"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b/>
                <w:sz w:val="20"/>
                <w:szCs w:val="20"/>
              </w:rPr>
              <w:t>4</w:t>
            </w:r>
            <w:r w:rsidRPr="00E40639">
              <w:rPr>
                <w:rFonts w:ascii="Arial Narrow" w:hAnsi="Arial Narrow" w:cs="Arial"/>
                <w:sz w:val="20"/>
                <w:szCs w:val="20"/>
              </w:rPr>
              <w:t xml:space="preserve"> con infantes de 0 hasta 6 años edad</w:t>
            </w:r>
          </w:p>
          <w:p w14:paraId="5FFBAEA9" w14:textId="77777777" w:rsidR="00376050" w:rsidRPr="00E40639" w:rsidRDefault="00376050" w:rsidP="00E40639">
            <w:pPr>
              <w:spacing w:after="0"/>
              <w:ind w:left="-101"/>
              <w:rPr>
                <w:rFonts w:ascii="Arial Narrow" w:hAnsi="Arial Narrow" w:cs="Arial"/>
                <w:sz w:val="20"/>
                <w:szCs w:val="20"/>
              </w:rPr>
            </w:pPr>
            <w:r w:rsidRPr="00E40639">
              <w:rPr>
                <w:rFonts w:ascii="Arial Narrow" w:hAnsi="Arial Narrow" w:cs="Arial"/>
                <w:b/>
                <w:sz w:val="20"/>
                <w:szCs w:val="20"/>
              </w:rPr>
              <w:t>5</w:t>
            </w:r>
            <w:r w:rsidRPr="00E40639">
              <w:rPr>
                <w:rFonts w:ascii="Arial Narrow" w:hAnsi="Arial Narrow" w:cs="Arial"/>
                <w:sz w:val="20"/>
                <w:szCs w:val="20"/>
              </w:rPr>
              <w:t xml:space="preserve"> con edades de 7 a 17 años</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556865EE" w14:textId="77777777" w:rsidR="00376050" w:rsidRPr="00E40639" w:rsidRDefault="00376050" w:rsidP="00E40639">
            <w:pPr>
              <w:spacing w:after="0"/>
              <w:jc w:val="center"/>
              <w:rPr>
                <w:rFonts w:ascii="Arial Narrow" w:hAnsi="Arial Narrow" w:cs="Arial"/>
                <w:sz w:val="20"/>
                <w:szCs w:val="20"/>
              </w:rPr>
            </w:pPr>
            <w:r w:rsidRPr="00E40639">
              <w:rPr>
                <w:rFonts w:ascii="Arial Narrow" w:hAnsi="Arial Narrow" w:cs="Arial"/>
                <w:sz w:val="20"/>
                <w:szCs w:val="20"/>
              </w:rPr>
              <w:t>No reporta</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211B41D1" w14:textId="77777777" w:rsidR="00376050" w:rsidRPr="00E40639" w:rsidRDefault="00376050" w:rsidP="00E40639">
            <w:pPr>
              <w:spacing w:after="0"/>
              <w:ind w:firstLine="720"/>
              <w:rPr>
                <w:rFonts w:ascii="Arial Narrow" w:hAnsi="Arial Narrow" w:cs="Arial"/>
              </w:rPr>
            </w:pPr>
            <w:r w:rsidRPr="00E40639">
              <w:rPr>
                <w:rFonts w:ascii="Arial Narrow" w:hAnsi="Arial Narrow" w:cs="Arial"/>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2DB8A70C" w14:textId="77777777" w:rsidR="00376050" w:rsidRPr="00E40639" w:rsidRDefault="00376050" w:rsidP="00E40639">
            <w:pPr>
              <w:spacing w:after="0"/>
              <w:ind w:left="-104" w:firstLine="720"/>
              <w:rPr>
                <w:rFonts w:ascii="Arial Narrow" w:hAnsi="Arial Narrow" w:cs="Arial"/>
              </w:rPr>
            </w:pPr>
            <w:r w:rsidRPr="00E40639">
              <w:rPr>
                <w:rFonts w:ascii="Arial Narrow" w:hAnsi="Arial Narrow" w:cs="Arial"/>
              </w:rPr>
              <w:t>-</w:t>
            </w:r>
          </w:p>
        </w:tc>
      </w:tr>
      <w:tr w:rsidR="00376050" w:rsidRPr="00A668BF" w14:paraId="071DF4E7" w14:textId="77777777" w:rsidTr="00376050">
        <w:tc>
          <w:tcPr>
            <w:tcW w:w="694" w:type="pct"/>
            <w:tcBorders>
              <w:top w:val="single" w:sz="4" w:space="0" w:color="000000"/>
              <w:left w:val="single" w:sz="4" w:space="0" w:color="000000"/>
              <w:bottom w:val="single" w:sz="4" w:space="0" w:color="000000"/>
              <w:right w:val="single" w:sz="4" w:space="0" w:color="000000"/>
            </w:tcBorders>
            <w:vAlign w:val="center"/>
            <w:hideMark/>
          </w:tcPr>
          <w:p w14:paraId="6E98BFF7" w14:textId="67B6F3A6" w:rsidR="00376050" w:rsidRPr="00A668BF" w:rsidRDefault="00376050" w:rsidP="00A668BF">
            <w:pPr>
              <w:rPr>
                <w:rFonts w:ascii="Arial Narrow" w:hAnsi="Arial Narrow" w:cs="Arial"/>
                <w:sz w:val="20"/>
                <w:szCs w:val="20"/>
              </w:rPr>
            </w:pPr>
            <w:r w:rsidRPr="00A668BF">
              <w:rPr>
                <w:rFonts w:ascii="Arial Narrow" w:hAnsi="Arial Narrow" w:cs="Arial"/>
                <w:sz w:val="20"/>
                <w:szCs w:val="20"/>
              </w:rPr>
              <w:t>Niñ</w:t>
            </w:r>
            <w:r w:rsidR="009175EA" w:rsidRPr="00A668BF">
              <w:rPr>
                <w:rFonts w:ascii="Arial Narrow" w:hAnsi="Arial Narrow" w:cs="Arial"/>
                <w:sz w:val="20"/>
                <w:szCs w:val="20"/>
              </w:rPr>
              <w:t>ez</w:t>
            </w:r>
            <w:r w:rsidRPr="00A668BF">
              <w:rPr>
                <w:rFonts w:ascii="Arial Narrow" w:hAnsi="Arial Narrow" w:cs="Arial"/>
                <w:sz w:val="20"/>
                <w:szCs w:val="20"/>
              </w:rPr>
              <w:t xml:space="preserve"> </w:t>
            </w:r>
            <w:r w:rsidR="004736E6" w:rsidRPr="00A668BF">
              <w:rPr>
                <w:rFonts w:ascii="Arial Narrow" w:hAnsi="Arial Narrow" w:cs="Arial"/>
                <w:sz w:val="20"/>
                <w:szCs w:val="20"/>
              </w:rPr>
              <w:t>en conflicto con</w:t>
            </w:r>
            <w:r w:rsidRPr="00A668BF">
              <w:rPr>
                <w:rFonts w:ascii="Arial Narrow" w:hAnsi="Arial Narrow" w:cs="Arial"/>
                <w:sz w:val="20"/>
                <w:szCs w:val="20"/>
              </w:rPr>
              <w:t xml:space="preserve"> </w:t>
            </w:r>
            <w:r w:rsidR="001B6280" w:rsidRPr="00A668BF">
              <w:rPr>
                <w:rFonts w:ascii="Arial Narrow" w:hAnsi="Arial Narrow" w:cs="Arial"/>
                <w:sz w:val="20"/>
                <w:szCs w:val="20"/>
              </w:rPr>
              <w:t>la ley</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5B5ACC07" w14:textId="77777777" w:rsidR="00376050" w:rsidRPr="00A668BF" w:rsidRDefault="00376050" w:rsidP="00A668BF">
            <w:pPr>
              <w:tabs>
                <w:tab w:val="left" w:pos="540"/>
              </w:tabs>
              <w:ind w:right="49"/>
              <w:rPr>
                <w:rFonts w:ascii="Arial Narrow" w:hAnsi="Arial Narrow" w:cs="Arial"/>
                <w:sz w:val="20"/>
                <w:szCs w:val="20"/>
              </w:rPr>
            </w:pPr>
            <w:r w:rsidRPr="00A668BF">
              <w:rPr>
                <w:rFonts w:ascii="Arial Narrow" w:hAnsi="Arial Narrow" w:cs="Arial"/>
                <w:sz w:val="20"/>
                <w:szCs w:val="20"/>
              </w:rPr>
              <w:t>2013C</w:t>
            </w:r>
          </w:p>
          <w:p w14:paraId="75094C2E" w14:textId="2F24F82F" w:rsidR="009175EA" w:rsidRPr="00A668BF" w:rsidRDefault="009175EA" w:rsidP="00A668BF">
            <w:pPr>
              <w:tabs>
                <w:tab w:val="left" w:pos="540"/>
              </w:tabs>
              <w:ind w:right="49"/>
              <w:rPr>
                <w:rFonts w:ascii="Arial Narrow" w:hAnsi="Arial Narrow" w:cs="Arial"/>
                <w:sz w:val="20"/>
                <w:szCs w:val="20"/>
              </w:rPr>
            </w:pPr>
            <w:r w:rsidRPr="00A668BF">
              <w:rPr>
                <w:rFonts w:ascii="Arial Narrow" w:hAnsi="Arial Narrow" w:cs="Arial"/>
                <w:sz w:val="20"/>
                <w:szCs w:val="20"/>
              </w:rPr>
              <w:t>2017 F</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00BC7ED2" w14:textId="77777777" w:rsidR="00376050" w:rsidRPr="00A668BF" w:rsidRDefault="00376050" w:rsidP="00A668BF">
            <w:pPr>
              <w:jc w:val="center"/>
              <w:rPr>
                <w:rFonts w:ascii="Arial Narrow" w:hAnsi="Arial Narrow" w:cs="Arial"/>
                <w:sz w:val="20"/>
                <w:szCs w:val="20"/>
              </w:rPr>
            </w:pPr>
            <w:r w:rsidRPr="00A668BF">
              <w:rPr>
                <w:rFonts w:ascii="Arial Narrow" w:hAnsi="Arial Narrow" w:cs="Arial"/>
                <w:sz w:val="20"/>
                <w:szCs w:val="20"/>
              </w:rPr>
              <w:t>No reporta</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5A59E660" w14:textId="77777777" w:rsidR="00376050" w:rsidRPr="00A668BF" w:rsidRDefault="00376050" w:rsidP="00A668BF">
            <w:pPr>
              <w:ind w:left="-101"/>
              <w:jc w:val="center"/>
              <w:rPr>
                <w:rFonts w:ascii="Arial Narrow" w:hAnsi="Arial Narrow" w:cs="Arial"/>
                <w:sz w:val="20"/>
                <w:szCs w:val="20"/>
              </w:rPr>
            </w:pPr>
            <w:r w:rsidRPr="00A668BF">
              <w:rPr>
                <w:rFonts w:ascii="Arial Narrow" w:hAnsi="Arial Narrow" w:cs="Arial"/>
                <w:sz w:val="20"/>
                <w:szCs w:val="20"/>
              </w:rPr>
              <w:t>12</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45E7D189" w14:textId="77777777" w:rsidR="00376050" w:rsidRPr="00A668BF" w:rsidRDefault="00376050" w:rsidP="00A668BF">
            <w:pPr>
              <w:ind w:left="-99" w:firstLine="720"/>
              <w:rPr>
                <w:rFonts w:ascii="Arial Narrow" w:hAnsi="Arial Narrow" w:cs="Arial"/>
                <w:sz w:val="20"/>
                <w:szCs w:val="20"/>
              </w:rPr>
            </w:pPr>
            <w:r w:rsidRPr="00A668BF">
              <w:rPr>
                <w:rFonts w:ascii="Arial Narrow" w:hAnsi="Arial Narrow" w:cs="Arial"/>
                <w:sz w:val="20"/>
                <w:szCs w:val="20"/>
              </w:rPr>
              <w:t>-</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695E3FD8" w14:textId="77777777" w:rsidR="00376050" w:rsidRPr="00A668BF" w:rsidRDefault="00376050" w:rsidP="00A668BF">
            <w:pPr>
              <w:ind w:firstLine="720"/>
              <w:rPr>
                <w:rFonts w:ascii="Arial Narrow" w:hAnsi="Arial Narrow" w:cs="Arial"/>
                <w:sz w:val="20"/>
                <w:szCs w:val="20"/>
              </w:rPr>
            </w:pPr>
            <w:r w:rsidRPr="00A668BF">
              <w:rPr>
                <w:rFonts w:ascii="Arial Narrow" w:hAnsi="Arial Narrow" w:cs="Arial"/>
                <w:sz w:val="20"/>
                <w:szCs w:val="20"/>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5FC441D2" w14:textId="77777777" w:rsidR="00376050" w:rsidRPr="00A668BF" w:rsidRDefault="00376050" w:rsidP="00A668BF">
            <w:pPr>
              <w:ind w:left="-104" w:firstLine="720"/>
              <w:rPr>
                <w:rFonts w:ascii="Arial Narrow" w:hAnsi="Arial Narrow" w:cs="Arial"/>
                <w:sz w:val="20"/>
                <w:szCs w:val="20"/>
              </w:rPr>
            </w:pPr>
            <w:r w:rsidRPr="00A668BF">
              <w:rPr>
                <w:rFonts w:ascii="Arial Narrow" w:hAnsi="Arial Narrow" w:cs="Arial"/>
                <w:sz w:val="20"/>
                <w:szCs w:val="20"/>
              </w:rPr>
              <w:t>-</w:t>
            </w:r>
          </w:p>
        </w:tc>
      </w:tr>
      <w:tr w:rsidR="00376050" w:rsidRPr="007F6AD7" w14:paraId="1F0C1E9D" w14:textId="77777777" w:rsidTr="00376050">
        <w:tc>
          <w:tcPr>
            <w:tcW w:w="694" w:type="pct"/>
            <w:tcBorders>
              <w:top w:val="single" w:sz="4" w:space="0" w:color="000000"/>
              <w:left w:val="single" w:sz="4" w:space="0" w:color="000000"/>
              <w:bottom w:val="single" w:sz="4" w:space="0" w:color="000000"/>
              <w:right w:val="single" w:sz="4" w:space="0" w:color="000000"/>
            </w:tcBorders>
            <w:vAlign w:val="center"/>
            <w:hideMark/>
          </w:tcPr>
          <w:p w14:paraId="2348ECB4" w14:textId="77777777" w:rsidR="00376050" w:rsidRPr="00E40639" w:rsidRDefault="00376050">
            <w:pPr>
              <w:spacing w:line="240" w:lineRule="exact"/>
              <w:rPr>
                <w:rFonts w:ascii="Arial Narrow" w:hAnsi="Arial Narrow" w:cs="Arial"/>
                <w:sz w:val="20"/>
                <w:szCs w:val="20"/>
              </w:rPr>
            </w:pPr>
            <w:r w:rsidRPr="00E40639">
              <w:rPr>
                <w:rFonts w:ascii="Arial Narrow" w:hAnsi="Arial Narrow" w:cs="Arial"/>
                <w:sz w:val="20"/>
                <w:szCs w:val="20"/>
              </w:rPr>
              <w:lastRenderedPageBreak/>
              <w:t>Niños LGBTI expulsados del hogar</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3FAD845E" w14:textId="77777777" w:rsidR="00376050" w:rsidRPr="00E40639" w:rsidRDefault="00376050" w:rsidP="00035FC7">
            <w:pPr>
              <w:tabs>
                <w:tab w:val="left" w:pos="540"/>
              </w:tabs>
              <w:ind w:right="49"/>
              <w:jc w:val="center"/>
              <w:rPr>
                <w:rFonts w:ascii="Arial Narrow" w:hAnsi="Arial Narrow" w:cs="Arial"/>
                <w:sz w:val="20"/>
                <w:szCs w:val="20"/>
              </w:rPr>
            </w:pPr>
            <w:r w:rsidRPr="00E40639">
              <w:rPr>
                <w:rFonts w:ascii="Arial Narrow" w:hAnsi="Arial Narrow" w:cs="Arial"/>
                <w:sz w:val="20"/>
                <w:szCs w:val="20"/>
              </w:rPr>
              <w:t>-</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7EBBCEDB" w14:textId="77777777" w:rsidR="00376050" w:rsidRPr="00E40639" w:rsidRDefault="00376050">
            <w:pPr>
              <w:tabs>
                <w:tab w:val="left" w:pos="540"/>
              </w:tabs>
              <w:spacing w:line="240" w:lineRule="exact"/>
              <w:ind w:right="49" w:firstLine="720"/>
              <w:rPr>
                <w:rFonts w:ascii="Arial Narrow" w:hAnsi="Arial Narrow" w:cs="Arial"/>
                <w:sz w:val="20"/>
                <w:szCs w:val="20"/>
              </w:rPr>
            </w:pPr>
            <w:r w:rsidRPr="00E40639">
              <w:rPr>
                <w:rFonts w:ascii="Arial Narrow" w:hAnsi="Arial Narrow" w:cs="Arial"/>
                <w:sz w:val="20"/>
                <w:szCs w:val="20"/>
              </w:rPr>
              <w:t>-</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05FB970E" w14:textId="77777777" w:rsidR="00376050" w:rsidRPr="00E40639" w:rsidRDefault="00376050">
            <w:pPr>
              <w:spacing w:line="240" w:lineRule="exact"/>
              <w:ind w:left="-104" w:firstLine="720"/>
              <w:rPr>
                <w:rFonts w:ascii="Arial Narrow" w:hAnsi="Arial Narrow" w:cs="Arial"/>
                <w:b/>
                <w:sz w:val="20"/>
                <w:szCs w:val="20"/>
              </w:rPr>
            </w:pPr>
            <w:r w:rsidRPr="00E40639">
              <w:rPr>
                <w:rFonts w:ascii="Arial Narrow" w:hAnsi="Arial Narrow" w:cs="Arial"/>
                <w:b/>
                <w:sz w:val="20"/>
                <w:szCs w:val="20"/>
              </w:rPr>
              <w:t>-</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1FDEB25B" w14:textId="77777777" w:rsidR="00376050" w:rsidRPr="00E40639" w:rsidRDefault="00376050">
            <w:pPr>
              <w:spacing w:line="240" w:lineRule="exact"/>
              <w:ind w:left="-99" w:firstLine="720"/>
              <w:rPr>
                <w:rFonts w:ascii="Arial Narrow" w:hAnsi="Arial Narrow" w:cs="Arial"/>
                <w:sz w:val="20"/>
                <w:szCs w:val="20"/>
              </w:rPr>
            </w:pPr>
            <w:r w:rsidRPr="00E40639">
              <w:rPr>
                <w:rFonts w:ascii="Arial Narrow" w:hAnsi="Arial Narrow" w:cs="Arial"/>
                <w:sz w:val="20"/>
                <w:szCs w:val="20"/>
              </w:rPr>
              <w:t>-</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3D6CFE5D" w14:textId="77777777" w:rsidR="00376050" w:rsidRPr="00E40639" w:rsidRDefault="00376050">
            <w:pPr>
              <w:spacing w:line="240" w:lineRule="exact"/>
              <w:ind w:firstLine="720"/>
              <w:rPr>
                <w:rFonts w:ascii="Arial Narrow" w:hAnsi="Arial Narrow" w:cs="Arial"/>
              </w:rPr>
            </w:pPr>
            <w:r w:rsidRPr="00E40639">
              <w:rPr>
                <w:rFonts w:ascii="Arial Narrow" w:hAnsi="Arial Narrow" w:cs="Arial"/>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1966FD32" w14:textId="77777777" w:rsidR="00376050" w:rsidRPr="00E40639" w:rsidRDefault="00376050">
            <w:pPr>
              <w:spacing w:line="240" w:lineRule="exact"/>
              <w:ind w:left="-104" w:firstLine="720"/>
              <w:rPr>
                <w:rFonts w:ascii="Arial Narrow" w:hAnsi="Arial Narrow" w:cs="Arial"/>
              </w:rPr>
            </w:pPr>
            <w:r w:rsidRPr="00E40639">
              <w:rPr>
                <w:rFonts w:ascii="Arial Narrow" w:hAnsi="Arial Narrow" w:cs="Arial"/>
              </w:rPr>
              <w:t>-</w:t>
            </w:r>
          </w:p>
        </w:tc>
      </w:tr>
      <w:tr w:rsidR="00376050" w:rsidRPr="007F6AD7" w14:paraId="17660BF4" w14:textId="77777777" w:rsidTr="00376050">
        <w:tc>
          <w:tcPr>
            <w:tcW w:w="694" w:type="pct"/>
            <w:tcBorders>
              <w:top w:val="single" w:sz="4" w:space="0" w:color="000000"/>
              <w:left w:val="single" w:sz="4" w:space="0" w:color="000000"/>
              <w:bottom w:val="single" w:sz="4" w:space="0" w:color="000000"/>
              <w:right w:val="single" w:sz="4" w:space="0" w:color="000000"/>
            </w:tcBorders>
            <w:hideMark/>
          </w:tcPr>
          <w:p w14:paraId="0EF077D9" w14:textId="2D28904C" w:rsidR="00376050" w:rsidRPr="00E40639" w:rsidRDefault="00376050">
            <w:pPr>
              <w:spacing w:line="240" w:lineRule="exact"/>
              <w:rPr>
                <w:rFonts w:ascii="Arial Narrow" w:hAnsi="Arial Narrow" w:cs="Arial"/>
                <w:sz w:val="20"/>
                <w:szCs w:val="20"/>
              </w:rPr>
            </w:pPr>
            <w:r w:rsidRPr="00E40639">
              <w:rPr>
                <w:rFonts w:ascii="Arial Narrow" w:hAnsi="Arial Narrow" w:cs="Arial"/>
                <w:sz w:val="20"/>
                <w:szCs w:val="20"/>
              </w:rPr>
              <w:t>Niños con un progenitor</w:t>
            </w:r>
            <w:r w:rsidR="00A06A6A">
              <w:rPr>
                <w:rFonts w:ascii="Arial Narrow" w:hAnsi="Arial Narrow" w:cs="Arial"/>
                <w:sz w:val="20"/>
                <w:szCs w:val="20"/>
              </w:rPr>
              <w:t xml:space="preserve"> en prisión</w:t>
            </w:r>
          </w:p>
        </w:tc>
        <w:tc>
          <w:tcPr>
            <w:tcW w:w="482" w:type="pct"/>
            <w:tcBorders>
              <w:top w:val="single" w:sz="4" w:space="0" w:color="000000"/>
              <w:left w:val="single" w:sz="4" w:space="0" w:color="000000"/>
              <w:bottom w:val="single" w:sz="4" w:space="0" w:color="000000"/>
              <w:right w:val="single" w:sz="4" w:space="0" w:color="000000"/>
            </w:tcBorders>
            <w:vAlign w:val="center"/>
            <w:hideMark/>
          </w:tcPr>
          <w:p w14:paraId="3A327B8D" w14:textId="77777777" w:rsidR="00376050" w:rsidRPr="00E40639" w:rsidRDefault="00376050" w:rsidP="00035FC7">
            <w:pPr>
              <w:tabs>
                <w:tab w:val="left" w:pos="540"/>
              </w:tabs>
              <w:ind w:right="49"/>
              <w:jc w:val="center"/>
              <w:rPr>
                <w:rFonts w:ascii="Arial Narrow" w:hAnsi="Arial Narrow" w:cs="Arial"/>
                <w:sz w:val="20"/>
                <w:szCs w:val="20"/>
              </w:rPr>
            </w:pPr>
            <w:r w:rsidRPr="00E40639">
              <w:rPr>
                <w:rFonts w:ascii="Arial Narrow" w:hAnsi="Arial Narrow" w:cs="Arial"/>
                <w:sz w:val="20"/>
                <w:szCs w:val="20"/>
              </w:rPr>
              <w:t>-</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3DBAA125" w14:textId="77777777" w:rsidR="00376050" w:rsidRPr="00E40639" w:rsidRDefault="00376050">
            <w:pPr>
              <w:tabs>
                <w:tab w:val="left" w:pos="540"/>
              </w:tabs>
              <w:spacing w:line="240" w:lineRule="exact"/>
              <w:ind w:right="49" w:firstLine="720"/>
              <w:rPr>
                <w:rFonts w:ascii="Arial Narrow" w:hAnsi="Arial Narrow" w:cs="Arial"/>
                <w:sz w:val="20"/>
                <w:szCs w:val="20"/>
              </w:rPr>
            </w:pPr>
            <w:r w:rsidRPr="00E40639">
              <w:rPr>
                <w:rFonts w:ascii="Arial Narrow" w:hAnsi="Arial Narrow" w:cs="Arial"/>
                <w:sz w:val="20"/>
                <w:szCs w:val="20"/>
              </w:rPr>
              <w:t>-</w:t>
            </w:r>
          </w:p>
        </w:tc>
        <w:tc>
          <w:tcPr>
            <w:tcW w:w="837" w:type="pct"/>
            <w:tcBorders>
              <w:top w:val="single" w:sz="4" w:space="0" w:color="000000"/>
              <w:left w:val="single" w:sz="4" w:space="0" w:color="000000"/>
              <w:bottom w:val="single" w:sz="4" w:space="0" w:color="000000"/>
              <w:right w:val="single" w:sz="4" w:space="0" w:color="000000"/>
            </w:tcBorders>
            <w:vAlign w:val="center"/>
            <w:hideMark/>
          </w:tcPr>
          <w:p w14:paraId="3BC4E8E0" w14:textId="77777777" w:rsidR="00376050" w:rsidRPr="00E40639" w:rsidRDefault="00376050">
            <w:pPr>
              <w:spacing w:line="240" w:lineRule="exact"/>
              <w:ind w:firstLine="720"/>
              <w:rPr>
                <w:rFonts w:ascii="Arial Narrow" w:hAnsi="Arial Narrow" w:cs="Arial"/>
                <w:b/>
                <w:bCs/>
                <w:noProof/>
                <w:color w:val="538135"/>
                <w:sz w:val="20"/>
                <w:szCs w:val="20"/>
              </w:rPr>
            </w:pPr>
            <w:r w:rsidRPr="00E40639">
              <w:rPr>
                <w:rFonts w:ascii="Arial Narrow" w:hAnsi="Arial Narrow" w:cs="Arial"/>
                <w:b/>
                <w:bCs/>
                <w:noProof/>
                <w:color w:val="538135"/>
                <w:sz w:val="20"/>
                <w:szCs w:val="20"/>
              </w:rPr>
              <w:t>-</w:t>
            </w:r>
          </w:p>
        </w:tc>
        <w:tc>
          <w:tcPr>
            <w:tcW w:w="697" w:type="pct"/>
            <w:tcBorders>
              <w:top w:val="single" w:sz="4" w:space="0" w:color="000000"/>
              <w:left w:val="single" w:sz="4" w:space="0" w:color="000000"/>
              <w:bottom w:val="single" w:sz="4" w:space="0" w:color="000000"/>
              <w:right w:val="single" w:sz="4" w:space="0" w:color="000000"/>
            </w:tcBorders>
            <w:vAlign w:val="center"/>
            <w:hideMark/>
          </w:tcPr>
          <w:p w14:paraId="0C26AA73" w14:textId="77777777" w:rsidR="00376050" w:rsidRPr="00E40639" w:rsidRDefault="00376050">
            <w:pPr>
              <w:spacing w:line="240" w:lineRule="exact"/>
              <w:ind w:firstLine="720"/>
              <w:rPr>
                <w:rFonts w:ascii="Arial Narrow" w:hAnsi="Arial Narrow" w:cs="Arial"/>
                <w:b/>
                <w:bCs/>
                <w:noProof/>
                <w:color w:val="538135"/>
                <w:sz w:val="20"/>
                <w:szCs w:val="20"/>
              </w:rPr>
            </w:pPr>
            <w:r w:rsidRPr="00E40639">
              <w:rPr>
                <w:rFonts w:ascii="Arial Narrow" w:hAnsi="Arial Narrow" w:cs="Arial"/>
                <w:b/>
                <w:bCs/>
                <w:noProof/>
                <w:color w:val="538135"/>
                <w:sz w:val="20"/>
                <w:szCs w:val="20"/>
              </w:rPr>
              <w:t>-</w:t>
            </w:r>
          </w:p>
        </w:tc>
        <w:tc>
          <w:tcPr>
            <w:tcW w:w="714" w:type="pct"/>
            <w:tcBorders>
              <w:top w:val="single" w:sz="4" w:space="0" w:color="000000"/>
              <w:left w:val="single" w:sz="4" w:space="0" w:color="000000"/>
              <w:bottom w:val="single" w:sz="4" w:space="0" w:color="000000"/>
              <w:right w:val="single" w:sz="4" w:space="0" w:color="000000"/>
            </w:tcBorders>
            <w:vAlign w:val="center"/>
            <w:hideMark/>
          </w:tcPr>
          <w:p w14:paraId="4265C5C9" w14:textId="77777777" w:rsidR="00376050" w:rsidRPr="00E40639" w:rsidRDefault="00376050">
            <w:pPr>
              <w:spacing w:line="240" w:lineRule="exact"/>
              <w:ind w:firstLine="720"/>
              <w:rPr>
                <w:rFonts w:ascii="Arial Narrow" w:hAnsi="Arial Narrow" w:cs="Arial"/>
                <w:b/>
                <w:bCs/>
                <w:noProof/>
                <w:color w:val="538135"/>
              </w:rPr>
            </w:pPr>
            <w:r w:rsidRPr="00E40639">
              <w:rPr>
                <w:rFonts w:ascii="Arial Narrow" w:hAnsi="Arial Narrow" w:cs="Arial"/>
                <w:b/>
                <w:bCs/>
                <w:noProof/>
                <w:color w:val="538135"/>
              </w:rPr>
              <w:t>-</w:t>
            </w:r>
          </w:p>
        </w:tc>
        <w:tc>
          <w:tcPr>
            <w:tcW w:w="770" w:type="pct"/>
            <w:tcBorders>
              <w:top w:val="single" w:sz="4" w:space="0" w:color="000000"/>
              <w:left w:val="single" w:sz="4" w:space="0" w:color="000000"/>
              <w:bottom w:val="single" w:sz="4" w:space="0" w:color="000000"/>
              <w:right w:val="single" w:sz="4" w:space="0" w:color="000000"/>
            </w:tcBorders>
            <w:vAlign w:val="center"/>
            <w:hideMark/>
          </w:tcPr>
          <w:p w14:paraId="556178D9" w14:textId="77777777" w:rsidR="00376050" w:rsidRPr="00E40639" w:rsidRDefault="00376050">
            <w:pPr>
              <w:spacing w:line="240" w:lineRule="exact"/>
              <w:ind w:firstLine="720"/>
              <w:rPr>
                <w:rFonts w:ascii="Arial Narrow" w:hAnsi="Arial Narrow" w:cs="Arial"/>
                <w:b/>
                <w:bCs/>
                <w:noProof/>
                <w:color w:val="538135"/>
              </w:rPr>
            </w:pPr>
            <w:r w:rsidRPr="00E40639">
              <w:rPr>
                <w:rFonts w:ascii="Arial Narrow" w:hAnsi="Arial Narrow" w:cs="Arial"/>
                <w:b/>
                <w:bCs/>
                <w:noProof/>
                <w:color w:val="538135"/>
              </w:rPr>
              <w:t>-</w:t>
            </w:r>
          </w:p>
        </w:tc>
      </w:tr>
      <w:tr w:rsidR="00376050" w:rsidRPr="007F6AD7" w14:paraId="4D734562" w14:textId="77777777" w:rsidTr="00376050">
        <w:tc>
          <w:tcPr>
            <w:tcW w:w="694" w:type="pct"/>
            <w:tcBorders>
              <w:top w:val="single" w:sz="4" w:space="0" w:color="000000"/>
              <w:left w:val="single" w:sz="4" w:space="0" w:color="000000"/>
              <w:bottom w:val="single" w:sz="4" w:space="0" w:color="000000"/>
              <w:right w:val="single" w:sz="4" w:space="0" w:color="000000"/>
            </w:tcBorders>
            <w:hideMark/>
          </w:tcPr>
          <w:p w14:paraId="40E5516E" w14:textId="77777777" w:rsidR="00376050" w:rsidRPr="00E40639" w:rsidRDefault="00376050">
            <w:pPr>
              <w:rPr>
                <w:rFonts w:ascii="Arial Narrow" w:hAnsi="Arial Narrow" w:cs="Arial"/>
                <w:sz w:val="20"/>
                <w:szCs w:val="20"/>
              </w:rPr>
            </w:pPr>
            <w:r w:rsidRPr="00E40639">
              <w:rPr>
                <w:rFonts w:ascii="Arial Narrow" w:hAnsi="Arial Narrow" w:cs="Arial"/>
                <w:sz w:val="20"/>
                <w:szCs w:val="20"/>
              </w:rPr>
              <w:t>Niños viviendo en cárceles con sus madres</w:t>
            </w:r>
          </w:p>
        </w:tc>
        <w:tc>
          <w:tcPr>
            <w:tcW w:w="482" w:type="pct"/>
            <w:tcBorders>
              <w:top w:val="single" w:sz="4" w:space="0" w:color="000000"/>
              <w:left w:val="single" w:sz="4" w:space="0" w:color="000000"/>
              <w:bottom w:val="single" w:sz="4" w:space="0" w:color="000000"/>
              <w:right w:val="single" w:sz="4" w:space="0" w:color="000000"/>
            </w:tcBorders>
            <w:hideMark/>
          </w:tcPr>
          <w:p w14:paraId="3871AEDF" w14:textId="3D23E5E3" w:rsidR="00376050" w:rsidRPr="00E40639" w:rsidRDefault="00376050" w:rsidP="009175EA">
            <w:pPr>
              <w:tabs>
                <w:tab w:val="left" w:pos="540"/>
              </w:tabs>
              <w:ind w:right="49"/>
              <w:rPr>
                <w:rFonts w:ascii="Arial Narrow" w:hAnsi="Arial Narrow" w:cs="Arial"/>
                <w:sz w:val="20"/>
                <w:szCs w:val="20"/>
              </w:rPr>
            </w:pPr>
            <w:r w:rsidRPr="00E40639">
              <w:rPr>
                <w:rFonts w:ascii="Arial Narrow" w:hAnsi="Arial Narrow" w:cs="Arial"/>
                <w:sz w:val="20"/>
                <w:szCs w:val="20"/>
              </w:rPr>
              <w:t>2009</w:t>
            </w:r>
            <w:r w:rsidR="009175EA" w:rsidRPr="00E40639">
              <w:rPr>
                <w:rFonts w:ascii="Arial Narrow" w:hAnsi="Arial Narrow" w:cs="Arial"/>
                <w:sz w:val="20"/>
                <w:szCs w:val="20"/>
              </w:rPr>
              <w:t>G</w:t>
            </w:r>
          </w:p>
        </w:tc>
        <w:tc>
          <w:tcPr>
            <w:tcW w:w="806" w:type="pct"/>
            <w:tcBorders>
              <w:top w:val="single" w:sz="4" w:space="0" w:color="000000"/>
              <w:left w:val="single" w:sz="4" w:space="0" w:color="000000"/>
              <w:bottom w:val="single" w:sz="4" w:space="0" w:color="000000"/>
              <w:right w:val="single" w:sz="4" w:space="0" w:color="000000"/>
            </w:tcBorders>
            <w:hideMark/>
          </w:tcPr>
          <w:p w14:paraId="7C4E668B" w14:textId="77777777" w:rsidR="00376050" w:rsidRPr="00E40639" w:rsidRDefault="00376050" w:rsidP="002742A4">
            <w:pPr>
              <w:spacing w:line="240" w:lineRule="exact"/>
              <w:jc w:val="center"/>
              <w:rPr>
                <w:rFonts w:ascii="Arial Narrow" w:hAnsi="Arial Narrow" w:cs="Arial"/>
                <w:sz w:val="20"/>
                <w:szCs w:val="20"/>
              </w:rPr>
            </w:pPr>
            <w:r w:rsidRPr="00E40639">
              <w:rPr>
                <w:rFonts w:ascii="Arial Narrow" w:hAnsi="Arial Narrow" w:cs="Arial"/>
                <w:sz w:val="20"/>
                <w:szCs w:val="20"/>
              </w:rPr>
              <w:t>No reporta</w:t>
            </w:r>
          </w:p>
        </w:tc>
        <w:tc>
          <w:tcPr>
            <w:tcW w:w="837" w:type="pct"/>
            <w:tcBorders>
              <w:top w:val="single" w:sz="4" w:space="0" w:color="000000"/>
              <w:left w:val="single" w:sz="4" w:space="0" w:color="000000"/>
              <w:bottom w:val="single" w:sz="4" w:space="0" w:color="000000"/>
              <w:right w:val="single" w:sz="4" w:space="0" w:color="000000"/>
            </w:tcBorders>
            <w:hideMark/>
          </w:tcPr>
          <w:p w14:paraId="66C0D1EA" w14:textId="77777777" w:rsidR="00376050" w:rsidRPr="00E40639" w:rsidRDefault="00376050">
            <w:pPr>
              <w:ind w:firstLine="720"/>
              <w:rPr>
                <w:rFonts w:ascii="Arial Narrow" w:hAnsi="Arial Narrow" w:cs="Arial"/>
                <w:b/>
                <w:bCs/>
                <w:noProof/>
                <w:color w:val="538135"/>
                <w:sz w:val="20"/>
                <w:szCs w:val="20"/>
              </w:rPr>
            </w:pPr>
            <w:r w:rsidRPr="00E40639">
              <w:rPr>
                <w:rFonts w:ascii="Arial Narrow" w:hAnsi="Arial Narrow" w:cs="Arial"/>
                <w:b/>
                <w:bCs/>
                <w:noProof/>
                <w:color w:val="538135"/>
                <w:sz w:val="20"/>
                <w:szCs w:val="20"/>
              </w:rPr>
              <w:t>-</w:t>
            </w:r>
          </w:p>
        </w:tc>
        <w:tc>
          <w:tcPr>
            <w:tcW w:w="697" w:type="pct"/>
            <w:tcBorders>
              <w:top w:val="single" w:sz="4" w:space="0" w:color="000000"/>
              <w:left w:val="single" w:sz="4" w:space="0" w:color="000000"/>
              <w:bottom w:val="single" w:sz="4" w:space="0" w:color="000000"/>
              <w:right w:val="single" w:sz="4" w:space="0" w:color="000000"/>
            </w:tcBorders>
            <w:hideMark/>
          </w:tcPr>
          <w:p w14:paraId="0E41DBBF" w14:textId="77777777" w:rsidR="00376050" w:rsidRPr="00E40639" w:rsidRDefault="00376050">
            <w:pPr>
              <w:ind w:firstLine="720"/>
              <w:rPr>
                <w:rFonts w:ascii="Arial Narrow" w:hAnsi="Arial Narrow" w:cs="Arial"/>
                <w:b/>
                <w:bCs/>
                <w:noProof/>
                <w:color w:val="538135"/>
                <w:sz w:val="20"/>
                <w:szCs w:val="20"/>
              </w:rPr>
            </w:pPr>
            <w:r w:rsidRPr="00E40639">
              <w:rPr>
                <w:rFonts w:ascii="Arial Narrow" w:hAnsi="Arial Narrow" w:cs="Arial"/>
                <w:b/>
                <w:bCs/>
                <w:noProof/>
                <w:color w:val="538135"/>
                <w:sz w:val="20"/>
                <w:szCs w:val="20"/>
              </w:rPr>
              <w:t>-</w:t>
            </w:r>
          </w:p>
        </w:tc>
        <w:tc>
          <w:tcPr>
            <w:tcW w:w="714" w:type="pct"/>
            <w:tcBorders>
              <w:top w:val="single" w:sz="4" w:space="0" w:color="000000"/>
              <w:left w:val="single" w:sz="4" w:space="0" w:color="000000"/>
              <w:bottom w:val="single" w:sz="4" w:space="0" w:color="000000"/>
              <w:right w:val="single" w:sz="4" w:space="0" w:color="000000"/>
            </w:tcBorders>
            <w:hideMark/>
          </w:tcPr>
          <w:p w14:paraId="0F97EAC8" w14:textId="77777777" w:rsidR="00376050" w:rsidRPr="00E40639" w:rsidRDefault="00376050">
            <w:pPr>
              <w:ind w:firstLine="720"/>
              <w:rPr>
                <w:rFonts w:ascii="Arial Narrow" w:hAnsi="Arial Narrow" w:cs="Arial"/>
                <w:b/>
                <w:bCs/>
                <w:noProof/>
                <w:color w:val="538135"/>
              </w:rPr>
            </w:pPr>
            <w:r w:rsidRPr="00E40639">
              <w:rPr>
                <w:rFonts w:ascii="Arial Narrow" w:hAnsi="Arial Narrow" w:cs="Arial"/>
                <w:b/>
                <w:bCs/>
                <w:noProof/>
                <w:color w:val="538135"/>
              </w:rPr>
              <w:t>-</w:t>
            </w:r>
          </w:p>
        </w:tc>
        <w:tc>
          <w:tcPr>
            <w:tcW w:w="770" w:type="pct"/>
            <w:tcBorders>
              <w:top w:val="single" w:sz="4" w:space="0" w:color="000000"/>
              <w:left w:val="single" w:sz="4" w:space="0" w:color="000000"/>
              <w:bottom w:val="single" w:sz="4" w:space="0" w:color="000000"/>
              <w:right w:val="single" w:sz="4" w:space="0" w:color="000000"/>
            </w:tcBorders>
            <w:hideMark/>
          </w:tcPr>
          <w:p w14:paraId="5216BD91" w14:textId="77777777" w:rsidR="00376050" w:rsidRPr="00E40639" w:rsidRDefault="00376050">
            <w:pPr>
              <w:ind w:firstLine="720"/>
              <w:rPr>
                <w:rFonts w:ascii="Arial Narrow" w:hAnsi="Arial Narrow" w:cs="Arial"/>
                <w:b/>
                <w:bCs/>
                <w:noProof/>
                <w:color w:val="538135"/>
              </w:rPr>
            </w:pPr>
            <w:r w:rsidRPr="00E40639">
              <w:rPr>
                <w:rFonts w:ascii="Arial Narrow" w:hAnsi="Arial Narrow" w:cs="Arial"/>
                <w:b/>
                <w:bCs/>
                <w:noProof/>
                <w:color w:val="538135"/>
              </w:rPr>
              <w:t>-</w:t>
            </w:r>
          </w:p>
        </w:tc>
      </w:tr>
      <w:tr w:rsidR="00376050" w:rsidRPr="007F6AD7" w14:paraId="430AECBB" w14:textId="77777777" w:rsidTr="00376050">
        <w:tc>
          <w:tcPr>
            <w:tcW w:w="694" w:type="pct"/>
            <w:tcBorders>
              <w:top w:val="single" w:sz="4" w:space="0" w:color="000000"/>
              <w:left w:val="single" w:sz="4" w:space="0" w:color="000000"/>
              <w:bottom w:val="single" w:sz="4" w:space="0" w:color="000000"/>
              <w:right w:val="single" w:sz="4" w:space="0" w:color="000000"/>
            </w:tcBorders>
            <w:hideMark/>
          </w:tcPr>
          <w:p w14:paraId="5A39950B" w14:textId="16722BE7" w:rsidR="00376050" w:rsidRPr="00EA24AA" w:rsidRDefault="00376050">
            <w:pPr>
              <w:rPr>
                <w:rFonts w:ascii="Arial" w:hAnsi="Arial" w:cs="Arial"/>
                <w:sz w:val="20"/>
                <w:szCs w:val="20"/>
              </w:rPr>
            </w:pPr>
            <w:r w:rsidRPr="00A06A6A">
              <w:rPr>
                <w:rFonts w:ascii="Arial Narrow" w:hAnsi="Arial Narrow" w:cs="Arial"/>
                <w:sz w:val="20"/>
                <w:szCs w:val="20"/>
              </w:rPr>
              <w:t xml:space="preserve">Mujeres </w:t>
            </w:r>
            <w:r w:rsidR="00A06A6A">
              <w:rPr>
                <w:rFonts w:ascii="Arial Narrow" w:hAnsi="Arial Narrow" w:cs="Arial"/>
                <w:sz w:val="20"/>
                <w:szCs w:val="20"/>
              </w:rPr>
              <w:t>e</w:t>
            </w:r>
            <w:r w:rsidRPr="00A06A6A">
              <w:rPr>
                <w:rFonts w:ascii="Arial Narrow" w:hAnsi="Arial Narrow" w:cs="Arial"/>
                <w:sz w:val="20"/>
                <w:szCs w:val="20"/>
              </w:rPr>
              <w:t>n prisión embarazadas</w:t>
            </w:r>
          </w:p>
        </w:tc>
        <w:tc>
          <w:tcPr>
            <w:tcW w:w="482" w:type="pct"/>
            <w:tcBorders>
              <w:top w:val="single" w:sz="4" w:space="0" w:color="000000"/>
              <w:left w:val="single" w:sz="4" w:space="0" w:color="000000"/>
              <w:bottom w:val="single" w:sz="4" w:space="0" w:color="000000"/>
              <w:right w:val="single" w:sz="4" w:space="0" w:color="000000"/>
            </w:tcBorders>
            <w:hideMark/>
          </w:tcPr>
          <w:p w14:paraId="6E17BC08" w14:textId="4A8149F5" w:rsidR="00376050" w:rsidRPr="00EA24AA" w:rsidRDefault="00376050" w:rsidP="009175EA">
            <w:pPr>
              <w:tabs>
                <w:tab w:val="left" w:pos="540"/>
              </w:tabs>
              <w:ind w:right="49"/>
              <w:rPr>
                <w:rFonts w:ascii="Arial" w:hAnsi="Arial" w:cs="Arial"/>
                <w:sz w:val="20"/>
                <w:szCs w:val="20"/>
              </w:rPr>
            </w:pPr>
            <w:r w:rsidRPr="00EA24AA">
              <w:rPr>
                <w:rFonts w:ascii="Arial" w:hAnsi="Arial" w:cs="Arial"/>
                <w:sz w:val="20"/>
                <w:szCs w:val="20"/>
              </w:rPr>
              <w:t>2009</w:t>
            </w:r>
            <w:r w:rsidR="009175EA" w:rsidRPr="00EA24AA">
              <w:rPr>
                <w:rFonts w:ascii="Arial" w:hAnsi="Arial" w:cs="Arial"/>
                <w:sz w:val="20"/>
                <w:szCs w:val="20"/>
              </w:rPr>
              <w:t>G</w:t>
            </w:r>
          </w:p>
        </w:tc>
        <w:tc>
          <w:tcPr>
            <w:tcW w:w="806" w:type="pct"/>
            <w:tcBorders>
              <w:top w:val="single" w:sz="4" w:space="0" w:color="000000"/>
              <w:left w:val="single" w:sz="4" w:space="0" w:color="000000"/>
              <w:bottom w:val="single" w:sz="4" w:space="0" w:color="000000"/>
              <w:right w:val="single" w:sz="4" w:space="0" w:color="000000"/>
            </w:tcBorders>
            <w:hideMark/>
          </w:tcPr>
          <w:p w14:paraId="1F957479" w14:textId="77777777" w:rsidR="00376050" w:rsidRPr="00EA24AA" w:rsidRDefault="00376050" w:rsidP="002742A4">
            <w:pPr>
              <w:spacing w:line="240" w:lineRule="exact"/>
              <w:jc w:val="center"/>
              <w:rPr>
                <w:rFonts w:ascii="Arial" w:hAnsi="Arial" w:cs="Arial"/>
                <w:sz w:val="20"/>
                <w:szCs w:val="20"/>
              </w:rPr>
            </w:pPr>
            <w:r w:rsidRPr="00EA24AA">
              <w:rPr>
                <w:rFonts w:ascii="Arial" w:hAnsi="Arial" w:cs="Arial"/>
                <w:sz w:val="20"/>
                <w:szCs w:val="20"/>
              </w:rPr>
              <w:t>No reporta</w:t>
            </w:r>
          </w:p>
        </w:tc>
        <w:tc>
          <w:tcPr>
            <w:tcW w:w="837" w:type="pct"/>
            <w:tcBorders>
              <w:top w:val="single" w:sz="4" w:space="0" w:color="000000"/>
              <w:left w:val="single" w:sz="4" w:space="0" w:color="000000"/>
              <w:bottom w:val="single" w:sz="4" w:space="0" w:color="000000"/>
              <w:right w:val="single" w:sz="4" w:space="0" w:color="000000"/>
            </w:tcBorders>
            <w:hideMark/>
          </w:tcPr>
          <w:p w14:paraId="43A1F948" w14:textId="77777777" w:rsidR="00376050" w:rsidRPr="00EA24AA" w:rsidRDefault="00376050">
            <w:pPr>
              <w:ind w:firstLine="720"/>
              <w:rPr>
                <w:rFonts w:ascii="Arial" w:hAnsi="Arial" w:cs="Arial"/>
                <w:b/>
                <w:bCs/>
                <w:noProof/>
                <w:color w:val="538135"/>
                <w:sz w:val="20"/>
                <w:szCs w:val="20"/>
              </w:rPr>
            </w:pPr>
            <w:r w:rsidRPr="00EA24AA">
              <w:rPr>
                <w:rFonts w:ascii="Arial" w:hAnsi="Arial" w:cs="Arial"/>
                <w:b/>
                <w:bCs/>
                <w:noProof/>
                <w:color w:val="538135"/>
                <w:sz w:val="20"/>
                <w:szCs w:val="20"/>
              </w:rPr>
              <w:t>-</w:t>
            </w:r>
          </w:p>
        </w:tc>
        <w:tc>
          <w:tcPr>
            <w:tcW w:w="697" w:type="pct"/>
            <w:tcBorders>
              <w:top w:val="single" w:sz="4" w:space="0" w:color="000000"/>
              <w:left w:val="single" w:sz="4" w:space="0" w:color="000000"/>
              <w:bottom w:val="single" w:sz="4" w:space="0" w:color="000000"/>
              <w:right w:val="single" w:sz="4" w:space="0" w:color="000000"/>
            </w:tcBorders>
            <w:hideMark/>
          </w:tcPr>
          <w:p w14:paraId="37E52941" w14:textId="77777777" w:rsidR="00376050" w:rsidRPr="00EA24AA" w:rsidRDefault="00376050">
            <w:pPr>
              <w:ind w:firstLine="720"/>
              <w:rPr>
                <w:rFonts w:ascii="Arial" w:hAnsi="Arial" w:cs="Arial"/>
                <w:b/>
                <w:bCs/>
                <w:noProof/>
                <w:color w:val="538135"/>
                <w:sz w:val="20"/>
                <w:szCs w:val="20"/>
              </w:rPr>
            </w:pPr>
            <w:r w:rsidRPr="00EA24AA">
              <w:rPr>
                <w:rFonts w:ascii="Arial" w:hAnsi="Arial" w:cs="Arial"/>
                <w:b/>
                <w:bCs/>
                <w:noProof/>
                <w:color w:val="538135"/>
                <w:sz w:val="20"/>
                <w:szCs w:val="20"/>
              </w:rPr>
              <w:t>-</w:t>
            </w:r>
          </w:p>
        </w:tc>
        <w:tc>
          <w:tcPr>
            <w:tcW w:w="714" w:type="pct"/>
            <w:tcBorders>
              <w:top w:val="single" w:sz="4" w:space="0" w:color="000000"/>
              <w:left w:val="single" w:sz="4" w:space="0" w:color="000000"/>
              <w:bottom w:val="single" w:sz="4" w:space="0" w:color="000000"/>
              <w:right w:val="single" w:sz="4" w:space="0" w:color="000000"/>
            </w:tcBorders>
            <w:hideMark/>
          </w:tcPr>
          <w:p w14:paraId="6D6C843E" w14:textId="77777777" w:rsidR="00376050" w:rsidRPr="007F6AD7" w:rsidRDefault="00376050">
            <w:pPr>
              <w:ind w:firstLine="720"/>
              <w:rPr>
                <w:rFonts w:ascii="Arial" w:hAnsi="Arial" w:cs="Arial"/>
                <w:b/>
                <w:bCs/>
                <w:noProof/>
                <w:color w:val="538135"/>
              </w:rPr>
            </w:pPr>
            <w:r w:rsidRPr="007F6AD7">
              <w:rPr>
                <w:rFonts w:ascii="Arial" w:hAnsi="Arial" w:cs="Arial"/>
                <w:b/>
                <w:bCs/>
                <w:noProof/>
                <w:color w:val="538135"/>
              </w:rPr>
              <w:t>-</w:t>
            </w:r>
          </w:p>
        </w:tc>
        <w:tc>
          <w:tcPr>
            <w:tcW w:w="770" w:type="pct"/>
            <w:tcBorders>
              <w:top w:val="single" w:sz="4" w:space="0" w:color="000000"/>
              <w:left w:val="single" w:sz="4" w:space="0" w:color="000000"/>
              <w:bottom w:val="single" w:sz="4" w:space="0" w:color="000000"/>
              <w:right w:val="single" w:sz="4" w:space="0" w:color="000000"/>
            </w:tcBorders>
            <w:hideMark/>
          </w:tcPr>
          <w:p w14:paraId="771A325C" w14:textId="77777777" w:rsidR="00376050" w:rsidRPr="007F6AD7" w:rsidRDefault="00376050">
            <w:pPr>
              <w:ind w:firstLine="720"/>
              <w:rPr>
                <w:rFonts w:ascii="Arial" w:hAnsi="Arial" w:cs="Arial"/>
                <w:b/>
                <w:bCs/>
                <w:noProof/>
                <w:color w:val="538135"/>
              </w:rPr>
            </w:pPr>
            <w:r w:rsidRPr="007F6AD7">
              <w:rPr>
                <w:rFonts w:ascii="Arial" w:hAnsi="Arial" w:cs="Arial"/>
                <w:b/>
                <w:bCs/>
                <w:noProof/>
                <w:color w:val="538135"/>
              </w:rPr>
              <w:t>-</w:t>
            </w:r>
          </w:p>
        </w:tc>
      </w:tr>
    </w:tbl>
    <w:p w14:paraId="104C45B8" w14:textId="77777777" w:rsidR="00376050" w:rsidRPr="007F6AD7" w:rsidRDefault="00376050" w:rsidP="00376050">
      <w:pPr>
        <w:ind w:firstLine="720"/>
        <w:jc w:val="both"/>
        <w:rPr>
          <w:rFonts w:ascii="Arial" w:hAnsi="Arial" w:cs="Arial"/>
        </w:rPr>
      </w:pPr>
      <w:r w:rsidRPr="007F6AD7">
        <w:rPr>
          <w:rFonts w:ascii="Arial" w:hAnsi="Arial" w:cs="Arial"/>
        </w:rPr>
        <w:t xml:space="preserve">Fuentes consultadas </w:t>
      </w:r>
    </w:p>
    <w:p w14:paraId="591B68ED" w14:textId="77777777" w:rsidR="00376050" w:rsidRDefault="00376050" w:rsidP="00A668BF">
      <w:pPr>
        <w:numPr>
          <w:ilvl w:val="0"/>
          <w:numId w:val="20"/>
        </w:numPr>
        <w:spacing w:after="0"/>
        <w:ind w:left="0" w:firstLine="0"/>
        <w:jc w:val="both"/>
        <w:rPr>
          <w:rStyle w:val="Textoennegrita"/>
          <w:rFonts w:ascii="Arial" w:hAnsi="Arial" w:cs="Arial"/>
          <w:b w:val="0"/>
        </w:rPr>
      </w:pPr>
      <w:r w:rsidRPr="007F6AD7">
        <w:rPr>
          <w:rStyle w:val="Textoennegrita"/>
          <w:rFonts w:ascii="Arial" w:hAnsi="Arial" w:cs="Arial"/>
          <w:b w:val="0"/>
        </w:rPr>
        <w:t>Informe Inicial OPSC Cuba (14 noviembre 2014). J) Adopción. Legislación vigente en materia de adopción. Párrafo 64. Pág.19 Disponible:</w:t>
      </w:r>
      <w:hyperlink r:id="rId12" w:history="1">
        <w:r w:rsidRPr="007F6AD7">
          <w:rPr>
            <w:rStyle w:val="Textoennegrita"/>
            <w:rFonts w:ascii="Arial" w:hAnsi="Arial" w:cs="Arial"/>
            <w:b w:val="0"/>
          </w:rPr>
          <w:t>http://tbinternet.ohchr.org/Treaties/CRC-OP-SC/Shared%20Documents/CUB/INT_CRC-OP-SC_INR_CUB_6823_S.doc</w:t>
        </w:r>
      </w:hyperlink>
    </w:p>
    <w:p w14:paraId="0B953813" w14:textId="23433E1C" w:rsidR="00376050" w:rsidRPr="00A668BF" w:rsidRDefault="00AF7803" w:rsidP="00A668BF">
      <w:pPr>
        <w:numPr>
          <w:ilvl w:val="0"/>
          <w:numId w:val="20"/>
        </w:numPr>
        <w:spacing w:after="0"/>
        <w:ind w:left="0" w:firstLine="0"/>
        <w:jc w:val="both"/>
        <w:rPr>
          <w:rStyle w:val="Textoennegrita"/>
          <w:rFonts w:ascii="Arial" w:hAnsi="Arial" w:cs="Arial"/>
          <w:b w:val="0"/>
        </w:rPr>
      </w:pPr>
      <w:r w:rsidRPr="00A668BF">
        <w:rPr>
          <w:rStyle w:val="Textoennegrita"/>
          <w:rFonts w:ascii="Arial" w:hAnsi="Arial" w:cs="Arial"/>
          <w:b w:val="0"/>
        </w:rPr>
        <w:t xml:space="preserve"> </w:t>
      </w:r>
      <w:r w:rsidR="00376050" w:rsidRPr="00A668BF">
        <w:rPr>
          <w:rStyle w:val="Textoennegrita"/>
          <w:rFonts w:ascii="Arial" w:hAnsi="Arial" w:cs="Arial"/>
          <w:b w:val="0"/>
        </w:rPr>
        <w:t>Yudy Castro Morales. Enero 5, 2018. Donde hay mucho de amparo… y de familia. Periódico Granma No. 4. Pág. 4. Edición Impresa. Cuba</w:t>
      </w:r>
    </w:p>
    <w:p w14:paraId="7694DA8F" w14:textId="5AD097AF" w:rsidR="00376050" w:rsidRPr="007F6AD7" w:rsidRDefault="00376050" w:rsidP="00A668BF">
      <w:pPr>
        <w:numPr>
          <w:ilvl w:val="0"/>
          <w:numId w:val="20"/>
        </w:numPr>
        <w:spacing w:after="0"/>
        <w:ind w:left="0" w:firstLine="0"/>
        <w:jc w:val="both"/>
        <w:rPr>
          <w:rFonts w:ascii="Arial" w:hAnsi="Arial" w:cs="Arial"/>
          <w:b/>
        </w:rPr>
      </w:pPr>
      <w:r w:rsidRPr="007F6AD7">
        <w:rPr>
          <w:rStyle w:val="Textoennegrita"/>
          <w:rFonts w:ascii="Arial" w:hAnsi="Arial" w:cs="Arial"/>
          <w:b w:val="0"/>
        </w:rPr>
        <w:t>Abraham Jiménez Enoa.  20 noviembre 2013.  Escuelas de Formación Integral: educar en sensibilidad.</w:t>
      </w:r>
      <w:r w:rsidR="00AF7803" w:rsidRPr="007F6AD7">
        <w:rPr>
          <w:rStyle w:val="Textoennegrita"/>
          <w:rFonts w:ascii="Arial" w:hAnsi="Arial" w:cs="Arial"/>
          <w:b w:val="0"/>
        </w:rPr>
        <w:t xml:space="preserve"> </w:t>
      </w:r>
      <w:r w:rsidRPr="007F6AD7">
        <w:rPr>
          <w:rStyle w:val="Textoennegrita"/>
          <w:rFonts w:ascii="Arial" w:hAnsi="Arial" w:cs="Arial"/>
          <w:b w:val="0"/>
        </w:rPr>
        <w:t>Cubadebate. Prensa Digital.Disponible:</w:t>
      </w:r>
      <w:hyperlink r:id="rId13" w:anchor=".V8Re8dFVKlM" w:history="1">
        <w:r w:rsidRPr="007F6AD7">
          <w:rPr>
            <w:rStyle w:val="Textoennegrita"/>
            <w:rFonts w:ascii="Arial" w:hAnsi="Arial" w:cs="Arial"/>
            <w:b w:val="0"/>
          </w:rPr>
          <w:t>http://www.cubadebate.cu/opinion/2013/11/20/la-bondad-de-las-escuelas-de-formacion-integral/#.V8Re8dFVKlM</w:t>
        </w:r>
      </w:hyperlink>
      <w:r w:rsidR="00AF7803" w:rsidRPr="007F6AD7">
        <w:rPr>
          <w:rFonts w:ascii="Arial" w:hAnsi="Arial" w:cs="Arial"/>
          <w:b/>
          <w:lang w:val="es-MX"/>
        </w:rPr>
        <w:t>…</w:t>
      </w:r>
    </w:p>
    <w:p w14:paraId="47919FDA" w14:textId="3E928574" w:rsidR="00376050" w:rsidRPr="007F6AD7" w:rsidRDefault="00376050" w:rsidP="00A668BF">
      <w:pPr>
        <w:numPr>
          <w:ilvl w:val="0"/>
          <w:numId w:val="20"/>
        </w:numPr>
        <w:spacing w:after="0"/>
        <w:ind w:left="0" w:firstLine="0"/>
        <w:jc w:val="both"/>
        <w:rPr>
          <w:rStyle w:val="Textoennegrita"/>
          <w:rFonts w:ascii="Arial" w:hAnsi="Arial" w:cs="Arial"/>
          <w:bCs w:val="0"/>
        </w:rPr>
      </w:pPr>
      <w:r w:rsidRPr="007F6AD7">
        <w:rPr>
          <w:rStyle w:val="Textoennegrita"/>
          <w:rFonts w:ascii="Arial" w:hAnsi="Arial" w:cs="Arial"/>
          <w:b w:val="0"/>
          <w:lang w:val="en-US"/>
        </w:rPr>
        <w:t xml:space="preserve">Quaker United Nations Office. Agosto 2012. </w:t>
      </w:r>
      <w:r w:rsidRPr="007F6AD7">
        <w:rPr>
          <w:rStyle w:val="Textoennegrita"/>
          <w:rFonts w:ascii="Arial" w:hAnsi="Arial" w:cs="Arial"/>
          <w:b w:val="0"/>
        </w:rPr>
        <w:t>Convictos colaterales</w:t>
      </w:r>
      <w:r w:rsidR="00AF7803" w:rsidRPr="007F6AD7">
        <w:rPr>
          <w:rStyle w:val="Textoennegrita"/>
          <w:rFonts w:ascii="Arial" w:hAnsi="Arial" w:cs="Arial"/>
          <w:b w:val="0"/>
        </w:rPr>
        <w:t>: niños</w:t>
      </w:r>
      <w:r w:rsidRPr="007F6AD7">
        <w:rPr>
          <w:rStyle w:val="Textoennegrita"/>
          <w:rFonts w:ascii="Arial" w:hAnsi="Arial" w:cs="Arial"/>
          <w:b w:val="0"/>
        </w:rPr>
        <w:t xml:space="preserve"> y niñas de progenitores presos. Disponible en: www. quno.org. </w:t>
      </w:r>
    </w:p>
    <w:p w14:paraId="38AE4A6F" w14:textId="77777777" w:rsidR="00376050" w:rsidRPr="007F6AD7" w:rsidRDefault="00376050" w:rsidP="00A668BF">
      <w:pPr>
        <w:numPr>
          <w:ilvl w:val="0"/>
          <w:numId w:val="20"/>
        </w:numPr>
        <w:spacing w:after="0"/>
        <w:ind w:left="0" w:firstLine="0"/>
        <w:rPr>
          <w:rStyle w:val="Textoennegrita"/>
          <w:rFonts w:ascii="Arial" w:hAnsi="Arial" w:cs="Arial"/>
          <w:b w:val="0"/>
        </w:rPr>
      </w:pPr>
      <w:r w:rsidRPr="007F6AD7">
        <w:rPr>
          <w:rStyle w:val="Textoennegrita"/>
          <w:rFonts w:ascii="Arial" w:hAnsi="Arial" w:cs="Arial"/>
          <w:b w:val="0"/>
        </w:rPr>
        <w:t>Organización Panamericana de la Salud. 2012. POR LA SALUD DE LAS PERSONAS TRANS Elementos para el desarrollo de la atención integral de personas trans y sus comunidades en Latinoamérica y el Caribe Disponible:</w:t>
      </w:r>
      <w:hyperlink r:id="rId14" w:history="1">
        <w:r w:rsidRPr="007F6AD7">
          <w:rPr>
            <w:rStyle w:val="Textoennegrita"/>
            <w:rFonts w:ascii="Arial" w:hAnsi="Arial" w:cs="Arial"/>
            <w:b w:val="0"/>
          </w:rPr>
          <w:t>http://www.paho.org/arg/images/gallery/Blueprint%20Trans%20Espa%C3%83%C2%B1ol.pdf</w:t>
        </w:r>
      </w:hyperlink>
    </w:p>
    <w:p w14:paraId="116A4ECE" w14:textId="164AE96E" w:rsidR="00376050" w:rsidRPr="007F6AD7" w:rsidRDefault="00376050" w:rsidP="00A668BF">
      <w:pPr>
        <w:numPr>
          <w:ilvl w:val="0"/>
          <w:numId w:val="20"/>
        </w:numPr>
        <w:spacing w:after="0"/>
        <w:ind w:left="0" w:firstLine="0"/>
        <w:rPr>
          <w:rStyle w:val="Textoennegrita"/>
          <w:rFonts w:ascii="Arial" w:hAnsi="Arial" w:cs="Arial"/>
          <w:b w:val="0"/>
        </w:rPr>
      </w:pPr>
      <w:r w:rsidRPr="007F6AD7">
        <w:rPr>
          <w:rStyle w:val="Textoennegrita"/>
          <w:rFonts w:ascii="Arial" w:hAnsi="Arial" w:cs="Arial"/>
          <w:b w:val="0"/>
        </w:rPr>
        <w:t>Federación de Mujeres Cubanas (2009) Informe Central Octavo Congreso FMC. Pág. 30 y 31. “</w:t>
      </w:r>
      <w:r w:rsidR="003D25E4">
        <w:rPr>
          <w:rStyle w:val="Textoennegrita"/>
          <w:rFonts w:ascii="Arial" w:hAnsi="Arial" w:cs="Arial"/>
          <w:b w:val="0"/>
        </w:rPr>
        <w:t>(</w:t>
      </w:r>
      <w:r w:rsidRPr="007F6AD7">
        <w:rPr>
          <w:rStyle w:val="Textoennegrita"/>
          <w:rFonts w:ascii="Arial" w:hAnsi="Arial" w:cs="Arial"/>
          <w:b w:val="0"/>
        </w:rPr>
        <w:t>…</w:t>
      </w:r>
      <w:r w:rsidR="003D25E4">
        <w:rPr>
          <w:rStyle w:val="Textoennegrita"/>
          <w:rFonts w:ascii="Arial" w:hAnsi="Arial" w:cs="Arial"/>
          <w:b w:val="0"/>
        </w:rPr>
        <w:t>)</w:t>
      </w:r>
      <w:r w:rsidRPr="007F6AD7">
        <w:rPr>
          <w:rStyle w:val="Textoennegrita"/>
          <w:rFonts w:ascii="Arial" w:hAnsi="Arial" w:cs="Arial"/>
          <w:b w:val="0"/>
        </w:rPr>
        <w:t xml:space="preserve"> en el segundo semestre del 2004 se comenzó la capacitación, conjunta con el MINED y MININT, para la aplicación del Programa "Educa a tu Hijo" en las prisiones de mujeres y centros de Rehabilitación para mujeres aseguradas por índice de peligrosidad, con el propósito de contribuir al mejor desarrollo de embarazadas y niños que permanecen en las salas maternas durante el </w:t>
      </w:r>
      <w:r w:rsidR="00AF7803" w:rsidRPr="007F6AD7">
        <w:rPr>
          <w:rStyle w:val="Textoennegrita"/>
          <w:rFonts w:ascii="Arial" w:hAnsi="Arial" w:cs="Arial"/>
          <w:b w:val="0"/>
        </w:rPr>
        <w:t>primer año</w:t>
      </w:r>
      <w:r w:rsidRPr="007F6AD7">
        <w:rPr>
          <w:rStyle w:val="Textoennegrita"/>
          <w:rFonts w:ascii="Arial" w:hAnsi="Arial" w:cs="Arial"/>
          <w:b w:val="0"/>
        </w:rPr>
        <w:t xml:space="preserve"> de vida, así como de aquellos hijos de reclusas, que han sido entregados al cuidado de otros familiares. En el 2008, se trabaja una experiencia similar en las prisiones de jóvenes de Pinar del Río, Sancti Spíritus y Holguín, para posteriormente generalizarla a todo el país</w:t>
      </w:r>
      <w:r w:rsidR="003D25E4">
        <w:rPr>
          <w:rStyle w:val="Textoennegrita"/>
          <w:rFonts w:ascii="Arial" w:hAnsi="Arial" w:cs="Arial"/>
          <w:b w:val="0"/>
        </w:rPr>
        <w:t xml:space="preserve"> (</w:t>
      </w:r>
      <w:r w:rsidRPr="007F6AD7">
        <w:rPr>
          <w:rStyle w:val="Textoennegrita"/>
          <w:rFonts w:ascii="Arial" w:hAnsi="Arial" w:cs="Arial"/>
          <w:b w:val="0"/>
        </w:rPr>
        <w:t>…</w:t>
      </w:r>
      <w:r w:rsidR="003D25E4">
        <w:rPr>
          <w:rStyle w:val="Textoennegrita"/>
          <w:rFonts w:ascii="Arial" w:hAnsi="Arial" w:cs="Arial"/>
          <w:b w:val="0"/>
        </w:rPr>
        <w:t>)</w:t>
      </w:r>
      <w:r w:rsidRPr="007F6AD7">
        <w:rPr>
          <w:rStyle w:val="Textoennegrita"/>
          <w:rFonts w:ascii="Arial" w:hAnsi="Arial" w:cs="Arial"/>
          <w:b w:val="0"/>
        </w:rPr>
        <w:t xml:space="preserve"> Disponible en: </w:t>
      </w:r>
      <w:hyperlink r:id="rId15" w:history="1">
        <w:r w:rsidRPr="007F6AD7">
          <w:rPr>
            <w:rStyle w:val="Textoennegrita"/>
            <w:rFonts w:ascii="Arial" w:hAnsi="Arial" w:cs="Arial"/>
            <w:b w:val="0"/>
          </w:rPr>
          <w:t>http://www.mujeres.co.cu/comite%20nacional/textos/INFORME.pdf</w:t>
        </w:r>
      </w:hyperlink>
    </w:p>
    <w:p w14:paraId="31382592" w14:textId="5CFF24D4" w:rsidR="009175EA" w:rsidRPr="007F6AD7" w:rsidRDefault="009175EA" w:rsidP="00A668BF">
      <w:pPr>
        <w:numPr>
          <w:ilvl w:val="0"/>
          <w:numId w:val="20"/>
        </w:numPr>
        <w:spacing w:after="0"/>
        <w:ind w:left="0" w:firstLine="0"/>
        <w:rPr>
          <w:rStyle w:val="Textoennegrita"/>
          <w:rFonts w:ascii="Arial" w:hAnsi="Arial" w:cs="Arial"/>
          <w:b w:val="0"/>
        </w:rPr>
      </w:pPr>
      <w:r w:rsidRPr="007F6AD7">
        <w:rPr>
          <w:rStyle w:val="Textoennegrita"/>
          <w:rFonts w:ascii="Arial" w:hAnsi="Arial" w:cs="Arial"/>
          <w:b w:val="0"/>
        </w:rPr>
        <w:t xml:space="preserve">Ayeisa Vega López. 2017.Centro de Investigaciones Socio- Operativas - MININT, La Habana, Cuba. La doble victimización de adolescentes en conflicto con la norma legal .Universidad de La Habana. 2017. Número 283. 126-136. Disponible: </w:t>
      </w:r>
      <w:hyperlink r:id="rId16" w:history="1">
        <w:r w:rsidRPr="007F6AD7">
          <w:rPr>
            <w:rStyle w:val="Textoennegrita"/>
            <w:rFonts w:ascii="Arial" w:hAnsi="Arial" w:cs="Arial"/>
            <w:b w:val="0"/>
          </w:rPr>
          <w:t>http://scielo.sld.cu/pdf/uh/n283/uh09283.pdf</w:t>
        </w:r>
      </w:hyperlink>
      <w:r w:rsidRPr="007F6AD7">
        <w:rPr>
          <w:rStyle w:val="Textoennegrita"/>
          <w:rFonts w:ascii="Arial" w:hAnsi="Arial" w:cs="Arial"/>
          <w:b w:val="0"/>
        </w:rPr>
        <w:t xml:space="preserve">  </w:t>
      </w:r>
    </w:p>
    <w:p w14:paraId="4F4A38DF" w14:textId="77777777" w:rsidR="009175EA" w:rsidRPr="007F6AD7" w:rsidRDefault="009175EA" w:rsidP="009175EA">
      <w:pPr>
        <w:numPr>
          <w:ilvl w:val="0"/>
          <w:numId w:val="20"/>
        </w:numPr>
        <w:ind w:left="0" w:firstLine="0"/>
        <w:rPr>
          <w:rStyle w:val="Textoennegrita"/>
          <w:rFonts w:ascii="Arial" w:hAnsi="Arial" w:cs="Arial"/>
          <w:b w:val="0"/>
        </w:rPr>
      </w:pPr>
      <w:r w:rsidRPr="007F6AD7">
        <w:rPr>
          <w:rStyle w:val="Textoennegrita"/>
          <w:rFonts w:ascii="Arial" w:hAnsi="Arial" w:cs="Arial"/>
          <w:b w:val="0"/>
        </w:rPr>
        <w:lastRenderedPageBreak/>
        <w:t>Otras fuentes consultadas vía Internet WHO, UNODC, etc.</w:t>
      </w:r>
    </w:p>
    <w:p w14:paraId="6A05BDC0" w14:textId="0E8D1692" w:rsidR="00DE102C" w:rsidRPr="007F6AD7" w:rsidRDefault="00E40639" w:rsidP="007367DF">
      <w:pPr>
        <w:pStyle w:val="Ttulo4"/>
      </w:pPr>
      <w:r>
        <w:t>Prevalencia de hogares monoparentales</w:t>
      </w:r>
    </w:p>
    <w:p w14:paraId="6C2ED763" w14:textId="62200FC2" w:rsidR="00C048F6" w:rsidRPr="007F6AD7" w:rsidRDefault="00A668BF" w:rsidP="00A668BF">
      <w:pPr>
        <w:tabs>
          <w:tab w:val="left" w:pos="720"/>
        </w:tabs>
        <w:spacing w:after="0" w:line="360" w:lineRule="auto"/>
        <w:jc w:val="both"/>
        <w:rPr>
          <w:rFonts w:ascii="Arial" w:hAnsi="Arial" w:cs="Arial"/>
          <w:lang w:eastAsia="es-MX"/>
        </w:rPr>
      </w:pPr>
      <w:r>
        <w:rPr>
          <w:rFonts w:ascii="Arial" w:hAnsi="Arial" w:cs="Arial"/>
          <w:lang w:eastAsia="es-MX"/>
        </w:rPr>
        <w:t xml:space="preserve">99.   </w:t>
      </w:r>
      <w:r w:rsidR="00C048F6" w:rsidRPr="007F6AD7">
        <w:rPr>
          <w:rFonts w:ascii="Arial" w:hAnsi="Arial" w:cs="Arial"/>
          <w:lang w:eastAsia="es-MX"/>
        </w:rPr>
        <w:t>La presencia de ambos progenitores es un aspecto importante en la educación de los hijos, en primer lugar, de orden afectivo y en segundo en la propia reali</w:t>
      </w:r>
      <w:r w:rsidR="00AF7803" w:rsidRPr="007F6AD7">
        <w:rPr>
          <w:rFonts w:ascii="Arial" w:hAnsi="Arial" w:cs="Arial"/>
          <w:lang w:eastAsia="es-MX"/>
        </w:rPr>
        <w:t>zación de la función educativa. Sin</w:t>
      </w:r>
      <w:r w:rsidR="00C048F6" w:rsidRPr="007F6AD7">
        <w:rPr>
          <w:rFonts w:ascii="Arial" w:hAnsi="Arial" w:cs="Arial"/>
          <w:lang w:eastAsia="es-MX"/>
        </w:rPr>
        <w:t xml:space="preserve"> embargo, solo el 49% de la niñez cubana vive con</w:t>
      </w:r>
      <w:r w:rsidR="004912AC" w:rsidRPr="007F6AD7">
        <w:rPr>
          <w:rFonts w:ascii="Arial" w:hAnsi="Arial" w:cs="Arial"/>
          <w:lang w:eastAsia="es-MX"/>
        </w:rPr>
        <w:t xml:space="preserve"> </w:t>
      </w:r>
      <w:r w:rsidR="00DF674C" w:rsidRPr="007F6AD7">
        <w:rPr>
          <w:rFonts w:ascii="Arial" w:hAnsi="Arial" w:cs="Arial"/>
          <w:lang w:eastAsia="es-MX"/>
        </w:rPr>
        <w:t>ambos</w:t>
      </w:r>
      <w:r w:rsidR="00AF7803" w:rsidRPr="007F6AD7">
        <w:rPr>
          <w:rFonts w:ascii="Arial" w:hAnsi="Arial" w:cs="Arial"/>
          <w:lang w:eastAsia="es-MX"/>
        </w:rPr>
        <w:t xml:space="preserve"> </w:t>
      </w:r>
      <w:r w:rsidR="00DF674C" w:rsidRPr="007F6AD7">
        <w:rPr>
          <w:rFonts w:ascii="Arial" w:hAnsi="Arial" w:cs="Arial"/>
          <w:lang w:eastAsia="es-MX"/>
        </w:rPr>
        <w:t>progenitores</w:t>
      </w:r>
      <w:r w:rsidR="00C048F6" w:rsidRPr="007F6AD7">
        <w:rPr>
          <w:rFonts w:ascii="Arial" w:hAnsi="Arial" w:cs="Arial"/>
          <w:lang w:eastAsia="es-MX"/>
        </w:rPr>
        <w:t xml:space="preserve">. </w:t>
      </w:r>
      <w:r w:rsidR="001555D9" w:rsidRPr="007F6AD7">
        <w:rPr>
          <w:rFonts w:ascii="Arial" w:hAnsi="Arial" w:cs="Arial"/>
          <w:lang w:eastAsia="es-MX"/>
        </w:rPr>
        <w:t>Los hogares monoparentales son cada vez más habituales.</w:t>
      </w:r>
      <w:r w:rsidR="001555D9" w:rsidRPr="007F6AD7">
        <w:rPr>
          <w:rStyle w:val="Refdenotaalpie"/>
          <w:rFonts w:ascii="Arial" w:hAnsi="Arial" w:cs="Arial"/>
          <w:lang w:eastAsia="es-MX"/>
        </w:rPr>
        <w:footnoteReference w:id="458"/>
      </w:r>
      <w:r w:rsidR="00C048F6" w:rsidRPr="007F6AD7">
        <w:rPr>
          <w:rFonts w:ascii="Arial" w:hAnsi="Arial" w:cs="Arial"/>
          <w:lang w:eastAsia="es-MX"/>
        </w:rPr>
        <w:t>Por cada 100 niños cubanos, 51 están en desventaja. Hay 13 que no conviven con alguno de sus progenitores, la investigación no aporta datos sobre si al menos uno de los progenitores está vivo. Hay 38</w:t>
      </w:r>
      <w:r w:rsidR="001555D9" w:rsidRPr="007F6AD7">
        <w:rPr>
          <w:rFonts w:ascii="Arial" w:hAnsi="Arial" w:cs="Arial"/>
          <w:lang w:eastAsia="es-MX"/>
        </w:rPr>
        <w:t xml:space="preserve"> </w:t>
      </w:r>
      <w:r w:rsidR="007F2E56" w:rsidRPr="007F6AD7">
        <w:rPr>
          <w:rFonts w:ascii="Arial" w:hAnsi="Arial" w:cs="Arial"/>
          <w:lang w:eastAsia="es-MX"/>
        </w:rPr>
        <w:t>niños que</w:t>
      </w:r>
      <w:r w:rsidR="00C048F6" w:rsidRPr="007F6AD7">
        <w:rPr>
          <w:rFonts w:ascii="Arial" w:hAnsi="Arial" w:cs="Arial"/>
          <w:lang w:eastAsia="es-MX"/>
        </w:rPr>
        <w:t xml:space="preserve"> lo hacen con solo uno de ellos, tampoco el estudio aclara cuántos de esos </w:t>
      </w:r>
      <w:r w:rsidR="00DF674C" w:rsidRPr="007F6AD7">
        <w:rPr>
          <w:rFonts w:ascii="Arial" w:hAnsi="Arial" w:cs="Arial"/>
          <w:lang w:eastAsia="es-MX"/>
        </w:rPr>
        <w:t>NNA</w:t>
      </w:r>
      <w:r w:rsidR="00C048F6" w:rsidRPr="007F6AD7">
        <w:rPr>
          <w:rFonts w:ascii="Arial" w:hAnsi="Arial" w:cs="Arial"/>
          <w:lang w:eastAsia="es-MX"/>
        </w:rPr>
        <w:t xml:space="preserve"> tiene ambos padres vivos.</w:t>
      </w:r>
      <w:r w:rsidR="00C048F6" w:rsidRPr="007F6AD7">
        <w:rPr>
          <w:rFonts w:ascii="Arial" w:hAnsi="Arial" w:cs="Arial"/>
        </w:rPr>
        <w:t xml:space="preserve"> </w:t>
      </w:r>
      <w:r w:rsidR="00C048F6" w:rsidRPr="007F6AD7">
        <w:rPr>
          <w:rFonts w:ascii="Arial" w:hAnsi="Arial" w:cs="Arial"/>
          <w:lang w:eastAsia="es-MX"/>
        </w:rPr>
        <w:t xml:space="preserve">Entre los </w:t>
      </w:r>
      <w:r w:rsidR="00DF674C" w:rsidRPr="007F6AD7">
        <w:rPr>
          <w:rFonts w:ascii="Arial" w:hAnsi="Arial" w:cs="Arial"/>
          <w:lang w:eastAsia="es-MX"/>
        </w:rPr>
        <w:t>NNA</w:t>
      </w:r>
      <w:r w:rsidR="00C048F6" w:rsidRPr="007F6AD7">
        <w:rPr>
          <w:rFonts w:ascii="Arial" w:hAnsi="Arial" w:cs="Arial"/>
          <w:lang w:eastAsia="es-MX"/>
        </w:rPr>
        <w:t xml:space="preserve"> que conviven en el hogar con </w:t>
      </w:r>
      <w:r w:rsidR="001555D9" w:rsidRPr="007F6AD7">
        <w:rPr>
          <w:rFonts w:ascii="Arial" w:hAnsi="Arial" w:cs="Arial"/>
          <w:lang w:eastAsia="es-MX"/>
        </w:rPr>
        <w:t xml:space="preserve">el papá o </w:t>
      </w:r>
      <w:r w:rsidR="007F2E56" w:rsidRPr="007F6AD7">
        <w:rPr>
          <w:rFonts w:ascii="Arial" w:hAnsi="Arial" w:cs="Arial"/>
          <w:lang w:eastAsia="es-MX"/>
        </w:rPr>
        <w:t xml:space="preserve">la </w:t>
      </w:r>
      <w:r w:rsidR="001555D9" w:rsidRPr="007F6AD7">
        <w:rPr>
          <w:rFonts w:ascii="Arial" w:hAnsi="Arial" w:cs="Arial"/>
          <w:lang w:eastAsia="es-MX"/>
        </w:rPr>
        <w:t>mamá</w:t>
      </w:r>
      <w:r w:rsidR="00C048F6" w:rsidRPr="007F6AD7">
        <w:rPr>
          <w:rFonts w:ascii="Arial" w:hAnsi="Arial" w:cs="Arial"/>
          <w:lang w:eastAsia="es-MX"/>
        </w:rPr>
        <w:t xml:space="preserve">, cerca del 90% residen solo con sus madres, y los valores relativos llegan a superar a los que residen con ambos progenitores en algunos municipios de las provincias de La Habana, Santiago de Cuba y Guantánamo. Este hecho reitera los hallazgos de otras investigaciones donde se constata el incremento de hogares monoparentales con jefatura femenina, </w:t>
      </w:r>
      <w:r w:rsidR="00C048F6" w:rsidRPr="007F6AD7">
        <w:rPr>
          <w:rStyle w:val="Refdenotaalpie"/>
          <w:rFonts w:ascii="Arial" w:hAnsi="Arial" w:cs="Arial"/>
          <w:lang w:eastAsia="es-MX"/>
        </w:rPr>
        <w:footnoteReference w:id="459"/>
      </w:r>
      <w:r w:rsidR="00C048F6" w:rsidRPr="007F6AD7">
        <w:rPr>
          <w:rFonts w:ascii="Arial" w:hAnsi="Arial" w:cs="Arial"/>
          <w:lang w:eastAsia="es-MX"/>
        </w:rPr>
        <w:t xml:space="preserve"> </w:t>
      </w:r>
      <w:r w:rsidR="007F2E56" w:rsidRPr="007F6AD7">
        <w:rPr>
          <w:rFonts w:ascii="Arial" w:hAnsi="Arial" w:cs="Arial"/>
          <w:lang w:eastAsia="es-MX"/>
        </w:rPr>
        <w:t>Por término medio, se encuentran entre los grupos más pobres de la sociedad actual.</w:t>
      </w:r>
      <w:r w:rsidR="007F2E56" w:rsidRPr="007F6AD7">
        <w:rPr>
          <w:rFonts w:ascii="Arial" w:hAnsi="Arial" w:cs="Arial"/>
        </w:rPr>
        <w:t xml:space="preserve"> </w:t>
      </w:r>
      <w:r w:rsidR="007F2E56" w:rsidRPr="007F6AD7">
        <w:rPr>
          <w:rFonts w:ascii="Arial" w:hAnsi="Arial" w:cs="Arial"/>
          <w:lang w:eastAsia="es-MX"/>
        </w:rPr>
        <w:t>Existe una alta correlación entre la tasa de nacimientos fuera del matrimonio y los indicadores de pobreza y marginación social. Se ha dicho que el incremento del número de familias sin padre tiene mucho que ver con un variado conjunto de problemas sociales, desde el aumento de la delincuencia hasta la multiplicación de los gastos sociales para la atención infantil.</w:t>
      </w:r>
      <w:r w:rsidR="007F2E56" w:rsidRPr="007F6AD7">
        <w:rPr>
          <w:rStyle w:val="Refdenotaalpie"/>
          <w:rFonts w:ascii="Arial" w:hAnsi="Arial" w:cs="Arial"/>
          <w:lang w:eastAsia="es-MX"/>
        </w:rPr>
        <w:footnoteReference w:id="460"/>
      </w:r>
      <w:r w:rsidR="007F2E56" w:rsidRPr="007F6AD7">
        <w:rPr>
          <w:rFonts w:ascii="Arial" w:hAnsi="Arial" w:cs="Arial"/>
          <w:lang w:eastAsia="es-MX"/>
        </w:rPr>
        <w:t xml:space="preserve"> </w:t>
      </w:r>
    </w:p>
    <w:p w14:paraId="70374A2C" w14:textId="45ED4437" w:rsidR="000E4EEC" w:rsidRPr="007F6AD7" w:rsidRDefault="00A668BF" w:rsidP="00E40639">
      <w:pPr>
        <w:tabs>
          <w:tab w:val="left" w:pos="720"/>
        </w:tabs>
        <w:spacing w:after="0" w:line="360" w:lineRule="auto"/>
        <w:jc w:val="both"/>
        <w:rPr>
          <w:rFonts w:ascii="Arial" w:hAnsi="Arial" w:cs="Arial"/>
        </w:rPr>
      </w:pPr>
      <w:r>
        <w:rPr>
          <w:rFonts w:ascii="Arial" w:hAnsi="Arial" w:cs="Arial"/>
        </w:rPr>
        <w:t>100</w:t>
      </w:r>
      <w:r w:rsidR="007151CF" w:rsidRPr="007F6AD7">
        <w:rPr>
          <w:rFonts w:ascii="Arial" w:hAnsi="Arial" w:cs="Arial"/>
        </w:rPr>
        <w:t xml:space="preserve">. </w:t>
      </w:r>
      <w:r w:rsidR="00C01914" w:rsidRPr="007F6AD7">
        <w:rPr>
          <w:rFonts w:ascii="Arial" w:hAnsi="Arial" w:cs="Arial"/>
        </w:rPr>
        <w:t xml:space="preserve"> El  tratamiento  o abordaje  de  las  políticas  pública</w:t>
      </w:r>
      <w:r w:rsidR="00183ED8" w:rsidRPr="007F6AD7">
        <w:rPr>
          <w:rFonts w:ascii="Arial" w:hAnsi="Arial" w:cs="Arial"/>
        </w:rPr>
        <w:t xml:space="preserve">s  por  las  ciencias  sociales </w:t>
      </w:r>
      <w:r w:rsidR="00C01914" w:rsidRPr="007F6AD7">
        <w:rPr>
          <w:rFonts w:ascii="Arial" w:hAnsi="Arial" w:cs="Arial"/>
        </w:rPr>
        <w:t>cubanas no ha sido eficiente.</w:t>
      </w:r>
      <w:r w:rsidR="00C01914" w:rsidRPr="007F6AD7">
        <w:rPr>
          <w:rStyle w:val="Refdenotaalpie"/>
          <w:rFonts w:ascii="Arial" w:hAnsi="Arial" w:cs="Arial"/>
        </w:rPr>
        <w:footnoteReference w:id="461"/>
      </w:r>
      <w:r w:rsidR="00C01914" w:rsidRPr="007F6AD7">
        <w:rPr>
          <w:rFonts w:ascii="Arial" w:hAnsi="Arial" w:cs="Arial"/>
        </w:rPr>
        <w:t xml:space="preserve">  Los estudios hasta ahora </w:t>
      </w:r>
      <w:r w:rsidR="00183ED8" w:rsidRPr="007F6AD7">
        <w:rPr>
          <w:rFonts w:ascii="Arial" w:hAnsi="Arial" w:cs="Arial"/>
        </w:rPr>
        <w:t xml:space="preserve">realizados narran diagnósticos, </w:t>
      </w:r>
      <w:r w:rsidR="001555D9" w:rsidRPr="007F6AD7">
        <w:rPr>
          <w:rFonts w:ascii="Arial" w:hAnsi="Arial" w:cs="Arial"/>
        </w:rPr>
        <w:t>plantean problemas</w:t>
      </w:r>
      <w:r w:rsidR="00C01914" w:rsidRPr="007F6AD7">
        <w:rPr>
          <w:rFonts w:ascii="Arial" w:hAnsi="Arial" w:cs="Arial"/>
        </w:rPr>
        <w:t>,  realizan  caracterizaciones  que  dan  el  diagnóstico  del  tema</w:t>
      </w:r>
      <w:r w:rsidR="00183ED8" w:rsidRPr="007F6AD7">
        <w:rPr>
          <w:rFonts w:ascii="Arial" w:hAnsi="Arial" w:cs="Arial"/>
        </w:rPr>
        <w:t>.</w:t>
      </w:r>
      <w:r w:rsidR="00C01914" w:rsidRPr="007F6AD7">
        <w:rPr>
          <w:rFonts w:ascii="Arial" w:hAnsi="Arial" w:cs="Arial"/>
        </w:rPr>
        <w:t xml:space="preserve"> </w:t>
      </w:r>
      <w:r w:rsidR="007151CF" w:rsidRPr="007F6AD7">
        <w:rPr>
          <w:rFonts w:ascii="Arial" w:hAnsi="Arial" w:cs="Arial"/>
          <w:bCs/>
          <w:noProof/>
        </w:rPr>
        <w:t>A la niñez cubana privada  de su medio familiar les corresponde recibir proteccion con medidas especiales.</w:t>
      </w:r>
      <w:r w:rsidR="007151CF" w:rsidRPr="007F6AD7">
        <w:rPr>
          <w:rStyle w:val="Refdenotaalpie"/>
          <w:rFonts w:ascii="Arial" w:hAnsi="Arial" w:cs="Arial"/>
          <w:bCs/>
          <w:noProof/>
        </w:rPr>
        <w:footnoteReference w:id="462"/>
      </w:r>
      <w:r w:rsidR="007151CF" w:rsidRPr="007F6AD7">
        <w:rPr>
          <w:rFonts w:ascii="Arial" w:hAnsi="Arial" w:cs="Arial"/>
          <w:bCs/>
          <w:noProof/>
        </w:rPr>
        <w:t xml:space="preserve"> </w:t>
      </w:r>
      <w:r w:rsidR="00813337" w:rsidRPr="007F6AD7">
        <w:rPr>
          <w:rFonts w:ascii="Arial" w:hAnsi="Arial" w:cs="Arial"/>
          <w:bCs/>
          <w:noProof/>
        </w:rPr>
        <w:t xml:space="preserve">En la región se sigue </w:t>
      </w:r>
      <w:r w:rsidR="00E22E27" w:rsidRPr="007F6AD7">
        <w:rPr>
          <w:rFonts w:ascii="Arial" w:hAnsi="Arial" w:cs="Arial"/>
          <w:bCs/>
          <w:noProof/>
        </w:rPr>
        <w:lastRenderedPageBreak/>
        <w:t>institucionalizando innec</w:t>
      </w:r>
      <w:r w:rsidR="001F2DFD" w:rsidRPr="007F6AD7">
        <w:rPr>
          <w:rFonts w:ascii="Arial" w:hAnsi="Arial" w:cs="Arial"/>
          <w:bCs/>
          <w:noProof/>
        </w:rPr>
        <w:t xml:space="preserve">esariamente a niños y niñas por </w:t>
      </w:r>
      <w:r w:rsidR="00E22E27" w:rsidRPr="007F6AD7">
        <w:rPr>
          <w:rFonts w:ascii="Arial" w:hAnsi="Arial" w:cs="Arial"/>
          <w:bCs/>
          <w:noProof/>
        </w:rPr>
        <w:t>situaciones de vulnerabilidad vinculadas principalmente a la pobreza</w:t>
      </w:r>
      <w:r w:rsidR="00980910" w:rsidRPr="007F6AD7">
        <w:rPr>
          <w:rFonts w:ascii="Arial" w:hAnsi="Arial" w:cs="Arial"/>
          <w:bCs/>
          <w:noProof/>
        </w:rPr>
        <w:t xml:space="preserve"> y la</w:t>
      </w:r>
      <w:r w:rsidR="007151CF" w:rsidRPr="007F6AD7">
        <w:rPr>
          <w:rFonts w:ascii="Arial" w:hAnsi="Arial" w:cs="Arial"/>
          <w:bCs/>
          <w:noProof/>
        </w:rPr>
        <w:t xml:space="preserve"> exclusion social.</w:t>
      </w:r>
      <w:r w:rsidR="00B71D5D">
        <w:rPr>
          <w:rFonts w:ascii="Arial" w:hAnsi="Arial" w:cs="Arial"/>
          <w:bCs/>
          <w:noProof/>
        </w:rPr>
        <w:t xml:space="preserve"> </w:t>
      </w:r>
      <w:r w:rsidR="007151CF" w:rsidRPr="007F6AD7">
        <w:rPr>
          <w:rFonts w:ascii="Arial" w:hAnsi="Arial" w:cs="Arial"/>
        </w:rPr>
        <w:t xml:space="preserve">En América Latina existe una larga tradición para tratar a los niños excluidos como objetos de programas diseñados para paliar las múltiples carencias que los afectan. </w:t>
      </w:r>
      <w:r w:rsidR="007151CF" w:rsidRPr="007F6AD7">
        <w:rPr>
          <w:rStyle w:val="Refdenotaalpie"/>
          <w:rFonts w:ascii="Arial" w:hAnsi="Arial" w:cs="Arial"/>
        </w:rPr>
        <w:footnoteReference w:id="463"/>
      </w:r>
      <w:r w:rsidR="00EF5626" w:rsidRPr="007F6AD7">
        <w:rPr>
          <w:rFonts w:ascii="Arial" w:hAnsi="Arial" w:cs="Arial"/>
          <w:vertAlign w:val="superscript"/>
        </w:rPr>
        <w:t>,</w:t>
      </w:r>
      <w:r w:rsidR="00EF5626" w:rsidRPr="007F6AD7">
        <w:rPr>
          <w:rFonts w:ascii="Arial" w:hAnsi="Arial" w:cs="Arial"/>
        </w:rPr>
        <w:t xml:space="preserve"> </w:t>
      </w:r>
      <w:r w:rsidR="00EF5626" w:rsidRPr="007F6AD7">
        <w:rPr>
          <w:rStyle w:val="Refdenotaalpie"/>
          <w:rFonts w:ascii="Arial" w:hAnsi="Arial" w:cs="Arial"/>
          <w:lang w:eastAsia="es-MX"/>
        </w:rPr>
        <w:footnoteReference w:id="464"/>
      </w:r>
      <w:r w:rsidR="00BF0EBA" w:rsidRPr="007F6AD7">
        <w:rPr>
          <w:rFonts w:ascii="Arial" w:hAnsi="Arial" w:cs="Arial"/>
        </w:rPr>
        <w:t xml:space="preserve"> </w:t>
      </w:r>
      <w:r w:rsidR="007151CF" w:rsidRPr="007F6AD7">
        <w:rPr>
          <w:rFonts w:ascii="Arial" w:hAnsi="Arial" w:cs="Arial"/>
          <w:bCs/>
          <w:noProof/>
        </w:rPr>
        <w:t>Cuba ha obtenido logros y buenas prácticas en la Convención de las Naciones Unidas contra la Corrupción</w:t>
      </w:r>
      <w:r w:rsidR="007151CF" w:rsidRPr="007F6AD7">
        <w:rPr>
          <w:rFonts w:ascii="Arial" w:hAnsi="Arial" w:cs="Arial"/>
          <w:noProof/>
          <w:vertAlign w:val="superscript"/>
        </w:rPr>
        <w:footnoteReference w:id="465"/>
      </w:r>
      <w:r w:rsidR="007151CF" w:rsidRPr="007F6AD7">
        <w:rPr>
          <w:rFonts w:ascii="Arial" w:hAnsi="Arial" w:cs="Arial"/>
          <w:bCs/>
          <w:noProof/>
        </w:rPr>
        <w:t xml:space="preserve"> y en el  Plan Maestro de la República de Cuba para la lucha contra el tráfico ilícito de drogas.</w:t>
      </w:r>
      <w:r w:rsidR="007151CF" w:rsidRPr="007F6AD7">
        <w:rPr>
          <w:rFonts w:ascii="Arial" w:hAnsi="Arial" w:cs="Arial"/>
          <w:vertAlign w:val="superscript"/>
        </w:rPr>
        <w:footnoteReference w:id="466"/>
      </w:r>
      <w:r w:rsidR="007151CF" w:rsidRPr="007F6AD7">
        <w:rPr>
          <w:rFonts w:ascii="Arial" w:hAnsi="Arial" w:cs="Arial"/>
          <w:bCs/>
          <w:iCs/>
          <w:lang w:eastAsia="es-MX"/>
        </w:rPr>
        <w:t xml:space="preserve">En consecuencia, puede modificar exitosamente las legislaciones y condiciones de vida aplicables a los niños y niñas cubanos </w:t>
      </w:r>
      <w:r w:rsidR="007151CF" w:rsidRPr="007F6AD7">
        <w:rPr>
          <w:rFonts w:ascii="Arial" w:hAnsi="Arial" w:cs="Arial"/>
          <w:bCs/>
          <w:noProof/>
        </w:rPr>
        <w:t>privados  de su medio familiar.</w:t>
      </w:r>
      <w:r w:rsidR="007151CF" w:rsidRPr="007F6AD7">
        <w:rPr>
          <w:rFonts w:ascii="Arial" w:hAnsi="Arial" w:cs="Arial"/>
          <w:b/>
          <w:bCs/>
          <w:noProof/>
        </w:rPr>
        <w:t xml:space="preserve"> ACDEI  ruega al Comité CERD pida  al Estado cubano modificar las legislaciones y políticas públicas aplicables </w:t>
      </w:r>
      <w:r w:rsidR="00E17430" w:rsidRPr="007F6AD7">
        <w:rPr>
          <w:rFonts w:ascii="Arial" w:hAnsi="Arial" w:cs="Arial"/>
          <w:b/>
          <w:bCs/>
          <w:noProof/>
        </w:rPr>
        <w:t>mediante el enfoque de derechos de</w:t>
      </w:r>
      <w:r w:rsidR="007151CF" w:rsidRPr="007F6AD7">
        <w:rPr>
          <w:rFonts w:ascii="Arial" w:hAnsi="Arial" w:cs="Arial"/>
          <w:b/>
          <w:bCs/>
          <w:noProof/>
        </w:rPr>
        <w:t xml:space="preserve"> los niños y niñas cubanos privados  de su medio familiar</w:t>
      </w:r>
      <w:r w:rsidR="00B71D5D">
        <w:rPr>
          <w:rFonts w:ascii="Arial" w:hAnsi="Arial" w:cs="Arial"/>
          <w:b/>
          <w:bCs/>
          <w:noProof/>
        </w:rPr>
        <w:t xml:space="preserve"> </w:t>
      </w:r>
      <w:r w:rsidR="00C9478C" w:rsidRPr="007F6AD7">
        <w:rPr>
          <w:rFonts w:ascii="Arial" w:hAnsi="Arial" w:cs="Arial"/>
          <w:b/>
          <w:bCs/>
          <w:noProof/>
        </w:rPr>
        <w:t>pues ahora son  considerados como beneficiarios  pasivos de asistencia en vez de sujetos de derechos</w:t>
      </w:r>
      <w:r w:rsidR="007151CF" w:rsidRPr="007F6AD7">
        <w:rPr>
          <w:rFonts w:ascii="Arial" w:hAnsi="Arial" w:cs="Arial"/>
          <w:b/>
          <w:bCs/>
          <w:noProof/>
        </w:rPr>
        <w:t>.</w:t>
      </w:r>
    </w:p>
    <w:p w14:paraId="4BF60149" w14:textId="72D4C80F" w:rsidR="008C0A5B" w:rsidRPr="007F6AD7" w:rsidRDefault="002E7167" w:rsidP="008C0A5B">
      <w:pPr>
        <w:pStyle w:val="Ttulo3"/>
      </w:pPr>
      <w:bookmarkStart w:id="137" w:name="_Toc515359823"/>
      <w:r>
        <w:t xml:space="preserve">La brecha entre </w:t>
      </w:r>
      <w:r w:rsidR="003D25E4">
        <w:t>los derechos de la niñez</w:t>
      </w:r>
      <w:r w:rsidR="008C0A5B" w:rsidRPr="007F6AD7">
        <w:t xml:space="preserve"> y</w:t>
      </w:r>
      <w:r>
        <w:t xml:space="preserve"> el</w:t>
      </w:r>
      <w:r w:rsidR="008C0A5B" w:rsidRPr="007F6AD7">
        <w:t xml:space="preserve"> </w:t>
      </w:r>
      <w:r w:rsidR="00DA7CB5">
        <w:t>autoritarismo</w:t>
      </w:r>
      <w:bookmarkEnd w:id="137"/>
    </w:p>
    <w:p w14:paraId="7C2E5C71" w14:textId="39221000" w:rsidR="002233C3" w:rsidRPr="007F6AD7" w:rsidRDefault="006364E0" w:rsidP="006364E0">
      <w:pPr>
        <w:tabs>
          <w:tab w:val="left" w:pos="720"/>
        </w:tabs>
        <w:spacing w:after="0" w:line="360" w:lineRule="auto"/>
        <w:jc w:val="both"/>
        <w:rPr>
          <w:rFonts w:ascii="Arial" w:hAnsi="Arial" w:cs="Arial"/>
        </w:rPr>
      </w:pPr>
      <w:r>
        <w:rPr>
          <w:rFonts w:ascii="Arial" w:hAnsi="Arial" w:cs="Arial"/>
          <w:bCs/>
          <w:noProof/>
        </w:rPr>
        <w:t>101</w:t>
      </w:r>
      <w:r w:rsidR="008C0A5B" w:rsidRPr="007F6AD7">
        <w:rPr>
          <w:rFonts w:ascii="Arial" w:hAnsi="Arial" w:cs="Arial"/>
          <w:bCs/>
          <w:noProof/>
        </w:rPr>
        <w:t>.Todo empeño puesto en propiciar transformaciones psicosociales dirigidas a la infancia, debe partir de explorar la presencia de</w:t>
      </w:r>
      <w:r w:rsidR="008C0A5B" w:rsidRPr="007F6AD7">
        <w:rPr>
          <w:rFonts w:ascii="Arial" w:hAnsi="Arial" w:cs="Arial"/>
        </w:rPr>
        <w:t xml:space="preserve">l </w:t>
      </w:r>
      <w:r w:rsidR="008C0A5B" w:rsidRPr="007F6AD7">
        <w:rPr>
          <w:rFonts w:ascii="Arial" w:hAnsi="Arial" w:cs="Arial"/>
          <w:bCs/>
          <w:noProof/>
        </w:rPr>
        <w:t xml:space="preserve">autoritarismo, y el poder del conocimiento del adulto y su supremacía, </w:t>
      </w:r>
      <w:r w:rsidR="006421EB">
        <w:rPr>
          <w:rFonts w:ascii="Arial" w:hAnsi="Arial" w:cs="Arial"/>
          <w:bCs/>
          <w:noProof/>
        </w:rPr>
        <w:t xml:space="preserve">por ello deben ser </w:t>
      </w:r>
      <w:r w:rsidR="008C0A5B" w:rsidRPr="007F6AD7">
        <w:rPr>
          <w:rFonts w:ascii="Arial" w:hAnsi="Arial" w:cs="Arial"/>
          <w:bCs/>
          <w:noProof/>
        </w:rPr>
        <w:t xml:space="preserve">cuestionados en todo el proceso y en todo momento. Investigaciones realizadas a proyectos  con niños y  niñas cubanos aconsejan sobre la necesidad  de equipos de trabajo relacionados con la niñez capaces  de identificar  los obstáculos que alejan a los adultos cubanos  del mundo infantil  </w:t>
      </w:r>
      <w:r w:rsidR="008C0A5B" w:rsidRPr="007F6AD7">
        <w:rPr>
          <w:rFonts w:ascii="Arial" w:hAnsi="Arial" w:cs="Arial"/>
          <w:vertAlign w:val="superscript"/>
        </w:rPr>
        <w:footnoteReference w:id="467"/>
      </w:r>
      <w:r w:rsidR="008C0A5B" w:rsidRPr="007F6AD7">
        <w:rPr>
          <w:rFonts w:ascii="Arial" w:hAnsi="Arial" w:cs="Arial"/>
          <w:bCs/>
          <w:noProof/>
        </w:rPr>
        <w:t xml:space="preserve"> y  la resistencia de los adultos a asumir nuevos modos de enseñanza más </w:t>
      </w:r>
      <w:r w:rsidR="008C0A5B" w:rsidRPr="007F6AD7">
        <w:rPr>
          <w:rFonts w:ascii="Arial" w:hAnsi="Arial" w:cs="Arial"/>
          <w:bCs/>
          <w:noProof/>
        </w:rPr>
        <w:lastRenderedPageBreak/>
        <w:t>participativos junto a la acomodación de los intereses infantiles en función de los intereses de los adultos. Es justo reconocer cuán poco se concilian y negocian todos los derechos (los de los adultos y los de los infantes), por lo que por lo general terminan imponiéndose lo de los adultos,</w:t>
      </w:r>
      <w:r w:rsidR="0051039B" w:rsidRPr="007F6AD7">
        <w:rPr>
          <w:rStyle w:val="Refdenotaalpie"/>
          <w:rFonts w:ascii="Arial" w:hAnsi="Arial" w:cs="Arial"/>
          <w:bCs/>
          <w:noProof/>
        </w:rPr>
        <w:footnoteReference w:id="468"/>
      </w:r>
      <w:r w:rsidR="008C0A5B" w:rsidRPr="007F6AD7">
        <w:rPr>
          <w:rFonts w:ascii="Arial" w:hAnsi="Arial" w:cs="Arial"/>
          <w:bCs/>
          <w:noProof/>
        </w:rPr>
        <w:t xml:space="preserve"> dados los mecanismos, aprendizajes, resistencias y costumbres establecidas durante muchas generaci</w:t>
      </w:r>
      <w:r w:rsidR="003B74CB" w:rsidRPr="007F6AD7">
        <w:rPr>
          <w:rFonts w:ascii="Arial" w:hAnsi="Arial" w:cs="Arial"/>
          <w:bCs/>
          <w:noProof/>
        </w:rPr>
        <w:t xml:space="preserve">ones cubanas </w:t>
      </w:r>
      <w:r w:rsidR="004764CC" w:rsidRPr="007F6AD7">
        <w:rPr>
          <w:rFonts w:ascii="Arial" w:hAnsi="Arial" w:cs="Arial"/>
          <w:bCs/>
          <w:noProof/>
        </w:rPr>
        <w:t>.</w:t>
      </w:r>
      <w:r w:rsidR="00340B7D" w:rsidRPr="007F6AD7">
        <w:rPr>
          <w:rFonts w:ascii="Arial" w:hAnsi="Arial" w:cs="Arial"/>
        </w:rPr>
        <w:t xml:space="preserve"> </w:t>
      </w:r>
    </w:p>
    <w:p w14:paraId="7E8BEFA6" w14:textId="0AADC91E" w:rsidR="00854310" w:rsidRPr="007F6AD7" w:rsidRDefault="00854310" w:rsidP="00854310">
      <w:pPr>
        <w:pStyle w:val="Ttulo3"/>
        <w:rPr>
          <w:rStyle w:val="Ttulo2Car"/>
          <w:sz w:val="22"/>
          <w:szCs w:val="22"/>
        </w:rPr>
      </w:pPr>
      <w:bookmarkStart w:id="138" w:name="_Toc515359824"/>
      <w:r w:rsidRPr="007F6AD7">
        <w:rPr>
          <w:rStyle w:val="Ttulo3Car"/>
        </w:rPr>
        <w:t>Niñ</w:t>
      </w:r>
      <w:r w:rsidR="00A7021B" w:rsidRPr="007F6AD7">
        <w:rPr>
          <w:rStyle w:val="Ttulo3Car"/>
        </w:rPr>
        <w:t>ez</w:t>
      </w:r>
      <w:r w:rsidRPr="007F6AD7">
        <w:rPr>
          <w:rStyle w:val="Ttulo3Car"/>
        </w:rPr>
        <w:t xml:space="preserve"> y </w:t>
      </w:r>
      <w:r w:rsidR="00A7021B" w:rsidRPr="007F6AD7">
        <w:rPr>
          <w:rStyle w:val="Ttulo3Car"/>
        </w:rPr>
        <w:t>adolescencia</w:t>
      </w:r>
      <w:r w:rsidRPr="007F6AD7">
        <w:rPr>
          <w:rStyle w:val="Ttulo3Car"/>
        </w:rPr>
        <w:t xml:space="preserve"> en conflicto con la Ley</w:t>
      </w:r>
      <w:bookmarkEnd w:id="138"/>
      <w:r w:rsidR="003B74CB" w:rsidRPr="007F6AD7">
        <w:rPr>
          <w:rStyle w:val="Ttulo3Car"/>
        </w:rPr>
        <w:t xml:space="preserve"> </w:t>
      </w:r>
    </w:p>
    <w:p w14:paraId="28542169" w14:textId="20D144C5" w:rsidR="00AD17B4" w:rsidRPr="007F6AD7" w:rsidRDefault="006364E0" w:rsidP="00E40639">
      <w:pPr>
        <w:spacing w:after="0" w:line="360" w:lineRule="auto"/>
        <w:jc w:val="both"/>
        <w:rPr>
          <w:rFonts w:ascii="Arial" w:hAnsi="Arial" w:cs="Arial"/>
          <w:lang w:eastAsia="es-ES"/>
        </w:rPr>
      </w:pPr>
      <w:r>
        <w:rPr>
          <w:rFonts w:ascii="Arial" w:hAnsi="Arial" w:cs="Arial"/>
          <w:lang w:val="es-ES_tradnl" w:eastAsia="es-MX"/>
        </w:rPr>
        <w:t>102</w:t>
      </w:r>
      <w:r w:rsidR="009E636C" w:rsidRPr="007F6AD7">
        <w:rPr>
          <w:rFonts w:ascii="Arial" w:hAnsi="Arial" w:cs="Arial"/>
          <w:lang w:val="es-ES_tradnl" w:eastAsia="es-MX"/>
        </w:rPr>
        <w:t>.</w:t>
      </w:r>
      <w:r w:rsidR="00515DE3" w:rsidRPr="007F6AD7">
        <w:rPr>
          <w:rFonts w:ascii="Arial" w:hAnsi="Arial" w:cs="Arial"/>
          <w:lang w:val="es-ES_tradnl" w:eastAsia="es-MX"/>
        </w:rPr>
        <w:t xml:space="preserve"> Vale la pena hacer hincapié en que la Información gubernamental sobre la </w:t>
      </w:r>
      <w:r w:rsidR="00515DE3" w:rsidRPr="007F6AD7">
        <w:rPr>
          <w:rFonts w:ascii="Arial" w:hAnsi="Arial" w:cs="Arial"/>
          <w:bCs/>
          <w:lang w:val="es-ES_tradnl" w:eastAsia="es-MX"/>
        </w:rPr>
        <w:t>niñez y la adolescencia cubana en conflicto con la ley</w:t>
      </w:r>
      <w:r w:rsidR="00515DE3" w:rsidRPr="007F6AD7">
        <w:rPr>
          <w:rFonts w:ascii="Arial" w:hAnsi="Arial" w:cs="Arial"/>
          <w:lang w:val="es-ES_tradnl" w:eastAsia="es-MX"/>
        </w:rPr>
        <w:t xml:space="preserve"> está restringida al acceso público y en ocasiones resulta contradictoria.</w:t>
      </w:r>
      <w:r w:rsidR="00361E6A" w:rsidRPr="007F6AD7">
        <w:rPr>
          <w:rFonts w:ascii="Arial" w:hAnsi="Arial" w:cs="Arial"/>
          <w:bCs/>
          <w:noProof/>
        </w:rPr>
        <w:t xml:space="preserve"> Si bien  los expertos reconocen las imprecisiones de las estadisticas mundiales justificadas por la diversidad de fuentes y sistemas penales a nivel global,</w:t>
      </w:r>
      <w:r w:rsidR="00361E6A" w:rsidRPr="007F6AD7">
        <w:rPr>
          <w:rStyle w:val="Refdenotaalpie"/>
          <w:rFonts w:ascii="Arial" w:hAnsi="Arial" w:cs="Arial"/>
          <w:bCs/>
          <w:noProof/>
        </w:rPr>
        <w:footnoteReference w:id="469"/>
      </w:r>
      <w:r w:rsidR="00361E6A" w:rsidRPr="007F6AD7">
        <w:rPr>
          <w:rFonts w:ascii="Arial" w:hAnsi="Arial" w:cs="Arial"/>
          <w:lang w:eastAsia="es-MX"/>
        </w:rPr>
        <w:t xml:space="preserve"> </w:t>
      </w:r>
      <w:r w:rsidR="00361E6A" w:rsidRPr="007F6AD7">
        <w:rPr>
          <w:rFonts w:ascii="Arial" w:hAnsi="Arial" w:cs="Arial"/>
          <w:bCs/>
          <w:noProof/>
        </w:rPr>
        <w:t xml:space="preserve">el silencio gubernamental sobre temas penitenciarios  es palpable en toda la nacion. </w:t>
      </w:r>
      <w:r w:rsidR="003B4952" w:rsidRPr="007F6AD7">
        <w:rPr>
          <w:rFonts w:ascii="Arial" w:hAnsi="Arial" w:cs="Arial"/>
          <w:lang w:val="es-ES_tradnl" w:eastAsia="es-MX"/>
        </w:rPr>
        <w:t xml:space="preserve">En el año 2015, el Comité de los Derechos del Niño hizo referencia a la escasa información disponible </w:t>
      </w:r>
      <w:r w:rsidR="003B4952" w:rsidRPr="007F6AD7">
        <w:rPr>
          <w:rFonts w:ascii="Arial" w:hAnsi="Arial" w:cs="Arial"/>
          <w:vertAlign w:val="superscript"/>
          <w:lang w:val="es-ES_tradnl" w:eastAsia="es-MX"/>
        </w:rPr>
        <w:footnoteReference w:id="470"/>
      </w:r>
      <w:r w:rsidR="003B4952" w:rsidRPr="007F6AD7">
        <w:rPr>
          <w:rFonts w:ascii="Arial" w:hAnsi="Arial" w:cs="Arial"/>
          <w:lang w:val="es-ES_tradnl" w:eastAsia="es-MX"/>
        </w:rPr>
        <w:t xml:space="preserve"> respecto de la situación de los niños, niñas y adolescentes infractores de la ley cuyas</w:t>
      </w:r>
      <w:r w:rsidR="00515DE3" w:rsidRPr="007F6AD7">
        <w:rPr>
          <w:rFonts w:ascii="Arial" w:hAnsi="Arial" w:cs="Arial"/>
          <w:lang w:val="es-ES_tradnl" w:eastAsia="es-MX"/>
        </w:rPr>
        <w:t xml:space="preserve"> </w:t>
      </w:r>
      <w:r w:rsidR="003B4952" w:rsidRPr="007F6AD7">
        <w:rPr>
          <w:rFonts w:ascii="Arial" w:hAnsi="Arial" w:cs="Arial"/>
          <w:lang w:val="es-ES_tradnl" w:eastAsia="es-MX"/>
        </w:rPr>
        <w:t>edades oscilan entre los 16 a 18 años. Diversos reportes advierten que son tratados como ad</w:t>
      </w:r>
      <w:r w:rsidR="00047895" w:rsidRPr="007F6AD7">
        <w:rPr>
          <w:rFonts w:ascii="Arial" w:hAnsi="Arial" w:cs="Arial"/>
          <w:lang w:val="es-ES_tradnl" w:eastAsia="es-MX"/>
        </w:rPr>
        <w:t>ultos con sentencias moderadas.</w:t>
      </w:r>
      <w:r w:rsidR="00515DE3" w:rsidRPr="007F6AD7">
        <w:rPr>
          <w:rFonts w:ascii="Arial" w:hAnsi="Arial" w:cs="Arial"/>
          <w:vertAlign w:val="superscript"/>
          <w:lang w:val="es-ES_tradnl" w:eastAsia="es-MX"/>
        </w:rPr>
        <w:t xml:space="preserve"> </w:t>
      </w:r>
      <w:r w:rsidR="00515DE3" w:rsidRPr="007F6AD7">
        <w:rPr>
          <w:rFonts w:ascii="Arial" w:hAnsi="Arial" w:cs="Arial"/>
          <w:vertAlign w:val="superscript"/>
          <w:lang w:val="es-ES_tradnl" w:eastAsia="es-MX"/>
        </w:rPr>
        <w:footnoteReference w:id="471"/>
      </w:r>
      <w:r w:rsidR="00515DE3" w:rsidRPr="007F6AD7">
        <w:rPr>
          <w:rFonts w:ascii="Arial" w:hAnsi="Arial" w:cs="Arial"/>
          <w:vertAlign w:val="superscript"/>
          <w:lang w:val="es-ES_tradnl" w:eastAsia="es-MX"/>
        </w:rPr>
        <w:t xml:space="preserve">, </w:t>
      </w:r>
      <w:r w:rsidR="00515DE3" w:rsidRPr="007F6AD7">
        <w:rPr>
          <w:rFonts w:ascii="Arial" w:hAnsi="Arial" w:cs="Arial"/>
          <w:vertAlign w:val="superscript"/>
          <w:lang w:val="es-ES_tradnl" w:eastAsia="es-MX"/>
        </w:rPr>
        <w:footnoteReference w:id="472"/>
      </w:r>
      <w:r w:rsidR="00515DE3" w:rsidRPr="007F6AD7">
        <w:rPr>
          <w:rFonts w:ascii="Arial" w:hAnsi="Arial" w:cs="Arial"/>
          <w:lang w:val="es-ES_tradnl" w:eastAsia="es-MX"/>
        </w:rPr>
        <w:t xml:space="preserve"> </w:t>
      </w:r>
      <w:r w:rsidR="00515DE3" w:rsidRPr="007F6AD7">
        <w:rPr>
          <w:rFonts w:ascii="Arial" w:hAnsi="Arial" w:cs="Arial"/>
          <w:lang w:val="es-ES_tradnl" w:eastAsia="es-ES"/>
        </w:rPr>
        <w:t xml:space="preserve"> </w:t>
      </w:r>
      <w:r w:rsidR="00047895" w:rsidRPr="007F6AD7">
        <w:rPr>
          <w:rFonts w:ascii="Arial" w:hAnsi="Arial" w:cs="Arial"/>
          <w:lang w:val="es-ES_tradnl" w:eastAsia="es-MX"/>
        </w:rPr>
        <w:t xml:space="preserve"> </w:t>
      </w:r>
      <w:r w:rsidR="00047895" w:rsidRPr="007F6AD7">
        <w:rPr>
          <w:rFonts w:ascii="Arial" w:hAnsi="Arial" w:cs="Arial"/>
          <w:lang w:eastAsia="es-MX"/>
        </w:rPr>
        <w:t xml:space="preserve">La Fiscalía General de la República tiene funciones relacionadas con el control y preservación de la legalidad en la atención a toda la infancia y se encarga también de inspeccionar las instituciones que internan </w:t>
      </w:r>
      <w:r w:rsidR="00047895" w:rsidRPr="007F6AD7">
        <w:rPr>
          <w:rFonts w:ascii="Arial" w:hAnsi="Arial" w:cs="Arial"/>
        </w:rPr>
        <w:t xml:space="preserve">niños y niñas </w:t>
      </w:r>
      <w:r w:rsidR="00047895" w:rsidRPr="007F6AD7">
        <w:rPr>
          <w:rFonts w:ascii="Arial" w:hAnsi="Arial" w:cs="Arial"/>
          <w:lang w:eastAsia="es-MX"/>
        </w:rPr>
        <w:t xml:space="preserve">con </w:t>
      </w:r>
      <w:r w:rsidR="00047895" w:rsidRPr="007F6AD7">
        <w:rPr>
          <w:rFonts w:ascii="Arial" w:hAnsi="Arial" w:cs="Arial"/>
          <w:lang w:eastAsia="es-MX"/>
        </w:rPr>
        <w:lastRenderedPageBreak/>
        <w:t xml:space="preserve">problemas de conducta y/o transgredieron la ley. </w:t>
      </w:r>
      <w:r w:rsidR="00047895" w:rsidRPr="007F6AD7">
        <w:rPr>
          <w:rStyle w:val="Refdenotaalpie"/>
          <w:rFonts w:ascii="Arial" w:hAnsi="Arial" w:cs="Arial"/>
          <w:bCs/>
        </w:rPr>
        <w:footnoteReference w:id="473"/>
      </w:r>
      <w:r w:rsidR="00047895" w:rsidRPr="007F6AD7">
        <w:rPr>
          <w:rFonts w:ascii="Arial" w:hAnsi="Arial" w:cs="Arial"/>
          <w:lang w:eastAsia="es-MX"/>
        </w:rPr>
        <w:t xml:space="preserve"> La mayoría de las normas complementarias a estas disposiciones no se encuentran publicadas en la Gaceta Oficial de la República, incluso algunas dictadas por el Ministerio del Interior permanecen clasificadas.</w:t>
      </w:r>
      <w:r w:rsidR="00047895" w:rsidRPr="007F6AD7">
        <w:rPr>
          <w:rStyle w:val="Refdenotaalpie"/>
          <w:rFonts w:ascii="Arial" w:hAnsi="Arial" w:cs="Arial"/>
          <w:lang w:eastAsia="es-MX"/>
        </w:rPr>
        <w:footnoteReference w:id="474"/>
      </w:r>
      <w:r w:rsidR="00047895" w:rsidRPr="007F6AD7">
        <w:rPr>
          <w:rFonts w:ascii="Arial" w:hAnsi="Arial" w:cs="Arial"/>
          <w:lang w:eastAsia="es-MX"/>
        </w:rPr>
        <w:t xml:space="preserve"> </w:t>
      </w:r>
      <w:r w:rsidR="00047895" w:rsidRPr="007F6AD7">
        <w:rPr>
          <w:rFonts w:ascii="Arial" w:hAnsi="Arial" w:cs="Arial"/>
        </w:rPr>
        <w:t xml:space="preserve"> </w:t>
      </w:r>
      <w:r w:rsidR="00AD17B4" w:rsidRPr="007F6AD7">
        <w:rPr>
          <w:rFonts w:ascii="Arial" w:hAnsi="Arial" w:cs="Arial"/>
        </w:rPr>
        <w:t xml:space="preserve">Estudios criminológicos revelan que el 75 % de las familias cubanas de los NNA comisores de delitos graves presentaban puntos de vista, hábitos y costumbres antisociales. </w:t>
      </w:r>
      <w:r w:rsidR="00AD17B4" w:rsidRPr="007F6AD7">
        <w:rPr>
          <w:rFonts w:ascii="Arial" w:hAnsi="Arial" w:cs="Arial"/>
          <w:lang w:eastAsia="es-MX"/>
        </w:rPr>
        <w:t>Investigaciones realizadas en Cuba a NNA delincuentes han constatado que los métodos educativos empleados por las familias no se caracterizan por el uso de la coerción ni la persuasión, sino por la inconsistencia y la negligencia.</w:t>
      </w:r>
      <w:r w:rsidR="00D47D20" w:rsidRPr="007F6AD7">
        <w:rPr>
          <w:rStyle w:val="Refdenotaalpie"/>
          <w:rFonts w:ascii="Arial" w:hAnsi="Arial" w:cs="Arial"/>
        </w:rPr>
        <w:footnoteReference w:id="475"/>
      </w:r>
      <w:r w:rsidR="00D47D20" w:rsidRPr="007F6AD7">
        <w:rPr>
          <w:rFonts w:ascii="Arial" w:hAnsi="Arial" w:cs="Arial"/>
        </w:rPr>
        <w:t xml:space="preserve">  </w:t>
      </w:r>
      <w:r w:rsidR="00AD17B4" w:rsidRPr="007F6AD7">
        <w:rPr>
          <w:rFonts w:ascii="Arial" w:hAnsi="Arial" w:cs="Arial"/>
          <w:lang w:eastAsia="es-MX"/>
        </w:rPr>
        <w:t>Es decir, el uso incongru</w:t>
      </w:r>
      <w:r w:rsidR="00D47D20" w:rsidRPr="007F6AD7">
        <w:rPr>
          <w:rFonts w:ascii="Arial" w:hAnsi="Arial" w:cs="Arial"/>
          <w:lang w:eastAsia="es-MX"/>
        </w:rPr>
        <w:t>ente de métodos</w:t>
      </w:r>
      <w:r w:rsidR="00AD17B4" w:rsidRPr="007F6AD7">
        <w:rPr>
          <w:rFonts w:ascii="Arial" w:hAnsi="Arial" w:cs="Arial"/>
          <w:lang w:eastAsia="es-MX"/>
        </w:rPr>
        <w:t xml:space="preserve"> en relación con la situación que los demanda y la falta de sistematización en su aplicación y control.</w:t>
      </w:r>
      <w:r w:rsidR="00D47D20" w:rsidRPr="007F6AD7">
        <w:rPr>
          <w:rFonts w:ascii="Arial" w:hAnsi="Arial" w:cs="Arial"/>
          <w:lang w:eastAsia="es-MX"/>
        </w:rPr>
        <w:t xml:space="preserve"> </w:t>
      </w:r>
      <w:r w:rsidR="00AD17B4" w:rsidRPr="007F6AD7">
        <w:rPr>
          <w:rStyle w:val="Refdenotaalpie"/>
          <w:rFonts w:ascii="Arial" w:hAnsi="Arial" w:cs="Arial"/>
          <w:lang w:eastAsia="es-MX"/>
        </w:rPr>
        <w:footnoteReference w:id="476"/>
      </w:r>
      <w:r w:rsidR="00AD17B4" w:rsidRPr="007F6AD7">
        <w:rPr>
          <w:rFonts w:ascii="Arial" w:hAnsi="Arial" w:cs="Arial"/>
          <w:lang w:eastAsia="es-MX"/>
        </w:rPr>
        <w:t xml:space="preserve"> </w:t>
      </w:r>
    </w:p>
    <w:p w14:paraId="3C91D9A3" w14:textId="2697AA51" w:rsidR="009E636C" w:rsidRPr="007F6AD7" w:rsidRDefault="006364E0" w:rsidP="006364E0">
      <w:pPr>
        <w:spacing w:after="0" w:line="360" w:lineRule="auto"/>
        <w:jc w:val="both"/>
        <w:rPr>
          <w:rFonts w:ascii="Arial" w:hAnsi="Arial" w:cs="Arial"/>
          <w:lang w:val="es-ES_tradnl" w:eastAsia="es-MX"/>
        </w:rPr>
      </w:pPr>
      <w:r>
        <w:rPr>
          <w:rFonts w:ascii="Arial" w:hAnsi="Arial" w:cs="Arial"/>
          <w:lang w:val="es-ES_tradnl" w:eastAsia="es-MX"/>
        </w:rPr>
        <w:t xml:space="preserve">103.  </w:t>
      </w:r>
      <w:r w:rsidR="003B4952" w:rsidRPr="007F6AD7">
        <w:rPr>
          <w:rFonts w:ascii="Arial" w:hAnsi="Arial" w:cs="Arial"/>
          <w:lang w:val="es-ES_tradnl" w:eastAsia="es-MX"/>
        </w:rPr>
        <w:t>N</w:t>
      </w:r>
      <w:r>
        <w:rPr>
          <w:rFonts w:ascii="Arial" w:hAnsi="Arial" w:cs="Arial"/>
          <w:lang w:val="es-ES_tradnl" w:eastAsia="es-MX"/>
        </w:rPr>
        <w:t xml:space="preserve">iños ,niñas y adolescentes </w:t>
      </w:r>
      <w:r w:rsidR="009E636C" w:rsidRPr="007F6AD7">
        <w:rPr>
          <w:rFonts w:ascii="Arial" w:hAnsi="Arial" w:cs="Arial"/>
          <w:lang w:val="es-ES_tradnl" w:eastAsia="es-MX"/>
        </w:rPr>
        <w:t>en conflicto con la ley está</w:t>
      </w:r>
      <w:r w:rsidR="003B4952" w:rsidRPr="007F6AD7">
        <w:rPr>
          <w:rFonts w:ascii="Arial" w:hAnsi="Arial" w:cs="Arial"/>
          <w:lang w:val="es-ES_tradnl" w:eastAsia="es-MX"/>
        </w:rPr>
        <w:t>n</w:t>
      </w:r>
      <w:r w:rsidR="009E636C" w:rsidRPr="007F6AD7">
        <w:rPr>
          <w:rFonts w:ascii="Arial" w:hAnsi="Arial" w:cs="Arial"/>
          <w:lang w:val="es-ES_tradnl" w:eastAsia="es-MX"/>
        </w:rPr>
        <w:t xml:space="preserve"> recluid</w:t>
      </w:r>
      <w:r w:rsidR="003B4952" w:rsidRPr="007F6AD7">
        <w:rPr>
          <w:rFonts w:ascii="Arial" w:hAnsi="Arial" w:cs="Arial"/>
          <w:lang w:val="es-ES_tradnl" w:eastAsia="es-MX"/>
        </w:rPr>
        <w:t>os</w:t>
      </w:r>
      <w:r w:rsidR="009E636C" w:rsidRPr="007F6AD7">
        <w:rPr>
          <w:rFonts w:ascii="Arial" w:hAnsi="Arial" w:cs="Arial"/>
          <w:lang w:val="es-ES_tradnl" w:eastAsia="es-MX"/>
        </w:rPr>
        <w:t xml:space="preserve"> generalmente en dos tipos de instituciones de reeducación: </w:t>
      </w:r>
      <w:r w:rsidR="009E636C" w:rsidRPr="007F6AD7">
        <w:rPr>
          <w:rStyle w:val="FontStyle15"/>
          <w:rFonts w:ascii="Arial" w:hAnsi="Arial" w:cs="Arial"/>
          <w:sz w:val="22"/>
          <w:szCs w:val="22"/>
          <w:lang w:val="es-ES_tradnl" w:eastAsia="es-ES_tradnl"/>
        </w:rPr>
        <w:t>Escuelas de Formación Integral (EFI)</w:t>
      </w:r>
      <w:r w:rsidR="009E636C" w:rsidRPr="007F6AD7">
        <w:rPr>
          <w:rFonts w:ascii="Arial" w:hAnsi="Arial" w:cs="Arial"/>
          <w:vertAlign w:val="superscript"/>
        </w:rPr>
        <w:t xml:space="preserve"> </w:t>
      </w:r>
      <w:r w:rsidR="009E636C" w:rsidRPr="007F6AD7">
        <w:rPr>
          <w:rFonts w:ascii="Arial" w:hAnsi="Arial" w:cs="Arial"/>
          <w:lang w:val="es-ES_tradnl" w:eastAsia="es-MX"/>
        </w:rPr>
        <w:t>para los transgresores menores de 16 años de ambos sexos,</w:t>
      </w:r>
      <w:r w:rsidR="003B4952" w:rsidRPr="007F6AD7">
        <w:rPr>
          <w:rStyle w:val="Refdenotaalpie"/>
          <w:rFonts w:ascii="Arial" w:hAnsi="Arial" w:cs="Arial"/>
        </w:rPr>
        <w:t xml:space="preserve"> </w:t>
      </w:r>
      <w:r w:rsidR="003B4952" w:rsidRPr="007F6AD7">
        <w:rPr>
          <w:rFonts w:ascii="Arial" w:hAnsi="Arial" w:cs="Arial"/>
        </w:rPr>
        <w:t xml:space="preserve"> </w:t>
      </w:r>
      <w:r w:rsidR="003B4952" w:rsidRPr="007F6AD7">
        <w:rPr>
          <w:rStyle w:val="Refdenotaalpie"/>
          <w:rFonts w:ascii="Arial" w:hAnsi="Arial" w:cs="Arial"/>
          <w:lang w:val="es-ES_tradnl" w:eastAsia="es-ES_tradnl"/>
        </w:rPr>
        <w:footnoteReference w:id="477"/>
      </w:r>
      <w:r w:rsidR="003B4952" w:rsidRPr="007F6AD7">
        <w:rPr>
          <w:rFonts w:ascii="Arial" w:hAnsi="Arial" w:cs="Arial"/>
          <w:vertAlign w:val="superscript"/>
        </w:rPr>
        <w:t xml:space="preserve">, </w:t>
      </w:r>
      <w:r w:rsidR="003B4952" w:rsidRPr="007F6AD7">
        <w:rPr>
          <w:rStyle w:val="Refdenotaalpie"/>
          <w:rFonts w:ascii="Arial" w:hAnsi="Arial" w:cs="Arial"/>
        </w:rPr>
        <w:footnoteReference w:id="478"/>
      </w:r>
      <w:r w:rsidR="003B4952" w:rsidRPr="007F6AD7">
        <w:rPr>
          <w:rFonts w:ascii="Arial" w:hAnsi="Arial" w:cs="Arial"/>
          <w:vertAlign w:val="superscript"/>
        </w:rPr>
        <w:t xml:space="preserve"> </w:t>
      </w:r>
      <w:r w:rsidR="009E636C" w:rsidRPr="007F6AD7">
        <w:rPr>
          <w:rFonts w:ascii="Arial" w:hAnsi="Arial" w:cs="Arial"/>
          <w:lang w:val="es-ES_tradnl" w:eastAsia="es-MX"/>
        </w:rPr>
        <w:t xml:space="preserve"> y </w:t>
      </w:r>
      <w:r w:rsidR="009E636C" w:rsidRPr="007F6AD7">
        <w:rPr>
          <w:rStyle w:val="FontStyle15"/>
          <w:rFonts w:ascii="Arial" w:hAnsi="Arial" w:cs="Arial"/>
          <w:sz w:val="22"/>
          <w:szCs w:val="22"/>
          <w:lang w:eastAsia="es-ES_tradnl"/>
        </w:rPr>
        <w:t xml:space="preserve">escuelas especiales para alumnos con serios trastornos de </w:t>
      </w:r>
      <w:r w:rsidR="009E636C" w:rsidRPr="007F6AD7">
        <w:rPr>
          <w:rStyle w:val="FontStyle15"/>
          <w:rFonts w:ascii="Arial" w:hAnsi="Arial" w:cs="Arial"/>
          <w:sz w:val="22"/>
          <w:szCs w:val="22"/>
          <w:lang w:eastAsia="es-ES_tradnl"/>
        </w:rPr>
        <w:lastRenderedPageBreak/>
        <w:t>conducta</w:t>
      </w:r>
      <w:r w:rsidR="009E636C" w:rsidRPr="007F6AD7">
        <w:rPr>
          <w:rFonts w:ascii="Arial" w:hAnsi="Arial" w:cs="Arial"/>
          <w:lang w:eastAsia="es-MX"/>
        </w:rPr>
        <w:t>.</w:t>
      </w:r>
      <w:r w:rsidR="009E636C" w:rsidRPr="007F6AD7">
        <w:rPr>
          <w:rStyle w:val="Refdenotaalpie"/>
          <w:rFonts w:ascii="Arial" w:hAnsi="Arial" w:cs="Arial"/>
        </w:rPr>
        <w:footnoteReference w:id="479"/>
      </w:r>
      <w:r w:rsidR="009E636C" w:rsidRPr="007F6AD7">
        <w:rPr>
          <w:rFonts w:ascii="Arial" w:hAnsi="Arial" w:cs="Arial"/>
          <w:vertAlign w:val="superscript"/>
        </w:rPr>
        <w:t xml:space="preserve">,  </w:t>
      </w:r>
      <w:r w:rsidR="009E636C" w:rsidRPr="007F6AD7">
        <w:rPr>
          <w:rStyle w:val="Refdenotaalpie"/>
          <w:rFonts w:ascii="Arial" w:hAnsi="Arial" w:cs="Arial"/>
        </w:rPr>
        <w:footnoteReference w:id="480"/>
      </w:r>
      <w:r w:rsidR="009E636C" w:rsidRPr="007F6AD7">
        <w:rPr>
          <w:rFonts w:ascii="Arial" w:hAnsi="Arial" w:cs="Arial"/>
          <w:vertAlign w:val="superscript"/>
        </w:rPr>
        <w:t xml:space="preserve"> </w:t>
      </w:r>
      <w:r w:rsidR="003B4952" w:rsidRPr="007F6AD7">
        <w:rPr>
          <w:rFonts w:ascii="Arial" w:hAnsi="Arial" w:cs="Arial"/>
          <w:lang w:val="es-ES_tradnl" w:eastAsia="es-MX"/>
        </w:rPr>
        <w:t>U</w:t>
      </w:r>
      <w:r w:rsidR="009E636C" w:rsidRPr="007F6AD7">
        <w:rPr>
          <w:rFonts w:ascii="Arial" w:hAnsi="Arial" w:cs="Arial"/>
          <w:lang w:val="es-ES_tradnl" w:eastAsia="es-MX"/>
        </w:rPr>
        <w:t xml:space="preserve">n artículo </w:t>
      </w:r>
      <w:r w:rsidR="003B4952" w:rsidRPr="007F6AD7">
        <w:rPr>
          <w:rFonts w:ascii="Arial" w:hAnsi="Arial" w:cs="Arial"/>
          <w:lang w:val="es-ES_tradnl" w:eastAsia="es-MX"/>
        </w:rPr>
        <w:t>investigativo</w:t>
      </w:r>
      <w:r w:rsidR="009E636C" w:rsidRPr="007F6AD7">
        <w:rPr>
          <w:rFonts w:ascii="Arial" w:hAnsi="Arial" w:cs="Arial"/>
          <w:lang w:val="es-ES_tradnl" w:eastAsia="es-MX"/>
        </w:rPr>
        <w:t xml:space="preserve"> </w:t>
      </w:r>
      <w:r w:rsidR="003B4952" w:rsidRPr="007F6AD7">
        <w:rPr>
          <w:rFonts w:ascii="Arial" w:hAnsi="Arial" w:cs="Arial"/>
          <w:lang w:val="es-ES_tradnl" w:eastAsia="es-MX"/>
        </w:rPr>
        <w:t>de</w:t>
      </w:r>
      <w:r w:rsidR="009E636C" w:rsidRPr="007F6AD7">
        <w:rPr>
          <w:rFonts w:ascii="Arial" w:hAnsi="Arial" w:cs="Arial"/>
          <w:lang w:val="es-ES_tradnl" w:eastAsia="es-MX"/>
        </w:rPr>
        <w:t xml:space="preserve"> una experta del Centro de Investigaciones Socio-Operativas del Ministerio del Interior refiere que cuando un niño o adolescente se encuentra en la categoría 3,</w:t>
      </w:r>
      <w:r w:rsidR="008F379F" w:rsidRPr="007F6AD7">
        <w:rPr>
          <w:rStyle w:val="Refdenotaalpie"/>
          <w:rFonts w:ascii="Arial" w:hAnsi="Arial" w:cs="Arial"/>
          <w:lang w:val="es-ES_tradnl" w:eastAsia="es-MX"/>
        </w:rPr>
        <w:footnoteReference w:id="481"/>
      </w:r>
      <w:r w:rsidR="009E636C" w:rsidRPr="007F6AD7">
        <w:rPr>
          <w:rFonts w:ascii="Arial" w:hAnsi="Arial" w:cs="Arial"/>
          <w:lang w:val="es-ES_tradnl" w:eastAsia="es-MX"/>
        </w:rPr>
        <w:t xml:space="preserve"> es evaluado por el Centro de Evaluación, Análisis y Orientación de Menores (CEAOM) y una vez valorada su conducta, el Consejo de Atención a Menores (CAM) estima la medida, que en los casos de mayor severidad, implicaría el internamiento en las Escuelas de Formación Integral (EFI).</w:t>
      </w:r>
    </w:p>
    <w:p w14:paraId="4520FF18" w14:textId="4A2292DD" w:rsidR="00DE102C" w:rsidRPr="007F6AD7" w:rsidRDefault="00835E0E" w:rsidP="00E40639">
      <w:pPr>
        <w:tabs>
          <w:tab w:val="left" w:pos="720"/>
        </w:tabs>
        <w:spacing w:after="0" w:line="360" w:lineRule="auto"/>
        <w:jc w:val="both"/>
        <w:rPr>
          <w:rFonts w:ascii="Arial" w:hAnsi="Arial" w:cs="Arial"/>
        </w:rPr>
      </w:pPr>
      <w:r w:rsidRPr="007F6AD7">
        <w:rPr>
          <w:rFonts w:ascii="Arial" w:hAnsi="Arial" w:cs="Arial"/>
        </w:rPr>
        <w:t>En sentido general</w:t>
      </w:r>
      <w:r w:rsidR="00144D42" w:rsidRPr="007F6AD7">
        <w:rPr>
          <w:rFonts w:ascii="Arial" w:hAnsi="Arial" w:cs="Arial"/>
          <w:bCs/>
          <w:noProof/>
        </w:rPr>
        <w:t xml:space="preserve">, </w:t>
      </w:r>
      <w:r w:rsidR="00144D42" w:rsidRPr="007F6AD7">
        <w:rPr>
          <w:rFonts w:ascii="Arial" w:hAnsi="Arial" w:cs="Arial"/>
          <w:lang w:eastAsia="es-MX"/>
        </w:rPr>
        <w:t>l</w:t>
      </w:r>
      <w:r w:rsidR="00DE102C" w:rsidRPr="007F6AD7">
        <w:rPr>
          <w:rFonts w:ascii="Arial" w:hAnsi="Arial" w:cs="Arial"/>
          <w:lang w:eastAsia="es-MX"/>
        </w:rPr>
        <w:t xml:space="preserve">a legislación cubana de </w:t>
      </w:r>
      <w:r w:rsidR="00144D42" w:rsidRPr="007F6AD7">
        <w:rPr>
          <w:rFonts w:ascii="Arial" w:hAnsi="Arial" w:cs="Arial"/>
          <w:lang w:eastAsia="es-MX"/>
        </w:rPr>
        <w:t xml:space="preserve">la </w:t>
      </w:r>
      <w:r w:rsidR="00DE102C" w:rsidRPr="007F6AD7">
        <w:rPr>
          <w:rFonts w:ascii="Arial" w:hAnsi="Arial" w:cs="Arial"/>
          <w:lang w:eastAsia="es-MX"/>
        </w:rPr>
        <w:t>niñ</w:t>
      </w:r>
      <w:r w:rsidR="00144D42" w:rsidRPr="007F6AD7">
        <w:rPr>
          <w:rFonts w:ascii="Arial" w:hAnsi="Arial" w:cs="Arial"/>
          <w:lang w:eastAsia="es-MX"/>
        </w:rPr>
        <w:t>ez</w:t>
      </w:r>
      <w:r w:rsidR="00DE102C" w:rsidRPr="007F6AD7">
        <w:rPr>
          <w:rFonts w:ascii="Arial" w:hAnsi="Arial" w:cs="Arial"/>
          <w:lang w:eastAsia="es-MX"/>
        </w:rPr>
        <w:t xml:space="preserve"> en conflicto con la ley </w:t>
      </w:r>
      <w:r w:rsidR="00166754" w:rsidRPr="007F6AD7">
        <w:rPr>
          <w:rFonts w:ascii="Arial" w:hAnsi="Arial" w:cs="Arial"/>
          <w:lang w:eastAsia="es-MX"/>
        </w:rPr>
        <w:t>penal incumple</w:t>
      </w:r>
      <w:r w:rsidR="00DE102C" w:rsidRPr="007F6AD7">
        <w:rPr>
          <w:rFonts w:ascii="Arial" w:hAnsi="Arial" w:cs="Arial"/>
          <w:lang w:eastAsia="es-MX"/>
        </w:rPr>
        <w:t xml:space="preserve"> </w:t>
      </w:r>
      <w:r w:rsidR="009A30A4">
        <w:rPr>
          <w:rFonts w:ascii="Arial" w:hAnsi="Arial" w:cs="Arial"/>
          <w:lang w:eastAsia="es-MX"/>
        </w:rPr>
        <w:t>desde</w:t>
      </w:r>
      <w:r w:rsidR="00DE102C" w:rsidRPr="007F6AD7">
        <w:rPr>
          <w:rFonts w:ascii="Arial" w:hAnsi="Arial" w:cs="Arial"/>
          <w:lang w:eastAsia="es-MX"/>
        </w:rPr>
        <w:t xml:space="preserve"> el primer </w:t>
      </w:r>
      <w:r w:rsidR="006203E3" w:rsidRPr="007F6AD7">
        <w:rPr>
          <w:rFonts w:ascii="Arial" w:hAnsi="Arial" w:cs="Arial"/>
          <w:lang w:eastAsia="es-MX"/>
        </w:rPr>
        <w:t>párrafo del</w:t>
      </w:r>
      <w:r w:rsidR="00DE102C" w:rsidRPr="007F6AD7">
        <w:rPr>
          <w:rFonts w:ascii="Arial" w:hAnsi="Arial" w:cs="Arial"/>
          <w:lang w:eastAsia="es-MX"/>
        </w:rPr>
        <w:t xml:space="preserve"> artículo 1 del Decreto-Ley 64/82</w:t>
      </w:r>
      <w:r w:rsidR="006203E3" w:rsidRPr="007F6AD7">
        <w:rPr>
          <w:rFonts w:ascii="Arial" w:hAnsi="Arial" w:cs="Arial"/>
          <w:lang w:eastAsia="es-MX"/>
        </w:rPr>
        <w:t xml:space="preserve"> </w:t>
      </w:r>
      <w:r w:rsidR="006203E3" w:rsidRPr="007F6AD7">
        <w:rPr>
          <w:rStyle w:val="Refdenotaalpie"/>
          <w:rFonts w:ascii="Arial" w:hAnsi="Arial" w:cs="Arial"/>
          <w:lang w:eastAsia="es-MX"/>
        </w:rPr>
        <w:footnoteReference w:id="482"/>
      </w:r>
      <w:r w:rsidR="00DE102C" w:rsidRPr="007F6AD7">
        <w:rPr>
          <w:rFonts w:ascii="Arial" w:hAnsi="Arial" w:cs="Arial"/>
          <w:lang w:eastAsia="es-MX"/>
        </w:rPr>
        <w:t xml:space="preserve"> con la concreción y especificidad necesarias en una norma jurídica</w:t>
      </w:r>
      <w:r w:rsidR="00FA568E" w:rsidRPr="007F6AD7">
        <w:rPr>
          <w:rFonts w:ascii="Arial" w:hAnsi="Arial" w:cs="Arial"/>
          <w:lang w:eastAsia="es-MX"/>
        </w:rPr>
        <w:t>.</w:t>
      </w:r>
      <w:r w:rsidR="00166754" w:rsidRPr="007F6AD7">
        <w:rPr>
          <w:rStyle w:val="Refdenotaalpie"/>
          <w:rFonts w:ascii="Arial" w:hAnsi="Arial" w:cs="Arial"/>
          <w:lang w:eastAsia="es-MX"/>
        </w:rPr>
        <w:t xml:space="preserve"> </w:t>
      </w:r>
      <w:r w:rsidR="00166754" w:rsidRPr="007F6AD7">
        <w:rPr>
          <w:rStyle w:val="Refdenotaalpie"/>
          <w:rFonts w:ascii="Arial" w:hAnsi="Arial" w:cs="Arial"/>
          <w:lang w:eastAsia="es-MX"/>
        </w:rPr>
        <w:footnoteReference w:id="483"/>
      </w:r>
      <w:r w:rsidR="00DE102C" w:rsidRPr="007F6AD7">
        <w:rPr>
          <w:rFonts w:ascii="Arial" w:hAnsi="Arial" w:cs="Arial"/>
          <w:lang w:eastAsia="es-MX"/>
        </w:rPr>
        <w:t xml:space="preserve"> </w:t>
      </w:r>
      <w:r w:rsidR="00166754" w:rsidRPr="007F6AD7">
        <w:rPr>
          <w:rFonts w:ascii="Arial" w:hAnsi="Arial" w:cs="Arial"/>
          <w:lang w:eastAsia="es-MX"/>
        </w:rPr>
        <w:t xml:space="preserve">El significado de los términos “trastornos de conducta”, “manifestaciones </w:t>
      </w:r>
      <w:r w:rsidR="006203E3" w:rsidRPr="007F6AD7">
        <w:rPr>
          <w:rFonts w:ascii="Arial" w:hAnsi="Arial" w:cs="Arial"/>
          <w:lang w:eastAsia="es-MX"/>
        </w:rPr>
        <w:t>antisociales”, “desviación</w:t>
      </w:r>
      <w:r w:rsidR="00166754" w:rsidRPr="007F6AD7">
        <w:rPr>
          <w:rFonts w:ascii="Arial" w:hAnsi="Arial" w:cs="Arial"/>
          <w:lang w:eastAsia="es-MX"/>
        </w:rPr>
        <w:t xml:space="preserve"> </w:t>
      </w:r>
      <w:r w:rsidR="008F379F" w:rsidRPr="007F6AD7">
        <w:rPr>
          <w:rFonts w:ascii="Arial" w:hAnsi="Arial" w:cs="Arial"/>
          <w:lang w:eastAsia="es-MX"/>
        </w:rPr>
        <w:t>social”</w:t>
      </w:r>
      <w:r w:rsidR="00166754" w:rsidRPr="007F6AD7">
        <w:rPr>
          <w:rFonts w:ascii="Arial" w:hAnsi="Arial" w:cs="Arial"/>
          <w:lang w:eastAsia="es-MX"/>
        </w:rPr>
        <w:t xml:space="preserve"> y entre otras expresiones confusas </w:t>
      </w:r>
      <w:r w:rsidR="008F379F" w:rsidRPr="007F6AD7">
        <w:rPr>
          <w:rFonts w:ascii="Arial" w:hAnsi="Arial" w:cs="Arial"/>
          <w:lang w:eastAsia="es-MX"/>
        </w:rPr>
        <w:t>resulta</w:t>
      </w:r>
      <w:r w:rsidR="00166754" w:rsidRPr="007F6AD7">
        <w:rPr>
          <w:rFonts w:ascii="Arial" w:hAnsi="Arial" w:cs="Arial"/>
          <w:lang w:eastAsia="es-MX"/>
        </w:rPr>
        <w:t xml:space="preserve"> de difícil comprensión.</w:t>
      </w:r>
      <w:r w:rsidR="00166754" w:rsidRPr="007F6AD7">
        <w:rPr>
          <w:rStyle w:val="Refdenotaalpie"/>
          <w:rFonts w:ascii="Arial" w:hAnsi="Arial" w:cs="Arial"/>
          <w:lang w:eastAsia="es-MX"/>
        </w:rPr>
        <w:footnoteReference w:id="484"/>
      </w:r>
      <w:r w:rsidR="00166754" w:rsidRPr="007F6AD7">
        <w:rPr>
          <w:rFonts w:ascii="Arial" w:hAnsi="Arial" w:cs="Arial"/>
          <w:lang w:eastAsia="es-MX"/>
        </w:rPr>
        <w:t xml:space="preserve"> </w:t>
      </w:r>
      <w:r w:rsidR="006203E3" w:rsidRPr="007F6AD7">
        <w:rPr>
          <w:rFonts w:ascii="Arial" w:hAnsi="Arial" w:cs="Arial"/>
        </w:rPr>
        <w:t>Según dispone el Decreto-Ley Numero 64/82, la justicia para n</w:t>
      </w:r>
      <w:r w:rsidR="006203E3" w:rsidRPr="007F6AD7">
        <w:rPr>
          <w:rFonts w:ascii="Arial" w:hAnsi="Arial" w:cs="Arial"/>
          <w:noProof/>
        </w:rPr>
        <w:t xml:space="preserve">iños y niñas menores </w:t>
      </w:r>
      <w:r w:rsidR="006203E3" w:rsidRPr="007F6AD7">
        <w:rPr>
          <w:rFonts w:ascii="Arial" w:hAnsi="Arial" w:cs="Arial"/>
        </w:rPr>
        <w:t>de 16 años se imparte de forma extrapenal y de manera administrativa.</w:t>
      </w:r>
      <w:r w:rsidR="006203E3" w:rsidRPr="007F6AD7">
        <w:rPr>
          <w:rStyle w:val="Refdenotaalpie"/>
          <w:rFonts w:ascii="Arial" w:hAnsi="Arial" w:cs="Arial"/>
          <w:bCs/>
          <w:noProof/>
        </w:rPr>
        <w:footnoteReference w:id="485"/>
      </w:r>
      <w:r w:rsidR="006203E3" w:rsidRPr="007F6AD7">
        <w:rPr>
          <w:rFonts w:ascii="Arial" w:hAnsi="Arial" w:cs="Arial"/>
          <w:bCs/>
          <w:noProof/>
        </w:rPr>
        <w:t xml:space="preserve"> </w:t>
      </w:r>
      <w:r w:rsidR="006203E3" w:rsidRPr="007F6AD7">
        <w:rPr>
          <w:rFonts w:ascii="Arial" w:hAnsi="Arial" w:cs="Arial"/>
        </w:rPr>
        <w:t>Hay testimonios</w:t>
      </w:r>
      <w:r w:rsidR="006203E3" w:rsidRPr="007F6AD7">
        <w:rPr>
          <w:rStyle w:val="Refdenotaalpie"/>
          <w:rFonts w:ascii="Arial" w:hAnsi="Arial" w:cs="Arial"/>
        </w:rPr>
        <w:footnoteReference w:id="486"/>
      </w:r>
      <w:r w:rsidR="006203E3" w:rsidRPr="007F6AD7">
        <w:rPr>
          <w:rFonts w:ascii="Arial" w:hAnsi="Arial" w:cs="Arial"/>
        </w:rPr>
        <w:t xml:space="preserve">  de reclusos y </w:t>
      </w:r>
      <w:r w:rsidR="00927F77" w:rsidRPr="007F6AD7">
        <w:rPr>
          <w:rFonts w:ascii="Arial" w:hAnsi="Arial" w:cs="Arial"/>
        </w:rPr>
        <w:t xml:space="preserve">letrados </w:t>
      </w:r>
      <w:r w:rsidR="00927F77" w:rsidRPr="007F6AD7">
        <w:rPr>
          <w:rFonts w:ascii="Arial" w:hAnsi="Arial" w:cs="Arial"/>
          <w:lang w:eastAsia="es-ES"/>
        </w:rPr>
        <w:lastRenderedPageBreak/>
        <w:t>cubanos</w:t>
      </w:r>
      <w:r w:rsidR="006203E3" w:rsidRPr="007F6AD7">
        <w:rPr>
          <w:rFonts w:ascii="Arial" w:hAnsi="Arial" w:cs="Arial"/>
        </w:rPr>
        <w:t xml:space="preserve"> sobre las limitadas garantías </w:t>
      </w:r>
      <w:r w:rsidR="006203E3" w:rsidRPr="007F6AD7">
        <w:rPr>
          <w:rStyle w:val="Refdenotaalpie"/>
          <w:rFonts w:ascii="Arial" w:hAnsi="Arial" w:cs="Arial"/>
          <w:bCs/>
          <w:noProof/>
        </w:rPr>
        <w:footnoteReference w:id="487"/>
      </w:r>
      <w:r w:rsidR="006203E3" w:rsidRPr="007F6AD7">
        <w:rPr>
          <w:rFonts w:ascii="Arial" w:hAnsi="Arial" w:cs="Arial"/>
        </w:rPr>
        <w:t xml:space="preserve"> del debido proceso y el derecho al silencio. </w:t>
      </w:r>
      <w:r w:rsidR="00FA568E" w:rsidRPr="007F6AD7">
        <w:rPr>
          <w:rFonts w:ascii="Arial" w:hAnsi="Arial" w:cs="Arial"/>
          <w:lang w:eastAsia="es-MX"/>
        </w:rPr>
        <w:t xml:space="preserve">Sin dudas, </w:t>
      </w:r>
      <w:r w:rsidR="00166754" w:rsidRPr="007F6AD7">
        <w:rPr>
          <w:rFonts w:ascii="Arial" w:hAnsi="Arial" w:cs="Arial"/>
          <w:lang w:eastAsia="es-MX"/>
        </w:rPr>
        <w:t>el</w:t>
      </w:r>
      <w:r w:rsidR="00FA568E" w:rsidRPr="007F6AD7">
        <w:rPr>
          <w:rFonts w:ascii="Arial" w:hAnsi="Arial" w:cs="Arial"/>
          <w:lang w:eastAsia="es-MX"/>
        </w:rPr>
        <w:t xml:space="preserve"> </w:t>
      </w:r>
      <w:r w:rsidR="00166754" w:rsidRPr="007F6AD7">
        <w:rPr>
          <w:rFonts w:ascii="Arial" w:hAnsi="Arial" w:cs="Arial"/>
          <w:lang w:eastAsia="es-MX"/>
        </w:rPr>
        <w:t xml:space="preserve">Decreto-Ley 64/82, por su impacto social y </w:t>
      </w:r>
      <w:r w:rsidR="006203E3" w:rsidRPr="007F6AD7">
        <w:rPr>
          <w:rFonts w:ascii="Arial" w:hAnsi="Arial" w:cs="Arial"/>
          <w:lang w:eastAsia="es-MX"/>
        </w:rPr>
        <w:t>r</w:t>
      </w:r>
      <w:r w:rsidR="00166754" w:rsidRPr="007F6AD7">
        <w:rPr>
          <w:rFonts w:ascii="Arial" w:hAnsi="Arial" w:cs="Arial"/>
          <w:lang w:eastAsia="es-MX"/>
        </w:rPr>
        <w:t>elevancia</w:t>
      </w:r>
      <w:r w:rsidR="00927F77" w:rsidRPr="007F6AD7">
        <w:rPr>
          <w:rFonts w:ascii="Arial" w:hAnsi="Arial" w:cs="Arial"/>
          <w:lang w:eastAsia="es-MX"/>
        </w:rPr>
        <w:t xml:space="preserve"> </w:t>
      </w:r>
      <w:r w:rsidR="00C754C3" w:rsidRPr="007F6AD7">
        <w:rPr>
          <w:rFonts w:ascii="Arial" w:hAnsi="Arial" w:cs="Arial"/>
          <w:lang w:eastAsia="es-MX"/>
        </w:rPr>
        <w:t>jurídica</w:t>
      </w:r>
      <w:r w:rsidR="00166754" w:rsidRPr="007F6AD7">
        <w:rPr>
          <w:rFonts w:ascii="Arial" w:hAnsi="Arial" w:cs="Arial"/>
          <w:lang w:eastAsia="es-MX"/>
        </w:rPr>
        <w:t xml:space="preserve"> </w:t>
      </w:r>
      <w:r w:rsidR="00DE102C" w:rsidRPr="007F6AD7">
        <w:rPr>
          <w:rFonts w:ascii="Arial" w:hAnsi="Arial" w:cs="Arial"/>
          <w:lang w:eastAsia="es-MX"/>
        </w:rPr>
        <w:t>debe ser modificad</w:t>
      </w:r>
      <w:r w:rsidR="00927F77" w:rsidRPr="007F6AD7">
        <w:rPr>
          <w:rFonts w:ascii="Arial" w:hAnsi="Arial" w:cs="Arial"/>
          <w:lang w:eastAsia="es-MX"/>
        </w:rPr>
        <w:t>o</w:t>
      </w:r>
      <w:r w:rsidR="00FA568E" w:rsidRPr="007F6AD7">
        <w:rPr>
          <w:rFonts w:ascii="Arial" w:hAnsi="Arial" w:cs="Arial"/>
          <w:lang w:eastAsia="es-MX"/>
        </w:rPr>
        <w:t xml:space="preserve"> y ajustarse a la protección legal y los principios</w:t>
      </w:r>
      <w:r w:rsidR="00166754" w:rsidRPr="007F6AD7">
        <w:rPr>
          <w:rFonts w:ascii="Arial" w:hAnsi="Arial" w:cs="Arial"/>
          <w:lang w:eastAsia="es-MX"/>
        </w:rPr>
        <w:t xml:space="preserve"> de igualdad y proporcionalidad dispuestos en el </w:t>
      </w:r>
      <w:r w:rsidR="006203E3" w:rsidRPr="007F6AD7">
        <w:rPr>
          <w:rFonts w:ascii="Arial" w:hAnsi="Arial" w:cs="Arial"/>
          <w:lang w:eastAsia="es-MX"/>
        </w:rPr>
        <w:t>Artículo 40</w:t>
      </w:r>
      <w:r w:rsidR="00166754" w:rsidRPr="007F6AD7">
        <w:rPr>
          <w:rFonts w:ascii="Arial" w:hAnsi="Arial" w:cs="Arial"/>
          <w:lang w:eastAsia="es-MX"/>
        </w:rPr>
        <w:t xml:space="preserve"> de la </w:t>
      </w:r>
      <w:r w:rsidR="006203E3" w:rsidRPr="007F6AD7">
        <w:rPr>
          <w:rFonts w:ascii="Arial" w:hAnsi="Arial" w:cs="Arial"/>
          <w:lang w:val="es-ES_tradnl" w:eastAsia="es-MX"/>
        </w:rPr>
        <w:t>Convención de</w:t>
      </w:r>
      <w:r w:rsidR="00166754" w:rsidRPr="007F6AD7">
        <w:rPr>
          <w:rFonts w:ascii="Arial" w:hAnsi="Arial" w:cs="Arial"/>
          <w:lang w:val="es-ES_tradnl" w:eastAsia="es-MX"/>
        </w:rPr>
        <w:t xml:space="preserve"> los Derechos del </w:t>
      </w:r>
      <w:r w:rsidR="009F36D8" w:rsidRPr="007F6AD7">
        <w:rPr>
          <w:rFonts w:ascii="Arial" w:hAnsi="Arial" w:cs="Arial"/>
          <w:lang w:val="es-ES_tradnl" w:eastAsia="es-MX"/>
        </w:rPr>
        <w:t>Niño.</w:t>
      </w:r>
      <w:r w:rsidR="008F379F" w:rsidRPr="007F6AD7">
        <w:rPr>
          <w:rStyle w:val="Refdenotaalpie"/>
          <w:rFonts w:ascii="Arial" w:hAnsi="Arial" w:cs="Arial"/>
          <w:lang w:val="es-ES_tradnl" w:eastAsia="es-MX"/>
        </w:rPr>
        <w:footnoteReference w:id="488"/>
      </w:r>
      <w:r w:rsidR="009F36D8" w:rsidRPr="007F6AD7">
        <w:rPr>
          <w:rFonts w:ascii="Arial" w:hAnsi="Arial" w:cs="Arial"/>
          <w:lang w:val="es-ES_tradnl" w:eastAsia="es-MX"/>
        </w:rPr>
        <w:t xml:space="preserve"> </w:t>
      </w:r>
    </w:p>
    <w:p w14:paraId="29AA643C" w14:textId="3FE300DD" w:rsidR="006203E3" w:rsidRPr="009B47C5" w:rsidRDefault="006203E3" w:rsidP="009B47C5">
      <w:pPr>
        <w:pStyle w:val="Ttulo3"/>
      </w:pPr>
      <w:r w:rsidRPr="009B47C5">
        <w:rPr>
          <w:rStyle w:val="Ttulo2Car"/>
          <w:rFonts w:cs="Times New Roman"/>
          <w:bCs/>
          <w:shd w:val="clear" w:color="auto" w:fill="auto"/>
          <w:lang w:val="es-MX"/>
        </w:rPr>
        <w:t xml:space="preserve">  </w:t>
      </w:r>
      <w:bookmarkStart w:id="141" w:name="_Toc515359825"/>
      <w:r w:rsidRPr="009B47C5">
        <w:rPr>
          <w:rStyle w:val="Ttulo3Car"/>
          <w:bCs/>
        </w:rPr>
        <w:t>Chicas y madres  reclusas  con necesidades de género</w:t>
      </w:r>
      <w:bookmarkEnd w:id="141"/>
    </w:p>
    <w:p w14:paraId="50678BCC" w14:textId="74EF94D7" w:rsidR="00DE102C" w:rsidRPr="007F6AD7" w:rsidRDefault="006364E0" w:rsidP="006364E0">
      <w:pPr>
        <w:tabs>
          <w:tab w:val="left" w:pos="567"/>
          <w:tab w:val="left" w:pos="720"/>
        </w:tabs>
        <w:spacing w:after="0" w:line="360" w:lineRule="auto"/>
        <w:jc w:val="both"/>
        <w:rPr>
          <w:rFonts w:ascii="Arial" w:hAnsi="Arial" w:cs="Arial"/>
          <w:lang w:eastAsia="es-MX"/>
        </w:rPr>
      </w:pPr>
      <w:r>
        <w:rPr>
          <w:rFonts w:ascii="Arial" w:hAnsi="Arial" w:cs="Arial"/>
          <w:bCs/>
          <w:noProof/>
        </w:rPr>
        <w:t>104.  A</w:t>
      </w:r>
      <w:r w:rsidRPr="007F6AD7">
        <w:rPr>
          <w:rFonts w:ascii="Arial" w:hAnsi="Arial" w:cs="Arial"/>
          <w:bCs/>
          <w:noProof/>
        </w:rPr>
        <w:t xml:space="preserve"> nivel mundial</w:t>
      </w:r>
      <w:r>
        <w:rPr>
          <w:rFonts w:ascii="Arial" w:hAnsi="Arial" w:cs="Arial"/>
          <w:bCs/>
          <w:noProof/>
        </w:rPr>
        <w:t>,</w:t>
      </w:r>
      <w:r w:rsidRPr="007F6AD7">
        <w:rPr>
          <w:rFonts w:ascii="Arial" w:hAnsi="Arial" w:cs="Arial"/>
          <w:bCs/>
          <w:noProof/>
        </w:rPr>
        <w:t xml:space="preserve"> </w:t>
      </w:r>
      <w:r>
        <w:rPr>
          <w:rFonts w:ascii="Arial" w:hAnsi="Arial" w:cs="Arial"/>
          <w:bCs/>
          <w:noProof/>
        </w:rPr>
        <w:t>l</w:t>
      </w:r>
      <w:r w:rsidR="000C2A55" w:rsidRPr="007F6AD7">
        <w:rPr>
          <w:rFonts w:ascii="Arial" w:hAnsi="Arial" w:cs="Arial"/>
          <w:bCs/>
          <w:noProof/>
        </w:rPr>
        <w:t xml:space="preserve">as </w:t>
      </w:r>
      <w:r w:rsidR="00626469" w:rsidRPr="007F6AD7">
        <w:rPr>
          <w:rFonts w:ascii="Arial" w:hAnsi="Arial" w:cs="Arial"/>
          <w:bCs/>
          <w:noProof/>
        </w:rPr>
        <w:t xml:space="preserve">féminas </w:t>
      </w:r>
      <w:r w:rsidR="00AD17B4" w:rsidRPr="007F6AD7">
        <w:rPr>
          <w:rFonts w:ascii="Arial" w:hAnsi="Arial" w:cs="Arial"/>
          <w:bCs/>
          <w:noProof/>
        </w:rPr>
        <w:t>constituyen</w:t>
      </w:r>
      <w:r w:rsidR="000C2A55" w:rsidRPr="007F6AD7">
        <w:rPr>
          <w:rFonts w:ascii="Arial" w:hAnsi="Arial" w:cs="Arial"/>
          <w:bCs/>
          <w:noProof/>
        </w:rPr>
        <w:t xml:space="preserve"> una proporc</w:t>
      </w:r>
      <w:r w:rsidR="00626469" w:rsidRPr="007F6AD7">
        <w:rPr>
          <w:rFonts w:ascii="Arial" w:hAnsi="Arial" w:cs="Arial"/>
          <w:bCs/>
          <w:noProof/>
        </w:rPr>
        <w:t xml:space="preserve">ión pequeña de la población </w:t>
      </w:r>
      <w:r w:rsidR="000C2A55" w:rsidRPr="007F6AD7">
        <w:rPr>
          <w:rFonts w:ascii="Arial" w:hAnsi="Arial" w:cs="Arial"/>
          <w:bCs/>
          <w:noProof/>
        </w:rPr>
        <w:t>peniten</w:t>
      </w:r>
      <w:r w:rsidR="00626469" w:rsidRPr="007F6AD7">
        <w:rPr>
          <w:rFonts w:ascii="Arial" w:hAnsi="Arial" w:cs="Arial"/>
          <w:bCs/>
          <w:noProof/>
        </w:rPr>
        <w:t xml:space="preserve">ciaria, una tendencia que al parecer se reproduce en Cuba según se infiere  de los escasos reportes sobre el tema publicados en la isla. </w:t>
      </w:r>
      <w:r w:rsidR="00DE102C" w:rsidRPr="007F6AD7">
        <w:rPr>
          <w:rFonts w:ascii="Arial" w:hAnsi="Arial" w:cs="Arial"/>
          <w:lang w:eastAsia="es-MX"/>
        </w:rPr>
        <w:t>En muchas sociedades, las niñas (todas las mujeres menores de 18 años) que rompen los códigos legales o sociales son tratadas con especial dureza.</w:t>
      </w:r>
      <w:r w:rsidR="00DE102C" w:rsidRPr="007F6AD7">
        <w:rPr>
          <w:rStyle w:val="Refdenotaalpie"/>
          <w:rFonts w:ascii="Arial" w:hAnsi="Arial" w:cs="Arial"/>
          <w:lang w:eastAsia="es-MX"/>
        </w:rPr>
        <w:footnoteReference w:id="489"/>
      </w:r>
      <w:r w:rsidR="00DE102C" w:rsidRPr="007F6AD7">
        <w:rPr>
          <w:rFonts w:ascii="Arial" w:hAnsi="Arial" w:cs="Arial"/>
          <w:lang w:eastAsia="es-MX"/>
        </w:rPr>
        <w:t xml:space="preserve"> </w:t>
      </w:r>
      <w:r w:rsidR="00DE102C" w:rsidRPr="007F6AD7">
        <w:rPr>
          <w:rFonts w:ascii="Arial" w:hAnsi="Arial" w:cs="Arial"/>
          <w:bCs/>
          <w:noProof/>
        </w:rPr>
        <w:t xml:space="preserve"> Esta circunstancia es abordada por  un juez cubano</w:t>
      </w:r>
      <w:r w:rsidR="00DE102C" w:rsidRPr="007F6AD7">
        <w:rPr>
          <w:rFonts w:ascii="Arial" w:hAnsi="Arial" w:cs="Arial"/>
          <w:vertAlign w:val="superscript"/>
        </w:rPr>
        <w:footnoteReference w:id="490"/>
      </w:r>
      <w:r w:rsidR="00DE102C" w:rsidRPr="007F6AD7">
        <w:rPr>
          <w:rFonts w:ascii="Arial" w:hAnsi="Arial" w:cs="Arial"/>
          <w:bCs/>
          <w:noProof/>
        </w:rPr>
        <w:t xml:space="preserve"> al advertir energicamente sobre el actuar  de algunos magistrados  al aplicar criterios y posturas cotidianas del Derecho penal sin apreciar ciertas especificidades del abuso sexual de infantes, un fenómeno delictivo con particularidades que lo distinguen de las restantes transgresiones penales y donde la víctima cumple, aun sin quererlo, una función esencial en el control del delito, ya que es a través de la denuncia donde se ejercita una buena parte del control social. </w:t>
      </w:r>
    </w:p>
    <w:p w14:paraId="075ACE26" w14:textId="292C80EF" w:rsidR="00A155F6" w:rsidRPr="007F6AD7" w:rsidRDefault="006364E0" w:rsidP="006A1157">
      <w:pPr>
        <w:spacing w:after="0" w:line="360" w:lineRule="auto"/>
        <w:jc w:val="both"/>
        <w:rPr>
          <w:rFonts w:ascii="Arial" w:hAnsi="Arial" w:cs="Arial"/>
          <w:bCs/>
          <w:noProof/>
        </w:rPr>
      </w:pPr>
      <w:r>
        <w:rPr>
          <w:rFonts w:ascii="Arial" w:hAnsi="Arial" w:cs="Arial"/>
          <w:bCs/>
          <w:noProof/>
        </w:rPr>
        <w:lastRenderedPageBreak/>
        <w:t>105</w:t>
      </w:r>
      <w:r w:rsidR="00DE102C" w:rsidRPr="007F6AD7">
        <w:rPr>
          <w:rFonts w:ascii="Arial" w:hAnsi="Arial" w:cs="Arial"/>
          <w:bCs/>
          <w:noProof/>
        </w:rPr>
        <w:t xml:space="preserve">. Igualmente </w:t>
      </w:r>
      <w:r>
        <w:rPr>
          <w:rFonts w:ascii="Arial" w:hAnsi="Arial" w:cs="Arial"/>
          <w:bCs/>
          <w:noProof/>
        </w:rPr>
        <w:t>señala</w:t>
      </w:r>
      <w:r w:rsidR="00DE102C" w:rsidRPr="007F6AD7">
        <w:rPr>
          <w:rFonts w:ascii="Arial" w:hAnsi="Arial" w:cs="Arial"/>
          <w:bCs/>
          <w:noProof/>
        </w:rPr>
        <w:t xml:space="preserve">  la Relatora</w:t>
      </w:r>
      <w:r w:rsidR="009A30A4">
        <w:rPr>
          <w:rFonts w:ascii="Arial" w:hAnsi="Arial" w:cs="Arial"/>
          <w:bCs/>
          <w:noProof/>
        </w:rPr>
        <w:t xml:space="preserve"> Especial</w:t>
      </w:r>
      <w:r w:rsidR="00DE102C" w:rsidRPr="007F6AD7">
        <w:rPr>
          <w:rFonts w:ascii="Arial" w:hAnsi="Arial" w:cs="Arial"/>
          <w:bCs/>
          <w:noProof/>
        </w:rPr>
        <w:t xml:space="preserve"> de la ONU sobre la </w:t>
      </w:r>
      <w:r w:rsidR="009A30A4" w:rsidRPr="009A30A4">
        <w:rPr>
          <w:rFonts w:ascii="Arial" w:hAnsi="Arial" w:cs="Arial"/>
          <w:bCs/>
          <w:noProof/>
        </w:rPr>
        <w:t>trata de personas, especialmente mujeres y niños</w:t>
      </w:r>
      <w:r w:rsidR="009A30A4">
        <w:rPr>
          <w:lang w:val="es-MX"/>
        </w:rPr>
        <w:t xml:space="preserve">  </w:t>
      </w:r>
      <w:r w:rsidR="00DE102C" w:rsidRPr="007F6AD7">
        <w:rPr>
          <w:rFonts w:ascii="Arial" w:hAnsi="Arial" w:cs="Arial"/>
          <w:bCs/>
          <w:noProof/>
        </w:rPr>
        <w:t>que aunque la prostitución</w:t>
      </w:r>
      <w:r w:rsidR="00DE102C" w:rsidRPr="007F6AD7">
        <w:rPr>
          <w:rFonts w:ascii="Arial" w:hAnsi="Arial" w:cs="Arial"/>
          <w:vertAlign w:val="superscript"/>
        </w:rPr>
        <w:footnoteReference w:id="491"/>
      </w:r>
      <w:r w:rsidR="00DE102C" w:rsidRPr="007F6AD7">
        <w:rPr>
          <w:rFonts w:ascii="Arial" w:hAnsi="Arial" w:cs="Arial"/>
          <w:bCs/>
          <w:noProof/>
        </w:rPr>
        <w:t xml:space="preserve"> no sea considerada un delito por la legislacion cubana , </w:t>
      </w:r>
      <w:r w:rsidR="00144D42" w:rsidRPr="007F6AD7">
        <w:rPr>
          <w:rFonts w:ascii="Arial" w:hAnsi="Arial" w:cs="Arial"/>
          <w:bCs/>
          <w:noProof/>
        </w:rPr>
        <w:t>los</w:t>
      </w:r>
      <w:r w:rsidR="00DE102C" w:rsidRPr="007F6AD7">
        <w:rPr>
          <w:rFonts w:ascii="Arial" w:hAnsi="Arial" w:cs="Arial"/>
          <w:bCs/>
          <w:noProof/>
        </w:rPr>
        <w:t xml:space="preserve">  casos de personas que practican   </w:t>
      </w:r>
      <w:r w:rsidR="00144D42" w:rsidRPr="007F6AD7">
        <w:rPr>
          <w:rFonts w:ascii="Arial" w:hAnsi="Arial" w:cs="Arial"/>
          <w:bCs/>
          <w:noProof/>
        </w:rPr>
        <w:t>la prostitución/trabajo sexual, incluida la utilizacion de  los adolescentes de entre 16 y 18 años, así como posibles víctimas de la trata, son a menudo detenidas en "centros de rehabilitación",</w:t>
      </w:r>
      <w:r w:rsidR="00144D42" w:rsidRPr="007F6AD7">
        <w:rPr>
          <w:rStyle w:val="Refdenotaalpie"/>
          <w:rFonts w:ascii="Arial" w:hAnsi="Arial" w:cs="Arial"/>
          <w:bCs/>
          <w:noProof/>
        </w:rPr>
        <w:footnoteReference w:id="492"/>
      </w:r>
      <w:r w:rsidR="00144D42" w:rsidRPr="007F6AD7">
        <w:rPr>
          <w:rFonts w:ascii="Arial" w:hAnsi="Arial" w:cs="Arial"/>
          <w:bCs/>
          <w:noProof/>
        </w:rPr>
        <w:t xml:space="preserve"> lo que constituye una violación de sus derechos.</w:t>
      </w:r>
      <w:r w:rsidR="00144D42" w:rsidRPr="007F6AD7">
        <w:rPr>
          <w:rFonts w:ascii="Arial" w:hAnsi="Arial" w:cs="Arial"/>
          <w:bCs/>
          <w:noProof/>
          <w:vertAlign w:val="superscript"/>
        </w:rPr>
        <w:footnoteReference w:id="493"/>
      </w:r>
      <w:r w:rsidR="00144D42" w:rsidRPr="007F6AD7">
        <w:rPr>
          <w:rFonts w:ascii="Arial" w:hAnsi="Arial" w:cs="Arial"/>
          <w:bCs/>
          <w:noProof/>
        </w:rPr>
        <w:t xml:space="preserve">  </w:t>
      </w:r>
      <w:r w:rsidR="002976FE" w:rsidRPr="007F6AD7">
        <w:rPr>
          <w:rFonts w:ascii="Arial" w:hAnsi="Arial" w:cs="Arial"/>
          <w:bCs/>
          <w:noProof/>
        </w:rPr>
        <w:t>Entre las niñas y adolescentes cubanas</w:t>
      </w:r>
      <w:r w:rsidR="00C754C3" w:rsidRPr="007F6AD7">
        <w:rPr>
          <w:rFonts w:ascii="Arial" w:hAnsi="Arial" w:cs="Arial"/>
          <w:bCs/>
          <w:noProof/>
        </w:rPr>
        <w:t xml:space="preserve"> </w:t>
      </w:r>
      <w:r w:rsidR="009F36D8" w:rsidRPr="007F6AD7">
        <w:rPr>
          <w:rFonts w:ascii="Arial" w:hAnsi="Arial" w:cs="Arial"/>
          <w:bCs/>
          <w:noProof/>
        </w:rPr>
        <w:t>internadas  en  instituciones</w:t>
      </w:r>
      <w:r w:rsidR="002E7167">
        <w:rPr>
          <w:rFonts w:ascii="Arial" w:hAnsi="Arial" w:cs="Arial"/>
          <w:bCs/>
          <w:noProof/>
        </w:rPr>
        <w:t xml:space="preserve"> docentes</w:t>
      </w:r>
      <w:r w:rsidR="009F36D8" w:rsidRPr="007F6AD7">
        <w:rPr>
          <w:rFonts w:ascii="Arial" w:hAnsi="Arial" w:cs="Arial"/>
          <w:bCs/>
          <w:noProof/>
        </w:rPr>
        <w:t xml:space="preserve"> </w:t>
      </w:r>
      <w:r w:rsidR="006421EB">
        <w:rPr>
          <w:rFonts w:ascii="Arial" w:hAnsi="Arial" w:cs="Arial"/>
          <w:bCs/>
          <w:noProof/>
        </w:rPr>
        <w:t>o</w:t>
      </w:r>
      <w:r w:rsidR="009F36D8" w:rsidRPr="007F6AD7">
        <w:rPr>
          <w:rFonts w:ascii="Arial" w:hAnsi="Arial" w:cs="Arial"/>
          <w:bCs/>
          <w:noProof/>
        </w:rPr>
        <w:t xml:space="preserve"> </w:t>
      </w:r>
      <w:r w:rsidR="00C754C3" w:rsidRPr="007F6AD7">
        <w:rPr>
          <w:rFonts w:ascii="Arial" w:hAnsi="Arial" w:cs="Arial"/>
          <w:bCs/>
          <w:noProof/>
        </w:rPr>
        <w:t>e</w:t>
      </w:r>
      <w:r w:rsidR="002976FE" w:rsidRPr="007F6AD7">
        <w:rPr>
          <w:rFonts w:ascii="Arial" w:hAnsi="Arial" w:cs="Arial"/>
          <w:bCs/>
          <w:noProof/>
        </w:rPr>
        <w:t xml:space="preserve">ncarceladas hay </w:t>
      </w:r>
      <w:r w:rsidR="00C754C3" w:rsidRPr="007F6AD7">
        <w:rPr>
          <w:rFonts w:ascii="Arial" w:hAnsi="Arial" w:cs="Arial"/>
          <w:bCs/>
          <w:noProof/>
        </w:rPr>
        <w:t>bastantes</w:t>
      </w:r>
      <w:r w:rsidR="002976FE" w:rsidRPr="007F6AD7">
        <w:rPr>
          <w:rFonts w:ascii="Arial" w:hAnsi="Arial" w:cs="Arial"/>
          <w:bCs/>
          <w:noProof/>
        </w:rPr>
        <w:t xml:space="preserve"> probabilidades de</w:t>
      </w:r>
      <w:r w:rsidR="00AF6FA9" w:rsidRPr="007F6AD7">
        <w:rPr>
          <w:rFonts w:ascii="Arial" w:hAnsi="Arial" w:cs="Arial"/>
          <w:bCs/>
          <w:noProof/>
        </w:rPr>
        <w:t xml:space="preserve"> que</w:t>
      </w:r>
      <w:r w:rsidR="00B70376" w:rsidRPr="007F6AD7">
        <w:rPr>
          <w:rFonts w:ascii="Arial" w:hAnsi="Arial" w:cs="Arial"/>
          <w:bCs/>
          <w:noProof/>
        </w:rPr>
        <w:t xml:space="preserve"> algunas</w:t>
      </w:r>
      <w:r w:rsidR="002976FE" w:rsidRPr="007F6AD7">
        <w:rPr>
          <w:rFonts w:ascii="Arial" w:hAnsi="Arial" w:cs="Arial"/>
          <w:bCs/>
          <w:noProof/>
        </w:rPr>
        <w:t xml:space="preserve"> hayan sufrido abusos físicos y sexuales traumáticos.</w:t>
      </w:r>
      <w:r w:rsidR="00DA1475" w:rsidRPr="007F6AD7">
        <w:rPr>
          <w:rStyle w:val="Refdenotaalpie"/>
          <w:rFonts w:ascii="Arial" w:hAnsi="Arial" w:cs="Arial"/>
          <w:bCs/>
          <w:noProof/>
        </w:rPr>
        <w:footnoteReference w:id="494"/>
      </w:r>
      <w:r w:rsidR="00702009" w:rsidRPr="007F6AD7">
        <w:rPr>
          <w:rFonts w:ascii="Arial" w:hAnsi="Arial" w:cs="Arial"/>
          <w:bCs/>
          <w:noProof/>
          <w:vertAlign w:val="superscript"/>
        </w:rPr>
        <w:t xml:space="preserve">, </w:t>
      </w:r>
      <w:r w:rsidR="00702009" w:rsidRPr="007F6AD7">
        <w:rPr>
          <w:rStyle w:val="Refdenotaalpie"/>
          <w:rFonts w:ascii="Arial" w:hAnsi="Arial" w:cs="Arial"/>
          <w:bCs/>
          <w:noProof/>
        </w:rPr>
        <w:footnoteReference w:id="495"/>
      </w:r>
      <w:r w:rsidR="00DA1475" w:rsidRPr="007F6AD7">
        <w:rPr>
          <w:rFonts w:ascii="Arial" w:hAnsi="Arial" w:cs="Arial"/>
          <w:bCs/>
          <w:noProof/>
        </w:rPr>
        <w:t xml:space="preserve"> </w:t>
      </w:r>
      <w:r w:rsidR="009F36D8" w:rsidRPr="007F6AD7">
        <w:rPr>
          <w:rFonts w:ascii="Arial" w:hAnsi="Arial" w:cs="Arial"/>
          <w:bCs/>
          <w:noProof/>
        </w:rPr>
        <w:t>La  veracidad de l</w:t>
      </w:r>
      <w:r w:rsidR="00C754C3" w:rsidRPr="007F6AD7">
        <w:rPr>
          <w:rFonts w:ascii="Arial" w:hAnsi="Arial" w:cs="Arial"/>
          <w:bCs/>
          <w:noProof/>
        </w:rPr>
        <w:t xml:space="preserve">os testimonios </w:t>
      </w:r>
      <w:r w:rsidR="009F36D8" w:rsidRPr="007F6AD7">
        <w:rPr>
          <w:rFonts w:ascii="Arial" w:hAnsi="Arial" w:cs="Arial"/>
          <w:bCs/>
          <w:noProof/>
        </w:rPr>
        <w:t xml:space="preserve"> relatados por familiares de victimas</w:t>
      </w:r>
      <w:r w:rsidR="006A1157">
        <w:rPr>
          <w:rFonts w:ascii="Arial" w:hAnsi="Arial" w:cs="Arial"/>
          <w:bCs/>
          <w:noProof/>
        </w:rPr>
        <w:t xml:space="preserve"> cubanas</w:t>
      </w:r>
      <w:r w:rsidR="009F36D8" w:rsidRPr="007F6AD7">
        <w:rPr>
          <w:rFonts w:ascii="Arial" w:hAnsi="Arial" w:cs="Arial"/>
          <w:bCs/>
          <w:noProof/>
        </w:rPr>
        <w:t xml:space="preserve"> </w:t>
      </w:r>
      <w:r w:rsidR="00C754C3" w:rsidRPr="007F6AD7">
        <w:rPr>
          <w:rFonts w:ascii="Arial" w:hAnsi="Arial" w:cs="Arial"/>
          <w:bCs/>
          <w:noProof/>
        </w:rPr>
        <w:t>no ha podido  corroborarse.</w:t>
      </w:r>
    </w:p>
    <w:p w14:paraId="63C9A68E" w14:textId="66AA0D7E" w:rsidR="007367DF" w:rsidRPr="007F6AD7" w:rsidRDefault="006364E0" w:rsidP="006364E0">
      <w:pPr>
        <w:spacing w:after="0" w:line="360" w:lineRule="auto"/>
        <w:jc w:val="both"/>
        <w:rPr>
          <w:rFonts w:ascii="Arial" w:hAnsi="Arial" w:cs="Arial"/>
          <w:bCs/>
          <w:noProof/>
        </w:rPr>
      </w:pPr>
      <w:r>
        <w:rPr>
          <w:rFonts w:ascii="Arial" w:hAnsi="Arial" w:cs="Arial"/>
          <w:bCs/>
          <w:noProof/>
        </w:rPr>
        <w:t>106.   Ya</w:t>
      </w:r>
      <w:r w:rsidR="009F36D8" w:rsidRPr="007F6AD7">
        <w:rPr>
          <w:rFonts w:ascii="Arial" w:hAnsi="Arial" w:cs="Arial"/>
          <w:bCs/>
          <w:noProof/>
        </w:rPr>
        <w:t xml:space="preserve"> detenidas, la vulnerabilidad de las jóvenes a contraer VIH/SIDA es discutida raramente</w:t>
      </w:r>
      <w:r w:rsidR="00C64A22" w:rsidRPr="007F6AD7">
        <w:rPr>
          <w:rFonts w:ascii="Arial" w:hAnsi="Arial" w:cs="Arial"/>
          <w:bCs/>
          <w:noProof/>
        </w:rPr>
        <w:t>.</w:t>
      </w:r>
      <w:r w:rsidR="00626469" w:rsidRPr="007F6AD7">
        <w:rPr>
          <w:rFonts w:ascii="Arial" w:hAnsi="Arial" w:cs="Arial"/>
          <w:bCs/>
          <w:noProof/>
        </w:rPr>
        <w:t xml:space="preserve"> </w:t>
      </w:r>
      <w:r w:rsidR="003B74CB" w:rsidRPr="007F6AD7">
        <w:rPr>
          <w:rFonts w:ascii="Arial" w:hAnsi="Arial" w:cs="Arial"/>
          <w:bCs/>
          <w:noProof/>
        </w:rPr>
        <w:t>Las chicas y mujeres pueden estar en particular riesgo de contraer VIH y otras enfermedades de transmisión sexual durante el tiempo que pasan en la cárcel debido a su vulnerabilidad a sufrir violencia sexual.Las chicas arrestadas por delitos relacionados con drogas o por prostitución</w:t>
      </w:r>
      <w:r w:rsidR="006A1157">
        <w:rPr>
          <w:rFonts w:ascii="Arial" w:hAnsi="Arial" w:cs="Arial"/>
          <w:bCs/>
          <w:noProof/>
        </w:rPr>
        <w:t xml:space="preserve"> </w:t>
      </w:r>
      <w:r w:rsidR="003B74CB" w:rsidRPr="007F6AD7">
        <w:rPr>
          <w:rFonts w:ascii="Arial" w:hAnsi="Arial" w:cs="Arial"/>
          <w:bCs/>
          <w:noProof/>
        </w:rPr>
        <w:t>presentan un riesgo mayor de estar ya infectadas con VIH cuando ingresan al reclusorio.</w:t>
      </w:r>
      <w:r w:rsidR="003B74CB" w:rsidRPr="007F6AD7">
        <w:rPr>
          <w:rFonts w:ascii="Arial" w:hAnsi="Arial" w:cs="Arial"/>
        </w:rPr>
        <w:t xml:space="preserve"> </w:t>
      </w:r>
      <w:r w:rsidR="003B74CB" w:rsidRPr="007F6AD7">
        <w:rPr>
          <w:rFonts w:ascii="Arial" w:hAnsi="Arial" w:cs="Arial"/>
          <w:bCs/>
          <w:noProof/>
        </w:rPr>
        <w:t xml:space="preserve">Quienes consumen drogas inyectadas pueden contraer el VIH por compartir jeringas. </w:t>
      </w:r>
      <w:r w:rsidR="00C64A22" w:rsidRPr="007F6AD7">
        <w:rPr>
          <w:rStyle w:val="Refdenotaalpie"/>
          <w:rFonts w:ascii="Arial" w:hAnsi="Arial" w:cs="Arial"/>
          <w:bCs/>
          <w:noProof/>
        </w:rPr>
        <w:footnoteReference w:id="496"/>
      </w:r>
      <w:r w:rsidR="003B74CB" w:rsidRPr="007F6AD7">
        <w:rPr>
          <w:rFonts w:ascii="Arial" w:hAnsi="Arial" w:cs="Arial"/>
          <w:bCs/>
          <w:noProof/>
        </w:rPr>
        <w:t xml:space="preserve"> </w:t>
      </w:r>
    </w:p>
    <w:p w14:paraId="4A078501" w14:textId="71753942" w:rsidR="007367DF" w:rsidRPr="007367DF" w:rsidRDefault="00FB1696" w:rsidP="007367DF">
      <w:pPr>
        <w:pStyle w:val="Ttulo4"/>
      </w:pPr>
      <w:r w:rsidRPr="007F6AD7">
        <w:t>Influencia</w:t>
      </w:r>
      <w:r w:rsidR="009D07E4" w:rsidRPr="007F6AD7">
        <w:t xml:space="preserve"> </w:t>
      </w:r>
      <w:r w:rsidR="003E15CC" w:rsidRPr="007F6AD7">
        <w:t>del</w:t>
      </w:r>
      <w:r w:rsidR="001F082E" w:rsidRPr="007F6AD7">
        <w:t xml:space="preserve"> Ministerio de Educación </w:t>
      </w:r>
      <w:r w:rsidR="007367DF">
        <w:t>sobre</w:t>
      </w:r>
      <w:r w:rsidR="001F082E" w:rsidRPr="007F6AD7">
        <w:t xml:space="preserve"> la niñez y </w:t>
      </w:r>
      <w:r w:rsidR="007367DF">
        <w:t xml:space="preserve">la </w:t>
      </w:r>
      <w:r w:rsidR="003E15CC" w:rsidRPr="007F6AD7">
        <w:t>adolescencia en</w:t>
      </w:r>
      <w:r w:rsidR="001F082E" w:rsidRPr="007F6AD7">
        <w:t xml:space="preserve"> conflicto con la ley</w:t>
      </w:r>
    </w:p>
    <w:p w14:paraId="325E076E" w14:textId="41CAD1D9" w:rsidR="00AD17B4" w:rsidRPr="007F6AD7" w:rsidRDefault="006364E0" w:rsidP="006364E0">
      <w:pPr>
        <w:spacing w:after="0" w:line="360" w:lineRule="auto"/>
        <w:jc w:val="both"/>
        <w:rPr>
          <w:rFonts w:ascii="Arial" w:hAnsi="Arial" w:cs="Arial"/>
        </w:rPr>
      </w:pPr>
      <w:r>
        <w:rPr>
          <w:rFonts w:ascii="Arial" w:hAnsi="Arial" w:cs="Arial"/>
        </w:rPr>
        <w:t xml:space="preserve">107.   </w:t>
      </w:r>
      <w:r w:rsidR="00AD17B4" w:rsidRPr="007F6AD7">
        <w:rPr>
          <w:rFonts w:ascii="Arial" w:hAnsi="Arial" w:cs="Arial"/>
        </w:rPr>
        <w:t>Ninguno de</w:t>
      </w:r>
      <w:r w:rsidR="009F36D8" w:rsidRPr="007F6AD7">
        <w:rPr>
          <w:rFonts w:ascii="Arial" w:hAnsi="Arial" w:cs="Arial"/>
        </w:rPr>
        <w:t xml:space="preserve"> </w:t>
      </w:r>
      <w:r w:rsidR="00C754C3" w:rsidRPr="007F6AD7">
        <w:rPr>
          <w:rFonts w:ascii="Arial" w:hAnsi="Arial" w:cs="Arial"/>
        </w:rPr>
        <w:t>los</w:t>
      </w:r>
      <w:r w:rsidR="00854310" w:rsidRPr="007F6AD7">
        <w:rPr>
          <w:rFonts w:ascii="Arial" w:hAnsi="Arial" w:cs="Arial"/>
        </w:rPr>
        <w:t xml:space="preserve"> documentos legales publicados en el sitio web del Ministerio de </w:t>
      </w:r>
      <w:r w:rsidR="00F502E6" w:rsidRPr="007F6AD7">
        <w:rPr>
          <w:rFonts w:ascii="Arial" w:hAnsi="Arial" w:cs="Arial"/>
        </w:rPr>
        <w:t xml:space="preserve">Educación </w:t>
      </w:r>
      <w:r w:rsidR="00CD4EAB" w:rsidRPr="007F6AD7">
        <w:rPr>
          <w:rFonts w:ascii="Arial" w:hAnsi="Arial" w:cs="Arial"/>
        </w:rPr>
        <w:t xml:space="preserve">  de la República de Cuba </w:t>
      </w:r>
      <w:r w:rsidR="00AD17B4" w:rsidRPr="007F6AD7">
        <w:rPr>
          <w:rFonts w:ascii="Arial" w:hAnsi="Arial" w:cs="Arial"/>
        </w:rPr>
        <w:t>(</w:t>
      </w:r>
      <w:r w:rsidR="00CD4EAB" w:rsidRPr="007F6AD7">
        <w:rPr>
          <w:rFonts w:ascii="Arial" w:hAnsi="Arial" w:cs="Arial"/>
        </w:rPr>
        <w:t>en lo adelante MINED)</w:t>
      </w:r>
      <w:r w:rsidR="004040DD" w:rsidRPr="007F6AD7">
        <w:rPr>
          <w:rFonts w:ascii="Arial" w:hAnsi="Arial" w:cs="Arial"/>
        </w:rPr>
        <w:t xml:space="preserve"> </w:t>
      </w:r>
      <w:r w:rsidR="00854310" w:rsidRPr="007F6AD7">
        <w:rPr>
          <w:rFonts w:ascii="Arial" w:hAnsi="Arial" w:cs="Arial"/>
        </w:rPr>
        <w:t>refiere la metodología</w:t>
      </w:r>
      <w:r w:rsidR="003C13B7" w:rsidRPr="007F6AD7">
        <w:rPr>
          <w:rFonts w:ascii="Arial" w:hAnsi="Arial" w:cs="Arial"/>
        </w:rPr>
        <w:t xml:space="preserve"> y legislación aplicable</w:t>
      </w:r>
      <w:r w:rsidR="00854310" w:rsidRPr="007F6AD7">
        <w:rPr>
          <w:rFonts w:ascii="Arial" w:hAnsi="Arial" w:cs="Arial"/>
        </w:rPr>
        <w:t xml:space="preserve"> a </w:t>
      </w:r>
      <w:r w:rsidR="004C7B9F" w:rsidRPr="007F6AD7">
        <w:rPr>
          <w:rFonts w:ascii="Arial" w:hAnsi="Arial" w:cs="Arial"/>
        </w:rPr>
        <w:t>las</w:t>
      </w:r>
      <w:r w:rsidR="00854310" w:rsidRPr="007F6AD7">
        <w:rPr>
          <w:rFonts w:ascii="Arial" w:hAnsi="Arial" w:cs="Arial"/>
        </w:rPr>
        <w:t xml:space="preserve"> escuelas especiales</w:t>
      </w:r>
      <w:r w:rsidR="004C7B9F" w:rsidRPr="007F6AD7">
        <w:rPr>
          <w:rFonts w:ascii="Arial" w:hAnsi="Arial" w:cs="Arial"/>
        </w:rPr>
        <w:t xml:space="preserve"> para </w:t>
      </w:r>
      <w:r w:rsidR="0027296D" w:rsidRPr="007F6AD7">
        <w:rPr>
          <w:rFonts w:ascii="Arial" w:hAnsi="Arial" w:cs="Arial"/>
          <w:bCs/>
          <w:noProof/>
        </w:rPr>
        <w:t>niños, niñas y  adolescentes en conflicto con la ley</w:t>
      </w:r>
      <w:r w:rsidR="00854310" w:rsidRPr="007F6AD7">
        <w:rPr>
          <w:rFonts w:ascii="Arial" w:hAnsi="Arial" w:cs="Arial"/>
        </w:rPr>
        <w:t>.</w:t>
      </w:r>
      <w:r w:rsidR="00854310" w:rsidRPr="007F6AD7">
        <w:rPr>
          <w:rFonts w:ascii="Arial" w:hAnsi="Arial" w:cs="Arial"/>
          <w:lang w:val="es-MX"/>
        </w:rPr>
        <w:t xml:space="preserve"> La resolución ministerial </w:t>
      </w:r>
      <w:r w:rsidR="00854310" w:rsidRPr="007F6AD7">
        <w:rPr>
          <w:rFonts w:ascii="Arial" w:hAnsi="Arial" w:cs="Arial"/>
          <w:lang w:val="es-MX"/>
        </w:rPr>
        <w:lastRenderedPageBreak/>
        <w:t xml:space="preserve">RESOLUCION No. 200/2014. Reglamento del trabajo metodológico del Ministerio de Educación </w:t>
      </w:r>
      <w:r w:rsidR="00854310" w:rsidRPr="007F6AD7">
        <w:rPr>
          <w:rStyle w:val="Refdenotaalpie"/>
          <w:rFonts w:ascii="Arial" w:hAnsi="Arial" w:cs="Arial"/>
        </w:rPr>
        <w:footnoteReference w:id="497"/>
      </w:r>
      <w:r w:rsidR="00854310" w:rsidRPr="007F6AD7">
        <w:rPr>
          <w:rFonts w:ascii="Arial" w:hAnsi="Arial" w:cs="Arial"/>
          <w:lang w:eastAsia="es-ES"/>
        </w:rPr>
        <w:t xml:space="preserve"> </w:t>
      </w:r>
      <w:r w:rsidR="00854310" w:rsidRPr="007F6AD7">
        <w:rPr>
          <w:rFonts w:ascii="Arial" w:hAnsi="Arial" w:cs="Arial"/>
          <w:lang w:val="es-MX"/>
        </w:rPr>
        <w:t>omite en su articulado</w:t>
      </w:r>
      <w:r w:rsidR="008361DE" w:rsidRPr="007F6AD7">
        <w:rPr>
          <w:rFonts w:ascii="Arial" w:hAnsi="Arial" w:cs="Arial"/>
          <w:lang w:val="es-MX"/>
        </w:rPr>
        <w:t>,</w:t>
      </w:r>
      <w:r w:rsidR="00854310" w:rsidRPr="007F6AD7">
        <w:rPr>
          <w:rFonts w:ascii="Arial" w:hAnsi="Arial" w:cs="Arial"/>
          <w:lang w:val="es-MX"/>
        </w:rPr>
        <w:t xml:space="preserve"> especialmente en el Artículo 93.7 </w:t>
      </w:r>
      <w:r w:rsidR="00F03CF0" w:rsidRPr="007F6AD7">
        <w:rPr>
          <w:rFonts w:ascii="Arial" w:hAnsi="Arial" w:cs="Arial"/>
          <w:lang w:val="es-MX"/>
        </w:rPr>
        <w:t>relacionado</w:t>
      </w:r>
      <w:r w:rsidR="0027296D" w:rsidRPr="007F6AD7">
        <w:rPr>
          <w:rFonts w:ascii="Arial" w:hAnsi="Arial" w:cs="Arial"/>
          <w:lang w:val="es-MX"/>
        </w:rPr>
        <w:t xml:space="preserve"> </w:t>
      </w:r>
      <w:r w:rsidR="00AD17B4" w:rsidRPr="007F6AD7">
        <w:rPr>
          <w:rFonts w:ascii="Arial" w:hAnsi="Arial" w:cs="Arial"/>
          <w:lang w:val="es-MX"/>
        </w:rPr>
        <w:t>con “</w:t>
      </w:r>
      <w:r w:rsidR="00854310" w:rsidRPr="007F6AD7">
        <w:rPr>
          <w:rFonts w:ascii="Arial" w:hAnsi="Arial" w:cs="Arial"/>
          <w:lang w:val="es-MX"/>
        </w:rPr>
        <w:t>La Educación Técnica y Profesional y Especial”</w:t>
      </w:r>
      <w:r w:rsidR="0027296D" w:rsidRPr="007F6AD7">
        <w:rPr>
          <w:rFonts w:ascii="Arial" w:hAnsi="Arial" w:cs="Arial"/>
          <w:lang w:val="es-MX"/>
        </w:rPr>
        <w:t xml:space="preserve">, cuales </w:t>
      </w:r>
      <w:r w:rsidR="00AD17B4" w:rsidRPr="007F6AD7">
        <w:rPr>
          <w:rFonts w:ascii="Arial" w:hAnsi="Arial" w:cs="Arial"/>
          <w:lang w:val="es-MX"/>
        </w:rPr>
        <w:t>son las</w:t>
      </w:r>
      <w:r w:rsidR="00854310" w:rsidRPr="007F6AD7">
        <w:rPr>
          <w:rFonts w:ascii="Arial" w:hAnsi="Arial" w:cs="Arial"/>
          <w:lang w:val="es-MX"/>
        </w:rPr>
        <w:t xml:space="preserve"> precisiones metodológicas necesarias con los niños en conflicto con la ley y con problemas de conducta.</w:t>
      </w:r>
      <w:r w:rsidR="00FD3FA4" w:rsidRPr="007F6AD7">
        <w:rPr>
          <w:rFonts w:ascii="Arial" w:hAnsi="Arial" w:cs="Arial"/>
        </w:rPr>
        <w:t xml:space="preserve"> Uno de </w:t>
      </w:r>
      <w:r w:rsidR="0027296D" w:rsidRPr="007F6AD7">
        <w:rPr>
          <w:rFonts w:ascii="Arial" w:hAnsi="Arial" w:cs="Arial"/>
        </w:rPr>
        <w:t xml:space="preserve">los mejores modos </w:t>
      </w:r>
      <w:r w:rsidR="00854310" w:rsidRPr="007F6AD7">
        <w:rPr>
          <w:rFonts w:ascii="Arial" w:hAnsi="Arial" w:cs="Arial"/>
        </w:rPr>
        <w:t>de prevención del delito</w:t>
      </w:r>
      <w:r w:rsidR="00FD3FA4" w:rsidRPr="007F6AD7">
        <w:rPr>
          <w:rFonts w:ascii="Arial" w:hAnsi="Arial" w:cs="Arial"/>
        </w:rPr>
        <w:t xml:space="preserve"> aplicable a</w:t>
      </w:r>
      <w:r w:rsidR="00854310" w:rsidRPr="007F6AD7">
        <w:rPr>
          <w:rFonts w:ascii="Arial" w:hAnsi="Arial" w:cs="Arial"/>
        </w:rPr>
        <w:t xml:space="preserve"> </w:t>
      </w:r>
      <w:r w:rsidR="00BA58E5" w:rsidRPr="007F6AD7">
        <w:rPr>
          <w:rFonts w:ascii="Arial" w:hAnsi="Arial" w:cs="Arial"/>
        </w:rPr>
        <w:t>d</w:t>
      </w:r>
      <w:r w:rsidR="00FD3FA4" w:rsidRPr="007F6AD7">
        <w:rPr>
          <w:rFonts w:ascii="Arial" w:hAnsi="Arial" w:cs="Arial"/>
        </w:rPr>
        <w:t xml:space="preserve">elincuentes juveniles son los </w:t>
      </w:r>
      <w:r w:rsidR="00854310" w:rsidRPr="007F6AD7">
        <w:rPr>
          <w:rFonts w:ascii="Arial" w:hAnsi="Arial" w:cs="Arial"/>
        </w:rPr>
        <w:t>programas familiares.</w:t>
      </w:r>
      <w:r w:rsidR="00F03CF0" w:rsidRPr="007F6AD7">
        <w:rPr>
          <w:rStyle w:val="Refdenotaalpie"/>
          <w:rFonts w:ascii="Arial" w:hAnsi="Arial" w:cs="Arial"/>
        </w:rPr>
        <w:t xml:space="preserve"> </w:t>
      </w:r>
      <w:r w:rsidR="00F03CF0" w:rsidRPr="007F6AD7">
        <w:rPr>
          <w:rStyle w:val="Refdenotaalpie"/>
          <w:rFonts w:ascii="Arial" w:hAnsi="Arial" w:cs="Arial"/>
        </w:rPr>
        <w:footnoteReference w:id="498"/>
      </w:r>
      <w:r w:rsidR="00F03CF0" w:rsidRPr="007F6AD7">
        <w:rPr>
          <w:rFonts w:ascii="Arial" w:hAnsi="Arial" w:cs="Arial"/>
        </w:rPr>
        <w:t xml:space="preserve"> </w:t>
      </w:r>
      <w:r w:rsidR="0027296D" w:rsidRPr="007F6AD7">
        <w:rPr>
          <w:rFonts w:ascii="Arial" w:hAnsi="Arial" w:cs="Arial"/>
        </w:rPr>
        <w:t xml:space="preserve"> La página web del MINED tampoco hace referencia a la legislación aplicable, los reglamentos, programas preventivos y políticas públicas utilizadas con NNA en reclusión. </w:t>
      </w:r>
      <w:r w:rsidR="00ED1D5E" w:rsidRPr="007F6AD7">
        <w:rPr>
          <w:rStyle w:val="Refdenotaalpie"/>
          <w:rFonts w:ascii="Arial" w:hAnsi="Arial" w:cs="Arial"/>
        </w:rPr>
        <w:footnoteReference w:id="499"/>
      </w:r>
      <w:r w:rsidR="00AD17B4" w:rsidRPr="007F6AD7">
        <w:rPr>
          <w:rFonts w:ascii="Arial" w:hAnsi="Arial" w:cs="Arial"/>
        </w:rPr>
        <w:t xml:space="preserve"> </w:t>
      </w:r>
    </w:p>
    <w:p w14:paraId="5100E7B9" w14:textId="18B06F9A" w:rsidR="00F42B95" w:rsidRPr="007F6AD7" w:rsidRDefault="006364E0" w:rsidP="006364E0">
      <w:pPr>
        <w:tabs>
          <w:tab w:val="left" w:pos="720"/>
        </w:tabs>
        <w:spacing w:after="0" w:line="360" w:lineRule="auto"/>
        <w:jc w:val="both"/>
        <w:rPr>
          <w:rFonts w:ascii="Arial" w:hAnsi="Arial" w:cs="Arial"/>
        </w:rPr>
      </w:pPr>
      <w:r>
        <w:rPr>
          <w:rFonts w:ascii="Arial" w:hAnsi="Arial" w:cs="Arial"/>
        </w:rPr>
        <w:t xml:space="preserve">108.   </w:t>
      </w:r>
      <w:r w:rsidR="00622C0D" w:rsidRPr="007F6AD7">
        <w:rPr>
          <w:rFonts w:ascii="Arial" w:hAnsi="Arial" w:cs="Arial"/>
        </w:rPr>
        <w:t>El acto discriminatorio puede originarse en una acción deliberada o un resultado no previsto, lo cual en todo caso implica la viola</w:t>
      </w:r>
      <w:r w:rsidR="007367DF">
        <w:rPr>
          <w:rFonts w:ascii="Arial" w:hAnsi="Arial" w:cs="Arial"/>
        </w:rPr>
        <w:t>ción del derecho a la igualdad.</w:t>
      </w:r>
      <w:r w:rsidR="003C13B7" w:rsidRPr="007F6AD7">
        <w:rPr>
          <w:rFonts w:ascii="Arial" w:hAnsi="Arial" w:cs="Arial"/>
        </w:rPr>
        <w:t>T</w:t>
      </w:r>
      <w:r w:rsidR="006D0221" w:rsidRPr="007F6AD7">
        <w:rPr>
          <w:rFonts w:ascii="Arial" w:hAnsi="Arial" w:cs="Arial"/>
        </w:rPr>
        <w:t>ambién constituyen actos discriminatorios la omisión injustificada en el trato especial a que tienen derecho los NNA</w:t>
      </w:r>
      <w:r w:rsidR="0096584D" w:rsidRPr="007F6AD7">
        <w:rPr>
          <w:rFonts w:ascii="Arial" w:hAnsi="Arial" w:cs="Arial"/>
        </w:rPr>
        <w:t xml:space="preserve"> por ser sujetos de </w:t>
      </w:r>
      <w:r w:rsidR="00622C0D" w:rsidRPr="007F6AD7">
        <w:rPr>
          <w:rFonts w:ascii="Arial" w:hAnsi="Arial" w:cs="Arial"/>
        </w:rPr>
        <w:t>derechos y</w:t>
      </w:r>
      <w:r w:rsidR="0096584D" w:rsidRPr="007F6AD7">
        <w:rPr>
          <w:rFonts w:ascii="Arial" w:hAnsi="Arial" w:cs="Arial"/>
        </w:rPr>
        <w:t xml:space="preserve"> por estar en conflicto con la ley</w:t>
      </w:r>
      <w:r w:rsidR="00AD17B4" w:rsidRPr="007F6AD7">
        <w:rPr>
          <w:rFonts w:ascii="Arial" w:hAnsi="Arial" w:cs="Arial"/>
        </w:rPr>
        <w:t xml:space="preserve"> (Articulo 40 CRC)</w:t>
      </w:r>
      <w:r w:rsidR="006D0221" w:rsidRPr="007F6AD7">
        <w:rPr>
          <w:rFonts w:ascii="Arial" w:hAnsi="Arial" w:cs="Arial"/>
        </w:rPr>
        <w:t>, l</w:t>
      </w:r>
      <w:r w:rsidR="0096584D" w:rsidRPr="007F6AD7">
        <w:rPr>
          <w:rFonts w:ascii="Arial" w:hAnsi="Arial" w:cs="Arial"/>
        </w:rPr>
        <w:t>o</w:t>
      </w:r>
      <w:r w:rsidR="006D0221" w:rsidRPr="007F6AD7">
        <w:rPr>
          <w:rFonts w:ascii="Arial" w:hAnsi="Arial" w:cs="Arial"/>
        </w:rPr>
        <w:t xml:space="preserve"> cual trae como efecto directo su exclusión de derechos y beneficios, como </w:t>
      </w:r>
      <w:r w:rsidR="00622C0D" w:rsidRPr="007F6AD7">
        <w:rPr>
          <w:rFonts w:ascii="Arial" w:hAnsi="Arial" w:cs="Arial"/>
        </w:rPr>
        <w:t>sería la</w:t>
      </w:r>
      <w:r w:rsidR="006D0221" w:rsidRPr="007F6AD7">
        <w:rPr>
          <w:rFonts w:ascii="Arial" w:hAnsi="Arial" w:cs="Arial"/>
        </w:rPr>
        <w:t xml:space="preserve"> omisión de </w:t>
      </w:r>
      <w:r w:rsidR="0096584D" w:rsidRPr="007F6AD7">
        <w:rPr>
          <w:rFonts w:ascii="Arial" w:hAnsi="Arial" w:cs="Arial"/>
        </w:rPr>
        <w:t>ciertas</w:t>
      </w:r>
      <w:r w:rsidR="006D0221" w:rsidRPr="007F6AD7">
        <w:rPr>
          <w:rFonts w:ascii="Arial" w:hAnsi="Arial" w:cs="Arial"/>
        </w:rPr>
        <w:t xml:space="preserve"> medidas en la reglamentación penal</w:t>
      </w:r>
      <w:r w:rsidR="0096584D" w:rsidRPr="007F6AD7">
        <w:rPr>
          <w:rFonts w:ascii="Arial" w:hAnsi="Arial" w:cs="Arial"/>
        </w:rPr>
        <w:t xml:space="preserve"> y el sistema de enseñanza general</w:t>
      </w:r>
      <w:r w:rsidR="006D0221" w:rsidRPr="007F6AD7">
        <w:rPr>
          <w:rFonts w:ascii="Arial" w:hAnsi="Arial" w:cs="Arial"/>
        </w:rPr>
        <w:t>.</w:t>
      </w:r>
      <w:r w:rsidR="001F082E" w:rsidRPr="007F6AD7">
        <w:rPr>
          <w:rFonts w:ascii="Arial" w:hAnsi="Arial" w:cs="Arial"/>
        </w:rPr>
        <w:t xml:space="preserve"> La Comisión Interamericana de Derechos Humano alega que el principio de participación en los asuntos públicos debe ser entendido como un derecho de las personas y como un principio asociado a la democracia, el buen gobierno y la gestión adecuada y efectiva de los asuntos públicos</w:t>
      </w:r>
      <w:r w:rsidR="001F082E" w:rsidRPr="007F6AD7">
        <w:rPr>
          <w:rStyle w:val="Refdenotaalpie"/>
          <w:rFonts w:ascii="Arial" w:hAnsi="Arial" w:cs="Arial"/>
        </w:rPr>
        <w:footnoteReference w:id="500"/>
      </w:r>
      <w:r w:rsidR="001F082E" w:rsidRPr="007F6AD7">
        <w:rPr>
          <w:rFonts w:ascii="Arial" w:hAnsi="Arial" w:cs="Arial"/>
        </w:rPr>
        <w:t xml:space="preserve"> </w:t>
      </w:r>
      <w:r w:rsidR="001F082E" w:rsidRPr="007F6AD7">
        <w:rPr>
          <w:rFonts w:ascii="Arial" w:hAnsi="Arial" w:cs="Arial"/>
          <w:vertAlign w:val="superscript"/>
        </w:rPr>
        <w:t>,</w:t>
      </w:r>
      <w:r w:rsidR="001F082E" w:rsidRPr="007F6AD7">
        <w:rPr>
          <w:rFonts w:ascii="Arial" w:hAnsi="Arial" w:cs="Arial"/>
        </w:rPr>
        <w:t xml:space="preserve"> </w:t>
      </w:r>
      <w:r w:rsidR="001F082E" w:rsidRPr="007F6AD7">
        <w:rPr>
          <w:rStyle w:val="Refdenotaalpie"/>
          <w:rFonts w:ascii="Arial" w:hAnsi="Arial" w:cs="Arial"/>
        </w:rPr>
        <w:footnoteReference w:id="501"/>
      </w:r>
      <w:r w:rsidR="00F42B95" w:rsidRPr="007F6AD7">
        <w:rPr>
          <w:rFonts w:ascii="Arial" w:hAnsi="Arial" w:cs="Arial"/>
        </w:rPr>
        <w:t xml:space="preserve"> </w:t>
      </w:r>
      <w:r w:rsidR="00B70376" w:rsidRPr="007F6AD7">
        <w:rPr>
          <w:rFonts w:ascii="Arial" w:hAnsi="Arial" w:cs="Arial"/>
          <w:b/>
        </w:rPr>
        <w:t>ACDEI ruega al Comité CERD recomiende al Estado parte</w:t>
      </w:r>
      <w:r w:rsidR="00F42B95" w:rsidRPr="007F6AD7">
        <w:rPr>
          <w:rFonts w:ascii="Arial" w:hAnsi="Arial" w:cs="Arial"/>
          <w:b/>
        </w:rPr>
        <w:t>:</w:t>
      </w:r>
    </w:p>
    <w:p w14:paraId="20B795D3" w14:textId="2E95ADFA" w:rsidR="00C215FC" w:rsidRPr="007F6AD7" w:rsidRDefault="00630A84" w:rsidP="0093424C">
      <w:pPr>
        <w:pStyle w:val="Prrafodelista"/>
        <w:numPr>
          <w:ilvl w:val="0"/>
          <w:numId w:val="28"/>
        </w:numPr>
        <w:jc w:val="both"/>
        <w:rPr>
          <w:rFonts w:cs="Arial"/>
          <w:b/>
          <w:bCs/>
          <w:noProof/>
        </w:rPr>
      </w:pPr>
      <w:r w:rsidRPr="007F6AD7">
        <w:rPr>
          <w:rFonts w:cs="Arial"/>
          <w:b/>
          <w:bCs/>
          <w:noProof/>
        </w:rPr>
        <w:lastRenderedPageBreak/>
        <w:t>Invitar a la Cruz Roja Internacional, expertos de UNODC,</w:t>
      </w:r>
      <w:r w:rsidR="0093424C" w:rsidRPr="007F6AD7">
        <w:rPr>
          <w:rFonts w:cs="Arial"/>
          <w:b/>
          <w:bCs/>
          <w:noProof/>
        </w:rPr>
        <w:t xml:space="preserve"> Quaker United Nations Office </w:t>
      </w:r>
      <w:r w:rsidRPr="007F6AD7">
        <w:rPr>
          <w:rFonts w:cs="Arial"/>
          <w:b/>
          <w:bCs/>
          <w:noProof/>
        </w:rPr>
        <w:t>y de Suecia, Noruega y Paises Bajos</w:t>
      </w:r>
      <w:r w:rsidR="0093424C" w:rsidRPr="007F6AD7">
        <w:rPr>
          <w:rFonts w:cs="Arial"/>
          <w:b/>
          <w:bCs/>
          <w:noProof/>
        </w:rPr>
        <w:t xml:space="preserve"> u cualquier otra organización internacional dedicada al tema de la justicia juvenil</w:t>
      </w:r>
      <w:r w:rsidRPr="007F6AD7">
        <w:rPr>
          <w:rFonts w:cs="Arial"/>
          <w:b/>
          <w:bCs/>
          <w:noProof/>
        </w:rPr>
        <w:t xml:space="preserve"> </w:t>
      </w:r>
      <w:r w:rsidR="0093424C" w:rsidRPr="007F6AD7">
        <w:rPr>
          <w:rFonts w:cs="Arial"/>
          <w:b/>
          <w:bCs/>
          <w:noProof/>
        </w:rPr>
        <w:t>con reconocida experiencia</w:t>
      </w:r>
      <w:r w:rsidRPr="007F6AD7">
        <w:rPr>
          <w:rFonts w:cs="Arial"/>
          <w:b/>
          <w:bCs/>
          <w:noProof/>
        </w:rPr>
        <w:t xml:space="preserve"> </w:t>
      </w:r>
      <w:r w:rsidR="0093424C" w:rsidRPr="007F6AD7">
        <w:rPr>
          <w:rFonts w:cs="Arial"/>
          <w:b/>
          <w:bCs/>
          <w:noProof/>
        </w:rPr>
        <w:t xml:space="preserve"> en </w:t>
      </w:r>
      <w:r w:rsidRPr="007F6AD7">
        <w:rPr>
          <w:rFonts w:cs="Arial"/>
          <w:b/>
          <w:bCs/>
          <w:noProof/>
        </w:rPr>
        <w:t>sistemas penitenciarios eficientes y respetuosos de los derechos de los recluso</w:t>
      </w:r>
      <w:r w:rsidR="0093424C" w:rsidRPr="007F6AD7">
        <w:rPr>
          <w:rFonts w:cs="Arial"/>
          <w:b/>
          <w:bCs/>
          <w:noProof/>
        </w:rPr>
        <w:t xml:space="preserve"> (a)</w:t>
      </w:r>
      <w:r w:rsidRPr="007F6AD7">
        <w:rPr>
          <w:rFonts w:cs="Arial"/>
          <w:b/>
          <w:bCs/>
          <w:noProof/>
        </w:rPr>
        <w:t>s</w:t>
      </w:r>
      <w:r w:rsidR="0093424C" w:rsidRPr="007F6AD7">
        <w:rPr>
          <w:rFonts w:cs="Arial"/>
          <w:b/>
          <w:bCs/>
          <w:noProof/>
        </w:rPr>
        <w:t xml:space="preserve"> menores de 18 años con el objetivo de visitar en diferentes provincias del pais, los centros de detencion y reclusion de niños, niñas y adolescentes en conflicto con la ley.</w:t>
      </w:r>
    </w:p>
    <w:p w14:paraId="2159548E" w14:textId="000D11B3" w:rsidR="00622C0D" w:rsidRPr="007F6AD7" w:rsidRDefault="00630A84" w:rsidP="00622C0D">
      <w:pPr>
        <w:pStyle w:val="Prrafodelista"/>
        <w:numPr>
          <w:ilvl w:val="0"/>
          <w:numId w:val="28"/>
        </w:numPr>
        <w:jc w:val="both"/>
        <w:rPr>
          <w:rFonts w:cs="Arial"/>
          <w:b/>
        </w:rPr>
      </w:pPr>
      <w:r w:rsidRPr="007F6AD7">
        <w:rPr>
          <w:rFonts w:cs="Arial"/>
          <w:b/>
        </w:rPr>
        <w:t>Solicitar cooperación internacional cuyo objetivo sea que el Parlamento</w:t>
      </w:r>
      <w:r w:rsidRPr="007F6AD7">
        <w:rPr>
          <w:rFonts w:cs="Arial"/>
        </w:rPr>
        <w:t xml:space="preserve"> </w:t>
      </w:r>
      <w:r w:rsidRPr="007F6AD7">
        <w:rPr>
          <w:rFonts w:cs="Arial"/>
          <w:b/>
        </w:rPr>
        <w:t xml:space="preserve">elabore una Ley con un nuevo régimen de Responsabilidad Penal Adolescente que cumpla con los estándares internacionales con la inclusión de la perspectiva de </w:t>
      </w:r>
      <w:r w:rsidR="007367DF" w:rsidRPr="007F6AD7">
        <w:rPr>
          <w:rFonts w:cs="Arial"/>
          <w:b/>
        </w:rPr>
        <w:t>género,</w:t>
      </w:r>
      <w:r w:rsidRPr="007F6AD7">
        <w:rPr>
          <w:rFonts w:cs="Arial"/>
          <w:b/>
        </w:rPr>
        <w:t xml:space="preserve"> reglas y normas de las Naciones Unidas en materia de justicia penal y los principios y buenas prácticas sobre la protección de las personas privadas de libertad en las Américas</w:t>
      </w:r>
      <w:r w:rsidRPr="007F6AD7">
        <w:rPr>
          <w:rFonts w:cs="Arial"/>
        </w:rPr>
        <w:t>.</w:t>
      </w:r>
    </w:p>
    <w:p w14:paraId="7B908055" w14:textId="3938EB46" w:rsidR="00F0039C" w:rsidRDefault="00F0039C" w:rsidP="00BB7D0E">
      <w:pPr>
        <w:spacing w:after="0" w:line="240" w:lineRule="auto"/>
        <w:rPr>
          <w:rFonts w:ascii="Times New Roman" w:eastAsia="STKaiti" w:hAnsi="Times New Roman"/>
          <w:sz w:val="24"/>
          <w:szCs w:val="24"/>
          <w:lang w:eastAsia="es-ES"/>
        </w:rPr>
      </w:pPr>
    </w:p>
    <w:p w14:paraId="748018B2" w14:textId="30EEB975" w:rsidR="007151CF" w:rsidRPr="007F6AD7" w:rsidRDefault="007151CF" w:rsidP="00422471">
      <w:pPr>
        <w:pStyle w:val="Ttulo3"/>
      </w:pPr>
      <w:bookmarkStart w:id="144" w:name="_Toc441485979"/>
      <w:bookmarkStart w:id="145" w:name="_Toc510108738"/>
      <w:bookmarkStart w:id="146" w:name="_Toc510108747"/>
      <w:bookmarkStart w:id="147" w:name="_Toc515359826"/>
      <w:r w:rsidRPr="007F6AD7">
        <w:t xml:space="preserve">Asistencia de  Parlamentarios  a la  Niñez </w:t>
      </w:r>
      <w:r w:rsidR="000F5FC2" w:rsidRPr="007F6AD7">
        <w:t>en Conflicto con</w:t>
      </w:r>
      <w:r w:rsidRPr="007F6AD7">
        <w:t xml:space="preserve"> la Ley y Sin Amparo Filial</w:t>
      </w:r>
      <w:bookmarkEnd w:id="146"/>
      <w:bookmarkEnd w:id="147"/>
    </w:p>
    <w:p w14:paraId="00DECDF7" w14:textId="31EEBAD2" w:rsidR="007151CF" w:rsidRPr="007F6AD7" w:rsidRDefault="006364E0" w:rsidP="00422471">
      <w:pPr>
        <w:spacing w:line="360" w:lineRule="auto"/>
        <w:jc w:val="both"/>
        <w:rPr>
          <w:rFonts w:ascii="Arial" w:hAnsi="Arial" w:cs="Arial"/>
          <w:lang w:eastAsia="es-ES"/>
        </w:rPr>
      </w:pPr>
      <w:r>
        <w:rPr>
          <w:rFonts w:ascii="Arial" w:hAnsi="Arial" w:cs="Arial"/>
        </w:rPr>
        <w:t>109</w:t>
      </w:r>
      <w:r w:rsidR="007151CF" w:rsidRPr="007F6AD7">
        <w:rPr>
          <w:rFonts w:ascii="Arial" w:hAnsi="Arial" w:cs="Arial"/>
        </w:rPr>
        <w:t xml:space="preserve">. </w:t>
      </w:r>
      <w:r>
        <w:rPr>
          <w:rFonts w:ascii="Arial" w:hAnsi="Arial" w:cs="Arial"/>
        </w:rPr>
        <w:t xml:space="preserve"> </w:t>
      </w:r>
      <w:r w:rsidR="007151CF" w:rsidRPr="007F6AD7">
        <w:rPr>
          <w:rFonts w:ascii="Arial" w:hAnsi="Arial" w:cs="Arial"/>
        </w:rPr>
        <w:t>A finales del 2014, medios de prensa publicaron a los diputados cubanos</w:t>
      </w:r>
      <w:r w:rsidR="007151CF" w:rsidRPr="007F6AD7">
        <w:rPr>
          <w:rStyle w:val="Refdenotaalpie"/>
          <w:rFonts w:ascii="Arial" w:hAnsi="Arial" w:cs="Arial"/>
        </w:rPr>
        <w:footnoteReference w:id="502"/>
      </w:r>
      <w:r w:rsidR="007151CF" w:rsidRPr="007F6AD7">
        <w:rPr>
          <w:rFonts w:ascii="Arial" w:hAnsi="Arial" w:cs="Arial"/>
          <w:vertAlign w:val="superscript"/>
        </w:rPr>
        <w:t xml:space="preserve">, </w:t>
      </w:r>
      <w:r w:rsidR="007151CF" w:rsidRPr="007F6AD7">
        <w:rPr>
          <w:rStyle w:val="Refdenotaalpie"/>
          <w:rFonts w:ascii="Arial" w:hAnsi="Arial" w:cs="Arial"/>
        </w:rPr>
        <w:footnoteReference w:id="503"/>
      </w:r>
      <w:r w:rsidR="007151CF" w:rsidRPr="007F6AD7">
        <w:rPr>
          <w:rFonts w:ascii="Arial" w:hAnsi="Arial" w:cs="Arial"/>
          <w:vertAlign w:val="superscript"/>
        </w:rPr>
        <w:t xml:space="preserve">, </w:t>
      </w:r>
      <w:r w:rsidR="007151CF" w:rsidRPr="007F6AD7">
        <w:rPr>
          <w:rStyle w:val="Refdenotaalpie"/>
          <w:rFonts w:ascii="Arial" w:hAnsi="Arial" w:cs="Arial"/>
        </w:rPr>
        <w:footnoteReference w:id="504"/>
      </w:r>
      <w:r w:rsidR="007151CF" w:rsidRPr="007F6AD7">
        <w:rPr>
          <w:rFonts w:ascii="Arial" w:hAnsi="Arial" w:cs="Arial"/>
          <w:vertAlign w:val="superscript"/>
        </w:rPr>
        <w:t xml:space="preserve"> </w:t>
      </w:r>
      <w:r w:rsidR="00D2774C">
        <w:rPr>
          <w:rFonts w:ascii="Arial" w:hAnsi="Arial" w:cs="Arial"/>
          <w:vertAlign w:val="superscript"/>
        </w:rPr>
        <w:t xml:space="preserve"> </w:t>
      </w:r>
      <w:r w:rsidR="00D2774C">
        <w:rPr>
          <w:rFonts w:ascii="Arial" w:hAnsi="Arial" w:cs="Arial"/>
        </w:rPr>
        <w:t xml:space="preserve"> </w:t>
      </w:r>
      <w:r w:rsidR="007151CF" w:rsidRPr="007F6AD7">
        <w:rPr>
          <w:rFonts w:ascii="Arial" w:hAnsi="Arial" w:cs="Arial"/>
        </w:rPr>
        <w:t>mientras</w:t>
      </w:r>
      <w:r w:rsidR="007151CF" w:rsidRPr="007F6AD7">
        <w:rPr>
          <w:rFonts w:ascii="Arial" w:hAnsi="Arial" w:cs="Arial"/>
          <w:vertAlign w:val="superscript"/>
        </w:rPr>
        <w:t xml:space="preserve"> </w:t>
      </w:r>
      <w:r w:rsidR="007151CF" w:rsidRPr="007F6AD7">
        <w:rPr>
          <w:rFonts w:ascii="Arial" w:hAnsi="Arial" w:cs="Arial"/>
        </w:rPr>
        <w:t>discutían lo apreciado en sus visitas a las instituciones para niños con trastornos de conducta, «expresión equivalente a niños en conflicto con la ley o niños y adolescentes comisores de delitos », los hogares para niños sin amparo filial</w:t>
      </w:r>
      <w:r w:rsidR="00B8344F" w:rsidRPr="007F6AD7">
        <w:rPr>
          <w:rFonts w:ascii="Arial" w:hAnsi="Arial" w:cs="Arial"/>
        </w:rPr>
        <w:t xml:space="preserve"> «instituciones estatales</w:t>
      </w:r>
      <w:r w:rsidR="007151CF" w:rsidRPr="007F6AD7">
        <w:rPr>
          <w:rFonts w:ascii="Arial" w:hAnsi="Arial" w:cs="Arial"/>
        </w:rPr>
        <w:t xml:space="preserve"> </w:t>
      </w:r>
      <w:r w:rsidR="00B8344F" w:rsidRPr="007F6AD7">
        <w:rPr>
          <w:rFonts w:ascii="Arial" w:hAnsi="Arial" w:cs="Arial"/>
        </w:rPr>
        <w:t>»</w:t>
      </w:r>
      <w:r w:rsidR="007151CF" w:rsidRPr="007F6AD7">
        <w:rPr>
          <w:rFonts w:ascii="Arial" w:hAnsi="Arial" w:cs="Arial"/>
        </w:rPr>
        <w:t>y círculos infantiles «guarderías estatales</w:t>
      </w:r>
      <w:r w:rsidR="00701248" w:rsidRPr="007F6AD7">
        <w:rPr>
          <w:rFonts w:ascii="Arial" w:hAnsi="Arial" w:cs="Arial"/>
        </w:rPr>
        <w:t xml:space="preserve"> ».</w:t>
      </w:r>
      <w:bookmarkStart w:id="148" w:name="OLE_LINK87"/>
      <w:bookmarkStart w:id="149" w:name="OLE_LINK89"/>
      <w:r w:rsidR="007151CF" w:rsidRPr="007F6AD7">
        <w:rPr>
          <w:rFonts w:ascii="Arial" w:hAnsi="Arial" w:cs="Arial"/>
        </w:rPr>
        <w:t xml:space="preserve"> Los parlamentarios</w:t>
      </w:r>
      <w:r w:rsidR="00D2774C">
        <w:rPr>
          <w:rFonts w:ascii="Arial" w:hAnsi="Arial" w:cs="Arial"/>
        </w:rPr>
        <w:t xml:space="preserve">, miembros de la </w:t>
      </w:r>
      <w:r w:rsidR="00D2774C" w:rsidRPr="00D2774C">
        <w:rPr>
          <w:rFonts w:ascii="Arial" w:hAnsi="Arial" w:cs="Arial"/>
        </w:rPr>
        <w:t>Comisión Permanente de Atención a la Niñez, la Juventud y la Igualdad de la Mujer</w:t>
      </w:r>
      <w:r w:rsidR="007151CF" w:rsidRPr="007F6AD7">
        <w:rPr>
          <w:rFonts w:ascii="Arial" w:hAnsi="Arial" w:cs="Arial"/>
        </w:rPr>
        <w:t xml:space="preserve"> revelaron que los </w:t>
      </w:r>
      <w:r w:rsidR="00D2774C">
        <w:rPr>
          <w:rFonts w:ascii="Arial" w:hAnsi="Arial" w:cs="Arial"/>
        </w:rPr>
        <w:t>NNA</w:t>
      </w:r>
      <w:r w:rsidR="007151CF" w:rsidRPr="007F6AD7">
        <w:rPr>
          <w:rFonts w:ascii="Arial" w:hAnsi="Arial" w:cs="Arial"/>
        </w:rPr>
        <w:t xml:space="preserve"> con trastornos de conducta y</w:t>
      </w:r>
      <w:r w:rsidR="00D2774C">
        <w:rPr>
          <w:rFonts w:ascii="Arial" w:hAnsi="Arial" w:cs="Arial"/>
        </w:rPr>
        <w:t xml:space="preserve"> NNA </w:t>
      </w:r>
      <w:r w:rsidR="007151CF" w:rsidRPr="007F6AD7">
        <w:rPr>
          <w:rFonts w:ascii="Arial" w:hAnsi="Arial" w:cs="Arial"/>
        </w:rPr>
        <w:t xml:space="preserve">sin amparo </w:t>
      </w:r>
      <w:r w:rsidR="007151CF" w:rsidRPr="007F6AD7">
        <w:rPr>
          <w:rFonts w:ascii="Arial" w:hAnsi="Arial" w:cs="Arial"/>
        </w:rPr>
        <w:lastRenderedPageBreak/>
        <w:t xml:space="preserve">filial carecían de un entorno protector. </w:t>
      </w:r>
      <w:r w:rsidR="007151CF" w:rsidRPr="007F6AD7">
        <w:rPr>
          <w:rStyle w:val="Refdenotaalpie"/>
          <w:rFonts w:ascii="Arial" w:hAnsi="Arial" w:cs="Arial"/>
        </w:rPr>
        <w:footnoteReference w:id="505"/>
      </w:r>
      <w:r w:rsidR="007151CF" w:rsidRPr="007F6AD7">
        <w:rPr>
          <w:rFonts w:ascii="Arial" w:hAnsi="Arial" w:cs="Arial"/>
        </w:rPr>
        <w:t xml:space="preserve"> </w:t>
      </w:r>
      <w:bookmarkEnd w:id="148"/>
      <w:bookmarkEnd w:id="149"/>
      <w:r w:rsidR="007151CF" w:rsidRPr="007F6AD7">
        <w:rPr>
          <w:rFonts w:ascii="Arial" w:hAnsi="Arial" w:cs="Arial"/>
        </w:rPr>
        <w:t xml:space="preserve"> Tampoco recibían el apoyo que necesitaban para que se atendieran sus necesidades y derechos. Además, estaban expuestos a riesgos y recibían un mínimo cuidado. Los diputados a la vez </w:t>
      </w:r>
      <w:r w:rsidR="00D2774C">
        <w:rPr>
          <w:rFonts w:ascii="Arial" w:hAnsi="Arial" w:cs="Arial"/>
        </w:rPr>
        <w:t>debatieron</w:t>
      </w:r>
      <w:r w:rsidR="007151CF" w:rsidRPr="007F6AD7">
        <w:rPr>
          <w:rFonts w:ascii="Arial" w:hAnsi="Arial" w:cs="Arial"/>
        </w:rPr>
        <w:t xml:space="preserve"> con altos directivos del Ministerio de Educación los cambios educativos que se estaban implementando en aquel momento y la inestabilidad del claustro docente.</w:t>
      </w:r>
      <w:r w:rsidR="00701248" w:rsidRPr="007F6AD7">
        <w:rPr>
          <w:rFonts w:ascii="Arial" w:hAnsi="Arial" w:cs="Arial"/>
        </w:rPr>
        <w:t xml:space="preserve"> </w:t>
      </w:r>
      <w:r w:rsidR="00300A8E" w:rsidRPr="007F6AD7">
        <w:rPr>
          <w:rFonts w:ascii="Arial" w:hAnsi="Arial" w:cs="Arial"/>
        </w:rPr>
        <w:t>Los parlamentarios, tal vez s</w:t>
      </w:r>
      <w:r w:rsidR="00701248" w:rsidRPr="007F6AD7">
        <w:rPr>
          <w:rFonts w:ascii="Arial" w:hAnsi="Arial" w:cs="Arial"/>
        </w:rPr>
        <w:t>in proponérselo, hicieron responsables</w:t>
      </w:r>
      <w:r w:rsidR="00E5049D">
        <w:rPr>
          <w:rFonts w:ascii="Arial" w:hAnsi="Arial" w:cs="Arial"/>
        </w:rPr>
        <w:t xml:space="preserve"> en primer lugar</w:t>
      </w:r>
      <w:r w:rsidR="00701248" w:rsidRPr="007F6AD7">
        <w:rPr>
          <w:rFonts w:ascii="Arial" w:hAnsi="Arial" w:cs="Arial"/>
        </w:rPr>
        <w:t xml:space="preserve"> a l</w:t>
      </w:r>
      <w:r w:rsidR="00D2774C">
        <w:rPr>
          <w:rFonts w:ascii="Arial" w:hAnsi="Arial" w:cs="Arial"/>
        </w:rPr>
        <w:t>os</w:t>
      </w:r>
      <w:r w:rsidR="00701248" w:rsidRPr="007F6AD7">
        <w:rPr>
          <w:rFonts w:ascii="Arial" w:hAnsi="Arial" w:cs="Arial"/>
        </w:rPr>
        <w:t xml:space="preserve"> magistra</w:t>
      </w:r>
      <w:r w:rsidR="00D2774C">
        <w:rPr>
          <w:rFonts w:ascii="Arial" w:hAnsi="Arial" w:cs="Arial"/>
        </w:rPr>
        <w:t xml:space="preserve">dos </w:t>
      </w:r>
      <w:r w:rsidR="00701248" w:rsidRPr="007F6AD7">
        <w:rPr>
          <w:rFonts w:ascii="Arial" w:hAnsi="Arial" w:cs="Arial"/>
        </w:rPr>
        <w:t xml:space="preserve">de la Fiscalía General de la Republica, </w:t>
      </w:r>
      <w:r w:rsidR="00300A8E" w:rsidRPr="007F6AD7">
        <w:rPr>
          <w:rFonts w:ascii="Arial" w:hAnsi="Arial" w:cs="Arial"/>
          <w:lang w:eastAsia="es-MX"/>
        </w:rPr>
        <w:t>l</w:t>
      </w:r>
      <w:r w:rsidR="00701248" w:rsidRPr="007F6AD7">
        <w:rPr>
          <w:rFonts w:ascii="Arial" w:hAnsi="Arial" w:cs="Arial"/>
          <w:lang w:eastAsia="es-MX"/>
        </w:rPr>
        <w:t xml:space="preserve">a cual tiene funciones relacionadas con el control y preservación de la legalidad en la atención </w:t>
      </w:r>
      <w:r w:rsidR="00300A8E" w:rsidRPr="007F6AD7">
        <w:rPr>
          <w:rFonts w:ascii="Arial" w:hAnsi="Arial" w:cs="Arial"/>
          <w:lang w:eastAsia="es-MX"/>
        </w:rPr>
        <w:t>a toda</w:t>
      </w:r>
      <w:r w:rsidR="00701248" w:rsidRPr="007F6AD7">
        <w:rPr>
          <w:rFonts w:ascii="Arial" w:hAnsi="Arial" w:cs="Arial"/>
          <w:lang w:eastAsia="es-MX"/>
        </w:rPr>
        <w:t xml:space="preserve"> la infancia</w:t>
      </w:r>
      <w:r w:rsidR="00300A8E" w:rsidRPr="007F6AD7">
        <w:rPr>
          <w:rFonts w:ascii="Arial" w:hAnsi="Arial" w:cs="Arial"/>
          <w:lang w:eastAsia="es-MX"/>
        </w:rPr>
        <w:t>.</w:t>
      </w:r>
      <w:r w:rsidR="00701248" w:rsidRPr="007F6AD7">
        <w:rPr>
          <w:rFonts w:ascii="Arial" w:hAnsi="Arial" w:cs="Arial"/>
          <w:lang w:eastAsia="es-MX"/>
        </w:rPr>
        <w:t xml:space="preserve"> </w:t>
      </w:r>
      <w:r w:rsidR="00701248" w:rsidRPr="007F6AD7">
        <w:rPr>
          <w:rStyle w:val="Refdenotaalpie"/>
          <w:rFonts w:ascii="Arial" w:hAnsi="Arial" w:cs="Arial"/>
          <w:bCs/>
        </w:rPr>
        <w:footnoteReference w:id="506"/>
      </w:r>
      <w:r w:rsidR="00300A8E" w:rsidRPr="007F6AD7">
        <w:rPr>
          <w:rFonts w:ascii="Arial" w:hAnsi="Arial" w:cs="Arial"/>
          <w:lang w:eastAsia="es-ES"/>
        </w:rPr>
        <w:t xml:space="preserve">  </w:t>
      </w:r>
      <w:r w:rsidR="007151CF" w:rsidRPr="007F6AD7">
        <w:rPr>
          <w:rFonts w:ascii="Arial" w:hAnsi="Arial" w:cs="Arial"/>
        </w:rPr>
        <w:t>En ocasiones, el tema ha vuelto a ser tratado por diversos medios de prensa gubernamentales con opiniones indulgentes</w:t>
      </w:r>
      <w:r w:rsidR="00B8344F" w:rsidRPr="007F6AD7">
        <w:rPr>
          <w:rFonts w:ascii="Arial" w:hAnsi="Arial" w:cs="Arial"/>
        </w:rPr>
        <w:t xml:space="preserve"> sobre hogares para niños sin amparo filial</w:t>
      </w:r>
      <w:r w:rsidR="007151CF" w:rsidRPr="007F6AD7">
        <w:rPr>
          <w:rFonts w:ascii="Arial" w:hAnsi="Arial" w:cs="Arial"/>
          <w:vertAlign w:val="superscript"/>
        </w:rPr>
        <w:footnoteReference w:id="507"/>
      </w:r>
      <w:r w:rsidR="007151CF" w:rsidRPr="007F6AD7">
        <w:rPr>
          <w:rFonts w:ascii="Arial" w:hAnsi="Arial" w:cs="Arial"/>
        </w:rPr>
        <w:t xml:space="preserve"> y aportando limitados datos. Anteriormente, medios de comunicación alternativos habían escrito sobre casos puntuales.</w:t>
      </w:r>
      <w:r w:rsidR="007151CF" w:rsidRPr="007F6AD7">
        <w:rPr>
          <w:rFonts w:ascii="Arial" w:hAnsi="Arial" w:cs="Arial"/>
          <w:vertAlign w:val="superscript"/>
        </w:rPr>
        <w:footnoteReference w:id="508"/>
      </w:r>
      <w:r w:rsidR="007151CF" w:rsidRPr="007F6AD7">
        <w:rPr>
          <w:rFonts w:ascii="Arial" w:hAnsi="Arial" w:cs="Arial"/>
        </w:rPr>
        <w:t xml:space="preserve"> La página web del Parlamento cubano </w:t>
      </w:r>
      <w:r w:rsidR="007151CF" w:rsidRPr="007F6AD7">
        <w:rPr>
          <w:rStyle w:val="Refdenotaalpie"/>
          <w:rFonts w:ascii="Arial" w:hAnsi="Arial" w:cs="Arial"/>
        </w:rPr>
        <w:footnoteReference w:id="509"/>
      </w:r>
      <w:r w:rsidR="007151CF" w:rsidRPr="007F6AD7">
        <w:rPr>
          <w:rFonts w:ascii="Arial" w:hAnsi="Arial" w:cs="Arial"/>
        </w:rPr>
        <w:t xml:space="preserve"> ofrece información </w:t>
      </w:r>
      <w:r w:rsidR="00BE615D">
        <w:rPr>
          <w:rFonts w:ascii="Arial" w:hAnsi="Arial" w:cs="Arial"/>
        </w:rPr>
        <w:t xml:space="preserve">general </w:t>
      </w:r>
      <w:r w:rsidR="007151CF" w:rsidRPr="007F6AD7">
        <w:rPr>
          <w:rFonts w:ascii="Arial" w:hAnsi="Arial" w:cs="Arial"/>
        </w:rPr>
        <w:t>sobre</w:t>
      </w:r>
      <w:r w:rsidR="00BE615D">
        <w:rPr>
          <w:rFonts w:ascii="Arial" w:hAnsi="Arial" w:cs="Arial"/>
        </w:rPr>
        <w:t xml:space="preserve"> documentos legales,</w:t>
      </w:r>
      <w:r w:rsidR="007151CF" w:rsidRPr="007F6AD7">
        <w:rPr>
          <w:rFonts w:ascii="Arial" w:hAnsi="Arial" w:cs="Arial"/>
        </w:rPr>
        <w:t xml:space="preserve"> trabajo y discusión de temas </w:t>
      </w:r>
      <w:r w:rsidR="00035FC7" w:rsidRPr="007F6AD7">
        <w:rPr>
          <w:rFonts w:ascii="Arial" w:hAnsi="Arial" w:cs="Arial"/>
        </w:rPr>
        <w:t>nacionales por</w:t>
      </w:r>
      <w:r w:rsidR="007151CF" w:rsidRPr="007F6AD7">
        <w:rPr>
          <w:rFonts w:ascii="Arial" w:hAnsi="Arial" w:cs="Arial"/>
        </w:rPr>
        <w:t xml:space="preserve"> parte de las diferentes comisiones que componen la Asamblea Nacional del Poder Popular.</w:t>
      </w:r>
      <w:r w:rsidR="007151CF" w:rsidRPr="007F6AD7">
        <w:rPr>
          <w:rStyle w:val="Refdenotaalpie"/>
          <w:rFonts w:ascii="Arial" w:hAnsi="Arial" w:cs="Arial"/>
        </w:rPr>
        <w:footnoteReference w:id="510"/>
      </w:r>
    </w:p>
    <w:p w14:paraId="7AE9E631" w14:textId="26DA2772" w:rsidR="007151CF" w:rsidRPr="007F6AD7" w:rsidRDefault="007151CF" w:rsidP="00A7397D">
      <w:pPr>
        <w:pStyle w:val="Ttulo3"/>
      </w:pPr>
      <w:bookmarkStart w:id="150" w:name="_Toc515359827"/>
      <w:r w:rsidRPr="007F6AD7">
        <w:lastRenderedPageBreak/>
        <w:t>Sustitu</w:t>
      </w:r>
      <w:r w:rsidR="00561EB1" w:rsidRPr="007F6AD7">
        <w:t>ción d</w:t>
      </w:r>
      <w:r w:rsidRPr="007F6AD7">
        <w:t xml:space="preserve">el </w:t>
      </w:r>
      <w:r w:rsidR="00561EB1" w:rsidRPr="007F6AD7">
        <w:t>e</w:t>
      </w:r>
      <w:r w:rsidRPr="007F6AD7">
        <w:t xml:space="preserve">nfoque de </w:t>
      </w:r>
      <w:r w:rsidR="00561EB1" w:rsidRPr="007F6AD7">
        <w:t>c</w:t>
      </w:r>
      <w:r w:rsidRPr="007F6AD7">
        <w:t xml:space="preserve">arencias por </w:t>
      </w:r>
      <w:r w:rsidR="00561EB1" w:rsidRPr="007F6AD7">
        <w:t>e</w:t>
      </w:r>
      <w:r w:rsidRPr="007F6AD7">
        <w:t xml:space="preserve">nfoque de </w:t>
      </w:r>
      <w:r w:rsidR="00561EB1" w:rsidRPr="007F6AD7">
        <w:t>d</w:t>
      </w:r>
      <w:r w:rsidRPr="007F6AD7">
        <w:t>erechos</w:t>
      </w:r>
      <w:bookmarkEnd w:id="150"/>
    </w:p>
    <w:p w14:paraId="3CFBCF86" w14:textId="03F03B16" w:rsidR="00035FC7" w:rsidRPr="007F6AD7" w:rsidRDefault="006364E0" w:rsidP="006364E0">
      <w:pPr>
        <w:spacing w:after="0" w:line="360" w:lineRule="auto"/>
        <w:jc w:val="both"/>
        <w:rPr>
          <w:rFonts w:ascii="Arial" w:hAnsi="Arial" w:cs="Arial"/>
        </w:rPr>
      </w:pPr>
      <w:r>
        <w:rPr>
          <w:rFonts w:ascii="Arial" w:hAnsi="Arial" w:cs="Arial"/>
        </w:rPr>
        <w:t xml:space="preserve">110.   </w:t>
      </w:r>
      <w:r w:rsidR="007151CF" w:rsidRPr="007F6AD7">
        <w:rPr>
          <w:rFonts w:ascii="Arial" w:hAnsi="Arial" w:cs="Arial"/>
        </w:rPr>
        <w:t xml:space="preserve">Aunque no se </w:t>
      </w:r>
      <w:r w:rsidR="00B8344F" w:rsidRPr="007F6AD7">
        <w:rPr>
          <w:rFonts w:ascii="Arial" w:hAnsi="Arial" w:cs="Arial"/>
        </w:rPr>
        <w:t>publican</w:t>
      </w:r>
      <w:r w:rsidR="007151CF" w:rsidRPr="007F6AD7">
        <w:rPr>
          <w:rFonts w:ascii="Arial" w:hAnsi="Arial" w:cs="Arial"/>
        </w:rPr>
        <w:t xml:space="preserve"> detalles de la posterior intervención de los </w:t>
      </w:r>
      <w:r w:rsidR="008A41E9" w:rsidRPr="007F6AD7">
        <w:rPr>
          <w:rFonts w:ascii="Arial" w:hAnsi="Arial" w:cs="Arial"/>
        </w:rPr>
        <w:t>parlamentarios es</w:t>
      </w:r>
      <w:r w:rsidR="00553EC9" w:rsidRPr="007F6AD7">
        <w:rPr>
          <w:rFonts w:ascii="Arial" w:hAnsi="Arial" w:cs="Arial"/>
        </w:rPr>
        <w:t xml:space="preserve"> </w:t>
      </w:r>
      <w:r w:rsidR="007151CF" w:rsidRPr="007F6AD7">
        <w:rPr>
          <w:rFonts w:ascii="Arial" w:hAnsi="Arial" w:cs="Arial"/>
        </w:rPr>
        <w:t>preocupa</w:t>
      </w:r>
      <w:r w:rsidR="00553EC9" w:rsidRPr="007F6AD7">
        <w:rPr>
          <w:rFonts w:ascii="Arial" w:hAnsi="Arial" w:cs="Arial"/>
        </w:rPr>
        <w:t>nte</w:t>
      </w:r>
      <w:r w:rsidR="007151CF" w:rsidRPr="007F6AD7">
        <w:rPr>
          <w:rFonts w:ascii="Arial" w:hAnsi="Arial" w:cs="Arial"/>
        </w:rPr>
        <w:t xml:space="preserve"> que </w:t>
      </w:r>
      <w:r w:rsidR="00035FC7" w:rsidRPr="007F6AD7">
        <w:rPr>
          <w:rFonts w:ascii="Arial" w:hAnsi="Arial" w:cs="Arial"/>
        </w:rPr>
        <w:t>e</w:t>
      </w:r>
      <w:r w:rsidR="007151CF" w:rsidRPr="007F6AD7">
        <w:rPr>
          <w:rFonts w:ascii="Arial" w:hAnsi="Arial" w:cs="Arial"/>
        </w:rPr>
        <w:t>l control social encuentra su justificación en explicaciones que enfatizan las carencias y “patologías” individuales de los afectados</w:t>
      </w:r>
      <w:r w:rsidR="00035FC7" w:rsidRPr="007F6AD7">
        <w:rPr>
          <w:rFonts w:ascii="Arial" w:hAnsi="Arial" w:cs="Arial"/>
        </w:rPr>
        <w:t>.</w:t>
      </w:r>
      <w:r w:rsidR="007151CF" w:rsidRPr="007F6AD7">
        <w:rPr>
          <w:rFonts w:ascii="Arial" w:hAnsi="Arial" w:cs="Arial"/>
        </w:rPr>
        <w:t xml:space="preserve"> </w:t>
      </w:r>
      <w:r w:rsidR="00035FC7" w:rsidRPr="007F6AD7">
        <w:rPr>
          <w:rFonts w:ascii="Arial" w:hAnsi="Arial" w:cs="Arial"/>
        </w:rPr>
        <w:t>El</w:t>
      </w:r>
      <w:r w:rsidR="007151CF" w:rsidRPr="007F6AD7">
        <w:rPr>
          <w:rFonts w:ascii="Arial" w:hAnsi="Arial" w:cs="Arial"/>
        </w:rPr>
        <w:t xml:space="preserve"> origen de los problemas que aquejan a los niños</w:t>
      </w:r>
      <w:r w:rsidR="00B8344F" w:rsidRPr="007F6AD7">
        <w:rPr>
          <w:rFonts w:ascii="Arial" w:hAnsi="Arial" w:cs="Arial"/>
        </w:rPr>
        <w:t xml:space="preserve"> privados de un entorno familiar</w:t>
      </w:r>
      <w:r w:rsidR="007151CF" w:rsidRPr="007F6AD7">
        <w:rPr>
          <w:rFonts w:ascii="Arial" w:hAnsi="Arial" w:cs="Arial"/>
        </w:rPr>
        <w:t xml:space="preserve"> </w:t>
      </w:r>
      <w:r w:rsidR="00035FC7" w:rsidRPr="007F6AD7">
        <w:rPr>
          <w:rFonts w:ascii="Arial" w:hAnsi="Arial" w:cs="Arial"/>
        </w:rPr>
        <w:t xml:space="preserve">se busca </w:t>
      </w:r>
      <w:r w:rsidR="007151CF" w:rsidRPr="007F6AD7">
        <w:rPr>
          <w:rFonts w:ascii="Arial" w:hAnsi="Arial" w:cs="Arial"/>
        </w:rPr>
        <w:t xml:space="preserve">en el ejercicio deficiente de los roles parentales, enfoque que destaca la responsabilidad individual sobre la pública, desplazando a un plano secundario la necesidad de repensar las políticas sociales basadas en la universalidad de los servicios y la equidad redistributiva. </w:t>
      </w:r>
      <w:r w:rsidR="00035FC7" w:rsidRPr="007F6AD7">
        <w:rPr>
          <w:rFonts w:ascii="Arial" w:hAnsi="Arial" w:cs="Arial"/>
        </w:rPr>
        <w:t>En cambio, s</w:t>
      </w:r>
      <w:r w:rsidR="007151CF" w:rsidRPr="007F6AD7">
        <w:rPr>
          <w:rFonts w:ascii="Arial" w:hAnsi="Arial" w:cs="Arial"/>
        </w:rPr>
        <w:t>e privilegian, programas estatales de corte protector y asistencial</w:t>
      </w:r>
      <w:r w:rsidR="00A7459C" w:rsidRPr="007F6AD7">
        <w:rPr>
          <w:rStyle w:val="Refdenotaalpie"/>
          <w:rFonts w:ascii="Arial" w:hAnsi="Arial" w:cs="Arial"/>
        </w:rPr>
        <w:footnoteReference w:id="511"/>
      </w:r>
      <w:r w:rsidR="007151CF" w:rsidRPr="007F6AD7">
        <w:rPr>
          <w:rFonts w:ascii="Arial" w:hAnsi="Arial" w:cs="Arial"/>
        </w:rPr>
        <w:t xml:space="preserve"> que se pudieran entremezclar con acciones caritativas y filantrópicas de origen religioso y privado. Los </w:t>
      </w:r>
      <w:r w:rsidR="00A7459C" w:rsidRPr="007F6AD7">
        <w:rPr>
          <w:rFonts w:ascii="Arial" w:hAnsi="Arial" w:cs="Arial"/>
        </w:rPr>
        <w:t>NNA</w:t>
      </w:r>
      <w:r w:rsidR="007151CF" w:rsidRPr="007F6AD7">
        <w:rPr>
          <w:rFonts w:ascii="Arial" w:hAnsi="Arial" w:cs="Arial"/>
        </w:rPr>
        <w:t xml:space="preserve"> pobres que caen bajo la órbita de </w:t>
      </w:r>
      <w:r w:rsidR="00B8344F" w:rsidRPr="007F6AD7">
        <w:rPr>
          <w:rFonts w:ascii="Arial" w:hAnsi="Arial" w:cs="Arial"/>
        </w:rPr>
        <w:t>este sistema</w:t>
      </w:r>
      <w:r w:rsidR="007151CF" w:rsidRPr="007F6AD7">
        <w:rPr>
          <w:rFonts w:ascii="Arial" w:hAnsi="Arial" w:cs="Arial"/>
        </w:rPr>
        <w:t xml:space="preserve"> de protección, son considerados como objetos de acciones dependientes de la discrecionalidad de las autoridades judiciales y administrativas, enfoque opuesto a la consideración del niño como ciudadano titular de derechos exigibles. </w:t>
      </w:r>
      <w:r w:rsidR="007151CF" w:rsidRPr="007F6AD7">
        <w:rPr>
          <w:rStyle w:val="Refdenotaalpie"/>
          <w:rFonts w:ascii="Arial" w:hAnsi="Arial" w:cs="Arial"/>
        </w:rPr>
        <w:footnoteReference w:id="512"/>
      </w:r>
      <w:r w:rsidR="007151CF" w:rsidRPr="007F6AD7">
        <w:rPr>
          <w:rFonts w:ascii="Arial" w:hAnsi="Arial" w:cs="Arial"/>
        </w:rPr>
        <w:t xml:space="preserve"> </w:t>
      </w:r>
      <w:r w:rsidR="00473E58" w:rsidRPr="007F6AD7">
        <w:rPr>
          <w:rFonts w:ascii="Arial" w:hAnsi="Arial" w:cs="Arial"/>
        </w:rPr>
        <w:t xml:space="preserve"> </w:t>
      </w:r>
    </w:p>
    <w:p w14:paraId="055C353B" w14:textId="29F680B9" w:rsidR="00A7459C" w:rsidRPr="007F6AD7" w:rsidRDefault="00D47AB0" w:rsidP="00D47AB0">
      <w:pPr>
        <w:tabs>
          <w:tab w:val="left" w:pos="720"/>
        </w:tabs>
        <w:spacing w:line="360" w:lineRule="auto"/>
        <w:jc w:val="both"/>
        <w:rPr>
          <w:rFonts w:ascii="Arial" w:hAnsi="Arial" w:cs="Arial"/>
        </w:rPr>
      </w:pPr>
      <w:r>
        <w:rPr>
          <w:rFonts w:ascii="Arial" w:hAnsi="Arial" w:cs="Arial"/>
        </w:rPr>
        <w:t xml:space="preserve">111.   </w:t>
      </w:r>
      <w:r w:rsidR="00523F49" w:rsidRPr="007F6AD7">
        <w:rPr>
          <w:rFonts w:ascii="Arial" w:hAnsi="Arial" w:cs="Arial"/>
        </w:rPr>
        <w:t xml:space="preserve">El </w:t>
      </w:r>
      <w:r w:rsidR="00C604AF" w:rsidRPr="007F6AD7">
        <w:rPr>
          <w:rFonts w:ascii="Arial" w:hAnsi="Arial" w:cs="Arial"/>
        </w:rPr>
        <w:t>e</w:t>
      </w:r>
      <w:r w:rsidR="00523F49" w:rsidRPr="007F6AD7">
        <w:rPr>
          <w:rFonts w:ascii="Arial" w:hAnsi="Arial" w:cs="Arial"/>
        </w:rPr>
        <w:t xml:space="preserve">nfoque de las </w:t>
      </w:r>
      <w:r w:rsidR="00282D4A" w:rsidRPr="007F6AD7">
        <w:rPr>
          <w:rFonts w:ascii="Arial" w:hAnsi="Arial" w:cs="Arial"/>
        </w:rPr>
        <w:t>carencias trata</w:t>
      </w:r>
      <w:r w:rsidR="00523F49" w:rsidRPr="007F6AD7">
        <w:rPr>
          <w:rFonts w:ascii="Arial" w:hAnsi="Arial" w:cs="Arial"/>
        </w:rPr>
        <w:t xml:space="preserve"> a </w:t>
      </w:r>
      <w:r w:rsidR="00357300" w:rsidRPr="007F6AD7">
        <w:rPr>
          <w:rFonts w:ascii="Arial" w:hAnsi="Arial" w:cs="Arial"/>
        </w:rPr>
        <w:t>l</w:t>
      </w:r>
      <w:r w:rsidR="00523F49" w:rsidRPr="007F6AD7">
        <w:rPr>
          <w:rFonts w:ascii="Arial" w:hAnsi="Arial" w:cs="Arial"/>
        </w:rPr>
        <w:t xml:space="preserve">os </w:t>
      </w:r>
      <w:r w:rsidR="00282D4A" w:rsidRPr="007F6AD7">
        <w:rPr>
          <w:rFonts w:ascii="Arial" w:hAnsi="Arial" w:cs="Arial"/>
        </w:rPr>
        <w:t>NNA</w:t>
      </w:r>
      <w:r w:rsidR="00523F49" w:rsidRPr="007F6AD7">
        <w:rPr>
          <w:rFonts w:ascii="Arial" w:hAnsi="Arial" w:cs="Arial"/>
        </w:rPr>
        <w:t xml:space="preserve"> como víctimas carenciadas, </w:t>
      </w:r>
      <w:r w:rsidR="00282D4A" w:rsidRPr="007F6AD7">
        <w:rPr>
          <w:rFonts w:ascii="Arial" w:hAnsi="Arial" w:cs="Arial"/>
        </w:rPr>
        <w:t>beneficiarios pasivos</w:t>
      </w:r>
      <w:r w:rsidR="00523F49" w:rsidRPr="007F6AD7">
        <w:rPr>
          <w:rFonts w:ascii="Arial" w:hAnsi="Arial" w:cs="Arial"/>
        </w:rPr>
        <w:t xml:space="preserve"> de asistencia, objetos de compasión y medidas discrecionales, </w:t>
      </w:r>
      <w:r w:rsidR="00357300" w:rsidRPr="007F6AD7">
        <w:rPr>
          <w:rFonts w:ascii="Arial" w:hAnsi="Arial" w:cs="Arial"/>
        </w:rPr>
        <w:t>e</w:t>
      </w:r>
      <w:r w:rsidR="00523F49" w:rsidRPr="007F6AD7">
        <w:rPr>
          <w:rFonts w:ascii="Arial" w:hAnsi="Arial" w:cs="Arial"/>
        </w:rPr>
        <w:t xml:space="preserve">l </w:t>
      </w:r>
      <w:r w:rsidR="00357300" w:rsidRPr="007F6AD7">
        <w:rPr>
          <w:rFonts w:ascii="Arial" w:hAnsi="Arial" w:cs="Arial"/>
        </w:rPr>
        <w:t>a</w:t>
      </w:r>
      <w:r w:rsidR="00523F49" w:rsidRPr="007F6AD7">
        <w:rPr>
          <w:rFonts w:ascii="Arial" w:hAnsi="Arial" w:cs="Arial"/>
        </w:rPr>
        <w:t xml:space="preserve">bordaje es sectorial con </w:t>
      </w:r>
      <w:r w:rsidR="00282D4A" w:rsidRPr="007F6AD7">
        <w:rPr>
          <w:rFonts w:ascii="Arial" w:hAnsi="Arial" w:cs="Arial"/>
        </w:rPr>
        <w:t>énfasis</w:t>
      </w:r>
      <w:r w:rsidR="00523F49" w:rsidRPr="007F6AD7">
        <w:rPr>
          <w:rFonts w:ascii="Arial" w:hAnsi="Arial" w:cs="Arial"/>
        </w:rPr>
        <w:t xml:space="preserve"> en la gestión de programas</w:t>
      </w:r>
      <w:r w:rsidR="009245D1" w:rsidRPr="007F6AD7">
        <w:rPr>
          <w:rFonts w:ascii="Arial" w:hAnsi="Arial" w:cs="Arial"/>
        </w:rPr>
        <w:t>, las</w:t>
      </w:r>
      <w:r w:rsidR="00523F49" w:rsidRPr="007F6AD7">
        <w:rPr>
          <w:rFonts w:ascii="Arial" w:hAnsi="Arial" w:cs="Arial"/>
        </w:rPr>
        <w:t xml:space="preserve"> manifestaciones </w:t>
      </w:r>
      <w:r w:rsidR="009245D1" w:rsidRPr="007F6AD7">
        <w:rPr>
          <w:rFonts w:ascii="Arial" w:hAnsi="Arial" w:cs="Arial"/>
        </w:rPr>
        <w:t>y causas</w:t>
      </w:r>
      <w:r w:rsidR="00523F49" w:rsidRPr="007F6AD7">
        <w:rPr>
          <w:rFonts w:ascii="Arial" w:hAnsi="Arial" w:cs="Arial"/>
        </w:rPr>
        <w:t xml:space="preserve"> inmediatas de los </w:t>
      </w:r>
      <w:r w:rsidR="009245D1" w:rsidRPr="007F6AD7">
        <w:rPr>
          <w:rFonts w:ascii="Arial" w:hAnsi="Arial" w:cs="Arial"/>
        </w:rPr>
        <w:t xml:space="preserve">problemas. </w:t>
      </w:r>
      <w:r w:rsidR="00A7459C" w:rsidRPr="007F6AD7">
        <w:rPr>
          <w:rFonts w:ascii="Arial" w:hAnsi="Arial" w:cs="Arial"/>
        </w:rPr>
        <w:t>Se s</w:t>
      </w:r>
      <w:r w:rsidR="00357300" w:rsidRPr="007F6AD7">
        <w:rPr>
          <w:rFonts w:ascii="Arial" w:hAnsi="Arial" w:cs="Arial"/>
        </w:rPr>
        <w:t xml:space="preserve">ospecha del empoderamiento de los </w:t>
      </w:r>
      <w:r w:rsidR="00A7459C" w:rsidRPr="007F6AD7">
        <w:rPr>
          <w:rFonts w:ascii="Arial" w:hAnsi="Arial" w:cs="Arial"/>
        </w:rPr>
        <w:t>NNA</w:t>
      </w:r>
      <w:r w:rsidR="00357300" w:rsidRPr="007F6AD7">
        <w:rPr>
          <w:rFonts w:ascii="Arial" w:hAnsi="Arial" w:cs="Arial"/>
        </w:rPr>
        <w:t xml:space="preserve"> y la comunidad donde vive</w:t>
      </w:r>
      <w:r w:rsidR="00A7459C" w:rsidRPr="007F6AD7">
        <w:rPr>
          <w:rFonts w:ascii="Arial" w:hAnsi="Arial" w:cs="Arial"/>
        </w:rPr>
        <w:t>n</w:t>
      </w:r>
      <w:r w:rsidR="00357300" w:rsidRPr="007F6AD7">
        <w:rPr>
          <w:rFonts w:ascii="Arial" w:hAnsi="Arial" w:cs="Arial"/>
        </w:rPr>
        <w:t>.</w:t>
      </w:r>
      <w:r w:rsidR="00282D4A" w:rsidRPr="007F6AD7">
        <w:rPr>
          <w:rFonts w:ascii="Arial" w:hAnsi="Arial" w:cs="Arial"/>
        </w:rPr>
        <w:t xml:space="preserve"> .El cumplimiento de los derechos implica obligaciones del Estado democrático, promoción de la inclusión y garantizar el genuino acceso a los servicios universales.</w:t>
      </w:r>
      <w:r w:rsidR="00357300" w:rsidRPr="007F6AD7">
        <w:rPr>
          <w:rFonts w:ascii="Arial" w:hAnsi="Arial" w:cs="Arial"/>
        </w:rPr>
        <w:t xml:space="preserve"> El Enfoque de las Carencias busca la satisfacción de necesidades por medio de la oferta asistencia</w:t>
      </w:r>
      <w:r w:rsidR="00A7459C" w:rsidRPr="007F6AD7">
        <w:rPr>
          <w:rFonts w:ascii="Arial" w:hAnsi="Arial" w:cs="Arial"/>
        </w:rPr>
        <w:t>l</w:t>
      </w:r>
      <w:r w:rsidR="00357300" w:rsidRPr="007F6AD7">
        <w:rPr>
          <w:rFonts w:ascii="Arial" w:hAnsi="Arial" w:cs="Arial"/>
        </w:rPr>
        <w:t xml:space="preserve"> y lo peor, no cuestiona la exclusión</w:t>
      </w:r>
      <w:r w:rsidR="007E7AFC" w:rsidRPr="007F6AD7">
        <w:rPr>
          <w:rFonts w:ascii="Arial" w:hAnsi="Arial" w:cs="Arial"/>
        </w:rPr>
        <w:t>, lo cual</w:t>
      </w:r>
      <w:r w:rsidR="00282D4A" w:rsidRPr="007F6AD7">
        <w:rPr>
          <w:rFonts w:ascii="Arial" w:hAnsi="Arial" w:cs="Arial"/>
        </w:rPr>
        <w:t xml:space="preserve"> representa</w:t>
      </w:r>
      <w:r w:rsidR="007E7AFC" w:rsidRPr="007F6AD7">
        <w:rPr>
          <w:rFonts w:ascii="Arial" w:hAnsi="Arial" w:cs="Arial"/>
        </w:rPr>
        <w:t xml:space="preserve"> una forma de discriminación indirecta.</w:t>
      </w:r>
      <w:r w:rsidR="006F32E0" w:rsidRPr="007F6AD7">
        <w:rPr>
          <w:rFonts w:ascii="Arial" w:hAnsi="Arial" w:cs="Arial"/>
        </w:rPr>
        <w:t xml:space="preserve"> </w:t>
      </w:r>
      <w:r w:rsidR="007E7AFC" w:rsidRPr="007F6AD7">
        <w:rPr>
          <w:rFonts w:ascii="Arial" w:hAnsi="Arial" w:cs="Arial"/>
          <w:b/>
        </w:rPr>
        <w:t xml:space="preserve">ACDEI ruega al </w:t>
      </w:r>
      <w:r w:rsidR="00282D4A" w:rsidRPr="007F6AD7">
        <w:rPr>
          <w:rFonts w:ascii="Arial" w:hAnsi="Arial" w:cs="Arial"/>
          <w:b/>
        </w:rPr>
        <w:t>C</w:t>
      </w:r>
      <w:r w:rsidR="007E7AFC" w:rsidRPr="007F6AD7">
        <w:rPr>
          <w:rFonts w:ascii="Arial" w:hAnsi="Arial" w:cs="Arial"/>
          <w:b/>
        </w:rPr>
        <w:t xml:space="preserve">omité CERD instar al Estado parte a implementar </w:t>
      </w:r>
      <w:r w:rsidR="00553EC9" w:rsidRPr="007F6AD7">
        <w:rPr>
          <w:rFonts w:ascii="Arial" w:hAnsi="Arial" w:cs="Arial"/>
          <w:b/>
        </w:rPr>
        <w:t>progresivamente</w:t>
      </w:r>
      <w:r w:rsidR="007E7AFC" w:rsidRPr="007F6AD7">
        <w:rPr>
          <w:rFonts w:ascii="Arial" w:hAnsi="Arial" w:cs="Arial"/>
          <w:b/>
        </w:rPr>
        <w:t xml:space="preserve"> el enfoque de </w:t>
      </w:r>
      <w:r w:rsidR="006166E9" w:rsidRPr="007F6AD7">
        <w:rPr>
          <w:rFonts w:ascii="Arial" w:hAnsi="Arial" w:cs="Arial"/>
          <w:b/>
        </w:rPr>
        <w:t>d</w:t>
      </w:r>
      <w:r w:rsidR="007E7AFC" w:rsidRPr="007F6AD7">
        <w:rPr>
          <w:rFonts w:ascii="Arial" w:hAnsi="Arial" w:cs="Arial"/>
          <w:b/>
        </w:rPr>
        <w:t>erechos en la políticas publicas</w:t>
      </w:r>
      <w:r w:rsidR="00282D4A" w:rsidRPr="007F6AD7">
        <w:rPr>
          <w:rFonts w:ascii="Arial" w:hAnsi="Arial" w:cs="Arial"/>
          <w:b/>
        </w:rPr>
        <w:t xml:space="preserve"> vinculadas a la ICERD </w:t>
      </w:r>
      <w:r w:rsidR="00422471" w:rsidRPr="007F6AD7">
        <w:rPr>
          <w:rFonts w:ascii="Arial" w:hAnsi="Arial" w:cs="Arial"/>
          <w:b/>
        </w:rPr>
        <w:t>y relacionadas</w:t>
      </w:r>
      <w:r w:rsidR="007E7AFC" w:rsidRPr="007F6AD7">
        <w:rPr>
          <w:rFonts w:ascii="Arial" w:hAnsi="Arial" w:cs="Arial"/>
          <w:b/>
        </w:rPr>
        <w:t xml:space="preserve"> con la niñez cubana</w:t>
      </w:r>
      <w:r w:rsidR="006166E9" w:rsidRPr="007F6AD7">
        <w:rPr>
          <w:rFonts w:ascii="Arial" w:hAnsi="Arial" w:cs="Arial"/>
          <w:b/>
        </w:rPr>
        <w:t xml:space="preserve">, en </w:t>
      </w:r>
      <w:r w:rsidR="00282D4A" w:rsidRPr="007F6AD7">
        <w:rPr>
          <w:rFonts w:ascii="Arial" w:hAnsi="Arial" w:cs="Arial"/>
          <w:b/>
        </w:rPr>
        <w:t>especial</w:t>
      </w:r>
      <w:r w:rsidR="006166E9" w:rsidRPr="007F6AD7">
        <w:rPr>
          <w:rFonts w:ascii="Arial" w:hAnsi="Arial" w:cs="Arial"/>
          <w:b/>
        </w:rPr>
        <w:t xml:space="preserve"> con </w:t>
      </w:r>
      <w:r w:rsidR="00282D4A" w:rsidRPr="007F6AD7">
        <w:rPr>
          <w:rFonts w:ascii="Arial" w:hAnsi="Arial" w:cs="Arial"/>
          <w:b/>
        </w:rPr>
        <w:t xml:space="preserve">los </w:t>
      </w:r>
      <w:r w:rsidR="008930C2">
        <w:rPr>
          <w:rFonts w:ascii="Arial" w:hAnsi="Arial" w:cs="Arial"/>
          <w:b/>
        </w:rPr>
        <w:t xml:space="preserve">niños, </w:t>
      </w:r>
      <w:r w:rsidR="00224309">
        <w:rPr>
          <w:rFonts w:ascii="Arial" w:hAnsi="Arial" w:cs="Arial"/>
          <w:b/>
        </w:rPr>
        <w:t>niñas y</w:t>
      </w:r>
      <w:r>
        <w:rPr>
          <w:rFonts w:ascii="Arial" w:hAnsi="Arial" w:cs="Arial"/>
          <w:b/>
        </w:rPr>
        <w:t xml:space="preserve"> adolescentes </w:t>
      </w:r>
      <w:r w:rsidR="008930C2">
        <w:rPr>
          <w:rFonts w:ascii="Arial" w:hAnsi="Arial" w:cs="Arial"/>
          <w:b/>
        </w:rPr>
        <w:t>afrodescendientes</w:t>
      </w:r>
      <w:r w:rsidR="007E7AFC" w:rsidRPr="007F6AD7">
        <w:rPr>
          <w:rFonts w:ascii="Arial" w:hAnsi="Arial" w:cs="Arial"/>
          <w:b/>
        </w:rPr>
        <w:t>.</w:t>
      </w:r>
    </w:p>
    <w:p w14:paraId="3D72DD25" w14:textId="77777777" w:rsidR="00A7459C" w:rsidRPr="007F6AD7" w:rsidRDefault="00A7459C" w:rsidP="00A7459C">
      <w:pPr>
        <w:tabs>
          <w:tab w:val="left" w:pos="720"/>
        </w:tabs>
        <w:ind w:firstLine="720"/>
        <w:jc w:val="both"/>
        <w:rPr>
          <w:rFonts w:ascii="Arial" w:hAnsi="Arial" w:cs="Arial"/>
          <w:lang w:eastAsia="es-MX"/>
        </w:rPr>
      </w:pPr>
    </w:p>
    <w:p w14:paraId="127CCD68" w14:textId="1D020655" w:rsidR="00C50D4F" w:rsidRPr="007F6AD7" w:rsidRDefault="00C50D4F" w:rsidP="00C50D4F">
      <w:pPr>
        <w:pStyle w:val="TextBody"/>
        <w:tabs>
          <w:tab w:val="left" w:pos="720"/>
        </w:tabs>
        <w:spacing w:after="0" w:line="240" w:lineRule="auto"/>
        <w:jc w:val="both"/>
        <w:rPr>
          <w:rFonts w:ascii="Arial" w:eastAsia="STKaiti" w:hAnsi="Arial" w:cs="Arial"/>
          <w:color w:val="auto"/>
          <w:sz w:val="22"/>
          <w:szCs w:val="22"/>
          <w:lang w:val="es-ES" w:eastAsia="es-US" w:bidi="ar-SA"/>
        </w:rPr>
      </w:pPr>
    </w:p>
    <w:p w14:paraId="58E0D4FD" w14:textId="77777777" w:rsidR="00C50D4F" w:rsidRPr="007F6AD7" w:rsidRDefault="00C50D4F" w:rsidP="00C50D4F">
      <w:pPr>
        <w:pStyle w:val="TextBody"/>
        <w:tabs>
          <w:tab w:val="left" w:pos="720"/>
        </w:tabs>
        <w:spacing w:after="0" w:line="240" w:lineRule="auto"/>
        <w:jc w:val="both"/>
        <w:rPr>
          <w:rFonts w:ascii="Arial" w:eastAsia="STKaiti" w:hAnsi="Arial" w:cs="Arial"/>
          <w:color w:val="auto"/>
          <w:sz w:val="22"/>
          <w:szCs w:val="22"/>
          <w:lang w:eastAsia="es-US" w:bidi="ar-SA"/>
        </w:rPr>
      </w:pPr>
    </w:p>
    <w:p w14:paraId="0CC1ABC0" w14:textId="345C86E6" w:rsidR="00C50D4F" w:rsidRPr="007F6AD7" w:rsidRDefault="00C50D4F" w:rsidP="00C50D4F">
      <w:pPr>
        <w:pStyle w:val="TextBody"/>
        <w:tabs>
          <w:tab w:val="left" w:pos="720"/>
        </w:tabs>
        <w:spacing w:after="0" w:line="240" w:lineRule="auto"/>
        <w:jc w:val="both"/>
        <w:rPr>
          <w:rFonts w:ascii="Arial" w:eastAsia="STKaiti" w:hAnsi="Arial" w:cs="Arial"/>
          <w:color w:val="auto"/>
          <w:sz w:val="22"/>
          <w:szCs w:val="22"/>
          <w:lang w:eastAsia="es-US" w:bidi="ar-SA"/>
        </w:rPr>
      </w:pPr>
    </w:p>
    <w:p w14:paraId="6673D166" w14:textId="49192B34" w:rsidR="00523F49" w:rsidRPr="007F6AD7" w:rsidRDefault="00523F49" w:rsidP="006F32E0">
      <w:pPr>
        <w:ind w:firstLine="720"/>
        <w:jc w:val="both"/>
        <w:rPr>
          <w:rFonts w:ascii="Arial" w:hAnsi="Arial" w:cs="Arial"/>
        </w:rPr>
      </w:pPr>
    </w:p>
    <w:bookmarkEnd w:id="144"/>
    <w:bookmarkEnd w:id="145"/>
    <w:p w14:paraId="644C9EA4" w14:textId="77777777" w:rsidR="007151CF" w:rsidRPr="007F6AD7" w:rsidRDefault="007151CF" w:rsidP="007151CF">
      <w:pPr>
        <w:pStyle w:val="TextBody"/>
        <w:tabs>
          <w:tab w:val="left" w:pos="720"/>
        </w:tabs>
        <w:spacing w:after="0"/>
        <w:jc w:val="both"/>
        <w:rPr>
          <w:rFonts w:ascii="Arial" w:eastAsia="STKaiti" w:hAnsi="Arial" w:cs="Arial"/>
          <w:color w:val="auto"/>
          <w:sz w:val="22"/>
          <w:szCs w:val="22"/>
          <w:lang w:eastAsia="es-US" w:bidi="ar-SA"/>
        </w:rPr>
      </w:pPr>
    </w:p>
    <w:sectPr w:rsidR="007151CF" w:rsidRPr="007F6AD7" w:rsidSect="00D41D47">
      <w:headerReference w:type="default" r:id="rId17"/>
      <w:footerReference w:type="default" r:id="rId18"/>
      <w:headerReference w:type="first" r:id="rId19"/>
      <w:pgSz w:w="12240" w:h="15840"/>
      <w:pgMar w:top="1138" w:right="1138" w:bottom="1138" w:left="1138" w:header="720" w:footer="576" w:gutter="0"/>
      <w:cols w:space="720"/>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6" w:author="Nubia" w:date="2018-03-30T23:44:00Z" w:initials="N">
    <w:p w14:paraId="583FAC60" w14:textId="77777777" w:rsidR="00172411" w:rsidRDefault="00172411" w:rsidP="001F6FE4">
      <w:pPr>
        <w:pStyle w:val="Textocomentario"/>
        <w:rPr>
          <w:rFonts w:ascii="Calibri" w:hAnsi="Calibri"/>
        </w:rPr>
      </w:pPr>
      <w:r>
        <w:rPr>
          <w:rStyle w:val="Refdecomentario"/>
        </w:rPr>
        <w:annotationRef/>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3FAC6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56F6E" w14:textId="77777777" w:rsidR="00172411" w:rsidRDefault="00172411">
      <w:pPr>
        <w:spacing w:line="240" w:lineRule="auto"/>
      </w:pPr>
      <w:r>
        <w:separator/>
      </w:r>
    </w:p>
  </w:endnote>
  <w:endnote w:type="continuationSeparator" w:id="0">
    <w:p w14:paraId="6471A3BB" w14:textId="77777777" w:rsidR="00172411" w:rsidRDefault="001724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charset w:val="01"/>
    <w:family w:val="roman"/>
    <w:pitch w:val="variable"/>
  </w:font>
  <w:font w:name="Droid Sans Fallback">
    <w:altName w:val="Times New Roman"/>
    <w:charset w:val="01"/>
    <w:family w:val="auto"/>
    <w:pitch w:val="variable"/>
  </w:font>
  <w:font w:name="FreeSans">
    <w:altName w:val="Times New Roman"/>
    <w:charset w:val="01"/>
    <w:family w:val="auto"/>
    <w:pitch w:val="variable"/>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Serif">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to Sans CJK SC Regular">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1450"/>
      <w:gridCol w:w="8514"/>
    </w:tblGrid>
    <w:tr w:rsidR="00172411" w:rsidRPr="00E52193" w14:paraId="2164331D" w14:textId="77777777" w:rsidTr="004E5F62">
      <w:tc>
        <w:tcPr>
          <w:tcW w:w="1458" w:type="dxa"/>
        </w:tcPr>
        <w:p w14:paraId="622D4564" w14:textId="77777777" w:rsidR="00172411" w:rsidRDefault="00172411">
          <w:pPr>
            <w:pStyle w:val="Piedepgina"/>
            <w:jc w:val="right"/>
            <w:rPr>
              <w:b/>
              <w:color w:val="4F81BD"/>
              <w:sz w:val="32"/>
              <w:szCs w:val="32"/>
            </w:rPr>
          </w:pPr>
          <w:r>
            <w:fldChar w:fldCharType="begin"/>
          </w:r>
          <w:r>
            <w:instrText xml:space="preserve"> PAGE   \* MERGEFORMAT </w:instrText>
          </w:r>
          <w:r>
            <w:fldChar w:fldCharType="separate"/>
          </w:r>
          <w:r w:rsidR="003618FC">
            <w:rPr>
              <w:noProof/>
            </w:rPr>
            <w:t>3</w:t>
          </w:r>
          <w:r>
            <w:rPr>
              <w:noProof/>
            </w:rPr>
            <w:fldChar w:fldCharType="end"/>
          </w:r>
        </w:p>
      </w:tc>
      <w:tc>
        <w:tcPr>
          <w:tcW w:w="8730" w:type="dxa"/>
        </w:tcPr>
        <w:p w14:paraId="7DCBFE3E" w14:textId="37B11C0C" w:rsidR="00172411" w:rsidRPr="00E52193" w:rsidRDefault="00172411" w:rsidP="00E52193">
          <w:pPr>
            <w:pStyle w:val="Piedepgina"/>
          </w:pPr>
          <w:r w:rsidRPr="00E52193">
            <w:t>Informe No Confidencial</w:t>
          </w:r>
          <w:r>
            <w:t xml:space="preserve"> </w:t>
          </w:r>
          <w:r w:rsidRPr="00E52193">
            <w:rPr>
              <w:rFonts w:cs="Arial"/>
              <w:lang w:val="es-ES"/>
            </w:rPr>
            <w:t>La Habana –</w:t>
          </w:r>
          <w:r>
            <w:rPr>
              <w:rFonts w:cs="Arial"/>
              <w:lang w:val="es-ES"/>
            </w:rPr>
            <w:t xml:space="preserve"> </w:t>
          </w:r>
          <w:r w:rsidRPr="00E52193">
            <w:rPr>
              <w:rFonts w:cs="Arial"/>
              <w:lang w:val="es-ES"/>
            </w:rPr>
            <w:t>2018</w:t>
          </w:r>
        </w:p>
        <w:p w14:paraId="15E58677" w14:textId="77777777" w:rsidR="00172411" w:rsidRPr="00E52193" w:rsidRDefault="00172411">
          <w:pPr>
            <w:pStyle w:val="Piedepgina"/>
          </w:pPr>
        </w:p>
      </w:tc>
    </w:tr>
  </w:tbl>
  <w:p w14:paraId="1C0995A3" w14:textId="77777777" w:rsidR="00172411" w:rsidRPr="00E52193" w:rsidRDefault="001724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5BBE68" w14:textId="77777777" w:rsidR="00172411" w:rsidRDefault="00172411">
      <w:pPr>
        <w:spacing w:line="240" w:lineRule="auto"/>
      </w:pPr>
      <w:r>
        <w:separator/>
      </w:r>
    </w:p>
  </w:footnote>
  <w:footnote w:type="continuationSeparator" w:id="0">
    <w:p w14:paraId="5AB1EF6E" w14:textId="77777777" w:rsidR="00172411" w:rsidRDefault="00172411">
      <w:pPr>
        <w:spacing w:line="240" w:lineRule="auto"/>
      </w:pPr>
      <w:r>
        <w:continuationSeparator/>
      </w:r>
    </w:p>
  </w:footnote>
  <w:footnote w:id="1">
    <w:p w14:paraId="5DBBABF6" w14:textId="35AEC44B" w:rsidR="00172411" w:rsidRPr="00971B7D" w:rsidRDefault="00172411" w:rsidP="007F6AD7">
      <w:pPr>
        <w:spacing w:after="0" w:line="240" w:lineRule="atLeast"/>
        <w:rPr>
          <w:rFonts w:ascii="Times New Roman" w:hAnsi="Times New Roman"/>
          <w:color w:val="000000"/>
          <w:sz w:val="20"/>
          <w:szCs w:val="20"/>
          <w:lang w:eastAsia="es-MX"/>
        </w:rPr>
      </w:pPr>
      <w:r>
        <w:rPr>
          <w:rStyle w:val="Refdenotaalpie"/>
        </w:rPr>
        <w:footnoteRef/>
      </w:r>
      <w:r>
        <w:t xml:space="preserve"> </w:t>
      </w:r>
      <w:r>
        <w:rPr>
          <w:rFonts w:ascii="Times New Roman" w:hAnsi="Times New Roman"/>
          <w:color w:val="000000"/>
          <w:sz w:val="20"/>
          <w:szCs w:val="20"/>
          <w:lang w:eastAsia="es-MX"/>
        </w:rPr>
        <w:t xml:space="preserve">Gisela Arrandia Covarrubias.  2016. </w:t>
      </w:r>
      <w:r w:rsidRPr="00EB67FF">
        <w:rPr>
          <w:rFonts w:ascii="Times New Roman" w:hAnsi="Times New Roman"/>
          <w:i/>
          <w:color w:val="000000"/>
          <w:sz w:val="20"/>
          <w:szCs w:val="20"/>
          <w:lang w:eastAsia="es-MX"/>
        </w:rPr>
        <w:t>Estudio  teórico  crítico  del  racismo:  un  modelo  de  análisis  epistemológico  y político  para  el  contexto  cubano</w:t>
      </w:r>
      <w:r>
        <w:rPr>
          <w:rFonts w:ascii="Times New Roman" w:hAnsi="Times New Roman"/>
          <w:color w:val="000000"/>
          <w:sz w:val="20"/>
          <w:szCs w:val="20"/>
          <w:lang w:eastAsia="es-MX"/>
        </w:rPr>
        <w:t xml:space="preserve"> (Tesis  de  Doctorado). La Habana: Editorial Universitaria, 2017.  e-ISBN 978-959-16-3466-5. Disponible: http://beduniv.reduniv.edu.cu/index.php?page=3&amp;id=2928&amp;db=1</w:t>
      </w:r>
    </w:p>
  </w:footnote>
  <w:footnote w:id="2">
    <w:p w14:paraId="251593E0" w14:textId="66F3747E" w:rsidR="00172411" w:rsidRPr="009C79D5" w:rsidRDefault="00172411" w:rsidP="00EB67FF">
      <w:pPr>
        <w:pStyle w:val="Textonotapie"/>
        <w:spacing w:line="240" w:lineRule="atLeast"/>
        <w:ind w:firstLine="0"/>
        <w:rPr>
          <w:color w:val="0D0D0D"/>
          <w:lang w:val="es-ES" w:eastAsia="en-US"/>
        </w:rPr>
      </w:pPr>
      <w:r>
        <w:rPr>
          <w:rStyle w:val="Refdenotaalpie"/>
        </w:rPr>
        <w:footnoteRef/>
      </w:r>
      <w:r>
        <w:t xml:space="preserve"> </w:t>
      </w:r>
      <w:r w:rsidRPr="009C79D5">
        <w:t>Diario de Cuba</w:t>
      </w:r>
      <w:r>
        <w:rPr>
          <w:rFonts w:ascii="Arial" w:hAnsi="Arial" w:cs="Tahoma"/>
          <w:color w:val="0000FF"/>
          <w:sz w:val="22"/>
          <w:szCs w:val="22"/>
        </w:rPr>
        <w:t xml:space="preserve"> </w:t>
      </w:r>
      <w:r>
        <w:rPr>
          <w:lang w:val="es-ES"/>
        </w:rPr>
        <w:t xml:space="preserve">| La Habana | 20 Jun. 2014. </w:t>
      </w:r>
      <w:r w:rsidRPr="00EB67FF">
        <w:rPr>
          <w:i/>
          <w:lang w:val="es-ES"/>
        </w:rPr>
        <w:t>Anuncio laboral que busca camareras de piel blanca desata polémica en La Habana</w:t>
      </w:r>
      <w:r>
        <w:rPr>
          <w:lang w:val="es-ES"/>
        </w:rPr>
        <w:t>.</w:t>
      </w:r>
      <w:r w:rsidRPr="002C758B">
        <w:rPr>
          <w:rStyle w:val="Ttulo1Car"/>
        </w:rPr>
        <w:t xml:space="preserve"> </w:t>
      </w:r>
      <w:r w:rsidRPr="009C79D5">
        <w:rPr>
          <w:lang w:val="es-ES"/>
        </w:rPr>
        <w:t xml:space="preserve">Disponible en:  </w:t>
      </w:r>
      <w:hyperlink r:id="rId1" w:history="1">
        <w:r w:rsidRPr="00782F7F">
          <w:rPr>
            <w:rStyle w:val="Hipervnculo"/>
            <w:lang w:val="es-ES"/>
          </w:rPr>
          <w:t>http://www.diariodecuba.com/cuba/1403287061_9151.html</w:t>
        </w:r>
      </w:hyperlink>
      <w:r>
        <w:rPr>
          <w:lang w:val="es-ES"/>
        </w:rPr>
        <w:t xml:space="preserve">. </w:t>
      </w:r>
      <w:r w:rsidRPr="002C758B">
        <w:rPr>
          <w:lang w:val="es-ES"/>
        </w:rPr>
        <w:t>Un anuncio laboral racista, publicado en una web de restaurantes privados, ha causado polémica en la Isla. “Las candidatas al puesto deben cumplir los siguientes requisitos: Mujer entre 20 y 30 años de edad, de piel blanca, buen cuerpo y figura, buena apariencia y educación", exigía la convocatoria, aparec</w:t>
      </w:r>
      <w:r>
        <w:rPr>
          <w:lang w:val="es-ES"/>
        </w:rPr>
        <w:t xml:space="preserve">ida en el boletín del sitio web </w:t>
      </w:r>
      <w:hyperlink r:id="rId2" w:tgtFrame="_blank" w:history="1">
        <w:r w:rsidRPr="002C758B">
          <w:rPr>
            <w:sz w:val="18"/>
            <w:szCs w:val="18"/>
            <w:lang w:val="es-ES"/>
          </w:rPr>
          <w:t>AlaMesa.com</w:t>
        </w:r>
      </w:hyperlink>
      <w:r w:rsidRPr="002C758B">
        <w:rPr>
          <w:sz w:val="18"/>
          <w:szCs w:val="18"/>
          <w:lang w:val="es-ES"/>
        </w:rPr>
        <w:t>.</w:t>
      </w:r>
      <w:r>
        <w:rPr>
          <w:sz w:val="18"/>
          <w:szCs w:val="18"/>
          <w:lang w:val="es-ES"/>
        </w:rPr>
        <w:t xml:space="preserve"> </w:t>
      </w:r>
      <w:r w:rsidRPr="002C758B">
        <w:rPr>
          <w:sz w:val="18"/>
          <w:szCs w:val="18"/>
          <w:lang w:val="es-ES"/>
        </w:rPr>
        <w:t>(http://www.alamesacuba.com/es/)</w:t>
      </w:r>
      <w:r>
        <w:rPr>
          <w:sz w:val="18"/>
          <w:szCs w:val="18"/>
          <w:lang w:val="es-ES"/>
        </w:rPr>
        <w:t>.</w:t>
      </w:r>
      <w:r w:rsidRPr="009C79D5">
        <w:t xml:space="preserve"> </w:t>
      </w:r>
    </w:p>
  </w:footnote>
  <w:footnote w:id="3">
    <w:p w14:paraId="47D6C2DB" w14:textId="2DD799C3" w:rsidR="00172411" w:rsidRDefault="00172411" w:rsidP="00EB67FF">
      <w:pPr>
        <w:pStyle w:val="Textonotapie"/>
        <w:spacing w:line="240" w:lineRule="atLeast"/>
        <w:ind w:firstLine="0"/>
        <w:rPr>
          <w:lang w:eastAsia="en-US"/>
        </w:rPr>
      </w:pPr>
      <w:r>
        <w:rPr>
          <w:rStyle w:val="Refdenotaalpie"/>
          <w:sz w:val="22"/>
          <w:szCs w:val="22"/>
        </w:rPr>
        <w:footnoteRef/>
      </w:r>
      <w:r>
        <w:rPr>
          <w:sz w:val="18"/>
          <w:szCs w:val="18"/>
        </w:rPr>
        <w:t xml:space="preserve"> </w:t>
      </w:r>
      <w:bookmarkStart w:id="6" w:name="OLE_LINK106"/>
      <w:bookmarkStart w:id="7" w:name="OLE_LINK105"/>
      <w:r>
        <w:t xml:space="preserve">Susana Gomes Bugallo (Diciembre 5, 2014) </w:t>
      </w:r>
      <w:r w:rsidRPr="00EB67FF">
        <w:rPr>
          <w:i/>
        </w:rPr>
        <w:t>Al Parlamento temas esenciales de la vida del país</w:t>
      </w:r>
      <w:r>
        <w:t>.  Diario Juventud Rebelde pág. 1. Edición impresa. Cuba.</w:t>
      </w:r>
      <w:bookmarkEnd w:id="6"/>
      <w:bookmarkEnd w:id="7"/>
    </w:p>
  </w:footnote>
  <w:footnote w:id="4">
    <w:p w14:paraId="14FE142B" w14:textId="77777777" w:rsidR="00172411" w:rsidRDefault="00172411" w:rsidP="00EB67FF">
      <w:pPr>
        <w:pStyle w:val="Textonotapie"/>
        <w:spacing w:line="240" w:lineRule="atLeast"/>
        <w:ind w:firstLine="0"/>
        <w:rPr>
          <w:rFonts w:ascii="Calibri" w:hAnsi="Calibri"/>
          <w:lang w:val="es-ES"/>
        </w:rPr>
      </w:pPr>
      <w:r>
        <w:rPr>
          <w:rStyle w:val="Refdenotaalpie"/>
        </w:rPr>
        <w:footnoteRef/>
      </w:r>
      <w:r>
        <w:t xml:space="preserve"> Margarita Barrios </w:t>
      </w:r>
      <w:bookmarkStart w:id="8" w:name="OLE_LINK108"/>
      <w:bookmarkStart w:id="9" w:name="OLE_LINK107"/>
      <w:r>
        <w:t xml:space="preserve">et al.  </w:t>
      </w:r>
      <w:bookmarkEnd w:id="8"/>
      <w:bookmarkEnd w:id="9"/>
      <w:r>
        <w:t xml:space="preserve">(Diciembre 20, 2017) </w:t>
      </w:r>
      <w:r w:rsidRPr="00EB67FF">
        <w:rPr>
          <w:i/>
        </w:rPr>
        <w:t>Radiografía a la realidad nacional</w:t>
      </w:r>
      <w:r>
        <w:t>.  Diario Juventud Rebelde pág. 4. Edición impresa. Cuba.</w:t>
      </w:r>
    </w:p>
  </w:footnote>
  <w:footnote w:id="5">
    <w:p w14:paraId="72586978" w14:textId="341D6B57" w:rsidR="00172411" w:rsidRPr="00805826" w:rsidRDefault="00172411" w:rsidP="00EB67FF">
      <w:pPr>
        <w:pStyle w:val="Textonotapie"/>
        <w:tabs>
          <w:tab w:val="left" w:pos="708"/>
        </w:tabs>
        <w:spacing w:line="240" w:lineRule="atLeast"/>
        <w:ind w:firstLine="0"/>
        <w:rPr>
          <w:sz w:val="18"/>
          <w:szCs w:val="18"/>
        </w:rPr>
      </w:pPr>
      <w:r>
        <w:rPr>
          <w:rStyle w:val="Refdenotaalpie"/>
        </w:rPr>
        <w:footnoteRef/>
      </w:r>
      <w:r>
        <w:t xml:space="preserve"> Comité de Derechos del Niño. </w:t>
      </w:r>
      <w:r>
        <w:rPr>
          <w:lang w:val="en-US"/>
        </w:rPr>
        <w:t xml:space="preserve">CRC/C/OPSC/CUB/CO/1. </w:t>
      </w:r>
      <w:r>
        <w:t xml:space="preserve">30 octubre, 2015. IV. Datos. Reunión de datos. </w:t>
      </w:r>
      <w:r w:rsidRPr="00805826">
        <w:rPr>
          <w:sz w:val="18"/>
          <w:szCs w:val="18"/>
        </w:rPr>
        <w:t>Párrafo 7 y 8</w:t>
      </w:r>
    </w:p>
  </w:footnote>
  <w:footnote w:id="6">
    <w:p w14:paraId="394DCE14" w14:textId="6EC8988B" w:rsidR="00172411" w:rsidRDefault="00172411" w:rsidP="00EB67FF">
      <w:pPr>
        <w:pStyle w:val="Textonotapie"/>
        <w:spacing w:line="240" w:lineRule="atLeast"/>
        <w:ind w:firstLine="0"/>
        <w:rPr>
          <w:lang w:val="es-MX"/>
        </w:rPr>
      </w:pPr>
      <w:r>
        <w:rPr>
          <w:rStyle w:val="Refdenotaalpie"/>
          <w:sz w:val="22"/>
          <w:szCs w:val="22"/>
        </w:rPr>
        <w:footnoteRef/>
      </w:r>
      <w:r>
        <w:rPr>
          <w:sz w:val="22"/>
          <w:szCs w:val="22"/>
        </w:rPr>
        <w:t xml:space="preserve"> </w:t>
      </w:r>
      <w:r>
        <w:t xml:space="preserve">Gobierno de Cuba, 2016. </w:t>
      </w:r>
      <w:r w:rsidRPr="003D0CBC">
        <w:t>CERD 19/21 CERD/C/CUB/19-21</w:t>
      </w:r>
      <w:r>
        <w:t xml:space="preserve"> Informe Gobierno Cuba- State party's report 2013. </w:t>
      </w:r>
      <w:bookmarkStart w:id="20" w:name="OLE_LINK329"/>
      <w:bookmarkStart w:id="21" w:name="OLE_LINK293"/>
      <w:bookmarkStart w:id="22" w:name="OLE_LINK292"/>
      <w:r>
        <w:t xml:space="preserve">Disponible: </w:t>
      </w:r>
      <w:bookmarkEnd w:id="20"/>
      <w:bookmarkEnd w:id="21"/>
      <w:bookmarkEnd w:id="22"/>
      <w:r w:rsidRPr="008E5826">
        <w:rPr>
          <w:sz w:val="18"/>
          <w:szCs w:val="18"/>
        </w:rPr>
        <w:fldChar w:fldCharType="begin"/>
      </w:r>
      <w:r w:rsidRPr="008E5826">
        <w:rPr>
          <w:sz w:val="18"/>
          <w:szCs w:val="18"/>
        </w:rPr>
        <w:instrText xml:space="preserve"> HYPERLINK "http://tbinternet.ohchr.org/_layouts/treatybodyexternal/Download.aspx?symbolno=CERD%2FC%2FCUB%2F19-21&amp;Lang=en" </w:instrText>
      </w:r>
      <w:r w:rsidRPr="008E5826">
        <w:rPr>
          <w:sz w:val="18"/>
          <w:szCs w:val="18"/>
        </w:rPr>
        <w:fldChar w:fldCharType="separate"/>
      </w:r>
      <w:r w:rsidRPr="008E5826">
        <w:rPr>
          <w:rStyle w:val="Hipervnculo"/>
          <w:sz w:val="18"/>
          <w:szCs w:val="18"/>
        </w:rPr>
        <w:t>http://tbinternet.ohchr.org/_layouts/treatybodyexternal/Download.aspx?symbolno=CERD%2FC%2FCUB%2F19-21&amp;Lang=en</w:t>
      </w:r>
      <w:r w:rsidRPr="008E5826">
        <w:rPr>
          <w:sz w:val="18"/>
          <w:szCs w:val="18"/>
        </w:rPr>
        <w:fldChar w:fldCharType="end"/>
      </w:r>
    </w:p>
  </w:footnote>
  <w:footnote w:id="7">
    <w:p w14:paraId="23D5C9FF" w14:textId="3129DBBE" w:rsidR="00172411" w:rsidRPr="00E245DD" w:rsidRDefault="00172411" w:rsidP="006D0F47">
      <w:pPr>
        <w:pStyle w:val="Textonotapie"/>
        <w:spacing w:line="240" w:lineRule="atLeast"/>
        <w:ind w:firstLine="0"/>
        <w:rPr>
          <w:lang w:val="es-MX"/>
        </w:rPr>
      </w:pPr>
      <w:r>
        <w:rPr>
          <w:rStyle w:val="Refdenotaalpie"/>
        </w:rPr>
        <w:footnoteRef/>
      </w:r>
      <w:r>
        <w:t xml:space="preserve"> ONU. Derechos Humanos, página de país: Cuba. GINEBRA (19 de julio de 2017) Experta de la ONU aplaude la solidaridad internacional de Cuba, pero pide progreso en DD HH. Disponible en:    </w:t>
      </w:r>
      <w:hyperlink r:id="rId3" w:history="1">
        <w:r w:rsidRPr="001224C8">
          <w:t>http://www.ohchr.org/SP/NewsEvents/Pages/DisplayNews.aspx?NewsID=21893&amp;LangID=S</w:t>
        </w:r>
      </w:hyperlink>
      <w:r>
        <w:t xml:space="preserve"> (…) La Sra. Dandan señaló que el propósito principal de su visita era ver como los derechos humanos se integran en las actividades de solidaridad internacional de Cuba(…)Al mismo tiempo, alentó a Cuba a considerar favorablemente la posibilidad de ratificar el Pacto Internacional de Derechos Civiles y Políticos, el Pacto Internacional de Derechos Económicos, Sociales y Culturales, así como sus protocolos facultativos”…</w:t>
      </w:r>
    </w:p>
  </w:footnote>
  <w:footnote w:id="8">
    <w:p w14:paraId="5BB2FBA0" w14:textId="446D790C" w:rsidR="00172411" w:rsidRPr="00797F40" w:rsidRDefault="00172411" w:rsidP="006D0F47">
      <w:pPr>
        <w:pStyle w:val="Textonotapie"/>
        <w:spacing w:line="240" w:lineRule="atLeast"/>
        <w:ind w:firstLine="0"/>
        <w:rPr>
          <w:lang w:eastAsia="en-US"/>
        </w:rPr>
      </w:pPr>
      <w:r>
        <w:rPr>
          <w:rStyle w:val="Refdenotaalpie"/>
        </w:rPr>
        <w:footnoteRef/>
      </w:r>
      <w:r w:rsidRPr="004D2928">
        <w:t xml:space="preserve">Asamblea Nacional del Poder Popular </w:t>
      </w:r>
      <w:r>
        <w:t>Código Civil. Ley Nº 59. (16 Julio 1987) Gaceta Oficial Extraordinaria (15 octubre 1987).Cuba ARTÍCULO 20. Si un acuerdo o un tratado internacional del que Cuba sea parte establece reglas diferentes a las expresadas en los artículos anteriores o no contenidos en ellos, se aplican las reglas de dicho acuerdo o tratado. ARTÍCULO 21. La ley extranjera no se aplica en la medida en que sus efectos sean contrarios a los principios del régimen político, social y económico de la República de Cuba.</w:t>
      </w:r>
    </w:p>
  </w:footnote>
  <w:footnote w:id="9">
    <w:p w14:paraId="7C6C15FE" w14:textId="77777777" w:rsidR="00172411" w:rsidRPr="00555EEE" w:rsidRDefault="00172411" w:rsidP="006D0F47">
      <w:pPr>
        <w:pStyle w:val="Textonotapie"/>
        <w:spacing w:line="240" w:lineRule="atLeast"/>
        <w:ind w:firstLine="0"/>
        <w:rPr>
          <w:rFonts w:ascii="Calibri" w:hAnsi="Calibri"/>
        </w:rPr>
      </w:pPr>
      <w:r>
        <w:rPr>
          <w:rStyle w:val="Refdenotaalpie"/>
          <w:sz w:val="22"/>
          <w:szCs w:val="22"/>
        </w:rPr>
        <w:footnoteRef/>
      </w:r>
      <w:r w:rsidRPr="004D2928">
        <w:t>Asamblea Nacional del Poder Popular</w:t>
      </w:r>
      <w:r>
        <w:t>. (31 de enero de 2003). Constitución de la República de 24 de febrero de 1976. Gaceta Oficial de la República (3), Extraordinaria, 7 Cuba. CAPITULO V. Artículo 40. Disponible en: http://www.gacetaoficial.cu/html/ constitución _de_la_republica.html. ARTÍCULO 40.-La niñez y la juventud disfrutan de particular protección por parte del Estado y la sociedad. La familia, la escuela, los órganos estatales y las organizaciones de masas y sociales tienen el deber de prestar especial atención a la formación integral de la niñez y la juventud.</w:t>
      </w:r>
    </w:p>
  </w:footnote>
  <w:footnote w:id="10">
    <w:p w14:paraId="5994AE8D" w14:textId="211BC42A" w:rsidR="00172411" w:rsidRDefault="00172411" w:rsidP="006D0F47">
      <w:pPr>
        <w:pStyle w:val="Textonotapie"/>
        <w:spacing w:line="240" w:lineRule="atLeast"/>
        <w:ind w:firstLine="0"/>
      </w:pPr>
      <w:r w:rsidRPr="00032641">
        <w:rPr>
          <w:rStyle w:val="Refdenotaalpie"/>
          <w:rFonts w:ascii="Calibri" w:hAnsi="Calibri" w:cs="Calibri"/>
          <w:sz w:val="22"/>
          <w:szCs w:val="22"/>
        </w:rPr>
        <w:footnoteRef/>
      </w:r>
      <w:r>
        <w:t>Tribunal Supremo Popular de la República de Cuba (2012) Instrucción No. 216. Gaceta Oficial República. (021). Ordinaria. (681). Cuba. Apartado SEGUNDO: En cualquier proceso que involucre a niños, niñas y adolescentes, los tribunales tendrán en cuenta el interés superior de los menores frente a otros intereses igualmente legítimos; para ello, ponderarán los intereses sociales e individuales, y velarán por el necesario equilibrio entre los derechos y garantías de los infantes y sus deberes.</w:t>
      </w:r>
    </w:p>
  </w:footnote>
  <w:footnote w:id="11">
    <w:p w14:paraId="11B48979" w14:textId="7159F851" w:rsidR="00172411" w:rsidRDefault="00172411" w:rsidP="006D0F47">
      <w:pPr>
        <w:pStyle w:val="Textonotapie"/>
        <w:spacing w:line="240" w:lineRule="atLeast"/>
        <w:ind w:firstLine="0"/>
      </w:pPr>
      <w:r w:rsidRPr="00EB26A0">
        <w:rPr>
          <w:rStyle w:val="Refdenotaalpie"/>
          <w:sz w:val="22"/>
          <w:szCs w:val="22"/>
        </w:rPr>
        <w:footnoteRef/>
      </w:r>
      <w:r>
        <w:t>Consejo de Estado (23 febrero 2011) Decreto-Ley No. 281/11. “DEL SISTEMA DE INFORMACION DEL GOBIERNO”. Gaceta Oficial No. 010 Extraordinaria. Pág. 33. DISPOSICIONES FINALES. TERCERA: Los ministerios de las Fuerzas Armadas Revolucionarias y del Interior adecuan, en lo que resulte necesario, la aplicación de las disposiciones establecidas en este Decreto-Ley en correspondencia con las particularidades de las funciones, misiones y características de dichos organismos.</w:t>
      </w:r>
    </w:p>
  </w:footnote>
  <w:footnote w:id="12">
    <w:p w14:paraId="560AA107" w14:textId="0390C061" w:rsidR="00172411" w:rsidRPr="00797F40" w:rsidRDefault="00172411" w:rsidP="00A836C7">
      <w:pPr>
        <w:pStyle w:val="Textonotapie"/>
        <w:spacing w:line="240" w:lineRule="atLeast"/>
        <w:ind w:firstLine="0"/>
      </w:pPr>
      <w:r w:rsidRPr="00EB26A0">
        <w:rPr>
          <w:rStyle w:val="Refdenotaalpie"/>
          <w:sz w:val="22"/>
          <w:szCs w:val="22"/>
        </w:rPr>
        <w:footnoteRef/>
      </w:r>
      <w:r w:rsidRPr="00EB26A0">
        <w:t>Redacción.</w:t>
      </w:r>
      <w:r>
        <w:t xml:space="preserve"> </w:t>
      </w:r>
      <w:r w:rsidRPr="00EA1F91">
        <w:rPr>
          <w:i/>
        </w:rPr>
        <w:t>¿Qué se resuelve en los tribunales?</w:t>
      </w:r>
      <w:r w:rsidRPr="00797F40">
        <w:t xml:space="preserve"> (2017) Diario</w:t>
      </w:r>
      <w:r>
        <w:t xml:space="preserve"> Juventud Rebelde pág. 14. Edición impresa. Cuba.</w:t>
      </w:r>
    </w:p>
    <w:p w14:paraId="70D05A9D" w14:textId="51A5933B" w:rsidR="00172411" w:rsidRPr="00797F40" w:rsidRDefault="00172411" w:rsidP="00A836C7">
      <w:pPr>
        <w:pStyle w:val="Textonotapie"/>
        <w:spacing w:line="240" w:lineRule="atLeast"/>
        <w:ind w:firstLine="0"/>
      </w:pPr>
      <w:r w:rsidRPr="00797F40">
        <w:t xml:space="preserve">Publicada una tabla </w:t>
      </w:r>
      <w:bookmarkStart w:id="25" w:name="OLE_LINK123"/>
      <w:bookmarkStart w:id="26" w:name="OLE_LINK122"/>
      <w:r w:rsidRPr="00797F40">
        <w:t xml:space="preserve">(abarca de enero a octubre 2017) </w:t>
      </w:r>
      <w:bookmarkEnd w:id="25"/>
      <w:bookmarkEnd w:id="26"/>
      <w:r w:rsidRPr="00797F40">
        <w:t xml:space="preserve">titulada: ¿Que se resuelve en los tribunales? Estadísticas 2017 sobre todas las materias llevadas a los tribunales de todas las instancias. Sobre Materias </w:t>
      </w:r>
      <w:bookmarkStart w:id="27" w:name="OLE_LINK116"/>
      <w:bookmarkStart w:id="28" w:name="OLE_LINK115"/>
      <w:r w:rsidRPr="00797F40">
        <w:t xml:space="preserve">Penal, Civil y Derecho de familia </w:t>
      </w:r>
      <w:bookmarkEnd w:id="27"/>
      <w:bookmarkEnd w:id="28"/>
      <w:r w:rsidRPr="00797F40">
        <w:t xml:space="preserve">se reportan cantidad de casos a resolver y % de asuntos resueltos en tribunales municipales y provinciales. </w:t>
      </w:r>
      <w:r w:rsidRPr="00EB26A0">
        <w:rPr>
          <w:i/>
        </w:rPr>
        <w:t>Comentario de ACDEI:</w:t>
      </w:r>
      <w:r>
        <w:rPr>
          <w:i/>
        </w:rPr>
        <w:t xml:space="preserve"> </w:t>
      </w:r>
      <w:r w:rsidRPr="00797F40">
        <w:t xml:space="preserve">La tabla omite los </w:t>
      </w:r>
      <w:r>
        <w:t>casos</w:t>
      </w:r>
      <w:r w:rsidRPr="00797F40">
        <w:t xml:space="preserve"> presentados al Tribunal Supremo en las materias anteriormente mencionadas (Penal, Civil y Derecho de familia).</w:t>
      </w:r>
    </w:p>
  </w:footnote>
  <w:footnote w:id="13">
    <w:p w14:paraId="1E31FEB7" w14:textId="22AEE64F" w:rsidR="00172411" w:rsidRDefault="00172411" w:rsidP="00EA1F91">
      <w:pPr>
        <w:pStyle w:val="Textonotapie"/>
        <w:spacing w:line="240" w:lineRule="atLeast"/>
        <w:ind w:firstLine="0"/>
      </w:pPr>
      <w:r>
        <w:rPr>
          <w:rStyle w:val="Refdenotaalpie"/>
        </w:rPr>
        <w:footnoteRef/>
      </w:r>
      <w:r>
        <w:t xml:space="preserve"> Asamblea Nacional Poder Popular</w:t>
      </w:r>
      <w:r>
        <w:rPr>
          <w:bCs/>
          <w:lang w:val="es-ES"/>
        </w:rPr>
        <w:t xml:space="preserve">. </w:t>
      </w:r>
      <w:r>
        <w:rPr>
          <w:lang w:val="es-ES"/>
        </w:rPr>
        <w:t xml:space="preserve">Constitución de la República de Cuba. </w:t>
      </w:r>
      <w:r>
        <w:t>Capitulo X. Órganos Superiores Del Poder Popular. Disponible en: http://www.gacetaoficial.cu/html/ constitución _de_la_republica.html. …</w:t>
      </w:r>
      <w:r>
        <w:rPr>
          <w:color w:val="101010"/>
          <w:lang w:eastAsia="es-MX"/>
        </w:rPr>
        <w:t>Las leyes, decretos-leyes, decretos y resoluciones, reglamentos y demás disposiciones generales de los órganos nacionales del Estado, se publican en la Gaceta Oficial de la República. (Artículo 77)</w:t>
      </w:r>
    </w:p>
  </w:footnote>
  <w:footnote w:id="14">
    <w:p w14:paraId="49F53C97" w14:textId="1403889B" w:rsidR="00172411" w:rsidRDefault="00172411" w:rsidP="00EA1F91">
      <w:pPr>
        <w:pStyle w:val="Textonotapie"/>
        <w:spacing w:line="276" w:lineRule="auto"/>
        <w:ind w:firstLine="0"/>
      </w:pPr>
      <w:r>
        <w:rPr>
          <w:rStyle w:val="Refdenotaalpie"/>
          <w:sz w:val="22"/>
          <w:szCs w:val="22"/>
        </w:rPr>
        <w:footnoteRef/>
      </w:r>
      <w:r>
        <w:rPr>
          <w:lang w:val="es-MX"/>
        </w:rPr>
        <w:t xml:space="preserve">El sitio web “Gaceta Oficial de la República de Cuba” para consultar la legislación es público.  Frecuentemente no puede ser visitado por diversos </w:t>
      </w:r>
      <w:r w:rsidRPr="00797F40">
        <w:rPr>
          <w:rStyle w:val="Refdenotaalpie"/>
          <w:vertAlign w:val="baseline"/>
          <w:lang w:val="es-MX"/>
        </w:rPr>
        <w:t xml:space="preserve">motivos </w:t>
      </w:r>
      <w:r>
        <w:rPr>
          <w:lang w:val="es-MX"/>
        </w:rPr>
        <w:t xml:space="preserve"> y lenta conexión. Igualmente sucede con otros sitios web de instituciones relacionadas con el marco legal cubano</w:t>
      </w:r>
      <w:r w:rsidRPr="00797F40">
        <w:rPr>
          <w:rFonts w:eastAsia="Times New Roman"/>
          <w:color w:val="333333"/>
          <w:lang w:val="es-MX" w:eastAsia="en-US"/>
        </w:rPr>
        <w:t xml:space="preserve">. </w:t>
      </w:r>
      <w:hyperlink r:id="rId4" w:tgtFrame="_blank" w:tooltip="Tribunal Supremo Popular" w:history="1">
        <w:r w:rsidRPr="00797F40">
          <w:rPr>
            <w:color w:val="333333"/>
            <w:lang w:eastAsia="en-US"/>
          </w:rPr>
          <w:t>Tribunal Supremo Popular</w:t>
        </w:r>
      </w:hyperlink>
      <w:r w:rsidRPr="00797F40">
        <w:rPr>
          <w:rFonts w:eastAsia="Times New Roman"/>
          <w:color w:val="333333"/>
          <w:lang w:val="es-MX" w:eastAsia="en-US"/>
        </w:rPr>
        <w:t>,</w:t>
      </w:r>
      <w:r>
        <w:rPr>
          <w:rFonts w:eastAsia="Times New Roman"/>
          <w:color w:val="333333"/>
          <w:lang w:val="es-MX" w:eastAsia="en-US"/>
        </w:rPr>
        <w:t xml:space="preserve"> Ministerio de Justicia, Contraloría General de la República, Facultades cubanas  de Derecho , Unión de Jurista de Cuba, Bufetes Colectivos (ONBC), etc.</w:t>
      </w:r>
    </w:p>
  </w:footnote>
  <w:footnote w:id="15">
    <w:p w14:paraId="59E60DC6" w14:textId="77777777" w:rsidR="00172411" w:rsidRDefault="00172411" w:rsidP="00D84F73">
      <w:pPr>
        <w:pStyle w:val="Textonotapie"/>
        <w:spacing w:line="240" w:lineRule="atLeast"/>
        <w:ind w:firstLine="0"/>
        <w:rPr>
          <w:color w:val="101010"/>
          <w:lang w:eastAsia="es-MX"/>
        </w:rPr>
      </w:pPr>
      <w:r w:rsidRPr="00032641">
        <w:rPr>
          <w:rStyle w:val="Refdenotaalpie"/>
          <w:rFonts w:ascii="Calibri" w:hAnsi="Calibri" w:cs="Calibri"/>
          <w:sz w:val="22"/>
          <w:szCs w:val="22"/>
        </w:rPr>
        <w:footnoteRef/>
      </w:r>
      <w:r>
        <w:rPr>
          <w:color w:val="101010"/>
          <w:lang w:eastAsia="es-MX"/>
        </w:rPr>
        <w:t>Método cualitativo de investigación sociológica que consiste en observar sistemáticamente a las personas no desde fuera, sino desde dentro; esto es, participando en la vida y las rutinas de esas personas a fin de obtener un conocimiento más íntimo de la vida social que se desarrolla en estos lugares.</w:t>
      </w:r>
    </w:p>
  </w:footnote>
  <w:footnote w:id="16">
    <w:p w14:paraId="4675DB6C" w14:textId="39BA41AD" w:rsidR="00172411" w:rsidRPr="00EA1F91" w:rsidRDefault="00172411" w:rsidP="00D84F73">
      <w:pPr>
        <w:pStyle w:val="Textonotapie"/>
        <w:spacing w:line="240" w:lineRule="atLeast"/>
        <w:ind w:firstLine="0"/>
        <w:rPr>
          <w:rFonts w:ascii="Calibri" w:hAnsi="Calibri"/>
          <w:i/>
          <w:lang w:eastAsia="en-US"/>
        </w:rPr>
      </w:pPr>
      <w:r w:rsidRPr="00032641">
        <w:rPr>
          <w:rStyle w:val="Refdenotaalpie"/>
          <w:rFonts w:ascii="Calibri" w:hAnsi="Calibri" w:cs="Calibri"/>
          <w:sz w:val="22"/>
          <w:szCs w:val="22"/>
        </w:rPr>
        <w:footnoteRef/>
      </w:r>
      <w:r w:rsidRPr="004D2928">
        <w:rPr>
          <w:color w:val="101010"/>
          <w:lang w:eastAsia="es-MX"/>
        </w:rPr>
        <w:t xml:space="preserve">Asamblea General ONU. A/RES/68/261. </w:t>
      </w:r>
      <w:r>
        <w:rPr>
          <w:color w:val="101010"/>
          <w:lang w:eastAsia="es-MX"/>
        </w:rPr>
        <w:t>M</w:t>
      </w:r>
      <w:r w:rsidRPr="004D2928">
        <w:rPr>
          <w:color w:val="101010"/>
          <w:lang w:eastAsia="es-MX"/>
        </w:rPr>
        <w:t xml:space="preserve">arzo 3, 2014. 68/261. </w:t>
      </w:r>
      <w:r w:rsidRPr="00EA1F91">
        <w:rPr>
          <w:i/>
          <w:color w:val="101010"/>
          <w:lang w:eastAsia="es-MX"/>
        </w:rPr>
        <w:t>Principios Fundamentales de las Estadísticas Oficiales.</w:t>
      </w:r>
    </w:p>
  </w:footnote>
  <w:footnote w:id="17">
    <w:p w14:paraId="326FAAE2" w14:textId="40D00699" w:rsidR="00172411" w:rsidRDefault="00172411" w:rsidP="00D84F73">
      <w:pPr>
        <w:pStyle w:val="Textonotapie"/>
        <w:spacing w:line="240" w:lineRule="atLeast"/>
        <w:ind w:firstLine="0"/>
        <w:rPr>
          <w:rFonts w:ascii="Calibri" w:hAnsi="Calibri"/>
          <w:lang w:eastAsia="en-US"/>
        </w:rPr>
      </w:pPr>
      <w:r>
        <w:rPr>
          <w:rStyle w:val="Refdenotaalpie"/>
        </w:rPr>
        <w:footnoteRef/>
      </w:r>
      <w:r>
        <w:t xml:space="preserve"> UNODC. Oficina de las Naciones Unidas contra la Droga y el Delito.2013. </w:t>
      </w:r>
      <w:r w:rsidRPr="00EA1F91">
        <w:rPr>
          <w:i/>
        </w:rPr>
        <w:t>Informe sobre Examen de Cuba. Examen por Brasil y Guatemala sobre la aplicación por parte de Cuba de los artículos 15 y 42 del Capítulo III.</w:t>
      </w:r>
      <w:r>
        <w:rPr>
          <w:i/>
        </w:rPr>
        <w:t xml:space="preserve"> </w:t>
      </w:r>
      <w:r w:rsidRPr="00EA1F91">
        <w:rPr>
          <w:i/>
        </w:rPr>
        <w:t>“Penalización y aplicación de la ley “</w:t>
      </w:r>
      <w:r>
        <w:t xml:space="preserve">y artículos 44-50 del Capítulo IV. “Cooperación Internacional" de la Convención de las Naciones Unidas contra la Corrupción para el ciclo de examen 2010-2015. Disponible en: </w:t>
      </w:r>
      <w:hyperlink r:id="rId5" w:history="1">
        <w:r>
          <w:rPr>
            <w:rStyle w:val="Hipervnculo"/>
          </w:rPr>
          <w:t>https://www.unodc.org/documents/.../2013_11_12_Cuba_Final_Country_Report.pdf</w:t>
        </w:r>
      </w:hyperlink>
      <w:r>
        <w:t xml:space="preserve"> Pag.3</w:t>
      </w:r>
    </w:p>
  </w:footnote>
  <w:footnote w:id="18">
    <w:p w14:paraId="00FB621E" w14:textId="10A670C5" w:rsidR="00172411" w:rsidRDefault="00172411" w:rsidP="006437A8">
      <w:pPr>
        <w:pStyle w:val="Textonotapie"/>
        <w:spacing w:line="240" w:lineRule="atLeast"/>
        <w:ind w:firstLine="0"/>
      </w:pPr>
      <w:r>
        <w:rPr>
          <w:sz w:val="22"/>
          <w:szCs w:val="22"/>
          <w:vertAlign w:val="superscript"/>
        </w:rPr>
        <w:footnoteRef/>
      </w:r>
      <w:r>
        <w:t>Asamblea Nacional .Código Civil. Ley Nº 59. (16 Julio 1987) Gaceta Oficial Extraordinaria (15 octubre 1987). Cuba</w:t>
      </w:r>
    </w:p>
    <w:p w14:paraId="46EFCD59" w14:textId="1E1899BD" w:rsidR="00172411" w:rsidRDefault="00172411" w:rsidP="006437A8">
      <w:pPr>
        <w:pStyle w:val="Textonotapie"/>
        <w:spacing w:line="240" w:lineRule="atLeast"/>
        <w:ind w:firstLine="0"/>
      </w:pPr>
      <w:r>
        <w:t>ARTÍCULO 20. Si un acuerdo o un tratado internacional del que Cuba sea parte establece reglas diferentes a las expresadas en los artículos anteriores o no contenidos en ellos, se aplican las reglas de dicho acuerdo o tratado.</w:t>
      </w:r>
    </w:p>
  </w:footnote>
  <w:footnote w:id="19">
    <w:p w14:paraId="0732504C" w14:textId="442A3AC9" w:rsidR="00172411" w:rsidRDefault="00172411" w:rsidP="006437A8">
      <w:pPr>
        <w:pStyle w:val="Textonotapie"/>
        <w:spacing w:line="240" w:lineRule="atLeast"/>
        <w:ind w:firstLine="0"/>
        <w:rPr>
          <w:lang w:eastAsia="en-US"/>
        </w:rPr>
      </w:pPr>
      <w:r>
        <w:rPr>
          <w:sz w:val="22"/>
          <w:szCs w:val="22"/>
          <w:vertAlign w:val="superscript"/>
        </w:rPr>
        <w:footnoteRef/>
      </w:r>
      <w:r>
        <w:t xml:space="preserve">  IDEM. Asamblea Nacional .Código Civil. Ley Nº 59. (16 Julio 1987) Gaceta Oficial Extraordinaria (15 octubre 1987).</w:t>
      </w:r>
      <w:r>
        <w:rPr>
          <w:lang w:eastAsia="en-US"/>
        </w:rPr>
        <w:t xml:space="preserve"> </w:t>
      </w:r>
      <w:r>
        <w:t xml:space="preserve">ARTÍCULO 21. La ley extranjera no </w:t>
      </w:r>
      <w:bookmarkStart w:id="33" w:name="OLE_LINK175"/>
      <w:bookmarkStart w:id="34" w:name="OLE_LINK174"/>
      <w:r>
        <w:t xml:space="preserve">se aplica </w:t>
      </w:r>
      <w:bookmarkEnd w:id="33"/>
      <w:bookmarkEnd w:id="34"/>
      <w:r>
        <w:t>en la medida en que sus efectos sean contrarios a los principios del régimen político, social y económico de la República de Cuba.</w:t>
      </w:r>
    </w:p>
  </w:footnote>
  <w:footnote w:id="20">
    <w:p w14:paraId="303F1867" w14:textId="77777777" w:rsidR="00172411" w:rsidRDefault="00172411" w:rsidP="006437A8">
      <w:pPr>
        <w:pStyle w:val="Textonotapie"/>
        <w:ind w:firstLine="0"/>
        <w:rPr>
          <w:sz w:val="18"/>
          <w:szCs w:val="18"/>
        </w:rPr>
      </w:pPr>
      <w:r>
        <w:rPr>
          <w:rStyle w:val="Refdenotaalpie"/>
          <w:sz w:val="18"/>
          <w:szCs w:val="18"/>
        </w:rPr>
        <w:footnoteRef/>
      </w:r>
      <w:r>
        <w:rPr>
          <w:sz w:val="18"/>
          <w:szCs w:val="18"/>
        </w:rPr>
        <w:t xml:space="preserve"> Consejo de Estado. (12 de marzo de 1999). Decreto Ley No. 191 de 8 marzo de 1999, ―De los tratados internacionales‖. Gaceta Oficial de la República (12), Ordinaria, 193. Cuba. Artículos 14.2, 17, 18, 20 y 21</w:t>
      </w:r>
    </w:p>
  </w:footnote>
  <w:footnote w:id="21">
    <w:p w14:paraId="7F97E202" w14:textId="414B0BF0" w:rsidR="00172411" w:rsidRDefault="00172411" w:rsidP="006437A8">
      <w:pPr>
        <w:pStyle w:val="Textonotapie"/>
        <w:ind w:firstLine="0"/>
        <w:rPr>
          <w:sz w:val="18"/>
          <w:szCs w:val="18"/>
        </w:rPr>
      </w:pPr>
      <w:r>
        <w:rPr>
          <w:rStyle w:val="Refdenotaalpie"/>
          <w:sz w:val="18"/>
          <w:szCs w:val="18"/>
        </w:rPr>
        <w:footnoteRef/>
      </w:r>
      <w:r>
        <w:rPr>
          <w:sz w:val="18"/>
          <w:szCs w:val="18"/>
        </w:rPr>
        <w:t>U.N. A/CONF.39/27 (1969), 1155 U.N.T.S. 331.Convención de Viena sobre el Derecho de los Tratados. (1980).</w:t>
      </w:r>
    </w:p>
    <w:p w14:paraId="00C66895" w14:textId="77777777" w:rsidR="00172411" w:rsidRDefault="00172411" w:rsidP="00857927">
      <w:pPr>
        <w:pStyle w:val="Textonotapie"/>
        <w:spacing w:line="240" w:lineRule="atLeast"/>
        <w:ind w:firstLine="0"/>
        <w:rPr>
          <w:sz w:val="18"/>
          <w:szCs w:val="18"/>
        </w:rPr>
      </w:pPr>
      <w:r>
        <w:rPr>
          <w:sz w:val="18"/>
          <w:szCs w:val="18"/>
        </w:rPr>
        <w:t>ARTICULO26. "Pacta sunt servanda". Todo tratado en vigor obliga a las partes y debe ser cumplido por ellas de buena fe.</w:t>
      </w:r>
    </w:p>
    <w:p w14:paraId="56A6C75D" w14:textId="77777777" w:rsidR="00172411" w:rsidRDefault="00172411" w:rsidP="00857927">
      <w:pPr>
        <w:pStyle w:val="Textonotapie"/>
        <w:spacing w:line="240" w:lineRule="atLeast"/>
        <w:ind w:firstLine="0"/>
        <w:rPr>
          <w:sz w:val="18"/>
          <w:szCs w:val="18"/>
        </w:rPr>
      </w:pPr>
      <w:r>
        <w:rPr>
          <w:sz w:val="18"/>
          <w:szCs w:val="18"/>
        </w:rPr>
        <w:t>ARTICULO 27. El derecho interno y la observancia de los tratados. Una parte no podrá invocar las disposiciones de su derecho interno como justificación del incumplimiento de un tratado. Esta norma se entenderá sin perjuicio de lo dispuesto en el artículo 46.</w:t>
      </w:r>
    </w:p>
  </w:footnote>
  <w:footnote w:id="22">
    <w:p w14:paraId="573B0D35" w14:textId="77777777" w:rsidR="00172411" w:rsidRDefault="00172411" w:rsidP="00857927">
      <w:pPr>
        <w:pStyle w:val="Textonotapie"/>
        <w:spacing w:line="240" w:lineRule="atLeast"/>
        <w:ind w:firstLine="0"/>
        <w:rPr>
          <w:rFonts w:ascii="Calibri" w:hAnsi="Calibri"/>
        </w:rPr>
      </w:pPr>
      <w:r>
        <w:rPr>
          <w:rStyle w:val="Refdenotaalpie"/>
        </w:rPr>
        <w:footnoteRef/>
      </w:r>
      <w:r>
        <w:t xml:space="preserve">  Carlos Justo Bruzón Viltres y Lianet B. Palacio Castillo (2013) </w:t>
      </w:r>
      <w:r w:rsidRPr="00EA1F91">
        <w:rPr>
          <w:i/>
        </w:rPr>
        <w:t>Tres presupuestos para el reconocimiento de los principios generales del Derecho como fuente del ordenamiento jurídico cubano</w:t>
      </w:r>
      <w:r>
        <w:t xml:space="preserve">. Revista Jurídica Piélagus, Vol. 12, N° 1, pp. 65-83- ISSN 1657-6799 – Enero – Diciembre de 2013 / 196 p. Neiva, Colombia. Pág. 1. Disponible: </w:t>
      </w:r>
      <w:hyperlink r:id="rId6" w:history="1">
        <w:r>
          <w:rPr>
            <w:rStyle w:val="Hipervnculo"/>
          </w:rPr>
          <w:t>http://journalusco.edu.co/index.php/Pielagus/article/view/131</w:t>
        </w:r>
      </w:hyperlink>
      <w:r>
        <w:t xml:space="preserve">     En el ordenamiento jurídico cubano no hay pronunciamiento normativo alguno acerca de la determinación de las fuentes del Derecho. Se considera, no obstante, como fuente principal al acto normativo, muy estrechamente vinculado a la concepción legalista del sistema jurídico cubano, visión profundamente permeada por la experiencia de los países del extinto campo socialista. </w:t>
      </w:r>
    </w:p>
  </w:footnote>
  <w:footnote w:id="23">
    <w:p w14:paraId="2C3F5082" w14:textId="0DD7502E" w:rsidR="00172411" w:rsidRPr="00137524" w:rsidRDefault="00172411" w:rsidP="00857927">
      <w:pPr>
        <w:pStyle w:val="Textonotapie"/>
        <w:spacing w:line="240" w:lineRule="atLeast"/>
        <w:ind w:firstLine="0"/>
      </w:pPr>
      <w:r>
        <w:rPr>
          <w:rStyle w:val="Refdenotaalpie"/>
        </w:rPr>
        <w:footnoteRef/>
      </w:r>
      <w:r>
        <w:t xml:space="preserve"> Leticia Martínez y Yaima Puig. Marzo 27, 2018. </w:t>
      </w:r>
      <w:r w:rsidRPr="00EA1F91">
        <w:rPr>
          <w:i/>
        </w:rPr>
        <w:t>Analizó V Pleno del CC del Partido importantes temas de la actualización del modelo económico y social cubano.</w:t>
      </w:r>
      <w:r>
        <w:t xml:space="preserve"> Juventud Rebelde. Especial. Pág. 3 Edición Impresa</w:t>
      </w:r>
    </w:p>
  </w:footnote>
  <w:footnote w:id="24">
    <w:p w14:paraId="0F768811" w14:textId="0DB8AA2A" w:rsidR="00172411" w:rsidRDefault="00172411" w:rsidP="00857927">
      <w:pPr>
        <w:pStyle w:val="Textonotapie"/>
        <w:spacing w:line="240" w:lineRule="atLeast"/>
        <w:ind w:firstLine="0"/>
        <w:rPr>
          <w:lang w:eastAsia="en-US"/>
        </w:rPr>
      </w:pPr>
      <w:r>
        <w:rPr>
          <w:rStyle w:val="Refdenotaalpie"/>
        </w:rPr>
        <w:footnoteRef/>
      </w:r>
      <w:r>
        <w:t xml:space="preserve"> Carlos Justo Bruzón Viltres, Iraida R. Tamayo Blanco (2012) </w:t>
      </w:r>
      <w:r w:rsidRPr="00EA1F91">
        <w:rPr>
          <w:i/>
        </w:rPr>
        <w:t>La Jurisprudencia En Cuba: Reconocimiento dentro del sistema de fuentes del derecho y posibles consecuencias.</w:t>
      </w:r>
      <w:r>
        <w:t xml:space="preserve"> Pag.2. en pdf  77v47n139a90369618001. Pdf . Boletín Mexicano de Derecho Comparado, nueva serie, año XLVII, núm. 139, enero-abril de 2014, pp. 251-283</w:t>
      </w:r>
      <w:r>
        <w:rPr>
          <w:b/>
          <w:color w:val="FF0000"/>
        </w:rPr>
        <w:t>.</w:t>
      </w:r>
      <w:r>
        <w:t xml:space="preserve"> Disponible: http://biblio.juridicas.unam.mx</w:t>
      </w:r>
    </w:p>
  </w:footnote>
  <w:footnote w:id="25">
    <w:p w14:paraId="514EB789" w14:textId="77777777" w:rsidR="00172411" w:rsidRDefault="00172411" w:rsidP="004E0E09">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Ibid. Pag.5.</w:t>
      </w:r>
      <w:r>
        <w:t xml:space="preserve"> </w:t>
      </w:r>
      <w:r>
        <w:rPr>
          <w:rFonts w:ascii="Times New Roman" w:hAnsi="Times New Roman"/>
          <w:sz w:val="20"/>
          <w:szCs w:val="20"/>
        </w:rPr>
        <w:t xml:space="preserve">Carlos Justo Bruzón Viltres, Iraida R. Tamayo Blanco (2012) </w:t>
      </w:r>
      <w:r w:rsidRPr="00EA1F91">
        <w:rPr>
          <w:rFonts w:ascii="Times New Roman" w:hAnsi="Times New Roman"/>
          <w:i/>
          <w:sz w:val="20"/>
          <w:szCs w:val="20"/>
        </w:rPr>
        <w:t>La Jurisprudencia En Cuba: Reconocimiento dentro del sistema de fuentes del derecho y posibles consecuencia</w:t>
      </w:r>
      <w:r>
        <w:rPr>
          <w:rFonts w:ascii="Times New Roman" w:hAnsi="Times New Roman"/>
          <w:sz w:val="20"/>
          <w:szCs w:val="20"/>
        </w:rPr>
        <w:t>s. Pag.5. En Cuba, la Constitución y el Código Civil3 no contienen ningún precepto que haga alusión expresa al sistema de fuentes del derecho, punto cardinal sobre el cual se asienta la construcción jurídica del país. Debe señalarse que, si bien no se hace explícitamente, se establece en la Constitución, en los artículos correspondientes a los órganos con facultades normativas y el tipo de norma que crean, el reconocimiento a la ley o acto normativo como única fuente del derecho en Cuba.</w:t>
      </w:r>
    </w:p>
  </w:footnote>
  <w:footnote w:id="26">
    <w:p w14:paraId="53E3E7EC" w14:textId="77777777" w:rsidR="00172411" w:rsidRDefault="00172411" w:rsidP="00857927">
      <w:pPr>
        <w:pStyle w:val="Textonotapie"/>
        <w:spacing w:line="240" w:lineRule="atLeast"/>
        <w:ind w:firstLine="0"/>
      </w:pPr>
      <w:r>
        <w:rPr>
          <w:rStyle w:val="Refdenotaalpie"/>
        </w:rPr>
        <w:footnoteRef/>
      </w:r>
      <w:r>
        <w:t xml:space="preserve"> Generalmente se insiste en la relación de las fuentes con el Código Civil, a partir del carácter supletorio que tiene éste respecto al resto del sistema jurídico, operando a modo de derecho común, como se establece en el artículo 8o. y la Disposición Final Primera del citado cuerpo normativo: “Las disposiciones de este Código son supletorias respecto a materias civiles u otras reguladas en leyes especiales”.</w:t>
      </w:r>
    </w:p>
  </w:footnote>
  <w:footnote w:id="27">
    <w:p w14:paraId="69452AD0" w14:textId="6591025F" w:rsidR="00172411" w:rsidRDefault="00172411" w:rsidP="00857927">
      <w:pPr>
        <w:pStyle w:val="Textonotapie"/>
        <w:spacing w:line="240" w:lineRule="atLeast"/>
        <w:ind w:firstLine="0"/>
      </w:pPr>
      <w:r>
        <w:rPr>
          <w:rStyle w:val="Refdenotaalpie"/>
        </w:rPr>
        <w:footnoteRef/>
      </w:r>
      <w:r>
        <w:t xml:space="preserve"> CED/C/CUB/1. Informe Inicial de la República de Cuba al Comité contra la Desaparición Forzada, CED. (24 de abril de 2015). II. Marco jurídico general por el que se prohíben las desapariciones forzadas. párrafo 44. Pág. 6. Disponible: </w:t>
      </w:r>
      <w:hyperlink r:id="rId7" w:history="1">
        <w:r>
          <w:rPr>
            <w:rStyle w:val="Hipervnculo"/>
          </w:rPr>
          <w:t>http://www.ohchr.org/Documents/HRBodies/CED/StatesReportsarticle29/Cuba.doc</w:t>
        </w:r>
      </w:hyperlink>
      <w:r>
        <w:t xml:space="preserve">. </w:t>
      </w:r>
      <w:r>
        <w:rPr>
          <w:lang w:val="es-ES"/>
        </w:rPr>
        <w:t xml:space="preserve"> </w:t>
      </w:r>
      <w:r>
        <w:t>44. Los tratados internacionales suscritos a nombre del Estado cubano o, de su Gobierno, también constituyen parte del ordenamiento jurídico del país. Cuba ha firmado y/o ratificado los principales instrumentos internacionales jurídicamente vinculantes en materia de derechos humanos. Es Estado parte en 43 instrumentos internacionales en materia de derechos humanos.</w:t>
      </w:r>
    </w:p>
  </w:footnote>
  <w:footnote w:id="28">
    <w:p w14:paraId="3006B6DD" w14:textId="77777777" w:rsidR="00172411" w:rsidRDefault="00172411" w:rsidP="004E0E09">
      <w:pPr>
        <w:pStyle w:val="Textonotapie"/>
        <w:spacing w:line="240" w:lineRule="atLeast"/>
        <w:ind w:firstLine="0"/>
      </w:pPr>
      <w:r>
        <w:rPr>
          <w:rStyle w:val="Refdenotaalpie"/>
        </w:rPr>
        <w:footnoteRef/>
      </w:r>
      <w:r>
        <w:t xml:space="preserve"> </w:t>
      </w:r>
      <w:r>
        <w:rPr>
          <w:rFonts w:eastAsia="Times New Roman"/>
          <w:lang w:eastAsia="es-MX"/>
        </w:rPr>
        <w:t xml:space="preserve">Las fuentes del derecho son un criterio de determinación del sistema jurídico de un país considerado según tenga preferencia por el derecho escrito, </w:t>
      </w:r>
      <w:r>
        <w:t xml:space="preserve">la </w:t>
      </w:r>
      <w:r>
        <w:rPr>
          <w:rFonts w:eastAsia="Times New Roman"/>
          <w:lang w:eastAsia="es-MX"/>
        </w:rPr>
        <w:t>jurisprudencia  u otra fu</w:t>
      </w:r>
      <w:r>
        <w:rPr>
          <w:b/>
        </w:rPr>
        <w:t>e</w:t>
      </w:r>
      <w:r>
        <w:rPr>
          <w:rFonts w:eastAsia="Times New Roman"/>
          <w:lang w:eastAsia="es-MX"/>
        </w:rPr>
        <w:t xml:space="preserve">nte. </w:t>
      </w:r>
      <w:r>
        <w:t>En los países con derecho escrito, las principales fuentes del derecho son textos como tratados internacionales, asambleas, leyes, reglamentos.</w:t>
      </w:r>
    </w:p>
  </w:footnote>
  <w:footnote w:id="29">
    <w:p w14:paraId="1491B945" w14:textId="5F5E8E66" w:rsidR="00172411" w:rsidRDefault="00172411" w:rsidP="00D84F73">
      <w:pPr>
        <w:pStyle w:val="Textonotapie"/>
        <w:spacing w:line="240" w:lineRule="atLeast"/>
        <w:ind w:firstLine="0"/>
      </w:pPr>
      <w:r>
        <w:rPr>
          <w:rStyle w:val="Refdenotaalpie"/>
        </w:rPr>
        <w:footnoteRef/>
      </w:r>
      <w:r>
        <w:t xml:space="preserve">Carlos Justo Bruzón Viltres, Iraida R. Tamayo Blanco (2012) </w:t>
      </w:r>
      <w:r w:rsidRPr="00EA1F91">
        <w:rPr>
          <w:i/>
        </w:rPr>
        <w:t>La Jurisprudencia En Cuba: Reconocimiento dentro del sistema de fuentes del derecho y posibles consecuencia</w:t>
      </w:r>
      <w:r>
        <w:t xml:space="preserve">s. </w:t>
      </w:r>
      <w:r>
        <w:rPr>
          <w:b/>
        </w:rPr>
        <w:t>Pag.26</w:t>
      </w:r>
      <w:r>
        <w:t xml:space="preserve"> en pdf  77v47n139a90369618001. Pdf. Boletín Mexicano de Derecho Comparado, nueva serie, año XLVII, núm. 139, enero-abril de 2014, pp. 251-283</w:t>
      </w:r>
      <w:r>
        <w:rPr>
          <w:b/>
        </w:rPr>
        <w:t xml:space="preserve">. </w:t>
      </w:r>
      <w:r>
        <w:t xml:space="preserve">Disponible: </w:t>
      </w:r>
      <w:hyperlink r:id="rId8" w:history="1">
        <w:r>
          <w:rPr>
            <w:rStyle w:val="Hipervnculo"/>
          </w:rPr>
          <w:t>http://biblio.juridicas.unam.mx</w:t>
        </w:r>
      </w:hyperlink>
      <w:r>
        <w:rPr>
          <w:color w:val="C00000"/>
        </w:rPr>
        <w:t xml:space="preserve">. </w:t>
      </w:r>
      <w:r>
        <w:t>En Cuba no existe una definición categórica de las vías por las cuales se origina el fenómeno jurídico, que es en esencia el concepto más general de la categoría fuente. Los principios generales del derecho tampoco son reconocidos como fuentes.</w:t>
      </w:r>
    </w:p>
  </w:footnote>
  <w:footnote w:id="30">
    <w:p w14:paraId="357D36C7" w14:textId="77777777" w:rsidR="00172411" w:rsidRDefault="00172411" w:rsidP="00D84F73">
      <w:pPr>
        <w:pStyle w:val="Textonotapie"/>
        <w:spacing w:line="240" w:lineRule="atLeast"/>
        <w:ind w:firstLine="0"/>
      </w:pPr>
      <w:r>
        <w:rPr>
          <w:rStyle w:val="Refdenotaalpie"/>
        </w:rPr>
        <w:footnoteRef/>
      </w:r>
      <w:r>
        <w:t xml:space="preserve"> Carlos Justo Bruzón Viltres y Lianet B. Palacio Castillo (2013) </w:t>
      </w:r>
      <w:r w:rsidRPr="004B48AC">
        <w:rPr>
          <w:i/>
        </w:rPr>
        <w:t>Tres presupuestos para el reconocimiento de los principios generales del Derecho como fuente del ordenamiento jurídico cubano.</w:t>
      </w:r>
      <w:r>
        <w:t xml:space="preserve"> Revista Jurídica Piélagus, Vol. 12, N° 1, pp. 65-83- ISSN 1657-6799 – Enero – Diciembre de 2013 / 196 p. Neiva, Colombia. Disponible: </w:t>
      </w:r>
      <w:hyperlink r:id="rId9" w:history="1">
        <w:r>
          <w:rPr>
            <w:rStyle w:val="Hipervnculo"/>
          </w:rPr>
          <w:t>http://journalusco.edu.co/index.php/Pielagus/article/view/131</w:t>
        </w:r>
      </w:hyperlink>
    </w:p>
  </w:footnote>
  <w:footnote w:id="31">
    <w:p w14:paraId="1FAB384D" w14:textId="64ED85F6" w:rsidR="00172411" w:rsidRPr="00CC3527" w:rsidRDefault="00172411" w:rsidP="004E0E09">
      <w:pPr>
        <w:spacing w:after="0" w:line="240" w:lineRule="atLeast"/>
        <w:rPr>
          <w:rFonts w:ascii="Times New Roman" w:hAnsi="Times New Roman"/>
          <w:sz w:val="20"/>
          <w:szCs w:val="20"/>
        </w:rPr>
      </w:pPr>
      <w:r w:rsidRPr="00CC3527">
        <w:rPr>
          <w:rFonts w:ascii="Times New Roman" w:hAnsi="Times New Roman"/>
          <w:sz w:val="20"/>
          <w:szCs w:val="20"/>
          <w:vertAlign w:val="superscript"/>
        </w:rPr>
        <w:footnoteRef/>
      </w:r>
      <w:r w:rsidRPr="00CC3527">
        <w:rPr>
          <w:rFonts w:ascii="Times New Roman" w:hAnsi="Times New Roman"/>
          <w:sz w:val="20"/>
          <w:szCs w:val="20"/>
          <w:vertAlign w:val="superscript"/>
        </w:rPr>
        <w:t xml:space="preserve">  </w:t>
      </w:r>
      <w:r w:rsidRPr="00CC3527">
        <w:rPr>
          <w:rFonts w:ascii="Times New Roman" w:hAnsi="Times New Roman"/>
          <w:sz w:val="20"/>
          <w:szCs w:val="20"/>
        </w:rPr>
        <w:t xml:space="preserve">Dra. Majela Ferrari Yaunner. </w:t>
      </w:r>
      <w:r w:rsidRPr="004B48AC">
        <w:rPr>
          <w:rFonts w:ascii="Times New Roman" w:hAnsi="Times New Roman"/>
          <w:i/>
          <w:sz w:val="20"/>
          <w:szCs w:val="20"/>
        </w:rPr>
        <w:t>La integración del Derecho ante las lagunas de la ley</w:t>
      </w:r>
      <w:r w:rsidRPr="00CC3527">
        <w:rPr>
          <w:rFonts w:ascii="Times New Roman" w:hAnsi="Times New Roman"/>
          <w:sz w:val="20"/>
          <w:szCs w:val="20"/>
        </w:rPr>
        <w:t xml:space="preserve">. Justicia y Derecho 13. Año 8, No. 15, diciembre de 2010. Disponible: </w:t>
      </w:r>
      <w:hyperlink r:id="rId10" w:history="1">
        <w:r w:rsidRPr="00CC3527">
          <w:rPr>
            <w:rFonts w:ascii="Times New Roman" w:hAnsi="Times New Roman"/>
            <w:sz w:val="20"/>
            <w:szCs w:val="20"/>
          </w:rPr>
          <w:t>http://www.tsp.cu/sites/default/files/15JusticiaDerecho.pdf</w:t>
        </w:r>
      </w:hyperlink>
      <w:r w:rsidRPr="00CC3527">
        <w:rPr>
          <w:rFonts w:ascii="Times New Roman" w:hAnsi="Times New Roman"/>
          <w:sz w:val="20"/>
          <w:szCs w:val="20"/>
        </w:rPr>
        <w:t xml:space="preserve">  Pag.14 </w:t>
      </w:r>
    </w:p>
  </w:footnote>
  <w:footnote w:id="32">
    <w:p w14:paraId="069BAACF" w14:textId="5B9076CB" w:rsidR="00172411" w:rsidRPr="00CC3527" w:rsidRDefault="00172411" w:rsidP="00D84F73">
      <w:pPr>
        <w:pStyle w:val="Textonotapie"/>
        <w:spacing w:line="240" w:lineRule="atLeast"/>
        <w:ind w:firstLine="0"/>
      </w:pPr>
      <w:r w:rsidRPr="00CC3527">
        <w:rPr>
          <w:rStyle w:val="Refdenotaalpie"/>
        </w:rPr>
        <w:footnoteRef/>
      </w:r>
      <w:r w:rsidRPr="00CC3527">
        <w:t xml:space="preserve"> </w:t>
      </w:r>
      <w:bookmarkStart w:id="35" w:name="OLE_LINK313"/>
      <w:bookmarkStart w:id="36" w:name="OLE_LINK312"/>
      <w:r w:rsidRPr="00CC3527">
        <w:t xml:space="preserve">Gobierno Cuba, 2016. CERD/C/CUB/19-21 </w:t>
      </w:r>
      <w:r w:rsidRPr="004B48AC">
        <w:rPr>
          <w:i/>
        </w:rPr>
        <w:t>Informe Gobierno Cuba- State party's report 2013</w:t>
      </w:r>
      <w:r w:rsidRPr="00CC3527">
        <w:t xml:space="preserve">. Disponible: </w:t>
      </w:r>
      <w:hyperlink r:id="rId11" w:history="1">
        <w:r w:rsidRPr="00CC3527">
          <w:rPr>
            <w:rStyle w:val="Hipervnculo"/>
          </w:rPr>
          <w:t>http://tbinternet.ohchr.org/_layouts/treatybodyexternal/Download.aspx?symbolno=CERD%2FC%2FCUB%2F19-21&amp;Lang=en</w:t>
        </w:r>
      </w:hyperlink>
      <w:bookmarkEnd w:id="35"/>
      <w:bookmarkEnd w:id="36"/>
      <w:r w:rsidRPr="00CC3527">
        <w:t xml:space="preserve">     Pag.</w:t>
      </w:r>
      <w:bookmarkStart w:id="37" w:name="OLE_LINK311"/>
      <w:bookmarkStart w:id="38" w:name="OLE_LINK308"/>
      <w:r w:rsidRPr="00CC3527">
        <w:t xml:space="preserve">2     </w:t>
      </w:r>
      <w:bookmarkEnd w:id="37"/>
      <w:bookmarkEnd w:id="38"/>
      <w:r w:rsidRPr="00CC3527">
        <w:t xml:space="preserve">párrafos 7, 8, 9,10. </w:t>
      </w:r>
    </w:p>
  </w:footnote>
  <w:footnote w:id="33">
    <w:p w14:paraId="291EC779" w14:textId="77777777" w:rsidR="00172411" w:rsidRDefault="00172411" w:rsidP="00D84F73">
      <w:pPr>
        <w:pStyle w:val="Textonotapie"/>
        <w:spacing w:line="276" w:lineRule="auto"/>
        <w:ind w:firstLine="0"/>
        <w:rPr>
          <w:lang w:val="es-MX" w:eastAsia="en-US"/>
        </w:rPr>
      </w:pPr>
      <w:r>
        <w:rPr>
          <w:rStyle w:val="Refdenotaalpie"/>
        </w:rPr>
        <w:footnoteRef/>
      </w:r>
      <w:r>
        <w:t xml:space="preserve"> UNODC. Oficina de las Naciones Unidas contra la Droga y el Delito.2013. Informe sobre Examen de Cuba. Examen por Brasil y Guatemala sobre la aplicación por parte de Cuba de los artículos 15 y 42 del Capítulo III. “Penalización y  aplicación de la ley “ y artículos 44-50 del Capítulo IV. “Cooperación Internacional" de la Convención de las Naciones Unidas contra la Corrupción para el ciclo de examen 2010-2015. Disponible en: </w:t>
      </w:r>
      <w:hyperlink r:id="rId12" w:history="1">
        <w:r>
          <w:rPr>
            <w:rStyle w:val="Hipervnculo"/>
          </w:rPr>
          <w:t>https://www.unodc.org/documents/.../2013_11_12_Cuba_Final_Country_Report.pdf</w:t>
        </w:r>
      </w:hyperlink>
      <w:r>
        <w:t xml:space="preserve"> pag.5</w:t>
      </w:r>
    </w:p>
  </w:footnote>
  <w:footnote w:id="34">
    <w:p w14:paraId="1CD73C75" w14:textId="77777777" w:rsidR="00172411" w:rsidRDefault="00172411" w:rsidP="00D84F73">
      <w:pPr>
        <w:pStyle w:val="Textonotapie"/>
        <w:spacing w:line="276" w:lineRule="auto"/>
        <w:ind w:firstLine="0"/>
      </w:pPr>
      <w:r>
        <w:rPr>
          <w:rStyle w:val="Refdenotaalpie"/>
        </w:rPr>
        <w:footnoteRef/>
      </w:r>
      <w:r>
        <w:t xml:space="preserve"> Protección infancia (01 Marzo de 2009) </w:t>
      </w:r>
      <w:r>
        <w:rPr>
          <w:i/>
        </w:rPr>
        <w:t>100 Reglas de Brasilia sobre Acceso a la Justicia de las Personas en Condición de Vulnerabilidad</w:t>
      </w:r>
      <w:r>
        <w:t>. Disponible: http://www.proteccioninfancia.org.ar/sites/default/files/documentos/reglasdebrasilia.pdf</w:t>
      </w:r>
    </w:p>
  </w:footnote>
  <w:footnote w:id="35">
    <w:p w14:paraId="1DFEB19C" w14:textId="77777777" w:rsidR="00172411" w:rsidRDefault="00172411" w:rsidP="00D16FBE">
      <w:pPr>
        <w:pStyle w:val="Textonotapie"/>
        <w:spacing w:line="240" w:lineRule="atLeast"/>
        <w:ind w:firstLine="0"/>
        <w:rPr>
          <w:b/>
        </w:rPr>
      </w:pPr>
      <w:r>
        <w:rPr>
          <w:rStyle w:val="Refdenotaalpie"/>
          <w:rFonts w:ascii="Calibri" w:hAnsi="Calibri" w:cs="Calibri"/>
        </w:rPr>
        <w:footnoteRef/>
      </w:r>
      <w:r>
        <w:t xml:space="preserve"> Ley No.62 de Diciembre de 1987, Código Penal con sus dos últimas modificaciones: Decreto Ley No.175 de 17 de Junio de 1997 y Ley 87 de 16 de Febrero de 1999. Cuba. ARTICULO 16. 1. (Modificado) La responsabilidad penal es exigible a las personas naturales y a las personas jurídicas. 3. Las personas jurídicas son penalmente responsables por los delitos previstos en este Código o en leyes especiales, cometidos dentro de la propia esfera de acción de dichas personas jurídicas, cuando sean perpetrados por su representación o por acuerdo de sus asociados, sin perjuicio de la responsabilidad penal individual en que hayan incurrido los autores o cómplices en el hecho punible.</w:t>
      </w:r>
      <w:r>
        <w:rPr>
          <w:b/>
        </w:rPr>
        <w:t>4. A los efectos de este Código, le es exigible responsabilidad penal a las personas jurídicas cuando se trate de las cooperativas, las sociedades y asociaciones constituidas de conformidad con los requisitos establecidos en las leyes, las fundaciones, las empresas no estatales autorizadas para realizar sus actividades, así como las demás entidades no estatales a las que la ley confiere personalidad jurídica.</w:t>
      </w:r>
      <w:r>
        <w:t xml:space="preserve"> ( Resaltado de </w:t>
      </w:r>
      <w:r>
        <w:rPr>
          <w:rFonts w:ascii="Arial" w:hAnsi="Arial" w:cs="Arial"/>
        </w:rPr>
        <w:t>ACDEI</w:t>
      </w:r>
      <w:r>
        <w:t>)</w:t>
      </w:r>
    </w:p>
  </w:footnote>
  <w:footnote w:id="36">
    <w:p w14:paraId="1A1FCFB6" w14:textId="77777777" w:rsidR="00172411" w:rsidRDefault="00172411" w:rsidP="004E0E09">
      <w:pPr>
        <w:pStyle w:val="Textonotapie"/>
        <w:spacing w:line="240" w:lineRule="atLeast"/>
        <w:ind w:firstLine="0"/>
        <w:rPr>
          <w:lang w:val="es-ES"/>
        </w:rPr>
      </w:pPr>
      <w:r>
        <w:rPr>
          <w:rStyle w:val="Refdenotaalpie"/>
        </w:rPr>
        <w:footnoteRef/>
      </w:r>
      <w:r>
        <w:t xml:space="preserve">  Andrés Díaz Gómez (2011) </w:t>
      </w:r>
      <w:r>
        <w:rPr>
          <w:i/>
        </w:rPr>
        <w:t>El Delito Informático, su Problemática y la Cooperación Internacional</w:t>
      </w:r>
      <w:r>
        <w:t xml:space="preserve">… Pág. 13. Universidad La Rioja, España. Disponible en: http://new.pensamientopenal.com.ar/sites/default/files/2011/08/budapest.pdf  En el Derecho español, está claramente determinado el artículo 31 Código Penal. Nada dice el Código Penal argentino, tan sólo algunos preceptos dispersos se refieren vagamente a la responsabilidad penal de las personas jurídicas; el desarrollo de esta teoría ha tenido pues lugar por vía doctrinal y jurisprudencial. Hoy en día no parece discutirse: penalistas como Jiménez de Asúa, Zaffaroni y Soler reiteran que «sólo el hombre es capaz de cometer delitos». Por tanto, de un modo u otro, ambos sistemas asienten la irresponsabilidad penal de las personas jurídicas, y la consiguiente responsabilidad de las personas físicas que obren en representación. </w:t>
      </w:r>
    </w:p>
  </w:footnote>
  <w:footnote w:id="37">
    <w:p w14:paraId="2E35C55F" w14:textId="77777777" w:rsidR="00172411" w:rsidRDefault="00172411" w:rsidP="000527F0">
      <w:pPr>
        <w:pStyle w:val="Textonotapie"/>
        <w:spacing w:line="276" w:lineRule="auto"/>
        <w:ind w:firstLine="0"/>
        <w:rPr>
          <w:lang w:val="es-ES"/>
        </w:rPr>
      </w:pPr>
      <w:r>
        <w:rPr>
          <w:rStyle w:val="Refdenotaalpie"/>
        </w:rPr>
        <w:footnoteRef/>
      </w:r>
      <w:r>
        <w:t xml:space="preserve"> Asamblea Nacional Poder Popular. (30 de diciembre de 1987). Ley No. 62 de 29 de diciembre de 1987 "Código Penal". Cuba. (Modificado).ARTICULO 25. 1. Está exento de responsabilidad penal el que causa un daño al obrar en cumplimiento de un deber o en el ejercicio legítimo de su derecho, profesión, cargo u oficio o en virtud de obediencia debida. 2. Se entiende por obediencia debida la que viene impuesta por la ley al agente, siempre que el hecho realizado se encuentre entre las facultades del que lo ordena y su ejecución dentro de las obligaciones del que lo ha efectuado. 3. </w:t>
      </w:r>
      <w:r>
        <w:rPr>
          <w:b/>
        </w:rPr>
        <w:t>En caso de exceso en los límites de la obediencia al afrontar alguna de las situaciones anteriores, el tribunal puede aplicar la atenuación extraordinaria de la sanción</w:t>
      </w:r>
      <w:r>
        <w:t xml:space="preserve">. (Resaltado de </w:t>
      </w:r>
      <w:r>
        <w:rPr>
          <w:rFonts w:ascii="Arial" w:hAnsi="Arial" w:cs="Arial"/>
        </w:rPr>
        <w:t>ACDEI</w:t>
      </w:r>
      <w:r>
        <w:t>)</w:t>
      </w:r>
    </w:p>
  </w:footnote>
  <w:footnote w:id="38">
    <w:p w14:paraId="5FE19238" w14:textId="517CFAC6" w:rsidR="00172411" w:rsidRDefault="00172411" w:rsidP="000527F0">
      <w:pPr>
        <w:pStyle w:val="Textonotapie"/>
        <w:spacing w:line="240" w:lineRule="atLeast"/>
        <w:ind w:firstLine="0"/>
        <w:rPr>
          <w:lang w:val="es-ES" w:eastAsia="en-US"/>
        </w:rPr>
      </w:pPr>
      <w:r>
        <w:rPr>
          <w:rStyle w:val="Refdenotaalpie"/>
          <w:lang w:val="es-ES"/>
        </w:rPr>
        <w:footnoteRef/>
      </w:r>
      <w:r>
        <w:t>Asamblea Nacional Poder Popular</w:t>
      </w:r>
      <w:r>
        <w:rPr>
          <w:bCs/>
          <w:lang w:val="es-ES"/>
        </w:rPr>
        <w:t xml:space="preserve">. </w:t>
      </w:r>
      <w:r>
        <w:rPr>
          <w:lang w:val="es-ES"/>
        </w:rPr>
        <w:t xml:space="preserve">Constitución de la República de Cuba. </w:t>
      </w:r>
      <w:r>
        <w:rPr>
          <w:bCs/>
          <w:lang w:val="es-ES"/>
        </w:rPr>
        <w:t xml:space="preserve">Artículos 3 y 69. </w:t>
      </w:r>
      <w:r>
        <w:rPr>
          <w:lang w:val="es-ES"/>
        </w:rPr>
        <w:t xml:space="preserve">La Constitución cubana no se interpreta. Su </w:t>
      </w:r>
      <w:r>
        <w:rPr>
          <w:bCs/>
          <w:lang w:val="es-ES"/>
        </w:rPr>
        <w:t xml:space="preserve">eficacia depende de la promulgación de leyes emitidas por la Asamblea Nacional, que amplíen su contenido. </w:t>
      </w:r>
    </w:p>
  </w:footnote>
  <w:footnote w:id="39">
    <w:p w14:paraId="4E2F1955" w14:textId="77777777" w:rsidR="00172411" w:rsidRDefault="00172411" w:rsidP="001B02B4">
      <w:pPr>
        <w:pStyle w:val="Textonotapie"/>
        <w:spacing w:line="240" w:lineRule="atLeast"/>
        <w:ind w:firstLine="0"/>
        <w:rPr>
          <w:lang w:val="es-MX"/>
        </w:rPr>
      </w:pPr>
      <w:r>
        <w:rPr>
          <w:rStyle w:val="Refdenotaalpie"/>
          <w:rFonts w:ascii="Calibri" w:hAnsi="Calibri" w:cs="Calibri"/>
          <w:sz w:val="22"/>
          <w:szCs w:val="22"/>
        </w:rPr>
        <w:footnoteRef/>
      </w:r>
      <w:r>
        <w:t>Ibíd. ARTÍCULO 62.-Ninguna de las libertades reconocidas a los ciudadanos puede ser ejercida contra lo establecido en la Constitución y las leyes, ni contra la existencia y fines del Estado socialista, ni contra la decisión del pueblo cubano de construir el socialismo y el comunismo. La infracción de este principio es punible.</w:t>
      </w:r>
    </w:p>
  </w:footnote>
  <w:footnote w:id="40">
    <w:p w14:paraId="7FEBB23C" w14:textId="43604EA5" w:rsidR="00172411" w:rsidRDefault="00172411" w:rsidP="001B02B4">
      <w:pPr>
        <w:pStyle w:val="Textonotapie"/>
        <w:spacing w:line="240" w:lineRule="atLeast"/>
        <w:ind w:firstLine="0"/>
      </w:pPr>
      <w:r>
        <w:rPr>
          <w:rStyle w:val="Refdenotaalpie"/>
          <w:rFonts w:ascii="Calibri" w:hAnsi="Calibri" w:cs="Calibri"/>
          <w:sz w:val="22"/>
          <w:szCs w:val="22"/>
        </w:rPr>
        <w:footnoteRef/>
      </w:r>
      <w:r>
        <w:t>Comité contra la Desaparición Forzada. 2017.  CED CO 2017 Cuba párrafos 22 y 32.Disponible en:  http://tbinternet.ohchr.org/Treaties/CED/Shared %20Documents/CUB/CED_C_CUB_CO_1_26924_S.pdf</w:t>
      </w:r>
    </w:p>
  </w:footnote>
  <w:footnote w:id="41">
    <w:p w14:paraId="10219844" w14:textId="1C297800" w:rsidR="00172411" w:rsidRDefault="00172411" w:rsidP="001B02B4">
      <w:pPr>
        <w:pStyle w:val="TextBody"/>
        <w:tabs>
          <w:tab w:val="left" w:pos="0"/>
        </w:tabs>
        <w:spacing w:after="0" w:line="240" w:lineRule="atLeast"/>
        <w:rPr>
          <w:rFonts w:ascii="Times New Roman" w:hAnsi="Times New Roman" w:cs="Tahoma"/>
          <w:sz w:val="20"/>
          <w:szCs w:val="20"/>
          <w:lang w:eastAsia="ja-JP"/>
        </w:rPr>
      </w:pPr>
      <w:r>
        <w:rPr>
          <w:rStyle w:val="Refdenotaalpie"/>
        </w:rPr>
        <w:footnoteRef/>
      </w:r>
      <w:r>
        <w:rPr>
          <w:rFonts w:ascii="Times New Roman" w:hAnsi="Times New Roman"/>
          <w:sz w:val="20"/>
          <w:szCs w:val="20"/>
        </w:rPr>
        <w:t xml:space="preserve">Comisión Interamericana de Derechos Humanos. OEA (OAS). </w:t>
      </w:r>
      <w:r w:rsidRPr="004B48AC">
        <w:rPr>
          <w:rFonts w:ascii="Times New Roman" w:hAnsi="Times New Roman"/>
          <w:i/>
          <w:sz w:val="20"/>
          <w:szCs w:val="20"/>
        </w:rPr>
        <w:t>CAPÍTULO VII. Recomendaciones de la Comisión Interamericana de Derechos Humanos.</w:t>
      </w:r>
      <w:r>
        <w:rPr>
          <w:rFonts w:ascii="Times New Roman" w:hAnsi="Times New Roman"/>
          <w:sz w:val="20"/>
          <w:szCs w:val="20"/>
        </w:rPr>
        <w:t xml:space="preserve">3. La Comisión recomienda a los Estados miembros que delimiten el papel de las Fuerzas Armadas y de seguridad en </w:t>
      </w:r>
      <w:r>
        <w:rPr>
          <w:rFonts w:ascii="Times New Roman" w:hAnsi="Times New Roman" w:cs="Tahoma"/>
          <w:sz w:val="20"/>
          <w:szCs w:val="20"/>
          <w:lang w:eastAsia="ja-JP"/>
        </w:rPr>
        <w:t xml:space="preserve">el contexto del Estado de Derecho. Disponible:  </w:t>
      </w:r>
      <w:hyperlink r:id="rId13" w:history="1">
        <w:r w:rsidRPr="00567374">
          <w:rPr>
            <w:rStyle w:val="Hipervnculo"/>
            <w:rFonts w:ascii="Times New Roman" w:hAnsi="Times New Roman" w:cs="Times New Roman"/>
            <w:color w:val="00000A"/>
            <w:sz w:val="20"/>
            <w:szCs w:val="20"/>
            <w:lang w:eastAsia="ja-JP"/>
          </w:rPr>
          <w:t>https://www.cidh.oas.org/annualrep/98span/Capitulo%207.htm</w:t>
        </w:r>
      </w:hyperlink>
    </w:p>
  </w:footnote>
  <w:footnote w:id="42">
    <w:p w14:paraId="5F6B2211" w14:textId="77777777" w:rsidR="00172411" w:rsidRDefault="00172411" w:rsidP="00CC30AD">
      <w:pPr>
        <w:pStyle w:val="Textonotapie"/>
        <w:spacing w:line="240" w:lineRule="atLeast"/>
        <w:ind w:firstLine="0"/>
      </w:pPr>
      <w:r>
        <w:rPr>
          <w:rStyle w:val="Refdenotaalpie"/>
        </w:rPr>
        <w:footnoteRef/>
      </w:r>
      <w:r>
        <w:t xml:space="preserve"> Estado de Ratificaciones de la Convención Internacional Sobre La Eliminación De Todas Las Formas De Discriminación Racial En América Latina Y El Caribe. Estado parte CUBA. Fecha de entrada en vigor para el Estado Parte, 16 marzo 1972.</w:t>
      </w:r>
    </w:p>
  </w:footnote>
  <w:footnote w:id="43">
    <w:p w14:paraId="5353C528" w14:textId="77777777" w:rsidR="00172411" w:rsidRDefault="00172411" w:rsidP="00CC30AD">
      <w:pPr>
        <w:pStyle w:val="Textonotapie"/>
        <w:spacing w:line="240" w:lineRule="atLeast"/>
        <w:ind w:firstLine="0"/>
        <w:rPr>
          <w:lang w:eastAsia="en-US"/>
        </w:rPr>
      </w:pPr>
      <w:r>
        <w:rPr>
          <w:vertAlign w:val="superscript"/>
        </w:rPr>
        <w:footnoteRef/>
      </w:r>
      <w:r>
        <w:rPr>
          <w:vertAlign w:val="superscript"/>
        </w:rPr>
        <w:t xml:space="preserve"> </w:t>
      </w:r>
      <w:bookmarkStart w:id="43" w:name="OLE_LINK34"/>
      <w:r>
        <w:t xml:space="preserve">Convención ICERD. CERD/C/304/Add.60, 10 de febrero de 1999. Párrafo 12. Continúa aplazada la </w:t>
      </w:r>
      <w:bookmarkEnd w:id="43"/>
      <w:r>
        <w:t>respuesta a la invitación (1999)  del Comité CERD al Estado Parte para que se difundan la Convención, el informe periódico y las observaciones finales, a fin de que el poder judicial, los abogados, los órganos oficiales pertinentes y los ciudadanos en general tengan pleno conocimiento de las disposiciones y las posibilidades de la …</w:t>
      </w:r>
    </w:p>
  </w:footnote>
  <w:footnote w:id="44">
    <w:p w14:paraId="002B514E" w14:textId="0E719E29" w:rsidR="00172411" w:rsidRDefault="00172411" w:rsidP="00CC30AD">
      <w:pPr>
        <w:pStyle w:val="Textonotapie"/>
        <w:spacing w:line="240" w:lineRule="atLeast"/>
        <w:ind w:firstLine="0"/>
      </w:pPr>
      <w:r>
        <w:rPr>
          <w:rStyle w:val="Refdenotaalpie"/>
        </w:rPr>
        <w:footnoteRef/>
      </w:r>
      <w:r>
        <w:t xml:space="preserve"> Comité para la Eliminación de la Discriminación Racial. 1977. Informe sobre el trigésimo segundo período de sesiones. Suplemento No.18 (A/32/18), 1977. Párrafo 312 .Varios miembros apoyaron una propuesta de que, con el consentimiento del representante del Estado informante, se reclasificara el informe que se estaba examinando como documento de distribución general.</w:t>
      </w:r>
    </w:p>
  </w:footnote>
  <w:footnote w:id="45">
    <w:p w14:paraId="18DACAD2" w14:textId="37CD4869" w:rsidR="00172411" w:rsidRDefault="00172411" w:rsidP="00CC30AD">
      <w:pPr>
        <w:pStyle w:val="Textonotapie"/>
        <w:spacing w:line="240" w:lineRule="atLeast"/>
        <w:ind w:firstLine="0"/>
      </w:pPr>
      <w:r>
        <w:rPr>
          <w:rStyle w:val="Refdenotaalpie"/>
        </w:rPr>
        <w:footnoteRef/>
      </w:r>
      <w:r>
        <w:t xml:space="preserve"> </w:t>
      </w:r>
      <w:r>
        <w:rPr>
          <w:noProof/>
        </w:rPr>
        <w:t xml:space="preserve"> </w:t>
      </w:r>
      <w:r>
        <w:t xml:space="preserve">Hay otros órganos de tratados de los cuales el Gobierno de Cuba es </w:t>
      </w:r>
      <w:bookmarkStart w:id="44" w:name="OLE_LINK36"/>
      <w:bookmarkStart w:id="45" w:name="OLE_LINK35"/>
      <w:r>
        <w:t xml:space="preserve">Estado parte </w:t>
      </w:r>
      <w:bookmarkEnd w:id="44"/>
      <w:bookmarkEnd w:id="45"/>
      <w:r>
        <w:t>con semejantes observaciones de sus respectivos comités: CEDAW, CAT, CED , etc.</w:t>
      </w:r>
    </w:p>
  </w:footnote>
  <w:footnote w:id="46">
    <w:p w14:paraId="2CE7616C" w14:textId="5598F025" w:rsidR="00172411" w:rsidRPr="00CC30AD" w:rsidRDefault="00172411" w:rsidP="001C0F18">
      <w:pPr>
        <w:pStyle w:val="Textonotapie"/>
        <w:ind w:firstLine="0"/>
      </w:pPr>
      <w:r>
        <w:rPr>
          <w:rStyle w:val="Refdenotaalpie"/>
        </w:rPr>
        <w:footnoteRef/>
      </w:r>
      <w:r>
        <w:t xml:space="preserve"> ICERD. El Gobierno de Cuba tiene reservas con el artículo 22 y  no acepta denuncias individuales (art. 14):</w:t>
      </w:r>
    </w:p>
  </w:footnote>
  <w:footnote w:id="47">
    <w:p w14:paraId="6B2AC91D" w14:textId="75FD4CAC" w:rsidR="00172411" w:rsidRPr="00551309" w:rsidRDefault="00172411" w:rsidP="00551309">
      <w:pPr>
        <w:pStyle w:val="Textonotapie"/>
        <w:spacing w:line="276" w:lineRule="auto"/>
        <w:ind w:firstLine="0"/>
      </w:pPr>
      <w:r>
        <w:rPr>
          <w:rStyle w:val="Refdenotaalpie"/>
        </w:rPr>
        <w:footnoteRef/>
      </w:r>
      <w:r>
        <w:t xml:space="preserve"> Maricelys E. Manzano </w:t>
      </w:r>
      <w:r w:rsidRPr="0049348F">
        <w:t>García</w:t>
      </w:r>
      <w:r>
        <w:t>. 2016.</w:t>
      </w:r>
      <w:r w:rsidRPr="0049348F">
        <w:t xml:space="preserve"> </w:t>
      </w:r>
      <w:r w:rsidRPr="00551309">
        <w:rPr>
          <w:i/>
        </w:rPr>
        <w:t>Reflexiones sobre la identidad racial y el patrimonio en Cuba</w:t>
      </w:r>
      <w:r>
        <w:t xml:space="preserve">. </w:t>
      </w:r>
      <w:r w:rsidRPr="0049348F">
        <w:t>Santiago, Especial VLIR, 2016</w:t>
      </w:r>
      <w:r>
        <w:t>.</w:t>
      </w:r>
      <w:r w:rsidRPr="0049348F">
        <w:t xml:space="preserve"> Universidad Oriente, Santiago de Cuba</w:t>
      </w:r>
      <w:r>
        <w:t>.Pp.153-165</w:t>
      </w:r>
      <w:r w:rsidRPr="00551309">
        <w:t>. Disponible:</w:t>
      </w:r>
      <w:r>
        <w:t xml:space="preserve"> </w:t>
      </w:r>
      <w:hyperlink r:id="rId14" w:history="1">
        <w:r w:rsidRPr="0045315B">
          <w:rPr>
            <w:rStyle w:val="Hipervnculo"/>
          </w:rPr>
          <w:t>https://revistas.uo.edu.cu/index.php/stgo/article/download/1746/1726</w:t>
        </w:r>
      </w:hyperlink>
      <w:r>
        <w:t xml:space="preserve"> </w:t>
      </w:r>
      <w:r w:rsidRPr="00551309">
        <w:t xml:space="preserve">  Pág. 158 (6 )</w:t>
      </w:r>
    </w:p>
  </w:footnote>
  <w:footnote w:id="48">
    <w:p w14:paraId="284342D3" w14:textId="77777777" w:rsidR="00172411" w:rsidRDefault="00172411" w:rsidP="00551309">
      <w:pPr>
        <w:pStyle w:val="Textonotapie"/>
        <w:spacing w:line="240" w:lineRule="atLeast"/>
        <w:ind w:firstLine="0"/>
      </w:pPr>
      <w:r>
        <w:rPr>
          <w:rStyle w:val="Refdenotaalpie"/>
          <w:sz w:val="22"/>
          <w:szCs w:val="22"/>
        </w:rPr>
        <w:footnoteRef/>
      </w:r>
      <w:r>
        <w:t xml:space="preserve"> Constitución de la República de Cuba. CAPITULO VI. IGUALDAD. </w:t>
      </w:r>
      <w:r w:rsidRPr="00981D09">
        <w:t>ARTICULO 41</w:t>
      </w:r>
      <w:r>
        <w:t xml:space="preserve"> al 44. CAPITULO VII DERECHOS, DEBERES Y GARANTIAS FUNDAMENTALES. ARTICULO 53.-Se reconoce a los ciudadanos libertad de palabra y prensa conforme a los fines de la sociedad socialista. Las condiciones materiales para su ejercicio están dadas por el hecho de que la prensa, la radio, la televisión, el cine y otros medios de difusión masiva son de propiedad estatal o social y no pueden ser objeto, en ningún caso, de propiedad privada, lo que asegura su uso al servicio exclusivo del pueblo trabajador y del interés de la sociedad.  La ley regula el ejercicio de estas libertades. </w:t>
      </w:r>
    </w:p>
  </w:footnote>
  <w:footnote w:id="49">
    <w:p w14:paraId="6464E003" w14:textId="5B0A1C83" w:rsidR="00172411" w:rsidRDefault="00172411" w:rsidP="00E21B57">
      <w:pPr>
        <w:pStyle w:val="Textonotapie"/>
        <w:tabs>
          <w:tab w:val="left" w:pos="2268"/>
        </w:tabs>
        <w:spacing w:line="240" w:lineRule="atLeast"/>
        <w:ind w:firstLine="0"/>
        <w:rPr>
          <w:lang w:eastAsia="en-US"/>
        </w:rPr>
      </w:pPr>
      <w:r>
        <w:rPr>
          <w:rStyle w:val="Refdenotaalpie"/>
          <w:sz w:val="22"/>
          <w:szCs w:val="22"/>
        </w:rPr>
        <w:footnoteRef/>
      </w:r>
      <w:r>
        <w:rPr>
          <w:sz w:val="22"/>
          <w:szCs w:val="22"/>
        </w:rPr>
        <w:t xml:space="preserve"> </w:t>
      </w:r>
      <w:r w:rsidRPr="004B48AC">
        <w:rPr>
          <w:i/>
        </w:rPr>
        <w:t>Conferencia de prensa ofrecida en el hotel Pegasus</w:t>
      </w:r>
      <w:r>
        <w:t xml:space="preserve">, en Kingston, Jamaica, el 21 de octubre de 1977. Ediciones OR, octubre-diciembre de 1977, La Habana, pag. 157. El razonamiento expuesto a partir de manifestaciones públicas de Fidel Castro, líder y ex -presidente cubano: “...Mi concepto de la prensa libre es que los medios masivos de divulgación, la prensa, la radio y la televisión deben ser propiedad del pueblo, y no propiedad de individuos particulares. Ese es nuestro concepto… Si un individuo es dueño de un periódico, publica lo que quiere, o no publica lo que no quiere; nombra a un director de cualquier tipo, y sigue la línea que le da la gana, pero muy bien puede ser la línea que no le interesa al </w:t>
      </w:r>
      <w:bookmarkStart w:id="46" w:name="OLE_LINK29"/>
      <w:bookmarkStart w:id="47" w:name="OLE_LINK30"/>
      <w:r>
        <w:t>pueblo</w:t>
      </w:r>
      <w:bookmarkEnd w:id="46"/>
      <w:bookmarkEnd w:id="47"/>
      <w:r>
        <w:t>” .</w:t>
      </w:r>
    </w:p>
  </w:footnote>
  <w:footnote w:id="50">
    <w:p w14:paraId="2CCD5078" w14:textId="0172F882" w:rsidR="00172411" w:rsidRPr="00200E49" w:rsidRDefault="00172411" w:rsidP="00E21B57">
      <w:pPr>
        <w:pStyle w:val="Textonotapie"/>
        <w:spacing w:line="240" w:lineRule="atLeast"/>
        <w:ind w:firstLine="0"/>
      </w:pPr>
      <w:r w:rsidRPr="007B53D2">
        <w:rPr>
          <w:rStyle w:val="Refdenotaalpie"/>
        </w:rPr>
        <w:footnoteRef/>
      </w:r>
      <w:r>
        <w:t xml:space="preserve"> Constitución de la República de Cuba. ARTÍCULO 121.-Los tribunales constituyen un sistema de órganos estatales, estructurado con independencia funcional de cualquier otro y subordinado jerárquicamente a la Asamblea Nacional del Poder Popular y al Consejo</w:t>
      </w:r>
      <w:r w:rsidRPr="00FD36B5">
        <w:t xml:space="preserve"> </w:t>
      </w:r>
      <w:r>
        <w:t>de Estado. El Tribunal Supremo Popular ejerce la máxima autoridad judicial y sus decisiones, en este orden, son definitivas. A través de su Consejo de Gobierno ejerce la iniciativa legislativa y la potestad reglamentaria; toma decisiones y dicta normas de obligado cumplimiento por todos los tribunales y, sobre la base de la experiencia de éstos, imparte instrucciones de carácter obligatorio para establecer una práctica judicial uniforme en la interpretación y aplicación de la ley.</w:t>
      </w:r>
    </w:p>
  </w:footnote>
  <w:footnote w:id="51">
    <w:p w14:paraId="0BFA78EB" w14:textId="5B5AA66C" w:rsidR="00172411" w:rsidRPr="008657FB" w:rsidRDefault="00172411" w:rsidP="00E21B57">
      <w:pPr>
        <w:pStyle w:val="Textonotapie"/>
        <w:spacing w:line="240" w:lineRule="atLeast"/>
        <w:ind w:firstLine="0"/>
      </w:pPr>
      <w:r>
        <w:rPr>
          <w:rStyle w:val="Refdenotaalpie"/>
        </w:rPr>
        <w:footnoteRef/>
      </w:r>
      <w:r>
        <w:t xml:space="preserve"> Carlos M. Díaz Tenreiro y Yanet Alfaro Guillén. 2013. </w:t>
      </w:r>
      <w:r w:rsidRPr="004B48AC">
        <w:rPr>
          <w:i/>
        </w:rPr>
        <w:t>Compilación de Disposiciones del CGTSP</w:t>
      </w:r>
      <w:r>
        <w:t>. Obra editada e impresa por Ediciones ONBC. Acuerdo 250. Dictamen 10 de 31 de mayo de 1978(…)</w:t>
      </w:r>
      <w:r w:rsidRPr="008657FB">
        <w:t xml:space="preserve"> </w:t>
      </w:r>
      <w:r>
        <w:t xml:space="preserve">Por muy lamentable que parezca la situación que se plantea en la consulta, no existe precepto legal alguno que autorice a las autoridades judiciales a abstenerse de cumplir los Fallos firmes de los Tribunales, ya que los mismos, conforme </w:t>
      </w:r>
      <w:r w:rsidRPr="008657FB">
        <w:t>al artículo 126 de la Constitución, son de ineludible cumplimiento.</w:t>
      </w:r>
      <w:r>
        <w:t xml:space="preserve"> Pág. 121. </w:t>
      </w:r>
      <w:r w:rsidRPr="006735DA">
        <w:t>Instrucción 199 de 25 de agosto de 2010</w:t>
      </w:r>
      <w:r>
        <w:t>.</w:t>
      </w:r>
      <w:r w:rsidRPr="00200E49">
        <w:t xml:space="preserve"> </w:t>
      </w:r>
      <w:r>
        <w:t>Pág. 148.</w:t>
      </w:r>
      <w:r w:rsidRPr="00053FD3">
        <w:t xml:space="preserve"> Instrucción 216 de 17 de mayo de 2012</w:t>
      </w:r>
      <w:r>
        <w:t>.</w:t>
      </w:r>
      <w:r w:rsidRPr="00053FD3">
        <w:t xml:space="preserve"> </w:t>
      </w:r>
      <w:r>
        <w:t>Pág. 303.</w:t>
      </w:r>
      <w:r w:rsidRPr="00EB454F">
        <w:t xml:space="preserve"> </w:t>
      </w:r>
      <w:r>
        <w:t>Acuerdo 22 Dictamen 181de 6 de marzo de 1984.</w:t>
      </w:r>
      <w:r w:rsidRPr="00EB454F">
        <w:t xml:space="preserve"> </w:t>
      </w:r>
      <w:r>
        <w:t xml:space="preserve">Pág. 339 entre otras. </w:t>
      </w:r>
      <w:r>
        <w:rPr>
          <w:color w:val="000000"/>
          <w:lang w:eastAsia="es-MX"/>
        </w:rPr>
        <w:t>Disponible:</w:t>
      </w:r>
    </w:p>
  </w:footnote>
  <w:footnote w:id="52">
    <w:p w14:paraId="3C536D84" w14:textId="7DEE6790" w:rsidR="00172411" w:rsidRDefault="00172411" w:rsidP="00D84F73">
      <w:pPr>
        <w:pStyle w:val="Textonotapie"/>
        <w:spacing w:line="240" w:lineRule="atLeast"/>
        <w:ind w:firstLine="0"/>
      </w:pPr>
      <w:r>
        <w:rPr>
          <w:rStyle w:val="Refdenotaalpie"/>
        </w:rPr>
        <w:footnoteRef/>
      </w:r>
      <w:r>
        <w:t xml:space="preserve"> Constitución de la República de Cuba. ARTICULO 66.-El cumplimiento estricto de la Constitución y de las leyes es deber inexcusable de todos.</w:t>
      </w:r>
    </w:p>
  </w:footnote>
  <w:footnote w:id="53">
    <w:p w14:paraId="504474A1" w14:textId="7394691D" w:rsidR="00172411" w:rsidRPr="00F31A9E" w:rsidRDefault="00172411" w:rsidP="001B02B4">
      <w:pPr>
        <w:spacing w:after="0" w:line="240" w:lineRule="atLeast"/>
        <w:rPr>
          <w:rFonts w:ascii="Times New Roman" w:hAnsi="Times New Roman"/>
          <w:color w:val="000000"/>
          <w:sz w:val="20"/>
          <w:szCs w:val="20"/>
          <w:lang w:eastAsia="es-MX"/>
        </w:rPr>
      </w:pPr>
      <w:r>
        <w:rPr>
          <w:rStyle w:val="Refdenotaalpie"/>
        </w:rPr>
        <w:footnoteRef/>
      </w:r>
      <w:r>
        <w:t xml:space="preserve"> </w:t>
      </w:r>
      <w:r w:rsidRPr="00F31A9E">
        <w:rPr>
          <w:rFonts w:ascii="Times New Roman" w:hAnsi="Times New Roman"/>
          <w:color w:val="000000"/>
          <w:sz w:val="20"/>
          <w:szCs w:val="20"/>
          <w:lang w:eastAsia="es-MX"/>
        </w:rPr>
        <w:t>Gisela Arrandia Covarrubias.  201</w:t>
      </w:r>
      <w:r>
        <w:rPr>
          <w:rFonts w:ascii="Times New Roman" w:hAnsi="Times New Roman"/>
          <w:color w:val="000000"/>
          <w:sz w:val="20"/>
          <w:szCs w:val="20"/>
          <w:lang w:eastAsia="es-MX"/>
        </w:rPr>
        <w:t>6</w:t>
      </w:r>
      <w:r w:rsidRPr="00F31A9E">
        <w:rPr>
          <w:rFonts w:ascii="Times New Roman" w:hAnsi="Times New Roman"/>
          <w:color w:val="000000"/>
          <w:sz w:val="20"/>
          <w:szCs w:val="20"/>
          <w:lang w:eastAsia="es-MX"/>
        </w:rPr>
        <w:t xml:space="preserve">. </w:t>
      </w:r>
      <w:r w:rsidRPr="004B48AC">
        <w:rPr>
          <w:rFonts w:ascii="Times New Roman" w:hAnsi="Times New Roman"/>
          <w:i/>
          <w:color w:val="000000"/>
          <w:sz w:val="20"/>
          <w:szCs w:val="20"/>
          <w:lang w:eastAsia="es-MX"/>
        </w:rPr>
        <w:t>Estudio  teórico  crítico  del  racismo:  un  modelo  de  análisis  epistemológico  y político  para  el  contexto  cubano</w:t>
      </w:r>
      <w:r>
        <w:rPr>
          <w:rFonts w:ascii="Times New Roman" w:hAnsi="Times New Roman"/>
          <w:color w:val="000000"/>
          <w:sz w:val="20"/>
          <w:szCs w:val="20"/>
          <w:lang w:eastAsia="es-MX"/>
        </w:rPr>
        <w:t xml:space="preserve"> (Tesis  de  Doctorado). La Habana</w:t>
      </w:r>
      <w:r w:rsidRPr="00F31A9E">
        <w:rPr>
          <w:rFonts w:ascii="Times New Roman" w:hAnsi="Times New Roman"/>
          <w:color w:val="000000"/>
          <w:sz w:val="20"/>
          <w:szCs w:val="20"/>
          <w:lang w:eastAsia="es-MX"/>
        </w:rPr>
        <w:t xml:space="preserve">: Editorial </w:t>
      </w:r>
      <w:r>
        <w:rPr>
          <w:rFonts w:ascii="Times New Roman" w:hAnsi="Times New Roman"/>
          <w:color w:val="000000"/>
          <w:sz w:val="20"/>
          <w:szCs w:val="20"/>
          <w:lang w:eastAsia="es-MX"/>
        </w:rPr>
        <w:t xml:space="preserve">Universitaria, 2017. </w:t>
      </w:r>
      <w:r w:rsidRPr="00F31A9E">
        <w:rPr>
          <w:rFonts w:ascii="Times New Roman" w:hAnsi="Times New Roman"/>
          <w:color w:val="000000"/>
          <w:sz w:val="20"/>
          <w:szCs w:val="20"/>
          <w:lang w:eastAsia="es-MX"/>
        </w:rPr>
        <w:t xml:space="preserve"> e-ISBN 978-959-16-3466-5. Disponible: http://beduniv.reduniv.edu.cu/index.php?page=3&amp;id=2928&amp;db=1</w:t>
      </w:r>
    </w:p>
  </w:footnote>
  <w:footnote w:id="54">
    <w:p w14:paraId="236AC38A" w14:textId="77777777" w:rsidR="00172411" w:rsidRDefault="00172411" w:rsidP="00D84F73">
      <w:pPr>
        <w:pStyle w:val="Textonotapie"/>
        <w:spacing w:line="240" w:lineRule="atLeast"/>
        <w:ind w:firstLine="0"/>
        <w:rPr>
          <w:color w:val="000000"/>
          <w:lang w:eastAsia="es-MX"/>
        </w:rPr>
      </w:pPr>
      <w:r>
        <w:rPr>
          <w:rStyle w:val="Refdenotaalpie"/>
        </w:rPr>
        <w:footnoteRef/>
      </w:r>
      <w:r>
        <w:t xml:space="preserve"> </w:t>
      </w:r>
      <w:r>
        <w:rPr>
          <w:color w:val="000000"/>
          <w:lang w:eastAsia="es-MX"/>
        </w:rPr>
        <w:t xml:space="preserve">Rodrigo Espina Prieto y Pablo Rodríguez Ruiz. Centro de Antropología. 2006. </w:t>
      </w:r>
      <w:r>
        <w:rPr>
          <w:i/>
          <w:color w:val="000000"/>
          <w:lang w:eastAsia="es-MX"/>
        </w:rPr>
        <w:t>Raza y desigualdad en la Cuba actual.</w:t>
      </w:r>
      <w:r>
        <w:rPr>
          <w:color w:val="000000"/>
          <w:lang w:eastAsia="es-MX"/>
        </w:rPr>
        <w:t xml:space="preserve"> Revista Temas no. 45: 44-54, enero-marzo de 2006. Disponible: </w:t>
      </w:r>
      <w:hyperlink r:id="rId15" w:history="1">
        <w:r>
          <w:rPr>
            <w:rStyle w:val="Hipervnculo"/>
            <w:lang w:eastAsia="es-MX"/>
          </w:rPr>
          <w:t>http://afrocubaweb.com/News/Cuba/RazaDesigualdad_Rodrigo.pdf</w:t>
        </w:r>
      </w:hyperlink>
      <w:r>
        <w:rPr>
          <w:color w:val="000000"/>
          <w:lang w:eastAsia="es-MX"/>
        </w:rPr>
        <w:t xml:space="preserve"> </w:t>
      </w:r>
      <w:r>
        <w:t xml:space="preserve"> Pag.3 (…) se llegó a concebir el racismo como un problema resuelto en gran medida. El libro de Pedro Serviat, El problema</w:t>
      </w:r>
      <w:r>
        <w:rPr>
          <w:color w:val="000000"/>
          <w:lang w:eastAsia="es-MX"/>
        </w:rPr>
        <w:t xml:space="preserve"> </w:t>
      </w:r>
      <w:r>
        <w:t>negro en Cuba y su solución definitiva, lo anuncia y proclama desde el mismo título. En segundo lugar, los recelos que suscitaba el tema, ante la necesaria unidad, motivaron que desde las estructuras de poder se mirara con desconfianza cualquier intento de traerlo a la polémica pública, lo que contribuyó a convertirlo en una especie de tabú. Finalmente, en el quehacer y modo de hacer transformativo, en el que estaban involucradas las grandes mayorías, encontraba muy pocos oídos interesados. Existía muy poca o ninguna base social para que el diálogo se produjera desde abajo…</w:t>
      </w:r>
    </w:p>
  </w:footnote>
  <w:footnote w:id="55">
    <w:p w14:paraId="51DC5B86" w14:textId="77777777" w:rsidR="00172411" w:rsidRDefault="00172411" w:rsidP="00AD67F9">
      <w:pPr>
        <w:pStyle w:val="Textonotapie"/>
        <w:spacing w:line="240" w:lineRule="atLeast"/>
        <w:ind w:firstLine="0"/>
      </w:pPr>
      <w:r>
        <w:rPr>
          <w:rStyle w:val="Refdenotaalpie"/>
        </w:rPr>
        <w:footnoteRef/>
      </w:r>
      <w:r>
        <w:t xml:space="preserve"> Oficina Nacional de Estadística e Información. Cuba. </w:t>
      </w:r>
      <w:r>
        <w:rPr>
          <w:i/>
        </w:rPr>
        <w:t>Anuario Estadístico de Cuba 2015</w:t>
      </w:r>
      <w:r>
        <w:t xml:space="preserve">. Edición 2016. Capítulo 3: Población. </w:t>
      </w:r>
      <w:r>
        <w:rPr>
          <w:b/>
        </w:rPr>
        <w:t>Comentario de ACDEI</w:t>
      </w:r>
      <w:r>
        <w:t>: Las estadísticas presentes en el documento, con la clasificación por los atributos demográficos fundamentales, el sexo y la edad, omite la raza o grupo étnico. Tampoco reporta la cifra de los extranjeros residentes en Cuba.</w:t>
      </w:r>
    </w:p>
  </w:footnote>
  <w:footnote w:id="56">
    <w:p w14:paraId="10ABD10E" w14:textId="77777777" w:rsidR="00172411" w:rsidRDefault="00172411" w:rsidP="00AD67F9">
      <w:pPr>
        <w:pStyle w:val="Sinespaciado"/>
        <w:spacing w:after="0" w:afterAutospacing="0" w:line="240" w:lineRule="atLeast"/>
        <w:ind w:left="0" w:firstLine="0"/>
        <w:rPr>
          <w:rFonts w:ascii="Times New Roman" w:eastAsia="STKaiti" w:hAnsi="Times New Roman"/>
          <w:sz w:val="20"/>
          <w:szCs w:val="20"/>
          <w:lang w:val="es-US" w:eastAsia="es-US"/>
        </w:rPr>
      </w:pPr>
      <w:r>
        <w:rPr>
          <w:rStyle w:val="Refdenotaalpie"/>
        </w:rPr>
        <w:footnoteRef/>
      </w:r>
      <w:r>
        <w:t xml:space="preserve"> </w:t>
      </w:r>
      <w:r>
        <w:rPr>
          <w:rFonts w:ascii="Times New Roman" w:eastAsia="STKaiti" w:hAnsi="Times New Roman"/>
          <w:sz w:val="20"/>
          <w:szCs w:val="20"/>
          <w:lang w:val="es-US" w:eastAsia="es-US"/>
        </w:rPr>
        <w:t xml:space="preserve">Rolando Cartaya. Abril 25, 2013. El Nuevo Herald. </w:t>
      </w:r>
      <w:r>
        <w:rPr>
          <w:rFonts w:ascii="Times New Roman" w:eastAsia="STKaiti" w:hAnsi="Times New Roman"/>
          <w:i/>
          <w:sz w:val="20"/>
          <w:szCs w:val="20"/>
          <w:lang w:val="es-US" w:eastAsia="es-US"/>
        </w:rPr>
        <w:t>Hallan en aeropuerto restos humanos en caldero de magia negra</w:t>
      </w:r>
      <w:r>
        <w:rPr>
          <w:rFonts w:ascii="Times New Roman" w:eastAsia="STKaiti" w:hAnsi="Times New Roman"/>
          <w:sz w:val="20"/>
          <w:szCs w:val="20"/>
          <w:lang w:val="es-US" w:eastAsia="es-US"/>
        </w:rPr>
        <w:t xml:space="preserve">. Disponible: </w:t>
      </w:r>
      <w:hyperlink r:id="rId16" w:history="1">
        <w:r>
          <w:rPr>
            <w:rStyle w:val="Hipervnculo"/>
            <w:rFonts w:ascii="Times New Roman" w:eastAsia="STKaiti" w:hAnsi="Times New Roman"/>
            <w:sz w:val="20"/>
            <w:szCs w:val="20"/>
            <w:lang w:val="es-US" w:eastAsia="es-US"/>
          </w:rPr>
          <w:t>http://www.elnuevoherald.com/noticias/mundo/america-latina/cuba-es/</w:t>
        </w:r>
      </w:hyperlink>
      <w:r>
        <w:rPr>
          <w:rFonts w:ascii="Times New Roman" w:eastAsia="STKaiti" w:hAnsi="Times New Roman"/>
          <w:sz w:val="20"/>
          <w:szCs w:val="20"/>
          <w:lang w:val="es-US" w:eastAsia="es-US"/>
        </w:rPr>
        <w:t xml:space="preserve">  El hallazgo parece formar parte del mercado negro cubano de huesos humanos, dirigido a creyentes nacionales y extranjeros de la santería y el palo monte… Los medios de comunicación del sur de la Florida levantaron el miércoles entre sus titulares la noticia de que agentes de seguridad en el aeropuerto internacional de Fort Lauderdale, cerca de Miami, hallaron fragmentos de un cráneo humano y dientes en una olla de barro llena de tierra que llevaba en su equipaje de mano una pasajera, la cual dijo haber adquirido la cazuela en Cuba… Negocio macabro- La prensa  independiente cubana ha reportado el robo de restos óseos humanos de los cementerios, a veces con colaboración de sepultureros o celadores, para utilizarlos en obras de religiones afrocubanas, especialmente la conocida como palo monte, o para lucrar vendiéndolos a creyentes nacionales o extranjeros… </w:t>
      </w:r>
    </w:p>
  </w:footnote>
  <w:footnote w:id="57">
    <w:p w14:paraId="2A7FCA0C" w14:textId="77777777" w:rsidR="00172411" w:rsidRDefault="00172411" w:rsidP="00AD67F9">
      <w:pPr>
        <w:pStyle w:val="Textonotapie"/>
        <w:spacing w:line="240" w:lineRule="atLeast"/>
        <w:ind w:firstLine="0"/>
      </w:pPr>
      <w:r>
        <w:rPr>
          <w:rStyle w:val="Refdenotaalpie"/>
        </w:rPr>
        <w:footnoteRef/>
      </w:r>
      <w:r>
        <w:t xml:space="preserve"> Reinaldo E. Cosano Alén. Agosto 15, 2013. </w:t>
      </w:r>
      <w:r>
        <w:rPr>
          <w:i/>
        </w:rPr>
        <w:t>Profanadores de tumbas</w:t>
      </w:r>
      <w:r>
        <w:t>. Portal Cubanet. Disponible:</w:t>
      </w:r>
    </w:p>
    <w:p w14:paraId="0376FE89" w14:textId="77777777" w:rsidR="00172411" w:rsidRDefault="00172411" w:rsidP="00AD67F9">
      <w:pPr>
        <w:pStyle w:val="Textonotapie"/>
        <w:spacing w:line="240" w:lineRule="atLeast"/>
        <w:ind w:firstLine="0"/>
      </w:pPr>
      <w:r>
        <w:rPr>
          <w:lang w:val="es-ES"/>
        </w:rPr>
        <w:t>https://www.cubanet.org/articulos/profanadores-de-tumbas/</w:t>
      </w:r>
      <w:r>
        <w:t xml:space="preserve">   El cementerio tiene entrada libre. No hay empleados para vigilar a todo el que entra y sale (…) “Trabajamos con el santero (…) Tenemos manos libres para recoger huesos a la luz del sol. No cualquier hueso, cráneo y tibias principalmente. Depende del trabajo del palero” …</w:t>
      </w:r>
    </w:p>
  </w:footnote>
  <w:footnote w:id="58">
    <w:p w14:paraId="070F8EE3" w14:textId="77777777" w:rsidR="00172411" w:rsidRDefault="00172411" w:rsidP="00AD67F9">
      <w:pPr>
        <w:pStyle w:val="Textonotapie"/>
        <w:spacing w:line="240" w:lineRule="atLeast"/>
        <w:ind w:firstLine="0"/>
        <w:rPr>
          <w:lang w:val="es-DO"/>
        </w:rPr>
      </w:pPr>
      <w:r>
        <w:rPr>
          <w:rStyle w:val="Refdenotaalpie"/>
        </w:rPr>
        <w:footnoteRef/>
      </w:r>
      <w:r>
        <w:t xml:space="preserve"> Adrián Del Sol Alfonzo / Rolando Requesén Machín. Diciembre 1, 2014 </w:t>
      </w:r>
      <w:r>
        <w:rPr>
          <w:i/>
        </w:rPr>
        <w:t>En Cuba, ni los muertos descansan</w:t>
      </w:r>
      <w:r>
        <w:t xml:space="preserve">. Cubanet. Disponible: </w:t>
      </w:r>
      <w:hyperlink r:id="rId17" w:history="1">
        <w:r>
          <w:rPr>
            <w:rStyle w:val="Hipervnculo"/>
            <w:bCs/>
            <w:iCs/>
            <w:lang w:val="es-DO"/>
          </w:rPr>
          <w:t>http://www.cubanet.org/actualidad/actualidad-destacados/en-cuba-ni-los-muertos-descansan/</w:t>
        </w:r>
      </w:hyperlink>
      <w:r>
        <w:rPr>
          <w:bCs/>
          <w:iCs/>
          <w:lang w:val="es-DO"/>
        </w:rPr>
        <w:t>– Idalberto González Gómez, de 76 años, viejo trabajador del cementerio local (Santa Clara), denuncia la profanación de tumbas, debido a la falta de control de los directivos del camposanto…</w:t>
      </w:r>
    </w:p>
  </w:footnote>
  <w:footnote w:id="59">
    <w:p w14:paraId="0EA8BE8A" w14:textId="5DF82250" w:rsidR="00172411" w:rsidRPr="00CE5893" w:rsidRDefault="00172411" w:rsidP="00AD67F9">
      <w:pPr>
        <w:pStyle w:val="Textonotapie"/>
        <w:spacing w:line="240" w:lineRule="atLeast"/>
        <w:ind w:firstLine="0"/>
        <w:rPr>
          <w:lang w:val="en-US"/>
        </w:rPr>
      </w:pPr>
      <w:r>
        <w:rPr>
          <w:rStyle w:val="Refdenotaalpie"/>
        </w:rPr>
        <w:footnoteRef/>
      </w:r>
      <w:r>
        <w:rPr>
          <w:lang w:val="en-US"/>
        </w:rPr>
        <w:t xml:space="preserve"> The Guardian. 2009. </w:t>
      </w:r>
      <w:r w:rsidRPr="00EB67FF">
        <w:rPr>
          <w:i/>
          <w:lang w:val="en-US"/>
        </w:rPr>
        <w:t>Cuba defends record on race equality</w:t>
      </w:r>
      <w:r>
        <w:rPr>
          <w:lang w:val="en-US"/>
        </w:rPr>
        <w:t xml:space="preserve">. </w:t>
      </w:r>
      <w:bookmarkStart w:id="51" w:name="OLE_LINK181"/>
      <w:r>
        <w:rPr>
          <w:lang w:val="en-US"/>
        </w:rPr>
        <w:t>Available:</w:t>
      </w:r>
      <w:bookmarkEnd w:id="51"/>
      <w:r>
        <w:rPr>
          <w:lang w:val="en-US"/>
        </w:rPr>
        <w:t xml:space="preserve"> </w:t>
      </w:r>
      <w:hyperlink r:id="rId18" w:history="1">
        <w:r>
          <w:rPr>
            <w:rStyle w:val="Hipervnculo"/>
            <w:lang w:val="en-US"/>
          </w:rPr>
          <w:t>https://www.theguardian.com/world/2009/dec/04/cuba-defends-record-on-race</w:t>
        </w:r>
      </w:hyperlink>
      <w:r>
        <w:rPr>
          <w:lang w:val="en-US"/>
        </w:rPr>
        <w:t xml:space="preserve">   (...) Cuba hit back yesterday at 60 prominent US black leaders who challenged its race record, with writers, artists and official journalists describing the criticism as an attack on their country's national identity… the racial inequalities of contemporary Cuban society, which came under criticism from Americans such as Princeton University professor Cornel West, Jeremiah Wright, former pastor of President Barack Obama's Chicago church, and Susan Taylor, former editor of Essence magazine…</w:t>
      </w:r>
    </w:p>
  </w:footnote>
  <w:footnote w:id="60">
    <w:p w14:paraId="7AA268CE" w14:textId="67288890" w:rsidR="00172411" w:rsidRDefault="00172411" w:rsidP="00D84F73">
      <w:pPr>
        <w:pStyle w:val="Textonotapie"/>
        <w:spacing w:line="240" w:lineRule="atLeast"/>
        <w:ind w:firstLine="0"/>
        <w:rPr>
          <w:lang w:val="en-US"/>
        </w:rPr>
      </w:pPr>
      <w:r>
        <w:rPr>
          <w:rStyle w:val="Refdenotaalpie"/>
        </w:rPr>
        <w:footnoteRef/>
      </w:r>
      <w:r>
        <w:rPr>
          <w:lang w:val="en-US"/>
        </w:rPr>
        <w:t xml:space="preserve"> Shasta Darlington, CNN. December 9, 2009. </w:t>
      </w:r>
      <w:r w:rsidRPr="00EB67FF">
        <w:rPr>
          <w:i/>
          <w:lang w:val="en-US"/>
        </w:rPr>
        <w:t>African-Americans: Blacks in Cuba 'treated with callous disregard</w:t>
      </w:r>
      <w:r>
        <w:rPr>
          <w:lang w:val="en-US"/>
        </w:rPr>
        <w:t xml:space="preserve">. Available:  </w:t>
      </w:r>
      <w:hyperlink r:id="rId19" w:history="1">
        <w:r>
          <w:rPr>
            <w:rStyle w:val="Hipervnculo"/>
            <w:lang w:val="en-US"/>
          </w:rPr>
          <w:t>http://edition.cnn.com/2009/WORLD/americas/12/09/cuba.us.race/index.html</w:t>
        </w:r>
      </w:hyperlink>
      <w:r>
        <w:rPr>
          <w:lang w:val="en-US"/>
        </w:rPr>
        <w:t xml:space="preserve"> A group of prominent African-Americans has challenged Cuba's race record, accusing the island nation of harassing its black citizens and cracking down on civil rights activists… Cubans are proud of their racial mix, but racism is often an uncomfortable topic. When a group of men in Havana's Central Park were recently asked about it, most of them turned away. "No, no, we just talk about baseball," one man said of the national sport. Others said Cuba is no different from any other country. "There's racism everywhere in the world," another man said…</w:t>
      </w:r>
    </w:p>
  </w:footnote>
  <w:footnote w:id="61">
    <w:p w14:paraId="439B9B46" w14:textId="77777777" w:rsidR="00172411" w:rsidRPr="00486A59" w:rsidRDefault="00172411" w:rsidP="00D84F73">
      <w:pPr>
        <w:pStyle w:val="Textonotapie"/>
        <w:spacing w:line="240" w:lineRule="atLeast"/>
        <w:ind w:firstLine="0"/>
        <w:rPr>
          <w:color w:val="000000"/>
          <w:sz w:val="18"/>
          <w:szCs w:val="18"/>
          <w:lang w:val="es-MX" w:eastAsia="es-MX"/>
        </w:rPr>
      </w:pPr>
      <w:r>
        <w:rPr>
          <w:rStyle w:val="Refdenotaalpie"/>
        </w:rPr>
        <w:footnoteRef/>
      </w:r>
      <w:r w:rsidRPr="005F6AF2">
        <w:rPr>
          <w:color w:val="000000"/>
          <w:lang w:val="en-US" w:eastAsia="es-MX"/>
        </w:rPr>
        <w:t xml:space="preserve">Rodrigo Espina Prieto y Pablo Rodríguez Ruiz. </w:t>
      </w:r>
      <w:r>
        <w:rPr>
          <w:color w:val="000000"/>
          <w:lang w:eastAsia="es-MX"/>
        </w:rPr>
        <w:t xml:space="preserve">Centro de Antropología. 2006. </w:t>
      </w:r>
      <w:r w:rsidRPr="00EB67FF">
        <w:rPr>
          <w:i/>
          <w:color w:val="000000"/>
          <w:lang w:eastAsia="es-MX"/>
        </w:rPr>
        <w:t>Raza y desigualdad en la Cuba actual</w:t>
      </w:r>
      <w:r>
        <w:rPr>
          <w:color w:val="000000"/>
          <w:lang w:eastAsia="es-MX"/>
        </w:rPr>
        <w:t>. Temas no. 45: 44-54, enero-marzo de</w:t>
      </w:r>
      <w:bookmarkStart w:id="52" w:name="OLE_LINK179"/>
      <w:bookmarkStart w:id="53" w:name="OLE_LINK178"/>
      <w:r>
        <w:rPr>
          <w:color w:val="000000"/>
          <w:lang w:eastAsia="es-MX"/>
        </w:rPr>
        <w:t xml:space="preserve"> 2006</w:t>
      </w:r>
      <w:bookmarkEnd w:id="52"/>
      <w:bookmarkEnd w:id="53"/>
      <w:r>
        <w:rPr>
          <w:color w:val="000000"/>
          <w:lang w:eastAsia="es-MX"/>
        </w:rPr>
        <w:t xml:space="preserve">. Disponible: </w:t>
      </w:r>
      <w:r w:rsidRPr="00486A59">
        <w:rPr>
          <w:color w:val="000000"/>
          <w:sz w:val="18"/>
          <w:szCs w:val="18"/>
          <w:lang w:eastAsia="es-MX"/>
        </w:rPr>
        <w:t>http://afrocubaweb.com/News/Cuba/RazaDesigualdad_Rodrigo.pdf</w:t>
      </w:r>
    </w:p>
  </w:footnote>
  <w:footnote w:id="62">
    <w:p w14:paraId="144C7689" w14:textId="77777777" w:rsidR="00172411" w:rsidRDefault="00172411" w:rsidP="00D84F73">
      <w:pPr>
        <w:pStyle w:val="Textonotapie"/>
        <w:spacing w:line="240" w:lineRule="atLeast"/>
        <w:ind w:firstLine="0"/>
      </w:pPr>
      <w:r>
        <w:rPr>
          <w:rStyle w:val="Refdenotaalpie"/>
        </w:rPr>
        <w:footnoteRef/>
      </w:r>
      <w:r>
        <w:t xml:space="preserve"> Tania De Armas Fonticoba. 2011/10/14. </w:t>
      </w:r>
      <w:r>
        <w:rPr>
          <w:i/>
        </w:rPr>
        <w:t>Fernando Ortiz e Israel Castellanos en la genealogía de la Criminología en Cuba.</w:t>
      </w:r>
      <w:r>
        <w:t xml:space="preserve"> Revista de derecho penal, procesal penal y criminología | Criminología. Disponible:   </w:t>
      </w:r>
      <w:hyperlink r:id="rId20" w:history="1">
        <w:r>
          <w:rPr>
            <w:rStyle w:val="Hipervnculo"/>
          </w:rPr>
          <w:t>http://www.derechopenalonline.com/derecho.php?id=15,738,0,0,1,0</w:t>
        </w:r>
      </w:hyperlink>
      <w:r>
        <w:t xml:space="preserve"> … Fernando Ortiz… Su relación con la Criminología es muy marcada y ha sido señalada por numerosos autores… Entre sus obras de corte criminológico, podemos agregar el Hampa afrocubana. Los negros brujos: apuntes para un estudio de etnología criminal (1906)… El positivismo significó para algunos la discriminación, exclusión, selectividad, el racismo, pero también representó el amor por la ciencia,  el estudio de la sociedad, el desarrollo de la misma y por una explicación científica de los fenómenos vinculados a ella… </w:t>
      </w:r>
    </w:p>
  </w:footnote>
  <w:footnote w:id="63">
    <w:p w14:paraId="546C102E" w14:textId="77777777" w:rsidR="00172411" w:rsidRDefault="00172411" w:rsidP="00D84F73">
      <w:pPr>
        <w:pStyle w:val="Textonotapie"/>
        <w:spacing w:line="240" w:lineRule="atLeast"/>
        <w:ind w:firstLine="0"/>
        <w:rPr>
          <w:sz w:val="18"/>
          <w:szCs w:val="18"/>
          <w:lang w:val="es-ES"/>
        </w:rPr>
      </w:pPr>
      <w:r>
        <w:rPr>
          <w:rStyle w:val="Refdenotaalpie"/>
        </w:rPr>
        <w:footnoteRef/>
      </w:r>
      <w:r>
        <w:t xml:space="preserve"> Colectivo de autores, </w:t>
      </w:r>
      <w:bookmarkStart w:id="56" w:name="OLE_LINK198"/>
      <w:bookmarkStart w:id="57" w:name="OLE_LINK197"/>
      <w:r>
        <w:t xml:space="preserve">2004. </w:t>
      </w:r>
      <w:r>
        <w:rPr>
          <w:i/>
        </w:rPr>
        <w:t>CRIMINOLOGÍA</w:t>
      </w:r>
      <w:r>
        <w:t xml:space="preserve">. Editorial Félix Varela, </w:t>
      </w:r>
      <w:bookmarkEnd w:id="56"/>
      <w:bookmarkEnd w:id="57"/>
      <w:r>
        <w:t>La Habana</w:t>
      </w:r>
      <w:r>
        <w:rPr>
          <w:b/>
          <w:color w:val="C00000"/>
          <w:sz w:val="32"/>
          <w:szCs w:val="32"/>
        </w:rPr>
        <w:t xml:space="preserve"> </w:t>
      </w:r>
      <w:r>
        <w:t xml:space="preserve">Breve Esbozo Histórico de la Criminología en Cuba. Dr. Ramón de la Cruz Ochoa. </w:t>
      </w:r>
      <w:bookmarkStart w:id="58" w:name="OLE_LINK57"/>
      <w:bookmarkStart w:id="59" w:name="OLE_LINK58"/>
      <w:r>
        <w:t xml:space="preserve">Disponible:   </w:t>
      </w:r>
      <w:bookmarkEnd w:id="58"/>
      <w:bookmarkEnd w:id="59"/>
      <w:r>
        <w:fldChar w:fldCharType="begin"/>
      </w:r>
      <w:r>
        <w:instrText xml:space="preserve"> HYPERLINK "http://www.bdigital.reduniv.edu.cu/fetch.php?data=59&amp;type=pdf&amp;id=59&amp;db=1" </w:instrText>
      </w:r>
      <w:r>
        <w:fldChar w:fldCharType="separate"/>
      </w:r>
      <w:r>
        <w:rPr>
          <w:rStyle w:val="Hipervnculo"/>
          <w:sz w:val="18"/>
          <w:szCs w:val="18"/>
        </w:rPr>
        <w:t>http://www.bdigital.reduniv.edu.cu/fetch.php?data=59&amp;type=pdf&amp;id=59&amp;db=1</w:t>
      </w:r>
      <w:r>
        <w:fldChar w:fldCharType="end"/>
      </w:r>
      <w:r>
        <w:rPr>
          <w:sz w:val="18"/>
          <w:szCs w:val="18"/>
          <w:lang w:val="es-ES"/>
        </w:rPr>
        <w:t xml:space="preserve"> </w:t>
      </w:r>
      <w:r>
        <w:t xml:space="preserve">Pag.103… Israel Castellanos… Castellanos fue director del Laboratorio de Antropología Penitenciaria…También incursionó con éxito en la criminalística Uno de sus trabajos más valioso fue el correspondiente análisis criminológico sobre el ñañiguismo y la brujería en Cuba, donde, siguiendo a Fernando Ortiz, diferencia desde el punto de vista criminológico al brujo, el cual, según dice, es un profesador activo del curanderismo, del sacerdocio por fe o por convicción primitiva; mientras que el ñáñigo es un miembro de una sociedad criminal organizada por sujetos de mala vida, por los más virulentos del mundo criminal cubano, comparándola con la mafia italiana. Establece que el ñáñigo es más violento que el brujo, pues este carece de odio colectivo y el ñañiguismo conduce al delito de sangre, al homicidio y al asesinato… </w:t>
      </w:r>
    </w:p>
  </w:footnote>
  <w:footnote w:id="64">
    <w:p w14:paraId="3EB4F2BE" w14:textId="4E28EB3F" w:rsidR="00172411" w:rsidRDefault="00172411" w:rsidP="00D84F73">
      <w:pPr>
        <w:pStyle w:val="Textonotapie"/>
        <w:spacing w:line="240" w:lineRule="atLeast"/>
        <w:ind w:firstLine="0"/>
        <w:rPr>
          <w:color w:val="000000"/>
          <w:lang w:eastAsia="es-MX"/>
        </w:rPr>
      </w:pPr>
      <w:r>
        <w:rPr>
          <w:rStyle w:val="Refdenotaalpie"/>
        </w:rPr>
        <w:footnoteRef/>
      </w:r>
      <w:r>
        <w:t xml:space="preserve">  Comité contra la Desaparición Forzada. 2017. </w:t>
      </w:r>
      <w:r w:rsidRPr="00EB67FF">
        <w:rPr>
          <w:i/>
        </w:rPr>
        <w:t>Observaciones finales sobre el informe presentado por Cuba</w:t>
      </w:r>
      <w:r>
        <w:t xml:space="preserve"> en virtud del artículo 29, párrafo 1, de la Convención. </w:t>
      </w:r>
      <w:r>
        <w:rPr>
          <w:sz w:val="18"/>
          <w:szCs w:val="18"/>
        </w:rPr>
        <w:t>Versión Avanzada No Editada. CED CO 2017</w:t>
      </w:r>
      <w:r>
        <w:t xml:space="preserve"> Cuba.  Disponible: </w:t>
      </w:r>
      <w:hyperlink r:id="rId21" w:history="1">
        <w:r>
          <w:rPr>
            <w:rStyle w:val="Hipervnculo"/>
          </w:rPr>
          <w:t>http://tbinternet.ohchr.org/Treaties/CED/Shared%20Documents/CUB/CED_C_CUB_CO_1_26924_S.pdf</w:t>
        </w:r>
      </w:hyperlink>
      <w:r>
        <w:t xml:space="preserve"> </w:t>
      </w:r>
      <w:r>
        <w:rPr>
          <w:color w:val="000000"/>
          <w:lang w:eastAsia="es-MX"/>
        </w:rPr>
        <w:t xml:space="preserve">Medidas de reparación y de protección de los niños contra las desapariciones forzadas (arts. 24 y 25) Párrafo 32.  Legislación relativa a la apropiación de niños. </w:t>
      </w:r>
      <w:bookmarkStart w:id="60" w:name="OLE_LINK189"/>
      <w:bookmarkStart w:id="61" w:name="OLE_LINK188"/>
      <w:r>
        <w:rPr>
          <w:color w:val="000000"/>
          <w:lang w:eastAsia="es-MX"/>
        </w:rPr>
        <w:t xml:space="preserve">Párrafo </w:t>
      </w:r>
      <w:bookmarkEnd w:id="60"/>
      <w:bookmarkEnd w:id="61"/>
      <w:r>
        <w:rPr>
          <w:color w:val="000000"/>
          <w:lang w:eastAsia="es-MX"/>
        </w:rPr>
        <w:t>36  D. Difusión y seguimiento. Párrafo 38, 39.</w:t>
      </w:r>
    </w:p>
  </w:footnote>
  <w:footnote w:id="65">
    <w:p w14:paraId="3ED13F56" w14:textId="77777777" w:rsidR="00172411" w:rsidRDefault="00172411" w:rsidP="00D84F73">
      <w:pPr>
        <w:pStyle w:val="Textonotapie"/>
        <w:spacing w:line="240" w:lineRule="atLeast"/>
        <w:ind w:firstLine="0"/>
        <w:rPr>
          <w:lang w:eastAsia="en-US"/>
        </w:rPr>
      </w:pPr>
      <w:r>
        <w:rPr>
          <w:sz w:val="22"/>
          <w:szCs w:val="22"/>
          <w:vertAlign w:val="superscript"/>
        </w:rPr>
        <w:footnoteRef/>
      </w:r>
      <w:r>
        <w:rPr>
          <w:sz w:val="22"/>
          <w:szCs w:val="22"/>
          <w:vertAlign w:val="superscript"/>
        </w:rPr>
        <w:t xml:space="preserve"> </w:t>
      </w:r>
      <w:r>
        <w:t>Asamblea Nacional Del Poder Popular (24 febrero 2013) ACUERDO VIII- 5. GO- X-010 (2013) Extraordinaria. Gaceta Oficial No. 010 Extraordinaria de 20 de marzo de 2013. Cuba</w:t>
      </w:r>
    </w:p>
  </w:footnote>
  <w:footnote w:id="66">
    <w:p w14:paraId="7C7797B0" w14:textId="77777777" w:rsidR="00172411" w:rsidRDefault="00172411" w:rsidP="00D84F73">
      <w:pPr>
        <w:pStyle w:val="Textonotapie"/>
        <w:spacing w:line="240" w:lineRule="atLeast"/>
        <w:ind w:firstLine="0"/>
      </w:pPr>
      <w:r>
        <w:rPr>
          <w:sz w:val="22"/>
          <w:szCs w:val="22"/>
          <w:vertAlign w:val="superscript"/>
        </w:rPr>
        <w:footnoteRef/>
      </w:r>
      <w:r>
        <w:rPr>
          <w:sz w:val="22"/>
          <w:szCs w:val="22"/>
          <w:vertAlign w:val="superscript"/>
        </w:rPr>
        <w:t xml:space="preserve"> </w:t>
      </w:r>
      <w:r>
        <w:t>Esta información fue revelada públicamente por el Canciller, Sr. Bruno Parrillas, durante la presentación del II Informe de Cuba al Examen Periódico Universal el 1º de mayo de 2013. La mayoría de la población desconoce el cargo.</w:t>
      </w:r>
    </w:p>
  </w:footnote>
  <w:footnote w:id="67">
    <w:p w14:paraId="5B5DE295" w14:textId="15797672" w:rsidR="00172411" w:rsidRPr="001651DD" w:rsidRDefault="00172411" w:rsidP="00D84F73">
      <w:pPr>
        <w:pStyle w:val="Textonotapie"/>
        <w:spacing w:line="240" w:lineRule="atLeast"/>
        <w:ind w:firstLine="0"/>
        <w:rPr>
          <w:lang w:val="en-US"/>
        </w:rPr>
      </w:pPr>
      <w:r>
        <w:rPr>
          <w:rStyle w:val="Refdenotaalpie"/>
        </w:rPr>
        <w:footnoteRef/>
      </w:r>
      <w:r w:rsidRPr="00A77555">
        <w:rPr>
          <w:lang w:val="es-ES"/>
        </w:rPr>
        <w:t xml:space="preserve"> </w:t>
      </w:r>
      <w:bookmarkStart w:id="64" w:name="OLE_LINK4"/>
      <w:bookmarkStart w:id="65" w:name="OLE_LINK10"/>
      <w:r w:rsidRPr="00A77555">
        <w:rPr>
          <w:lang w:val="es-ES"/>
        </w:rPr>
        <w:t xml:space="preserve">David Weissbrodt, Joseph C. Hansen, and Nathaniel H. Nesbitt. </w:t>
      </w:r>
      <w:r w:rsidRPr="001651DD">
        <w:rPr>
          <w:lang w:val="en-US"/>
        </w:rPr>
        <w:t xml:space="preserve">2010. </w:t>
      </w:r>
      <w:r w:rsidRPr="001651DD">
        <w:rPr>
          <w:i/>
          <w:lang w:val="en-US"/>
        </w:rPr>
        <w:t>The Role of the Committee on the Rights of the Child in Interpreting and Developing International Humanitarian Law</w:t>
      </w:r>
      <w:r>
        <w:rPr>
          <w:lang w:val="en-US"/>
        </w:rPr>
        <w:t>.</w:t>
      </w:r>
      <w:r w:rsidRPr="001651DD">
        <w:rPr>
          <w:lang w:val="en-US"/>
        </w:rPr>
        <w:t xml:space="preserve"> Harvard Human Rights Journal / Vol. 24.</w:t>
      </w:r>
      <w:r>
        <w:rPr>
          <w:lang w:val="en-US"/>
        </w:rPr>
        <w:t xml:space="preserve"> </w:t>
      </w:r>
      <w:r w:rsidRPr="001651DD">
        <w:rPr>
          <w:lang w:val="en-US"/>
        </w:rPr>
        <w:t xml:space="preserve">Available at: http://harvardhrj.com/wp-content/uploads/2009/09/115-154.pdf </w:t>
      </w:r>
      <w:r>
        <w:rPr>
          <w:lang w:val="en-US"/>
        </w:rPr>
        <w:t xml:space="preserve">      pp</w:t>
      </w:r>
      <w:r w:rsidRPr="001651DD">
        <w:rPr>
          <w:lang w:val="en-US"/>
        </w:rPr>
        <w:t>.</w:t>
      </w:r>
      <w:r>
        <w:rPr>
          <w:lang w:val="en-US"/>
        </w:rPr>
        <w:t xml:space="preserve"> 123, </w:t>
      </w:r>
      <w:r w:rsidRPr="001651DD">
        <w:rPr>
          <w:lang w:val="en-US"/>
        </w:rPr>
        <w:t>128.</w:t>
      </w:r>
      <w:bookmarkEnd w:id="64"/>
      <w:bookmarkEnd w:id="65"/>
    </w:p>
  </w:footnote>
  <w:footnote w:id="68">
    <w:p w14:paraId="130325CA" w14:textId="0A90F5FB" w:rsidR="00172411" w:rsidRDefault="00172411" w:rsidP="00D84F73">
      <w:pPr>
        <w:pStyle w:val="Textonotapie"/>
        <w:spacing w:line="240" w:lineRule="atLeast"/>
        <w:ind w:firstLine="0"/>
      </w:pPr>
      <w:r>
        <w:rPr>
          <w:sz w:val="22"/>
          <w:szCs w:val="22"/>
          <w:vertAlign w:val="superscript"/>
        </w:rPr>
        <w:footnoteRef/>
      </w:r>
      <w:r>
        <w:rPr>
          <w:sz w:val="22"/>
          <w:szCs w:val="22"/>
          <w:vertAlign w:val="superscript"/>
        </w:rPr>
        <w:t xml:space="preserve"> </w:t>
      </w:r>
      <w:r>
        <w:t>Convención sobre los Derechos del Niño. Artículo 41 Nada de lo dispuesto en la presente Convención afectará a las disposiciones que sean más conducentes a la realización de los derechos del niño y que puedan estar recogidas en:</w:t>
      </w:r>
    </w:p>
    <w:p w14:paraId="35856D0B" w14:textId="76BD560F" w:rsidR="00172411" w:rsidRDefault="00172411" w:rsidP="001F6FE4">
      <w:pPr>
        <w:pStyle w:val="Textonotapie"/>
        <w:spacing w:line="240" w:lineRule="atLeast"/>
        <w:ind w:firstLine="0"/>
      </w:pPr>
      <w:r>
        <w:t>a) El derecho de un Estado Parte; o b) El derecho internacional vigente con respecto a dicho Estado.</w:t>
      </w:r>
    </w:p>
  </w:footnote>
  <w:footnote w:id="69">
    <w:p w14:paraId="14F006A7" w14:textId="77777777" w:rsidR="00172411" w:rsidRDefault="00172411" w:rsidP="00663E2D">
      <w:pPr>
        <w:pStyle w:val="Textonotapie"/>
        <w:ind w:firstLine="0"/>
        <w:rPr>
          <w:rFonts w:ascii="Calibri" w:hAnsi="Calibri"/>
          <w:lang w:val="es-MX" w:eastAsia="en-US"/>
        </w:rPr>
      </w:pPr>
      <w:r>
        <w:rPr>
          <w:rStyle w:val="Refdenotaalpie"/>
        </w:rPr>
        <w:footnoteRef/>
      </w:r>
      <w:r>
        <w:rPr>
          <w:lang w:val="es-MX"/>
        </w:rPr>
        <w:t xml:space="preserve"> </w:t>
      </w:r>
      <w:bookmarkStart w:id="68" w:name="OLE_LINK64"/>
      <w:bookmarkStart w:id="69" w:name="OLE_LINK67"/>
      <w:r>
        <w:t xml:space="preserve">Gobierno Cuba, 2016. CERD/C/CUB/19-21 Informe Gobierno Cuba- State party's report 2013. Disponible: </w:t>
      </w:r>
      <w:hyperlink r:id="rId22" w:history="1">
        <w:r>
          <w:rPr>
            <w:rStyle w:val="Hipervnculo"/>
          </w:rPr>
          <w:t>http://tbinternet.ohchr.org/_layouts/treatybodyexternal/Download.aspx?symbolno=CERD%2FC%2FCUB%2F19-21&amp;Lang=en</w:t>
        </w:r>
      </w:hyperlink>
    </w:p>
    <w:bookmarkEnd w:id="68"/>
    <w:bookmarkEnd w:id="69"/>
  </w:footnote>
  <w:footnote w:id="70">
    <w:p w14:paraId="0A9700BB" w14:textId="77777777" w:rsidR="00172411" w:rsidRDefault="00172411" w:rsidP="00304C87">
      <w:pPr>
        <w:spacing w:after="0" w:line="240" w:lineRule="atLeast"/>
        <w:rPr>
          <w:rFonts w:ascii="Times New Roman" w:hAnsi="Times New Roman"/>
          <w:sz w:val="20"/>
          <w:szCs w:val="20"/>
          <w:lang w:val="en-US"/>
        </w:rPr>
      </w:pPr>
      <w:r>
        <w:rPr>
          <w:rStyle w:val="Refdenotaalpie"/>
        </w:rPr>
        <w:footnoteRef/>
      </w:r>
      <w:r>
        <w:rPr>
          <w:lang w:val="en-US"/>
        </w:rPr>
        <w:t xml:space="preserve"> </w:t>
      </w:r>
      <w:r w:rsidRPr="00304C87">
        <w:rPr>
          <w:rFonts w:ascii="Times New Roman" w:hAnsi="Times New Roman"/>
          <w:sz w:val="20"/>
          <w:szCs w:val="20"/>
          <w:lang w:val="en-US"/>
        </w:rPr>
        <w:t xml:space="preserve">Mesa-Lago, Carmelo. 2004. </w:t>
      </w:r>
      <w:r w:rsidRPr="00304C87">
        <w:rPr>
          <w:rFonts w:ascii="Times New Roman" w:hAnsi="Times New Roman"/>
          <w:i/>
          <w:sz w:val="20"/>
          <w:szCs w:val="20"/>
          <w:lang w:val="en-US"/>
        </w:rPr>
        <w:t>Achievement and deterioration of universal access to social services in Cuba</w:t>
      </w:r>
      <w:r w:rsidRPr="00304C87">
        <w:rPr>
          <w:rFonts w:ascii="Times New Roman" w:hAnsi="Times New Roman"/>
          <w:sz w:val="20"/>
          <w:szCs w:val="20"/>
          <w:lang w:val="en-US"/>
        </w:rPr>
        <w:t xml:space="preserve">. Washington, DC: World Bank. Available: </w:t>
      </w:r>
      <w:hyperlink r:id="rId23" w:history="1">
        <w:r w:rsidRPr="00304C87">
          <w:rPr>
            <w:rFonts w:ascii="Times New Roman" w:hAnsi="Times New Roman"/>
            <w:sz w:val="20"/>
            <w:szCs w:val="20"/>
            <w:lang w:val="en-US"/>
          </w:rPr>
          <w:t>http://documents.worldbank.org/curated/en/2004/05/5490661/achievement-deterioration-universal-access-social-services-cuba</w:t>
        </w:r>
      </w:hyperlink>
      <w:r w:rsidRPr="00304C87">
        <w:rPr>
          <w:rFonts w:ascii="Times New Roman" w:hAnsi="Times New Roman"/>
          <w:sz w:val="20"/>
          <w:szCs w:val="20"/>
          <w:lang w:val="en-US"/>
        </w:rPr>
        <w:t xml:space="preserve"> … Cuban programs have been implemented nationally without previous local testing to detect flaws, improve efficiency and cut costs; such approach has led to failures, inefficiencies and high costs… The free provision of social services needs to be transformed in order to take income into account and the unchained resources targeted to provide social assistance to the population under the poverty line, particularly the extreme poor whose income is insufficient to satisfy basic food needs, destitute women and children, pensioners with very low income and the poorest provinces</w:t>
      </w:r>
      <w:r>
        <w:rPr>
          <w:rFonts w:ascii="Times New Roman" w:hAnsi="Times New Roman"/>
          <w:sz w:val="20"/>
          <w:szCs w:val="20"/>
          <w:lang w:val="en-US"/>
        </w:rPr>
        <w:t>.</w:t>
      </w:r>
    </w:p>
  </w:footnote>
  <w:footnote w:id="71">
    <w:p w14:paraId="5E03CBEA" w14:textId="699F74DF" w:rsidR="00172411" w:rsidRDefault="00172411" w:rsidP="007373D0">
      <w:pPr>
        <w:pStyle w:val="Textonotapie"/>
        <w:spacing w:line="276" w:lineRule="auto"/>
        <w:ind w:firstLine="0"/>
        <w:rPr>
          <w:lang w:val="es-ES"/>
        </w:rPr>
      </w:pPr>
      <w:r>
        <w:rPr>
          <w:rStyle w:val="Refdenotaalpie"/>
        </w:rPr>
        <w:footnoteRef/>
      </w:r>
      <w:r>
        <w:t xml:space="preserve"> Joan Subirats . </w:t>
      </w:r>
      <w:r>
        <w:rPr>
          <w:lang w:val="es-ES"/>
        </w:rPr>
        <w:t xml:space="preserve">2008. Capítulo 9. </w:t>
      </w:r>
      <w:r w:rsidRPr="00663E2D">
        <w:rPr>
          <w:i/>
          <w:lang w:val="es-ES"/>
        </w:rPr>
        <w:t>La implementación de las políticas públicas</w:t>
      </w:r>
      <w:r>
        <w:rPr>
          <w:lang w:val="es-ES"/>
        </w:rPr>
        <w:t xml:space="preserve">. </w:t>
      </w:r>
      <w:r>
        <w:t>Disponible:</w:t>
      </w:r>
      <w:r>
        <w:rPr>
          <w:lang w:val="es-ES"/>
        </w:rPr>
        <w:t xml:space="preserve"> </w:t>
      </w:r>
      <w:hyperlink r:id="rId24" w:history="1">
        <w:r>
          <w:rPr>
            <w:rStyle w:val="Hipervnculo"/>
          </w:rPr>
          <w:t>http://igop.uab.cat/wp-content/uploads/2014/01/subirats2aparte1.pdf</w:t>
        </w:r>
      </w:hyperlink>
      <w:r>
        <w:rPr>
          <w:lang w:val="es-ES"/>
        </w:rPr>
        <w:t xml:space="preserve">  Pag.5</w:t>
      </w:r>
    </w:p>
  </w:footnote>
  <w:footnote w:id="72">
    <w:p w14:paraId="52B2C2DF" w14:textId="52610E07" w:rsidR="00172411" w:rsidRDefault="00172411" w:rsidP="007373D0">
      <w:pPr>
        <w:pStyle w:val="Textonotapie"/>
        <w:spacing w:line="276" w:lineRule="auto"/>
        <w:ind w:firstLine="0"/>
        <w:rPr>
          <w:lang w:val="en-US"/>
        </w:rPr>
      </w:pPr>
      <w:r>
        <w:rPr>
          <w:rStyle w:val="Refdenotaalpie"/>
        </w:rPr>
        <w:footnoteRef/>
      </w:r>
      <w:r>
        <w:rPr>
          <w:lang w:val="en-US"/>
        </w:rPr>
        <w:t xml:space="preserve">    Ann Janette Rosga and Margaret L. Satterthwaie, </w:t>
      </w:r>
      <w:r w:rsidRPr="00663E2D">
        <w:rPr>
          <w:i/>
          <w:lang w:val="en-US"/>
        </w:rPr>
        <w:t>The Trust in Indicators: Measuring Human Rights</w:t>
      </w:r>
      <w:r>
        <w:rPr>
          <w:lang w:val="en-US"/>
        </w:rPr>
        <w:t xml:space="preserve">, 27 Berkeley J. Int'l Law. 253 (2009). Available at: </w:t>
      </w:r>
      <w:r>
        <w:rPr>
          <w:sz w:val="22"/>
          <w:szCs w:val="22"/>
          <w:lang w:val="en-US"/>
        </w:rPr>
        <w:t xml:space="preserve"> </w:t>
      </w:r>
      <w:hyperlink r:id="rId25" w:history="1">
        <w:r>
          <w:rPr>
            <w:rStyle w:val="Hipervnculo"/>
            <w:color w:val="auto"/>
            <w:lang w:val="en-US"/>
          </w:rPr>
          <w:t>http://scholarship.law.berkeley.edu/bjil/vol27/iss2/1</w:t>
        </w:r>
      </w:hyperlink>
      <w:r>
        <w:rPr>
          <w:lang w:val="en-US"/>
        </w:rPr>
        <w:t xml:space="preserve">  Link to publisher version (DOI) </w:t>
      </w:r>
      <w:hyperlink r:id="rId26" w:history="1">
        <w:r>
          <w:rPr>
            <w:rStyle w:val="Hipervnculo"/>
            <w:color w:val="auto"/>
            <w:lang w:val="en-US"/>
          </w:rPr>
          <w:t>http://dx.doi.org/doi:10.15779/Z38G07R</w:t>
        </w:r>
      </w:hyperlink>
      <w:r>
        <w:rPr>
          <w:sz w:val="22"/>
          <w:szCs w:val="22"/>
          <w:lang w:val="en-US"/>
        </w:rPr>
        <w:t xml:space="preserve">   </w:t>
      </w:r>
      <w:r>
        <w:rPr>
          <w:lang w:val="en-US"/>
        </w:rPr>
        <w:t>Page 14 …Conversely, the same form of question seemed not to address crucial issues with respect to ESC rights: if a practitioner asked whether people in a given State were working for a wage that would not support a decent life, the answer to the question might-or might not determine whether there was a violation of the right. This was because a State, for example, could be earnestly working to set up a minimum wage regime while large numbers of individual workers still suffered. Such earnest and concrete steps by a State would suggest that the State was living up to its obligation to "recognize" the right and thus was not violating the treaty. On the other hand, the State could be turning a blind eye to the problem, taking no action to improve workers' wages, a situation that would suggest the State was not "recognizing" the rights of those under its jurisdiction, and thus presumably was violating the Covenant.</w:t>
      </w:r>
    </w:p>
  </w:footnote>
  <w:footnote w:id="73">
    <w:p w14:paraId="2EEAD04F" w14:textId="77777777" w:rsidR="00172411" w:rsidRPr="00071AF0" w:rsidRDefault="00172411" w:rsidP="00D84F73">
      <w:pPr>
        <w:pStyle w:val="Textonotapie"/>
        <w:spacing w:line="240" w:lineRule="atLeast"/>
        <w:ind w:firstLine="0"/>
        <w:rPr>
          <w:rFonts w:ascii="Calibri" w:hAnsi="Calibri"/>
          <w:sz w:val="18"/>
          <w:szCs w:val="18"/>
          <w:lang w:val="es-MX" w:eastAsia="en-US"/>
        </w:rPr>
      </w:pPr>
      <w:r>
        <w:rPr>
          <w:rStyle w:val="Refdenotaalpie"/>
        </w:rPr>
        <w:footnoteRef/>
      </w:r>
      <w:r>
        <w:t xml:space="preserve"> Gobierno Cuba, 2016. CERD/C/CUB/19-21. Informe Gobierno Cuba- State party's report 2013. Disponible: </w:t>
      </w:r>
      <w:hyperlink r:id="rId27" w:history="1">
        <w:r w:rsidRPr="00071AF0">
          <w:rPr>
            <w:rStyle w:val="Hipervnculo"/>
            <w:sz w:val="18"/>
            <w:szCs w:val="18"/>
          </w:rPr>
          <w:t>http://tbinternet.ohchr.org/_layouts/treatybodyexternal/Download.aspx?symbolno=CERD%2FC%2FCUB%2F19-21&amp;Lang=en</w:t>
        </w:r>
      </w:hyperlink>
    </w:p>
    <w:p w14:paraId="014644BD" w14:textId="0911E8FD" w:rsidR="00172411" w:rsidRDefault="00172411" w:rsidP="00D84F73">
      <w:pPr>
        <w:pStyle w:val="Textonotapie"/>
        <w:spacing w:line="240" w:lineRule="atLeast"/>
        <w:ind w:firstLine="0"/>
        <w:rPr>
          <w:lang w:val="es-ES"/>
        </w:rPr>
      </w:pPr>
      <w:r>
        <w:t xml:space="preserve">Párrafo 54 y 55. Pag.9. Párrafo 159 y160, pág. 22 (…) </w:t>
      </w:r>
      <w:r>
        <w:rPr>
          <w:lang w:val="es-ES"/>
        </w:rPr>
        <w:t xml:space="preserve">Hasta el momento ningunas de las violaciones de la legalidad que han sido presentadas ante esa instancia y tramitadas por la misma ha estado vinculada a la discriminación racial. </w:t>
      </w:r>
      <w:r>
        <w:t xml:space="preserve">(…) </w:t>
      </w:r>
      <w:r>
        <w:rPr>
          <w:lang w:val="es-ES"/>
        </w:rPr>
        <w:t xml:space="preserve"> 55. Aun cuando no han sido formuladas quejas o denuncias ante los órganos legales correspondientes, en estructuras no gubernamentales como la Comisión José Antonio Aponte de la UNEAC se han registrado quejas motivadas por actos de discriminación por el color de la piel, las cuales han sido trasladadas directamente a los organismos estatales correspondientes, habiéndose adoptado las medidas administrativas pertinentes. Ninguno de dichos casos implicó la apertura de procesos judiciales por discriminación.</w:t>
      </w:r>
      <w:r>
        <w:t xml:space="preserve"> (…) </w:t>
      </w:r>
      <w:r>
        <w:rPr>
          <w:lang w:val="es-ES"/>
        </w:rPr>
        <w:t xml:space="preserve"> 159. Aunque existen las disposiciones jurídicas que permiten su invocación para el inicio de actuaciones penales ante los tribunales por actos de racismo, hasta la fecha no se han presentado ante los tribunales cubanos casos de esa naturaleza. 160. En el período que cubre el presente informe no consta información sobre la invocación ante tribunales cubanos de la aplicación del artículo 295 del Código Penal, que estipula el delito contra la discriminación. De igual manera tampoco ha sido invocado el artículo 120 del propio cuerpo legal, que prevé la pena de muerte para casos de delitos de</w:t>
      </w:r>
      <w:r>
        <w:t xml:space="preserve"> </w:t>
      </w:r>
      <w:r>
        <w:rPr>
          <w:lang w:val="es-ES"/>
        </w:rPr>
        <w:t>segregación racial, sin que existan antecedentes de su aplicación en la historia judicial post revolucionaria del país…</w:t>
      </w:r>
    </w:p>
  </w:footnote>
  <w:footnote w:id="74">
    <w:p w14:paraId="3FCA2CFA" w14:textId="5CCEACA3" w:rsidR="00172411" w:rsidRDefault="00172411" w:rsidP="001B02B4">
      <w:pPr>
        <w:spacing w:after="0"/>
        <w:rPr>
          <w:rFonts w:ascii="Times New Roman" w:hAnsi="Times New Roman"/>
          <w:sz w:val="20"/>
          <w:szCs w:val="20"/>
        </w:rPr>
      </w:pPr>
      <w:r>
        <w:rPr>
          <w:rFonts w:ascii="Times New Roman" w:hAnsi="Times New Roman"/>
          <w:sz w:val="20"/>
          <w:szCs w:val="20"/>
          <w:vertAlign w:val="superscript"/>
        </w:rPr>
        <w:footnoteRef/>
      </w:r>
      <w:r>
        <w:rPr>
          <w:rFonts w:ascii="Times New Roman" w:hAnsi="Times New Roman"/>
          <w:sz w:val="20"/>
          <w:szCs w:val="20"/>
        </w:rPr>
        <w:t xml:space="preserve"> Redacción IPS Cuba. 9 octubre, 2017. </w:t>
      </w:r>
      <w:r w:rsidRPr="0085549A">
        <w:rPr>
          <w:rFonts w:ascii="Times New Roman" w:hAnsi="Times New Roman"/>
          <w:i/>
          <w:sz w:val="20"/>
          <w:szCs w:val="20"/>
        </w:rPr>
        <w:t>Fiscalía cubana se pronuncia sobre caso de racismo</w:t>
      </w:r>
      <w:r>
        <w:rPr>
          <w:rFonts w:ascii="Times New Roman" w:hAnsi="Times New Roman"/>
          <w:sz w:val="20"/>
          <w:szCs w:val="20"/>
        </w:rPr>
        <w:t xml:space="preserve">. Disponible:  </w:t>
      </w:r>
      <w:hyperlink r:id="rId28" w:history="1">
        <w:r w:rsidRPr="002F1ABD">
          <w:rPr>
            <w:rStyle w:val="Hipervnculo"/>
            <w:rFonts w:ascii="Times New Roman" w:hAnsi="Times New Roman"/>
            <w:color w:val="auto"/>
            <w:sz w:val="20"/>
            <w:szCs w:val="20"/>
          </w:rPr>
          <w:t>http://www.ipscuba.net/sociedad/fiscalia-cubana</w:t>
        </w:r>
      </w:hyperlink>
      <w:r w:rsidRPr="002F1ABD">
        <w:rPr>
          <w:rFonts w:ascii="Times New Roman" w:hAnsi="Times New Roman"/>
          <w:sz w:val="20"/>
          <w:szCs w:val="20"/>
        </w:rPr>
        <w:t xml:space="preserve">... </w:t>
      </w:r>
      <w:r>
        <w:rPr>
          <w:rFonts w:ascii="Times New Roman" w:hAnsi="Times New Roman"/>
          <w:sz w:val="20"/>
          <w:szCs w:val="20"/>
        </w:rPr>
        <w:t xml:space="preserve">En julio, el semanario Trabajadores </w:t>
      </w:r>
      <w:r>
        <w:rPr>
          <w:rFonts w:ascii="Times New Roman" w:hAnsi="Times New Roman"/>
          <w:sz w:val="18"/>
          <w:szCs w:val="18"/>
        </w:rPr>
        <w:t>(</w:t>
      </w:r>
      <w:hyperlink r:id="rId29" w:history="1">
        <w:r w:rsidRPr="0085549A">
          <w:rPr>
            <w:rFonts w:ascii="Times New Roman" w:hAnsi="Times New Roman"/>
            <w:sz w:val="20"/>
            <w:szCs w:val="20"/>
          </w:rPr>
          <w:t>http://www.trabajadores.cu/20171001/justeza-y-ensenanza/</w:t>
        </w:r>
      </w:hyperlink>
      <w:r>
        <w:rPr>
          <w:rFonts w:ascii="Times New Roman" w:hAnsi="Times New Roman"/>
          <w:sz w:val="18"/>
          <w:szCs w:val="18"/>
        </w:rPr>
        <w:t>)</w:t>
      </w:r>
      <w:r>
        <w:rPr>
          <w:sz w:val="18"/>
          <w:szCs w:val="18"/>
        </w:rPr>
        <w:t xml:space="preserve"> </w:t>
      </w:r>
      <w:r>
        <w:rPr>
          <w:rFonts w:ascii="Times New Roman" w:hAnsi="Times New Roman"/>
          <w:sz w:val="20"/>
          <w:szCs w:val="20"/>
        </w:rPr>
        <w:t>publicó la historia de una joven que aseguró haber sido obligada a bajar de un taxi privado debido al color de su piel… La revocación de la medida cautelar de prisión provisional y la imposición de una multa administrativa parecen poner fin a un caso de racismo denunciado por el semanario Trabajadores, aunque sigue pendiente el reclamo ciudadano de reforzar las leyes antidiscriminatorias en Cuba…Un artículo publicado el 1 de octubre en la página</w:t>
      </w:r>
      <w:r>
        <w:t xml:space="preserve"> </w:t>
      </w:r>
      <w:r>
        <w:rPr>
          <w:rFonts w:ascii="Times New Roman" w:hAnsi="Times New Roman"/>
          <w:sz w:val="20"/>
          <w:szCs w:val="20"/>
        </w:rPr>
        <w:t>digital del medio de prensa dio cuenta de la respuesta de Fiscalía General de la República (FGR)</w:t>
      </w:r>
      <w:r>
        <w:t xml:space="preserve"> </w:t>
      </w:r>
      <w:r>
        <w:rPr>
          <w:rFonts w:ascii="Times New Roman" w:hAnsi="Times New Roman"/>
          <w:sz w:val="20"/>
          <w:szCs w:val="20"/>
        </w:rPr>
        <w:t>(http://www.trabajadores.cu/20171001/justeza-y-ensenanza/), tras una investigación. “En la unidad de la Policía Nacional</w:t>
      </w:r>
      <w:r>
        <w:t xml:space="preserve"> </w:t>
      </w:r>
      <w:r>
        <w:rPr>
          <w:rFonts w:ascii="Times New Roman" w:hAnsi="Times New Roman"/>
          <w:sz w:val="20"/>
          <w:szCs w:val="20"/>
        </w:rPr>
        <w:t xml:space="preserve">Revolucionaria de Playa –en La Habana-, el acusado Roberto Reguidor Contreras se disculpó ante la víctima Yanay Aguirre Calderín, quien aceptó las disculpas”, indicó… </w:t>
      </w:r>
    </w:p>
  </w:footnote>
  <w:footnote w:id="75">
    <w:p w14:paraId="20DEDD0F" w14:textId="46B8D8E5" w:rsidR="00172411" w:rsidRDefault="00172411" w:rsidP="0085549A">
      <w:pPr>
        <w:pStyle w:val="Sinespaciado"/>
        <w:spacing w:after="0" w:afterAutospacing="0"/>
        <w:ind w:left="0" w:firstLine="0"/>
        <w:rPr>
          <w:rFonts w:ascii="Times New Roman" w:hAnsi="Times New Roman"/>
          <w:sz w:val="20"/>
          <w:szCs w:val="20"/>
          <w:lang w:val="es-ES"/>
        </w:rPr>
      </w:pPr>
      <w:r>
        <w:rPr>
          <w:rStyle w:val="Refdenotaalpie"/>
        </w:rPr>
        <w:footnoteRef/>
      </w:r>
      <w:r>
        <w:t xml:space="preserve"> </w:t>
      </w:r>
      <w:r>
        <w:rPr>
          <w:rFonts w:ascii="Times New Roman" w:hAnsi="Times New Roman"/>
          <w:sz w:val="20"/>
          <w:szCs w:val="20"/>
          <w:lang w:val="es-ES"/>
        </w:rPr>
        <w:t xml:space="preserve">Convención Internacional Sobre la Eliminación de Todas las Formas de Discriminación Racial. 2012. </w:t>
      </w:r>
      <w:r w:rsidRPr="0085549A">
        <w:rPr>
          <w:rFonts w:ascii="Times New Roman" w:hAnsi="Times New Roman"/>
          <w:i/>
          <w:sz w:val="20"/>
          <w:szCs w:val="20"/>
          <w:lang w:val="es-ES"/>
        </w:rPr>
        <w:t>Selección De Decisiones del Comité para La Eliminación De La Discriminación Racial. Volumen I</w:t>
      </w:r>
      <w:r>
        <w:rPr>
          <w:rFonts w:ascii="Times New Roman" w:hAnsi="Times New Roman"/>
          <w:sz w:val="20"/>
          <w:szCs w:val="20"/>
          <w:lang w:val="es-ES"/>
        </w:rPr>
        <w:t>. Períodos de sesiones 36º a 75º (agosto 1988 a agosto 2011)  Disponible:</w:t>
      </w:r>
      <w:r>
        <w:rPr>
          <w:rFonts w:ascii="Times New Roman" w:hAnsi="Times New Roman"/>
          <w:lang w:val="es-ES"/>
        </w:rPr>
        <w:t xml:space="preserve"> </w:t>
      </w:r>
      <w:r>
        <w:rPr>
          <w:rFonts w:ascii="Times New Roman" w:hAnsi="Times New Roman"/>
          <w:sz w:val="20"/>
          <w:szCs w:val="20"/>
          <w:lang w:val="es-ES"/>
        </w:rPr>
        <w:t xml:space="preserve">  http://www.ohchr.org/Documents/Publications/CERDSelectedDecisionsVolume1_sp.pdf  Pag.80.  7… artículo 6 de la Convención, el Comité recomienda que el Estado parte adopte las medidas necesarias para garantizar que las reclamaciones de las víctimas de discriminación racial que pidan satisfacción o reparación justa y adecuada de conformidad con el artículo 6 de la Convención, incluida la indemnización económica, se examinen teniendo debidamente en cuenta los casos en que la discriminación no haya entrañado daños corporales sino humillaciones o sufrimientos similares.</w:t>
      </w:r>
    </w:p>
  </w:footnote>
  <w:footnote w:id="76">
    <w:p w14:paraId="20D3552E" w14:textId="266C8711" w:rsidR="00172411" w:rsidRDefault="00172411" w:rsidP="00D84F73">
      <w:pPr>
        <w:pStyle w:val="Textonotapie"/>
        <w:spacing w:line="240" w:lineRule="atLeast"/>
        <w:ind w:firstLine="0"/>
        <w:rPr>
          <w:rFonts w:ascii="Calibri" w:hAnsi="Calibri"/>
          <w:lang w:eastAsia="en-US"/>
        </w:rPr>
      </w:pPr>
      <w:r>
        <w:rPr>
          <w:rStyle w:val="Refdenotaalpie"/>
        </w:rPr>
        <w:footnoteRef/>
      </w:r>
      <w:r>
        <w:t xml:space="preserve"> Gobierno Cuba, 2016. CERD/C/CUB/19-21 Informe Gobierno Cuba- State party's report 2013. Disponible: </w:t>
      </w:r>
      <w:hyperlink r:id="rId30" w:history="1">
        <w:r>
          <w:rPr>
            <w:rStyle w:val="Hipervnculo"/>
          </w:rPr>
          <w:t>http://tbinternet.ohchr.org/_layouts/treatybodyexternal/Download.aspx?symbolno=CERD%2FC%2FCUB%2F19-21&amp;Lang=en</w:t>
        </w:r>
      </w:hyperlink>
      <w:r>
        <w:t xml:space="preserve"> </w:t>
      </w:r>
    </w:p>
  </w:footnote>
  <w:footnote w:id="77">
    <w:p w14:paraId="1070F81D" w14:textId="77777777" w:rsidR="00172411" w:rsidRDefault="00172411" w:rsidP="00D84F73">
      <w:pPr>
        <w:pStyle w:val="Sinespaciado"/>
        <w:spacing w:after="0" w:afterAutospacing="0" w:line="240" w:lineRule="atLeast"/>
        <w:ind w:left="0" w:firstLine="0"/>
        <w:rPr>
          <w:rFonts w:ascii="Times New Roman" w:hAnsi="Times New Roman"/>
          <w:sz w:val="20"/>
          <w:szCs w:val="20"/>
          <w:lang w:val="es-ES"/>
        </w:rPr>
      </w:pPr>
      <w:r>
        <w:rPr>
          <w:rStyle w:val="Refdenotaalpie"/>
        </w:rPr>
        <w:footnoteRef/>
      </w:r>
      <w:r>
        <w:rPr>
          <w:lang w:val="en-US"/>
        </w:rPr>
        <w:t xml:space="preserve"> </w:t>
      </w:r>
      <w:r>
        <w:rPr>
          <w:rFonts w:ascii="Times New Roman" w:hAnsi="Times New Roman"/>
          <w:sz w:val="20"/>
          <w:szCs w:val="20"/>
          <w:lang w:val="en-US"/>
        </w:rPr>
        <w:t xml:space="preserve">Mary Anastasia O'Grady .March 31, 2013. </w:t>
      </w:r>
      <w:r w:rsidRPr="0085549A">
        <w:rPr>
          <w:rFonts w:ascii="Times New Roman" w:hAnsi="Times New Roman"/>
          <w:i/>
          <w:sz w:val="20"/>
          <w:szCs w:val="20"/>
          <w:lang w:val="en-US"/>
        </w:rPr>
        <w:t>WSJ on Sonia Garro: Two Easters in Castro's Dungeons</w:t>
      </w:r>
      <w:r>
        <w:rPr>
          <w:rFonts w:ascii="Times New Roman" w:hAnsi="Times New Roman"/>
          <w:sz w:val="20"/>
          <w:szCs w:val="20"/>
          <w:lang w:val="en-US"/>
        </w:rPr>
        <w:t xml:space="preserve">. The Wall Street Journal. Available </w:t>
      </w:r>
      <w:hyperlink r:id="rId31" w:history="1">
        <w:r>
          <w:rPr>
            <w:rStyle w:val="Hipervnculo"/>
            <w:color w:val="auto"/>
            <w:sz w:val="20"/>
            <w:szCs w:val="20"/>
            <w:lang w:val="en-US"/>
          </w:rPr>
          <w:t>http://www.capitolhillcubans.com/2013/03/wsj-on-sonia-garro-two-easters-in.html</w:t>
        </w:r>
      </w:hyperlink>
      <w:r>
        <w:rPr>
          <w:rFonts w:ascii="Times New Roman" w:hAnsi="Times New Roman"/>
          <w:sz w:val="20"/>
          <w:szCs w:val="20"/>
          <w:lang w:val="en-US"/>
        </w:rPr>
        <w:t xml:space="preserve">   For speaking about human rights, Sonia Garro has been held in prison without charge since March 18, 2012… Ms.</w:t>
      </w:r>
      <w:r>
        <w:rPr>
          <w:lang w:val="en-US"/>
        </w:rPr>
        <w:t xml:space="preserve"> </w:t>
      </w:r>
      <w:r>
        <w:rPr>
          <w:rFonts w:ascii="Times New Roman" w:hAnsi="Times New Roman"/>
          <w:sz w:val="20"/>
          <w:szCs w:val="20"/>
          <w:lang w:val="en-US"/>
        </w:rPr>
        <w:t xml:space="preserve">Garro is poor, black, generous in spirit and nonconformist—in short everything the regime detests and fears. </w:t>
      </w:r>
      <w:r>
        <w:rPr>
          <w:rFonts w:ascii="Times New Roman" w:hAnsi="Times New Roman"/>
          <w:sz w:val="20"/>
          <w:szCs w:val="20"/>
          <w:lang w:val="es-ES"/>
        </w:rPr>
        <w:t>Born in 1975…</w:t>
      </w:r>
    </w:p>
  </w:footnote>
  <w:footnote w:id="78">
    <w:p w14:paraId="58EB238F" w14:textId="77777777" w:rsidR="00172411" w:rsidRDefault="00172411" w:rsidP="007373D0">
      <w:pPr>
        <w:pStyle w:val="Textonotapie"/>
        <w:ind w:firstLine="0"/>
        <w:rPr>
          <w:lang w:val="es-MX"/>
        </w:rPr>
      </w:pPr>
      <w:r>
        <w:rPr>
          <w:rStyle w:val="Refdenotaalpie"/>
        </w:rPr>
        <w:footnoteRef/>
      </w:r>
      <w:r>
        <w:t xml:space="preserve"> Corte Interamericana de Derechos Humanos.2012. </w:t>
      </w:r>
      <w:r w:rsidRPr="0085549A">
        <w:rPr>
          <w:i/>
        </w:rPr>
        <w:t>CUBA</w:t>
      </w:r>
      <w:r>
        <w:t xml:space="preserve">.  Disponible:          </w:t>
      </w:r>
      <w:hyperlink r:id="rId32" w:history="1">
        <w:r>
          <w:rPr>
            <w:rStyle w:val="Hipervnculo"/>
          </w:rPr>
          <w:t>http://www.acnur.org/fileadmin/scripts/doc.php?file=uploads/media/2864_informe_CiDH_Cuba_2012</w:t>
        </w:r>
      </w:hyperlink>
      <w:r>
        <w:t xml:space="preserve">  Párrafo. 144</w:t>
      </w:r>
    </w:p>
  </w:footnote>
  <w:footnote w:id="79">
    <w:p w14:paraId="11889CCA" w14:textId="77777777" w:rsidR="00172411" w:rsidRDefault="00172411" w:rsidP="007373D0">
      <w:pPr>
        <w:pStyle w:val="Textonotapie"/>
        <w:ind w:firstLine="0"/>
      </w:pPr>
      <w:r>
        <w:rPr>
          <w:rStyle w:val="Refdenotaalpie"/>
        </w:rPr>
        <w:footnoteRef/>
      </w:r>
      <w:r>
        <w:t xml:space="preserve"> Informe del Comité para la Eliminación de la Discriminación Racial de Naciones Unidas. 8 de abril de 2011. Disponible en: http://daccess-dds-ny.un.org/doc/UNDOC/GEN/G11/420/06/PDF/G1142006.pdf?OpenElement</w:t>
      </w:r>
    </w:p>
  </w:footnote>
  <w:footnote w:id="80">
    <w:p w14:paraId="107BE7B3" w14:textId="6B8707A9" w:rsidR="00172411" w:rsidRPr="0071721A" w:rsidRDefault="00172411" w:rsidP="00EB55F6">
      <w:pPr>
        <w:pStyle w:val="Textonotapie"/>
        <w:ind w:firstLine="0"/>
        <w:rPr>
          <w:lang w:val="es-ES"/>
        </w:rPr>
      </w:pPr>
      <w:r>
        <w:rPr>
          <w:rStyle w:val="Refdenotaalpie"/>
        </w:rPr>
        <w:footnoteRef/>
      </w:r>
      <w:r>
        <w:t xml:space="preserve"> Eduardo Palomares Caldero. Abril, 2018.</w:t>
      </w:r>
      <w:r w:rsidRPr="0085549A">
        <w:rPr>
          <w:i/>
        </w:rPr>
        <w:t>Nuestros diputados cuentan con méritos y cualidades suficientes</w:t>
      </w:r>
      <w:r>
        <w:t xml:space="preserve">…Granma. Suplemento Especial. </w:t>
      </w:r>
      <w:r w:rsidRPr="0071721A">
        <w:rPr>
          <w:lang w:val="es-ES"/>
        </w:rPr>
        <w:t>Edición Impresa. Pag.2 Negros y mestizos 40,66. Mujeres 53,22%</w:t>
      </w:r>
    </w:p>
  </w:footnote>
  <w:footnote w:id="81">
    <w:p w14:paraId="40F3BE1C" w14:textId="77777777" w:rsidR="00172411" w:rsidRDefault="00172411" w:rsidP="007373D0">
      <w:pPr>
        <w:pStyle w:val="Textonotapie"/>
        <w:spacing w:line="276" w:lineRule="auto"/>
        <w:ind w:firstLine="0"/>
        <w:rPr>
          <w:lang w:val="en-US"/>
        </w:rPr>
      </w:pPr>
      <w:r>
        <w:rPr>
          <w:rStyle w:val="Refdenotaalpie"/>
        </w:rPr>
        <w:footnoteRef/>
      </w:r>
      <w:r w:rsidRPr="002F51EE">
        <w:rPr>
          <w:lang w:val="es-ES"/>
        </w:rPr>
        <w:t xml:space="preserve"> Roberto Zurbano. March 23, 2013. </w:t>
      </w:r>
      <w:r w:rsidRPr="0085549A">
        <w:rPr>
          <w:i/>
          <w:lang w:val="en-US"/>
        </w:rPr>
        <w:t>For Blacks in Cuba, the Revolution Hasn’t Begun.</w:t>
      </w:r>
      <w:r>
        <w:rPr>
          <w:lang w:val="en-US"/>
        </w:rPr>
        <w:t xml:space="preserve"> New York Times. Available: </w:t>
      </w:r>
      <w:hyperlink r:id="rId33" w:history="1">
        <w:r>
          <w:rPr>
            <w:rStyle w:val="Hipervnculo"/>
            <w:lang w:val="en-US"/>
          </w:rPr>
          <w:t>http://www.nytimes.com/2013/03/24/opinion/sunday/for-blacks-in-cubathe-revolution-hasnt-begun.html</w:t>
        </w:r>
      </w:hyperlink>
      <w:r>
        <w:rPr>
          <w:lang w:val="en-US"/>
        </w:rPr>
        <w:t xml:space="preserve"> … To question the extent of racial progress was tantamount to a counterrevolutionary act. This made it almost impossible to point out the obvious: racism is alive and well…</w:t>
      </w:r>
    </w:p>
  </w:footnote>
  <w:footnote w:id="82">
    <w:p w14:paraId="61D11202" w14:textId="77777777" w:rsidR="00172411" w:rsidRDefault="00172411" w:rsidP="007373D0">
      <w:pPr>
        <w:pStyle w:val="Textonotapie"/>
        <w:spacing w:line="276" w:lineRule="auto"/>
        <w:ind w:firstLine="0"/>
        <w:rPr>
          <w:lang w:val="es-ES"/>
        </w:rPr>
      </w:pPr>
      <w:r>
        <w:rPr>
          <w:rStyle w:val="Refdenotaalpie"/>
        </w:rPr>
        <w:footnoteRef/>
      </w:r>
      <w:r>
        <w:t xml:space="preserve">   </w:t>
      </w:r>
      <w:r>
        <w:rPr>
          <w:lang w:val="es-ES"/>
        </w:rPr>
        <w:t xml:space="preserve">BBC MUNDO. 25 abril 2013. </w:t>
      </w:r>
      <w:r w:rsidRPr="0085549A">
        <w:rPr>
          <w:i/>
          <w:lang w:val="es-ES"/>
        </w:rPr>
        <w:t>El debate racial en Cuba, una asignatura pendiente</w:t>
      </w:r>
      <w:r>
        <w:rPr>
          <w:lang w:val="es-ES"/>
        </w:rPr>
        <w:t>. Disponible: http://www.bbc.com/mundo/noticias/2013/04/130424_debate_racial_cuba_jb</w:t>
      </w:r>
    </w:p>
  </w:footnote>
  <w:footnote w:id="83">
    <w:p w14:paraId="2CACCEC3" w14:textId="462156D3" w:rsidR="00172411" w:rsidRDefault="00172411" w:rsidP="007373D0">
      <w:pPr>
        <w:pStyle w:val="Textonotapie"/>
        <w:ind w:firstLine="0"/>
      </w:pPr>
      <w:r>
        <w:rPr>
          <w:rStyle w:val="Refdenotaalpie"/>
        </w:rPr>
        <w:footnoteRef/>
      </w:r>
      <w:r>
        <w:t xml:space="preserve"> Redacción IPS Cuba. 24 diciembre, 2017. </w:t>
      </w:r>
      <w:r w:rsidRPr="0085549A">
        <w:rPr>
          <w:i/>
        </w:rPr>
        <w:t>Especialistas en Cuba llaman a desamericanizar los estudios afro</w:t>
      </w:r>
      <w:r>
        <w:t xml:space="preserve">.  </w:t>
      </w:r>
      <w:r>
        <w:rPr>
          <w:lang w:val="es-ES"/>
        </w:rPr>
        <w:t xml:space="preserve">Disponible: </w:t>
      </w:r>
      <w:r>
        <w:t xml:space="preserve">        </w:t>
      </w:r>
      <w:hyperlink r:id="rId34" w:history="1">
        <w:r>
          <w:rPr>
            <w:rStyle w:val="Hipervnculo"/>
          </w:rPr>
          <w:t>http://www.ipscuba.net/sociedad/especialistas-e</w:t>
        </w:r>
      </w:hyperlink>
      <w:r>
        <w:t xml:space="preserve">  (…) La periodista y activista antirracista cubana Gisela Arandia comentó que “Cuba se ha movido en una paradoja, pues al mismo tiempo que se han resuelto muchas desigualdades sociales en temas de salud pública, educación, cultura, no hemos llegado al consenso de qué se debe hacer para desmontar el racismo y la discriminación racial”…</w:t>
      </w:r>
    </w:p>
  </w:footnote>
  <w:footnote w:id="84">
    <w:p w14:paraId="7C84E83A" w14:textId="02560547" w:rsidR="00172411" w:rsidRDefault="00172411" w:rsidP="007373D0">
      <w:pPr>
        <w:pStyle w:val="Textonotapie"/>
        <w:spacing w:line="276" w:lineRule="auto"/>
        <w:ind w:firstLine="0"/>
        <w:rPr>
          <w:lang w:val="es-ES"/>
        </w:rPr>
      </w:pPr>
      <w:r>
        <w:rPr>
          <w:rStyle w:val="Refdenotaalpie"/>
        </w:rPr>
        <w:footnoteRef/>
      </w:r>
      <w:r>
        <w:t xml:space="preserve"> </w:t>
      </w:r>
      <w:r>
        <w:rPr>
          <w:lang w:val="es-ES"/>
        </w:rPr>
        <w:t>Comisión Interamericana de Derechos Humanos, CIDH. Participantes: Comité Ciudadanos por la Integración Racial (CIR), Afrocuban Alliance, Empodera Cuba. Situación de la población afrodescendiente en Cuba. Sesión: 146 Periodo de Sesiones. Fecha: Sunday, November 4, 2012. Estado de Cuba. Temas: Derechos de los Afrodescendientes / Contra la Discriminación Racial. Disponible:</w:t>
      </w:r>
      <w:r>
        <w:t xml:space="preserve">    </w:t>
      </w:r>
      <w:hyperlink r:id="rId35" w:history="1">
        <w:r>
          <w:rPr>
            <w:rStyle w:val="Hipervnculo"/>
          </w:rPr>
          <w:t>http://www.oas.org/es/cidh/audiencias/TopicsList.aspx?Lang=es&amp;Topic=18</w:t>
        </w:r>
      </w:hyperlink>
      <w:r>
        <w:t xml:space="preserve">  (…)   </w:t>
      </w:r>
      <w:r>
        <w:rPr>
          <w:lang w:val="es-ES"/>
        </w:rPr>
        <w:t>En el 2012, la CIDH dio seguimiento a la situación de la población afrodescendiente en Cuba. Durante el 146 Período Ordinario de Sesiones celebró la Audiencia sobre la situación de la población afrodescendiente en Cuba, donde recibió información relativa a los desafíos que enfrentan las y los afrocubanos en el goce y disfrute de sus derechos.</w:t>
      </w:r>
    </w:p>
  </w:footnote>
  <w:footnote w:id="85">
    <w:p w14:paraId="24233826" w14:textId="1B499A57" w:rsidR="00172411" w:rsidRDefault="00172411" w:rsidP="004B48AC">
      <w:pPr>
        <w:pStyle w:val="Sinespaciado"/>
        <w:spacing w:after="0" w:afterAutospacing="0" w:line="240" w:lineRule="atLeast"/>
        <w:ind w:left="0" w:firstLine="0"/>
        <w:rPr>
          <w:rFonts w:ascii="Times New Roman" w:eastAsia="STKaiti" w:hAnsi="Times New Roman"/>
          <w:sz w:val="20"/>
          <w:szCs w:val="20"/>
          <w:lang w:val="es-ES" w:eastAsia="es-US"/>
        </w:rPr>
      </w:pPr>
      <w:r>
        <w:rPr>
          <w:rStyle w:val="Refdenotaalpie"/>
        </w:rPr>
        <w:footnoteRef/>
      </w:r>
      <w:r>
        <w:t xml:space="preserve"> </w:t>
      </w:r>
      <w:r>
        <w:rPr>
          <w:rFonts w:ascii="Times New Roman" w:eastAsia="STKaiti" w:hAnsi="Times New Roman"/>
          <w:sz w:val="20"/>
          <w:szCs w:val="20"/>
          <w:lang w:val="es-ES" w:eastAsia="es-US"/>
        </w:rPr>
        <w:t xml:space="preserve">Redacción IPS Cuba. La Habana, 31 marzo 2013. </w:t>
      </w:r>
      <w:r w:rsidRPr="0085549A">
        <w:rPr>
          <w:rFonts w:ascii="Times New Roman" w:eastAsia="STKaiti" w:hAnsi="Times New Roman"/>
          <w:i/>
          <w:sz w:val="20"/>
          <w:szCs w:val="20"/>
          <w:lang w:val="es-ES" w:eastAsia="es-US"/>
        </w:rPr>
        <w:t xml:space="preserve"> Movilizar por la igualdad de género</w:t>
      </w:r>
      <w:r>
        <w:rPr>
          <w:rFonts w:ascii="Times New Roman" w:eastAsia="STKaiti" w:hAnsi="Times New Roman"/>
          <w:sz w:val="20"/>
          <w:szCs w:val="20"/>
          <w:lang w:val="es-ES" w:eastAsia="es-US"/>
        </w:rPr>
        <w:t xml:space="preserve">. Disponible: http://www.ipscuba.net/sociedad/    (…) consideró La historiadora e investigadora Daisy Rubiera Castillo, autora de libros como Desafío al silencio y Afrocubanas (…) Avanzar en la identificación de la discriminación por motivos de género, tanto en el lenguaje como en los audiovisuales, un problema de la Cuba de hoy, requiere de conocimientos y de la preparación de la sociedad y la voluntad política proactiva para eliminar las brechas. Sobre estos temas versó el debate alrededor del taller sobre sexismo en el lenguaje organizado por el Grupo de Mujeres Afrocubanas y Alternativa Regional de Afrodescendientes (ARA)-Cuba, impartido por la doctora Sonnia Moro Parrado, historiadora y experta en género </w:t>
      </w:r>
      <w:r>
        <w:rPr>
          <w:rFonts w:ascii="Times New Roman" w:hAnsi="Times New Roman"/>
          <w:sz w:val="20"/>
          <w:szCs w:val="20"/>
          <w:lang w:val="es-ES"/>
        </w:rPr>
        <w:t>(…)</w:t>
      </w:r>
      <w:r>
        <w:rPr>
          <w:rFonts w:ascii="Times New Roman" w:eastAsia="STKaiti" w:hAnsi="Times New Roman"/>
          <w:sz w:val="20"/>
          <w:szCs w:val="20"/>
          <w:lang w:val="es-ES" w:eastAsia="es-US"/>
        </w:rPr>
        <w:t xml:space="preserve"> </w:t>
      </w:r>
    </w:p>
  </w:footnote>
  <w:footnote w:id="86">
    <w:p w14:paraId="22A4C2BA" w14:textId="39152FC3" w:rsidR="00172411" w:rsidRDefault="00172411" w:rsidP="0095026A">
      <w:pPr>
        <w:pStyle w:val="Textonotapie"/>
        <w:spacing w:line="240" w:lineRule="atLeast"/>
        <w:ind w:firstLine="0"/>
        <w:rPr>
          <w:lang w:val="es-ES"/>
        </w:rPr>
      </w:pPr>
      <w:r>
        <w:rPr>
          <w:rStyle w:val="Refdenotaalpie"/>
        </w:rPr>
        <w:footnoteRef/>
      </w:r>
      <w:r>
        <w:rPr>
          <w:lang w:val="es-ES"/>
        </w:rPr>
        <w:t>CRC/C/OPAC/CUB/1(2011) Informe inicial OPAC Gobierno de Cuba... Disponible en: http://tbinternet.ohchr.org/_layouts/treatybodyexternal/Download.aspx?symbolno=CRC%2fC%2fOPAC%2fCUB%2f1&amp;Lang=en Párrafo 87.pag. 15 (…) Cuba, los medios de comunicación, especialmente la televisión, tienen un importante impacto, ya que reflejan un alto índice de tele audiencia (…) a la vez que crean espacios de opinión y de orientación a la familia, que coadyuvan a su desarrollo integral.</w:t>
      </w:r>
    </w:p>
  </w:footnote>
  <w:footnote w:id="87">
    <w:p w14:paraId="25CF2327" w14:textId="28328B43" w:rsidR="00172411" w:rsidRDefault="00172411" w:rsidP="0095026A">
      <w:pPr>
        <w:pStyle w:val="Sinespaciado"/>
        <w:spacing w:after="0" w:afterAutospacing="0" w:line="240" w:lineRule="atLeast"/>
        <w:ind w:left="0" w:firstLine="0"/>
        <w:rPr>
          <w:rFonts w:ascii="Times New Roman" w:hAnsi="Times New Roman"/>
          <w:sz w:val="20"/>
          <w:szCs w:val="20"/>
          <w:lang w:val="es-ES"/>
        </w:rPr>
      </w:pPr>
      <w:r>
        <w:rPr>
          <w:rStyle w:val="Refdenotaalpie"/>
        </w:rPr>
        <w:footnoteRef/>
      </w:r>
      <w:r>
        <w:t xml:space="preserve"> </w:t>
      </w:r>
      <w:r>
        <w:rPr>
          <w:rFonts w:ascii="Times New Roman" w:hAnsi="Times New Roman"/>
          <w:sz w:val="20"/>
          <w:szCs w:val="20"/>
          <w:lang w:val="es-ES"/>
        </w:rPr>
        <w:t>CERD/C/CUB/19-21. 2016 (…) muchos de los campeones olímpicos y mundiales cubanos, paradigmas para la juventud y sentido de orgullo para la nación, son jóvenes negros y mestizos (...) párrafo 23.pag.4.  Comentario de ACDEI: Desde hace solo pocos años, la Televisión Nacional Cubana (propiedad estatal) tiene presentadoras negras en programas deportivos, Luisa Fernanda y Yisel Feliu Tellez, con anterioridad las féminas solo eran de raza blanca.</w:t>
      </w:r>
    </w:p>
  </w:footnote>
  <w:footnote w:id="88">
    <w:p w14:paraId="6D1FAD0A" w14:textId="77777777" w:rsidR="00172411" w:rsidRDefault="00172411" w:rsidP="0095026A">
      <w:pPr>
        <w:pStyle w:val="Textonotapie"/>
        <w:spacing w:line="240" w:lineRule="atLeast"/>
        <w:ind w:firstLine="0"/>
        <w:rPr>
          <w:lang w:val="es-ES"/>
        </w:rPr>
      </w:pPr>
      <w:r>
        <w:rPr>
          <w:rStyle w:val="Refdenotaalpie"/>
        </w:rPr>
        <w:footnoteRef/>
      </w:r>
      <w:r>
        <w:t xml:space="preserve">  Dr. René Gómez Manzano. Febrero 16, 2015. </w:t>
      </w:r>
      <w:r w:rsidRPr="0085549A">
        <w:rPr>
          <w:i/>
        </w:rPr>
        <w:t>¿Abogados o delatores?</w:t>
      </w:r>
      <w:r>
        <w:t xml:space="preserve"> Cubanet. </w:t>
      </w:r>
      <w:r w:rsidRPr="00886D69">
        <w:t>Disponible:</w:t>
      </w:r>
      <w:r>
        <w:t xml:space="preserve"> http://www.cubanet.org/opiniones/abogados-o-delatores/</w:t>
      </w:r>
    </w:p>
  </w:footnote>
  <w:footnote w:id="89">
    <w:p w14:paraId="7BF7AB7F" w14:textId="6179B216" w:rsidR="00172411" w:rsidRPr="00AA5F93" w:rsidRDefault="00172411" w:rsidP="00AA5F93">
      <w:pPr>
        <w:pStyle w:val="Textonotapie"/>
        <w:ind w:firstLine="0"/>
      </w:pPr>
      <w:r>
        <w:rPr>
          <w:rStyle w:val="Refdenotaalpie"/>
        </w:rPr>
        <w:footnoteRef/>
      </w:r>
      <w:r>
        <w:t xml:space="preserve"> El Ministerio de Justicia es un organismo de la Administración Central del Estado; tiene a su cargo además del asesoramiento jurídico al Estado, la regulación de este, tanto para otras entidades estatales como para el sector mixto, cooperativo y privado, y para los servicios legales, la supervisión del cumplimiento de lo anterior, entre otras funciones. </w:t>
      </w:r>
    </w:p>
  </w:footnote>
  <w:footnote w:id="90">
    <w:p w14:paraId="7B6A543E" w14:textId="70F429F3" w:rsidR="00172411" w:rsidRDefault="00172411" w:rsidP="000A1A1E">
      <w:pPr>
        <w:pStyle w:val="Textonotapie"/>
        <w:ind w:firstLine="0"/>
      </w:pPr>
      <w:r>
        <w:rPr>
          <w:rStyle w:val="Refdenotaalpie"/>
        </w:rPr>
        <w:footnoteRef/>
      </w:r>
      <w:r>
        <w:t xml:space="preserve">  El Observatorio Cubano de los Derechos Humanos, con sede en Madrid, tiene un registro bastante abarcador con evidencias sobre organizaciones de un amplio espectro humanitario y social cuyas solicitudes al Ministerio de Justicia han sido denegadas durante años. Director ejecutivo: Alejandro Raga.</w:t>
      </w:r>
    </w:p>
  </w:footnote>
  <w:footnote w:id="91">
    <w:p w14:paraId="28F71058" w14:textId="3DE658B9" w:rsidR="00172411" w:rsidRPr="00AA13CF" w:rsidRDefault="00172411" w:rsidP="00AA13CF">
      <w:pPr>
        <w:pStyle w:val="Textonotapie"/>
        <w:ind w:firstLine="0"/>
      </w:pPr>
      <w:r>
        <w:rPr>
          <w:rStyle w:val="Refdenotaalpie"/>
        </w:rPr>
        <w:footnoteRef/>
      </w:r>
      <w:r>
        <w:t xml:space="preserve"> Asamblea Nacional Poder Popular. Ley No. 54, Ley de Asociaciones. Gaceta Oficial No. 19 Extraordinaria de 27 de diciembre de 1985. Cuba</w:t>
      </w:r>
    </w:p>
  </w:footnote>
  <w:footnote w:id="92">
    <w:p w14:paraId="538EF995" w14:textId="082410C4" w:rsidR="00172411" w:rsidRDefault="00172411" w:rsidP="00FB42AE">
      <w:pPr>
        <w:pStyle w:val="Textonotapie"/>
        <w:ind w:firstLine="0"/>
      </w:pPr>
      <w:r>
        <w:rPr>
          <w:rStyle w:val="Refdenotaalpie"/>
        </w:rPr>
        <w:footnoteRef/>
      </w:r>
      <w:r>
        <w:t xml:space="preserve"> LEY No. 62 CODIGO PENAL (Modificado) Cuba. Delitos contra la Seguridad Exterior del Estado. Sección Novena. Crimen del Apartheid.   ARTICULO 120. 1.   Incurre en sanción de privación de libertad de diez a veinte años o muerte, los que, con el fin de instituir y mantener la dominación de un grupo racial sobre otro, y de acuerdo con políticas de exterminio, segregación y discriminación racial (…) 2.  Si el hecho consiste en perseguir u hostilizar en cualquier forma a las organizaciones y personas que se opongan al apartheid, o lo combatan, la sanción es de privación de libertad de diez a veinte años.  3.  La responsabilidad por los actos previstos en los apartados anteriores es exigible con independencia del país en que los culpables actúen o residan y se extiende, cualquiera que sea el móvil, a los particulares, los miembros de las organizaciones e instituciones y los representantes del Estado. </w:t>
      </w:r>
    </w:p>
  </w:footnote>
  <w:footnote w:id="93">
    <w:p w14:paraId="37629243" w14:textId="0467A79A" w:rsidR="00172411" w:rsidRDefault="00172411" w:rsidP="004854BB">
      <w:pPr>
        <w:pStyle w:val="Textonotapie"/>
        <w:spacing w:line="240" w:lineRule="atLeast"/>
        <w:ind w:firstLine="0"/>
      </w:pPr>
      <w:r>
        <w:rPr>
          <w:rStyle w:val="Refdenotaalpie"/>
          <w:sz w:val="22"/>
          <w:szCs w:val="22"/>
        </w:rPr>
        <w:footnoteRef/>
      </w:r>
      <w:r>
        <w:t xml:space="preserve"> Constitución de la República </w:t>
      </w:r>
      <w:r w:rsidRPr="002F1ABD">
        <w:t>Cuba.</w:t>
      </w:r>
      <w:r>
        <w:t xml:space="preserve"> CAPITULO X. Órganos Superiores Poder Popular.  Artículo 95.-El Consejo de Ministros es el máximo órgano ejecutivo y administrativo y constituye el Gobierno de la República. El número, denominación y funciones de los ministerios y organismos centrales que forman parte del Consejo de Ministros es determinado por la ley.</w:t>
      </w:r>
    </w:p>
  </w:footnote>
  <w:footnote w:id="94">
    <w:p w14:paraId="5B91F303" w14:textId="5F0B33BC" w:rsidR="00172411" w:rsidRDefault="00172411" w:rsidP="004854BB">
      <w:pPr>
        <w:pStyle w:val="Textonotapie"/>
        <w:spacing w:line="240" w:lineRule="atLeast"/>
        <w:ind w:firstLine="0"/>
      </w:pPr>
      <w:r>
        <w:t>.</w:t>
      </w:r>
      <w:r>
        <w:rPr>
          <w:rStyle w:val="Refdenotaalpie"/>
          <w:sz w:val="22"/>
          <w:szCs w:val="22"/>
        </w:rPr>
        <w:footnoteRef/>
      </w:r>
      <w:r>
        <w:t xml:space="preserve"> República de Cuba. Misión Permanente ante Oficina Naciones Unidas en Ginebra y Organismos Internacionales en Suiza. Nota No. 380/2015. Pág. 2, 4, 6. </w:t>
      </w:r>
      <w:r w:rsidRPr="002F1ABD">
        <w:rPr>
          <w:sz w:val="16"/>
          <w:szCs w:val="16"/>
        </w:rPr>
        <w:t>Disponible:</w:t>
      </w:r>
      <w:hyperlink r:id="rId36" w:history="1">
        <w:r w:rsidRPr="002F1ABD">
          <w:rPr>
            <w:rStyle w:val="Hipervnculo"/>
            <w:sz w:val="16"/>
            <w:szCs w:val="16"/>
          </w:rPr>
          <w:t>http://www.ohchr.org/Documents/AboutUs/CivilSociety/ReportHC/states/2_Cuba.pdf</w:t>
        </w:r>
      </w:hyperlink>
    </w:p>
    <w:p w14:paraId="09249402" w14:textId="2496CF00" w:rsidR="00172411" w:rsidRDefault="00172411" w:rsidP="004854BB">
      <w:pPr>
        <w:pStyle w:val="Textonotapie"/>
        <w:spacing w:line="240" w:lineRule="atLeast"/>
        <w:ind w:firstLine="0"/>
        <w:rPr>
          <w:lang w:val="es-ES"/>
        </w:rPr>
      </w:pPr>
      <w:r>
        <w:rPr>
          <w:lang w:val="es-ES"/>
        </w:rPr>
        <w:t>(…)La sociedad civil en Cuba existe como complemento y no en contraposición al Estado (…) La sociedad civil cubana corresponde al modo de producción socialista existente en nuestro país. Expresa, en lo fundamental, los intereses de nuestro sistema político y trabaja de mutuo acuerdo con las instituciones estatales …</w:t>
      </w:r>
    </w:p>
  </w:footnote>
  <w:footnote w:id="95">
    <w:p w14:paraId="1ECCDF18" w14:textId="77777777" w:rsidR="00172411" w:rsidRDefault="00172411" w:rsidP="00726487">
      <w:pPr>
        <w:pStyle w:val="Textonotapie"/>
        <w:spacing w:line="240" w:lineRule="atLeast"/>
        <w:ind w:firstLine="0"/>
      </w:pPr>
      <w:r>
        <w:rPr>
          <w:rStyle w:val="Refdenotaalpie"/>
          <w:sz w:val="22"/>
          <w:szCs w:val="22"/>
        </w:rPr>
        <w:footnoteRef/>
      </w:r>
      <w:r>
        <w:t xml:space="preserve">Consúltese Rojas, Ricardo Manuel. (2005) </w:t>
      </w:r>
      <w:r w:rsidRPr="0085549A">
        <w:rPr>
          <w:i/>
        </w:rPr>
        <w:t>Los Derechos fundamentales y el orden jurídico e institucional de Cuba</w:t>
      </w:r>
      <w:r>
        <w:t>, - 1a ed. - Buenos Aires: Fundación Cadal, Konrad Adenauer Stiftung, 2005. 288 p. ; 19x14 cm.. ISBN 987-21129-5-9Fecha catalogación: 08/07/2005. Pág. 38. Ver Sentencia (26 años de prisión) dictada el 7 de abril de 2003 por la Sala de Delitos contra la Seguridad del Estado del Tribunal Provincial Popular de Ciudad de La Habana en la causa 6/03 contra Alfredo Felipe Fuentes. La sentencia señala que se le encontraron 45 folletos conteniendo la Declaración Universal de los Derechos Humanos, 12 manuales de educación en Derechos Humanos, 2 folletos de la declaración de independencia de los Estados Unidos; 2 libros ―protección Internacional de los Derechos Humanos de las Mujeres‖, 3 libros titulados ―Instrumentos Internacionales de Protección a los Derechos Humanos‖, 23 libros de ―Estudios Básicos de Derechos Humanos‖, un libro sobre ética y derechos humanos, un libro ―Derecho Positivo de los Derechos Humanos‖… Sentencia (trece años de prisión) dictada por la Sala de Delitos contra la Seguridad del Estado del Tribunal Provincial Popular de Ciudad de La Habana, el 7 de abril de 2003 en la causa seguida contra José Miguel Martínez Hernández, Sentencia (veinte años) de la Sala Primera Penal del Tribunal Provincial Popular de Guantánamo, en la causa 2/03, dictada el 3 de abril de 2003 contra Manuel Ubals González y Juan Carlos Herrera Acosta y muchos otros.</w:t>
      </w:r>
    </w:p>
  </w:footnote>
  <w:footnote w:id="96">
    <w:p w14:paraId="14EAC775" w14:textId="352DB986" w:rsidR="00172411" w:rsidRDefault="00172411" w:rsidP="00C46FA9">
      <w:pPr>
        <w:pStyle w:val="Textonotapie"/>
        <w:spacing w:line="240" w:lineRule="atLeast"/>
        <w:ind w:firstLine="0"/>
      </w:pPr>
      <w:r>
        <w:rPr>
          <w:rStyle w:val="Refdenotaalpie"/>
          <w:rFonts w:ascii="Calibri" w:hAnsi="Calibri" w:cs="Calibri"/>
          <w:sz w:val="22"/>
          <w:szCs w:val="22"/>
        </w:rPr>
        <w:footnoteRef/>
      </w:r>
      <w:r>
        <w:t xml:space="preserve"> Elson Concepción Pérez. Octubre 23, 2015. </w:t>
      </w:r>
      <w:r>
        <w:rPr>
          <w:i/>
        </w:rPr>
        <w:t>Derechos Humanos ¿Cuáles son los verdaderos</w:t>
      </w:r>
      <w:r>
        <w:t>? Granma Pág.7 (…) Derechos Humanos (…) También de ellas se han valido los mercenarios que hacen a comparsa al lado de las peores causas y se alían a intereses foráneos, no importa de dónde provengan…</w:t>
      </w:r>
    </w:p>
  </w:footnote>
  <w:footnote w:id="97">
    <w:p w14:paraId="516362AD" w14:textId="7D3677B2" w:rsidR="00172411" w:rsidRDefault="00172411" w:rsidP="002F7715">
      <w:pPr>
        <w:pStyle w:val="Textonotapie"/>
        <w:spacing w:line="240" w:lineRule="atLeast"/>
        <w:ind w:firstLine="0"/>
      </w:pPr>
      <w:r>
        <w:rPr>
          <w:rStyle w:val="Refdenotaalpie"/>
          <w:sz w:val="22"/>
          <w:szCs w:val="22"/>
        </w:rPr>
        <w:footnoteRef/>
      </w:r>
      <w:r>
        <w:t xml:space="preserve"> Amnistía Internacional. (2017). </w:t>
      </w:r>
      <w:r w:rsidRPr="0085549A">
        <w:rPr>
          <w:i/>
        </w:rPr>
        <w:t>Informe 2016/17: La Situación de los Derechos Humanos en el Mundo</w:t>
      </w:r>
      <w:r>
        <w:t>. Disponible: https://www.amnesty.org/es/documents/pol10/4800/2017/es/ Cuba 2016/2017 Pag.163. Pese al restablecimiento de relaciones con Estados Unidos en 2015, persistía retórica de Guerra Fría y activistas políticos y defensore(a)s de los derechos humanos eran tachados públicamente de “mercenarios anticubanos”, “antirrevolucionarios” y “subversivos”.</w:t>
      </w:r>
    </w:p>
  </w:footnote>
  <w:footnote w:id="98">
    <w:p w14:paraId="6CCD573E" w14:textId="77777777" w:rsidR="00172411" w:rsidRDefault="00172411" w:rsidP="002F7715">
      <w:pPr>
        <w:pStyle w:val="Textonotapie"/>
        <w:spacing w:line="240" w:lineRule="atLeast"/>
        <w:ind w:firstLine="0"/>
      </w:pPr>
      <w:r>
        <w:rPr>
          <w:rStyle w:val="Refdenotaalpie"/>
          <w:rFonts w:ascii="Calibri" w:hAnsi="Calibri" w:cs="Calibri"/>
          <w:sz w:val="22"/>
          <w:szCs w:val="22"/>
        </w:rPr>
        <w:footnoteRef/>
      </w:r>
      <w:r>
        <w:t xml:space="preserve">Martí Noticias. 2017. </w:t>
      </w:r>
      <w:r w:rsidRPr="0085549A">
        <w:rPr>
          <w:i/>
        </w:rPr>
        <w:t>Informe señala a Cuba como único país autoritario del hemisferio</w:t>
      </w:r>
      <w:r>
        <w:t>. Disponible: http://www.martinoticias.com/a/informe-cuba-unico-pais-autoritario-hemisferio/140623.html.  Cuba fue clasificada como uno de los 51 países autoritarios del mundo por The Economist Intelligence Unit en su índice democracia 2016.</w:t>
      </w:r>
    </w:p>
  </w:footnote>
  <w:footnote w:id="99">
    <w:p w14:paraId="1C98E1E8" w14:textId="77777777" w:rsidR="00172411" w:rsidRDefault="00172411" w:rsidP="002F7715">
      <w:pPr>
        <w:pStyle w:val="Textonotapie"/>
        <w:spacing w:line="240" w:lineRule="atLeast"/>
        <w:ind w:firstLine="0"/>
      </w:pPr>
      <w:r>
        <w:rPr>
          <w:rStyle w:val="Refdenotaalpie"/>
          <w:rFonts w:ascii="Calibri" w:hAnsi="Calibri" w:cs="Calibri"/>
          <w:sz w:val="22"/>
          <w:szCs w:val="22"/>
        </w:rPr>
        <w:footnoteRef/>
      </w:r>
      <w:r>
        <w:t xml:space="preserve"> Comisión de Derechos Humanos. E/CN.4/2005/33. 61º período de sesiones,… pag.2 En los meses de marzo y abril de 2003 tuvo lugar en Cuba una onda de represión sin precedentes, con el pretexto de que el representante de los intereses estadounidenses en La Habana intervenía activamente en la oposición política. Fueron detenidas casi 80 personas de la sociedad civil, a las que se enjuició y condenó a largas penas de entre 6 y 28 años de cárcel,… Los juicios fueron muy breves (unas pocas semanas, incluso unos días) y se celebraron a puerta cerrada. Los acusados recibieron la asistencia de abogados que no pertenecían a colegios independientes. En la actualidad están encarcelados en condiciones sanitarias, físicas y mentales que suscitan gran preocupación, tanto más cuanto que la información sobre su caso facilitada por las autoridades cubanas a la Alta Comisionada o a los relatores especiales signatarios de los llamamientos urgentes es muy sucinta, o incluso inexistente…</w:t>
      </w:r>
    </w:p>
  </w:footnote>
  <w:footnote w:id="100">
    <w:p w14:paraId="5C265253" w14:textId="10970178" w:rsidR="00172411" w:rsidRDefault="00172411" w:rsidP="002F7715">
      <w:pPr>
        <w:pStyle w:val="Textonotapie"/>
        <w:ind w:firstLine="0"/>
      </w:pPr>
      <w:r>
        <w:rPr>
          <w:rStyle w:val="Refdenotaalpie"/>
        </w:rPr>
        <w:footnoteRef/>
      </w:r>
      <w:r>
        <w:t xml:space="preserve"> Desde septiembre del 2014, cuando la Sra. Dora L. Mesa fue invitada por primera vez por el Comité de los Derechos del Niño, sufre reiteradas detenciones y requisas en el Aeropuerto Internacional José Martí o en las cercanías. Las autoridades aduanales le explican que estos procedimientos son parte de su trabajo según directivas de la Organización Mundial de Aduanas. También la han obligado a sostener entrevistas injustificadas con agentes estatales al regresar a Cuba.</w:t>
      </w:r>
    </w:p>
  </w:footnote>
  <w:footnote w:id="101">
    <w:p w14:paraId="45313350" w14:textId="77777777" w:rsidR="00172411" w:rsidRDefault="00172411" w:rsidP="002F7715">
      <w:pPr>
        <w:pStyle w:val="Textonotapie"/>
        <w:spacing w:line="240" w:lineRule="atLeast"/>
        <w:ind w:firstLine="0"/>
      </w:pPr>
      <w:r>
        <w:rPr>
          <w:rStyle w:val="Refdenotaalpie"/>
          <w:rFonts w:ascii="Calibri" w:hAnsi="Calibri" w:cs="Calibri"/>
          <w:sz w:val="22"/>
          <w:szCs w:val="22"/>
        </w:rPr>
        <w:footnoteRef/>
      </w:r>
      <w:r>
        <w:t>Los documentos son: A/HRC/24/16, A/HRC/WG.6/16/CUB/3, A/HRC/WG.6/16/CUB/2, A/HRC/24/16 Informe del Grupo de Trabajo sobre Examen Periódico Universal Cuba, reportes del CEDAW y otros impresos sobre racismo en Cuba.</w:t>
      </w:r>
    </w:p>
  </w:footnote>
  <w:footnote w:id="102">
    <w:p w14:paraId="0B8A52E4" w14:textId="77777777" w:rsidR="00172411" w:rsidRDefault="00172411" w:rsidP="002F7715">
      <w:pPr>
        <w:pStyle w:val="Textonotapie"/>
        <w:ind w:firstLine="0"/>
        <w:rPr>
          <w:lang w:val="es-ES"/>
        </w:rPr>
      </w:pPr>
      <w:r>
        <w:rPr>
          <w:rStyle w:val="Refdenotaalpie"/>
        </w:rPr>
        <w:footnoteRef/>
      </w:r>
      <w:r>
        <w:rPr>
          <w:lang w:val="es-ES"/>
        </w:rPr>
        <w:t xml:space="preserve"> A/HRC/WG.6/4/CUB/2 .</w:t>
      </w:r>
      <w:r>
        <w:t>18 de diciembre de 2008.   página 2</w:t>
      </w:r>
    </w:p>
  </w:footnote>
  <w:footnote w:id="103">
    <w:p w14:paraId="549AAB9A" w14:textId="77777777" w:rsidR="00172411" w:rsidRDefault="00172411" w:rsidP="002F7715">
      <w:pPr>
        <w:pStyle w:val="Textonotapie"/>
        <w:spacing w:line="240" w:lineRule="atLeast"/>
        <w:ind w:firstLine="0"/>
      </w:pPr>
      <w:r>
        <w:rPr>
          <w:rStyle w:val="Refdenotaalpie"/>
          <w:rFonts w:ascii="Calibri" w:hAnsi="Calibri" w:cs="Calibri"/>
          <w:sz w:val="22"/>
          <w:szCs w:val="22"/>
        </w:rPr>
        <w:footnoteRef/>
      </w:r>
      <w:r>
        <w:t xml:space="preserve">Consejo de Estado. 10 agosto 2010. Decreto-Ley No.271 </w:t>
      </w:r>
      <w:r w:rsidRPr="00462CFF">
        <w:rPr>
          <w:i/>
        </w:rPr>
        <w:t>De las Bibliotecas de la República de Cuba</w:t>
      </w:r>
      <w:r>
        <w:t xml:space="preserve">. Gaceta Oficial Ordinaria No.10.  Cuba.  Artículo 4. Principios. Inciso a. Libre acceso a la Información.  Sección Tercera. De las funciones de la Biblioteca Nacional de Cuba. Artículo 22. Inciso h. </w:t>
      </w:r>
    </w:p>
  </w:footnote>
  <w:footnote w:id="104">
    <w:p w14:paraId="5AB50D72" w14:textId="069AF1F9" w:rsidR="00172411" w:rsidRDefault="00172411" w:rsidP="0095026A">
      <w:pPr>
        <w:pStyle w:val="Textonotapie"/>
        <w:spacing w:line="240" w:lineRule="atLeast"/>
        <w:ind w:firstLine="0"/>
      </w:pPr>
      <w:r>
        <w:rPr>
          <w:rStyle w:val="Refdenotaalpie"/>
        </w:rPr>
        <w:footnoteRef/>
      </w:r>
      <w:r>
        <w:t xml:space="preserve"> UNODC. Oficina de las Naciones Unidas contra la Droga y el Delito.2013</w:t>
      </w:r>
      <w:r w:rsidRPr="0085549A">
        <w:rPr>
          <w:i/>
        </w:rPr>
        <w:t>. Informe sobre Examen de Cuba. Examen por Brasil y Guatemala sobre la aplicación por parte de Cuba de los artículos 15 y 42 del Capítulo III. “Penalización y aplicación de la ley “</w:t>
      </w:r>
      <w:r>
        <w:rPr>
          <w:i/>
        </w:rPr>
        <w:t xml:space="preserve"> </w:t>
      </w:r>
      <w:r w:rsidRPr="0085549A">
        <w:rPr>
          <w:i/>
        </w:rPr>
        <w:t>y artículos 44-50 del Capítulo IV</w:t>
      </w:r>
      <w:r>
        <w:t xml:space="preserve">. “Cooperación Internacional" de la Convención de las Naciones Unidas contra la Corrupción para el ciclo de examen 2010-2015. Disponible en: </w:t>
      </w:r>
      <w:hyperlink r:id="rId37" w:history="1">
        <w:r>
          <w:rPr>
            <w:rStyle w:val="Hipervnculo"/>
          </w:rPr>
          <w:t>https://www.unodc.org/documents/.../2013_11_12_Cuba_Final_Country_Report.pdf</w:t>
        </w:r>
      </w:hyperlink>
      <w:r>
        <w:t xml:space="preserve">  Pag.3</w:t>
      </w:r>
    </w:p>
  </w:footnote>
  <w:footnote w:id="105">
    <w:p w14:paraId="09707430" w14:textId="77777777" w:rsidR="00172411" w:rsidRDefault="00172411" w:rsidP="00183EAA">
      <w:pPr>
        <w:pStyle w:val="Textonotapie"/>
        <w:spacing w:line="240" w:lineRule="atLeast"/>
        <w:ind w:firstLine="0"/>
      </w:pPr>
      <w:r>
        <w:rPr>
          <w:vertAlign w:val="superscript"/>
        </w:rPr>
        <w:footnoteRef/>
      </w:r>
      <w:r>
        <w:t>Comité de los Derechos del Niño CRC/C/15/Add.72, 18 de junio de 1997</w:t>
      </w:r>
    </w:p>
  </w:footnote>
  <w:footnote w:id="106">
    <w:p w14:paraId="3A2612F4" w14:textId="77777777" w:rsidR="00172411" w:rsidRDefault="00172411" w:rsidP="00183EAA">
      <w:pPr>
        <w:pStyle w:val="Textonotapie"/>
        <w:spacing w:line="240" w:lineRule="atLeast"/>
        <w:ind w:firstLine="0"/>
      </w:pPr>
      <w:r>
        <w:rPr>
          <w:sz w:val="22"/>
          <w:szCs w:val="22"/>
          <w:vertAlign w:val="superscript"/>
        </w:rPr>
        <w:footnoteRef/>
      </w:r>
      <w:r>
        <w:t xml:space="preserve">Comité de los Derechos del Niño (2011).Observaciones finales: Cuba. Administración de la justicia juvenil .Párrafo 55. Pag.12 Disponible en: </w:t>
      </w:r>
      <w:hyperlink r:id="rId38" w:history="1">
        <w:r>
          <w:rPr>
            <w:rStyle w:val="Hipervnculo"/>
          </w:rPr>
          <w:t>http://www2.ohchr.org/english/bodies/crc/docs/co/CRC.C.CUB.CO.2_sp.doc</w:t>
        </w:r>
      </w:hyperlink>
      <w:r>
        <w:t>.</w:t>
      </w:r>
    </w:p>
  </w:footnote>
  <w:footnote w:id="107">
    <w:p w14:paraId="61B1F959" w14:textId="77777777" w:rsidR="00172411" w:rsidRDefault="00172411" w:rsidP="00183EAA">
      <w:pPr>
        <w:pStyle w:val="Textonotapie"/>
        <w:spacing w:line="240" w:lineRule="atLeast"/>
        <w:ind w:firstLine="0"/>
        <w:rPr>
          <w:lang w:val="en-US"/>
        </w:rPr>
      </w:pPr>
      <w:r>
        <w:rPr>
          <w:sz w:val="22"/>
          <w:szCs w:val="22"/>
          <w:vertAlign w:val="superscript"/>
        </w:rPr>
        <w:footnoteRef/>
      </w:r>
      <w:r>
        <w:rPr>
          <w:lang w:val="en-US"/>
        </w:rPr>
        <w:t xml:space="preserve"> CEDAW/C/CUB/CO/7-8. (25 July 2013).Concluding observations … periodic reports of Cuba. Paragraph 12. Pp. 3. Access to justice. Available: </w:t>
      </w:r>
      <w:hyperlink r:id="rId39" w:history="1">
        <w:r>
          <w:rPr>
            <w:rStyle w:val="Hipervnculo"/>
            <w:lang w:val="en-US"/>
          </w:rPr>
          <w:t>http://www2.ohchr.org/english/bodies/cedaw/docs/co/CEDAW/C/CUB/CO/7-8.doc</w:t>
        </w:r>
      </w:hyperlink>
    </w:p>
  </w:footnote>
  <w:footnote w:id="108">
    <w:p w14:paraId="70980A3D" w14:textId="75DBE948" w:rsidR="00172411" w:rsidRDefault="00172411" w:rsidP="00027B74">
      <w:pPr>
        <w:pStyle w:val="Textonotapie"/>
        <w:spacing w:line="240" w:lineRule="atLeast"/>
        <w:ind w:firstLine="0"/>
      </w:pPr>
      <w:r>
        <w:rPr>
          <w:rStyle w:val="Refdenotaalpie"/>
          <w:rFonts w:ascii="Calibri" w:hAnsi="Calibri" w:cs="Calibri"/>
          <w:sz w:val="22"/>
          <w:szCs w:val="22"/>
        </w:rPr>
        <w:footnoteRef/>
      </w:r>
      <w:r>
        <w:t xml:space="preserve"> UNODC. Oficina de las Naciones Unidas contra la Droga y el Delito. 2013. Informe sobre Examen de Cuba. Examen por Brasil y Guatemala sobre la aplicación por parte de Cuba de los artículos 15 y 42 del Capítulo III. “Penalización y aplicación de la ley “ y artículos 44-50 del Capítulo IV. “Cooperación Internacional" de la Convención de las Naciones Unidas contra la Corrupción para el ciclo de examen 2010-2015. </w:t>
      </w:r>
      <w:bookmarkStart w:id="75" w:name="OLE_LINK8"/>
      <w:bookmarkStart w:id="76" w:name="OLE_LINK9"/>
      <w:r>
        <w:t xml:space="preserve">Disponible en: </w:t>
      </w:r>
      <w:bookmarkEnd w:id="75"/>
      <w:bookmarkEnd w:id="76"/>
      <w:r>
        <w:fldChar w:fldCharType="begin"/>
      </w:r>
      <w:r>
        <w:instrText xml:space="preserve"> HYPERLINK "https://www.unodc.org/documents/.../2013_11_12_Cuba_Final_Country_Report.pdf" </w:instrText>
      </w:r>
      <w:r>
        <w:fldChar w:fldCharType="separate"/>
      </w:r>
      <w:r>
        <w:rPr>
          <w:rStyle w:val="Hipervnculo"/>
        </w:rPr>
        <w:t>https://www.unodc.org/documents/.../2013_11_12_Cuba_Final_Country_Report.pdf</w:t>
      </w:r>
      <w:r>
        <w:rPr>
          <w:rStyle w:val="Hipervnculo"/>
        </w:rPr>
        <w:fldChar w:fldCharType="end"/>
      </w:r>
      <w:r>
        <w:rPr>
          <w:rStyle w:val="Hipervnculo"/>
        </w:rPr>
        <w:t xml:space="preserve"> </w:t>
      </w:r>
      <w:r>
        <w:t>Pag.5 El artículo 142, inciso 2 del Código Penal prevé la violencia o intimidación contra un testigo (artículo 25, apartado a), de la Convención). El soborno para inducir un falso testimonio no está regulado en la disposición mencionada; puede considerarse en parte como incitación, o tentativa de incitación, al perjurio (artículo 155 del Código Penal).Tampoco se encuentra regulada la obstaculización de cualquier otra aportación de pruebas.</w:t>
      </w:r>
    </w:p>
  </w:footnote>
  <w:footnote w:id="109">
    <w:p w14:paraId="781EF7C2" w14:textId="26249730" w:rsidR="00172411" w:rsidRDefault="00172411" w:rsidP="000531D7">
      <w:pPr>
        <w:spacing w:after="0" w:line="240" w:lineRule="atLeast"/>
        <w:rPr>
          <w:sz w:val="24"/>
          <w:szCs w:val="24"/>
        </w:rPr>
      </w:pPr>
      <w:r>
        <w:rPr>
          <w:rStyle w:val="Refdenotaalpie"/>
          <w:rFonts w:cs="Calibri"/>
        </w:rPr>
        <w:footnoteRef/>
      </w:r>
      <w:r>
        <w:rPr>
          <w:rFonts w:ascii="Times New Roman" w:hAnsi="Times New Roman"/>
          <w:sz w:val="20"/>
          <w:szCs w:val="20"/>
        </w:rPr>
        <w:t xml:space="preserve">Apud Anual2016-cap4Cuba pdf. Disponible: </w:t>
      </w:r>
      <w:r w:rsidRPr="00102DAB">
        <w:rPr>
          <w:rStyle w:val="Hipervnculo"/>
          <w:rFonts w:ascii="Times New Roman" w:hAnsi="Times New Roman"/>
          <w:sz w:val="20"/>
          <w:szCs w:val="20"/>
        </w:rPr>
        <w:t>http://</w:t>
      </w:r>
      <w:hyperlink r:id="rId40" w:history="1">
        <w:r w:rsidRPr="00102DAB">
          <w:rPr>
            <w:rStyle w:val="Hipervnculo"/>
            <w:rFonts w:ascii="Times New Roman" w:hAnsi="Times New Roman"/>
            <w:sz w:val="20"/>
            <w:szCs w:val="20"/>
          </w:rPr>
          <w:t>www.cidh.org</w:t>
        </w:r>
      </w:hyperlink>
      <w:r>
        <w:rPr>
          <w:rFonts w:ascii="Times New Roman" w:hAnsi="Times New Roman"/>
          <w:sz w:val="20"/>
          <w:szCs w:val="20"/>
        </w:rPr>
        <w:t xml:space="preserve">. Párrafo 101. Pág. 407.  Nota 265 CIDH, Informe Anual 2002, Capítulo IV, Cuba, párrafos 3-7.  Ver también CIDH, Informe Anual 2001, Capítulo IV, Cuba, párrafos 3 -7. CIDH, Séptimo Informe sobre la Situación de los Derechos Humanos en Cuba, 1983, párrafos 16-46. 407. Disponible en:  </w:t>
      </w:r>
      <w:hyperlink r:id="rId41" w:history="1">
        <w:bookmarkStart w:id="77" w:name="OLE_LINK45"/>
        <w:bookmarkStart w:id="78" w:name="OLE_LINK46"/>
        <w:r>
          <w:rPr>
            <w:rStyle w:val="Hipervnculo"/>
            <w:rFonts w:ascii="Times New Roman" w:hAnsi="Times New Roman"/>
            <w:sz w:val="20"/>
            <w:szCs w:val="20"/>
          </w:rPr>
          <w:t>http://</w:t>
        </w:r>
        <w:bookmarkEnd w:id="77"/>
        <w:bookmarkEnd w:id="78"/>
        <w:r>
          <w:rPr>
            <w:rStyle w:val="Hipervnculo"/>
            <w:rFonts w:ascii="Times New Roman" w:hAnsi="Times New Roman"/>
            <w:sz w:val="20"/>
            <w:szCs w:val="20"/>
          </w:rPr>
          <w:t>www.oas.org/es/cidh/docs/anual/2016/docs/informeanual2016cap4b.cuba-es.docx</w:t>
        </w:r>
      </w:hyperlink>
      <w:hyperlink>
        <w:r>
          <w:t>.</w:t>
        </w:r>
      </w:hyperlink>
    </w:p>
  </w:footnote>
  <w:footnote w:id="110">
    <w:p w14:paraId="06945A54" w14:textId="77777777" w:rsidR="00172411" w:rsidRDefault="00172411" w:rsidP="008B5399">
      <w:pPr>
        <w:pStyle w:val="Textonotapie"/>
        <w:spacing w:line="240" w:lineRule="atLeast"/>
        <w:ind w:firstLine="0"/>
      </w:pPr>
      <w:r>
        <w:rPr>
          <w:vertAlign w:val="superscript"/>
        </w:rPr>
        <w:footnoteRef/>
      </w:r>
      <w:r>
        <w:t xml:space="preserve"> Comité contra la Desaparición Forzada. 2017. </w:t>
      </w:r>
      <w:r>
        <w:rPr>
          <w:i/>
        </w:rPr>
        <w:t>Observaciones finales sobre el informe presentado por Cuba</w:t>
      </w:r>
      <w:r>
        <w:t xml:space="preserve"> en virtud del artículo 29, párrafo 1, de la Convención. Versión Avanzada No Editada. CED CO 2017 Cuba.  Disponible: </w:t>
      </w:r>
      <w:hyperlink r:id="rId42" w:history="1">
        <w:r>
          <w:rPr>
            <w:rStyle w:val="Hipervnculo"/>
          </w:rPr>
          <w:t>http://tbinternet.ohchr.org/Treaties/CED/Shared%20Documents/CUB/CED_C_CUB_CO_1_26924_S.pdf</w:t>
        </w:r>
      </w:hyperlink>
      <w:r>
        <w:t xml:space="preserve"> Párrafo 12 pág. 3. El Comité recomienda al Estado parte adopte las medidas legislativas necesarias para tan pronto como sea posible:  a) La desaparición forzada se incorpore en la legislación nacional como un delito autónomo, de conformidad con la definición que figura en el artículo 2 de la Convención, y que el delito se sancione con penas apropiadas que tengan en cuenta su extrema gravedad, aunque evitando la imposición de la pena de muerte; b) La desaparición forzada se tipifique como crimen de lesa humanidad de conformidad con el artículo 5 de la Convención, aunque evitando la imposición de la pena de muerte.</w:t>
      </w:r>
    </w:p>
  </w:footnote>
  <w:footnote w:id="111">
    <w:p w14:paraId="045A01D7" w14:textId="77777777" w:rsidR="00172411" w:rsidRDefault="00172411" w:rsidP="008B5399">
      <w:pPr>
        <w:pStyle w:val="Textonotapie"/>
        <w:spacing w:line="240" w:lineRule="atLeast"/>
        <w:ind w:firstLine="0"/>
      </w:pPr>
      <w:r>
        <w:rPr>
          <w:rStyle w:val="Refdenotaalpie"/>
        </w:rPr>
        <w:footnoteRef/>
      </w:r>
      <w:r>
        <w:t xml:space="preserve"> Asociación de Pedagogos de Cuba. 2017. </w:t>
      </w:r>
      <w:r>
        <w:rPr>
          <w:i/>
        </w:rPr>
        <w:t>Contribuciones de la Asociación de Pedagogos de Cuba al Informe de</w:t>
      </w:r>
      <w:r>
        <w:t xml:space="preserve"> </w:t>
      </w:r>
      <w:r>
        <w:rPr>
          <w:i/>
        </w:rPr>
        <w:t>Cuba al Comité contra las Desapariciones Forzadas</w:t>
      </w:r>
      <w:r>
        <w:t xml:space="preserve">. Disponible: </w:t>
      </w:r>
      <w:hyperlink r:id="rId43" w:history="1">
        <w:r>
          <w:rPr>
            <w:rStyle w:val="Hipervnculo"/>
          </w:rPr>
          <w:t>http://tbinternet.ohchr.org/Treaties/CED/Shared%20Documents/CUB/INT_CED_CSS_CUB_26645_S.pdf</w:t>
        </w:r>
      </w:hyperlink>
      <w:r>
        <w:rPr>
          <w:rStyle w:val="Hipervnculo"/>
        </w:rPr>
        <w:t xml:space="preserve"> </w:t>
      </w:r>
      <w:r>
        <w:t>Aunque en Cuba no se producen desapariciones forzadas, nuestra sociedad enfrenta retos a fin de perfeccionar el marco de protección contra esas conductas y otras asociadas.</w:t>
      </w:r>
    </w:p>
  </w:footnote>
  <w:footnote w:id="112">
    <w:p w14:paraId="0C0546DD" w14:textId="77777777" w:rsidR="00172411" w:rsidRDefault="00172411" w:rsidP="008B5399">
      <w:pPr>
        <w:pStyle w:val="Textonotapie"/>
        <w:spacing w:line="240" w:lineRule="atLeast"/>
        <w:ind w:firstLine="0"/>
      </w:pPr>
      <w:r>
        <w:rPr>
          <w:rStyle w:val="Refdenotaalpie"/>
        </w:rPr>
        <w:footnoteRef/>
      </w:r>
      <w:r>
        <w:t xml:space="preserve"> Asociación Cubana de las Naciones Unidas (ACNU).2017. </w:t>
      </w:r>
      <w:r>
        <w:rPr>
          <w:i/>
        </w:rPr>
        <w:t xml:space="preserve">Contribución de la Asociación Cubana De Las Naciones Unidas Al Informe De Cuba Al Comité Contra Las Desapariciones Forzadas. </w:t>
      </w:r>
      <w:r>
        <w:t xml:space="preserve">Disponible: </w:t>
      </w:r>
      <w:hyperlink r:id="rId44" w:history="1">
        <w:r>
          <w:rPr>
            <w:rStyle w:val="Hipervnculo"/>
          </w:rPr>
          <w:t>http://tbinternet.ohchr.org/_layouts/treatybodyexternal/Download.aspx?symbolno=INT%2fCED%2fICO%2fCUB%2f26636&amp;Lang=en</w:t>
        </w:r>
      </w:hyperlink>
      <w:r>
        <w:t>.   Recomendamos al gobierno de Cuba avanzar en el proceso de actualización de la ley penal para incluir el delito de desaparición forzada en correspondencia con la Convención. Asimismo, consideramos que se debe continuar trabajando en la promoción y divulgación de los preceptos de la Convención, a través de acciones educativas concretas en todos los sectores de la sociedad e instituciones gubernamentales, con el fin de que la población aumente sus conocimientos en estos temas.</w:t>
      </w:r>
    </w:p>
  </w:footnote>
  <w:footnote w:id="113">
    <w:p w14:paraId="7DC33CDA" w14:textId="77777777" w:rsidR="00172411" w:rsidRDefault="00172411" w:rsidP="000531D7">
      <w:pPr>
        <w:pStyle w:val="Textonotapie"/>
        <w:spacing w:line="240" w:lineRule="atLeast"/>
        <w:ind w:firstLine="0"/>
      </w:pPr>
      <w:r>
        <w:rPr>
          <w:rStyle w:val="Refdenotaalpie"/>
        </w:rPr>
        <w:footnoteRef/>
      </w:r>
      <w:r>
        <w:t xml:space="preserve"> UNODC. Oficina de las Naciones Unidas contra la Droga y el Delito. 2013. Informe sobre Examen de Cuba. Examen por Brasil y Guatemala sobre la aplicación por parte de Cuba de los artículos 15 y 42 del Capítulo III. “Penalización y aplicación de la ley “ y artículos 44-50 del Capítulo IV. “Cooperación Internacional" de la Convención de las Naciones Unidas contra la Corrupción para el ciclo de examen 2010-2015. Disponible en: </w:t>
      </w:r>
      <w:hyperlink r:id="rId45" w:history="1">
        <w:r>
          <w:rPr>
            <w:rStyle w:val="Hipervnculo"/>
          </w:rPr>
          <w:t>https://www.unodc.org/documents/.../2013_11_12_Cuba_Final_Country_Report.pdf</w:t>
        </w:r>
      </w:hyperlink>
      <w:r>
        <w:rPr>
          <w:rStyle w:val="Hipervnculo"/>
        </w:rPr>
        <w:t xml:space="preserve"> </w:t>
      </w:r>
      <w:r>
        <w:t>Pag.5 El artículo 142, inciso 2 del Código Penal prevé la violencia o intimidación contra un testigo (artículo 25, apartado a), de la Convención). El soborno para inducir un falso testimonio no está regulado en la disposición mencionada; puede considerarse en parte como incitación, o tentativa de incitación, al perjurio (artículo 155 del Código Penal).Tampoco está regulada la obstaculización de cualquier otra aportación de pruebas.</w:t>
      </w:r>
    </w:p>
  </w:footnote>
  <w:footnote w:id="114">
    <w:p w14:paraId="1E4F1EFA" w14:textId="77777777" w:rsidR="00172411" w:rsidRDefault="00172411" w:rsidP="000531D7">
      <w:pPr>
        <w:pStyle w:val="Textonotapie"/>
        <w:spacing w:line="240" w:lineRule="atLeast"/>
        <w:ind w:firstLine="0"/>
        <w:rPr>
          <w:lang w:eastAsia="en-US"/>
        </w:rPr>
      </w:pPr>
      <w:r>
        <w:rPr>
          <w:vertAlign w:val="superscript"/>
        </w:rPr>
        <w:footnoteRef/>
      </w:r>
      <w:r>
        <w:t xml:space="preserve">Maria Grazia Giammarinaro. (20 abril de 2017) </w:t>
      </w:r>
      <w:r>
        <w:rPr>
          <w:i/>
        </w:rPr>
        <w:t>Declaración del final de la visita a Cuba de la Relatora Especial sobre la trata de personas, especialmente mujeres y niños</w:t>
      </w:r>
      <w:r>
        <w:t xml:space="preserve">. Disponible: </w:t>
      </w:r>
      <w:hyperlink r:id="rId46" w:history="1">
        <w:r>
          <w:rPr>
            <w:rStyle w:val="Hipervnculo"/>
          </w:rPr>
          <w:t>http://www.ohchr.org/SP/NewsEvents/Pages/DisplayNews.aspx?NewsID=21518&amp;LangID=S</w:t>
        </w:r>
      </w:hyperlink>
      <w:r>
        <w:t xml:space="preserve"> . Motivos de preocupación (...) la trata de personas, especialmente mujeres y niños, no se aborda exhaustivamente en el marco jurídico. Los delitos de proxenetismo y trata están confundidos en el Código Penal; la trata en todas sus formas no está definida ni reconocida; la protección de los niños contra los delitos de motivación sexual sólo se proporciona hasta la edad de 16 años (…) falta de una definición legal de la trata con fines de explotación laboral, así como de otras formas de explotación…</w:t>
      </w:r>
    </w:p>
  </w:footnote>
  <w:footnote w:id="115">
    <w:p w14:paraId="3CEC176D" w14:textId="77777777" w:rsidR="00172411" w:rsidRDefault="00172411" w:rsidP="00C12397">
      <w:pPr>
        <w:pStyle w:val="Textonotapie"/>
        <w:ind w:firstLine="0"/>
      </w:pPr>
      <w:r>
        <w:rPr>
          <w:rStyle w:val="Refdenotaalpie"/>
        </w:rPr>
        <w:footnoteRef/>
      </w:r>
      <w:r>
        <w:t xml:space="preserve"> de la Cruz Ochoa, R. 2010 Entrevista con el ex fiscal general y ex presidente de Comisión de Asuntos Constitucionales de la </w:t>
      </w:r>
      <w:r>
        <w:rPr>
          <w:lang w:val="es-ES"/>
        </w:rPr>
        <w:t>Asamblea Nacional Poder Popular</w:t>
      </w:r>
      <w:r>
        <w:t xml:space="preserve"> (ANPP) Ramón de la Cruz Ochoa. (J. C. Guanche, Entrevistador), 2 octubre 2010.</w:t>
      </w:r>
    </w:p>
  </w:footnote>
  <w:footnote w:id="116">
    <w:p w14:paraId="484B9873" w14:textId="77777777" w:rsidR="00172411" w:rsidRDefault="00172411" w:rsidP="00C12397">
      <w:pPr>
        <w:pStyle w:val="Textonotapie"/>
        <w:ind w:firstLine="0"/>
        <w:rPr>
          <w:i/>
        </w:rPr>
      </w:pPr>
      <w:r>
        <w:rPr>
          <w:rStyle w:val="Refdenotaalpie"/>
        </w:rPr>
        <w:footnoteRef/>
      </w:r>
      <w:r>
        <w:t xml:space="preserve"> Guanche, Julio César. 2013. </w:t>
      </w:r>
      <w:r>
        <w:rPr>
          <w:i/>
        </w:rPr>
        <w:t>Estado, participación y representación políticas en Cuba.  : diseño institucional y práctica política tras la reforma constitucional de 1992</w:t>
      </w:r>
      <w:r>
        <w:t>. - 1a ed. - Buenos Aires: CLACSO, 2013.     E-Book.- (Becas de investigación). Pág. 38</w:t>
      </w:r>
    </w:p>
  </w:footnote>
  <w:footnote w:id="117">
    <w:p w14:paraId="1724442E" w14:textId="77777777" w:rsidR="00172411" w:rsidRDefault="00172411" w:rsidP="00C12397">
      <w:pPr>
        <w:pStyle w:val="Textonotapie"/>
        <w:ind w:firstLine="0"/>
        <w:rPr>
          <w:lang w:val="es-ES"/>
        </w:rPr>
      </w:pPr>
      <w:r>
        <w:rPr>
          <w:rStyle w:val="Refdenotaalpie"/>
        </w:rPr>
        <w:footnoteRef/>
      </w:r>
      <w:r>
        <w:t xml:space="preserve"> Ibidem. Pag.72</w:t>
      </w:r>
    </w:p>
  </w:footnote>
  <w:footnote w:id="118">
    <w:p w14:paraId="69C3C7CB" w14:textId="10C713B5" w:rsidR="00172411" w:rsidRDefault="00172411" w:rsidP="007F6AD7">
      <w:pPr>
        <w:spacing w:after="0" w:line="240" w:lineRule="atLeast"/>
      </w:pPr>
      <w:r>
        <w:rPr>
          <w:rStyle w:val="Refdenotaalpie"/>
        </w:rPr>
        <w:footnoteRef/>
      </w:r>
      <w:r>
        <w:t xml:space="preserve"> </w:t>
      </w:r>
      <w:r w:rsidRPr="00005956">
        <w:rPr>
          <w:rFonts w:ascii="Times New Roman" w:eastAsia="STKaiti" w:hAnsi="Times New Roman"/>
          <w:sz w:val="20"/>
          <w:szCs w:val="20"/>
          <w:lang w:val="es-US" w:eastAsia="es-US"/>
        </w:rPr>
        <w:t>Eloy G. Merino Brito. 2013</w:t>
      </w:r>
      <w:r>
        <w:t xml:space="preserve">. </w:t>
      </w:r>
      <w:r w:rsidRPr="00005956">
        <w:rPr>
          <w:i/>
        </w:rPr>
        <w:t>La organización del sistema judicial cubano.</w:t>
      </w:r>
      <w:r>
        <w:rPr>
          <w:i/>
        </w:rPr>
        <w:t xml:space="preserve"> </w:t>
      </w:r>
      <w:r>
        <w:t>Justicia y Derecho .Año 11, no. 21, diciembre 2013.</w:t>
      </w:r>
      <w:r w:rsidRPr="00005956">
        <w:t xml:space="preserve"> </w:t>
      </w:r>
      <w:r>
        <w:rPr>
          <w:rFonts w:ascii="Times New Roman" w:hAnsi="Times New Roman"/>
          <w:sz w:val="20"/>
          <w:szCs w:val="20"/>
        </w:rPr>
        <w:t xml:space="preserve">Disponible: </w:t>
      </w:r>
      <w:hyperlink r:id="rId47" w:history="1">
        <w:r>
          <w:rPr>
            <w:rStyle w:val="Hipervnculo"/>
          </w:rPr>
          <w:t>http://www.tsp.cu/sites/default/files/divulga_cendij/JusticiaDerecho21.pdf</w:t>
        </w:r>
      </w:hyperlink>
      <w:r>
        <w:t xml:space="preserve">  Pag.26</w:t>
      </w:r>
    </w:p>
    <w:p w14:paraId="3FD00437" w14:textId="193CB6D0" w:rsidR="00172411" w:rsidRPr="00005956" w:rsidRDefault="00172411" w:rsidP="007F6AD7">
      <w:pPr>
        <w:spacing w:after="0" w:line="240" w:lineRule="atLeast"/>
      </w:pPr>
      <w:r>
        <w:t>Pag. 36 (…) todos los cargos de jueces son electivos y a término. Los del Tribunal Supremo Popular serán elegidos por (…) los  jueces legos escogiéndolos de las listas que elevarán las direcciones nacionales del Partido Comunista de Cuba, de la Unión  de Jóvenes Comunistas y de las organizaciones sociales…</w:t>
      </w:r>
    </w:p>
  </w:footnote>
  <w:footnote w:id="119">
    <w:p w14:paraId="6D9307EC" w14:textId="1BC09DBA" w:rsidR="00172411" w:rsidRPr="00667876" w:rsidRDefault="00172411" w:rsidP="00667876">
      <w:pPr>
        <w:pStyle w:val="Textonotapie"/>
        <w:ind w:firstLine="0"/>
        <w:rPr>
          <w:lang w:val="es-ES"/>
        </w:rPr>
      </w:pPr>
      <w:r>
        <w:rPr>
          <w:rStyle w:val="Refdenotaalpie"/>
        </w:rPr>
        <w:footnoteRef/>
      </w:r>
      <w:r>
        <w:t xml:space="preserve">  Asamblea Nacional Poder Popular</w:t>
      </w:r>
      <w:r>
        <w:rPr>
          <w:bCs/>
          <w:lang w:val="es-ES"/>
        </w:rPr>
        <w:t xml:space="preserve">. </w:t>
      </w:r>
      <w:r>
        <w:rPr>
          <w:lang w:val="es-ES"/>
        </w:rPr>
        <w:t xml:space="preserve">Constitución de la República de Cuba. </w:t>
      </w:r>
      <w:r w:rsidRPr="001948BB">
        <w:t>ARTICULO 120.</w:t>
      </w:r>
    </w:p>
  </w:footnote>
  <w:footnote w:id="120">
    <w:p w14:paraId="17B84A46" w14:textId="475CBE2F" w:rsidR="00172411" w:rsidRPr="00842921" w:rsidRDefault="00172411" w:rsidP="00842921">
      <w:pPr>
        <w:pStyle w:val="Textonotapie"/>
        <w:ind w:firstLine="0"/>
      </w:pPr>
      <w:r>
        <w:rPr>
          <w:rStyle w:val="Refdenotaalpie"/>
        </w:rPr>
        <w:footnoteRef/>
      </w:r>
      <w:r>
        <w:t xml:space="preserve">   </w:t>
      </w:r>
      <w:r w:rsidRPr="00D372D8">
        <w:t>Ibídem</w:t>
      </w:r>
      <w:r>
        <w:t xml:space="preserve">. </w:t>
      </w:r>
      <w:r w:rsidRPr="00842921">
        <w:t>ARTICULO 121</w:t>
      </w:r>
      <w:r>
        <w:t xml:space="preserve"> y </w:t>
      </w:r>
      <w:r w:rsidRPr="00667876">
        <w:t>ARTICULO 128</w:t>
      </w:r>
    </w:p>
  </w:footnote>
  <w:footnote w:id="121">
    <w:p w14:paraId="08CD51F6" w14:textId="2A0505E7" w:rsidR="00172411" w:rsidRPr="00DA685C" w:rsidRDefault="00172411" w:rsidP="00DA685C">
      <w:pPr>
        <w:pStyle w:val="Textonotapie"/>
        <w:ind w:firstLine="0"/>
      </w:pPr>
      <w:r>
        <w:rPr>
          <w:rStyle w:val="Refdenotaalpie"/>
        </w:rPr>
        <w:footnoteRef/>
      </w:r>
      <w:r>
        <w:t xml:space="preserve">   </w:t>
      </w:r>
      <w:r w:rsidRPr="00D372D8">
        <w:t>Ibídem</w:t>
      </w:r>
      <w:r>
        <w:t>. ARTÍCULO 125.-Los tribunales rinden cuenta de los resultados de su trabajo en la forma y con la periodicidad que establece la ley.</w:t>
      </w:r>
    </w:p>
  </w:footnote>
  <w:footnote w:id="122">
    <w:p w14:paraId="3ADF3539" w14:textId="38326E63" w:rsidR="00172411" w:rsidRPr="00AA5659" w:rsidRDefault="00172411" w:rsidP="00AA5659">
      <w:pPr>
        <w:pStyle w:val="Textonotapie"/>
        <w:ind w:firstLine="0"/>
      </w:pPr>
      <w:r>
        <w:rPr>
          <w:rStyle w:val="Refdenotaalpie"/>
        </w:rPr>
        <w:footnoteRef/>
      </w:r>
      <w:r>
        <w:t xml:space="preserve"> La revista Justicia y Derecho (2012) publica cuatro importantes documentos relacionados con las rendiciones de cuenta del Tribunal Supremo Popular y la Fiscalía General de la República en el VIII período de sesiones de la VII legislatura de la Asamblea Nacional del Poder Popular, el 23 de diciembre 2011. Tres de ellos –publicados en el periódico Granma, el lunes 26 de diciembre 2011, en las páginas 3, 4, 5, y 6– los reproducimos textualmente. Pág. 3</w:t>
      </w:r>
      <w:r w:rsidRPr="00AA5659">
        <w:t xml:space="preserve"> </w:t>
      </w:r>
      <w:r>
        <w:t xml:space="preserve">Justicia y Derecho Año 10, no. 18, junio de 2012 Disponible:  </w:t>
      </w:r>
      <w:hyperlink r:id="rId48" w:history="1">
        <w:r>
          <w:rPr>
            <w:rStyle w:val="Hipervnculo"/>
            <w:lang w:eastAsia="es-MX"/>
          </w:rPr>
          <w:t>http://www.tsp.cu/sites/default/files/18JusticiaDerecho.pdf</w:t>
        </w:r>
      </w:hyperlink>
      <w:r>
        <w:rPr>
          <w:rStyle w:val="Hipervnculo"/>
          <w:lang w:eastAsia="es-MX"/>
        </w:rPr>
        <w:t xml:space="preserve">  </w:t>
      </w:r>
    </w:p>
  </w:footnote>
  <w:footnote w:id="123">
    <w:p w14:paraId="7B153332" w14:textId="77777777" w:rsidR="00172411" w:rsidRPr="00200246" w:rsidRDefault="00172411" w:rsidP="003D458B">
      <w:pPr>
        <w:pStyle w:val="Textonotapie"/>
        <w:ind w:firstLine="0"/>
      </w:pPr>
      <w:r>
        <w:rPr>
          <w:rStyle w:val="Refdenotaalpie"/>
        </w:rPr>
        <w:footnoteRef/>
      </w:r>
      <w:r>
        <w:t xml:space="preserve"> La información disponible sobre este tema está dispersa. Por ejemplo, el Directorio Telefónico de Cuba tiene las páginas azules con las vías de contacto, dirección y teléfonos, de los organismos de la Administración Central del Estado y entidades nacionales; entre las publicadas aparece el Ministerio del Interior, pero omite al Ministerio de las Fuerzas Armadas Revolucionarias (MINFAR).  (Consultados por ACDEI los años 2014 y 2018)</w:t>
      </w:r>
    </w:p>
  </w:footnote>
  <w:footnote w:id="124">
    <w:p w14:paraId="29266246" w14:textId="550EF359" w:rsidR="00172411" w:rsidRPr="004C1FF6" w:rsidRDefault="00172411" w:rsidP="004C1FF6">
      <w:pPr>
        <w:pStyle w:val="Textonotapie"/>
        <w:ind w:firstLine="0"/>
      </w:pPr>
      <w:r>
        <w:rPr>
          <w:rStyle w:val="Refdenotaalpie"/>
        </w:rPr>
        <w:footnoteRef/>
      </w:r>
      <w:r>
        <w:t xml:space="preserve"> </w:t>
      </w:r>
      <w:r w:rsidRPr="004C1FF6">
        <w:t>Tribunales y Cortes Militares en el Ministerio de las Fuerzas Armadas Revolucionarias (MINFAR) y el Ministerio del Interior (MININT), a los distintos niveles.</w:t>
      </w:r>
    </w:p>
  </w:footnote>
  <w:footnote w:id="125">
    <w:p w14:paraId="08257E82" w14:textId="77777777" w:rsidR="00172411" w:rsidRPr="00BB77F1" w:rsidRDefault="00172411" w:rsidP="00237246">
      <w:pPr>
        <w:pStyle w:val="Textoindependiente"/>
        <w:spacing w:after="0" w:line="240" w:lineRule="atLeast"/>
        <w:ind w:firstLine="0"/>
        <w:rPr>
          <w:rFonts w:ascii="Times New Roman" w:hAnsi="Times New Roman" w:cs="Times New Roman"/>
          <w:sz w:val="20"/>
          <w:szCs w:val="20"/>
          <w:lang w:val="es-ES"/>
        </w:rPr>
      </w:pPr>
      <w:r>
        <w:rPr>
          <w:rStyle w:val="Refdenotaalpie"/>
        </w:rPr>
        <w:footnoteRef/>
      </w:r>
      <w:bookmarkStart w:id="80" w:name="OLE_LINK20"/>
      <w:bookmarkStart w:id="81" w:name="OLE_LINK33"/>
      <w:r w:rsidRPr="00BB77F1">
        <w:rPr>
          <w:rFonts w:ascii="Times New Roman" w:hAnsi="Times New Roman" w:cs="Times New Roman"/>
          <w:sz w:val="20"/>
          <w:szCs w:val="20"/>
        </w:rPr>
        <w:t xml:space="preserve">Sergio García Ramírez (s/f) Universidad Nacional Autónoma de México.  </w:t>
      </w:r>
      <w:r w:rsidRPr="00BB77F1">
        <w:rPr>
          <w:rFonts w:ascii="Times New Roman" w:hAnsi="Times New Roman" w:cs="Times New Roman"/>
          <w:i/>
          <w:sz w:val="20"/>
          <w:szCs w:val="20"/>
        </w:rPr>
        <w:t>Los principios penales fundamentales</w:t>
      </w:r>
      <w:r w:rsidRPr="00BB77F1">
        <w:rPr>
          <w:rFonts w:ascii="Times New Roman" w:hAnsi="Times New Roman" w:cs="Times New Roman"/>
          <w:sz w:val="20"/>
          <w:szCs w:val="20"/>
        </w:rPr>
        <w:t>. Pág. 41(19). Disponible:</w:t>
      </w:r>
      <w:r>
        <w:rPr>
          <w:rFonts w:ascii="Times New Roman" w:hAnsi="Times New Roman" w:cs="Times New Roman"/>
          <w:sz w:val="20"/>
          <w:szCs w:val="20"/>
        </w:rPr>
        <w:t xml:space="preserve"> </w:t>
      </w:r>
      <w:r w:rsidRPr="00BB77F1">
        <w:rPr>
          <w:rStyle w:val="Quotation"/>
          <w:rFonts w:ascii="Times New Roman" w:hAnsi="Times New Roman" w:cs="Times New Roman"/>
          <w:i w:val="0"/>
          <w:sz w:val="20"/>
          <w:szCs w:val="20"/>
          <w:lang w:val="es-ES"/>
        </w:rPr>
        <w:t>https://archivos.juridicas.unam.mx/www/bjv/libros/1/282/3.pdf</w:t>
      </w:r>
      <w:r w:rsidRPr="00BB77F1">
        <w:rPr>
          <w:i/>
        </w:rPr>
        <w:t xml:space="preserve">  </w:t>
      </w:r>
      <w:r w:rsidRPr="00BB77F1">
        <w:rPr>
          <w:rFonts w:ascii="Times New Roman" w:hAnsi="Times New Roman" w:cs="Times New Roman"/>
          <w:sz w:val="20"/>
          <w:szCs w:val="20"/>
        </w:rPr>
        <w:t>Libro completo en: https://goo.gl/yTzd7V</w:t>
      </w:r>
      <w:bookmarkEnd w:id="80"/>
      <w:bookmarkEnd w:id="81"/>
    </w:p>
  </w:footnote>
  <w:footnote w:id="126">
    <w:p w14:paraId="1C592B18" w14:textId="77777777" w:rsidR="00172411" w:rsidRDefault="00172411" w:rsidP="00D66C45">
      <w:pPr>
        <w:spacing w:after="0" w:line="240" w:lineRule="atLeast"/>
        <w:rPr>
          <w:rFonts w:ascii="Times New Roman" w:hAnsi="Times New Roman"/>
          <w:sz w:val="20"/>
          <w:szCs w:val="20"/>
          <w:lang w:val="es-US" w:eastAsia="es-US"/>
        </w:rPr>
      </w:pPr>
      <w:r>
        <w:rPr>
          <w:rStyle w:val="Refdenotaalpie"/>
          <w:rFonts w:ascii="Times New Roman" w:hAnsi="Times New Roman"/>
          <w:sz w:val="20"/>
          <w:szCs w:val="20"/>
        </w:rPr>
        <w:footnoteRef/>
      </w:r>
      <w:r>
        <w:rPr>
          <w:rFonts w:ascii="Times New Roman" w:hAnsi="Times New Roman"/>
          <w:sz w:val="20"/>
          <w:szCs w:val="20"/>
        </w:rPr>
        <w:t xml:space="preserve"> Julio C. Guanche y Julio A. Fernández Estrada. Cuba. </w:t>
      </w:r>
      <w:r>
        <w:rPr>
          <w:rFonts w:ascii="Times New Roman" w:hAnsi="Times New Roman"/>
          <w:i/>
          <w:sz w:val="20"/>
          <w:szCs w:val="20"/>
        </w:rPr>
        <w:t>Derechos y Garantías en Cuba: fundamentación y propuesta. Ponencia SELA 2013</w:t>
      </w:r>
      <w:r>
        <w:rPr>
          <w:rFonts w:ascii="Times New Roman" w:hAnsi="Times New Roman"/>
          <w:sz w:val="20"/>
          <w:szCs w:val="20"/>
        </w:rPr>
        <w:t xml:space="preserve">. Disponible: </w:t>
      </w:r>
      <w:hyperlink r:id="rId49" w:history="1">
        <w:r>
          <w:rPr>
            <w:rStyle w:val="Hipervnculo"/>
            <w:rFonts w:ascii="Times New Roman" w:hAnsi="Times New Roman"/>
            <w:sz w:val="20"/>
            <w:szCs w:val="20"/>
          </w:rPr>
          <w:t>https://law.yale.edu/system/files/documents/pdf/sela/SELA13_GuancheFernandez_CV_Sp_20130316.pdf</w:t>
        </w:r>
      </w:hyperlink>
      <w:r>
        <w:rPr>
          <w:rFonts w:ascii="Times New Roman" w:hAnsi="Times New Roman"/>
          <w:sz w:val="20"/>
          <w:szCs w:val="20"/>
        </w:rPr>
        <w:t>.  Pag.7 y 29</w:t>
      </w:r>
    </w:p>
  </w:footnote>
  <w:footnote w:id="127">
    <w:p w14:paraId="1BC122D4" w14:textId="57AC5BE3" w:rsidR="00172411" w:rsidRPr="00397B8E" w:rsidRDefault="00172411" w:rsidP="00F51010">
      <w:pPr>
        <w:pStyle w:val="Textonotapie"/>
        <w:ind w:firstLine="0"/>
      </w:pPr>
      <w:r>
        <w:rPr>
          <w:rStyle w:val="Refdenotaalpie"/>
        </w:rPr>
        <w:footnoteRef/>
      </w:r>
      <w:r>
        <w:t xml:space="preserve"> Palabras de Rubén Remigio Ferro, presidente del Tribunal Supremo Popular. 2012.</w:t>
      </w:r>
      <w:r w:rsidRPr="00397B8E">
        <w:t xml:space="preserve"> </w:t>
      </w:r>
      <w:r>
        <w:t>Rendición de cuenta del Tribunal Supremo Popular Popular y la Fiscalía General de la República, en el VIII período de sesiones de la VII legislatura de la Asamblea Nacional del Poder Popular, el 23 de diciembre 2011.</w:t>
      </w:r>
      <w:r w:rsidRPr="00397B8E">
        <w:t xml:space="preserve"> </w:t>
      </w:r>
      <w:r>
        <w:t xml:space="preserve">Justicia y Derecho. Año 10, no. 18, junio de 2012. Disponible: </w:t>
      </w:r>
      <w:hyperlink r:id="rId50" w:history="1">
        <w:r>
          <w:rPr>
            <w:rStyle w:val="Hipervnculo"/>
            <w:lang w:eastAsia="es-MX"/>
          </w:rPr>
          <w:t>http://www.tsp.cu/sites/default/files/18JusticiaDerecho.pdf</w:t>
        </w:r>
      </w:hyperlink>
      <w:r>
        <w:rPr>
          <w:rStyle w:val="Hipervnculo"/>
          <w:lang w:eastAsia="es-MX"/>
        </w:rPr>
        <w:t xml:space="preserve">  </w:t>
      </w:r>
      <w:r>
        <w:t xml:space="preserve"> Pág.4, 5 Resultados de la Actividad Jurisdiccional. En los tribunales populares del país laboran en la actualidad 5 135 efectivos, para una cobertura del 91% de la plantilla aprobada. Jueces profesionales 990, o sea el 92% de los 1 075 cargos previstos y, de ese total, 761 son juezas, para el 76%, (…) que el 44% de los jueces sean jóvenes de hasta 35 años de edad, –Total general de asuntos concluidos (resueltos)...129, 887(87%) –Total general de sentencias ejecutadas (cumplidas)...108,744 (91,3%) (…) </w:t>
      </w:r>
      <w:r w:rsidRPr="00AA5659">
        <w:t>los jueces legos</w:t>
      </w:r>
      <w:r>
        <w:t xml:space="preserve"> (…)</w:t>
      </w:r>
      <w:r w:rsidRPr="00AA5659">
        <w:t xml:space="preserve"> </w:t>
      </w:r>
      <w:r>
        <w:t>Hoy cumplen esa digna labor 14 752 ciudadanos y ciudadanas de diverso origen electos como representantes del pueblo para el ejercicio directo de tan importante función estatal…</w:t>
      </w:r>
    </w:p>
  </w:footnote>
  <w:footnote w:id="128">
    <w:p w14:paraId="6A95F094" w14:textId="77777777" w:rsidR="00172411" w:rsidRDefault="00172411" w:rsidP="00237246">
      <w:pPr>
        <w:pStyle w:val="Textonotapie"/>
        <w:spacing w:line="240" w:lineRule="atLeast"/>
        <w:ind w:firstLine="0"/>
        <w:rPr>
          <w:lang w:val="es-MX"/>
        </w:rPr>
      </w:pPr>
      <w:r>
        <w:rPr>
          <w:rStyle w:val="Refdenotaalpie"/>
        </w:rPr>
        <w:footnoteRef/>
      </w:r>
      <w:r>
        <w:t xml:space="preserve"> Rufina de la C. Hernández Rodríguez.</w:t>
      </w:r>
      <w:r>
        <w:rPr>
          <w:i/>
        </w:rPr>
        <w:t xml:space="preserve"> Razones que abrigan la necesidad de introducir el Principio de Oportunidad en el proceso penal cubano Op.cit. </w:t>
      </w:r>
      <w:r>
        <w:t xml:space="preserve">Dra. Arlín Pérez Duharte et. al, 2015. Las Ciencias Penales y Criminológicas frente al espejo del tiempo. ¿Qué queda de Beccaria 250 años después de la publicación de “Los delitos y las penas”? Editorial UNIJURIS, 2015. La Habana, Cuba. </w:t>
      </w:r>
      <w:bookmarkStart w:id="82" w:name="OLE_LINK13"/>
      <w:bookmarkStart w:id="83" w:name="OLE_LINK14"/>
      <w:r>
        <w:t>Disponible:</w:t>
      </w:r>
      <w:bookmarkEnd w:id="82"/>
      <w:bookmarkEnd w:id="83"/>
      <w:r>
        <w:t xml:space="preserve">  http://www.lex.uh.cu/sites/default/files/7.%20SERIE%20C.%20PENALES%20Y%20CRIM.%20-7-%202015%20-%20BECCARIA.pdf   Pág. 286     </w:t>
      </w:r>
    </w:p>
  </w:footnote>
  <w:footnote w:id="129">
    <w:p w14:paraId="4234F28A" w14:textId="77777777" w:rsidR="00172411" w:rsidRDefault="00172411" w:rsidP="00007106">
      <w:pPr>
        <w:pStyle w:val="Textonotapie"/>
        <w:spacing w:line="240" w:lineRule="atLeast"/>
        <w:ind w:firstLine="0"/>
      </w:pPr>
      <w:r>
        <w:rPr>
          <w:rStyle w:val="Refdenotaalpie"/>
        </w:rPr>
        <w:footnoteRef/>
      </w:r>
      <w:r>
        <w:t>Asamblea Nacional Poder Popular.14 julio 1997.Ley No.82. De los Tribunales Populares. GO-E-No.8. 1997. Cuba</w:t>
      </w:r>
    </w:p>
  </w:footnote>
  <w:footnote w:id="130">
    <w:p w14:paraId="04495FEB" w14:textId="4175D4E5" w:rsidR="00172411" w:rsidRDefault="00172411" w:rsidP="00007106">
      <w:pPr>
        <w:pStyle w:val="Textonotapie"/>
        <w:spacing w:line="240" w:lineRule="atLeast"/>
        <w:ind w:firstLine="0"/>
        <w:rPr>
          <w:rFonts w:ascii="Calibri" w:hAnsi="Calibri"/>
          <w:lang w:val="es-ES" w:eastAsia="en-US"/>
        </w:rPr>
      </w:pPr>
      <w:r>
        <w:rPr>
          <w:rStyle w:val="Refdenotaalpie"/>
        </w:rPr>
        <w:footnoteRef/>
      </w:r>
      <w:r>
        <w:t xml:space="preserve"> Susana Gomes Bugallo y Rene Tamayo (Diciembre 22, 2017) </w:t>
      </w:r>
      <w:r w:rsidRPr="007F13F1">
        <w:rPr>
          <w:i/>
        </w:rPr>
        <w:t>La justicia en la mira del Parlamento</w:t>
      </w:r>
      <w:r>
        <w:t>.  Diario Juventud Rebelde Edición impresa. Cuba</w:t>
      </w:r>
      <w:r w:rsidRPr="0096012B">
        <w:t xml:space="preserve"> </w:t>
      </w:r>
      <w:r>
        <w:t>.pág. 13.</w:t>
      </w:r>
    </w:p>
  </w:footnote>
  <w:footnote w:id="131">
    <w:p w14:paraId="05F461B1" w14:textId="5A271D30" w:rsidR="00172411" w:rsidRPr="009376EA" w:rsidRDefault="00172411" w:rsidP="00304C87">
      <w:pPr>
        <w:spacing w:after="0" w:line="240" w:lineRule="atLeast"/>
        <w:rPr>
          <w:rFonts w:ascii="Times New Roman" w:hAnsi="Times New Roman"/>
          <w:sz w:val="20"/>
          <w:szCs w:val="20"/>
        </w:rPr>
      </w:pPr>
      <w:r>
        <w:rPr>
          <w:rStyle w:val="Refdenotaalpie"/>
        </w:rPr>
        <w:footnoteRef/>
      </w:r>
      <w:r>
        <w:rPr>
          <w:rFonts w:ascii="Times New Roman" w:hAnsi="Times New Roman"/>
          <w:sz w:val="20"/>
          <w:szCs w:val="20"/>
        </w:rPr>
        <w:t xml:space="preserve"> Tabla elaborada por ACDEI a partir de diferentes fuentes consultadas, entre ellas:</w:t>
      </w:r>
    </w:p>
    <w:p w14:paraId="0B546F10" w14:textId="1F1037E4" w:rsidR="00172411" w:rsidRPr="00460D88" w:rsidRDefault="00172411" w:rsidP="00460D88">
      <w:pPr>
        <w:numPr>
          <w:ilvl w:val="0"/>
          <w:numId w:val="1"/>
        </w:numPr>
        <w:spacing w:after="0" w:line="240" w:lineRule="atLeast"/>
        <w:ind w:left="450" w:hanging="450"/>
        <w:rPr>
          <w:rFonts w:ascii="Times New Roman" w:hAnsi="Times New Roman"/>
        </w:rPr>
      </w:pPr>
      <w:r>
        <w:rPr>
          <w:rFonts w:ascii="Times New Roman" w:hAnsi="Times New Roman"/>
          <w:sz w:val="20"/>
          <w:szCs w:val="20"/>
          <w:lang w:val="en-US"/>
        </w:rPr>
        <w:t xml:space="preserve">CRC/C/OPSC/CUB/Q/1/Add.1. </w:t>
      </w:r>
      <w:r>
        <w:rPr>
          <w:rFonts w:ascii="Times New Roman" w:hAnsi="Times New Roman"/>
          <w:sz w:val="20"/>
          <w:szCs w:val="20"/>
        </w:rPr>
        <w:t>(25 agosto 2015). Respuesta de Cuba a la lista de cuestiones OPSC. Disponible:</w:t>
      </w:r>
      <w:r w:rsidRPr="00462CFF">
        <w:rPr>
          <w:rFonts w:ascii="Times New Roman" w:hAnsi="Times New Roman"/>
          <w:sz w:val="20"/>
          <w:szCs w:val="20"/>
        </w:rPr>
        <w:t xml:space="preserve">http://tbinternet.ohchr.org/_layouts/treatybodyexternal/Download.aspx?symbolno=CRC%2fC%2fOPSC%2fCUB%2fQ%2f1%2fAdd.1&amp;Lang=en. </w:t>
      </w:r>
    </w:p>
    <w:p w14:paraId="4E0A7C99" w14:textId="2D66C1D7" w:rsidR="00172411" w:rsidRPr="00E45B1E" w:rsidRDefault="00172411" w:rsidP="00007106">
      <w:pPr>
        <w:numPr>
          <w:ilvl w:val="0"/>
          <w:numId w:val="1"/>
        </w:numPr>
        <w:spacing w:line="240" w:lineRule="atLeast"/>
        <w:ind w:left="448" w:hanging="448"/>
        <w:rPr>
          <w:sz w:val="20"/>
          <w:szCs w:val="20"/>
        </w:rPr>
      </w:pPr>
      <w:r>
        <w:rPr>
          <w:rFonts w:ascii="Times New Roman" w:hAnsi="Times New Roman"/>
          <w:sz w:val="20"/>
          <w:szCs w:val="20"/>
        </w:rPr>
        <w:t xml:space="preserve">Susana Gomes Bugallo y Rene Tamayo (Diciembre 22, 2017) </w:t>
      </w:r>
      <w:r w:rsidRPr="00462CFF">
        <w:rPr>
          <w:rFonts w:ascii="Times New Roman" w:hAnsi="Times New Roman"/>
          <w:i/>
          <w:sz w:val="20"/>
          <w:szCs w:val="20"/>
        </w:rPr>
        <w:t>La justicia en la mira del Parlamento</w:t>
      </w:r>
      <w:r>
        <w:rPr>
          <w:rFonts w:ascii="Times New Roman" w:hAnsi="Times New Roman"/>
          <w:sz w:val="20"/>
          <w:szCs w:val="20"/>
        </w:rPr>
        <w:t>.  Diario Juventud Rebelde pág. 13 y 14.  Edición impresa. Cuba.</w:t>
      </w:r>
      <w:r w:rsidRPr="00E45B1E">
        <w:t xml:space="preserve"> </w:t>
      </w:r>
    </w:p>
  </w:footnote>
  <w:footnote w:id="132">
    <w:p w14:paraId="40D2DB96" w14:textId="77777777" w:rsidR="00172411" w:rsidRDefault="00172411" w:rsidP="00460D88">
      <w:pPr>
        <w:pStyle w:val="Textonotapie"/>
        <w:ind w:firstLine="0"/>
      </w:pPr>
      <w:r>
        <w:rPr>
          <w:rStyle w:val="Refdenotaalpie"/>
        </w:rPr>
        <w:footnoteRef/>
      </w:r>
      <w:r>
        <w:t xml:space="preserve"> Presentado por Darío Delgado Cura, Fiscal General de la República. 2011. Rendición de cuenta del Tribunal Supremo Popular y la Fiscalía General de la República, en el VIII período de sesiones de la VII legislatura de la Asamblea Nacional del Poder Popular, el 23 de diciembre 2011. Justicia y Derecho. Año 10, no. 18, junio de 2012. Disponible: </w:t>
      </w:r>
      <w:hyperlink r:id="rId51" w:history="1">
        <w:r>
          <w:rPr>
            <w:rStyle w:val="Hipervnculo"/>
            <w:lang w:eastAsia="es-MX"/>
          </w:rPr>
          <w:t>http://www.tsp.cu/sites/default/files/18JusticiaDerecho.pdf</w:t>
        </w:r>
      </w:hyperlink>
      <w:r>
        <w:rPr>
          <w:rStyle w:val="Hipervnculo"/>
          <w:lang w:eastAsia="es-MX"/>
        </w:rPr>
        <w:t xml:space="preserve">  </w:t>
      </w:r>
      <w:r>
        <w:t xml:space="preserve"> Pág.11</w:t>
      </w:r>
    </w:p>
  </w:footnote>
  <w:footnote w:id="133">
    <w:p w14:paraId="5B493B27" w14:textId="3D29299B" w:rsidR="00172411" w:rsidRPr="00FA6D4F" w:rsidRDefault="00172411" w:rsidP="00C64339">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Julio C. Guanche y Julio A. Fernández Estrada. Cuba. 2013. </w:t>
      </w:r>
      <w:r>
        <w:rPr>
          <w:rFonts w:ascii="Times New Roman" w:hAnsi="Times New Roman"/>
          <w:i/>
          <w:sz w:val="20"/>
          <w:szCs w:val="20"/>
        </w:rPr>
        <w:t>Derechos y Garantías en Cuba: fundamentación y propuesta. Ponencia SELA 2013</w:t>
      </w:r>
      <w:r>
        <w:rPr>
          <w:rFonts w:ascii="Times New Roman" w:hAnsi="Times New Roman"/>
          <w:sz w:val="20"/>
          <w:szCs w:val="20"/>
        </w:rPr>
        <w:t xml:space="preserve">. Disponible: </w:t>
      </w:r>
      <w:hyperlink r:id="rId52" w:history="1">
        <w:r>
          <w:rPr>
            <w:rStyle w:val="Hipervnculo"/>
            <w:rFonts w:ascii="Times New Roman" w:hAnsi="Times New Roman"/>
            <w:sz w:val="20"/>
            <w:szCs w:val="20"/>
          </w:rPr>
          <w:t>https://law.yale.edu/system/files/documents/pdf/sela/SELA13_GuancheFernandez_CV_Sp_20130316.pdf</w:t>
        </w:r>
      </w:hyperlink>
      <w:r>
        <w:rPr>
          <w:rFonts w:ascii="Times New Roman" w:hAnsi="Times New Roman"/>
          <w:sz w:val="20"/>
          <w:szCs w:val="20"/>
        </w:rPr>
        <w:t>.  Pag.29</w:t>
      </w:r>
    </w:p>
  </w:footnote>
  <w:footnote w:id="134">
    <w:p w14:paraId="1713340C" w14:textId="77777777" w:rsidR="00172411" w:rsidRDefault="00172411" w:rsidP="00B530CC">
      <w:pPr>
        <w:pStyle w:val="NormalWeb"/>
        <w:spacing w:line="240" w:lineRule="atLeast"/>
        <w:ind w:firstLine="0"/>
        <w:rPr>
          <w:bCs/>
          <w:kern w:val="32"/>
          <w:sz w:val="20"/>
          <w:szCs w:val="20"/>
          <w:lang w:val="es-ES" w:eastAsia="en-US"/>
        </w:rPr>
      </w:pPr>
      <w:r>
        <w:rPr>
          <w:rStyle w:val="Refdenotaalpie"/>
          <w:sz w:val="22"/>
          <w:szCs w:val="22"/>
        </w:rPr>
        <w:footnoteRef/>
      </w:r>
      <w:r>
        <w:rPr>
          <w:bCs/>
          <w:kern w:val="32"/>
          <w:sz w:val="20"/>
          <w:szCs w:val="20"/>
          <w:lang w:val="es-ES" w:eastAsia="en-US"/>
        </w:rPr>
        <w:t>Asamblea Nacional Poder Popular. Ley No. 83 “De la Fiscalía General de la República” de 11 de julio de 1997. Publicada en la Gaceta Oficial, Edición Extraordinaria No. 8 de 14 de julio de 1997. ARTICULO 8. La Fiscalía General de la República para el cumplimiento de sus objetivos, tiene las funciones principales siguientes: g) ejercer en representación del Estado las acciones judiciales que correspondan conforme a la legislación vigente, en función del interés social y en su caso, en representación de menores, ausentes o incapaces;… k) comprobar el cumplimiento de las leyes, reglamentos y disposiciones sobre el tratamiento a menores de edad infractores o con trastornos de conducta y de los menores acogidos en instituciones asistenciales; … l) ejercer la iniciativa legislativa en materia de su competencia;…</w:t>
      </w:r>
    </w:p>
  </w:footnote>
  <w:footnote w:id="135">
    <w:p w14:paraId="4E5674A3" w14:textId="77777777" w:rsidR="00172411" w:rsidRDefault="00172411" w:rsidP="00285B0B">
      <w:pPr>
        <w:pStyle w:val="Ttulo8"/>
        <w:spacing w:before="0" w:line="240" w:lineRule="atLeast"/>
        <w:ind w:firstLine="0"/>
        <w:rPr>
          <w:rFonts w:ascii="Times New Roman" w:hAnsi="Times New Roman"/>
          <w:color w:val="auto"/>
          <w:szCs w:val="20"/>
          <w:lang w:val="es-MX" w:eastAsia="en-US"/>
        </w:rPr>
      </w:pPr>
      <w:r>
        <w:rPr>
          <w:rStyle w:val="Refdenotaalpie"/>
          <w:rFonts w:ascii="Times New Roman" w:hAnsi="Times New Roman"/>
          <w:i/>
          <w:sz w:val="22"/>
          <w:szCs w:val="22"/>
        </w:rPr>
        <w:footnoteRef/>
      </w:r>
      <w:r>
        <w:rPr>
          <w:rStyle w:val="normal1"/>
          <w:rFonts w:ascii="Times New Roman" w:hAnsi="Times New Roman"/>
          <w:bCs/>
          <w:caps w:val="0"/>
        </w:rPr>
        <w:t>Odalys María Hernández Fuentes.</w:t>
      </w:r>
      <w:r>
        <w:rPr>
          <w:rFonts w:ascii="Times New Roman" w:hAnsi="Times New Roman"/>
          <w:caps w:val="0"/>
          <w:szCs w:val="20"/>
        </w:rPr>
        <w:t xml:space="preserve"> Legalidad Socialista. </w:t>
      </w:r>
      <w:r>
        <w:rPr>
          <w:rFonts w:ascii="Times New Roman" w:hAnsi="Times New Roman"/>
          <w:bCs/>
          <w:caps w:val="0"/>
          <w:szCs w:val="20"/>
        </w:rPr>
        <w:t>Año</w:t>
      </w:r>
      <w:r>
        <w:rPr>
          <w:rFonts w:ascii="Times New Roman" w:hAnsi="Times New Roman"/>
          <w:bCs/>
          <w:caps w:val="0"/>
          <w:szCs w:val="20"/>
          <w:lang w:val="fr-FR"/>
        </w:rPr>
        <w:t xml:space="preserve"> 1 No 2., Julio 22</w:t>
      </w:r>
      <w:r>
        <w:rPr>
          <w:rFonts w:ascii="Times New Roman" w:hAnsi="Times New Roman"/>
          <w:bCs/>
          <w:caps w:val="0"/>
          <w:szCs w:val="20"/>
        </w:rPr>
        <w:t xml:space="preserve">, </w:t>
      </w:r>
      <w:r>
        <w:rPr>
          <w:rFonts w:ascii="Times New Roman" w:hAnsi="Times New Roman"/>
          <w:bCs/>
          <w:caps w:val="0"/>
          <w:szCs w:val="20"/>
          <w:lang w:val="fr-FR"/>
        </w:rPr>
        <w:t>2004.Pag. 12 y 15</w:t>
      </w:r>
    </w:p>
  </w:footnote>
  <w:footnote w:id="136">
    <w:p w14:paraId="0AE00CA3" w14:textId="77777777" w:rsidR="00172411" w:rsidRDefault="00172411" w:rsidP="00C64339">
      <w:pPr>
        <w:spacing w:after="0" w:line="240" w:lineRule="atLeast"/>
        <w:rPr>
          <w:rFonts w:ascii="Times New Roman" w:hAnsi="Times New Roman"/>
          <w:sz w:val="20"/>
          <w:szCs w:val="20"/>
        </w:rPr>
      </w:pPr>
      <w:r>
        <w:rPr>
          <w:rStyle w:val="Refdenotaalpie"/>
        </w:rPr>
        <w:footnoteRef/>
      </w:r>
      <w:r>
        <w:rPr>
          <w:rFonts w:ascii="Times New Roman" w:hAnsi="Times New Roman"/>
          <w:sz w:val="20"/>
          <w:szCs w:val="20"/>
          <w:lang w:val="en-US"/>
        </w:rPr>
        <w:t xml:space="preserve">CRC/C/OPSC/CUB/Q/1/Add.1. </w:t>
      </w:r>
      <w:r>
        <w:rPr>
          <w:rFonts w:ascii="Times New Roman" w:hAnsi="Times New Roman"/>
          <w:sz w:val="20"/>
          <w:szCs w:val="20"/>
        </w:rPr>
        <w:t xml:space="preserve">(25 agosto 2015). </w:t>
      </w:r>
      <w:r w:rsidRPr="00462CFF">
        <w:rPr>
          <w:rFonts w:ascii="Times New Roman" w:hAnsi="Times New Roman"/>
          <w:i/>
          <w:sz w:val="20"/>
          <w:szCs w:val="20"/>
        </w:rPr>
        <w:t>Respuesta de Cuba a la lista de cuestiones OPSC</w:t>
      </w:r>
      <w:r>
        <w:rPr>
          <w:rFonts w:ascii="Times New Roman" w:hAnsi="Times New Roman"/>
          <w:sz w:val="20"/>
          <w:szCs w:val="20"/>
        </w:rPr>
        <w:t xml:space="preserve">. Disponible: http://tbinternet.ohchr.org/_layouts/treatybodyexternal/Download.aspx?symbolno=CRC%2fC%2fOPSC%2fCUB%2fQ%2f1%2fAdd.1&amp;Lang=en.  </w:t>
      </w:r>
    </w:p>
  </w:footnote>
  <w:footnote w:id="137">
    <w:p w14:paraId="50518FCC" w14:textId="08AEB66D" w:rsidR="00172411" w:rsidRDefault="00172411" w:rsidP="00CC60F0">
      <w:pPr>
        <w:pStyle w:val="Textonotapie"/>
        <w:spacing w:line="240" w:lineRule="atLeast"/>
        <w:ind w:firstLine="0"/>
        <w:rPr>
          <w:lang w:val="es-MX"/>
        </w:rPr>
      </w:pPr>
      <w:r>
        <w:rPr>
          <w:rStyle w:val="Refdenotaalpie"/>
        </w:rPr>
        <w:footnoteRef/>
      </w:r>
      <w:r>
        <w:t xml:space="preserve"> Susana Gomes Bugallo y Rene Tamayo (Diciembre 22, 2017) </w:t>
      </w:r>
      <w:r w:rsidRPr="0085549A">
        <w:rPr>
          <w:i/>
        </w:rPr>
        <w:t>La justicia en la mira del Parlamento</w:t>
      </w:r>
      <w:r>
        <w:t>. Diario Juventud Rebelde pág. 13. Edición impresa. Cuba. (…) en el transcurso de estos años ha continuado avanzando el mejoramiento de las condiciones de trabajo de los tribunales (…) Demoras que resquebrajan la autoridad judicial y la confianza de la población en la capacidad de nuestros órganos para hacer cumplir sus decisiones…</w:t>
      </w:r>
    </w:p>
  </w:footnote>
  <w:footnote w:id="138">
    <w:p w14:paraId="04D2578C" w14:textId="42C2068B" w:rsidR="00172411" w:rsidRDefault="00172411" w:rsidP="00C64339">
      <w:pPr>
        <w:autoSpaceDE w:val="0"/>
        <w:autoSpaceDN w:val="0"/>
        <w:adjustRightInd w:val="0"/>
        <w:spacing w:after="0" w:line="240" w:lineRule="atLeast"/>
        <w:rPr>
          <w:rFonts w:ascii="Times New Roman" w:hAnsi="Times New Roman"/>
          <w:sz w:val="20"/>
          <w:szCs w:val="20"/>
        </w:rPr>
      </w:pPr>
      <w:r>
        <w:rPr>
          <w:rStyle w:val="Refdenotaalpie"/>
        </w:rPr>
        <w:footnoteRef/>
      </w:r>
      <w:r>
        <w:rPr>
          <w:rFonts w:ascii="Times New Roman" w:hAnsi="Times New Roman"/>
          <w:sz w:val="20"/>
          <w:szCs w:val="20"/>
        </w:rPr>
        <w:t>Véase Pastor de congregación cristiana y su esposa condenados en Cuba a un año de cárcel por educar a sus hijos en casa. Hablemos Press. 2017. Disponible:https://hablemos-press.com/2017/04/29/pastor-de-una-congregacion-cristiana-es-condenado-en-cuba-aun-ano-de-carcel-por-educar-a-sus-hijos-en-casa/; Véase Diario Las Américas. 2017. Piden libertad para pastor Rigal y su esposa ante embajada de Cuba en EEUU. Disponible: http://www.diariolasamericas.com/eeuu/piden-libertad-pastor-rigal-y-su-esposa-embajada-cuba-eeuu-n4122199</w:t>
      </w:r>
    </w:p>
  </w:footnote>
  <w:footnote w:id="139">
    <w:p w14:paraId="10BA0951" w14:textId="19D5DA0E" w:rsidR="00172411" w:rsidRPr="00885286" w:rsidRDefault="00172411" w:rsidP="00885286">
      <w:pPr>
        <w:pStyle w:val="Textonotapie"/>
        <w:ind w:firstLine="0"/>
        <w:rPr>
          <w:i/>
        </w:rPr>
      </w:pPr>
      <w:r>
        <w:rPr>
          <w:rStyle w:val="Refdenotaalpie"/>
        </w:rPr>
        <w:footnoteRef/>
      </w:r>
      <w:r>
        <w:t xml:space="preserve"> Toledo Santander, J. L. 2010 Entrevista con el presidente de la Comisión de Asuntos Constitucionales de la Asamblea Nacional Poder Popular. (J. C. Guanche, Entrevistador), 24 de junio.2010. Apud Guanche, Julio César. 2013. </w:t>
      </w:r>
      <w:r>
        <w:rPr>
          <w:i/>
        </w:rPr>
        <w:t>Estado, participación y representación políticas en Cuba.  : diseño institucional y práctica política tras la reforma constitucional de 1992</w:t>
      </w:r>
      <w:r>
        <w:t>. - 1a ed. - Buenos Aires: CLACSO, 2013.     E-Book.- (Becas de investigación). Pág. 73</w:t>
      </w:r>
    </w:p>
  </w:footnote>
  <w:footnote w:id="140">
    <w:p w14:paraId="6C15D6C3" w14:textId="464B10D9" w:rsidR="00172411" w:rsidRDefault="00172411" w:rsidP="00AE6AAC">
      <w:pPr>
        <w:pStyle w:val="Textonotapie"/>
        <w:spacing w:line="240" w:lineRule="atLeast"/>
        <w:ind w:firstLine="0"/>
        <w:rPr>
          <w:rFonts w:ascii="Calibri" w:hAnsi="Calibri"/>
        </w:rPr>
      </w:pPr>
      <w:r>
        <w:rPr>
          <w:rFonts w:cs="Tahoma"/>
          <w:sz w:val="22"/>
          <w:szCs w:val="22"/>
          <w:vertAlign w:val="superscript"/>
          <w:lang w:eastAsia="ja-JP"/>
        </w:rPr>
        <w:footnoteRef/>
      </w:r>
      <w:r>
        <w:rPr>
          <w:rFonts w:cs="Tahoma"/>
          <w:lang w:eastAsia="ja-JP"/>
        </w:rPr>
        <w:t xml:space="preserve"> Periódico Granma</w:t>
      </w:r>
      <w:r>
        <w:rPr>
          <w:rFonts w:ascii="Arial" w:hAnsi="Arial" w:cs="Arial"/>
          <w:bCs/>
          <w:lang w:val="es-ES"/>
        </w:rPr>
        <w:t>.</w:t>
      </w:r>
      <w:r>
        <w:t xml:space="preserve"> Sección semanal </w:t>
      </w:r>
      <w:r>
        <w:rPr>
          <w:b/>
        </w:rPr>
        <w:t xml:space="preserve">Cartas a la Dirección y </w:t>
      </w:r>
      <w:r>
        <w:t>Sección</w:t>
      </w:r>
      <w:r>
        <w:rPr>
          <w:b/>
        </w:rPr>
        <w:t xml:space="preserve"> Cuestión de Leyes</w:t>
      </w:r>
      <w:r>
        <w:t>.</w:t>
      </w:r>
    </w:p>
  </w:footnote>
  <w:footnote w:id="141">
    <w:p w14:paraId="1CDCD94C" w14:textId="076F7C0D" w:rsidR="00172411" w:rsidRDefault="00172411" w:rsidP="00AE6AAC">
      <w:pPr>
        <w:pStyle w:val="Textonotapie"/>
        <w:spacing w:line="240" w:lineRule="atLeast"/>
        <w:ind w:firstLine="0"/>
      </w:pPr>
      <w:r>
        <w:rPr>
          <w:rStyle w:val="Refdenotaalpie"/>
          <w:rFonts w:ascii="Calibri" w:hAnsi="Calibri" w:cs="Calibri"/>
          <w:sz w:val="22"/>
          <w:szCs w:val="22"/>
        </w:rPr>
        <w:footnoteRef/>
      </w:r>
      <w:r>
        <w:rPr>
          <w:rFonts w:cs="Tahoma"/>
          <w:lang w:eastAsia="ja-JP"/>
        </w:rPr>
        <w:t xml:space="preserve"> Diario Juventud Rebelde. Sección Acuse de recibo</w:t>
      </w:r>
      <w:r>
        <w:t>, basada en el derecho constitucional (artículo 63) de atender quejas, reclamaciones y planteamientos de la población. Recibe un promedio anual de 3000 cartas, la mayoría por email. Publica aproximadamente 500 al año y el resto las tramita hacia las instituciones. Es la sección del diario más leída. Tiene 20 años de experiencia y retos.</w:t>
      </w:r>
    </w:p>
  </w:footnote>
  <w:footnote w:id="142">
    <w:p w14:paraId="5F890629" w14:textId="34F6B38F" w:rsidR="00172411" w:rsidRDefault="00172411" w:rsidP="00AE6AAC">
      <w:pPr>
        <w:pStyle w:val="Textonotapie"/>
        <w:spacing w:line="240" w:lineRule="atLeast"/>
        <w:ind w:firstLine="0"/>
        <w:rPr>
          <w:rFonts w:ascii="Calibri" w:hAnsi="Calibri"/>
          <w:lang w:val="es-MX"/>
        </w:rPr>
      </w:pPr>
      <w:r>
        <w:rPr>
          <w:rStyle w:val="Refdenotaalpie"/>
          <w:rFonts w:ascii="Calibri" w:hAnsi="Calibri" w:cs="Calibri"/>
          <w:sz w:val="22"/>
          <w:szCs w:val="22"/>
        </w:rPr>
        <w:footnoteRef/>
      </w:r>
      <w:r>
        <w:t>Algunos de los programas televisivos más notables son Tras la huella, Al Derecho, Revista Hola Habana y Universidad para todos, entre otros.</w:t>
      </w:r>
    </w:p>
  </w:footnote>
  <w:footnote w:id="143">
    <w:p w14:paraId="46D8D85C" w14:textId="77777777" w:rsidR="00172411" w:rsidRDefault="00172411" w:rsidP="0067699C">
      <w:pPr>
        <w:pStyle w:val="Textonotapie"/>
        <w:spacing w:line="240" w:lineRule="atLeast"/>
        <w:ind w:firstLine="0"/>
        <w:rPr>
          <w:rFonts w:ascii="Calibri" w:hAnsi="Calibri"/>
          <w:sz w:val="22"/>
          <w:szCs w:val="22"/>
          <w:lang w:eastAsia="en-US"/>
        </w:rPr>
      </w:pPr>
      <w:r>
        <w:rPr>
          <w:rStyle w:val="Refdenotaalpie"/>
          <w:sz w:val="22"/>
          <w:szCs w:val="22"/>
        </w:rPr>
        <w:footnoteRef/>
      </w:r>
      <w:r>
        <w:rPr>
          <w:rFonts w:cs="Tahoma"/>
          <w:lang w:eastAsia="ja-JP"/>
        </w:rPr>
        <w:t>Al menos tres personas asistidas por ACDEI manifiestan que sus abogados les recomiendan acudir a los medios de divulgación si desean solucionar sus asuntos.</w:t>
      </w:r>
    </w:p>
  </w:footnote>
  <w:footnote w:id="144">
    <w:p w14:paraId="68C41A19" w14:textId="4069C445" w:rsidR="00172411" w:rsidRDefault="00172411" w:rsidP="00AE6AAC">
      <w:pPr>
        <w:pStyle w:val="Textonotapie"/>
        <w:spacing w:line="240" w:lineRule="atLeast"/>
        <w:ind w:firstLine="0"/>
      </w:pPr>
      <w:r>
        <w:rPr>
          <w:rStyle w:val="Refdenotaalpie"/>
          <w:rFonts w:ascii="Calibri" w:hAnsi="Calibri" w:cs="Calibri"/>
          <w:sz w:val="22"/>
          <w:szCs w:val="22"/>
        </w:rPr>
        <w:footnoteRef/>
      </w:r>
      <w:r>
        <w:t xml:space="preserve"> Boris González Arenas | La Habana | 15 Septiembre, 2017.</w:t>
      </w:r>
      <w:r w:rsidRPr="00F34DEE">
        <w:rPr>
          <w:i/>
        </w:rPr>
        <w:t>El Tribunal de Garantías Constitucionales y Sociales, una ausencia conveniente para el castrismo</w:t>
      </w:r>
      <w:r>
        <w:t xml:space="preserve">. Disponible:http://www.diariodecuba.com/cuba/1505413818_33982.html </w:t>
      </w:r>
    </w:p>
    <w:p w14:paraId="462A0E98" w14:textId="77534E09" w:rsidR="00172411" w:rsidRDefault="00172411" w:rsidP="00AE6AAC">
      <w:pPr>
        <w:pStyle w:val="Textonotapie"/>
        <w:spacing w:line="240" w:lineRule="atLeast"/>
        <w:ind w:firstLine="0"/>
      </w:pPr>
      <w:r>
        <w:t>En sendos trabajos reciente los juristas y académicos Martha Prieto Valdés y Julio César Guanche reclaman el establecimiento de una institución semejante a la que la Constitución de 1940 definió como Tribunal de Garantías Constitucionales y Sociales. Martha Prieto lo hace en su artículo "Las garantías constitucionales de los derechos fundamentales y la Constitución de 1976", compilado en el libro La Constitución cubana de 1976: Cuarenta años de vigencia (Editorial UNIJURIS, 2016). Sugiere hacia el final de su escrito la necesidad de "conformación de la Sala Especial para lo Constitucional o Sala de Garantías dentro del Tribunal Supremo Popular…" (p. 188) … Al argumentar su razonamiento, la autora señala la necesidad de superar la escasa armonía normativa, el déficit de seguridad jurídica, la pobre legitimidad del texto constitucional vigente y la falta de garantías específicas para los derechos esenciales…</w:t>
      </w:r>
    </w:p>
  </w:footnote>
  <w:footnote w:id="145">
    <w:p w14:paraId="567EAB11" w14:textId="0E604730" w:rsidR="00172411" w:rsidRDefault="00172411" w:rsidP="00AE6AAC">
      <w:pPr>
        <w:pStyle w:val="Textonotapie"/>
        <w:spacing w:line="240" w:lineRule="atLeast"/>
        <w:ind w:firstLine="0"/>
      </w:pPr>
      <w:r>
        <w:rPr>
          <w:rStyle w:val="Refdenotaalpie"/>
        </w:rPr>
        <w:footnoteRef/>
      </w:r>
      <w:r>
        <w:t>Asamblea Nacional Poder Popular. Ley No. 54, Ley de Asociaciones. Gaceta Oficial No. 19  Extraordinaria</w:t>
      </w:r>
      <w:r w:rsidRPr="00AA13CF">
        <w:t xml:space="preserve"> </w:t>
      </w:r>
      <w:r>
        <w:t>de 27 de diciembre de 1985</w:t>
      </w:r>
    </w:p>
  </w:footnote>
  <w:footnote w:id="146">
    <w:p w14:paraId="277A5C99" w14:textId="68B18654" w:rsidR="00172411" w:rsidRPr="00AE6AAC" w:rsidRDefault="00172411" w:rsidP="00AE6AAC">
      <w:pPr>
        <w:pStyle w:val="Textonotapie"/>
        <w:spacing w:line="240" w:lineRule="atLeast"/>
        <w:ind w:firstLine="0"/>
      </w:pPr>
      <w:r>
        <w:rPr>
          <w:rStyle w:val="Refdenotaalpie"/>
        </w:rPr>
        <w:footnoteRef/>
      </w:r>
      <w:r>
        <w:t>Oficina del Alto Comisionado de las Naciones Unidas para los Derechos Humanos</w:t>
      </w:r>
      <w:r w:rsidRPr="00927584">
        <w:t xml:space="preserve"> 2016.</w:t>
      </w:r>
      <w:r w:rsidRPr="00AE6AAC">
        <w:t xml:space="preserve">Commentary to the Declaration on Human Rights Defenders: an essential guide to the right to defend human rights.2nd Edition.2016. </w:t>
      </w:r>
      <w:r>
        <w:t>Disponible:</w:t>
      </w:r>
    </w:p>
    <w:p w14:paraId="0C8D1165" w14:textId="790306D0" w:rsidR="00172411" w:rsidRPr="00AE6AAC" w:rsidRDefault="00172411" w:rsidP="00AE6AAC">
      <w:pPr>
        <w:pStyle w:val="Textonotapie"/>
        <w:spacing w:line="240" w:lineRule="atLeast"/>
        <w:ind w:firstLine="0"/>
      </w:pPr>
      <w:r w:rsidRPr="00AE6AAC">
        <w:t>http://www.ohchr.org/Documents/Issues/</w:t>
      </w:r>
      <w:r>
        <w:t>Defenders/ComentDeclDDH_WEB.pdf</w:t>
      </w:r>
    </w:p>
  </w:footnote>
  <w:footnote w:id="147">
    <w:p w14:paraId="5475A0D0" w14:textId="77777777" w:rsidR="00172411" w:rsidRDefault="00172411" w:rsidP="00073A90">
      <w:pPr>
        <w:pStyle w:val="Textonotapie"/>
        <w:spacing w:line="240" w:lineRule="atLeast"/>
        <w:ind w:firstLine="0"/>
      </w:pPr>
      <w:r>
        <w:rPr>
          <w:vertAlign w:val="superscript"/>
        </w:rPr>
        <w:footnoteRef/>
      </w:r>
      <w:r>
        <w:t xml:space="preserve"> Boris González Arenas| La Habana | 16 de Junio de 2016. </w:t>
      </w:r>
      <w:r w:rsidRPr="00F34DEE">
        <w:rPr>
          <w:i/>
        </w:rPr>
        <w:t>La sociedad civil denuncia ante la ONU.</w:t>
      </w:r>
      <w:r>
        <w:t xml:space="preserve"> Disponible: http://www.diariodecuba.com/cuba/1466040306_23106.html</w:t>
      </w:r>
    </w:p>
  </w:footnote>
  <w:footnote w:id="148">
    <w:p w14:paraId="1BD83CBA" w14:textId="0A69635F" w:rsidR="00172411" w:rsidRPr="00927584" w:rsidRDefault="00172411" w:rsidP="00927584">
      <w:pPr>
        <w:pStyle w:val="Textonotapie"/>
        <w:ind w:firstLine="0"/>
      </w:pPr>
      <w:r>
        <w:rPr>
          <w:rStyle w:val="Refdenotaalpie"/>
        </w:rPr>
        <w:footnoteRef/>
      </w:r>
      <w:r>
        <w:t xml:space="preserve"> Asamblea General ONU. 9 de diciembre de 1998. resolución 53/144 .Declaración sobre el derecho y el deber de los individuos, grupos y las instituciones de promover y proteger los derechos humanos y las libertades fundamentales universalmente reconocidos (</w:t>
      </w:r>
      <w:r w:rsidRPr="00AE6AAC">
        <w:t>Declaración sobre defensoras y</w:t>
      </w:r>
      <w:r>
        <w:t xml:space="preserve"> defensores de derechos humanos) </w:t>
      </w:r>
    </w:p>
  </w:footnote>
  <w:footnote w:id="149">
    <w:p w14:paraId="4A837EB9" w14:textId="211B2CA3" w:rsidR="00172411" w:rsidRPr="00607F9C" w:rsidRDefault="00172411" w:rsidP="00927584">
      <w:pPr>
        <w:pStyle w:val="Textonotapie"/>
        <w:ind w:firstLine="0"/>
      </w:pPr>
      <w:r>
        <w:rPr>
          <w:rStyle w:val="Refdenotaalpie"/>
        </w:rPr>
        <w:footnoteRef/>
      </w:r>
      <w:r>
        <w:t xml:space="preserve"> Oficina del Alto Comisionado de las Naciones Unidas para los Derechos Humanos (s.f) Ginebra. Los Defensores de los Derechos Humanos: Protección del Derecho a Defender los Derechos Humanos</w:t>
      </w:r>
      <w:r w:rsidRPr="00927584">
        <w:t xml:space="preserve"> Folleto informativo Nº 29</w:t>
      </w:r>
      <w:r>
        <w:t>.</w:t>
      </w:r>
      <w:r w:rsidRPr="00927584">
        <w:t xml:space="preserve"> </w:t>
      </w:r>
    </w:p>
  </w:footnote>
  <w:footnote w:id="150">
    <w:p w14:paraId="56EDD3F8" w14:textId="5AF6BCFD" w:rsidR="00172411" w:rsidRPr="008B5399" w:rsidRDefault="00172411" w:rsidP="00C64339">
      <w:pPr>
        <w:pStyle w:val="Textonotapie"/>
        <w:ind w:firstLine="0"/>
        <w:rPr>
          <w:lang w:eastAsia="en-US"/>
        </w:rPr>
      </w:pPr>
      <w:r w:rsidRPr="008B5399">
        <w:rPr>
          <w:rStyle w:val="Refdenotaalpie"/>
        </w:rPr>
        <w:footnoteRef/>
      </w:r>
      <w:r w:rsidRPr="008B5399">
        <w:t xml:space="preserve">Gobierno de Cuba, 2016. CERD/C/CUB/19-21 Informe Gobierno Cuba- State party's report 2013. Disponible: </w:t>
      </w:r>
      <w:hyperlink r:id="rId53" w:history="1">
        <w:r w:rsidRPr="008B5399">
          <w:rPr>
            <w:rStyle w:val="Hipervnculo"/>
            <w:sz w:val="18"/>
            <w:szCs w:val="18"/>
          </w:rPr>
          <w:t>http://tbinternet.ohchr.org/_layouts/treatybodyexternal/Download.aspx?symbolno=CERD%2FC%2FCUB%2F19-21&amp;Lang=en</w:t>
        </w:r>
      </w:hyperlink>
      <w:r w:rsidRPr="008B5399">
        <w:t xml:space="preserve"> Párrafos del 69 al 72 del Informe del Estado</w:t>
      </w:r>
    </w:p>
  </w:footnote>
  <w:footnote w:id="151">
    <w:p w14:paraId="7CE9B6C5" w14:textId="4E2C0567" w:rsidR="00172411" w:rsidRPr="00DB2207" w:rsidRDefault="00172411" w:rsidP="00C64339">
      <w:pPr>
        <w:pStyle w:val="Textonotapie"/>
        <w:ind w:firstLine="0"/>
        <w:rPr>
          <w:sz w:val="32"/>
          <w:szCs w:val="32"/>
        </w:rPr>
      </w:pPr>
      <w:r w:rsidRPr="008B5399">
        <w:rPr>
          <w:rStyle w:val="Refdenotaalpie"/>
        </w:rPr>
        <w:footnoteRef/>
      </w:r>
      <w:r w:rsidRPr="008B5399">
        <w:t xml:space="preserve"> I</w:t>
      </w:r>
      <w:r>
        <w:t>bi</w:t>
      </w:r>
      <w:r w:rsidRPr="008B5399">
        <w:t xml:space="preserve">dem. Párrafos 84 y 85 </w:t>
      </w:r>
    </w:p>
  </w:footnote>
  <w:footnote w:id="152">
    <w:p w14:paraId="090D0CE2" w14:textId="5F525D6B" w:rsidR="00172411" w:rsidRPr="00033BE7" w:rsidRDefault="00172411" w:rsidP="00C64339">
      <w:pPr>
        <w:pStyle w:val="Textonotapie"/>
        <w:spacing w:line="240" w:lineRule="atLeast"/>
        <w:ind w:firstLine="0"/>
      </w:pPr>
      <w:r>
        <w:rPr>
          <w:rStyle w:val="Refdenotaalpie"/>
        </w:rPr>
        <w:footnoteRef/>
      </w:r>
      <w:r>
        <w:t xml:space="preserve"> Agencia de los Derechos Fundamentales de la Unión Europea, 2010.Tribunal Europeo de Derechos Humanos - Consejo de Europa, 2010. </w:t>
      </w:r>
      <w:r w:rsidRPr="00462CFF">
        <w:rPr>
          <w:i/>
        </w:rPr>
        <w:t>Manual de legislación europea contra la discriminación</w:t>
      </w:r>
      <w:r>
        <w:t xml:space="preserve">. 2011 — 160 pp. — 14,8 × 21 cm. ISBN 978-92-871-9986-7 (CdE) ISBN 978-92-9192-668-8 (FRA) doi: 10.2811/12396. Disponible: </w:t>
      </w:r>
      <w:hyperlink r:id="rId54" w:history="1">
        <w:r>
          <w:rPr>
            <w:rStyle w:val="Hipervnculo"/>
            <w:color w:val="auto"/>
          </w:rPr>
          <w:t>https://fra.europa.eu/sites/default/files/fra_uploads/1510-FRA_CASE_LAW_HANDBOOK_ES.pdf</w:t>
        </w:r>
      </w:hyperlink>
    </w:p>
  </w:footnote>
  <w:footnote w:id="153">
    <w:p w14:paraId="5C8A4B61" w14:textId="77777777" w:rsidR="00172411" w:rsidRDefault="00172411" w:rsidP="000F426B">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Sergio García Ramírez (s/f) Universidad Nacional Autónoma de México.  </w:t>
      </w:r>
      <w:r>
        <w:rPr>
          <w:rFonts w:ascii="Times New Roman" w:hAnsi="Times New Roman"/>
          <w:i/>
          <w:sz w:val="20"/>
          <w:szCs w:val="20"/>
        </w:rPr>
        <w:t>Los principios penales fundamentales</w:t>
      </w:r>
      <w:r>
        <w:rPr>
          <w:rFonts w:ascii="Times New Roman" w:hAnsi="Times New Roman"/>
          <w:sz w:val="20"/>
          <w:szCs w:val="20"/>
        </w:rPr>
        <w:t xml:space="preserve">. Pág. 31- 33 (10). Disponible: </w:t>
      </w:r>
      <w:r>
        <w:rPr>
          <w:rStyle w:val="Quotation"/>
          <w:rFonts w:ascii="Times New Roman" w:hAnsi="Times New Roman"/>
          <w:i w:val="0"/>
          <w:sz w:val="20"/>
          <w:szCs w:val="20"/>
        </w:rPr>
        <w:t>https://archivos.juridicas.unam.mx/www/bjv/libros/1/282/3.pdf</w:t>
      </w:r>
      <w:r>
        <w:rPr>
          <w:i/>
        </w:rPr>
        <w:t xml:space="preserve">   </w:t>
      </w:r>
      <w:r>
        <w:t>Libro</w:t>
      </w:r>
      <w:r>
        <w:rPr>
          <w:rFonts w:ascii="Times New Roman" w:hAnsi="Times New Roman"/>
          <w:sz w:val="20"/>
          <w:szCs w:val="20"/>
        </w:rPr>
        <w:t xml:space="preserve"> completo en: </w:t>
      </w:r>
      <w:hyperlink r:id="rId55" w:history="1">
        <w:r>
          <w:rPr>
            <w:rStyle w:val="Hipervnculo"/>
            <w:rFonts w:ascii="Times New Roman" w:hAnsi="Times New Roman"/>
            <w:sz w:val="20"/>
            <w:szCs w:val="20"/>
          </w:rPr>
          <w:t>https://goo.gl/yTzd7V</w:t>
        </w:r>
      </w:hyperlink>
      <w:r>
        <w:rPr>
          <w:rFonts w:ascii="Times New Roman" w:hAnsi="Times New Roman"/>
          <w:sz w:val="20"/>
          <w:szCs w:val="20"/>
        </w:rPr>
        <w:t xml:space="preserve">  (…) La igualdad sufre excepción por la inviolabilidad reconocida a ciertas personas y la inmunidad acordada a otras, para preservar el desempeño de las funciones públicas del inviolable y del inmune. La diferencia entre ambas instituciones estriba en que aquélla constituye una verdadera impunidad de derecho sustantivo, al paso que la segunda sólo apareja un obstáculo procesal para el enjuiciamiento ordinario. Se remueve por doble vía: enjuiciamiento previo o antejuicio, cuando la inmunidad es irrenunciable o el inmune es inamovible; o separación del cargo, voluntaria o por disposición del superior… </w:t>
      </w:r>
    </w:p>
  </w:footnote>
  <w:footnote w:id="154">
    <w:p w14:paraId="54C444FA" w14:textId="5339AFB3" w:rsidR="00172411" w:rsidRPr="007278FA" w:rsidRDefault="00172411" w:rsidP="00C64339">
      <w:pPr>
        <w:autoSpaceDE w:val="0"/>
        <w:autoSpaceDN w:val="0"/>
        <w:adjustRightInd w:val="0"/>
        <w:spacing w:after="0" w:line="240" w:lineRule="atLeast"/>
        <w:rPr>
          <w:rFonts w:ascii="Times New Roman" w:hAnsi="Times New Roman"/>
          <w:sz w:val="24"/>
          <w:szCs w:val="24"/>
        </w:rPr>
      </w:pPr>
      <w:r>
        <w:rPr>
          <w:rStyle w:val="Refdenotaalpie"/>
        </w:rPr>
        <w:footnoteRef/>
      </w:r>
      <w:r>
        <w:t xml:space="preserve">  </w:t>
      </w:r>
      <w:r w:rsidRPr="007278FA">
        <w:rPr>
          <w:rFonts w:ascii="Times New Roman" w:hAnsi="Times New Roman"/>
          <w:sz w:val="20"/>
          <w:szCs w:val="20"/>
        </w:rPr>
        <w:t>Constitución de la República de Cuba</w:t>
      </w:r>
      <w:r>
        <w:t xml:space="preserve">. </w:t>
      </w:r>
      <w:r w:rsidRPr="00BD624E">
        <w:rPr>
          <w:rFonts w:ascii="Times New Roman" w:hAnsi="Times New Roman"/>
          <w:sz w:val="20"/>
          <w:szCs w:val="20"/>
        </w:rPr>
        <w:t>ARTÍCULO 26.-Toda persona que sufriere daño o perjuicio causado indebidamente por funcionarios o agentes del Estado con motivo del ejercicio de las funciones propias de sus cargos, tiene derecho a reclamar y obtener la correspondiente reparación o indemnización en la forma que establece la ley.</w:t>
      </w:r>
      <w:r>
        <w:rPr>
          <w:rFonts w:ascii="Times New Roman" w:hAnsi="Times New Roman"/>
          <w:color w:val="000000"/>
          <w:sz w:val="24"/>
          <w:szCs w:val="24"/>
        </w:rPr>
        <w:t xml:space="preserve"> </w:t>
      </w:r>
    </w:p>
  </w:footnote>
  <w:footnote w:id="155">
    <w:p w14:paraId="3F8F2482" w14:textId="5A64D5BC" w:rsidR="00172411" w:rsidRPr="00022404" w:rsidRDefault="00172411" w:rsidP="00C64339">
      <w:pPr>
        <w:pStyle w:val="Textonotapie"/>
        <w:spacing w:line="240" w:lineRule="atLeast"/>
        <w:ind w:firstLine="0"/>
      </w:pPr>
      <w:r>
        <w:rPr>
          <w:rStyle w:val="Refdenotaalpie"/>
        </w:rPr>
        <w:footnoteRef/>
      </w:r>
      <w:r>
        <w:t xml:space="preserve"> Ibidem. ARTICULO 83.-Ningún diputado a la Asamblea Nacional del Poder Popular puede ser detenido ni sometido a proceso penal sin autorización de la Asamblea, o del Consejo de Estado si no está reunida aquélla, salvo en caso de delito flagrante.</w:t>
      </w:r>
    </w:p>
  </w:footnote>
  <w:footnote w:id="156">
    <w:p w14:paraId="253DAC71" w14:textId="7317E62D" w:rsidR="00172411" w:rsidRDefault="00172411" w:rsidP="00C64339">
      <w:pPr>
        <w:pStyle w:val="Textonotapie"/>
        <w:spacing w:line="240" w:lineRule="atLeast"/>
        <w:ind w:firstLine="0"/>
      </w:pPr>
      <w:r w:rsidRPr="00197CC3">
        <w:rPr>
          <w:rStyle w:val="Refdenotaalpie"/>
        </w:rPr>
        <w:footnoteRef/>
      </w:r>
      <w:r w:rsidRPr="00197CC3">
        <w:t xml:space="preserve"> Comité CERD  </w:t>
      </w:r>
      <w:r>
        <w:t>Compilación de observaciones finales del Comité para la Eliminación de la Discriminación Racial sobre países de América Latina y el Caribe (1970-2006)  Pag.</w:t>
      </w:r>
      <w:r w:rsidRPr="00197CC3">
        <w:t xml:space="preserve">89 </w:t>
      </w:r>
    </w:p>
  </w:footnote>
  <w:footnote w:id="157">
    <w:p w14:paraId="4D4106FD" w14:textId="445B15B6" w:rsidR="00172411" w:rsidRPr="00304C87" w:rsidRDefault="00172411" w:rsidP="00304C87">
      <w:pPr>
        <w:spacing w:after="0" w:line="240" w:lineRule="atLeast"/>
        <w:rPr>
          <w:rFonts w:ascii="Times New Roman" w:eastAsia="STKaiti" w:hAnsi="Times New Roman"/>
          <w:sz w:val="20"/>
          <w:szCs w:val="20"/>
          <w:lang w:val="es-US" w:eastAsia="es-US"/>
        </w:rPr>
      </w:pPr>
      <w:r>
        <w:rPr>
          <w:rStyle w:val="Refdenotaalpie"/>
        </w:rPr>
        <w:footnoteRef/>
      </w:r>
      <w:r>
        <w:t xml:space="preserve"> </w:t>
      </w:r>
      <w:r>
        <w:rPr>
          <w:rFonts w:ascii="Times New Roman" w:eastAsia="STKaiti" w:hAnsi="Times New Roman"/>
          <w:sz w:val="20"/>
          <w:szCs w:val="20"/>
          <w:lang w:val="es-US" w:eastAsia="es-US"/>
        </w:rPr>
        <w:t xml:space="preserve">Agustín-Jesús Pérez-Cruz Martín.2015. </w:t>
      </w:r>
      <w:r w:rsidRPr="00085E61">
        <w:rPr>
          <w:rFonts w:ascii="Times New Roman" w:eastAsia="STKaiti" w:hAnsi="Times New Roman"/>
          <w:i/>
          <w:sz w:val="20"/>
          <w:szCs w:val="20"/>
          <w:lang w:val="es-US" w:eastAsia="es-US"/>
        </w:rPr>
        <w:t>Constitución Y Poder Judicial</w:t>
      </w:r>
      <w:r>
        <w:rPr>
          <w:rFonts w:ascii="Times New Roman" w:eastAsia="STKaiti" w:hAnsi="Times New Roman"/>
          <w:sz w:val="20"/>
          <w:szCs w:val="20"/>
          <w:lang w:val="es-US" w:eastAsia="es-US"/>
        </w:rPr>
        <w:t xml:space="preserve">. Disponible: </w:t>
      </w:r>
      <w:hyperlink r:id="rId56" w:history="1">
        <w:r>
          <w:rPr>
            <w:rStyle w:val="Hipervnculo"/>
            <w:rFonts w:ascii="Times New Roman" w:eastAsia="STKaiti" w:hAnsi="Times New Roman"/>
            <w:sz w:val="20"/>
            <w:szCs w:val="20"/>
            <w:lang w:val="es-US" w:eastAsia="es-US"/>
          </w:rPr>
          <w:t>http://facultad.pucp.edu.pe/derecho/wp-content/uploads/2015/03/Constituci%C3%B3n-y-Poder-Judicial.pdf</w:t>
        </w:r>
      </w:hyperlink>
      <w:r>
        <w:rPr>
          <w:lang w:val="es-US"/>
        </w:rPr>
        <w:t xml:space="preserve"> </w:t>
      </w:r>
      <w:r>
        <w:t xml:space="preserve">   Pag.83 (…) </w:t>
      </w:r>
      <w:r w:rsidRPr="00304C87">
        <w:rPr>
          <w:rFonts w:ascii="Times New Roman" w:eastAsia="STKaiti" w:hAnsi="Times New Roman"/>
          <w:sz w:val="20"/>
          <w:szCs w:val="20"/>
          <w:lang w:val="es-US" w:eastAsia="es-US"/>
        </w:rPr>
        <w:t>el art. 19.4 de la Ley Fundamental de Bonn dispone que “toda persona cuyos derechos sean vulnerados por el poder públicos, podrá recurrir a la vía judicial”. Dicho precepto ha sido objeto de una interpretación amplia, extendiéndolo a todo tipo de procedimientos, y no sólo cuando se trata de vulneraciones procedentes de los poderes públicos. Ante estas situaciones, se abre al particular la “vía jurídica” (Rechtsweg) para proteger este derecho fundamental ante el T.C. a través del amparo (Verfassungsbeschwerde)…</w:t>
      </w:r>
    </w:p>
  </w:footnote>
  <w:footnote w:id="158">
    <w:p w14:paraId="0254CD03" w14:textId="626B6685" w:rsidR="00172411" w:rsidRPr="0096012B" w:rsidRDefault="00172411" w:rsidP="00857927">
      <w:pPr>
        <w:pStyle w:val="Textonotapie"/>
        <w:spacing w:line="240" w:lineRule="atLeast"/>
        <w:ind w:firstLine="0"/>
        <w:rPr>
          <w:lang w:val="es-MX" w:eastAsia="en-US"/>
        </w:rPr>
      </w:pPr>
      <w:r w:rsidRPr="00857927">
        <w:rPr>
          <w:rStyle w:val="Refdenotaalpie"/>
        </w:rPr>
        <w:footnoteRef/>
      </w:r>
      <w:r w:rsidRPr="00857927">
        <w:t>Julio A</w:t>
      </w:r>
      <w:r>
        <w:t>.</w:t>
      </w:r>
      <w:r w:rsidRPr="00857927">
        <w:t xml:space="preserve">Fernández Estrada (Diciembre 2014) </w:t>
      </w:r>
      <w:r w:rsidRPr="00B2751A">
        <w:rPr>
          <w:i/>
        </w:rPr>
        <w:t>OSAL Observatorio Social de América Latina</w:t>
      </w:r>
      <w:r w:rsidRPr="00857927">
        <w:t xml:space="preserve">. Año XIV. No 36 / / Diciembre 2014. Pág. 128. </w:t>
      </w:r>
      <w:r w:rsidRPr="0096012B">
        <w:rPr>
          <w:sz w:val="18"/>
          <w:szCs w:val="18"/>
        </w:rPr>
        <w:t>Disponible</w:t>
      </w:r>
      <w:r w:rsidRPr="00857927">
        <w:t>:</w:t>
      </w:r>
      <w:r w:rsidRPr="0096012B">
        <w:rPr>
          <w:sz w:val="18"/>
          <w:szCs w:val="18"/>
        </w:rPr>
        <w:t xml:space="preserve"> </w:t>
      </w:r>
      <w:hyperlink r:id="rId57" w:history="1">
        <w:r w:rsidRPr="0096012B">
          <w:rPr>
            <w:rStyle w:val="Hipervnculo"/>
          </w:rPr>
          <w:t>http://lanic.utexas.edu/larrp</w:t>
        </w:r>
      </w:hyperlink>
      <w:r w:rsidRPr="0096012B">
        <w:t xml:space="preserve"> or http://www.clacso.org.ar/biblioteca/revistas</w:t>
      </w:r>
    </w:p>
  </w:footnote>
  <w:footnote w:id="159">
    <w:p w14:paraId="0A49A3B1" w14:textId="77777777" w:rsidR="00172411" w:rsidRPr="00857927" w:rsidRDefault="00172411" w:rsidP="00857927">
      <w:pPr>
        <w:pStyle w:val="Textonotapie"/>
        <w:spacing w:line="240" w:lineRule="atLeast"/>
        <w:ind w:firstLine="0"/>
      </w:pPr>
      <w:r w:rsidRPr="00857927">
        <w:rPr>
          <w:rStyle w:val="Refdenotaalpie"/>
        </w:rPr>
        <w:footnoteRef/>
      </w:r>
      <w:r w:rsidRPr="00857927">
        <w:t>Protección infancia (01 de Marzo de 2009)100 Reglas de Brasilia sobre Acceso a la Justicia de las Personas en Condición de Vulnerabilidad. Disponible en:  http://www.proteccioninfancia.org.ar/sites/default/files/documentos/reglasdebrasilia.pdf</w:t>
      </w:r>
    </w:p>
  </w:footnote>
  <w:footnote w:id="160">
    <w:p w14:paraId="13F5D8DA" w14:textId="6E8E3255" w:rsidR="00172411" w:rsidRPr="00857927" w:rsidRDefault="00172411" w:rsidP="00857927">
      <w:pPr>
        <w:pStyle w:val="Textonotapie"/>
        <w:spacing w:line="240" w:lineRule="atLeast"/>
        <w:ind w:firstLine="0"/>
      </w:pPr>
      <w:r w:rsidRPr="00857927">
        <w:rPr>
          <w:rStyle w:val="Refdenotaalpie"/>
        </w:rPr>
        <w:footnoteRef/>
      </w:r>
      <w:r w:rsidRPr="00857927">
        <w:t xml:space="preserve"> Francisco Berlín Valenzuela et. al. </w:t>
      </w:r>
      <w:r w:rsidRPr="00B2751A">
        <w:rPr>
          <w:i/>
        </w:rPr>
        <w:t>Diccionario universal de términos parlamentarios</w:t>
      </w:r>
      <w:r w:rsidRPr="00857927">
        <w:t xml:space="preserve">. </w:t>
      </w:r>
      <w:r>
        <w:t>2da</w:t>
      </w:r>
      <w:r w:rsidRPr="00857927">
        <w:t xml:space="preserve"> edición, junio 1998. Facultad de Derecho de la UNAM. México. pag.35 Administración Pública.- En un sentido amplio es el conjunto de actividades desarrolladas para la persecución de las tareas y de los fines de interés común en una colectividad o en un ordenamiento estatal. </w:t>
      </w:r>
      <w:r>
        <w:t>(…)</w:t>
      </w:r>
      <w:r w:rsidRPr="00857927">
        <w:t xml:space="preserve"> acción del gobierno al dictar y aplicar las disposiciones necesarias para el cumplimiento de las leyes y la conservación y el fomento de los intereses públicos y al resolver las reclamaciones a que dé lugar lo mandado. Conjunto de organismos encargados de cumplir esta función (DRAE, 19a. ed.) </w:t>
      </w:r>
      <w:r>
        <w:t>A</w:t>
      </w:r>
      <w:r w:rsidRPr="00857927">
        <w:t>dministración pública es la organización especial del Estado, creada para cumplir la función de satisfacer los intereses colectivos. No tiene personalidad propia por constituir uno de los conductos donde se manifiesta la personalidad misma del Estado. Suele identificársele como la prestación de servicios públicos que atienden las necesidades de la colectividad.</w:t>
      </w:r>
    </w:p>
  </w:footnote>
  <w:footnote w:id="161">
    <w:p w14:paraId="598CCE5A" w14:textId="7F5ABAF9" w:rsidR="00172411" w:rsidRPr="00857927" w:rsidRDefault="00172411" w:rsidP="00857927">
      <w:pPr>
        <w:pStyle w:val="Textonotapie"/>
        <w:spacing w:line="240" w:lineRule="atLeast"/>
        <w:ind w:firstLine="0"/>
      </w:pPr>
      <w:r w:rsidRPr="00857927">
        <w:rPr>
          <w:vertAlign w:val="superscript"/>
        </w:rPr>
        <w:footnoteRef/>
      </w:r>
      <w:r w:rsidRPr="00857927">
        <w:t xml:space="preserve">Ms.Yumil Rodríguez Fernández. 2014. </w:t>
      </w:r>
      <w:r w:rsidRPr="00F34DEE">
        <w:rPr>
          <w:i/>
        </w:rPr>
        <w:t>El Gobierno cubano desde una visión normativa</w:t>
      </w:r>
      <w:r w:rsidRPr="00857927">
        <w:t xml:space="preserve">. Disponible: </w:t>
      </w:r>
      <w:hyperlink r:id="rId58" w:history="1">
        <w:r w:rsidRPr="00857927">
          <w:rPr>
            <w:rStyle w:val="Hipervnculo"/>
          </w:rPr>
          <w:t>http://www.onbc.cu/uploads/media/page/0001/01/5cf875568387af55a6dee664f0fe15509246c0f7.pdf</w:t>
        </w:r>
      </w:hyperlink>
      <w:r w:rsidRPr="00857927">
        <w:t xml:space="preserve">  Decreto-Ley No. 272 “De la Organización y Funcionamiento del Consejo de Ministros” de 16 de julio de 2010. Publicado en </w:t>
      </w:r>
      <w:r>
        <w:t xml:space="preserve"> la </w:t>
      </w:r>
      <w:r w:rsidRPr="00857927">
        <w:t xml:space="preserve">Gaceta Oficial, Edición Extraordinaria No. 33 de 13 de agosto de 2010. pag.143…Se definió la forma de proceder por el Consejo de Ministros para la revocación y suspensión de decisiones, disposiciones y acuerdos adoptados por los jefes de  organismos de la Administración Central del Estado, de las administraciones y asambleas locales del Poder Popular, que no se ajustaran a la Constitución de la República, las leyes y demás normas emitidas por los órganos superiores del Estado y su Administración Central, así como que afectaran  intereses de otras comunidades o los generales del país. (Artículos 14 y 15) Al presidente del Consejo de Ministros también se le asignaron otras atribuciones, además de las relacionadas en la </w:t>
      </w:r>
    </w:p>
  </w:footnote>
  <w:footnote w:id="162">
    <w:p w14:paraId="09D54484" w14:textId="77777777" w:rsidR="00172411" w:rsidRPr="00857927" w:rsidRDefault="00172411" w:rsidP="00857927">
      <w:pPr>
        <w:pStyle w:val="Textonotapie"/>
        <w:spacing w:line="240" w:lineRule="atLeast"/>
        <w:ind w:firstLine="0"/>
      </w:pPr>
      <w:r w:rsidRPr="00857927">
        <w:rPr>
          <w:rStyle w:val="Refdenotaalpie"/>
        </w:rPr>
        <w:footnoteRef/>
      </w:r>
      <w:r w:rsidRPr="00857927">
        <w:t xml:space="preserve">El cumplimiento de 1a finalidad que inspira a la Administración Pública (el Bien Común o Bienestar General) </w:t>
      </w:r>
    </w:p>
  </w:footnote>
  <w:footnote w:id="163">
    <w:p w14:paraId="55B22C0E" w14:textId="77777777" w:rsidR="00172411" w:rsidRPr="00857927" w:rsidRDefault="00172411" w:rsidP="00857927">
      <w:pPr>
        <w:pStyle w:val="Textonotapie"/>
        <w:spacing w:line="240" w:lineRule="atLeast"/>
        <w:ind w:firstLine="0"/>
      </w:pPr>
      <w:r w:rsidRPr="00857927">
        <w:rPr>
          <w:rStyle w:val="Refdenotaalpie"/>
        </w:rPr>
        <w:footnoteRef/>
      </w:r>
      <w:r w:rsidRPr="00857927">
        <w:t xml:space="preserve">Susana Gomes Bugallo y Rene Tamayo (Diciembre 22, 2017) </w:t>
      </w:r>
      <w:r w:rsidRPr="00F34DEE">
        <w:rPr>
          <w:i/>
        </w:rPr>
        <w:t>La justicia en la mira del Parlamento.</w:t>
      </w:r>
      <w:r w:rsidRPr="00857927">
        <w:t xml:space="preserve">  Diario Juventud Rebelde. Edición impresa. Cuba. pág. 13</w:t>
      </w:r>
    </w:p>
  </w:footnote>
  <w:footnote w:id="164">
    <w:p w14:paraId="209D9B55" w14:textId="77777777" w:rsidR="00172411" w:rsidRDefault="00172411" w:rsidP="00C64339">
      <w:pPr>
        <w:pStyle w:val="Textonotapie"/>
        <w:spacing w:line="240" w:lineRule="atLeast"/>
        <w:ind w:firstLine="0"/>
        <w:rPr>
          <w:lang w:val="en-US"/>
        </w:rPr>
      </w:pPr>
      <w:r>
        <w:rPr>
          <w:rStyle w:val="Refdenotaalpie"/>
        </w:rPr>
        <w:footnoteRef/>
      </w:r>
      <w:r>
        <w:rPr>
          <w:lang w:val="en-US"/>
        </w:rPr>
        <w:t xml:space="preserve">  United Nations Office On Drugs And Crime. Vienna. (2006) </w:t>
      </w:r>
      <w:r>
        <w:rPr>
          <w:i/>
          <w:lang w:val="en-US"/>
        </w:rPr>
        <w:t>Compendium of United Nations standards and norms in crime prevention and criminal justice. B. Victims of abuse of power</w:t>
      </w:r>
      <w:r>
        <w:rPr>
          <w:lang w:val="en-US"/>
        </w:rPr>
        <w:t>. Pp.306. Available: https://www.unodc.org. 18. “Victims” means persons who, individually or collectively, have suffered harm, including physical or mental injury, emotional suffering, economic loss or substantial impairment of their fundamental rights, through acts or omissions that do not yet constitute violations of national criminal laws but of internationally recognized norms relating to human rights.</w:t>
      </w:r>
    </w:p>
  </w:footnote>
  <w:footnote w:id="165">
    <w:p w14:paraId="269C700B" w14:textId="77777777" w:rsidR="00172411" w:rsidRPr="00AA64EF" w:rsidRDefault="00172411" w:rsidP="005002D5">
      <w:pPr>
        <w:pStyle w:val="Sinespaciado"/>
        <w:spacing w:after="0" w:afterAutospacing="0"/>
        <w:ind w:left="0" w:firstLine="0"/>
        <w:rPr>
          <w:rFonts w:ascii="Times New Roman" w:eastAsia="STKaiti" w:hAnsi="Times New Roman"/>
          <w:sz w:val="20"/>
          <w:szCs w:val="20"/>
          <w:lang w:val="es-ES" w:eastAsia="es-US"/>
        </w:rPr>
      </w:pPr>
      <w:r>
        <w:rPr>
          <w:rStyle w:val="Refdenotaalpie"/>
        </w:rPr>
        <w:footnoteRef/>
      </w:r>
      <w:r>
        <w:t xml:space="preserve"> </w:t>
      </w:r>
      <w:r w:rsidRPr="00AA64EF">
        <w:rPr>
          <w:rFonts w:ascii="Times New Roman" w:eastAsia="STKaiti" w:hAnsi="Times New Roman"/>
          <w:sz w:val="20"/>
          <w:szCs w:val="20"/>
          <w:lang w:val="es-ES" w:eastAsia="es-US"/>
        </w:rPr>
        <w:t xml:space="preserve">DDC | 5 Agosto 2014. </w:t>
      </w:r>
      <w:r w:rsidRPr="00AA64EF">
        <w:rPr>
          <w:rFonts w:ascii="Times New Roman" w:eastAsia="STKaiti" w:hAnsi="Times New Roman"/>
          <w:i/>
          <w:sz w:val="20"/>
          <w:szCs w:val="20"/>
          <w:lang w:val="es-ES" w:eastAsia="es-US"/>
        </w:rPr>
        <w:t>Bufete Colectivo cierra definitivamente la puerta al intento de las Damas de Blanco de demandar a la Seguridad</w:t>
      </w:r>
      <w:r w:rsidRPr="00AA64EF">
        <w:rPr>
          <w:rFonts w:ascii="Times New Roman" w:eastAsia="STKaiti" w:hAnsi="Times New Roman"/>
          <w:sz w:val="20"/>
          <w:szCs w:val="20"/>
          <w:lang w:val="es-ES" w:eastAsia="es-US"/>
        </w:rPr>
        <w:t xml:space="preserve">. </w:t>
      </w:r>
      <w:r w:rsidRPr="00170DC4">
        <w:rPr>
          <w:rFonts w:ascii="Times New Roman" w:eastAsia="STKaiti" w:hAnsi="Times New Roman"/>
          <w:sz w:val="20"/>
          <w:szCs w:val="20"/>
          <w:lang w:val="es-ES" w:eastAsia="es-US"/>
        </w:rPr>
        <w:t xml:space="preserve">Diario de Cuba. </w:t>
      </w:r>
      <w:r w:rsidRPr="00AA64EF">
        <w:rPr>
          <w:rFonts w:ascii="Times New Roman" w:eastAsia="STKaiti" w:hAnsi="Times New Roman"/>
          <w:sz w:val="20"/>
          <w:szCs w:val="20"/>
          <w:lang w:val="es-ES" w:eastAsia="es-US"/>
        </w:rPr>
        <w:t>Disponible:</w:t>
      </w:r>
      <w:hyperlink r:id="rId59" w:history="1">
        <w:r w:rsidRPr="00AA64EF">
          <w:rPr>
            <w:rFonts w:ascii="Times New Roman" w:eastAsia="STKaiti" w:hAnsi="Times New Roman"/>
            <w:sz w:val="20"/>
            <w:szCs w:val="20"/>
            <w:lang w:val="es-ES" w:eastAsia="es-US"/>
          </w:rPr>
          <w:t>http://www.diariodecuba.com/derechos-humanos/1407260619_9819.html</w:t>
        </w:r>
      </w:hyperlink>
      <w:r w:rsidRPr="00AA64EF">
        <w:rPr>
          <w:rFonts w:ascii="Times New Roman" w:eastAsia="STKaiti" w:hAnsi="Times New Roman"/>
          <w:sz w:val="20"/>
          <w:szCs w:val="20"/>
          <w:lang w:val="es-ES" w:eastAsia="es-US"/>
        </w:rPr>
        <w:t xml:space="preserve">  El Bufete Colectivo Salvador Allende, de Centro Habana, cerró definitivamente este lunes la puerta al intento de las Damas de Blanco de iniciar una acción judicial contra la Seguridad del Estado </w:t>
      </w:r>
      <w:r>
        <w:rPr>
          <w:rFonts w:ascii="Times New Roman" w:eastAsia="STKaiti" w:hAnsi="Times New Roman"/>
          <w:sz w:val="20"/>
          <w:szCs w:val="20"/>
          <w:lang w:val="es-ES" w:eastAsia="es-US"/>
        </w:rPr>
        <w:t>…</w:t>
      </w:r>
    </w:p>
  </w:footnote>
  <w:footnote w:id="166">
    <w:p w14:paraId="5A5556F2" w14:textId="359CC4E4" w:rsidR="00172411" w:rsidRPr="0084729D" w:rsidRDefault="00172411" w:rsidP="002B75E4">
      <w:pPr>
        <w:pStyle w:val="Textonotapie"/>
        <w:ind w:firstLine="0"/>
      </w:pPr>
      <w:r>
        <w:rPr>
          <w:rStyle w:val="Refdenotaalpie"/>
        </w:rPr>
        <w:footnoteRef/>
      </w:r>
      <w:r>
        <w:t xml:space="preserve"> Arabelle Bonet López </w:t>
      </w:r>
      <w:r w:rsidRPr="005002D5">
        <w:t xml:space="preserve">(s.f) </w:t>
      </w:r>
      <w:r w:rsidRPr="005002D5">
        <w:rPr>
          <w:i/>
        </w:rPr>
        <w:t>Asesoramiento Legal en Cuba:</w:t>
      </w:r>
      <w:r>
        <w:rPr>
          <w:i/>
        </w:rPr>
        <w:t xml:space="preserve"> </w:t>
      </w:r>
      <w:r w:rsidRPr="005002D5">
        <w:rPr>
          <w:i/>
        </w:rPr>
        <w:t xml:space="preserve">Antecedentes, Actualidad y Perspectivas respecto a las Personas Jurídicas. </w:t>
      </w:r>
      <w:r w:rsidRPr="005002D5">
        <w:t>Revista Jurídica No. 12.2012-2014.Pag.31. Disponible: http:// www.minjus.cu</w:t>
      </w:r>
      <w:r>
        <w:t xml:space="preserve">     </w:t>
      </w:r>
    </w:p>
  </w:footnote>
  <w:footnote w:id="167">
    <w:p w14:paraId="5DD6682B" w14:textId="40613C58" w:rsidR="00172411" w:rsidRDefault="00172411" w:rsidP="00A82169">
      <w:pPr>
        <w:pStyle w:val="Textonotapie"/>
        <w:ind w:firstLine="0"/>
      </w:pPr>
      <w:r>
        <w:rPr>
          <w:rStyle w:val="Refdenotaalpie"/>
        </w:rPr>
        <w:footnoteRef/>
      </w:r>
      <w:r>
        <w:t xml:space="preserve"> Arabelle Bonet López (s.f) </w:t>
      </w:r>
      <w:r>
        <w:rPr>
          <w:i/>
        </w:rPr>
        <w:t xml:space="preserve">Asesoramiento Legal en Cuba: Antecedentes, Actualidad y Perspectivas respecto a las Personas Jurídicas. </w:t>
      </w:r>
      <w:r>
        <w:t xml:space="preserve">Revista Jurídica No. 12.2012-2014. Disponible: http:// www.minjus.cu     Pag.35. </w:t>
      </w:r>
    </w:p>
  </w:footnote>
  <w:footnote w:id="168">
    <w:p w14:paraId="06D0E3D0" w14:textId="77777777" w:rsidR="00172411" w:rsidRDefault="00172411" w:rsidP="008D255B">
      <w:pPr>
        <w:pStyle w:val="Textonotapie"/>
        <w:spacing w:line="240" w:lineRule="atLeast"/>
        <w:ind w:firstLine="0"/>
      </w:pPr>
      <w:r>
        <w:rPr>
          <w:rStyle w:val="Refdenotaalpie"/>
        </w:rPr>
        <w:footnoteRef/>
      </w:r>
      <w:r>
        <w:t xml:space="preserve"> Caso Dora L.  Mesa versus Grupo Empresarial Constructor de la Habana (GECAL). Asunto Ejecución de Sentencia No. 17 de fecha 29 abril de 2011. Expediente 174/2010. Sección Primera de lo Civil. Tribunal Municipal Popular Diez de Octubre. Bufete Colectivo Víbora. Fecha: 16-06-2016.</w:t>
      </w:r>
    </w:p>
  </w:footnote>
  <w:footnote w:id="169">
    <w:p w14:paraId="387B0C3F" w14:textId="0267BD83" w:rsidR="00172411" w:rsidRPr="00212381" w:rsidRDefault="00172411" w:rsidP="00212381">
      <w:pPr>
        <w:pStyle w:val="Textonotapie"/>
        <w:spacing w:line="240" w:lineRule="atLeast"/>
        <w:ind w:firstLine="0"/>
      </w:pPr>
      <w:r>
        <w:rPr>
          <w:rStyle w:val="Refdenotaalpie"/>
        </w:rPr>
        <w:footnoteRef/>
      </w:r>
      <w:r>
        <w:t xml:space="preserve"> Susana Gomes Bugallo y Rene Tamayo (Diciembre 22, 2017) </w:t>
      </w:r>
      <w:r>
        <w:rPr>
          <w:i/>
        </w:rPr>
        <w:t>La justicia en la mira del Parlamento</w:t>
      </w:r>
      <w:r>
        <w:t>. Diario Juventud Rebelde pág. 13. Edición impresa. Cuba. (…) en el transcurso de estos años ha continuado avanzando el mejoramiento de las condiciones de trabajo de los tribunales (…) Demoras que resquebrajan la autoridad judicial y la confianza de la población en la capacidad de nuestros órganos para hacer cumplir sus decisiones…</w:t>
      </w:r>
    </w:p>
  </w:footnote>
  <w:footnote w:id="170">
    <w:p w14:paraId="4DC34ACF" w14:textId="02581CA7" w:rsidR="00172411" w:rsidRDefault="00172411" w:rsidP="00671CC4">
      <w:pPr>
        <w:pStyle w:val="Textonotapie"/>
        <w:spacing w:line="240" w:lineRule="atLeast"/>
        <w:ind w:firstLine="0"/>
        <w:rPr>
          <w:lang w:val="es-ES" w:eastAsia="en-US"/>
        </w:rPr>
      </w:pPr>
      <w:r>
        <w:rPr>
          <w:rStyle w:val="Refdenotaalpie"/>
          <w:lang w:val="es-ES"/>
        </w:rPr>
        <w:footnoteRef/>
      </w:r>
      <w:r>
        <w:rPr>
          <w:lang w:val="es-ES"/>
        </w:rPr>
        <w:t xml:space="preserve">  </w:t>
      </w:r>
      <w:bookmarkStart w:id="94" w:name="OLE_LINK15"/>
      <w:bookmarkStart w:id="95" w:name="OLE_LINK19"/>
      <w:r>
        <w:rPr>
          <w:lang w:val="es-ES"/>
        </w:rPr>
        <w:t xml:space="preserve">Constitución de la República de Cuba. </w:t>
      </w:r>
      <w:bookmarkEnd w:id="94"/>
      <w:bookmarkEnd w:id="95"/>
      <w:r>
        <w:rPr>
          <w:lang w:val="es-ES"/>
        </w:rPr>
        <w:t>Artículo 63.</w:t>
      </w:r>
    </w:p>
  </w:footnote>
  <w:footnote w:id="171">
    <w:p w14:paraId="009E038A" w14:textId="16B5A2CF" w:rsidR="00172411" w:rsidRDefault="00172411" w:rsidP="00015EC5">
      <w:pPr>
        <w:pStyle w:val="Textonotapie"/>
        <w:spacing w:line="240" w:lineRule="atLeast"/>
        <w:ind w:firstLine="0"/>
        <w:rPr>
          <w:lang w:val="es-ES"/>
        </w:rPr>
      </w:pPr>
      <w:r>
        <w:rPr>
          <w:rStyle w:val="Refdenotaalpie"/>
          <w:lang w:val="es-ES"/>
        </w:rPr>
        <w:footnoteRef/>
      </w:r>
      <w:r>
        <w:rPr>
          <w:lang w:val="es-ES"/>
        </w:rPr>
        <w:t xml:space="preserve"> Ley No. 83 de 11 de julio de 1997 "Ley de la Fiscalía General de la República". Gaceta Oficial de la República (8), Extraordinaria, 85. Cuba. (</w:t>
      </w:r>
      <w:r>
        <w:rPr>
          <w:bCs/>
          <w:lang w:val="es-ES"/>
        </w:rPr>
        <w:t>Artículo 7, inciso c) y artículo 24), y Consejo de Estado. (18 de diciembre de 1998). Acuerdo de 30 de noviembre de 1998 " Reglamento de la Ley de la Fiscalía General de la República". Gaceta Oficial de la República (63), Ordinaria, 1045. Cuba. (Artículos 15, inciso b), 20, 21, 36, inciso b), 44, inciso d) artículos 46 al 54).</w:t>
      </w:r>
    </w:p>
  </w:footnote>
  <w:footnote w:id="172">
    <w:p w14:paraId="14C08A36" w14:textId="77777777" w:rsidR="00172411" w:rsidRDefault="00172411" w:rsidP="00857927">
      <w:pPr>
        <w:pStyle w:val="Textonotapie"/>
        <w:spacing w:line="240" w:lineRule="atLeast"/>
        <w:ind w:firstLine="0"/>
        <w:rPr>
          <w:lang w:val="es-ES"/>
        </w:rPr>
      </w:pPr>
      <w:r>
        <w:rPr>
          <w:rStyle w:val="Refdenotaalpie"/>
          <w:lang w:val="es-ES"/>
        </w:rPr>
        <w:footnoteRef/>
      </w:r>
      <w:r>
        <w:rPr>
          <w:bCs/>
          <w:iCs/>
          <w:lang w:val="es-ES"/>
        </w:rPr>
        <w:t>Articulo13 inciso f) del Decreto Ley No. 81 de 8 de junio de 1984 “Sobre el Ejercicio de la Abogacía y la Organización Nacional de Bufetes Colectivos” y Artículo 61 de su Reglamento, la Resolución No. 142 de 18 de diciembre de 1984 del Ministerio de Justicia.</w:t>
      </w:r>
    </w:p>
  </w:footnote>
  <w:footnote w:id="173">
    <w:p w14:paraId="3982F87C" w14:textId="77777777" w:rsidR="00172411" w:rsidRDefault="00172411" w:rsidP="00857927">
      <w:pPr>
        <w:pStyle w:val="Textonotapie"/>
        <w:spacing w:line="240" w:lineRule="atLeast"/>
        <w:ind w:firstLine="0"/>
        <w:rPr>
          <w:bCs/>
          <w:iCs/>
          <w:lang w:val="es-ES"/>
        </w:rPr>
      </w:pPr>
      <w:r>
        <w:rPr>
          <w:rFonts w:ascii="Calibri" w:hAnsi="Calibri"/>
          <w:bCs/>
          <w:iCs/>
          <w:sz w:val="22"/>
          <w:szCs w:val="22"/>
          <w:vertAlign w:val="superscript"/>
        </w:rPr>
        <w:footnoteRef/>
      </w:r>
      <w:r>
        <w:rPr>
          <w:bCs/>
          <w:iCs/>
          <w:lang w:val="es-ES"/>
        </w:rPr>
        <w:t xml:space="preserve"> Artículo 7 inciso i) del Reglamento de la Asamblea Nacional del Poder Popular de 25 de diciembre de 1996, Artículo 9, inciso g) y Artículo 11, inciso h) del Acuerdo de 13 de septiembre de 1995 del Consejo de Estado, "Reglamento de las Asambleas Provinciales del Poder Popular" y Artículo 7 inciso s), Artículo 9, inciso g) y 11 inciso h)  del Acuerdo de 13 de septiembre de 1995 del Consejo de Estado, "Reglamento de las Asambleas Municipales del Poder popular". </w:t>
      </w:r>
    </w:p>
  </w:footnote>
  <w:footnote w:id="174">
    <w:p w14:paraId="70836FBB" w14:textId="77777777" w:rsidR="00172411" w:rsidRDefault="00172411" w:rsidP="00857927">
      <w:pPr>
        <w:pStyle w:val="Textonotapie"/>
        <w:spacing w:line="240" w:lineRule="atLeast"/>
        <w:ind w:firstLine="0"/>
        <w:rPr>
          <w:bCs/>
          <w:iCs/>
          <w:lang w:val="es-ES"/>
        </w:rPr>
      </w:pPr>
      <w:r>
        <w:rPr>
          <w:rFonts w:ascii="Calibri" w:hAnsi="Calibri"/>
          <w:bCs/>
          <w:iCs/>
          <w:sz w:val="22"/>
          <w:szCs w:val="22"/>
          <w:vertAlign w:val="superscript"/>
        </w:rPr>
        <w:footnoteRef/>
      </w:r>
      <w:r>
        <w:rPr>
          <w:bCs/>
          <w:iCs/>
          <w:lang w:val="es-ES"/>
        </w:rPr>
        <w:t>Artículo 40 del Decreto Ley No. 272 de 16 de julio de 2010, “De la Organización y Funcionamiento del Consejo de Ministros”, Artículo 6 inciso g) del Decreto Ley No. 196 de 15 de octubre de 1999, “Sistema de Trabajo con los Cuadros del Estado y del Gobierno” y Artículo 10, inciso p), del Decreto Ley No. 257 de 4 de diciembre de 2007, “De los Consejos de Dirección de los Organismos de la Administración Central del Estado”</w:t>
      </w:r>
    </w:p>
  </w:footnote>
  <w:footnote w:id="175">
    <w:p w14:paraId="4622A5DB" w14:textId="77777777" w:rsidR="00172411" w:rsidRDefault="00172411" w:rsidP="00EC2140">
      <w:pPr>
        <w:pStyle w:val="Textonotapie"/>
        <w:spacing w:line="240" w:lineRule="atLeast"/>
        <w:ind w:firstLine="0"/>
        <w:rPr>
          <w:sz w:val="22"/>
          <w:szCs w:val="22"/>
          <w:lang w:val="es-ES"/>
        </w:rPr>
      </w:pPr>
      <w:r>
        <w:rPr>
          <w:rStyle w:val="Refdenotaalpie"/>
          <w:lang w:val="es-ES"/>
        </w:rPr>
        <w:footnoteRef/>
      </w:r>
      <w:r>
        <w:rPr>
          <w:lang w:val="es-ES"/>
        </w:rPr>
        <w:t xml:space="preserve">Asamblea Nacional del Poder Popular. (14 de julio de 1997). Ley No. 82 de 11 de julio de 1997 "Ley de los Tribunales". </w:t>
      </w:r>
      <w:r>
        <w:rPr>
          <w:bCs/>
          <w:lang w:val="es-ES"/>
        </w:rPr>
        <w:t xml:space="preserve">Acuerdo No. 152 de 11 de julio de 2000. Gaceta Oficial de la República (65), Ordinaria, 1339. Cuba. (Artículo </w:t>
      </w:r>
      <w:r>
        <w:rPr>
          <w:lang w:val="es-ES"/>
        </w:rPr>
        <w:t>Gaceta Oficial de la República (8), Extraordinaria, 69. Cuba. (</w:t>
      </w:r>
      <w:r>
        <w:rPr>
          <w:bCs/>
          <w:lang w:val="es-ES"/>
        </w:rPr>
        <w:t xml:space="preserve">Artículo 7, inciso c). Tribunal Supremo Popular. </w:t>
      </w:r>
      <w:r w:rsidRPr="00EC2140">
        <w:rPr>
          <w:bCs/>
          <w:lang w:val="es-ES"/>
        </w:rPr>
        <w:t>(7 de agosto de 2000). 23, incisos f, g, i y k) tal como quedo modificado (Tribunal Supremo Popular. (7 de agosto de 2000).</w:t>
      </w:r>
      <w:r>
        <w:rPr>
          <w:bCs/>
          <w:lang w:val="es-ES"/>
        </w:rPr>
        <w:t xml:space="preserve"> Acuerdo No. 152 de 11 de julio de 2000. Gaceta Oficial de la República (65), Ordinaria, 1339. Cuba.) y Tribunal Supremo Popular. (s.f.). </w:t>
      </w:r>
      <w:r>
        <w:rPr>
          <w:bCs/>
          <w:sz w:val="22"/>
          <w:szCs w:val="22"/>
          <w:lang w:val="es-ES"/>
        </w:rPr>
        <w:t>Instrucción No. 180 de 17 de abril de 2006. Cuba.</w:t>
      </w:r>
    </w:p>
  </w:footnote>
  <w:footnote w:id="176">
    <w:p w14:paraId="6B6AF07D" w14:textId="77777777" w:rsidR="00172411" w:rsidRDefault="00172411" w:rsidP="00212381">
      <w:pPr>
        <w:pStyle w:val="Textonotapie"/>
        <w:spacing w:line="240" w:lineRule="atLeast"/>
        <w:ind w:firstLine="0"/>
        <w:rPr>
          <w:lang w:val="es-MX"/>
        </w:rPr>
      </w:pPr>
      <w:r>
        <w:rPr>
          <w:rStyle w:val="Refdenotaalpie"/>
          <w:rFonts w:ascii="Calibri" w:hAnsi="Calibri" w:cs="Calibri"/>
          <w:sz w:val="22"/>
          <w:szCs w:val="22"/>
        </w:rPr>
        <w:footnoteRef/>
      </w:r>
      <w:r>
        <w:t xml:space="preserve">Respuestas de Cuba a la Lista de Cuestiones Relativa al Informe Presentado por Cuba en Virtud del Artículo 29, Párrafo 1, de  la Convención Internacional para la Protección de Todas las Personas Contra las Desapariciones Forzadas. Disponible: </w:t>
      </w:r>
      <w:hyperlink r:id="rId60" w:history="1">
        <w:r>
          <w:rPr>
            <w:rStyle w:val="Hipervnculo"/>
          </w:rPr>
          <w:t>http://tbinternet.ohchr.org/Treaties/CED/Shared%20Documents/CUB/CED_C_CUB_Q_1_Add-1_26435_S.pdf Pág. 1</w:t>
        </w:r>
      </w:hyperlink>
      <w:r>
        <w:t xml:space="preserve"> I. Información general 2. Sírvanse indicar si el Estado parte contempla la posibilidad de establecer una institución nacional de derechos humanos independiente conforme a los Principios relativos al estatuto de las instituciones nacionales de promoción y protección de los derechos humanos (Principios de París).</w:t>
      </w:r>
    </w:p>
    <w:p w14:paraId="0098CC39" w14:textId="77777777" w:rsidR="00172411" w:rsidRDefault="00172411" w:rsidP="00212381">
      <w:pPr>
        <w:pStyle w:val="Textonotapie"/>
        <w:spacing w:line="240" w:lineRule="atLeast"/>
        <w:ind w:firstLine="0"/>
        <w:rPr>
          <w:lang w:val="es-MX"/>
        </w:rPr>
      </w:pPr>
      <w:r>
        <w:t>Respuestas De Cuba .Cuba cuenta con un sistema de promoción y protección de los derechos humanos que funciona y tiene resultados palpables, el cual responde plenamente a las aspiraciones y requerimientos del pueblo. Hasta el presente no se ha previsto la modificación de este sistema (…) No existe un modelo único para el establecimiento de instituciones nacionales de derechos humanos, por lo que Cuba seguirá priorizando que cualquier nueva forma que adopten los mecanismos para este propósito cumplan con el propósito de coadyuvar a la obtención de resultados superiores en el mantenimiento y ampliación de garantías para el disfrute de todos los derechos humanos de ciudadanos.</w:t>
      </w:r>
    </w:p>
  </w:footnote>
  <w:footnote w:id="177">
    <w:p w14:paraId="00DF4DE6" w14:textId="77777777" w:rsidR="00172411" w:rsidRDefault="00172411" w:rsidP="00212381">
      <w:pPr>
        <w:pStyle w:val="Textonotapie"/>
        <w:spacing w:line="240" w:lineRule="atLeast"/>
        <w:ind w:firstLine="0"/>
        <w:rPr>
          <w:lang w:val="es-ES"/>
        </w:rPr>
      </w:pPr>
      <w:r>
        <w:rPr>
          <w:rStyle w:val="Refdenotaalpie"/>
          <w:lang w:val="es-ES"/>
        </w:rPr>
        <w:footnoteRef/>
      </w:r>
      <w:r>
        <w:rPr>
          <w:lang w:val="es-ES"/>
        </w:rPr>
        <w:t xml:space="preserve"> Folleto Informativo No. 19 de la Oficina del Alto Comisionado para los Derechos Humanos de las Naciones Unidas, “</w:t>
      </w:r>
      <w:r>
        <w:rPr>
          <w:i/>
          <w:lang w:val="es-ES"/>
        </w:rPr>
        <w:t>Instituciones Nacionales de Promoción y Protección de los derechos Humanos</w:t>
      </w:r>
      <w:r>
        <w:rPr>
          <w:lang w:val="es-ES"/>
        </w:rPr>
        <w:t>”</w:t>
      </w:r>
    </w:p>
  </w:footnote>
  <w:footnote w:id="178">
    <w:p w14:paraId="7625702C" w14:textId="77777777" w:rsidR="00172411" w:rsidRDefault="00172411" w:rsidP="00D836A9">
      <w:pPr>
        <w:pStyle w:val="Textonotapie"/>
        <w:tabs>
          <w:tab w:val="left" w:pos="708"/>
        </w:tabs>
        <w:spacing w:line="240" w:lineRule="atLeast"/>
        <w:ind w:firstLine="0"/>
        <w:rPr>
          <w:rStyle w:val="Hipervnculo"/>
          <w:u w:val="none"/>
          <w:lang w:val="en-US"/>
        </w:rPr>
      </w:pPr>
      <w:r>
        <w:rPr>
          <w:rStyle w:val="Refdenotaalpie"/>
        </w:rPr>
        <w:footnoteRef/>
      </w:r>
      <w:r>
        <w:t xml:space="preserve"> Fondo de las Naciones Unidas para la Infancia, 2005 .</w:t>
      </w:r>
      <w:r>
        <w:rPr>
          <w:i/>
        </w:rPr>
        <w:t>Violencia contra los niños con discapacidad</w:t>
      </w:r>
      <w:r>
        <w:t xml:space="preserve">. Informe del Representante del Secretario General de las Naciones Unidas sobre la violencia contra los niños. Grupo temático sobre la violencia contra los niños con discapacidad: hallazgos y recomendaciones. </w:t>
      </w:r>
      <w:r>
        <w:rPr>
          <w:lang w:val="en-US"/>
        </w:rPr>
        <w:t xml:space="preserve">Nueva York. </w:t>
      </w:r>
      <w:r>
        <w:rPr>
          <w:rFonts w:eastAsia="Calibri"/>
          <w:color w:val="000000"/>
          <w:lang w:val="en-US" w:eastAsia="es-MX"/>
        </w:rPr>
        <w:t>Disponible:</w:t>
      </w:r>
      <w:r>
        <w:rPr>
          <w:lang w:val="en-US"/>
        </w:rPr>
        <w:t xml:space="preserve"> </w:t>
      </w:r>
      <w:r>
        <w:rPr>
          <w:rStyle w:val="Hipervnculo"/>
          <w:lang w:val="en-US"/>
        </w:rPr>
        <w:t>http://</w:t>
      </w:r>
      <w:hyperlink r:id="rId61" w:history="1">
        <w:r>
          <w:rPr>
            <w:rStyle w:val="Hipervnculo"/>
            <w:lang w:val="en-US"/>
          </w:rPr>
          <w:t>www.unicef.org/videoaudio/PDFs/</w:t>
        </w:r>
      </w:hyperlink>
      <w:r>
        <w:rPr>
          <w:rStyle w:val="Hipervnculo"/>
          <w:lang w:val="en-US"/>
        </w:rPr>
        <w:t xml:space="preserve"> UNICEF_Violence_Against_Disabled_Children_Report_Distributed_Version.pdf.</w:t>
      </w:r>
    </w:p>
  </w:footnote>
  <w:footnote w:id="179">
    <w:p w14:paraId="057FFB6D" w14:textId="77777777" w:rsidR="00172411" w:rsidRDefault="00172411" w:rsidP="00C12397">
      <w:pPr>
        <w:pStyle w:val="Textonotapie"/>
        <w:ind w:firstLine="0"/>
        <w:rPr>
          <w:lang w:val="es-ES"/>
        </w:rPr>
      </w:pPr>
      <w:r>
        <w:rPr>
          <w:rStyle w:val="Refdenotaalpie"/>
        </w:rPr>
        <w:footnoteRef/>
      </w:r>
      <w:r>
        <w:t xml:space="preserve"> Luisa Íñiguez (COORD.), Edgar Figueroa y Janet Rojas. La Habana, 2017. </w:t>
      </w:r>
      <w:r>
        <w:rPr>
          <w:i/>
        </w:rPr>
        <w:t xml:space="preserve">Atlas de la infancia y la adolescencia en Cuba. Análisis a partir del Censo de Población y Viviendas 2012. </w:t>
      </w:r>
      <w:r>
        <w:t xml:space="preserve"> Editorial UH. Cuba.  Disponible:   </w:t>
      </w:r>
      <w:hyperlink r:id="rId62" w:history="1">
        <w:r>
          <w:rPr>
            <w:rStyle w:val="Hipervnculo"/>
          </w:rPr>
          <w:t>https://www.unicef.org/lac/Atlas_de_la_infancia_y_la_adolescencia_en_CubaLR4(1).pdf</w:t>
        </w:r>
      </w:hyperlink>
      <w:r>
        <w:t xml:space="preserve">  </w:t>
      </w:r>
      <w:bookmarkStart w:id="97" w:name="OLE_LINK47"/>
      <w:bookmarkStart w:id="98" w:name="OLE_LINK44"/>
      <w:r>
        <w:t>Pág. 67</w:t>
      </w:r>
      <w:bookmarkEnd w:id="97"/>
      <w:bookmarkEnd w:id="98"/>
    </w:p>
  </w:footnote>
  <w:footnote w:id="180">
    <w:p w14:paraId="140B1988" w14:textId="50D273B9" w:rsidR="00172411" w:rsidRDefault="00172411" w:rsidP="00C12397">
      <w:pPr>
        <w:pStyle w:val="Textonotapie"/>
        <w:ind w:firstLine="0"/>
        <w:rPr>
          <w:lang w:val="es-ES"/>
        </w:rPr>
      </w:pPr>
      <w:r>
        <w:rPr>
          <w:rStyle w:val="Refdenotaalpie"/>
        </w:rPr>
        <w:footnoteRef/>
      </w:r>
      <w:r>
        <w:t xml:space="preserve"> Ibidem. Pág. 56</w:t>
      </w:r>
    </w:p>
  </w:footnote>
  <w:footnote w:id="181">
    <w:p w14:paraId="04AF03AF" w14:textId="77777777" w:rsidR="00172411" w:rsidRPr="006E097A" w:rsidRDefault="00172411" w:rsidP="00D836A9">
      <w:pPr>
        <w:pStyle w:val="Textonotapie"/>
        <w:spacing w:line="240" w:lineRule="atLeast"/>
        <w:ind w:firstLine="0"/>
        <w:rPr>
          <w:rStyle w:val="Textoennegrita"/>
          <w:b w:val="0"/>
          <w:bCs w:val="0"/>
          <w:i/>
          <w:szCs w:val="24"/>
        </w:rPr>
      </w:pPr>
      <w:r>
        <w:rPr>
          <w:rStyle w:val="Refdenotaalpie"/>
        </w:rPr>
        <w:footnoteRef/>
      </w:r>
      <w:r>
        <w:t xml:space="preserve"> </w:t>
      </w:r>
      <w:r>
        <w:rPr>
          <w:bCs/>
          <w:iCs/>
          <w:lang w:val="es-DO"/>
        </w:rPr>
        <w:t>Jorge Bello Domínguez</w:t>
      </w:r>
      <w:r>
        <w:rPr>
          <w:rStyle w:val="Textoennegrita"/>
          <w:b w:val="0"/>
          <w:i/>
          <w:szCs w:val="24"/>
        </w:rPr>
        <w:t>.</w:t>
      </w:r>
      <w:r w:rsidRPr="006E097A">
        <w:rPr>
          <w:rStyle w:val="Textoennegrita"/>
          <w:b w:val="0"/>
          <w:i/>
          <w:szCs w:val="24"/>
        </w:rPr>
        <w:t xml:space="preserve"> </w:t>
      </w:r>
      <w:r w:rsidRPr="006E097A">
        <w:rPr>
          <w:rStyle w:val="Textoennegrita"/>
          <w:b w:val="0"/>
          <w:bCs w:val="0"/>
          <w:szCs w:val="24"/>
        </w:rPr>
        <w:t>diciembre 9, 2014</w:t>
      </w:r>
      <w:r w:rsidRPr="006E097A">
        <w:rPr>
          <w:rStyle w:val="Textoennegrita"/>
          <w:b w:val="0"/>
          <w:bCs w:val="0"/>
          <w:i/>
          <w:szCs w:val="24"/>
        </w:rPr>
        <w:t>. Desamparado impedido físico y su familia</w:t>
      </w:r>
      <w:r w:rsidRPr="006E097A">
        <w:rPr>
          <w:rStyle w:val="Textoennegrita"/>
          <w:b w:val="0"/>
          <w:bCs w:val="0"/>
          <w:szCs w:val="24"/>
        </w:rPr>
        <w:t>. Cubanet</w:t>
      </w:r>
      <w:r w:rsidRPr="006E097A">
        <w:rPr>
          <w:rStyle w:val="Textoennegrita"/>
          <w:b w:val="0"/>
          <w:bCs w:val="0"/>
          <w:i/>
          <w:szCs w:val="24"/>
        </w:rPr>
        <w:t>.</w:t>
      </w:r>
      <w:r w:rsidRPr="006E097A">
        <w:rPr>
          <w:rStyle w:val="Textoennegrita"/>
          <w:b w:val="0"/>
          <w:i/>
          <w:szCs w:val="24"/>
        </w:rPr>
        <w:t xml:space="preserve"> Disponible:</w:t>
      </w:r>
    </w:p>
    <w:p w14:paraId="492D113D" w14:textId="77777777" w:rsidR="00172411" w:rsidRPr="006E097A" w:rsidRDefault="00172411" w:rsidP="00D836A9">
      <w:pPr>
        <w:pStyle w:val="Textonotapie"/>
        <w:spacing w:line="240" w:lineRule="atLeast"/>
        <w:ind w:firstLine="0"/>
        <w:rPr>
          <w:bCs/>
          <w:szCs w:val="24"/>
        </w:rPr>
      </w:pPr>
      <w:hyperlink r:id="rId63" w:history="1">
        <w:r w:rsidRPr="006E097A">
          <w:rPr>
            <w:rStyle w:val="Textoennegrita"/>
            <w:b w:val="0"/>
            <w:szCs w:val="24"/>
          </w:rPr>
          <w:t>http://www.cubanet.org/mas-noticias/desamparados-impedido-fisico-y-familia/</w:t>
        </w:r>
      </w:hyperlink>
      <w:r>
        <w:rPr>
          <w:rStyle w:val="Textoennegrita"/>
          <w:b w:val="0"/>
          <w:szCs w:val="24"/>
        </w:rPr>
        <w:t xml:space="preserve"> </w:t>
      </w:r>
      <w:r w:rsidRPr="006E097A">
        <w:rPr>
          <w:bCs/>
          <w:iCs/>
          <w:lang w:val="es-DO"/>
        </w:rPr>
        <w:t xml:space="preserve">-José Antonio González Borrego, nacido el 28 de octubre de 1960, residente en Güira de Melena, provincia de Artemisa, </w:t>
      </w:r>
      <w:r>
        <w:rPr>
          <w:bCs/>
          <w:iCs/>
          <w:lang w:val="es-DO"/>
        </w:rPr>
        <w:t>tiene el</w:t>
      </w:r>
      <w:r w:rsidRPr="006E097A">
        <w:rPr>
          <w:bCs/>
          <w:iCs/>
          <w:lang w:val="es-DO"/>
        </w:rPr>
        <w:t xml:space="preserve"> brazo derecho inutilizado y úlceras en sus dos piernas producto de la diabetes que padece.</w:t>
      </w:r>
      <w:r>
        <w:rPr>
          <w:bCs/>
          <w:iCs/>
          <w:lang w:val="es-DO"/>
        </w:rPr>
        <w:t xml:space="preserve"> </w:t>
      </w:r>
      <w:r w:rsidRPr="006E097A">
        <w:rPr>
          <w:bCs/>
          <w:iCs/>
          <w:lang w:val="es-DO"/>
        </w:rPr>
        <w:t>Su salud fue empeorando al extremo de presentar gangrena seca, por lo cual, según el médico, fue necesari</w:t>
      </w:r>
      <w:r>
        <w:rPr>
          <w:bCs/>
          <w:iCs/>
          <w:lang w:val="es-DO"/>
        </w:rPr>
        <w:t xml:space="preserve">a </w:t>
      </w:r>
      <w:r w:rsidRPr="006E097A">
        <w:rPr>
          <w:bCs/>
          <w:iCs/>
          <w:lang w:val="es-DO"/>
        </w:rPr>
        <w:t>la amputación de ambas piernas</w:t>
      </w:r>
      <w:r>
        <w:rPr>
          <w:bCs/>
          <w:iCs/>
          <w:lang w:val="es-DO"/>
        </w:rPr>
        <w:t xml:space="preserve">; </w:t>
      </w:r>
      <w:r w:rsidRPr="006E097A">
        <w:rPr>
          <w:bCs/>
          <w:iCs/>
          <w:lang w:val="es-DO"/>
        </w:rPr>
        <w:t>convive con su esposa, que presenta trastornos siquiátricos y tampoco puede trabajar; así como una hija y una nieta. A pesar de la difícil situación que tienen, no han sido beneficiados por la asistencia social…</w:t>
      </w:r>
    </w:p>
  </w:footnote>
  <w:footnote w:id="182">
    <w:p w14:paraId="15FD6CB4" w14:textId="536949E9" w:rsidR="00172411" w:rsidRDefault="00172411" w:rsidP="00F34DEE">
      <w:pPr>
        <w:pStyle w:val="Textonotapie"/>
        <w:ind w:firstLine="0"/>
      </w:pPr>
      <w:r>
        <w:rPr>
          <w:rStyle w:val="Refdenotaalpie"/>
        </w:rPr>
        <w:footnoteRef/>
      </w:r>
      <w:r>
        <w:t xml:space="preserve"> </w:t>
      </w:r>
      <w:r>
        <w:rPr>
          <w:szCs w:val="24"/>
        </w:rPr>
        <w:t xml:space="preserve">Red de Cultura Inclusiva Cuba y Cubalex. 2017. </w:t>
      </w:r>
      <w:r>
        <w:rPr>
          <w:rStyle w:val="Textoennegrita"/>
          <w:b w:val="0"/>
          <w:i/>
          <w:szCs w:val="24"/>
        </w:rPr>
        <w:t>Informe Conjunto para la determinación del listado de cuestiones que el Comité sobre los Derechos de las Personas con Discapacidad presentará el Estado cubano.</w:t>
      </w:r>
      <w:r>
        <w:t xml:space="preserve">  Pág. 10 Disponible: http://tbinternet.ohchr.org/_layouts/treatybodyexternal/Download.aspx?symbolno=INT%2fCRPD</w:t>
      </w:r>
    </w:p>
    <w:p w14:paraId="27011BCC" w14:textId="09453F86" w:rsidR="00172411" w:rsidRPr="00F34DEE" w:rsidRDefault="00172411" w:rsidP="00F34DEE">
      <w:pPr>
        <w:pStyle w:val="Textonotapie"/>
        <w:ind w:firstLine="0"/>
        <w:rPr>
          <w:lang w:val="es-ES"/>
        </w:rPr>
      </w:pPr>
      <w:r>
        <w:t>%2fICO%2fCUB%2f30092&amp;Lang=en</w:t>
      </w:r>
    </w:p>
  </w:footnote>
  <w:footnote w:id="183">
    <w:p w14:paraId="7DB27B78" w14:textId="77777777" w:rsidR="00172411" w:rsidRDefault="00172411" w:rsidP="002602ED">
      <w:pPr>
        <w:pStyle w:val="Textonotapie"/>
        <w:spacing w:line="240" w:lineRule="atLeast"/>
        <w:ind w:firstLine="0"/>
      </w:pPr>
      <w:r>
        <w:rPr>
          <w:rStyle w:val="Refdenotaalpie"/>
        </w:rPr>
        <w:footnoteRef/>
      </w:r>
      <w:r>
        <w:t xml:space="preserve"> 14y medio. Marzo 13, 2018. La Habana | </w:t>
      </w:r>
      <w:r w:rsidRPr="00EB1570">
        <w:rPr>
          <w:i/>
        </w:rPr>
        <w:t>La voz de la Red de Cultura Inclusiva no se pudo escuchar en Ginebra.</w:t>
      </w:r>
      <w:r>
        <w:t xml:space="preserve"> Disponible: </w:t>
      </w:r>
      <w:hyperlink r:id="rId64" w:history="1">
        <w:r>
          <w:rPr>
            <w:rStyle w:val="Hipervnculo"/>
            <w:color w:val="auto"/>
          </w:rPr>
          <w:t>http://www.14ymedio.com/nacional/Red-Cultura-Inclusiva-escuchar-Ginebra_0_2399160071.html</w:t>
        </w:r>
      </w:hyperlink>
      <w:hyperlink r:id="rId65" w:history="1">
        <w:r>
          <w:rPr>
            <w:rStyle w:val="Hipervnculo"/>
            <w:color w:val="auto"/>
          </w:rPr>
          <w:t xml:space="preserve"> </w:t>
        </w:r>
      </w:hyperlink>
    </w:p>
    <w:p w14:paraId="4337A34E" w14:textId="77777777" w:rsidR="00172411" w:rsidRDefault="00172411" w:rsidP="002602ED">
      <w:pPr>
        <w:pStyle w:val="Textonotapie"/>
        <w:spacing w:line="240" w:lineRule="atLeast"/>
        <w:ind w:firstLine="0"/>
      </w:pPr>
      <w:r>
        <w:t>Las autoridades impidieron viajar a Suiza a dos miembros de esta organización que querían dar una charla sobre la situación de las personas con discapacidad en la Isla</w:t>
      </w:r>
    </w:p>
  </w:footnote>
  <w:footnote w:id="184">
    <w:p w14:paraId="0C57C5DB" w14:textId="6EC93FC8" w:rsidR="00172411" w:rsidRPr="00C25676" w:rsidRDefault="00172411" w:rsidP="005E542D">
      <w:pPr>
        <w:pStyle w:val="Textonotapie"/>
        <w:spacing w:line="240" w:lineRule="atLeast"/>
        <w:ind w:firstLine="0"/>
        <w:rPr>
          <w:rStyle w:val="InternetLink"/>
          <w:color w:val="auto"/>
          <w:u w:val="none"/>
        </w:rPr>
      </w:pPr>
      <w:r>
        <w:rPr>
          <w:rStyle w:val="Refdenotaalpie"/>
        </w:rPr>
        <w:footnoteRef/>
      </w:r>
      <w:r>
        <w:t xml:space="preserve"> Cubanet.</w:t>
      </w:r>
      <w:r w:rsidRPr="00695C57">
        <w:t>12 marzo 2018</w:t>
      </w:r>
      <w:r>
        <w:t xml:space="preserve">. </w:t>
      </w:r>
      <w:r w:rsidRPr="00695C57">
        <w:rPr>
          <w:i/>
        </w:rPr>
        <w:t>Gobierno cubano prohíbe viajar a activista ciego que rendiría informe ante la ONU</w:t>
      </w:r>
      <w:r>
        <w:t xml:space="preserve">. </w:t>
      </w:r>
      <w:r w:rsidRPr="00695C57">
        <w:rPr>
          <w:sz w:val="18"/>
          <w:szCs w:val="18"/>
        </w:rPr>
        <w:t>Disponible:</w:t>
      </w:r>
      <w:r>
        <w:t xml:space="preserve"> </w:t>
      </w:r>
      <w:hyperlink r:id="rId66" w:history="1">
        <w:r w:rsidRPr="00C25676">
          <w:rPr>
            <w:sz w:val="18"/>
            <w:szCs w:val="18"/>
          </w:rPr>
          <w:t>https://www.cubanet.org/mas-noticias/gobierno-cubano-prohibe-viajar-activista-ciego-que-rendiria-informe-ante-la-onu/</w:t>
        </w:r>
      </w:hyperlink>
    </w:p>
    <w:p w14:paraId="1E4E0733" w14:textId="77777777" w:rsidR="00172411" w:rsidRDefault="00172411" w:rsidP="002602ED">
      <w:pPr>
        <w:pStyle w:val="TextBody"/>
        <w:spacing w:after="0" w:line="240" w:lineRule="atLeast"/>
        <w:rPr>
          <w:lang w:val="es-ES"/>
        </w:rPr>
      </w:pPr>
      <w:r w:rsidRPr="00C25676">
        <w:rPr>
          <w:rFonts w:ascii="Times New Roman" w:eastAsia="STKaiti" w:hAnsi="Times New Roman" w:cs="Times New Roman"/>
          <w:color w:val="0D0D0D"/>
          <w:sz w:val="16"/>
          <w:szCs w:val="16"/>
          <w:lang w:val="es-ES" w:eastAsia="en-US" w:bidi="ar-SA"/>
        </w:rPr>
        <w:t>La</w:t>
      </w:r>
      <w:r>
        <w:rPr>
          <w:rFonts w:ascii="Times New Roman" w:eastAsia="STKaiti" w:hAnsi="Times New Roman" w:cs="Times New Roman"/>
          <w:color w:val="0D0D0D"/>
          <w:sz w:val="20"/>
          <w:szCs w:val="20"/>
          <w:lang w:val="es-ES" w:eastAsia="en-US" w:bidi="ar-SA"/>
        </w:rPr>
        <w:t xml:space="preserve"> Sra. Acelia Carvajal, de 63 años, miembro de la Red de Cultura Inclusiva (RCI) fue impedido de viajar a Ginebra este sábado para presentarse a una sesión de las Naciones Unidas sobre personas con discapacidad. Iría a Suiza junto a su esposo Juan Goberna, pero fue informada de que sobre ella pesaba una orden de restricción de salida del país. “Al prohibir a Carvajal las autoridades también limitaron a Goberna…por su discapacidad visual necesita constante asistencia e ir siempre acompañado, y por ello no pudo tomar el vuelo”...</w:t>
      </w:r>
    </w:p>
  </w:footnote>
  <w:footnote w:id="185">
    <w:p w14:paraId="6504AB44" w14:textId="45EFAD1D" w:rsidR="00172411" w:rsidRPr="00DB527F" w:rsidRDefault="00172411" w:rsidP="002602ED">
      <w:pPr>
        <w:pStyle w:val="Textonotapie"/>
        <w:ind w:firstLine="0"/>
      </w:pPr>
      <w:r>
        <w:rPr>
          <w:rStyle w:val="Refdenotaalpie"/>
        </w:rPr>
        <w:footnoteRef/>
      </w:r>
      <w:r>
        <w:t xml:space="preserve"> Cubanet. </w:t>
      </w:r>
      <w:r w:rsidRPr="005A1A30">
        <w:t xml:space="preserve">12 marzo 2018. </w:t>
      </w:r>
      <w:r w:rsidRPr="005A1A30">
        <w:rPr>
          <w:i/>
        </w:rPr>
        <w:t>Sordo</w:t>
      </w:r>
      <w:r w:rsidRPr="00EB1570">
        <w:rPr>
          <w:i/>
        </w:rPr>
        <w:t xml:space="preserve"> y sin hogar, El calvario de Enrique Pérez González</w:t>
      </w:r>
      <w:r>
        <w:t>. Disponible: https://www.cubanet.org/actualidad-destacados/sordo-y-sin-hogar-el-calvario-de-enrique-perez-gonzalez</w:t>
      </w:r>
    </w:p>
  </w:footnote>
  <w:footnote w:id="186">
    <w:p w14:paraId="72F98148" w14:textId="7B985A5C" w:rsidR="00172411" w:rsidRDefault="00172411" w:rsidP="009E25A1">
      <w:pPr>
        <w:pStyle w:val="Textoindependiente"/>
        <w:spacing w:after="0" w:line="240" w:lineRule="atLeast"/>
        <w:ind w:firstLine="0"/>
        <w:rPr>
          <w:rFonts w:ascii="Times New Roman" w:hAnsi="Times New Roman" w:cs="Times New Roman"/>
          <w:color w:val="0D0D0D"/>
          <w:sz w:val="20"/>
          <w:szCs w:val="20"/>
          <w:lang w:val="es-ES" w:eastAsia="en-US"/>
        </w:rPr>
      </w:pPr>
      <w:r>
        <w:rPr>
          <w:rStyle w:val="Refdenotaalpie"/>
        </w:rPr>
        <w:footnoteRef/>
      </w:r>
      <w:r>
        <w:rPr>
          <w:lang w:val="es-ES"/>
        </w:rPr>
        <w:t xml:space="preserve"> </w:t>
      </w:r>
      <w:r>
        <w:rPr>
          <w:rFonts w:ascii="Times New Roman" w:hAnsi="Times New Roman" w:cs="Times New Roman"/>
          <w:color w:val="0D0D0D"/>
          <w:sz w:val="20"/>
          <w:szCs w:val="20"/>
          <w:lang w:val="es-ES" w:eastAsia="en-US"/>
        </w:rPr>
        <w:t>Juan Carlos Linares. La Habana.7 agosto 2013. Desamparados. Cubanet. Disponible:  https://www.cubanet.org/noticias/desamparados-2/</w:t>
      </w:r>
    </w:p>
  </w:footnote>
  <w:footnote w:id="187">
    <w:p w14:paraId="5FF31D64" w14:textId="0DB05BBD" w:rsidR="00172411" w:rsidRDefault="00172411" w:rsidP="006C3A4B">
      <w:pPr>
        <w:spacing w:after="0" w:line="240" w:lineRule="atLeast"/>
        <w:rPr>
          <w:rFonts w:ascii="Times New Roman" w:hAnsi="Times New Roman"/>
          <w:color w:val="0D0D0D"/>
          <w:sz w:val="20"/>
          <w:szCs w:val="20"/>
          <w:lang w:val="en-US"/>
        </w:rPr>
      </w:pPr>
      <w:r>
        <w:rPr>
          <w:rStyle w:val="Refdenotaalpie"/>
        </w:rPr>
        <w:footnoteRef/>
      </w:r>
      <w:r w:rsidRPr="00097944">
        <w:rPr>
          <w:lang w:val="en-US"/>
        </w:rPr>
        <w:t xml:space="preserve"> </w:t>
      </w:r>
      <w:r w:rsidRPr="00097944">
        <w:rPr>
          <w:rFonts w:ascii="Times New Roman" w:hAnsi="Times New Roman"/>
          <w:color w:val="0D0D0D"/>
          <w:sz w:val="20"/>
          <w:szCs w:val="20"/>
          <w:lang w:val="en-US"/>
        </w:rPr>
        <w:t xml:space="preserve">Biljana Chavkoska. 2012. </w:t>
      </w:r>
      <w:r w:rsidRPr="00097944">
        <w:rPr>
          <w:rFonts w:ascii="Times New Roman" w:hAnsi="Times New Roman"/>
          <w:i/>
          <w:color w:val="0D0D0D"/>
          <w:sz w:val="20"/>
          <w:szCs w:val="20"/>
          <w:lang w:val="en-US"/>
        </w:rPr>
        <w:t xml:space="preserve">The implementation of the convention on the rights of the persons with disabilities – new challenge </w:t>
      </w:r>
      <w:r>
        <w:rPr>
          <w:rFonts w:ascii="Times New Roman" w:hAnsi="Times New Roman"/>
          <w:i/>
          <w:color w:val="0D0D0D"/>
          <w:sz w:val="20"/>
          <w:szCs w:val="20"/>
          <w:lang w:val="en-US"/>
        </w:rPr>
        <w:t>for raising the living standards in the time of transition,</w:t>
      </w:r>
      <w:r>
        <w:rPr>
          <w:rFonts w:ascii="Times New Roman" w:hAnsi="Times New Roman"/>
          <w:color w:val="0D0D0D"/>
          <w:sz w:val="20"/>
          <w:szCs w:val="20"/>
          <w:lang w:val="en-US"/>
        </w:rPr>
        <w:t xml:space="preserve"> in 2nd International Scientific Conference On Economic Development And Standard Of Living –“Edasol 2012 – Economic Development And Standard Of Living ”, 87–97 (Zorka Grandov &amp; Sanel Jakupovic eds., 2012). Available </w:t>
      </w:r>
      <w:r>
        <w:rPr>
          <w:rFonts w:ascii="Times New Roman" w:hAnsi="Times New Roman"/>
          <w:color w:val="0D0D0D"/>
          <w:sz w:val="18"/>
          <w:szCs w:val="18"/>
          <w:lang w:val="en-US"/>
        </w:rPr>
        <w:t xml:space="preserve">at </w:t>
      </w:r>
      <w:hyperlink r:id="rId67" w:history="1">
        <w:r w:rsidRPr="00007039">
          <w:rPr>
            <w:rStyle w:val="Hipervnculo"/>
            <w:rFonts w:ascii="Times New Roman" w:hAnsi="Times New Roman"/>
            <w:sz w:val="18"/>
            <w:szCs w:val="18"/>
            <w:lang w:val="en-US"/>
          </w:rPr>
          <w:t>http://www.edasolau.com/</w:t>
        </w:r>
      </w:hyperlink>
      <w:r w:rsidRPr="00304C87">
        <w:rPr>
          <w:rStyle w:val="Hipervnculo"/>
          <w:lang w:val="en-US"/>
        </w:rPr>
        <w:t>linkovi/EDASO_2012_ZBORNIK_RADOVA.pdf.</w:t>
      </w:r>
    </w:p>
  </w:footnote>
  <w:footnote w:id="188">
    <w:p w14:paraId="0CBB80F7" w14:textId="77777777" w:rsidR="00172411" w:rsidRPr="00E81657" w:rsidRDefault="00172411" w:rsidP="002658A6">
      <w:pPr>
        <w:spacing w:after="0" w:line="240" w:lineRule="atLeast"/>
        <w:rPr>
          <w:lang w:val="en-US"/>
        </w:rPr>
      </w:pPr>
      <w:r>
        <w:rPr>
          <w:rFonts w:ascii="Times New Roman" w:hAnsi="Times New Roman"/>
          <w:color w:val="0D0D0D"/>
          <w:vertAlign w:val="superscript"/>
        </w:rPr>
        <w:footnoteRef/>
      </w:r>
      <w:r>
        <w:rPr>
          <w:rFonts w:ascii="Times New Roman" w:hAnsi="Times New Roman"/>
          <w:color w:val="0D0D0D"/>
          <w:vertAlign w:val="superscript"/>
        </w:rPr>
        <w:t xml:space="preserve"> </w:t>
      </w:r>
      <w:r>
        <w:rPr>
          <w:rFonts w:ascii="Times New Roman" w:hAnsi="Times New Roman"/>
          <w:color w:val="0D0D0D"/>
          <w:sz w:val="20"/>
          <w:szCs w:val="20"/>
        </w:rPr>
        <w:t xml:space="preserve">Vivian Bustamante Molina. 5 marzo, 2018. </w:t>
      </w:r>
      <w:r>
        <w:rPr>
          <w:rFonts w:ascii="Times New Roman" w:hAnsi="Times New Roman"/>
          <w:i/>
          <w:color w:val="0D0D0D"/>
          <w:sz w:val="20"/>
          <w:szCs w:val="20"/>
        </w:rPr>
        <w:t xml:space="preserve">Personas con discapacidad ¿Qué ocurre con sus talleres? </w:t>
      </w:r>
      <w:r w:rsidRPr="00E81657">
        <w:rPr>
          <w:rFonts w:ascii="Times New Roman" w:hAnsi="Times New Roman"/>
          <w:color w:val="0D0D0D"/>
          <w:sz w:val="20"/>
          <w:szCs w:val="20"/>
          <w:lang w:val="en-US"/>
        </w:rPr>
        <w:t>Trabajadores. Pág. 4. Edición Impresa</w:t>
      </w:r>
      <w:r w:rsidRPr="00E81657">
        <w:rPr>
          <w:lang w:val="en-US"/>
        </w:rPr>
        <w:t>.</w:t>
      </w:r>
    </w:p>
  </w:footnote>
  <w:footnote w:id="189">
    <w:p w14:paraId="3C2C4D33" w14:textId="746A8887" w:rsidR="00172411" w:rsidRPr="00652316" w:rsidRDefault="00172411" w:rsidP="00652316">
      <w:pPr>
        <w:pStyle w:val="Textonotapie"/>
        <w:ind w:firstLine="0"/>
        <w:rPr>
          <w:lang w:val="en-US"/>
        </w:rPr>
      </w:pPr>
      <w:r>
        <w:rPr>
          <w:rStyle w:val="Refdenotaalpie"/>
        </w:rPr>
        <w:footnoteRef/>
      </w:r>
      <w:r w:rsidRPr="00652316">
        <w:rPr>
          <w:lang w:val="en-US"/>
        </w:rPr>
        <w:t xml:space="preserve"> </w:t>
      </w:r>
      <w:r>
        <w:rPr>
          <w:lang w:val="en-US"/>
        </w:rPr>
        <w:t xml:space="preserve">The Economist. </w:t>
      </w:r>
      <w:r w:rsidRPr="00652316">
        <w:rPr>
          <w:lang w:val="en-US"/>
        </w:rPr>
        <w:t>Mar 23rd 2017| Havana</w:t>
      </w:r>
      <w:r>
        <w:rPr>
          <w:lang w:val="en-US"/>
        </w:rPr>
        <w:t>.</w:t>
      </w:r>
      <w:r w:rsidRPr="00652316">
        <w:rPr>
          <w:lang w:val="en-US"/>
        </w:rPr>
        <w:t xml:space="preserve"> </w:t>
      </w:r>
      <w:r w:rsidRPr="00652316">
        <w:rPr>
          <w:i/>
          <w:lang w:val="en-US"/>
        </w:rPr>
        <w:t>As Cuba’s economy flat-lines, retirement has become notional</w:t>
      </w:r>
      <w:r>
        <w:rPr>
          <w:lang w:val="en-US"/>
        </w:rPr>
        <w:t>.</w:t>
      </w:r>
      <w:r w:rsidRPr="00652316">
        <w:rPr>
          <w:lang w:val="en-US"/>
        </w:rPr>
        <w:t xml:space="preserve"> </w:t>
      </w:r>
      <w:r>
        <w:rPr>
          <w:lang w:val="en-US"/>
        </w:rPr>
        <w:t>Available:</w:t>
      </w:r>
      <w:r w:rsidRPr="00652316">
        <w:rPr>
          <w:lang w:val="en-US"/>
        </w:rPr>
        <w:t xml:space="preserve"> </w:t>
      </w:r>
    </w:p>
    <w:p w14:paraId="6C2DC9E9" w14:textId="36049AB4" w:rsidR="00172411" w:rsidRPr="00652316" w:rsidRDefault="00172411" w:rsidP="00652316">
      <w:pPr>
        <w:pStyle w:val="Textonotapie"/>
        <w:ind w:firstLine="0"/>
        <w:rPr>
          <w:lang w:val="en-US"/>
        </w:rPr>
      </w:pPr>
      <w:hyperlink r:id="rId68" w:history="1">
        <w:r w:rsidRPr="00FE1681">
          <w:rPr>
            <w:rStyle w:val="Hipervnculo"/>
            <w:lang w:val="en-US"/>
          </w:rPr>
          <w:t>https://www.economist.com/news/americas/21719482-tiny-pensions-must-be-supplementedwhatever-work-available-cubas-economy-flat-lines</w:t>
        </w:r>
      </w:hyperlink>
      <w:r>
        <w:rPr>
          <w:lang w:val="en-US"/>
        </w:rPr>
        <w:t xml:space="preserve">?  (…) </w:t>
      </w:r>
      <w:r w:rsidRPr="00652316">
        <w:rPr>
          <w:lang w:val="en-US"/>
        </w:rPr>
        <w:t>Tiny pensions must be supplemented by whatever work is available</w:t>
      </w:r>
      <w:r>
        <w:rPr>
          <w:lang w:val="en-US"/>
        </w:rPr>
        <w:t>.</w:t>
      </w:r>
    </w:p>
  </w:footnote>
  <w:footnote w:id="190">
    <w:p w14:paraId="19F83D94" w14:textId="1C6700AB" w:rsidR="00172411" w:rsidRPr="000C154F" w:rsidRDefault="00172411" w:rsidP="006C3A4B">
      <w:pPr>
        <w:spacing w:after="0" w:line="240" w:lineRule="atLeast"/>
        <w:rPr>
          <w:rFonts w:ascii="Times New Roman" w:hAnsi="Times New Roman"/>
          <w:color w:val="0D0D0D"/>
          <w:sz w:val="20"/>
          <w:szCs w:val="20"/>
        </w:rPr>
      </w:pPr>
      <w:r>
        <w:rPr>
          <w:rStyle w:val="Refdenotaalpie"/>
        </w:rPr>
        <w:footnoteRef/>
      </w:r>
      <w:r w:rsidRPr="002F51EE">
        <w:rPr>
          <w:rFonts w:ascii="Times New Roman" w:hAnsi="Times New Roman"/>
          <w:color w:val="0D0D0D"/>
          <w:sz w:val="20"/>
          <w:szCs w:val="20"/>
        </w:rPr>
        <w:t>Cibercuba. 2018-04-14</w:t>
      </w:r>
      <w:r w:rsidRPr="002F51EE">
        <w:t xml:space="preserve">. </w:t>
      </w:r>
      <w:r w:rsidRPr="002F51EE">
        <w:rPr>
          <w:rFonts w:ascii="Times New Roman" w:hAnsi="Times New Roman"/>
          <w:i/>
          <w:sz w:val="20"/>
          <w:szCs w:val="20"/>
        </w:rPr>
        <w:t>Juristas cubanos critican a cuentapro</w:t>
      </w:r>
      <w:r w:rsidRPr="00EB1570">
        <w:rPr>
          <w:rFonts w:ascii="Times New Roman" w:hAnsi="Times New Roman"/>
          <w:i/>
          <w:sz w:val="20"/>
          <w:szCs w:val="20"/>
        </w:rPr>
        <w:t>pistas que priorizan el a</w:t>
      </w:r>
      <w:r>
        <w:rPr>
          <w:rFonts w:ascii="Times New Roman" w:hAnsi="Times New Roman"/>
          <w:i/>
          <w:sz w:val="20"/>
          <w:szCs w:val="20"/>
        </w:rPr>
        <w:t>specto f</w:t>
      </w:r>
      <w:r w:rsidRPr="00EB1570">
        <w:rPr>
          <w:rFonts w:ascii="Times New Roman" w:hAnsi="Times New Roman"/>
          <w:i/>
          <w:sz w:val="20"/>
          <w:szCs w:val="20"/>
        </w:rPr>
        <w:t>ísico</w:t>
      </w:r>
      <w:r>
        <w:rPr>
          <w:rFonts w:ascii="Times New Roman" w:hAnsi="Times New Roman"/>
          <w:i/>
          <w:sz w:val="20"/>
          <w:szCs w:val="20"/>
        </w:rPr>
        <w:t>.</w:t>
      </w:r>
      <w:r>
        <w:t xml:space="preserve"> </w:t>
      </w:r>
      <w:r w:rsidRPr="00EB1570">
        <w:rPr>
          <w:rFonts w:ascii="Times New Roman" w:hAnsi="Times New Roman"/>
          <w:color w:val="0D0D0D"/>
          <w:sz w:val="20"/>
          <w:szCs w:val="20"/>
        </w:rPr>
        <w:t xml:space="preserve">Disponible: </w:t>
      </w:r>
      <w:hyperlink r:id="rId69" w:history="1">
        <w:r w:rsidRPr="00EB1570">
          <w:rPr>
            <w:rFonts w:ascii="Times New Roman" w:hAnsi="Times New Roman"/>
            <w:color w:val="0D0D0D"/>
            <w:sz w:val="20"/>
            <w:szCs w:val="20"/>
          </w:rPr>
          <w:t>https://www.cibercuba.com/noticias/2018-04-14-u1-e43231-s27061-juristas-cubanos-critican-cuentapropistas-priorizan-fisico-sus</w:t>
        </w:r>
      </w:hyperlink>
    </w:p>
  </w:footnote>
  <w:footnote w:id="191">
    <w:p w14:paraId="382230F0" w14:textId="7B9D8AE6" w:rsidR="00172411" w:rsidRPr="006B4FC3" w:rsidRDefault="00172411" w:rsidP="00097944">
      <w:pPr>
        <w:pStyle w:val="Textonotapie"/>
        <w:ind w:firstLine="0"/>
        <w:rPr>
          <w:sz w:val="18"/>
          <w:szCs w:val="18"/>
        </w:rPr>
      </w:pPr>
      <w:r>
        <w:rPr>
          <w:rStyle w:val="Refdenotaalpie"/>
        </w:rPr>
        <w:footnoteRef/>
      </w:r>
      <w:r>
        <w:t xml:space="preserve"> </w:t>
      </w:r>
      <w:r>
        <w:rPr>
          <w:szCs w:val="24"/>
        </w:rPr>
        <w:t xml:space="preserve">Red de Cultura Inclusiva Cuba y Cubalex. 2017. </w:t>
      </w:r>
      <w:r>
        <w:rPr>
          <w:rStyle w:val="Textoennegrita"/>
          <w:b w:val="0"/>
          <w:i/>
          <w:szCs w:val="24"/>
        </w:rPr>
        <w:t>Informe Conjunto para la determinación del listado de cuestiones que el Comité sobre los Derechos de las Personas con Discapacidad presentará el Estado cubano.</w:t>
      </w:r>
      <w:r>
        <w:t xml:space="preserve"> </w:t>
      </w:r>
      <w:r w:rsidRPr="006B4FC3">
        <w:rPr>
          <w:sz w:val="18"/>
          <w:szCs w:val="18"/>
        </w:rPr>
        <w:t>Disponible: http://tbinternet.ohchr.org/_layouts/treatybodyexternal/Download.aspx?symbolno=INT%2fCRPD%2fICO%2fCUB%2f30092&amp;Lang=en</w:t>
      </w:r>
    </w:p>
  </w:footnote>
  <w:footnote w:id="192">
    <w:p w14:paraId="74ED07D7" w14:textId="77777777" w:rsidR="00172411" w:rsidRDefault="00172411" w:rsidP="00097944">
      <w:pPr>
        <w:pStyle w:val="Textonotapie"/>
        <w:ind w:firstLine="0"/>
      </w:pPr>
      <w:r>
        <w:rPr>
          <w:rStyle w:val="Refdenotaalpie"/>
        </w:rPr>
        <w:footnoteRef/>
      </w:r>
      <w:r>
        <w:t xml:space="preserve"> Compiladores: MSc. Miriam Escudero García et. al. (2007) </w:t>
      </w:r>
      <w:r>
        <w:rPr>
          <w:i/>
        </w:rPr>
        <w:t xml:space="preserve">Reseña de las Normas Jurídicas Cubanas Relacionadas con las Personas con Discapacidad. </w:t>
      </w:r>
      <w:r>
        <w:t>Ministerio de Trabajo y Seguridad Social. Cuba</w:t>
      </w:r>
    </w:p>
  </w:footnote>
  <w:footnote w:id="193">
    <w:p w14:paraId="4452C5EE" w14:textId="77777777" w:rsidR="00172411" w:rsidRDefault="00172411" w:rsidP="00097944">
      <w:pPr>
        <w:pStyle w:val="Textonotapie"/>
        <w:ind w:firstLine="0"/>
        <w:rPr>
          <w:lang w:eastAsia="en-US"/>
        </w:rPr>
      </w:pPr>
      <w:r>
        <w:rPr>
          <w:rStyle w:val="Refdenotaalpie"/>
          <w:sz w:val="22"/>
          <w:szCs w:val="22"/>
        </w:rPr>
        <w:footnoteRef/>
      </w:r>
      <w:r>
        <w:t xml:space="preserve"> Código del Trabajo. Ley No. 116 de 20 de diciembre de 2013. Inciso b) del Artículo 2 </w:t>
      </w:r>
    </w:p>
  </w:footnote>
  <w:footnote w:id="194">
    <w:p w14:paraId="5D9B0018" w14:textId="69EE439C" w:rsidR="00172411" w:rsidRDefault="00172411" w:rsidP="000C154F">
      <w:pPr>
        <w:pStyle w:val="Textonotapie"/>
        <w:ind w:firstLine="0"/>
        <w:rPr>
          <w:lang w:val="es-ES"/>
        </w:rPr>
      </w:pPr>
      <w:r>
        <w:rPr>
          <w:rStyle w:val="Refdenotaalpie"/>
        </w:rPr>
        <w:footnoteRef/>
      </w:r>
      <w:r>
        <w:t xml:space="preserve"> Leidys M. Labrador et.al. Abril, 2018. </w:t>
      </w:r>
      <w:r w:rsidRPr="00F34DEE">
        <w:rPr>
          <w:i/>
        </w:rPr>
        <w:t>En los servicios al cliente, cada detalle cuenta</w:t>
      </w:r>
      <w:r>
        <w:t>. Granma. Edición Impresa. Pag. 4 (…) Parecemos miserables a ojos de quienes deben atendernos en comercios, correos, oficinas de tramites (…) La odisea personal de cada dia (…) el maltrato y la falta de la cultura de la cortesía también se ha introducido en el circuito cuentapropista (…) en el Coppelia de Pinar del Rio no tiene derecho a elegir el sabor (de helado) que desea; segundo, porque solo puede consumir dos especialidades y él quería tres…</w:t>
      </w:r>
    </w:p>
  </w:footnote>
  <w:footnote w:id="195">
    <w:p w14:paraId="042DD72F" w14:textId="24E48C76" w:rsidR="00172411" w:rsidRDefault="00172411" w:rsidP="006C3A4B">
      <w:pPr>
        <w:spacing w:after="0" w:line="240" w:lineRule="atLeast"/>
        <w:rPr>
          <w:rFonts w:ascii="Times New Roman" w:hAnsi="Times New Roman"/>
          <w:color w:val="000000"/>
          <w:sz w:val="20"/>
          <w:szCs w:val="20"/>
          <w:lang w:eastAsia="es-MX"/>
        </w:rPr>
      </w:pPr>
      <w:r>
        <w:rPr>
          <w:rFonts w:ascii="Times New Roman" w:hAnsi="Times New Roman"/>
          <w:color w:val="000000"/>
          <w:vertAlign w:val="superscript"/>
          <w:lang w:eastAsia="es-MX"/>
        </w:rPr>
        <w:footnoteRef/>
      </w:r>
      <w:r>
        <w:rPr>
          <w:rFonts w:ascii="Times New Roman" w:hAnsi="Times New Roman"/>
          <w:color w:val="000000"/>
          <w:vertAlign w:val="superscript"/>
          <w:lang w:eastAsia="es-MX"/>
        </w:rPr>
        <w:t xml:space="preserve"> </w:t>
      </w:r>
      <w:r>
        <w:rPr>
          <w:rFonts w:ascii="Times New Roman" w:hAnsi="Times New Roman"/>
          <w:color w:val="000000"/>
          <w:sz w:val="20"/>
          <w:szCs w:val="20"/>
          <w:lang w:eastAsia="es-MX"/>
        </w:rPr>
        <w:t>Hugo García. 13 febrero 2018</w:t>
      </w:r>
      <w:r>
        <w:rPr>
          <w:rFonts w:ascii="Times New Roman" w:hAnsi="Times New Roman"/>
          <w:i/>
          <w:color w:val="000000"/>
          <w:sz w:val="20"/>
          <w:szCs w:val="20"/>
          <w:lang w:eastAsia="es-MX"/>
        </w:rPr>
        <w:t>¿Viaje de «escombros»?</w:t>
      </w:r>
      <w:r>
        <w:rPr>
          <w:rFonts w:ascii="Times New Roman" w:hAnsi="Times New Roman"/>
          <w:color w:val="000000"/>
          <w:sz w:val="20"/>
          <w:szCs w:val="20"/>
          <w:lang w:eastAsia="es-MX"/>
        </w:rPr>
        <w:t xml:space="preserve"> Juventud Rebelde | Diario de la juventud cubana. Disponible:   </w:t>
      </w:r>
      <w:hyperlink r:id="rId70" w:history="1">
        <w:r w:rsidRPr="00CF2F8D">
          <w:rPr>
            <w:rStyle w:val="Hipervnculo"/>
            <w:rFonts w:ascii="Times New Roman" w:hAnsi="Times New Roman"/>
            <w:sz w:val="20"/>
            <w:szCs w:val="20"/>
          </w:rPr>
          <w:t>http://www.juventudrebelde.cu/opinion/2018-02-13/viaje-de-escombros</w:t>
        </w:r>
      </w:hyperlink>
      <w:r w:rsidRPr="00CF2F8D">
        <w:rPr>
          <w:rFonts w:ascii="Times New Roman" w:hAnsi="Times New Roman"/>
          <w:color w:val="000000"/>
          <w:sz w:val="20"/>
          <w:szCs w:val="20"/>
          <w:lang w:eastAsia="es-MX"/>
        </w:rPr>
        <w:t xml:space="preserve"> </w:t>
      </w:r>
      <w:r>
        <w:rPr>
          <w:rFonts w:ascii="Times New Roman" w:hAnsi="Times New Roman"/>
          <w:color w:val="000000"/>
          <w:sz w:val="20"/>
          <w:szCs w:val="20"/>
          <w:lang w:eastAsia="es-MX"/>
        </w:rPr>
        <w:t>(</w:t>
      </w:r>
      <w:r w:rsidRPr="00CF2F8D">
        <w:rPr>
          <w:rFonts w:ascii="Times New Roman" w:hAnsi="Times New Roman"/>
          <w:color w:val="000000"/>
          <w:sz w:val="20"/>
          <w:szCs w:val="20"/>
          <w:lang w:eastAsia="es-MX"/>
        </w:rPr>
        <w:t>…</w:t>
      </w:r>
      <w:r>
        <w:rPr>
          <w:rFonts w:ascii="Times New Roman" w:hAnsi="Times New Roman"/>
          <w:color w:val="000000"/>
          <w:sz w:val="20"/>
          <w:szCs w:val="20"/>
          <w:lang w:eastAsia="es-MX"/>
        </w:rPr>
        <w:t>) Los cubanos se hacían notar, y el trato hacia aquellos de apariencia foránea se diferenciaba lo mismo en la barra que en el restaurante bufé. Incluso, escuché a una joven criolla protestarle al cantinero ante la demora para atenderla,</w:t>
      </w:r>
      <w:r>
        <w:t xml:space="preserve"> </w:t>
      </w:r>
      <w:r>
        <w:rPr>
          <w:rFonts w:ascii="Times New Roman" w:hAnsi="Times New Roman"/>
          <w:color w:val="000000"/>
          <w:sz w:val="20"/>
          <w:szCs w:val="20"/>
          <w:lang w:eastAsia="es-MX"/>
        </w:rPr>
        <w:t>mientras él se desvivía en sonrisas y floreos con</w:t>
      </w:r>
      <w:r>
        <w:t xml:space="preserve"> </w:t>
      </w:r>
      <w:r>
        <w:rPr>
          <w:rFonts w:ascii="Times New Roman" w:hAnsi="Times New Roman"/>
          <w:color w:val="000000"/>
          <w:sz w:val="20"/>
          <w:szCs w:val="20"/>
          <w:lang w:eastAsia="es-MX"/>
        </w:rPr>
        <w:t>los extranjeros que llegaban después que ella: «se ve que yo no tengo los ojos azules», le increpó la muchacha…</w:t>
      </w:r>
    </w:p>
  </w:footnote>
  <w:footnote w:id="196">
    <w:p w14:paraId="7C530340" w14:textId="77777777" w:rsidR="00172411" w:rsidRPr="00AF0FDA" w:rsidRDefault="00172411" w:rsidP="007D4422">
      <w:pPr>
        <w:pStyle w:val="Sinespaciado"/>
        <w:spacing w:after="0" w:afterAutospacing="0"/>
        <w:ind w:left="0" w:firstLine="0"/>
        <w:rPr>
          <w:color w:val="000000"/>
          <w:lang w:val="es-DO"/>
        </w:rPr>
      </w:pPr>
      <w:r>
        <w:rPr>
          <w:rStyle w:val="Refdenotaalpie"/>
        </w:rPr>
        <w:footnoteRef/>
      </w:r>
      <w:r w:rsidRPr="00B2751A">
        <w:rPr>
          <w:rFonts w:ascii="Times New Roman" w:hAnsi="Times New Roman"/>
          <w:sz w:val="20"/>
          <w:szCs w:val="20"/>
          <w:lang w:val="es-DO"/>
        </w:rPr>
        <w:t xml:space="preserve">Yuris Nórido. 26 agosto 2014. </w:t>
      </w:r>
      <w:r w:rsidRPr="00B2751A">
        <w:rPr>
          <w:rFonts w:ascii="Times New Roman" w:hAnsi="Times New Roman"/>
          <w:i/>
          <w:color w:val="000000"/>
          <w:sz w:val="20"/>
          <w:szCs w:val="20"/>
          <w:lang w:val="es-DO"/>
        </w:rPr>
        <w:t>Cuba y los “derechos” del consumidor</w:t>
      </w:r>
      <w:r w:rsidRPr="00B2751A">
        <w:rPr>
          <w:rFonts w:ascii="Times New Roman" w:hAnsi="Times New Roman"/>
          <w:color w:val="000000"/>
          <w:sz w:val="20"/>
          <w:szCs w:val="20"/>
          <w:lang w:val="es-DO"/>
        </w:rPr>
        <w:t>.</w:t>
      </w:r>
      <w:r w:rsidRPr="00B2751A">
        <w:rPr>
          <w:rFonts w:ascii="Times New Roman" w:hAnsi="Times New Roman"/>
          <w:sz w:val="20"/>
          <w:szCs w:val="20"/>
        </w:rPr>
        <w:t xml:space="preserve"> Disponible: </w:t>
      </w:r>
      <w:hyperlink r:id="rId71" w:history="1">
        <w:r w:rsidRPr="00B2751A">
          <w:rPr>
            <w:rStyle w:val="Hipervnculo"/>
            <w:rFonts w:ascii="Times New Roman" w:hAnsi="Times New Roman"/>
            <w:sz w:val="20"/>
            <w:szCs w:val="20"/>
            <w:lang w:val="es-DO"/>
          </w:rPr>
          <w:t>http://cartasdesdecuba.com/cuba-y-los-derechos-del-consumidor/</w:t>
        </w:r>
      </w:hyperlink>
      <w:r>
        <w:rPr>
          <w:color w:val="000000"/>
          <w:lang w:val="es-DO"/>
        </w:rPr>
        <w:t xml:space="preserve">  </w:t>
      </w:r>
      <w:r w:rsidRPr="00AF0FDA">
        <w:rPr>
          <w:rFonts w:ascii="Times New Roman" w:hAnsi="Times New Roman"/>
          <w:sz w:val="20"/>
          <w:szCs w:val="20"/>
          <w:lang w:val="es-DO"/>
        </w:rPr>
        <w:t>Además de problemas con el abastecimiento, la cuestionable calidad de muchos productos y servicios, y la complicada política de precios</w:t>
      </w:r>
      <w:r>
        <w:rPr>
          <w:rFonts w:ascii="Times New Roman" w:hAnsi="Times New Roman"/>
          <w:sz w:val="20"/>
          <w:szCs w:val="20"/>
          <w:lang w:val="es-DO"/>
        </w:rPr>
        <w:t xml:space="preserve"> (</w:t>
      </w:r>
      <w:r w:rsidRPr="00AF0FDA">
        <w:rPr>
          <w:rFonts w:ascii="Times New Roman" w:hAnsi="Times New Roman"/>
          <w:sz w:val="20"/>
          <w:szCs w:val="20"/>
          <w:lang w:val="es-DO"/>
        </w:rPr>
        <w:t>…</w:t>
      </w:r>
      <w:r>
        <w:rPr>
          <w:rFonts w:ascii="Times New Roman" w:hAnsi="Times New Roman"/>
          <w:sz w:val="20"/>
          <w:szCs w:val="20"/>
          <w:lang w:val="es-DO"/>
        </w:rPr>
        <w:t>)</w:t>
      </w:r>
      <w:r w:rsidRPr="00AF0FDA">
        <w:rPr>
          <w:rFonts w:ascii="Times New Roman" w:hAnsi="Times New Roman"/>
          <w:sz w:val="20"/>
          <w:szCs w:val="20"/>
          <w:lang w:val="es-DO"/>
        </w:rPr>
        <w:t xml:space="preserve"> el </w:t>
      </w:r>
      <w:r w:rsidRPr="00AF0FDA">
        <w:rPr>
          <w:rFonts w:ascii="Times New Roman" w:hAnsi="Times New Roman"/>
          <w:bCs/>
          <w:sz w:val="20"/>
          <w:szCs w:val="20"/>
          <w:lang w:val="es-DO"/>
        </w:rPr>
        <w:t>consumidor</w:t>
      </w:r>
      <w:r w:rsidRPr="00AF0FDA">
        <w:rPr>
          <w:rFonts w:ascii="Times New Roman" w:hAnsi="Times New Roman"/>
          <w:sz w:val="20"/>
          <w:szCs w:val="20"/>
          <w:lang w:val="es-DO"/>
        </w:rPr>
        <w:t> cubano sufre la escasa protección de sus derechos.</w:t>
      </w:r>
    </w:p>
  </w:footnote>
  <w:footnote w:id="197">
    <w:p w14:paraId="19C22FCD" w14:textId="124DEBF9" w:rsidR="00172411" w:rsidRPr="007D4422" w:rsidRDefault="00172411" w:rsidP="007D4422">
      <w:pPr>
        <w:pStyle w:val="Textonotapie"/>
        <w:ind w:firstLine="0"/>
        <w:rPr>
          <w:lang w:val="es-ES"/>
        </w:rPr>
      </w:pPr>
      <w:r>
        <w:rPr>
          <w:rStyle w:val="Refdenotaalpie"/>
        </w:rPr>
        <w:footnoteRef/>
      </w:r>
      <w:r>
        <w:t xml:space="preserve"> Consúltese la sección Cartas a la Direccion del periódico Granma, con preferencia años 2013 al 2016, Escambray y otros periódicos provinciales disponibles en el dominio .cu.</w:t>
      </w:r>
    </w:p>
  </w:footnote>
  <w:footnote w:id="198">
    <w:p w14:paraId="55F1AD1E" w14:textId="77777777" w:rsidR="00172411" w:rsidRDefault="00172411" w:rsidP="00AF0FDA">
      <w:pPr>
        <w:pStyle w:val="Textonotapie"/>
        <w:ind w:firstLine="0"/>
        <w:rPr>
          <w:lang w:val="es-ES"/>
        </w:rPr>
      </w:pPr>
      <w:r>
        <w:rPr>
          <w:rStyle w:val="Refdenotaalpie"/>
        </w:rPr>
        <w:footnoteRef/>
      </w:r>
      <w:r>
        <w:t xml:space="preserve"> </w:t>
      </w:r>
      <w:r>
        <w:rPr>
          <w:rFonts w:cs="Arial"/>
          <w:bCs/>
        </w:rPr>
        <w:t xml:space="preserve">Yaditza del Sol Gonzalez. Abril 5, 2018. </w:t>
      </w:r>
      <w:r>
        <w:rPr>
          <w:rFonts w:cs="Arial"/>
          <w:bCs/>
          <w:i/>
        </w:rPr>
        <w:t>¿Cómo se protege al consumidor en Cuba?</w:t>
      </w:r>
      <w:r>
        <w:rPr>
          <w:rFonts w:cs="Arial"/>
          <w:bCs/>
        </w:rPr>
        <w:t xml:space="preserve"> Granma. Pag.3. Edición Impresa</w:t>
      </w:r>
    </w:p>
  </w:footnote>
  <w:footnote w:id="199">
    <w:p w14:paraId="520D8357" w14:textId="77777777" w:rsidR="00172411" w:rsidRDefault="00172411" w:rsidP="000C154F">
      <w:pPr>
        <w:pStyle w:val="Textonotapie"/>
        <w:ind w:firstLine="0"/>
        <w:rPr>
          <w:lang w:val="es-ES"/>
        </w:rPr>
      </w:pPr>
      <w:r>
        <w:rPr>
          <w:rStyle w:val="Refdenotaalpie"/>
        </w:rPr>
        <w:footnoteRef/>
      </w:r>
      <w:r>
        <w:rPr>
          <w:lang w:val="es-ES"/>
        </w:rPr>
        <w:t xml:space="preserve"> Agencia EFE, Madrid | 01/03/2018. </w:t>
      </w:r>
      <w:r w:rsidRPr="00F34DEE">
        <w:rPr>
          <w:i/>
          <w:lang w:val="es-ES"/>
        </w:rPr>
        <w:t>Estudio: cuando hablan, los cubanos son menos valorados que los españoles en Miami.</w:t>
      </w:r>
      <w:r>
        <w:rPr>
          <w:lang w:val="es-ES"/>
        </w:rPr>
        <w:t xml:space="preserve"> </w:t>
      </w:r>
      <w:r>
        <w:rPr>
          <w:color w:val="000000"/>
          <w:lang w:eastAsia="es-MX"/>
        </w:rPr>
        <w:t>Disponible:</w:t>
      </w:r>
      <w:r>
        <w:t xml:space="preserve"> </w:t>
      </w:r>
      <w:r>
        <w:rPr>
          <w:color w:val="000000"/>
          <w:lang w:eastAsia="es-MX"/>
        </w:rPr>
        <w:t>http://www.cubaencuentro.com/cuba/noticias/estudio-cuando-hablan-los-cubanos-son-menosvalorados-que-los-espanoles-en-miami-332177</w:t>
      </w:r>
    </w:p>
  </w:footnote>
  <w:footnote w:id="200">
    <w:p w14:paraId="6B7481C9" w14:textId="77777777" w:rsidR="00172411" w:rsidRDefault="00172411" w:rsidP="000C154F">
      <w:pPr>
        <w:pStyle w:val="Textonotapie"/>
        <w:ind w:firstLine="0"/>
        <w:rPr>
          <w:sz w:val="22"/>
          <w:szCs w:val="22"/>
        </w:rPr>
      </w:pPr>
      <w:r>
        <w:rPr>
          <w:rStyle w:val="Refdenotaalpie"/>
          <w:sz w:val="22"/>
          <w:szCs w:val="22"/>
        </w:rPr>
        <w:footnoteRef/>
      </w:r>
      <w:r>
        <w:rPr>
          <w:sz w:val="22"/>
          <w:szCs w:val="22"/>
        </w:rPr>
        <w:t xml:space="preserve"> </w:t>
      </w:r>
      <w:r>
        <w:t>Agencia AFP.| 31/03/2008</w:t>
      </w:r>
      <w:r>
        <w:rPr>
          <w:sz w:val="22"/>
          <w:szCs w:val="22"/>
        </w:rPr>
        <w:t xml:space="preserve">. </w:t>
      </w:r>
      <w:r w:rsidRPr="00F34DEE">
        <w:rPr>
          <w:i/>
        </w:rPr>
        <w:t>Los cubanos pueden volver a hospedarse en hoteles, pero en divisas</w:t>
      </w:r>
      <w:r>
        <w:rPr>
          <w:sz w:val="22"/>
          <w:szCs w:val="22"/>
        </w:rPr>
        <w:t>. Disponible: http://www.cubaencuentro.com/cuba</w:t>
      </w:r>
      <w:r>
        <w:rPr>
          <w:color w:val="000000"/>
          <w:lang w:eastAsia="es-MX"/>
        </w:rPr>
        <w:t>/noticias/los-cubanos-pueden-volver-a-hospedarse-enhoteles-pero-en-divisas-76463</w:t>
      </w:r>
    </w:p>
    <w:p w14:paraId="6FA3EC69" w14:textId="77777777" w:rsidR="00172411" w:rsidRDefault="00172411" w:rsidP="000C154F">
      <w:pPr>
        <w:pStyle w:val="Textonotapie"/>
        <w:spacing w:line="240" w:lineRule="atLeast"/>
        <w:ind w:firstLine="0"/>
        <w:rPr>
          <w:sz w:val="22"/>
          <w:szCs w:val="22"/>
        </w:rPr>
      </w:pPr>
      <w:r>
        <w:rPr>
          <w:color w:val="000000"/>
          <w:lang w:eastAsia="es-MX"/>
        </w:rPr>
        <w:t>Deberán pagar las mismas</w:t>
      </w:r>
      <w:r>
        <w:rPr>
          <w:sz w:val="22"/>
          <w:szCs w:val="22"/>
        </w:rPr>
        <w:t xml:space="preserve"> tarifas que los extranjeros. El gobierno autorizó también el alquiler de autos.</w:t>
      </w:r>
    </w:p>
  </w:footnote>
  <w:footnote w:id="201">
    <w:p w14:paraId="7EB163AA" w14:textId="4256C702" w:rsidR="00172411" w:rsidRDefault="00172411" w:rsidP="000C154F">
      <w:pPr>
        <w:pStyle w:val="Textonotapie"/>
        <w:ind w:firstLine="0"/>
        <w:rPr>
          <w:lang w:val="es-ES"/>
        </w:rPr>
      </w:pPr>
      <w:r>
        <w:rPr>
          <w:rStyle w:val="Refdenotaalpie"/>
        </w:rPr>
        <w:footnoteRef/>
      </w:r>
      <w:r>
        <w:t xml:space="preserve"> Consejo de Estado. Decreto – Ley No. 140. Gaceta Oficial No. 4 Extraordinaria de 13 de agosto de 1993.  </w:t>
      </w:r>
      <w:r>
        <w:rPr>
          <w:lang w:val="es-ES"/>
        </w:rPr>
        <w:t>POR CUANTO En las condiciones del periodo especial y por las dificultades económicas que atraviesa el país; hacen necesarias regulaciones y medidas nuevas en relación con la tenencia dc divisas convertibles (…) Es aconsejable a estos fines despenalizar la posesión de las mismas, lo que por otro lado. contribuye positivamente a disminuir el número de hechos caracterizados como punibles. lo cual aliviará y favorecerá el trabajo de la policía y los tribunales de justicia (…</w:t>
      </w:r>
      <w:r>
        <w:t xml:space="preserve">) </w:t>
      </w:r>
      <w:r>
        <w:rPr>
          <w:lang w:val="es-ES"/>
        </w:rPr>
        <w:t>Articulo 1.-Se. deroga el inciso, a) del Apartado 2 del Artículo 235 del Código Penal vigente, que dice "Mantengan en su poder monedas extranjeras o efectos denominados en moneda extranjera con infracción de las disposiciones legales".</w:t>
      </w:r>
    </w:p>
    <w:p w14:paraId="764963C5" w14:textId="77777777" w:rsidR="00172411" w:rsidRDefault="00172411" w:rsidP="000C154F">
      <w:pPr>
        <w:pStyle w:val="Textonotapie"/>
        <w:ind w:firstLine="0"/>
        <w:rPr>
          <w:lang w:val="es-ES"/>
        </w:rPr>
      </w:pPr>
      <w:r>
        <w:rPr>
          <w:lang w:val="es-ES"/>
        </w:rPr>
        <w:t>Artículo 2.Se deroga el inciso c) del Apartado 2 del Artículo 235 del Código Penal vigente. que dice: "Adquiera en Cuba, en establecimiento comercial por sí o por medición de otra persona. sin estar legalmente autorizado, mercancías que sólo se venden, en moneda extranjera"…</w:t>
      </w:r>
    </w:p>
  </w:footnote>
  <w:footnote w:id="202">
    <w:p w14:paraId="3307EF36" w14:textId="77777777" w:rsidR="00172411" w:rsidRPr="00E32F0C" w:rsidRDefault="00172411" w:rsidP="000C154F">
      <w:pPr>
        <w:pStyle w:val="Textonotapie"/>
        <w:spacing w:line="240" w:lineRule="atLeast"/>
        <w:ind w:firstLine="0"/>
      </w:pPr>
      <w:r>
        <w:rPr>
          <w:rStyle w:val="Refdenotaalpie"/>
        </w:rPr>
        <w:footnoteRef/>
      </w:r>
      <w:r>
        <w:t xml:space="preserve"> </w:t>
      </w:r>
      <w:r w:rsidRPr="00E32F0C">
        <w:t>Navegar embarcaciones turísticas con algún tipo de motor</w:t>
      </w:r>
      <w:r>
        <w:t>:</w:t>
      </w:r>
      <w:r w:rsidRPr="00E32F0C">
        <w:t xml:space="preserve"> El Departamento Nacional de Capitanía establece que "ningún cubano está autorizado a navegar en Cuba”. Tampoco se les pueden ofertar paquetes turísticos con acceso a yates u otro tipo de embarcaciones con las cuales puedan escapar del país. La única excepción son aquellos que estén casados con ciudadanos de otros países, los cuales deben solicitar un permiso previo al Ministerio del Interior. Véase </w:t>
      </w:r>
      <w:r>
        <w:t>Consejo de Estado. DECRETO-LEY No. 302 (2012) modificativo de la LEY No. 1312, “LEY DE MIGRACIÓN” de 20 de septiembre de 1976. Gaceta Oficial Ordinaria. No.44. Cuba.</w:t>
      </w:r>
    </w:p>
  </w:footnote>
  <w:footnote w:id="203">
    <w:p w14:paraId="5270C68E" w14:textId="77777777" w:rsidR="00172411" w:rsidRDefault="00172411" w:rsidP="000C154F">
      <w:pPr>
        <w:pStyle w:val="Textonotapie"/>
        <w:ind w:firstLine="0"/>
        <w:rPr>
          <w:lang w:val="es-ES"/>
        </w:rPr>
      </w:pPr>
      <w:r>
        <w:rPr>
          <w:rStyle w:val="Refdenotaalpie"/>
        </w:rPr>
        <w:footnoteRef/>
      </w:r>
      <w:r>
        <w:t xml:space="preserve">  Luis David Pardo, Santiago de Cuba | 06/05/2008.  </w:t>
      </w:r>
      <w:r w:rsidRPr="00F34DEE">
        <w:rPr>
          <w:i/>
        </w:rPr>
        <w:t>El otro apartheid</w:t>
      </w:r>
      <w:r>
        <w:t>. Cubaencuentro.com.</w:t>
      </w:r>
      <w:r>
        <w:rPr>
          <w:color w:val="000000"/>
          <w:lang w:eastAsia="es-MX"/>
        </w:rPr>
        <w:t xml:space="preserve"> Disponible:</w:t>
      </w:r>
      <w:r>
        <w:t xml:space="preserve"> http://www.cubaencuentro.com/cuba/articulos/el-otro-apartheid-82038… Entre los servicios más simples están reservar excursiones marinas, excursiones aéreas, etc.</w:t>
      </w:r>
    </w:p>
  </w:footnote>
  <w:footnote w:id="204">
    <w:p w14:paraId="6A108471" w14:textId="637178B5" w:rsidR="00172411" w:rsidRPr="00637B52" w:rsidRDefault="00172411" w:rsidP="00637B52">
      <w:pPr>
        <w:pStyle w:val="Textonotapie"/>
        <w:ind w:firstLine="0"/>
        <w:rPr>
          <w:lang w:val="es-ES"/>
        </w:rPr>
      </w:pPr>
      <w:r>
        <w:rPr>
          <w:rStyle w:val="Refdenotaalpie"/>
        </w:rPr>
        <w:footnoteRef/>
      </w:r>
      <w:r>
        <w:t xml:space="preserve"> Asamblea Nacional Del Poder Popular (30 de junio de1979) Ley No. 16 de 28 junio 1978 “Código de la Niñez y la Juventud” Gaceta Oficial No. 19. Ordinaria 233 de 28 de junio de 1978. Cuba.</w:t>
      </w:r>
    </w:p>
  </w:footnote>
  <w:footnote w:id="205">
    <w:p w14:paraId="4B59F041" w14:textId="5F528F1C" w:rsidR="00172411" w:rsidRPr="004A4D2A" w:rsidRDefault="00172411" w:rsidP="006C3A4B">
      <w:pPr>
        <w:spacing w:after="0" w:line="240" w:lineRule="atLeast"/>
        <w:rPr>
          <w:rFonts w:ascii="Times New Roman" w:hAnsi="Times New Roman"/>
          <w:sz w:val="20"/>
          <w:szCs w:val="20"/>
        </w:rPr>
      </w:pPr>
      <w:r>
        <w:rPr>
          <w:rStyle w:val="Refdenotaalpie"/>
        </w:rPr>
        <w:footnoteRef/>
      </w:r>
      <w:r>
        <w:t xml:space="preserve"> </w:t>
      </w:r>
      <w:r w:rsidRPr="004A4D2A">
        <w:rPr>
          <w:rFonts w:ascii="Times New Roman" w:hAnsi="Times New Roman"/>
          <w:sz w:val="20"/>
          <w:szCs w:val="20"/>
        </w:rPr>
        <w:t xml:space="preserve">Asamblea Nacional Del Poder Popular, </w:t>
      </w:r>
      <w:r w:rsidRPr="00574D47">
        <w:rPr>
          <w:rFonts w:ascii="Times New Roman" w:hAnsi="Times New Roman"/>
          <w:i/>
          <w:sz w:val="20"/>
          <w:szCs w:val="20"/>
        </w:rPr>
        <w:t>Ley No. 118/2014 Ley de la Inversión Extranjera</w:t>
      </w:r>
      <w:r>
        <w:rPr>
          <w:rFonts w:ascii="Times New Roman" w:hAnsi="Times New Roman"/>
          <w:sz w:val="20"/>
          <w:szCs w:val="20"/>
        </w:rPr>
        <w:t>.</w:t>
      </w:r>
      <w:r w:rsidRPr="004A4D2A">
        <w:rPr>
          <w:rFonts w:ascii="Times New Roman" w:hAnsi="Times New Roman"/>
          <w:sz w:val="20"/>
          <w:szCs w:val="20"/>
        </w:rPr>
        <w:t xml:space="preserve"> Gaceta Oficial No. 20 Extraordinaria de 16 de abril de 2014. Cuba. También otras normativas relacionadas con la ley: Consejo De Ministros, Decreto No. 325/2014</w:t>
      </w:r>
      <w:r>
        <w:rPr>
          <w:rFonts w:ascii="Times New Roman" w:hAnsi="Times New Roman"/>
          <w:sz w:val="20"/>
          <w:szCs w:val="20"/>
        </w:rPr>
        <w:t xml:space="preserve"> </w:t>
      </w:r>
      <w:r w:rsidRPr="00CF2F8D">
        <w:rPr>
          <w:rFonts w:ascii="Times New Roman" w:hAnsi="Times New Roman"/>
          <w:sz w:val="20"/>
          <w:szCs w:val="20"/>
        </w:rPr>
        <w:t xml:space="preserve">Reglamento Ley </w:t>
      </w:r>
      <w:r>
        <w:rPr>
          <w:rFonts w:ascii="Times New Roman" w:hAnsi="Times New Roman"/>
          <w:sz w:val="20"/>
          <w:szCs w:val="20"/>
        </w:rPr>
        <w:t>d</w:t>
      </w:r>
      <w:r w:rsidRPr="00CF2F8D">
        <w:rPr>
          <w:rFonts w:ascii="Times New Roman" w:hAnsi="Times New Roman"/>
          <w:sz w:val="20"/>
          <w:szCs w:val="20"/>
        </w:rPr>
        <w:t xml:space="preserve">e </w:t>
      </w:r>
      <w:r>
        <w:rPr>
          <w:rFonts w:ascii="Times New Roman" w:hAnsi="Times New Roman"/>
          <w:sz w:val="20"/>
          <w:szCs w:val="20"/>
        </w:rPr>
        <w:t>l</w:t>
      </w:r>
      <w:r w:rsidRPr="00CF2F8D">
        <w:rPr>
          <w:rFonts w:ascii="Times New Roman" w:hAnsi="Times New Roman"/>
          <w:sz w:val="20"/>
          <w:szCs w:val="20"/>
        </w:rPr>
        <w:t>a Inversión Extranjera;</w:t>
      </w:r>
      <w:r w:rsidRPr="004A4D2A">
        <w:rPr>
          <w:rFonts w:ascii="Times New Roman" w:hAnsi="Times New Roman"/>
          <w:sz w:val="20"/>
          <w:szCs w:val="20"/>
        </w:rPr>
        <w:t xml:space="preserve"> Banco Central de Cuba, Resolución No. 46/2014, Resolución No. 47/2014.  MINISTERIOS: Ministerio del Comercio Exterior y la Inversión Extranjera, Resolución No. 128/2014, Resolución No.</w:t>
      </w:r>
      <w:r>
        <w:rPr>
          <w:rFonts w:ascii="Times New Roman" w:hAnsi="Times New Roman"/>
          <w:sz w:val="20"/>
          <w:szCs w:val="20"/>
        </w:rPr>
        <w:t>12</w:t>
      </w:r>
      <w:r w:rsidRPr="004A4D2A">
        <w:rPr>
          <w:rFonts w:ascii="Times New Roman" w:hAnsi="Times New Roman"/>
          <w:sz w:val="20"/>
          <w:szCs w:val="20"/>
        </w:rPr>
        <w:t>2014. Ministerio de Trabajo y Seguridad Social, Resolución No. 16/2014. Disponible:</w:t>
      </w:r>
      <w:r>
        <w:rPr>
          <w:rStyle w:val="Ttulo3Car"/>
          <w:lang w:val="es-ES"/>
        </w:rPr>
        <w:t xml:space="preserve"> </w:t>
      </w:r>
      <w:r w:rsidRPr="004A4D2A">
        <w:rPr>
          <w:rFonts w:ascii="Times New Roman" w:hAnsi="Times New Roman"/>
          <w:i/>
          <w:iCs/>
          <w:sz w:val="20"/>
          <w:szCs w:val="20"/>
        </w:rPr>
        <w:t>https://oncubamagazine.com/.../GO_X_20_2014_gaceta-ley-de-in...</w:t>
      </w:r>
    </w:p>
  </w:footnote>
  <w:footnote w:id="206">
    <w:p w14:paraId="2E3DBCCB" w14:textId="7D49170F" w:rsidR="00172411" w:rsidRPr="002F51EE" w:rsidRDefault="00172411" w:rsidP="006C3A4B">
      <w:pPr>
        <w:spacing w:after="0" w:line="240" w:lineRule="atLeast"/>
        <w:rPr>
          <w:rFonts w:ascii="Times New Roman" w:hAnsi="Times New Roman"/>
          <w:sz w:val="20"/>
          <w:szCs w:val="20"/>
        </w:rPr>
      </w:pPr>
      <w:r>
        <w:rPr>
          <w:rStyle w:val="Refdenotaalpie"/>
        </w:rPr>
        <w:footnoteRef/>
      </w:r>
      <w:r w:rsidRPr="00BB3A02">
        <w:t xml:space="preserve"> </w:t>
      </w:r>
      <w:r w:rsidRPr="00BB3A02">
        <w:rPr>
          <w:rFonts w:ascii="Times New Roman" w:hAnsi="Times New Roman"/>
          <w:sz w:val="20"/>
          <w:szCs w:val="20"/>
        </w:rPr>
        <w:t xml:space="preserve">Martinoticias.com. julio 31, 2014. </w:t>
      </w:r>
      <w:r w:rsidRPr="004C5DD0">
        <w:rPr>
          <w:rFonts w:ascii="Times New Roman" w:hAnsi="Times New Roman"/>
          <w:i/>
          <w:sz w:val="20"/>
          <w:szCs w:val="20"/>
        </w:rPr>
        <w:t xml:space="preserve">Cuba: mecanismos ausentes en la ley de inversión extranjera. </w:t>
      </w:r>
      <w:r w:rsidRPr="00574D47">
        <w:rPr>
          <w:rFonts w:ascii="Times New Roman" w:hAnsi="Times New Roman"/>
          <w:sz w:val="20"/>
          <w:szCs w:val="20"/>
        </w:rPr>
        <w:t xml:space="preserve">Disponible en:  </w:t>
      </w:r>
      <w:hyperlink r:id="rId72" w:history="1">
        <w:r w:rsidRPr="00D805E5">
          <w:rPr>
            <w:rFonts w:ascii="Times New Roman" w:hAnsi="Times New Roman"/>
            <w:sz w:val="20"/>
            <w:szCs w:val="20"/>
          </w:rPr>
          <w:t>http://www.martinoticias.com/content/cuba-ley-inversiones-extranjeras-mecanismos-/39175.html</w:t>
        </w:r>
      </w:hyperlink>
      <w:r w:rsidRPr="00D805E5">
        <w:rPr>
          <w:rFonts w:ascii="Times New Roman" w:hAnsi="Times New Roman"/>
          <w:sz w:val="20"/>
          <w:szCs w:val="20"/>
        </w:rPr>
        <w:t xml:space="preserve">  </w:t>
      </w:r>
      <w:r w:rsidRPr="002F51EE">
        <w:rPr>
          <w:rFonts w:ascii="Times New Roman" w:hAnsi="Times New Roman"/>
          <w:sz w:val="20"/>
          <w:szCs w:val="20"/>
        </w:rPr>
        <w:t>(…)En la conferencia que desarrolla la Asociación para el Estudio de la Economía Cubana (ASCE) la doctora María Elena Cobas Cobiella, de la Universidad de Valencia, participa con la ponencia “La evolución del derecho civil cubano y la ley de inversión extranjera en Cuba; Un camino por recorrer”…</w:t>
      </w:r>
    </w:p>
  </w:footnote>
  <w:footnote w:id="207">
    <w:p w14:paraId="745F3E2C" w14:textId="77777777" w:rsidR="00172411" w:rsidRPr="00637B52" w:rsidRDefault="00172411" w:rsidP="006C3A4B">
      <w:pPr>
        <w:spacing w:after="0" w:line="240" w:lineRule="atLeast"/>
        <w:rPr>
          <w:rFonts w:ascii="Times New Roman" w:hAnsi="Times New Roman"/>
          <w:sz w:val="20"/>
          <w:szCs w:val="20"/>
          <w:lang w:val="en-US"/>
        </w:rPr>
      </w:pPr>
      <w:r>
        <w:rPr>
          <w:rStyle w:val="Refdenotaalpie"/>
        </w:rPr>
        <w:footnoteRef/>
      </w:r>
      <w:r w:rsidRPr="00637B52">
        <w:rPr>
          <w:rFonts w:ascii="Times New Roman" w:hAnsi="Times New Roman"/>
          <w:sz w:val="20"/>
          <w:szCs w:val="20"/>
          <w:lang w:val="en-US"/>
        </w:rPr>
        <w:t xml:space="preserve">The Economist. Apr 1st 2017 | Havana. </w:t>
      </w:r>
      <w:r w:rsidRPr="00637B52">
        <w:rPr>
          <w:rFonts w:ascii="Times New Roman" w:hAnsi="Times New Roman"/>
          <w:i/>
          <w:sz w:val="20"/>
          <w:szCs w:val="20"/>
          <w:lang w:val="en-US"/>
        </w:rPr>
        <w:t>What the tourist industry reveals about Cuba</w:t>
      </w:r>
      <w:r w:rsidRPr="00637B52">
        <w:rPr>
          <w:rFonts w:ascii="Times New Roman" w:hAnsi="Times New Roman"/>
          <w:sz w:val="20"/>
          <w:szCs w:val="20"/>
          <w:lang w:val="en-US"/>
        </w:rPr>
        <w:t xml:space="preserve">. Available: </w:t>
      </w:r>
      <w:hyperlink r:id="rId73" w:history="1">
        <w:r w:rsidRPr="00FE1681">
          <w:rPr>
            <w:rStyle w:val="Hipervnculo"/>
            <w:rFonts w:ascii="Times New Roman" w:hAnsi="Times New Roman"/>
            <w:sz w:val="20"/>
            <w:szCs w:val="20"/>
            <w:lang w:val="en-US"/>
          </w:rPr>
          <w:t>https://www.economist.com/news/americas/21719812-revolutionary-economy-neither-efficient-norfun-what-tourist-industry-reveals-about</w:t>
        </w:r>
      </w:hyperlink>
      <w:r>
        <w:rPr>
          <w:rFonts w:ascii="Times New Roman" w:hAnsi="Times New Roman"/>
          <w:sz w:val="20"/>
          <w:szCs w:val="20"/>
          <w:lang w:val="en-US"/>
        </w:rPr>
        <w:t xml:space="preserve"> (...) two embargoes: the one </w:t>
      </w:r>
      <w:r w:rsidRPr="00637B52">
        <w:rPr>
          <w:rFonts w:ascii="Times New Roman" w:hAnsi="Times New Roman"/>
          <w:sz w:val="20"/>
          <w:szCs w:val="20"/>
          <w:lang w:val="en-US"/>
        </w:rPr>
        <w:t>the United States imposes on Cuba and the one the Castro regime (now under</w:t>
      </w:r>
      <w:r>
        <w:rPr>
          <w:rFonts w:ascii="Times New Roman" w:hAnsi="Times New Roman"/>
          <w:sz w:val="20"/>
          <w:szCs w:val="20"/>
          <w:lang w:val="en-US"/>
        </w:rPr>
        <w:t xml:space="preserve"> </w:t>
      </w:r>
      <w:r w:rsidRPr="00637B52">
        <w:rPr>
          <w:rFonts w:ascii="Times New Roman" w:hAnsi="Times New Roman"/>
          <w:sz w:val="20"/>
          <w:szCs w:val="20"/>
          <w:lang w:val="en-US"/>
        </w:rPr>
        <w:t>Fidel’s brother, Raúl) imposes on its own people.</w:t>
      </w:r>
    </w:p>
  </w:footnote>
  <w:footnote w:id="208">
    <w:p w14:paraId="3B3D0468" w14:textId="766DF9B5" w:rsidR="00172411" w:rsidRPr="00DB527F" w:rsidRDefault="00172411" w:rsidP="000A24B8">
      <w:pPr>
        <w:spacing w:after="0"/>
        <w:rPr>
          <w:rFonts w:ascii="Times New Roman" w:eastAsia="Times New Roman" w:hAnsi="Times New Roman"/>
          <w:sz w:val="20"/>
          <w:szCs w:val="20"/>
          <w:lang w:val="es-MX"/>
        </w:rPr>
      </w:pPr>
      <w:r>
        <w:rPr>
          <w:rStyle w:val="Refdenotaalpie"/>
        </w:rPr>
        <w:footnoteRef/>
      </w:r>
      <w:r>
        <w:t xml:space="preserve"> </w:t>
      </w:r>
      <w:r w:rsidRPr="00F91BEA">
        <w:rPr>
          <w:rFonts w:ascii="Times New Roman" w:eastAsia="Times New Roman" w:hAnsi="Times New Roman"/>
          <w:sz w:val="20"/>
          <w:szCs w:val="20"/>
          <w:lang w:val="es-MX"/>
        </w:rPr>
        <w:t xml:space="preserve">Rodolfo </w:t>
      </w:r>
      <w:r>
        <w:rPr>
          <w:rFonts w:ascii="Times New Roman" w:eastAsia="Times New Roman" w:hAnsi="Times New Roman"/>
          <w:sz w:val="20"/>
          <w:szCs w:val="20"/>
          <w:lang w:val="es-MX"/>
        </w:rPr>
        <w:t>Hernández Fernández</w:t>
      </w:r>
      <w:r w:rsidRPr="00F91BEA">
        <w:rPr>
          <w:rFonts w:ascii="Times New Roman" w:eastAsia="Times New Roman" w:hAnsi="Times New Roman"/>
          <w:sz w:val="20"/>
          <w:szCs w:val="20"/>
          <w:lang w:val="es-MX"/>
        </w:rPr>
        <w:t>.</w:t>
      </w:r>
      <w:r>
        <w:rPr>
          <w:rFonts w:ascii="Times New Roman" w:eastAsia="Times New Roman" w:hAnsi="Times New Roman"/>
          <w:sz w:val="20"/>
          <w:szCs w:val="20"/>
          <w:lang w:val="es-MX"/>
        </w:rPr>
        <w:t xml:space="preserve"> </w:t>
      </w:r>
      <w:r w:rsidRPr="00F91BEA">
        <w:rPr>
          <w:rFonts w:ascii="Times New Roman" w:eastAsia="Times New Roman" w:hAnsi="Times New Roman"/>
          <w:sz w:val="20"/>
          <w:szCs w:val="20"/>
          <w:lang w:val="es-MX"/>
        </w:rPr>
        <w:t xml:space="preserve">La Habana 2015. </w:t>
      </w:r>
      <w:r w:rsidRPr="00F91BEA">
        <w:rPr>
          <w:rFonts w:ascii="Times New Roman" w:eastAsia="Times New Roman" w:hAnsi="Times New Roman"/>
          <w:i/>
          <w:sz w:val="20"/>
          <w:szCs w:val="20"/>
          <w:lang w:val="es-MX"/>
        </w:rPr>
        <w:t>LEY No. 118/2014, Ley de la Inversión Extranjera</w:t>
      </w:r>
      <w:r w:rsidRPr="00F91BEA">
        <w:rPr>
          <w:rFonts w:ascii="Times New Roman" w:eastAsia="Times New Roman" w:hAnsi="Times New Roman"/>
          <w:sz w:val="20"/>
          <w:szCs w:val="20"/>
          <w:lang w:val="es-MX"/>
        </w:rPr>
        <w:t>. Ediciones ONBC.</w:t>
      </w:r>
      <w:r>
        <w:rPr>
          <w:rFonts w:ascii="Times New Roman" w:eastAsia="Times New Roman" w:hAnsi="Times New Roman"/>
          <w:sz w:val="20"/>
          <w:szCs w:val="20"/>
          <w:lang w:val="es-MX"/>
        </w:rPr>
        <w:t xml:space="preserve"> </w:t>
      </w:r>
      <w:r w:rsidRPr="00F91BEA">
        <w:rPr>
          <w:rFonts w:ascii="Times New Roman" w:eastAsia="Times New Roman" w:hAnsi="Times New Roman"/>
          <w:sz w:val="20"/>
          <w:szCs w:val="20"/>
          <w:lang w:val="es-MX"/>
        </w:rPr>
        <w:t xml:space="preserve">Colección Textos Legales. </w:t>
      </w:r>
      <w:r w:rsidRPr="00DB527F">
        <w:rPr>
          <w:rFonts w:ascii="Times New Roman" w:eastAsia="Times New Roman" w:hAnsi="Times New Roman"/>
          <w:sz w:val="20"/>
          <w:szCs w:val="20"/>
          <w:lang w:val="es-MX"/>
        </w:rPr>
        <w:t>Disponible:</w:t>
      </w:r>
    </w:p>
    <w:p w14:paraId="0FC2B837" w14:textId="3A39AFAE" w:rsidR="00172411" w:rsidRPr="00DB527F" w:rsidRDefault="00172411" w:rsidP="000A24B8">
      <w:pPr>
        <w:spacing w:after="0"/>
        <w:rPr>
          <w:rFonts w:ascii="Times New Roman" w:eastAsia="Times New Roman" w:hAnsi="Times New Roman"/>
          <w:sz w:val="18"/>
          <w:szCs w:val="18"/>
          <w:lang w:val="es-MX"/>
        </w:rPr>
      </w:pPr>
      <w:hyperlink r:id="rId74" w:history="1">
        <w:r w:rsidRPr="00F91BEA">
          <w:rPr>
            <w:rFonts w:ascii="Times New Roman" w:eastAsia="Times New Roman" w:hAnsi="Times New Roman"/>
            <w:sz w:val="18"/>
            <w:szCs w:val="18"/>
            <w:lang w:val="es-MX"/>
          </w:rPr>
          <w:t>http://www.onbc.cu/uploads/media/page/0001/01/eef3049ed87cb52a254b39719250268c55739dac.pdf</w:t>
        </w:r>
      </w:hyperlink>
    </w:p>
  </w:footnote>
  <w:footnote w:id="209">
    <w:p w14:paraId="3D67C2AD" w14:textId="77777777" w:rsidR="00172411" w:rsidRDefault="00172411" w:rsidP="000A24B8">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Milena Recio Silva.2014. </w:t>
      </w:r>
      <w:r w:rsidRPr="00F34DEE">
        <w:rPr>
          <w:rFonts w:ascii="Times New Roman" w:hAnsi="Times New Roman"/>
          <w:i/>
          <w:sz w:val="20"/>
          <w:szCs w:val="20"/>
        </w:rPr>
        <w:t>La hora de los desconectados. Evaluación del diseño de la política de “acceso social” a Internet en Cuba en un contexto de cambios.</w:t>
      </w:r>
      <w:r>
        <w:rPr>
          <w:rFonts w:ascii="Times New Roman" w:hAnsi="Times New Roman"/>
          <w:sz w:val="20"/>
          <w:szCs w:val="20"/>
        </w:rPr>
        <w:t xml:space="preserve"> Crítica y Emancipación. Revista latinoamericana de ciencias sociales. Año VI Nº 11 / Publicación semestral / Primer semestre de 2014. Pág. 309</w:t>
      </w:r>
    </w:p>
  </w:footnote>
  <w:footnote w:id="210">
    <w:p w14:paraId="50A43F90" w14:textId="09EA1C01" w:rsidR="00172411" w:rsidRDefault="00172411" w:rsidP="000C154F">
      <w:pPr>
        <w:pStyle w:val="Textonotapie"/>
        <w:spacing w:line="240" w:lineRule="atLeast"/>
        <w:ind w:firstLine="0"/>
        <w:rPr>
          <w:lang w:val="es-MX"/>
        </w:rPr>
      </w:pPr>
      <w:r>
        <w:rPr>
          <w:rStyle w:val="Refdenotaalpie"/>
          <w:rFonts w:ascii="Calibri" w:hAnsi="Calibri" w:cs="Calibri"/>
          <w:sz w:val="22"/>
          <w:szCs w:val="22"/>
        </w:rPr>
        <w:footnoteRef/>
      </w:r>
      <w:r>
        <w:rPr>
          <w:lang w:val="es-MX"/>
        </w:rPr>
        <w:t>El 5 septiembre del 2002 en carta firmada por Magaly Mora Arango, funcionaria del Consejo de Luyano, La Habana y dirigida al Sr. Miguel Victor  Garcia Valdes, Campeón Panamericano 1972 de Gimnastica en Cali Colombia, le fue negado el derecho a  adquirir un teléfono fijo en su hogar , según criterios de vecinos (…) por su "aval muy escueto de su trayectoria laboral y nula participación en el Comité de Defensa de la Revolución". La miembro de la Comisión que otorgaba los 25 teléfonos expresa textualmente "La distribución de teléfonos (…) la hace ETECSA". Posteriormente la hija del Sr. Garcia Valdes, médico en ejercicio también solicito un teléfono fijo en el 2016 y mientras era redactado este informe continuaba sin recibir el permiso del Gobierno Municipal de Diez de Octubre.</w:t>
      </w:r>
    </w:p>
  </w:footnote>
  <w:footnote w:id="211">
    <w:p w14:paraId="4827538D" w14:textId="7C0719C5" w:rsidR="00172411" w:rsidRDefault="00172411" w:rsidP="000A24B8">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Milena Recio Silva. 2014. </w:t>
      </w:r>
      <w:r w:rsidRPr="004C5DD0">
        <w:rPr>
          <w:rFonts w:ascii="Times New Roman" w:hAnsi="Times New Roman"/>
          <w:i/>
          <w:sz w:val="20"/>
          <w:szCs w:val="20"/>
        </w:rPr>
        <w:t>La hora de los desconectados. Evaluación del diseño de la política de “acceso social” a Internet en Cuba en un contexto de cambios.</w:t>
      </w:r>
      <w:r>
        <w:rPr>
          <w:rFonts w:ascii="Times New Roman" w:hAnsi="Times New Roman"/>
          <w:i/>
          <w:sz w:val="20"/>
          <w:szCs w:val="20"/>
        </w:rPr>
        <w:t xml:space="preserve"> </w:t>
      </w:r>
      <w:r>
        <w:rPr>
          <w:rFonts w:ascii="Times New Roman" w:hAnsi="Times New Roman"/>
          <w:sz w:val="20"/>
          <w:szCs w:val="20"/>
        </w:rPr>
        <w:t>Crítica y Emancipación. Revista latinoamericana de ciencias sociales. Año VI Nº 11 / Publicación semestral / Primer semestre de 2014. Pág. 309</w:t>
      </w:r>
    </w:p>
  </w:footnote>
  <w:footnote w:id="212">
    <w:p w14:paraId="1A4126FB" w14:textId="071B73D1" w:rsidR="00172411" w:rsidRPr="002501AF" w:rsidRDefault="00172411" w:rsidP="002501AF">
      <w:pPr>
        <w:pStyle w:val="Textonotapie"/>
        <w:ind w:firstLine="0"/>
      </w:pPr>
      <w:r>
        <w:rPr>
          <w:rStyle w:val="Refdenotaalpie"/>
        </w:rPr>
        <w:footnoteRef/>
      </w:r>
      <w:r>
        <w:t xml:space="preserve"> </w:t>
      </w:r>
      <w:r>
        <w:rPr>
          <w:lang w:val="es-MX"/>
        </w:rPr>
        <w:t>Ministerio de la Informática y las Comunicaciones</w:t>
      </w:r>
      <w:r>
        <w:t xml:space="preserve">, siglas MIC  ( 2005) Informatización de la Sociedad en sitio web del MIC: &lt;http://www.mic.gob.cu/sitiomic/servlet/hinfosoc. APUD Milena Recio Silva. 2014. </w:t>
      </w:r>
      <w:r>
        <w:rPr>
          <w:i/>
        </w:rPr>
        <w:t>La hora de los desconectados. Evaluación del diseño de la política de “acceso social” a Internet en Cuba en un contexto de cambios.</w:t>
      </w:r>
    </w:p>
  </w:footnote>
  <w:footnote w:id="213">
    <w:p w14:paraId="27BD12B4" w14:textId="77777777" w:rsidR="00172411" w:rsidRDefault="00172411" w:rsidP="000C154F">
      <w:pPr>
        <w:pStyle w:val="Textonotapie"/>
        <w:spacing w:line="240" w:lineRule="atLeast"/>
        <w:ind w:firstLine="0"/>
      </w:pPr>
      <w:r>
        <w:rPr>
          <w:rStyle w:val="Refdenotaalpie"/>
          <w:rFonts w:ascii="Calibri" w:hAnsi="Calibri" w:cs="Calibri"/>
          <w:sz w:val="22"/>
          <w:szCs w:val="22"/>
        </w:rPr>
        <w:footnoteRef/>
      </w:r>
      <w:r>
        <w:t xml:space="preserve"> Yurisander Guevara. 8 febrero 2018. </w:t>
      </w:r>
      <w:r w:rsidRPr="004C5DD0">
        <w:rPr>
          <w:i/>
        </w:rPr>
        <w:t>Un país más digital</w:t>
      </w:r>
      <w:r>
        <w:t>. Juventud Rebelde Pág. 8. Edición Impresa</w:t>
      </w:r>
    </w:p>
  </w:footnote>
  <w:footnote w:id="214">
    <w:p w14:paraId="1B834C00" w14:textId="77777777" w:rsidR="00172411" w:rsidRDefault="00172411" w:rsidP="000A24B8">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Milena Recio Silva.2014. </w:t>
      </w:r>
      <w:r w:rsidRPr="00F34DEE">
        <w:rPr>
          <w:rFonts w:ascii="Times New Roman" w:hAnsi="Times New Roman"/>
          <w:i/>
          <w:sz w:val="20"/>
          <w:szCs w:val="20"/>
        </w:rPr>
        <w:t>La hora de los desconectados. Evaluación del diseño de la política de “acceso social” a Internet en Cuba en un contexto de cambios</w:t>
      </w:r>
      <w:r>
        <w:rPr>
          <w:rFonts w:ascii="Times New Roman" w:hAnsi="Times New Roman"/>
          <w:sz w:val="20"/>
          <w:szCs w:val="20"/>
        </w:rPr>
        <w:t>. Crítica y Emancipación. Revista latinoamericana de ciencias sociales. Año VI Nº 11 / Publicación semestral / Primer semestre de 2014. Pág. 291</w:t>
      </w:r>
    </w:p>
  </w:footnote>
  <w:footnote w:id="215">
    <w:p w14:paraId="17074FDA" w14:textId="77777777" w:rsidR="00172411" w:rsidRDefault="00172411" w:rsidP="000C154F">
      <w:pPr>
        <w:pStyle w:val="Textonotapie"/>
        <w:ind w:firstLine="0"/>
        <w:rPr>
          <w:lang w:val="es-ES"/>
        </w:rPr>
      </w:pPr>
      <w:r>
        <w:rPr>
          <w:rStyle w:val="Refdenotaalpie"/>
        </w:rPr>
        <w:footnoteRef/>
      </w:r>
      <w:r>
        <w:t xml:space="preserve"> Redacción. 21 febrero 2018. ¿</w:t>
      </w:r>
      <w:r w:rsidRPr="00F34DEE">
        <w:rPr>
          <w:i/>
        </w:rPr>
        <w:t>Por qué le preocupa a EE.UU. la expansión de Cuba en internet</w:t>
      </w:r>
      <w:r>
        <w:t xml:space="preserve">? Versión de la entrevista concedida por Rosa Miriam Elizalde. Granma. Edición Impresa. Pág. 10. En febrero 2001…cuando toda la Isla tenia tanto acceso a internet como un hotel en Miami… </w:t>
      </w:r>
    </w:p>
  </w:footnote>
  <w:footnote w:id="216">
    <w:p w14:paraId="029BEBF3" w14:textId="77777777" w:rsidR="00172411" w:rsidRDefault="00172411" w:rsidP="00AE5E3F">
      <w:pPr>
        <w:pStyle w:val="Textonotapie"/>
        <w:spacing w:line="240" w:lineRule="atLeast"/>
        <w:ind w:firstLine="0"/>
        <w:rPr>
          <w:lang w:val="es-MX"/>
        </w:rPr>
      </w:pPr>
      <w:r>
        <w:rPr>
          <w:rStyle w:val="Refdenotaalpie"/>
          <w:sz w:val="22"/>
          <w:szCs w:val="22"/>
        </w:rPr>
        <w:footnoteRef/>
      </w:r>
      <w:r>
        <w:rPr>
          <w:lang w:val="es-MX"/>
        </w:rPr>
        <w:t xml:space="preserve">Amnistía Internacional. (2017) </w:t>
      </w:r>
      <w:r>
        <w:rPr>
          <w:i/>
          <w:lang w:val="es-MX"/>
        </w:rPr>
        <w:t>La paradoja de Internet de Cuba: El control y censura de Internet hacen peligrar logros de Cuba en materia de educación.</w:t>
      </w:r>
      <w:r>
        <w:rPr>
          <w:lang w:val="es-MX"/>
        </w:rPr>
        <w:t xml:space="preserve"> Disponible: https://www.amnesty.org/es/latest/news/2017/08/cubas-internet-paradox-how-controlled-and-censored-internet-risks-cubas-achievements-in-education/</w:t>
      </w:r>
    </w:p>
  </w:footnote>
  <w:footnote w:id="217">
    <w:p w14:paraId="25A5171E" w14:textId="77777777" w:rsidR="00172411" w:rsidRDefault="00172411" w:rsidP="000C154F">
      <w:pPr>
        <w:pStyle w:val="Textonotapie"/>
        <w:ind w:firstLine="0"/>
        <w:rPr>
          <w:lang w:val="es-ES"/>
        </w:rPr>
      </w:pPr>
      <w:r>
        <w:rPr>
          <w:rStyle w:val="Refdenotaalpie"/>
        </w:rPr>
        <w:footnoteRef/>
      </w:r>
      <w:r>
        <w:t xml:space="preserve"> ETECSA. </w:t>
      </w:r>
      <w:r w:rsidRPr="008756F3">
        <w:rPr>
          <w:i/>
        </w:rPr>
        <w:t>Directorio telefónico de Cuba</w:t>
      </w:r>
      <w:r>
        <w:t xml:space="preserve"> Edición 2018. Servicio de Internet Nauta tiene cuentas Nauta de acceso temporal para ciudadanos cubanos, turistas y visitantes y cuentas de acceso permanente para usuarios residentes en Cuba </w:t>
      </w:r>
      <w:r>
        <w:rPr>
          <w:lang w:val="es-ES"/>
        </w:rPr>
        <w:t xml:space="preserve">Edición Impresa Pág. 20 y 22. Disponible: </w:t>
      </w:r>
      <w:hyperlink r:id="rId75" w:history="1">
        <w:r>
          <w:rPr>
            <w:rStyle w:val="Hipervnculo"/>
          </w:rPr>
          <w:t>www.etecsa.cu</w:t>
        </w:r>
      </w:hyperlink>
      <w:r>
        <w:rPr>
          <w:lang w:val="es-ES"/>
        </w:rPr>
        <w:t>. Nota de ACDEI: Desde mucho antes de la oferta del servicio Nauta Hogar, ya tenían permiso de acceso a Internet desde sus domicilios los periodistas oficiales, funcionarios del Gobierno, artistas destacados, etc.</w:t>
      </w:r>
    </w:p>
  </w:footnote>
  <w:footnote w:id="218">
    <w:p w14:paraId="4974A9FF" w14:textId="77777777" w:rsidR="00172411" w:rsidRDefault="00172411" w:rsidP="000C154F">
      <w:pPr>
        <w:pStyle w:val="Textonotapie"/>
        <w:spacing w:line="240" w:lineRule="atLeast"/>
        <w:ind w:firstLine="0"/>
        <w:rPr>
          <w:lang w:val="es-ES"/>
        </w:rPr>
      </w:pPr>
      <w:r>
        <w:rPr>
          <w:rStyle w:val="Refdenotaalpie"/>
          <w:sz w:val="22"/>
          <w:szCs w:val="22"/>
        </w:rPr>
        <w:footnoteRef/>
      </w:r>
      <w:r>
        <w:rPr>
          <w:lang w:val="en-US"/>
        </w:rPr>
        <w:t xml:space="preserve">Open Observatory of Network Interference (OONI). 2017. </w:t>
      </w:r>
      <w:r w:rsidRPr="00F34DEE">
        <w:rPr>
          <w:i/>
          <w:lang w:val="en-US"/>
        </w:rPr>
        <w:t>Measuring Internet Censorship in Cuba's ParkNets</w:t>
      </w:r>
      <w:r>
        <w:rPr>
          <w:lang w:val="en-US"/>
        </w:rPr>
        <w:t xml:space="preserve">. </w:t>
      </w:r>
      <w:r>
        <w:rPr>
          <w:lang w:val="es-ES"/>
        </w:rPr>
        <w:t>Available: https://ooni.torproject.org/post/cuba-internet-censorship-2017/</w:t>
      </w:r>
    </w:p>
  </w:footnote>
  <w:footnote w:id="219">
    <w:p w14:paraId="1BAA7C26" w14:textId="77777777" w:rsidR="00172411" w:rsidRDefault="00172411" w:rsidP="000C154F">
      <w:pPr>
        <w:pStyle w:val="Textonotapie"/>
        <w:ind w:firstLine="0"/>
      </w:pPr>
      <w:r>
        <w:rPr>
          <w:rStyle w:val="Refdenotaalpie"/>
        </w:rPr>
        <w:footnoteRef/>
      </w:r>
      <w:r>
        <w:rPr>
          <w:lang w:val="es-ES"/>
        </w:rPr>
        <w:t xml:space="preserve"> </w:t>
      </w:r>
      <w:r>
        <w:t xml:space="preserve">Redacción. 21 febrero 2018. </w:t>
      </w:r>
      <w:r w:rsidRPr="00F34DEE">
        <w:rPr>
          <w:i/>
        </w:rPr>
        <w:t>¿Por qué le preocupa a EE.UU. la expansión de Cuba en internet?</w:t>
      </w:r>
      <w:r>
        <w:t xml:space="preserve"> Versión de la entrevista concedida por Rosa Miriam Elizalde. Granma. Edición Impresa. Pág. 10…Se registraron 2,7 millones de usuarios cubanos en las redes sociales…368% de crecimiento con respecto al año anterior (2016).</w:t>
      </w:r>
    </w:p>
  </w:footnote>
  <w:footnote w:id="220">
    <w:p w14:paraId="76696F7B" w14:textId="77777777" w:rsidR="00172411" w:rsidRDefault="00172411" w:rsidP="000C154F">
      <w:pPr>
        <w:pStyle w:val="Textonotapie"/>
        <w:ind w:firstLine="0"/>
      </w:pPr>
      <w:r>
        <w:rPr>
          <w:rStyle w:val="Refdenotaalpie"/>
        </w:rPr>
        <w:footnoteRef/>
      </w:r>
      <w:r>
        <w:t xml:space="preserve"> ETECSA. Directorio telefónico de Cuba Edición 2018. Pág. 22 Nauta Hogar.</w:t>
      </w:r>
    </w:p>
  </w:footnote>
  <w:footnote w:id="221">
    <w:p w14:paraId="45E6ABEF" w14:textId="77777777" w:rsidR="00172411" w:rsidRDefault="00172411" w:rsidP="000A24B8">
      <w:pPr>
        <w:autoSpaceDE w:val="0"/>
        <w:autoSpaceDN w:val="0"/>
        <w:adjustRightInd w:val="0"/>
        <w:spacing w:after="0" w:line="240" w:lineRule="atLeast"/>
        <w:rPr>
          <w:rFonts w:ascii="Times New Roman" w:hAnsi="Times New Roman"/>
          <w:sz w:val="20"/>
          <w:szCs w:val="20"/>
          <w:lang w:val="es-MX"/>
        </w:rPr>
      </w:pPr>
      <w:r>
        <w:rPr>
          <w:rFonts w:ascii="Times New Roman" w:hAnsi="Times New Roman"/>
          <w:vertAlign w:val="superscript"/>
          <w:lang w:val="es-MX"/>
        </w:rPr>
        <w:footnoteRef/>
      </w:r>
      <w:r>
        <w:rPr>
          <w:rFonts w:ascii="Times New Roman" w:hAnsi="Times New Roman"/>
          <w:sz w:val="20"/>
          <w:szCs w:val="20"/>
          <w:lang w:val="es-MX"/>
        </w:rPr>
        <w:t>El Acuerdo No. 3736 del Comité Ejecutivo del Consejo de Ministros de fecha 18 de julio de 2000, en su Apartado Segundo, establece que el Ministerio de la Informática y las Comunicaciones, es el organismo encargado de regular, dirigir, supervisar y controlar la política del Estado y el Gobierno en cuanto a las actividades de tecnologías informáticas, telecomunicaciones, redes de infocomunicaciones, servicios de valor agregado en infocomunicaciones, radiodifusión, espectro radioeléctrico, automatización, servicios postales y la industria electrónica. Nota de ACDEI</w:t>
      </w:r>
      <w:r>
        <w:t xml:space="preserve">: </w:t>
      </w:r>
      <w:r>
        <w:rPr>
          <w:rFonts w:ascii="Times New Roman" w:hAnsi="Times New Roman"/>
          <w:sz w:val="20"/>
          <w:szCs w:val="20"/>
          <w:lang w:val="es-MX"/>
        </w:rPr>
        <w:t>El Ministerio de la Informática y las Comunicaciones actualmente tiene otra denominación, Ministerio de Comunicaciones.</w:t>
      </w:r>
    </w:p>
  </w:footnote>
  <w:footnote w:id="222">
    <w:p w14:paraId="3D5EB92E" w14:textId="503AEB07" w:rsidR="00172411" w:rsidRDefault="00172411" w:rsidP="000A24B8">
      <w:pPr>
        <w:shd w:val="clear" w:color="auto" w:fill="FFFFFF"/>
        <w:spacing w:after="0" w:line="240" w:lineRule="atLeast"/>
        <w:jc w:val="both"/>
        <w:rPr>
          <w:sz w:val="18"/>
          <w:szCs w:val="18"/>
        </w:rPr>
      </w:pPr>
      <w:r>
        <w:rPr>
          <w:rStyle w:val="Refdenotaalpie"/>
        </w:rPr>
        <w:footnoteRef/>
      </w:r>
      <w:r>
        <w:rPr>
          <w:rFonts w:ascii="Times New Roman" w:hAnsi="Times New Roman"/>
          <w:sz w:val="20"/>
          <w:szCs w:val="20"/>
        </w:rPr>
        <w:t>Por ejemplo si un hacker accede a información de cuentas de un banco y por engaños se apropia de dinero de las cuentas, se sancionaría por un delito de estafa, previsto en el Código Penal.  Existe un Reglamento de Seguridad Informática emitido por el Ministerio del Interior que entró en vigor desde noviembre de 1996 el cual estipula que todos los Órganos y Organismos de la Administración Central del Estado se deberá analizar, confeccionar y aplicar el “Plan de Seguridad Informática y de Contingencia”. Pero solo atenta contra el libre acceso de los ciudadanos comunes, a la información disponible en internet.</w:t>
      </w:r>
    </w:p>
  </w:footnote>
  <w:footnote w:id="223">
    <w:p w14:paraId="75F2ECE1" w14:textId="77777777" w:rsidR="00172411" w:rsidRDefault="00172411" w:rsidP="000C154F">
      <w:pPr>
        <w:pStyle w:val="Default"/>
        <w:spacing w:after="0" w:afterAutospacing="0" w:line="240" w:lineRule="auto"/>
        <w:ind w:firstLine="0"/>
        <w:rPr>
          <w:sz w:val="20"/>
          <w:szCs w:val="20"/>
        </w:rPr>
      </w:pPr>
      <w:r>
        <w:rPr>
          <w:sz w:val="22"/>
          <w:szCs w:val="22"/>
          <w:vertAlign w:val="superscript"/>
        </w:rPr>
        <w:footnoteRef/>
      </w:r>
      <w:r>
        <w:rPr>
          <w:sz w:val="20"/>
          <w:szCs w:val="20"/>
        </w:rPr>
        <w:t>Ibíd. Artículo 9 - Delitos relacionados con la pornografía infantil. Artículo 11 - Tentativa y complicidad. Artículo 12 - Responsabilidad de las personas jurídicas. Artículo 23 - Principios generales relativos a la cooperación internacional</w:t>
      </w:r>
    </w:p>
  </w:footnote>
  <w:footnote w:id="224">
    <w:p w14:paraId="03766569" w14:textId="77777777" w:rsidR="00172411" w:rsidRPr="00EA266E" w:rsidRDefault="00172411" w:rsidP="000A24B8">
      <w:pPr>
        <w:spacing w:after="0" w:line="240" w:lineRule="atLeast"/>
        <w:rPr>
          <w:rFonts w:ascii="Times New Roman" w:hAnsi="Times New Roman"/>
          <w:color w:val="000000"/>
          <w:sz w:val="20"/>
          <w:szCs w:val="20"/>
          <w:lang w:val="es-MX" w:eastAsia="es-MX"/>
        </w:rPr>
      </w:pPr>
      <w:r>
        <w:rPr>
          <w:rStyle w:val="Refdenotaalpie"/>
          <w:rFonts w:cs="Calibri"/>
        </w:rPr>
        <w:footnoteRef/>
      </w:r>
      <w:r>
        <w:rPr>
          <w:rFonts w:ascii="Times New Roman" w:hAnsi="Times New Roman"/>
          <w:color w:val="000000"/>
          <w:sz w:val="20"/>
          <w:szCs w:val="20"/>
          <w:lang w:val="es-MX" w:eastAsia="es-MX"/>
        </w:rPr>
        <w:t xml:space="preserve">Save the childen (Octubre /2013) </w:t>
      </w:r>
      <w:r w:rsidRPr="00F34DEE">
        <w:rPr>
          <w:rFonts w:ascii="Times New Roman" w:hAnsi="Times New Roman"/>
          <w:i/>
          <w:color w:val="000000"/>
          <w:sz w:val="20"/>
          <w:szCs w:val="20"/>
          <w:lang w:val="es-MX" w:eastAsia="es-MX"/>
        </w:rPr>
        <w:t>Acoso escolar y ciberacoso: propuestas para la acción</w:t>
      </w:r>
      <w:r>
        <w:rPr>
          <w:rFonts w:ascii="Times New Roman" w:hAnsi="Times New Roman"/>
          <w:color w:val="000000"/>
          <w:sz w:val="20"/>
          <w:szCs w:val="20"/>
          <w:lang w:val="es-MX" w:eastAsia="es-MX"/>
        </w:rPr>
        <w:t xml:space="preserve">. Disponible en: </w:t>
      </w:r>
      <w:hyperlink r:id="rId76" w:history="1">
        <w:r w:rsidRPr="00EA266E">
          <w:rPr>
            <w:rStyle w:val="Hipervnculo"/>
            <w:rFonts w:ascii="Times New Roman" w:hAnsi="Times New Roman"/>
            <w:sz w:val="20"/>
            <w:szCs w:val="20"/>
          </w:rPr>
          <w:t>http://www.savethechildren.es/docs/Ficheros/675/Acoso_escolar_y_ciberacoso_informe_vOK_-_05.14.p</w:t>
        </w:r>
        <w:r w:rsidRPr="00EA266E">
          <w:rPr>
            <w:rStyle w:val="Hipervnculo"/>
            <w:rFonts w:ascii="Times New Roman" w:hAnsi="Times New Roman"/>
            <w:color w:val="000000"/>
            <w:sz w:val="20"/>
            <w:szCs w:val="20"/>
            <w:lang w:val="es-MX" w:eastAsia="es-MX"/>
          </w:rPr>
          <w:t>df</w:t>
        </w:r>
      </w:hyperlink>
    </w:p>
  </w:footnote>
  <w:footnote w:id="225">
    <w:p w14:paraId="7512E119" w14:textId="62CBC8C1" w:rsidR="00172411" w:rsidRPr="00C51A66" w:rsidRDefault="00172411" w:rsidP="00A23E0C">
      <w:pPr>
        <w:pStyle w:val="Textonotapie"/>
        <w:ind w:firstLine="0"/>
        <w:rPr>
          <w:lang w:val="es-ES"/>
        </w:rPr>
      </w:pPr>
      <w:r>
        <w:rPr>
          <w:rStyle w:val="Refdenotaalpie"/>
        </w:rPr>
        <w:footnoteRef/>
      </w:r>
      <w:r w:rsidRPr="00CE3032">
        <w:rPr>
          <w:lang w:val="en-US"/>
        </w:rPr>
        <w:t xml:space="preserve"> Amy Raub, Isabel Latz, Aleta Sprague, Michael Ashley Stein, and Jody Heymann</w:t>
      </w:r>
      <w:r>
        <w:rPr>
          <w:lang w:val="en-US"/>
        </w:rPr>
        <w:t>.</w:t>
      </w:r>
      <w:r w:rsidRPr="00CE3032">
        <w:rPr>
          <w:lang w:val="en-US"/>
        </w:rPr>
        <w:t xml:space="preserve"> </w:t>
      </w:r>
      <w:r w:rsidRPr="00A23E0C">
        <w:rPr>
          <w:i/>
          <w:lang w:val="en-US"/>
        </w:rPr>
        <w:t>2016 / Constitutional Rights of Persons with Disabilities</w:t>
      </w:r>
      <w:r>
        <w:rPr>
          <w:lang w:val="en-US"/>
        </w:rPr>
        <w:t>.</w:t>
      </w:r>
      <w:r w:rsidRPr="00CE3032">
        <w:rPr>
          <w:lang w:val="en-US"/>
        </w:rPr>
        <w:t xml:space="preserve"> Harvard Human Rights Journal / Vol. 29</w:t>
      </w:r>
      <w:r>
        <w:rPr>
          <w:lang w:val="en-US"/>
        </w:rPr>
        <w:t xml:space="preserve">. </w:t>
      </w:r>
      <w:r>
        <w:rPr>
          <w:lang w:val="es-ES"/>
        </w:rPr>
        <w:t xml:space="preserve">Available at: </w:t>
      </w:r>
      <w:r w:rsidRPr="00C51A66">
        <w:rPr>
          <w:sz w:val="18"/>
          <w:szCs w:val="18"/>
          <w:lang w:val="es-ES"/>
        </w:rPr>
        <w:t>http://harvardhrj.com/wp-content/uploads/2016/29/203-1240.pdf</w:t>
      </w:r>
    </w:p>
  </w:footnote>
  <w:footnote w:id="226">
    <w:p w14:paraId="6442A598" w14:textId="77777777" w:rsidR="00172411" w:rsidRDefault="00172411" w:rsidP="00BE25E4">
      <w:pPr>
        <w:pStyle w:val="Textonotapie"/>
        <w:spacing w:line="240" w:lineRule="atLeast"/>
        <w:ind w:firstLine="0"/>
      </w:pPr>
      <w:r>
        <w:rPr>
          <w:sz w:val="22"/>
          <w:szCs w:val="22"/>
          <w:vertAlign w:val="superscript"/>
        </w:rPr>
        <w:footnoteRef/>
      </w:r>
      <w:r>
        <w:t xml:space="preserve"> Constitución de la República. Cuba. Artículo 40.</w:t>
      </w:r>
    </w:p>
  </w:footnote>
  <w:footnote w:id="227">
    <w:p w14:paraId="721741EE" w14:textId="77777777" w:rsidR="00172411" w:rsidRDefault="00172411" w:rsidP="00CF3C3A">
      <w:pPr>
        <w:pStyle w:val="Textonotapie"/>
        <w:spacing w:line="240" w:lineRule="atLeast"/>
        <w:ind w:firstLine="0"/>
      </w:pPr>
      <w:r>
        <w:rPr>
          <w:sz w:val="22"/>
          <w:szCs w:val="22"/>
          <w:vertAlign w:val="superscript"/>
        </w:rPr>
        <w:footnoteRef/>
      </w:r>
      <w:r>
        <w:t>Comité de los Derechos del Niño (2011).</w:t>
      </w:r>
      <w:r w:rsidRPr="004C5DD0">
        <w:rPr>
          <w:i/>
        </w:rPr>
        <w:t>Observaciones finales</w:t>
      </w:r>
      <w:r>
        <w:t>: Cuba. Párrafo 33, página 7. Disponible en: http://www2.ohchr.org/english/bodies/crc/docs/co/CRC.C.CUB.CO.2_sp.doc.</w:t>
      </w:r>
    </w:p>
  </w:footnote>
  <w:footnote w:id="228">
    <w:p w14:paraId="014937EF" w14:textId="71079F38" w:rsidR="00172411" w:rsidRDefault="00172411" w:rsidP="00CF3C3A">
      <w:pPr>
        <w:pStyle w:val="Default"/>
        <w:spacing w:after="0" w:afterAutospacing="0" w:line="240" w:lineRule="atLeast"/>
        <w:ind w:firstLine="0"/>
        <w:rPr>
          <w:color w:val="auto"/>
          <w:sz w:val="20"/>
          <w:szCs w:val="20"/>
          <w:lang w:eastAsia="en-US"/>
        </w:rPr>
      </w:pPr>
      <w:r>
        <w:rPr>
          <w:rStyle w:val="Refdenotaalpie"/>
          <w:sz w:val="22"/>
          <w:szCs w:val="22"/>
        </w:rPr>
        <w:footnoteRef/>
      </w:r>
      <w:r>
        <w:rPr>
          <w:color w:val="auto"/>
          <w:sz w:val="20"/>
          <w:szCs w:val="20"/>
          <w:lang w:eastAsia="en-US"/>
        </w:rPr>
        <w:t xml:space="preserve"> Constitución de la República de </w:t>
      </w:r>
      <w:r w:rsidRPr="00E12641">
        <w:rPr>
          <w:sz w:val="20"/>
          <w:szCs w:val="20"/>
        </w:rPr>
        <w:t>Cuba</w:t>
      </w:r>
      <w:r>
        <w:rPr>
          <w:color w:val="auto"/>
          <w:sz w:val="20"/>
          <w:szCs w:val="20"/>
          <w:lang w:eastAsia="en-US"/>
        </w:rPr>
        <w:t xml:space="preserve">. ARTÍCULO 10.-Todos los órganos del Estado, sus dirigentes, funcionarios y empleados, actúan dentro de los límites de sus respectivas competencias y tienen la obligación de observar estrictamente la legalidad socialista y velar por su respeto en la vida de toda la sociedad. </w:t>
      </w:r>
    </w:p>
  </w:footnote>
  <w:footnote w:id="229">
    <w:p w14:paraId="70F371A9" w14:textId="77777777" w:rsidR="00172411" w:rsidRDefault="00172411" w:rsidP="00CF3C3A">
      <w:pPr>
        <w:pStyle w:val="Default"/>
        <w:spacing w:after="0" w:afterAutospacing="0" w:line="240" w:lineRule="atLeast"/>
        <w:ind w:firstLine="0"/>
        <w:rPr>
          <w:sz w:val="22"/>
          <w:szCs w:val="22"/>
        </w:rPr>
      </w:pPr>
      <w:r>
        <w:rPr>
          <w:rStyle w:val="Refdenotaalpie"/>
          <w:sz w:val="22"/>
          <w:szCs w:val="22"/>
        </w:rPr>
        <w:footnoteRef/>
      </w:r>
      <w:r>
        <w:rPr>
          <w:iCs/>
          <w:sz w:val="20"/>
          <w:szCs w:val="20"/>
        </w:rPr>
        <w:t>Ídem</w:t>
      </w:r>
      <w:r>
        <w:rPr>
          <w:i/>
          <w:iCs/>
          <w:sz w:val="20"/>
          <w:szCs w:val="20"/>
        </w:rPr>
        <w:t xml:space="preserve">. </w:t>
      </w:r>
      <w:r>
        <w:rPr>
          <w:sz w:val="20"/>
          <w:szCs w:val="20"/>
        </w:rPr>
        <w:t>ARTICULO 53.-Se reconoce a los ciudadanos libertad de palabra y prensa conforme a los fines de la sociedad socialista. Las condiciones materiales para su ejercicio están dadas por el hecho de que la prensa, la radio, la televisión, el cine y otros medios de difusión masiva son de propiedad estatal o social y no pueden ser objeto, en ningún caso, de propiedad privada, lo que asegura su uso al servicio exclusivo del pueblo trabajador y del interés de la sociedad. La ley regula el ejercicio de estas libertades.</w:t>
      </w:r>
    </w:p>
  </w:footnote>
  <w:footnote w:id="230">
    <w:p w14:paraId="5828B417" w14:textId="77777777" w:rsidR="00172411" w:rsidRDefault="00172411" w:rsidP="00BE25E4">
      <w:pPr>
        <w:pStyle w:val="Textonotapie"/>
        <w:spacing w:line="240" w:lineRule="atLeast"/>
        <w:ind w:firstLine="0"/>
        <w:rPr>
          <w:color w:val="000000"/>
          <w:lang w:eastAsia="es-MX"/>
        </w:rPr>
      </w:pPr>
      <w:r>
        <w:rPr>
          <w:rStyle w:val="Refdenotaalpie"/>
          <w:rFonts w:ascii="Calibri" w:hAnsi="Calibri" w:cs="Calibri"/>
        </w:rPr>
        <w:footnoteRef/>
      </w:r>
      <w:r>
        <w:rPr>
          <w:color w:val="000000"/>
          <w:lang w:eastAsia="es-MX"/>
        </w:rPr>
        <w:t xml:space="preserve">Ibíd. Constitución de la República de Cuba. Artículo 62. Ninguna de las libertades reconocidas a los ciudadanos puede ser ejercida contra lo establecido en la Constitución y las leyes, ni contra la existencia y fines del Estado socialista, ni contra la decisión del pueblo cubano de construir el socialismo y el comunismo. La infracción de este principio es punible. </w:t>
      </w:r>
    </w:p>
  </w:footnote>
  <w:footnote w:id="231">
    <w:p w14:paraId="5F631CC4" w14:textId="5BE027E1" w:rsidR="00172411" w:rsidRDefault="00172411" w:rsidP="00007106">
      <w:pPr>
        <w:pStyle w:val="Textonotapie"/>
        <w:spacing w:line="240" w:lineRule="atLeast"/>
        <w:ind w:firstLine="0"/>
      </w:pPr>
      <w:r>
        <w:rPr>
          <w:rStyle w:val="Refdenotaalpie"/>
          <w:sz w:val="22"/>
          <w:szCs w:val="22"/>
        </w:rPr>
        <w:footnoteRef/>
      </w:r>
      <w:r>
        <w:t>Comité de los Derechos del Niño (2011).</w:t>
      </w:r>
      <w:r w:rsidRPr="00E04D12">
        <w:rPr>
          <w:i/>
        </w:rPr>
        <w:t>Observaciones finales:</w:t>
      </w:r>
      <w:r>
        <w:t xml:space="preserve"> Cuba. Párrafo 13. Pág. 3; Párrafo 23. Pág. 5; Párrafo 27. Pág. 6; Párrafos 31, 33,35. Pag.7; Párrafo 44, Pág. 9; Párrafo 51, 53. Pág. 11; Párrafo 55, 56. Pág. 12. Disponible en: http://www2.ohchr.org/english/bodies/crc/docs/co/CRC.C.CUB.CO.2_sp.doc  </w:t>
      </w:r>
    </w:p>
  </w:footnote>
  <w:footnote w:id="232">
    <w:p w14:paraId="632AE237" w14:textId="77777777" w:rsidR="00172411" w:rsidRDefault="00172411" w:rsidP="000E721C">
      <w:pPr>
        <w:pStyle w:val="Textonotapie"/>
        <w:spacing w:line="276" w:lineRule="auto"/>
        <w:ind w:firstLine="0"/>
        <w:jc w:val="both"/>
        <w:rPr>
          <w:rFonts w:eastAsia="Times New Roman"/>
          <w:bCs/>
          <w:kern w:val="32"/>
        </w:rPr>
      </w:pPr>
      <w:r>
        <w:rPr>
          <w:rStyle w:val="Refdenotaalpie"/>
          <w:b/>
        </w:rPr>
        <w:footnoteRef/>
      </w:r>
      <w:r>
        <w:rPr>
          <w:rFonts w:eastAsia="Times New Roman"/>
          <w:bCs/>
          <w:kern w:val="32"/>
        </w:rPr>
        <w:t>Asamblea Nacional. (15 de febrero de 1975). Ley No. 1289 de 14 de febrero de 1975 "Código de Familia". Gaceta Oficial de la República (6), Ordinaria, 71. Cuba. Artículo 82 al 87.</w:t>
      </w:r>
    </w:p>
  </w:footnote>
  <w:footnote w:id="233">
    <w:p w14:paraId="3922571E" w14:textId="77777777" w:rsidR="00172411" w:rsidRDefault="00172411" w:rsidP="000A24B8">
      <w:pPr>
        <w:spacing w:after="0"/>
        <w:jc w:val="both"/>
        <w:rPr>
          <w:rFonts w:ascii="Times New Roman" w:hAnsi="Times New Roman"/>
          <w:sz w:val="20"/>
          <w:szCs w:val="20"/>
          <w:lang w:eastAsia="es-MX"/>
        </w:rPr>
      </w:pPr>
      <w:r>
        <w:rPr>
          <w:rStyle w:val="Refdenotaalpie"/>
          <w:rFonts w:ascii="Times New Roman" w:hAnsi="Times New Roman"/>
          <w:b/>
          <w:sz w:val="20"/>
          <w:szCs w:val="20"/>
        </w:rPr>
        <w:footnoteRef/>
      </w:r>
      <w:r>
        <w:rPr>
          <w:rFonts w:ascii="Times New Roman" w:hAnsi="Times New Roman"/>
          <w:sz w:val="20"/>
          <w:szCs w:val="20"/>
        </w:rPr>
        <w:t xml:space="preserve">Véase </w:t>
      </w:r>
      <w:r>
        <w:rPr>
          <w:rFonts w:ascii="Times New Roman" w:hAnsi="Times New Roman"/>
          <w:iCs/>
          <w:sz w:val="20"/>
          <w:szCs w:val="20"/>
          <w:lang w:eastAsia="es-MX"/>
        </w:rPr>
        <w:t>la Constitución de la República de Cuba, Código de Familia (</w:t>
      </w:r>
      <w:r>
        <w:rPr>
          <w:rFonts w:ascii="Times New Roman" w:hAnsi="Times New Roman"/>
          <w:bCs/>
          <w:color w:val="000000"/>
          <w:sz w:val="20"/>
          <w:szCs w:val="20"/>
          <w:lang w:eastAsia="es-MX"/>
        </w:rPr>
        <w:t>LEY No. 1289/1975)</w:t>
      </w:r>
      <w:r>
        <w:rPr>
          <w:rFonts w:ascii="Times New Roman" w:hAnsi="Times New Roman"/>
          <w:sz w:val="20"/>
          <w:szCs w:val="20"/>
        </w:rPr>
        <w:t xml:space="preserve">, Código Civil (Ley Nº 59/1987), </w:t>
      </w:r>
      <w:r>
        <w:rPr>
          <w:rFonts w:ascii="Times New Roman" w:hAnsi="Times New Roman"/>
          <w:iCs/>
          <w:sz w:val="20"/>
          <w:szCs w:val="20"/>
          <w:lang w:eastAsia="es-MX"/>
        </w:rPr>
        <w:t>Código de la Niñez y la Juventud   (Ley No. 16 /1978).</w:t>
      </w:r>
    </w:p>
  </w:footnote>
  <w:footnote w:id="234">
    <w:p w14:paraId="7574DA42" w14:textId="77777777" w:rsidR="00172411" w:rsidRDefault="00172411" w:rsidP="00191A70">
      <w:pPr>
        <w:pStyle w:val="Textonotapie"/>
        <w:spacing w:line="276" w:lineRule="auto"/>
        <w:ind w:firstLine="0"/>
        <w:rPr>
          <w:iCs/>
          <w:lang w:val="es-MX" w:eastAsia="es-MX"/>
        </w:rPr>
      </w:pPr>
      <w:r>
        <w:rPr>
          <w:rStyle w:val="Refdenotaalpie"/>
          <w:b/>
        </w:rPr>
        <w:footnoteRef/>
      </w:r>
      <w:r>
        <w:rPr>
          <w:iCs/>
          <w:lang w:eastAsia="es-MX"/>
        </w:rPr>
        <w:t xml:space="preserve"> Constitución de la República de Cuba. CAPITULO IV .Familia. Artículo 35 al 38. </w:t>
      </w:r>
    </w:p>
  </w:footnote>
  <w:footnote w:id="235">
    <w:p w14:paraId="1EE6174E" w14:textId="77777777" w:rsidR="00172411" w:rsidRDefault="00172411" w:rsidP="00191A70">
      <w:pPr>
        <w:pStyle w:val="Textonotapie"/>
        <w:spacing w:line="276" w:lineRule="auto"/>
        <w:ind w:firstLine="0"/>
        <w:rPr>
          <w:lang w:val="es-ES" w:eastAsia="en-US"/>
        </w:rPr>
      </w:pPr>
      <w:r>
        <w:rPr>
          <w:rStyle w:val="Refdenotaalpie"/>
        </w:rPr>
        <w:footnoteRef/>
      </w:r>
      <w:r>
        <w:t xml:space="preserve"> Leonardo B. Pérez Gallardo(s/f) </w:t>
      </w:r>
      <w:r>
        <w:rPr>
          <w:i/>
        </w:rPr>
        <w:t>Luces y Sombras en Torno a la Regulación Jurídica de la Filiación en Cuba.</w:t>
      </w:r>
      <w:r>
        <w:t xml:space="preserve"> Revista Jurídica No. 11. 2012-2014. Pag.28 Disponible: http:// www.minjus.cu     </w:t>
      </w:r>
    </w:p>
  </w:footnote>
  <w:footnote w:id="236">
    <w:p w14:paraId="7C18D297" w14:textId="77777777" w:rsidR="00172411" w:rsidRDefault="00172411" w:rsidP="00191A70">
      <w:pPr>
        <w:pStyle w:val="Textonotapie"/>
        <w:spacing w:line="276" w:lineRule="auto"/>
        <w:ind w:firstLine="0"/>
      </w:pPr>
      <w:r>
        <w:rPr>
          <w:rStyle w:val="Refdenotaalpie"/>
        </w:rPr>
        <w:footnoteRef/>
      </w:r>
      <w:r>
        <w:t xml:space="preserve"> Mesa Castillo, Olga, </w:t>
      </w:r>
      <w:r>
        <w:rPr>
          <w:i/>
        </w:rPr>
        <w:t>«Regulación normativa de la filiación en el Estado cubano»</w:t>
      </w:r>
      <w:r>
        <w:t xml:space="preserve">, en Temas de Derecho de Familia, Colectivo de autores, Félix Varela, La Habana, 2001, pp. 69-70. (Apud Leonardo B. Pérez Gallardo. </w:t>
      </w:r>
      <w:r>
        <w:rPr>
          <w:i/>
        </w:rPr>
        <w:t>Luces y Sombras en Torno a la Regulación Jurídica de la Filiación en Cuba)</w:t>
      </w:r>
    </w:p>
  </w:footnote>
  <w:footnote w:id="237">
    <w:p w14:paraId="12F736D3" w14:textId="25E80266" w:rsidR="00172411" w:rsidRPr="00D32D97" w:rsidRDefault="00172411" w:rsidP="00D32D97">
      <w:pPr>
        <w:pStyle w:val="Textonotapie"/>
        <w:ind w:firstLine="0"/>
        <w:rPr>
          <w:lang w:val="es-ES"/>
        </w:rPr>
      </w:pPr>
      <w:r>
        <w:rPr>
          <w:rStyle w:val="Refdenotaalpie"/>
        </w:rPr>
        <w:footnoteRef/>
      </w:r>
      <w:r>
        <w:t xml:space="preserve"> Agencia de los Derechos Fundamentales de la Unión Europea, 2010.Tribunal Europeo de Derechos Humanos - Consejo de Europa, 2010. </w:t>
      </w:r>
      <w:r w:rsidRPr="004C5DD0">
        <w:rPr>
          <w:i/>
        </w:rPr>
        <w:t>Manual de legislación europea contra la discriminación</w:t>
      </w:r>
      <w:r>
        <w:t xml:space="preserve">. 2011 — 160 pp. — 14,8 × 21 cm.ISBN 978-92-871-9986-7 (CdE) ISBN 978-92-9192-668-8 (FRA) doi: 10.2811/12396. Disponible: </w:t>
      </w:r>
      <w:hyperlink r:id="rId77" w:history="1">
        <w:r>
          <w:rPr>
            <w:rStyle w:val="Hipervnculo"/>
            <w:color w:val="auto"/>
          </w:rPr>
          <w:t>https://fra.europa.eu/sites/default/files/fra_uploads/1510-FRA_CASE_LAW_HANDBOOK_ES.pdf</w:t>
        </w:r>
      </w:hyperlink>
    </w:p>
  </w:footnote>
  <w:footnote w:id="238">
    <w:p w14:paraId="1A85EB9E" w14:textId="2D6F22A9" w:rsidR="00172411" w:rsidRPr="00E04D12" w:rsidRDefault="00172411" w:rsidP="00DA120B">
      <w:pPr>
        <w:pStyle w:val="Sinespaciado"/>
        <w:spacing w:after="0" w:afterAutospacing="0" w:line="276" w:lineRule="auto"/>
        <w:ind w:left="0" w:firstLine="0"/>
        <w:rPr>
          <w:rFonts w:ascii="Times New Roman" w:eastAsia="STKaiti" w:hAnsi="Times New Roman"/>
          <w:sz w:val="20"/>
          <w:szCs w:val="20"/>
          <w:lang w:val="es-US" w:eastAsia="es-US"/>
        </w:rPr>
      </w:pPr>
      <w:r w:rsidRPr="00FB26F3">
        <w:rPr>
          <w:rStyle w:val="Refdenotaalpie"/>
        </w:rPr>
        <w:footnoteRef/>
      </w:r>
      <w:r w:rsidRPr="00FB26F3">
        <w:t xml:space="preserve"> </w:t>
      </w:r>
      <w:r w:rsidRPr="00C86F1B">
        <w:rPr>
          <w:rFonts w:ascii="Times New Roman" w:eastAsia="STKaiti" w:hAnsi="Times New Roman"/>
          <w:sz w:val="20"/>
          <w:szCs w:val="20"/>
          <w:lang w:val="es-US" w:eastAsia="es-US"/>
        </w:rPr>
        <w:t xml:space="preserve">Juan O. Tamayo. 21 diciembre 2013. </w:t>
      </w:r>
      <w:r w:rsidRPr="00F34DEE">
        <w:rPr>
          <w:rFonts w:ascii="Times New Roman" w:eastAsia="STKaiti" w:hAnsi="Times New Roman"/>
          <w:i/>
          <w:sz w:val="20"/>
          <w:szCs w:val="20"/>
          <w:lang w:val="es-US" w:eastAsia="es-US"/>
        </w:rPr>
        <w:t>El cubano que protestó durante la visita del Papa vive en EEUU</w:t>
      </w:r>
      <w:r w:rsidRPr="00C86F1B">
        <w:rPr>
          <w:rFonts w:ascii="Times New Roman" w:eastAsia="STKaiti" w:hAnsi="Times New Roman"/>
          <w:sz w:val="20"/>
          <w:szCs w:val="20"/>
          <w:lang w:val="es-US" w:eastAsia="es-US"/>
        </w:rPr>
        <w:t xml:space="preserve">.  El Nuevo Herald. </w:t>
      </w:r>
      <w:r>
        <w:rPr>
          <w:rFonts w:ascii="Times New Roman" w:eastAsia="STKaiti" w:hAnsi="Times New Roman"/>
          <w:sz w:val="20"/>
          <w:szCs w:val="20"/>
          <w:lang w:val="es-US" w:eastAsia="es-US"/>
        </w:rPr>
        <w:t>(</w:t>
      </w:r>
      <w:r w:rsidRPr="00C86F1B">
        <w:rPr>
          <w:rFonts w:ascii="Times New Roman" w:eastAsia="STKaiti" w:hAnsi="Times New Roman"/>
          <w:sz w:val="20"/>
          <w:szCs w:val="20"/>
          <w:lang w:val="es-US" w:eastAsia="es-US"/>
        </w:rPr>
        <w:t>…</w:t>
      </w:r>
      <w:r>
        <w:rPr>
          <w:rFonts w:ascii="Times New Roman" w:eastAsia="STKaiti" w:hAnsi="Times New Roman"/>
          <w:sz w:val="20"/>
          <w:szCs w:val="20"/>
          <w:lang w:val="es-US" w:eastAsia="es-US"/>
        </w:rPr>
        <w:t>)</w:t>
      </w:r>
      <w:r w:rsidRPr="00C86F1B">
        <w:rPr>
          <w:rFonts w:ascii="Times New Roman" w:eastAsia="STKaiti" w:hAnsi="Times New Roman"/>
          <w:sz w:val="20"/>
          <w:szCs w:val="20"/>
          <w:lang w:val="es-US" w:eastAsia="es-US"/>
        </w:rPr>
        <w:t xml:space="preserve"> Carrión, el hombre que fue captado en un video en el que gritaba “Abajo el comunismo” antes de la misa, y que fue golpeado, arrastrado y sacado del evento por agentes de seguridad vestidos de civil…Los videos de televisión lo muestran cuando es golpeado por varios simpatizantes del gobierno, incluyendo un hombre que usaba un chaleco de la Cruz Roja Cubana y llevaba una camilla plegada, antes de que agentes vestidos de civil lo saca</w:t>
      </w:r>
      <w:r>
        <w:rPr>
          <w:rFonts w:ascii="Times New Roman" w:eastAsia="STKaiti" w:hAnsi="Times New Roman"/>
          <w:sz w:val="20"/>
          <w:szCs w:val="20"/>
          <w:lang w:val="es-US" w:eastAsia="es-US"/>
        </w:rPr>
        <w:t>ran de la vista de las cámaras…</w:t>
      </w:r>
    </w:p>
  </w:footnote>
  <w:footnote w:id="239">
    <w:p w14:paraId="2CE60D7C" w14:textId="2290F315" w:rsidR="00172411" w:rsidRPr="004D1DD7" w:rsidRDefault="00172411" w:rsidP="009B191B">
      <w:pPr>
        <w:pStyle w:val="Textonotapie"/>
        <w:ind w:firstLine="0"/>
      </w:pPr>
      <w:r>
        <w:rPr>
          <w:rStyle w:val="Refdenotaalpie"/>
        </w:rPr>
        <w:footnoteRef/>
      </w:r>
      <w:r>
        <w:t xml:space="preserve"> Código Penal. ARTICULO 268. 1.  El que, de propósito, cause el aborto o destruya de cualquier manera el embrión, es sancionado (…) ARTICULO  269.  Si, como consecuencia de los hechos previstos en los dos artículos anteriores, resulta la muerte de la grávida, la sanción es de privación de libertad de cinco a doce años.</w:t>
      </w:r>
    </w:p>
  </w:footnote>
  <w:footnote w:id="240">
    <w:p w14:paraId="11E1F30A" w14:textId="77777777" w:rsidR="00172411" w:rsidRDefault="00172411" w:rsidP="004C4385">
      <w:pPr>
        <w:pStyle w:val="Textonotapie"/>
        <w:ind w:firstLine="0"/>
      </w:pPr>
      <w:r>
        <w:rPr>
          <w:rStyle w:val="Refdenotaalpie"/>
        </w:rPr>
        <w:footnoteRef/>
      </w:r>
      <w:r>
        <w:t xml:space="preserve"> Redacción. Febrero 2018. </w:t>
      </w:r>
      <w:r w:rsidRPr="00E04D12">
        <w:rPr>
          <w:i/>
        </w:rPr>
        <w:t>'Tu embarazo depende de ti', amenaza la Seguridad del Estado a la periodista de DDC Adriana Zamora.</w:t>
      </w:r>
      <w:r>
        <w:t xml:space="preserve"> Diario de Cuba. Disponible: http://www.diariodecuba.com/derechos-humanos/1517590719_37114.html  </w:t>
      </w:r>
    </w:p>
    <w:p w14:paraId="243585E0" w14:textId="77777777" w:rsidR="00172411" w:rsidRDefault="00172411" w:rsidP="004C4385">
      <w:pPr>
        <w:pStyle w:val="Textonotapie"/>
        <w:ind w:firstLine="0"/>
      </w:pPr>
      <w:r>
        <w:t>La Seguridad del Estado amenazó este viernes a la periodista de DIARIO DE CUBA Adriana Zamora con hacerle perder su embarazo, informaron ella misma y su pareja, Ernesto Carralero Burgos…</w:t>
      </w:r>
    </w:p>
  </w:footnote>
  <w:footnote w:id="241">
    <w:p w14:paraId="063CDE32" w14:textId="54B6350A" w:rsidR="00172411" w:rsidRPr="0070159E" w:rsidRDefault="00172411" w:rsidP="0070159E">
      <w:pPr>
        <w:pStyle w:val="Textonotapie"/>
        <w:ind w:firstLine="0"/>
        <w:rPr>
          <w:lang w:eastAsia="en-US"/>
        </w:rPr>
      </w:pPr>
      <w:r>
        <w:rPr>
          <w:rStyle w:val="Refdenotaalpie"/>
        </w:rPr>
        <w:footnoteRef/>
      </w:r>
      <w:r>
        <w:t xml:space="preserve"> </w:t>
      </w:r>
      <w:r>
        <w:rPr>
          <w:lang w:eastAsia="en-US"/>
        </w:rPr>
        <w:t xml:space="preserve">Constitución de la República de Cuba. </w:t>
      </w:r>
      <w:r w:rsidRPr="0070159E">
        <w:rPr>
          <w:lang w:eastAsia="en-US"/>
        </w:rPr>
        <w:t>ARTÍCULO 35.-El Estado protege la familia, la maternidad y el matrimonio.</w:t>
      </w:r>
    </w:p>
  </w:footnote>
  <w:footnote w:id="242">
    <w:p w14:paraId="205600D9" w14:textId="54C5E2F6" w:rsidR="00172411" w:rsidRPr="005361EA" w:rsidRDefault="00172411" w:rsidP="005361EA">
      <w:pPr>
        <w:pStyle w:val="Textonotapie"/>
        <w:ind w:firstLine="0"/>
        <w:rPr>
          <w:lang w:val="es-ES"/>
        </w:rPr>
      </w:pPr>
      <w:r>
        <w:rPr>
          <w:rStyle w:val="Refdenotaalpie"/>
        </w:rPr>
        <w:footnoteRef/>
      </w:r>
      <w:r>
        <w:t xml:space="preserve"> </w:t>
      </w:r>
      <w:r>
        <w:rPr>
          <w:lang w:eastAsia="en-US"/>
        </w:rPr>
        <w:t xml:space="preserve">Ibidem. </w:t>
      </w:r>
      <w:r>
        <w:t xml:space="preserve"> </w:t>
      </w:r>
      <w:r w:rsidRPr="0070159E">
        <w:rPr>
          <w:lang w:eastAsia="en-US"/>
        </w:rPr>
        <w:t xml:space="preserve">ARTÍCULO 26.-Toda persona que sufriere daño o perjuicio causado indebidamente por funcionarios o agentes del Estado con motivo del ejercicio de las funciones propias de sus cargos, tiene derecho a reclamar y obtener la correspondiente reparación o indemnización en la forma que establece la ley. </w:t>
      </w:r>
    </w:p>
  </w:footnote>
  <w:footnote w:id="243">
    <w:p w14:paraId="16129A12" w14:textId="7148B93A" w:rsidR="00172411" w:rsidRDefault="00172411" w:rsidP="00377040">
      <w:pPr>
        <w:pStyle w:val="Textonotapie"/>
        <w:ind w:firstLine="0"/>
      </w:pPr>
      <w:r>
        <w:rPr>
          <w:rStyle w:val="Refdenotaalpie"/>
        </w:rPr>
        <w:footnoteRef/>
      </w:r>
      <w:r>
        <w:t xml:space="preserve"> Redacción. 2 de octubre de 2017. Guantánamo. Cuba.  </w:t>
      </w:r>
      <w:r w:rsidRPr="00E04D12">
        <w:rPr>
          <w:i/>
        </w:rPr>
        <w:t>Seguridad del Estado amenaza a una periodista independiente con quitarla su hijo</w:t>
      </w:r>
      <w:r>
        <w:t xml:space="preserve">. Diario de Cuba. Disponible: </w:t>
      </w:r>
      <w:hyperlink r:id="rId78" w:history="1">
        <w:r w:rsidRPr="00F053CD">
          <w:rPr>
            <w:rStyle w:val="Hipervnculo"/>
          </w:rPr>
          <w:t>http://www.diariodecuba.com/derechoshumanos/1506976316_34358.html</w:t>
        </w:r>
      </w:hyperlink>
      <w:r>
        <w:t xml:space="preserve">  (…)La reportera de la agencia audiovisual independiente Palenque Visión Yaremis Buqueriget Socías y el coordinador general de la Alianza Democrática Oriental, Isael Poveda Silva, detenidos el jueves… para denunciarme ante el Departamento de Atención a Menores para quitarme a mis hijos y por… </w:t>
      </w:r>
    </w:p>
  </w:footnote>
  <w:footnote w:id="244">
    <w:p w14:paraId="62AD6CD8" w14:textId="20FE5FFA" w:rsidR="00172411" w:rsidRPr="002A41DA" w:rsidRDefault="00172411" w:rsidP="00165ECC">
      <w:pPr>
        <w:pStyle w:val="Textonotapie"/>
        <w:ind w:firstLine="0"/>
      </w:pPr>
      <w:r w:rsidRPr="00165ECC">
        <w:rPr>
          <w:vertAlign w:val="superscript"/>
        </w:rPr>
        <w:footnoteRef/>
      </w:r>
      <w:r w:rsidRPr="00165ECC">
        <w:t xml:space="preserve"> </w:t>
      </w:r>
      <w:r>
        <w:t>Diario de Cuba. La Habana | 16 Febrero, 2018</w:t>
      </w:r>
      <w:r w:rsidRPr="002A41DA">
        <w:t xml:space="preserve">. </w:t>
      </w:r>
      <w:r w:rsidRPr="002A41DA">
        <w:rPr>
          <w:i/>
        </w:rPr>
        <w:t>Centenares de matrimonios en la Isla aguardan por un niño en procesos de adopció</w:t>
      </w:r>
      <w:r w:rsidRPr="00F310B3">
        <w:rPr>
          <w:i/>
        </w:rPr>
        <w:t>n.</w:t>
      </w:r>
      <w:r w:rsidRPr="002A41DA">
        <w:t xml:space="preserve"> </w:t>
      </w:r>
      <w:r>
        <w:t>Disponible:</w:t>
      </w:r>
      <w:r w:rsidRPr="002A41DA">
        <w:t xml:space="preserve"> www.diariodecuba.com/cuba/1518772149_37415.html\</w:t>
      </w:r>
    </w:p>
  </w:footnote>
  <w:footnote w:id="245">
    <w:p w14:paraId="7A6BAA61" w14:textId="7F82EB63" w:rsidR="00172411" w:rsidRPr="00A610E0" w:rsidRDefault="00172411" w:rsidP="00C86F1B">
      <w:pPr>
        <w:pStyle w:val="Textonotapie"/>
        <w:spacing w:line="240" w:lineRule="atLeast"/>
        <w:ind w:firstLine="0"/>
      </w:pPr>
      <w:r>
        <w:rPr>
          <w:rStyle w:val="Refdenotaalpie"/>
        </w:rPr>
        <w:footnoteRef/>
      </w:r>
      <w:r>
        <w:t xml:space="preserve"> M.Sc. Caridad M. Fernández González  (2012) ACUERDO No. 72. Reglas de Brasilia. Justicia y Derecho, revista del Tribunal Supremo Popular de la República de Cuba Año 10, no. 18, junio de 2012. Pág. 176. Disponible en: http://www.tsp.cu/sites/default/files/divulga_cendij/18JusticiaDerecho.pdf</w:t>
      </w:r>
    </w:p>
  </w:footnote>
  <w:footnote w:id="246">
    <w:p w14:paraId="084A88C3" w14:textId="5C8D22A9" w:rsidR="00172411" w:rsidRDefault="00172411" w:rsidP="00AB75C7">
      <w:pPr>
        <w:pStyle w:val="Textonotapie"/>
        <w:ind w:firstLine="0"/>
        <w:rPr>
          <w:lang w:val="es-ES"/>
        </w:rPr>
      </w:pPr>
      <w:r>
        <w:rPr>
          <w:rStyle w:val="Refdenotaalpie"/>
        </w:rPr>
        <w:footnoteRef/>
      </w:r>
      <w:r>
        <w:t xml:space="preserve"> Juan C. Chavez. Diciembre 6, 2014. </w:t>
      </w:r>
      <w:r w:rsidRPr="008756F3">
        <w:rPr>
          <w:i/>
        </w:rPr>
        <w:t>Presionan a</w:t>
      </w:r>
      <w:r w:rsidRPr="00E7711E">
        <w:rPr>
          <w:i/>
        </w:rPr>
        <w:t xml:space="preserve"> familia de joven acuchillada para que cambie testimonio</w:t>
      </w:r>
      <w:r>
        <w:t>. El Nuevo Herald.</w:t>
      </w:r>
      <w:r>
        <w:rPr>
          <w:lang w:val="es-ES"/>
        </w:rPr>
        <w:t xml:space="preserve"> Disponible:</w:t>
      </w:r>
      <w:r>
        <w:t xml:space="preserve"> </w:t>
      </w:r>
      <w:r>
        <w:rPr>
          <w:lang w:val="es-ES"/>
        </w:rPr>
        <w:t>http://www.elnuevoherald.com/ultimas-noticias/a...</w:t>
      </w:r>
    </w:p>
  </w:footnote>
  <w:footnote w:id="247">
    <w:p w14:paraId="01ABF6DF" w14:textId="5D18DFA4" w:rsidR="00172411" w:rsidRDefault="00172411" w:rsidP="00B57558">
      <w:pPr>
        <w:pStyle w:val="Textonotapie"/>
        <w:ind w:firstLine="0"/>
      </w:pPr>
      <w:r>
        <w:rPr>
          <w:rStyle w:val="Refdenotaalpie"/>
        </w:rPr>
        <w:footnoteRef/>
      </w:r>
      <w:r>
        <w:t xml:space="preserve"> Idolidia Darias. Mayo 03, 2017. </w:t>
      </w:r>
      <w:r w:rsidRPr="00E7711E">
        <w:rPr>
          <w:i/>
        </w:rPr>
        <w:t>Policía en Cuba amenaza con abrir expediente de conducta a niña de 8 años</w:t>
      </w:r>
      <w:r>
        <w:t xml:space="preserve">. Martí Noticias. Disponible: </w:t>
      </w:r>
      <w:r w:rsidRPr="002B2808">
        <w:t xml:space="preserve">https://www.martinoticias.com/a/cuba-citan-menor-para-abririle-expediente-deconducta/144124.html. </w:t>
      </w:r>
    </w:p>
    <w:p w14:paraId="3D2A6735" w14:textId="77777777" w:rsidR="00172411" w:rsidRPr="00B57558" w:rsidRDefault="00172411" w:rsidP="00B57558">
      <w:pPr>
        <w:pStyle w:val="Textonotapie"/>
        <w:ind w:firstLine="0"/>
      </w:pPr>
      <w:r>
        <w:t>La madre de la menor interpretó el hecho como una forma de acoso a su familia, que ya sufre la separación del padre, el activista de UNPACU Yeider Fuentes, preso por supuesto delito de atentado.</w:t>
      </w:r>
    </w:p>
  </w:footnote>
  <w:footnote w:id="248">
    <w:p w14:paraId="50D1C11B" w14:textId="6F892F26" w:rsidR="00172411" w:rsidRDefault="00172411" w:rsidP="0069564E">
      <w:pPr>
        <w:pStyle w:val="Textonotapie"/>
        <w:ind w:firstLine="0"/>
      </w:pPr>
      <w:r w:rsidRPr="0069564E">
        <w:rPr>
          <w:vertAlign w:val="superscript"/>
        </w:rPr>
        <w:footnoteRef/>
      </w:r>
      <w:r w:rsidRPr="0069564E">
        <w:rPr>
          <w:vertAlign w:val="superscript"/>
        </w:rPr>
        <w:t xml:space="preserve"> </w:t>
      </w:r>
      <w:r>
        <w:t>María Matienzo Puerto.</w:t>
      </w:r>
      <w:r w:rsidRPr="00A94C74">
        <w:t xml:space="preserve"> </w:t>
      </w:r>
      <w:r>
        <w:t xml:space="preserve">20 febrero, 2018. </w:t>
      </w:r>
      <w:r w:rsidRPr="00E7711E">
        <w:rPr>
          <w:i/>
        </w:rPr>
        <w:t>Fiscalía de Pinar del Río se ensaña con joven madre</w:t>
      </w:r>
      <w:r>
        <w:t>.</w:t>
      </w:r>
      <w:r w:rsidRPr="00A94C74">
        <w:t xml:space="preserve"> </w:t>
      </w:r>
      <w:r>
        <w:t xml:space="preserve">Cubanet. </w:t>
      </w:r>
      <w:r w:rsidRPr="00A94C74">
        <w:t xml:space="preserve">Disponible en:                                                       </w:t>
      </w:r>
    </w:p>
    <w:p w14:paraId="00DE6FA2" w14:textId="2C07D2B3" w:rsidR="00172411" w:rsidRPr="00FF5925" w:rsidRDefault="00172411" w:rsidP="0069564E">
      <w:pPr>
        <w:pStyle w:val="Textonotapie"/>
        <w:ind w:firstLine="0"/>
      </w:pPr>
      <w:hyperlink r:id="rId79" w:history="1">
        <w:r w:rsidRPr="0069564E">
          <w:t>https://www.</w:t>
        </w:r>
        <w:bookmarkStart w:id="104" w:name="OLE_LINK81"/>
        <w:bookmarkStart w:id="105" w:name="OLE_LINK82"/>
        <w:r w:rsidRPr="0069564E">
          <w:t>cubanet</w:t>
        </w:r>
        <w:bookmarkEnd w:id="104"/>
        <w:bookmarkEnd w:id="105"/>
        <w:r w:rsidRPr="0069564E">
          <w:t>.org/mas-noticias/fiscalia-de-pinar-del-rio-se-ensana-con-joven-madre/</w:t>
        </w:r>
      </w:hyperlink>
      <w:r>
        <w:t xml:space="preserve"> </w:t>
      </w:r>
      <w:r w:rsidRPr="00A94C74">
        <w:t>Yamilka Abascal ha recibido nuevas amenazas por parte de las autoridades</w:t>
      </w:r>
    </w:p>
  </w:footnote>
  <w:footnote w:id="249">
    <w:p w14:paraId="66C1ABA7" w14:textId="284666D6" w:rsidR="00172411" w:rsidRPr="002B783E" w:rsidRDefault="00172411" w:rsidP="002B783E">
      <w:pPr>
        <w:pStyle w:val="TextBody"/>
        <w:spacing w:after="0" w:line="240" w:lineRule="atLeast"/>
        <w:rPr>
          <w:rFonts w:ascii="Times New Roman" w:eastAsia="STKaiti" w:hAnsi="Times New Roman" w:cs="Times New Roman"/>
          <w:color w:val="auto"/>
          <w:sz w:val="20"/>
          <w:szCs w:val="20"/>
          <w:lang w:eastAsia="es-US" w:bidi="ar-SA"/>
        </w:rPr>
      </w:pPr>
      <w:r w:rsidRPr="002B783E">
        <w:rPr>
          <w:rStyle w:val="Refdenotaalpie"/>
          <w:sz w:val="20"/>
          <w:szCs w:val="20"/>
        </w:rPr>
        <w:footnoteRef/>
      </w:r>
      <w:r w:rsidRPr="002B783E">
        <w:rPr>
          <w:rFonts w:ascii="Times New Roman" w:eastAsia="STKaiti" w:hAnsi="Times New Roman" w:cs="Times New Roman"/>
          <w:color w:val="auto"/>
          <w:sz w:val="20"/>
          <w:szCs w:val="20"/>
          <w:lang w:eastAsia="es-US" w:bidi="ar-SA"/>
        </w:rPr>
        <w:t xml:space="preserve">Jennifer Rosenberg.2009. </w:t>
      </w:r>
      <w:r w:rsidRPr="00E7711E">
        <w:rPr>
          <w:rFonts w:ascii="Times New Roman" w:eastAsia="STKaiti" w:hAnsi="Times New Roman" w:cs="Times New Roman"/>
          <w:i/>
          <w:color w:val="auto"/>
          <w:sz w:val="20"/>
          <w:szCs w:val="20"/>
          <w:lang w:eastAsia="es-US" w:bidi="ar-SA"/>
        </w:rPr>
        <w:t>La niñez también necesita de su papá: Hijos e hijas de padres encarcelados.</w:t>
      </w:r>
      <w:r w:rsidRPr="002B783E">
        <w:rPr>
          <w:rFonts w:ascii="Times New Roman" w:eastAsia="STKaiti" w:hAnsi="Times New Roman" w:cs="Times New Roman"/>
          <w:color w:val="auto"/>
          <w:sz w:val="20"/>
          <w:szCs w:val="20"/>
          <w:lang w:eastAsia="es-US" w:bidi="ar-SA"/>
        </w:rPr>
        <w:t xml:space="preserve"> </w:t>
      </w:r>
      <w:r w:rsidRPr="00EB55F6">
        <w:rPr>
          <w:rFonts w:ascii="Times New Roman" w:eastAsia="STKaiti" w:hAnsi="Times New Roman" w:cs="Times New Roman"/>
          <w:color w:val="auto"/>
          <w:sz w:val="20"/>
          <w:szCs w:val="20"/>
          <w:lang w:val="en-US" w:eastAsia="es-US" w:bidi="ar-SA"/>
        </w:rPr>
        <w:t xml:space="preserve">QUNO. Quaker United Nations Office. Disponible: </w:t>
      </w:r>
      <w:hyperlink r:id="rId80" w:history="1">
        <w:r w:rsidRPr="00EB55F6">
          <w:rPr>
            <w:rFonts w:ascii="Times New Roman" w:eastAsia="STKaiti" w:hAnsi="Times New Roman" w:cs="Times New Roman"/>
            <w:color w:val="auto"/>
            <w:sz w:val="20"/>
            <w:szCs w:val="20"/>
            <w:lang w:val="en-US" w:eastAsia="es-US" w:bidi="ar-SA"/>
          </w:rPr>
          <w:t>http://quno.org/sites/default/files/resources/ESPAN%CC%83OL_Children%20need%20dads%20too.pdf</w:t>
        </w:r>
      </w:hyperlink>
      <w:r w:rsidRPr="00EB55F6">
        <w:rPr>
          <w:rFonts w:ascii="Times New Roman" w:eastAsia="STKaiti" w:hAnsi="Times New Roman" w:cs="Times New Roman"/>
          <w:color w:val="auto"/>
          <w:sz w:val="20"/>
          <w:szCs w:val="20"/>
          <w:lang w:val="en-US" w:eastAsia="es-US" w:bidi="ar-SA"/>
        </w:rPr>
        <w:t xml:space="preserve">. </w:t>
      </w:r>
      <w:r w:rsidRPr="002B783E">
        <w:rPr>
          <w:rFonts w:ascii="Times New Roman" w:eastAsia="STKaiti" w:hAnsi="Times New Roman" w:cs="Times New Roman"/>
          <w:color w:val="auto"/>
          <w:sz w:val="20"/>
          <w:szCs w:val="20"/>
          <w:lang w:eastAsia="es-US" w:bidi="ar-SA"/>
        </w:rPr>
        <w:t>Pag.10</w:t>
      </w:r>
    </w:p>
  </w:footnote>
  <w:footnote w:id="250">
    <w:p w14:paraId="798716A6" w14:textId="77777777" w:rsidR="00172411" w:rsidRPr="0069564E" w:rsidRDefault="00172411" w:rsidP="009C30EB">
      <w:pPr>
        <w:pStyle w:val="Textonotapie"/>
        <w:ind w:firstLine="0"/>
      </w:pPr>
      <w:r>
        <w:rPr>
          <w:rStyle w:val="Refdenotaalpie"/>
        </w:rPr>
        <w:footnoteRef/>
      </w:r>
      <w:r>
        <w:t xml:space="preserve"> Idolidia Darias. Abril 17, 2017. </w:t>
      </w:r>
      <w:r w:rsidRPr="00E7711E">
        <w:rPr>
          <w:i/>
        </w:rPr>
        <w:t>El drama de una familia opositora dividida por la represión política en Cuba</w:t>
      </w:r>
      <w:r>
        <w:t xml:space="preserve">. Marti Noticias. Disponible en:  </w:t>
      </w:r>
      <w:r w:rsidRPr="00AE2D3D">
        <w:t>https://www.martinoticias.com/a/cuba-drama-familia-opositora-represion-politica/143151.html</w:t>
      </w:r>
      <w:r>
        <w:t xml:space="preserve">                                                     </w:t>
      </w:r>
    </w:p>
  </w:footnote>
  <w:footnote w:id="251">
    <w:p w14:paraId="48C39A84" w14:textId="55B4C64B" w:rsidR="00172411" w:rsidRPr="007B22C3" w:rsidRDefault="00172411" w:rsidP="00CC3335">
      <w:pPr>
        <w:pStyle w:val="Textonotapie"/>
        <w:ind w:firstLine="0"/>
      </w:pPr>
      <w:r>
        <w:rPr>
          <w:rStyle w:val="Refdenotaalpie"/>
        </w:rPr>
        <w:footnoteRef/>
      </w:r>
      <w:r>
        <w:t xml:space="preserve"> Articulo 5.</w:t>
      </w:r>
      <w:r w:rsidRPr="00CC3335">
        <w:t xml:space="preserve"> </w:t>
      </w:r>
      <w:r>
        <w:t>Orientación por parte de los progenitores. Los Estados respetarán las responsabilidades, derechos y deberes de los padres y las madres y les proporcionarán el apoyo y orientación apropiados para que los chicos y chicas puedan ejercer los derechos de la Convención.  Artículo 16.1 Ningún niño será objeto de injerencias arbitrarias o ilegales en su vida privada, su familia, su domicilio o su correspondencia ni de ataques ilegales a su honra y a su reputación. Artículo 16.2 El niño tiene derecho a la protección de la ley contra esas injerencias o ataques.</w:t>
      </w:r>
    </w:p>
  </w:footnote>
  <w:footnote w:id="252">
    <w:p w14:paraId="7C42A4D5" w14:textId="1E487B5C" w:rsidR="00172411" w:rsidRDefault="00172411" w:rsidP="00B10F33">
      <w:pPr>
        <w:pStyle w:val="Textonotapie"/>
        <w:ind w:firstLine="0"/>
        <w:rPr>
          <w:lang w:val="es-ES"/>
        </w:rPr>
      </w:pPr>
      <w:r>
        <w:rPr>
          <w:rStyle w:val="Refdenotaalpie"/>
        </w:rPr>
        <w:footnoteRef/>
      </w:r>
      <w:r>
        <w:t xml:space="preserve"> LEY No. 62 CODIGO PENAL (Modificado). </w:t>
      </w:r>
      <w:r>
        <w:rPr>
          <w:rFonts w:cs="Arial"/>
        </w:rPr>
        <w:t xml:space="preserve">Resistencia a la autoridad. </w:t>
      </w:r>
      <w:r>
        <w:rPr>
          <w:lang w:val="es-ES"/>
        </w:rPr>
        <w:t>Artículo 143.</w:t>
      </w:r>
    </w:p>
  </w:footnote>
  <w:footnote w:id="253">
    <w:p w14:paraId="23BA723F" w14:textId="1CE4BA31" w:rsidR="00172411" w:rsidRDefault="00172411" w:rsidP="00A84E75">
      <w:pPr>
        <w:pStyle w:val="Textonotapie"/>
        <w:ind w:firstLine="0"/>
        <w:rPr>
          <w:lang w:val="es-ES"/>
        </w:rPr>
      </w:pPr>
      <w:r>
        <w:rPr>
          <w:rStyle w:val="Refdenotaalpie"/>
        </w:rPr>
        <w:footnoteRef/>
      </w:r>
      <w:r>
        <w:t xml:space="preserve"> Idem. </w:t>
      </w:r>
      <w:r>
        <w:rPr>
          <w:rFonts w:cs="Arial"/>
        </w:rPr>
        <w:t>Propaganda enemiga</w:t>
      </w:r>
      <w:r>
        <w:rPr>
          <w:lang w:val="es-ES"/>
        </w:rPr>
        <w:t xml:space="preserve"> Artículo 103.</w:t>
      </w:r>
    </w:p>
  </w:footnote>
  <w:footnote w:id="254">
    <w:p w14:paraId="795938E9" w14:textId="3D231811" w:rsidR="00172411" w:rsidRPr="004D5CFC" w:rsidRDefault="00172411" w:rsidP="008B446D">
      <w:pPr>
        <w:pStyle w:val="Textonotapie"/>
        <w:spacing w:line="240" w:lineRule="atLeast"/>
        <w:ind w:firstLine="0"/>
        <w:rPr>
          <w:lang w:val="es-ES"/>
        </w:rPr>
      </w:pPr>
      <w:r>
        <w:rPr>
          <w:rStyle w:val="Refdenotaalpie"/>
        </w:rPr>
        <w:footnoteRef/>
      </w:r>
      <w:r>
        <w:t xml:space="preserve">LEY No. 62 CODIGO PENAL (Modificado). Desacato. </w:t>
      </w:r>
      <w:r>
        <w:rPr>
          <w:lang w:val="es-ES"/>
        </w:rPr>
        <w:t>Artículo 144.</w:t>
      </w:r>
    </w:p>
  </w:footnote>
  <w:footnote w:id="255">
    <w:p w14:paraId="11E9AC66" w14:textId="1321C34C" w:rsidR="00172411" w:rsidRDefault="00172411" w:rsidP="008B446D">
      <w:pPr>
        <w:pStyle w:val="Textonotapie"/>
        <w:spacing w:line="240" w:lineRule="atLeast"/>
        <w:ind w:firstLine="0"/>
      </w:pPr>
      <w:r>
        <w:rPr>
          <w:rStyle w:val="Refdenotaalpie"/>
        </w:rPr>
        <w:footnoteRef/>
      </w:r>
      <w:r>
        <w:t xml:space="preserve"> CEDAW/C/CUB/CO/6. 2006.  Paras. 11-12.</w:t>
      </w:r>
    </w:p>
  </w:footnote>
  <w:footnote w:id="256">
    <w:p w14:paraId="44291A0E" w14:textId="58A94836" w:rsidR="00172411" w:rsidRPr="008B446D" w:rsidRDefault="00172411" w:rsidP="008B446D">
      <w:pPr>
        <w:pStyle w:val="Textonotapie"/>
        <w:spacing w:line="240" w:lineRule="atLeast"/>
        <w:ind w:firstLine="0"/>
      </w:pPr>
      <w:r>
        <w:rPr>
          <w:rStyle w:val="Refdenotaalpie"/>
        </w:rPr>
        <w:footnoteRef/>
      </w:r>
      <w:r w:rsidRPr="008B446D">
        <w:rPr>
          <w:lang w:val="es-ES"/>
        </w:rPr>
        <w:t xml:space="preserve"> </w:t>
      </w:r>
      <w:r w:rsidRPr="008B446D">
        <w:t>CEDAW/C/CUB/CO/7-8.</w:t>
      </w:r>
      <w:r>
        <w:t xml:space="preserve"> 2013.</w:t>
      </w:r>
      <w:r w:rsidRPr="008B446D">
        <w:t xml:space="preserve"> Paras.</w:t>
      </w:r>
      <w:r>
        <w:t>10-13</w:t>
      </w:r>
      <w:r w:rsidRPr="008B446D">
        <w:t xml:space="preserve">  </w:t>
      </w:r>
      <w:r>
        <w:rPr>
          <w:color w:val="0D0D0D"/>
          <w:lang w:val="es-ES" w:eastAsia="en-US"/>
        </w:rPr>
        <w:t xml:space="preserve">Disponible:  </w:t>
      </w:r>
      <w:r w:rsidRPr="008B446D">
        <w:t xml:space="preserve">     </w:t>
      </w:r>
    </w:p>
    <w:p w14:paraId="7EC104EA" w14:textId="77D95FD4" w:rsidR="00172411" w:rsidRPr="008B446D" w:rsidRDefault="00172411" w:rsidP="008B446D">
      <w:pPr>
        <w:pStyle w:val="Textonotapie"/>
        <w:spacing w:line="240" w:lineRule="atLeast"/>
        <w:ind w:firstLine="0"/>
        <w:rPr>
          <w:sz w:val="18"/>
          <w:szCs w:val="18"/>
          <w:lang w:val="cs-CZ"/>
        </w:rPr>
      </w:pPr>
      <w:hyperlink r:id="rId81" w:history="1">
        <w:r w:rsidRPr="008B446D">
          <w:rPr>
            <w:sz w:val="18"/>
            <w:szCs w:val="18"/>
          </w:rPr>
          <w:t>http://tbinternet.ohchr.org/_layouts/treatybodyexternal/Download.aspx?symbolno=CEDAW%2fC%2fCUB%2fCO%2f7-8&amp;Lang=en</w:t>
        </w:r>
      </w:hyperlink>
      <w:r w:rsidRPr="008B446D">
        <w:rPr>
          <w:sz w:val="18"/>
          <w:szCs w:val="18"/>
          <w:lang w:val="cs-CZ"/>
        </w:rPr>
        <w:t xml:space="preserve">                              </w:t>
      </w:r>
    </w:p>
  </w:footnote>
  <w:footnote w:id="257">
    <w:p w14:paraId="4C878139" w14:textId="1120B917" w:rsidR="00172411" w:rsidRPr="00BB525F" w:rsidRDefault="00172411" w:rsidP="008B446D">
      <w:pPr>
        <w:pStyle w:val="Textonotapie"/>
        <w:spacing w:line="240" w:lineRule="atLeast"/>
        <w:ind w:firstLine="0"/>
        <w:rPr>
          <w:lang w:val="es-ES"/>
        </w:rPr>
      </w:pPr>
      <w:r>
        <w:rPr>
          <w:rStyle w:val="Refdenotaalpie"/>
        </w:rPr>
        <w:footnoteRef/>
      </w:r>
      <w:r>
        <w:t xml:space="preserve"> </w:t>
      </w:r>
      <w:r>
        <w:rPr>
          <w:lang w:val="es-ES"/>
        </w:rPr>
        <w:t xml:space="preserve">A/HRC/WG.6/4/CUB/2  </w:t>
      </w:r>
      <w:r>
        <w:t>18 diciembre 2008.   página 5 Párrafo 10</w:t>
      </w:r>
    </w:p>
  </w:footnote>
  <w:footnote w:id="258">
    <w:p w14:paraId="6B272A0D" w14:textId="083ED300" w:rsidR="00172411" w:rsidRPr="00556F0C" w:rsidRDefault="00172411" w:rsidP="00345DF7">
      <w:pPr>
        <w:pStyle w:val="Textonotapie"/>
        <w:ind w:firstLine="0"/>
        <w:rPr>
          <w:lang w:eastAsia="en-US"/>
        </w:rPr>
      </w:pPr>
      <w:r>
        <w:rPr>
          <w:rStyle w:val="Refdenotaalpie"/>
        </w:rPr>
        <w:footnoteRef/>
      </w:r>
      <w:r>
        <w:t xml:space="preserve"> </w:t>
      </w:r>
      <w:r>
        <w:rPr>
          <w:lang w:eastAsia="en-US"/>
        </w:rPr>
        <w:t xml:space="preserve">Constitución de la República de </w:t>
      </w:r>
      <w:r>
        <w:rPr>
          <w:color w:val="000000"/>
          <w:lang w:eastAsia="es-MX"/>
        </w:rPr>
        <w:t>Cuba</w:t>
      </w:r>
      <w:r>
        <w:rPr>
          <w:lang w:eastAsia="en-US"/>
        </w:rPr>
        <w:t xml:space="preserve">. </w:t>
      </w:r>
      <w:r w:rsidRPr="00556F0C">
        <w:rPr>
          <w:lang w:eastAsia="en-US"/>
        </w:rPr>
        <w:t>ARTICULO 127</w:t>
      </w:r>
    </w:p>
  </w:footnote>
  <w:footnote w:id="259">
    <w:p w14:paraId="14A135D0" w14:textId="0FF91452" w:rsidR="00172411" w:rsidRPr="00C65A7F" w:rsidRDefault="00172411" w:rsidP="00C65A7F">
      <w:pPr>
        <w:pStyle w:val="Textonotapie"/>
        <w:ind w:firstLine="0"/>
        <w:rPr>
          <w:lang w:eastAsia="en-US"/>
        </w:rPr>
      </w:pPr>
      <w:r w:rsidRPr="00556F0C">
        <w:rPr>
          <w:sz w:val="22"/>
          <w:szCs w:val="22"/>
          <w:vertAlign w:val="superscript"/>
          <w:lang w:eastAsia="en-US"/>
        </w:rPr>
        <w:footnoteRef/>
      </w:r>
      <w:r w:rsidRPr="00556F0C">
        <w:rPr>
          <w:sz w:val="22"/>
          <w:szCs w:val="22"/>
          <w:vertAlign w:val="superscript"/>
          <w:lang w:eastAsia="en-US"/>
        </w:rPr>
        <w:t xml:space="preserve"> </w:t>
      </w:r>
      <w:r>
        <w:rPr>
          <w:lang w:eastAsia="en-US"/>
        </w:rPr>
        <w:t xml:space="preserve">Ibidem. </w:t>
      </w:r>
      <w:r w:rsidRPr="00556F0C">
        <w:rPr>
          <w:lang w:eastAsia="en-US"/>
        </w:rPr>
        <w:t>ARTICULO 10</w:t>
      </w:r>
    </w:p>
  </w:footnote>
  <w:footnote w:id="260">
    <w:p w14:paraId="5090ED17" w14:textId="2ACF4C0D" w:rsidR="00172411" w:rsidRPr="00556F0C" w:rsidRDefault="00172411" w:rsidP="00AD4919">
      <w:pPr>
        <w:pStyle w:val="Textonotapie"/>
        <w:ind w:firstLine="0"/>
        <w:rPr>
          <w:lang w:eastAsia="en-US"/>
        </w:rPr>
      </w:pPr>
      <w:r w:rsidRPr="00556F0C">
        <w:rPr>
          <w:sz w:val="22"/>
          <w:szCs w:val="22"/>
          <w:vertAlign w:val="superscript"/>
          <w:lang w:eastAsia="en-US"/>
        </w:rPr>
        <w:footnoteRef/>
      </w:r>
      <w:r w:rsidRPr="00556F0C">
        <w:rPr>
          <w:sz w:val="22"/>
          <w:szCs w:val="22"/>
          <w:vertAlign w:val="superscript"/>
          <w:lang w:eastAsia="en-US"/>
        </w:rPr>
        <w:t xml:space="preserve"> </w:t>
      </w:r>
      <w:r>
        <w:rPr>
          <w:lang w:eastAsia="en-US"/>
        </w:rPr>
        <w:t xml:space="preserve">Ibidem.. </w:t>
      </w:r>
      <w:r w:rsidRPr="00556F0C">
        <w:rPr>
          <w:lang w:eastAsia="en-US"/>
        </w:rPr>
        <w:t>ARTICULO 66</w:t>
      </w:r>
    </w:p>
  </w:footnote>
  <w:footnote w:id="261">
    <w:p w14:paraId="13825FCA" w14:textId="015DBF4C" w:rsidR="00172411" w:rsidRPr="00604B71" w:rsidRDefault="00172411" w:rsidP="00086D8B">
      <w:pPr>
        <w:pStyle w:val="Textonotapie"/>
        <w:ind w:firstLine="0"/>
        <w:rPr>
          <w:lang w:val="en-US"/>
        </w:rPr>
      </w:pPr>
      <w:r>
        <w:rPr>
          <w:rStyle w:val="Refdenotaalpie"/>
        </w:rPr>
        <w:footnoteRef/>
      </w:r>
      <w:r>
        <w:t xml:space="preserve"> ACDEI tiene documentado un caso (2016) de un afrodescendiente, atleta retirado del equipo nacional, citado personalmente a una reunión con el director de la Dirección Municipal de Deportes (INDER) Diez de Octubre, La Habana, Sr. Mario Martínez. El día de la reunión en la oficina del Director, sentado en el buró estaba un presunto agente de la policía política, esta persona dijo llamarse David y realizo una entrevista intimidante al exatleta. </w:t>
      </w:r>
      <w:r>
        <w:rPr>
          <w:lang w:val="es-ES"/>
        </w:rPr>
        <w:t xml:space="preserve">Código penal. Capitulo II Delitos Contra la Seguridad Interior del Estado. </w:t>
      </w:r>
      <w:r w:rsidRPr="00604B71">
        <w:rPr>
          <w:lang w:val="en-US"/>
        </w:rPr>
        <w:t xml:space="preserve">Artículo 102, Artículo 120. Artículo 121. Artículo 125. Artículo 128. </w:t>
      </w:r>
    </w:p>
  </w:footnote>
  <w:footnote w:id="262">
    <w:p w14:paraId="50B01582" w14:textId="7931D2C0" w:rsidR="00172411" w:rsidRPr="009F3DD0" w:rsidRDefault="00172411" w:rsidP="000A24B8">
      <w:pPr>
        <w:spacing w:after="0" w:line="240" w:lineRule="atLeast"/>
        <w:rPr>
          <w:sz w:val="24"/>
          <w:szCs w:val="24"/>
          <w:lang w:val="en-US"/>
        </w:rPr>
      </w:pPr>
      <w:r>
        <w:rPr>
          <w:rStyle w:val="Refdenotaalpie"/>
        </w:rPr>
        <w:footnoteRef/>
      </w:r>
      <w:r w:rsidRPr="00F97F8A">
        <w:rPr>
          <w:lang w:val="en-US"/>
        </w:rPr>
        <w:t xml:space="preserve"> </w:t>
      </w:r>
      <w:r w:rsidRPr="009F3DD0">
        <w:rPr>
          <w:rFonts w:ascii="Times New Roman" w:hAnsi="Times New Roman"/>
          <w:sz w:val="20"/>
          <w:szCs w:val="20"/>
          <w:lang w:val="en-US"/>
        </w:rPr>
        <w:t xml:space="preserve">Austrian Red Cross/ACCORD - Austrian Centre for Country of Origin &amp; Asylum Research and Documentation. </w:t>
      </w:r>
      <w:r w:rsidRPr="00604B71">
        <w:rPr>
          <w:rFonts w:ascii="Times New Roman" w:hAnsi="Times New Roman"/>
          <w:sz w:val="20"/>
          <w:szCs w:val="20"/>
          <w:lang w:val="en-US"/>
        </w:rPr>
        <w:t>August 2017.</w:t>
      </w:r>
      <w:r w:rsidRPr="00604B71">
        <w:rPr>
          <w:rFonts w:ascii="Times New Roman" w:hAnsi="Times New Roman"/>
          <w:i/>
          <w:sz w:val="20"/>
          <w:szCs w:val="20"/>
          <w:lang w:val="en-US"/>
        </w:rPr>
        <w:t>Cuba: Travel Regulations and Civil and Political Rights .COI Compilation</w:t>
      </w:r>
      <w:r w:rsidRPr="00604B71">
        <w:rPr>
          <w:rFonts w:ascii="Times New Roman" w:hAnsi="Times New Roman"/>
          <w:sz w:val="20"/>
          <w:szCs w:val="20"/>
          <w:lang w:val="en-US"/>
        </w:rPr>
        <w:t xml:space="preserve">. </w:t>
      </w:r>
      <w:r w:rsidRPr="009F3DD0">
        <w:rPr>
          <w:rFonts w:ascii="Times New Roman" w:hAnsi="Times New Roman"/>
          <w:sz w:val="20"/>
          <w:szCs w:val="20"/>
          <w:lang w:val="en-US"/>
        </w:rPr>
        <w:t xml:space="preserve">Available: </w:t>
      </w:r>
      <w:hyperlink r:id="rId82" w:history="1">
        <w:r w:rsidRPr="009F3DD0">
          <w:rPr>
            <w:rFonts w:ascii="Times New Roman" w:hAnsi="Times New Roman"/>
            <w:sz w:val="20"/>
            <w:szCs w:val="20"/>
            <w:lang w:val="en-US"/>
          </w:rPr>
          <w:t>https://www.ecoi.net/en/file/local/1406025/1226_1504088552_accord-coi-compilation-cuba.pdf</w:t>
        </w:r>
      </w:hyperlink>
      <w:r w:rsidRPr="009F3DD0">
        <w:rPr>
          <w:rFonts w:ascii="Times New Roman" w:hAnsi="Times New Roman"/>
          <w:sz w:val="20"/>
          <w:szCs w:val="20"/>
          <w:lang w:val="en-US"/>
        </w:rPr>
        <w:t xml:space="preserve">   </w:t>
      </w:r>
      <w:r>
        <w:rPr>
          <w:rFonts w:ascii="Times New Roman" w:hAnsi="Times New Roman"/>
          <w:sz w:val="20"/>
          <w:szCs w:val="20"/>
          <w:lang w:val="en-US"/>
        </w:rPr>
        <w:t xml:space="preserve"> 2.1.5 Repercussions for family members of political activists, political prisoners and human rights activists   Page 103.</w:t>
      </w:r>
    </w:p>
  </w:footnote>
  <w:footnote w:id="263">
    <w:p w14:paraId="084F3177" w14:textId="4E364A3D" w:rsidR="00172411" w:rsidRDefault="00172411" w:rsidP="000A24B8">
      <w:pPr>
        <w:pStyle w:val="Textonotapie"/>
        <w:spacing w:line="240" w:lineRule="atLeast"/>
        <w:ind w:firstLine="0"/>
      </w:pPr>
      <w:r>
        <w:rPr>
          <w:rStyle w:val="Refdenotaalpie"/>
        </w:rPr>
        <w:footnoteRef/>
      </w:r>
      <w:r>
        <w:t xml:space="preserve"> Oficina de las Naciones Unidas Contra la Droga y el Delito. Viena. Nueva York, 2007. </w:t>
      </w:r>
      <w:r w:rsidRPr="00E7711E">
        <w:rPr>
          <w:i/>
        </w:rPr>
        <w:t>Recopilación de reglas y normas de las Naciones Unidas en la esfera de la prevención del delito y la justicia penal.</w:t>
      </w:r>
      <w:r>
        <w:t xml:space="preserve"> Disponible en:                                                       </w:t>
      </w:r>
      <w:hyperlink r:id="rId83" w:history="1">
        <w:r>
          <w:rPr>
            <w:rStyle w:val="Hipervnculo"/>
          </w:rPr>
          <w:t>https://www.unodc.org/pdf/criminal_justice/Compendium_UN_Standards_and_Norms_CP_and_CJ_Spanish.pdf</w:t>
        </w:r>
      </w:hyperlink>
      <w:r>
        <w:t xml:space="preserve">                                                                          Pág. 396. 53. Directrices de las Naciones Unidas sobre la función de los fiscales (…) Pág. 399.  Función de los fiscales en el procedimiento penal .10. El cargo de fiscal estará estrictamente separado de las funciones judiciales (…) 13. En cumplimiento de sus obligaciones, los fiscales: a) Desempeñarán sus funciones de manera imparcial y evitarán todo tipo de discriminación política, social, religiosa, racial, cultural, sexual o de otra índole; Pág. 400 (…) d) Considerarán las opiniones e inquietudes de las víctimas cuando se vean afectados sus intereses personales y asegurarán que se informe a las víctimas de sus derechos con arreglo a la Declaración sobre los principios fundamentales de justicia para las víctimas de delitos y del abuso de poder.   </w:t>
      </w:r>
    </w:p>
  </w:footnote>
  <w:footnote w:id="264">
    <w:p w14:paraId="01DBCF3E" w14:textId="13CAD211" w:rsidR="00172411" w:rsidRPr="00283D0D" w:rsidRDefault="00172411" w:rsidP="003D4C8D">
      <w:pPr>
        <w:pStyle w:val="Textonotapie"/>
        <w:tabs>
          <w:tab w:val="left" w:pos="1318"/>
        </w:tabs>
        <w:ind w:firstLine="0"/>
        <w:rPr>
          <w:lang w:val="es-ES"/>
        </w:rPr>
      </w:pPr>
      <w:r w:rsidRPr="00A82667">
        <w:rPr>
          <w:rStyle w:val="Refdenotaalpie"/>
          <w:sz w:val="22"/>
          <w:szCs w:val="22"/>
        </w:rPr>
        <w:footnoteRef/>
      </w:r>
      <w:r w:rsidRPr="00377F6A">
        <w:rPr>
          <w:sz w:val="22"/>
          <w:szCs w:val="22"/>
          <w:lang w:val="en-US"/>
        </w:rPr>
        <w:t xml:space="preserve"> </w:t>
      </w:r>
      <w:r w:rsidRPr="00377F6A">
        <w:rPr>
          <w:lang w:val="en-US"/>
        </w:rPr>
        <w:t xml:space="preserve">CERD/C/CUB/CO/14-18   Párrafo 13. </w:t>
      </w:r>
      <w:r>
        <w:t>Pag.3</w:t>
      </w:r>
    </w:p>
  </w:footnote>
  <w:footnote w:id="265">
    <w:p w14:paraId="7F3D25B2" w14:textId="263E7E66" w:rsidR="00172411" w:rsidRPr="008901D1" w:rsidRDefault="00172411" w:rsidP="008B485E">
      <w:pPr>
        <w:spacing w:after="0" w:line="240" w:lineRule="atLeast"/>
        <w:rPr>
          <w:rFonts w:ascii="Times New Roman" w:hAnsi="Times New Roman"/>
          <w:color w:val="0D0D0D"/>
          <w:sz w:val="20"/>
          <w:szCs w:val="20"/>
        </w:rPr>
      </w:pPr>
      <w:r>
        <w:rPr>
          <w:rStyle w:val="Refdenotaalpie"/>
        </w:rPr>
        <w:footnoteRef/>
      </w:r>
      <w:r>
        <w:t xml:space="preserve">  </w:t>
      </w:r>
      <w:r w:rsidRPr="00613AC8">
        <w:rPr>
          <w:rFonts w:ascii="Times New Roman" w:hAnsi="Times New Roman"/>
          <w:color w:val="0D0D0D"/>
          <w:sz w:val="20"/>
          <w:szCs w:val="20"/>
        </w:rPr>
        <w:t>ACNUR.</w:t>
      </w:r>
      <w:r>
        <w:rPr>
          <w:rFonts w:ascii="Times New Roman" w:hAnsi="Times New Roman"/>
          <w:color w:val="0D0D0D"/>
          <w:sz w:val="20"/>
          <w:szCs w:val="20"/>
        </w:rPr>
        <w:t xml:space="preserve"> </w:t>
      </w:r>
      <w:r w:rsidRPr="00613AC8">
        <w:rPr>
          <w:rFonts w:ascii="Times New Roman" w:hAnsi="Times New Roman"/>
          <w:color w:val="0D0D0D"/>
          <w:sz w:val="20"/>
          <w:szCs w:val="20"/>
        </w:rPr>
        <w:t xml:space="preserve">Agencia de la ONU para refugiados. Dic. 2009. </w:t>
      </w:r>
      <w:r w:rsidRPr="00644F53">
        <w:rPr>
          <w:rFonts w:ascii="Times New Roman" w:hAnsi="Times New Roman"/>
          <w:i/>
          <w:color w:val="0D0D0D"/>
          <w:sz w:val="20"/>
          <w:szCs w:val="20"/>
        </w:rPr>
        <w:t>La lucha contra el racismo, la discriminación racial, la xenofobia y las formas conexas de intolerancia a través de un enfoque estratégico</w:t>
      </w:r>
      <w:r>
        <w:rPr>
          <w:rFonts w:ascii="Times New Roman" w:hAnsi="Times New Roman"/>
          <w:color w:val="0D0D0D"/>
          <w:sz w:val="20"/>
          <w:szCs w:val="20"/>
        </w:rPr>
        <w:t>.</w:t>
      </w:r>
      <w:r w:rsidRPr="00613AC8">
        <w:t xml:space="preserve"> </w:t>
      </w:r>
      <w:r>
        <w:rPr>
          <w:rFonts w:ascii="Times New Roman" w:hAnsi="Times New Roman"/>
          <w:color w:val="0D0D0D"/>
          <w:sz w:val="20"/>
          <w:szCs w:val="20"/>
        </w:rPr>
        <w:t>P</w:t>
      </w:r>
      <w:r w:rsidRPr="00613AC8">
        <w:rPr>
          <w:rFonts w:ascii="Times New Roman" w:hAnsi="Times New Roman"/>
          <w:color w:val="0D0D0D"/>
          <w:sz w:val="20"/>
          <w:szCs w:val="20"/>
        </w:rPr>
        <w:t>ág. 6</w:t>
      </w:r>
      <w:r>
        <w:rPr>
          <w:rFonts w:ascii="Times New Roman" w:hAnsi="Times New Roman"/>
          <w:color w:val="0D0D0D"/>
          <w:sz w:val="20"/>
          <w:szCs w:val="20"/>
        </w:rPr>
        <w:t xml:space="preserve">. </w:t>
      </w:r>
      <w:r w:rsidRPr="00613AC8">
        <w:rPr>
          <w:rFonts w:ascii="Times New Roman" w:hAnsi="Times New Roman"/>
          <w:color w:val="0D0D0D"/>
          <w:sz w:val="20"/>
          <w:szCs w:val="20"/>
        </w:rPr>
        <w:t xml:space="preserve">Disponible:  </w:t>
      </w:r>
      <w:hyperlink r:id="rId84" w:history="1">
        <w:r w:rsidRPr="00613AC8">
          <w:rPr>
            <w:rFonts w:ascii="Times New Roman" w:hAnsi="Times New Roman"/>
            <w:color w:val="0D0D0D"/>
            <w:sz w:val="20"/>
            <w:szCs w:val="20"/>
          </w:rPr>
          <w:t>http://www.refworld.org/pdfid/4b600a132.pdf</w:t>
        </w:r>
      </w:hyperlink>
      <w:r>
        <w:rPr>
          <w:rFonts w:ascii="Times New Roman" w:hAnsi="Times New Roman"/>
          <w:color w:val="0D0D0D"/>
          <w:sz w:val="20"/>
          <w:szCs w:val="20"/>
        </w:rPr>
        <w:t xml:space="preserve"> ...</w:t>
      </w:r>
      <w:r>
        <w:t xml:space="preserve"> </w:t>
      </w:r>
      <w:r w:rsidRPr="00AD4A41">
        <w:rPr>
          <w:rFonts w:ascii="Times New Roman" w:hAnsi="Times New Roman"/>
          <w:color w:val="0D0D0D"/>
          <w:sz w:val="20"/>
          <w:szCs w:val="20"/>
        </w:rPr>
        <w:t>La prohibición de la discriminación por motivos de raza, color, sexo, idioma, religión, opinión política o de otra índole, origen nacional o social, propiedad, nacimiento u otra condición está contenida en todos los tratados de derechos humanos de la ONU.</w:t>
      </w:r>
    </w:p>
  </w:footnote>
  <w:footnote w:id="266">
    <w:p w14:paraId="6D92BA51" w14:textId="71880054" w:rsidR="00172411" w:rsidRPr="001C3457" w:rsidRDefault="00172411" w:rsidP="001C3457">
      <w:pPr>
        <w:pStyle w:val="Textoindependiente"/>
        <w:spacing w:after="0" w:line="240" w:lineRule="atLeast"/>
        <w:ind w:firstLine="0"/>
        <w:rPr>
          <w:rFonts w:ascii="Times New Roman" w:hAnsi="Times New Roman" w:cs="Times New Roman"/>
          <w:sz w:val="20"/>
          <w:szCs w:val="20"/>
          <w:lang w:val="es-ES"/>
        </w:rPr>
      </w:pPr>
      <w:r>
        <w:rPr>
          <w:rStyle w:val="Refdenotaalpie"/>
        </w:rPr>
        <w:footnoteRef/>
      </w:r>
      <w:r>
        <w:t xml:space="preserve"> </w:t>
      </w:r>
      <w:r>
        <w:rPr>
          <w:rFonts w:ascii="Times New Roman" w:hAnsi="Times New Roman" w:cs="Times New Roman"/>
          <w:sz w:val="20"/>
          <w:szCs w:val="20"/>
        </w:rPr>
        <w:t xml:space="preserve">Sergio García Ramírez (s/f) Universidad Nacional Autónoma de México.  </w:t>
      </w:r>
      <w:r>
        <w:rPr>
          <w:rFonts w:ascii="Times New Roman" w:hAnsi="Times New Roman" w:cs="Times New Roman"/>
          <w:i/>
          <w:sz w:val="20"/>
          <w:szCs w:val="20"/>
        </w:rPr>
        <w:t>Los principios penales fundamentales</w:t>
      </w:r>
      <w:r>
        <w:rPr>
          <w:rFonts w:ascii="Times New Roman" w:hAnsi="Times New Roman" w:cs="Times New Roman"/>
          <w:sz w:val="20"/>
          <w:szCs w:val="20"/>
        </w:rPr>
        <w:t xml:space="preserve">. Pág. 71(50). Disponible: </w:t>
      </w:r>
      <w:r>
        <w:rPr>
          <w:rStyle w:val="Quotation"/>
          <w:rFonts w:ascii="Times New Roman" w:hAnsi="Times New Roman"/>
          <w:i w:val="0"/>
          <w:sz w:val="20"/>
          <w:szCs w:val="20"/>
          <w:lang w:val="es-ES"/>
        </w:rPr>
        <w:t>https://archivos.juridicas.unam.mx/www/bjv/libros/1/282/3.pdf</w:t>
      </w:r>
      <w:r>
        <w:rPr>
          <w:i/>
        </w:rPr>
        <w:t xml:space="preserve">  </w:t>
      </w:r>
      <w:r>
        <w:rPr>
          <w:rFonts w:ascii="Times New Roman" w:hAnsi="Times New Roman" w:cs="Times New Roman"/>
          <w:sz w:val="20"/>
          <w:szCs w:val="20"/>
        </w:rPr>
        <w:t>Libro completo en: https://goo.gl/yTzd7V</w:t>
      </w:r>
    </w:p>
  </w:footnote>
  <w:footnote w:id="267">
    <w:p w14:paraId="5A596A45" w14:textId="57C6D98F" w:rsidR="00172411" w:rsidRPr="004D1DD7" w:rsidRDefault="00172411" w:rsidP="004D1DD7">
      <w:pPr>
        <w:pStyle w:val="Textonotapie"/>
        <w:ind w:firstLine="0"/>
        <w:rPr>
          <w:lang w:val="es-ES"/>
        </w:rPr>
      </w:pPr>
      <w:r>
        <w:rPr>
          <w:rStyle w:val="Refdenotaalpie"/>
        </w:rPr>
        <w:footnoteRef/>
      </w:r>
      <w:r>
        <w:t xml:space="preserve"> Código Penal. </w:t>
      </w:r>
      <w:r w:rsidRPr="004D1DD7">
        <w:t>ARTICULO 269.</w:t>
      </w:r>
    </w:p>
  </w:footnote>
  <w:footnote w:id="268">
    <w:p w14:paraId="2A64133D" w14:textId="77777777" w:rsidR="00172411" w:rsidRDefault="00172411" w:rsidP="00AD4145">
      <w:pPr>
        <w:pStyle w:val="Textonotapie"/>
        <w:spacing w:line="240" w:lineRule="atLeast"/>
        <w:ind w:firstLine="0"/>
        <w:rPr>
          <w:lang w:val="es-MX"/>
        </w:rPr>
      </w:pPr>
      <w:r>
        <w:rPr>
          <w:vertAlign w:val="superscript"/>
          <w:lang w:val="es-MX"/>
        </w:rPr>
        <w:footnoteRef/>
      </w:r>
      <w:r>
        <w:rPr>
          <w:lang w:val="es-MX"/>
        </w:rPr>
        <w:t xml:space="preserve"> Unicef-Cuba. 2016. </w:t>
      </w:r>
      <w:r w:rsidRPr="00E7711E">
        <w:rPr>
          <w:i/>
          <w:lang w:val="es-MX"/>
        </w:rPr>
        <w:t>Niñez y adolescencia.</w:t>
      </w:r>
      <w:r>
        <w:rPr>
          <w:lang w:val="es-MX"/>
        </w:rPr>
        <w:t xml:space="preserve"> Disponible: </w:t>
      </w:r>
      <w:hyperlink r:id="rId85" w:history="1">
        <w:r>
          <w:rPr>
            <w:rStyle w:val="Hipervnculo"/>
            <w:color w:val="auto"/>
            <w:lang w:val="es-MX"/>
          </w:rPr>
          <w:t>https://www.unicef.org/cuba/adolescence_31368.html</w:t>
        </w:r>
      </w:hyperlink>
      <w:r>
        <w:rPr>
          <w:lang w:val="es-MX"/>
        </w:rPr>
        <w:t>.  El 21 % de la población de Cuba tiene de 0 a 18 años.</w:t>
      </w:r>
    </w:p>
  </w:footnote>
  <w:footnote w:id="269">
    <w:p w14:paraId="5C42C7C7" w14:textId="77777777" w:rsidR="00172411" w:rsidRDefault="00172411" w:rsidP="00AD4145">
      <w:pPr>
        <w:pStyle w:val="Textonotapie"/>
        <w:spacing w:line="240" w:lineRule="atLeast"/>
        <w:ind w:firstLine="0"/>
        <w:rPr>
          <w:lang w:val="es-MX"/>
        </w:rPr>
      </w:pPr>
      <w:r>
        <w:rPr>
          <w:vertAlign w:val="superscript"/>
          <w:lang w:val="es-MX"/>
        </w:rPr>
        <w:footnoteRef/>
      </w:r>
      <w:r>
        <w:rPr>
          <w:vertAlign w:val="superscript"/>
          <w:lang w:val="es-MX"/>
        </w:rPr>
        <w:t xml:space="preserve"> </w:t>
      </w:r>
      <w:r>
        <w:rPr>
          <w:lang w:val="es-MX"/>
        </w:rPr>
        <w:t xml:space="preserve"> Cubadebate. 16 abril 2014. </w:t>
      </w:r>
      <w:r w:rsidRPr="00E7711E">
        <w:rPr>
          <w:i/>
          <w:lang w:val="es-MX"/>
        </w:rPr>
        <w:t>Cuba en números: Lo que el Censo (2012) nos dejó</w:t>
      </w:r>
      <w:r>
        <w:rPr>
          <w:lang w:val="es-MX"/>
        </w:rPr>
        <w:t xml:space="preserve">. Cubadebate. Prensa Digital. Disponible: </w:t>
      </w:r>
      <w:hyperlink r:id="rId86" w:anchor=".Wbhv58iGNQI" w:history="1">
        <w:r>
          <w:rPr>
            <w:rStyle w:val="Hipervnculo"/>
            <w:color w:val="auto"/>
            <w:lang w:val="es-MX"/>
          </w:rPr>
          <w:t>http://www.cubadebate.cu/noticias/2014/04/16/cuba-en-numeros-lo-que-el-censo-nos-dejo/#.Wbhv58iGNQI</w:t>
        </w:r>
      </w:hyperlink>
      <w:r>
        <w:rPr>
          <w:lang w:val="es-MX"/>
        </w:rPr>
        <w:t>.  El 18,2% tiene de 0 a 14 años.</w:t>
      </w:r>
    </w:p>
  </w:footnote>
  <w:footnote w:id="270">
    <w:p w14:paraId="08F6F51D" w14:textId="77777777" w:rsidR="00172411" w:rsidRDefault="00172411" w:rsidP="00AD4145">
      <w:pPr>
        <w:pStyle w:val="Textonotapie"/>
        <w:spacing w:line="240" w:lineRule="atLeast"/>
        <w:ind w:firstLine="0"/>
        <w:rPr>
          <w:lang w:val="es-MX"/>
        </w:rPr>
      </w:pPr>
      <w:r>
        <w:rPr>
          <w:vertAlign w:val="superscript"/>
          <w:lang w:val="es-MX"/>
        </w:rPr>
        <w:footnoteRef/>
      </w:r>
      <w:r>
        <w:rPr>
          <w:lang w:val="es-MX"/>
        </w:rPr>
        <w:t xml:space="preserve">  Inter Press Service en Cuba. </w:t>
      </w:r>
      <w:r w:rsidRPr="00E7711E">
        <w:rPr>
          <w:i/>
          <w:lang w:val="es-MX"/>
        </w:rPr>
        <w:t>La adolescencia de Cuba requiere más investigaciones, según panelistas</w:t>
      </w:r>
      <w:r>
        <w:rPr>
          <w:lang w:val="es-MX"/>
        </w:rPr>
        <w:t xml:space="preserve">. Disponible: </w:t>
      </w:r>
      <w:hyperlink r:id="rId87" w:history="1">
        <w:r>
          <w:rPr>
            <w:rStyle w:val="Hipervnculo"/>
            <w:color w:val="auto"/>
            <w:lang w:val="es-MX"/>
          </w:rPr>
          <w:t>http://www.ipscuba.net/sociedad/la-adolescencia-de-cuba-requiere-mas-investigaciones-segun-panelistas/</w:t>
        </w:r>
      </w:hyperlink>
      <w:r>
        <w:rPr>
          <w:lang w:val="es-MX"/>
        </w:rPr>
        <w:t xml:space="preserve">  Cerca de 12 % tiene entre 12 y 19 años, por debajo de la media mundial.</w:t>
      </w:r>
    </w:p>
  </w:footnote>
  <w:footnote w:id="271">
    <w:p w14:paraId="05260885" w14:textId="0C51CAA2" w:rsidR="00172411" w:rsidRDefault="00172411" w:rsidP="00AD4145">
      <w:pPr>
        <w:pStyle w:val="Textonotapie"/>
        <w:spacing w:line="240" w:lineRule="atLeast"/>
        <w:ind w:firstLine="0"/>
        <w:rPr>
          <w:lang w:val="es-MX"/>
        </w:rPr>
      </w:pPr>
      <w:r>
        <w:rPr>
          <w:rStyle w:val="Refdenotaalpie"/>
        </w:rPr>
        <w:footnoteRef/>
      </w:r>
      <w:r>
        <w:rPr>
          <w:lang w:val="es-MX"/>
        </w:rPr>
        <w:t xml:space="preserve"> Constitución de la República de Cuba. CAPITULO IV. FAMILIA. ARTÍCULO 40.-La niñez y la juventud disfrutan de particular protección por parte del Estado y la sociedad. La familia, la escuela, los órganos estatales y las organizaciones de masas y sociales tienen el deber de prestar especial atención a la formación integral de la niñez y la juventud. Disponible: http://www.gacetaoficial.cu/html/ constitución _de_la_republica.html</w:t>
      </w:r>
    </w:p>
  </w:footnote>
  <w:footnote w:id="272">
    <w:p w14:paraId="6BECABE6" w14:textId="2E9B5C41" w:rsidR="00172411" w:rsidRPr="00E81657" w:rsidRDefault="00172411" w:rsidP="00AB09D3">
      <w:pPr>
        <w:pStyle w:val="Textonotapie"/>
        <w:ind w:firstLine="0"/>
        <w:rPr>
          <w:lang w:val="es-ES"/>
        </w:rPr>
      </w:pPr>
      <w:r>
        <w:rPr>
          <w:rStyle w:val="Refdenotaalpie"/>
        </w:rPr>
        <w:footnoteRef/>
      </w:r>
      <w:r w:rsidRPr="00AB09D3">
        <w:rPr>
          <w:lang w:val="es-ES"/>
        </w:rPr>
        <w:t xml:space="preserve"> </w:t>
      </w:r>
      <w:r>
        <w:t xml:space="preserve">Leonardo B. Pérez Gallardo(s/f) </w:t>
      </w:r>
      <w:r>
        <w:rPr>
          <w:i/>
        </w:rPr>
        <w:t>Luces y Sombras en Torno a la Regulación Jurídica de la Filiación en Cuba.</w:t>
      </w:r>
      <w:r>
        <w:t xml:space="preserve"> Revista Jurídica No. 11. 2012-2014. Pag.28 Disponible: http:// www.minjus.cu     </w:t>
      </w:r>
    </w:p>
  </w:footnote>
  <w:footnote w:id="273">
    <w:p w14:paraId="1F218586" w14:textId="77777777" w:rsidR="00172411" w:rsidRPr="003813A4" w:rsidRDefault="00172411" w:rsidP="00AD4145">
      <w:pPr>
        <w:pStyle w:val="Textonotapie"/>
        <w:spacing w:line="240" w:lineRule="atLeast"/>
        <w:ind w:firstLine="0"/>
        <w:rPr>
          <w:lang w:val="es-ES"/>
        </w:rPr>
      </w:pPr>
      <w:r>
        <w:rPr>
          <w:rStyle w:val="Refdenotaalpie"/>
          <w:sz w:val="22"/>
          <w:szCs w:val="22"/>
        </w:rPr>
        <w:footnoteRef/>
      </w:r>
      <w:r w:rsidRPr="003813A4">
        <w:rPr>
          <w:lang w:val="es-ES"/>
        </w:rPr>
        <w:t xml:space="preserve">CRC/C/CUB/CO/2 (2011) Disponible:http://www2.ohchr.org/english/bodies/crc/docs/co/CRC.C.CUB.CO.2_sp.doc  </w:t>
      </w:r>
    </w:p>
  </w:footnote>
  <w:footnote w:id="274">
    <w:p w14:paraId="0BF1E3E6" w14:textId="1838B411" w:rsidR="00172411" w:rsidRPr="00922614" w:rsidRDefault="00172411" w:rsidP="004F01F3">
      <w:pPr>
        <w:pStyle w:val="Textonotapie"/>
        <w:ind w:firstLine="0"/>
        <w:rPr>
          <w:lang w:val="es-ES"/>
        </w:rPr>
      </w:pPr>
      <w:r>
        <w:rPr>
          <w:rStyle w:val="Refdenotaalpie"/>
        </w:rPr>
        <w:footnoteRef/>
      </w:r>
      <w:r w:rsidRPr="00D1290F">
        <w:rPr>
          <w:lang w:val="es-ES"/>
        </w:rPr>
        <w:t xml:space="preserve"> </w:t>
      </w:r>
      <w:r w:rsidRPr="00D1290F">
        <w:rPr>
          <w:color w:val="000000"/>
          <w:sz w:val="22"/>
          <w:szCs w:val="22"/>
          <w:lang w:val="es-ES"/>
        </w:rPr>
        <w:t>CERD/C/CUB/CO/14-18</w:t>
      </w:r>
      <w:r w:rsidRPr="00D1290F">
        <w:rPr>
          <w:color w:val="000000"/>
          <w:sz w:val="18"/>
          <w:szCs w:val="18"/>
          <w:lang w:val="es-ES"/>
        </w:rPr>
        <w:t xml:space="preserve">. </w:t>
      </w:r>
      <w:r w:rsidRPr="00377F6A">
        <w:rPr>
          <w:color w:val="000000"/>
          <w:sz w:val="18"/>
          <w:szCs w:val="18"/>
          <w:lang w:val="es-ES"/>
        </w:rPr>
        <w:t xml:space="preserve">Parras. 18. </w:t>
      </w:r>
      <w:r w:rsidRPr="00922614">
        <w:rPr>
          <w:color w:val="000000"/>
          <w:sz w:val="18"/>
          <w:szCs w:val="18"/>
          <w:lang w:val="es-ES"/>
        </w:rPr>
        <w:t>Pág. 4</w:t>
      </w:r>
    </w:p>
  </w:footnote>
  <w:footnote w:id="275">
    <w:p w14:paraId="014D1A59" w14:textId="77777777" w:rsidR="00172411" w:rsidRDefault="00172411" w:rsidP="006D0D28">
      <w:pPr>
        <w:pStyle w:val="TextBody"/>
        <w:spacing w:after="0" w:line="240" w:lineRule="atLeast"/>
        <w:rPr>
          <w:rFonts w:ascii="Times New Roman" w:eastAsia="STKaiti" w:hAnsi="Times New Roman" w:cs="Tahoma"/>
          <w:color w:val="auto"/>
          <w:sz w:val="20"/>
          <w:szCs w:val="20"/>
          <w:lang w:eastAsia="ja-JP" w:bidi="ar-SA"/>
        </w:rPr>
      </w:pPr>
      <w:r>
        <w:rPr>
          <w:rFonts w:ascii="Times New Roman" w:hAnsi="Times New Roman" w:cs="Tahoma"/>
          <w:sz w:val="22"/>
          <w:szCs w:val="22"/>
          <w:vertAlign w:val="superscript"/>
          <w:lang w:eastAsia="ja-JP"/>
        </w:rPr>
        <w:footnoteRef/>
      </w:r>
      <w:r>
        <w:rPr>
          <w:rFonts w:ascii="Times New Roman" w:eastAsia="STKaiti" w:hAnsi="Times New Roman" w:cs="Tahoma"/>
          <w:color w:val="auto"/>
          <w:sz w:val="20"/>
          <w:szCs w:val="20"/>
          <w:lang w:eastAsia="ja-JP" w:bidi="ar-SA"/>
        </w:rPr>
        <w:t xml:space="preserve"> Redacción Nacional . Enero 3, 2018. </w:t>
      </w:r>
      <w:r>
        <w:rPr>
          <w:rFonts w:ascii="Times New Roman" w:eastAsia="STKaiti" w:hAnsi="Times New Roman" w:cs="Tahoma"/>
          <w:i/>
          <w:color w:val="auto"/>
          <w:sz w:val="20"/>
          <w:szCs w:val="20"/>
          <w:lang w:eastAsia="ja-JP" w:bidi="ar-SA"/>
        </w:rPr>
        <w:t>Entraron en vigor nuevas medidas migratorias</w:t>
      </w:r>
      <w:r>
        <w:rPr>
          <w:rFonts w:ascii="Times New Roman" w:eastAsia="STKaiti" w:hAnsi="Times New Roman" w:cs="Tahoma"/>
          <w:color w:val="auto"/>
          <w:sz w:val="20"/>
          <w:szCs w:val="20"/>
          <w:lang w:eastAsia="ja-JP" w:bidi="ar-SA"/>
        </w:rPr>
        <w:t xml:space="preserve"> .Granma . Disponible en:  </w:t>
      </w:r>
      <w:hyperlink r:id="rId88" w:history="1">
        <w:r>
          <w:rPr>
            <w:rStyle w:val="Hipervnculo"/>
            <w:rFonts w:eastAsia="STKaiti" w:cs="Tahoma"/>
            <w:color w:val="auto"/>
            <w:sz w:val="20"/>
            <w:szCs w:val="20"/>
            <w:lang w:eastAsia="ja-JP" w:bidi="ar-SA"/>
          </w:rPr>
          <w:t>http://www.granma.cu/cuba/2018-01-03/entraron-en-vigor-nuevas-medidas-migratorias-03-01-2018-00-01-29</w:t>
        </w:r>
      </w:hyperlink>
      <w:r>
        <w:rPr>
          <w:rFonts w:ascii="Times New Roman" w:eastAsia="STKaiti" w:hAnsi="Times New Roman" w:cs="Tahoma"/>
          <w:color w:val="auto"/>
          <w:sz w:val="20"/>
          <w:szCs w:val="20"/>
          <w:lang w:eastAsia="ja-JP" w:bidi="ar-SA"/>
        </w:rPr>
        <w:t xml:space="preserve">  (…) De igual forma, se debe esclarecer que la habilitación y la prórroga del pasaporte no son la misma cosa, y se mantiene la segunda, de acuerdo con la legislación vigente que establece que el pasaporte corriente es válido por dos años y prorrogable por igual término hasta un total de seis años. En tanto, la habilitación es un requisito para los emigrados cubanos que no posean limitaciones para viajar a Cuba. Con su eliminación se benefician más de 823 000 personas…</w:t>
      </w:r>
    </w:p>
  </w:footnote>
  <w:footnote w:id="276">
    <w:p w14:paraId="089EA7A0" w14:textId="327753FF" w:rsidR="00172411" w:rsidRDefault="00172411" w:rsidP="00AA3D5D">
      <w:pPr>
        <w:pStyle w:val="Textonotapie"/>
        <w:spacing w:line="240" w:lineRule="atLeast"/>
        <w:ind w:firstLine="0"/>
      </w:pPr>
      <w:r>
        <w:rPr>
          <w:rStyle w:val="Refdenotaalpie"/>
          <w:sz w:val="22"/>
          <w:szCs w:val="22"/>
        </w:rPr>
        <w:footnoteRef/>
      </w:r>
      <w:r>
        <w:t xml:space="preserve"> </w:t>
      </w:r>
      <w:r>
        <w:rPr>
          <w:lang w:eastAsia="ja-JP"/>
        </w:rPr>
        <w:t xml:space="preserve">Consejo de Estado. 2017.  Decreto-Ley No. 352 (GOC-2017-908-EX63) Gaceta Oficial No. 63 Extraordinaria de 30 de diciembre de 2017. Cuba. </w:t>
      </w:r>
      <w:r>
        <w:t xml:space="preserve">Disponible en:  </w:t>
      </w:r>
      <w:hyperlink r:id="rId89" w:history="1">
        <w:r>
          <w:rPr>
            <w:rStyle w:val="Hipervnculo"/>
          </w:rPr>
          <w:t>http://www.refworld.org.es/docid/5a5e371b4.html</w:t>
        </w:r>
      </w:hyperlink>
      <w:r>
        <w:t xml:space="preserve"> DISPOSICIONES ESPECIALES. SEGUNDA: Cuando el interesado, el padre o madre cubanos o representantes legales de los menores de edad comprendidos en el presente Decreto-Ley, hayan cometido hechos o realizado acciones contra los fundamentos políticos, sociales y económicos del Estado cubano, se archiva el expediente iniciado y se notifica al solicitante. Los hijos menores de edad, de las personas a que se refiere el párrafo anterior, al arribar a la mayoría de edad, pueden solicitar la adquisición de la ciudadanía cubana, de acuerdo con las demás disposiciones de este Decreto-Ley.</w:t>
      </w:r>
    </w:p>
  </w:footnote>
  <w:footnote w:id="277">
    <w:p w14:paraId="46A92C47" w14:textId="5303A965" w:rsidR="00172411" w:rsidRPr="00B7734D" w:rsidRDefault="00172411" w:rsidP="00AA3D5D">
      <w:pPr>
        <w:pStyle w:val="Textonotapie"/>
        <w:spacing w:line="240" w:lineRule="atLeast"/>
        <w:ind w:firstLine="0"/>
        <w:rPr>
          <w:lang w:val="en-US"/>
        </w:rPr>
      </w:pPr>
      <w:r>
        <w:rPr>
          <w:rStyle w:val="Refdenotaalpie"/>
        </w:rPr>
        <w:footnoteRef/>
      </w:r>
      <w:r>
        <w:rPr>
          <w:lang w:val="en-US"/>
        </w:rPr>
        <w:t>David Weissbrodt ,</w:t>
      </w:r>
      <w:r w:rsidRPr="00B7734D">
        <w:rPr>
          <w:lang w:val="en-US"/>
        </w:rPr>
        <w:t xml:space="preserve"> Joseph C. Hansen, and Nathaniel H. Nesbitt</w:t>
      </w:r>
      <w:r>
        <w:rPr>
          <w:lang w:val="en-US"/>
        </w:rPr>
        <w:t xml:space="preserve">. </w:t>
      </w:r>
      <w:r w:rsidRPr="003C6E60">
        <w:rPr>
          <w:i/>
          <w:lang w:val="en-US"/>
        </w:rPr>
        <w:t>2011 / The Role of the Committee on the Rights of the Child in Interpreting and Developing International Humanitarian Law</w:t>
      </w:r>
      <w:r>
        <w:rPr>
          <w:lang w:val="en-US"/>
        </w:rPr>
        <w:t xml:space="preserve">. </w:t>
      </w:r>
      <w:r w:rsidRPr="00B7734D">
        <w:rPr>
          <w:lang w:val="en-US"/>
        </w:rPr>
        <w:t>Harvard Human Rights Journal / Vol. 24</w:t>
      </w:r>
      <w:r>
        <w:rPr>
          <w:lang w:val="en-US"/>
        </w:rPr>
        <w:t xml:space="preserve">. Available: </w:t>
      </w:r>
      <w:r w:rsidRPr="003C6E60">
        <w:rPr>
          <w:lang w:val="en-US"/>
        </w:rPr>
        <w:t>http://harvardhrj.com/wp-content/uploads/2009/09/115-154.pdf</w:t>
      </w:r>
      <w:r>
        <w:rPr>
          <w:lang w:val="en-US"/>
        </w:rPr>
        <w:t xml:space="preserve">     Page </w:t>
      </w:r>
      <w:r w:rsidRPr="00B7734D">
        <w:rPr>
          <w:lang w:val="en-US"/>
        </w:rPr>
        <w:t>119</w:t>
      </w:r>
      <w:r>
        <w:rPr>
          <w:lang w:val="en-US"/>
        </w:rPr>
        <w:t xml:space="preserve">  (…) Whereas </w:t>
      </w:r>
      <w:r w:rsidRPr="00B7734D">
        <w:rPr>
          <w:lang w:val="en-US"/>
        </w:rPr>
        <w:t>the Human Rights Committee utilizes ot</w:t>
      </w:r>
      <w:r>
        <w:rPr>
          <w:lang w:val="en-US"/>
        </w:rPr>
        <w:t xml:space="preserve">her human rights instruments to </w:t>
      </w:r>
      <w:r w:rsidRPr="00B7734D">
        <w:rPr>
          <w:lang w:val="en-US"/>
        </w:rPr>
        <w:t>delineate Civil and Political Covenant prote</w:t>
      </w:r>
      <w:r>
        <w:rPr>
          <w:lang w:val="en-US"/>
        </w:rPr>
        <w:t xml:space="preserve">ctions, the CRC considers other </w:t>
      </w:r>
      <w:r w:rsidRPr="00B7734D">
        <w:rPr>
          <w:lang w:val="en-US"/>
        </w:rPr>
        <w:t xml:space="preserve">international instruments as functionally </w:t>
      </w:r>
      <w:r>
        <w:rPr>
          <w:lang w:val="en-US"/>
        </w:rPr>
        <w:t xml:space="preserve">interrelated.  Consequently, it </w:t>
      </w:r>
      <w:r w:rsidRPr="00B7734D">
        <w:rPr>
          <w:lang w:val="en-US"/>
        </w:rPr>
        <w:t>deems itself competent to evaluate States’ o</w:t>
      </w:r>
      <w:r>
        <w:rPr>
          <w:lang w:val="en-US"/>
        </w:rPr>
        <w:t xml:space="preserve">verall human rights obligations </w:t>
      </w:r>
      <w:r w:rsidRPr="00B7734D">
        <w:rPr>
          <w:lang w:val="en-US"/>
        </w:rPr>
        <w:t>as they relate to children</w:t>
      </w:r>
      <w:r>
        <w:rPr>
          <w:lang w:val="en-US"/>
        </w:rPr>
        <w:t>...</w:t>
      </w:r>
    </w:p>
  </w:footnote>
  <w:footnote w:id="278">
    <w:p w14:paraId="30B38F51" w14:textId="127960B4" w:rsidR="00172411" w:rsidRPr="009D37DB" w:rsidRDefault="00172411" w:rsidP="009D37DB">
      <w:pPr>
        <w:pStyle w:val="Textonotapie"/>
        <w:ind w:firstLine="0"/>
        <w:rPr>
          <w:lang w:val="es-ES"/>
        </w:rPr>
      </w:pPr>
      <w:r>
        <w:rPr>
          <w:rStyle w:val="Refdenotaalpie"/>
        </w:rPr>
        <w:footnoteRef/>
      </w:r>
      <w:r>
        <w:t xml:space="preserve"> </w:t>
      </w:r>
      <w:r>
        <w:rPr>
          <w:rFonts w:cs="Arial"/>
        </w:rPr>
        <w:t>Una breve remisión a</w:t>
      </w:r>
      <w:r>
        <w:rPr>
          <w:rFonts w:cs="Arial"/>
          <w:vertAlign w:val="superscript"/>
        </w:rPr>
        <w:t xml:space="preserve"> </w:t>
      </w:r>
      <w:r>
        <w:rPr>
          <w:rFonts w:cs="Arial"/>
        </w:rPr>
        <w:t>la doctrina jurídica</w:t>
      </w:r>
      <w:r w:rsidRPr="009D37DB">
        <w:rPr>
          <w:rFonts w:cs="Arial"/>
        </w:rPr>
        <w:t xml:space="preserve"> </w:t>
      </w:r>
      <w:r>
        <w:rPr>
          <w:rFonts w:cs="Arial"/>
        </w:rPr>
        <w:t>establece que la Constitución contiene los</w:t>
      </w:r>
      <w:r w:rsidRPr="009D37DB">
        <w:rPr>
          <w:rFonts w:cs="Arial"/>
        </w:rPr>
        <w:t xml:space="preserve"> </w:t>
      </w:r>
      <w:r>
        <w:rPr>
          <w:rFonts w:cs="Arial"/>
        </w:rPr>
        <w:t>principios generales de la sociedad a los cuales</w:t>
      </w:r>
      <w:r w:rsidRPr="009D37DB">
        <w:rPr>
          <w:rFonts w:cs="Arial"/>
        </w:rPr>
        <w:t xml:space="preserve"> </w:t>
      </w:r>
      <w:r>
        <w:rPr>
          <w:rFonts w:cs="Arial"/>
        </w:rPr>
        <w:t>deben sujetarse las normas de inferior</w:t>
      </w:r>
      <w:r w:rsidRPr="009D37DB">
        <w:rPr>
          <w:rFonts w:cs="Arial"/>
        </w:rPr>
        <w:t xml:space="preserve"> </w:t>
      </w:r>
      <w:r>
        <w:rPr>
          <w:rFonts w:cs="Arial"/>
        </w:rPr>
        <w:t>jerarquía.</w:t>
      </w:r>
    </w:p>
  </w:footnote>
  <w:footnote w:id="279">
    <w:p w14:paraId="20FFC147" w14:textId="77777777" w:rsidR="00172411" w:rsidRDefault="00172411" w:rsidP="00BC6CD6">
      <w:pPr>
        <w:pStyle w:val="Textonotapie"/>
        <w:ind w:firstLine="0"/>
      </w:pPr>
      <w:r>
        <w:rPr>
          <w:rStyle w:val="Refdenotaalpie"/>
          <w:sz w:val="22"/>
          <w:szCs w:val="22"/>
        </w:rPr>
        <w:footnoteRef/>
      </w:r>
      <w:r>
        <w:t xml:space="preserve"> Asociación Cubana para Desarrollo de la Educación Infantil (ACDEI) 2017. </w:t>
      </w:r>
      <w:r>
        <w:rPr>
          <w:i/>
        </w:rPr>
        <w:t>Contribución de ACDEI al Comité Contra Las Desapariciones Forzadas</w:t>
      </w:r>
      <w:r>
        <w:t xml:space="preserve">. Disponible: </w:t>
      </w:r>
      <w:hyperlink r:id="rId90" w:history="1">
        <w:r>
          <w:rPr>
            <w:rStyle w:val="Hipervnculo"/>
          </w:rPr>
          <w:t>http://tbinternet.ohchr.org/_layouts/treatybodyexternal/Download.aspx?symbolno=INT%2fCED%2fICO%2fCUB%2f 24739 &amp;Lang=en</w:t>
        </w:r>
      </w:hyperlink>
      <w:r>
        <w:t>.   Pág. 24</w:t>
      </w:r>
    </w:p>
  </w:footnote>
  <w:footnote w:id="280">
    <w:p w14:paraId="11CF5828" w14:textId="3DB49F09" w:rsidR="00172411" w:rsidRPr="009C02EF" w:rsidRDefault="00172411" w:rsidP="00BC6CD6">
      <w:pPr>
        <w:pStyle w:val="Textoindependiente"/>
        <w:spacing w:after="0" w:line="240" w:lineRule="auto"/>
        <w:ind w:firstLine="0"/>
        <w:rPr>
          <w:rFonts w:ascii="Times New Roman" w:hAnsi="Times New Roman"/>
          <w:sz w:val="20"/>
          <w:szCs w:val="20"/>
          <w:lang w:eastAsia="ja-JP"/>
        </w:rPr>
      </w:pPr>
      <w:r>
        <w:rPr>
          <w:rStyle w:val="Refdenotaalpie"/>
        </w:rPr>
        <w:footnoteRef/>
      </w:r>
      <w:r w:rsidRPr="009C02EF">
        <w:rPr>
          <w:rFonts w:ascii="Times New Roman" w:hAnsi="Times New Roman" w:cs="Arial"/>
          <w:sz w:val="20"/>
          <w:szCs w:val="20"/>
        </w:rPr>
        <w:t>Jean Tomkin. Octubre 2009. Huérfanos de la justicia.</w:t>
      </w:r>
      <w:r>
        <w:rPr>
          <w:rFonts w:ascii="Times New Roman" w:hAnsi="Times New Roman" w:cs="Arial"/>
          <w:sz w:val="20"/>
          <w:szCs w:val="20"/>
        </w:rPr>
        <w:t xml:space="preserve"> </w:t>
      </w:r>
      <w:r w:rsidRPr="009C02EF">
        <w:rPr>
          <w:rFonts w:ascii="Times New Roman" w:hAnsi="Times New Roman" w:cs="Arial"/>
          <w:sz w:val="20"/>
          <w:szCs w:val="20"/>
        </w:rPr>
        <w:t>Buscando el interés superior del menor cuando se encarcela a su progenitor(a):</w:t>
      </w:r>
      <w:r>
        <w:rPr>
          <w:rFonts w:ascii="Times New Roman" w:hAnsi="Times New Roman" w:cs="Arial"/>
          <w:sz w:val="20"/>
          <w:szCs w:val="20"/>
        </w:rPr>
        <w:t xml:space="preserve"> </w:t>
      </w:r>
      <w:r w:rsidRPr="009C02EF">
        <w:rPr>
          <w:rFonts w:ascii="Times New Roman" w:hAnsi="Times New Roman" w:cs="Arial"/>
          <w:sz w:val="20"/>
          <w:szCs w:val="20"/>
        </w:rPr>
        <w:t xml:space="preserve">un análisis legal. Quaker United Nations Office. Disponible: </w:t>
      </w:r>
      <w:r w:rsidRPr="009C02EF">
        <w:rPr>
          <w:rFonts w:ascii="Arial Narrow" w:hAnsi="Arial Narrow" w:cs="Arial"/>
          <w:sz w:val="20"/>
          <w:szCs w:val="20"/>
        </w:rPr>
        <w:t>http://www.quno.org/sites/default/files/resources/ESPAN%CC%83OL_Children%20Im</w:t>
      </w:r>
      <w:r>
        <w:rPr>
          <w:rFonts w:ascii="Arial Narrow" w:hAnsi="Arial Narrow" w:cs="Arial"/>
          <w:sz w:val="20"/>
          <w:szCs w:val="20"/>
        </w:rPr>
        <w:t>prisoned%20by%20Circumstance.pdf</w:t>
      </w:r>
      <w:r>
        <w:t xml:space="preserve">  </w:t>
      </w:r>
      <w:r w:rsidRPr="009C02EF">
        <w:rPr>
          <w:rFonts w:ascii="Times New Roman" w:hAnsi="Times New Roman"/>
          <w:sz w:val="20"/>
          <w:szCs w:val="20"/>
          <w:lang w:eastAsia="ja-JP"/>
        </w:rPr>
        <w:t>Pag.</w:t>
      </w:r>
      <w:r w:rsidRPr="009C02EF">
        <w:rPr>
          <w:rFonts w:ascii="Times New Roman" w:hAnsi="Times New Roman"/>
          <w:sz w:val="18"/>
          <w:szCs w:val="18"/>
          <w:lang w:eastAsia="ja-JP"/>
        </w:rPr>
        <w:t>25 (19)</w:t>
      </w:r>
    </w:p>
  </w:footnote>
  <w:footnote w:id="281">
    <w:p w14:paraId="188AF478" w14:textId="77777777" w:rsidR="00172411" w:rsidRDefault="00172411" w:rsidP="00BC6CD6">
      <w:pPr>
        <w:pStyle w:val="Textonotapie"/>
        <w:ind w:firstLine="0"/>
        <w:rPr>
          <w:rFonts w:cs="Tahoma"/>
          <w:lang w:eastAsia="ja-JP"/>
        </w:rPr>
      </w:pPr>
      <w:r>
        <w:rPr>
          <w:rStyle w:val="Refdenotaalpie"/>
        </w:rPr>
        <w:footnoteRef/>
      </w:r>
      <w:r>
        <w:rPr>
          <w:rFonts w:cs="Tahoma"/>
          <w:lang w:eastAsia="ja-JP"/>
        </w:rPr>
        <w:t xml:space="preserve">ACNUR. Ginebra, 3 de noviembre de 2015. </w:t>
      </w:r>
      <w:r>
        <w:rPr>
          <w:rFonts w:cs="Tahoma"/>
          <w:i/>
          <w:lang w:eastAsia="ja-JP"/>
        </w:rPr>
        <w:t>Un informe de ACNUR revela las nefastas consecuencias de la apatridia sobre los niños.</w:t>
      </w:r>
      <w:r>
        <w:rPr>
          <w:rFonts w:cs="Tahoma"/>
          <w:lang w:eastAsia="ja-JP"/>
        </w:rPr>
        <w:t xml:space="preserve"> Disponible: </w:t>
      </w:r>
      <w:hyperlink r:id="rId91" w:history="1">
        <w:r>
          <w:rPr>
            <w:rStyle w:val="Hipervnculo"/>
            <w:lang w:eastAsia="ja-JP"/>
          </w:rPr>
          <w:t>http://www.acnur.org/noticias/noticia/un-informe-de-acnur-revelalas-nefastas-consecuencias-de-la-apatridia-sobre-los-ninos/</w:t>
        </w:r>
      </w:hyperlink>
      <w:r>
        <w:rPr>
          <w:rFonts w:cs="Tahoma"/>
          <w:lang w:eastAsia="ja-JP"/>
        </w:rPr>
        <w:t xml:space="preserve"> … Entre las decenas de jóvenes entrevistados en siete países para este informe titulado Aquí estoy aquí, aquí pertenezco: la urgente necesidad de acabar con la apatridia infantil, muchos manifiestan que ser apátridas les ha traído graves consecuencias psicológicas, describiéndose a sí mismos como “invisibles”, “extranjeros”, “marginados en la sombra”, “como un perro callejero” e “insignificante”. El Alto Comisionado de la ONU para los Refugiados, António Guterres, destacó que el informe, difundido un año después …</w:t>
      </w:r>
    </w:p>
  </w:footnote>
  <w:footnote w:id="282">
    <w:p w14:paraId="13AABB80" w14:textId="77777777" w:rsidR="00172411" w:rsidRDefault="00172411" w:rsidP="00BC6CD6">
      <w:pPr>
        <w:pStyle w:val="TextBody"/>
        <w:tabs>
          <w:tab w:val="left" w:pos="0"/>
        </w:tabs>
        <w:spacing w:after="0" w:line="240" w:lineRule="auto"/>
        <w:rPr>
          <w:rFonts w:ascii="Times New Roman" w:eastAsia="STKaiti" w:hAnsi="Times New Roman" w:cs="Times New Roman"/>
          <w:color w:val="auto"/>
          <w:sz w:val="20"/>
          <w:szCs w:val="20"/>
          <w:lang w:eastAsia="ja-JP" w:bidi="ar-SA"/>
        </w:rPr>
      </w:pPr>
      <w:r>
        <w:rPr>
          <w:rFonts w:ascii="Times New Roman" w:hAnsi="Times New Roman" w:cs="Tahoma"/>
          <w:sz w:val="20"/>
          <w:szCs w:val="20"/>
          <w:vertAlign w:val="superscript"/>
          <w:lang w:eastAsia="ja-JP"/>
        </w:rPr>
        <w:footnoteRef/>
      </w:r>
      <w:r>
        <w:rPr>
          <w:rFonts w:ascii="Times New Roman" w:hAnsi="Times New Roman" w:cs="Tahoma"/>
          <w:sz w:val="20"/>
          <w:szCs w:val="20"/>
          <w:lang w:eastAsia="ja-JP"/>
        </w:rPr>
        <w:t xml:space="preserve"> Cubadebate. Octubre 29, 2017 </w:t>
      </w:r>
      <w:r>
        <w:rPr>
          <w:rFonts w:ascii="Times New Roman" w:hAnsi="Times New Roman" w:cs="Tahoma"/>
          <w:i/>
          <w:sz w:val="20"/>
          <w:szCs w:val="20"/>
          <w:lang w:eastAsia="ja-JP"/>
        </w:rPr>
        <w:t>¿Qué significan las nuevas medidas migratorias de Cuba?</w:t>
      </w:r>
      <w:r>
        <w:rPr>
          <w:rFonts w:ascii="Times New Roman" w:hAnsi="Times New Roman" w:cs="Tahoma"/>
          <w:sz w:val="20"/>
          <w:szCs w:val="20"/>
          <w:lang w:eastAsia="ja-JP"/>
        </w:rPr>
        <w:t xml:space="preserve"> </w:t>
      </w:r>
      <w:r>
        <w:rPr>
          <w:rFonts w:ascii="Times New Roman" w:hAnsi="Times New Roman"/>
          <w:sz w:val="20"/>
          <w:szCs w:val="20"/>
          <w:lang w:eastAsia="ja-JP"/>
        </w:rPr>
        <w:t>Prensa Digital</w:t>
      </w:r>
      <w:r>
        <w:rPr>
          <w:rFonts w:ascii="Times New Roman" w:hAnsi="Times New Roman" w:cs="Tahoma"/>
          <w:sz w:val="20"/>
          <w:szCs w:val="20"/>
          <w:lang w:eastAsia="ja-JP"/>
        </w:rPr>
        <w:t xml:space="preserve"> Cubadebate</w:t>
      </w:r>
      <w:r>
        <w:rPr>
          <w:rFonts w:ascii="Times New Roman" w:hAnsi="Times New Roman"/>
          <w:sz w:val="20"/>
          <w:szCs w:val="20"/>
        </w:rPr>
        <w:t xml:space="preserve">. Disponible en:  </w:t>
      </w:r>
      <w:hyperlink r:id="rId92" w:history="1">
        <w:r>
          <w:rPr>
            <w:rStyle w:val="Hipervnculo"/>
            <w:rFonts w:ascii="Times New Roman" w:hAnsi="Times New Roman"/>
            <w:color w:val="auto"/>
            <w:sz w:val="20"/>
          </w:rPr>
          <w:t>http://www.cubadebate.cu/noticias/2017/10/29/que-significan-las-nuevas-medidas-migratorias-de-cuba/</w:t>
        </w:r>
      </w:hyperlink>
      <w:r>
        <w:rPr>
          <w:rFonts w:ascii="Times New Roman" w:hAnsi="Times New Roman"/>
          <w:sz w:val="20"/>
          <w:szCs w:val="20"/>
        </w:rPr>
        <w:t xml:space="preserve">  (…) </w:t>
      </w:r>
      <w:r>
        <w:rPr>
          <w:rFonts w:ascii="Times New Roman" w:eastAsia="STKaiti" w:hAnsi="Times New Roman" w:cs="Tahoma"/>
          <w:b/>
          <w:bCs/>
          <w:color w:val="auto"/>
          <w:sz w:val="20"/>
          <w:szCs w:val="20"/>
          <w:lang w:eastAsia="ja-JP" w:bidi="ar-SA"/>
        </w:rPr>
        <w:t>Eliminar el requisito de avecindamiento para que los hijos de cubanos residentes en el</w:t>
      </w:r>
      <w:r>
        <w:rPr>
          <w:rStyle w:val="StrongEmphasis"/>
          <w:sz w:val="20"/>
        </w:rPr>
        <w:t xml:space="preserve">exterior, que hayan </w:t>
      </w:r>
      <w:r>
        <w:rPr>
          <w:rFonts w:ascii="Times New Roman" w:eastAsia="STKaiti" w:hAnsi="Times New Roman" w:cs="Times New Roman"/>
          <w:b/>
          <w:bCs/>
          <w:color w:val="auto"/>
          <w:sz w:val="20"/>
          <w:szCs w:val="20"/>
          <w:lang w:eastAsia="ja-JP" w:bidi="ar-SA"/>
        </w:rPr>
        <w:t xml:space="preserve">nacido en el extranjero, puedan obtener la ciudadanía cubana y su documento de identidad. </w:t>
      </w:r>
      <w:r>
        <w:rPr>
          <w:rFonts w:ascii="Times New Roman" w:hAnsi="Times New Roman" w:cs="Times New Roman"/>
          <w:sz w:val="20"/>
          <w:szCs w:val="20"/>
        </w:rPr>
        <w:t>Esta medida se traduce en que los hijos de los cubanos residentes en el exterior podrán adquirir la ciudadanía cubana sin necesidad de vivir por un periodo de tiempo en Cuba. Las principales beneficiadas serán las familias residentes en los países que no otorgan la nacionalidad a través del</w:t>
      </w:r>
      <w:r>
        <w:rPr>
          <w:rFonts w:ascii="Times New Roman" w:hAnsi="Times New Roman" w:cs="Times New Roman"/>
          <w:i/>
          <w:iCs/>
          <w:sz w:val="20"/>
          <w:szCs w:val="20"/>
        </w:rPr>
        <w:t xml:space="preserve"> ius solis</w:t>
      </w:r>
      <w:r>
        <w:rPr>
          <w:rFonts w:ascii="Times New Roman" w:hAnsi="Times New Roman" w:cs="Times New Roman"/>
          <w:sz w:val="20"/>
          <w:szCs w:val="20"/>
        </w:rPr>
        <w:t xml:space="preserve"> (derecho del suelo). Algunas naciones solo otorgan la nacionalidad por el </w:t>
      </w:r>
      <w:r>
        <w:rPr>
          <w:rFonts w:ascii="Times New Roman" w:hAnsi="Times New Roman" w:cs="Times New Roman"/>
          <w:i/>
          <w:iCs/>
          <w:sz w:val="20"/>
          <w:szCs w:val="20"/>
        </w:rPr>
        <w:t>ius sanguinis </w:t>
      </w:r>
      <w:r>
        <w:rPr>
          <w:rFonts w:ascii="Times New Roman" w:hAnsi="Times New Roman" w:cs="Times New Roman"/>
          <w:sz w:val="20"/>
          <w:szCs w:val="20"/>
        </w:rPr>
        <w:t>(derecho de sangre), o sea por ser hijos de ciudadanos de ese país y no por haber nacido allí. Por tanto, con la legislación vigente los hijos de cubanos en esos países, al nacer no tenían nacionalidad ni cubana ni del país en cuestión...</w:t>
      </w:r>
    </w:p>
  </w:footnote>
  <w:footnote w:id="283">
    <w:p w14:paraId="45EFB965" w14:textId="77777777" w:rsidR="00172411" w:rsidRDefault="00172411" w:rsidP="00BC6CD6">
      <w:pPr>
        <w:pStyle w:val="Textonotapie"/>
        <w:ind w:firstLine="0"/>
        <w:rPr>
          <w:lang w:val="es-MX" w:eastAsia="en-US"/>
        </w:rPr>
      </w:pPr>
      <w:r>
        <w:rPr>
          <w:rStyle w:val="Refdenotaalpie"/>
          <w:sz w:val="22"/>
          <w:szCs w:val="22"/>
        </w:rPr>
        <w:footnoteRef/>
      </w:r>
      <w:r>
        <w:t>Consejo de Estado. DECRETO-LEY No. 302 (2012) modificativo de la LEY No. 1312, “LEY DE MIGRACIÓN” de 20 de septiembre de 1976. Gaceta Oficial Ordinaria. No.44. Cuba.</w:t>
      </w:r>
    </w:p>
  </w:footnote>
  <w:footnote w:id="284">
    <w:p w14:paraId="1812E9E9" w14:textId="77777777" w:rsidR="00172411" w:rsidRDefault="00172411" w:rsidP="00BC6CD6">
      <w:pPr>
        <w:pStyle w:val="Textonotapie"/>
        <w:ind w:firstLine="0"/>
      </w:pPr>
      <w:r>
        <w:rPr>
          <w:rStyle w:val="Refdenotaalpie"/>
          <w:rFonts w:ascii="Calibri" w:hAnsi="Calibri" w:cs="Calibri"/>
          <w:sz w:val="22"/>
          <w:szCs w:val="22"/>
        </w:rPr>
        <w:footnoteRef/>
      </w:r>
      <w:r>
        <w:t>Comité de los Derechos del Niño CRC/C/15/Add.72, 18 de junio de 1997.  Párrafo 44.  El Comité agradecería recibir del Estado Parte información adicional por escrito sobre las cuestiones y los problemas a los que se aludió durante los debates y que no han sido examinados o aclarados plenamente, como los problemas relacionados con el derecho del niño a la reunificación de la familia.</w:t>
      </w:r>
    </w:p>
  </w:footnote>
  <w:footnote w:id="285">
    <w:p w14:paraId="50E7C2C9" w14:textId="77777777" w:rsidR="00172411" w:rsidRDefault="00172411" w:rsidP="00BC6CD6">
      <w:pPr>
        <w:pStyle w:val="Textonotapie"/>
        <w:ind w:firstLine="0"/>
        <w:rPr>
          <w:lang w:val="es-ES" w:eastAsia="en-US"/>
        </w:rPr>
      </w:pPr>
      <w:r>
        <w:rPr>
          <w:rStyle w:val="Refdenotaalpie"/>
          <w:sz w:val="22"/>
          <w:szCs w:val="22"/>
        </w:rPr>
        <w:footnoteRef/>
      </w:r>
      <w:r>
        <w:t>Comité de los Derechos del Niño (2011).</w:t>
      </w:r>
      <w:r>
        <w:rPr>
          <w:i/>
        </w:rPr>
        <w:t>Observaciones finales: Cuba.</w:t>
      </w:r>
      <w:r>
        <w:t xml:space="preserve"> Párrafo 30, pág. 7. Disponible en: http://www2.ohchr.org/english/bodies/crc/docs/co/CRC.C.CUB.CO.2_sp.doc  </w:t>
      </w:r>
    </w:p>
  </w:footnote>
  <w:footnote w:id="286">
    <w:p w14:paraId="570455B1" w14:textId="77777777" w:rsidR="00172411" w:rsidRPr="00FF64F6" w:rsidRDefault="00172411" w:rsidP="00BC6CD6">
      <w:pPr>
        <w:pStyle w:val="Textonotapie"/>
        <w:ind w:firstLine="0"/>
        <w:rPr>
          <w:rFonts w:ascii="Calibri" w:hAnsi="Calibri" w:cs="Calibri"/>
        </w:rPr>
      </w:pPr>
      <w:r>
        <w:rPr>
          <w:rStyle w:val="Refdenotaalpie"/>
          <w:rFonts w:ascii="Calibri" w:hAnsi="Calibri" w:cs="Calibri"/>
          <w:sz w:val="22"/>
          <w:szCs w:val="22"/>
        </w:rPr>
        <w:footnoteRef/>
      </w:r>
      <w:r>
        <w:t xml:space="preserve"> Constitución de la República de Cuba. ARTICULO 29.-Son ciudadanos cubanos por nacimiento:   a) los nacidos en el territorio nacional, con excepción de los hijos de extranjeros que se encuentren al servicio de su gobierno o de organismos internacionales. La ley establece los requisitos y las formalidades para el caso de los hijos de los extranjeros residentes no permanentes en el país;  b) los nacidos en el extranjero de padre o madre cubanos, que se hallen cumpliendo misión oficial;  c) los nacidos en el extranjero de padre o madre cubanos, previo el cumplimiento de las formalidades que la ley señala;  ch) los nacidos fuera del territorio nacional, de padre o madre naturales de la República de Cuba que hayan perdido la ciudadanía cubana, siempre que la reclamen en la forma que señala la ley;  d) los extranjeros que por méritos excepcionales </w:t>
      </w:r>
      <w:r w:rsidRPr="00FF64F6">
        <w:t>alcanzados en las luchas por la liberación de Cuba fueron considerados ciudadanos cubanos por nacimiento.</w:t>
      </w:r>
    </w:p>
  </w:footnote>
  <w:footnote w:id="287">
    <w:p w14:paraId="3B0A87C0" w14:textId="51CD301E" w:rsidR="00172411" w:rsidRPr="00FF64F6" w:rsidRDefault="00172411" w:rsidP="00FF64F6">
      <w:pPr>
        <w:spacing w:after="0" w:line="240" w:lineRule="atLeast"/>
        <w:outlineLvl w:val="1"/>
        <w:rPr>
          <w:rFonts w:ascii="Times New Roman" w:hAnsi="Times New Roman"/>
          <w:sz w:val="20"/>
          <w:szCs w:val="20"/>
        </w:rPr>
      </w:pPr>
      <w:r w:rsidRPr="00FF64F6">
        <w:rPr>
          <w:rFonts w:ascii="Times New Roman" w:hAnsi="Times New Roman"/>
          <w:sz w:val="20"/>
          <w:szCs w:val="20"/>
          <w:vertAlign w:val="superscript"/>
        </w:rPr>
        <w:footnoteRef/>
      </w:r>
      <w:r w:rsidRPr="00FF64F6">
        <w:rPr>
          <w:rStyle w:val="htmltxt1"/>
          <w:rFonts w:ascii="Times New Roman" w:hAnsi="Times New Roman"/>
          <w:sz w:val="20"/>
          <w:szCs w:val="20"/>
        </w:rPr>
        <w:t xml:space="preserve">Dirección de Inmigración y Extranjería </w:t>
      </w:r>
      <w:r w:rsidRPr="00FF64F6">
        <w:rPr>
          <w:rFonts w:ascii="Times New Roman" w:hAnsi="Times New Roman"/>
          <w:sz w:val="20"/>
          <w:szCs w:val="20"/>
        </w:rPr>
        <w:t xml:space="preserve">(2012) </w:t>
      </w:r>
      <w:r w:rsidRPr="00FF64F6">
        <w:rPr>
          <w:rStyle w:val="htmltxt1"/>
          <w:rFonts w:ascii="Times New Roman" w:hAnsi="Times New Roman"/>
          <w:i/>
          <w:sz w:val="20"/>
          <w:szCs w:val="20"/>
        </w:rPr>
        <w:t>Los cambios al detalle</w:t>
      </w:r>
      <w:r w:rsidRPr="00FF64F6">
        <w:rPr>
          <w:rStyle w:val="htmltxt1"/>
          <w:rFonts w:ascii="Times New Roman" w:hAnsi="Times New Roman"/>
          <w:sz w:val="20"/>
          <w:szCs w:val="20"/>
        </w:rPr>
        <w:t xml:space="preserve"> - Cuba - Juventud Rebelde - Diario de la juventud cubana. </w:t>
      </w:r>
      <w:r w:rsidRPr="00FF64F6">
        <w:rPr>
          <w:rFonts w:ascii="Times New Roman" w:hAnsi="Times New Roman"/>
          <w:sz w:val="20"/>
          <w:szCs w:val="20"/>
        </w:rPr>
        <w:t xml:space="preserve">Disponible: </w:t>
      </w:r>
      <w:hyperlink r:id="rId93" w:history="1">
        <w:r w:rsidRPr="00FF64F6">
          <w:rPr>
            <w:rStyle w:val="Hipervnculo"/>
            <w:rFonts w:ascii="Times New Roman" w:hAnsi="Times New Roman"/>
            <w:color w:val="auto"/>
            <w:sz w:val="20"/>
            <w:szCs w:val="20"/>
          </w:rPr>
          <w:t>http://www.juventudrebelde.cu/cuba/2012-12-01/los-cambios-al-detalle/</w:t>
        </w:r>
      </w:hyperlink>
      <w:r w:rsidRPr="00FF64F6">
        <w:rPr>
          <w:rStyle w:val="Hipervnculo"/>
          <w:rFonts w:ascii="Times New Roman" w:hAnsi="Times New Roman"/>
          <w:color w:val="auto"/>
          <w:sz w:val="20"/>
          <w:szCs w:val="20"/>
          <w:u w:val="none"/>
        </w:rPr>
        <w:t xml:space="preserve">   </w:t>
      </w:r>
      <w:r w:rsidRPr="00FF64F6">
        <w:rPr>
          <w:rFonts w:ascii="Times New Roman" w:hAnsi="Times New Roman"/>
          <w:sz w:val="20"/>
          <w:szCs w:val="20"/>
        </w:rPr>
        <w:t>La Dirección de Inmigración y Extranjería responde a muchas de las preguntas remitidas a JR por sus lectores.</w:t>
      </w:r>
    </w:p>
    <w:p w14:paraId="1E069DEE" w14:textId="77777777" w:rsidR="00172411" w:rsidRPr="00FF64F6" w:rsidRDefault="00172411" w:rsidP="00FF64F6">
      <w:pPr>
        <w:spacing w:after="0" w:line="240" w:lineRule="atLeast"/>
        <w:outlineLvl w:val="1"/>
        <w:rPr>
          <w:rFonts w:ascii="Times New Roman" w:hAnsi="Times New Roman"/>
          <w:b/>
          <w:bCs/>
          <w:sz w:val="20"/>
          <w:szCs w:val="20"/>
        </w:rPr>
      </w:pPr>
      <w:r w:rsidRPr="00FF64F6">
        <w:rPr>
          <w:rFonts w:ascii="Times New Roman" w:hAnsi="Times New Roman"/>
          <w:b/>
          <w:bCs/>
          <w:sz w:val="20"/>
          <w:szCs w:val="20"/>
        </w:rPr>
        <w:t>— ¿Cuáles son las principales modificaciones que propone el Decreto-Ley 302 a la Ley de Migración?</w:t>
      </w:r>
    </w:p>
    <w:p w14:paraId="7EE56A61" w14:textId="77777777" w:rsidR="00172411" w:rsidRPr="00FF64F6" w:rsidRDefault="00172411" w:rsidP="00FF64F6">
      <w:pPr>
        <w:spacing w:after="0" w:line="240" w:lineRule="atLeast"/>
        <w:outlineLvl w:val="1"/>
        <w:rPr>
          <w:rFonts w:ascii="Times New Roman" w:hAnsi="Times New Roman"/>
          <w:sz w:val="20"/>
          <w:szCs w:val="20"/>
        </w:rPr>
      </w:pPr>
      <w:r w:rsidRPr="00FF64F6">
        <w:rPr>
          <w:rFonts w:ascii="Times New Roman" w:hAnsi="Times New Roman"/>
          <w:sz w:val="20"/>
          <w:szCs w:val="20"/>
        </w:rPr>
        <w:t xml:space="preserve">f) Sin tener en cuenta la visa que posean, todos los cubanos residentes saldrán de Cuba temporalmente. </w:t>
      </w:r>
      <w:r w:rsidRPr="00FF64F6">
        <w:rPr>
          <w:rFonts w:ascii="Times New Roman" w:hAnsi="Times New Roman"/>
          <w:b/>
          <w:sz w:val="20"/>
          <w:szCs w:val="20"/>
        </w:rPr>
        <w:t xml:space="preserve">g) </w:t>
      </w:r>
      <w:r w:rsidRPr="00FF64F6">
        <w:rPr>
          <w:rFonts w:ascii="Times New Roman" w:hAnsi="Times New Roman"/>
          <w:sz w:val="20"/>
          <w:szCs w:val="20"/>
        </w:rPr>
        <w:t xml:space="preserve">Se establece hasta 24 meses para que los cubanos residentes en Cuba no sean considerados emigrados o residentes en el exterior. </w:t>
      </w:r>
      <w:r w:rsidRPr="00FF64F6">
        <w:rPr>
          <w:rFonts w:ascii="Times New Roman" w:hAnsi="Times New Roman"/>
          <w:b/>
          <w:sz w:val="20"/>
          <w:szCs w:val="20"/>
        </w:rPr>
        <w:t>h)</w:t>
      </w:r>
      <w:r w:rsidRPr="00FF64F6">
        <w:rPr>
          <w:rFonts w:ascii="Times New Roman" w:hAnsi="Times New Roman"/>
          <w:sz w:val="20"/>
          <w:szCs w:val="20"/>
        </w:rPr>
        <w:t xml:space="preserve"> Se considera que un ciudadano cubano ha emigrado, cuando viaja al exterior por asuntos particulares y decide permanecer en el exterior de forma ininterrumpida, por un término superior a los 24 meses, sin solicitar la extensión de su permanencia o la residencia en el exterior; así como cuando se establece en el exterior sin cumplir las regulaciones migratorias vigentes.</w:t>
      </w:r>
    </w:p>
  </w:footnote>
  <w:footnote w:id="288">
    <w:p w14:paraId="422F10E9" w14:textId="77777777" w:rsidR="00172411" w:rsidRPr="00FF64F6" w:rsidRDefault="00172411" w:rsidP="00D55E98">
      <w:pPr>
        <w:pStyle w:val="NormalWeb"/>
        <w:spacing w:line="240" w:lineRule="atLeast"/>
        <w:ind w:firstLine="0"/>
        <w:rPr>
          <w:rFonts w:eastAsia="Calibri"/>
          <w:sz w:val="20"/>
          <w:szCs w:val="20"/>
          <w:lang w:eastAsia="en-US"/>
        </w:rPr>
      </w:pPr>
      <w:r w:rsidRPr="00FF64F6">
        <w:rPr>
          <w:rStyle w:val="Refdenotaalpie"/>
          <w:sz w:val="20"/>
          <w:szCs w:val="20"/>
        </w:rPr>
        <w:footnoteRef/>
      </w:r>
      <w:r w:rsidRPr="00FF64F6">
        <w:rPr>
          <w:rFonts w:eastAsia="Calibri"/>
          <w:sz w:val="20"/>
          <w:szCs w:val="20"/>
          <w:lang w:eastAsia="en-US"/>
        </w:rPr>
        <w:t xml:space="preserve">Ibíd. Dirección de Inmigración y Extranjería (2012) Los cambios al detalle - Cuba - Juventud Rebelde - Diario de la juventud cubana. </w:t>
      </w:r>
      <w:r w:rsidRPr="00FF64F6">
        <w:rPr>
          <w:sz w:val="20"/>
          <w:szCs w:val="20"/>
        </w:rPr>
        <w:t xml:space="preserve">Disponible: </w:t>
      </w:r>
      <w:r w:rsidRPr="00FF64F6">
        <w:rPr>
          <w:rFonts w:eastAsia="Calibri"/>
          <w:sz w:val="20"/>
          <w:szCs w:val="20"/>
          <w:lang w:eastAsia="en-US"/>
        </w:rPr>
        <w:t>http://www.juventudrebelde.cu/cuba/2012-12-01/los-cambios-al-detalle</w:t>
      </w:r>
      <w:r w:rsidRPr="00FF64F6">
        <w:rPr>
          <w:rFonts w:eastAsia="Calibri"/>
          <w:b/>
          <w:bCs/>
          <w:sz w:val="20"/>
          <w:szCs w:val="20"/>
          <w:lang w:eastAsia="en-US"/>
        </w:rPr>
        <w:t xml:space="preserve">/—¿Qué sucede con </w:t>
      </w:r>
      <w:r w:rsidRPr="00FF64F6">
        <w:rPr>
          <w:rFonts w:eastAsia="Calibri"/>
          <w:sz w:val="20"/>
          <w:szCs w:val="20"/>
          <w:lang w:eastAsia="en-US"/>
        </w:rPr>
        <w:t xml:space="preserve">la </w:t>
      </w:r>
      <w:r w:rsidRPr="00FF64F6">
        <w:rPr>
          <w:rFonts w:eastAsia="Calibri"/>
          <w:b/>
          <w:bCs/>
          <w:sz w:val="20"/>
          <w:szCs w:val="20"/>
          <w:lang w:eastAsia="en-US"/>
        </w:rPr>
        <w:t>persona que excede el tiempo de permanencia en el extranjero? ¿Es cierto que pierde la ciudadanía cubana?</w:t>
      </w:r>
    </w:p>
    <w:p w14:paraId="389A279E" w14:textId="0D6CDA2A" w:rsidR="00172411" w:rsidRPr="00FF64F6" w:rsidRDefault="00172411" w:rsidP="00377F6A">
      <w:pPr>
        <w:pStyle w:val="NormalWeb"/>
        <w:spacing w:line="240" w:lineRule="atLeast"/>
        <w:ind w:firstLine="0"/>
        <w:rPr>
          <w:rFonts w:eastAsia="Times New Roman"/>
          <w:sz w:val="20"/>
          <w:szCs w:val="20"/>
          <w:lang w:eastAsia="es-MX"/>
        </w:rPr>
      </w:pPr>
      <w:r w:rsidRPr="00FF64F6">
        <w:rPr>
          <w:sz w:val="20"/>
          <w:szCs w:val="20"/>
        </w:rPr>
        <w:t>Los ciudadanos cubanos podrán permanecer en el exterior por un término de hasta 24 meses, contados a partir de la fecha de salida. Los que requieran extender su estancia por un término superior a este, deberán presentar su solicitud en un consulado cubano cuando por causa justificada, se vean imposibilitados de regresar al país en ese término…Asimismo, cuando requieran residir fuera del país de forma indefinida por mantener una unión matrimonial, formalizada o no, con ciudadanos extranjeros o por otras situaciones familiares y humanitarias excepcionales.</w:t>
      </w:r>
      <w:r w:rsidRPr="00FF64F6">
        <w:rPr>
          <w:rFonts w:eastAsia="Times New Roman"/>
          <w:sz w:val="20"/>
          <w:szCs w:val="20"/>
          <w:lang w:eastAsia="es-MX"/>
        </w:rPr>
        <w:t xml:space="preserve"> </w:t>
      </w:r>
      <w:r w:rsidRPr="00FF64F6">
        <w:rPr>
          <w:sz w:val="20"/>
          <w:szCs w:val="20"/>
        </w:rPr>
        <w:t>Se considera que un ciudadano ha emigrado, cuando viaja al exterior por asuntos particulares y permanece de manera ininterrumpida por un tiempo superior a los 24 meses sin la autorización correspondiente, así como cuando se domicilia en el exterior sin cumplir las regulaciones migratorias vigentes (...) Nuestra legislación, al igual que la de otros países, se acoge al principio de derecho de la ciudadanía efectiva, que se encuentra asociado o fundamenta la decisión soberana de los Estados de no reconocer otra ciudadanía distinta a la suya (...) La extensión de la permanencia se cobra por cada mes en los actuales valores. El pago se puede realizar en cada mes o varios meses a la vez. (Resolución No. 319 del 13 de octubre de 2012, del Ministro de Relaciones Exteriores).</w:t>
      </w:r>
    </w:p>
  </w:footnote>
  <w:footnote w:id="289">
    <w:p w14:paraId="78879B47" w14:textId="0B95DCE7" w:rsidR="00172411" w:rsidRPr="00FF64F6" w:rsidRDefault="00172411" w:rsidP="009F77F7">
      <w:pPr>
        <w:pStyle w:val="Textonotapie"/>
        <w:spacing w:line="240" w:lineRule="atLeast"/>
        <w:ind w:firstLine="0"/>
        <w:rPr>
          <w:rFonts w:ascii="Calibri" w:hAnsi="Calibri"/>
          <w:lang w:val="en-US"/>
        </w:rPr>
      </w:pPr>
      <w:r w:rsidRPr="00FF64F6">
        <w:rPr>
          <w:rStyle w:val="Refdenotaalpie"/>
        </w:rPr>
        <w:footnoteRef/>
      </w:r>
      <w:r w:rsidRPr="00FF64F6">
        <w:rPr>
          <w:lang w:val="en-US"/>
        </w:rPr>
        <w:t xml:space="preserve">Nomahlubi,Jordaan </w:t>
      </w:r>
      <w:r w:rsidRPr="00FF64F6">
        <w:rPr>
          <w:i/>
          <w:lang w:val="en-US"/>
        </w:rPr>
        <w:t>.‘Stateless’ daughter of Cubans granted citizenship by high court</w:t>
      </w:r>
      <w:r w:rsidRPr="00FF64F6">
        <w:rPr>
          <w:lang w:val="en-US"/>
        </w:rPr>
        <w:t xml:space="preserve">. Business Day Live. The website of Business Day, the South African national daily newspaper. Available: </w:t>
      </w:r>
      <w:hyperlink r:id="rId94" w:history="1">
        <w:r w:rsidRPr="00FF64F6">
          <w:rPr>
            <w:lang w:val="en-US"/>
          </w:rPr>
          <w:t>http://www.bdlive.co.za/national/2014/07/08/stateless-daughter-of-cubans-granted-sa-citizenship-by-high-court</w:t>
        </w:r>
      </w:hyperlink>
      <w:r w:rsidRPr="00FF64F6">
        <w:rPr>
          <w:lang w:val="en-US"/>
        </w:rPr>
        <w:t>.  (…) Cuba refused to recognize the child as her parents had been absent from their home country for more that 11 months. The girl was unable to apply for a passport.</w:t>
      </w:r>
    </w:p>
  </w:footnote>
  <w:footnote w:id="290">
    <w:p w14:paraId="055CFE03" w14:textId="77777777" w:rsidR="00172411" w:rsidRDefault="00172411" w:rsidP="00864F6C">
      <w:pPr>
        <w:autoSpaceDE w:val="0"/>
        <w:autoSpaceDN w:val="0"/>
        <w:adjustRightInd w:val="0"/>
        <w:spacing w:after="0" w:line="240" w:lineRule="atLeast"/>
        <w:rPr>
          <w:rFonts w:ascii="Times New Roman" w:eastAsia="LiberationSerif" w:hAnsi="Times New Roman"/>
          <w:sz w:val="20"/>
          <w:szCs w:val="20"/>
          <w:lang w:val="en-US" w:eastAsia="es-MX"/>
        </w:rPr>
      </w:pPr>
      <w:r w:rsidRPr="00FF64F6">
        <w:rPr>
          <w:rStyle w:val="Refdenotaalpie"/>
          <w:sz w:val="20"/>
          <w:szCs w:val="20"/>
        </w:rPr>
        <w:footnoteRef/>
      </w:r>
      <w:r w:rsidRPr="00FF64F6">
        <w:rPr>
          <w:rFonts w:ascii="Times New Roman" w:hAnsi="Times New Roman"/>
          <w:i/>
          <w:iCs/>
          <w:sz w:val="20"/>
          <w:szCs w:val="20"/>
          <w:lang w:val="en-US" w:eastAsia="es-MX"/>
        </w:rPr>
        <w:t xml:space="preserve">Patrick Wautelet. (2013). </w:t>
      </w:r>
      <w:r w:rsidRPr="00FF64F6">
        <w:rPr>
          <w:rFonts w:ascii="Times New Roman" w:hAnsi="Times New Roman"/>
          <w:bCs/>
          <w:i/>
          <w:sz w:val="20"/>
          <w:szCs w:val="20"/>
          <w:lang w:val="en-US" w:eastAsia="es-MX"/>
        </w:rPr>
        <w:t>The law of nationality: comparative and international perspective</w:t>
      </w:r>
      <w:r w:rsidRPr="00FF64F6">
        <w:rPr>
          <w:rFonts w:ascii="Times New Roman" w:hAnsi="Times New Roman"/>
          <w:sz w:val="20"/>
          <w:szCs w:val="20"/>
          <w:lang w:val="en-US"/>
        </w:rPr>
        <w:t xml:space="preserve">. </w:t>
      </w:r>
      <w:r w:rsidRPr="00FF64F6">
        <w:rPr>
          <w:rFonts w:ascii="Times New Roman" w:eastAsia="LiberationSerif" w:hAnsi="Times New Roman"/>
          <w:sz w:val="20"/>
          <w:szCs w:val="20"/>
          <w:lang w:val="en-US" w:eastAsia="es-MX"/>
        </w:rPr>
        <w:t xml:space="preserve"> Available: </w:t>
      </w:r>
      <w:hyperlink r:id="rId95" w:history="1">
        <w:r w:rsidRPr="00FF64F6">
          <w:rPr>
            <w:rStyle w:val="Hipervnculo"/>
            <w:rFonts w:ascii="Times New Roman" w:hAnsi="Times New Roman"/>
            <w:color w:val="auto"/>
            <w:sz w:val="20"/>
            <w:szCs w:val="20"/>
            <w:lang w:val="en-US"/>
          </w:rPr>
          <w:t>http://hdl.handle.net/2268/171991</w:t>
        </w:r>
      </w:hyperlink>
      <w:r w:rsidRPr="009F77F7">
        <w:rPr>
          <w:rFonts w:ascii="Times New Roman" w:hAnsi="Times New Roman"/>
          <w:sz w:val="20"/>
          <w:szCs w:val="20"/>
          <w:lang w:val="en-US"/>
        </w:rPr>
        <w:t xml:space="preserve"> or http://primo.lib.ulg.ac.be/openurl/32ULG/32ULG_SP   Distinction between different categories: – ‘Waiver’: a </w:t>
      </w:r>
      <w:r>
        <w:rPr>
          <w:rFonts w:ascii="Times New Roman" w:hAnsi="Times New Roman"/>
          <w:sz w:val="20"/>
          <w:szCs w:val="20"/>
          <w:lang w:val="en-US"/>
        </w:rPr>
        <w:t>person gives up his/her nationality – Involuntary loss (covers various grounds – such as loss consequential on loss by parents) – Based on behavior of national ('déchéance' / ‘vervallenverklaring’) - various grounds (e.g. loss following fraud during the acquisition process).</w:t>
      </w:r>
      <w:r>
        <w:rPr>
          <w:rFonts w:ascii="Times New Roman" w:eastAsia="LiberationSerif" w:hAnsi="Times New Roman"/>
          <w:iCs/>
          <w:sz w:val="20"/>
          <w:szCs w:val="20"/>
          <w:lang w:val="en-US" w:eastAsia="es-MX"/>
        </w:rPr>
        <w:t xml:space="preserve">Diversity </w:t>
      </w:r>
      <w:r>
        <w:rPr>
          <w:rFonts w:ascii="Times New Roman" w:eastAsia="LiberationSerif" w:hAnsi="Times New Roman"/>
          <w:sz w:val="20"/>
          <w:szCs w:val="20"/>
          <w:lang w:val="en-US" w:eastAsia="es-MX"/>
        </w:rPr>
        <w:t xml:space="preserve">when looking at national laws : list of grounds of loss applied may be longer or shorter... - Analysis based on </w:t>
      </w:r>
      <w:r>
        <w:rPr>
          <w:rFonts w:ascii="Times New Roman" w:eastAsia="LiberationSerif" w:hAnsi="Times New Roman"/>
          <w:iCs/>
          <w:sz w:val="20"/>
          <w:szCs w:val="20"/>
          <w:lang w:val="en-US" w:eastAsia="es-MX"/>
        </w:rPr>
        <w:t xml:space="preserve">most common grounds </w:t>
      </w:r>
      <w:r>
        <w:rPr>
          <w:rFonts w:ascii="Times New Roman" w:eastAsia="LiberationSerif" w:hAnsi="Times New Roman"/>
          <w:sz w:val="20"/>
          <w:szCs w:val="20"/>
          <w:lang w:val="en-US" w:eastAsia="es-MX"/>
        </w:rPr>
        <w:t>of loss</w:t>
      </w:r>
    </w:p>
  </w:footnote>
  <w:footnote w:id="291">
    <w:p w14:paraId="5B897F72" w14:textId="6F3558A0" w:rsidR="00172411" w:rsidRDefault="00172411" w:rsidP="009F77F7">
      <w:pPr>
        <w:pStyle w:val="Textonotapie"/>
        <w:spacing w:line="240" w:lineRule="atLeast"/>
        <w:ind w:firstLine="0"/>
        <w:rPr>
          <w:lang w:val="es-MX"/>
        </w:rPr>
      </w:pPr>
      <w:r>
        <w:rPr>
          <w:rStyle w:val="Refdenotaalpie"/>
          <w:rFonts w:ascii="Calibri" w:hAnsi="Calibri" w:cs="Calibri"/>
          <w:sz w:val="22"/>
          <w:szCs w:val="22"/>
        </w:rPr>
        <w:footnoteRef/>
      </w:r>
      <w:r>
        <w:rPr>
          <w:lang w:val="es-MX"/>
        </w:rPr>
        <w:t xml:space="preserve">Maria Grazia Giammarinaro. (10-14 de abril de 2017) </w:t>
      </w:r>
      <w:r w:rsidRPr="00644F53">
        <w:rPr>
          <w:i/>
          <w:lang w:val="es-MX"/>
        </w:rPr>
        <w:t>Declaración del final de la visita a Cuba de la Relatora Especial sobre la trata de personas, especialmente mujeres y niños.</w:t>
      </w:r>
      <w:r>
        <w:rPr>
          <w:lang w:val="es-MX"/>
        </w:rPr>
        <w:t xml:space="preserve">  Disponible: </w:t>
      </w:r>
      <w:hyperlink r:id="rId96" w:history="1">
        <w:r>
          <w:rPr>
            <w:rStyle w:val="Hipervnculo"/>
            <w:color w:val="auto"/>
            <w:lang w:val="es-MX"/>
          </w:rPr>
          <w:t>http://www.ohchr.org/SP/NewsEvents/Pages/DisplayNews.aspx?NewsID=21518&amp;LangID=S</w:t>
        </w:r>
      </w:hyperlink>
      <w:r w:rsidRPr="008A7A4D">
        <w:rPr>
          <w:rStyle w:val="Hipervnculo"/>
          <w:color w:val="auto"/>
          <w:u w:val="none"/>
          <w:lang w:val="es-MX"/>
        </w:rPr>
        <w:t xml:space="preserve">  </w:t>
      </w:r>
      <w:r>
        <w:rPr>
          <w:lang w:val="es-MX"/>
        </w:rPr>
        <w:t>Informe final en julio 2018.</w:t>
      </w:r>
    </w:p>
  </w:footnote>
  <w:footnote w:id="292">
    <w:p w14:paraId="44EB27C2" w14:textId="2C1889A5" w:rsidR="00172411" w:rsidRPr="005C28B1" w:rsidRDefault="00172411" w:rsidP="00BC6CD6">
      <w:pPr>
        <w:pStyle w:val="Textonotapie"/>
        <w:spacing w:line="276" w:lineRule="auto"/>
        <w:ind w:firstLine="0"/>
        <w:rPr>
          <w:rFonts w:ascii="Calibri" w:eastAsia="Calibri" w:hAnsi="Calibri"/>
          <w:lang w:val="es-ES" w:eastAsia="en-US"/>
        </w:rPr>
      </w:pPr>
      <w:r>
        <w:rPr>
          <w:rStyle w:val="Refdenotaalpie"/>
          <w:rFonts w:ascii="Calibri" w:hAnsi="Calibri" w:cs="Calibri"/>
          <w:sz w:val="22"/>
          <w:szCs w:val="22"/>
        </w:rPr>
        <w:footnoteRef/>
      </w:r>
      <w:r>
        <w:rPr>
          <w:rFonts w:eastAsia="Times New Roman"/>
          <w:lang w:eastAsia="es-MX"/>
        </w:rPr>
        <w:t xml:space="preserve">A/HRC/26/L.25 (23 de junio de 2014). Consejo de Derechos Humanos. 26º período de sesiones. </w:t>
      </w:r>
      <w:r w:rsidRPr="005D55D5">
        <w:rPr>
          <w:rFonts w:eastAsia="Times New Roman"/>
          <w:i/>
          <w:lang w:eastAsia="es-MX"/>
        </w:rPr>
        <w:t>Los derechos humanos y la privación arbitraria de la nacionalidad.</w:t>
      </w:r>
      <w:r>
        <w:rPr>
          <w:rFonts w:eastAsia="Times New Roman"/>
          <w:lang w:eastAsia="es-MX"/>
        </w:rPr>
        <w:t xml:space="preserve"> Tema 3 de la agenda Promoción y protección de todos los derechos humanos, civiles, políticos, económicos, sociales y culturales, incluido el derecho al desarrollo. </w:t>
      </w:r>
      <w:r w:rsidRPr="005C28B1">
        <w:rPr>
          <w:lang w:val="es-ES"/>
        </w:rPr>
        <w:t>Pág. 4. Disponible: ap.ohchr.org/documents/S/HRC/d_res_dec/A_HRC_26_L25.pdf</w:t>
      </w:r>
    </w:p>
  </w:footnote>
  <w:footnote w:id="293">
    <w:p w14:paraId="60217F78" w14:textId="77777777" w:rsidR="00172411" w:rsidRDefault="00172411" w:rsidP="00BC6CD6">
      <w:pPr>
        <w:spacing w:after="0"/>
        <w:rPr>
          <w:rFonts w:ascii="Times New Roman" w:eastAsia="Times New Roman" w:hAnsi="Times New Roman"/>
          <w:sz w:val="20"/>
          <w:szCs w:val="20"/>
          <w:lang w:eastAsia="es-MX"/>
        </w:rPr>
      </w:pPr>
      <w:r>
        <w:rPr>
          <w:rFonts w:ascii="Times New Roman" w:eastAsia="Times New Roman" w:hAnsi="Times New Roman"/>
          <w:vertAlign w:val="superscript"/>
          <w:lang w:eastAsia="es-MX"/>
        </w:rPr>
        <w:footnoteRef/>
      </w:r>
      <w:r>
        <w:rPr>
          <w:rFonts w:ascii="Times New Roman" w:eastAsia="Times New Roman" w:hAnsi="Times New Roman"/>
          <w:sz w:val="20"/>
          <w:szCs w:val="20"/>
          <w:lang w:eastAsia="es-MX"/>
        </w:rPr>
        <w:t xml:space="preserve">Yomisel Galindo Rodríguez (2011) </w:t>
      </w:r>
      <w:r>
        <w:rPr>
          <w:rFonts w:ascii="Times New Roman" w:eastAsia="Times New Roman" w:hAnsi="Times New Roman"/>
          <w:i/>
          <w:sz w:val="20"/>
          <w:szCs w:val="20"/>
          <w:lang w:eastAsia="es-MX"/>
        </w:rPr>
        <w:t>La apatridia. El caso de Cuba.</w:t>
      </w:r>
      <w:r>
        <w:rPr>
          <w:rFonts w:ascii="Times New Roman" w:eastAsia="Times New Roman" w:hAnsi="Times New Roman"/>
          <w:sz w:val="20"/>
          <w:szCs w:val="20"/>
          <w:lang w:eastAsia="es-MX"/>
        </w:rPr>
        <w:t xml:space="preserve">  Disponible: www.eumed.net/libros-gratis/2012b/1193/la_apatriada_el_caso_de_ Cuba.html</w:t>
      </w:r>
    </w:p>
  </w:footnote>
  <w:footnote w:id="294">
    <w:p w14:paraId="1F284911" w14:textId="77777777" w:rsidR="00172411" w:rsidRDefault="00172411" w:rsidP="00BC6CD6">
      <w:pPr>
        <w:pStyle w:val="Textonotapie"/>
        <w:spacing w:line="276" w:lineRule="auto"/>
        <w:ind w:firstLine="0"/>
      </w:pPr>
      <w:r>
        <w:rPr>
          <w:rFonts w:eastAsia="Times New Roman"/>
          <w:sz w:val="22"/>
          <w:szCs w:val="22"/>
          <w:vertAlign w:val="superscript"/>
          <w:lang w:eastAsia="es-MX"/>
        </w:rPr>
        <w:footnoteRef/>
      </w:r>
      <w:r>
        <w:rPr>
          <w:rFonts w:eastAsia="Times New Roman"/>
          <w:lang w:eastAsia="es-MX"/>
        </w:rPr>
        <w:t>Declaración de los Derechos del Niño, A.G. Res. 1386 (XIV), 14 U.N. GAOR Supp. (No. 16) p. 19, ONU Doc. A/4354 (1959), Preámbulo</w:t>
      </w:r>
    </w:p>
  </w:footnote>
  <w:footnote w:id="295">
    <w:p w14:paraId="6036B055" w14:textId="32376C2C" w:rsidR="00172411" w:rsidRDefault="00172411" w:rsidP="00BC6CD6">
      <w:pPr>
        <w:pStyle w:val="Textonotapie"/>
        <w:spacing w:line="276" w:lineRule="auto"/>
        <w:ind w:firstLine="0"/>
        <w:rPr>
          <w:rFonts w:eastAsia="Calibri"/>
          <w:lang w:eastAsia="en-US"/>
        </w:rPr>
      </w:pPr>
      <w:r>
        <w:rPr>
          <w:rStyle w:val="Refdenotaalpie"/>
          <w:rFonts w:ascii="Calibri" w:hAnsi="Calibri" w:cs="Calibri"/>
          <w:sz w:val="22"/>
          <w:szCs w:val="22"/>
        </w:rPr>
        <w:footnoteRef/>
      </w:r>
      <w:r>
        <w:t>Corte Internacional de Justicia (ICJ) 1955. NOTTEBOHM CASE (LIECHTENSTEIN v. GUATEMALA) en 1955, en el caso Nottebohm, la Corte estableció que: "De acuerdo a la práctica de los Estados, a decisiones arbitrales y judiciales y a la opinión de escritores, la nacionalidad es un vínculo legal que tiene su base en una realidad social de unión, una genuina conexión de existencia, interés y sentimientos, junto con la existencia de derechos y deberes recíprocos".</w:t>
      </w:r>
    </w:p>
  </w:footnote>
  <w:footnote w:id="296">
    <w:p w14:paraId="2D178539" w14:textId="77777777" w:rsidR="00172411" w:rsidRDefault="00172411" w:rsidP="00BC6CD6">
      <w:pPr>
        <w:pStyle w:val="Textonotapie"/>
        <w:spacing w:line="276" w:lineRule="auto"/>
        <w:ind w:firstLine="0"/>
        <w:rPr>
          <w:rFonts w:eastAsia="Times New Roman"/>
          <w:lang w:eastAsia="es-MX"/>
        </w:rPr>
      </w:pPr>
      <w:r>
        <w:rPr>
          <w:rFonts w:eastAsia="Times New Roman"/>
          <w:vertAlign w:val="superscript"/>
          <w:lang w:eastAsia="es-MX"/>
        </w:rPr>
        <w:footnoteRef/>
      </w:r>
      <w:r>
        <w:rPr>
          <w:rFonts w:eastAsia="Times New Roman"/>
          <w:lang w:eastAsia="es-MX"/>
        </w:rPr>
        <w:t xml:space="preserve">  Oficina del Alto Comisionado de las Naciones Unidas para los Refugiados (ACNUR) y la Iniciativa Pro Justicia de la Sociedad Abierta (Open Society), en Dakar, Senegal, el 23 y 24 de mayo de 2011. Reunión de expertos Interpretación de la Convención sobre la apatridia de 1961 y la prevención de la apatridia en los niños. Pag.3   www.refworld.org/cgi-bin/texis/vtx/rwmain/opendocpdf.pdf?... Se desprende de los artículos 3 y 7 de la CDN que no se puede dejar apátrida a un niño durante un período prolongado de tiempo. Las obligaciones impuestas a los Estados por la Convención sobre los derechos del niño no sólo se dirigen al país de nacimiento del niño, sino a todos los países con los que el niño tenga un vínculo, por ejemplo, por parentesco. En el contexto de la sucesión de Estados, los Estados predecesores y sucesores también pueden tener obligaciones pertinentes. 6. Los Estados Partes de la CDN que sean también partes en la Convención Americana sobre Derechos Humanos o la Carta Africana sobre los Derechos y el Bienestar del Niño, tienen la obligación explícita de conceder la nacionalidad automáticamente al nacer a los niños originarios de su territorio que de otro modo serían apátridas.</w:t>
      </w:r>
    </w:p>
  </w:footnote>
  <w:footnote w:id="297">
    <w:p w14:paraId="04D4FE01" w14:textId="77777777" w:rsidR="00172411" w:rsidRDefault="00172411" w:rsidP="00BC6CD6">
      <w:pPr>
        <w:pStyle w:val="Textonotapie"/>
        <w:spacing w:line="276" w:lineRule="auto"/>
        <w:ind w:firstLine="0"/>
      </w:pPr>
      <w:r>
        <w:rPr>
          <w:rFonts w:eastAsia="Times New Roman"/>
          <w:sz w:val="22"/>
          <w:szCs w:val="22"/>
          <w:vertAlign w:val="superscript"/>
          <w:lang w:eastAsia="es-MX"/>
        </w:rPr>
        <w:footnoteRef/>
      </w:r>
      <w:r>
        <w:rPr>
          <w:rFonts w:eastAsia="Times New Roman"/>
          <w:lang w:eastAsia="es-MX"/>
        </w:rPr>
        <w:t xml:space="preserve"> Convención de los Derechos del Niño. Ratificada por Cuba en 1991.</w:t>
      </w:r>
    </w:p>
  </w:footnote>
  <w:footnote w:id="298">
    <w:p w14:paraId="0700B422" w14:textId="77777777" w:rsidR="00172411" w:rsidRDefault="00172411" w:rsidP="00BC6CD6">
      <w:pPr>
        <w:pStyle w:val="Textonotapie"/>
        <w:spacing w:line="276" w:lineRule="auto"/>
        <w:ind w:firstLine="0"/>
        <w:rPr>
          <w:rFonts w:eastAsia="Times New Roman"/>
          <w:lang w:val="es-MX" w:eastAsia="es-MX"/>
        </w:rPr>
      </w:pPr>
      <w:r>
        <w:rPr>
          <w:rFonts w:eastAsia="Times New Roman"/>
          <w:sz w:val="22"/>
          <w:szCs w:val="22"/>
          <w:vertAlign w:val="superscript"/>
          <w:lang w:eastAsia="es-MX"/>
        </w:rPr>
        <w:footnoteRef/>
      </w:r>
      <w:r>
        <w:rPr>
          <w:rFonts w:eastAsia="Times New Roman"/>
          <w:sz w:val="22"/>
          <w:szCs w:val="22"/>
          <w:lang w:eastAsia="es-MX"/>
        </w:rPr>
        <w:t>M</w:t>
      </w:r>
      <w:r>
        <w:rPr>
          <w:rFonts w:eastAsia="Times New Roman"/>
          <w:lang w:eastAsia="es-MX"/>
        </w:rPr>
        <w:t xml:space="preserve">ario Antonio Fernández Pérez (2008) </w:t>
      </w:r>
      <w:r>
        <w:rPr>
          <w:rFonts w:eastAsia="Times New Roman"/>
          <w:i/>
          <w:lang w:eastAsia="es-MX"/>
        </w:rPr>
        <w:t>¿Cubanos con doble ciudadanía?</w:t>
      </w:r>
      <w:r>
        <w:rPr>
          <w:rFonts w:eastAsia="Times New Roman"/>
          <w:lang w:eastAsia="es-MX"/>
        </w:rPr>
        <w:t xml:space="preserve"> Revista  Cubaencuentro.  Disponible: http://www.cubaencuentro.com/revista/ content/download/96759/653814/version/ 3/file/47mafpl51.pdf </w:t>
      </w:r>
    </w:p>
  </w:footnote>
  <w:footnote w:id="299">
    <w:p w14:paraId="0D4BF00C" w14:textId="77777777" w:rsidR="00172411" w:rsidRDefault="00172411" w:rsidP="00FF64F6">
      <w:pPr>
        <w:spacing w:after="0"/>
        <w:rPr>
          <w:rFonts w:ascii="Times New Roman" w:hAnsi="Times New Roman"/>
          <w:sz w:val="20"/>
          <w:szCs w:val="20"/>
          <w:lang w:val="en-US"/>
        </w:rPr>
      </w:pPr>
      <w:r>
        <w:rPr>
          <w:rStyle w:val="Refdenotaalpie"/>
          <w:rFonts w:ascii="Times New Roman" w:hAnsi="Times New Roman"/>
          <w:sz w:val="20"/>
          <w:szCs w:val="20"/>
        </w:rPr>
        <w:footnoteRef/>
      </w:r>
      <w:r>
        <w:rPr>
          <w:rFonts w:ascii="Times New Roman" w:hAnsi="Times New Roman"/>
          <w:sz w:val="20"/>
          <w:szCs w:val="20"/>
        </w:rPr>
        <w:t xml:space="preserve"> Convención sobre los Estatutos de los Apátridas de 1954. Artículo 1. Definición del término «apátrida»1. A los efectos de la presente Convención, el término «apátrida» designará a toda persona que no sea considerada como nacional suyo por ningún Estado, conforme a su legislación. </w:t>
      </w:r>
      <w:r>
        <w:rPr>
          <w:rFonts w:ascii="Times New Roman" w:hAnsi="Times New Roman"/>
          <w:sz w:val="20"/>
          <w:szCs w:val="20"/>
          <w:lang w:val="en-US"/>
        </w:rPr>
        <w:t xml:space="preserve">Pag.8. Disponible: http://www.acnur.org/.../Publicaciones/2014/9610.pdf?view=1 </w:t>
      </w:r>
    </w:p>
  </w:footnote>
  <w:footnote w:id="300">
    <w:p w14:paraId="3544A845" w14:textId="77777777" w:rsidR="00172411" w:rsidRDefault="00172411" w:rsidP="00FF64F6">
      <w:pPr>
        <w:autoSpaceDE w:val="0"/>
        <w:autoSpaceDN w:val="0"/>
        <w:adjustRightInd w:val="0"/>
        <w:spacing w:after="0" w:line="240" w:lineRule="atLeast"/>
        <w:rPr>
          <w:rFonts w:eastAsia="LiberationSerif"/>
          <w:iCs/>
          <w:sz w:val="20"/>
          <w:szCs w:val="20"/>
          <w:lang w:val="en-US" w:eastAsia="es-MX"/>
        </w:rPr>
      </w:pPr>
      <w:r>
        <w:rPr>
          <w:rStyle w:val="Refdenotaalpie"/>
          <w:rFonts w:ascii="Times New Roman" w:hAnsi="Times New Roman"/>
        </w:rPr>
        <w:footnoteRef/>
      </w:r>
      <w:r>
        <w:rPr>
          <w:rFonts w:ascii="Times New Roman" w:hAnsi="Times New Roman"/>
          <w:i/>
          <w:iCs/>
          <w:sz w:val="20"/>
          <w:szCs w:val="20"/>
          <w:lang w:val="en-US" w:eastAsia="es-MX"/>
        </w:rPr>
        <w:t xml:space="preserve"> Patrick Wautelet (2013) </w:t>
      </w:r>
      <w:r>
        <w:rPr>
          <w:rFonts w:ascii="Times New Roman" w:hAnsi="Times New Roman"/>
          <w:bCs/>
          <w:sz w:val="20"/>
          <w:szCs w:val="20"/>
          <w:lang w:val="en-US" w:eastAsia="es-MX"/>
        </w:rPr>
        <w:t xml:space="preserve">The law of nationality: comparative and international perspective. </w:t>
      </w:r>
      <w:r>
        <w:rPr>
          <w:rFonts w:ascii="Times New Roman" w:hAnsi="Times New Roman"/>
          <w:sz w:val="20"/>
          <w:szCs w:val="20"/>
          <w:lang w:val="en-US"/>
        </w:rPr>
        <w:t>Pp. 239. III. Loss of nationality. 1st question: when should loss of nationality intervene? E.g.– As punishment for serious crimes (e.g. rape, assault, etc.)?– As punishment for serious crimes related to public life (e.g. cheating taxes, attempt to overthrow gov't, etc.)?– When national embraces another nationality? ('with us or against us')?.</w:t>
      </w:r>
      <w:r>
        <w:rPr>
          <w:rFonts w:ascii="Times New Roman" w:eastAsia="LiberationSerif" w:hAnsi="Times New Roman"/>
          <w:sz w:val="20"/>
          <w:szCs w:val="20"/>
          <w:lang w:val="en-US" w:eastAsia="es-MX"/>
        </w:rPr>
        <w:t xml:space="preserve"> 2nd question: Who should decide on loss of nationality? – Court? – Executive branch?3rd question : what are the </w:t>
      </w:r>
      <w:r>
        <w:rPr>
          <w:rFonts w:ascii="Times New Roman" w:eastAsia="LiberationSerif" w:hAnsi="Times New Roman"/>
          <w:iCs/>
          <w:sz w:val="20"/>
          <w:szCs w:val="20"/>
          <w:lang w:val="en-US" w:eastAsia="es-MX"/>
        </w:rPr>
        <w:t xml:space="preserve">consequences </w:t>
      </w:r>
      <w:r>
        <w:rPr>
          <w:rFonts w:ascii="Times New Roman" w:eastAsia="LiberationSerif" w:hAnsi="Times New Roman"/>
          <w:sz w:val="20"/>
          <w:szCs w:val="20"/>
          <w:lang w:val="en-US" w:eastAsia="es-MX"/>
        </w:rPr>
        <w:t>of the loss for the persons concerned? See rights linked to nationality : – Political rights – Travel &amp; residence rights. Available</w:t>
      </w:r>
      <w:r>
        <w:rPr>
          <w:rFonts w:eastAsia="LiberationSerif"/>
          <w:iCs/>
          <w:sz w:val="20"/>
          <w:szCs w:val="20"/>
          <w:lang w:val="en-US" w:eastAsia="es-MX"/>
        </w:rPr>
        <w:t xml:space="preserve">: </w:t>
      </w:r>
      <w:hyperlink r:id="rId97" w:history="1">
        <w:r>
          <w:rPr>
            <w:rStyle w:val="Hipervnculo"/>
            <w:rFonts w:eastAsia="LiberationSerif"/>
            <w:iCs/>
            <w:sz w:val="20"/>
            <w:lang w:val="en-US" w:eastAsia="es-MX"/>
          </w:rPr>
          <w:t>http://hdl.handle.net/2268/171991</w:t>
        </w:r>
      </w:hyperlink>
      <w:r>
        <w:rPr>
          <w:rFonts w:eastAsia="LiberationSerif"/>
          <w:iCs/>
          <w:sz w:val="20"/>
          <w:szCs w:val="20"/>
          <w:lang w:val="en-US" w:eastAsia="es-MX"/>
        </w:rPr>
        <w:t xml:space="preserve"> or http://primo.lib.ulg.ac.be/openurl/32ULG/32ULG_SP?</w:t>
      </w:r>
    </w:p>
  </w:footnote>
  <w:footnote w:id="301">
    <w:p w14:paraId="25F8237A" w14:textId="77777777" w:rsidR="00172411" w:rsidRDefault="00172411" w:rsidP="00FF64F6">
      <w:pPr>
        <w:autoSpaceDE w:val="0"/>
        <w:autoSpaceDN w:val="0"/>
        <w:adjustRightInd w:val="0"/>
        <w:spacing w:after="0" w:line="240" w:lineRule="atLeast"/>
        <w:rPr>
          <w:rFonts w:ascii="Times New Roman" w:hAnsi="Times New Roman"/>
          <w:sz w:val="20"/>
          <w:szCs w:val="20"/>
          <w:lang w:val="es-MX"/>
        </w:rPr>
      </w:pPr>
      <w:r>
        <w:rPr>
          <w:rFonts w:ascii="Times New Roman" w:hAnsi="Times New Roman"/>
          <w:vertAlign w:val="superscript"/>
        </w:rPr>
        <w:footnoteRef/>
      </w:r>
      <w:r>
        <w:rPr>
          <w:rFonts w:ascii="Times New Roman" w:hAnsi="Times New Roman"/>
          <w:sz w:val="20"/>
          <w:szCs w:val="20"/>
        </w:rPr>
        <w:t xml:space="preserve">Jorge Fernando Paz Alburez (Agosto, 2014) </w:t>
      </w:r>
      <w:r>
        <w:rPr>
          <w:rFonts w:ascii="Times New Roman" w:hAnsi="Times New Roman"/>
          <w:i/>
          <w:sz w:val="20"/>
          <w:szCs w:val="20"/>
        </w:rPr>
        <w:t>Análisis jurídico de la figura de la apatridia en conflicto con el derecho humano a la nacionalidad.</w:t>
      </w:r>
      <w:r>
        <w:rPr>
          <w:rFonts w:ascii="Times New Roman" w:hAnsi="Times New Roman"/>
          <w:sz w:val="20"/>
          <w:szCs w:val="20"/>
        </w:rPr>
        <w:t xml:space="preserve"> Tesis de Grado. Universidad Rafael Landívar. </w:t>
      </w:r>
      <w:r>
        <w:rPr>
          <w:rFonts w:ascii="Times New Roman" w:eastAsia="Arial Unicode MS" w:hAnsi="Times New Roman"/>
          <w:sz w:val="20"/>
          <w:szCs w:val="20"/>
        </w:rPr>
        <w:t xml:space="preserve">Guatemala. </w:t>
      </w:r>
      <w:r>
        <w:rPr>
          <w:rFonts w:ascii="Times New Roman" w:hAnsi="Times New Roman"/>
          <w:sz w:val="20"/>
          <w:szCs w:val="20"/>
        </w:rPr>
        <w:t>Pág. 85. Disponible: biblio3.url.edu.gt/Tesario/2014/07/01/Paz-Jorge.pdf La apatridia puede ser de dos clases generales; apatridia originaria y apatridia sobrevenida. Existen diversos situaciones en los cuales puede surgir una persona apátrida; Apatridia por privación de la nacionalidad como castigo (desnacionalización); por conflicto de legislaciones internas sobre la nacionalidad; Apatridia a causa de guerra, por renuncia a la nacionalidad, por discriminación, pérdida automática de la nacionalidad . En el caso de niños por falta de registro de la persona al nacer, por la no debida aplicación del ius solis y/o del ius sanguinis o incluso en el caso de niños abandonados.</w:t>
      </w:r>
    </w:p>
  </w:footnote>
  <w:footnote w:id="302">
    <w:p w14:paraId="75A46A9D" w14:textId="002EBF9A" w:rsidR="00172411" w:rsidRDefault="00172411" w:rsidP="00D278CF">
      <w:pPr>
        <w:pStyle w:val="Textonotapie"/>
        <w:spacing w:line="240" w:lineRule="atLeast"/>
        <w:ind w:firstLine="0"/>
        <w:rPr>
          <w:rFonts w:eastAsia="Calibri"/>
          <w:lang w:eastAsia="en-US"/>
        </w:rPr>
      </w:pPr>
      <w:r>
        <w:rPr>
          <w:rStyle w:val="Refdenotaalpie"/>
        </w:rPr>
        <w:footnoteRef/>
      </w:r>
      <w:r>
        <w:t xml:space="preserve"> Convención Internacional sobre Eliminación de todas las Formas de Discriminación Racial (ICERD). </w:t>
      </w:r>
      <w:r w:rsidRPr="00741A40">
        <w:t>15 febrero de 1972</w:t>
      </w:r>
    </w:p>
  </w:footnote>
  <w:footnote w:id="303">
    <w:p w14:paraId="3F9AF3F5" w14:textId="1C791A2A" w:rsidR="00172411" w:rsidRDefault="00172411" w:rsidP="00D278CF">
      <w:pPr>
        <w:pStyle w:val="Textonotapie"/>
        <w:spacing w:line="240" w:lineRule="atLeast"/>
        <w:ind w:firstLine="0"/>
        <w:rPr>
          <w:rFonts w:eastAsia="Calibri"/>
        </w:rPr>
      </w:pPr>
      <w:r>
        <w:rPr>
          <w:rStyle w:val="Refdenotaalpie"/>
        </w:rPr>
        <w:footnoteRef/>
      </w:r>
      <w:r>
        <w:t xml:space="preserve"> Convención sobre la Eliminación de todas las Formas de Discriminación Contra la Mujer (CEDAW). </w:t>
      </w:r>
      <w:r w:rsidRPr="00741A40">
        <w:t>17 de julio de 1980</w:t>
      </w:r>
    </w:p>
  </w:footnote>
  <w:footnote w:id="304">
    <w:p w14:paraId="368DDFA3" w14:textId="48E68FE6" w:rsidR="00172411" w:rsidRDefault="00172411" w:rsidP="00D278CF">
      <w:pPr>
        <w:pStyle w:val="Textonotapie"/>
        <w:spacing w:line="240" w:lineRule="atLeast"/>
        <w:ind w:firstLine="0"/>
      </w:pPr>
      <w:r>
        <w:rPr>
          <w:rStyle w:val="Refdenotaalpie"/>
        </w:rPr>
        <w:footnoteRef/>
      </w:r>
      <w:r>
        <w:t xml:space="preserve"> Convención sobre los Derechos de las Personas con Discapacidad. </w:t>
      </w:r>
      <w:r w:rsidRPr="00741A40">
        <w:t>6 de septiembre de 2007</w:t>
      </w:r>
    </w:p>
  </w:footnote>
  <w:footnote w:id="305">
    <w:p w14:paraId="7BC93DB0" w14:textId="6CED7EF8" w:rsidR="00172411" w:rsidRDefault="00172411" w:rsidP="00D278CF">
      <w:pPr>
        <w:pStyle w:val="Textonotapie"/>
        <w:spacing w:line="240" w:lineRule="atLeast"/>
        <w:ind w:firstLine="0"/>
        <w:rPr>
          <w:lang w:val="es-ES"/>
        </w:rPr>
      </w:pPr>
      <w:r>
        <w:rPr>
          <w:rStyle w:val="Refdenotaalpie"/>
        </w:rPr>
        <w:footnoteRef/>
      </w:r>
      <w:r>
        <w:t xml:space="preserve"> </w:t>
      </w:r>
      <w:r w:rsidRPr="00741A40">
        <w:t>Convención contra la Tortura (CAT)</w:t>
      </w:r>
      <w:r>
        <w:t>.</w:t>
      </w:r>
      <w:r w:rsidRPr="00741A40">
        <w:t xml:space="preserve"> 17 de mayo de 1995</w:t>
      </w:r>
    </w:p>
  </w:footnote>
  <w:footnote w:id="306">
    <w:p w14:paraId="1C93F0BC" w14:textId="7840DCFC" w:rsidR="00172411" w:rsidRPr="006B1A3F" w:rsidRDefault="00172411" w:rsidP="006B1A3F">
      <w:pPr>
        <w:tabs>
          <w:tab w:val="left" w:pos="708"/>
        </w:tabs>
        <w:spacing w:after="0" w:line="240" w:lineRule="atLeast"/>
        <w:ind w:left="46"/>
        <w:rPr>
          <w:rFonts w:ascii="Times New Roman" w:hAnsi="Times New Roman"/>
          <w:sz w:val="20"/>
          <w:szCs w:val="20"/>
          <w:lang w:val="es-MX"/>
        </w:rPr>
      </w:pPr>
      <w:r>
        <w:rPr>
          <w:rStyle w:val="Refdenotaalpie"/>
          <w:rFonts w:ascii="Times New Roman" w:hAnsi="Times New Roman"/>
          <w:sz w:val="20"/>
        </w:rPr>
        <w:footnoteRef/>
      </w:r>
      <w:r>
        <w:rPr>
          <w:rFonts w:ascii="Times New Roman" w:hAnsi="Times New Roman"/>
          <w:sz w:val="20"/>
          <w:szCs w:val="20"/>
        </w:rPr>
        <w:t xml:space="preserve"> Majela Ferrari Yaunner,(2010) </w:t>
      </w:r>
      <w:r>
        <w:rPr>
          <w:rFonts w:ascii="Times New Roman" w:hAnsi="Times New Roman"/>
          <w:i/>
          <w:sz w:val="20"/>
          <w:szCs w:val="20"/>
        </w:rPr>
        <w:t>La Integración del Derecho ante las Lagunas de la Ley</w:t>
      </w:r>
      <w:r>
        <w:rPr>
          <w:rFonts w:ascii="Times New Roman" w:hAnsi="Times New Roman"/>
          <w:sz w:val="20"/>
          <w:szCs w:val="20"/>
        </w:rPr>
        <w:t xml:space="preserve">. pag.12Facultad de Derecho, Universidad de La Habana pag.10 Justicia y Derecho. Año 8, No. 15, diciembre de 2010.Disponible: </w:t>
      </w:r>
      <w:hyperlink r:id="rId98" w:history="1">
        <w:r>
          <w:rPr>
            <w:rStyle w:val="Hipervnculo"/>
            <w:rFonts w:ascii="Times New Roman" w:hAnsi="Times New Roman"/>
            <w:sz w:val="20"/>
            <w:szCs w:val="20"/>
          </w:rPr>
          <w:t>http://www.tsp.cu/sites/default/files/15JusticiaDerecho.pdf</w:t>
        </w:r>
      </w:hyperlink>
      <w:r>
        <w:rPr>
          <w:rFonts w:ascii="Times New Roman" w:hAnsi="Times New Roman"/>
          <w:sz w:val="20"/>
          <w:szCs w:val="20"/>
        </w:rPr>
        <w:t xml:space="preserve">  No sería loable afirmar que los jueces son solo autómatas aplicadores de la ley, pues su actividad ante las lagunas es ardua y compleja, contentiva de una cuota de discrecionalidad indiscutible, pero discrecionalidad con límites, los límites que impone el ordenamiento y la preservación de la legalidad.</w:t>
      </w:r>
    </w:p>
  </w:footnote>
  <w:footnote w:id="307">
    <w:p w14:paraId="72872F64" w14:textId="77777777" w:rsidR="00172411" w:rsidRDefault="00172411" w:rsidP="006B1A3F">
      <w:pPr>
        <w:pStyle w:val="Textonotapie"/>
        <w:tabs>
          <w:tab w:val="left" w:pos="708"/>
        </w:tabs>
        <w:ind w:firstLine="0"/>
      </w:pPr>
      <w:r>
        <w:rPr>
          <w:rStyle w:val="Refdenotaalpie"/>
        </w:rPr>
        <w:footnoteRef/>
      </w:r>
      <w:r>
        <w:t xml:space="preserve"> Oficina de las Naciones Unidas Contra la Droga y el Delito. Viena. Nueva York, 2007. </w:t>
      </w:r>
      <w:r>
        <w:rPr>
          <w:i/>
        </w:rPr>
        <w:t>Recopilación de reglas y normas de las Naciones Unidas en la esfera de la prevención del delito y la justicia penal</w:t>
      </w:r>
      <w:r>
        <w:t xml:space="preserve">.  Pág. 69 (79) Disponible en:                                                       </w:t>
      </w:r>
      <w:hyperlink r:id="rId99" w:history="1">
        <w:r>
          <w:rPr>
            <w:rStyle w:val="Hipervnculo"/>
          </w:rPr>
          <w:t>https://www.unodc.org/pdf/criminal_justice/Compendium_UN_Standards_and_Norms_CP_and_CJ_Spanish.pdf</w:t>
        </w:r>
      </w:hyperlink>
      <w:r>
        <w:t xml:space="preserve">  </w:t>
      </w:r>
    </w:p>
  </w:footnote>
  <w:footnote w:id="308">
    <w:p w14:paraId="33FBC403" w14:textId="77777777" w:rsidR="00172411" w:rsidRPr="000A010C" w:rsidRDefault="00172411" w:rsidP="006B1A3F">
      <w:pPr>
        <w:pStyle w:val="Textoindependiente"/>
        <w:spacing w:after="0" w:line="276" w:lineRule="auto"/>
        <w:ind w:firstLine="0"/>
        <w:rPr>
          <w:sz w:val="24"/>
          <w:szCs w:val="24"/>
        </w:rPr>
      </w:pPr>
      <w:r>
        <w:rPr>
          <w:rStyle w:val="Refdenotaalpie"/>
        </w:rPr>
        <w:footnoteRef/>
      </w:r>
      <w:r>
        <w:t xml:space="preserve"> </w:t>
      </w:r>
      <w:r w:rsidRPr="00C7188C">
        <w:rPr>
          <w:rFonts w:ascii="Times New Roman" w:hAnsi="Times New Roman" w:cs="Times New Roman"/>
          <w:sz w:val="20"/>
          <w:szCs w:val="20"/>
          <w:lang w:val="es-MX"/>
        </w:rPr>
        <w:t>José I</w:t>
      </w:r>
      <w:r>
        <w:rPr>
          <w:rFonts w:ascii="Times New Roman" w:hAnsi="Times New Roman" w:cs="Times New Roman"/>
          <w:sz w:val="20"/>
          <w:szCs w:val="20"/>
          <w:lang w:val="es-MX"/>
        </w:rPr>
        <w:t>.</w:t>
      </w:r>
      <w:r w:rsidRPr="00C7188C">
        <w:rPr>
          <w:rFonts w:ascii="Times New Roman" w:hAnsi="Times New Roman" w:cs="Times New Roman"/>
          <w:sz w:val="20"/>
          <w:szCs w:val="20"/>
          <w:lang w:val="es-MX"/>
        </w:rPr>
        <w:t xml:space="preserve"> Pazos Crocitto (2018) </w:t>
      </w:r>
      <w:r w:rsidRPr="000A010C">
        <w:rPr>
          <w:rFonts w:ascii="Times New Roman" w:hAnsi="Times New Roman" w:cs="Times New Roman"/>
          <w:i/>
          <w:sz w:val="20"/>
          <w:szCs w:val="20"/>
          <w:lang w:val="es-MX"/>
        </w:rPr>
        <w:t>Lagunas jurídicas: una nueva reflexión sobre un problema jurídico recurrente.</w:t>
      </w:r>
      <w:r>
        <w:rPr>
          <w:rFonts w:ascii="Times New Roman" w:hAnsi="Times New Roman" w:cs="Times New Roman"/>
          <w:sz w:val="20"/>
          <w:szCs w:val="20"/>
          <w:lang w:val="es-MX"/>
        </w:rPr>
        <w:t xml:space="preserve"> </w:t>
      </w:r>
      <w:r w:rsidRPr="00C7188C">
        <w:rPr>
          <w:rFonts w:ascii="Times New Roman" w:hAnsi="Times New Roman" w:cs="Times New Roman"/>
          <w:sz w:val="20"/>
          <w:szCs w:val="20"/>
          <w:lang w:val="es-MX"/>
        </w:rPr>
        <w:t xml:space="preserve">Revista Jurídica AMFJN. Disponible: </w:t>
      </w:r>
      <w:r w:rsidRPr="00C7188C">
        <w:rPr>
          <w:rFonts w:ascii="Times New Roman" w:hAnsi="Times New Roman" w:cs="Times New Roman"/>
          <w:i/>
          <w:iCs/>
          <w:sz w:val="20"/>
          <w:szCs w:val="20"/>
          <w:lang w:val="es-MX"/>
        </w:rPr>
        <w:t>http://www.amfjn.org.ar/wp-content/uploads/2018/02/04-Las-lagunas-ju</w:t>
      </w:r>
      <w:r>
        <w:rPr>
          <w:rFonts w:ascii="Times New Roman" w:hAnsi="Times New Roman" w:cs="Times New Roman"/>
          <w:i/>
          <w:iCs/>
          <w:sz w:val="20"/>
          <w:szCs w:val="20"/>
          <w:lang w:val="es-MX"/>
        </w:rPr>
        <w:t>ri%CC%81dicas-Pazos-Crocitto.pdf</w:t>
      </w:r>
    </w:p>
  </w:footnote>
  <w:footnote w:id="309">
    <w:p w14:paraId="1AB7E914" w14:textId="77777777" w:rsidR="00172411" w:rsidRDefault="00172411" w:rsidP="00857AFB">
      <w:pPr>
        <w:pStyle w:val="Textonotapie"/>
        <w:spacing w:line="240" w:lineRule="atLeast"/>
        <w:ind w:firstLine="0"/>
        <w:rPr>
          <w:lang w:val="es-MX"/>
        </w:rPr>
      </w:pPr>
      <w:r>
        <w:rPr>
          <w:rStyle w:val="Refdenotaalpie"/>
          <w:sz w:val="22"/>
          <w:szCs w:val="22"/>
        </w:rPr>
        <w:footnoteRef/>
      </w:r>
      <w:r>
        <w:rPr>
          <w:lang w:val="es-MX"/>
        </w:rPr>
        <w:t xml:space="preserve">Inter Press Service.13 Julio, 2016. </w:t>
      </w:r>
      <w:r w:rsidRPr="00386574">
        <w:rPr>
          <w:i/>
          <w:lang w:val="es-MX"/>
        </w:rPr>
        <w:t>La adolescencia de Cuba requiere más investigaciones, según panelistas.</w:t>
      </w:r>
      <w:r>
        <w:rPr>
          <w:lang w:val="es-MX"/>
        </w:rPr>
        <w:t xml:space="preserve"> Disponible: http://www.ipscuba.net/sociedad/la-adolescencia-de-cuba-requiere-mas-investigaciones-segun-panelistas/</w:t>
      </w:r>
    </w:p>
  </w:footnote>
  <w:footnote w:id="310">
    <w:p w14:paraId="1C7572B8" w14:textId="77777777" w:rsidR="00172411" w:rsidRDefault="00172411" w:rsidP="00857AFB">
      <w:pPr>
        <w:pStyle w:val="Textonotapie"/>
        <w:spacing w:line="240" w:lineRule="atLeast"/>
        <w:ind w:firstLine="0"/>
        <w:rPr>
          <w:lang w:val="es-MX"/>
        </w:rPr>
      </w:pPr>
      <w:r>
        <w:rPr>
          <w:rStyle w:val="Refdenotaalpie"/>
          <w:rFonts w:ascii="Calibri" w:hAnsi="Calibri" w:cs="Calibri"/>
          <w:sz w:val="22"/>
          <w:szCs w:val="22"/>
        </w:rPr>
        <w:footnoteRef/>
      </w:r>
      <w:r>
        <w:rPr>
          <w:lang w:val="es-MX"/>
        </w:rPr>
        <w:t xml:space="preserve">María C. Martínez  Pelegrin. Nov. 10, 2017. </w:t>
      </w:r>
      <w:r w:rsidRPr="00386574">
        <w:rPr>
          <w:i/>
          <w:lang w:val="es-MX"/>
        </w:rPr>
        <w:t>Negociar, comprender, decidir. Embarazo en la adolescencia.</w:t>
      </w:r>
      <w:r>
        <w:rPr>
          <w:lang w:val="es-MX"/>
        </w:rPr>
        <w:t xml:space="preserve">  Periódico Granma pág. 3. Edición Impresa. Cuba. </w:t>
      </w:r>
    </w:p>
  </w:footnote>
  <w:footnote w:id="311">
    <w:p w14:paraId="60BEB723" w14:textId="77777777" w:rsidR="00172411" w:rsidRDefault="00172411" w:rsidP="00857AFB">
      <w:pPr>
        <w:pStyle w:val="Textonotapie"/>
        <w:ind w:firstLine="0"/>
      </w:pPr>
      <w:r>
        <w:rPr>
          <w:rStyle w:val="Refdenotaalpie"/>
        </w:rPr>
        <w:footnoteRef/>
      </w:r>
      <w:r>
        <w:t>Osniel Carmona Breijo.Enero 5, 2016.</w:t>
      </w:r>
      <w:r w:rsidRPr="00386574">
        <w:rPr>
          <w:i/>
        </w:rPr>
        <w:t>Seguridad de Estado impide celebrar Reyes Magos</w:t>
      </w:r>
      <w:r>
        <w:t>. Cubanet. Disponible:  www.cubanet.org/noticias/seguridad-de-estado-impide-celebrar-reyes-magos/</w:t>
      </w:r>
    </w:p>
  </w:footnote>
  <w:footnote w:id="312">
    <w:p w14:paraId="712B9C1A" w14:textId="77777777" w:rsidR="00172411" w:rsidRDefault="00172411" w:rsidP="00A53647">
      <w:pPr>
        <w:pStyle w:val="Textonotapie"/>
        <w:spacing w:line="240" w:lineRule="atLeast"/>
        <w:ind w:firstLine="0"/>
        <w:rPr>
          <w:lang w:val="es-MX"/>
        </w:rPr>
      </w:pPr>
      <w:r>
        <w:rPr>
          <w:rStyle w:val="Refdenotaalpie"/>
          <w:rFonts w:ascii="Calibri" w:hAnsi="Calibri" w:cs="Calibri"/>
          <w:sz w:val="22"/>
          <w:szCs w:val="22"/>
        </w:rPr>
        <w:footnoteRef/>
      </w:r>
      <w:r>
        <w:t xml:space="preserve">Comisión Nacional de Educación Católica. Septiembre 2011. </w:t>
      </w:r>
      <w:r w:rsidRPr="00386574">
        <w:rPr>
          <w:i/>
        </w:rPr>
        <w:t>Proyecto Educativo de la Iglesia Católica en Cuba.</w:t>
      </w:r>
      <w:r>
        <w:t xml:space="preserve"> Folleto Impreso. Párrafo 52 y 53.  Pág.</w:t>
      </w:r>
      <w:r>
        <w:rPr>
          <w:lang w:val="es-MX"/>
        </w:rPr>
        <w:t xml:space="preserve"> 23</w:t>
      </w:r>
    </w:p>
  </w:footnote>
  <w:footnote w:id="313">
    <w:p w14:paraId="0D1A340C" w14:textId="77777777" w:rsidR="00172411" w:rsidRDefault="00172411" w:rsidP="00E5208A">
      <w:pPr>
        <w:pStyle w:val="Textonotapie"/>
        <w:ind w:firstLine="0"/>
      </w:pPr>
      <w:r>
        <w:rPr>
          <w:rStyle w:val="Refdenotaalpie"/>
          <w:rFonts w:ascii="Calibri" w:hAnsi="Calibri"/>
          <w:sz w:val="22"/>
          <w:szCs w:val="22"/>
        </w:rPr>
        <w:footnoteRef/>
      </w:r>
      <w:r>
        <w:t>Comité de los Derechos del Niño CRC/C/15/Add.72, 18 de junio de 1997.</w:t>
      </w:r>
      <w:r>
        <w:rPr>
          <w:rFonts w:ascii="Calibri" w:hAnsi="Calibri"/>
          <w:sz w:val="22"/>
          <w:szCs w:val="22"/>
        </w:rPr>
        <w:t xml:space="preserve">  …</w:t>
      </w:r>
      <w:r>
        <w:t>programas de educación sobre la salud con objeto de hacer frente a los problemas que representan los embarazos de adolescentes o no deseados y de modificar el comportamiento sexual de los varones.</w:t>
      </w:r>
    </w:p>
  </w:footnote>
  <w:footnote w:id="314">
    <w:p w14:paraId="6B0D29E3" w14:textId="77777777" w:rsidR="00172411" w:rsidRDefault="00172411" w:rsidP="00E5208A">
      <w:pPr>
        <w:pStyle w:val="Textonotapie"/>
        <w:ind w:firstLine="0"/>
      </w:pPr>
      <w:r>
        <w:rPr>
          <w:rStyle w:val="Refdenotaalpie"/>
        </w:rPr>
        <w:footnoteRef/>
      </w:r>
      <w:r>
        <w:t xml:space="preserve"> Luisa Íñiguez (COORD.), Edgar Figueroa y Janet Rojas. La Habana, 2017. </w:t>
      </w:r>
      <w:r>
        <w:rPr>
          <w:i/>
        </w:rPr>
        <w:t xml:space="preserve">Atlas de la infancia y la adolescencia en Cuba. Análisis a partir del Censo de Población y Viviendas 2012. </w:t>
      </w:r>
      <w:r>
        <w:t xml:space="preserve"> Editorial UH. Cuba.  Disponible:   </w:t>
      </w:r>
      <w:hyperlink r:id="rId100" w:history="1">
        <w:r>
          <w:rPr>
            <w:rStyle w:val="Hipervnculo"/>
          </w:rPr>
          <w:t>https://www.unicef.org/lac/Atlas_de_la_infancia_y_la_adolescencia_en_CubaLR4(1).pdf</w:t>
        </w:r>
      </w:hyperlink>
      <w:r>
        <w:t xml:space="preserve"> Pag.24. En el 24 % de los municipios del país residía poco más de la mitad de la población de 0 a 17 años, lo cual muestra que existe</w:t>
      </w:r>
    </w:p>
    <w:p w14:paraId="730CDBF4" w14:textId="77777777" w:rsidR="00172411" w:rsidRDefault="00172411" w:rsidP="00E5208A">
      <w:pPr>
        <w:pStyle w:val="Textonotapie"/>
        <w:ind w:firstLine="0"/>
        <w:rPr>
          <w:lang w:val="es-MX"/>
        </w:rPr>
      </w:pPr>
      <w:r>
        <w:t xml:space="preserve">una elevada concentración territorial. …concentrados en la parte oriental, los niños y adolescentes superan el 25 % de la población total... </w:t>
      </w:r>
      <w:r>
        <w:rPr>
          <w:lang w:val="es-MX"/>
        </w:rPr>
        <w:t>Pag.27.  Cuadro 1. Pag.52...en el caso de las 3 provincias de la parte sur oriental del país, con predominio de población mestiza o mulata..</w:t>
      </w:r>
    </w:p>
  </w:footnote>
  <w:footnote w:id="315">
    <w:p w14:paraId="4F5F0E75" w14:textId="77777777" w:rsidR="00172411" w:rsidRDefault="00172411" w:rsidP="00E5208A">
      <w:pPr>
        <w:pStyle w:val="Textonotapie"/>
        <w:ind w:firstLine="0"/>
        <w:rPr>
          <w:lang w:val="en-US"/>
        </w:rPr>
      </w:pPr>
      <w:r>
        <w:rPr>
          <w:sz w:val="22"/>
          <w:szCs w:val="22"/>
          <w:vertAlign w:val="superscript"/>
          <w:lang w:val="es-MX"/>
        </w:rPr>
        <w:footnoteRef/>
      </w:r>
      <w:r>
        <w:rPr>
          <w:lang w:val="en-US"/>
        </w:rPr>
        <w:t xml:space="preserve">CEDAW/C/CUB/CO/7-8. (25 July 2013). </w:t>
      </w:r>
      <w:r>
        <w:rPr>
          <w:i/>
          <w:lang w:val="en-US"/>
        </w:rPr>
        <w:t>Concluding observations … periodic reports of Cuba</w:t>
      </w:r>
      <w:r>
        <w:rPr>
          <w:lang w:val="en-US"/>
        </w:rPr>
        <w:t>. Paragraph 12. Pp. 3.  Access to justice. Available: http://www2.ohchr.org/english/bodies/cedaw/docs/co/CEDAW/C/CUB/CO/7-8.doc</w:t>
      </w:r>
    </w:p>
  </w:footnote>
  <w:footnote w:id="316">
    <w:p w14:paraId="0CBA9139" w14:textId="77777777" w:rsidR="00172411" w:rsidRDefault="00172411" w:rsidP="00E5208A">
      <w:pPr>
        <w:pStyle w:val="Textonotapie"/>
        <w:ind w:firstLine="0"/>
        <w:rPr>
          <w:lang w:val="es-MX"/>
        </w:rPr>
      </w:pPr>
      <w:r>
        <w:rPr>
          <w:vertAlign w:val="superscript"/>
          <w:lang w:val="es-MX"/>
        </w:rPr>
        <w:footnoteRef/>
      </w:r>
      <w:r>
        <w:rPr>
          <w:lang w:val="es-MX"/>
        </w:rPr>
        <w:t xml:space="preserve"> Pio Iván Gómez, Ramiro Molina y Nina Zamberlin (enero 2011) Factores relacionados con el embarazo y la maternidad en menores de 15 años. Federación Latino Americana de Sociedades de Obstetricia y Ginecología(FLASOG). Lima, Perú, Pág. 22. Disponible en: </w:t>
      </w:r>
      <w:hyperlink r:id="rId101" w:history="1">
        <w:r>
          <w:rPr>
            <w:rStyle w:val="Hipervnculo"/>
            <w:lang w:val="es-MX"/>
          </w:rPr>
          <w:t>http://www.unal.edu.co/bioetica/documentos/2011/Maternidad.pdf</w:t>
        </w:r>
      </w:hyperlink>
    </w:p>
  </w:footnote>
  <w:footnote w:id="317">
    <w:p w14:paraId="6C61EEB4" w14:textId="77777777" w:rsidR="00172411" w:rsidRDefault="00172411" w:rsidP="00E5208A">
      <w:pPr>
        <w:pStyle w:val="Textonotapie"/>
        <w:ind w:firstLine="0"/>
        <w:rPr>
          <w:lang w:val="es-MX"/>
        </w:rPr>
      </w:pPr>
      <w:r>
        <w:rPr>
          <w:vertAlign w:val="superscript"/>
          <w:lang w:val="es-MX"/>
        </w:rPr>
        <w:footnoteRef/>
      </w:r>
      <w:r>
        <w:rPr>
          <w:lang w:val="es-MX"/>
        </w:rPr>
        <w:t xml:space="preserve"> LEY No. 62 CODIGO PENAL.(Modificado) Cuba. Artículo 305. Estupro. ARTICULO 305. El que tenga relación sexual con mujer soltera mayor de 12 años y menor de 16, empleando abuso de autoridad o engaño, incurre en sanción de privación de libertad de tres meses a un año.</w:t>
      </w:r>
    </w:p>
  </w:footnote>
  <w:footnote w:id="318">
    <w:p w14:paraId="1AA0AB25" w14:textId="5EB250AD" w:rsidR="00172411" w:rsidRDefault="00172411" w:rsidP="00857AFB">
      <w:pPr>
        <w:pStyle w:val="Textonotapie"/>
        <w:ind w:firstLine="0"/>
        <w:rPr>
          <w:lang w:val="es-MX"/>
        </w:rPr>
      </w:pPr>
      <w:r>
        <w:rPr>
          <w:vertAlign w:val="superscript"/>
          <w:lang w:val="es-MX"/>
        </w:rPr>
        <w:footnoteRef/>
      </w:r>
      <w:r>
        <w:rPr>
          <w:lang w:val="es-MX"/>
        </w:rPr>
        <w:t xml:space="preserve">Codigo Penal. Loc. cit. Artículo 16. 1 y 16.2 </w:t>
      </w:r>
    </w:p>
  </w:footnote>
  <w:footnote w:id="319">
    <w:p w14:paraId="20D26B68" w14:textId="77777777" w:rsidR="00172411" w:rsidRDefault="00172411" w:rsidP="00857AFB">
      <w:pPr>
        <w:pStyle w:val="Textonotapie"/>
        <w:ind w:firstLine="0"/>
        <w:rPr>
          <w:lang w:val="es-ES"/>
        </w:rPr>
      </w:pPr>
      <w:r>
        <w:rPr>
          <w:rStyle w:val="Refdenotaalpie"/>
        </w:rPr>
        <w:footnoteRef/>
      </w:r>
      <w:r>
        <w:t xml:space="preserve"> </w:t>
      </w:r>
      <w:r>
        <w:rPr>
          <w:lang w:val="es-MX"/>
        </w:rPr>
        <w:t xml:space="preserve">Maria Grazia Giammarinaro. (10-14 de abril de 2017) </w:t>
      </w:r>
      <w:r w:rsidRPr="00386574">
        <w:rPr>
          <w:i/>
          <w:lang w:val="es-MX"/>
        </w:rPr>
        <w:t>Declaración del final de la visita a Cuba de la Relatora Especial sobre la trata de personas, especialmente mujeres y niños.</w:t>
      </w:r>
      <w:r>
        <w:rPr>
          <w:lang w:val="es-MX"/>
        </w:rPr>
        <w:t xml:space="preserve">  Disponible: </w:t>
      </w:r>
      <w:hyperlink r:id="rId102" w:history="1">
        <w:r>
          <w:rPr>
            <w:rStyle w:val="Hipervnculo"/>
            <w:lang w:val="es-MX"/>
          </w:rPr>
          <w:t>http://www.ohchr.org/SP/NewsEvents/Pages/DisplayNews.aspx?NewsID=21518&amp;LangID=S</w:t>
        </w:r>
      </w:hyperlink>
      <w:r>
        <w:rPr>
          <w:lang w:val="es-MX"/>
        </w:rPr>
        <w:t>Informe final en julio 2018.</w:t>
      </w:r>
    </w:p>
  </w:footnote>
  <w:footnote w:id="320">
    <w:p w14:paraId="436F3AC4" w14:textId="77777777" w:rsidR="00172411" w:rsidRDefault="00172411" w:rsidP="00857AFB">
      <w:pPr>
        <w:pStyle w:val="Textonotapie"/>
        <w:ind w:firstLine="0"/>
        <w:rPr>
          <w:lang w:val="es-MX"/>
        </w:rPr>
      </w:pPr>
      <w:r>
        <w:rPr>
          <w:vertAlign w:val="superscript"/>
          <w:lang w:val="es-MX"/>
        </w:rPr>
        <w:footnoteRef/>
      </w:r>
      <w:r>
        <w:rPr>
          <w:lang w:val="en-US"/>
        </w:rPr>
        <w:t xml:space="preserve"> M. E.  Hecht (September 17, 2010</w:t>
      </w:r>
      <w:r w:rsidRPr="00644F53">
        <w:rPr>
          <w:i/>
          <w:lang w:val="en-US"/>
        </w:rPr>
        <w:t>) Situational Analysis of Child Sex Tourism in Canada: A Briefing Paper prepared for Beyond Borders Inc</w:t>
      </w:r>
      <w:r>
        <w:rPr>
          <w:lang w:val="en-US"/>
        </w:rPr>
        <w:t xml:space="preserve">. Pag. 17. </w:t>
      </w:r>
      <w:r>
        <w:rPr>
          <w:lang w:val="es-MX"/>
        </w:rPr>
        <w:t>Disponible:   http://media.elnuevoherald.com/smedia/2013/03/08/18/17/oIwAh.So.84.doc</w:t>
      </w:r>
    </w:p>
  </w:footnote>
  <w:footnote w:id="321">
    <w:p w14:paraId="172AAA2C" w14:textId="77777777" w:rsidR="00172411" w:rsidRPr="00EF7270" w:rsidRDefault="00172411" w:rsidP="00A66B36">
      <w:pPr>
        <w:pStyle w:val="Textonotapie"/>
        <w:ind w:firstLine="0"/>
        <w:rPr>
          <w:lang w:val="es-MX"/>
        </w:rPr>
      </w:pPr>
      <w:r>
        <w:rPr>
          <w:sz w:val="22"/>
          <w:szCs w:val="22"/>
          <w:vertAlign w:val="superscript"/>
          <w:lang w:val="en-US"/>
        </w:rPr>
        <w:footnoteRef/>
      </w:r>
      <w:r w:rsidRPr="00EF7270">
        <w:rPr>
          <w:lang w:val="es-MX"/>
        </w:rPr>
        <w:t xml:space="preserve"> https://data.unicef.org/topic/child-protection/child-marriage/</w:t>
      </w:r>
    </w:p>
  </w:footnote>
  <w:footnote w:id="322">
    <w:p w14:paraId="5ACF280F" w14:textId="77777777" w:rsidR="00172411" w:rsidRDefault="00172411" w:rsidP="00A66B36">
      <w:pPr>
        <w:pStyle w:val="Textonotapie"/>
        <w:ind w:firstLine="0"/>
        <w:rPr>
          <w:lang w:val="es-MX"/>
        </w:rPr>
      </w:pPr>
      <w:r>
        <w:rPr>
          <w:rStyle w:val="Refdenotaalpie"/>
          <w:sz w:val="22"/>
          <w:szCs w:val="22"/>
        </w:rPr>
        <w:footnoteRef/>
      </w:r>
      <w:r>
        <w:rPr>
          <w:lang w:val="en-US"/>
        </w:rPr>
        <w:t xml:space="preserve">Save the children. </w:t>
      </w:r>
      <w:r w:rsidRPr="00386574">
        <w:rPr>
          <w:i/>
          <w:lang w:val="en-US"/>
        </w:rPr>
        <w:t xml:space="preserve">Infancias Robadas. </w:t>
      </w:r>
      <w:r w:rsidRPr="00386574">
        <w:rPr>
          <w:i/>
          <w:lang w:val="es-MX"/>
        </w:rPr>
        <w:t>Informe mundial sobre la infancia 2017</w:t>
      </w:r>
      <w:r>
        <w:rPr>
          <w:lang w:val="es-MX"/>
        </w:rPr>
        <w:t>. Pag.23, 43, 47. Disponible: https://www.savethechildren.es/sites/default/files/imce/_stolen_chilhoods_esp-vweb.pdf</w:t>
      </w:r>
    </w:p>
  </w:footnote>
  <w:footnote w:id="323">
    <w:p w14:paraId="5840ABA1" w14:textId="77777777" w:rsidR="00172411" w:rsidRDefault="00172411" w:rsidP="00A66B36">
      <w:pPr>
        <w:pStyle w:val="Textonotapie"/>
        <w:ind w:firstLine="0"/>
        <w:rPr>
          <w:lang w:val="en-US"/>
        </w:rPr>
      </w:pPr>
      <w:r>
        <w:rPr>
          <w:rStyle w:val="Refdenotaalpie"/>
        </w:rPr>
        <w:footnoteRef/>
      </w:r>
      <w:r>
        <w:rPr>
          <w:lang w:val="en-US"/>
        </w:rPr>
        <w:t xml:space="preserve">Unicef. 2017.  </w:t>
      </w:r>
      <w:r w:rsidRPr="00386574">
        <w:rPr>
          <w:i/>
          <w:lang w:val="en-US"/>
        </w:rPr>
        <w:t>Child marriage is a violation of human rights, but is all too common</w:t>
      </w:r>
      <w:r>
        <w:rPr>
          <w:lang w:val="en-US"/>
        </w:rPr>
        <w:t>. Available: https://data.unicef.org/topic/child-protection/child-marriage/</w:t>
      </w:r>
    </w:p>
  </w:footnote>
  <w:footnote w:id="324">
    <w:p w14:paraId="440513B5" w14:textId="33345391" w:rsidR="00172411" w:rsidRDefault="00172411" w:rsidP="00A66B36">
      <w:pPr>
        <w:pStyle w:val="Textonotapie"/>
        <w:ind w:firstLine="0"/>
        <w:rPr>
          <w:szCs w:val="22"/>
          <w:lang w:val="en-US"/>
        </w:rPr>
      </w:pPr>
      <w:r>
        <w:rPr>
          <w:rStyle w:val="Refdenotaalpie"/>
          <w:sz w:val="22"/>
          <w:szCs w:val="22"/>
        </w:rPr>
        <w:footnoteRef/>
      </w:r>
      <w:bookmarkStart w:id="116" w:name="OLE_LINK27"/>
      <w:bookmarkStart w:id="117" w:name="OLE_LINK28"/>
      <w:r>
        <w:rPr>
          <w:lang w:val="es-MX"/>
        </w:rPr>
        <w:t xml:space="preserve"> Unicef. 2015. Cuba .</w:t>
      </w:r>
      <w:r w:rsidRPr="00386574">
        <w:rPr>
          <w:i/>
          <w:lang w:val="es-MX"/>
        </w:rPr>
        <w:t>Encuesta de Indicadores Múltiples por Conglomerados 2014</w:t>
      </w:r>
      <w:r>
        <w:rPr>
          <w:lang w:val="es-MX"/>
        </w:rPr>
        <w:t xml:space="preserve"> Resultados principales Enero, 2015. </w:t>
      </w:r>
      <w:r>
        <w:rPr>
          <w:lang w:val="en-US"/>
        </w:rPr>
        <w:t>Disponible: </w:t>
      </w:r>
      <w:hyperlink w:history="1">
        <w:r>
          <w:rPr>
            <w:lang w:val="en-US"/>
          </w:rPr>
          <w:t>https://mics-surveys prod.s3.amazonaws.com/MICS5/Latin%20America%20and%20Caribbean/Cuba/2014/Key%20findings/Cuba%202014%20MICS%20KFR_Spanish.pdf</w:t>
        </w:r>
      </w:hyperlink>
      <w:bookmarkEnd w:id="116"/>
      <w:bookmarkEnd w:id="117"/>
    </w:p>
  </w:footnote>
  <w:footnote w:id="325">
    <w:p w14:paraId="3EA7DCA0" w14:textId="77777777" w:rsidR="00172411" w:rsidRDefault="00172411" w:rsidP="00A66B36">
      <w:pPr>
        <w:pStyle w:val="Textonotapie"/>
        <w:spacing w:line="240" w:lineRule="atLeast"/>
        <w:ind w:firstLine="0"/>
        <w:rPr>
          <w:lang w:val="es-MX"/>
        </w:rPr>
      </w:pPr>
      <w:r>
        <w:rPr>
          <w:sz w:val="22"/>
          <w:szCs w:val="22"/>
          <w:vertAlign w:val="superscript"/>
          <w:lang w:val="es-MX"/>
        </w:rPr>
        <w:footnoteRef/>
      </w:r>
      <w:r>
        <w:rPr>
          <w:lang w:val="es-MX"/>
        </w:rPr>
        <w:t xml:space="preserve"> Asamblea Nacional Poder Popular. Ley 59/1987. Código Civil. Gaceta Oficial No. 9. Extraordinaria 1987. Cuba.  Ejercicio de la capacidad jurídica civil. ARTÍCULO 29.1. La plena capacidad para ejercer los derechos y realizar actos jurídicos se adquiere: a) por arribar a la mayoría de edad, que comienza los 18 años cumplidos; y b) por matrimonio del menor.  La ley, no obstante, puede establecer otras edades para realizar determinados actos.</w:t>
      </w:r>
    </w:p>
  </w:footnote>
  <w:footnote w:id="326">
    <w:p w14:paraId="48C7BD6B" w14:textId="77777777" w:rsidR="00172411" w:rsidRDefault="00172411" w:rsidP="00A66B36">
      <w:pPr>
        <w:pStyle w:val="Textonotapie"/>
        <w:spacing w:line="240" w:lineRule="atLeast"/>
        <w:ind w:firstLine="0"/>
        <w:rPr>
          <w:lang w:val="es-MX"/>
        </w:rPr>
      </w:pPr>
      <w:r>
        <w:rPr>
          <w:rStyle w:val="Refdenotaalpie"/>
          <w:rFonts w:ascii="Calibri" w:hAnsi="Calibri"/>
          <w:sz w:val="22"/>
          <w:szCs w:val="22"/>
        </w:rPr>
        <w:footnoteRef/>
      </w:r>
      <w:r>
        <w:rPr>
          <w:lang w:val="es-MX"/>
        </w:rPr>
        <w:t>Consejo De Ministros (8 marzo 1975). Ley No. 1289 de 14 de febrero de 1975 "Código de Familia". Gaceta Oficial de la República (6), Ordinaria, 71. Cuba. Artículo 3.</w:t>
      </w:r>
    </w:p>
  </w:footnote>
  <w:footnote w:id="327">
    <w:p w14:paraId="31BA7CCD" w14:textId="1F3A913E" w:rsidR="00172411" w:rsidRDefault="00172411" w:rsidP="00A66B36">
      <w:pPr>
        <w:pStyle w:val="Textonotapie"/>
        <w:spacing w:line="240" w:lineRule="atLeast"/>
        <w:ind w:firstLine="0"/>
        <w:rPr>
          <w:lang w:val="es-MX"/>
        </w:rPr>
      </w:pPr>
      <w:r>
        <w:rPr>
          <w:sz w:val="22"/>
          <w:szCs w:val="22"/>
          <w:vertAlign w:val="superscript"/>
          <w:lang w:val="es-MX"/>
        </w:rPr>
        <w:footnoteRef/>
      </w:r>
      <w:r>
        <w:rPr>
          <w:lang w:val="es-MX"/>
        </w:rPr>
        <w:t xml:space="preserve"> CRC/C/15/Add.72 .18 de junio de 1997. 15º período de sesiones. </w:t>
      </w:r>
      <w:r w:rsidRPr="00386574">
        <w:rPr>
          <w:i/>
          <w:lang w:val="es-MX"/>
        </w:rPr>
        <w:t xml:space="preserve">Observaciones finales del Comité de los Derechos del Niño: Cuba. </w:t>
      </w:r>
      <w:r>
        <w:rPr>
          <w:lang w:val="es-MX"/>
        </w:rPr>
        <w:t xml:space="preserve">párrafo 15 Pág.3. Disponible: </w:t>
      </w:r>
      <w:hyperlink r:id="rId103" w:history="1">
        <w:r>
          <w:rPr>
            <w:rStyle w:val="Hipervnculo"/>
            <w:lang w:val="es-MX"/>
          </w:rPr>
          <w:t>http://tbinternet.ohchr.org/_layouts/treatybodyexternal/Download.aspx?symbolno=CRC%2fC%2f15%2fAdd.72&amp;Lang=en</w:t>
        </w:r>
      </w:hyperlink>
    </w:p>
  </w:footnote>
  <w:footnote w:id="328">
    <w:p w14:paraId="5A529086" w14:textId="77777777" w:rsidR="00172411" w:rsidRDefault="00172411" w:rsidP="00BC6CD6">
      <w:pPr>
        <w:spacing w:after="0" w:line="240" w:lineRule="atLeast"/>
        <w:rPr>
          <w:rFonts w:ascii="Times New Roman" w:hAnsi="Times New Roman"/>
          <w:sz w:val="20"/>
          <w:szCs w:val="20"/>
        </w:rPr>
      </w:pPr>
      <w:r>
        <w:rPr>
          <w:rStyle w:val="Refdenotaalpie"/>
        </w:rPr>
        <w:footnoteRef/>
      </w:r>
      <w:r>
        <w:rPr>
          <w:rFonts w:ascii="Times New Roman" w:hAnsi="Times New Roman"/>
          <w:sz w:val="20"/>
          <w:szCs w:val="20"/>
        </w:rPr>
        <w:t>CEDAW/C/CUB/CO/7-8. 2013. Párrafo 39.</w:t>
      </w:r>
    </w:p>
  </w:footnote>
  <w:footnote w:id="329">
    <w:p w14:paraId="203DA3E2" w14:textId="1852A454" w:rsidR="00172411" w:rsidRPr="00A71CF0" w:rsidRDefault="00172411" w:rsidP="00A71CF0">
      <w:pPr>
        <w:pStyle w:val="Textonotapie"/>
        <w:ind w:firstLine="0"/>
      </w:pPr>
      <w:r>
        <w:rPr>
          <w:rStyle w:val="Refdenotaalpie"/>
        </w:rPr>
        <w:footnoteRef/>
      </w:r>
      <w:r>
        <w:t xml:space="preserve"> Redacción.</w:t>
      </w:r>
      <w:r w:rsidRPr="00A71CF0">
        <w:t xml:space="preserve"> 23 agosto, 2015</w:t>
      </w:r>
      <w:r>
        <w:t>.</w:t>
      </w:r>
      <w:r w:rsidRPr="00A71CF0">
        <w:t xml:space="preserve"> </w:t>
      </w:r>
      <w:r w:rsidRPr="00A71CF0">
        <w:rPr>
          <w:i/>
        </w:rPr>
        <w:t>Encuesta sobre igualdad de géneros va tras las brechas</w:t>
      </w:r>
      <w:r>
        <w:t>.</w:t>
      </w:r>
      <w:r w:rsidRPr="00A71CF0">
        <w:t xml:space="preserve"> Inter Press Service en Cuba</w:t>
      </w:r>
      <w:r>
        <w:t>.</w:t>
      </w:r>
      <w:r w:rsidRPr="009B181D">
        <w:rPr>
          <w:lang w:val="es-MX"/>
        </w:rPr>
        <w:t xml:space="preserve"> </w:t>
      </w:r>
      <w:r>
        <w:rPr>
          <w:lang w:val="es-MX"/>
        </w:rPr>
        <w:t>Disponible:</w:t>
      </w:r>
      <w:r w:rsidRPr="009B181D">
        <w:t xml:space="preserve"> </w:t>
      </w:r>
      <w:r w:rsidRPr="009B181D">
        <w:rPr>
          <w:lang w:val="es-MX"/>
        </w:rPr>
        <w:t>http://www.ipscuba.net/genero/encuesta-sobre-...</w:t>
      </w:r>
    </w:p>
  </w:footnote>
  <w:footnote w:id="330">
    <w:p w14:paraId="296C5C96" w14:textId="77777777" w:rsidR="00172411" w:rsidRDefault="00172411" w:rsidP="0028158F">
      <w:pPr>
        <w:pStyle w:val="Textonotapie"/>
        <w:ind w:firstLine="0"/>
      </w:pPr>
      <w:r>
        <w:rPr>
          <w:rStyle w:val="Refdenotaalpie"/>
        </w:rPr>
        <w:footnoteRef/>
      </w:r>
      <w:r>
        <w:t xml:space="preserve"> Ivet González . Septiembre 9, 2016. </w:t>
      </w:r>
      <w:r>
        <w:rPr>
          <w:i/>
        </w:rPr>
        <w:t>Brechas de género persisten en el acceso a la tierra en Cuba.</w:t>
      </w:r>
      <w:r>
        <w:t xml:space="preserve"> Inter Press Service en Cuba.</w:t>
      </w:r>
      <w:r>
        <w:rPr>
          <w:lang w:val="es-MX"/>
        </w:rPr>
        <w:t xml:space="preserve">  Disponible: http://www.ipscuba.net/genero/brechas-de-gene...</w:t>
      </w:r>
    </w:p>
  </w:footnote>
  <w:footnote w:id="331">
    <w:p w14:paraId="2C7F4C88" w14:textId="0FD33A39" w:rsidR="00172411" w:rsidRDefault="00172411" w:rsidP="00A66B36">
      <w:pPr>
        <w:pStyle w:val="Textonotapie"/>
        <w:spacing w:line="240" w:lineRule="atLeast"/>
        <w:ind w:firstLine="0"/>
        <w:rPr>
          <w:lang w:val="es-MX"/>
        </w:rPr>
      </w:pPr>
      <w:r>
        <w:rPr>
          <w:rStyle w:val="Refdenotaalpie"/>
          <w:sz w:val="22"/>
          <w:szCs w:val="22"/>
        </w:rPr>
        <w:footnoteRef/>
      </w:r>
      <w:r>
        <w:rPr>
          <w:lang w:val="es-MX"/>
        </w:rPr>
        <w:t xml:space="preserve"> Partido Comunista de Cuba (2011) </w:t>
      </w:r>
      <w:r w:rsidRPr="00386574">
        <w:rPr>
          <w:i/>
          <w:lang w:val="es-MX"/>
        </w:rPr>
        <w:t xml:space="preserve">Lineamientos </w:t>
      </w:r>
      <w:r>
        <w:rPr>
          <w:i/>
          <w:lang w:val="es-MX"/>
        </w:rPr>
        <w:t>d</w:t>
      </w:r>
      <w:r w:rsidRPr="00386574">
        <w:rPr>
          <w:i/>
          <w:lang w:val="es-MX"/>
        </w:rPr>
        <w:t xml:space="preserve">e </w:t>
      </w:r>
      <w:r>
        <w:rPr>
          <w:i/>
          <w:lang w:val="es-MX"/>
        </w:rPr>
        <w:t>l</w:t>
      </w:r>
      <w:r w:rsidRPr="00386574">
        <w:rPr>
          <w:i/>
          <w:lang w:val="es-MX"/>
        </w:rPr>
        <w:t xml:space="preserve">a Política Económica </w:t>
      </w:r>
      <w:r>
        <w:rPr>
          <w:i/>
          <w:lang w:val="es-MX"/>
        </w:rPr>
        <w:t>y</w:t>
      </w:r>
      <w:r w:rsidRPr="00386574">
        <w:rPr>
          <w:i/>
          <w:lang w:val="es-MX"/>
        </w:rPr>
        <w:t xml:space="preserve"> Social </w:t>
      </w:r>
      <w:r>
        <w:rPr>
          <w:i/>
          <w:lang w:val="es-MX"/>
        </w:rPr>
        <w:t>d</w:t>
      </w:r>
      <w:r w:rsidRPr="00386574">
        <w:rPr>
          <w:i/>
          <w:lang w:val="es-MX"/>
        </w:rPr>
        <w:t xml:space="preserve">el Partido </w:t>
      </w:r>
      <w:r>
        <w:rPr>
          <w:i/>
          <w:lang w:val="es-MX"/>
        </w:rPr>
        <w:t>y</w:t>
      </w:r>
      <w:r w:rsidRPr="00386574">
        <w:rPr>
          <w:i/>
          <w:lang w:val="es-MX"/>
        </w:rPr>
        <w:t xml:space="preserve"> </w:t>
      </w:r>
      <w:r>
        <w:rPr>
          <w:i/>
          <w:lang w:val="es-MX"/>
        </w:rPr>
        <w:t>l</w:t>
      </w:r>
      <w:r w:rsidRPr="00386574">
        <w:rPr>
          <w:i/>
          <w:lang w:val="es-MX"/>
        </w:rPr>
        <w:t>a Revolución.</w:t>
      </w:r>
      <w:r>
        <w:rPr>
          <w:lang w:val="es-MX"/>
        </w:rPr>
        <w:t xml:space="preserve"> Disponible en: http://www.cubadebate.cu/wp-content/uploads/2011/05/folleto-lineamientos-vi-cong.pdf</w:t>
      </w:r>
    </w:p>
  </w:footnote>
  <w:footnote w:id="332">
    <w:p w14:paraId="2AA7CDCE" w14:textId="079ADB34" w:rsidR="00172411" w:rsidRDefault="00172411" w:rsidP="00A66B36">
      <w:pPr>
        <w:pStyle w:val="Textonotapie"/>
        <w:spacing w:line="240" w:lineRule="atLeast"/>
        <w:ind w:firstLine="0"/>
        <w:rPr>
          <w:lang w:val="es-MX"/>
        </w:rPr>
      </w:pPr>
      <w:r>
        <w:rPr>
          <w:rStyle w:val="Refdenotaalpie"/>
        </w:rPr>
        <w:footnoteRef/>
      </w:r>
      <w:r>
        <w:rPr>
          <w:lang w:val="es-MX"/>
        </w:rPr>
        <w:t xml:space="preserve">Partido Comunista de Cuba.  Julio 2017. </w:t>
      </w:r>
      <w:r w:rsidRPr="00386574">
        <w:rPr>
          <w:i/>
          <w:lang w:val="es-MX"/>
        </w:rPr>
        <w:t>Conceptualización del Modelo Económico y Social Cubano de Desarrollo Socialista.</w:t>
      </w:r>
      <w:r>
        <w:rPr>
          <w:lang w:val="es-MX"/>
        </w:rPr>
        <w:t xml:space="preserve">  Inciso 9. Pág. 11 Disponible: http://www.granma.cu/file/pdf/gaceta/Conceptualizaci%C3%B3n%20del%20modelo%20economico%20social%20Version%20Final.pdf.   9) La existencia de una activa y diversa sociedad civil, preparada y organizada en defensa de la Revolución.</w:t>
      </w:r>
    </w:p>
  </w:footnote>
  <w:footnote w:id="333">
    <w:p w14:paraId="028F2DDC" w14:textId="77777777" w:rsidR="00172411" w:rsidRDefault="00172411" w:rsidP="00A66B36">
      <w:pPr>
        <w:pStyle w:val="Textonotapie"/>
        <w:spacing w:line="240" w:lineRule="atLeast"/>
        <w:ind w:firstLine="0"/>
        <w:rPr>
          <w:lang w:val="es-MX"/>
        </w:rPr>
      </w:pPr>
      <w:r>
        <w:rPr>
          <w:rStyle w:val="Refdenotaalpie"/>
        </w:rPr>
        <w:footnoteRef/>
      </w:r>
      <w:r>
        <w:rPr>
          <w:lang w:val="es-MX"/>
        </w:rPr>
        <w:t xml:space="preserve">  Misión Permanente de Cuba.  Ginebra. </w:t>
      </w:r>
      <w:r>
        <w:t xml:space="preserve">2014. Nota No, 467/2014. </w:t>
      </w:r>
      <w:r>
        <w:rPr>
          <w:lang w:val="es-MX"/>
        </w:rPr>
        <w:t>Disponible: https://spdb.ohchr.org/hrdb/27th/Cuba_12.06.14_(1.2014).pdf</w:t>
      </w:r>
    </w:p>
  </w:footnote>
  <w:footnote w:id="334">
    <w:p w14:paraId="2937A2EA" w14:textId="4F2C396E" w:rsidR="00172411" w:rsidRPr="0028158F" w:rsidRDefault="00172411" w:rsidP="0028158F">
      <w:pPr>
        <w:pStyle w:val="Textonotapie"/>
        <w:ind w:firstLine="0"/>
      </w:pPr>
      <w:r>
        <w:rPr>
          <w:rStyle w:val="Refdenotaalpie"/>
        </w:rPr>
        <w:footnoteRef/>
      </w:r>
      <w:r>
        <w:t xml:space="preserve"> Ivet González. N</w:t>
      </w:r>
      <w:r w:rsidRPr="0028158F">
        <w:t>oviembre</w:t>
      </w:r>
      <w:r>
        <w:t xml:space="preserve"> 5</w:t>
      </w:r>
      <w:r w:rsidRPr="0028158F">
        <w:t>, 2016</w:t>
      </w:r>
      <w:r>
        <w:t>.</w:t>
      </w:r>
      <w:r w:rsidRPr="0028158F">
        <w:t xml:space="preserve"> </w:t>
      </w:r>
      <w:r w:rsidRPr="0028158F">
        <w:rPr>
          <w:i/>
        </w:rPr>
        <w:t>El trabajo doméstico crece en Cuba, en un escenario atípico</w:t>
      </w:r>
      <w:r>
        <w:rPr>
          <w:i/>
        </w:rPr>
        <w:t>.</w:t>
      </w:r>
      <w:r w:rsidRPr="0028158F">
        <w:t xml:space="preserve"> Inter Press Service en Cuba</w:t>
      </w:r>
      <w:r>
        <w:t>.</w:t>
      </w:r>
      <w:r w:rsidRPr="0028158F">
        <w:rPr>
          <w:lang w:val="es-MX"/>
        </w:rPr>
        <w:t xml:space="preserve"> </w:t>
      </w:r>
      <w:r>
        <w:rPr>
          <w:lang w:val="es-MX"/>
        </w:rPr>
        <w:t>Disponible:</w:t>
      </w:r>
      <w:r w:rsidRPr="0028158F">
        <w:t xml:space="preserve"> </w:t>
      </w:r>
      <w:r w:rsidRPr="0028158F">
        <w:rPr>
          <w:lang w:val="es-MX"/>
        </w:rPr>
        <w:t>http://www.ipscuba.net/genero/el-trabajo-domes...</w:t>
      </w:r>
    </w:p>
  </w:footnote>
  <w:footnote w:id="335">
    <w:p w14:paraId="272B78A5" w14:textId="2DCB5473" w:rsidR="00172411" w:rsidRDefault="00172411" w:rsidP="00A66B36">
      <w:pPr>
        <w:pStyle w:val="Textonotapie"/>
        <w:spacing w:line="240" w:lineRule="atLeast"/>
        <w:ind w:firstLine="0"/>
      </w:pPr>
      <w:r>
        <w:rPr>
          <w:rStyle w:val="Refdenotaalpie"/>
          <w:rFonts w:ascii="Calibri" w:hAnsi="Calibri" w:cs="Calibri"/>
          <w:sz w:val="22"/>
          <w:szCs w:val="22"/>
        </w:rPr>
        <w:footnoteRef/>
      </w:r>
      <w:r>
        <w:t xml:space="preserve"> Comisión Nacional de Educación Católica. Septiembre 2011. </w:t>
      </w:r>
      <w:r w:rsidRPr="005E5ECA">
        <w:rPr>
          <w:i/>
        </w:rPr>
        <w:t>Proyecto Educativo de la Iglesia Católica en Cuba</w:t>
      </w:r>
      <w:r>
        <w:t xml:space="preserve">. </w:t>
      </w:r>
      <w:r>
        <w:rPr>
          <w:lang w:val="es-MX"/>
        </w:rPr>
        <w:t xml:space="preserve">Folleto Impreso. Párrafo 58.  </w:t>
      </w:r>
      <w:r>
        <w:t>Pág. 24.</w:t>
      </w:r>
    </w:p>
  </w:footnote>
  <w:footnote w:id="336">
    <w:p w14:paraId="43BB1A64" w14:textId="0BD7E5A4" w:rsidR="00172411" w:rsidRPr="00B930E8" w:rsidRDefault="00172411" w:rsidP="00B930E8">
      <w:pPr>
        <w:pStyle w:val="Textonotapie"/>
        <w:spacing w:line="240" w:lineRule="atLeast"/>
        <w:ind w:firstLine="0"/>
        <w:rPr>
          <w:i/>
        </w:rPr>
      </w:pPr>
      <w:r w:rsidRPr="00B930E8">
        <w:rPr>
          <w:vertAlign w:val="superscript"/>
        </w:rPr>
        <w:footnoteRef/>
      </w:r>
      <w:r>
        <w:t xml:space="preserve"> Adilenys Orama Suárez.</w:t>
      </w:r>
      <w:r w:rsidRPr="00B930E8">
        <w:t xml:space="preserve"> 15/09/2015</w:t>
      </w:r>
      <w:r>
        <w:t>.</w:t>
      </w:r>
      <w:r w:rsidRPr="00B930E8">
        <w:t xml:space="preserve"> </w:t>
      </w:r>
      <w:r w:rsidRPr="00B930E8">
        <w:rPr>
          <w:i/>
        </w:rPr>
        <w:t>Adolescentes en contexto de desventaja social. Proceso de socialización fa</w:t>
      </w:r>
      <w:r>
        <w:rPr>
          <w:i/>
        </w:rPr>
        <w:t>miliar en la comunidad Macondo.</w:t>
      </w:r>
      <w:r>
        <w:t>/ 146 . Participación Cultural de la Adolescencia en Cuba.</w:t>
      </w:r>
      <w:r>
        <w:rPr>
          <w:i/>
        </w:rPr>
        <w:t xml:space="preserve"> </w:t>
      </w:r>
      <w:r>
        <w:t xml:space="preserve">Expresiones y claves para su comprensión.  Pág. 150. </w:t>
      </w:r>
      <w:r w:rsidRPr="00B930E8">
        <w:t>Disponible:</w:t>
      </w:r>
      <w:r w:rsidRPr="00B930E8">
        <w:rPr>
          <w:bCs/>
        </w:rPr>
        <w:t xml:space="preserve"> </w:t>
      </w:r>
      <w:r w:rsidRPr="00B930E8">
        <w:rPr>
          <w:iCs/>
        </w:rPr>
        <w:t>https://www.unicef.org/cuba/zppd_Adolescencia_en_Cuba.pdf</w:t>
      </w:r>
    </w:p>
  </w:footnote>
  <w:footnote w:id="337">
    <w:p w14:paraId="64C9B0EB" w14:textId="16FFCBB2" w:rsidR="00172411" w:rsidRPr="00FF57DB" w:rsidRDefault="00172411" w:rsidP="00FF57DB">
      <w:pPr>
        <w:pStyle w:val="Textonotapie"/>
        <w:ind w:firstLine="0"/>
      </w:pPr>
      <w:r>
        <w:rPr>
          <w:rStyle w:val="Refdenotaalpie"/>
        </w:rPr>
        <w:footnoteRef/>
      </w:r>
      <w:r>
        <w:t xml:space="preserve"> Alejandra Agudo. Madrid. 9 OCT 2017. </w:t>
      </w:r>
      <w:r w:rsidRPr="00BC031E">
        <w:rPr>
          <w:i/>
        </w:rPr>
        <w:t>Niñas y ley, la solución al matrimonio infantil</w:t>
      </w:r>
      <w:r w:rsidRPr="00BC031E">
        <w:t>. El País</w:t>
      </w:r>
      <w:r>
        <w:t>.</w:t>
      </w:r>
      <w:r w:rsidRPr="00FF57DB">
        <w:rPr>
          <w:bCs/>
          <w:sz w:val="18"/>
          <w:szCs w:val="18"/>
          <w:lang w:val="es-MX"/>
        </w:rPr>
        <w:t xml:space="preserve"> </w:t>
      </w:r>
      <w:r>
        <w:rPr>
          <w:bCs/>
          <w:sz w:val="18"/>
          <w:szCs w:val="18"/>
          <w:lang w:val="es-MX"/>
        </w:rPr>
        <w:t xml:space="preserve">Disponible: </w:t>
      </w:r>
      <w:r w:rsidRPr="00FF57DB">
        <w:t>https://elpais.com/elpais/2017/10/06/planeta_fu..</w:t>
      </w:r>
      <w:r>
        <w:t>.</w:t>
      </w:r>
    </w:p>
  </w:footnote>
  <w:footnote w:id="338">
    <w:p w14:paraId="0265346F" w14:textId="37CBC175" w:rsidR="00172411" w:rsidRDefault="00172411" w:rsidP="00620120">
      <w:pPr>
        <w:pStyle w:val="Textonotapie"/>
        <w:spacing w:line="240" w:lineRule="atLeast"/>
        <w:ind w:firstLine="0"/>
        <w:rPr>
          <w:sz w:val="22"/>
          <w:szCs w:val="22"/>
          <w:lang w:val="es-ES"/>
        </w:rPr>
      </w:pPr>
      <w:r>
        <w:rPr>
          <w:rStyle w:val="Refdenotaalpie"/>
          <w:sz w:val="22"/>
          <w:szCs w:val="22"/>
        </w:rPr>
        <w:footnoteRef/>
      </w:r>
      <w:r>
        <w:rPr>
          <w:lang w:val="es-MX"/>
        </w:rPr>
        <w:t>La vivienda de Manuel Pruna 661, Luyanó- Habana y otras del área son construidas usurpando terrenos del Centro Deportivo Pepe Barrientos, muy importante en una comunidad con niñez vulnerable. Diversas causas   impiden que sea modernizado y mejoradas las condiciones de trabajo de sus directivos, entrenadores y los infantes deportistas, quienes sedientos piden agua a los vecinos de los alrededores. Gracias a la cooperación de la Policía Nacional Revolucionaria local, se han evitado y resuelto hechos delictivos graves.</w:t>
      </w:r>
    </w:p>
  </w:footnote>
  <w:footnote w:id="339">
    <w:p w14:paraId="7F99311B" w14:textId="77777777" w:rsidR="00172411" w:rsidRDefault="00172411" w:rsidP="00620120">
      <w:pPr>
        <w:pStyle w:val="Textonotapie"/>
        <w:spacing w:line="240" w:lineRule="atLeast"/>
        <w:ind w:firstLine="0"/>
        <w:rPr>
          <w:lang w:val="es-MX"/>
        </w:rPr>
      </w:pPr>
      <w:r>
        <w:rPr>
          <w:rStyle w:val="Refdenotaalpie"/>
          <w:sz w:val="22"/>
          <w:szCs w:val="22"/>
        </w:rPr>
        <w:footnoteRef/>
      </w:r>
      <w:r>
        <w:rPr>
          <w:lang w:val="es-MX"/>
        </w:rPr>
        <w:t xml:space="preserve">Comité contra la Desaparición Forzada. </w:t>
      </w:r>
      <w:r>
        <w:rPr>
          <w:lang w:val="en-US"/>
        </w:rPr>
        <w:t xml:space="preserve">2016. CED_C_CUB_CO_1_26924_S.  </w:t>
      </w:r>
      <w:r>
        <w:t xml:space="preserve">Disponible: </w:t>
      </w:r>
      <w:hyperlink r:id="rId104" w:history="1">
        <w:r>
          <w:rPr>
            <w:rStyle w:val="Hipervnculo"/>
          </w:rPr>
          <w:t>http://tbinternet.ohchr.org/Treaties/CED/Shared%20Documents/CUB/CED_C_CUB_CO_1_26924_S.pdf</w:t>
        </w:r>
      </w:hyperlink>
      <w:r>
        <w:rPr>
          <w:lang w:val="es-MX"/>
        </w:rPr>
        <w:t xml:space="preserve">   Medidas de reparación y de protección de los niños contra las desapariciones forzadas (arts. 24 y 25). Párrafos. 31 al 36. Pág. 6 y 7.</w:t>
      </w:r>
    </w:p>
  </w:footnote>
  <w:footnote w:id="340">
    <w:p w14:paraId="12113394" w14:textId="77777777" w:rsidR="00172411" w:rsidRDefault="00172411" w:rsidP="00A53647">
      <w:pPr>
        <w:spacing w:after="0" w:line="240" w:lineRule="atLeast"/>
        <w:ind w:left="45"/>
        <w:rPr>
          <w:rFonts w:ascii="Times New Roman" w:hAnsi="Times New Roman"/>
          <w:sz w:val="20"/>
          <w:szCs w:val="20"/>
        </w:rPr>
      </w:pPr>
      <w:r>
        <w:rPr>
          <w:rStyle w:val="Refdenotaalpie"/>
        </w:rPr>
        <w:footnoteRef/>
      </w:r>
      <w:r>
        <w:t xml:space="preserve"> </w:t>
      </w:r>
      <w:r>
        <w:rPr>
          <w:rFonts w:ascii="Times New Roman" w:hAnsi="Times New Roman"/>
          <w:sz w:val="20"/>
          <w:szCs w:val="20"/>
        </w:rPr>
        <w:t>Alejandro Armengol. 05/08/2014 .</w:t>
      </w:r>
      <w:r w:rsidRPr="009E6BF3">
        <w:rPr>
          <w:rFonts w:ascii="Times New Roman" w:hAnsi="Times New Roman"/>
          <w:i/>
          <w:sz w:val="20"/>
          <w:szCs w:val="20"/>
        </w:rPr>
        <w:t>Cuando el homosexualismo era peor que una enfermedad en Cuba</w:t>
      </w:r>
      <w:r>
        <w:rPr>
          <w:rFonts w:ascii="Times New Roman" w:hAnsi="Times New Roman"/>
          <w:sz w:val="20"/>
          <w:szCs w:val="20"/>
        </w:rPr>
        <w:t>. Cubaenncuentro. Disponible:</w:t>
      </w:r>
      <w:hyperlink r:id="rId105" w:history="1">
        <w:r>
          <w:rPr>
            <w:rStyle w:val="Hipervnculo"/>
            <w:rFonts w:ascii="Times New Roman" w:hAnsi="Times New Roman"/>
            <w:color w:val="auto"/>
            <w:sz w:val="20"/>
            <w:szCs w:val="20"/>
          </w:rPr>
          <w:t>http://www.cubaencuentro.com/opinion/articulos/cuando-el-homosexualismo-era-peor-que-una-enfermedad-en-cuba-319607</w:t>
        </w:r>
      </w:hyperlink>
      <w:r>
        <w:rPr>
          <w:rFonts w:ascii="Times New Roman" w:hAnsi="Times New Roman"/>
          <w:sz w:val="20"/>
          <w:szCs w:val="20"/>
        </w:rPr>
        <w:t xml:space="preserve"> (...) para quienes estudiamos psicología en Cuba en la década de 1970, el considerar al homosexualismo una enfermedad —ya fuera de origen mental o por un desequilibrio hormonal— era una posición “avanzada”, no libre de reproche y hasta de sanciones. La definición oficial al respecto era menos elaborada: un homosexual era simplemente un degenerado sexual y antisocial (…) en 1973/1974 la Asociación Psiquiátrica Americana decidió por una ligera mayoría (58 %) eliminar la condición como categoría de enfermedad—, Cuba siguió aferrada a categorizar al homosexual como delincuente, antisocial y enfermo en el mejor de los casos.</w:t>
      </w:r>
    </w:p>
  </w:footnote>
  <w:footnote w:id="341">
    <w:p w14:paraId="3C1EA3A8" w14:textId="3051FFFE" w:rsidR="00172411" w:rsidRPr="00B4671D" w:rsidRDefault="00172411" w:rsidP="00A53647">
      <w:pPr>
        <w:tabs>
          <w:tab w:val="left" w:pos="720"/>
        </w:tabs>
        <w:spacing w:after="0"/>
        <w:rPr>
          <w:rFonts w:ascii="Times New Roman" w:hAnsi="Times New Roman"/>
          <w:sz w:val="20"/>
          <w:szCs w:val="20"/>
        </w:rPr>
      </w:pPr>
      <w:r>
        <w:rPr>
          <w:rStyle w:val="Refdenotaalpie"/>
        </w:rPr>
        <w:footnoteRef/>
      </w:r>
      <w:r>
        <w:rPr>
          <w:rFonts w:ascii="Times New Roman" w:hAnsi="Times New Roman"/>
          <w:sz w:val="20"/>
          <w:szCs w:val="20"/>
        </w:rPr>
        <w:t xml:space="preserve">Redacción IPS-Cuba. </w:t>
      </w:r>
      <w:r w:rsidRPr="00B4671D">
        <w:rPr>
          <w:rFonts w:ascii="Times New Roman" w:hAnsi="Times New Roman"/>
          <w:sz w:val="20"/>
          <w:szCs w:val="20"/>
        </w:rPr>
        <w:t xml:space="preserve">14 febrero, 2018. </w:t>
      </w:r>
      <w:r w:rsidRPr="009E6BF3">
        <w:rPr>
          <w:rFonts w:ascii="Times New Roman" w:hAnsi="Times New Roman"/>
          <w:i/>
          <w:sz w:val="20"/>
          <w:szCs w:val="20"/>
        </w:rPr>
        <w:t>El caso legal que marcó la comunidad LGBTI en Cuba</w:t>
      </w:r>
      <w:r w:rsidRPr="00B4671D">
        <w:rPr>
          <w:rFonts w:ascii="Times New Roman" w:hAnsi="Times New Roman"/>
          <w:sz w:val="20"/>
          <w:szCs w:val="20"/>
        </w:rPr>
        <w:t xml:space="preserve">. Disponible: </w:t>
      </w:r>
      <w:hyperlink r:id="rId106" w:history="1">
        <w:r w:rsidRPr="00B4671D">
          <w:rPr>
            <w:rFonts w:ascii="Times New Roman" w:hAnsi="Times New Roman"/>
            <w:sz w:val="20"/>
            <w:szCs w:val="20"/>
          </w:rPr>
          <w:t>http://www.ipscuba.net/genero/el-caso-legal-qu</w:t>
        </w:r>
      </w:hyperlink>
      <w:r w:rsidRPr="00B4671D">
        <w:rPr>
          <w:rFonts w:ascii="Times New Roman" w:hAnsi="Times New Roman"/>
          <w:sz w:val="20"/>
          <w:szCs w:val="20"/>
        </w:rPr>
        <w:t>... Un tribunal cubano otorgó la custodia y atención de tres menores de edad a su abuela, una mujer lesbiana que vive con su pareja. Los tres niños habian  quedado huérfanos de madre. La sentencia de alguna manera reconoció la unión entre personas del mismo sexo.</w:t>
      </w:r>
    </w:p>
  </w:footnote>
  <w:footnote w:id="342">
    <w:p w14:paraId="6DBE94D7" w14:textId="77777777" w:rsidR="00172411" w:rsidRPr="0074466E" w:rsidRDefault="00172411" w:rsidP="00A53647">
      <w:pPr>
        <w:spacing w:after="0"/>
        <w:ind w:left="46"/>
        <w:rPr>
          <w:rFonts w:ascii="Times New Roman" w:hAnsi="Times New Roman"/>
          <w:sz w:val="20"/>
          <w:szCs w:val="20"/>
        </w:rPr>
      </w:pPr>
      <w:r>
        <w:rPr>
          <w:rFonts w:ascii="Times New Roman" w:hAnsi="Times New Roman"/>
          <w:vertAlign w:val="superscript"/>
        </w:rPr>
        <w:footnoteRef/>
      </w:r>
      <w:r>
        <w:rPr>
          <w:rFonts w:ascii="Times New Roman" w:hAnsi="Times New Roman"/>
          <w:sz w:val="20"/>
          <w:szCs w:val="20"/>
        </w:rPr>
        <w:t xml:space="preserve"> </w:t>
      </w:r>
      <w:r w:rsidRPr="0074466E">
        <w:rPr>
          <w:rFonts w:ascii="Times New Roman" w:hAnsi="Times New Roman"/>
          <w:sz w:val="20"/>
          <w:szCs w:val="20"/>
        </w:rPr>
        <w:t xml:space="preserve">Unesco. 2015. </w:t>
      </w:r>
      <w:r w:rsidRPr="0074466E">
        <w:rPr>
          <w:rFonts w:ascii="Times New Roman" w:hAnsi="Times New Roman"/>
          <w:i/>
          <w:sz w:val="20"/>
          <w:szCs w:val="20"/>
        </w:rPr>
        <w:t>El Bullying homofóbico y transfóbico en los centros educativos</w:t>
      </w:r>
      <w:r w:rsidRPr="0074466E">
        <w:rPr>
          <w:rFonts w:ascii="Times New Roman" w:hAnsi="Times New Roman"/>
          <w:sz w:val="20"/>
          <w:szCs w:val="20"/>
        </w:rPr>
        <w:t xml:space="preserve">. Disponible: www.unesdoc.unesco.org/images/0024/002448/244841S.pdf </w:t>
      </w:r>
    </w:p>
  </w:footnote>
  <w:footnote w:id="343">
    <w:p w14:paraId="2972205F" w14:textId="5B51A135" w:rsidR="00172411" w:rsidRPr="008552D9" w:rsidRDefault="00172411" w:rsidP="00A53647">
      <w:pPr>
        <w:spacing w:after="0"/>
        <w:rPr>
          <w:rFonts w:ascii="Times New Roman" w:hAnsi="Times New Roman"/>
          <w:sz w:val="20"/>
          <w:szCs w:val="20"/>
        </w:rPr>
      </w:pPr>
      <w:r>
        <w:rPr>
          <w:rStyle w:val="Refdenotaalpie"/>
        </w:rPr>
        <w:footnoteRef/>
      </w:r>
      <w:r w:rsidRPr="00177325">
        <w:t xml:space="preserve"> </w:t>
      </w:r>
      <w:r w:rsidRPr="00177325">
        <w:rPr>
          <w:rFonts w:ascii="Times New Roman" w:hAnsi="Times New Roman"/>
          <w:sz w:val="20"/>
          <w:szCs w:val="20"/>
        </w:rPr>
        <w:t xml:space="preserve">Yoanka Rodney Rodríguez, Kenia Lorenzo Chávez, Yuliet Cruz Martínez y Jesús E. Muñoz Machín. </w:t>
      </w:r>
      <w:r w:rsidRPr="008552D9">
        <w:rPr>
          <w:rFonts w:ascii="Times New Roman" w:hAnsi="Times New Roman"/>
          <w:sz w:val="20"/>
          <w:szCs w:val="20"/>
        </w:rPr>
        <w:t>(2015) Educar para la igualdad. Propuesta para la prevención y atención educativa de la violencia de género en contexto escolar. Disponible</w:t>
      </w:r>
      <w:r>
        <w:rPr>
          <w:rFonts w:ascii="Times New Roman" w:hAnsi="Times New Roman"/>
          <w:sz w:val="20"/>
          <w:szCs w:val="20"/>
        </w:rPr>
        <w:t xml:space="preserve">: </w:t>
      </w:r>
      <w:hyperlink r:id="rId107" w:history="1">
        <w:r w:rsidRPr="008552D9">
          <w:rPr>
            <w:rStyle w:val="Hipervnculo"/>
            <w:rFonts w:ascii="Times New Roman" w:hAnsi="Times New Roman"/>
            <w:sz w:val="20"/>
            <w:szCs w:val="20"/>
          </w:rPr>
          <w:t>https://www.unicef.org/cuba/cu_resources_Educarparalaigualdad.pdf</w:t>
        </w:r>
      </w:hyperlink>
      <w:r>
        <w:rPr>
          <w:rFonts w:ascii="Times New Roman" w:hAnsi="Times New Roman"/>
          <w:sz w:val="20"/>
          <w:szCs w:val="20"/>
        </w:rPr>
        <w:t xml:space="preserve"> </w:t>
      </w:r>
      <w:r w:rsidRPr="008552D9">
        <w:rPr>
          <w:rFonts w:ascii="Times New Roman" w:hAnsi="Times New Roman"/>
          <w:sz w:val="20"/>
          <w:szCs w:val="20"/>
        </w:rPr>
        <w:t>Pag.40. (…) La pesquisa reveló, además, que los varones homosexuales o percibidos como tales reciben más críticas que las niñas, adolescentes y jóvenes lesbianas. Asimismo, se comprobó que, como parte de la retórica juvenil, algunas de las palabras ofensivas asociadas a la orientación sexual son empleadas por el estudiantado para comunicarse entre sí, sin que medie la intención de dañar a la persona que recibe semejantes improperios …</w:t>
      </w:r>
    </w:p>
  </w:footnote>
  <w:footnote w:id="344">
    <w:p w14:paraId="2845236A" w14:textId="2E0EEA11" w:rsidR="00172411" w:rsidRDefault="00172411" w:rsidP="00EF7270">
      <w:pPr>
        <w:pStyle w:val="Contenidodelista"/>
        <w:ind w:left="0"/>
        <w:rPr>
          <w:rFonts w:ascii="Times New Roman" w:hAnsi="Times New Roman" w:cs="Times New Roman"/>
          <w:sz w:val="20"/>
          <w:szCs w:val="20"/>
          <w:lang w:val="en-US" w:eastAsia="en-US"/>
        </w:rPr>
      </w:pPr>
      <w:r>
        <w:rPr>
          <w:rStyle w:val="Refdenotaalpie"/>
          <w:rFonts w:ascii="Calibri" w:hAnsi="Calibri" w:cs="Calibri"/>
          <w:sz w:val="22"/>
          <w:szCs w:val="22"/>
        </w:rPr>
        <w:footnoteRef/>
      </w:r>
      <w:r>
        <w:rPr>
          <w:rFonts w:ascii="Times New Roman" w:hAnsi="Times New Roman" w:cs="Times New Roman"/>
          <w:sz w:val="20"/>
          <w:szCs w:val="20"/>
          <w:lang w:val="en-US"/>
        </w:rPr>
        <w:t xml:space="preserve"> </w:t>
      </w:r>
      <w:r w:rsidRPr="00A77555">
        <w:rPr>
          <w:rFonts w:ascii="Times New Roman" w:hAnsi="Times New Roman" w:cs="Times New Roman"/>
          <w:sz w:val="20"/>
          <w:szCs w:val="20"/>
          <w:lang w:val="en-US"/>
        </w:rPr>
        <w:t xml:space="preserve">United Nations Children’s Fund   (UNICEF), </w:t>
      </w:r>
      <w:r w:rsidRPr="00A77555">
        <w:rPr>
          <w:rFonts w:ascii="Times New Roman" w:hAnsi="Times New Roman" w:cs="Times New Roman"/>
          <w:i/>
          <w:sz w:val="20"/>
          <w:szCs w:val="20"/>
          <w:lang w:val="en-US"/>
        </w:rPr>
        <w:t>Hidden in  p</w:t>
      </w:r>
      <w:r>
        <w:rPr>
          <w:rFonts w:ascii="Times New Roman" w:hAnsi="Times New Roman" w:cs="Times New Roman"/>
          <w:i/>
          <w:sz w:val="20"/>
          <w:szCs w:val="20"/>
          <w:lang w:val="en-US"/>
        </w:rPr>
        <w:t>lain sight. Division of Data, Research and Policy</w:t>
      </w:r>
      <w:r>
        <w:rPr>
          <w:rFonts w:ascii="Times New Roman" w:hAnsi="Times New Roman" w:cs="Times New Roman"/>
          <w:sz w:val="20"/>
          <w:szCs w:val="20"/>
          <w:lang w:val="en-US"/>
        </w:rPr>
        <w:t xml:space="preserve">, September 2014. </w:t>
      </w:r>
      <w:r>
        <w:rPr>
          <w:sz w:val="20"/>
          <w:szCs w:val="20"/>
          <w:lang w:val="en-US" w:eastAsia="es-MX"/>
        </w:rPr>
        <w:t xml:space="preserve">A closer look at </w:t>
      </w:r>
      <w:r>
        <w:rPr>
          <w:bCs/>
          <w:sz w:val="20"/>
          <w:szCs w:val="20"/>
          <w:lang w:val="en-US" w:eastAsia="es-MX"/>
        </w:rPr>
        <w:t>bullying</w:t>
      </w:r>
      <w:r>
        <w:rPr>
          <w:sz w:val="20"/>
          <w:szCs w:val="20"/>
          <w:lang w:val="en-US" w:eastAsia="es-MX"/>
        </w:rPr>
        <w:t xml:space="preserve">in the </w:t>
      </w:r>
      <w:r>
        <w:rPr>
          <w:bCs/>
          <w:sz w:val="20"/>
          <w:szCs w:val="20"/>
          <w:lang w:val="en-US" w:eastAsia="es-MX"/>
        </w:rPr>
        <w:t xml:space="preserve">Americas.  pp. 124 . </w:t>
      </w:r>
      <w:r>
        <w:rPr>
          <w:rFonts w:ascii="Times New Roman" w:hAnsi="Times New Roman" w:cs="Times New Roman"/>
          <w:sz w:val="20"/>
          <w:szCs w:val="20"/>
          <w:lang w:val="en-US"/>
        </w:rPr>
        <w:t>Available: http://files.unicef.org/publications/files/Hidden_in_plain_sight_statistical_analysis_EN_3_Sept_2014.pdf</w:t>
      </w:r>
    </w:p>
  </w:footnote>
  <w:footnote w:id="345">
    <w:p w14:paraId="7F6C615C" w14:textId="2170051A" w:rsidR="00172411" w:rsidRDefault="00172411" w:rsidP="0074466E">
      <w:pPr>
        <w:spacing w:after="0" w:line="240" w:lineRule="atLeast"/>
        <w:ind w:left="43"/>
        <w:jc w:val="both"/>
        <w:rPr>
          <w:rFonts w:ascii="Times New Roman" w:hAnsi="Times New Roman"/>
          <w:sz w:val="20"/>
          <w:szCs w:val="20"/>
        </w:rPr>
      </w:pPr>
      <w:r>
        <w:rPr>
          <w:rStyle w:val="Refdenotaalpie"/>
          <w:rFonts w:cs="Calibri"/>
        </w:rPr>
        <w:footnoteRef/>
      </w:r>
      <w:r>
        <w:rPr>
          <w:rFonts w:ascii="Times New Roman" w:hAnsi="Times New Roman"/>
          <w:sz w:val="20"/>
          <w:szCs w:val="20"/>
        </w:rPr>
        <w:t xml:space="preserve">José A. Michelena.  Diciembre26, 2011.  </w:t>
      </w:r>
      <w:r>
        <w:rPr>
          <w:rFonts w:ascii="Times New Roman" w:hAnsi="Times New Roman"/>
          <w:i/>
          <w:sz w:val="20"/>
          <w:szCs w:val="20"/>
        </w:rPr>
        <w:t>El maltrato infantil. Una mirada desde Cuba</w:t>
      </w:r>
      <w:r>
        <w:rPr>
          <w:rFonts w:ascii="Times New Roman" w:hAnsi="Times New Roman"/>
          <w:sz w:val="20"/>
          <w:szCs w:val="20"/>
        </w:rPr>
        <w:t xml:space="preserve">. IPS. Disponible:  </w:t>
      </w:r>
    </w:p>
    <w:p w14:paraId="7BE00E0A" w14:textId="77777777" w:rsidR="00172411" w:rsidRPr="00B4671D" w:rsidRDefault="00172411" w:rsidP="0074466E">
      <w:pPr>
        <w:spacing w:after="0" w:line="240" w:lineRule="atLeast"/>
        <w:ind w:left="43"/>
        <w:jc w:val="both"/>
        <w:rPr>
          <w:sz w:val="18"/>
          <w:szCs w:val="18"/>
        </w:rPr>
      </w:pPr>
      <w:hyperlink r:id="rId108" w:history="1">
        <w:r w:rsidRPr="00B4671D">
          <w:rPr>
            <w:rStyle w:val="Hipervnculo"/>
            <w:rFonts w:ascii="Times New Roman" w:hAnsi="Times New Roman"/>
            <w:sz w:val="18"/>
            <w:szCs w:val="18"/>
          </w:rPr>
          <w:t>http://www.ipscuba.net/index.php?option=com_k2&amp;view=item&amp;id=2921:el-maltrato-infantil-una-mirada-desde-cuba&amp;Itemid=10</w:t>
        </w:r>
      </w:hyperlink>
    </w:p>
  </w:footnote>
  <w:footnote w:id="346">
    <w:p w14:paraId="343E937E" w14:textId="7E820E78" w:rsidR="00172411" w:rsidRPr="00177325" w:rsidRDefault="00172411" w:rsidP="00EF7270">
      <w:pPr>
        <w:pStyle w:val="Textonotapie"/>
        <w:spacing w:line="240" w:lineRule="atLeast"/>
        <w:ind w:firstLine="0"/>
        <w:rPr>
          <w:color w:val="0D0D0D"/>
          <w:lang w:val="en-US" w:eastAsia="en-US"/>
        </w:rPr>
      </w:pPr>
      <w:r>
        <w:rPr>
          <w:rStyle w:val="Refdenotaalpie"/>
        </w:rPr>
        <w:footnoteRef/>
      </w:r>
      <w:r>
        <w:rPr>
          <w:color w:val="0D0D0D"/>
          <w:lang w:val="es-MX" w:eastAsia="en-US"/>
        </w:rPr>
        <w:t xml:space="preserve">Ivet González . La Habana, 15 may 2015. </w:t>
      </w:r>
      <w:r>
        <w:rPr>
          <w:i/>
          <w:color w:val="0D0D0D"/>
          <w:lang w:val="en-US" w:eastAsia="en-US"/>
        </w:rPr>
        <w:t>Murders of Gays Raise the Question of Hate Crimes in Cuba.</w:t>
      </w:r>
      <w:r>
        <w:rPr>
          <w:color w:val="0D0D0D"/>
          <w:lang w:val="en-US" w:eastAsia="en-US"/>
        </w:rPr>
        <w:t xml:space="preserve"> IPS. </w:t>
      </w:r>
      <w:r w:rsidRPr="00177325">
        <w:rPr>
          <w:color w:val="0D0D0D"/>
          <w:lang w:val="en-US" w:eastAsia="en-US"/>
        </w:rPr>
        <w:t>Available at: http://www.ipsnews.net/2015/05/murders-of-gay</w:t>
      </w:r>
    </w:p>
  </w:footnote>
  <w:footnote w:id="347">
    <w:p w14:paraId="4BBA8FD0" w14:textId="77777777" w:rsidR="00172411" w:rsidRDefault="00172411" w:rsidP="00A53085">
      <w:pPr>
        <w:pStyle w:val="Textonotapie"/>
        <w:spacing w:line="240" w:lineRule="atLeast"/>
        <w:ind w:firstLine="0"/>
        <w:rPr>
          <w:lang w:val="es-MX"/>
        </w:rPr>
      </w:pPr>
      <w:r>
        <w:rPr>
          <w:rStyle w:val="Refdenotaalpie"/>
          <w:sz w:val="22"/>
          <w:szCs w:val="22"/>
        </w:rPr>
        <w:footnoteRef/>
      </w:r>
      <w:r w:rsidRPr="00A53085">
        <w:rPr>
          <w:lang w:val="en-US"/>
        </w:rPr>
        <w:t xml:space="preserve">CED/C/CUB/CO/1. </w:t>
      </w:r>
      <w:r w:rsidRPr="00177325">
        <w:rPr>
          <w:lang w:val="es-ES"/>
        </w:rPr>
        <w:t xml:space="preserve">2017. Párrafo 22.Page 5. </w:t>
      </w:r>
      <w:r>
        <w:rPr>
          <w:lang w:val="es-MX"/>
        </w:rPr>
        <w:t>Con el fin de reforzar el marco jurídico existente y garantizar la adecuada aplicación del artículo 12, párrafo 4, de la Convención, el Comité recomienda que el Estado parte adopte disposiciones legales que establezcan expresamente un mecanismo para que las fuerzas del orden o de seguridad, ya sean civiles o militares, cuyos miembros se encuentren bajo sospecha de haber estado implicados en la comisión de una desaparición forzada, no participen en la investigación.</w:t>
      </w:r>
    </w:p>
  </w:footnote>
  <w:footnote w:id="348">
    <w:p w14:paraId="41BFA2A4" w14:textId="77777777" w:rsidR="00172411" w:rsidRDefault="00172411" w:rsidP="0018078B">
      <w:pPr>
        <w:pStyle w:val="Textonotapie"/>
        <w:spacing w:line="240" w:lineRule="atLeast"/>
        <w:ind w:firstLine="0"/>
        <w:rPr>
          <w:sz w:val="22"/>
          <w:szCs w:val="22"/>
          <w:vertAlign w:val="superscript"/>
        </w:rPr>
      </w:pPr>
      <w:r>
        <w:rPr>
          <w:rFonts w:eastAsia="Times New Roman"/>
          <w:vertAlign w:val="superscript"/>
          <w:lang w:eastAsia="es-MX"/>
        </w:rPr>
        <w:footnoteRef/>
      </w:r>
      <w:r>
        <w:rPr>
          <w:lang w:val="es-MX"/>
        </w:rPr>
        <w:t xml:space="preserve">Comité contra la Desaparición Forzada. </w:t>
      </w:r>
      <w:r w:rsidRPr="002F51EE">
        <w:rPr>
          <w:lang w:val="en-US"/>
        </w:rPr>
        <w:t xml:space="preserve">2016.  CED_C_CUB_CO_1_26924_S.  </w:t>
      </w:r>
      <w:r>
        <w:t xml:space="preserve">Disponible: </w:t>
      </w:r>
      <w:hyperlink r:id="rId109" w:history="1">
        <w:r>
          <w:rPr>
            <w:rStyle w:val="Hipervnculo"/>
            <w:color w:val="auto"/>
          </w:rPr>
          <w:t>http://tbinternet.ohchr.org/Treaties/CED/Shared%20Documents/CUB/CED_C_CUB_CO_1_26924_S.pdf</w:t>
        </w:r>
      </w:hyperlink>
      <w:r>
        <w:t xml:space="preserve">   Medidas de reparación</w:t>
      </w:r>
      <w:r>
        <w:rPr>
          <w:lang w:val="es-MX"/>
        </w:rPr>
        <w:t xml:space="preserve"> y de protección de los niños contra las desapariciones forzadas. Art. 24 y 25</w:t>
      </w:r>
    </w:p>
  </w:footnote>
  <w:footnote w:id="349">
    <w:p w14:paraId="0FD09354" w14:textId="77777777" w:rsidR="00172411" w:rsidRDefault="00172411" w:rsidP="0074466E">
      <w:pPr>
        <w:spacing w:after="0"/>
        <w:rPr>
          <w:rFonts w:ascii="Times New Roman" w:hAnsi="Times New Roman"/>
          <w:sz w:val="20"/>
          <w:szCs w:val="20"/>
        </w:rPr>
      </w:pPr>
      <w:r>
        <w:rPr>
          <w:rStyle w:val="Refdenotaalpie"/>
          <w:rFonts w:ascii="Times New Roman" w:hAnsi="Times New Roman"/>
          <w:sz w:val="20"/>
          <w:szCs w:val="20"/>
        </w:rPr>
        <w:footnoteRef/>
      </w:r>
      <w:r>
        <w:rPr>
          <w:rFonts w:ascii="Times New Roman" w:hAnsi="Times New Roman"/>
          <w:sz w:val="20"/>
          <w:szCs w:val="20"/>
        </w:rPr>
        <w:t xml:space="preserve"> "Nullum crimen sine lege" significa que no existe delito si no hay ley que lo establezca. Capitulo IV. Garantías De Seguridad Jurídica (2006) Pag.15. Disponible:  </w:t>
      </w:r>
      <w:hyperlink r:id="rId110" w:history="1">
        <w:r>
          <w:rPr>
            <w:rStyle w:val="Hipervnculo"/>
            <w:rFonts w:ascii="Times New Roman" w:hAnsi="Times New Roman"/>
            <w:sz w:val="20"/>
            <w:szCs w:val="20"/>
          </w:rPr>
          <w:t>http://catarina.udlap.mx/u_dl_a/tales/documentos/ledf/elizondo_c_e/capitulo4.pdf</w:t>
        </w:r>
      </w:hyperlink>
    </w:p>
  </w:footnote>
  <w:footnote w:id="350">
    <w:p w14:paraId="7E5E38DB" w14:textId="7E3E6043" w:rsidR="00172411" w:rsidRPr="002D3D80" w:rsidRDefault="00172411" w:rsidP="002D3D80">
      <w:pPr>
        <w:pStyle w:val="Textonotapie"/>
        <w:ind w:firstLine="0"/>
        <w:rPr>
          <w:lang w:val="es-ES"/>
        </w:rPr>
      </w:pPr>
      <w:r w:rsidRPr="00CF2F66">
        <w:rPr>
          <w:rStyle w:val="Refdenotaalpie"/>
        </w:rPr>
        <w:footnoteRef/>
      </w:r>
      <w:r w:rsidRPr="00CF2F66">
        <w:t xml:space="preserve"> </w:t>
      </w:r>
      <w:r w:rsidRPr="00CF2F66">
        <w:rPr>
          <w:lang w:val="es-MX"/>
        </w:rPr>
        <w:t xml:space="preserve">Asamblea Nacional Poder Popular. Ley 59/1987. Código Civil. Gaceta Oficial No. 9. </w:t>
      </w:r>
      <w:r w:rsidRPr="00CF2F66">
        <w:rPr>
          <w:lang w:val="es-ES"/>
        </w:rPr>
        <w:t xml:space="preserve">Extraordinaria. 1987. Cuba.  </w:t>
      </w:r>
    </w:p>
    <w:p w14:paraId="6FCF57F9" w14:textId="5D7465F3" w:rsidR="00172411" w:rsidRPr="002D3D80" w:rsidRDefault="00172411" w:rsidP="002D3D80">
      <w:pPr>
        <w:pStyle w:val="Textonotapie"/>
        <w:ind w:firstLine="0"/>
        <w:rPr>
          <w:lang w:val="es-ES"/>
        </w:rPr>
      </w:pPr>
      <w:r w:rsidRPr="002D3D80">
        <w:rPr>
          <w:lang w:val="es-ES"/>
        </w:rPr>
        <w:t>ARTÍCULO 33.1. La persona natur</w:t>
      </w:r>
      <w:r>
        <w:rPr>
          <w:lang w:val="es-ES"/>
        </w:rPr>
        <w:t>al que haya desaparecido de su domicilio</w:t>
      </w:r>
      <w:r w:rsidRPr="002D3D80">
        <w:rPr>
          <w:lang w:val="es-ES"/>
        </w:rPr>
        <w:t xml:space="preserve"> sin tenerse indicios d</w:t>
      </w:r>
      <w:r>
        <w:rPr>
          <w:lang w:val="es-ES"/>
        </w:rPr>
        <w:t xml:space="preserve">e su paradero durante más de un </w:t>
      </w:r>
      <w:r w:rsidRPr="002D3D80">
        <w:rPr>
          <w:lang w:val="es-ES"/>
        </w:rPr>
        <w:t>añ</w:t>
      </w:r>
      <w:r>
        <w:rPr>
          <w:lang w:val="es-ES"/>
        </w:rPr>
        <w:t xml:space="preserve">o, puede ser declarada ausente. </w:t>
      </w:r>
      <w:r w:rsidRPr="002D3D80">
        <w:rPr>
          <w:lang w:val="es-ES"/>
        </w:rPr>
        <w:t>2. El declarado ausente es representado por su cónyuge y, a falta</w:t>
      </w:r>
      <w:r>
        <w:rPr>
          <w:lang w:val="es-ES"/>
        </w:rPr>
        <w:t xml:space="preserve"> (…) </w:t>
      </w:r>
      <w:r w:rsidRPr="002D3D80">
        <w:rPr>
          <w:lang w:val="es-ES"/>
        </w:rPr>
        <w:t>ARTÍCULO 34.1. Si transcurren tre</w:t>
      </w:r>
      <w:r>
        <w:rPr>
          <w:lang w:val="es-ES"/>
        </w:rPr>
        <w:t xml:space="preserve">s años sin tenerse noticias del </w:t>
      </w:r>
      <w:r w:rsidRPr="002D3D80">
        <w:rPr>
          <w:lang w:val="es-ES"/>
        </w:rPr>
        <w:t>desaparecido, éste puede ser decla</w:t>
      </w:r>
      <w:r>
        <w:rPr>
          <w:lang w:val="es-ES"/>
        </w:rPr>
        <w:t xml:space="preserve">rado presuntamente muerto, haya </w:t>
      </w:r>
      <w:r w:rsidRPr="002D3D80">
        <w:rPr>
          <w:lang w:val="es-ES"/>
        </w:rPr>
        <w:t>sido declarado ausente o no.</w:t>
      </w:r>
      <w:r w:rsidRPr="00CF2F66">
        <w:t xml:space="preserve"> </w:t>
      </w:r>
      <w:r>
        <w:rPr>
          <w:lang w:val="es-ES"/>
        </w:rPr>
        <w:t xml:space="preserve">2. La </w:t>
      </w:r>
      <w:r w:rsidRPr="00CF2F66">
        <w:rPr>
          <w:lang w:val="es-ES"/>
        </w:rPr>
        <w:t xml:space="preserve">declaración judicial de </w:t>
      </w:r>
      <w:r>
        <w:rPr>
          <w:lang w:val="es-ES"/>
        </w:rPr>
        <w:t xml:space="preserve">presunción de muerte se hace a </w:t>
      </w:r>
      <w:r w:rsidRPr="00CF2F66">
        <w:rPr>
          <w:lang w:val="es-ES"/>
        </w:rPr>
        <w:t>instancia d</w:t>
      </w:r>
      <w:r>
        <w:rPr>
          <w:lang w:val="es-ES"/>
        </w:rPr>
        <w:t>e parte interesada o de fiscal.</w:t>
      </w:r>
    </w:p>
  </w:footnote>
  <w:footnote w:id="351">
    <w:p w14:paraId="620C4E50" w14:textId="77777777" w:rsidR="00172411" w:rsidRPr="00553BA8" w:rsidRDefault="00172411" w:rsidP="00FF7248">
      <w:pPr>
        <w:pStyle w:val="Textonotapie"/>
        <w:ind w:firstLine="0"/>
        <w:rPr>
          <w:i/>
          <w:lang w:val="en-US"/>
        </w:rPr>
      </w:pPr>
      <w:r>
        <w:rPr>
          <w:rStyle w:val="Refdenotaalpie"/>
        </w:rPr>
        <w:footnoteRef/>
      </w:r>
      <w:r w:rsidRPr="00177325">
        <w:rPr>
          <w:lang w:val="en-US"/>
        </w:rPr>
        <w:t xml:space="preserve"> Jan Van Dijk, </w:t>
      </w:r>
      <w:r w:rsidRPr="00553BA8">
        <w:rPr>
          <w:i/>
          <w:lang w:val="en-US"/>
        </w:rPr>
        <w:t>The World of Crime: Breaking the Silence on Problems of Security, Justice and Development Across</w:t>
      </w:r>
    </w:p>
    <w:p w14:paraId="0D253FB6" w14:textId="77777777" w:rsidR="00172411" w:rsidRDefault="00172411" w:rsidP="00FF7248">
      <w:pPr>
        <w:pStyle w:val="Textonotapie"/>
        <w:ind w:firstLine="0"/>
      </w:pPr>
      <w:r w:rsidRPr="00553BA8">
        <w:rPr>
          <w:i/>
        </w:rPr>
        <w:t>the World</w:t>
      </w:r>
      <w:r>
        <w:t xml:space="preserve"> (Thousand Oaks, California, Sage Publications, 2008); Instrumentos de Evaluación en Justicia Penal</w:t>
      </w:r>
    </w:p>
    <w:p w14:paraId="3644610C" w14:textId="1F13CD69" w:rsidR="00172411" w:rsidRPr="00FF7248" w:rsidRDefault="00172411" w:rsidP="00FF7248">
      <w:pPr>
        <w:pStyle w:val="Textonotapie"/>
        <w:ind w:firstLine="0"/>
      </w:pPr>
      <w:r>
        <w:t>(Nueva York, UNODC, 2006).</w:t>
      </w:r>
    </w:p>
  </w:footnote>
  <w:footnote w:id="352">
    <w:p w14:paraId="64AC9DB1" w14:textId="77777777" w:rsidR="00172411" w:rsidRPr="00973C31" w:rsidRDefault="00172411" w:rsidP="00FF7248">
      <w:pPr>
        <w:pStyle w:val="HTMLconformatoprevio"/>
        <w:shd w:val="clear" w:color="auto" w:fill="FFFFFF"/>
        <w:spacing w:line="240" w:lineRule="atLeast"/>
        <w:ind w:firstLine="0"/>
        <w:rPr>
          <w:rFonts w:ascii="Times New Roman" w:hAnsi="Times New Roman"/>
        </w:rPr>
      </w:pPr>
      <w:r>
        <w:rPr>
          <w:rStyle w:val="Refdenotaalpie"/>
        </w:rPr>
        <w:footnoteRef/>
      </w:r>
      <w:r>
        <w:t xml:space="preserve"> </w:t>
      </w:r>
      <w:r w:rsidRPr="00973C31">
        <w:rPr>
          <w:rFonts w:ascii="Times New Roman" w:hAnsi="Times New Roman"/>
        </w:rPr>
        <w:t xml:space="preserve">Oficina </w:t>
      </w:r>
      <w:r>
        <w:rPr>
          <w:rFonts w:ascii="Times New Roman" w:hAnsi="Times New Roman"/>
        </w:rPr>
        <w:t>d</w:t>
      </w:r>
      <w:r w:rsidRPr="00973C31">
        <w:rPr>
          <w:rFonts w:ascii="Times New Roman" w:hAnsi="Times New Roman"/>
        </w:rPr>
        <w:t xml:space="preserve">e Naciones Unidas Contra </w:t>
      </w:r>
      <w:r>
        <w:rPr>
          <w:rFonts w:ascii="Times New Roman" w:hAnsi="Times New Roman"/>
        </w:rPr>
        <w:t>l</w:t>
      </w:r>
      <w:r w:rsidRPr="00973C31">
        <w:rPr>
          <w:rFonts w:ascii="Times New Roman" w:hAnsi="Times New Roman"/>
        </w:rPr>
        <w:t xml:space="preserve">a Droga </w:t>
      </w:r>
      <w:r>
        <w:rPr>
          <w:rFonts w:ascii="Times New Roman" w:hAnsi="Times New Roman"/>
        </w:rPr>
        <w:t>y</w:t>
      </w:r>
      <w:r w:rsidRPr="00973C31">
        <w:rPr>
          <w:rFonts w:ascii="Times New Roman" w:hAnsi="Times New Roman"/>
        </w:rPr>
        <w:t xml:space="preserve"> </w:t>
      </w:r>
      <w:r>
        <w:rPr>
          <w:rFonts w:ascii="Times New Roman" w:hAnsi="Times New Roman"/>
        </w:rPr>
        <w:t>e</w:t>
      </w:r>
      <w:r w:rsidRPr="00973C31">
        <w:rPr>
          <w:rFonts w:ascii="Times New Roman" w:hAnsi="Times New Roman"/>
        </w:rPr>
        <w:t>l Delito</w:t>
      </w:r>
      <w:r>
        <w:rPr>
          <w:rFonts w:ascii="Times New Roman" w:hAnsi="Times New Roman"/>
        </w:rPr>
        <w:t>.</w:t>
      </w:r>
      <w:r w:rsidRPr="00973C31">
        <w:rPr>
          <w:rFonts w:ascii="Times New Roman" w:hAnsi="Times New Roman"/>
        </w:rPr>
        <w:t xml:space="preserve"> Viena.</w:t>
      </w:r>
      <w:r>
        <w:rPr>
          <w:rFonts w:ascii="Times New Roman" w:hAnsi="Times New Roman"/>
        </w:rPr>
        <w:t>,</w:t>
      </w:r>
      <w:r w:rsidRPr="00973C31">
        <w:rPr>
          <w:rFonts w:ascii="Times New Roman" w:hAnsi="Times New Roman"/>
        </w:rPr>
        <w:t xml:space="preserve"> 2011. </w:t>
      </w:r>
      <w:r w:rsidRPr="00973C31">
        <w:rPr>
          <w:rFonts w:ascii="Times New Roman" w:hAnsi="Times New Roman"/>
          <w:i/>
        </w:rPr>
        <w:t>Manual sobre la aplicación eficaz de las Directrices para la prevención del delito</w:t>
      </w:r>
      <w:r w:rsidRPr="00973C31">
        <w:rPr>
          <w:rFonts w:ascii="Times New Roman" w:hAnsi="Times New Roman"/>
        </w:rPr>
        <w:t xml:space="preserve">. </w:t>
      </w:r>
      <w:r>
        <w:rPr>
          <w:rFonts w:ascii="Times New Roman" w:hAnsi="Times New Roman"/>
        </w:rPr>
        <w:t>Disponible:</w:t>
      </w:r>
      <w:r w:rsidRPr="00973C31">
        <w:rPr>
          <w:rFonts w:ascii="Times New Roman" w:hAnsi="Times New Roman"/>
        </w:rPr>
        <w:t xml:space="preserve"> </w:t>
      </w:r>
      <w:hyperlink r:id="rId111" w:history="1">
        <w:r w:rsidRPr="00973C31">
          <w:rPr>
            <w:rFonts w:ascii="Times New Roman" w:hAnsi="Times New Roman"/>
          </w:rPr>
          <w:t>https://www.unodc.org/documents/justice-and-prison-reform/crimeprevention/Handbook_on_the_Crime_Prevention_Guidelines_Spanish.pdf</w:t>
        </w:r>
      </w:hyperlink>
      <w:r>
        <w:rPr>
          <w:rFonts w:ascii="Times New Roman" w:hAnsi="Times New Roman"/>
        </w:rPr>
        <w:t xml:space="preserve">    </w:t>
      </w:r>
      <w:r w:rsidRPr="00973C31">
        <w:rPr>
          <w:rFonts w:ascii="Times New Roman" w:hAnsi="Times New Roman"/>
        </w:rPr>
        <w:t>Pag.69</w:t>
      </w:r>
    </w:p>
  </w:footnote>
  <w:footnote w:id="353">
    <w:p w14:paraId="4455E352" w14:textId="48E8BC80" w:rsidR="00172411" w:rsidRDefault="00172411" w:rsidP="00CF2F66">
      <w:pPr>
        <w:pStyle w:val="Textonotapie"/>
        <w:ind w:firstLine="0"/>
      </w:pPr>
      <w:r w:rsidRPr="00CF2F66">
        <w:rPr>
          <w:sz w:val="22"/>
          <w:szCs w:val="22"/>
          <w:vertAlign w:val="superscript"/>
        </w:rPr>
        <w:footnoteRef/>
      </w:r>
      <w:r w:rsidRPr="00CF2F66">
        <w:t xml:space="preserve">Asamblea Nacional.(16 Julio 1987)  Código Civil. Ley Nº 59. Gaceta Oficial Extraordinaria (15 octubre 1987). Cuba. </w:t>
      </w:r>
    </w:p>
    <w:p w14:paraId="084A7928" w14:textId="4B28FB52" w:rsidR="00172411" w:rsidRPr="00CF2F66" w:rsidRDefault="00172411" w:rsidP="006F042C">
      <w:pPr>
        <w:pStyle w:val="Textonotapie"/>
        <w:ind w:firstLine="0"/>
      </w:pPr>
      <w:r>
        <w:t>ARTÍCULO 36.1. Declarada la presunción de muerte queda expedido para los interesados el ejercicio de los mismos derechos que les hubieran correspondido de ser la muerte acreditada por certificación médica. 2. Los efectos de la declaración se retrotraen al momento en que se produjo el acontecimiento que hizo presumir la muerte o se tuvieron las últimas noticias del desaparecido.</w:t>
      </w:r>
    </w:p>
  </w:footnote>
  <w:footnote w:id="354">
    <w:p w14:paraId="2C16A715" w14:textId="3267CC3B" w:rsidR="00172411" w:rsidRDefault="00172411" w:rsidP="006F042C">
      <w:pPr>
        <w:pStyle w:val="HTMLconformatoprevio"/>
        <w:shd w:val="clear" w:color="auto" w:fill="FFFFFF"/>
        <w:spacing w:line="240" w:lineRule="atLeast"/>
        <w:ind w:firstLine="0"/>
        <w:rPr>
          <w:rFonts w:ascii="Times New Roman" w:hAnsi="Times New Roman"/>
        </w:rPr>
      </w:pPr>
      <w:r w:rsidRPr="00CF2F66">
        <w:rPr>
          <w:sz w:val="22"/>
          <w:szCs w:val="22"/>
          <w:vertAlign w:val="superscript"/>
        </w:rPr>
        <w:footnoteRef/>
      </w:r>
      <w:hyperlink r:id="rId112" w:tooltip="Entradas de referenciajuridica" w:history="1">
        <w:r w:rsidRPr="00FD4C5D">
          <w:rPr>
            <w:rStyle w:val="Hipervnculo"/>
            <w:rFonts w:ascii="Times New Roman" w:hAnsi="Times New Roman"/>
            <w:color w:val="auto"/>
            <w:u w:val="none"/>
          </w:rPr>
          <w:t>Referenciajuridic</w:t>
        </w:r>
        <w:r w:rsidRPr="00FD4C5D">
          <w:rPr>
            <w:rStyle w:val="Hipervnculo"/>
            <w:rFonts w:ascii="Times New Roman" w:hAnsi="Times New Roman"/>
            <w:u w:val="none"/>
          </w:rPr>
          <w:t>a</w:t>
        </w:r>
      </w:hyperlink>
      <w:r>
        <w:rPr>
          <w:rStyle w:val="Hipervnculo"/>
          <w:rFonts w:ascii="Calibri" w:hAnsi="Calibri" w:cs="Calibri"/>
          <w:u w:val="none"/>
        </w:rPr>
        <w:t xml:space="preserve"> </w:t>
      </w:r>
      <w:r w:rsidRPr="00ED56DC">
        <w:rPr>
          <w:rFonts w:ascii="Times New Roman" w:hAnsi="Times New Roman"/>
        </w:rPr>
        <w:t>(</w:t>
      </w:r>
      <w:r>
        <w:rPr>
          <w:rFonts w:ascii="Times New Roman" w:hAnsi="Times New Roman"/>
          <w:lang w:val="es-ES"/>
        </w:rPr>
        <w:t>11</w:t>
      </w:r>
      <w:r>
        <w:rPr>
          <w:rStyle w:val="time"/>
          <w:rFonts w:ascii="Times New Roman" w:hAnsi="Times New Roman"/>
        </w:rPr>
        <w:t xml:space="preserve"> abril, 2013) </w:t>
      </w:r>
      <w:r w:rsidRPr="00644F53">
        <w:rPr>
          <w:rFonts w:ascii="Times New Roman" w:hAnsi="Times New Roman"/>
          <w:i/>
          <w:lang w:val="es-ES"/>
        </w:rPr>
        <w:t>Cuba responde a pedido del Gobierno de Estados Unidos en relación a secuestro de menores norteamericanos</w:t>
      </w:r>
      <w:r w:rsidRPr="00644F53">
        <w:rPr>
          <w:rFonts w:ascii="Times New Roman" w:hAnsi="Times New Roman"/>
          <w:i/>
        </w:rPr>
        <w:t>.</w:t>
      </w:r>
      <w:r>
        <w:rPr>
          <w:rFonts w:ascii="Times New Roman" w:hAnsi="Times New Roman"/>
        </w:rPr>
        <w:t xml:space="preserve"> Disponible en</w:t>
      </w:r>
      <w:r>
        <w:rPr>
          <w:rFonts w:ascii="Times New Roman" w:hAnsi="Times New Roman"/>
          <w:color w:val="0000FF"/>
        </w:rPr>
        <w:t xml:space="preserve">: </w:t>
      </w:r>
      <w:r>
        <w:rPr>
          <w:rFonts w:ascii="Times New Roman" w:hAnsi="Times New Roman"/>
        </w:rPr>
        <w:t>https://referenciajuridica.wordpress.com/2013/04/11/cuba-responde-a-pedido-del-gobierno-de-estados-unidos-en-relacion-a-secuestro-de-menores-norteamericanos/</w:t>
      </w:r>
    </w:p>
  </w:footnote>
  <w:footnote w:id="355">
    <w:p w14:paraId="7C14A944" w14:textId="05B67FEA" w:rsidR="00172411" w:rsidRDefault="00172411" w:rsidP="006F042C">
      <w:pPr>
        <w:pStyle w:val="Textonotapie"/>
        <w:tabs>
          <w:tab w:val="left" w:pos="708"/>
        </w:tabs>
        <w:spacing w:line="240" w:lineRule="atLeast"/>
        <w:ind w:firstLine="0"/>
      </w:pPr>
      <w:r>
        <w:rPr>
          <w:rStyle w:val="Refdenotaalpie"/>
          <w:rFonts w:ascii="Calibri" w:hAnsi="Calibri" w:cs="Calibri"/>
          <w:sz w:val="22"/>
          <w:szCs w:val="22"/>
        </w:rPr>
        <w:footnoteRef/>
      </w:r>
      <w:r>
        <w:rPr>
          <w:rStyle w:val="entry-date"/>
          <w:lang w:val="es-ES"/>
        </w:rPr>
        <w:t xml:space="preserve"> René Gómez Manzano (abril 24, 2014)</w:t>
      </w:r>
      <w:r>
        <w:rPr>
          <w:lang w:val="es-ES"/>
        </w:rPr>
        <w:t xml:space="preserve"> </w:t>
      </w:r>
      <w:r w:rsidRPr="00644F53">
        <w:rPr>
          <w:i/>
          <w:lang w:val="es-ES"/>
        </w:rPr>
        <w:t>Bebés desaparecidos</w:t>
      </w:r>
      <w:r>
        <w:t>. Disponible :'http://www.cubanet.org/opiniones/bebes-desaparecidos</w:t>
      </w:r>
    </w:p>
  </w:footnote>
  <w:footnote w:id="356">
    <w:p w14:paraId="52EC7536" w14:textId="7079A4DC" w:rsidR="00172411" w:rsidRPr="002A17CC" w:rsidRDefault="00172411" w:rsidP="002A17CC">
      <w:pPr>
        <w:pStyle w:val="Textonotapie"/>
        <w:tabs>
          <w:tab w:val="left" w:pos="708"/>
        </w:tabs>
        <w:spacing w:line="240" w:lineRule="atLeast"/>
        <w:ind w:firstLine="0"/>
        <w:rPr>
          <w:bCs/>
          <w:iCs/>
          <w:lang w:val="es-DO"/>
        </w:rPr>
      </w:pPr>
      <w:r>
        <w:rPr>
          <w:rStyle w:val="Refdenotaalpie"/>
        </w:rPr>
        <w:footnoteRef/>
      </w:r>
      <w:r>
        <w:t xml:space="preserve"> </w:t>
      </w:r>
      <w:r w:rsidRPr="002A17CC">
        <w:t xml:space="preserve">Roberto J. Quiñones Haces. </w:t>
      </w:r>
      <w:r>
        <w:rPr>
          <w:bCs/>
          <w:iCs/>
          <w:lang w:val="es-DO"/>
        </w:rPr>
        <w:t>Guantánamo, Cuba</w:t>
      </w:r>
      <w:r w:rsidRPr="00C37DA4">
        <w:t xml:space="preserve"> </w:t>
      </w:r>
      <w:r>
        <w:t>.</w:t>
      </w:r>
      <w:r w:rsidRPr="002A17CC">
        <w:t xml:space="preserve">diciembre 2, 2014. </w:t>
      </w:r>
      <w:r w:rsidRPr="002A17CC">
        <w:rPr>
          <w:i/>
        </w:rPr>
        <w:t>Escalada de violencia en el mes de noviembre</w:t>
      </w:r>
      <w:r w:rsidRPr="002A17CC">
        <w:t xml:space="preserve">. </w:t>
      </w:r>
      <w:r>
        <w:t>Cubanet. Disponible :</w:t>
      </w:r>
      <w:r w:rsidRPr="002A17CC">
        <w:t xml:space="preserve"> </w:t>
      </w:r>
      <w:hyperlink r:id="rId113" w:history="1">
        <w:r w:rsidRPr="002A17CC">
          <w:t>http://www.cubanet.org/mas-noticias/escalada-de-violencia-en-el-mes-de-noviembre/</w:t>
        </w:r>
      </w:hyperlink>
      <w:r>
        <w:t xml:space="preserve">  (…) </w:t>
      </w:r>
      <w:r>
        <w:rPr>
          <w:bCs/>
          <w:iCs/>
          <w:lang w:val="es-DO"/>
        </w:rPr>
        <w:t xml:space="preserve">el 28 de octubre del 2014 un ciudadano nombrado Pascual Sánchez Columbié, de origen campesino y con bajo coeficiente intelectual, provocó un escándalo público debido a que viajaba con un niño- que según la foto no alcanza los cuatro años de edad-, metido dentro de un saco de arroz </w:t>
      </w:r>
      <w:r>
        <w:t>(…)</w:t>
      </w:r>
      <w:r>
        <w:rPr>
          <w:bCs/>
          <w:iCs/>
          <w:lang w:val="es-DO"/>
        </w:rPr>
        <w:t xml:space="preserve"> en el municipio de El Salvador donde otro ciudadano fue sorprendido cuando sacaba de su cuna a una niña de meses , lo cual también provocó otro incidente de gran repercusión pública debido quizás a la resonancia que tuvo en esa misma zona el asesinato de dos menores de edad a principios de la década de los años noventa, para ser ofrendados en cultos sincréticos.</w:t>
      </w:r>
    </w:p>
  </w:footnote>
  <w:footnote w:id="357">
    <w:p w14:paraId="3FAE9156" w14:textId="53E85658" w:rsidR="00172411" w:rsidRDefault="00172411" w:rsidP="006F042C">
      <w:pPr>
        <w:pStyle w:val="Textonotapie"/>
        <w:tabs>
          <w:tab w:val="left" w:pos="708"/>
        </w:tabs>
        <w:spacing w:line="240" w:lineRule="atLeast"/>
        <w:ind w:firstLine="0"/>
      </w:pPr>
      <w:r>
        <w:rPr>
          <w:rStyle w:val="Refdenotaalpie"/>
          <w:rFonts w:ascii="Calibri" w:hAnsi="Calibri" w:cs="Calibri"/>
          <w:sz w:val="22"/>
          <w:szCs w:val="22"/>
        </w:rPr>
        <w:footnoteRef/>
      </w:r>
      <w:r>
        <w:t xml:space="preserve">Asociación Cubana para Desarrollo de Educación Infantil, ACDEI- OPSC (2015). Cuba.  </w:t>
      </w:r>
      <w:r w:rsidRPr="00644F53">
        <w:rPr>
          <w:i/>
        </w:rPr>
        <w:t>Informe de la ONG ACDEI sobre el Protocolo Facultativo de la Convención sobre los Derechos del Niño relativo a la Venta de Niños, la Prostitución Infantil y la Utilización de Niños en la Pornografía</w:t>
      </w:r>
      <w:r>
        <w:t xml:space="preserve">. Pág. 35. Disponible: </w:t>
      </w:r>
      <w:hyperlink r:id="rId114" w:history="1">
        <w:r w:rsidRPr="00476B84">
          <w:rPr>
            <w:rStyle w:val="Hipervnculo"/>
          </w:rPr>
          <w:t>http://tbinternet.ohchr.org/_layouts/treatybodyexternal/Download.aspx?symbolno=INT%2fCRC-OP</w:t>
        </w:r>
      </w:hyperlink>
      <w:r>
        <w:rPr>
          <w:rStyle w:val="Hipervnculo"/>
        </w:rPr>
        <w:t xml:space="preserve"> </w:t>
      </w:r>
      <w:r w:rsidRPr="00476B84">
        <w:rPr>
          <w:rStyle w:val="Hipervnculo"/>
        </w:rPr>
        <w:t>SC%2fNGO%2fCUB%2f20429&amp;Lang=en ACDI.</w:t>
      </w:r>
      <w:r w:rsidRPr="00476B84">
        <w:t xml:space="preserve">  </w:t>
      </w:r>
    </w:p>
  </w:footnote>
  <w:footnote w:id="358">
    <w:p w14:paraId="455C0D9B" w14:textId="016C5D6C" w:rsidR="00172411" w:rsidRPr="006554EA" w:rsidRDefault="00172411" w:rsidP="006554EA">
      <w:pPr>
        <w:pStyle w:val="Textonotapie"/>
        <w:ind w:firstLine="0"/>
        <w:rPr>
          <w:lang w:val="es-ES"/>
        </w:rPr>
      </w:pPr>
      <w:r>
        <w:rPr>
          <w:rStyle w:val="Refdenotaalpie"/>
        </w:rPr>
        <w:footnoteRef/>
      </w:r>
      <w:r>
        <w:t xml:space="preserve"> Oficina de Naciones Unidas Contra la Droga y el Delito. Viena., 2011. </w:t>
      </w:r>
      <w:r>
        <w:rPr>
          <w:i/>
        </w:rPr>
        <w:t>Manual sobre la aplicación eficaz de las Directrices para la prevención del delito</w:t>
      </w:r>
      <w:r>
        <w:t xml:space="preserve">. </w:t>
      </w:r>
      <w:r w:rsidRPr="0060636D">
        <w:rPr>
          <w:lang w:val="es-ES"/>
        </w:rPr>
        <w:t xml:space="preserve">Disponible: </w:t>
      </w:r>
      <w:hyperlink r:id="rId115" w:history="1">
        <w:r w:rsidRPr="0060636D">
          <w:rPr>
            <w:rStyle w:val="Hipervnculo"/>
            <w:lang w:val="es-ES"/>
          </w:rPr>
          <w:t>https://www.unodc.org/documents/justice-and-prison reform/crimeprevention/Handbook_on_the_Crime_Prevention_Guidelines_Spanish.pdf</w:t>
        </w:r>
      </w:hyperlink>
      <w:r w:rsidRPr="0060636D">
        <w:rPr>
          <w:lang w:val="es-ES"/>
        </w:rPr>
        <w:t xml:space="preserve">   Pag.129 </w:t>
      </w:r>
      <w:r w:rsidRPr="006554EA">
        <w:rPr>
          <w:lang w:val="es-ES"/>
        </w:rPr>
        <w:t>Las Directrices reflejan seguridad y protección pública es un deber comparti</w:t>
      </w:r>
      <w:r>
        <w:rPr>
          <w:lang w:val="es-ES"/>
        </w:rPr>
        <w:t xml:space="preserve">do, los planteamientos </w:t>
      </w:r>
      <w:r w:rsidRPr="006554EA">
        <w:rPr>
          <w:lang w:val="es-ES"/>
        </w:rPr>
        <w:t xml:space="preserve">de lucha contra el delito han de ser progresistas </w:t>
      </w:r>
      <w:r>
        <w:rPr>
          <w:lang w:val="es-ES"/>
        </w:rPr>
        <w:t xml:space="preserve">y proactivos, no disuasorios ni </w:t>
      </w:r>
      <w:r w:rsidRPr="006554EA">
        <w:rPr>
          <w:lang w:val="es-ES"/>
        </w:rPr>
        <w:t>reactivos. Las Directrices reconocen que el sistema</w:t>
      </w:r>
      <w:r>
        <w:rPr>
          <w:lang w:val="es-ES"/>
        </w:rPr>
        <w:t xml:space="preserve"> formal de justicia penal no es </w:t>
      </w:r>
      <w:r w:rsidRPr="006554EA">
        <w:rPr>
          <w:lang w:val="es-ES"/>
        </w:rPr>
        <w:t>suficiente para prevenir el delito, los dos sistema</w:t>
      </w:r>
      <w:r>
        <w:rPr>
          <w:lang w:val="es-ES"/>
        </w:rPr>
        <w:t xml:space="preserve">s, el formal y el informal, son </w:t>
      </w:r>
      <w:r w:rsidRPr="006554EA">
        <w:rPr>
          <w:lang w:val="es-ES"/>
        </w:rPr>
        <w:t>importantes para crear sociedades seguras y justas.</w:t>
      </w:r>
    </w:p>
  </w:footnote>
  <w:footnote w:id="359">
    <w:p w14:paraId="6F6B0966" w14:textId="2C1A8058" w:rsidR="00172411" w:rsidRDefault="00172411" w:rsidP="007B2CE7">
      <w:pPr>
        <w:spacing w:after="0" w:line="240" w:lineRule="atLeast"/>
        <w:rPr>
          <w:rFonts w:ascii="Times New Roman" w:hAnsi="Times New Roman"/>
          <w:sz w:val="20"/>
          <w:szCs w:val="20"/>
          <w:lang w:val="es-MX"/>
        </w:rPr>
      </w:pPr>
      <w:r>
        <w:rPr>
          <w:rFonts w:ascii="Times New Roman" w:hAnsi="Times New Roman"/>
          <w:vertAlign w:val="superscript"/>
        </w:rPr>
        <w:footnoteRef/>
      </w:r>
      <w:r>
        <w:rPr>
          <w:rFonts w:ascii="Times New Roman" w:hAnsi="Times New Roman"/>
          <w:sz w:val="20"/>
          <w:szCs w:val="20"/>
        </w:rPr>
        <w:t xml:space="preserve">Guillermo Cabanellas de Torres (2010) </w:t>
      </w:r>
      <w:r w:rsidRPr="00644F53">
        <w:rPr>
          <w:rFonts w:ascii="Times New Roman" w:hAnsi="Times New Roman"/>
          <w:i/>
          <w:sz w:val="20"/>
          <w:szCs w:val="20"/>
        </w:rPr>
        <w:t>Diccionario Jurídico Elemental</w:t>
      </w:r>
      <w:r>
        <w:rPr>
          <w:rFonts w:ascii="Times New Roman" w:hAnsi="Times New Roman"/>
          <w:sz w:val="20"/>
          <w:szCs w:val="20"/>
        </w:rPr>
        <w:t>. Edición actualizada, corregida y aumentada por Guillermo Cabanellas de las Cuevas. R   Editorial Heliasta. pág. 400.Disponible:</w:t>
      </w:r>
      <w:hyperlink r:id="rId116" w:history="1">
        <w:r w:rsidRPr="00644F53">
          <w:rPr>
            <w:rFonts w:ascii="Times New Roman" w:hAnsi="Times New Roman"/>
          </w:rPr>
          <w:t>http://derechoguatemala.blogspot.com/</w:t>
        </w:r>
      </w:hyperlink>
      <w:r>
        <w:rPr>
          <w:rFonts w:ascii="Times New Roman" w:hAnsi="Times New Roman"/>
          <w:sz w:val="20"/>
          <w:szCs w:val="20"/>
        </w:rPr>
        <w:t xml:space="preserve">  Substracción: Apartamiento. | Extracción. | Separación. | Hurto. Robo. | Resta, dism</w:t>
      </w:r>
      <w:bookmarkStart w:id="121" w:name="OLE_LINK23"/>
      <w:bookmarkStart w:id="122" w:name="OLE_LINK24"/>
      <w:r>
        <w:rPr>
          <w:rFonts w:ascii="Times New Roman" w:hAnsi="Times New Roman"/>
          <w:sz w:val="20"/>
          <w:szCs w:val="20"/>
        </w:rPr>
        <w:t>i</w:t>
      </w:r>
      <w:bookmarkEnd w:id="121"/>
      <w:bookmarkEnd w:id="122"/>
      <w:r>
        <w:rPr>
          <w:rFonts w:ascii="Times New Roman" w:hAnsi="Times New Roman"/>
          <w:sz w:val="20"/>
          <w:szCs w:val="20"/>
        </w:rPr>
        <w:t xml:space="preserve">nución, descuento. | DE CAUDALES PÚBLICOS. Constituye la primera y más grave de las formas de malversación de caudales públicos (v.); y a que consiste en el apoderamiento de los mismos con abuso de las funciones. </w:t>
      </w:r>
    </w:p>
  </w:footnote>
  <w:footnote w:id="360">
    <w:p w14:paraId="78549094" w14:textId="77777777" w:rsidR="00172411" w:rsidRDefault="00172411" w:rsidP="007B2CE7">
      <w:pPr>
        <w:spacing w:after="0" w:line="240" w:lineRule="atLeast"/>
        <w:rPr>
          <w:rFonts w:ascii="Times New Roman" w:hAnsi="Times New Roman"/>
          <w:sz w:val="20"/>
          <w:szCs w:val="20"/>
        </w:rPr>
      </w:pPr>
      <w:r>
        <w:rPr>
          <w:rStyle w:val="Refdenotaalpie"/>
          <w:rFonts w:cs="Calibri"/>
        </w:rPr>
        <w:footnoteRef/>
      </w:r>
      <w:r>
        <w:rPr>
          <w:rFonts w:ascii="Times New Roman" w:hAnsi="Times New Roman"/>
          <w:sz w:val="20"/>
          <w:szCs w:val="20"/>
        </w:rPr>
        <w:t xml:space="preserve">Manuel Osorio. (1999) </w:t>
      </w:r>
      <w:r w:rsidRPr="00644F53">
        <w:rPr>
          <w:rFonts w:ascii="Times New Roman" w:hAnsi="Times New Roman"/>
          <w:i/>
          <w:sz w:val="20"/>
          <w:szCs w:val="20"/>
        </w:rPr>
        <w:t>Diccionario de Ciencias Jurídicas Políticas y Sociales</w:t>
      </w:r>
      <w:r>
        <w:rPr>
          <w:rFonts w:ascii="Times New Roman" w:hAnsi="Times New Roman"/>
          <w:sz w:val="20"/>
          <w:szCs w:val="20"/>
        </w:rPr>
        <w:t>.1ª Edición Electrónica. pág. 916. Disponible en:</w:t>
      </w:r>
      <w:hyperlink r:id="rId117" w:history="1">
        <w:r w:rsidRPr="00644F53">
          <w:rPr>
            <w:rFonts w:ascii="Times New Roman" w:hAnsi="Times New Roman"/>
          </w:rPr>
          <w:t xml:space="preserve"> http://derecho.upla.edu.pe/pdf/diccionariosorio.pdf.</w:t>
        </w:r>
        <w:r>
          <w:rPr>
            <w:rStyle w:val="Hipervnculo"/>
            <w:color w:val="auto"/>
            <w:sz w:val="20"/>
            <w:szCs w:val="20"/>
          </w:rPr>
          <w:t xml:space="preserve"> </w:t>
        </w:r>
      </w:hyperlink>
      <w:r>
        <w:rPr>
          <w:rFonts w:ascii="Times New Roman" w:hAnsi="Times New Roman"/>
          <w:sz w:val="20"/>
          <w:szCs w:val="20"/>
        </w:rPr>
        <w:t xml:space="preserve"> Substracción de menores Delito contra la libertad y la familia, consistente en separar por la fuerza a los niños –hasta los 7 años, general en las leyes- de su hogar. (V. Rapto.).</w:t>
      </w:r>
    </w:p>
  </w:footnote>
  <w:footnote w:id="361">
    <w:p w14:paraId="5F3B67CA" w14:textId="77777777" w:rsidR="00172411" w:rsidRDefault="00172411" w:rsidP="0087504D">
      <w:pPr>
        <w:pStyle w:val="Textonotapie"/>
        <w:spacing w:line="240" w:lineRule="atLeast"/>
        <w:ind w:firstLine="0"/>
        <w:rPr>
          <w:rFonts w:eastAsia="Calibri"/>
        </w:rPr>
      </w:pPr>
      <w:r>
        <w:rPr>
          <w:rStyle w:val="Refdenotaalpie"/>
          <w:sz w:val="24"/>
          <w:szCs w:val="24"/>
        </w:rPr>
        <w:footnoteRef/>
      </w:r>
      <w:r>
        <w:t xml:space="preserve">Cubanet (enero 7, 2016) </w:t>
      </w:r>
      <w:r w:rsidRPr="00644F53">
        <w:rPr>
          <w:i/>
        </w:rPr>
        <w:t>Realizan acto de repudio con niños frente a sede de Damas de Blanco</w:t>
      </w:r>
      <w:r>
        <w:t xml:space="preserve">. Disponible en:  </w:t>
      </w:r>
      <w:hyperlink r:id="rId118" w:history="1">
        <w:r>
          <w:rPr>
            <w:rStyle w:val="Hipervnculo"/>
          </w:rPr>
          <w:t>https://www.cubanet.org/noticias/realizan-acto-de-repudio-con-ninos-frente-a-sede-de-damas-de-blanco/</w:t>
        </w:r>
      </w:hyperlink>
      <w:r>
        <w:t xml:space="preserve">  La organización había repartido regalos a infantes por el Día de Reyes.</w:t>
      </w:r>
    </w:p>
  </w:footnote>
  <w:footnote w:id="362">
    <w:p w14:paraId="05098B20" w14:textId="77777777" w:rsidR="00172411" w:rsidRDefault="00172411" w:rsidP="0087504D">
      <w:pPr>
        <w:pStyle w:val="Textonotapie"/>
        <w:spacing w:line="240" w:lineRule="atLeast"/>
        <w:ind w:firstLine="0"/>
        <w:rPr>
          <w:rFonts w:ascii="Calibri" w:hAnsi="Calibri"/>
          <w:lang w:val="es-ES"/>
        </w:rPr>
      </w:pPr>
      <w:r>
        <w:rPr>
          <w:sz w:val="22"/>
          <w:szCs w:val="22"/>
          <w:vertAlign w:val="superscript"/>
        </w:rPr>
        <w:footnoteRef/>
      </w:r>
      <w:r>
        <w:t xml:space="preserve">Serra, O. S (30 julio 2011). </w:t>
      </w:r>
      <w:r w:rsidRPr="00644F53">
        <w:rPr>
          <w:i/>
        </w:rPr>
        <w:t>Nada que atente contra la soberanía nacional puede quedar impune</w:t>
      </w:r>
      <w:r>
        <w:t>. Periódico Granma, pág. 3. Edición Impresa. Cuba.</w:t>
      </w:r>
    </w:p>
  </w:footnote>
  <w:footnote w:id="363">
    <w:p w14:paraId="5A2AFCD3" w14:textId="77777777" w:rsidR="00172411" w:rsidRDefault="00172411" w:rsidP="0087504D">
      <w:pPr>
        <w:pStyle w:val="Textonotapie"/>
        <w:spacing w:line="240" w:lineRule="atLeast"/>
        <w:ind w:firstLine="0"/>
        <w:rPr>
          <w:lang w:val="es-MX" w:eastAsia="en-US"/>
        </w:rPr>
      </w:pPr>
      <w:r>
        <w:rPr>
          <w:rStyle w:val="Refdenotaalpie"/>
          <w:rFonts w:ascii="Calibri" w:hAnsi="Calibri" w:cs="Calibri"/>
          <w:sz w:val="22"/>
          <w:szCs w:val="22"/>
        </w:rPr>
        <w:footnoteRef/>
      </w:r>
      <w:r>
        <w:t>CAT/C/CUB/2. 18 de enero de 2010] Examen de los informes presentados por los Estados partes en virtud del artículo 19 de la Convención. [Segundo informe periódico que los Estados debían presentar en 2002. Cuba. Párrafo 47. Pág. 8.</w:t>
      </w:r>
    </w:p>
  </w:footnote>
  <w:footnote w:id="364">
    <w:p w14:paraId="3E321F51" w14:textId="77777777" w:rsidR="00172411" w:rsidRDefault="00172411" w:rsidP="0087504D">
      <w:pPr>
        <w:pStyle w:val="Textonotapie"/>
        <w:spacing w:line="240" w:lineRule="atLeast"/>
        <w:ind w:firstLine="0"/>
      </w:pPr>
      <w:r>
        <w:rPr>
          <w:rStyle w:val="Refdenotaalpie"/>
        </w:rPr>
        <w:footnoteRef/>
      </w:r>
      <w:r>
        <w:t xml:space="preserve"> Cubanet (enero 5, 2016 ) </w:t>
      </w:r>
      <w:r w:rsidRPr="00AF0943">
        <w:rPr>
          <w:i/>
        </w:rPr>
        <w:t>Seguridad de Estado impide celebrar Reyes Magos</w:t>
      </w:r>
      <w:r>
        <w:t xml:space="preserve"> .Disponible: https://www.cubanet.org/noticias/seguridad-de-estado-impide-celebrar-reyes-magos/</w:t>
      </w:r>
    </w:p>
  </w:footnote>
  <w:footnote w:id="365">
    <w:p w14:paraId="23E83926" w14:textId="1871ECC4" w:rsidR="00172411" w:rsidRDefault="00172411" w:rsidP="0087504D">
      <w:pPr>
        <w:pStyle w:val="Textonotapie"/>
        <w:spacing w:line="240" w:lineRule="atLeast"/>
        <w:ind w:firstLine="0"/>
      </w:pPr>
      <w:r>
        <w:rPr>
          <w:rStyle w:val="Refdenotaalpie"/>
          <w:rFonts w:ascii="Calibri" w:hAnsi="Calibri" w:cs="Calibri"/>
          <w:sz w:val="22"/>
          <w:szCs w:val="22"/>
        </w:rPr>
        <w:footnoteRef/>
      </w:r>
      <w:r>
        <w:t xml:space="preserve"> Enseñanza media obligatoria en Cuba. Abarca los grados 7mo, 8vo y 9no.</w:t>
      </w:r>
    </w:p>
  </w:footnote>
  <w:footnote w:id="366">
    <w:p w14:paraId="0D5B2FE1" w14:textId="2AB7045B" w:rsidR="00172411" w:rsidRPr="0051039B" w:rsidRDefault="00172411" w:rsidP="0051039B">
      <w:pPr>
        <w:pStyle w:val="Textonotapie"/>
        <w:ind w:firstLine="0"/>
      </w:pPr>
      <w:r>
        <w:rPr>
          <w:rStyle w:val="Refdenotaalpie"/>
        </w:rPr>
        <w:footnoteRef/>
      </w:r>
      <w:r>
        <w:t xml:space="preserve"> Adilenys Orama Suárez. </w:t>
      </w:r>
      <w:r w:rsidRPr="00B930E8">
        <w:t>15/09/2015</w:t>
      </w:r>
      <w:r w:rsidRPr="0051039B">
        <w:rPr>
          <w:i/>
        </w:rPr>
        <w:t>. Adolescentes en contexto de desventaja social. Proceso de socialización familiar en la comunidad Macondo</w:t>
      </w:r>
      <w:r>
        <w:t>/ 146.</w:t>
      </w:r>
      <w:r w:rsidRPr="0051039B">
        <w:t xml:space="preserve"> Parte II. Contextos </w:t>
      </w:r>
      <w:r>
        <w:t>d</w:t>
      </w:r>
      <w:r w:rsidRPr="0051039B">
        <w:t xml:space="preserve">e Socialización: Características </w:t>
      </w:r>
      <w:r>
        <w:t xml:space="preserve">y </w:t>
      </w:r>
      <w:r w:rsidRPr="0051039B">
        <w:t>Retos</w:t>
      </w:r>
      <w:r>
        <w:t>.</w:t>
      </w:r>
      <w:r w:rsidRPr="00B930E8">
        <w:t xml:space="preserve"> </w:t>
      </w:r>
      <w:r>
        <w:t>Extraído de Participación Cultural de la Adolescencia en Cuba. Expresiones y claves para su comprensión. Pedro E. Moras Puig y Yisel Rivero Baxter</w:t>
      </w:r>
      <w:r w:rsidRPr="0051039B">
        <w:t xml:space="preserve"> Disponible:</w:t>
      </w:r>
      <w:r w:rsidRPr="0051039B">
        <w:rPr>
          <w:bCs/>
        </w:rPr>
        <w:t xml:space="preserve"> </w:t>
      </w:r>
      <w:hyperlink r:id="rId119" w:history="1">
        <w:r w:rsidRPr="005B6C8D">
          <w:rPr>
            <w:rStyle w:val="Hipervnculo"/>
            <w:i/>
            <w:iCs/>
          </w:rPr>
          <w:t>https://www.unicef.org/cuba/zppd_Adolescencia_en_Cuba.pdf</w:t>
        </w:r>
      </w:hyperlink>
      <w:r>
        <w:rPr>
          <w:i/>
          <w:iCs/>
        </w:rPr>
        <w:t xml:space="preserve">  </w:t>
      </w:r>
      <w:r>
        <w:rPr>
          <w:iCs/>
        </w:rPr>
        <w:t>Pág. 152 -153</w:t>
      </w:r>
    </w:p>
  </w:footnote>
  <w:footnote w:id="367">
    <w:p w14:paraId="46D1ECDB" w14:textId="54F1EEDC" w:rsidR="00172411" w:rsidRPr="00F35E8A" w:rsidRDefault="00172411" w:rsidP="0074466E">
      <w:pPr>
        <w:spacing w:after="0"/>
        <w:rPr>
          <w:rFonts w:ascii="Times New Roman" w:hAnsi="Times New Roman"/>
          <w:color w:val="000000"/>
          <w:sz w:val="20"/>
          <w:szCs w:val="20"/>
          <w:lang w:eastAsia="es-MX"/>
        </w:rPr>
      </w:pPr>
      <w:r w:rsidRPr="0058105B">
        <w:rPr>
          <w:rFonts w:ascii="Times New Roman" w:hAnsi="Times New Roman"/>
          <w:color w:val="000000"/>
          <w:vertAlign w:val="superscript"/>
          <w:lang w:eastAsia="es-MX"/>
        </w:rPr>
        <w:footnoteRef/>
      </w:r>
      <w:r w:rsidRPr="0058105B">
        <w:rPr>
          <w:rFonts w:ascii="Times New Roman" w:hAnsi="Times New Roman"/>
          <w:color w:val="000000"/>
          <w:vertAlign w:val="superscript"/>
          <w:lang w:eastAsia="es-MX"/>
        </w:rPr>
        <w:t xml:space="preserve"> </w:t>
      </w:r>
      <w:r w:rsidRPr="0058105B">
        <w:rPr>
          <w:rFonts w:ascii="Times New Roman" w:hAnsi="Times New Roman"/>
          <w:color w:val="000000"/>
          <w:sz w:val="20"/>
          <w:szCs w:val="20"/>
          <w:lang w:eastAsia="es-MX"/>
        </w:rPr>
        <w:t xml:space="preserve">Maricelys Manzano García. Universidad de Oriente. Santiago de Cuba-Cuba.2012. </w:t>
      </w:r>
      <w:r w:rsidRPr="00AF0943">
        <w:rPr>
          <w:rFonts w:ascii="Times New Roman" w:hAnsi="Times New Roman"/>
          <w:i/>
          <w:color w:val="000000"/>
          <w:sz w:val="20"/>
          <w:szCs w:val="20"/>
          <w:lang w:eastAsia="es-MX"/>
        </w:rPr>
        <w:t xml:space="preserve">Identidad Racial: Un Problema </w:t>
      </w:r>
      <w:r>
        <w:rPr>
          <w:rFonts w:ascii="Times New Roman" w:hAnsi="Times New Roman"/>
          <w:i/>
          <w:color w:val="000000"/>
          <w:sz w:val="20"/>
          <w:szCs w:val="20"/>
          <w:lang w:eastAsia="es-MX"/>
        </w:rPr>
        <w:t>s</w:t>
      </w:r>
      <w:r w:rsidRPr="00AF0943">
        <w:rPr>
          <w:rFonts w:ascii="Times New Roman" w:hAnsi="Times New Roman"/>
          <w:i/>
          <w:color w:val="000000"/>
          <w:sz w:val="20"/>
          <w:szCs w:val="20"/>
          <w:lang w:eastAsia="es-MX"/>
        </w:rPr>
        <w:t xml:space="preserve">ocial </w:t>
      </w:r>
      <w:r>
        <w:rPr>
          <w:rFonts w:ascii="Times New Roman" w:hAnsi="Times New Roman"/>
          <w:i/>
          <w:color w:val="000000"/>
          <w:sz w:val="20"/>
          <w:szCs w:val="20"/>
          <w:lang w:eastAsia="es-MX"/>
        </w:rPr>
        <w:t>e</w:t>
      </w:r>
      <w:r w:rsidRPr="00AF0943">
        <w:rPr>
          <w:rFonts w:ascii="Times New Roman" w:hAnsi="Times New Roman"/>
          <w:i/>
          <w:color w:val="000000"/>
          <w:sz w:val="20"/>
          <w:szCs w:val="20"/>
          <w:lang w:eastAsia="es-MX"/>
        </w:rPr>
        <w:t xml:space="preserve">n </w:t>
      </w:r>
      <w:r>
        <w:rPr>
          <w:rFonts w:ascii="Times New Roman" w:hAnsi="Times New Roman"/>
          <w:i/>
          <w:color w:val="000000"/>
          <w:sz w:val="20"/>
          <w:szCs w:val="20"/>
          <w:lang w:eastAsia="es-MX"/>
        </w:rPr>
        <w:t>n</w:t>
      </w:r>
      <w:r w:rsidRPr="00AF0943">
        <w:rPr>
          <w:rFonts w:ascii="Times New Roman" w:hAnsi="Times New Roman"/>
          <w:i/>
          <w:color w:val="000000"/>
          <w:sz w:val="20"/>
          <w:szCs w:val="20"/>
          <w:lang w:eastAsia="es-MX"/>
        </w:rPr>
        <w:t xml:space="preserve">uestros </w:t>
      </w:r>
      <w:r>
        <w:rPr>
          <w:rFonts w:ascii="Times New Roman" w:hAnsi="Times New Roman"/>
          <w:i/>
          <w:color w:val="000000"/>
          <w:sz w:val="20"/>
          <w:szCs w:val="20"/>
          <w:lang w:eastAsia="es-MX"/>
        </w:rPr>
        <w:t>d</w:t>
      </w:r>
      <w:r w:rsidRPr="00AF0943">
        <w:rPr>
          <w:rFonts w:ascii="Times New Roman" w:hAnsi="Times New Roman"/>
          <w:i/>
          <w:color w:val="000000"/>
          <w:sz w:val="20"/>
          <w:szCs w:val="20"/>
          <w:lang w:eastAsia="es-MX"/>
        </w:rPr>
        <w:t>ías.</w:t>
      </w:r>
      <w:r w:rsidRPr="0058105B">
        <w:rPr>
          <w:rFonts w:ascii="Times New Roman" w:hAnsi="Times New Roman"/>
          <w:color w:val="000000"/>
          <w:sz w:val="20"/>
          <w:szCs w:val="20"/>
          <w:lang w:eastAsia="es-MX"/>
        </w:rPr>
        <w:t xml:space="preserve"> Límite. Revista de Filosofía y Psicología ISSN 0718-</w:t>
      </w:r>
      <w:r w:rsidRPr="004D284A">
        <w:rPr>
          <w:rFonts w:ascii="Times New Roman" w:hAnsi="Times New Roman"/>
          <w:color w:val="000000"/>
          <w:sz w:val="20"/>
          <w:szCs w:val="20"/>
          <w:lang w:eastAsia="es-MX"/>
        </w:rPr>
        <w:t>1361 Versión impresa. Volumen 7, Nº 26, 2012, pp. 107-119</w:t>
      </w:r>
      <w:r>
        <w:rPr>
          <w:rFonts w:ascii="Times New Roman" w:hAnsi="Times New Roman"/>
          <w:color w:val="000000"/>
          <w:sz w:val="20"/>
          <w:szCs w:val="20"/>
          <w:lang w:eastAsia="es-MX"/>
        </w:rPr>
        <w:t>.</w:t>
      </w:r>
      <w:r w:rsidRPr="004D284A">
        <w:rPr>
          <w:rFonts w:ascii="Times New Roman" w:hAnsi="Times New Roman"/>
          <w:color w:val="000000"/>
          <w:sz w:val="20"/>
          <w:szCs w:val="20"/>
          <w:lang w:eastAsia="es-MX"/>
        </w:rPr>
        <w:t xml:space="preserve"> Versión en línea. Pag.116 </w:t>
      </w:r>
      <w:r w:rsidRPr="00A951CB">
        <w:rPr>
          <w:rFonts w:ascii="Times New Roman" w:hAnsi="Times New Roman"/>
          <w:color w:val="000000"/>
          <w:sz w:val="20"/>
          <w:szCs w:val="20"/>
          <w:lang w:eastAsia="es-MX"/>
        </w:rPr>
        <w:t xml:space="preserve">Disponible: </w:t>
      </w:r>
      <w:hyperlink r:id="rId120" w:history="1">
        <w:r w:rsidRPr="007677CF">
          <w:rPr>
            <w:rStyle w:val="Hipervnculo"/>
            <w:rFonts w:ascii="Times New Roman" w:hAnsi="Times New Roman"/>
            <w:sz w:val="20"/>
            <w:szCs w:val="20"/>
            <w:lang w:eastAsia="es-MX"/>
          </w:rPr>
          <w:t>http://www.redalyc.org/articulo.oa?id=83625847007</w:t>
        </w:r>
      </w:hyperlink>
    </w:p>
  </w:footnote>
  <w:footnote w:id="368">
    <w:p w14:paraId="33266928" w14:textId="77777777" w:rsidR="00172411" w:rsidRPr="009155F5" w:rsidRDefault="00172411" w:rsidP="0074466E">
      <w:pPr>
        <w:spacing w:after="0"/>
        <w:rPr>
          <w:rFonts w:ascii="Times New Roman" w:hAnsi="Times New Roman"/>
          <w:color w:val="000000"/>
          <w:sz w:val="20"/>
          <w:szCs w:val="20"/>
          <w:lang w:eastAsia="es-MX"/>
        </w:rPr>
      </w:pPr>
      <w:r>
        <w:rPr>
          <w:rStyle w:val="Refdenotaalpie"/>
        </w:rPr>
        <w:footnoteRef/>
      </w:r>
      <w:r>
        <w:t xml:space="preserve"> </w:t>
      </w:r>
      <w:r>
        <w:rPr>
          <w:rFonts w:ascii="Times New Roman" w:hAnsi="Times New Roman"/>
          <w:color w:val="000000"/>
          <w:sz w:val="20"/>
          <w:szCs w:val="20"/>
          <w:lang w:eastAsia="es-MX"/>
        </w:rPr>
        <w:t xml:space="preserve">Gisela Arrandia Covarrubias.  2016. </w:t>
      </w:r>
      <w:r w:rsidRPr="00AF0943">
        <w:rPr>
          <w:rFonts w:ascii="Times New Roman" w:hAnsi="Times New Roman"/>
          <w:i/>
          <w:color w:val="000000"/>
          <w:sz w:val="20"/>
          <w:szCs w:val="20"/>
          <w:lang w:eastAsia="es-MX"/>
        </w:rPr>
        <w:t>Estudio  teórico  crítico  del  racismo:  un  modelo  de  análisis  epistemológico  y político  para  el  contexto  cubano</w:t>
      </w:r>
      <w:r>
        <w:rPr>
          <w:rFonts w:ascii="Times New Roman" w:hAnsi="Times New Roman"/>
          <w:color w:val="000000"/>
          <w:sz w:val="20"/>
          <w:szCs w:val="20"/>
          <w:lang w:eastAsia="es-MX"/>
        </w:rPr>
        <w:t xml:space="preserve"> (Tesis  de  Doctorado). La Habana: Editorial Universitaria, 2017.  e-ISBN 978-959-16-3466-5. Disponible: http://beduniv.reduniv.edu.cu/index.php?page=3&amp;id=2928&amp;db=1</w:t>
      </w:r>
    </w:p>
  </w:footnote>
  <w:footnote w:id="369">
    <w:p w14:paraId="3C1680CE" w14:textId="20A774CA" w:rsidR="00172411" w:rsidRPr="00A126F1" w:rsidRDefault="00172411" w:rsidP="00BF2BA3">
      <w:pPr>
        <w:spacing w:after="0"/>
        <w:rPr>
          <w:rFonts w:ascii="Times New Roman" w:hAnsi="Times New Roman"/>
          <w:color w:val="000000"/>
          <w:sz w:val="20"/>
          <w:szCs w:val="20"/>
          <w:lang w:eastAsia="es-MX"/>
        </w:rPr>
      </w:pPr>
      <w:r>
        <w:rPr>
          <w:rStyle w:val="Refdenotaalpie"/>
        </w:rPr>
        <w:footnoteRef/>
      </w:r>
      <w:r>
        <w:t xml:space="preserve"> </w:t>
      </w:r>
      <w:r w:rsidRPr="00A126F1">
        <w:rPr>
          <w:rFonts w:ascii="Times New Roman" w:hAnsi="Times New Roman"/>
          <w:color w:val="000000"/>
          <w:sz w:val="20"/>
          <w:szCs w:val="20"/>
          <w:lang w:eastAsia="es-MX"/>
        </w:rPr>
        <w:t>A</w:t>
      </w:r>
      <w:r>
        <w:rPr>
          <w:rFonts w:ascii="Times New Roman" w:hAnsi="Times New Roman"/>
          <w:color w:val="000000"/>
          <w:sz w:val="20"/>
          <w:szCs w:val="20"/>
          <w:lang w:eastAsia="es-MX"/>
        </w:rPr>
        <w:t>PUD</w:t>
      </w:r>
      <w:r w:rsidRPr="00A126F1">
        <w:rPr>
          <w:rFonts w:ascii="Times New Roman" w:hAnsi="Times New Roman"/>
          <w:color w:val="000000"/>
          <w:sz w:val="20"/>
          <w:szCs w:val="20"/>
          <w:lang w:eastAsia="es-MX"/>
        </w:rPr>
        <w:t xml:space="preserve">. </w:t>
      </w:r>
      <w:r>
        <w:rPr>
          <w:rFonts w:ascii="Times New Roman" w:hAnsi="Times New Roman"/>
          <w:color w:val="000000"/>
          <w:sz w:val="20"/>
          <w:szCs w:val="20"/>
          <w:lang w:eastAsia="es-MX"/>
        </w:rPr>
        <w:t>Zamora Arevalo E. (s.f)</w:t>
      </w:r>
      <w:r w:rsidRPr="00A126F1">
        <w:rPr>
          <w:rFonts w:ascii="Times New Roman" w:hAnsi="Times New Roman"/>
          <w:color w:val="000000"/>
          <w:sz w:val="20"/>
          <w:szCs w:val="20"/>
          <w:lang w:eastAsia="es-MX"/>
        </w:rPr>
        <w:t xml:space="preserve"> </w:t>
      </w:r>
      <w:r w:rsidRPr="00A126F1">
        <w:rPr>
          <w:rFonts w:ascii="Times New Roman" w:hAnsi="Times New Roman"/>
          <w:i/>
          <w:color w:val="000000"/>
          <w:sz w:val="20"/>
          <w:szCs w:val="20"/>
          <w:lang w:eastAsia="es-MX"/>
        </w:rPr>
        <w:t>Algunas consideraciones en torno a la temática racial en Cuba</w:t>
      </w:r>
      <w:r>
        <w:rPr>
          <w:rFonts w:ascii="Times New Roman" w:hAnsi="Times New Roman"/>
          <w:color w:val="000000"/>
          <w:sz w:val="20"/>
          <w:szCs w:val="20"/>
          <w:lang w:eastAsia="es-MX"/>
        </w:rPr>
        <w:t xml:space="preserve">. </w:t>
      </w:r>
      <w:r w:rsidRPr="00A126F1">
        <w:rPr>
          <w:rFonts w:ascii="Times New Roman" w:hAnsi="Times New Roman"/>
          <w:color w:val="000000"/>
          <w:sz w:val="20"/>
          <w:szCs w:val="20"/>
          <w:lang w:eastAsia="es-MX"/>
        </w:rPr>
        <w:t xml:space="preserve">Duharte, R y Santos, E.( 2002) </w:t>
      </w:r>
      <w:r w:rsidRPr="00A126F1">
        <w:rPr>
          <w:rFonts w:ascii="Times New Roman" w:hAnsi="Times New Roman"/>
          <w:i/>
          <w:color w:val="000000"/>
          <w:sz w:val="20"/>
          <w:szCs w:val="20"/>
          <w:lang w:eastAsia="es-MX"/>
        </w:rPr>
        <w:t xml:space="preserve">"No hay negro bueno ni tamarindo dulce" Cuba, 118 años después de la abolición de la  esclavitud” </w:t>
      </w:r>
      <w:r>
        <w:rPr>
          <w:rFonts w:ascii="Times New Roman" w:hAnsi="Times New Roman"/>
          <w:color w:val="000000"/>
          <w:sz w:val="20"/>
          <w:szCs w:val="20"/>
          <w:lang w:eastAsia="es-MX"/>
        </w:rPr>
        <w:t>Disponible:</w:t>
      </w:r>
    </w:p>
    <w:p w14:paraId="6E08828B" w14:textId="7FB3BCAF" w:rsidR="00172411" w:rsidRPr="00A126F1" w:rsidRDefault="00172411" w:rsidP="00BF2BA3">
      <w:pPr>
        <w:spacing w:after="0"/>
        <w:rPr>
          <w:rFonts w:ascii="Times New Roman" w:hAnsi="Times New Roman"/>
          <w:color w:val="000000"/>
          <w:sz w:val="20"/>
          <w:szCs w:val="20"/>
          <w:lang w:eastAsia="es-MX"/>
        </w:rPr>
      </w:pPr>
      <w:hyperlink r:id="rId121" w:history="1">
        <w:r w:rsidRPr="00A126F1">
          <w:rPr>
            <w:rFonts w:ascii="Times New Roman" w:hAnsi="Times New Roman"/>
            <w:color w:val="000000"/>
            <w:sz w:val="20"/>
            <w:szCs w:val="20"/>
            <w:lang w:eastAsia="es-MX"/>
          </w:rPr>
          <w:t>http://www.monografias.com/trabajos77/consideraciones-tematica-racial-cuba/consideraciones-tematica-racial-cuba2.shtml</w:t>
        </w:r>
      </w:hyperlink>
    </w:p>
  </w:footnote>
  <w:footnote w:id="370">
    <w:p w14:paraId="4C065E2E" w14:textId="7A87ACE7" w:rsidR="00172411" w:rsidRPr="00676CB1" w:rsidRDefault="00172411" w:rsidP="00BF2BA3">
      <w:pPr>
        <w:pStyle w:val="Textonotapie"/>
        <w:spacing w:line="276" w:lineRule="auto"/>
        <w:ind w:firstLine="0"/>
      </w:pPr>
      <w:r>
        <w:rPr>
          <w:rStyle w:val="Refdenotaalpie"/>
        </w:rPr>
        <w:footnoteRef/>
      </w:r>
      <w:r>
        <w:t xml:space="preserve"> Bayona Mojena, Rosilín .2013. Buenos Aires </w:t>
      </w:r>
      <w:r w:rsidRPr="00676CB1">
        <w:rPr>
          <w:i/>
        </w:rPr>
        <w:t>.Brechas en el silencio. Ciencias sociales, conflictos y políticas públicas en el problema racial en Cuba</w:t>
      </w:r>
      <w:r>
        <w:t>. CLACSO.</w:t>
      </w:r>
      <w:r w:rsidRPr="00676CB1">
        <w:rPr>
          <w:color w:val="000000"/>
          <w:lang w:eastAsia="es-MX"/>
        </w:rPr>
        <w:t xml:space="preserve"> </w:t>
      </w:r>
      <w:r>
        <w:rPr>
          <w:color w:val="000000"/>
          <w:lang w:eastAsia="es-MX"/>
        </w:rPr>
        <w:t xml:space="preserve">Disponible:   </w:t>
      </w:r>
      <w:hyperlink r:id="rId122" w:history="1">
        <w:r w:rsidRPr="005829C8">
          <w:rPr>
            <w:rStyle w:val="Hipervnculo"/>
            <w:lang w:eastAsia="es-MX"/>
          </w:rPr>
          <w:t>http://biblioteca.clacso.edu.ar/clacso/becas/20131028052827/BayonaBecasInforme.pdf</w:t>
        </w:r>
      </w:hyperlink>
      <w:r>
        <w:rPr>
          <w:color w:val="000000"/>
          <w:lang w:eastAsia="es-MX"/>
        </w:rPr>
        <w:t xml:space="preserve">  Pag.10</w:t>
      </w:r>
    </w:p>
  </w:footnote>
  <w:footnote w:id="371">
    <w:p w14:paraId="668FFEC0" w14:textId="3F506987" w:rsidR="00172411" w:rsidRDefault="00172411" w:rsidP="00BF2BA3">
      <w:pPr>
        <w:pStyle w:val="Textonotapie"/>
        <w:spacing w:line="276" w:lineRule="auto"/>
        <w:ind w:firstLine="0"/>
        <w:rPr>
          <w:lang w:val="es-ES"/>
        </w:rPr>
      </w:pPr>
      <w:r w:rsidRPr="00185FCE">
        <w:rPr>
          <w:rStyle w:val="Refdenotaalpie"/>
        </w:rPr>
        <w:footnoteRef/>
      </w:r>
      <w:r w:rsidRPr="00185FCE">
        <w:t xml:space="preserve"> </w:t>
      </w:r>
      <w:r w:rsidRPr="00F310B3">
        <w:rPr>
          <w:lang w:val="es-ES"/>
        </w:rPr>
        <w:t>Anthony Giddens</w:t>
      </w:r>
      <w:r>
        <w:rPr>
          <w:lang w:val="es-ES"/>
        </w:rPr>
        <w:t xml:space="preserve"> (2000)</w:t>
      </w:r>
      <w:r w:rsidRPr="00F310B3">
        <w:rPr>
          <w:lang w:val="es-ES"/>
        </w:rPr>
        <w:t xml:space="preserve"> </w:t>
      </w:r>
      <w:r w:rsidRPr="00185FCE">
        <w:rPr>
          <w:i/>
          <w:lang w:val="es-ES"/>
        </w:rPr>
        <w:t>Sociología</w:t>
      </w:r>
      <w:r w:rsidRPr="00F310B3">
        <w:rPr>
          <w:lang w:val="es-ES"/>
        </w:rPr>
        <w:t xml:space="preserve"> </w:t>
      </w:r>
      <w:r>
        <w:rPr>
          <w:lang w:val="es-ES"/>
        </w:rPr>
        <w:t>.</w:t>
      </w:r>
      <w:r w:rsidRPr="00F310B3">
        <w:rPr>
          <w:lang w:val="es-ES"/>
        </w:rPr>
        <w:t>Tercera edición revisada</w:t>
      </w:r>
      <w:r>
        <w:rPr>
          <w:lang w:val="es-ES"/>
        </w:rPr>
        <w:t>.</w:t>
      </w:r>
      <w:r w:rsidRPr="00F310B3">
        <w:rPr>
          <w:lang w:val="es-ES"/>
        </w:rPr>
        <w:t xml:space="preserve"> Versión de Teresa Albero, </w:t>
      </w:r>
      <w:r>
        <w:rPr>
          <w:lang w:val="es-ES"/>
        </w:rPr>
        <w:t xml:space="preserve">et. al. </w:t>
      </w:r>
      <w:r>
        <w:rPr>
          <w:lang w:val="es-MX"/>
        </w:rPr>
        <w:t xml:space="preserve">Disponible:   </w:t>
      </w:r>
      <w:r w:rsidRPr="00F310B3">
        <w:rPr>
          <w:lang w:val="es-ES"/>
        </w:rPr>
        <w:t xml:space="preserve"> https://www.pdfdrive.net/anthony-giddens-sociologia-</w:t>
      </w:r>
      <w:r w:rsidRPr="00185FCE">
        <w:rPr>
          <w:lang w:val="es-ES"/>
        </w:rPr>
        <w:t xml:space="preserve">e33955264.html </w:t>
      </w:r>
      <w:r>
        <w:rPr>
          <w:lang w:val="es-ES"/>
        </w:rPr>
        <w:t xml:space="preserve">  P</w:t>
      </w:r>
      <w:r w:rsidRPr="00185FCE">
        <w:rPr>
          <w:lang w:val="es-ES"/>
        </w:rPr>
        <w:t xml:space="preserve">ag.10 </w:t>
      </w:r>
    </w:p>
  </w:footnote>
  <w:footnote w:id="372">
    <w:p w14:paraId="1DFBC8E7" w14:textId="77777777" w:rsidR="00172411" w:rsidRDefault="00172411" w:rsidP="00BF2BA3">
      <w:pPr>
        <w:pStyle w:val="Textoindependiente"/>
        <w:spacing w:after="0" w:line="276" w:lineRule="auto"/>
        <w:ind w:firstLine="0"/>
        <w:rPr>
          <w:rFonts w:ascii="Times New Roman" w:hAnsi="Times New Roman" w:cs="Times New Roman"/>
          <w:sz w:val="20"/>
          <w:szCs w:val="20"/>
          <w:lang w:val="es-ES"/>
        </w:rPr>
      </w:pPr>
      <w:r>
        <w:rPr>
          <w:rStyle w:val="Refdenotaalpie"/>
        </w:rPr>
        <w:footnoteRef/>
      </w:r>
      <w:r>
        <w:rPr>
          <w:rFonts w:ascii="Times New Roman" w:hAnsi="Times New Roman" w:cs="Times New Roman"/>
          <w:sz w:val="20"/>
          <w:szCs w:val="20"/>
          <w:lang w:val="es-MX"/>
        </w:rPr>
        <w:t>Yulexis Almeida Junco. (-Cuba-) 2016</w:t>
      </w:r>
      <w:r>
        <w:rPr>
          <w:rFonts w:ascii="Times New Roman" w:hAnsi="Times New Roman" w:cs="Times New Roman"/>
          <w:i/>
          <w:sz w:val="20"/>
          <w:szCs w:val="20"/>
          <w:lang w:val="es-MX"/>
        </w:rPr>
        <w:t xml:space="preserve">. El acceso a la educación superior en Cuba. Breve reflexión desde la perspectiva racial. Mesa Innovación1. </w:t>
      </w:r>
      <w:r>
        <w:rPr>
          <w:rFonts w:ascii="Times New Roman" w:hAnsi="Times New Roman" w:cs="Times New Roman"/>
          <w:sz w:val="18"/>
          <w:szCs w:val="18"/>
          <w:lang w:val="es-MX"/>
        </w:rPr>
        <w:t>Disponible:</w:t>
      </w:r>
      <w:hyperlink r:id="rId123" w:history="1">
        <w:r>
          <w:rPr>
            <w:rStyle w:val="Hipervnculo"/>
            <w:rFonts w:ascii="Times New Roman" w:hAnsi="Times New Roman" w:cs="Times New Roman"/>
            <w:bCs/>
            <w:sz w:val="18"/>
            <w:lang w:val="es-MX"/>
          </w:rPr>
          <w:t>www.seeci.net/cuiciid2016/PDFs/INNOV%201%20Unida.pdf</w:t>
        </w:r>
      </w:hyperlink>
      <w:r>
        <w:rPr>
          <w:rStyle w:val="Quotation"/>
          <w:rFonts w:ascii="Times New Roman" w:hAnsi="Times New Roman" w:cs="Times New Roman"/>
          <w:sz w:val="20"/>
          <w:szCs w:val="20"/>
          <w:lang w:val="es-ES"/>
        </w:rPr>
        <w:t xml:space="preserve">  Pág. 1 a 15</w:t>
      </w:r>
    </w:p>
  </w:footnote>
  <w:footnote w:id="373">
    <w:p w14:paraId="5F57199C" w14:textId="77777777" w:rsidR="00172411" w:rsidRDefault="00172411" w:rsidP="00BF2BA3">
      <w:pPr>
        <w:pStyle w:val="Sinespaciado"/>
        <w:spacing w:after="0" w:afterAutospacing="0" w:line="276" w:lineRule="auto"/>
        <w:ind w:left="0" w:firstLine="0"/>
        <w:rPr>
          <w:rFonts w:ascii="Times New Roman" w:eastAsia="STKaiti" w:hAnsi="Times New Roman"/>
          <w:sz w:val="20"/>
          <w:szCs w:val="20"/>
          <w:lang w:eastAsia="es-US"/>
        </w:rPr>
      </w:pPr>
      <w:r>
        <w:rPr>
          <w:rStyle w:val="Refdenotaalpie"/>
        </w:rPr>
        <w:footnoteRef/>
      </w:r>
      <w:r>
        <w:t xml:space="preserve"> </w:t>
      </w:r>
      <w:r>
        <w:rPr>
          <w:rFonts w:ascii="Times New Roman" w:eastAsia="STKaiti" w:hAnsi="Times New Roman"/>
          <w:sz w:val="20"/>
          <w:szCs w:val="20"/>
          <w:lang w:eastAsia="es-US"/>
        </w:rPr>
        <w:t xml:space="preserve">DDC | Madrid | 26 Agosto 2014. Embajador del Vaticano en La Habana lanza duro mensaje sobre la situación en Cuba, según la prensa italiana. Disponible: </w:t>
      </w:r>
      <w:hyperlink r:id="rId124" w:history="1">
        <w:r>
          <w:rPr>
            <w:rStyle w:val="Hipervnculo"/>
            <w:rFonts w:ascii="Times New Roman" w:eastAsia="STKaiti" w:hAnsi="Times New Roman"/>
            <w:sz w:val="20"/>
            <w:szCs w:val="20"/>
            <w:lang w:eastAsia="es-US"/>
          </w:rPr>
          <w:t>http://www.diariodecuba.com/cuba/1409053074_10126.html</w:t>
        </w:r>
      </w:hyperlink>
      <w:r>
        <w:rPr>
          <w:rFonts w:ascii="Times New Roman" w:eastAsia="STKaiti" w:hAnsi="Times New Roman"/>
          <w:sz w:val="20"/>
          <w:szCs w:val="20"/>
          <w:lang w:eastAsia="es-US"/>
        </w:rPr>
        <w:t xml:space="preserve">   El arzobispo Bruno Musaró, nuncio apostólico del Vaticano en La Habana, lanzó un duro mensaje contra el régimen de La Habana, durante una misa celebrada en la localidad italiana de Vignacastrisi,... "La situación económica en Cuba es realmente difícil", dijo Musaró, según el diario </w:t>
      </w:r>
      <w:hyperlink r:id="rId125" w:tgtFrame="_blank" w:history="1">
        <w:r>
          <w:rPr>
            <w:rStyle w:val="Hipervnculo"/>
            <w:rFonts w:ascii="Times New Roman" w:eastAsia="STKaiti" w:hAnsi="Times New Roman"/>
            <w:sz w:val="20"/>
            <w:szCs w:val="20"/>
            <w:lang w:eastAsia="es-US"/>
          </w:rPr>
          <w:t>Lecce News</w:t>
        </w:r>
      </w:hyperlink>
      <w:r>
        <w:rPr>
          <w:rFonts w:ascii="Times New Roman" w:eastAsia="STKaiti" w:hAnsi="Times New Roman"/>
          <w:sz w:val="20"/>
          <w:szCs w:val="20"/>
          <w:lang w:eastAsia="es-US"/>
        </w:rPr>
        <w:t xml:space="preserve">  (http:// www.eccenews24.it/attualita/-a-cuba-si-moure-un-vescovo-salentino-lancia-il-grido-d-allarme.htm)</w:t>
      </w:r>
    </w:p>
  </w:footnote>
  <w:footnote w:id="374">
    <w:p w14:paraId="2B7E71C1" w14:textId="77777777" w:rsidR="00172411" w:rsidRDefault="00172411" w:rsidP="00BF2BA3">
      <w:pPr>
        <w:pStyle w:val="NormalWeb"/>
        <w:shd w:val="clear" w:color="auto" w:fill="FFFFFF"/>
        <w:spacing w:line="276" w:lineRule="auto"/>
        <w:ind w:right="240" w:firstLine="0"/>
        <w:rPr>
          <w:lang w:val="es-MX"/>
        </w:rPr>
      </w:pPr>
      <w:r>
        <w:rPr>
          <w:sz w:val="22"/>
          <w:szCs w:val="22"/>
          <w:vertAlign w:val="superscript"/>
          <w:lang w:val="es-MX"/>
        </w:rPr>
        <w:footnoteRef/>
      </w:r>
      <w:r>
        <w:rPr>
          <w:sz w:val="20"/>
          <w:szCs w:val="20"/>
          <w:lang w:val="es-MX"/>
        </w:rPr>
        <w:t xml:space="preserve">Ania Terrero. Julio del 2017. </w:t>
      </w:r>
      <w:r>
        <w:rPr>
          <w:i/>
          <w:sz w:val="20"/>
          <w:szCs w:val="20"/>
          <w:lang w:val="es-MX"/>
        </w:rPr>
        <w:t>Atrapados en una rara pirámide</w:t>
      </w:r>
      <w:r>
        <w:rPr>
          <w:sz w:val="20"/>
          <w:szCs w:val="20"/>
          <w:lang w:val="es-MX"/>
        </w:rPr>
        <w:t xml:space="preserve">. Juventud Rebelde. Disponible:   </w:t>
      </w:r>
      <w:hyperlink r:id="rId126" w:history="1">
        <w:r>
          <w:rPr>
            <w:rStyle w:val="Hipervnculo"/>
            <w:sz w:val="20"/>
            <w:szCs w:val="20"/>
          </w:rPr>
          <w:t>http://www.juventudrebelde.cu/opinion/2017-07-18/atrapados-en-una-rara-piramide-2/</w:t>
        </w:r>
      </w:hyperlink>
    </w:p>
  </w:footnote>
  <w:footnote w:id="375">
    <w:p w14:paraId="58036587" w14:textId="77777777" w:rsidR="00172411" w:rsidRDefault="00172411" w:rsidP="00EE6EB2">
      <w:pPr>
        <w:pStyle w:val="Textonotapie"/>
        <w:spacing w:line="240" w:lineRule="atLeast"/>
        <w:ind w:firstLine="0"/>
        <w:rPr>
          <w:lang w:val="en-US" w:eastAsia="es-MX"/>
        </w:rPr>
      </w:pPr>
      <w:r>
        <w:rPr>
          <w:rStyle w:val="Refdenotaalpie"/>
        </w:rPr>
        <w:footnoteRef/>
      </w:r>
      <w:r>
        <w:rPr>
          <w:lang w:val="en-US"/>
        </w:rPr>
        <w:t xml:space="preserve"> </w:t>
      </w:r>
      <w:r>
        <w:rPr>
          <w:lang w:val="en-US" w:eastAsia="es-MX"/>
        </w:rPr>
        <w:t xml:space="preserve">Frank-Christian Hansel. 2011. </w:t>
      </w:r>
      <w:r>
        <w:rPr>
          <w:i/>
          <w:lang w:val="en-US" w:eastAsia="es-MX"/>
        </w:rPr>
        <w:t>Theoretical Foundations of a Future Privatization in Cuba: The Property and Ownership Paradigm</w:t>
      </w:r>
      <w:r>
        <w:rPr>
          <w:lang w:val="en-US" w:eastAsia="es-MX"/>
        </w:rPr>
        <w:t xml:space="preserve">. Political Economy Of Change In Cuba. International symposium “Cuba Futures: Past and Present,” organized by the The Cuba Project Bildner Center for Western Hemisphere Studies The Graduate Center/CUNY, March 31–April 2, 2011.  Disponible: </w:t>
      </w:r>
      <w:hyperlink r:id="rId127" w:history="1">
        <w:r>
          <w:rPr>
            <w:rStyle w:val="Hipervnculo"/>
            <w:lang w:val="en-US" w:eastAsia="es-MX"/>
          </w:rPr>
          <w:t>http://www.cubasymposium.org/PEchangeCubaWEB.pdf</w:t>
        </w:r>
      </w:hyperlink>
      <w:r>
        <w:rPr>
          <w:lang w:val="en-US" w:eastAsia="es-MX"/>
        </w:rPr>
        <w:t xml:space="preserve">  Pag.213</w:t>
      </w:r>
    </w:p>
  </w:footnote>
  <w:footnote w:id="376">
    <w:p w14:paraId="155AD88B" w14:textId="77777777" w:rsidR="00172411" w:rsidRDefault="00172411" w:rsidP="00EE6EB2">
      <w:pPr>
        <w:pStyle w:val="Textonotapie"/>
        <w:spacing w:line="240" w:lineRule="atLeast"/>
        <w:ind w:firstLine="0"/>
        <w:rPr>
          <w:lang w:val="en-US" w:eastAsia="en-US"/>
        </w:rPr>
      </w:pPr>
      <w:r>
        <w:rPr>
          <w:rStyle w:val="Refdenotaalpie"/>
        </w:rPr>
        <w:footnoteRef/>
      </w:r>
      <w:r>
        <w:rPr>
          <w:lang w:val="en-US"/>
        </w:rPr>
        <w:t xml:space="preserve">  The Economist.  April 1st 2017 | </w:t>
      </w:r>
      <w:r>
        <w:rPr>
          <w:i/>
          <w:lang w:val="en-US"/>
        </w:rPr>
        <w:t>Sun, sand and socialism. What the tourist industry reveals about Cuba</w:t>
      </w:r>
      <w:r>
        <w:rPr>
          <w:lang w:val="en-US"/>
        </w:rPr>
        <w:t xml:space="preserve">. Available:  </w:t>
      </w:r>
      <w:hyperlink r:id="rId128" w:history="1">
        <w:r>
          <w:rPr>
            <w:rStyle w:val="Hipervnculo"/>
            <w:lang w:val="en-US"/>
          </w:rPr>
          <w:t>https://www.economist.com/news/americas/21719812-revolutionary-economy-neither-efficient-nor-fun-what-tourist-industry-reveals-about</w:t>
        </w:r>
      </w:hyperlink>
      <w:r>
        <w:rPr>
          <w:lang w:val="en-US"/>
        </w:rPr>
        <w:t xml:space="preserve">  The revolutionary economy is neither efficient nor fun (…) Cars are costly in Cuba ($50,000 for a low-range Chinese import) and most people are poor (a typical state employee makes $25 a month)...</w:t>
      </w:r>
    </w:p>
  </w:footnote>
  <w:footnote w:id="377">
    <w:p w14:paraId="59320092" w14:textId="77777777" w:rsidR="00172411" w:rsidRDefault="00172411" w:rsidP="00EE6EB2">
      <w:pPr>
        <w:pStyle w:val="Textonotapie"/>
        <w:spacing w:line="240" w:lineRule="atLeast"/>
        <w:ind w:firstLine="0"/>
        <w:rPr>
          <w:rFonts w:ascii="Calibri" w:hAnsi="Calibri"/>
          <w:lang w:val="es-MX"/>
        </w:rPr>
      </w:pPr>
      <w:r>
        <w:rPr>
          <w:rStyle w:val="Refdenotaalpie"/>
        </w:rPr>
        <w:footnoteRef/>
      </w:r>
      <w:r>
        <w:t xml:space="preserve"> Omar Everleny Pérez Villanueva. 2011.  </w:t>
      </w:r>
      <w:r>
        <w:rPr>
          <w:i/>
        </w:rPr>
        <w:t>La actualización del modelo económico cubano</w:t>
      </w:r>
      <w:r>
        <w:t xml:space="preserve">. </w:t>
      </w:r>
      <w:r>
        <w:rPr>
          <w:lang w:val="en-US"/>
        </w:rPr>
        <w:t xml:space="preserve">Political Economy Of Change In Cuba. International symposium “Cuba Futures: Past and Present,” organized by the The Cuba Project Bildner Center for Western Hemisphere Studies The Graduate Center/CUNY, March 31–April 2, 2011.  </w:t>
      </w:r>
      <w:r>
        <w:t>Disponible:</w:t>
      </w:r>
      <w:r>
        <w:rPr>
          <w:sz w:val="18"/>
          <w:szCs w:val="18"/>
        </w:rPr>
        <w:t xml:space="preserve"> </w:t>
      </w:r>
      <w:r>
        <w:t xml:space="preserve">   </w:t>
      </w:r>
      <w:hyperlink r:id="rId129" w:history="1">
        <w:r>
          <w:rPr>
            <w:rStyle w:val="Hipervnculo"/>
          </w:rPr>
          <w:t>http://www.cubasymposium.org/PEchangeCubaWEB.pdf</w:t>
        </w:r>
      </w:hyperlink>
      <w:r>
        <w:t xml:space="preserve"> Pag.16</w:t>
      </w:r>
    </w:p>
  </w:footnote>
  <w:footnote w:id="378">
    <w:p w14:paraId="7430BA7D" w14:textId="4C87B8F6" w:rsidR="00172411" w:rsidRPr="00185FCE" w:rsidRDefault="00172411" w:rsidP="00ED0D72">
      <w:pPr>
        <w:pStyle w:val="Textonotapie"/>
        <w:ind w:firstLine="0"/>
      </w:pPr>
      <w:r>
        <w:rPr>
          <w:rStyle w:val="Refdenotaalpie"/>
        </w:rPr>
        <w:footnoteRef/>
      </w:r>
      <w:r>
        <w:t xml:space="preserve">  Danay Quintana Nedelcu. 2016 Los</w:t>
      </w:r>
      <w:r w:rsidRPr="00ED0D72">
        <w:rPr>
          <w:i/>
        </w:rPr>
        <w:t xml:space="preserve"> cambios en la educación superior cubana o la  “invisibilidad” de lo público. Apuntes para un debate.</w:t>
      </w:r>
      <w:r w:rsidRPr="00185FCE">
        <w:t xml:space="preserve"> </w:t>
      </w:r>
      <w:r>
        <w:t xml:space="preserve">La Educación Cubana a Debate. Cuba posible ( Cuaderno 30- 2016) Disponible: </w:t>
      </w:r>
      <w:hyperlink r:id="rId130" w:history="1">
        <w:r>
          <w:rPr>
            <w:rStyle w:val="Hipervnculo"/>
            <w:color w:val="auto"/>
          </w:rPr>
          <w:t>http://revistas.uned.es/index.php/REEC/article/viewFile/17573/15930</w:t>
        </w:r>
      </w:hyperlink>
      <w:r>
        <w:t xml:space="preserve">      Pág. 96 (93)</w:t>
      </w:r>
    </w:p>
  </w:footnote>
  <w:footnote w:id="379">
    <w:p w14:paraId="6DF74DD2" w14:textId="77777777" w:rsidR="00172411" w:rsidRDefault="00172411" w:rsidP="00C03841">
      <w:pPr>
        <w:pStyle w:val="Textonotapie"/>
        <w:spacing w:line="240" w:lineRule="atLeast"/>
        <w:ind w:firstLine="0"/>
        <w:rPr>
          <w:bCs/>
          <w:lang w:val="es-MX"/>
        </w:rPr>
      </w:pPr>
      <w:r>
        <w:rPr>
          <w:bCs/>
          <w:vertAlign w:val="superscript"/>
        </w:rPr>
        <w:footnoteRef/>
      </w:r>
      <w:r>
        <w:rPr>
          <w:bCs/>
          <w:lang w:val="es-MX"/>
        </w:rPr>
        <w:t xml:space="preserve"> Juventud Rebelde.  Septiembre, 2016. </w:t>
      </w:r>
      <w:r>
        <w:rPr>
          <w:bCs/>
          <w:i/>
          <w:lang w:val="es-MX"/>
        </w:rPr>
        <w:t>Becas World Learning: Una propuesta adornada para la subversión en Cuba.</w:t>
      </w:r>
      <w:r>
        <w:rPr>
          <w:bCs/>
          <w:lang w:val="es-MX"/>
        </w:rPr>
        <w:t xml:space="preserve"> Disponible: http://www.juventudrebelde.cu/cuba/2016-09-28/becas-world-learning-una-propuesta-adornada-para-la-subversion-en-cuba/</w:t>
      </w:r>
    </w:p>
  </w:footnote>
  <w:footnote w:id="380">
    <w:p w14:paraId="4371655A" w14:textId="77777777" w:rsidR="00172411" w:rsidRDefault="00172411" w:rsidP="00C03841">
      <w:pPr>
        <w:pStyle w:val="Textonotapie"/>
        <w:spacing w:line="240" w:lineRule="atLeast"/>
        <w:ind w:firstLine="0"/>
        <w:rPr>
          <w:lang w:val="es-MX"/>
        </w:rPr>
      </w:pPr>
      <w:r>
        <w:rPr>
          <w:rStyle w:val="Refdenotaalpie"/>
          <w:szCs w:val="22"/>
        </w:rPr>
        <w:footnoteRef/>
      </w:r>
      <w:r>
        <w:rPr>
          <w:lang w:val="es-MX"/>
        </w:rPr>
        <w:t xml:space="preserve"> Ministerio de Educación (2006). Resolución Ministerial No. 165/06. Reglamento Ramal de la Disciplina del Trabajo en la Actividad Educacional. Gaceta Oficial República. (102). Ordinaria. (1843). Cuba</w:t>
      </w:r>
    </w:p>
  </w:footnote>
  <w:footnote w:id="381">
    <w:p w14:paraId="704A1578" w14:textId="77777777" w:rsidR="00172411" w:rsidRDefault="00172411" w:rsidP="00C03841">
      <w:pPr>
        <w:pStyle w:val="Textonotapie"/>
        <w:spacing w:line="240" w:lineRule="atLeast"/>
        <w:ind w:firstLine="0"/>
        <w:rPr>
          <w:lang w:val="es-MX"/>
        </w:rPr>
      </w:pPr>
      <w:r>
        <w:rPr>
          <w:rStyle w:val="Refdenotaalpie"/>
          <w:sz w:val="22"/>
          <w:szCs w:val="22"/>
        </w:rPr>
        <w:footnoteRef/>
      </w:r>
      <w:r>
        <w:rPr>
          <w:lang w:val="es-MX"/>
        </w:rPr>
        <w:t xml:space="preserve"> Redacción Juventud Rebelde. 2017-01-21. </w:t>
      </w:r>
      <w:r>
        <w:rPr>
          <w:i/>
          <w:lang w:val="es-MX"/>
        </w:rPr>
        <w:t>Retrato del adolescente- cubano.</w:t>
      </w:r>
      <w:r>
        <w:rPr>
          <w:lang w:val="es-MX"/>
        </w:rPr>
        <w:t xml:space="preserve"> Juventud Rebelde .Disponible: </w:t>
      </w:r>
      <w:hyperlink r:id="rId131" w:history="1">
        <w:r>
          <w:rPr>
            <w:rStyle w:val="Hipervnculo"/>
            <w:lang w:val="es-MX"/>
          </w:rPr>
          <w:t>www.juventudrebelde.cu/cuba/2017-01-21/retrato-deladolescente-</w:t>
        </w:r>
      </w:hyperlink>
      <w:r>
        <w:rPr>
          <w:lang w:val="es-MX"/>
        </w:rPr>
        <w:t xml:space="preserve"> cubano/     Solo el 11,2% de los adolescentes cubanos cree que la escuela les enseña lo que necesitan.</w:t>
      </w:r>
    </w:p>
  </w:footnote>
  <w:footnote w:id="382">
    <w:p w14:paraId="1A7811B7" w14:textId="77777777" w:rsidR="00172411" w:rsidRDefault="00172411" w:rsidP="00AF4C45">
      <w:pPr>
        <w:pStyle w:val="Textonotapie"/>
        <w:spacing w:line="276" w:lineRule="auto"/>
        <w:ind w:firstLine="0"/>
        <w:rPr>
          <w:bCs/>
          <w:lang w:val="es-MX"/>
        </w:rPr>
      </w:pPr>
      <w:r>
        <w:rPr>
          <w:rStyle w:val="Refdenotaalpie"/>
          <w:szCs w:val="22"/>
        </w:rPr>
        <w:footnoteRef/>
      </w:r>
      <w:r>
        <w:rPr>
          <w:bCs/>
          <w:lang w:val="es-MX"/>
        </w:rPr>
        <w:t>Redaccion. Agosto, 2017</w:t>
      </w:r>
      <w:r>
        <w:rPr>
          <w:bCs/>
          <w:i/>
          <w:lang w:val="es-MX"/>
        </w:rPr>
        <w:t>. ¡A las aulas el próximo septiembre!</w:t>
      </w:r>
      <w:r>
        <w:rPr>
          <w:bCs/>
          <w:lang w:val="es-MX"/>
        </w:rPr>
        <w:t xml:space="preserve"> Granma. Disponible: </w:t>
      </w:r>
      <w:hyperlink r:id="rId132" w:history="1">
        <w:r>
          <w:rPr>
            <w:rStyle w:val="Hipervnculo"/>
          </w:rPr>
          <w:t>http://www.granma.cu/cuba/2017-08-24/a-las-aulas-el-proximo-septiembre</w:t>
        </w:r>
      </w:hyperlink>
      <w:r>
        <w:rPr>
          <w:bCs/>
          <w:lang w:val="es-MX"/>
        </w:rPr>
        <w:t xml:space="preserve">. </w:t>
      </w:r>
    </w:p>
  </w:footnote>
  <w:footnote w:id="383">
    <w:p w14:paraId="0B4C65B0" w14:textId="77777777" w:rsidR="00172411" w:rsidRDefault="00172411" w:rsidP="00AF4C45">
      <w:pPr>
        <w:pStyle w:val="Textonotapie"/>
        <w:spacing w:line="240" w:lineRule="atLeast"/>
        <w:ind w:firstLine="0"/>
        <w:rPr>
          <w:lang w:val="es-MX"/>
        </w:rPr>
      </w:pPr>
      <w:r>
        <w:rPr>
          <w:rStyle w:val="Refdenotaalpie"/>
          <w:sz w:val="22"/>
          <w:szCs w:val="22"/>
        </w:rPr>
        <w:footnoteRef/>
      </w:r>
      <w:r>
        <w:rPr>
          <w:lang w:val="es-MX"/>
        </w:rPr>
        <w:t xml:space="preserve">Amnistía Internacional. (2017) </w:t>
      </w:r>
      <w:r>
        <w:rPr>
          <w:i/>
          <w:lang w:val="es-MX"/>
        </w:rPr>
        <w:t xml:space="preserve">La paradoja de Internet de Cuba: El control y censura de Internet hacen peligrar logros de Cuba en materia de educación. </w:t>
      </w:r>
      <w:r>
        <w:rPr>
          <w:lang w:val="es-MX"/>
        </w:rPr>
        <w:t>Disponible: https://www.amnesty.org/es/latest/news/2017/08/cubas-internet-paradox-how-controlled-and-censored-internet-risks-cubas-achievements-in-education/</w:t>
      </w:r>
    </w:p>
  </w:footnote>
  <w:footnote w:id="384">
    <w:p w14:paraId="2CC9CA21" w14:textId="77777777" w:rsidR="00172411" w:rsidRDefault="00172411" w:rsidP="009071A2">
      <w:pPr>
        <w:pStyle w:val="Textonotapie"/>
        <w:spacing w:line="240" w:lineRule="atLeast"/>
        <w:ind w:firstLine="0"/>
        <w:rPr>
          <w:bCs/>
          <w:lang w:val="es-MX"/>
        </w:rPr>
      </w:pPr>
      <w:r>
        <w:rPr>
          <w:bCs/>
          <w:sz w:val="22"/>
          <w:szCs w:val="22"/>
          <w:vertAlign w:val="superscript"/>
          <w:lang w:val="es-MX"/>
        </w:rPr>
        <w:footnoteRef/>
      </w:r>
      <w:r>
        <w:rPr>
          <w:bCs/>
          <w:lang w:val="es-MX"/>
        </w:rPr>
        <w:t xml:space="preserve">Mario J. Pentón. 2016. </w:t>
      </w:r>
      <w:r>
        <w:rPr>
          <w:bCs/>
          <w:i/>
          <w:lang w:val="es-MX"/>
        </w:rPr>
        <w:t>Las estadísticas reflejan la grave crisis del sistema educativo cubano.</w:t>
      </w:r>
      <w:r>
        <w:rPr>
          <w:bCs/>
          <w:lang w:val="es-MX"/>
        </w:rPr>
        <w:t xml:space="preserve"> El Nuevo Herald.</w:t>
      </w:r>
      <w:r>
        <w:rPr>
          <w:lang w:val="es-MX"/>
        </w:rPr>
        <w:t xml:space="preserve"> </w:t>
      </w:r>
      <w:r>
        <w:t>Disponible:</w:t>
      </w:r>
      <w:r>
        <w:rPr>
          <w:bCs/>
          <w:lang w:val="es-MX"/>
        </w:rPr>
        <w:t xml:space="preserve"> </w:t>
      </w:r>
      <w:hyperlink r:id="rId133" w:history="1">
        <w:r>
          <w:rPr>
            <w:rStyle w:val="Hipervnculo"/>
            <w:bCs/>
            <w:lang w:val="es-MX"/>
          </w:rPr>
          <w:t>http://www.elnuevoherald.com/noticias/mundo/america-latina/cuba-es/article130034889.html</w:t>
        </w:r>
      </w:hyperlink>
    </w:p>
  </w:footnote>
  <w:footnote w:id="385">
    <w:p w14:paraId="256953B7" w14:textId="77777777" w:rsidR="00172411" w:rsidRDefault="00172411" w:rsidP="00D7365B">
      <w:pPr>
        <w:pStyle w:val="Textonotapie"/>
        <w:spacing w:line="240" w:lineRule="atLeast"/>
        <w:ind w:firstLine="0"/>
        <w:rPr>
          <w:b/>
          <w:bCs/>
          <w:lang w:val="es-MX"/>
        </w:rPr>
      </w:pPr>
      <w:r>
        <w:rPr>
          <w:rStyle w:val="Refdenotaalpie"/>
          <w:szCs w:val="22"/>
        </w:rPr>
        <w:footnoteRef/>
      </w:r>
      <w:r>
        <w:rPr>
          <w:bCs/>
          <w:lang w:val="es-MX"/>
        </w:rPr>
        <w:t xml:space="preserve"> Diario Las Américas. 2017. </w:t>
      </w:r>
      <w:r>
        <w:rPr>
          <w:bCs/>
          <w:i/>
          <w:lang w:val="es-MX"/>
        </w:rPr>
        <w:t>Piden libertad para pastor Rigal y su esposa ante embajada de Cuba en EEUU</w:t>
      </w:r>
      <w:r>
        <w:rPr>
          <w:bCs/>
          <w:lang w:val="es-MX"/>
        </w:rPr>
        <w:t>. Disponible:</w:t>
      </w:r>
    </w:p>
    <w:p w14:paraId="54BD5318" w14:textId="77777777" w:rsidR="00172411" w:rsidRDefault="00172411" w:rsidP="00D7365B">
      <w:pPr>
        <w:pStyle w:val="Textonotapie"/>
        <w:spacing w:line="240" w:lineRule="atLeast"/>
        <w:ind w:firstLine="0"/>
        <w:rPr>
          <w:lang w:val="es-MX"/>
        </w:rPr>
      </w:pPr>
      <w:r>
        <w:rPr>
          <w:lang w:val="es-MX"/>
        </w:rPr>
        <w:t>http://www.diariolasamericas.com/eeuu/piden-libertad-pastor-rigal-y-su-esposa-embajada-cuba-eeuu-n4122199</w:t>
      </w:r>
      <w:r>
        <w:rPr>
          <w:bCs/>
          <w:lang w:val="es-MX"/>
        </w:rPr>
        <w:t xml:space="preserve"> (...) Ambos padres sentenciados a un año de cárcel; Ramón, en un centro de trabajo forzado, y esposa, en prisión domiciliaria.</w:t>
      </w:r>
    </w:p>
  </w:footnote>
  <w:footnote w:id="386">
    <w:p w14:paraId="7E29A1B9" w14:textId="77777777" w:rsidR="00172411" w:rsidRDefault="00172411" w:rsidP="00D7365B">
      <w:pPr>
        <w:pStyle w:val="Textonotapie"/>
        <w:ind w:firstLine="0"/>
        <w:rPr>
          <w:lang w:val="es-ES"/>
        </w:rPr>
      </w:pPr>
      <w:r>
        <w:rPr>
          <w:rStyle w:val="Refdenotaalpie"/>
        </w:rPr>
        <w:footnoteRef/>
      </w:r>
      <w:r>
        <w:t xml:space="preserve"> Reinaldo Emilio Cosano Alén. Noviembre 3, 2014. </w:t>
      </w:r>
      <w:r>
        <w:rPr>
          <w:i/>
        </w:rPr>
        <w:t>Los padres prefieren pagar por el cuidado de sus hijos</w:t>
      </w:r>
      <w:r>
        <w:t xml:space="preserve">. Cubanet.  </w:t>
      </w:r>
      <w:r>
        <w:rPr>
          <w:bCs/>
          <w:lang w:val="es-MX"/>
        </w:rPr>
        <w:t xml:space="preserve">Disponible: </w:t>
      </w:r>
      <w:r>
        <w:t>http://www.cubanet.org/actualidad-destacados/circulos-infantiles-ceden-ante-guarderias-particulares/</w:t>
      </w:r>
    </w:p>
  </w:footnote>
  <w:footnote w:id="387">
    <w:p w14:paraId="65268C63" w14:textId="77777777" w:rsidR="00172411" w:rsidRDefault="00172411" w:rsidP="00C03841">
      <w:pPr>
        <w:pStyle w:val="NormalWeb"/>
        <w:shd w:val="clear" w:color="auto" w:fill="FFFFFF"/>
        <w:spacing w:line="240" w:lineRule="atLeast"/>
        <w:ind w:right="240" w:firstLine="0"/>
        <w:rPr>
          <w:sz w:val="20"/>
          <w:szCs w:val="20"/>
          <w:lang w:val="es-MX"/>
        </w:rPr>
      </w:pPr>
      <w:r>
        <w:rPr>
          <w:rStyle w:val="Refdenotaalpie"/>
          <w:sz w:val="22"/>
          <w:szCs w:val="22"/>
        </w:rPr>
        <w:footnoteRef/>
      </w:r>
      <w:r>
        <w:rPr>
          <w:sz w:val="20"/>
          <w:szCs w:val="20"/>
          <w:lang w:val="es-MX"/>
        </w:rPr>
        <w:t xml:space="preserve"> Diario de Cuba. Agosto de 2017. </w:t>
      </w:r>
      <w:r>
        <w:rPr>
          <w:i/>
          <w:sz w:val="20"/>
          <w:szCs w:val="20"/>
          <w:lang w:val="es-MX"/>
        </w:rPr>
        <w:t>El Gobierno formará a 1.000 graduados de noveno grado para dar clases en secundaria básica.</w:t>
      </w:r>
      <w:r>
        <w:rPr>
          <w:sz w:val="20"/>
          <w:szCs w:val="20"/>
          <w:lang w:val="es-MX"/>
        </w:rPr>
        <w:t xml:space="preserve">  Disponible: </w:t>
      </w:r>
      <w:hyperlink r:id="rId134" w:history="1">
        <w:r>
          <w:rPr>
            <w:rStyle w:val="Hipervnculo"/>
            <w:sz w:val="20"/>
            <w:szCs w:val="20"/>
            <w:lang w:val="es-MX"/>
          </w:rPr>
          <w:t>http://www.diariodecuba.com/cuba/1503664629_33513.html</w:t>
        </w:r>
      </w:hyperlink>
      <w:r>
        <w:rPr>
          <w:sz w:val="20"/>
          <w:szCs w:val="20"/>
          <w:lang w:val="es-MX"/>
        </w:rPr>
        <w:t xml:space="preserve">.  </w:t>
      </w:r>
    </w:p>
  </w:footnote>
  <w:footnote w:id="388">
    <w:p w14:paraId="12E48C1B" w14:textId="77777777" w:rsidR="00172411" w:rsidRDefault="00172411" w:rsidP="00C03841">
      <w:pPr>
        <w:pStyle w:val="Sinespaciado"/>
        <w:spacing w:after="0" w:afterAutospacing="0"/>
        <w:ind w:left="0" w:firstLine="0"/>
        <w:rPr>
          <w:rFonts w:ascii="Times New Roman" w:hAnsi="Times New Roman"/>
          <w:bCs/>
          <w:sz w:val="20"/>
          <w:szCs w:val="20"/>
          <w:lang w:val="es-DO"/>
        </w:rPr>
      </w:pPr>
      <w:r>
        <w:rPr>
          <w:rStyle w:val="Refdenotaalpie"/>
        </w:rPr>
        <w:footnoteRef/>
      </w:r>
      <w:r>
        <w:t xml:space="preserve"> </w:t>
      </w:r>
      <w:r>
        <w:rPr>
          <w:sz w:val="20"/>
          <w:szCs w:val="20"/>
        </w:rPr>
        <w:t>Daniel Benítez. 25 Ago 2014.</w:t>
      </w:r>
      <w:r>
        <w:rPr>
          <w:i/>
          <w:sz w:val="20"/>
          <w:szCs w:val="20"/>
        </w:rPr>
        <w:t>Curso escolar comenzará con déficit de 12 mil profesores… y una jornada de condena a EEUU</w:t>
      </w:r>
      <w:r>
        <w:rPr>
          <w:sz w:val="20"/>
          <w:szCs w:val="20"/>
        </w:rPr>
        <w:t xml:space="preserve">. Café Fuerte. Disponible: </w:t>
      </w:r>
      <w:hyperlink r:id="rId135" w:history="1">
        <w:r>
          <w:rPr>
            <w:rStyle w:val="Hipervnculo"/>
            <w:sz w:val="20"/>
            <w:szCs w:val="20"/>
          </w:rPr>
          <w:t>http://cafefuerte.com/cuba/17263-curso-escolar-comenzara-con-deficit-de-12-mil-profesores-y-una-jornada-de-condena-a-eeuu/</w:t>
        </w:r>
      </w:hyperlink>
      <w:r>
        <w:rPr>
          <w:sz w:val="20"/>
          <w:szCs w:val="20"/>
        </w:rPr>
        <w:t xml:space="preserve">   </w:t>
      </w:r>
      <w:r>
        <w:rPr>
          <w:rFonts w:ascii="Times New Roman" w:hAnsi="Times New Roman"/>
          <w:bCs/>
          <w:sz w:val="20"/>
          <w:szCs w:val="20"/>
          <w:lang w:val="es-DO"/>
        </w:rPr>
        <w:t>El curso escolar 2014-2015 comenzará en Cuba con un déficit de unos 12,000 profesores, un problema ya endémico en el sistema educacional de la isla…</w:t>
      </w:r>
    </w:p>
  </w:footnote>
  <w:footnote w:id="389">
    <w:p w14:paraId="27FF48BD" w14:textId="77777777" w:rsidR="00172411" w:rsidRDefault="00172411" w:rsidP="00C03841">
      <w:pPr>
        <w:pStyle w:val="Textonotapie"/>
        <w:tabs>
          <w:tab w:val="left" w:pos="708"/>
        </w:tabs>
        <w:ind w:firstLine="0"/>
      </w:pPr>
      <w:r>
        <w:rPr>
          <w:rStyle w:val="Refdenotaalpie"/>
          <w:sz w:val="22"/>
          <w:szCs w:val="22"/>
        </w:rPr>
        <w:footnoteRef/>
      </w:r>
      <w:r>
        <w:rPr>
          <w:sz w:val="22"/>
          <w:szCs w:val="22"/>
        </w:rPr>
        <w:t xml:space="preserve"> </w:t>
      </w:r>
      <w:r>
        <w:t xml:space="preserve">Cubadebate.11 octubre 2013. </w:t>
      </w:r>
      <w:r>
        <w:rPr>
          <w:i/>
        </w:rPr>
        <w:t>Más de 1 000 personas tienen licencia como repasadores escolares en Cuba</w:t>
      </w:r>
      <w:r>
        <w:t xml:space="preserve">. Disponible:    </w:t>
      </w:r>
      <w:hyperlink r:id="rId136" w:history="1">
        <w:r>
          <w:rPr>
            <w:rStyle w:val="Hipervnculo"/>
          </w:rPr>
          <w:t>http://www.cubadebate.cu/noticias/2013/10/11/mas-de-1-000-personas-tienen-licencia-como-repasadores-cuba/</w:t>
        </w:r>
      </w:hyperlink>
    </w:p>
  </w:footnote>
  <w:footnote w:id="390">
    <w:p w14:paraId="07963050" w14:textId="77777777" w:rsidR="00172411" w:rsidRDefault="00172411" w:rsidP="00C03841">
      <w:pPr>
        <w:pStyle w:val="Textoindependiente"/>
        <w:spacing w:after="0" w:line="276" w:lineRule="auto"/>
        <w:ind w:firstLine="0"/>
        <w:rPr>
          <w:rFonts w:ascii="Times New Roman" w:hAnsi="Times New Roman" w:cs="Times New Roman"/>
          <w:sz w:val="20"/>
          <w:szCs w:val="20"/>
        </w:rPr>
      </w:pPr>
      <w:r>
        <w:rPr>
          <w:rFonts w:ascii="Times New Roman" w:hAnsi="Times New Roman" w:cs="Times New Roman"/>
          <w:vertAlign w:val="superscript"/>
        </w:rPr>
        <w:footnoteRef/>
      </w:r>
      <w:r>
        <w:rPr>
          <w:rFonts w:ascii="Times New Roman" w:hAnsi="Times New Roman" w:cs="Times New Roman"/>
          <w:sz w:val="20"/>
          <w:szCs w:val="20"/>
        </w:rPr>
        <w:t xml:space="preserve"> Orlando Freire Santana. 30 de noviembre, 2012. </w:t>
      </w:r>
      <w:r>
        <w:rPr>
          <w:rFonts w:ascii="Times New Roman" w:hAnsi="Times New Roman" w:cs="Times New Roman"/>
          <w:i/>
          <w:sz w:val="20"/>
          <w:szCs w:val="20"/>
        </w:rPr>
        <w:t>El repasador, un cuentapropista imprescindible</w:t>
      </w:r>
      <w:r>
        <w:rPr>
          <w:rFonts w:ascii="Times New Roman" w:hAnsi="Times New Roman" w:cs="Times New Roman"/>
          <w:sz w:val="20"/>
          <w:szCs w:val="20"/>
        </w:rPr>
        <w:t xml:space="preserve">. Cubanet. Disponible:   </w:t>
      </w:r>
      <w:hyperlink r:id="rId137" w:history="1">
        <w:r>
          <w:rPr>
            <w:rStyle w:val="Hipervnculo"/>
            <w:rFonts w:ascii="Times New Roman" w:hAnsi="Times New Roman" w:cs="Times New Roman"/>
            <w:sz w:val="20"/>
            <w:szCs w:val="20"/>
          </w:rPr>
          <w:t>https://www.cubanet.org/articulos/el-repasador-un-cuentapropista-imprescindible</w:t>
        </w:r>
        <w:r>
          <w:rPr>
            <w:rStyle w:val="Hipervnculo"/>
          </w:rPr>
          <w:t>/</w:t>
        </w:r>
      </w:hyperlink>
      <w:r>
        <w:rPr>
          <w:lang w:val="es-ES"/>
        </w:rPr>
        <w:t xml:space="preserve">  </w:t>
      </w:r>
      <w:r>
        <w:rPr>
          <w:rFonts w:ascii="Times New Roman" w:hAnsi="Times New Roman" w:cs="Times New Roman"/>
          <w:sz w:val="20"/>
          <w:szCs w:val="20"/>
        </w:rPr>
        <w:t>Contratar a un maestro particular que les repase es casi indispensable para los estudiante cubanos que quieran aprender  (…) los crecientes gastos que deben realizar los padres para que sus hijos hagan las tareas, pasen de grado, o simplemente aprendan de verdad, están dando al traste con  la “gratuidad” de la enseñanza en Cuba…</w:t>
      </w:r>
    </w:p>
  </w:footnote>
  <w:footnote w:id="391">
    <w:p w14:paraId="4D0AEC5D" w14:textId="312C6701" w:rsidR="00172411" w:rsidRDefault="00172411" w:rsidP="002F198C">
      <w:pPr>
        <w:pStyle w:val="Textonotapie"/>
        <w:ind w:firstLine="0"/>
      </w:pPr>
      <w:r>
        <w:rPr>
          <w:rStyle w:val="Refdenotaalpie"/>
        </w:rPr>
        <w:footnoteRef/>
      </w:r>
      <w:r>
        <w:t xml:space="preserve"> Annia Almeyda Vázquez, Laura Bueno González, Kahlia Chávez Cruz y Aileén González Muñoz. Julio 2016.</w:t>
      </w:r>
    </w:p>
    <w:p w14:paraId="0FD72291" w14:textId="52E48C77" w:rsidR="00172411" w:rsidRPr="00037CA8" w:rsidRDefault="00172411" w:rsidP="00037CA8">
      <w:pPr>
        <w:pStyle w:val="Textonotapie"/>
        <w:ind w:firstLine="0"/>
      </w:pPr>
      <w:r w:rsidRPr="00037CA8">
        <w:rPr>
          <w:i/>
        </w:rPr>
        <w:t>Universidad: Sueño de muchos, ¿Posibilidad de todos?</w:t>
      </w:r>
      <w:r>
        <w:t xml:space="preserve"> La Educación Cubana a Debate. Cuba posible ( Cuaderno 30- 2016) </w:t>
      </w:r>
      <w:r w:rsidRPr="00037CA8">
        <w:t xml:space="preserve">Disponible: </w:t>
      </w:r>
      <w:hyperlink r:id="rId138" w:history="1">
        <w:r w:rsidRPr="00037CA8">
          <w:t>http://revistas.uned.es/index.php/REEC/article/viewFile/17573/15930</w:t>
        </w:r>
      </w:hyperlink>
      <w:r w:rsidRPr="00037CA8">
        <w:t xml:space="preserve"> </w:t>
      </w:r>
      <w:r>
        <w:t xml:space="preserve">  Pág. 53(50).</w:t>
      </w:r>
    </w:p>
  </w:footnote>
  <w:footnote w:id="392">
    <w:p w14:paraId="41E63DCE" w14:textId="77777777" w:rsidR="00172411" w:rsidRDefault="00172411" w:rsidP="00EE6EB2">
      <w:pPr>
        <w:pStyle w:val="Textonotapie"/>
        <w:ind w:firstLine="0"/>
      </w:pPr>
      <w:r>
        <w:rPr>
          <w:rStyle w:val="Refdenotaalpie"/>
        </w:rPr>
        <w:footnoteRef/>
      </w:r>
      <w:r>
        <w:t xml:space="preserve"> Juventud Rebelde. 30 marzo 2008. </w:t>
      </w:r>
      <w:r>
        <w:rPr>
          <w:i/>
        </w:rPr>
        <w:t>Repasador por cuenta ¿impropia?</w:t>
      </w:r>
      <w:r>
        <w:t xml:space="preserve"> Disponible: </w:t>
      </w:r>
      <w:hyperlink r:id="rId139" w:history="1">
        <w:r>
          <w:rPr>
            <w:rStyle w:val="Hipervnculo"/>
            <w:sz w:val="18"/>
            <w:szCs w:val="18"/>
          </w:rPr>
          <w:t>http://www.juventudrebelde.cu/cuba/2008-03-30/repasador-por-cuenta-impropia</w:t>
        </w:r>
      </w:hyperlink>
      <w:r>
        <w:rPr>
          <w:sz w:val="18"/>
          <w:szCs w:val="18"/>
        </w:rPr>
        <w:t xml:space="preserve">   JR aborda el tema de los repasadores particulares. Hay padres que lo ven como mal necesario, otros como un lujo que sus hijos no pueden darse… </w:t>
      </w:r>
    </w:p>
  </w:footnote>
  <w:footnote w:id="393">
    <w:p w14:paraId="1E92EB8A" w14:textId="77777777" w:rsidR="00172411" w:rsidRDefault="00172411" w:rsidP="008D18DB">
      <w:pPr>
        <w:pStyle w:val="HTMLconformatoprevio"/>
        <w:shd w:val="clear" w:color="auto" w:fill="FFFFFF"/>
        <w:spacing w:line="240" w:lineRule="atLeast"/>
        <w:ind w:firstLine="0"/>
        <w:rPr>
          <w:rFonts w:ascii="Times New Roman" w:hAnsi="Times New Roman"/>
          <w:lang w:val="es-MX"/>
        </w:rPr>
      </w:pPr>
      <w:r>
        <w:rPr>
          <w:rStyle w:val="Refdenotaalpie"/>
        </w:rPr>
        <w:footnoteRef/>
      </w:r>
      <w:r>
        <w:rPr>
          <w:rFonts w:ascii="Times New Roman" w:hAnsi="Times New Roman"/>
        </w:rPr>
        <w:t xml:space="preserve">Partido Comunista de Cuba (2011) </w:t>
      </w:r>
      <w:r>
        <w:rPr>
          <w:rFonts w:ascii="Times New Roman" w:hAnsi="Times New Roman"/>
          <w:i/>
        </w:rPr>
        <w:t>Lineamientos De La Política Económica Y Social Del Partido Y La Revolución</w:t>
      </w:r>
      <w:r>
        <w:rPr>
          <w:rFonts w:ascii="Times New Roman" w:hAnsi="Times New Roman"/>
        </w:rPr>
        <w:t xml:space="preserve">. Disponible en:  http://www.cubadebate.cu/wp-content/uploads/2011/05/folleto-lineamientos-vi-cong.pdf </w:t>
      </w:r>
    </w:p>
  </w:footnote>
  <w:footnote w:id="394">
    <w:p w14:paraId="2C0EE6A3" w14:textId="77777777" w:rsidR="00172411" w:rsidRDefault="00172411" w:rsidP="00EA24AA">
      <w:pPr>
        <w:spacing w:after="0" w:line="240" w:lineRule="atLeast"/>
      </w:pPr>
      <w:r>
        <w:rPr>
          <w:rFonts w:ascii="Times New Roman" w:hAnsi="Times New Roman"/>
          <w:color w:val="000000"/>
          <w:sz w:val="20"/>
          <w:szCs w:val="20"/>
          <w:vertAlign w:val="superscript"/>
          <w:lang w:eastAsia="es-MX"/>
        </w:rPr>
        <w:footnoteRef/>
      </w:r>
      <w:r>
        <w:rPr>
          <w:rFonts w:ascii="Times New Roman" w:hAnsi="Times New Roman"/>
          <w:color w:val="000000"/>
          <w:sz w:val="20"/>
          <w:szCs w:val="20"/>
          <w:lang w:eastAsia="es-MX"/>
        </w:rPr>
        <w:t>Ministerio de Trabajo y Seguridad Social</w:t>
      </w:r>
      <w:r>
        <w:t>.</w:t>
      </w:r>
      <w:r>
        <w:rPr>
          <w:rFonts w:ascii="Times New Roman" w:hAnsi="Times New Roman"/>
          <w:color w:val="000000"/>
          <w:sz w:val="20"/>
          <w:szCs w:val="20"/>
          <w:lang w:eastAsia="es-MX"/>
        </w:rPr>
        <w:t xml:space="preserve"> Resolución No. 42/2013. Gaceta Oficial No. 027. Extraordinaria de 26 septiembre de 2013. Cuba. (…) POR CUANTO: La Resolución No. 41 de 22 de agosto de 2013, dictada por quien resuelve, establece el Reglamento del Ejercicio del Trabajo por Cuenta Propia y deroga la Resolución No. 33, de 6 de septiembre de 2011 que incluía el listado de estas actividades, siendo necesario disponer la denominación de las actividades que se pueden ejercer como trabajo por cuenta propia, su alcance y las entidades que autorizan su ejercicio (…) Anexo. Denominación, alcance y entidades que autorizan el trabajo por cuenta propia .No.127 Actividad Repasador (excepto a los maestros en activo).Descripción del alcance Ejercita a los estudiantes en las materias que se imparten en sistema nacional de educación de cualquier nivel y prepara para el ingreso a cursos superiores. </w:t>
      </w:r>
      <w:r>
        <w:rPr>
          <w:rFonts w:ascii="Times New Roman" w:hAnsi="Times New Roman"/>
          <w:b/>
          <w:color w:val="000000"/>
          <w:sz w:val="20"/>
          <w:szCs w:val="20"/>
          <w:lang w:eastAsia="es-MX"/>
        </w:rPr>
        <w:t>Nota aclaratoria de ACDEI</w:t>
      </w:r>
      <w:r>
        <w:rPr>
          <w:rFonts w:ascii="Times New Roman" w:hAnsi="Times New Roman"/>
          <w:color w:val="000000"/>
          <w:sz w:val="20"/>
          <w:szCs w:val="20"/>
          <w:lang w:eastAsia="es-MX"/>
        </w:rPr>
        <w:t>: La Resolución No. 42/2013 dispone la clasificación por la licencia de empleo que otorga el Ministerio de Trabajo y Seguridad Social. Atribuye a la Dirección de Trabajo en cada municipio la potestad para autorizar este ejercicio, el cual exceptúa a los profesores en activo para el otorgamiento de las licencias. como repasador escolar</w:t>
      </w:r>
      <w:r>
        <w:t>.</w:t>
      </w:r>
    </w:p>
  </w:footnote>
  <w:footnote w:id="395">
    <w:p w14:paraId="09B8BBD0" w14:textId="18A5CBB6" w:rsidR="00172411" w:rsidRDefault="00172411" w:rsidP="004A1144">
      <w:pPr>
        <w:pStyle w:val="Textonotapie"/>
        <w:tabs>
          <w:tab w:val="left" w:pos="708"/>
        </w:tabs>
        <w:ind w:firstLine="0"/>
      </w:pPr>
      <w:r>
        <w:rPr>
          <w:rStyle w:val="Refdenotaalpie"/>
        </w:rPr>
        <w:footnoteRef/>
      </w:r>
      <w:r>
        <w:t xml:space="preserve"> </w:t>
      </w:r>
      <w:r w:rsidRPr="00E72587">
        <w:t xml:space="preserve">Rosa García Chediak. </w:t>
      </w:r>
      <w:r w:rsidRPr="00553BA8">
        <w:rPr>
          <w:i/>
        </w:rPr>
        <w:t>Desigualdades en el acceso a la Educación Superior en función de los ingresos familiares</w:t>
      </w:r>
      <w:r>
        <w:t>. Cuba posible (Cuaderno No.30- 2016) Disponible:</w:t>
      </w:r>
      <w:r w:rsidRPr="004A1144">
        <w:t xml:space="preserve"> </w:t>
      </w:r>
      <w:r>
        <w:t xml:space="preserve">http://revistas.uned.es/index.php/REEC/article/viewFile/17573/15930                  Pág. 61(58) Adicionalmente, las bases de datos que dispone el Centro de Estudios para el Perfeccionamiento de la Educación Superior (CEPES) basadas en los formularios de matrícula, tampoco son de acceso público, sin tener certeza sobre su carácter clasificado o no. El CEPES –que no es una consultoría  privada sino un centro de titularidad pública- debería tener entre sus principales tareas no solo difundir análisis sobre la base de esta información, sino en primer lugar optimizar dicha base de datos y </w:t>
      </w:r>
      <w:bookmarkStart w:id="126" w:name="OLE_LINK52"/>
      <w:bookmarkStart w:id="127" w:name="OLE_LINK53"/>
      <w:r>
        <w:t>ponerla a disposición de los investigadores de cualquier procedencia, protegiendo de</w:t>
      </w:r>
    </w:p>
    <w:p w14:paraId="7EC55A0B" w14:textId="03FA576F" w:rsidR="00172411" w:rsidRDefault="00172411" w:rsidP="00257AF3">
      <w:pPr>
        <w:pStyle w:val="Textonotapie"/>
        <w:tabs>
          <w:tab w:val="left" w:pos="708"/>
        </w:tabs>
        <w:ind w:firstLine="0"/>
      </w:pPr>
      <w:r>
        <w:t>forma adecuada los datos de carácter personal</w:t>
      </w:r>
      <w:bookmarkEnd w:id="126"/>
      <w:bookmarkEnd w:id="127"/>
      <w:r>
        <w:t>…</w:t>
      </w:r>
    </w:p>
  </w:footnote>
  <w:footnote w:id="396">
    <w:p w14:paraId="2AAAF716" w14:textId="77777777" w:rsidR="00172411" w:rsidRDefault="00172411" w:rsidP="00C03841">
      <w:pPr>
        <w:pStyle w:val="Textonotapie"/>
        <w:ind w:firstLine="0"/>
        <w:rPr>
          <w:lang w:val="es-ES"/>
        </w:rPr>
      </w:pPr>
      <w:r>
        <w:rPr>
          <w:rStyle w:val="Refdenotaalpie"/>
          <w:sz w:val="22"/>
          <w:szCs w:val="22"/>
        </w:rPr>
        <w:footnoteRef/>
      </w:r>
      <w:r>
        <w:rPr>
          <w:lang w:val="es-ES"/>
        </w:rPr>
        <w:t xml:space="preserve"> </w:t>
      </w:r>
      <w:r>
        <w:rPr>
          <w:color w:val="000000"/>
          <w:lang w:val="es-ES" w:eastAsia="es-MX"/>
        </w:rPr>
        <w:t xml:space="preserve">Maricelys Manzano García. </w:t>
      </w:r>
      <w:r>
        <w:rPr>
          <w:color w:val="000000"/>
          <w:lang w:eastAsia="es-MX"/>
        </w:rPr>
        <w:t xml:space="preserve">Universidad de Oriente. Santiago de Cuba-Cuba.2012. </w:t>
      </w:r>
      <w:r>
        <w:rPr>
          <w:i/>
          <w:color w:val="000000"/>
          <w:lang w:eastAsia="es-MX"/>
        </w:rPr>
        <w:t>Identidad Racial: Un Problema Social En Nuestros Días.</w:t>
      </w:r>
      <w:r>
        <w:rPr>
          <w:color w:val="000000"/>
          <w:lang w:eastAsia="es-MX"/>
        </w:rPr>
        <w:t xml:space="preserve"> Límite. Revista de Filosofía y Psicología ISSN 0718-1361 Versión impresa. Volumen 7, Nº 26, 2012, pp. 107-119 Versión en línea. Pag.114. Disponible:   </w:t>
      </w:r>
      <w:hyperlink r:id="rId140" w:history="1">
        <w:r>
          <w:rPr>
            <w:rStyle w:val="Hipervnculo"/>
            <w:color w:val="000000"/>
            <w:lang w:eastAsia="es-MX"/>
          </w:rPr>
          <w:t>http://www.redalyc.org/articulo.oa?id=83625847007</w:t>
        </w:r>
      </w:hyperlink>
    </w:p>
  </w:footnote>
  <w:footnote w:id="397">
    <w:p w14:paraId="6252DCFE" w14:textId="77777777" w:rsidR="00172411" w:rsidRDefault="00172411" w:rsidP="00C03841">
      <w:pPr>
        <w:pStyle w:val="Textoindependiente"/>
        <w:spacing w:after="0" w:line="240" w:lineRule="atLeast"/>
        <w:ind w:firstLine="0"/>
        <w:rPr>
          <w:rFonts w:ascii="Times New Roman" w:hAnsi="Times New Roman" w:cs="Times New Roman"/>
          <w:sz w:val="20"/>
          <w:szCs w:val="20"/>
          <w:lang w:val="es-ES"/>
        </w:rPr>
      </w:pPr>
      <w:r>
        <w:rPr>
          <w:rStyle w:val="Refdenotaalpie"/>
        </w:rPr>
        <w:footnoteRef/>
      </w:r>
      <w:r>
        <w:t xml:space="preserve"> </w:t>
      </w:r>
      <w:r>
        <w:rPr>
          <w:rFonts w:ascii="Times New Roman" w:hAnsi="Times New Roman" w:cs="Times New Roman"/>
          <w:sz w:val="20"/>
          <w:szCs w:val="20"/>
          <w:lang w:val="es-MX"/>
        </w:rPr>
        <w:t>Yulexis Almeida Junco. (Universidad de La Habana-Cuba-) 2016</w:t>
      </w:r>
      <w:r>
        <w:rPr>
          <w:rFonts w:ascii="Times New Roman" w:hAnsi="Times New Roman" w:cs="Times New Roman"/>
          <w:i/>
          <w:sz w:val="20"/>
          <w:szCs w:val="20"/>
          <w:lang w:val="es-MX"/>
        </w:rPr>
        <w:t xml:space="preserve">. El acceso a la educación superior en Cuba. Breve reflexión desde la perspectiva racial. Mesa Innovación1. </w:t>
      </w:r>
      <w:r>
        <w:rPr>
          <w:rFonts w:ascii="Times New Roman" w:hAnsi="Times New Roman" w:cs="Times New Roman"/>
          <w:sz w:val="18"/>
          <w:szCs w:val="18"/>
          <w:lang w:val="es-MX"/>
        </w:rPr>
        <w:t>Disponible:</w:t>
      </w:r>
      <w:hyperlink r:id="rId141" w:history="1">
        <w:r>
          <w:rPr>
            <w:rStyle w:val="Hipervnculo"/>
            <w:rFonts w:ascii="Times New Roman" w:hAnsi="Times New Roman"/>
            <w:bCs/>
            <w:sz w:val="18"/>
            <w:szCs w:val="18"/>
            <w:lang w:val="es-MX"/>
          </w:rPr>
          <w:t>www.seeci.net/cuiciid2016/PDFs/INNOV%201%20Unida.pdf</w:t>
        </w:r>
      </w:hyperlink>
      <w:r>
        <w:rPr>
          <w:rStyle w:val="Quotation"/>
          <w:rFonts w:ascii="Times New Roman" w:hAnsi="Times New Roman"/>
          <w:sz w:val="20"/>
          <w:lang w:val="es-ES"/>
        </w:rPr>
        <w:t xml:space="preserve">  Pág. 1 a 15</w:t>
      </w:r>
    </w:p>
  </w:footnote>
  <w:footnote w:id="398">
    <w:p w14:paraId="1FF4EB8B" w14:textId="77777777" w:rsidR="00172411" w:rsidRDefault="00172411" w:rsidP="00C03841">
      <w:pPr>
        <w:pStyle w:val="Textonotapie"/>
        <w:tabs>
          <w:tab w:val="left" w:pos="708"/>
        </w:tabs>
        <w:ind w:firstLine="0"/>
        <w:rPr>
          <w:lang w:val="es-ES"/>
        </w:rPr>
      </w:pPr>
      <w:r>
        <w:rPr>
          <w:rStyle w:val="Refdenotaalpie"/>
        </w:rPr>
        <w:footnoteRef/>
      </w:r>
      <w:r>
        <w:t xml:space="preserve"> Dominguez, M. D. (2011). </w:t>
      </w:r>
      <w:r>
        <w:rPr>
          <w:i/>
        </w:rPr>
        <w:t>Investigaciones sobre generaciones y juventud (1986-actualidad)</w:t>
      </w:r>
      <w:r>
        <w:t xml:space="preserve">: Centro de Investigaciones Psicolìgicas y Sociales (CIPS). Recuperado el 24 de abril de 2012. </w:t>
      </w:r>
      <w:r>
        <w:rPr>
          <w:lang w:val="es-MX"/>
        </w:rPr>
        <w:t>Disponible:</w:t>
      </w:r>
      <w:r>
        <w:t>http://www.cips.cu/index.php/resultados-investigaciones-generaciones-y-juventud</w:t>
      </w:r>
    </w:p>
  </w:footnote>
  <w:footnote w:id="399">
    <w:p w14:paraId="56854D2F" w14:textId="23DA8933" w:rsidR="00172411" w:rsidRDefault="00172411" w:rsidP="00C03841">
      <w:pPr>
        <w:pStyle w:val="Textonotapie"/>
        <w:ind w:firstLine="0"/>
      </w:pPr>
      <w:r>
        <w:rPr>
          <w:rStyle w:val="Refdenotaalpie"/>
        </w:rPr>
        <w:footnoteRef/>
      </w:r>
      <w:r>
        <w:t xml:space="preserve"> Susana Gomes et al (17 diciembre 2014) </w:t>
      </w:r>
      <w:r>
        <w:rPr>
          <w:i/>
        </w:rPr>
        <w:t>Sin economía no hay país</w:t>
      </w:r>
      <w:r>
        <w:t>. Juventud Rebelde. Pág. 5. Edición Impresa. Cuba Asamblea Nacional Poder Popular (16 al 19 Diciembre, 2014) IV Periodo Ordinario de Sesiones correspondiente a la Octava Legislatura .Palacio de Convenciones. Cuba(…)  en el primer  debate de la Comisión permanente de Atención a la niñez, la juventud y la Igualdad de la Mujer, se intercambiaron ideas en torno a disímiles problemas encontrados al visitar las instituciones infantiles precitadas: inestabilidad del claustro docente, insuficiente estipendio asignado para los adolescentes sin amparo filial y de escuelas de conductas cuando necesitan participar en actividades extracurriculares, carencias de viviendas de los jóvenes sin amparo filial  y comisores de delitos al superar los 18 años, inconformidad con las sanciones impuestas a las familias de estos menores, etc. (…)</w:t>
      </w:r>
    </w:p>
  </w:footnote>
  <w:footnote w:id="400">
    <w:p w14:paraId="52EED632" w14:textId="77777777" w:rsidR="00172411" w:rsidRDefault="00172411" w:rsidP="00C03841">
      <w:pPr>
        <w:pStyle w:val="Textonotapie"/>
        <w:tabs>
          <w:tab w:val="left" w:pos="708"/>
        </w:tabs>
        <w:spacing w:line="240" w:lineRule="atLeast"/>
        <w:ind w:firstLine="0"/>
        <w:rPr>
          <w:rFonts w:ascii="Arial" w:hAnsi="Arial" w:cs="Arial"/>
          <w:sz w:val="22"/>
          <w:szCs w:val="22"/>
        </w:rPr>
      </w:pPr>
      <w:r>
        <w:rPr>
          <w:rStyle w:val="Refdenotaalpie"/>
          <w:rFonts w:ascii="Arial" w:hAnsi="Arial" w:cs="Arial"/>
          <w:sz w:val="22"/>
          <w:szCs w:val="22"/>
        </w:rPr>
        <w:footnoteRef/>
      </w:r>
      <w:r w:rsidRPr="00A53682">
        <w:rPr>
          <w:lang w:val="es-ES"/>
        </w:rPr>
        <w:t xml:space="preserve">UPR Info’s Database. October 2014. Action category. </w:t>
      </w:r>
      <w:r>
        <w:rPr>
          <w:lang w:val="es-MX"/>
        </w:rPr>
        <w:t>Categoría 2. Enfatiza la continuidad de las acciones generales Available: https://www.upr-info.org/database/files/Database_Action_Category.pdf</w:t>
      </w:r>
    </w:p>
  </w:footnote>
  <w:footnote w:id="401">
    <w:p w14:paraId="02FDBBDC" w14:textId="77777777" w:rsidR="00172411" w:rsidRDefault="00172411" w:rsidP="007D3599">
      <w:pPr>
        <w:pStyle w:val="Textonotapie"/>
        <w:spacing w:line="240" w:lineRule="atLeast"/>
        <w:ind w:firstLine="0"/>
        <w:rPr>
          <w:lang w:val="en-US"/>
        </w:rPr>
      </w:pPr>
      <w:r>
        <w:rPr>
          <w:rStyle w:val="Refdenotaalpie"/>
        </w:rPr>
        <w:footnoteRef/>
      </w:r>
      <w:r>
        <w:rPr>
          <w:lang w:val="en-US"/>
        </w:rPr>
        <w:t xml:space="preserve">  Roberto Zurbano. March 23, 2013. </w:t>
      </w:r>
      <w:r>
        <w:rPr>
          <w:i/>
          <w:lang w:val="en-US"/>
        </w:rPr>
        <w:t>For Blacks in Cuba, the Revolution Hasn’t Begun.</w:t>
      </w:r>
      <w:r>
        <w:rPr>
          <w:lang w:val="en-US"/>
        </w:rPr>
        <w:t xml:space="preserve"> Available: </w:t>
      </w:r>
      <w:hyperlink r:id="rId142" w:history="1">
        <w:r>
          <w:rPr>
            <w:rStyle w:val="Hipervnculo"/>
            <w:lang w:val="en-US"/>
          </w:rPr>
          <w:t>http://www.nytimes.com/2013/03/24/opinion/sunday/for-blacks-in-cubathe-revolution-hasnt-begun.html</w:t>
        </w:r>
      </w:hyperlink>
      <w:r>
        <w:rPr>
          <w:rStyle w:val="Hipervnculo"/>
          <w:lang w:val="en-US"/>
        </w:rPr>
        <w:t xml:space="preserve">  (</w:t>
      </w:r>
      <w:r>
        <w:rPr>
          <w:lang w:val="en-US"/>
        </w:rPr>
        <w:t>…) To question the extent of racial progress was tantamount to a counterrevolutionary act. This made it almost impossible to point out the obvious: racism is alive and well…</w:t>
      </w:r>
    </w:p>
  </w:footnote>
  <w:footnote w:id="402">
    <w:p w14:paraId="2B2B4DBF" w14:textId="77777777" w:rsidR="00172411" w:rsidRDefault="00172411" w:rsidP="00901531">
      <w:pPr>
        <w:pStyle w:val="Textonotapie"/>
        <w:spacing w:line="240" w:lineRule="atLeast"/>
        <w:ind w:firstLine="0"/>
        <w:rPr>
          <w:lang w:val="es-ES"/>
        </w:rPr>
      </w:pPr>
      <w:r>
        <w:rPr>
          <w:rStyle w:val="Refdenotaalpie"/>
        </w:rPr>
        <w:footnoteRef/>
      </w:r>
      <w:r>
        <w:t xml:space="preserve"> </w:t>
      </w:r>
      <w:r>
        <w:rPr>
          <w:lang w:val="es-ES"/>
        </w:rPr>
        <w:t xml:space="preserve">Patricia Grogg. Julio 10, 2014. </w:t>
      </w:r>
      <w:r>
        <w:rPr>
          <w:i/>
          <w:lang w:val="es-ES"/>
        </w:rPr>
        <w:t>El tema racial sigue como asignatura pendiente</w:t>
      </w:r>
      <w:r>
        <w:rPr>
          <w:lang w:val="es-ES"/>
        </w:rPr>
        <w:t xml:space="preserve">. IPS Cuba Disponible: http://www.ipscuba.net/genero/     Entrevista con Esteban Morales, economista, politólogo, ensayista e investigador del Centro de Estudios Hemisféricos y sobre Estados Unidos (CEHSEU)), adscrito a la Universidad de La Habana.       </w:t>
      </w:r>
    </w:p>
    <w:p w14:paraId="37526258" w14:textId="77777777" w:rsidR="00172411" w:rsidRDefault="00172411" w:rsidP="00901531">
      <w:pPr>
        <w:pStyle w:val="Textonotapie"/>
        <w:spacing w:line="240" w:lineRule="atLeast"/>
        <w:ind w:firstLine="0"/>
        <w:rPr>
          <w:lang w:val="es-ES"/>
        </w:rPr>
      </w:pPr>
      <w:r>
        <w:rPr>
          <w:lang w:val="es-ES"/>
        </w:rPr>
        <w:t>Sí, usted ha aclarado en más de una ocasión,  que en Cuba el fenómeno del racismo no es institucional,  pero también ha dicho que en este país se educa a las personas “para ser blancas”. ¿Cómo explica esa contradicción?  ¿Cree justo considerar este tipo de contradicciones, una forma “institucionalizada” de racismo? Sí, es una cierta forma institucionalizada, pero no por directiva política consciente, sino derivada de fallas y errores en el proceso educacional.  Entre otros, porque en la educación no se menciona el color, y hay muchas deficiencias en la enseñanza de la historia (falta mucho el estudio de África, Asia y Medio Oriente), falta aún mucha representatividad racial en nuestros libros de texto y en nuestra bibliografía en general, sobre todo en los libros de historia…</w:t>
      </w:r>
    </w:p>
  </w:footnote>
  <w:footnote w:id="403">
    <w:p w14:paraId="6BAAA330" w14:textId="77777777" w:rsidR="00172411" w:rsidRDefault="00172411" w:rsidP="003B6987">
      <w:pPr>
        <w:pStyle w:val="Textonotapie"/>
        <w:spacing w:line="240" w:lineRule="atLeast"/>
        <w:ind w:firstLine="0"/>
      </w:pPr>
      <w:r>
        <w:rPr>
          <w:rStyle w:val="Refdenotaalpie"/>
          <w:sz w:val="22"/>
          <w:szCs w:val="22"/>
        </w:rPr>
        <w:footnoteRef/>
      </w:r>
      <w:r>
        <w:rPr>
          <w:sz w:val="22"/>
          <w:szCs w:val="22"/>
        </w:rPr>
        <w:t xml:space="preserve"> </w:t>
      </w:r>
      <w:r>
        <w:t xml:space="preserve">Sandra Morales Fundora. 2001. </w:t>
      </w:r>
      <w:r>
        <w:rPr>
          <w:i/>
        </w:rPr>
        <w:t>El Negro y Su Representación Social (Aproximación a la estructura social cubana actual)</w:t>
      </w:r>
      <w:r>
        <w:t>. Sociología. Editorial de Ciencias Sociales, La Habana, 2001. Pag.39</w:t>
      </w:r>
    </w:p>
  </w:footnote>
  <w:footnote w:id="404">
    <w:p w14:paraId="0C436A24" w14:textId="77777777" w:rsidR="00172411" w:rsidRDefault="00172411" w:rsidP="003B6987">
      <w:pPr>
        <w:pStyle w:val="Textonotapie"/>
        <w:spacing w:line="240" w:lineRule="atLeast"/>
        <w:ind w:firstLine="0"/>
      </w:pPr>
      <w:r>
        <w:rPr>
          <w:sz w:val="22"/>
          <w:szCs w:val="22"/>
          <w:vertAlign w:val="superscript"/>
        </w:rPr>
        <w:footnoteRef/>
      </w:r>
      <w:r>
        <w:rPr>
          <w:sz w:val="22"/>
          <w:szCs w:val="22"/>
          <w:vertAlign w:val="superscript"/>
        </w:rPr>
        <w:t xml:space="preserve"> </w:t>
      </w:r>
      <w:r>
        <w:t xml:space="preserve">Rodrigo Espina y Pablo Rodríguez Ruíz. Centro de Antropología de la Universidad de La Habana. Revista Temas. </w:t>
      </w:r>
      <w:r>
        <w:rPr>
          <w:i/>
        </w:rPr>
        <w:t>Raza, Desigualdad en Cuba</w:t>
      </w:r>
      <w:r>
        <w:t>. Disponible en:  http://afrocubaweb.com/News/Cuba/RazaDesigualdad_Rodrigo.pdf</w:t>
      </w:r>
    </w:p>
  </w:footnote>
  <w:footnote w:id="405">
    <w:p w14:paraId="54E8948E" w14:textId="77777777" w:rsidR="00172411" w:rsidRDefault="00172411" w:rsidP="007D3599">
      <w:pPr>
        <w:pStyle w:val="Textonotapie"/>
        <w:spacing w:line="240" w:lineRule="atLeast"/>
        <w:ind w:firstLine="0"/>
      </w:pPr>
      <w:r>
        <w:rPr>
          <w:rStyle w:val="Refdenotaalpie"/>
        </w:rPr>
        <w:footnoteRef/>
      </w:r>
      <w:r>
        <w:t xml:space="preserve"> Luisa Íñiguez (Coord.), Edgar Figueroa y Janet Rojas. La Habana, 2017. </w:t>
      </w:r>
      <w:r>
        <w:rPr>
          <w:i/>
        </w:rPr>
        <w:t>Atlas de la infancia y la adolescencia en Cuba.</w:t>
      </w:r>
      <w:r>
        <w:t xml:space="preserve"> </w:t>
      </w:r>
      <w:r>
        <w:rPr>
          <w:i/>
        </w:rPr>
        <w:t>Análisis a partir del Censo de Población y Viviendas 2012</w:t>
      </w:r>
      <w:r>
        <w:t xml:space="preserve">.  Editorial UH. Cuba.  Disponible:   </w:t>
      </w:r>
      <w:hyperlink r:id="rId143" w:history="1">
        <w:r>
          <w:rPr>
            <w:rStyle w:val="Hipervnculo"/>
          </w:rPr>
          <w:t>https://www.unicef.org/lac/Atlas_de_la_infancia_y_la_adolescencia_en_CubaLR4(1).pdf</w:t>
        </w:r>
      </w:hyperlink>
      <w:r>
        <w:t xml:space="preserve"> Pag.24. (…) En el 24 % de los municipios del país residía poco más de la mitad de la población de 0 a 17 años, lo cual muestra que existe</w:t>
      </w:r>
    </w:p>
    <w:p w14:paraId="7997E14D" w14:textId="77777777" w:rsidR="00172411" w:rsidRDefault="00172411" w:rsidP="007D3599">
      <w:pPr>
        <w:pStyle w:val="Textonotapie"/>
        <w:spacing w:line="240" w:lineRule="atLeast"/>
        <w:ind w:firstLine="0"/>
        <w:rPr>
          <w:lang w:val="es-MX"/>
        </w:rPr>
      </w:pPr>
      <w:r>
        <w:t xml:space="preserve">una elevada concentración territorial (…) concentrados en la parte oriental, los niños y adolescentes superan el 25 % de la población total... </w:t>
      </w:r>
      <w:r>
        <w:rPr>
          <w:lang w:val="es-MX"/>
        </w:rPr>
        <w:t>Pag.27. Cuadro 1. Pag.52 (...) en el caso de las 3 provincias de la parte sur oriental del país, con predominio de población mestiza o mulata…</w:t>
      </w:r>
    </w:p>
  </w:footnote>
  <w:footnote w:id="406">
    <w:p w14:paraId="52AB3F62" w14:textId="77777777" w:rsidR="00172411" w:rsidRDefault="00172411" w:rsidP="007D3599">
      <w:pPr>
        <w:pStyle w:val="Sinespaciado"/>
        <w:spacing w:after="0" w:afterAutospacing="0" w:line="240" w:lineRule="atLeast"/>
        <w:ind w:left="0" w:firstLine="0"/>
        <w:rPr>
          <w:lang w:val="es-DO"/>
        </w:rPr>
      </w:pPr>
      <w:r>
        <w:rPr>
          <w:rStyle w:val="Refdenotaalpie"/>
        </w:rPr>
        <w:footnoteRef/>
      </w:r>
      <w:r>
        <w:t xml:space="preserve"> </w:t>
      </w:r>
      <w:r>
        <w:rPr>
          <w:rFonts w:ascii="Times New Roman" w:eastAsia="STKaiti" w:hAnsi="Times New Roman"/>
          <w:sz w:val="20"/>
          <w:szCs w:val="20"/>
          <w:lang w:val="es-US" w:eastAsia="es-US"/>
        </w:rPr>
        <w:t>Redacción. Santiago de Cuba. 26 agosto 2014.</w:t>
      </w:r>
      <w:r>
        <w:rPr>
          <w:rFonts w:ascii="Times New Roman" w:eastAsia="STKaiti" w:hAnsi="Times New Roman"/>
          <w:i/>
          <w:sz w:val="20"/>
          <w:szCs w:val="20"/>
          <w:lang w:val="es-US" w:eastAsia="es-US"/>
        </w:rPr>
        <w:t>Temblor de 4,2 grados sacude la región sur-oriental del país.</w:t>
      </w:r>
      <w:r>
        <w:rPr>
          <w:rFonts w:ascii="Times New Roman" w:eastAsia="STKaiti" w:hAnsi="Times New Roman"/>
          <w:sz w:val="20"/>
          <w:szCs w:val="20"/>
          <w:lang w:val="es-US" w:eastAsia="es-US"/>
        </w:rPr>
        <w:t xml:space="preserve"> Diario de Cuba. Disponible: </w:t>
      </w:r>
      <w:hyperlink r:id="rId144" w:history="1">
        <w:r>
          <w:rPr>
            <w:rStyle w:val="Hipervnculo"/>
            <w:rFonts w:ascii="Times New Roman" w:eastAsia="STKaiti" w:hAnsi="Times New Roman"/>
            <w:color w:val="auto"/>
            <w:sz w:val="20"/>
            <w:szCs w:val="20"/>
            <w:lang w:val="es-US" w:eastAsia="es-US"/>
          </w:rPr>
          <w:t>http://www.diariodecuba.com/cuba/1409039786_10124.html</w:t>
        </w:r>
      </w:hyperlink>
      <w:r>
        <w:rPr>
          <w:rFonts w:ascii="Times New Roman" w:eastAsia="STKaiti" w:hAnsi="Times New Roman"/>
          <w:sz w:val="20"/>
          <w:szCs w:val="20"/>
          <w:lang w:val="es-US" w:eastAsia="es-US"/>
        </w:rPr>
        <w:t xml:space="preserve"> Un sismo de 4,2 grados en la escala de Richter sacudió el lunes en la noche toda la provincia de Santiago de Cuba y algunos municipios de las </w:t>
      </w:r>
      <w:r>
        <w:rPr>
          <w:rFonts w:ascii="Times New Roman" w:hAnsi="Times New Roman"/>
          <w:sz w:val="20"/>
          <w:szCs w:val="20"/>
        </w:rPr>
        <w:t>provincias</w:t>
      </w:r>
      <w:r>
        <w:rPr>
          <w:rFonts w:ascii="Times New Roman" w:eastAsia="STKaiti" w:hAnsi="Times New Roman"/>
          <w:sz w:val="20"/>
          <w:szCs w:val="20"/>
          <w:lang w:val="es-US" w:eastAsia="es-US"/>
        </w:rPr>
        <w:t xml:space="preserve"> Granma y Guantánamo (…) Desde el 1 de enero hay 16 sismos registrado en la Isla, sobre todo en zonas centro y oriente del país</w:t>
      </w:r>
      <w:r>
        <w:rPr>
          <w:lang w:val="es-DO"/>
        </w:rPr>
        <w:t>.</w:t>
      </w:r>
    </w:p>
  </w:footnote>
  <w:footnote w:id="407">
    <w:p w14:paraId="0EAB688C" w14:textId="77777777" w:rsidR="00172411" w:rsidRPr="0001236E" w:rsidRDefault="00172411" w:rsidP="007D3599">
      <w:pPr>
        <w:pStyle w:val="Textonotapie"/>
        <w:ind w:firstLine="0"/>
        <w:rPr>
          <w:lang w:val="en-US"/>
        </w:rPr>
      </w:pPr>
      <w:r>
        <w:rPr>
          <w:rStyle w:val="Refdenotaalpie"/>
        </w:rPr>
        <w:footnoteRef/>
      </w:r>
      <w:r>
        <w:rPr>
          <w:lang w:val="es-ES"/>
        </w:rPr>
        <w:t xml:space="preserve"> Ivet González. Bayamo, Cuba, Jan 14 2015. </w:t>
      </w:r>
      <w:r>
        <w:rPr>
          <w:i/>
          <w:lang w:val="en-US"/>
        </w:rPr>
        <w:t>Anemia in Eastern Cuba Reflects Inequality</w:t>
      </w:r>
      <w:r>
        <w:rPr>
          <w:lang w:val="en-US"/>
        </w:rPr>
        <w:t xml:space="preserve">. IPS </w:t>
      </w:r>
      <w:hyperlink r:id="rId145" w:history="1">
        <w:r>
          <w:rPr>
            <w:rStyle w:val="Hipervnculo"/>
            <w:lang w:val="en-US"/>
          </w:rPr>
          <w:t>http://www.ipsnews.net/2015/01/anemia-in-east</w:t>
        </w:r>
      </w:hyperlink>
      <w:r>
        <w:rPr>
          <w:lang w:val="en-US"/>
        </w:rPr>
        <w:t xml:space="preserve">... Cuba has met the United Nations goal of reducing hunger. But anemia caused by malnutrition is still a problem among infants, small children and pregnant women in this Caribbean island nation, which has been in the grip of an economic crisis for over two decades… </w:t>
      </w:r>
      <w:r w:rsidRPr="0001236E">
        <w:rPr>
          <w:lang w:val="en-US"/>
        </w:rPr>
        <w:t xml:space="preserve">Nota de ACDEI: Consult mics-surveys -Cuba 2014                         </w:t>
      </w:r>
    </w:p>
  </w:footnote>
  <w:footnote w:id="408">
    <w:p w14:paraId="57962935" w14:textId="77777777" w:rsidR="00172411" w:rsidRDefault="00172411" w:rsidP="002D7995">
      <w:pPr>
        <w:pStyle w:val="Textonotapie"/>
        <w:tabs>
          <w:tab w:val="left" w:pos="2268"/>
        </w:tabs>
        <w:spacing w:line="240" w:lineRule="atLeast"/>
        <w:ind w:firstLine="0"/>
      </w:pPr>
      <w:r>
        <w:rPr>
          <w:sz w:val="22"/>
          <w:szCs w:val="22"/>
          <w:vertAlign w:val="superscript"/>
        </w:rPr>
        <w:footnoteRef/>
      </w:r>
      <w:r>
        <w:t xml:space="preserve"> Augusto César San Martín. 23 de junio, 2016 </w:t>
      </w:r>
      <w:r>
        <w:rPr>
          <w:i/>
        </w:rPr>
        <w:t>Tres familias en la calle por peligro de derrumbe</w:t>
      </w:r>
      <w:r>
        <w:t xml:space="preserve">. Portal Cubanet. Disponible en:  </w:t>
      </w:r>
      <w:hyperlink r:id="rId146" w:history="1">
        <w:r>
          <w:rPr>
            <w:rStyle w:val="Hipervnculo"/>
          </w:rPr>
          <w:t>https://www.cubanet.org/noticias/tres-familias-en-la-calle-por-peligro-de-derrumbe/</w:t>
        </w:r>
      </w:hyperlink>
    </w:p>
  </w:footnote>
  <w:footnote w:id="409">
    <w:p w14:paraId="36B7AA66" w14:textId="77777777" w:rsidR="00172411" w:rsidRDefault="00172411" w:rsidP="002D7995">
      <w:pPr>
        <w:pStyle w:val="Textonotapie"/>
        <w:tabs>
          <w:tab w:val="left" w:pos="2268"/>
        </w:tabs>
        <w:spacing w:line="240" w:lineRule="atLeast"/>
        <w:ind w:firstLine="0"/>
      </w:pPr>
      <w:r>
        <w:rPr>
          <w:sz w:val="22"/>
          <w:szCs w:val="22"/>
          <w:vertAlign w:val="superscript"/>
        </w:rPr>
        <w:footnoteRef/>
      </w:r>
      <w:r>
        <w:rPr>
          <w:sz w:val="22"/>
          <w:szCs w:val="22"/>
          <w:vertAlign w:val="superscript"/>
        </w:rPr>
        <w:t xml:space="preserve"> </w:t>
      </w:r>
      <w:r>
        <w:t xml:space="preserve">Augusto César San Martín. 7 de abril, 2014. </w:t>
      </w:r>
      <w:r>
        <w:rPr>
          <w:i/>
        </w:rPr>
        <w:t>Otro derrumbe en Centro Habana deja familias en la calle</w:t>
      </w:r>
      <w:r>
        <w:t>. Portal Cubanet. Disponible en:  https://www.cubanet.org/noticias/otro-derrumbe-en-centro-habana-deja-familias-en-la-calle/</w:t>
      </w:r>
    </w:p>
  </w:footnote>
  <w:footnote w:id="410">
    <w:p w14:paraId="38AA1025" w14:textId="77777777" w:rsidR="00172411" w:rsidRDefault="00172411" w:rsidP="004F5496">
      <w:pPr>
        <w:pStyle w:val="Textonotapie"/>
        <w:ind w:firstLine="0"/>
      </w:pPr>
      <w:r>
        <w:rPr>
          <w:rStyle w:val="Refdenotaalpie"/>
        </w:rPr>
        <w:footnoteRef/>
      </w:r>
      <w:r>
        <w:t xml:space="preserve"> Rosa García Chediak. Desigualdades en el acceso a la Educación Superior en función de los ingresos familiares. Cuba posible (Cuaderno No.30- 2016) Disponible: http://revistas.uned.es/index.php/REEC/article/viewFile/17573/15930                  Pág. 62(59)   Como corolario, los gastos educativos que se presumen determinantes en las diferencias de acceso al sector terciario provienen de otras fuentes de ingresos monetarios, donde entran ingresos laborales del sector no-estatal y no-laborales (remesas, herencias, ahorros bancarios, etc.)  pero también ingresos lícitos e ilícitos. Conocer cómo se distribuyen esos “otros” ingresos se muestra entonces crucial, puesto que es una necesidad que reclama confrontar la información proporcionada por la ESEH (…) </w:t>
      </w:r>
      <w:r>
        <w:rPr>
          <w:b/>
        </w:rPr>
        <w:t>Nota de ACDEI:</w:t>
      </w:r>
      <w:r>
        <w:t xml:space="preserve"> Encuesta Nacional sobre la Situación Económica de los Hogares (ESEH) que realiza anualmente la Oficina Nacional de Estadística e Información (ONEI), pero ostenta el carácter de “clasificada”. Pág. 61( 58 )</w:t>
      </w:r>
    </w:p>
  </w:footnote>
  <w:footnote w:id="411">
    <w:p w14:paraId="7C6AA286" w14:textId="77777777" w:rsidR="00172411" w:rsidRDefault="00172411" w:rsidP="007D3599">
      <w:pPr>
        <w:pStyle w:val="Textonotapie"/>
        <w:spacing w:line="276" w:lineRule="auto"/>
        <w:ind w:firstLine="0"/>
        <w:rPr>
          <w:rFonts w:ascii="Calibri" w:hAnsi="Calibri"/>
        </w:rPr>
      </w:pPr>
      <w:r>
        <w:rPr>
          <w:rStyle w:val="Refdenotaalpie"/>
        </w:rPr>
        <w:footnoteRef/>
      </w:r>
      <w:r>
        <w:t xml:space="preserve"> Consejo de Estado. Versiones taquigráficas (Diciembre 22, 2017) </w:t>
      </w:r>
      <w:r>
        <w:rPr>
          <w:i/>
        </w:rPr>
        <w:t>Los problemas que hemos enfrentado en la Actualización del Modelo son más complejos y más profundos que lo que habíamos pensado inicialmente</w:t>
      </w:r>
      <w:r>
        <w:t>. Diario Juventud Rebelde pág. 12. Edición impresa. Cuba. Intervención de Marino Murillo Jorge, miembro del Buró Político del Comité Central del Partido Comunista de Cuba y Jefe de la Comisión de Implementación y Desarrollo. en el X Período Ordinario de Sesiones de la VIII legislatura de la Asamblea Nacional del Poder Popular, en el Palacio de Convenciones, el 21 de diciembre de 2017. "Año 59 de la Revolución"</w:t>
      </w:r>
    </w:p>
  </w:footnote>
  <w:footnote w:id="412">
    <w:p w14:paraId="21E9F6E7" w14:textId="77777777" w:rsidR="00172411" w:rsidRDefault="00172411" w:rsidP="007D3599">
      <w:pPr>
        <w:pStyle w:val="Textonotapie"/>
        <w:tabs>
          <w:tab w:val="left" w:pos="2268"/>
        </w:tabs>
        <w:spacing w:line="240" w:lineRule="atLeast"/>
        <w:ind w:firstLine="0"/>
        <w:rPr>
          <w:lang w:eastAsia="en-US"/>
        </w:rPr>
      </w:pPr>
      <w:r>
        <w:rPr>
          <w:sz w:val="22"/>
          <w:szCs w:val="22"/>
          <w:vertAlign w:val="superscript"/>
        </w:rPr>
        <w:footnoteRef/>
      </w:r>
      <w:r>
        <w:t xml:space="preserve"> Esteban Morales. 2001. UNEAC. </w:t>
      </w:r>
      <w:r>
        <w:rPr>
          <w:i/>
          <w:lang w:val="es-ES"/>
        </w:rPr>
        <w:t>Por qué es necesario un plan de acción para mejorar situación de los negros y mestizos en Cuba</w:t>
      </w:r>
      <w:r>
        <w:t xml:space="preserve">. 11/6/20. </w:t>
      </w:r>
      <w:r>
        <w:rPr>
          <w:sz w:val="18"/>
          <w:szCs w:val="18"/>
        </w:rPr>
        <w:t xml:space="preserve"> </w:t>
      </w:r>
      <w:r>
        <w:t>Disponible:</w:t>
      </w:r>
      <w:r>
        <w:rPr>
          <w:sz w:val="18"/>
          <w:szCs w:val="18"/>
        </w:rPr>
        <w:t xml:space="preserve"> </w:t>
      </w:r>
      <w:r>
        <w:t>http://www.afrocubaweb.com/estebanmorales.htm#Cuba: Raza y República</w:t>
      </w:r>
    </w:p>
  </w:footnote>
  <w:footnote w:id="413">
    <w:p w14:paraId="7C17CF7D" w14:textId="77777777" w:rsidR="00172411" w:rsidRDefault="00172411" w:rsidP="007D3599">
      <w:pPr>
        <w:pStyle w:val="Textonotapie"/>
        <w:spacing w:line="240" w:lineRule="atLeast"/>
        <w:ind w:firstLine="0"/>
        <w:rPr>
          <w:rFonts w:ascii="Calibri" w:hAnsi="Calibri"/>
          <w:lang w:val="es-MX"/>
        </w:rPr>
      </w:pPr>
      <w:r>
        <w:rPr>
          <w:vertAlign w:val="superscript"/>
        </w:rPr>
        <w:footnoteRef/>
      </w:r>
      <w:r>
        <w:t xml:space="preserve"> Comité para la Eliminación de la Discriminación Racial. CERD/C/GC/32. 75º período de sesiones. 3 al 28 de agosto de 2009. Recomendación  32 pag.2    párrafo  5</w:t>
      </w:r>
    </w:p>
  </w:footnote>
  <w:footnote w:id="414">
    <w:p w14:paraId="387FE818" w14:textId="5526084C" w:rsidR="00172411" w:rsidRDefault="00172411" w:rsidP="007D3599">
      <w:pPr>
        <w:pStyle w:val="Textonotapie"/>
        <w:spacing w:line="240" w:lineRule="atLeast"/>
        <w:ind w:firstLine="0"/>
        <w:rPr>
          <w:lang w:val="es-ES" w:eastAsia="en-US"/>
        </w:rPr>
      </w:pPr>
      <w:r>
        <w:rPr>
          <w:rStyle w:val="Refdenotaalpie"/>
        </w:rPr>
        <w:footnoteRef/>
      </w:r>
      <w:r>
        <w:t xml:space="preserve">  </w:t>
      </w:r>
      <w:bookmarkStart w:id="131" w:name="OLE_LINK51"/>
      <w:bookmarkStart w:id="132" w:name="OLE_LINK41"/>
      <w:r>
        <w:t xml:space="preserve">Gobierno Cuba, 2016. CERD/C/CUB/19-21 Informe Gobierno Cuba- State party's report 2013. Disponible: </w:t>
      </w:r>
      <w:hyperlink r:id="rId147" w:history="1">
        <w:r>
          <w:rPr>
            <w:rStyle w:val="Hipervnculo"/>
          </w:rPr>
          <w:t>http://tbinternet.ohchr.org/_layouts/treatybodyexternal/Download.aspx?symbolno=CERD%2FC%2FCUB%2F19-21&amp;Lang=en</w:t>
        </w:r>
      </w:hyperlink>
      <w:bookmarkEnd w:id="131"/>
      <w:bookmarkEnd w:id="132"/>
      <w:r>
        <w:t xml:space="preserve">    Párrafo 29  pag.5  (…) actividades de la Comisión de la UNEAC José Antonio Aponte2; del Centro Memorial Martin Luther King, con su red de educadores populares que trabajan en todo el país con métodos participativos en la labor comunitaria; del Centro de Intercambio y Referencia de Iniciativas Comunitarias (CIERIC) con aportes a diferentes iniciativas barriales y comunitarias…  pag.9  párrafo  55. Aun cuando no han sido formuladas quejas o denuncias ante los órganos legales correspondientes, en estructuras no gubernamentales como la Comisión José Antonio Aponte de la UNEAC se han registrado quejas motivadas por actos de discriminación por el color de la piel, las cuales han sido trasladadas directamente a los organismos estatales correspondientes, habiéndose adoptado las medidas administrativas pertinentes. Ninguno de dichos casos implicó la apertura de procesos judiciales por discriminación…</w:t>
      </w:r>
    </w:p>
  </w:footnote>
  <w:footnote w:id="415">
    <w:p w14:paraId="22C72390" w14:textId="406AD1D0" w:rsidR="00172411" w:rsidRDefault="00172411" w:rsidP="007D3599">
      <w:pPr>
        <w:pStyle w:val="Textonotapie"/>
        <w:spacing w:line="240" w:lineRule="atLeast"/>
        <w:ind w:firstLine="0"/>
      </w:pPr>
      <w:r>
        <w:rPr>
          <w:rStyle w:val="Refdenotaalpie"/>
        </w:rPr>
        <w:footnoteRef/>
      </w:r>
      <w:r>
        <w:t xml:space="preserve">Ídem.  </w:t>
      </w:r>
      <w:r>
        <w:rPr>
          <w:rFonts w:cs="Arial"/>
        </w:rPr>
        <w:t>Párrafo 55, 159. Pág. 9, 22</w:t>
      </w:r>
    </w:p>
  </w:footnote>
  <w:footnote w:id="416">
    <w:p w14:paraId="683914E2" w14:textId="77777777" w:rsidR="00172411" w:rsidRDefault="00172411" w:rsidP="003B6987">
      <w:pPr>
        <w:pStyle w:val="Textonotapie"/>
        <w:spacing w:line="240" w:lineRule="atLeast"/>
        <w:ind w:firstLine="0"/>
      </w:pPr>
      <w:r>
        <w:rPr>
          <w:vertAlign w:val="superscript"/>
        </w:rPr>
        <w:footnoteRef/>
      </w:r>
      <w:r>
        <w:t xml:space="preserve"> Código Penal. (Modificado)  CAPITULO VIII Delito Contra El Derecho De Igualdad. ARTICULO 295. 1. El que discrimine a otra persona o promueva o incite a la discriminación, sea con manifestaciones y ánimo ofensivo a su sexo, raza, color u origen nacional o con acciones para obstaculizarle o impedirle, por motivos de sexo, raza, color u origen nacional, el ejercicio o disfrute de los derechos de igualdad establecidos en la Constitución, incurre en sanción de privación de libertad de seis meses a dos años o multa de doscientas a quinientas cuotas o ambas.</w:t>
      </w:r>
    </w:p>
  </w:footnote>
  <w:footnote w:id="417">
    <w:p w14:paraId="020EC6DF" w14:textId="77777777" w:rsidR="00172411" w:rsidRDefault="00172411" w:rsidP="007D3599">
      <w:pPr>
        <w:pStyle w:val="Textonotapie"/>
        <w:spacing w:line="240" w:lineRule="atLeast"/>
        <w:ind w:firstLine="0"/>
      </w:pPr>
      <w:r>
        <w:rPr>
          <w:rStyle w:val="Refdenotaalpie"/>
        </w:rPr>
        <w:footnoteRef/>
      </w:r>
      <w:r>
        <w:t xml:space="preserve"> LEY No. 62 CODIGO PENAL (Modificado) Capítulo VIII Delito Contra el Derecho de Igualdad.</w:t>
      </w:r>
      <w:r>
        <w:rPr>
          <w:rFonts w:ascii="Arial" w:hAnsi="Arial" w:cs="Arial"/>
        </w:rPr>
        <w:t xml:space="preserve"> ARTICULO 295. 1.</w:t>
      </w:r>
      <w:r>
        <w:t xml:space="preserve"> El que discrimine a otra persona o promueva o incite a la discriminación, sea con manifestaciones y ánimo ofensivo a su sexo, raza, color u origen nacional o con acciones para obstaculizarle o impedirle, por motivos de sexo, raza, color u origen nacional, el ejercicio o disfrute de los derechos de igualdad establecidos en la Constitución, incurre en sanción de privación de libertad de seis meses a dos años o multa de doscientas a quinientas cuotas o ambas.</w:t>
      </w:r>
    </w:p>
  </w:footnote>
  <w:footnote w:id="418">
    <w:p w14:paraId="0BF00BAB" w14:textId="77777777" w:rsidR="00172411" w:rsidRDefault="00172411" w:rsidP="007D3599">
      <w:pPr>
        <w:pStyle w:val="Textonotapie"/>
        <w:spacing w:line="276" w:lineRule="auto"/>
        <w:ind w:firstLine="0"/>
      </w:pPr>
      <w:r>
        <w:rPr>
          <w:rStyle w:val="Refdenotaalpie"/>
        </w:rPr>
        <w:footnoteRef/>
      </w:r>
      <w:r>
        <w:t xml:space="preserve"> Ídem . CODIGO PENAL (Modificado) Cuba. TITULO IV. EL DELITO CAPITULO I. El Concepto De Delito. ARTICULO 8. 1. Se considera delito toda acción u omisión socialmente peligrosa prohibida por la ley bajo conminación de una sanción penal. 2. No se considera delito la acción u omisión que, aun reuniendo los elementos que lo constituyen, carece de peligrosidad social por la escasa entidad de sus consecuencias y las condiciones personales de su autor.</w:t>
      </w:r>
    </w:p>
  </w:footnote>
  <w:footnote w:id="419">
    <w:p w14:paraId="12FC4A83" w14:textId="15308772" w:rsidR="00172411" w:rsidRDefault="00172411" w:rsidP="007D3599">
      <w:pPr>
        <w:pStyle w:val="Textonotapie"/>
        <w:ind w:firstLine="0"/>
        <w:rPr>
          <w:lang w:eastAsia="en-US"/>
        </w:rPr>
      </w:pPr>
      <w:r>
        <w:rPr>
          <w:rStyle w:val="Refdenotaalpie"/>
        </w:rPr>
        <w:footnoteRef/>
      </w:r>
      <w:r>
        <w:t xml:space="preserve"> Manuel Osorio. (1999) </w:t>
      </w:r>
      <w:r>
        <w:rPr>
          <w:i/>
        </w:rPr>
        <w:t>Diccionario de Ciencias Jurídicas Políticas y Sociales</w:t>
      </w:r>
      <w:r>
        <w:t xml:space="preserve"> .1ª Edición Electrónica. Pág.  275. Disponible en: </w:t>
      </w:r>
      <w:hyperlink r:id="rId148" w:history="1">
        <w:r>
          <w:rPr>
            <w:rStyle w:val="Hipervnculo"/>
          </w:rPr>
          <w:t>http://derecho.upla.edu.pe/pdf/diccionariosorio.pdf</w:t>
        </w:r>
      </w:hyperlink>
      <w:r>
        <w:t xml:space="preserve">.  (…) </w:t>
      </w:r>
      <w:r w:rsidRPr="00F92F6E">
        <w:t>Otra definición de delito es “la infracción de la ley del Estado, promulgada para seguridad de los ciudadanos, resultante de un acto externo del hombre, positivo o negativo, moralmente imputable y políticamente dañoso”.</w:t>
      </w:r>
    </w:p>
  </w:footnote>
  <w:footnote w:id="420">
    <w:p w14:paraId="73C32E36" w14:textId="77777777" w:rsidR="00172411" w:rsidRDefault="00172411" w:rsidP="007D3599">
      <w:pPr>
        <w:pStyle w:val="Textonotapie"/>
        <w:spacing w:line="240" w:lineRule="atLeast"/>
        <w:ind w:firstLine="0"/>
      </w:pPr>
      <w:r>
        <w:rPr>
          <w:rStyle w:val="Refdenotaalpie"/>
        </w:rPr>
        <w:footnoteRef/>
      </w:r>
      <w:r>
        <w:t xml:space="preserve"> LEY No. 62 CODIGO PENAL (Modificado) Cuba. TITULO IV. El Delito Capitulo I. El Concepto De Delito. ARTICULO 8. 2. No se considera delito la acción u omisión que, aun reuniendo los elementos que lo constituyen, carece de peligrosidad social por la escasa entidad de sus consecuencias y las condiciones personales de su autor.</w:t>
      </w:r>
    </w:p>
  </w:footnote>
  <w:footnote w:id="421">
    <w:p w14:paraId="357E4BAE" w14:textId="287C0AB7" w:rsidR="00172411" w:rsidRPr="00BC42B3" w:rsidRDefault="00172411" w:rsidP="00BA508C">
      <w:pPr>
        <w:pStyle w:val="Textonotapie"/>
        <w:ind w:firstLine="0"/>
      </w:pPr>
      <w:r>
        <w:rPr>
          <w:rStyle w:val="Refdenotaalpie"/>
        </w:rPr>
        <w:footnoteRef/>
      </w:r>
      <w:r>
        <w:t xml:space="preserve"> </w:t>
      </w:r>
      <w:r w:rsidRPr="00BA508C">
        <w:t>Daniel O’Donnell</w:t>
      </w:r>
      <w:r>
        <w:t xml:space="preserve">. </w:t>
      </w:r>
      <w:r w:rsidRPr="00BA508C">
        <w:t>Bogotá, abril 2004</w:t>
      </w:r>
      <w:r>
        <w:t xml:space="preserve"> (2007).</w:t>
      </w:r>
      <w:r w:rsidRPr="00BA508C">
        <w:t xml:space="preserve"> </w:t>
      </w:r>
      <w:r w:rsidRPr="00BC42B3">
        <w:rPr>
          <w:i/>
        </w:rPr>
        <w:t xml:space="preserve">Derecho internacional </w:t>
      </w:r>
      <w:r>
        <w:rPr>
          <w:i/>
        </w:rPr>
        <w:t xml:space="preserve">de derechos humanos. Normativa, </w:t>
      </w:r>
      <w:r w:rsidRPr="00BC42B3">
        <w:rPr>
          <w:i/>
        </w:rPr>
        <w:t xml:space="preserve">jurisprudencia y doctrina de sistemas universal e interamericano </w:t>
      </w:r>
      <w:r w:rsidRPr="00BC42B3">
        <w:t>Pág. 918.</w:t>
      </w:r>
      <w:r w:rsidRPr="00BC42B3">
        <w:rPr>
          <w:lang w:val="es-MX"/>
        </w:rPr>
        <w:t xml:space="preserve"> Disponible:</w:t>
      </w:r>
      <w:hyperlink r:id="rId149" w:history="1">
        <w:r w:rsidRPr="00BC42B3">
          <w:rPr>
            <w:rStyle w:val="Hipervnculo"/>
          </w:rPr>
          <w:t>http://www.odaalc.org/documentos/1374531071.pdf</w:t>
        </w:r>
      </w:hyperlink>
    </w:p>
  </w:footnote>
  <w:footnote w:id="422">
    <w:p w14:paraId="2F805C99" w14:textId="67F8A318" w:rsidR="00172411" w:rsidRPr="00D56455" w:rsidRDefault="00172411" w:rsidP="00D56455">
      <w:pPr>
        <w:pStyle w:val="Textonotapie"/>
        <w:ind w:firstLine="0"/>
      </w:pPr>
      <w:r w:rsidRPr="00BC42B3">
        <w:rPr>
          <w:rStyle w:val="Refdenotaalpie"/>
          <w:i/>
        </w:rPr>
        <w:footnoteRef/>
      </w:r>
      <w:r w:rsidRPr="00BC42B3">
        <w:rPr>
          <w:i/>
        </w:rPr>
        <w:t xml:space="preserve"> </w:t>
      </w:r>
      <w:r w:rsidRPr="00BC42B3">
        <w:t>CRC/GC/2003/5</w:t>
      </w:r>
      <w:r w:rsidRPr="00BC42B3">
        <w:rPr>
          <w:i/>
        </w:rPr>
        <w:t xml:space="preserve"> Medidas generales de aplicación</w:t>
      </w:r>
      <w:r>
        <w:t xml:space="preserve"> de la Convención sobre los Derechos del Niño (artículos 4 y 42 y párrafo 6 del artículo 44) </w:t>
      </w:r>
      <w:r w:rsidRPr="00D56455">
        <w:t>OBSERVACIÓN GENERAL N° 5</w:t>
      </w:r>
      <w:r>
        <w:t xml:space="preserve"> Párrafo 25. Como se ha señalado en el párrafo 6 supra, el Comité subraya que los derechos económicos, sociales y culturales, así como los derechos civiles y políticos, deben poder invocarse ante los tribunales. Es esencial que la legislación nacional se establezcan derechos lo suficientemente concretos como para que los recursos por su infracción sean efectivos.</w:t>
      </w:r>
    </w:p>
  </w:footnote>
  <w:footnote w:id="423">
    <w:p w14:paraId="7734D884" w14:textId="058A2E54" w:rsidR="00172411" w:rsidRPr="00A000DD" w:rsidRDefault="00172411" w:rsidP="00A000DD">
      <w:pPr>
        <w:pStyle w:val="Textonotapie"/>
        <w:ind w:firstLine="0"/>
        <w:rPr>
          <w:lang w:val="es-ES"/>
        </w:rPr>
      </w:pPr>
      <w:r>
        <w:rPr>
          <w:rStyle w:val="Refdenotaalpie"/>
        </w:rPr>
        <w:footnoteRef/>
      </w:r>
      <w:r>
        <w:t xml:space="preserve"> Daniel O’Donnell. Bogotá, abril de 2004(2007). Derecho internacional de derechos humanos. Normativa, jurisprudencia y doctrina de sistemas universal e interamericano. Pág. 147.</w:t>
      </w:r>
      <w:r>
        <w:rPr>
          <w:lang w:val="es-MX"/>
        </w:rPr>
        <w:t>Disponible:</w:t>
      </w:r>
      <w:hyperlink r:id="rId150" w:history="1">
        <w:r>
          <w:rPr>
            <w:rStyle w:val="Hipervnculo"/>
          </w:rPr>
          <w:t>http://www.odaalc.org/documentos/1374531071.pdf</w:t>
        </w:r>
      </w:hyperlink>
    </w:p>
  </w:footnote>
  <w:footnote w:id="424">
    <w:p w14:paraId="6F0CDBD2" w14:textId="77777777" w:rsidR="00172411" w:rsidRDefault="00172411" w:rsidP="00EA24AA">
      <w:pPr>
        <w:spacing w:after="0" w:line="240" w:lineRule="atLeast"/>
        <w:rPr>
          <w:rFonts w:ascii="Times New Roman" w:hAnsi="Times New Roman"/>
          <w:sz w:val="20"/>
          <w:szCs w:val="20"/>
        </w:rPr>
      </w:pPr>
      <w:r>
        <w:rPr>
          <w:rStyle w:val="Refdenotaalpie"/>
        </w:rPr>
        <w:footnoteRef/>
      </w:r>
      <w:r>
        <w:t xml:space="preserve"> </w:t>
      </w:r>
      <w:r>
        <w:rPr>
          <w:rFonts w:ascii="Times New Roman" w:hAnsi="Times New Roman"/>
          <w:sz w:val="20"/>
          <w:szCs w:val="20"/>
        </w:rPr>
        <w:t xml:space="preserve">Ídem. La Participación. Artículo 18. 1. La responsabilidad penal es exigible a los autores y cómplices. 3. Son cómplices: ch) los que sin ser autores cooperan en la ejecución del delito de cualquier otro modo… Seccion Tercera. La Prohibición del Ejercicio de una Profesión, Cargo u Oficio Artículo 39. 1. La sanción de prohibición de ejercer una profesión, cargo u oficio puede aplicarse facultativamente por el tribunal, en los casos en que el agente comete el delito con abuso de su cargo o por negligencia en el cumplimiento de sus deberes. .’.Sección Segunda La Adecuación de la Sanción en los Delitos por Imprudencia Articulo 48. 1. Incumplimiento Del Deber De Denunciar. Artículo 161. </w:t>
      </w:r>
    </w:p>
  </w:footnote>
  <w:footnote w:id="425">
    <w:p w14:paraId="5B59EB3E" w14:textId="5F5D328D" w:rsidR="00172411" w:rsidRDefault="00172411" w:rsidP="007D3599">
      <w:pPr>
        <w:pStyle w:val="Textonotapie"/>
        <w:spacing w:line="240" w:lineRule="atLeast"/>
        <w:ind w:firstLine="0"/>
      </w:pPr>
      <w:r>
        <w:rPr>
          <w:rStyle w:val="Refdenotaalpie"/>
        </w:rPr>
        <w:footnoteRef/>
      </w:r>
      <w:r>
        <w:t>Íbidem.  Título IV. El Delito Capitulo I. El Concepto De Delito. Artículo 8. 2. No se considera delito la acción u omisión que, aun reuniendo los elementos que lo constituyen, carece de peligrosidad social por la escasa entidad de sus consecuencias y las condiciones personales de su autor.</w:t>
      </w:r>
    </w:p>
  </w:footnote>
  <w:footnote w:id="426">
    <w:p w14:paraId="7B5920EA" w14:textId="67B7E8D4" w:rsidR="00172411" w:rsidRPr="000E2E57" w:rsidRDefault="00172411" w:rsidP="000E2E57">
      <w:pPr>
        <w:spacing w:after="0" w:line="240" w:lineRule="atLeast"/>
        <w:rPr>
          <w:rFonts w:ascii="Liberation Serif" w:eastAsia="Noto Sans CJK SC Regular" w:hAnsi="Liberation Serif"/>
          <w:sz w:val="24"/>
          <w:szCs w:val="24"/>
          <w:lang w:eastAsia="zh-CN"/>
        </w:rPr>
      </w:pPr>
      <w:r>
        <w:rPr>
          <w:rStyle w:val="Refdenotaalpie"/>
        </w:rPr>
        <w:footnoteRef/>
      </w:r>
      <w:r>
        <w:t xml:space="preserve"> </w:t>
      </w:r>
      <w:r w:rsidRPr="000E2E57">
        <w:rPr>
          <w:rFonts w:ascii="Times New Roman" w:eastAsia="STKaiti" w:hAnsi="Times New Roman"/>
          <w:sz w:val="20"/>
          <w:szCs w:val="20"/>
          <w:lang w:val="es-US" w:eastAsia="es-US"/>
        </w:rPr>
        <w:t xml:space="preserve">Agustín-Jesús Pérez-Cruz Martín.2015. Constitución Y Poder Judicial. Disponible: </w:t>
      </w:r>
      <w:hyperlink r:id="rId151" w:history="1">
        <w:r w:rsidRPr="00007039">
          <w:rPr>
            <w:rStyle w:val="Hipervnculo"/>
            <w:rFonts w:ascii="Times New Roman" w:eastAsia="STKaiti" w:hAnsi="Times New Roman"/>
            <w:sz w:val="20"/>
            <w:szCs w:val="20"/>
            <w:lang w:val="es-US" w:eastAsia="es-US"/>
          </w:rPr>
          <w:t>http://facultad.pucp.edu.pe/derecho/wp-content/uploads/2015/03/Constituci%C3%B3n-y-Poder-Judicial.pdf</w:t>
        </w:r>
      </w:hyperlink>
      <w:r>
        <w:t xml:space="preserve">    Pag.45</w:t>
      </w:r>
    </w:p>
  </w:footnote>
  <w:footnote w:id="427">
    <w:p w14:paraId="06BAAC73" w14:textId="2DC8BED3" w:rsidR="00172411" w:rsidRPr="006C351E" w:rsidRDefault="00172411" w:rsidP="006C351E">
      <w:pPr>
        <w:pStyle w:val="Textonotapie"/>
        <w:ind w:firstLine="0"/>
      </w:pPr>
      <w:r>
        <w:rPr>
          <w:rStyle w:val="Refdenotaalpie"/>
        </w:rPr>
        <w:footnoteRef/>
      </w:r>
      <w:r>
        <w:t xml:space="preserve"> Comité de Derechos Económicos, Sociales y Culturales, Observación General No. 9, párr. 4 (1998).</w:t>
      </w:r>
    </w:p>
  </w:footnote>
  <w:footnote w:id="428">
    <w:p w14:paraId="002823E4" w14:textId="28F50AAF" w:rsidR="00172411" w:rsidRPr="0098372B" w:rsidRDefault="00172411" w:rsidP="0098372B">
      <w:pPr>
        <w:pStyle w:val="Textonotapie"/>
        <w:ind w:firstLine="0"/>
      </w:pPr>
      <w:r>
        <w:rPr>
          <w:rStyle w:val="Refdenotaalpie"/>
        </w:rPr>
        <w:footnoteRef/>
      </w:r>
      <w:r>
        <w:t xml:space="preserve"> Ivet González. 11 abril, 2013. </w:t>
      </w:r>
      <w:r>
        <w:rPr>
          <w:i/>
        </w:rPr>
        <w:t>Cárceles de mujeres cubanas reflejan desventajas de género</w:t>
      </w:r>
      <w:r>
        <w:t xml:space="preserve">. Inter Press Service en Cuba. Disponible: </w:t>
      </w:r>
      <w:hyperlink r:id="rId152" w:history="1">
        <w:r>
          <w:rPr>
            <w:rStyle w:val="Hipervnculo"/>
          </w:rPr>
          <w:t>http://www.ipscuba.net/genero/carceles-de-muje</w:t>
        </w:r>
      </w:hyperlink>
      <w:r>
        <w:t xml:space="preserve"> (... ) según el coronel Osmani Leyva, segundo jefe de la Dirección Nacional de Establecimientos Penales (…)Varios periodistas preguntamos sobre la composición racial de la población penitenciaria en Cuba. No obtuvimos cifras, pero Leyva indicó que la mayoría son personas negras y mestizas, tanto en el caso de las mujeres como de los hombres…</w:t>
      </w:r>
    </w:p>
  </w:footnote>
  <w:footnote w:id="429">
    <w:p w14:paraId="385479A0" w14:textId="77777777" w:rsidR="00172411" w:rsidRDefault="00172411" w:rsidP="0027404B">
      <w:pPr>
        <w:pStyle w:val="Textonotapie"/>
        <w:ind w:firstLine="0"/>
      </w:pPr>
      <w:r>
        <w:rPr>
          <w:rStyle w:val="Refdenotaalpie"/>
        </w:rPr>
        <w:footnoteRef/>
      </w:r>
      <w:r>
        <w:t xml:space="preserve"> Bayona Mojena, Rosilín .2013. Buenos Aires </w:t>
      </w:r>
      <w:r>
        <w:rPr>
          <w:i/>
        </w:rPr>
        <w:t>.Brechas en el silencio. Ciencias sociales, conflictos y políticas públicas en el problema racial en Cuba</w:t>
      </w:r>
      <w:r>
        <w:t>. CLACSO.</w:t>
      </w:r>
      <w:r>
        <w:rPr>
          <w:color w:val="000000"/>
          <w:lang w:eastAsia="es-MX"/>
        </w:rPr>
        <w:t xml:space="preserve"> Disponible:   </w:t>
      </w:r>
      <w:hyperlink r:id="rId153" w:history="1">
        <w:r>
          <w:rPr>
            <w:rStyle w:val="Hipervnculo"/>
            <w:lang w:eastAsia="es-MX"/>
          </w:rPr>
          <w:t>http://biblioteca.clacso.edu.ar/clacso/becas/20131028052827/BayonaBecasInforme.pdf</w:t>
        </w:r>
      </w:hyperlink>
      <w:r>
        <w:rPr>
          <w:color w:val="000000"/>
          <w:lang w:eastAsia="es-MX"/>
        </w:rPr>
        <w:t xml:space="preserve">  Pag.21</w:t>
      </w:r>
    </w:p>
  </w:footnote>
  <w:footnote w:id="430">
    <w:p w14:paraId="13954315" w14:textId="625908FB" w:rsidR="00172411" w:rsidRPr="00BC42B3" w:rsidRDefault="00172411" w:rsidP="00BC42B3">
      <w:pPr>
        <w:pStyle w:val="Textonotapie"/>
        <w:ind w:firstLine="0"/>
        <w:rPr>
          <w:lang w:val="es-ES"/>
        </w:rPr>
      </w:pPr>
      <w:r>
        <w:rPr>
          <w:rStyle w:val="Refdenotaalpie"/>
        </w:rPr>
        <w:footnoteRef/>
      </w:r>
      <w:r w:rsidRPr="00BC42B3">
        <w:rPr>
          <w:lang w:val="es-ES"/>
        </w:rPr>
        <w:t xml:space="preserve"> </w:t>
      </w:r>
      <w:r>
        <w:rPr>
          <w:lang w:val="es-ES"/>
        </w:rPr>
        <w:t xml:space="preserve">Anthony Giddens (2000) </w:t>
      </w:r>
      <w:r>
        <w:rPr>
          <w:i/>
          <w:lang w:val="es-ES"/>
        </w:rPr>
        <w:t>Sociología</w:t>
      </w:r>
      <w:r>
        <w:rPr>
          <w:lang w:val="es-ES"/>
        </w:rPr>
        <w:t xml:space="preserve"> .Tercera edición revisada. Versión de Teresa Albero, et. al. </w:t>
      </w:r>
      <w:r>
        <w:rPr>
          <w:lang w:val="es-MX"/>
        </w:rPr>
        <w:t xml:space="preserve">Disponible:   </w:t>
      </w:r>
      <w:r>
        <w:rPr>
          <w:lang w:val="es-ES"/>
        </w:rPr>
        <w:t xml:space="preserve"> https://www.pdfdrive.net/anthony-giddens-sociologia-e33955264.html </w:t>
      </w:r>
      <w:r w:rsidRPr="00BC42B3">
        <w:rPr>
          <w:lang w:val="es-ES"/>
        </w:rPr>
        <w:t xml:space="preserve">  Page. 211, 248</w:t>
      </w:r>
    </w:p>
  </w:footnote>
  <w:footnote w:id="431">
    <w:p w14:paraId="6FAC9053" w14:textId="77777777" w:rsidR="00172411" w:rsidRDefault="00172411" w:rsidP="00901531">
      <w:pPr>
        <w:pStyle w:val="Textonotapie"/>
        <w:spacing w:line="240" w:lineRule="atLeast"/>
        <w:ind w:firstLine="0"/>
        <w:rPr>
          <w:lang w:val="es-MX"/>
        </w:rPr>
      </w:pPr>
      <w:r>
        <w:rPr>
          <w:rStyle w:val="Refdenotaalpie"/>
        </w:rPr>
        <w:footnoteRef/>
      </w:r>
      <w:r>
        <w:t xml:space="preserve"> Grupo INTER.2007.</w:t>
      </w:r>
      <w:r>
        <w:rPr>
          <w:i/>
          <w:lang w:val="es-ES"/>
        </w:rPr>
        <w:t>Racismo: qué es y cómo se afronta. Una guía para hablar sobre racismo</w:t>
      </w:r>
      <w:r>
        <w:t xml:space="preserve">. Pag.163.Disponible:    http://www2.uned.es/centrointer/guia%20racismo.pdf. </w:t>
      </w:r>
    </w:p>
  </w:footnote>
  <w:footnote w:id="432">
    <w:p w14:paraId="236F2F7E" w14:textId="783FDE5A" w:rsidR="00172411" w:rsidRPr="00003043" w:rsidRDefault="00172411" w:rsidP="00003043">
      <w:pPr>
        <w:pStyle w:val="Textoindependiente"/>
        <w:spacing w:after="0" w:line="240" w:lineRule="atLeast"/>
        <w:ind w:firstLine="0"/>
        <w:rPr>
          <w:rFonts w:ascii="Times New Roman" w:hAnsi="Times New Roman" w:cs="Times New Roman"/>
          <w:sz w:val="20"/>
          <w:szCs w:val="20"/>
          <w:lang w:val="en-US"/>
        </w:rPr>
      </w:pPr>
      <w:r>
        <w:rPr>
          <w:rStyle w:val="Refdenotaalpie"/>
        </w:rPr>
        <w:footnoteRef/>
      </w:r>
      <w:r w:rsidRPr="00AD7D7E">
        <w:rPr>
          <w:lang w:val="en-US"/>
        </w:rPr>
        <w:t xml:space="preserve"> </w:t>
      </w:r>
      <w:r w:rsidRPr="00B16B56">
        <w:rPr>
          <w:rFonts w:ascii="Times New Roman" w:hAnsi="Times New Roman" w:cs="Times New Roman"/>
          <w:sz w:val="20"/>
          <w:szCs w:val="20"/>
          <w:lang w:val="en-US"/>
        </w:rPr>
        <w:t xml:space="preserve">Roy Walmsley. International Centre for Prison Studies and University of Essex (2013) </w:t>
      </w:r>
      <w:r w:rsidRPr="00BC42B3">
        <w:rPr>
          <w:rFonts w:ascii="Times New Roman" w:hAnsi="Times New Roman" w:cs="Times New Roman"/>
          <w:i/>
          <w:sz w:val="20"/>
          <w:szCs w:val="20"/>
          <w:lang w:val="en-US"/>
        </w:rPr>
        <w:t>World Prison Population List</w:t>
      </w:r>
      <w:r w:rsidRPr="00B16B56">
        <w:rPr>
          <w:rFonts w:ascii="Times New Roman" w:hAnsi="Times New Roman" w:cs="Times New Roman"/>
          <w:sz w:val="20"/>
          <w:szCs w:val="20"/>
          <w:lang w:val="en-US"/>
        </w:rPr>
        <w:t xml:space="preserve"> (tenth edition). </w:t>
      </w:r>
      <w:r w:rsidRPr="00003043">
        <w:rPr>
          <w:rFonts w:ascii="Times New Roman" w:hAnsi="Times New Roman" w:cs="Times New Roman"/>
          <w:sz w:val="20"/>
          <w:szCs w:val="20"/>
          <w:lang w:val="en-US"/>
        </w:rPr>
        <w:t>Available:</w:t>
      </w:r>
      <w:r w:rsidRPr="00003043">
        <w:rPr>
          <w:rFonts w:ascii="Times New Roman" w:hAnsi="Times New Roman"/>
          <w:bCs/>
          <w:sz w:val="20"/>
          <w:szCs w:val="20"/>
          <w:lang w:val="en-US"/>
        </w:rPr>
        <w:t xml:space="preserve"> </w:t>
      </w:r>
      <w:hyperlink r:id="rId154" w:history="1">
        <w:r w:rsidRPr="00003043">
          <w:rPr>
            <w:rStyle w:val="Hipervnculo"/>
            <w:rFonts w:ascii="Times New Roman" w:hAnsi="Times New Roman" w:cs="Times New Roman"/>
            <w:i/>
            <w:iCs/>
            <w:sz w:val="20"/>
            <w:szCs w:val="20"/>
            <w:lang w:val="en-US"/>
          </w:rPr>
          <w:t>https://www.apcca.org/uploads/10th_Edition_2013.pdf</w:t>
        </w:r>
      </w:hyperlink>
      <w:r w:rsidRPr="00003043">
        <w:rPr>
          <w:rFonts w:ascii="Times New Roman" w:hAnsi="Times New Roman" w:cs="Times New Roman"/>
          <w:i/>
          <w:iCs/>
          <w:sz w:val="20"/>
          <w:szCs w:val="20"/>
          <w:lang w:val="en-US"/>
        </w:rPr>
        <w:t xml:space="preserve">  </w:t>
      </w:r>
      <w:r>
        <w:rPr>
          <w:rFonts w:ascii="Times New Roman" w:hAnsi="Times New Roman" w:cs="Times New Roman"/>
          <w:i/>
          <w:iCs/>
          <w:sz w:val="20"/>
          <w:szCs w:val="20"/>
          <w:lang w:val="en-US"/>
        </w:rPr>
        <w:t xml:space="preserve"> </w:t>
      </w:r>
      <w:r w:rsidRPr="00003043">
        <w:rPr>
          <w:rFonts w:ascii="Times New Roman" w:hAnsi="Times New Roman" w:cs="Times New Roman"/>
          <w:sz w:val="20"/>
          <w:szCs w:val="20"/>
          <w:lang w:val="en-US"/>
        </w:rPr>
        <w:t xml:space="preserve">Page </w:t>
      </w:r>
      <w:r>
        <w:rPr>
          <w:rFonts w:ascii="Times New Roman" w:hAnsi="Times New Roman" w:cs="Times New Roman"/>
          <w:sz w:val="20"/>
          <w:szCs w:val="20"/>
          <w:lang w:val="en-US"/>
        </w:rPr>
        <w:t>1, 3</w:t>
      </w:r>
      <w:r w:rsidRPr="00003043">
        <w:rPr>
          <w:rFonts w:ascii="Times New Roman" w:hAnsi="Times New Roman" w:cs="Times New Roman"/>
          <w:sz w:val="20"/>
          <w:szCs w:val="20"/>
          <w:lang w:val="en-US"/>
        </w:rPr>
        <w:t>.</w:t>
      </w:r>
      <w:r w:rsidRPr="00003043">
        <w:rPr>
          <w:lang w:val="en-US"/>
        </w:rPr>
        <w:t xml:space="preserve"> </w:t>
      </w:r>
      <w:r w:rsidRPr="00003043">
        <w:rPr>
          <w:rFonts w:ascii="Times New Roman" w:hAnsi="Times New Roman" w:cs="Times New Roman"/>
          <w:sz w:val="20"/>
          <w:szCs w:val="20"/>
          <w:lang w:val="en-US"/>
        </w:rPr>
        <w:t>The World Prison Po</w:t>
      </w:r>
      <w:r>
        <w:rPr>
          <w:rFonts w:ascii="Times New Roman" w:hAnsi="Times New Roman" w:cs="Times New Roman"/>
          <w:sz w:val="20"/>
          <w:szCs w:val="20"/>
          <w:lang w:val="en-US"/>
        </w:rPr>
        <w:t xml:space="preserve">pulation List is compiled from </w:t>
      </w:r>
      <w:r w:rsidRPr="00003043">
        <w:rPr>
          <w:rFonts w:ascii="Times New Roman" w:hAnsi="Times New Roman" w:cs="Times New Roman"/>
          <w:sz w:val="20"/>
          <w:szCs w:val="20"/>
          <w:lang w:val="en-US"/>
        </w:rPr>
        <w:t>a variety of sources. I</w:t>
      </w:r>
      <w:r>
        <w:rPr>
          <w:rFonts w:ascii="Times New Roman" w:hAnsi="Times New Roman" w:cs="Times New Roman"/>
          <w:sz w:val="20"/>
          <w:szCs w:val="20"/>
          <w:lang w:val="en-US"/>
        </w:rPr>
        <w:t xml:space="preserve">n almost all cases the original </w:t>
      </w:r>
      <w:r w:rsidRPr="00003043">
        <w:rPr>
          <w:rFonts w:ascii="Times New Roman" w:hAnsi="Times New Roman" w:cs="Times New Roman"/>
          <w:sz w:val="20"/>
          <w:szCs w:val="20"/>
          <w:lang w:val="en-US"/>
        </w:rPr>
        <w:t>source is the nation</w:t>
      </w:r>
      <w:r>
        <w:rPr>
          <w:rFonts w:ascii="Times New Roman" w:hAnsi="Times New Roman" w:cs="Times New Roman"/>
          <w:sz w:val="20"/>
          <w:szCs w:val="20"/>
          <w:lang w:val="en-US"/>
        </w:rPr>
        <w:t xml:space="preserve">al prison administration of the </w:t>
      </w:r>
      <w:r w:rsidRPr="00003043">
        <w:rPr>
          <w:rFonts w:ascii="Times New Roman" w:hAnsi="Times New Roman" w:cs="Times New Roman"/>
          <w:sz w:val="20"/>
          <w:szCs w:val="20"/>
          <w:lang w:val="en-US"/>
        </w:rPr>
        <w:t>country concerned, o</w:t>
      </w:r>
      <w:r>
        <w:rPr>
          <w:rFonts w:ascii="Times New Roman" w:hAnsi="Times New Roman" w:cs="Times New Roman"/>
          <w:sz w:val="20"/>
          <w:szCs w:val="20"/>
          <w:lang w:val="en-US"/>
        </w:rPr>
        <w:t xml:space="preserve">r else the Ministry responsible </w:t>
      </w:r>
      <w:r w:rsidRPr="00003043">
        <w:rPr>
          <w:rFonts w:ascii="Times New Roman" w:hAnsi="Times New Roman" w:cs="Times New Roman"/>
          <w:sz w:val="20"/>
          <w:szCs w:val="20"/>
          <w:lang w:val="en-US"/>
        </w:rPr>
        <w:t>for the prison administration. Most figures re</w:t>
      </w:r>
      <w:r>
        <w:rPr>
          <w:rFonts w:ascii="Times New Roman" w:hAnsi="Times New Roman" w:cs="Times New Roman"/>
          <w:sz w:val="20"/>
          <w:szCs w:val="20"/>
          <w:lang w:val="en-US"/>
        </w:rPr>
        <w:t xml:space="preserve">late to </w:t>
      </w:r>
      <w:r w:rsidRPr="00003043">
        <w:rPr>
          <w:rFonts w:ascii="Times New Roman" w:hAnsi="Times New Roman" w:cs="Times New Roman"/>
          <w:sz w:val="20"/>
          <w:szCs w:val="20"/>
          <w:lang w:val="en-US"/>
        </w:rPr>
        <w:t>dates betwe</w:t>
      </w:r>
      <w:r>
        <w:rPr>
          <w:rFonts w:ascii="Times New Roman" w:hAnsi="Times New Roman" w:cs="Times New Roman"/>
          <w:sz w:val="20"/>
          <w:szCs w:val="20"/>
          <w:lang w:val="en-US"/>
        </w:rPr>
        <w:t xml:space="preserve">en September 2011 and September </w:t>
      </w:r>
      <w:r w:rsidRPr="00003043">
        <w:rPr>
          <w:rFonts w:ascii="Times New Roman" w:hAnsi="Times New Roman" w:cs="Times New Roman"/>
          <w:sz w:val="20"/>
          <w:szCs w:val="20"/>
          <w:lang w:val="en-US"/>
        </w:rPr>
        <w:t>2013. Since prison p</w:t>
      </w:r>
      <w:r>
        <w:rPr>
          <w:rFonts w:ascii="Times New Roman" w:hAnsi="Times New Roman" w:cs="Times New Roman"/>
          <w:sz w:val="20"/>
          <w:szCs w:val="20"/>
          <w:lang w:val="en-US"/>
        </w:rPr>
        <w:t xml:space="preserve">opulation rates (per 100,000 of </w:t>
      </w:r>
      <w:r w:rsidRPr="00003043">
        <w:rPr>
          <w:rFonts w:ascii="Times New Roman" w:hAnsi="Times New Roman" w:cs="Times New Roman"/>
          <w:sz w:val="20"/>
          <w:szCs w:val="20"/>
          <w:lang w:val="en-US"/>
        </w:rPr>
        <w:t>the national popula</w:t>
      </w:r>
      <w:r>
        <w:rPr>
          <w:rFonts w:ascii="Times New Roman" w:hAnsi="Times New Roman" w:cs="Times New Roman"/>
          <w:sz w:val="20"/>
          <w:szCs w:val="20"/>
          <w:lang w:val="en-US"/>
        </w:rPr>
        <w:t xml:space="preserve">tion) are based on estimates of </w:t>
      </w:r>
      <w:r w:rsidRPr="00003043">
        <w:rPr>
          <w:rFonts w:ascii="Times New Roman" w:hAnsi="Times New Roman" w:cs="Times New Roman"/>
          <w:sz w:val="20"/>
          <w:szCs w:val="20"/>
          <w:lang w:val="en-US"/>
        </w:rPr>
        <w:t>the national populat</w:t>
      </w:r>
      <w:r>
        <w:rPr>
          <w:rFonts w:ascii="Times New Roman" w:hAnsi="Times New Roman" w:cs="Times New Roman"/>
          <w:sz w:val="20"/>
          <w:szCs w:val="20"/>
          <w:lang w:val="en-US"/>
        </w:rPr>
        <w:t xml:space="preserve">ion they should not be regarded </w:t>
      </w:r>
      <w:r w:rsidRPr="00003043">
        <w:rPr>
          <w:rFonts w:ascii="Times New Roman" w:hAnsi="Times New Roman" w:cs="Times New Roman"/>
          <w:sz w:val="20"/>
          <w:szCs w:val="20"/>
          <w:lang w:val="en-US"/>
        </w:rPr>
        <w:t xml:space="preserve">as precise. </w:t>
      </w:r>
    </w:p>
  </w:footnote>
  <w:footnote w:id="433">
    <w:p w14:paraId="1BCAC465" w14:textId="77777777" w:rsidR="00172411" w:rsidRDefault="00172411" w:rsidP="00003043">
      <w:pPr>
        <w:pStyle w:val="TextBody"/>
        <w:spacing w:after="0" w:line="240" w:lineRule="atLeast"/>
        <w:rPr>
          <w:rFonts w:ascii="Times New Roman" w:eastAsia="STKaiti" w:hAnsi="Times New Roman" w:cs="Times New Roman"/>
          <w:color w:val="auto"/>
          <w:sz w:val="20"/>
          <w:szCs w:val="20"/>
          <w:lang w:eastAsia="es-US" w:bidi="ar-SA"/>
        </w:rPr>
      </w:pPr>
      <w:r>
        <w:rPr>
          <w:rStyle w:val="Refdenotaalpie"/>
          <w:rFonts w:ascii="Times New Roman" w:hAnsi="Times New Roman"/>
          <w:sz w:val="20"/>
          <w:szCs w:val="20"/>
        </w:rPr>
        <w:footnoteRef/>
      </w:r>
      <w:r>
        <w:rPr>
          <w:rFonts w:ascii="Times New Roman" w:hAnsi="Times New Roman" w:cs="Times New Roman"/>
          <w:sz w:val="20"/>
          <w:szCs w:val="20"/>
        </w:rPr>
        <w:t xml:space="preserve"> </w:t>
      </w:r>
      <w:r>
        <w:rPr>
          <w:rFonts w:ascii="Times New Roman" w:eastAsia="STKaiti" w:hAnsi="Times New Roman" w:cs="Times New Roman"/>
          <w:color w:val="auto"/>
          <w:sz w:val="20"/>
          <w:szCs w:val="20"/>
          <w:lang w:eastAsia="es-US" w:bidi="ar-SA"/>
        </w:rPr>
        <w:t xml:space="preserve">BBC.10 abril 2013. </w:t>
      </w:r>
      <w:r>
        <w:rPr>
          <w:rFonts w:ascii="Times New Roman" w:eastAsia="STKaiti" w:hAnsi="Times New Roman" w:cs="Times New Roman"/>
          <w:i/>
          <w:color w:val="auto"/>
          <w:sz w:val="20"/>
          <w:szCs w:val="20"/>
          <w:lang w:eastAsia="es-US" w:bidi="ar-SA"/>
        </w:rPr>
        <w:t>Cuba abre las cárceles a la prensa</w:t>
      </w:r>
      <w:r>
        <w:rPr>
          <w:rFonts w:ascii="Times New Roman" w:eastAsia="STKaiti" w:hAnsi="Times New Roman" w:cs="Times New Roman"/>
          <w:color w:val="auto"/>
          <w:sz w:val="20"/>
          <w:szCs w:val="20"/>
          <w:lang w:eastAsia="es-US" w:bidi="ar-SA"/>
        </w:rPr>
        <w:t xml:space="preserve">. </w:t>
      </w:r>
      <w:r>
        <w:rPr>
          <w:rFonts w:ascii="Times New Roman" w:eastAsia="STKaiti" w:hAnsi="Times New Roman" w:cs="Times New Roman"/>
          <w:color w:val="auto"/>
          <w:sz w:val="18"/>
          <w:szCs w:val="18"/>
          <w:lang w:eastAsia="es-US" w:bidi="ar-SA"/>
        </w:rPr>
        <w:t>Disponible:</w:t>
      </w:r>
      <w:r>
        <w:rPr>
          <w:rFonts w:ascii="Times New Roman" w:eastAsia="STKaiti" w:hAnsi="Times New Roman" w:cs="Times New Roman"/>
          <w:color w:val="auto"/>
          <w:sz w:val="20"/>
          <w:szCs w:val="20"/>
          <w:lang w:eastAsia="es-US" w:bidi="ar-SA"/>
        </w:rPr>
        <w:t xml:space="preserve"> </w:t>
      </w:r>
      <w:hyperlink r:id="rId155" w:history="1">
        <w:r>
          <w:rPr>
            <w:rStyle w:val="Hipervnculo"/>
            <w:rFonts w:eastAsia="STKaiti"/>
            <w:color w:val="auto"/>
            <w:sz w:val="20"/>
            <w:szCs w:val="20"/>
            <w:lang w:eastAsia="es-US" w:bidi="ar-SA"/>
          </w:rPr>
          <w:t>http://www.bbc.com/mundo/noticias/2013/04/130410_carceles_cubanas_yv</w:t>
        </w:r>
      </w:hyperlink>
      <w:r>
        <w:rPr>
          <w:rFonts w:ascii="Times New Roman" w:eastAsia="STKaiti" w:hAnsi="Times New Roman" w:cs="Times New Roman"/>
          <w:color w:val="auto"/>
          <w:sz w:val="18"/>
          <w:szCs w:val="18"/>
          <w:lang w:eastAsia="es-US" w:bidi="ar-SA"/>
        </w:rPr>
        <w:t xml:space="preserve">   </w:t>
      </w:r>
      <w:r>
        <w:rPr>
          <w:rFonts w:ascii="Times New Roman" w:eastAsia="STKaiti" w:hAnsi="Times New Roman" w:cs="Times New Roman"/>
          <w:color w:val="auto"/>
          <w:sz w:val="20"/>
          <w:szCs w:val="20"/>
          <w:lang w:eastAsia="es-US" w:bidi="ar-SA"/>
        </w:rPr>
        <w:t>Por primera vez desde 2004 el gobierno cubano permitió el acceso de la prensa extranjera a varias prisiones (...) Las leyes de Cuba no ponen un tiempo límite para acusar formalmente a una persona. En la sala de espera, Delia Enríquez cuenta a BBC Mundo que su esposo lleva ya dos años preso sin condena, "lo acusan de receptación pero sigue a la espera de que el instructor presente cargos"…</w:t>
      </w:r>
    </w:p>
  </w:footnote>
  <w:footnote w:id="434">
    <w:p w14:paraId="4CDD254A" w14:textId="77777777" w:rsidR="00172411" w:rsidRDefault="00172411" w:rsidP="0027404B">
      <w:pPr>
        <w:pStyle w:val="Textonotapie"/>
        <w:spacing w:line="240" w:lineRule="atLeast"/>
        <w:ind w:firstLine="0"/>
        <w:rPr>
          <w:rFonts w:ascii="Calibri" w:hAnsi="Calibri"/>
          <w:sz w:val="18"/>
          <w:szCs w:val="18"/>
          <w:lang w:val="es-MX"/>
        </w:rPr>
      </w:pPr>
      <w:r>
        <w:rPr>
          <w:rStyle w:val="Refdenotaalpie"/>
        </w:rPr>
        <w:footnoteRef/>
      </w:r>
      <w:r>
        <w:t xml:space="preserve"> Comisión Interamericana de Derechos Humanos. 5 diciembre 2011. OEA Ser. L/V/II. Doc.62. </w:t>
      </w:r>
      <w:r>
        <w:rPr>
          <w:i/>
        </w:rPr>
        <w:t>La Situación de Personas Afrodescendientes en las Américas.</w:t>
      </w:r>
      <w:r>
        <w:t xml:space="preserve"> Disponible: </w:t>
      </w:r>
      <w:hyperlink r:id="rId156" w:history="1">
        <w:r>
          <w:rPr>
            <w:rStyle w:val="Hipervnculo"/>
            <w:sz w:val="18"/>
            <w:szCs w:val="18"/>
          </w:rPr>
          <w:t>https://www.oas.org/es/cidh/afrodescendientes/docs/pdf/afros_2011_esp.pdf</w:t>
        </w:r>
      </w:hyperlink>
      <w:r>
        <w:rPr>
          <w:sz w:val="18"/>
          <w:szCs w:val="18"/>
        </w:rPr>
        <w:t xml:space="preserve"> pag.71</w:t>
      </w:r>
    </w:p>
  </w:footnote>
  <w:footnote w:id="435">
    <w:p w14:paraId="5AEC767A" w14:textId="77777777" w:rsidR="00172411" w:rsidRDefault="00172411" w:rsidP="0027404B">
      <w:pPr>
        <w:pStyle w:val="Textonotapie"/>
        <w:spacing w:line="240" w:lineRule="atLeast"/>
        <w:ind w:firstLine="0"/>
      </w:pPr>
      <w:r>
        <w:rPr>
          <w:rStyle w:val="Refdenotaalpie"/>
        </w:rPr>
        <w:footnoteRef/>
      </w:r>
      <w:r>
        <w:t xml:space="preserve"> 14ymedio, Washington DC | Octubre 27, 2014. </w:t>
      </w:r>
      <w:r>
        <w:rPr>
          <w:i/>
        </w:rPr>
        <w:t xml:space="preserve">La voz de los presos cubanos llega a la Comisión Interamericana de Derechos Humanos. </w:t>
      </w:r>
      <w:r>
        <w:t>Disponible: http://www.14ymedio.com/nacional/situacion-presos-Cuba-es-presentada-ante-comision-interamericana-derechos-humanos-por-cubalex_0_1659434051.html. (...)</w:t>
      </w:r>
    </w:p>
  </w:footnote>
  <w:footnote w:id="436">
    <w:p w14:paraId="609C8997" w14:textId="77777777" w:rsidR="00172411" w:rsidRDefault="00172411" w:rsidP="0027404B">
      <w:pPr>
        <w:pStyle w:val="Textonotapie"/>
        <w:spacing w:line="240" w:lineRule="atLeast"/>
        <w:ind w:firstLine="0"/>
      </w:pPr>
      <w:r>
        <w:rPr>
          <w:rStyle w:val="Refdenotaalpie"/>
        </w:rPr>
        <w:footnoteRef/>
      </w:r>
      <w:r>
        <w:t xml:space="preserve"> 14ymedio/EFE, La Habana | Septiembre 14, 2015.</w:t>
      </w:r>
      <w:r>
        <w:rPr>
          <w:i/>
        </w:rPr>
        <w:t>El indulto no incluye a presos considerados políticos por la disidencia</w:t>
      </w:r>
      <w:r>
        <w:t xml:space="preserve">. </w:t>
      </w:r>
      <w:r>
        <w:rPr>
          <w:sz w:val="18"/>
          <w:szCs w:val="18"/>
        </w:rPr>
        <w:t>Disponible:</w:t>
      </w:r>
      <w:r>
        <w:t xml:space="preserve"> </w:t>
      </w:r>
      <w:hyperlink r:id="rId157" w:history="1">
        <w:r>
          <w:rPr>
            <w:rStyle w:val="Hipervnculo"/>
            <w:color w:val="auto"/>
            <w:sz w:val="18"/>
            <w:szCs w:val="18"/>
          </w:rPr>
          <w:t>http://www.14ymedio.com/nacional/indulto-incluye-considerados-politicos-disidencia_0_1852614730.html</w:t>
        </w:r>
      </w:hyperlink>
      <w:hyperlink>
        <w:r>
          <w:rPr>
            <w:sz w:val="18"/>
            <w:szCs w:val="18"/>
            <w:lang w:val="es-ES"/>
          </w:rPr>
          <w:t>.</w:t>
        </w:r>
      </w:hyperlink>
    </w:p>
  </w:footnote>
  <w:footnote w:id="437">
    <w:p w14:paraId="41318685" w14:textId="77777777" w:rsidR="00172411" w:rsidRDefault="00172411" w:rsidP="0010505D">
      <w:pPr>
        <w:pStyle w:val="Textonotapie"/>
        <w:spacing w:line="240" w:lineRule="atLeast"/>
        <w:ind w:firstLine="0"/>
      </w:pPr>
      <w:r>
        <w:rPr>
          <w:rStyle w:val="Refdenotaalpie"/>
        </w:rPr>
        <w:footnoteRef/>
      </w:r>
      <w:r>
        <w:t xml:space="preserve">  Lic. Rubén Remigio Ferro. </w:t>
      </w:r>
      <w:r>
        <w:rPr>
          <w:rFonts w:cs="Tahoma"/>
        </w:rPr>
        <w:t xml:space="preserve">2010. </w:t>
      </w:r>
      <w:r>
        <w:rPr>
          <w:rFonts w:cs="Tahoma"/>
          <w:i/>
        </w:rPr>
        <w:t>Vocación De Justicia: Propia, Universal Y Efectiva</w:t>
      </w:r>
      <w:r>
        <w:t xml:space="preserve">. Discurso pronunciado por el Lic. Rubén Remigio Ferro, presidente del Tribunal Supremo Popular, en la apertura del V Encuentro Internacional Justicia y Derecho, el 26 de mayo de 2010 en Cuba. Justicia y Derecho. Revista del Tribunal Supremo Popular. ISSN 1810-0171. No. 14, año 8, junio 2009. Disponible:   </w:t>
      </w:r>
      <w:hyperlink r:id="rId158" w:history="1">
        <w:r>
          <w:rPr>
            <w:rStyle w:val="Hipervnculo"/>
          </w:rPr>
          <w:t>http://www.tsp.cu/sites/default/files/divulga_cendij/14JusticiaDerecho.pdf</w:t>
        </w:r>
      </w:hyperlink>
      <w:r>
        <w:rPr>
          <w:rStyle w:val="Hipervnculo"/>
        </w:rPr>
        <w:t xml:space="preserve">  (</w:t>
      </w:r>
      <w:r>
        <w:t>... ) gran interés e impacto en ese sentido resultan, también, las transformaciones que, desde hace algunos años, vienen operándose en el sistema penitenciario del país, sobre la base de concepciones muy avanzadas en relación con el papel de la educación, la cultura y el deporte en la rehabilitación de las personas que cumplen sanciones de internamiento, lo que incluye la implementación de condiciones que favorecen los vínculos sistemáticos de estas personas con su familia y la sociedad.</w:t>
      </w:r>
    </w:p>
  </w:footnote>
  <w:footnote w:id="438">
    <w:p w14:paraId="61BFB878" w14:textId="136C2590" w:rsidR="00172411" w:rsidRDefault="00172411" w:rsidP="0027404B">
      <w:pPr>
        <w:pStyle w:val="Sinespaciado"/>
        <w:spacing w:after="0" w:afterAutospacing="0"/>
        <w:ind w:left="0" w:firstLine="0"/>
        <w:rPr>
          <w:rFonts w:ascii="Times New Roman" w:eastAsia="STKaiti" w:hAnsi="Times New Roman"/>
          <w:sz w:val="20"/>
          <w:szCs w:val="20"/>
          <w:lang w:val="es-US" w:eastAsia="es-US"/>
        </w:rPr>
      </w:pPr>
      <w:r>
        <w:rPr>
          <w:rStyle w:val="Refdenotaalpie"/>
        </w:rPr>
        <w:footnoteRef/>
      </w:r>
      <w:r>
        <w:t xml:space="preserve"> </w:t>
      </w:r>
      <w:r>
        <w:rPr>
          <w:rFonts w:ascii="Times New Roman" w:eastAsia="STKaiti" w:hAnsi="Times New Roman"/>
          <w:sz w:val="20"/>
          <w:szCs w:val="20"/>
          <w:lang w:val="es-US" w:eastAsia="es-US"/>
        </w:rPr>
        <w:t xml:space="preserve">Juan J. Almeida. 8 Diciembre 2014. </w:t>
      </w:r>
      <w:r>
        <w:rPr>
          <w:rFonts w:ascii="Times New Roman" w:eastAsia="STKaiti" w:hAnsi="Times New Roman"/>
          <w:i/>
          <w:sz w:val="20"/>
          <w:szCs w:val="20"/>
          <w:lang w:val="es-US" w:eastAsia="es-US"/>
        </w:rPr>
        <w:t>Suicidio de joven recluta llega hasta Díaz-Canel</w:t>
      </w:r>
      <w:r>
        <w:rPr>
          <w:rFonts w:ascii="Times New Roman" w:eastAsia="STKaiti" w:hAnsi="Times New Roman"/>
          <w:sz w:val="20"/>
          <w:szCs w:val="20"/>
          <w:lang w:val="es-US" w:eastAsia="es-US"/>
        </w:rPr>
        <w:t xml:space="preserve">. Marti Noticias. Disponible: </w:t>
      </w:r>
      <w:hyperlink r:id="rId159" w:history="1">
        <w:r>
          <w:rPr>
            <w:rStyle w:val="Hipervnculo"/>
            <w:rFonts w:ascii="Times New Roman" w:eastAsia="STKaiti" w:hAnsi="Times New Roman"/>
            <w:color w:val="auto"/>
            <w:sz w:val="20"/>
            <w:szCs w:val="20"/>
            <w:lang w:val="es-US" w:eastAsia="es-US"/>
          </w:rPr>
          <w:t>http://www.martinoticias.com/content/suicidio-de-joven-recluta-llega-hasta-diaz-canel/81717.html</w:t>
        </w:r>
      </w:hyperlink>
      <w:r>
        <w:rPr>
          <w:rFonts w:ascii="Times New Roman" w:eastAsia="STKaiti" w:hAnsi="Times New Roman"/>
          <w:sz w:val="20"/>
          <w:szCs w:val="20"/>
          <w:lang w:val="es-US" w:eastAsia="es-US"/>
        </w:rPr>
        <w:t xml:space="preserve">  (…)  Dayron Andino León, el joven que falleció en la unidad de prevención de las FAR en la provincia de Cienfuegos; desertor del Servicio Militar cubano, con apenas 18 años se suicidó en la prisión militar de su provincia natal, donde permanecía recluido a la espera de juicio…</w:t>
      </w:r>
    </w:p>
  </w:footnote>
  <w:footnote w:id="439">
    <w:p w14:paraId="1314AF3C" w14:textId="0CBA5EA7" w:rsidR="00172411" w:rsidRDefault="00172411" w:rsidP="0027404B">
      <w:pPr>
        <w:pStyle w:val="Textonotapie"/>
        <w:ind w:firstLine="0"/>
        <w:rPr>
          <w:lang w:val="es-ES"/>
        </w:rPr>
      </w:pPr>
      <w:r>
        <w:rPr>
          <w:rStyle w:val="Refdenotaalpie"/>
        </w:rPr>
        <w:footnoteRef/>
      </w:r>
      <w:r>
        <w:t xml:space="preserve"> </w:t>
      </w:r>
      <w:r>
        <w:rPr>
          <w:lang w:val="es-DO"/>
        </w:rPr>
        <w:t>Julio Cesar Álvarez.</w:t>
      </w:r>
      <w:r>
        <w:rPr>
          <w:b/>
          <w:lang w:val="es-DO"/>
        </w:rPr>
        <w:t xml:space="preserve"> </w:t>
      </w:r>
      <w:r>
        <w:rPr>
          <w:lang w:val="es-DO"/>
        </w:rPr>
        <w:t xml:space="preserve">Diciembre 15, 2014. </w:t>
      </w:r>
      <w:r>
        <w:rPr>
          <w:i/>
        </w:rPr>
        <w:t>Las ejecuciones simuladas en prisiones cubanas</w:t>
      </w:r>
      <w:r>
        <w:t>. Cubanet.</w:t>
      </w:r>
      <w:r>
        <w:rPr>
          <w:b/>
          <w:lang w:val="es-DO"/>
        </w:rPr>
        <w:t xml:space="preserve"> </w:t>
      </w:r>
      <w:r>
        <w:t xml:space="preserve">Disponible: </w:t>
      </w:r>
      <w:hyperlink r:id="rId160" w:history="1">
        <w:r>
          <w:rPr>
            <w:rStyle w:val="Hipervnculo"/>
            <w:lang w:val="es-DO"/>
          </w:rPr>
          <w:t>http://www.cubanet.org/opiniones/la-ejecuciones-simuladas-en-prisiones-cubanas/</w:t>
        </w:r>
      </w:hyperlink>
    </w:p>
  </w:footnote>
  <w:footnote w:id="440">
    <w:p w14:paraId="1B9349E5" w14:textId="42AD292A" w:rsidR="00172411" w:rsidRDefault="00172411" w:rsidP="0027404B">
      <w:pPr>
        <w:pStyle w:val="Textonotapie"/>
        <w:spacing w:line="240" w:lineRule="atLeast"/>
        <w:ind w:firstLine="0"/>
        <w:rPr>
          <w:rFonts w:ascii="Calibri" w:hAnsi="Calibri"/>
        </w:rPr>
      </w:pPr>
      <w:r>
        <w:rPr>
          <w:rStyle w:val="Refdenotaalpie"/>
        </w:rPr>
        <w:footnoteRef/>
      </w:r>
      <w:r>
        <w:t xml:space="preserve"> MSc. Darina Ortega León. </w:t>
      </w:r>
      <w:r>
        <w:rPr>
          <w:i/>
        </w:rPr>
        <w:t>El perfeccionamiento del sistema de enjuiciar penal cubano: ¿En busca de la alquimia perfecta?</w:t>
      </w:r>
      <w:r>
        <w:t xml:space="preserve">  Op.cit. Dra. Arlín Pérez Duharte et. al, 2015. </w:t>
      </w:r>
      <w:r>
        <w:rPr>
          <w:i/>
        </w:rPr>
        <w:t>Las Ciencias Penales y Criminológicas frente al espejo del tiempo</w:t>
      </w:r>
      <w:r>
        <w:t xml:space="preserve">.¿Qué queda de Beccaria 250 años después de la publicación de “Los delitos y las penas”? Editorial UNIJURIS, 2015. La Habana, Cuba. Disponible:  </w:t>
      </w:r>
      <w:r>
        <w:rPr>
          <w:sz w:val="18"/>
          <w:szCs w:val="18"/>
        </w:rPr>
        <w:t>http://www.lex.uh.cu/sites/default/files/7.%20SERIE%20C.%20PENALES%20Y%20CRIM.%20-7-%202015%20-%20BECCARIA.pdf</w:t>
      </w:r>
      <w:r>
        <w:t xml:space="preserve">   </w:t>
      </w:r>
    </w:p>
  </w:footnote>
  <w:footnote w:id="441">
    <w:p w14:paraId="77ADAD0E" w14:textId="77777777" w:rsidR="00172411" w:rsidRDefault="00172411" w:rsidP="004F1C6C">
      <w:pPr>
        <w:pStyle w:val="Textonotapie"/>
        <w:ind w:firstLine="0"/>
        <w:rPr>
          <w:lang w:val="es-ES"/>
        </w:rPr>
      </w:pPr>
      <w:r>
        <w:rPr>
          <w:rStyle w:val="Refdenotaalpie"/>
        </w:rPr>
        <w:footnoteRef/>
      </w:r>
      <w:r>
        <w:t xml:space="preserve"> Ivet González. 11 abril, 2013. </w:t>
      </w:r>
      <w:r>
        <w:rPr>
          <w:i/>
        </w:rPr>
        <w:t>Cárceles de mujeres cubanas reﬂejan desventajas de género</w:t>
      </w:r>
      <w:r>
        <w:t xml:space="preserve">. Inter Press Service en Cuba. Disponible: </w:t>
      </w:r>
      <w:hyperlink r:id="rId161" w:history="1">
        <w:r>
          <w:rPr>
            <w:rStyle w:val="Hipervnculo"/>
          </w:rPr>
          <w:t>http://www.ipscuba.net/genero/carceles-de-muje</w:t>
        </w:r>
      </w:hyperlink>
      <w:r>
        <w:t xml:space="preserve"> (... ) Sobresale la necesidad de particularizar los casos asociados a la violencia de género…</w:t>
      </w:r>
    </w:p>
  </w:footnote>
  <w:footnote w:id="442">
    <w:p w14:paraId="5CD4EEFD" w14:textId="77777777" w:rsidR="00172411" w:rsidRDefault="00172411" w:rsidP="004F1C6C">
      <w:pPr>
        <w:pStyle w:val="Textonotapie"/>
        <w:spacing w:line="240" w:lineRule="atLeast"/>
        <w:ind w:firstLine="0"/>
      </w:pPr>
      <w:r>
        <w:rPr>
          <w:rStyle w:val="Refdenotaalpie"/>
        </w:rPr>
        <w:footnoteRef/>
      </w:r>
      <w:r>
        <w:t xml:space="preserve"> CAT/C/CUB/CO/2. Comité contra la Tortura. 7 de mayo a 1.º de junio de 2012. Cuba. 48.º período de sesiones . Examen de los informes presentados por los Estados partes en virtud del artículo 19 de la Convención. Observaciones finales del Comité contra la Tortura. Cuba. Recopilación de datos Párrafo 26.  Párrafo 8, 10, 11, 17, 18</w:t>
      </w:r>
    </w:p>
  </w:footnote>
  <w:footnote w:id="443">
    <w:p w14:paraId="03ACC54B" w14:textId="77777777" w:rsidR="00172411" w:rsidRPr="001A5D02" w:rsidRDefault="00172411" w:rsidP="001A5D02">
      <w:pPr>
        <w:pStyle w:val="Textonotapie"/>
        <w:ind w:firstLine="0"/>
        <w:rPr>
          <w:lang w:val="en-US"/>
        </w:rPr>
      </w:pPr>
      <w:r>
        <w:rPr>
          <w:rStyle w:val="Refdenotaalpie"/>
        </w:rPr>
        <w:footnoteRef/>
      </w:r>
      <w:r>
        <w:rPr>
          <w:lang w:val="en-US"/>
        </w:rPr>
        <w:t xml:space="preserve"> Marlene Alejos. March 2005. </w:t>
      </w:r>
      <w:r>
        <w:rPr>
          <w:i/>
          <w:lang w:val="en-US"/>
        </w:rPr>
        <w:t>Babies and Small Children  Residing in Prisons</w:t>
      </w:r>
      <w:r>
        <w:rPr>
          <w:lang w:val="en-US"/>
        </w:rPr>
        <w:t xml:space="preserve">. </w:t>
      </w:r>
      <w:r w:rsidRPr="001A5D02">
        <w:rPr>
          <w:lang w:val="en-US"/>
        </w:rPr>
        <w:t>Quaker United Nations Office. Disponible: www.quno.org</w:t>
      </w:r>
    </w:p>
  </w:footnote>
  <w:footnote w:id="444">
    <w:p w14:paraId="4693D9B7" w14:textId="20B9CBEE" w:rsidR="00172411" w:rsidRPr="00BA7B18" w:rsidRDefault="00172411" w:rsidP="00BA7B18">
      <w:pPr>
        <w:pStyle w:val="Textonotapie"/>
        <w:ind w:firstLine="0"/>
        <w:rPr>
          <w:lang w:val="es-ES"/>
        </w:rPr>
      </w:pPr>
      <w:r>
        <w:rPr>
          <w:rStyle w:val="Refdenotaalpie"/>
        </w:rPr>
        <w:footnoteRef/>
      </w:r>
      <w:r>
        <w:t xml:space="preserve"> Ivet González. 11 abril, 2013. </w:t>
      </w:r>
      <w:r>
        <w:rPr>
          <w:i/>
        </w:rPr>
        <w:t>Cárceles de mujeres cubanas reflejan desventajas de género</w:t>
      </w:r>
      <w:r>
        <w:t xml:space="preserve">. Inter Press Service en Cuba. Disponible: </w:t>
      </w:r>
      <w:hyperlink r:id="rId162" w:history="1">
        <w:r>
          <w:rPr>
            <w:rStyle w:val="Hipervnculo"/>
          </w:rPr>
          <w:t>http://www.ipscuba.net/genero/carceles-de-muje</w:t>
        </w:r>
      </w:hyperlink>
    </w:p>
  </w:footnote>
  <w:footnote w:id="445">
    <w:p w14:paraId="529F4EDC" w14:textId="77777777" w:rsidR="00172411" w:rsidRDefault="00172411" w:rsidP="001A5D02">
      <w:pPr>
        <w:spacing w:after="0" w:line="240" w:lineRule="atLeast"/>
        <w:rPr>
          <w:rFonts w:ascii="Times New Roman" w:hAnsi="Times New Roman"/>
          <w:sz w:val="20"/>
          <w:szCs w:val="20"/>
        </w:rPr>
      </w:pPr>
      <w:r>
        <w:rPr>
          <w:rStyle w:val="Refdenotaalpie"/>
        </w:rPr>
        <w:footnoteRef/>
      </w:r>
      <w:r w:rsidRPr="001A5D02">
        <w:rPr>
          <w:rFonts w:ascii="Times New Roman" w:hAnsi="Times New Roman"/>
          <w:sz w:val="20"/>
          <w:szCs w:val="20"/>
          <w:lang w:val="en-US"/>
        </w:rPr>
        <w:t xml:space="preserve"> </w:t>
      </w:r>
      <w:bookmarkStart w:id="134" w:name="OLE_LINK70"/>
      <w:bookmarkStart w:id="135" w:name="OLE_LINK72"/>
      <w:r w:rsidRPr="001A5D02">
        <w:rPr>
          <w:rFonts w:ascii="Times New Roman" w:hAnsi="Times New Roman"/>
          <w:sz w:val="20"/>
          <w:szCs w:val="20"/>
          <w:lang w:val="en-US"/>
        </w:rPr>
        <w:t xml:space="preserve">Oliver Robertson. </w:t>
      </w:r>
      <w:r>
        <w:rPr>
          <w:rFonts w:ascii="Times New Roman" w:hAnsi="Times New Roman"/>
          <w:sz w:val="20"/>
          <w:szCs w:val="20"/>
        </w:rPr>
        <w:t>Agosto 2012.</w:t>
      </w:r>
      <w:r>
        <w:t xml:space="preserve"> </w:t>
      </w:r>
      <w:r>
        <w:rPr>
          <w:rFonts w:ascii="Times New Roman" w:hAnsi="Times New Roman"/>
          <w:sz w:val="20"/>
          <w:szCs w:val="20"/>
        </w:rPr>
        <w:t>Convictos colaterales: niños y niñas de progenitores presos. Recomendaciones y buenas prácticas  del Comité de la Naciones Unidas sobre los Derechos de la Niñez, en el Día de Debate General 2011.Disponible:</w:t>
      </w:r>
    </w:p>
    <w:p w14:paraId="44A13759" w14:textId="77777777" w:rsidR="00172411" w:rsidRPr="0089093B" w:rsidRDefault="00172411" w:rsidP="001A5D02">
      <w:pPr>
        <w:spacing w:after="0" w:line="240" w:lineRule="atLeast"/>
        <w:rPr>
          <w:rFonts w:ascii="Times New Roman" w:hAnsi="Times New Roman"/>
          <w:sz w:val="20"/>
          <w:szCs w:val="20"/>
          <w:lang w:val="en-US"/>
        </w:rPr>
      </w:pPr>
      <w:hyperlink r:id="rId163" w:history="1">
        <w:r>
          <w:rPr>
            <w:rStyle w:val="Hipervnculo"/>
            <w:rFonts w:ascii="Times New Roman" w:hAnsi="Times New Roman"/>
            <w:color w:val="auto"/>
            <w:sz w:val="20"/>
            <w:szCs w:val="20"/>
          </w:rPr>
          <w:t>https://pdfs.semanticscholar.org/cb58/ddc5b9d6ab2bebb9d0994ed6848cad6b5c2c.pdf</w:t>
        </w:r>
      </w:hyperlink>
      <w:r>
        <w:rPr>
          <w:rFonts w:ascii="Times New Roman" w:hAnsi="Times New Roman"/>
          <w:sz w:val="20"/>
          <w:szCs w:val="20"/>
        </w:rPr>
        <w:t xml:space="preserve">. </w:t>
      </w:r>
      <w:r w:rsidRPr="0089093B">
        <w:rPr>
          <w:rFonts w:ascii="Times New Roman" w:hAnsi="Times New Roman"/>
          <w:sz w:val="20"/>
          <w:szCs w:val="20"/>
          <w:lang w:val="en-US"/>
        </w:rPr>
        <w:t>Pag.8</w:t>
      </w:r>
    </w:p>
    <w:bookmarkEnd w:id="134"/>
    <w:bookmarkEnd w:id="135"/>
  </w:footnote>
  <w:footnote w:id="446">
    <w:p w14:paraId="7D08814C" w14:textId="413B7662" w:rsidR="00172411" w:rsidRDefault="00172411" w:rsidP="00A668BF">
      <w:pPr>
        <w:spacing w:after="0" w:line="240" w:lineRule="atLeast"/>
        <w:rPr>
          <w:rFonts w:ascii="Times New Roman" w:hAnsi="Times New Roman"/>
          <w:sz w:val="20"/>
          <w:szCs w:val="20"/>
        </w:rPr>
      </w:pPr>
      <w:r>
        <w:rPr>
          <w:rStyle w:val="Refdenotaalpie"/>
        </w:rPr>
        <w:footnoteRef/>
      </w:r>
      <w:r>
        <w:t xml:space="preserve"> </w:t>
      </w:r>
      <w:r w:rsidRPr="00A668BF">
        <w:rPr>
          <w:rFonts w:ascii="Times New Roman" w:hAnsi="Times New Roman"/>
          <w:sz w:val="20"/>
          <w:szCs w:val="20"/>
        </w:rPr>
        <w:t xml:space="preserve">Oliver Robertson. </w:t>
      </w:r>
      <w:r>
        <w:rPr>
          <w:rFonts w:ascii="Times New Roman" w:hAnsi="Times New Roman"/>
          <w:sz w:val="20"/>
          <w:szCs w:val="20"/>
        </w:rPr>
        <w:t>Agosto 2012.</w:t>
      </w:r>
      <w:r>
        <w:t xml:space="preserve"> </w:t>
      </w:r>
      <w:r>
        <w:rPr>
          <w:rFonts w:ascii="Times New Roman" w:hAnsi="Times New Roman"/>
          <w:sz w:val="20"/>
          <w:szCs w:val="20"/>
        </w:rPr>
        <w:t>Convictos colaterales: niños y niñas de progenitores presos. Recomendaciones y buenas prácticas  del Comité de la Naciones Unidas sobre los Derechos de la Niñez, en el Día de Debate General 2011.Disponible:</w:t>
      </w:r>
    </w:p>
    <w:p w14:paraId="2EE8C445" w14:textId="17696459" w:rsidR="00172411" w:rsidRPr="00A668BF" w:rsidRDefault="00172411" w:rsidP="00A668BF">
      <w:pPr>
        <w:spacing w:after="0" w:line="240" w:lineRule="atLeast"/>
        <w:rPr>
          <w:rFonts w:ascii="Times New Roman" w:hAnsi="Times New Roman"/>
          <w:sz w:val="20"/>
          <w:szCs w:val="20"/>
          <w:lang w:val="en-US"/>
        </w:rPr>
      </w:pPr>
      <w:hyperlink r:id="rId164" w:history="1">
        <w:r>
          <w:rPr>
            <w:rStyle w:val="Hipervnculo"/>
            <w:rFonts w:ascii="Times New Roman" w:hAnsi="Times New Roman"/>
            <w:sz w:val="20"/>
            <w:szCs w:val="20"/>
          </w:rPr>
          <w:t>https://pdfs.semanticscholar.org/cb58/ddc5b9d6ab2bebb9d0994ed6848cad6b5c2c.pdf</w:t>
        </w:r>
      </w:hyperlink>
      <w:r>
        <w:rPr>
          <w:rFonts w:ascii="Times New Roman" w:hAnsi="Times New Roman"/>
          <w:sz w:val="20"/>
          <w:szCs w:val="20"/>
        </w:rPr>
        <w:t xml:space="preserve">. </w:t>
      </w:r>
      <w:r>
        <w:t>Pag.80 . Estadísticas.</w:t>
      </w:r>
    </w:p>
  </w:footnote>
  <w:footnote w:id="447">
    <w:p w14:paraId="256218D8" w14:textId="5C3120A4" w:rsidR="00172411" w:rsidRPr="00183ED8" w:rsidRDefault="00172411" w:rsidP="00183ED8">
      <w:pPr>
        <w:pStyle w:val="Textonotapie"/>
        <w:ind w:firstLine="0"/>
      </w:pPr>
      <w:r>
        <w:rPr>
          <w:rStyle w:val="Refdenotaalpie"/>
        </w:rPr>
        <w:footnoteRef/>
      </w:r>
      <w:r>
        <w:t xml:space="preserve"> CRC/GC/2003/5 Medidas generales de aplicación de la Convención sobre los Derechos del Niño (artículos 4 y 42 y párrafo 6 del artículo 44) OBSERVACIÓN GENERAL N° 5 Párrafo 1</w:t>
      </w:r>
    </w:p>
  </w:footnote>
  <w:footnote w:id="448">
    <w:p w14:paraId="13143518" w14:textId="77777777" w:rsidR="00172411" w:rsidRDefault="00172411" w:rsidP="00EF5626">
      <w:pPr>
        <w:pStyle w:val="Textonotapie"/>
        <w:spacing w:line="240" w:lineRule="atLeast"/>
        <w:ind w:firstLine="0"/>
        <w:rPr>
          <w:lang w:val="es-MX"/>
        </w:rPr>
      </w:pPr>
      <w:r>
        <w:rPr>
          <w:rStyle w:val="Refdenotaalpie"/>
        </w:rPr>
        <w:footnoteRef/>
      </w:r>
      <w:r>
        <w:rPr>
          <w:lang w:val="es-MX"/>
        </w:rPr>
        <w:t xml:space="preserve"> Consejo De Ministros. República de Cuba.  (5 de noviembre de 2012) decreto No. 298, "Reglamento Del Consejo De Información Del Gobierno” Gaceta Oficial No. 47 Extraordinaria. LA HABANA, Pág. 197.</w:t>
      </w:r>
    </w:p>
  </w:footnote>
  <w:footnote w:id="449">
    <w:p w14:paraId="09459BBC" w14:textId="77777777" w:rsidR="00172411" w:rsidRDefault="00172411" w:rsidP="00EF5626">
      <w:pPr>
        <w:pStyle w:val="Textonotapie"/>
        <w:spacing w:line="240" w:lineRule="atLeast"/>
        <w:ind w:firstLine="0"/>
        <w:rPr>
          <w:lang w:val="es-MX"/>
        </w:rPr>
      </w:pPr>
      <w:r>
        <w:rPr>
          <w:rStyle w:val="Refdenotaalpie"/>
        </w:rPr>
        <w:footnoteRef/>
      </w:r>
      <w:r>
        <w:rPr>
          <w:lang w:val="es-MX"/>
        </w:rPr>
        <w:t xml:space="preserve"> Asamblea Nacional del Poder Popular (25 de diciembre de 1996).  Reglamento De La Asamblea Nacional Del Poder Popular. ARTICULO 26. Las comisiones de trabajo tienen como funciones, auxiliar a la Asamblea Nacional y al Consejo de Estado en la más alta fiscalización de los órganos del Estado y del Gobierno, elaborar proyectos de leyes y acuerdos, dictaminar sobre los asuntos que se sometan a su examen, realizar los estudios que se les encomienden, y participar en la comprobación del cumplimiento de las decisiones adoptadas por la Asamblea Nacional y el Consejo de Estado que se programen en sus planes de trabajo. ARTICULO 29. En la realización de sus funciones, las Comisiones Permanentes cumplen las actividades siguientes: c) realizar estudios e informes sobre asuntos que, por su naturaleza y contenido, resulten de interés nacional;… ARTICULO 42. Ningún miembro de la Comisión puede dar a conocer informaciones clasificadas que conozca en razón de su condición de miembro de la Comisión sin la autorización correspondiente y según lo establecido en la legislación vigente…</w:t>
      </w:r>
    </w:p>
  </w:footnote>
  <w:footnote w:id="450">
    <w:p w14:paraId="4E742FBF" w14:textId="77777777" w:rsidR="00172411" w:rsidRDefault="00172411" w:rsidP="00EF5626">
      <w:pPr>
        <w:pStyle w:val="Textonotapie"/>
        <w:spacing w:line="240" w:lineRule="atLeast"/>
        <w:ind w:firstLine="0"/>
        <w:rPr>
          <w:lang w:val="es-MX"/>
        </w:rPr>
      </w:pPr>
      <w:r>
        <w:rPr>
          <w:rStyle w:val="Refdenotaalpie"/>
        </w:rPr>
        <w:footnoteRef/>
      </w:r>
      <w:r>
        <w:rPr>
          <w:lang w:val="es-MX"/>
        </w:rPr>
        <w:t xml:space="preserve"> Richard E. Feinberg (2011) </w:t>
      </w:r>
      <w:r>
        <w:rPr>
          <w:i/>
          <w:lang w:val="es-MX"/>
        </w:rPr>
        <w:t>Extender la mano: La nueva economía de Cuba y respuesta internacional</w:t>
      </w:r>
      <w:r>
        <w:rPr>
          <w:lang w:val="es-MX"/>
        </w:rPr>
        <w:t xml:space="preserve">. Iniciativa para América Latina. </w:t>
      </w:r>
      <w:r>
        <w:rPr>
          <w:sz w:val="16"/>
          <w:szCs w:val="16"/>
          <w:lang w:val="es-MX"/>
        </w:rPr>
        <w:t>Disponible:</w:t>
      </w:r>
      <w:r>
        <w:rPr>
          <w:lang w:val="es-MX"/>
        </w:rPr>
        <w:t xml:space="preserve"> http://www.brookings.edu/~/media/research/files/papers/2011/1118_cuba_feinberg_spanish.pdf  Un informe sobre la economía de Cuba que preparó Nathan Associates para la USAID incluyó el siguiente comentario sobre la calidad y formato de los datos.― En general, la información sobre Cuba presenta problemas de disponibilidad, confiabilidad, puntualidad y transparencia… Existen muchos vacíos, y las definiciones de las estadísticas oficiales y la metodología que se usan para obtener los índices no son siempre claras. Además, falta de apoyo a Cuba por parte del FMI y el Banco Mundial hace difícil hacer comparaciones internacionales... así, los datos y nuestra interpretación de ellos deben interpretarse con cautela".</w:t>
      </w:r>
    </w:p>
  </w:footnote>
  <w:footnote w:id="451">
    <w:p w14:paraId="6F0E47BA" w14:textId="77777777" w:rsidR="00172411" w:rsidRDefault="00172411" w:rsidP="00EF5626">
      <w:pPr>
        <w:pStyle w:val="Textonotapie"/>
        <w:spacing w:line="240" w:lineRule="atLeast"/>
        <w:ind w:firstLine="0"/>
        <w:rPr>
          <w:lang w:val="es-MX"/>
        </w:rPr>
      </w:pPr>
      <w:r>
        <w:rPr>
          <w:rStyle w:val="Refdenotaalpie"/>
          <w:sz w:val="22"/>
          <w:szCs w:val="22"/>
        </w:rPr>
        <w:footnoteRef/>
      </w:r>
      <w:r w:rsidRPr="00A53085">
        <w:rPr>
          <w:lang w:val="en-US"/>
        </w:rPr>
        <w:t xml:space="preserve">CRC/C/OPSC/CUB/CO/1 (2015). </w:t>
      </w:r>
      <w:r>
        <w:rPr>
          <w:lang w:val="es-MX"/>
        </w:rPr>
        <w:t>Párrafo 8. Página 2.</w:t>
      </w:r>
    </w:p>
  </w:footnote>
  <w:footnote w:id="452">
    <w:p w14:paraId="11E296D8" w14:textId="77777777" w:rsidR="00172411" w:rsidRDefault="00172411" w:rsidP="00EF5626">
      <w:pPr>
        <w:pStyle w:val="Textonotapie"/>
        <w:spacing w:line="240" w:lineRule="atLeast"/>
        <w:ind w:firstLine="0"/>
        <w:rPr>
          <w:lang w:val="es-MX"/>
        </w:rPr>
      </w:pPr>
      <w:r>
        <w:rPr>
          <w:rStyle w:val="Refdenotaalpie"/>
          <w:sz w:val="22"/>
          <w:szCs w:val="22"/>
        </w:rPr>
        <w:footnoteRef/>
      </w:r>
      <w:r>
        <w:rPr>
          <w:lang w:val="es-MX"/>
        </w:rPr>
        <w:t xml:space="preserve">ONG ACDEI. Cuba (2014) </w:t>
      </w:r>
      <w:r>
        <w:rPr>
          <w:i/>
          <w:lang w:val="es-MX"/>
        </w:rPr>
        <w:t>Informe del Protocolo facultativo de la Convención sobre los Derecho del Niño relativo a la participación de los niños en conflictos armados</w:t>
      </w:r>
      <w:r>
        <w:rPr>
          <w:lang w:val="es-MX"/>
        </w:rPr>
        <w:t>. Disponible en:</w:t>
      </w:r>
      <w:hyperlink r:id="rId165" w:history="1">
        <w:r>
          <w:rPr>
            <w:rStyle w:val="Hipervnculo"/>
            <w:lang w:val="es-MX"/>
          </w:rPr>
          <w:t>http://tbinternet.ohchr.org/Treaties/CRC-OP-AC/Shared%20Documents/CUB/INT_CRC-OP-AC_NGO_CUB_17928_E.pdf</w:t>
        </w:r>
      </w:hyperlink>
      <w:r>
        <w:rPr>
          <w:lang w:val="es-MX"/>
        </w:rPr>
        <w:t>―La Constitución de la República de Cuba no hace referencia explícita al orden jerárquico de los tratados internacionales aunque funda sus relaciones exteriores en el respeto a principios proclamados en la Carta de las Naciones Unidas y en otros tratados internacionales de los cuales Cuba sea parte”. Pág. 7.</w:t>
      </w:r>
    </w:p>
  </w:footnote>
  <w:footnote w:id="453">
    <w:p w14:paraId="3CC1A214" w14:textId="77777777" w:rsidR="00172411" w:rsidRDefault="00172411" w:rsidP="00EF5626">
      <w:pPr>
        <w:pStyle w:val="Textonotapie"/>
        <w:spacing w:line="240" w:lineRule="atLeast"/>
        <w:ind w:firstLine="0"/>
      </w:pPr>
      <w:r>
        <w:rPr>
          <w:sz w:val="22"/>
          <w:szCs w:val="22"/>
          <w:vertAlign w:val="superscript"/>
        </w:rPr>
        <w:footnoteRef/>
      </w:r>
      <w:r>
        <w:rPr>
          <w:lang w:val="es-MX"/>
        </w:rPr>
        <w:t xml:space="preserve">CRC/C/CUB/CO/2 (2011). </w:t>
      </w:r>
      <w:r>
        <w:t>Párrafo 15. Página 4.</w:t>
      </w:r>
    </w:p>
  </w:footnote>
  <w:footnote w:id="454">
    <w:p w14:paraId="725613EF" w14:textId="77777777" w:rsidR="00172411" w:rsidRDefault="00172411" w:rsidP="00FB1F39">
      <w:pPr>
        <w:pStyle w:val="Textonotapie"/>
        <w:spacing w:line="240" w:lineRule="atLeast"/>
        <w:ind w:firstLine="0"/>
      </w:pPr>
      <w:r>
        <w:rPr>
          <w:rStyle w:val="Refdenotaalpie"/>
          <w:sz w:val="22"/>
          <w:szCs w:val="22"/>
        </w:rPr>
        <w:footnoteRef/>
      </w:r>
      <w:r>
        <w:rPr>
          <w:lang w:val="es-MX"/>
        </w:rPr>
        <w:t>El sitio web “Gaceta Oficial de la República de Cuba”  para consultar  legislación  es público.  Frecuentemente no puede ser visitado por diversos</w:t>
      </w:r>
      <w:r>
        <w:rPr>
          <w:rStyle w:val="Refdenotaalpie"/>
          <w:lang w:val="es-MX"/>
        </w:rPr>
        <w:t xml:space="preserve"> </w:t>
      </w:r>
      <w:r w:rsidRPr="00EA24AA">
        <w:rPr>
          <w:rStyle w:val="Refdenotaalpie"/>
          <w:vertAlign w:val="baseline"/>
          <w:lang w:val="es-MX"/>
        </w:rPr>
        <w:t xml:space="preserve">motivos </w:t>
      </w:r>
      <w:r>
        <w:rPr>
          <w:lang w:val="es-MX"/>
        </w:rPr>
        <w:t xml:space="preserve"> y lenta conexión. Igualmente sucede con otros sitios web de instituciones relacionadas con el marco legal cubano</w:t>
      </w:r>
      <w:r>
        <w:rPr>
          <w:rFonts w:eastAsia="Times New Roman"/>
          <w:color w:val="333333"/>
          <w:lang w:val="es-MX" w:eastAsia="en-US"/>
        </w:rPr>
        <w:t xml:space="preserve">, </w:t>
      </w:r>
      <w:hyperlink r:id="rId166" w:tgtFrame="_blank" w:tooltip="Tribunal Supremo Popular" w:history="1">
        <w:r>
          <w:rPr>
            <w:rStyle w:val="Hipervnculo"/>
            <w:rFonts w:eastAsia="Times New Roman"/>
            <w:color w:val="333333"/>
            <w:lang w:val="es-MX"/>
          </w:rPr>
          <w:t>Tribunal Supremo Popular</w:t>
        </w:r>
      </w:hyperlink>
      <w:r>
        <w:rPr>
          <w:rFonts w:eastAsia="Times New Roman"/>
          <w:color w:val="333333"/>
          <w:lang w:val="es-MX" w:eastAsia="en-US"/>
        </w:rPr>
        <w:t>, Ministerio de Justicia, Contraloría General de la República, Facultades cubanas de Derecho, Unión de Jurista de Cuba, Bufetes Colectivos (ONBC), etc.</w:t>
      </w:r>
    </w:p>
  </w:footnote>
  <w:footnote w:id="455">
    <w:p w14:paraId="02114DC8" w14:textId="77777777" w:rsidR="00172411" w:rsidRDefault="00172411" w:rsidP="001F2D37">
      <w:pPr>
        <w:pStyle w:val="Textonotapie"/>
        <w:spacing w:line="240" w:lineRule="atLeast"/>
        <w:ind w:firstLine="0"/>
        <w:rPr>
          <w:lang w:val="es-MX"/>
        </w:rPr>
      </w:pPr>
      <w:r>
        <w:rPr>
          <w:rStyle w:val="Refdenotaalpie"/>
        </w:rPr>
        <w:footnoteRef/>
      </w:r>
      <w:r>
        <w:rPr>
          <w:lang w:val="es-MX"/>
        </w:rPr>
        <w:t xml:space="preserve">UNICEF y Dirección de Registros Médicos y Estadísticas de Salud, Ministerio de Salud Pública 2015. Encuesta de Indicadores Múltiples por Conglomerados. Cuba, 2014. Informe final. La Habana, Cuba. Disponible: </w:t>
      </w:r>
      <w:hyperlink r:id="rId167" w:history="1">
        <w:r>
          <w:rPr>
            <w:rStyle w:val="Hipervnculo"/>
            <w:lang w:val="es-MX"/>
          </w:rPr>
          <w:t>https://mics-surveysprod.s3.amazonaws.com/MICS5/Latin%20America%20and%20Caribbean/Cuba/2014/Key%20findings/Cuba%202014%20MICS%20KFR_Spanish.pdf</w:t>
        </w:r>
      </w:hyperlink>
      <w:r>
        <w:rPr>
          <w:lang w:val="es-MX"/>
        </w:rPr>
        <w:t>.</w:t>
      </w:r>
    </w:p>
  </w:footnote>
  <w:footnote w:id="456">
    <w:p w14:paraId="1B60B956" w14:textId="77777777" w:rsidR="00172411" w:rsidRDefault="00172411" w:rsidP="001F2D37">
      <w:pPr>
        <w:pStyle w:val="Textonotapie"/>
        <w:spacing w:line="240" w:lineRule="atLeast"/>
        <w:ind w:firstLine="0"/>
        <w:rPr>
          <w:rFonts w:ascii="Calibri" w:hAnsi="Calibri" w:cs="Calibri"/>
          <w:sz w:val="22"/>
          <w:szCs w:val="22"/>
        </w:rPr>
      </w:pPr>
      <w:r>
        <w:rPr>
          <w:vertAlign w:val="superscript"/>
          <w:lang w:val="es-MX"/>
        </w:rPr>
        <w:footnoteRef/>
      </w:r>
      <w:r>
        <w:rPr>
          <w:lang w:val="es-MX"/>
        </w:rPr>
        <w:t xml:space="preserve">Lisandra Fariñas Acosta. Febrero 10, 2018. </w:t>
      </w:r>
      <w:r>
        <w:rPr>
          <w:i/>
          <w:lang w:val="es-MX"/>
        </w:rPr>
        <w:t>Un atlas para que nadie quede atrás</w:t>
      </w:r>
      <w:r>
        <w:rPr>
          <w:lang w:val="es-MX"/>
        </w:rPr>
        <w:t>. Granma. Pág. 5. Edición Impresa</w:t>
      </w:r>
    </w:p>
  </w:footnote>
  <w:footnote w:id="457">
    <w:p w14:paraId="51FABA9C" w14:textId="77777777" w:rsidR="00172411" w:rsidRDefault="00172411" w:rsidP="00C048F6">
      <w:pPr>
        <w:pStyle w:val="Textonotapie"/>
        <w:ind w:firstLine="0"/>
      </w:pPr>
      <w:r>
        <w:rPr>
          <w:rStyle w:val="Refdenotaalpie"/>
        </w:rPr>
        <w:footnoteRef/>
      </w:r>
      <w:r>
        <w:t xml:space="preserve"> CIDH, Informe sobre el Derecho del niño y la niña a la familia. Cuidado alternativo. Poniendo fin a</w:t>
      </w:r>
    </w:p>
    <w:p w14:paraId="15A39FD1" w14:textId="3E661CF7" w:rsidR="00172411" w:rsidRDefault="00172411" w:rsidP="00C048F6">
      <w:pPr>
        <w:pStyle w:val="Textonotapie"/>
        <w:ind w:firstLine="0"/>
      </w:pPr>
      <w:r>
        <w:t xml:space="preserve">la institucionalización en las Américas, párrs. 6 y 96. Corte IDH. Condición Jurídica y Derechos Humanos del Niño. Opinión Consultiva OC-17/02, párr. 76. </w:t>
      </w:r>
    </w:p>
  </w:footnote>
  <w:footnote w:id="458">
    <w:p w14:paraId="719B4880" w14:textId="5A865F0D" w:rsidR="00172411" w:rsidRPr="001555D9" w:rsidRDefault="00172411" w:rsidP="005E434C">
      <w:pPr>
        <w:pStyle w:val="Textonotapie"/>
        <w:ind w:firstLine="0"/>
      </w:pPr>
      <w:r>
        <w:rPr>
          <w:rStyle w:val="Refdenotaalpie"/>
        </w:rPr>
        <w:footnoteRef/>
      </w:r>
      <w:r>
        <w:t xml:space="preserve"> </w:t>
      </w:r>
      <w:r>
        <w:rPr>
          <w:lang w:val="es-ES"/>
        </w:rPr>
        <w:t xml:space="preserve">Anthony Giddens (2000) </w:t>
      </w:r>
      <w:r>
        <w:rPr>
          <w:i/>
          <w:lang w:val="es-ES"/>
        </w:rPr>
        <w:t>Sociología</w:t>
      </w:r>
      <w:r>
        <w:rPr>
          <w:lang w:val="es-ES"/>
        </w:rPr>
        <w:t xml:space="preserve"> .Tercera edición revisada. Versión de Teresa Albero, et. al. </w:t>
      </w:r>
      <w:r>
        <w:rPr>
          <w:lang w:val="es-MX"/>
        </w:rPr>
        <w:t xml:space="preserve">Disponible:   </w:t>
      </w:r>
      <w:r>
        <w:rPr>
          <w:lang w:val="es-ES"/>
        </w:rPr>
        <w:t xml:space="preserve"> </w:t>
      </w:r>
      <w:hyperlink r:id="rId168" w:history="1">
        <w:r w:rsidRPr="00680B91">
          <w:rPr>
            <w:rStyle w:val="Hipervnculo"/>
            <w:lang w:val="es-ES"/>
          </w:rPr>
          <w:t>https://www.pdfdrive.net/anthony-giddens-sociologia-e33955264.html</w:t>
        </w:r>
      </w:hyperlink>
      <w:r>
        <w:rPr>
          <w:lang w:val="es-ES"/>
        </w:rPr>
        <w:t xml:space="preserve">  </w:t>
      </w:r>
      <w:r>
        <w:t>Pag.181</w:t>
      </w:r>
    </w:p>
  </w:footnote>
  <w:footnote w:id="459">
    <w:p w14:paraId="5DFA1A09" w14:textId="2FF107FE" w:rsidR="00172411" w:rsidRDefault="00172411" w:rsidP="00C048F6">
      <w:pPr>
        <w:pStyle w:val="Textonotapie"/>
        <w:ind w:firstLine="0"/>
      </w:pPr>
      <w:r>
        <w:rPr>
          <w:rStyle w:val="Refdenotaalpie"/>
        </w:rPr>
        <w:footnoteRef/>
      </w:r>
      <w:r>
        <w:t xml:space="preserve"> Luisa Íñiguez (Coord.), Edgar Figueroa y Janet Rojas. La Habana, 2017. Atlas de la infancia y la adolescencia en Cuba. Análisis a partir del Censo de Población y Viviendas 2012.  Editorial UH. Cuba.  Disponible:   </w:t>
      </w:r>
      <w:hyperlink r:id="rId169" w:history="1">
        <w:r>
          <w:rPr>
            <w:rStyle w:val="Hipervnculo"/>
          </w:rPr>
          <w:t>https://www.unicef.org/lac/Atlas_de_la_infancia_y_la_adolescencia_en_CubaLR4(1).pdf</w:t>
        </w:r>
      </w:hyperlink>
      <w:r>
        <w:t xml:space="preserve">  Pag.100</w:t>
      </w:r>
    </w:p>
  </w:footnote>
  <w:footnote w:id="460">
    <w:p w14:paraId="2E7DECD7" w14:textId="63424AA2" w:rsidR="00172411" w:rsidRPr="00BC42B3" w:rsidRDefault="00172411" w:rsidP="00FF5860">
      <w:pPr>
        <w:pStyle w:val="Textonotapie"/>
        <w:ind w:firstLine="0"/>
      </w:pPr>
      <w:r>
        <w:rPr>
          <w:rStyle w:val="Refdenotaalpie"/>
        </w:rPr>
        <w:footnoteRef/>
      </w:r>
      <w:r>
        <w:t xml:space="preserve"> </w:t>
      </w:r>
      <w:r>
        <w:rPr>
          <w:lang w:val="es-ES"/>
        </w:rPr>
        <w:t xml:space="preserve">Anthony Giddens (2000) </w:t>
      </w:r>
      <w:r>
        <w:rPr>
          <w:i/>
          <w:lang w:val="es-ES"/>
        </w:rPr>
        <w:t>Sociología</w:t>
      </w:r>
      <w:r>
        <w:rPr>
          <w:lang w:val="es-ES"/>
        </w:rPr>
        <w:t xml:space="preserve"> .Tercera edición revisada. Versión de Teresa Albero, et. al. </w:t>
      </w:r>
      <w:r>
        <w:rPr>
          <w:lang w:val="es-MX"/>
        </w:rPr>
        <w:t xml:space="preserve">Disponible:   </w:t>
      </w:r>
      <w:r>
        <w:rPr>
          <w:lang w:val="es-ES"/>
        </w:rPr>
        <w:t xml:space="preserve"> https://www.pdfdrive.net/anthony-giddens-sociologia-e33955264.html </w:t>
      </w:r>
    </w:p>
  </w:footnote>
  <w:footnote w:id="461">
    <w:p w14:paraId="0DFB8827" w14:textId="2358AE32" w:rsidR="00172411" w:rsidRPr="00270FF1" w:rsidRDefault="00172411" w:rsidP="00C01914">
      <w:pPr>
        <w:pStyle w:val="Textonotapie"/>
        <w:ind w:firstLine="0"/>
      </w:pPr>
      <w:r>
        <w:rPr>
          <w:rStyle w:val="Refdenotaalpie"/>
        </w:rPr>
        <w:footnoteRef/>
      </w:r>
      <w:r>
        <w:t xml:space="preserve">Bayona Mojena, Rosilín .2013. Buenos Aires </w:t>
      </w:r>
      <w:r>
        <w:rPr>
          <w:i/>
        </w:rPr>
        <w:t>.Brechas en el silencio. Ciencias sociales, conflictos y políticas públicas en el problema racial en Cuba</w:t>
      </w:r>
      <w:r>
        <w:t>. CLACSO.</w:t>
      </w:r>
      <w:r>
        <w:rPr>
          <w:color w:val="000000"/>
          <w:lang w:eastAsia="es-MX"/>
        </w:rPr>
        <w:t xml:space="preserve"> Disponible:   </w:t>
      </w:r>
      <w:hyperlink r:id="rId170" w:history="1">
        <w:r>
          <w:rPr>
            <w:rStyle w:val="Hipervnculo"/>
            <w:lang w:eastAsia="es-MX"/>
          </w:rPr>
          <w:t>http://biblioteca.clacso.edu.ar/clacso/becas/20131028052827/BayonaBecasInforme.pdf</w:t>
        </w:r>
      </w:hyperlink>
      <w:r>
        <w:rPr>
          <w:color w:val="000000"/>
          <w:lang w:eastAsia="es-MX"/>
        </w:rPr>
        <w:t xml:space="preserve">  Pag.10</w:t>
      </w:r>
    </w:p>
  </w:footnote>
  <w:footnote w:id="462">
    <w:p w14:paraId="40E03128" w14:textId="77777777" w:rsidR="00172411" w:rsidRDefault="00172411" w:rsidP="00E40639">
      <w:pPr>
        <w:autoSpaceDE w:val="0"/>
        <w:autoSpaceDN w:val="0"/>
        <w:adjustRightInd w:val="0"/>
        <w:spacing w:after="0"/>
        <w:rPr>
          <w:rFonts w:ascii="Times New Roman" w:hAnsi="Times New Roman"/>
          <w:sz w:val="20"/>
          <w:szCs w:val="20"/>
        </w:rPr>
      </w:pPr>
      <w:r>
        <w:rPr>
          <w:rStyle w:val="Refdenotaalpie"/>
        </w:rPr>
        <w:footnoteRef/>
      </w:r>
      <w:r>
        <w:rPr>
          <w:rFonts w:ascii="Times New Roman" w:hAnsi="Times New Roman"/>
          <w:sz w:val="20"/>
          <w:szCs w:val="20"/>
        </w:rPr>
        <w:t xml:space="preserve"> La Convención de los Derechos del Nino establece. ART. 9 -Chicas y chicos separados de sus madres y padres ART. 19 -Protección contra los malos tratos. ART. 20 Protección especial de las chicas y chicos separados de sus padres y madres. ART. 21- Protección en caso de acogida o adopción. ART. 25 -Derecho a la revisión periódica en caso de internamiento ART. 37 Protección contra la tortura y en situación de privación de libertad. ART.39 Derecho a la recuperación y reintegración social ART. 40 Chicas y chicos en conflicto con la ley</w:t>
      </w:r>
    </w:p>
  </w:footnote>
  <w:footnote w:id="463">
    <w:p w14:paraId="3A135F15" w14:textId="77777777" w:rsidR="00172411" w:rsidRPr="00942B9F" w:rsidRDefault="00172411" w:rsidP="00E40639">
      <w:pPr>
        <w:pStyle w:val="TextBody"/>
        <w:spacing w:after="0" w:line="276" w:lineRule="auto"/>
        <w:rPr>
          <w:rFonts w:ascii="Times New Roman" w:hAnsi="Times New Roman" w:cs="Times New Roman"/>
          <w:sz w:val="20"/>
          <w:szCs w:val="20"/>
        </w:rPr>
      </w:pPr>
      <w:r>
        <w:rPr>
          <w:rStyle w:val="Refdenotaalpie"/>
        </w:rPr>
        <w:footnoteRef/>
      </w:r>
      <w:r>
        <w:t xml:space="preserve"> </w:t>
      </w:r>
      <w:r>
        <w:rPr>
          <w:rFonts w:ascii="Times New Roman" w:hAnsi="Times New Roman" w:cs="Times New Roman"/>
          <w:sz w:val="20"/>
          <w:szCs w:val="20"/>
        </w:rPr>
        <w:t xml:space="preserve">Francisco Pilotti. 2006. </w:t>
      </w:r>
      <w:r>
        <w:rPr>
          <w:rFonts w:ascii="Times New Roman" w:hAnsi="Times New Roman" w:cs="Times New Roman"/>
          <w:i/>
          <w:sz w:val="20"/>
          <w:szCs w:val="20"/>
        </w:rPr>
        <w:t>Marco para el Análisis de las Políticas Públicas dirigidas a la Infancia</w:t>
      </w:r>
      <w:r>
        <w:rPr>
          <w:rFonts w:ascii="Times New Roman" w:hAnsi="Times New Roman" w:cs="Times New Roman"/>
          <w:sz w:val="20"/>
          <w:szCs w:val="20"/>
        </w:rPr>
        <w:t xml:space="preserve">. Niños, adolescentes, pobreza, marginalidad y violencia en América Latina y el Caribe: ¿relaciones indisociables? CIESPI.Centro Internacional de Estudios e Investigaciones sobre Infancia y Childwatch International Research Network. </w:t>
      </w:r>
      <w:r>
        <w:rPr>
          <w:rFonts w:ascii="Times New Roman" w:hAnsi="Times New Roman" w:cs="Times New Roman"/>
          <w:sz w:val="20"/>
          <w:szCs w:val="20"/>
          <w:lang w:val="es-ES"/>
        </w:rPr>
        <w:t>Norway. Disponible:</w:t>
      </w:r>
      <w:r>
        <w:rPr>
          <w:rStyle w:val="Ttulo2Car"/>
          <w:rFonts w:ascii="Times New Roman" w:hAnsi="Times New Roman"/>
          <w:sz w:val="20"/>
          <w:szCs w:val="20"/>
        </w:rPr>
        <w:t xml:space="preserve"> </w:t>
      </w:r>
      <w:hyperlink r:id="rId171" w:history="1">
        <w:r>
          <w:rPr>
            <w:rStyle w:val="Hipervnculo"/>
            <w:rFonts w:ascii="Times New Roman" w:hAnsi="Times New Roman" w:cs="Times New Roman"/>
            <w:sz w:val="20"/>
            <w:szCs w:val="20"/>
          </w:rPr>
          <w:t>www.uam.mx/cdi/redesinv/publicaciones/mariana/menezes.pdf</w:t>
        </w:r>
      </w:hyperlink>
      <w:r>
        <w:rPr>
          <w:rStyle w:val="Quotation"/>
          <w:rFonts w:ascii="Times New Roman" w:hAnsi="Times New Roman" w:cs="Times New Roman"/>
          <w:sz w:val="20"/>
          <w:szCs w:val="20"/>
          <w:lang w:val="es-ES"/>
        </w:rPr>
        <w:t xml:space="preserve">  </w:t>
      </w:r>
      <w:r w:rsidRPr="00B127DF">
        <w:rPr>
          <w:rFonts w:ascii="Times New Roman" w:hAnsi="Times New Roman" w:cs="Times New Roman"/>
          <w:sz w:val="20"/>
          <w:szCs w:val="20"/>
          <w:lang w:val="es-ES"/>
        </w:rPr>
        <w:t>Pag.37</w:t>
      </w:r>
    </w:p>
  </w:footnote>
  <w:footnote w:id="464">
    <w:p w14:paraId="7B09DF82" w14:textId="77777777" w:rsidR="00172411" w:rsidRPr="009061AD" w:rsidRDefault="00172411" w:rsidP="00E40639">
      <w:pPr>
        <w:pStyle w:val="Textonotapie"/>
        <w:spacing w:line="276" w:lineRule="auto"/>
        <w:ind w:firstLine="0"/>
        <w:rPr>
          <w:rFonts w:cs="Arial"/>
        </w:rPr>
      </w:pPr>
      <w:r>
        <w:rPr>
          <w:rStyle w:val="Refdenotaalpie"/>
        </w:rPr>
        <w:footnoteRef/>
      </w:r>
      <w:r>
        <w:t xml:space="preserve"> Comisión Interamericana de Derechos Humanos | CIDH.30 noviembre 2017. Hacia la garantía efectiva de los derechos de niñas, niños y  adolescentes: Sistemas Nacionales de Protección . </w:t>
      </w:r>
      <w:r>
        <w:rPr>
          <w:rFonts w:cs="Arial"/>
        </w:rPr>
        <w:t>Párrafo 398. pag.157  www.cidh.org</w:t>
      </w:r>
    </w:p>
  </w:footnote>
  <w:footnote w:id="465">
    <w:p w14:paraId="0887BEF9" w14:textId="77777777" w:rsidR="00172411" w:rsidRDefault="00172411" w:rsidP="007151CF">
      <w:pPr>
        <w:pStyle w:val="Textonotapie"/>
        <w:ind w:firstLine="0"/>
        <w:rPr>
          <w:rFonts w:ascii="Calibri" w:hAnsi="Calibri"/>
          <w:lang w:val="es-ES" w:eastAsia="en-US"/>
        </w:rPr>
      </w:pPr>
      <w:r>
        <w:rPr>
          <w:rStyle w:val="Refdenotaalpie"/>
        </w:rPr>
        <w:footnoteRef/>
      </w:r>
      <w:r>
        <w:t xml:space="preserve"> Convención de las Naciones Unidas contra la Corrupción. Cuba 2010-2015Disponible:  </w:t>
      </w:r>
      <w:r>
        <w:rPr>
          <w:sz w:val="18"/>
          <w:szCs w:val="18"/>
        </w:rPr>
        <w:t>https://www.unodc.org/documents/treaties/UNCAC/CountryVisitFinalReports/2013_11_12_Cuba_Final_Country_Report.pdf</w:t>
      </w:r>
    </w:p>
  </w:footnote>
  <w:footnote w:id="466">
    <w:p w14:paraId="5AB6134C" w14:textId="77777777" w:rsidR="00172411" w:rsidRDefault="00172411" w:rsidP="007151CF">
      <w:pPr>
        <w:pStyle w:val="Textonotapie"/>
        <w:spacing w:line="240" w:lineRule="atLeast"/>
        <w:ind w:firstLine="0"/>
        <w:rPr>
          <w:lang w:val="es-ES"/>
        </w:rPr>
      </w:pPr>
      <w:r>
        <w:rPr>
          <w:rStyle w:val="Refdenotaalpie"/>
          <w:rFonts w:ascii="Calibri" w:hAnsi="Calibri" w:cs="Calibri"/>
        </w:rPr>
        <w:footnoteRef/>
      </w:r>
      <w:r>
        <w:t>Programa gubernamental dirigido a dar respuesta a las resoluciones y recomendaciones dictadas por las Naciones Unidas, continúa aplicándose en correspondencia con las evaluaciones que de forma periódica se realizan de acuerdo con las afectaciones presentadas.</w:t>
      </w:r>
    </w:p>
  </w:footnote>
  <w:footnote w:id="467">
    <w:p w14:paraId="1B70B5D7" w14:textId="77777777" w:rsidR="00172411" w:rsidRDefault="00172411" w:rsidP="008C0A5B">
      <w:pPr>
        <w:pStyle w:val="Textonotapie"/>
        <w:spacing w:line="276" w:lineRule="auto"/>
        <w:ind w:firstLine="0"/>
      </w:pPr>
      <w:r>
        <w:rPr>
          <w:rStyle w:val="Refdenotaalpie"/>
        </w:rPr>
        <w:footnoteRef/>
      </w:r>
      <w:r w:rsidRPr="00EA364B">
        <w:rPr>
          <w:lang w:val="en-US"/>
        </w:rPr>
        <w:t xml:space="preserve"> Bárbara Zas Ros. 2014. </w:t>
      </w:r>
      <w:r>
        <w:t xml:space="preserve">Centro de Investigaciones Psicológicas y Sociológicas (CIPS). Experiencias de Transformación Psicosocial Dirigidas a la Niñez ¿Qué Debemos Cuestionarnos? Alternativas cubanas en Psicología / Volumen 2. Número 5 /2014. ISSN 2007 – 5847. Disponible: </w:t>
      </w:r>
      <w:hyperlink r:id="rId172" w:history="1">
        <w:r>
          <w:rPr>
            <w:rStyle w:val="Hipervnculo"/>
            <w:color w:val="auto"/>
          </w:rPr>
          <w:t>http://acupsi.org/index/descargar.html?id=numeros/alternativas-cubanas-en-psicologia-v2n5.pdf</w:t>
        </w:r>
      </w:hyperlink>
      <w:r>
        <w:t xml:space="preserve"> pág..40 y 41 (...)El autoritarismo, el adultocentrismo, la tendencia al paternalismo, el poder del conocimiento del adulto y su supremacía(…) el poder oculto ejercido desde “pretextos pedagógicos”, al decir de Alice Miller tras esa convincente frase de “por tu propio bien”(…)</w:t>
      </w:r>
    </w:p>
  </w:footnote>
  <w:footnote w:id="468">
    <w:p w14:paraId="09826689" w14:textId="4C7593CA" w:rsidR="00172411" w:rsidRPr="00056F7A" w:rsidRDefault="00172411" w:rsidP="00056F7A">
      <w:pPr>
        <w:pStyle w:val="Textonotapie"/>
        <w:ind w:firstLine="0"/>
        <w:rPr>
          <w:iCs/>
        </w:rPr>
      </w:pPr>
      <w:r>
        <w:rPr>
          <w:rStyle w:val="Refdenotaalpie"/>
        </w:rPr>
        <w:footnoteRef/>
      </w:r>
      <w:r w:rsidRPr="0051039B">
        <w:rPr>
          <w:lang w:val="es-ES"/>
        </w:rPr>
        <w:t xml:space="preserve"> </w:t>
      </w:r>
      <w:r>
        <w:t>Adilenys Orama Suárez. 15/09/2015</w:t>
      </w:r>
      <w:r>
        <w:rPr>
          <w:i/>
        </w:rPr>
        <w:t>. Adolescentes en contexto de desventaja social. Proceso de socialización familiar en la comunidad Macondo</w:t>
      </w:r>
      <w:r>
        <w:t>/ 146. Parte II. Contextos de Socialización: Características y Retos. Extraído de Participación Cultural de la Adolescencia en Cuba. Expresiones y claves para su comprensión. Pedro E. Moras Puig y Yisel Rivero Baxter Disponible:</w:t>
      </w:r>
      <w:r>
        <w:rPr>
          <w:bCs/>
        </w:rPr>
        <w:t xml:space="preserve"> </w:t>
      </w:r>
      <w:hyperlink r:id="rId173" w:history="1">
        <w:r>
          <w:rPr>
            <w:rStyle w:val="Hipervnculo"/>
            <w:i/>
            <w:iCs/>
          </w:rPr>
          <w:t>https://www.unicef.org/cuba/zppd_Adolescencia_en_Cuba.pdf</w:t>
        </w:r>
      </w:hyperlink>
      <w:r>
        <w:rPr>
          <w:i/>
          <w:iCs/>
        </w:rPr>
        <w:t xml:space="preserve">  </w:t>
      </w:r>
      <w:r>
        <w:rPr>
          <w:iCs/>
        </w:rPr>
        <w:t>Pág. 154 -166 (…)</w:t>
      </w:r>
    </w:p>
    <w:p w14:paraId="3E7D66CA" w14:textId="503A3EA0" w:rsidR="00172411" w:rsidRPr="00056F7A" w:rsidRDefault="00172411" w:rsidP="00056F7A">
      <w:pPr>
        <w:pStyle w:val="Textonotapie"/>
        <w:ind w:firstLine="0"/>
        <w:rPr>
          <w:iCs/>
        </w:rPr>
      </w:pPr>
      <w:r w:rsidRPr="00056F7A">
        <w:rPr>
          <w:iCs/>
        </w:rPr>
        <w:t>e</w:t>
      </w:r>
      <w:r>
        <w:rPr>
          <w:iCs/>
        </w:rPr>
        <w:t xml:space="preserve">n estas se nota la presencia de </w:t>
      </w:r>
      <w:r w:rsidRPr="00056F7A">
        <w:rPr>
          <w:iCs/>
        </w:rPr>
        <w:t>modelos no democráticos de socializac</w:t>
      </w:r>
      <w:r>
        <w:rPr>
          <w:iCs/>
        </w:rPr>
        <w:t>ión hacia los adolescentes, inﬂ</w:t>
      </w:r>
      <w:r w:rsidRPr="00056F7A">
        <w:rPr>
          <w:iCs/>
        </w:rPr>
        <w:t>uenciados en gran medida por concepcio</w:t>
      </w:r>
      <w:r>
        <w:rPr>
          <w:iCs/>
        </w:rPr>
        <w:t xml:space="preserve">nes y prácticas androcéntricas, donde prima una socialización </w:t>
      </w:r>
      <w:r w:rsidRPr="00056F7A">
        <w:rPr>
          <w:iCs/>
        </w:rPr>
        <w:t>autoritaria</w:t>
      </w:r>
      <w:r>
        <w:rPr>
          <w:iCs/>
        </w:rPr>
        <w:t>…</w:t>
      </w:r>
    </w:p>
  </w:footnote>
  <w:footnote w:id="469">
    <w:p w14:paraId="075D31F1" w14:textId="77777777" w:rsidR="00172411" w:rsidRDefault="00172411" w:rsidP="00361E6A">
      <w:pPr>
        <w:pStyle w:val="Textonotapie"/>
        <w:ind w:firstLine="0"/>
        <w:rPr>
          <w:lang w:val="es-ES"/>
        </w:rPr>
      </w:pPr>
      <w:r>
        <w:rPr>
          <w:rStyle w:val="Refdenotaalpie"/>
        </w:rPr>
        <w:footnoteRef/>
      </w:r>
      <w:r>
        <w:rPr>
          <w:lang w:val="en-US"/>
        </w:rPr>
        <w:t xml:space="preserve"> Roy Walmsley. International Centre for Prison Studies and University of Essex (2013) World Prison Population List (tenth edition). </w:t>
      </w:r>
      <w:r>
        <w:rPr>
          <w:lang w:val="es-ES"/>
        </w:rPr>
        <w:t>Available:</w:t>
      </w:r>
      <w:r>
        <w:rPr>
          <w:bCs/>
          <w:lang w:val="es-ES"/>
        </w:rPr>
        <w:t xml:space="preserve"> </w:t>
      </w:r>
      <w:hyperlink r:id="rId174" w:history="1">
        <w:r>
          <w:rPr>
            <w:rStyle w:val="Hipervnculo"/>
            <w:i/>
            <w:iCs/>
          </w:rPr>
          <w:t>https://www.apcca.org/uploads/10th_Edition_2013.pdf</w:t>
        </w:r>
      </w:hyperlink>
    </w:p>
  </w:footnote>
  <w:footnote w:id="470">
    <w:p w14:paraId="7CB0118C" w14:textId="77777777" w:rsidR="00172411" w:rsidRDefault="00172411" w:rsidP="003B4952">
      <w:pPr>
        <w:pStyle w:val="Textonotapie"/>
        <w:spacing w:line="276" w:lineRule="auto"/>
        <w:ind w:firstLine="0"/>
        <w:rPr>
          <w:lang w:val="es-MX"/>
        </w:rPr>
      </w:pPr>
      <w:r>
        <w:rPr>
          <w:rStyle w:val="Refdenotaalpie"/>
          <w:rFonts w:ascii="Calibri" w:hAnsi="Calibri" w:cs="Calibri"/>
          <w:sz w:val="22"/>
          <w:szCs w:val="22"/>
        </w:rPr>
        <w:footnoteRef/>
      </w:r>
      <w:r>
        <w:t xml:space="preserve"> Comité de Derechos del Niño. </w:t>
      </w:r>
      <w:r w:rsidRPr="000E0E00">
        <w:rPr>
          <w:lang w:val="en-US"/>
        </w:rPr>
        <w:t xml:space="preserve">CRC/C/OPSC/CUB/CO/1. </w:t>
      </w:r>
      <w:r>
        <w:t>30 octubre, 2015. IV.Datos. Reunión de datos. Párrafo 7 y 8</w:t>
      </w:r>
    </w:p>
  </w:footnote>
  <w:footnote w:id="471">
    <w:p w14:paraId="30AEC06E" w14:textId="77777777" w:rsidR="00172411" w:rsidRDefault="00172411" w:rsidP="00515DE3">
      <w:pPr>
        <w:pStyle w:val="Textonotapie"/>
        <w:spacing w:line="276" w:lineRule="auto"/>
        <w:ind w:firstLine="0"/>
      </w:pPr>
      <w:r>
        <w:rPr>
          <w:vertAlign w:val="superscript"/>
        </w:rPr>
        <w:footnoteRef/>
      </w:r>
      <w:r>
        <w:t xml:space="preserve"> Comité de los Derechos del Niño CRC/C/15/Add.72, 18 de junio de 1997. Párrafo 20.  El Comité expresa asimismo su preocupación acerca de las cuestiones relacionadas con los niños que dan muestras de comportamiento antisocial, en concreto el aumento del número de niños con problemas de conducta y la idoneidad de los mecanismos existentes para hacer frente a esos problemas de modo eficaz.  24.  También preocupa al Comité que algunas cuestiones relacionadas con el sistema de justicia de menores no se hayan tratado de manera adecuada, incluida la compatibilidad del sistema de justicia de menores con los principios y las disposiciones de la Convención, especialmente en relación con la protección que se proporciona a niños de 16 a 18 años de edad y la detención de niños junto con adultos.</w:t>
      </w:r>
    </w:p>
  </w:footnote>
  <w:footnote w:id="472">
    <w:p w14:paraId="3B190577" w14:textId="77777777" w:rsidR="00172411" w:rsidRDefault="00172411" w:rsidP="00515DE3">
      <w:pPr>
        <w:pStyle w:val="Textonotapie"/>
        <w:ind w:firstLine="0"/>
      </w:pPr>
      <w:r>
        <w:rPr>
          <w:sz w:val="22"/>
          <w:szCs w:val="22"/>
          <w:vertAlign w:val="superscript"/>
        </w:rPr>
        <w:footnoteRef/>
      </w:r>
      <w:r>
        <w:t>Cubalex. 2014. Informe Sobre Los Derechos Humanos De Las Personas Privadas De Libertad En Cuba.</w:t>
      </w:r>
      <w:r>
        <w:rPr>
          <w:sz w:val="18"/>
          <w:szCs w:val="18"/>
        </w:rPr>
        <w:t xml:space="preserve">14YMEDIO, Washington DC | Octubre 27, 2014. La voz de los presos cubanos llega a la Comisión Interamericana de Derechos Humanos. Disponible: </w:t>
      </w:r>
      <w:hyperlink r:id="rId175" w:history="1">
        <w:r>
          <w:rPr>
            <w:rStyle w:val="Hipervnculo"/>
          </w:rPr>
          <w:t>http://www.14ymedio.com/nacional/situacion-presos-Cuba-es-presentada-ante-comision-interamericana-derechos-humanos-por-cubalex_0_1659434051.html</w:t>
        </w:r>
      </w:hyperlink>
      <w:r>
        <w:rPr>
          <w:sz w:val="18"/>
          <w:szCs w:val="18"/>
        </w:rPr>
        <w:t>. (...)De “profundamente” preocupante caracterizaron las juristas el estado actual de muchos reos, especialmente de aquellos que ingresaron desde la niñez en centros de reeducación.(…)</w:t>
      </w:r>
      <w:r>
        <w:t>Cubalex en su trabajo relacionado con la situación de los reclusos, detectó que algunos de ellos ingresaron en la adolescencia en prisiones de adultos y hasta la fecha de este informe aún permanecen recluidos.</w:t>
      </w:r>
    </w:p>
  </w:footnote>
  <w:footnote w:id="473">
    <w:p w14:paraId="02D5E22E" w14:textId="77777777" w:rsidR="00172411" w:rsidRDefault="00172411" w:rsidP="00047895">
      <w:pPr>
        <w:pStyle w:val="Textonotapie"/>
        <w:ind w:firstLine="0"/>
      </w:pPr>
      <w:r>
        <w:rPr>
          <w:rStyle w:val="Refdenotaalpie"/>
        </w:rPr>
        <w:footnoteRef/>
      </w:r>
      <w:r>
        <w:t xml:space="preserve"> Artículo 25, incisos c), d) y e) de la </w:t>
      </w:r>
      <w:r>
        <w:rPr>
          <w:bCs/>
          <w:kern w:val="32"/>
          <w:lang w:val="es-ES" w:eastAsia="en-US"/>
        </w:rPr>
        <w:t>Ley No. 83 “De la Fiscalía General de la República” de 11 de julio de 1997. Publicada en la Gaceta Oficial, Edición Extraordinaria No. 8 de 14 de julio de 1997.</w:t>
      </w:r>
      <w:bookmarkStart w:id="139" w:name="OLE_LINK62"/>
      <w:bookmarkStart w:id="140" w:name="OLE_LINK63"/>
      <w:r>
        <w:t xml:space="preserve">APUD Cubalex. 2014. Informe sobre los Derechos Humanos de las personas privadas de libertad en Cuba. Pág. 11. </w:t>
      </w:r>
    </w:p>
    <w:bookmarkEnd w:id="139"/>
    <w:bookmarkEnd w:id="140"/>
    <w:p w14:paraId="180C5E51" w14:textId="44763BCC" w:rsidR="00172411" w:rsidRDefault="00172411" w:rsidP="00E4063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Artículo 2 de la Resolución No. 40 del Ministerio de Educación, Dictamen No 10 de 1985, de la Fiscalía General de la República que regula el tratamiento al mayor de 16 años que se encuentre interno y cometa un nuevo hecho tipificado como delito y Circular 16 de 1982 del MINED. Artículo 12 inciso g) de la Resolución No. 9 de 29 de enero de 1983 del Ministerio del Interior. El MININT dictó entre otras, la Instrucción No 2 de 1988 del Presidente del Consejo Nacional de Atención a Menores que establece los procedimientos de trabajo para los Consejos; la Instrucción No 3 de 1983, del Jefe de la Dirección Nacional de la PNR, que pone en vigor el procedimiento para el tratamiento a los menores de edad, conducidos a las Unidades Municipales de la PNR por la comisión de hechos que la Ley tipifica como delitos o que mantienen una conducta antisocial; la Resolución No 8 de 1983, que pone en vigor el reglamento para el funcionamiento de los consejos subordinados al MININT</w:t>
      </w:r>
    </w:p>
  </w:footnote>
  <w:footnote w:id="474">
    <w:p w14:paraId="4C6A335F" w14:textId="77777777" w:rsidR="00172411" w:rsidRDefault="00172411" w:rsidP="00E40639">
      <w:pPr>
        <w:pStyle w:val="Textonotapie"/>
        <w:ind w:firstLine="0"/>
      </w:pPr>
      <w:r>
        <w:rPr>
          <w:rStyle w:val="Refdenotaalpie"/>
          <w:rFonts w:ascii="Calibri" w:hAnsi="Calibri" w:cs="Calibri"/>
          <w:sz w:val="22"/>
          <w:szCs w:val="22"/>
        </w:rPr>
        <w:footnoteRef/>
      </w:r>
      <w:r>
        <w:t>Cubalex. 2014. Informe Sobre Los Derechos Humanos De Las Personas Privadas De Libertad En Cuba.</w:t>
      </w:r>
      <w:r>
        <w:rPr>
          <w:sz w:val="18"/>
          <w:szCs w:val="18"/>
        </w:rPr>
        <w:t xml:space="preserve">14YMEDIO, Washington DC | Octubre 27, 2014. La voz de los presos cubanos llega a la Comisión Interamericana de Derechos Humanos. Disponible: </w:t>
      </w:r>
      <w:hyperlink r:id="rId176" w:history="1">
        <w:r>
          <w:rPr>
            <w:rStyle w:val="Hipervnculo"/>
          </w:rPr>
          <w:t>http://www.14ymedio.com/nacional/situacion-presos-Cuba-es-presentada-ante-comision-interamericana-derechos-humanos-por-cubalex_0_1659434051.html</w:t>
        </w:r>
      </w:hyperlink>
    </w:p>
  </w:footnote>
  <w:footnote w:id="475">
    <w:p w14:paraId="63358837" w14:textId="025454A0" w:rsidR="00172411" w:rsidRDefault="00172411" w:rsidP="00D47D20">
      <w:pPr>
        <w:pStyle w:val="Textonotapie"/>
        <w:ind w:firstLine="0"/>
      </w:pPr>
      <w:r>
        <w:rPr>
          <w:rStyle w:val="Refdenotaalpie"/>
        </w:rPr>
        <w:footnoteRef/>
      </w:r>
      <w:r>
        <w:t xml:space="preserve"> Ayeisa Vega López. 2017.Centro de Investigaciones Socio- Operativas - MININT, La Habana, Cuba. La doble victimización de adolescentes en conflicto con la norma legal .Universidad de La Habana. 2017. Número 283. 126-136. Disponible: </w:t>
      </w:r>
      <w:hyperlink r:id="rId177" w:history="1">
        <w:r>
          <w:rPr>
            <w:rStyle w:val="Hipervnculo"/>
            <w:i/>
            <w:iCs/>
          </w:rPr>
          <w:t>http://scielo.sld.cu/pdf/uh/n283/uh09283.pdf</w:t>
        </w:r>
      </w:hyperlink>
      <w:r>
        <w:rPr>
          <w:i/>
          <w:iCs/>
        </w:rPr>
        <w:t xml:space="preserve"> </w:t>
      </w:r>
      <w:r>
        <w:rPr>
          <w:iCs/>
        </w:rPr>
        <w:t xml:space="preserve">   Pág. 4</w:t>
      </w:r>
    </w:p>
  </w:footnote>
  <w:footnote w:id="476">
    <w:p w14:paraId="2DA86A04" w14:textId="5DECC882" w:rsidR="00172411" w:rsidRDefault="00172411" w:rsidP="00AD17B4">
      <w:pPr>
        <w:pStyle w:val="TextBody"/>
        <w:spacing w:after="0" w:line="240" w:lineRule="exact"/>
        <w:rPr>
          <w:color w:val="000080"/>
          <w:u w:val="single"/>
        </w:rPr>
      </w:pPr>
      <w:r>
        <w:rPr>
          <w:rStyle w:val="Refdenotaalpie"/>
        </w:rPr>
        <w:footnoteRef/>
      </w:r>
      <w:r>
        <w:rPr>
          <w:rFonts w:ascii="Times New Roman" w:hAnsi="Times New Roman"/>
          <w:sz w:val="20"/>
          <w:szCs w:val="20"/>
        </w:rPr>
        <w:t xml:space="preserve">Colectivo de autores. 2004. </w:t>
      </w:r>
      <w:r>
        <w:rPr>
          <w:rFonts w:ascii="Times New Roman" w:hAnsi="Times New Roman"/>
          <w:i/>
          <w:sz w:val="20"/>
          <w:szCs w:val="20"/>
        </w:rPr>
        <w:t>CRIMINOLOGÍA</w:t>
      </w:r>
      <w:r>
        <w:rPr>
          <w:rFonts w:ascii="Times New Roman" w:hAnsi="Times New Roman"/>
          <w:sz w:val="20"/>
          <w:szCs w:val="20"/>
        </w:rPr>
        <w:t xml:space="preserve">. Editorial Félix Varela, La Habana El Delito Concreto. La Acción Delictiva </w:t>
      </w:r>
      <w:r>
        <w:rPr>
          <w:rFonts w:ascii="Times New Roman" w:eastAsia="STKaiti" w:hAnsi="Times New Roman" w:cs="Tahoma"/>
          <w:color w:val="auto"/>
          <w:sz w:val="20"/>
          <w:szCs w:val="20"/>
          <w:lang w:eastAsia="es-US" w:bidi="ar-SA"/>
        </w:rPr>
        <w:t xml:space="preserve">en el Nivel Individual. Dra. Norma Vasallo Barrueta. </w:t>
      </w:r>
      <w:r>
        <w:rPr>
          <w:rFonts w:ascii="Times New Roman" w:hAnsi="Times New Roman"/>
          <w:sz w:val="20"/>
          <w:szCs w:val="20"/>
        </w:rPr>
        <w:t xml:space="preserve">Disponible:  </w:t>
      </w:r>
      <w:hyperlink r:id="rId178" w:history="1">
        <w:r>
          <w:rPr>
            <w:rStyle w:val="Hipervnculo"/>
            <w:rFonts w:ascii="Times New Roman" w:eastAsia="STKaiti" w:hAnsi="Times New Roman" w:cs="Tahoma"/>
            <w:color w:val="auto"/>
            <w:sz w:val="20"/>
            <w:szCs w:val="20"/>
            <w:lang w:eastAsia="es-US" w:bidi="ar-SA"/>
          </w:rPr>
          <w:t>https://books.google.cz/books/about/Criminolog%C3%ADa.html?id=iVNUAQAACAAJ&amp;redir_esc=y</w:t>
        </w:r>
      </w:hyperlink>
      <w:r>
        <w:t xml:space="preserve">   </w:t>
      </w:r>
      <w:r>
        <w:rPr>
          <w:rFonts w:ascii="Times New Roman" w:hAnsi="Times New Roman"/>
          <w:sz w:val="20"/>
          <w:szCs w:val="20"/>
        </w:rPr>
        <w:t xml:space="preserve">Pág. 123, 129 </w:t>
      </w:r>
      <w:r>
        <w:t xml:space="preserve">(…) </w:t>
      </w:r>
      <w:r>
        <w:rPr>
          <w:rFonts w:ascii="Times New Roman" w:hAnsi="Times New Roman"/>
          <w:sz w:val="20"/>
          <w:szCs w:val="20"/>
        </w:rPr>
        <w:t>la función educativa de</w:t>
      </w:r>
      <w:r>
        <w:rPr>
          <w:rFonts w:ascii="Times New Roman" w:hAnsi="Times New Roman"/>
          <w:sz w:val="20"/>
          <w:szCs w:val="20"/>
          <w:lang w:eastAsia="es-MX"/>
        </w:rPr>
        <w:t xml:space="preserve"> la familia se desarrolla sobre la base del proceso de socialización. Cuando lo analizamos, la comunicación es uno de los contenidos más importantes y su papel en la familia es fundamental </w:t>
      </w:r>
      <w:r>
        <w:rPr>
          <w:rFonts w:ascii="Calibri" w:hAnsi="Calibri" w:cs="Calibri"/>
          <w:sz w:val="18"/>
          <w:szCs w:val="18"/>
        </w:rPr>
        <w:t>(…)</w:t>
      </w:r>
    </w:p>
  </w:footnote>
  <w:footnote w:id="477">
    <w:p w14:paraId="45EE5F45" w14:textId="7AA3A4B0" w:rsidR="00172411" w:rsidRDefault="00172411" w:rsidP="003B4952">
      <w:pPr>
        <w:pStyle w:val="Textonotapie"/>
        <w:spacing w:line="240" w:lineRule="atLeast"/>
        <w:ind w:firstLine="0"/>
        <w:rPr>
          <w:lang w:val="es-MX"/>
        </w:rPr>
      </w:pPr>
      <w:r>
        <w:rPr>
          <w:rStyle w:val="Refdenotaalpie"/>
        </w:rPr>
        <w:footnoteRef/>
      </w:r>
      <w:r>
        <w:t xml:space="preserve"> A</w:t>
      </w:r>
      <w:r>
        <w:rPr>
          <w:lang w:val="es-ES_tradnl" w:eastAsia="es-MX"/>
        </w:rPr>
        <w:t>n</w:t>
      </w:r>
      <w:r>
        <w:t xml:space="preserve">a María Domínguez Cruz (21 noviembre 2013) </w:t>
      </w:r>
      <w:r>
        <w:rPr>
          <w:i/>
        </w:rPr>
        <w:t>Salvar lleva corazón</w:t>
      </w:r>
      <w:r>
        <w:t xml:space="preserve">. Diario Juventud Rebelde. Diario de la Juventud Cubana. Pág. 8. Edición Impresa. Cuba. Hay 12 Escuelas de Formación Integral (EFI). son atendidas por el Ministerio del Interior. En la EFI José Martí de Guanabacoa hay alrededor de 40 niños y niñas cuyos delitos más frecuentes son: hurtos, robos con fuerza, y hechos contra la integridad corporal. Edad promedio: 15 años. </w:t>
      </w:r>
    </w:p>
  </w:footnote>
  <w:footnote w:id="478">
    <w:p w14:paraId="64C9B88D" w14:textId="77777777" w:rsidR="00172411" w:rsidRDefault="00172411" w:rsidP="003B4952">
      <w:pPr>
        <w:pStyle w:val="Textonotapie"/>
        <w:spacing w:line="240" w:lineRule="atLeast"/>
        <w:ind w:firstLine="0"/>
        <w:rPr>
          <w:rFonts w:ascii="Calibri" w:hAnsi="Calibri"/>
        </w:rPr>
      </w:pPr>
      <w:r>
        <w:rPr>
          <w:rStyle w:val="Refdenotaalpie"/>
        </w:rPr>
        <w:footnoteRef/>
      </w:r>
      <w:r>
        <w:t xml:space="preserve">Ministerio de Relaciones Exteriores. Febrero, 2013. </w:t>
      </w:r>
      <w:r>
        <w:rPr>
          <w:i/>
        </w:rPr>
        <w:t>Caracterización de la Niñez y la Adolescencia en Cuba. Protección Legal y Sistema de Atención Integra</w:t>
      </w:r>
      <w:r>
        <w:t>l Disponible en: http://www.minrex.gob.cu/es/caracterizacion-de-la-ninez-y-la-adolescencia-en-cuba-proteccion-legal-y-sistema-de-atencion</w:t>
      </w:r>
    </w:p>
  </w:footnote>
  <w:footnote w:id="479">
    <w:p w14:paraId="49CB7902" w14:textId="4386C4FC" w:rsidR="00172411" w:rsidRDefault="00172411" w:rsidP="00E40639">
      <w:pPr>
        <w:autoSpaceDE w:val="0"/>
        <w:autoSpaceDN w:val="0"/>
        <w:adjustRightInd w:val="0"/>
        <w:spacing w:after="0" w:line="240" w:lineRule="auto"/>
        <w:rPr>
          <w:rFonts w:ascii="Times New Roman" w:hAnsi="Times New Roman"/>
          <w:sz w:val="20"/>
          <w:szCs w:val="20"/>
        </w:rPr>
      </w:pPr>
      <w:r>
        <w:rPr>
          <w:rFonts w:ascii="Times New Roman" w:hAnsi="Times New Roman"/>
          <w:vertAlign w:val="superscript"/>
        </w:rPr>
        <w:footnoteRef/>
      </w:r>
      <w:r>
        <w:rPr>
          <w:rFonts w:ascii="Times New Roman" w:hAnsi="Times New Roman"/>
          <w:sz w:val="20"/>
          <w:szCs w:val="20"/>
        </w:rPr>
        <w:t xml:space="preserve">CRC/C/OPSC/CUB/1. Informe Inicial OPSC Cuba (14 noviembre 2014) Disponible: </w:t>
      </w:r>
      <w:hyperlink r:id="rId179" w:history="1">
        <w:r>
          <w:rPr>
            <w:rStyle w:val="Hipervnculo"/>
            <w:rFonts w:ascii="Times New Roman" w:hAnsi="Times New Roman"/>
            <w:sz w:val="20"/>
            <w:szCs w:val="20"/>
          </w:rPr>
          <w:t>http://tbinternet.ohchr.org/Treaties/CRC-OP-SC/Shared%20Documents/CUB/INT_CRC-OP-SC_INR_CUB_6823_S.doc</w:t>
        </w:r>
      </w:hyperlink>
      <w:r>
        <w:rPr>
          <w:rFonts w:ascii="Times New Roman" w:hAnsi="Times New Roman"/>
          <w:sz w:val="20"/>
          <w:szCs w:val="20"/>
        </w:rPr>
        <w:t xml:space="preserve"> III. Protección de los Derechos de los Niños Víctimas. Párrafo.128. Pág. 35</w:t>
      </w:r>
    </w:p>
  </w:footnote>
  <w:footnote w:id="480">
    <w:p w14:paraId="1DEE0B9C" w14:textId="77777777" w:rsidR="00172411" w:rsidRDefault="00172411" w:rsidP="00E40639">
      <w:pPr>
        <w:autoSpaceDE w:val="0"/>
        <w:autoSpaceDN w:val="0"/>
        <w:adjustRightInd w:val="0"/>
        <w:spacing w:after="0" w:line="240" w:lineRule="auto"/>
        <w:rPr>
          <w:rFonts w:ascii="Times New Roman" w:hAnsi="Times New Roman"/>
          <w:sz w:val="20"/>
          <w:szCs w:val="20"/>
          <w:lang w:val="es-MX"/>
        </w:rPr>
      </w:pPr>
      <w:r>
        <w:rPr>
          <w:rStyle w:val="Refdenotaalpie"/>
          <w:rFonts w:ascii="Times New Roman" w:hAnsi="Times New Roman"/>
          <w:sz w:val="20"/>
        </w:rPr>
        <w:footnoteRef/>
      </w:r>
      <w:r>
        <w:rPr>
          <w:rFonts w:ascii="Times New Roman" w:hAnsi="Times New Roman"/>
          <w:sz w:val="20"/>
          <w:szCs w:val="20"/>
        </w:rPr>
        <w:t xml:space="preserve"> Consejo de Estado (1982) DECRETO-LEY NUMERO 64/82 Del Sistema Para La Atencion A Menores Con Trastornos De Conducta. Gaceta Oficial No. 10 Edición Especial. Cuba</w:t>
      </w:r>
      <w:r>
        <w:rPr>
          <w:rFonts w:ascii="Times New Roman" w:hAnsi="Times New Roman"/>
          <w:i/>
          <w:sz w:val="20"/>
          <w:szCs w:val="20"/>
        </w:rPr>
        <w:t>. ARTICULO 9.</w:t>
      </w:r>
      <w:r>
        <w:rPr>
          <w:rFonts w:ascii="Times New Roman" w:hAnsi="Times New Roman"/>
          <w:sz w:val="20"/>
          <w:szCs w:val="20"/>
        </w:rPr>
        <w:t>El Ministerio del Interior organizará y mantendrá centros de reeducación de distintas clases, según la gravedad del índice de peligrosidad o de los actos cometidos por los menores, su edad y sexo, para la atenci6n de los menores de la tercera categoría (artículo 2. 3ra. Categoría son delitos de elevada peligrosidad).</w:t>
      </w:r>
    </w:p>
  </w:footnote>
  <w:footnote w:id="481">
    <w:p w14:paraId="043F6A1C" w14:textId="209769C2" w:rsidR="00172411" w:rsidRPr="008F379F" w:rsidRDefault="00172411" w:rsidP="00E40639">
      <w:pPr>
        <w:autoSpaceDE w:val="0"/>
        <w:autoSpaceDN w:val="0"/>
        <w:adjustRightInd w:val="0"/>
        <w:spacing w:after="0" w:line="240" w:lineRule="auto"/>
        <w:rPr>
          <w:rFonts w:ascii="Times New Roman" w:hAnsi="Times New Roman"/>
          <w:sz w:val="20"/>
          <w:szCs w:val="20"/>
          <w:lang w:val="es-MX"/>
        </w:rPr>
      </w:pPr>
      <w:r>
        <w:rPr>
          <w:rStyle w:val="Refdenotaalpie"/>
        </w:rPr>
        <w:footnoteRef/>
      </w:r>
      <w:r>
        <w:t xml:space="preserve"> </w:t>
      </w:r>
      <w:r>
        <w:rPr>
          <w:rFonts w:ascii="Times New Roman" w:hAnsi="Times New Roman"/>
          <w:sz w:val="20"/>
          <w:szCs w:val="20"/>
        </w:rPr>
        <w:t>3ra. Categoría son delitos de elevada peligrosidad.</w:t>
      </w:r>
    </w:p>
  </w:footnote>
  <w:footnote w:id="482">
    <w:p w14:paraId="1D8593BC" w14:textId="77777777" w:rsidR="00172411" w:rsidRDefault="00172411" w:rsidP="00E40639">
      <w:pPr>
        <w:pStyle w:val="Textonotapie"/>
        <w:spacing w:line="240" w:lineRule="atLeast"/>
        <w:ind w:firstLine="0"/>
        <w:rPr>
          <w:lang w:val="es-MX" w:eastAsia="en-US"/>
        </w:rPr>
      </w:pPr>
      <w:r>
        <w:rPr>
          <w:rStyle w:val="Refdenotaalpie"/>
          <w:sz w:val="22"/>
          <w:szCs w:val="22"/>
        </w:rPr>
        <w:footnoteRef/>
      </w:r>
      <w:r>
        <w:t xml:space="preserve"> Consejo de Estado (1982) Decreto-Ley Numero 64/82 Del Sistema Para La Atencion A Menores Con Trastornos De Conducta</w:t>
      </w:r>
      <w:r>
        <w:rPr>
          <w:b/>
          <w:bCs/>
        </w:rPr>
        <w:t xml:space="preserve">. </w:t>
      </w:r>
      <w:r>
        <w:t xml:space="preserve">Gaceta Oficial No. 10 Edición Especial. Cuba.  CAPITULO 1. Disposiciones Generales. Articulo 1 . S e crea un Sistema para la atención a las personas menores de 16 níios que presenten trastornos de conducta, manifestaciones antisociales. lleguen o no a constituirse en índices significativos de desviación y peligrosidad social, o participen en hechos que la ley tipifique como delitos. </w:t>
      </w:r>
    </w:p>
  </w:footnote>
  <w:footnote w:id="483">
    <w:p w14:paraId="513D95C6" w14:textId="1D44E3E9" w:rsidR="00172411" w:rsidRDefault="00172411" w:rsidP="00166754">
      <w:pPr>
        <w:pStyle w:val="Textonotapie"/>
        <w:spacing w:line="240" w:lineRule="atLeast"/>
        <w:ind w:firstLine="0"/>
        <w:rPr>
          <w:rFonts w:ascii="Calibri" w:hAnsi="Calibri"/>
          <w:sz w:val="18"/>
          <w:szCs w:val="18"/>
          <w:lang w:val="es-ES"/>
        </w:rPr>
      </w:pPr>
      <w:r>
        <w:rPr>
          <w:rStyle w:val="Refdenotaalpie"/>
          <w:sz w:val="22"/>
          <w:szCs w:val="22"/>
        </w:rPr>
        <w:footnoteRef/>
      </w:r>
      <w:r>
        <w:t xml:space="preserve">Tania de Armas </w:t>
      </w:r>
      <w:r w:rsidRPr="00361E6A">
        <w:t>Fonticoba</w:t>
      </w:r>
      <w:r>
        <w:t xml:space="preserve">. </w:t>
      </w:r>
      <w:r>
        <w:rPr>
          <w:i/>
        </w:rPr>
        <w:t>La cuestión criminológica y jurídica de niños en conflicto con ley penal.</w:t>
      </w:r>
      <w:r>
        <w:t xml:space="preserve"> </w:t>
      </w:r>
      <w:r>
        <w:rPr>
          <w:i/>
        </w:rPr>
        <w:t>El esquema legal cubano</w:t>
      </w:r>
      <w:r>
        <w:rPr>
          <w:sz w:val="18"/>
          <w:szCs w:val="18"/>
        </w:rPr>
        <w:t xml:space="preserve">. Disponible: </w:t>
      </w:r>
      <w:hyperlink r:id="rId180" w:history="1">
        <w:r>
          <w:rPr>
            <w:rStyle w:val="Hipervnculo"/>
            <w:sz w:val="18"/>
            <w:szCs w:val="18"/>
          </w:rPr>
          <w:t>http://www.ambito-juridico.com.br/site/index.php</w:t>
        </w:r>
      </w:hyperlink>
      <w:r>
        <w:rPr>
          <w:rStyle w:val="Hipervnculo"/>
          <w:sz w:val="18"/>
          <w:szCs w:val="18"/>
        </w:rPr>
        <w:t xml:space="preserve"> n_link=revista_artigos_leitura&amp;artigo_id=6254 </w:t>
      </w:r>
      <w:r>
        <w:rPr>
          <w:sz w:val="18"/>
          <w:szCs w:val="18"/>
        </w:rPr>
        <w:t>pág. 6</w:t>
      </w:r>
    </w:p>
  </w:footnote>
  <w:footnote w:id="484">
    <w:p w14:paraId="79FE9DAF" w14:textId="77777777" w:rsidR="00172411" w:rsidRDefault="00172411" w:rsidP="00166754">
      <w:pPr>
        <w:pStyle w:val="Textonotapie"/>
        <w:spacing w:line="240" w:lineRule="atLeast"/>
        <w:ind w:firstLine="0"/>
        <w:rPr>
          <w:lang w:val="es-ES"/>
        </w:rPr>
      </w:pPr>
      <w:r>
        <w:rPr>
          <w:rStyle w:val="Refdenotaalpie"/>
          <w:sz w:val="22"/>
          <w:szCs w:val="22"/>
        </w:rPr>
        <w:footnoteRef/>
      </w:r>
      <w:r>
        <w:t xml:space="preserve">El Principio de Legalidad comprende cuatro exigencias: lex scripta, lex certa,lex previa, y lex stricta. Las dos primeras exigencias pueden verse afectadas por la existencia de normas penales  que hacen un reenvio a normas de rango menor. Lex scripta significa que el juez o los órganos competentes de menores, no pueden usar las fuentes reconocidas en otras ramas del derecho como la costumbre, la jurisprudencia o la analogía. Lex stricta </w:t>
      </w:r>
      <w:r>
        <w:rPr>
          <w:lang w:val="es-ES" w:eastAsia="es-MX"/>
        </w:rPr>
        <w:t>implica</w:t>
      </w:r>
      <w:r>
        <w:t xml:space="preserve"> definir estrictamente los presupuestos dela acción. Esto quiere decir que</w:t>
      </w:r>
      <w:r>
        <w:rPr>
          <w:lang w:val="es-ES" w:eastAsia="es-MX"/>
        </w:rPr>
        <w:t>debe definirse concretamente los presupuestos de la acción, en este caso, que se concrete de forma precisa el contenido jurídico de la conducta que se incrimina y que se le atribuye al menor.</w:t>
      </w:r>
    </w:p>
  </w:footnote>
  <w:footnote w:id="485">
    <w:p w14:paraId="2A873A52" w14:textId="77777777" w:rsidR="00172411" w:rsidRDefault="00172411" w:rsidP="006203E3">
      <w:pPr>
        <w:pStyle w:val="Textonotapie"/>
        <w:spacing w:line="240" w:lineRule="atLeast"/>
        <w:ind w:firstLine="0"/>
      </w:pPr>
      <w:r>
        <w:rPr>
          <w:rStyle w:val="Refdenotaalpie"/>
        </w:rPr>
        <w:footnoteRef/>
      </w:r>
      <w:r>
        <w:rPr>
          <w:sz w:val="18"/>
          <w:szCs w:val="18"/>
        </w:rPr>
        <w:t>Consejo de Estado (1982) DECRETO-LEY NUMERO 64/82 DEL SISTEMA PARA LA ATENCION A MENORES CON TRASTORNOS DE CONDUCTA</w:t>
      </w:r>
      <w:r>
        <w:rPr>
          <w:b/>
          <w:bCs/>
          <w:sz w:val="18"/>
          <w:szCs w:val="18"/>
        </w:rPr>
        <w:t xml:space="preserve">. </w:t>
      </w:r>
      <w:r>
        <w:rPr>
          <w:sz w:val="18"/>
          <w:szCs w:val="18"/>
          <w:lang w:val="es-MX"/>
        </w:rPr>
        <w:t xml:space="preserve">Gaceta Oficial No. 10 Edición Especial. </w:t>
      </w:r>
      <w:r>
        <w:rPr>
          <w:bCs/>
          <w:color w:val="000000"/>
          <w:sz w:val="18"/>
          <w:szCs w:val="18"/>
          <w:lang w:val="es-MX" w:eastAsia="es-MX"/>
        </w:rPr>
        <w:t xml:space="preserve">Cuba. Articulo 1. (…) para personas menores de 16 años con trastornos de conductas (…) </w:t>
      </w:r>
      <w:r>
        <w:t xml:space="preserve">Artículo 11. </w:t>
      </w:r>
      <w:r>
        <w:rPr>
          <w:bCs/>
          <w:color w:val="000000"/>
          <w:sz w:val="18"/>
          <w:szCs w:val="18"/>
          <w:lang w:val="es-MX" w:eastAsia="es-MX"/>
        </w:rPr>
        <w:t xml:space="preserve">(…) </w:t>
      </w:r>
      <w:r>
        <w:t>los menores que hubiesen participado en hechos intencionales considerados delitos, al alcanzar los 18 años de edad, pueden ser objeto de medida de internamiento de hasta 5 años en un centro para mayores, sin ser procesados penalmente por un tribunal.</w:t>
      </w:r>
    </w:p>
  </w:footnote>
  <w:footnote w:id="486">
    <w:p w14:paraId="0831AFBE" w14:textId="77777777" w:rsidR="00172411" w:rsidRDefault="00172411" w:rsidP="006203E3">
      <w:pPr>
        <w:pStyle w:val="Textonotapie"/>
        <w:ind w:firstLine="0"/>
        <w:rPr>
          <w:lang w:val="es-ES"/>
        </w:rPr>
      </w:pPr>
      <w:r>
        <w:rPr>
          <w:rStyle w:val="Refdenotaalpie"/>
        </w:rPr>
        <w:footnoteRef/>
      </w:r>
      <w:r>
        <w:t xml:space="preserve"> Cubalex. 2014. </w:t>
      </w:r>
      <w:r>
        <w:rPr>
          <w:i/>
        </w:rPr>
        <w:t>Informe Sobre Los Derechos Humanos De Las Personas Privadas De Libertad En Cuba</w:t>
      </w:r>
      <w:r>
        <w:t>.</w:t>
      </w:r>
      <w:r>
        <w:rPr>
          <w:sz w:val="18"/>
          <w:szCs w:val="18"/>
        </w:rPr>
        <w:t xml:space="preserve">14YMEDIO, Washington DC | Octubre 27, 2014. La voz de los presos cubanos llega a la Comisión Interamericana de Derechos Humanos. Disponible: </w:t>
      </w:r>
      <w:hyperlink r:id="rId181" w:history="1">
        <w:r>
          <w:rPr>
            <w:rStyle w:val="Hipervnculo"/>
          </w:rPr>
          <w:t>http://www.14ymedio.com/nacional/situacion-presos-Cuba-es-presentada-ante-comision-interamericana-derechos-humanos-por-cubalex_0_1659434051.html</w:t>
        </w:r>
      </w:hyperlink>
    </w:p>
  </w:footnote>
  <w:footnote w:id="487">
    <w:p w14:paraId="0CDC8EF0" w14:textId="77777777" w:rsidR="00172411" w:rsidRDefault="00172411" w:rsidP="006203E3">
      <w:pPr>
        <w:pStyle w:val="Textonotapie"/>
        <w:ind w:firstLine="0"/>
        <w:rPr>
          <w:lang w:val="es-MX"/>
        </w:rPr>
      </w:pPr>
      <w:r>
        <w:rPr>
          <w:rStyle w:val="Refdenotaalpie"/>
        </w:rPr>
        <w:footnoteRef/>
      </w:r>
      <w:r>
        <w:t xml:space="preserve">Oficina de las Naciones Unidas Contra la Droga y el Delito. Viena. Nueva York, 2007. </w:t>
      </w:r>
      <w:r>
        <w:rPr>
          <w:i/>
        </w:rPr>
        <w:t>Recopilación de reglas y normas de las Naciones Unidas en la esfera de la prevención del delito y la justicia penal</w:t>
      </w:r>
      <w:r>
        <w:t xml:space="preserve">.  Pág. 64 (74) Disponible en:                                                       </w:t>
      </w:r>
      <w:hyperlink r:id="rId182" w:history="1">
        <w:r>
          <w:rPr>
            <w:rStyle w:val="Hipervnculo"/>
          </w:rPr>
          <w:t>https://www.unodc.org/pdf/criminal_justice/Compendium_UN_Standards_and_Norms_CP_and_CJ_Spanish.pdf</w:t>
        </w:r>
      </w:hyperlink>
      <w:r>
        <w:t xml:space="preserve"> ...</w:t>
      </w:r>
      <w:r>
        <w:rPr>
          <w:rFonts w:cs="Arial"/>
        </w:rPr>
        <w:t xml:space="preserve"> En un “juicio imparcial y equitativo” deben darse garantías tales como la presunción de inocencia, la presentación y examen de testigos, la igualdad en materia de medios de defensa judicial, el derecho a no responder, el derecho a decir la última palabra en la vista, el derecho de apelación, etc.</w:t>
      </w:r>
    </w:p>
  </w:footnote>
  <w:footnote w:id="488">
    <w:p w14:paraId="5A8F7A0D" w14:textId="4FC873AA" w:rsidR="00172411" w:rsidRPr="00F97F8A" w:rsidRDefault="00172411" w:rsidP="008F379F">
      <w:pPr>
        <w:pStyle w:val="Textonotapie"/>
        <w:ind w:firstLine="0"/>
        <w:rPr>
          <w:lang w:val="en-US"/>
        </w:rPr>
      </w:pPr>
      <w:r>
        <w:rPr>
          <w:rStyle w:val="Refdenotaalpie"/>
        </w:rPr>
        <w:footnoteRef/>
      </w:r>
      <w:r w:rsidRPr="00F97F8A">
        <w:rPr>
          <w:lang w:val="en-US"/>
        </w:rPr>
        <w:t xml:space="preserve"> Eva Manco. 2016. </w:t>
      </w:r>
      <w:r w:rsidRPr="00F97F8A">
        <w:rPr>
          <w:i/>
          <w:lang w:val="en-US"/>
        </w:rPr>
        <w:t>Protecting the Child’s Right to Participate in Criminal Justice Proceedings</w:t>
      </w:r>
      <w:r w:rsidRPr="00F97F8A">
        <w:rPr>
          <w:lang w:val="en-US"/>
        </w:rPr>
        <w:t>. Amsterdam Law Forum.VU University of Amsterdam.</w:t>
      </w:r>
      <w:r>
        <w:rPr>
          <w:lang w:val="en-US"/>
        </w:rPr>
        <w:t xml:space="preserve"> Available:</w:t>
      </w:r>
      <w:r w:rsidRPr="00F97F8A">
        <w:rPr>
          <w:lang w:val="en-US"/>
        </w:rPr>
        <w:t xml:space="preserve"> </w:t>
      </w:r>
      <w:hyperlink r:id="rId183" w:history="1">
        <w:r w:rsidRPr="00F97F8A">
          <w:rPr>
            <w:rStyle w:val="InternetLink"/>
            <w:lang w:val="en-US"/>
          </w:rPr>
          <w:t>http://amsterdamlawforum.org/article/viewFile/364/522</w:t>
        </w:r>
      </w:hyperlink>
      <w:r w:rsidRPr="00604B71">
        <w:rPr>
          <w:lang w:val="en-US"/>
        </w:rPr>
        <w:t xml:space="preserve"> </w:t>
      </w:r>
    </w:p>
  </w:footnote>
  <w:footnote w:id="489">
    <w:p w14:paraId="35D24649" w14:textId="77777777" w:rsidR="00172411" w:rsidRDefault="00172411" w:rsidP="00DE102C">
      <w:pPr>
        <w:pStyle w:val="Textonotapie"/>
        <w:ind w:firstLine="0"/>
        <w:rPr>
          <w:lang w:val="es-ES"/>
        </w:rPr>
      </w:pPr>
      <w:r>
        <w:rPr>
          <w:rStyle w:val="Refdenotaalpie"/>
        </w:rPr>
        <w:footnoteRef/>
      </w:r>
      <w:r w:rsidRPr="00604B71">
        <w:rPr>
          <w:lang w:val="en-US"/>
        </w:rPr>
        <w:t xml:space="preserve"> Megan Bastick y Laurel Townhead. </w:t>
      </w:r>
      <w:r>
        <w:rPr>
          <w:lang w:val="es-ES"/>
        </w:rPr>
        <w:t>2008.</w:t>
      </w:r>
      <w:r>
        <w:t xml:space="preserve"> </w:t>
      </w:r>
      <w:r>
        <w:rPr>
          <w:lang w:val="es-ES"/>
        </w:rPr>
        <w:t>Mujeres en la cárcel: Comentario a las Reglas Mínimas de las Naciones Unidas para el trato de reclusos.</w:t>
      </w:r>
      <w:r>
        <w:t xml:space="preserve"> Quaker United Nations Office (QUNO) - Representación Cuáquera ante la ONU </w:t>
      </w:r>
      <w:r>
        <w:rPr>
          <w:lang w:val="es-ES"/>
        </w:rPr>
        <w:t xml:space="preserve">(QUNO). Disponible: </w:t>
      </w:r>
      <w:hyperlink r:id="rId184" w:history="1">
        <w:r>
          <w:rPr>
            <w:rStyle w:val="Hipervnculo"/>
          </w:rPr>
          <w:t>www.archive.icpa.ca/tools/download/1018/WiP-CommentarySMRs200806-Spanish.pdf</w:t>
        </w:r>
      </w:hyperlink>
      <w:r>
        <w:rPr>
          <w:lang w:val="es-ES"/>
        </w:rPr>
        <w:t xml:space="preserve">  Pag.103</w:t>
      </w:r>
    </w:p>
  </w:footnote>
  <w:footnote w:id="490">
    <w:p w14:paraId="37FFD89D" w14:textId="26C359BF" w:rsidR="00172411" w:rsidRPr="00361E6A" w:rsidRDefault="00172411" w:rsidP="00DE102C">
      <w:pPr>
        <w:pStyle w:val="Textonotapie"/>
        <w:spacing w:line="240" w:lineRule="atLeast"/>
        <w:ind w:firstLine="0"/>
        <w:rPr>
          <w:lang w:val="es-ES" w:eastAsia="es-MX"/>
        </w:rPr>
      </w:pPr>
      <w:r>
        <w:rPr>
          <w:rStyle w:val="Refdenotaalpie"/>
        </w:rPr>
        <w:footnoteRef/>
      </w:r>
      <w:r>
        <w:rPr>
          <w:lang w:val="es-ES" w:eastAsia="es-MX"/>
        </w:rPr>
        <w:t>. Yoel Quinta Arango.2012</w:t>
      </w:r>
      <w:r>
        <w:rPr>
          <w:i/>
          <w:lang w:val="es-ES" w:eastAsia="es-MX"/>
        </w:rPr>
        <w:t>.Justicia Eficaz Contra El Abuso Sexual Infanti</w:t>
      </w:r>
      <w:r>
        <w:rPr>
          <w:lang w:val="es-ES" w:eastAsia="es-MX"/>
        </w:rPr>
        <w:t xml:space="preserve">l. Justicia y Derecho, revista del Tribunal Supremo Popular de la República de Cuba. Año 10, no. 18, junio de 2012. La Habana. Disponible en: </w:t>
      </w:r>
      <w:hyperlink r:id="rId185" w:history="1">
        <w:r>
          <w:rPr>
            <w:rStyle w:val="Hipervnculo"/>
            <w:lang w:eastAsia="es-MX"/>
          </w:rPr>
          <w:t>http://www.tsp.cu/sites/default/files/18JusticiaDerecho.pdf</w:t>
        </w:r>
      </w:hyperlink>
      <w:r w:rsidRPr="00C02930">
        <w:rPr>
          <w:rStyle w:val="Hipervnculo"/>
          <w:u w:val="none"/>
          <w:lang w:eastAsia="es-MX"/>
        </w:rPr>
        <w:t xml:space="preserve">  </w:t>
      </w:r>
      <w:r>
        <w:rPr>
          <w:lang w:val="es-ES" w:eastAsia="es-MX"/>
        </w:rPr>
        <w:t xml:space="preserve">Pag.50 </w:t>
      </w:r>
      <w:r>
        <w:t xml:space="preserve">(…) </w:t>
      </w:r>
      <w:r>
        <w:rPr>
          <w:lang w:val="es-ES" w:eastAsia="es-MX"/>
        </w:rPr>
        <w:t xml:space="preserve"> En este contexto</w:t>
      </w:r>
      <w:r>
        <w:t xml:space="preserve">, deben quedar establecidos para el andamiaje judicial los siguientes lineamientos de actuación: </w:t>
      </w:r>
      <w:r>
        <w:rPr>
          <w:b/>
        </w:rPr>
        <w:t>a)</w:t>
      </w:r>
      <w:r>
        <w:t xml:space="preserve"> Todo fallo judicial que pretenda atenuar la responsabilidad del abusador, sobre la base de una supuesta “seducción” por parte de la víctima o de una imposibilidad del adulto atropellador de sustraerse a los estímulos recibidos, debe ser descalificado. </w:t>
      </w:r>
      <w:r>
        <w:rPr>
          <w:b/>
        </w:rPr>
        <w:t xml:space="preserve">b) </w:t>
      </w:r>
      <w:r>
        <w:t>El grado de desarrollo físico maduro y hasta posiblemente provocativo que pueda tener el infante (más aplicable a las niñas), no puede justificar jamás el acto; el menor es irresponsable y, más que eso, víctima de los hechos, y el responsable es siempre el adulto.</w:t>
      </w:r>
      <w:r>
        <w:rPr>
          <w:b/>
        </w:rPr>
        <w:t>c)</w:t>
      </w:r>
      <w:r>
        <w:t xml:space="preserve"> Bajo ningún concepto, condiciones “facilitadoras” del abuso (aislamiento social, discordia conyugal, relaciones sexuales insatisfactorias, alcoholismo, madres ausentes, disfunciones familiares, entre otras) pueden devenir atenuantes para quien responda penalmente por la comisión de actos de abuso sexual y, mucho menos, ser alegadas o utilizadas para probar de alguna forma la falsedad de las acusaciones.</w:t>
      </w:r>
      <w:r>
        <w:rPr>
          <w:lang w:val="es-ES" w:eastAsia="es-MX"/>
        </w:rPr>
        <w:t xml:space="preserve"> </w:t>
      </w:r>
      <w:r>
        <w:t>Otro rasgo del abuso sexual lo constituye la “macabra normalidad”, que tiene como base el hecho de que, con alto porcentaje de frecuencia en estos supuestos, los perpetradores tratan de convencer a sus víctimas de la “normalidad” o “naturalidad” de lo que acontece…</w:t>
      </w:r>
    </w:p>
  </w:footnote>
  <w:footnote w:id="491">
    <w:p w14:paraId="6D25BFD8" w14:textId="77777777" w:rsidR="00172411" w:rsidRDefault="00172411" w:rsidP="00DE102C">
      <w:pPr>
        <w:pStyle w:val="Textonotapie"/>
        <w:spacing w:line="240" w:lineRule="atLeast"/>
        <w:ind w:firstLine="0"/>
        <w:rPr>
          <w:lang w:val="es-ES"/>
        </w:rPr>
      </w:pPr>
      <w:r>
        <w:rPr>
          <w:rStyle w:val="Refdenotaalpie"/>
        </w:rPr>
        <w:footnoteRef/>
      </w:r>
      <w:r>
        <w:rPr>
          <w:lang w:val="es-ES"/>
        </w:rPr>
        <w:t>ECPAT Luxembourg. Julio, 2016</w:t>
      </w:r>
      <w:r>
        <w:rPr>
          <w:i/>
          <w:lang w:val="es-ES"/>
        </w:rPr>
        <w:t xml:space="preserve">. </w:t>
      </w:r>
      <w:r>
        <w:rPr>
          <w:lang w:val="es-ES"/>
        </w:rPr>
        <w:t>Orientaciones terminológicas para la protección de niñas, niños y adolescentes contra la explotación y el abuso sexuales. Disponible:  http://www.ecpat.net/</w:t>
      </w:r>
    </w:p>
  </w:footnote>
  <w:footnote w:id="492">
    <w:p w14:paraId="5CB4113F" w14:textId="77777777" w:rsidR="00172411" w:rsidRDefault="00172411" w:rsidP="00144D42">
      <w:pPr>
        <w:pStyle w:val="Textonotapie"/>
        <w:spacing w:line="240" w:lineRule="atLeast"/>
        <w:ind w:firstLine="0"/>
      </w:pPr>
      <w:r>
        <w:rPr>
          <w:rStyle w:val="Refdenotaalpie"/>
          <w:rFonts w:ascii="Calibri" w:hAnsi="Calibri"/>
          <w:sz w:val="22"/>
          <w:szCs w:val="22"/>
        </w:rPr>
        <w:footnoteRef/>
      </w:r>
      <w:r>
        <w:t>Instrucción No. 51/1975 del Consejo de Gobierno del Tribunal Supremo donde reconoce que la prostitución es conducta que no es reprimible como delito pero la considera un vicio moralmente reprobable y su ejercicio una actividad antisocial.</w:t>
      </w:r>
    </w:p>
    <w:p w14:paraId="03068358" w14:textId="46946A70" w:rsidR="00172411" w:rsidRDefault="00172411" w:rsidP="00144D42">
      <w:pPr>
        <w:pStyle w:val="Textonotapie"/>
        <w:spacing w:line="240" w:lineRule="atLeast"/>
        <w:ind w:firstLine="0"/>
      </w:pPr>
      <w:r>
        <w:t>(…) consultan ante la aparición de algunos elementos antisociales que realizan actos de prostitución,( …) INSTRUCCION . SEGUNDO (…) es un índice de peligrosidad predelictiva el ejercicio de vicios moralmente reprobables, entre los que hay que considerar incluído, como de las conductas más repudiables por nuestra moral socialista el ejercicio de esta actividad antisocial.</w:t>
      </w:r>
    </w:p>
  </w:footnote>
  <w:footnote w:id="493">
    <w:p w14:paraId="2BE97833" w14:textId="5E76466B" w:rsidR="00172411" w:rsidRDefault="00172411" w:rsidP="00144D42">
      <w:pPr>
        <w:pStyle w:val="Textonotapie"/>
        <w:spacing w:line="240" w:lineRule="atLeast"/>
        <w:ind w:firstLine="0"/>
        <w:rPr>
          <w:lang w:val="es-MX"/>
        </w:rPr>
      </w:pPr>
      <w:r>
        <w:rPr>
          <w:rStyle w:val="Refdenotaalpie"/>
          <w:rFonts w:ascii="Calibri" w:hAnsi="Calibri" w:cs="Calibri"/>
          <w:sz w:val="22"/>
          <w:szCs w:val="22"/>
        </w:rPr>
        <w:footnoteRef/>
      </w:r>
      <w:r>
        <w:rPr>
          <w:lang w:val="es-MX"/>
        </w:rPr>
        <w:t xml:space="preserve">Maria Grazia Giammarinaro. (10-14 de abril de 2017) </w:t>
      </w:r>
      <w:r>
        <w:rPr>
          <w:i/>
          <w:lang w:val="es-MX"/>
        </w:rPr>
        <w:t>Declaración del final de la visita a Cuba de la Relatora Especial sobre la trata de personas, especialmente mujeres y niños</w:t>
      </w:r>
      <w:r>
        <w:rPr>
          <w:lang w:val="es-MX"/>
        </w:rPr>
        <w:t xml:space="preserve">.  Disponible: </w:t>
      </w:r>
      <w:hyperlink r:id="rId186" w:history="1">
        <w:r>
          <w:rPr>
            <w:rStyle w:val="Hipervnculo"/>
          </w:rPr>
          <w:t>http://www.ohchr.org/SP/NewsEvents/Pages/DisplayNews.aspx?NewsID=21518&amp;LangID=S</w:t>
        </w:r>
      </w:hyperlink>
      <w:r>
        <w:t xml:space="preserve"> </w:t>
      </w:r>
      <w:r>
        <w:rPr>
          <w:lang w:val="es-MX"/>
        </w:rPr>
        <w:t>Informe final en julio 2018.</w:t>
      </w:r>
    </w:p>
  </w:footnote>
  <w:footnote w:id="494">
    <w:p w14:paraId="5EEC3447" w14:textId="4C01271C" w:rsidR="00172411" w:rsidRPr="00DA1475" w:rsidRDefault="00172411" w:rsidP="00DA1475">
      <w:pPr>
        <w:pStyle w:val="Textonotapie"/>
        <w:ind w:firstLine="0"/>
        <w:rPr>
          <w:lang w:val="es-ES"/>
        </w:rPr>
      </w:pPr>
      <w:r>
        <w:rPr>
          <w:rStyle w:val="Refdenotaalpie"/>
        </w:rPr>
        <w:footnoteRef/>
      </w:r>
      <w:r w:rsidRPr="00DA1475">
        <w:rPr>
          <w:lang w:val="en-US"/>
        </w:rPr>
        <w:t xml:space="preserve"> </w:t>
      </w:r>
      <w:r>
        <w:rPr>
          <w:lang w:val="en-US"/>
        </w:rPr>
        <w:t xml:space="preserve">Megan Bastick y Laurel Townhead. </w:t>
      </w:r>
      <w:r>
        <w:rPr>
          <w:lang w:val="es-ES"/>
        </w:rPr>
        <w:t>2008.</w:t>
      </w:r>
      <w:r>
        <w:t xml:space="preserve"> </w:t>
      </w:r>
      <w:r>
        <w:rPr>
          <w:lang w:val="es-ES"/>
        </w:rPr>
        <w:t>Mujeres en la cárcel: Comentario a las Reglas Mínimas de las Naciones Unidas para el trato de reclusos.</w:t>
      </w:r>
      <w:r>
        <w:t xml:space="preserve"> Quaker United Nations Office (QUNO) - Representación Cuáquera ante la ONU </w:t>
      </w:r>
      <w:r>
        <w:rPr>
          <w:lang w:val="es-ES"/>
        </w:rPr>
        <w:t xml:space="preserve">(QUNO). Disponible: </w:t>
      </w:r>
      <w:hyperlink r:id="rId187" w:history="1">
        <w:r>
          <w:rPr>
            <w:rStyle w:val="Hipervnculo"/>
          </w:rPr>
          <w:t>www.archive.icpa.ca/tools/download/1018/WiP-CommentarySMRs200806-Spanish.pdf</w:t>
        </w:r>
      </w:hyperlink>
      <w:r>
        <w:rPr>
          <w:lang w:val="es-ES"/>
        </w:rPr>
        <w:t xml:space="preserve">  Pág. 104 (96)</w:t>
      </w:r>
    </w:p>
  </w:footnote>
  <w:footnote w:id="495">
    <w:p w14:paraId="7CBFA000" w14:textId="0BA235DD" w:rsidR="00172411" w:rsidRPr="005675F1" w:rsidRDefault="00172411" w:rsidP="00702009">
      <w:pPr>
        <w:pStyle w:val="Textonotapie"/>
        <w:ind w:firstLine="0"/>
        <w:rPr>
          <w:lang w:val="es-ES"/>
        </w:rPr>
      </w:pPr>
      <w:r w:rsidRPr="005675F1">
        <w:rPr>
          <w:vertAlign w:val="superscript"/>
          <w:lang w:val="es-ES"/>
        </w:rPr>
        <w:footnoteRef/>
      </w:r>
      <w:r w:rsidRPr="005675F1">
        <w:rPr>
          <w:vertAlign w:val="superscript"/>
          <w:lang w:val="es-ES"/>
        </w:rPr>
        <w:t xml:space="preserve"> </w:t>
      </w:r>
      <w:r w:rsidRPr="005675F1">
        <w:rPr>
          <w:lang w:val="es-ES"/>
        </w:rPr>
        <w:t xml:space="preserve">Oficina de Naciones Unidas contra la Droga y el Delito.Viena.2014. </w:t>
      </w:r>
      <w:r w:rsidRPr="00DE7D32">
        <w:rPr>
          <w:i/>
          <w:lang w:val="es-ES"/>
        </w:rPr>
        <w:t>Manual sobre mujeres y encarcelamiento</w:t>
      </w:r>
      <w:r w:rsidRPr="005675F1">
        <w:rPr>
          <w:lang w:val="es-ES"/>
        </w:rPr>
        <w:t>. Pag.18 (11) , 14 (21)</w:t>
      </w:r>
      <w:r>
        <w:rPr>
          <w:lang w:val="es-ES"/>
        </w:rPr>
        <w:t xml:space="preserve">, 24 (17), </w:t>
      </w:r>
      <w:r w:rsidRPr="005675F1">
        <w:rPr>
          <w:lang w:val="es-ES"/>
        </w:rPr>
        <w:t>32</w:t>
      </w:r>
      <w:r>
        <w:rPr>
          <w:lang w:val="es-ES"/>
        </w:rPr>
        <w:t xml:space="preserve"> (25).</w:t>
      </w:r>
      <w:r w:rsidRPr="005675F1">
        <w:rPr>
          <w:lang w:val="es-MX"/>
        </w:rPr>
        <w:t xml:space="preserve"> </w:t>
      </w:r>
      <w:r>
        <w:rPr>
          <w:lang w:val="es-MX"/>
        </w:rPr>
        <w:t xml:space="preserve">Disponible: </w:t>
      </w:r>
      <w:r>
        <w:rPr>
          <w:iCs/>
          <w:sz w:val="18"/>
          <w:szCs w:val="18"/>
          <w:lang w:val="es-ES"/>
        </w:rPr>
        <w:t>https://www.unodc.org/documents/ropan/Manual_Mujeres_2da_edicion.compressed.pdf</w:t>
      </w:r>
      <w:r>
        <w:rPr>
          <w:lang w:val="es-ES"/>
        </w:rPr>
        <w:t xml:space="preserve">       </w:t>
      </w:r>
    </w:p>
  </w:footnote>
  <w:footnote w:id="496">
    <w:p w14:paraId="1DA84F03" w14:textId="1504179F" w:rsidR="00172411" w:rsidRPr="00EA61BB" w:rsidRDefault="00172411" w:rsidP="00C64A22">
      <w:pPr>
        <w:pStyle w:val="Textonotapie"/>
        <w:ind w:firstLine="0"/>
        <w:rPr>
          <w:lang w:val="es-ES"/>
        </w:rPr>
      </w:pPr>
      <w:r>
        <w:rPr>
          <w:rStyle w:val="Refdenotaalpie"/>
        </w:rPr>
        <w:footnoteRef/>
      </w:r>
      <w:r w:rsidRPr="00EA61BB">
        <w:rPr>
          <w:lang w:val="en-US"/>
        </w:rPr>
        <w:t xml:space="preserve"> Megan Bastick y Laurel Townhead. </w:t>
      </w:r>
      <w:r w:rsidRPr="00EA61BB">
        <w:rPr>
          <w:lang w:val="es-ES"/>
        </w:rPr>
        <w:t>2008.</w:t>
      </w:r>
      <w:r w:rsidRPr="00EA61BB">
        <w:t xml:space="preserve"> </w:t>
      </w:r>
      <w:r>
        <w:rPr>
          <w:lang w:val="es-ES"/>
        </w:rPr>
        <w:t>Mujeres en la cárcel: Comentario a las Reglas Mínimas de las Naciones Unidas para el</w:t>
      </w:r>
      <w:r w:rsidRPr="00EA61BB">
        <w:rPr>
          <w:lang w:val="es-ES"/>
        </w:rPr>
        <w:t xml:space="preserve"> trato de reclusos</w:t>
      </w:r>
      <w:r>
        <w:rPr>
          <w:lang w:val="es-ES"/>
        </w:rPr>
        <w:t>.</w:t>
      </w:r>
      <w:r w:rsidRPr="00AF6FA9">
        <w:t xml:space="preserve"> Quaker United Nations Office</w:t>
      </w:r>
      <w:r>
        <w:t xml:space="preserve"> </w:t>
      </w:r>
      <w:r w:rsidRPr="00AF6FA9">
        <w:t xml:space="preserve">(QUNO) </w:t>
      </w:r>
      <w:r>
        <w:t xml:space="preserve">- </w:t>
      </w:r>
      <w:r w:rsidRPr="00AF6FA9">
        <w:t xml:space="preserve">Representación Cuáquera ante la ONU </w:t>
      </w:r>
      <w:r w:rsidRPr="00AF6FA9">
        <w:rPr>
          <w:lang w:val="es-ES"/>
        </w:rPr>
        <w:t>(QUNO)</w:t>
      </w:r>
      <w:r>
        <w:rPr>
          <w:lang w:val="es-ES"/>
        </w:rPr>
        <w:t xml:space="preserve">. </w:t>
      </w:r>
      <w:r w:rsidRPr="00AF6FA9">
        <w:rPr>
          <w:lang w:val="es-ES"/>
        </w:rPr>
        <w:t xml:space="preserve">Disponible: </w:t>
      </w:r>
      <w:hyperlink r:id="rId188" w:history="1">
        <w:r w:rsidRPr="0045315B">
          <w:rPr>
            <w:rStyle w:val="Hipervnculo"/>
            <w:lang w:val="es-ES"/>
          </w:rPr>
          <w:t>www.archive.icpa.ca/tools/download/1018/WiP-CommentarySMRs200806-Spanish.pdf</w:t>
        </w:r>
      </w:hyperlink>
      <w:r>
        <w:rPr>
          <w:lang w:val="es-ES"/>
        </w:rPr>
        <w:t xml:space="preserve">  Pág. 71 y 104</w:t>
      </w:r>
    </w:p>
  </w:footnote>
  <w:footnote w:id="497">
    <w:p w14:paraId="7D223B7F" w14:textId="6A5F7DA7" w:rsidR="00172411" w:rsidRDefault="00172411" w:rsidP="00854310">
      <w:pPr>
        <w:pStyle w:val="Textonotapie"/>
        <w:spacing w:line="240" w:lineRule="atLeast"/>
        <w:ind w:firstLine="0"/>
        <w:rPr>
          <w:lang w:val="es-MX"/>
        </w:rPr>
      </w:pPr>
      <w:r>
        <w:rPr>
          <w:rStyle w:val="Refdenotaalpie"/>
        </w:rPr>
        <w:footnoteRef/>
      </w:r>
      <w:r>
        <w:t xml:space="preserve"> </w:t>
      </w:r>
      <w:r>
        <w:rPr>
          <w:lang w:val="es-MX"/>
        </w:rPr>
        <w:t xml:space="preserve">Ministerio de Educación. RESOLUCION No. 200/2014. Reglamento del trabajo metodológico del Ministerio de Educación. Disponible: </w:t>
      </w:r>
      <w:hyperlink r:id="rId189" w:history="1">
        <w:bookmarkStart w:id="142" w:name="OLE_LINK54"/>
        <w:bookmarkStart w:id="143" w:name="OLE_LINK61"/>
        <w:r w:rsidRPr="00C215FC">
          <w:rPr>
            <w:u w:val="single"/>
            <w:lang w:val="es-MX"/>
          </w:rPr>
          <w:t>http://www.mined.gob.cu/img/200-14</w:t>
        </w:r>
        <w:bookmarkEnd w:id="142"/>
        <w:bookmarkEnd w:id="143"/>
        <w:r w:rsidRPr="00C215FC">
          <w:rPr>
            <w:lang w:val="es-MX"/>
          </w:rPr>
          <w:t xml:space="preserve">  Consultada</w:t>
        </w:r>
      </w:hyperlink>
      <w:r>
        <w:rPr>
          <w:lang w:val="es-MX"/>
        </w:rPr>
        <w:t xml:space="preserve"> por última vez el 12 abril 2018.  Artículo 1. El trabajo metodológico es el sistema de actividades que de forma permanente y sistemática se diseña y ejecuta por los cuadros de dirección, funcionarios y los docentes en los diferentes niveles y tipos de Educación para elevar la preparación político-ideológica, pedagógico-metodológica y científica-técnica de los funcionarios en diferentes niveles, los docentes graduados y en formación, mediante las direcciones docente metodológica y científico metodológica, a fin de ponerlos en condiciones de dirigir  eficientemente  el proceso  educativo. Se caracteriza por su naturaleza didáctica, diferenciada, colectiva, individual y</w:t>
      </w:r>
    </w:p>
    <w:p w14:paraId="25517C07" w14:textId="77777777" w:rsidR="00172411" w:rsidRDefault="00172411" w:rsidP="00854310">
      <w:pPr>
        <w:pStyle w:val="Textonotapie"/>
        <w:spacing w:line="240" w:lineRule="atLeast"/>
        <w:ind w:firstLine="0"/>
        <w:rPr>
          <w:lang w:val="es-MX"/>
        </w:rPr>
      </w:pPr>
      <w:r>
        <w:rPr>
          <w:lang w:val="es-MX"/>
        </w:rPr>
        <w:t xml:space="preserve">preventiva, con un enfoque ideo-político, en correspondencia con los objetivos del sistema educativo cubano.   </w:t>
      </w:r>
    </w:p>
  </w:footnote>
  <w:footnote w:id="498">
    <w:p w14:paraId="3824ACBA" w14:textId="77777777" w:rsidR="00172411" w:rsidRPr="00BA58E5" w:rsidRDefault="00172411" w:rsidP="00F03CF0">
      <w:pPr>
        <w:pStyle w:val="Textonotapie"/>
        <w:ind w:firstLine="0"/>
      </w:pPr>
      <w:r>
        <w:rPr>
          <w:rStyle w:val="Refdenotaalpie"/>
        </w:rPr>
        <w:footnoteRef/>
      </w:r>
      <w:r>
        <w:t xml:space="preserve"> Santiago Redondo Illescas y Antonio Andrés Pueyo. Diciembre 2009. </w:t>
      </w:r>
      <w:r w:rsidRPr="00BA58E5">
        <w:rPr>
          <w:i/>
        </w:rPr>
        <w:t>La psicología de la delincuencia</w:t>
      </w:r>
      <w:r>
        <w:t>. El observador. Revista especializada en temas de infancia y adolescencia del Servicio Nacional de Menores.</w:t>
      </w:r>
      <w:r w:rsidRPr="00BA58E5">
        <w:t xml:space="preserve"> </w:t>
      </w:r>
      <w:r>
        <w:t xml:space="preserve">No. 5 </w:t>
      </w:r>
      <w:r w:rsidRPr="00BA58E5">
        <w:t xml:space="preserve"> </w:t>
      </w:r>
      <w:r>
        <w:t>Pág. 7</w:t>
      </w:r>
    </w:p>
  </w:footnote>
  <w:footnote w:id="499">
    <w:p w14:paraId="1C6F86FF" w14:textId="2CC09DC0" w:rsidR="00172411" w:rsidRPr="00ED1D5E" w:rsidRDefault="00172411" w:rsidP="00ED1D5E">
      <w:pPr>
        <w:pStyle w:val="Textonotapie"/>
        <w:ind w:firstLine="0"/>
        <w:rPr>
          <w:iCs/>
        </w:rPr>
      </w:pPr>
      <w:r>
        <w:rPr>
          <w:rStyle w:val="Refdenotaalpie"/>
        </w:rPr>
        <w:footnoteRef/>
      </w:r>
      <w:r>
        <w:t xml:space="preserve">Ayeisa Vega López. 2017. Centro de Investigaciones Socio- Operativas - MININT, La Habana, Cuba. La doble victimización de adolescentes en conflicto con la norma legal .Universidad de La Habana. 2017. Número 283. 126-136. Disponible: </w:t>
      </w:r>
      <w:hyperlink r:id="rId190" w:history="1">
        <w:r>
          <w:rPr>
            <w:rStyle w:val="Hipervnculo"/>
            <w:i/>
            <w:iCs/>
          </w:rPr>
          <w:t>http://scielo.sld.cu/pdf/uh/n283/uh09283.pdf</w:t>
        </w:r>
      </w:hyperlink>
      <w:r>
        <w:rPr>
          <w:i/>
          <w:iCs/>
        </w:rPr>
        <w:t xml:space="preserve"> </w:t>
      </w:r>
      <w:r>
        <w:rPr>
          <w:iCs/>
        </w:rPr>
        <w:t xml:space="preserve"> Pág. 5 (…) </w:t>
      </w:r>
      <w:r w:rsidRPr="00ED1D5E">
        <w:rPr>
          <w:iCs/>
        </w:rPr>
        <w:t>Ningún infractor de la ley inferior a los</w:t>
      </w:r>
      <w:r>
        <w:rPr>
          <w:iCs/>
        </w:rPr>
        <w:t xml:space="preserve"> </w:t>
      </w:r>
      <w:r w:rsidRPr="00ED1D5E">
        <w:rPr>
          <w:iCs/>
        </w:rPr>
        <w:t>16 años de edad es sometido ni a juicio ni a tribuna</w:t>
      </w:r>
      <w:r>
        <w:rPr>
          <w:iCs/>
        </w:rPr>
        <w:t xml:space="preserve">l, porque la legislación cubana </w:t>
      </w:r>
      <w:r w:rsidRPr="00ED1D5E">
        <w:rPr>
          <w:iCs/>
        </w:rPr>
        <w:t xml:space="preserve">despenaliza a los menores de edad. Son atendidos, entonces, </w:t>
      </w:r>
      <w:r>
        <w:rPr>
          <w:iCs/>
        </w:rPr>
        <w:t xml:space="preserve">por el Decreto Ley 64/82. </w:t>
      </w:r>
      <w:r w:rsidRPr="00ED1D5E">
        <w:rPr>
          <w:iCs/>
        </w:rPr>
        <w:t xml:space="preserve">Para la atención diferenciada a los infantes </w:t>
      </w:r>
      <w:r>
        <w:rPr>
          <w:iCs/>
        </w:rPr>
        <w:t>y adolescentes, el Decreto-Ley 64</w:t>
      </w:r>
      <w:r w:rsidRPr="00ED1D5E">
        <w:rPr>
          <w:iCs/>
        </w:rPr>
        <w:t>/82 establece cuáles son las categorías que d</w:t>
      </w:r>
      <w:r>
        <w:rPr>
          <w:iCs/>
        </w:rPr>
        <w:t xml:space="preserve">eben ser atendidas tanto por el </w:t>
      </w:r>
      <w:r w:rsidRPr="00ED1D5E">
        <w:rPr>
          <w:iCs/>
        </w:rPr>
        <w:t>Ministerio de Educación (MINED) como po</w:t>
      </w:r>
      <w:r>
        <w:rPr>
          <w:iCs/>
        </w:rPr>
        <w:t xml:space="preserve">r el Ministerio del Interior (…) </w:t>
      </w:r>
      <w:r w:rsidRPr="0093424C">
        <w:rPr>
          <w:b/>
          <w:iCs/>
        </w:rPr>
        <w:t xml:space="preserve">Nota de ACDEI: </w:t>
      </w:r>
      <w:r>
        <w:t xml:space="preserve">MININT son las siglas del </w:t>
      </w:r>
      <w:r>
        <w:rPr>
          <w:iCs/>
        </w:rPr>
        <w:t>Ministerio del Interior.</w:t>
      </w:r>
    </w:p>
  </w:footnote>
  <w:footnote w:id="500">
    <w:p w14:paraId="3719B611" w14:textId="77777777" w:rsidR="00172411" w:rsidRDefault="00172411" w:rsidP="001F082E">
      <w:pPr>
        <w:pStyle w:val="Textonotapie"/>
        <w:ind w:firstLine="0"/>
        <w:rPr>
          <w:rFonts w:cs="Arial"/>
        </w:rPr>
      </w:pPr>
      <w:r>
        <w:rPr>
          <w:rStyle w:val="Refdenotaalpie"/>
        </w:rPr>
        <w:footnoteRef/>
      </w:r>
      <w:r>
        <w:t xml:space="preserve"> Comisión Interamericana de Derechos Humanos | CIDH.30 noviembre 2017. Hacia la garantía efectiva de los derechos de niñas, niños y  adolescentes: Sistemas Nacionales de Protección . </w:t>
      </w:r>
      <w:r>
        <w:rPr>
          <w:rFonts w:cs="Arial"/>
        </w:rPr>
        <w:t>Párrafo 116. pag.59   www.cidh.org</w:t>
      </w:r>
    </w:p>
  </w:footnote>
  <w:footnote w:id="501">
    <w:p w14:paraId="706A77B9" w14:textId="77777777" w:rsidR="00172411" w:rsidRDefault="00172411" w:rsidP="001F082E">
      <w:pPr>
        <w:pStyle w:val="Textonotapie"/>
        <w:ind w:firstLine="0"/>
      </w:pPr>
      <w:r>
        <w:rPr>
          <w:rStyle w:val="Refdenotaalpie"/>
        </w:rPr>
        <w:footnoteRef/>
      </w:r>
      <w:r>
        <w:t xml:space="preserve"> Apud Carta Iberoamericana de Participación Ciudadana en la Gestión Pública, aprobada por la XI</w:t>
      </w:r>
    </w:p>
    <w:p w14:paraId="3F7FF456" w14:textId="77777777" w:rsidR="00172411" w:rsidRDefault="00172411" w:rsidP="001F082E">
      <w:pPr>
        <w:pStyle w:val="Textonotapie"/>
        <w:ind w:firstLine="0"/>
      </w:pPr>
      <w:r>
        <w:t>Conferencia Iberoamericana de Ministros de Administración Pública y Reforma del Estado</w:t>
      </w:r>
    </w:p>
    <w:p w14:paraId="2ACD5219" w14:textId="77777777" w:rsidR="00172411" w:rsidRDefault="00172411" w:rsidP="001F082E">
      <w:pPr>
        <w:pStyle w:val="Textonotapie"/>
        <w:ind w:firstLine="0"/>
      </w:pPr>
      <w:r>
        <w:t>Lisboa, Portugal, 25 y 26 de junio de 2009 y adoptada por la XIX Cumbre Iberoamericana de Jefes</w:t>
      </w:r>
    </w:p>
    <w:p w14:paraId="21D34E2B" w14:textId="77777777" w:rsidR="00172411" w:rsidRDefault="00172411" w:rsidP="001F082E">
      <w:pPr>
        <w:pStyle w:val="Textonotapie"/>
        <w:ind w:firstLine="0"/>
      </w:pPr>
      <w:r>
        <w:t>de Estado y de Gobierno Estoril, Portugal, 30 de noviembre y 1° de diciembre de 2009</w:t>
      </w:r>
    </w:p>
    <w:p w14:paraId="426A8D3B" w14:textId="77777777" w:rsidR="00172411" w:rsidRDefault="00172411" w:rsidP="001F082E">
      <w:pPr>
        <w:pStyle w:val="Textonotapie"/>
        <w:ind w:firstLine="0"/>
      </w:pPr>
      <w:r>
        <w:t xml:space="preserve">(Resolución No. 38 del "Plan de Acción de Lisboa").  </w:t>
      </w:r>
    </w:p>
  </w:footnote>
  <w:footnote w:id="502">
    <w:p w14:paraId="79C33670" w14:textId="3BE1A685" w:rsidR="00172411" w:rsidRPr="00392B04" w:rsidRDefault="00172411" w:rsidP="004F766B">
      <w:pPr>
        <w:pStyle w:val="Textonotapie"/>
        <w:spacing w:line="240" w:lineRule="atLeast"/>
        <w:ind w:firstLine="0"/>
      </w:pPr>
      <w:r w:rsidRPr="008973C5">
        <w:rPr>
          <w:rStyle w:val="Refdenotaalpie"/>
          <w:rFonts w:ascii="Calibri" w:hAnsi="Calibri" w:cs="Calibri"/>
          <w:sz w:val="22"/>
          <w:szCs w:val="22"/>
        </w:rPr>
        <w:footnoteRef/>
      </w:r>
      <w:r>
        <w:t xml:space="preserve">Susana Gomes et al (17 diciembre 2014) </w:t>
      </w:r>
      <w:r w:rsidRPr="001A46CD">
        <w:rPr>
          <w:i/>
        </w:rPr>
        <w:t>Sin economía no hay país</w:t>
      </w:r>
      <w:r>
        <w:t>. Juventud Rebelde. Pág. 5. Edición Impresa. Cuba</w:t>
      </w:r>
      <w:r w:rsidRPr="00392B04">
        <w:t xml:space="preserve"> Asamblea Nacional Poder Popular (16 al 19 Diciembre, 2014) IV Periodo Ordinario de Sesiones correspondiente a la </w:t>
      </w:r>
      <w:r w:rsidRPr="009405A0">
        <w:t>O</w:t>
      </w:r>
      <w:r>
        <w:t>ctava Legislatura .</w:t>
      </w:r>
      <w:r w:rsidRPr="00392B04">
        <w:t>Palacio de Convenciones. Cuba</w:t>
      </w:r>
      <w:r>
        <w:t xml:space="preserve">(…) </w:t>
      </w:r>
      <w:r w:rsidRPr="00392B04">
        <w:t xml:space="preserve"> en el primer  debate </w:t>
      </w:r>
      <w:r>
        <w:t>d</w:t>
      </w:r>
      <w:r w:rsidRPr="00392B04">
        <w:t xml:space="preserve">e la Comisión </w:t>
      </w:r>
      <w:r>
        <w:t>P</w:t>
      </w:r>
      <w:r w:rsidRPr="00392B04">
        <w:t xml:space="preserve">ermanente de Atención a la </w:t>
      </w:r>
      <w:r>
        <w:t>N</w:t>
      </w:r>
      <w:r w:rsidRPr="00392B04">
        <w:t xml:space="preserve">iñez, la </w:t>
      </w:r>
      <w:r>
        <w:t>J</w:t>
      </w:r>
      <w:r w:rsidRPr="00392B04">
        <w:t xml:space="preserve">uventud y la Igualdad de la Mujer, se intercambiaron ideas en torno a disímiles problemas encontrados al visitar las instituciones infantiles precitadas: inestabilidad del claustro docente, insuficiente estipendio asignado para los adolescentes sin amparo filial y de escuelas de conductas cuando necesitan participar en actividades extracurriculares, carencias de viviendas de los jóvenes sin amparo filial  y comisores de delitos al superar los 18 años, inconformidad con las sanciones impuestas a las familias de estos menores, etc. </w:t>
      </w:r>
      <w:r>
        <w:t>(…)</w:t>
      </w:r>
    </w:p>
  </w:footnote>
  <w:footnote w:id="503">
    <w:p w14:paraId="510C617F" w14:textId="77777777" w:rsidR="00172411" w:rsidRPr="002A3AAA" w:rsidRDefault="00172411" w:rsidP="007151CF">
      <w:pPr>
        <w:pStyle w:val="NormalWeb"/>
        <w:spacing w:line="240" w:lineRule="atLeast"/>
        <w:ind w:firstLine="0"/>
        <w:rPr>
          <w:sz w:val="20"/>
          <w:szCs w:val="20"/>
        </w:rPr>
      </w:pPr>
      <w:r w:rsidRPr="007873DF">
        <w:rPr>
          <w:rStyle w:val="Refdenotaalpie"/>
        </w:rPr>
        <w:footnoteRef/>
      </w:r>
      <w:r w:rsidRPr="002A3AAA">
        <w:rPr>
          <w:sz w:val="20"/>
          <w:szCs w:val="20"/>
        </w:rPr>
        <w:t>Asamblea Nacional del Poder Popular.( 25 de diciembre de 1996) Reglamento de la Asamblea Nacional del Poder Popular.  ARTICULO 29. En la realización de sus funciones, las Comisiones Permanentes cumplen las actividades siguientes:</w:t>
      </w:r>
      <w:r w:rsidRPr="00B532B2">
        <w:rPr>
          <w:sz w:val="20"/>
          <w:szCs w:val="20"/>
        </w:rPr>
        <w:t xml:space="preserve">(…) </w:t>
      </w:r>
      <w:r w:rsidRPr="002A3AAA">
        <w:rPr>
          <w:sz w:val="20"/>
          <w:szCs w:val="20"/>
        </w:rPr>
        <w:t>d) comprobar el ejercicio y cumplimiento que las asambleas locales del Poder</w:t>
      </w:r>
      <w:r>
        <w:rPr>
          <w:sz w:val="20"/>
          <w:szCs w:val="20"/>
        </w:rPr>
        <w:t xml:space="preserve"> </w:t>
      </w:r>
      <w:r w:rsidRPr="002A3AAA">
        <w:rPr>
          <w:sz w:val="20"/>
          <w:szCs w:val="20"/>
        </w:rPr>
        <w:t>Popular hacen de sus atribuciones constitucionales, de las leyes, de los reglamentos y de las decisiones de los órganos superiores del Estado en cuanto les concierne emitiendo las consideraciones que resulten; e) informar al Presidente de la Asamblea Nacional y a ésta sobre la marcha del trabajo, cuando les sea solicitado) verificar, el cumplimiento de los acuerdos adoptados por la Asamblea Nacional que corresponden a su esfera de trabajo;</w:t>
      </w:r>
      <w:r>
        <w:t>(…)</w:t>
      </w:r>
    </w:p>
  </w:footnote>
  <w:footnote w:id="504">
    <w:p w14:paraId="630513E2" w14:textId="77777777" w:rsidR="00172411" w:rsidRPr="00910A3F" w:rsidRDefault="00172411" w:rsidP="007151CF">
      <w:pPr>
        <w:pStyle w:val="NormalWeb"/>
        <w:spacing w:line="240" w:lineRule="atLeast"/>
        <w:ind w:firstLine="0"/>
        <w:rPr>
          <w:sz w:val="20"/>
          <w:szCs w:val="20"/>
        </w:rPr>
      </w:pPr>
      <w:r>
        <w:rPr>
          <w:sz w:val="22"/>
          <w:szCs w:val="22"/>
          <w:vertAlign w:val="superscript"/>
        </w:rPr>
        <w:footnoteRef/>
      </w:r>
      <w:r>
        <w:t xml:space="preserve"> </w:t>
      </w:r>
      <w:r w:rsidRPr="00910A3F">
        <w:rPr>
          <w:sz w:val="20"/>
          <w:szCs w:val="20"/>
        </w:rPr>
        <w:t xml:space="preserve">Susana Lee (16 diciembre 2014). </w:t>
      </w:r>
      <w:r w:rsidRPr="001A46CD">
        <w:rPr>
          <w:i/>
          <w:sz w:val="20"/>
          <w:szCs w:val="20"/>
        </w:rPr>
        <w:t>Intenso trabajo desde hoy en las diez comisiones permanentes. Asamblea Nacional.</w:t>
      </w:r>
      <w:r w:rsidRPr="00910A3F">
        <w:rPr>
          <w:sz w:val="20"/>
          <w:szCs w:val="20"/>
        </w:rPr>
        <w:t xml:space="preserve"> Periódico Granma No. 299. Pág. 1. Edición Impresa. Cuba.</w:t>
      </w:r>
    </w:p>
  </w:footnote>
  <w:footnote w:id="505">
    <w:p w14:paraId="1A893959" w14:textId="77777777" w:rsidR="00172411" w:rsidRPr="006B5AD6" w:rsidRDefault="00172411" w:rsidP="00422471">
      <w:pPr>
        <w:spacing w:after="0" w:line="240" w:lineRule="atLeast"/>
        <w:rPr>
          <w:rFonts w:ascii="Times New Roman" w:hAnsi="Times New Roman"/>
          <w:sz w:val="20"/>
          <w:szCs w:val="20"/>
        </w:rPr>
      </w:pPr>
      <w:r>
        <w:rPr>
          <w:rStyle w:val="Refdenotaalpie"/>
        </w:rPr>
        <w:footnoteRef/>
      </w:r>
      <w:r>
        <w:rPr>
          <w:rFonts w:ascii="Times New Roman" w:hAnsi="Times New Roman"/>
          <w:sz w:val="20"/>
          <w:szCs w:val="20"/>
        </w:rPr>
        <w:t xml:space="preserve">Unicef. </w:t>
      </w:r>
      <w:r w:rsidRPr="001A46CD">
        <w:rPr>
          <w:rFonts w:ascii="Times New Roman" w:hAnsi="Times New Roman"/>
          <w:i/>
          <w:sz w:val="20"/>
          <w:szCs w:val="20"/>
        </w:rPr>
        <w:t>Estado Mundial de la Infancia 2006. EXCLUIDOS E INVISIBLES</w:t>
      </w:r>
      <w:r>
        <w:rPr>
          <w:rFonts w:ascii="Times New Roman" w:hAnsi="Times New Roman"/>
          <w:sz w:val="20"/>
          <w:szCs w:val="20"/>
        </w:rPr>
        <w:t xml:space="preserve">. </w:t>
      </w:r>
      <w:r>
        <w:rPr>
          <w:rFonts w:ascii="Times New Roman" w:hAnsi="Times New Roman"/>
          <w:bCs/>
          <w:sz w:val="20"/>
          <w:szCs w:val="20"/>
        </w:rPr>
        <w:t xml:space="preserve">Disponible en: </w:t>
      </w:r>
      <w:hyperlink r:id="rId191" w:history="1">
        <w:r w:rsidRPr="007873DF">
          <w:rPr>
            <w:rFonts w:ascii="Times New Roman" w:hAnsi="Times New Roman"/>
            <w:sz w:val="20"/>
            <w:szCs w:val="20"/>
          </w:rPr>
          <w:t>www.unicef.org/spanish/sowc06/pdfs/sowc06_fullreport_sp.pdf</w:t>
        </w:r>
      </w:hyperlink>
      <w:r w:rsidRPr="007D3F25">
        <w:rPr>
          <w:rFonts w:ascii="Times New Roman" w:hAnsi="Times New Roman"/>
          <w:sz w:val="20"/>
          <w:szCs w:val="20"/>
        </w:rPr>
        <w:t>Pág. 17, 61 y 62</w:t>
      </w:r>
    </w:p>
  </w:footnote>
  <w:footnote w:id="506">
    <w:p w14:paraId="0E65C534" w14:textId="16A3A1B2" w:rsidR="00172411" w:rsidRDefault="00172411" w:rsidP="00701248">
      <w:pPr>
        <w:pStyle w:val="Textonotapie"/>
        <w:ind w:firstLine="0"/>
      </w:pPr>
      <w:r>
        <w:rPr>
          <w:rStyle w:val="Refdenotaalpie"/>
        </w:rPr>
        <w:footnoteRef/>
      </w:r>
      <w:r>
        <w:t xml:space="preserve"> APUD Cubalex. 2014. Informe Sobre Los Derechos Humanos de las Personas Privadas de Libertad en Cuba. Pág. 11. Artículo 25, incisos c), d) y e) de la </w:t>
      </w:r>
      <w:r>
        <w:rPr>
          <w:bCs/>
          <w:kern w:val="32"/>
          <w:lang w:val="es-ES" w:eastAsia="en-US"/>
        </w:rPr>
        <w:t>Ley No. 83 “De la Fiscalía General de la República” de 11 de julio de 1997. Publicada en la Gaceta Oficial, Edición Extraordinaria No. 8 de 14 de julio de 1997.</w:t>
      </w:r>
    </w:p>
    <w:p w14:paraId="714B2684" w14:textId="77777777" w:rsidR="00172411" w:rsidRDefault="00172411" w:rsidP="00422471">
      <w:pPr>
        <w:autoSpaceDE w:val="0"/>
        <w:autoSpaceDN w:val="0"/>
        <w:adjustRightInd w:val="0"/>
        <w:spacing w:after="0" w:line="240" w:lineRule="auto"/>
        <w:rPr>
          <w:rFonts w:ascii="Times New Roman" w:hAnsi="Times New Roman"/>
          <w:sz w:val="20"/>
          <w:szCs w:val="20"/>
        </w:rPr>
      </w:pPr>
      <w:r>
        <w:rPr>
          <w:rFonts w:ascii="Times New Roman" w:hAnsi="Times New Roman"/>
          <w:vertAlign w:val="superscript"/>
        </w:rPr>
        <w:t>23</w:t>
      </w:r>
      <w:r>
        <w:rPr>
          <w:rFonts w:ascii="Times New Roman" w:hAnsi="Times New Roman"/>
          <w:sz w:val="20"/>
          <w:szCs w:val="20"/>
        </w:rPr>
        <w:t xml:space="preserve"> Artículo 2 de la Resolución No. 40 del Ministerio de Educación, Dictamen No 10 de 1985, de la Fiscalía General de la República que regula el tratamiento al mayor de 16 años que se encuentre interno y cometa un nuevo hecho tipificado como delito y Circular 16 de 1982 del MINED</w:t>
      </w:r>
    </w:p>
    <w:p w14:paraId="6B1192DB" w14:textId="77777777" w:rsidR="00172411" w:rsidRDefault="00172411" w:rsidP="00422471">
      <w:pPr>
        <w:autoSpaceDE w:val="0"/>
        <w:autoSpaceDN w:val="0"/>
        <w:adjustRightInd w:val="0"/>
        <w:spacing w:after="0" w:line="240" w:lineRule="auto"/>
        <w:rPr>
          <w:rFonts w:ascii="Times New Roman" w:hAnsi="Times New Roman"/>
          <w:sz w:val="20"/>
          <w:szCs w:val="20"/>
        </w:rPr>
      </w:pPr>
      <w:r>
        <w:rPr>
          <w:rFonts w:ascii="Times New Roman" w:hAnsi="Times New Roman"/>
          <w:vertAlign w:val="superscript"/>
        </w:rPr>
        <w:t>24</w:t>
      </w:r>
      <w:r>
        <w:rPr>
          <w:rFonts w:ascii="Times New Roman" w:hAnsi="Times New Roman"/>
          <w:sz w:val="20"/>
          <w:szCs w:val="20"/>
        </w:rPr>
        <w:t>Artículo 12 inciso g) de la Resolución No. 9 de 29 de enero de 1983 del Ministerio del Interior. El MININT dictó entre otras, la Instrucción No 2 de 1988 del Presidente del Consejo Nacional de Atención a Menores que establece los procedimientos de trabajo para los Consejos; la Instrucción No 3 de 1983, del Jefe de la Dirección Nacional de la PNR, que pone en vigor el procedimiento para el tratamiento a los menores de edad, conducidos a las Unidades Municipales de la PNR por la comisión de hechos que la Ley tipifica como delitos o que mantienen una conducta antisocial; la Resolución No 8 de 1983, que pone en vigor el reglamento para el funcionamiento de los consejos subordinados al MININT</w:t>
      </w:r>
    </w:p>
  </w:footnote>
  <w:footnote w:id="507">
    <w:p w14:paraId="1D69C87A" w14:textId="77777777" w:rsidR="00172411" w:rsidRPr="00381759" w:rsidRDefault="00172411" w:rsidP="00422471">
      <w:pPr>
        <w:spacing w:after="0" w:line="240" w:lineRule="atLeast"/>
        <w:rPr>
          <w:rFonts w:ascii="Times New Roman" w:hAnsi="Times New Roman"/>
          <w:sz w:val="20"/>
          <w:szCs w:val="20"/>
        </w:rPr>
      </w:pPr>
      <w:r w:rsidRPr="007873DF">
        <w:rPr>
          <w:rFonts w:ascii="Times New Roman" w:hAnsi="Times New Roman"/>
          <w:sz w:val="20"/>
          <w:szCs w:val="20"/>
          <w:vertAlign w:val="superscript"/>
        </w:rPr>
        <w:footnoteRef/>
      </w:r>
      <w:r w:rsidRPr="007873DF">
        <w:rPr>
          <w:rFonts w:ascii="Times New Roman" w:hAnsi="Times New Roman"/>
          <w:sz w:val="20"/>
          <w:szCs w:val="20"/>
        </w:rPr>
        <w:t xml:space="preserve">Yudy Castro Morales. Enero 5, 2018. </w:t>
      </w:r>
      <w:r w:rsidRPr="001A46CD">
        <w:rPr>
          <w:rFonts w:ascii="Times New Roman" w:hAnsi="Times New Roman"/>
          <w:i/>
          <w:sz w:val="20"/>
          <w:szCs w:val="20"/>
        </w:rPr>
        <w:t>Donde hay mucho de amparo… y de familia.</w:t>
      </w:r>
      <w:r w:rsidRPr="007873DF">
        <w:rPr>
          <w:rFonts w:ascii="Times New Roman" w:hAnsi="Times New Roman"/>
          <w:sz w:val="20"/>
          <w:szCs w:val="20"/>
        </w:rPr>
        <w:t xml:space="preserve"> Granma No. 4. Pág. 4. Edición Impresa. Cuba.</w:t>
      </w:r>
    </w:p>
  </w:footnote>
  <w:footnote w:id="508">
    <w:p w14:paraId="7E3CAC2F" w14:textId="6B457655" w:rsidR="00172411" w:rsidRDefault="00172411" w:rsidP="00422471">
      <w:pPr>
        <w:pStyle w:val="HTMLconformatoprevio"/>
        <w:shd w:val="clear" w:color="auto" w:fill="FFFFFF"/>
        <w:spacing w:line="240" w:lineRule="atLeast"/>
        <w:ind w:firstLine="0"/>
        <w:rPr>
          <w:rFonts w:ascii="Times New Roman" w:hAnsi="Times New Roman"/>
        </w:rPr>
      </w:pPr>
      <w:r>
        <w:rPr>
          <w:rFonts w:ascii="Times New Roman" w:hAnsi="Times New Roman"/>
          <w:sz w:val="22"/>
          <w:szCs w:val="22"/>
          <w:vertAlign w:val="superscript"/>
        </w:rPr>
        <w:footnoteRef/>
      </w:r>
      <w:r w:rsidRPr="00D900A6">
        <w:rPr>
          <w:rFonts w:ascii="Times New Roman" w:hAnsi="Times New Roman"/>
        </w:rPr>
        <w:t>Dania</w:t>
      </w:r>
      <w:r>
        <w:rPr>
          <w:rFonts w:ascii="Times New Roman" w:hAnsi="Times New Roman"/>
        </w:rPr>
        <w:t xml:space="preserve"> Virgen García (17/05/2013) en </w:t>
      </w:r>
      <w:r w:rsidRPr="00F310B3">
        <w:rPr>
          <w:rFonts w:ascii="Times New Roman" w:hAnsi="Times New Roman"/>
        </w:rPr>
        <w:t xml:space="preserve">Breves desde Cuba. Cubanet. </w:t>
      </w:r>
      <w:r w:rsidRPr="00F310B3">
        <w:rPr>
          <w:rFonts w:ascii="Times New Roman" w:hAnsi="Times New Roman"/>
          <w:i/>
        </w:rPr>
        <w:t>Hogares de amparo filial provocan fugas</w:t>
      </w:r>
      <w:r>
        <w:rPr>
          <w:rFonts w:ascii="Times New Roman" w:hAnsi="Times New Roman"/>
          <w:i/>
        </w:rPr>
        <w:t xml:space="preserve">. </w:t>
      </w:r>
      <w:r w:rsidRPr="00F310B3">
        <w:rPr>
          <w:rFonts w:ascii="Times New Roman" w:hAnsi="Times New Roman"/>
        </w:rPr>
        <w:t>Disponible en: http://www.cubanet.org/noticias/hogares-de-amparo-filial-provocan-fugas/</w:t>
      </w:r>
    </w:p>
  </w:footnote>
  <w:footnote w:id="509">
    <w:p w14:paraId="78A68C4B" w14:textId="62D9868D" w:rsidR="00172411" w:rsidRPr="009A2D6E" w:rsidRDefault="00172411" w:rsidP="00E5049D">
      <w:pPr>
        <w:pStyle w:val="Textonotapie"/>
        <w:ind w:firstLine="0"/>
        <w:rPr>
          <w:lang w:val="es-ES"/>
        </w:rPr>
      </w:pPr>
      <w:r>
        <w:rPr>
          <w:rStyle w:val="Refdenotaalpie"/>
        </w:rPr>
        <w:footnoteRef/>
      </w:r>
      <w:r>
        <w:rPr>
          <w:rFonts w:cs="Tahoma"/>
          <w:lang w:eastAsia="ja-JP"/>
        </w:rPr>
        <w:t xml:space="preserve"> Disponible: </w:t>
      </w:r>
      <w:r w:rsidRPr="009A2D6E">
        <w:rPr>
          <w:lang w:val="es-ES"/>
        </w:rPr>
        <w:t xml:space="preserve"> </w:t>
      </w:r>
      <w:hyperlink r:id="rId192" w:history="1">
        <w:r w:rsidRPr="006F62B3">
          <w:rPr>
            <w:rStyle w:val="Hipervnculo"/>
            <w:lang w:val="es-ES"/>
          </w:rPr>
          <w:t>http://www.parlamentocubano.cu/index.php/documentos-legales/</w:t>
        </w:r>
      </w:hyperlink>
      <w:r>
        <w:rPr>
          <w:lang w:val="es-ES"/>
        </w:rPr>
        <w:t xml:space="preserve"> y </w:t>
      </w:r>
      <w:r w:rsidRPr="00E5049D">
        <w:rPr>
          <w:lang w:val="es-ES"/>
        </w:rPr>
        <w:t>http://www.parlamentocubano.cu/index.php/documentos-legales/#leyes-aprobadas-por-la-asamblea</w:t>
      </w:r>
    </w:p>
  </w:footnote>
  <w:footnote w:id="510">
    <w:p w14:paraId="286117F4" w14:textId="62367C1C" w:rsidR="00172411" w:rsidRPr="008930C2" w:rsidRDefault="00172411" w:rsidP="008930C2">
      <w:pPr>
        <w:spacing w:after="0" w:line="240" w:lineRule="atLeast"/>
        <w:rPr>
          <w:rFonts w:ascii="Times New Roman" w:eastAsia="Noto Sans CJK SC Regular" w:hAnsi="Times New Roman"/>
          <w:b/>
          <w:bCs/>
          <w:sz w:val="20"/>
          <w:szCs w:val="20"/>
          <w:lang w:eastAsia="zh-CN"/>
        </w:rPr>
      </w:pPr>
      <w:r>
        <w:rPr>
          <w:rStyle w:val="Refdenotaalpie"/>
        </w:rPr>
        <w:footnoteRef/>
      </w:r>
      <w:r w:rsidRPr="008930C2">
        <w:rPr>
          <w:rFonts w:ascii="Times New Roman" w:hAnsi="Times New Roman"/>
          <w:b/>
          <w:bCs/>
          <w:sz w:val="20"/>
          <w:szCs w:val="20"/>
        </w:rPr>
        <w:t>Comisión de atención a la Juventud, la Niñez y la igualdad de derechos de la Mujer</w:t>
      </w:r>
      <w:r>
        <w:rPr>
          <w:rFonts w:ascii="Times New Roman" w:eastAsia="Noto Sans CJK SC Regular" w:hAnsi="Times New Roman"/>
          <w:b/>
          <w:bCs/>
          <w:sz w:val="20"/>
          <w:szCs w:val="20"/>
          <w:lang w:eastAsia="zh-CN"/>
        </w:rPr>
        <w:t xml:space="preserve">. </w:t>
      </w:r>
      <w:r w:rsidRPr="008930C2">
        <w:rPr>
          <w:rFonts w:ascii="Times New Roman" w:eastAsia="STKaiti" w:hAnsi="Times New Roman" w:cs="Tahoma"/>
          <w:sz w:val="20"/>
          <w:szCs w:val="20"/>
          <w:lang w:val="es-US" w:eastAsia="ja-JP"/>
        </w:rPr>
        <w:t>La Comisión de Atención a la Niñez, la Juventud y la Igualdad de Derechos de la Mujer, integrada por diputados de la mayoría de las provincias del país, realiza su labor de control y fiscalización teniendo como base principal el desarrollo pleno de la infancia en Cuba, la atención integral a los jóvenes para que se formen en los valores de nuestra sociedad revolucionaria, así como vela por que se garantice la plena igualdad de las mujeres, con el</w:t>
      </w:r>
      <w:r>
        <w:t xml:space="preserve"> espíritu </w:t>
      </w:r>
      <w:r w:rsidRPr="008930C2">
        <w:rPr>
          <w:rFonts w:ascii="Times New Roman" w:eastAsia="STKaiti" w:hAnsi="Times New Roman" w:cs="Tahoma"/>
          <w:sz w:val="20"/>
          <w:szCs w:val="20"/>
          <w:lang w:val="es-US" w:eastAsia="ja-JP"/>
        </w:rPr>
        <w:t>de Vilma Espín, quien</w:t>
      </w:r>
      <w:r>
        <w:t xml:space="preserve"> </w:t>
      </w:r>
      <w:r w:rsidRPr="008930C2">
        <w:rPr>
          <w:rFonts w:ascii="Times New Roman" w:eastAsia="Droid Sans Fallback" w:hAnsi="Times New Roman"/>
          <w:color w:val="00000A"/>
          <w:sz w:val="20"/>
          <w:szCs w:val="20"/>
          <w:lang w:val="es-US" w:eastAsia="zh-CN" w:bidi="hi-IN"/>
        </w:rPr>
        <w:t>presidió la Comisión desde sus inicios. Para ello cuenta con directivas y objetivos de trabajo aprob</w:t>
      </w:r>
      <w:r>
        <w:rPr>
          <w:rFonts w:ascii="Times New Roman" w:eastAsia="Droid Sans Fallback" w:hAnsi="Times New Roman"/>
          <w:color w:val="00000A"/>
          <w:sz w:val="20"/>
          <w:szCs w:val="20"/>
          <w:lang w:val="es-US" w:eastAsia="zh-CN" w:bidi="hi-IN"/>
        </w:rPr>
        <w:t>ados para la actual Legislatura.</w:t>
      </w:r>
    </w:p>
  </w:footnote>
  <w:footnote w:id="511">
    <w:p w14:paraId="5582BCBE" w14:textId="4013E00B" w:rsidR="00172411" w:rsidRPr="00A7459C" w:rsidRDefault="00172411" w:rsidP="00A7459C">
      <w:pPr>
        <w:pStyle w:val="Textonotapie"/>
        <w:ind w:firstLine="0"/>
        <w:rPr>
          <w:lang w:val="es-ES"/>
        </w:rPr>
      </w:pPr>
      <w:r w:rsidRPr="00224309">
        <w:rPr>
          <w:rStyle w:val="Refdenotaalpie"/>
        </w:rPr>
        <w:footnoteRef/>
      </w:r>
      <w:r w:rsidRPr="00224309">
        <w:t xml:space="preserve"> </w:t>
      </w:r>
      <w:r>
        <w:t xml:space="preserve">Gobierno de Cuba, 2016. CERD 19/21 CERD/C/CUB/19-21 Informe Gobierno Cuba- State party's report 2013. Disponible: </w:t>
      </w:r>
      <w:hyperlink r:id="rId193" w:history="1">
        <w:r>
          <w:rPr>
            <w:rStyle w:val="Hipervnculo"/>
            <w:sz w:val="18"/>
            <w:szCs w:val="18"/>
          </w:rPr>
          <w:t>http://tbinternet.ohchr.org/_layouts/treatybodyexternal/Download.aspx?symbolno=CERD%2FC%2FCUB%2F19-21&amp;Lang=en</w:t>
        </w:r>
      </w:hyperlink>
    </w:p>
  </w:footnote>
  <w:footnote w:id="512">
    <w:p w14:paraId="060DB8AF" w14:textId="77777777" w:rsidR="00172411" w:rsidRPr="003F123C" w:rsidRDefault="00172411" w:rsidP="00C604AF">
      <w:pPr>
        <w:pStyle w:val="TextBody"/>
        <w:spacing w:after="0"/>
        <w:rPr>
          <w:rFonts w:ascii="Times New Roman" w:hAnsi="Times New Roman" w:cs="Times New Roman"/>
          <w:sz w:val="20"/>
          <w:szCs w:val="20"/>
        </w:rPr>
      </w:pPr>
      <w:r>
        <w:rPr>
          <w:rStyle w:val="Refdenotaalpie"/>
        </w:rPr>
        <w:footnoteRef/>
      </w:r>
      <w:r>
        <w:t xml:space="preserve">  </w:t>
      </w:r>
      <w:r w:rsidRPr="003F123C">
        <w:rPr>
          <w:rFonts w:ascii="Times New Roman" w:hAnsi="Times New Roman" w:cs="Times New Roman"/>
          <w:sz w:val="20"/>
          <w:szCs w:val="20"/>
        </w:rPr>
        <w:t xml:space="preserve">Francisco Pilotti. 2006. </w:t>
      </w:r>
      <w:r w:rsidRPr="003F123C">
        <w:rPr>
          <w:rFonts w:ascii="Times New Roman" w:hAnsi="Times New Roman" w:cs="Times New Roman"/>
          <w:i/>
          <w:sz w:val="20"/>
          <w:szCs w:val="20"/>
        </w:rPr>
        <w:t>Marco para el Análisis de las Políticas Públicas dirigidas a la Infancia</w:t>
      </w:r>
      <w:r w:rsidRPr="003F123C">
        <w:rPr>
          <w:rFonts w:ascii="Times New Roman" w:hAnsi="Times New Roman" w:cs="Times New Roman"/>
          <w:sz w:val="20"/>
          <w:szCs w:val="20"/>
        </w:rPr>
        <w:t xml:space="preserve">. Niños, adolescentes, pobreza, marginalidad y violencia en América Latina y el Caribe: ¿relaciones indisociables? CIESPI.Centro Internacional de Estudios e Investigaciones sobre Infancia y Childwatch International Research Network. </w:t>
      </w:r>
      <w:r w:rsidRPr="003F123C">
        <w:rPr>
          <w:rFonts w:ascii="Times New Roman" w:hAnsi="Times New Roman" w:cs="Times New Roman"/>
          <w:sz w:val="20"/>
          <w:szCs w:val="20"/>
          <w:lang w:val="es-ES"/>
        </w:rPr>
        <w:t>Norway. Disponible:</w:t>
      </w:r>
      <w:r w:rsidRPr="003F123C">
        <w:rPr>
          <w:rStyle w:val="Ttulo2Car"/>
          <w:rFonts w:ascii="Times New Roman" w:hAnsi="Times New Roman" w:cs="Times New Roman"/>
          <w:sz w:val="20"/>
          <w:szCs w:val="20"/>
        </w:rPr>
        <w:t xml:space="preserve"> </w:t>
      </w:r>
      <w:hyperlink r:id="rId194" w:history="1">
        <w:r w:rsidRPr="00A932DD">
          <w:rPr>
            <w:rStyle w:val="Hipervnculo"/>
            <w:rFonts w:ascii="Times New Roman" w:hAnsi="Times New Roman" w:cs="Times New Roman"/>
            <w:sz w:val="20"/>
            <w:szCs w:val="20"/>
            <w:lang w:val="es-ES"/>
          </w:rPr>
          <w:t>www.uam.mx/cdi/redesinv/publicaciones/mariana/menezes.pdf</w:t>
        </w:r>
      </w:hyperlink>
      <w:r>
        <w:rPr>
          <w:rStyle w:val="Quotation"/>
          <w:rFonts w:ascii="Times New Roman" w:hAnsi="Times New Roman" w:cs="Times New Roman"/>
          <w:sz w:val="20"/>
          <w:szCs w:val="20"/>
          <w:lang w:val="es-ES"/>
        </w:rPr>
        <w:t xml:space="preserve">  </w:t>
      </w:r>
      <w:r w:rsidRPr="00C604AF">
        <w:rPr>
          <w:rFonts w:ascii="Times New Roman" w:hAnsi="Times New Roman" w:cs="Times New Roman"/>
          <w:sz w:val="20"/>
          <w:szCs w:val="20"/>
          <w:lang w:val="es-ES"/>
        </w:rPr>
        <w:t>Pag.34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1EA8E" w14:textId="2720A0B6" w:rsidR="00172411" w:rsidRDefault="00172411" w:rsidP="00D12F58">
    <w:pPr>
      <w:pStyle w:val="Encabezado"/>
      <w:spacing w:line="240" w:lineRule="atLeast"/>
      <w:jc w:val="center"/>
      <w:rPr>
        <w:rFonts w:cs="Arial"/>
        <w:b/>
        <w:lang w:val="es-ES"/>
      </w:rPr>
    </w:pPr>
    <w:r>
      <w:rPr>
        <w:rFonts w:ascii="Times New Roman" w:hAnsi="Times New Roman" w:cs="Times New Roman"/>
        <w:noProof/>
        <w:lang w:val="es-ES" w:eastAsia="es-ES"/>
      </w:rPr>
      <w:drawing>
        <wp:anchor distT="0" distB="0" distL="114300" distR="114300" simplePos="0" relativeHeight="251658240" behindDoc="1" locked="0" layoutInCell="1" allowOverlap="1" wp14:anchorId="5ABEADE8" wp14:editId="1BE967DD">
          <wp:simplePos x="0" y="0"/>
          <wp:positionH relativeFrom="column">
            <wp:posOffset>-227330</wp:posOffset>
          </wp:positionH>
          <wp:positionV relativeFrom="paragraph">
            <wp:posOffset>-333375</wp:posOffset>
          </wp:positionV>
          <wp:extent cx="1031240" cy="630555"/>
          <wp:effectExtent l="0" t="0" r="0" b="0"/>
          <wp:wrapTight wrapText="bothSides">
            <wp:wrapPolygon edited="0">
              <wp:start x="0" y="0"/>
              <wp:lineTo x="0" y="20882"/>
              <wp:lineTo x="21148" y="20882"/>
              <wp:lineTo x="21148" y="0"/>
              <wp:lineTo x="0" y="0"/>
            </wp:wrapPolygon>
          </wp:wrapTight>
          <wp:docPr id="5" name="Imagen 2" descr="Logo  ACDE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CDEI 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240" cy="630555"/>
                  </a:xfrm>
                  <a:prstGeom prst="rect">
                    <a:avLst/>
                  </a:prstGeom>
                  <a:noFill/>
                </pic:spPr>
              </pic:pic>
            </a:graphicData>
          </a:graphic>
          <wp14:sizeRelH relativeFrom="page">
            <wp14:pctWidth>0</wp14:pctWidth>
          </wp14:sizeRelH>
          <wp14:sizeRelV relativeFrom="page">
            <wp14:pctHeight>0</wp14:pctHeight>
          </wp14:sizeRelV>
        </wp:anchor>
      </w:drawing>
    </w:r>
    <w:r>
      <w:rPr>
        <w:rFonts w:cs="Arial"/>
        <w:b/>
        <w:lang w:val="es-ES"/>
      </w:rPr>
      <w:t>Informe A</w:t>
    </w:r>
    <w:r w:rsidRPr="00D12F58">
      <w:rPr>
        <w:rFonts w:cs="Arial"/>
        <w:b/>
        <w:lang w:val="es-ES"/>
      </w:rPr>
      <w:t xml:space="preserve">lternativo </w:t>
    </w:r>
    <w:r w:rsidR="00BC6D0C">
      <w:rPr>
        <w:rFonts w:cs="Arial"/>
        <w:b/>
        <w:lang w:val="es-ES"/>
      </w:rPr>
      <w:t>para</w:t>
    </w:r>
    <w:r w:rsidRPr="00D12F58">
      <w:rPr>
        <w:rFonts w:cs="Arial"/>
        <w:b/>
        <w:lang w:val="es-ES"/>
      </w:rPr>
      <w:t xml:space="preserve"> la Convención Internacional</w:t>
    </w:r>
  </w:p>
  <w:p w14:paraId="35303569" w14:textId="415070F9" w:rsidR="00172411" w:rsidRDefault="00545A3F" w:rsidP="00D12F58">
    <w:pPr>
      <w:pStyle w:val="Encabezado"/>
      <w:spacing w:line="240" w:lineRule="atLeast"/>
      <w:jc w:val="center"/>
      <w:rPr>
        <w:rFonts w:cs="Arial"/>
        <w:b/>
        <w:lang w:val="es-ES"/>
      </w:rPr>
    </w:pPr>
    <w:r>
      <w:rPr>
        <w:rFonts w:cs="Arial"/>
        <w:b/>
        <w:lang w:val="es-ES"/>
      </w:rPr>
      <w:t>sobre</w:t>
    </w:r>
    <w:r w:rsidR="00172411" w:rsidRPr="00D12F58">
      <w:rPr>
        <w:rFonts w:cs="Arial"/>
        <w:b/>
        <w:lang w:val="es-ES"/>
      </w:rPr>
      <w:t xml:space="preserve"> la </w:t>
    </w:r>
    <w:r w:rsidR="00172411">
      <w:rPr>
        <w:rFonts w:cs="Arial"/>
        <w:b/>
        <w:lang w:val="es-ES"/>
      </w:rPr>
      <w:t xml:space="preserve">Eliminación de todas las Formas </w:t>
    </w:r>
    <w:r w:rsidR="00172411" w:rsidRPr="00D12F58">
      <w:rPr>
        <w:rFonts w:cs="Arial"/>
        <w:b/>
        <w:lang w:val="es-ES"/>
      </w:rPr>
      <w:t xml:space="preserve">de Discriminación Racial </w:t>
    </w:r>
    <w:r w:rsidR="00BC6D0C">
      <w:rPr>
        <w:rFonts w:cs="Arial"/>
        <w:b/>
        <w:lang w:val="es-ES"/>
      </w:rPr>
      <w:t xml:space="preserve">     </w:t>
    </w:r>
    <w:r w:rsidR="00172411" w:rsidRPr="00D12F58">
      <w:rPr>
        <w:rFonts w:cs="Arial"/>
        <w:b/>
        <w:lang w:val="es-ES"/>
      </w:rPr>
      <w:t>(ICERD)</w:t>
    </w:r>
  </w:p>
  <w:p w14:paraId="157DBF3C" w14:textId="77777777" w:rsidR="00172411" w:rsidRPr="00D12F58" w:rsidRDefault="00172411" w:rsidP="00D12F58">
    <w:pPr>
      <w:pStyle w:val="Encabezado"/>
      <w:spacing w:line="240" w:lineRule="atLeast"/>
      <w:jc w:val="center"/>
      <w:rPr>
        <w:rFonts w:cs="Arial"/>
        <w:b/>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AB67" w14:textId="241B579E" w:rsidR="00172411" w:rsidRPr="00570F08" w:rsidRDefault="00172411" w:rsidP="001D47BB">
    <w:pPr>
      <w:pStyle w:val="Encabezado"/>
      <w:jc w:val="right"/>
      <w:rPr>
        <w:rFonts w:ascii="Times New Roman" w:hAnsi="Times New Roman" w:cs="Times New Roman"/>
        <w:sz w:val="24"/>
        <w:szCs w:val="24"/>
        <w:lang w:val="es-ES"/>
      </w:rPr>
    </w:pPr>
    <w:r>
      <w:rPr>
        <w:rFonts w:ascii="Times New Roman" w:hAnsi="Times New Roman" w:cs="Times New Roman"/>
        <w:noProof/>
        <w:sz w:val="24"/>
        <w:szCs w:val="24"/>
        <w:lang w:val="es-ES" w:eastAsia="es-ES"/>
      </w:rPr>
      <w:drawing>
        <wp:anchor distT="0" distB="0" distL="114300" distR="114300" simplePos="0" relativeHeight="251657216" behindDoc="1" locked="0" layoutInCell="1" allowOverlap="1" wp14:anchorId="602275FF" wp14:editId="57C10CF7">
          <wp:simplePos x="0" y="0"/>
          <wp:positionH relativeFrom="column">
            <wp:posOffset>-167640</wp:posOffset>
          </wp:positionH>
          <wp:positionV relativeFrom="paragraph">
            <wp:posOffset>-66675</wp:posOffset>
          </wp:positionV>
          <wp:extent cx="1209675" cy="762000"/>
          <wp:effectExtent l="0" t="0" r="9525" b="0"/>
          <wp:wrapTight wrapText="bothSides">
            <wp:wrapPolygon edited="0">
              <wp:start x="0" y="0"/>
              <wp:lineTo x="0" y="21060"/>
              <wp:lineTo x="21430" y="21060"/>
              <wp:lineTo x="21430" y="0"/>
              <wp:lineTo x="0" y="0"/>
            </wp:wrapPolygon>
          </wp:wrapTight>
          <wp:docPr id="6" name="Imagen 1" descr="Logo  ACDE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CDEI 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762000"/>
                  </a:xfrm>
                  <a:prstGeom prst="rect">
                    <a:avLst/>
                  </a:prstGeom>
                  <a:noFill/>
                </pic:spPr>
              </pic:pic>
            </a:graphicData>
          </a:graphic>
          <wp14:sizeRelH relativeFrom="page">
            <wp14:pctWidth>0</wp14:pctWidth>
          </wp14:sizeRelH>
          <wp14:sizeRelV relativeFrom="page">
            <wp14:pctHeight>0</wp14:pctHeight>
          </wp14:sizeRelV>
        </wp:anchor>
      </w:drawing>
    </w:r>
    <w:bookmarkStart w:id="151" w:name="OLE_LINK25"/>
    <w:bookmarkStart w:id="152" w:name="OLE_LINK26"/>
    <w:r w:rsidRPr="00570F08">
      <w:rPr>
        <w:rFonts w:ascii="Times New Roman" w:hAnsi="Times New Roman" w:cs="Times New Roman"/>
        <w:sz w:val="24"/>
        <w:szCs w:val="24"/>
        <w:lang w:val="es-ES"/>
      </w:rPr>
      <w:t>Contribución</w:t>
    </w:r>
    <w:bookmarkEnd w:id="151"/>
    <w:bookmarkEnd w:id="152"/>
    <w:r w:rsidRPr="00570F08">
      <w:rPr>
        <w:rFonts w:ascii="Times New Roman" w:hAnsi="Times New Roman" w:cs="Times New Roman"/>
        <w:sz w:val="24"/>
        <w:szCs w:val="24"/>
        <w:lang w:val="es-ES"/>
      </w:rPr>
      <w:t xml:space="preserve"> de Asociación Cubana para Desarrollo de la  Educación Infantil al </w:t>
    </w:r>
  </w:p>
  <w:p w14:paraId="201F69C2" w14:textId="77777777" w:rsidR="00172411" w:rsidRPr="00570F08" w:rsidRDefault="00172411" w:rsidP="001D47BB">
    <w:pPr>
      <w:pStyle w:val="Encabezado"/>
      <w:tabs>
        <w:tab w:val="left" w:pos="0"/>
      </w:tabs>
      <w:rPr>
        <w:rFonts w:ascii="Times New Roman" w:hAnsi="Times New Roman" w:cs="Times New Roman"/>
        <w:sz w:val="24"/>
        <w:szCs w:val="24"/>
        <w:lang w:val="es-ES"/>
      </w:rPr>
    </w:pPr>
    <w:r w:rsidRPr="00570F08">
      <w:rPr>
        <w:rFonts w:ascii="Times New Roman" w:hAnsi="Times New Roman" w:cs="Times New Roman"/>
        <w:sz w:val="24"/>
        <w:szCs w:val="24"/>
        <w:lang w:val="es-ES"/>
      </w:rPr>
      <w:tab/>
    </w:r>
  </w:p>
  <w:p w14:paraId="7028FB0F" w14:textId="77777777" w:rsidR="00172411" w:rsidRPr="001D47BB" w:rsidRDefault="00172411" w:rsidP="001D47BB">
    <w:pPr>
      <w:pStyle w:val="Encabezado"/>
      <w:jc w:val="center"/>
      <w:rPr>
        <w:sz w:val="24"/>
        <w:szCs w:val="24"/>
        <w:lang w:val="es-ES"/>
      </w:rPr>
    </w:pPr>
    <w:r w:rsidRPr="00570F08">
      <w:rPr>
        <w:rFonts w:ascii="Times New Roman" w:hAnsi="Times New Roman" w:cs="Times New Roman"/>
        <w:sz w:val="24"/>
        <w:szCs w:val="24"/>
        <w:lang w:val="es-ES"/>
      </w:rPr>
      <w:t xml:space="preserve">                            Grupo de Trabajo  sobre mecanismo del 3er Examen Periódico Universal  Cuba- 2018  </w:t>
    </w:r>
    <w:r w:rsidRPr="00570F08">
      <w:rPr>
        <w:rFonts w:ascii="Times New Roman" w:hAnsi="Times New Roman" w:cs="Times New Roman"/>
        <w:sz w:val="24"/>
        <w:szCs w:val="24"/>
        <w:lang w:val="es-ES"/>
      </w:rPr>
      <w:br/>
    </w:r>
    <w:r w:rsidRPr="001D47BB">
      <w:rPr>
        <w:sz w:val="24"/>
        <w:szCs w:val="24"/>
        <w:lang w:val="es-ES"/>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77167"/>
    <w:multiLevelType w:val="multilevel"/>
    <w:tmpl w:val="BD388A7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nsid w:val="0774110D"/>
    <w:multiLevelType w:val="hybridMultilevel"/>
    <w:tmpl w:val="8CD42644"/>
    <w:lvl w:ilvl="0" w:tplc="0C0A000F">
      <w:start w:val="1"/>
      <w:numFmt w:val="decimal"/>
      <w:lvlText w:val="%1."/>
      <w:lvlJc w:val="left"/>
      <w:pPr>
        <w:ind w:left="781" w:hanging="360"/>
      </w:pPr>
    </w:lvl>
    <w:lvl w:ilvl="1" w:tplc="0C0A0019" w:tentative="1">
      <w:start w:val="1"/>
      <w:numFmt w:val="lowerLetter"/>
      <w:lvlText w:val="%2."/>
      <w:lvlJc w:val="left"/>
      <w:pPr>
        <w:ind w:left="1501" w:hanging="360"/>
      </w:pPr>
    </w:lvl>
    <w:lvl w:ilvl="2" w:tplc="0C0A001B" w:tentative="1">
      <w:start w:val="1"/>
      <w:numFmt w:val="lowerRoman"/>
      <w:lvlText w:val="%3."/>
      <w:lvlJc w:val="right"/>
      <w:pPr>
        <w:ind w:left="2221" w:hanging="180"/>
      </w:pPr>
    </w:lvl>
    <w:lvl w:ilvl="3" w:tplc="0C0A000F" w:tentative="1">
      <w:start w:val="1"/>
      <w:numFmt w:val="decimal"/>
      <w:lvlText w:val="%4."/>
      <w:lvlJc w:val="left"/>
      <w:pPr>
        <w:ind w:left="2941" w:hanging="360"/>
      </w:pPr>
    </w:lvl>
    <w:lvl w:ilvl="4" w:tplc="0C0A0019" w:tentative="1">
      <w:start w:val="1"/>
      <w:numFmt w:val="lowerLetter"/>
      <w:lvlText w:val="%5."/>
      <w:lvlJc w:val="left"/>
      <w:pPr>
        <w:ind w:left="3661" w:hanging="360"/>
      </w:pPr>
    </w:lvl>
    <w:lvl w:ilvl="5" w:tplc="0C0A001B" w:tentative="1">
      <w:start w:val="1"/>
      <w:numFmt w:val="lowerRoman"/>
      <w:lvlText w:val="%6."/>
      <w:lvlJc w:val="right"/>
      <w:pPr>
        <w:ind w:left="4381" w:hanging="180"/>
      </w:pPr>
    </w:lvl>
    <w:lvl w:ilvl="6" w:tplc="0C0A000F" w:tentative="1">
      <w:start w:val="1"/>
      <w:numFmt w:val="decimal"/>
      <w:lvlText w:val="%7."/>
      <w:lvlJc w:val="left"/>
      <w:pPr>
        <w:ind w:left="5101" w:hanging="360"/>
      </w:pPr>
    </w:lvl>
    <w:lvl w:ilvl="7" w:tplc="0C0A0019" w:tentative="1">
      <w:start w:val="1"/>
      <w:numFmt w:val="lowerLetter"/>
      <w:lvlText w:val="%8."/>
      <w:lvlJc w:val="left"/>
      <w:pPr>
        <w:ind w:left="5821" w:hanging="360"/>
      </w:pPr>
    </w:lvl>
    <w:lvl w:ilvl="8" w:tplc="0C0A001B" w:tentative="1">
      <w:start w:val="1"/>
      <w:numFmt w:val="lowerRoman"/>
      <w:lvlText w:val="%9."/>
      <w:lvlJc w:val="right"/>
      <w:pPr>
        <w:ind w:left="6541" w:hanging="180"/>
      </w:pPr>
    </w:lvl>
  </w:abstractNum>
  <w:abstractNum w:abstractNumId="2">
    <w:nsid w:val="0A92281D"/>
    <w:multiLevelType w:val="hybridMultilevel"/>
    <w:tmpl w:val="28DE39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AAB0248"/>
    <w:multiLevelType w:val="hybridMultilevel"/>
    <w:tmpl w:val="282EF69E"/>
    <w:lvl w:ilvl="0" w:tplc="4414FFF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0CA72019"/>
    <w:multiLevelType w:val="hybridMultilevel"/>
    <w:tmpl w:val="0DEEC3CE"/>
    <w:lvl w:ilvl="0" w:tplc="0C0A000F">
      <w:start w:val="1"/>
      <w:numFmt w:val="decimal"/>
      <w:lvlText w:val="%1."/>
      <w:lvlJc w:val="left"/>
      <w:pPr>
        <w:ind w:left="1649" w:hanging="360"/>
      </w:pPr>
    </w:lvl>
    <w:lvl w:ilvl="1" w:tplc="0C0A0019">
      <w:start w:val="1"/>
      <w:numFmt w:val="lowerLetter"/>
      <w:lvlText w:val="%2."/>
      <w:lvlJc w:val="left"/>
      <w:pPr>
        <w:ind w:left="2369" w:hanging="360"/>
      </w:pPr>
    </w:lvl>
    <w:lvl w:ilvl="2" w:tplc="0C0A001B" w:tentative="1">
      <w:start w:val="1"/>
      <w:numFmt w:val="lowerRoman"/>
      <w:lvlText w:val="%3."/>
      <w:lvlJc w:val="right"/>
      <w:pPr>
        <w:ind w:left="3089" w:hanging="180"/>
      </w:pPr>
    </w:lvl>
    <w:lvl w:ilvl="3" w:tplc="0C0A000F" w:tentative="1">
      <w:start w:val="1"/>
      <w:numFmt w:val="decimal"/>
      <w:lvlText w:val="%4."/>
      <w:lvlJc w:val="left"/>
      <w:pPr>
        <w:ind w:left="3809" w:hanging="360"/>
      </w:pPr>
    </w:lvl>
    <w:lvl w:ilvl="4" w:tplc="0C0A0019" w:tentative="1">
      <w:start w:val="1"/>
      <w:numFmt w:val="lowerLetter"/>
      <w:lvlText w:val="%5."/>
      <w:lvlJc w:val="left"/>
      <w:pPr>
        <w:ind w:left="4529" w:hanging="360"/>
      </w:pPr>
    </w:lvl>
    <w:lvl w:ilvl="5" w:tplc="0C0A001B" w:tentative="1">
      <w:start w:val="1"/>
      <w:numFmt w:val="lowerRoman"/>
      <w:lvlText w:val="%6."/>
      <w:lvlJc w:val="right"/>
      <w:pPr>
        <w:ind w:left="5249" w:hanging="180"/>
      </w:pPr>
    </w:lvl>
    <w:lvl w:ilvl="6" w:tplc="0C0A000F" w:tentative="1">
      <w:start w:val="1"/>
      <w:numFmt w:val="decimal"/>
      <w:lvlText w:val="%7."/>
      <w:lvlJc w:val="left"/>
      <w:pPr>
        <w:ind w:left="5969" w:hanging="360"/>
      </w:pPr>
    </w:lvl>
    <w:lvl w:ilvl="7" w:tplc="0C0A0019" w:tentative="1">
      <w:start w:val="1"/>
      <w:numFmt w:val="lowerLetter"/>
      <w:lvlText w:val="%8."/>
      <w:lvlJc w:val="left"/>
      <w:pPr>
        <w:ind w:left="6689" w:hanging="360"/>
      </w:pPr>
    </w:lvl>
    <w:lvl w:ilvl="8" w:tplc="0C0A001B" w:tentative="1">
      <w:start w:val="1"/>
      <w:numFmt w:val="lowerRoman"/>
      <w:lvlText w:val="%9."/>
      <w:lvlJc w:val="right"/>
      <w:pPr>
        <w:ind w:left="7409" w:hanging="180"/>
      </w:pPr>
    </w:lvl>
  </w:abstractNum>
  <w:abstractNum w:abstractNumId="5">
    <w:nsid w:val="0F63784C"/>
    <w:multiLevelType w:val="hybridMultilevel"/>
    <w:tmpl w:val="B3B0E7A4"/>
    <w:lvl w:ilvl="0" w:tplc="0C0A000F">
      <w:start w:val="1"/>
      <w:numFmt w:val="decimal"/>
      <w:lvlText w:val="%1."/>
      <w:lvlJc w:val="left"/>
      <w:pPr>
        <w:ind w:left="107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1A3588B"/>
    <w:multiLevelType w:val="hybridMultilevel"/>
    <w:tmpl w:val="E15ABEE0"/>
    <w:lvl w:ilvl="0" w:tplc="3B4EA194">
      <w:start w:val="1"/>
      <w:numFmt w:val="upperLetter"/>
      <w:lvlText w:val="%1."/>
      <w:lvlJc w:val="left"/>
      <w:pPr>
        <w:ind w:left="360" w:hanging="360"/>
      </w:pPr>
      <w:rPr>
        <w:b/>
      </w:rPr>
    </w:lvl>
    <w:lvl w:ilvl="1" w:tplc="540A0019" w:tentative="1">
      <w:start w:val="1"/>
      <w:numFmt w:val="lowerLetter"/>
      <w:lvlText w:val="%2."/>
      <w:lvlJc w:val="left"/>
      <w:pPr>
        <w:ind w:left="810" w:hanging="360"/>
      </w:pPr>
    </w:lvl>
    <w:lvl w:ilvl="2" w:tplc="540A001B" w:tentative="1">
      <w:start w:val="1"/>
      <w:numFmt w:val="lowerRoman"/>
      <w:lvlText w:val="%3."/>
      <w:lvlJc w:val="right"/>
      <w:pPr>
        <w:ind w:left="1530" w:hanging="180"/>
      </w:pPr>
    </w:lvl>
    <w:lvl w:ilvl="3" w:tplc="540A000F" w:tentative="1">
      <w:start w:val="1"/>
      <w:numFmt w:val="decimal"/>
      <w:lvlText w:val="%4."/>
      <w:lvlJc w:val="left"/>
      <w:pPr>
        <w:ind w:left="2250" w:hanging="360"/>
      </w:pPr>
    </w:lvl>
    <w:lvl w:ilvl="4" w:tplc="540A0019" w:tentative="1">
      <w:start w:val="1"/>
      <w:numFmt w:val="lowerLetter"/>
      <w:lvlText w:val="%5."/>
      <w:lvlJc w:val="left"/>
      <w:pPr>
        <w:ind w:left="2970" w:hanging="360"/>
      </w:pPr>
    </w:lvl>
    <w:lvl w:ilvl="5" w:tplc="540A001B" w:tentative="1">
      <w:start w:val="1"/>
      <w:numFmt w:val="lowerRoman"/>
      <w:lvlText w:val="%6."/>
      <w:lvlJc w:val="right"/>
      <w:pPr>
        <w:ind w:left="3690" w:hanging="180"/>
      </w:pPr>
    </w:lvl>
    <w:lvl w:ilvl="6" w:tplc="540A000F" w:tentative="1">
      <w:start w:val="1"/>
      <w:numFmt w:val="decimal"/>
      <w:lvlText w:val="%7."/>
      <w:lvlJc w:val="left"/>
      <w:pPr>
        <w:ind w:left="4410" w:hanging="360"/>
      </w:pPr>
    </w:lvl>
    <w:lvl w:ilvl="7" w:tplc="540A0019" w:tentative="1">
      <w:start w:val="1"/>
      <w:numFmt w:val="lowerLetter"/>
      <w:lvlText w:val="%8."/>
      <w:lvlJc w:val="left"/>
      <w:pPr>
        <w:ind w:left="5130" w:hanging="360"/>
      </w:pPr>
    </w:lvl>
    <w:lvl w:ilvl="8" w:tplc="540A001B" w:tentative="1">
      <w:start w:val="1"/>
      <w:numFmt w:val="lowerRoman"/>
      <w:lvlText w:val="%9."/>
      <w:lvlJc w:val="right"/>
      <w:pPr>
        <w:ind w:left="5850" w:hanging="180"/>
      </w:pPr>
    </w:lvl>
  </w:abstractNum>
  <w:abstractNum w:abstractNumId="7">
    <w:nsid w:val="128A741D"/>
    <w:multiLevelType w:val="hybridMultilevel"/>
    <w:tmpl w:val="C33A086A"/>
    <w:lvl w:ilvl="0" w:tplc="2E90BF5C">
      <w:start w:val="1"/>
      <w:numFmt w:val="decimal"/>
      <w:lvlText w:val="%1."/>
      <w:lvlJc w:val="left"/>
      <w:pPr>
        <w:ind w:left="360" w:hanging="360"/>
      </w:pPr>
      <w:rPr>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9CD7A24"/>
    <w:multiLevelType w:val="hybridMultilevel"/>
    <w:tmpl w:val="223EE74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A1B4444"/>
    <w:multiLevelType w:val="hybridMultilevel"/>
    <w:tmpl w:val="3B92E106"/>
    <w:lvl w:ilvl="0" w:tplc="327E8344">
      <w:start w:val="15"/>
      <w:numFmt w:val="decimal"/>
      <w:lvlText w:val="%1."/>
      <w:lvlJc w:val="left"/>
      <w:pPr>
        <w:ind w:left="360" w:hanging="360"/>
      </w:pPr>
      <w:rPr>
        <w:rFonts w:hint="default"/>
        <w:lang w:val="es-US"/>
      </w:rPr>
    </w:lvl>
    <w:lvl w:ilvl="1" w:tplc="540A0019" w:tentative="1">
      <w:start w:val="1"/>
      <w:numFmt w:val="lowerLetter"/>
      <w:lvlText w:val="%2."/>
      <w:lvlJc w:val="left"/>
      <w:pPr>
        <w:ind w:left="360" w:hanging="360"/>
      </w:pPr>
    </w:lvl>
    <w:lvl w:ilvl="2" w:tplc="540A001B" w:tentative="1">
      <w:start w:val="1"/>
      <w:numFmt w:val="lowerRoman"/>
      <w:lvlText w:val="%3."/>
      <w:lvlJc w:val="right"/>
      <w:pPr>
        <w:ind w:left="1080" w:hanging="180"/>
      </w:pPr>
    </w:lvl>
    <w:lvl w:ilvl="3" w:tplc="540A000F" w:tentative="1">
      <w:start w:val="1"/>
      <w:numFmt w:val="decimal"/>
      <w:lvlText w:val="%4."/>
      <w:lvlJc w:val="left"/>
      <w:pPr>
        <w:ind w:left="1800" w:hanging="360"/>
      </w:pPr>
    </w:lvl>
    <w:lvl w:ilvl="4" w:tplc="540A0019" w:tentative="1">
      <w:start w:val="1"/>
      <w:numFmt w:val="lowerLetter"/>
      <w:lvlText w:val="%5."/>
      <w:lvlJc w:val="left"/>
      <w:pPr>
        <w:ind w:left="2520" w:hanging="360"/>
      </w:pPr>
    </w:lvl>
    <w:lvl w:ilvl="5" w:tplc="540A001B" w:tentative="1">
      <w:start w:val="1"/>
      <w:numFmt w:val="lowerRoman"/>
      <w:lvlText w:val="%6."/>
      <w:lvlJc w:val="right"/>
      <w:pPr>
        <w:ind w:left="3240" w:hanging="180"/>
      </w:pPr>
    </w:lvl>
    <w:lvl w:ilvl="6" w:tplc="540A000F" w:tentative="1">
      <w:start w:val="1"/>
      <w:numFmt w:val="decimal"/>
      <w:lvlText w:val="%7."/>
      <w:lvlJc w:val="left"/>
      <w:pPr>
        <w:ind w:left="3960" w:hanging="360"/>
      </w:pPr>
    </w:lvl>
    <w:lvl w:ilvl="7" w:tplc="540A0019" w:tentative="1">
      <w:start w:val="1"/>
      <w:numFmt w:val="lowerLetter"/>
      <w:lvlText w:val="%8."/>
      <w:lvlJc w:val="left"/>
      <w:pPr>
        <w:ind w:left="4680" w:hanging="360"/>
      </w:pPr>
    </w:lvl>
    <w:lvl w:ilvl="8" w:tplc="540A001B" w:tentative="1">
      <w:start w:val="1"/>
      <w:numFmt w:val="lowerRoman"/>
      <w:lvlText w:val="%9."/>
      <w:lvlJc w:val="right"/>
      <w:pPr>
        <w:ind w:left="5400" w:hanging="180"/>
      </w:pPr>
    </w:lvl>
  </w:abstractNum>
  <w:abstractNum w:abstractNumId="10">
    <w:nsid w:val="1B8E40ED"/>
    <w:multiLevelType w:val="hybridMultilevel"/>
    <w:tmpl w:val="2BF25A44"/>
    <w:lvl w:ilvl="0" w:tplc="0C0A000F">
      <w:start w:val="1"/>
      <w:numFmt w:val="decimal"/>
      <w:lvlText w:val="%1."/>
      <w:lvlJc w:val="left"/>
      <w:pPr>
        <w:ind w:left="1501" w:hanging="360"/>
      </w:pPr>
    </w:lvl>
    <w:lvl w:ilvl="1" w:tplc="0C0A0019" w:tentative="1">
      <w:start w:val="1"/>
      <w:numFmt w:val="lowerLetter"/>
      <w:lvlText w:val="%2."/>
      <w:lvlJc w:val="left"/>
      <w:pPr>
        <w:ind w:left="2221" w:hanging="360"/>
      </w:pPr>
    </w:lvl>
    <w:lvl w:ilvl="2" w:tplc="0C0A001B" w:tentative="1">
      <w:start w:val="1"/>
      <w:numFmt w:val="lowerRoman"/>
      <w:lvlText w:val="%3."/>
      <w:lvlJc w:val="right"/>
      <w:pPr>
        <w:ind w:left="2941" w:hanging="180"/>
      </w:pPr>
    </w:lvl>
    <w:lvl w:ilvl="3" w:tplc="0C0A000F" w:tentative="1">
      <w:start w:val="1"/>
      <w:numFmt w:val="decimal"/>
      <w:lvlText w:val="%4."/>
      <w:lvlJc w:val="left"/>
      <w:pPr>
        <w:ind w:left="3661" w:hanging="360"/>
      </w:pPr>
    </w:lvl>
    <w:lvl w:ilvl="4" w:tplc="0C0A0019" w:tentative="1">
      <w:start w:val="1"/>
      <w:numFmt w:val="lowerLetter"/>
      <w:lvlText w:val="%5."/>
      <w:lvlJc w:val="left"/>
      <w:pPr>
        <w:ind w:left="4381" w:hanging="360"/>
      </w:pPr>
    </w:lvl>
    <w:lvl w:ilvl="5" w:tplc="0C0A001B" w:tentative="1">
      <w:start w:val="1"/>
      <w:numFmt w:val="lowerRoman"/>
      <w:lvlText w:val="%6."/>
      <w:lvlJc w:val="right"/>
      <w:pPr>
        <w:ind w:left="5101" w:hanging="180"/>
      </w:pPr>
    </w:lvl>
    <w:lvl w:ilvl="6" w:tplc="0C0A000F" w:tentative="1">
      <w:start w:val="1"/>
      <w:numFmt w:val="decimal"/>
      <w:lvlText w:val="%7."/>
      <w:lvlJc w:val="left"/>
      <w:pPr>
        <w:ind w:left="5821" w:hanging="360"/>
      </w:pPr>
    </w:lvl>
    <w:lvl w:ilvl="7" w:tplc="0C0A0019" w:tentative="1">
      <w:start w:val="1"/>
      <w:numFmt w:val="lowerLetter"/>
      <w:lvlText w:val="%8."/>
      <w:lvlJc w:val="left"/>
      <w:pPr>
        <w:ind w:left="6541" w:hanging="360"/>
      </w:pPr>
    </w:lvl>
    <w:lvl w:ilvl="8" w:tplc="0C0A001B" w:tentative="1">
      <w:start w:val="1"/>
      <w:numFmt w:val="lowerRoman"/>
      <w:lvlText w:val="%9."/>
      <w:lvlJc w:val="right"/>
      <w:pPr>
        <w:ind w:left="7261" w:hanging="180"/>
      </w:pPr>
    </w:lvl>
  </w:abstractNum>
  <w:abstractNum w:abstractNumId="11">
    <w:nsid w:val="26857A0E"/>
    <w:multiLevelType w:val="hybridMultilevel"/>
    <w:tmpl w:val="763C3978"/>
    <w:lvl w:ilvl="0" w:tplc="FD961A98">
      <w:start w:val="1"/>
      <w:numFmt w:val="bullet"/>
      <w:lvlText w:val=""/>
      <w:lvlJc w:val="left"/>
      <w:pPr>
        <w:tabs>
          <w:tab w:val="num" w:pos="720"/>
        </w:tabs>
        <w:ind w:left="720" w:hanging="360"/>
      </w:pPr>
      <w:rPr>
        <w:rFonts w:ascii="Wingdings" w:hAnsi="Wingdings" w:hint="default"/>
      </w:rPr>
    </w:lvl>
    <w:lvl w:ilvl="1" w:tplc="B5DE8022" w:tentative="1">
      <w:start w:val="1"/>
      <w:numFmt w:val="bullet"/>
      <w:lvlText w:val=""/>
      <w:lvlJc w:val="left"/>
      <w:pPr>
        <w:tabs>
          <w:tab w:val="num" w:pos="1440"/>
        </w:tabs>
        <w:ind w:left="1440" w:hanging="360"/>
      </w:pPr>
      <w:rPr>
        <w:rFonts w:ascii="Wingdings" w:hAnsi="Wingdings" w:hint="default"/>
      </w:rPr>
    </w:lvl>
    <w:lvl w:ilvl="2" w:tplc="3502DA5C" w:tentative="1">
      <w:start w:val="1"/>
      <w:numFmt w:val="bullet"/>
      <w:lvlText w:val=""/>
      <w:lvlJc w:val="left"/>
      <w:pPr>
        <w:tabs>
          <w:tab w:val="num" w:pos="2160"/>
        </w:tabs>
        <w:ind w:left="2160" w:hanging="360"/>
      </w:pPr>
      <w:rPr>
        <w:rFonts w:ascii="Wingdings" w:hAnsi="Wingdings" w:hint="default"/>
      </w:rPr>
    </w:lvl>
    <w:lvl w:ilvl="3" w:tplc="B51ED66E" w:tentative="1">
      <w:start w:val="1"/>
      <w:numFmt w:val="bullet"/>
      <w:lvlText w:val=""/>
      <w:lvlJc w:val="left"/>
      <w:pPr>
        <w:tabs>
          <w:tab w:val="num" w:pos="2880"/>
        </w:tabs>
        <w:ind w:left="2880" w:hanging="360"/>
      </w:pPr>
      <w:rPr>
        <w:rFonts w:ascii="Wingdings" w:hAnsi="Wingdings" w:hint="default"/>
      </w:rPr>
    </w:lvl>
    <w:lvl w:ilvl="4" w:tplc="D228ED8E" w:tentative="1">
      <w:start w:val="1"/>
      <w:numFmt w:val="bullet"/>
      <w:lvlText w:val=""/>
      <w:lvlJc w:val="left"/>
      <w:pPr>
        <w:tabs>
          <w:tab w:val="num" w:pos="3600"/>
        </w:tabs>
        <w:ind w:left="3600" w:hanging="360"/>
      </w:pPr>
      <w:rPr>
        <w:rFonts w:ascii="Wingdings" w:hAnsi="Wingdings" w:hint="default"/>
      </w:rPr>
    </w:lvl>
    <w:lvl w:ilvl="5" w:tplc="EE98E2D8" w:tentative="1">
      <w:start w:val="1"/>
      <w:numFmt w:val="bullet"/>
      <w:lvlText w:val=""/>
      <w:lvlJc w:val="left"/>
      <w:pPr>
        <w:tabs>
          <w:tab w:val="num" w:pos="4320"/>
        </w:tabs>
        <w:ind w:left="4320" w:hanging="360"/>
      </w:pPr>
      <w:rPr>
        <w:rFonts w:ascii="Wingdings" w:hAnsi="Wingdings" w:hint="default"/>
      </w:rPr>
    </w:lvl>
    <w:lvl w:ilvl="6" w:tplc="14A0AC8C" w:tentative="1">
      <w:start w:val="1"/>
      <w:numFmt w:val="bullet"/>
      <w:lvlText w:val=""/>
      <w:lvlJc w:val="left"/>
      <w:pPr>
        <w:tabs>
          <w:tab w:val="num" w:pos="5040"/>
        </w:tabs>
        <w:ind w:left="5040" w:hanging="360"/>
      </w:pPr>
      <w:rPr>
        <w:rFonts w:ascii="Wingdings" w:hAnsi="Wingdings" w:hint="default"/>
      </w:rPr>
    </w:lvl>
    <w:lvl w:ilvl="7" w:tplc="06AA227E" w:tentative="1">
      <w:start w:val="1"/>
      <w:numFmt w:val="bullet"/>
      <w:lvlText w:val=""/>
      <w:lvlJc w:val="left"/>
      <w:pPr>
        <w:tabs>
          <w:tab w:val="num" w:pos="5760"/>
        </w:tabs>
        <w:ind w:left="5760" w:hanging="360"/>
      </w:pPr>
      <w:rPr>
        <w:rFonts w:ascii="Wingdings" w:hAnsi="Wingdings" w:hint="default"/>
      </w:rPr>
    </w:lvl>
    <w:lvl w:ilvl="8" w:tplc="B0728EDC" w:tentative="1">
      <w:start w:val="1"/>
      <w:numFmt w:val="bullet"/>
      <w:lvlText w:val=""/>
      <w:lvlJc w:val="left"/>
      <w:pPr>
        <w:tabs>
          <w:tab w:val="num" w:pos="6480"/>
        </w:tabs>
        <w:ind w:left="6480" w:hanging="360"/>
      </w:pPr>
      <w:rPr>
        <w:rFonts w:ascii="Wingdings" w:hAnsi="Wingdings" w:hint="default"/>
      </w:rPr>
    </w:lvl>
  </w:abstractNum>
  <w:abstractNum w:abstractNumId="12">
    <w:nsid w:val="28324987"/>
    <w:multiLevelType w:val="hybridMultilevel"/>
    <w:tmpl w:val="F058EEE4"/>
    <w:lvl w:ilvl="0" w:tplc="0C0A000F">
      <w:start w:val="1"/>
      <w:numFmt w:val="decimal"/>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
    <w:nsid w:val="2B8E0F82"/>
    <w:multiLevelType w:val="hybridMultilevel"/>
    <w:tmpl w:val="6130EE26"/>
    <w:lvl w:ilvl="0" w:tplc="AF88900E">
      <w:start w:val="1"/>
      <w:numFmt w:val="bullet"/>
      <w:lvlText w:val=""/>
      <w:lvlJc w:val="left"/>
      <w:pPr>
        <w:tabs>
          <w:tab w:val="num" w:pos="720"/>
        </w:tabs>
        <w:ind w:left="720" w:hanging="360"/>
      </w:pPr>
      <w:rPr>
        <w:rFonts w:ascii="Wingdings" w:hAnsi="Wingdings" w:hint="default"/>
      </w:rPr>
    </w:lvl>
    <w:lvl w:ilvl="1" w:tplc="F5D8162C" w:tentative="1">
      <w:start w:val="1"/>
      <w:numFmt w:val="bullet"/>
      <w:lvlText w:val=""/>
      <w:lvlJc w:val="left"/>
      <w:pPr>
        <w:tabs>
          <w:tab w:val="num" w:pos="1440"/>
        </w:tabs>
        <w:ind w:left="1440" w:hanging="360"/>
      </w:pPr>
      <w:rPr>
        <w:rFonts w:ascii="Wingdings" w:hAnsi="Wingdings" w:hint="default"/>
      </w:rPr>
    </w:lvl>
    <w:lvl w:ilvl="2" w:tplc="D4205812" w:tentative="1">
      <w:start w:val="1"/>
      <w:numFmt w:val="bullet"/>
      <w:lvlText w:val=""/>
      <w:lvlJc w:val="left"/>
      <w:pPr>
        <w:tabs>
          <w:tab w:val="num" w:pos="2160"/>
        </w:tabs>
        <w:ind w:left="2160" w:hanging="360"/>
      </w:pPr>
      <w:rPr>
        <w:rFonts w:ascii="Wingdings" w:hAnsi="Wingdings" w:hint="default"/>
      </w:rPr>
    </w:lvl>
    <w:lvl w:ilvl="3" w:tplc="0408EC6E" w:tentative="1">
      <w:start w:val="1"/>
      <w:numFmt w:val="bullet"/>
      <w:lvlText w:val=""/>
      <w:lvlJc w:val="left"/>
      <w:pPr>
        <w:tabs>
          <w:tab w:val="num" w:pos="2880"/>
        </w:tabs>
        <w:ind w:left="2880" w:hanging="360"/>
      </w:pPr>
      <w:rPr>
        <w:rFonts w:ascii="Wingdings" w:hAnsi="Wingdings" w:hint="default"/>
      </w:rPr>
    </w:lvl>
    <w:lvl w:ilvl="4" w:tplc="BB52B2CA" w:tentative="1">
      <w:start w:val="1"/>
      <w:numFmt w:val="bullet"/>
      <w:lvlText w:val=""/>
      <w:lvlJc w:val="left"/>
      <w:pPr>
        <w:tabs>
          <w:tab w:val="num" w:pos="3600"/>
        </w:tabs>
        <w:ind w:left="3600" w:hanging="360"/>
      </w:pPr>
      <w:rPr>
        <w:rFonts w:ascii="Wingdings" w:hAnsi="Wingdings" w:hint="default"/>
      </w:rPr>
    </w:lvl>
    <w:lvl w:ilvl="5" w:tplc="769EF450" w:tentative="1">
      <w:start w:val="1"/>
      <w:numFmt w:val="bullet"/>
      <w:lvlText w:val=""/>
      <w:lvlJc w:val="left"/>
      <w:pPr>
        <w:tabs>
          <w:tab w:val="num" w:pos="4320"/>
        </w:tabs>
        <w:ind w:left="4320" w:hanging="360"/>
      </w:pPr>
      <w:rPr>
        <w:rFonts w:ascii="Wingdings" w:hAnsi="Wingdings" w:hint="default"/>
      </w:rPr>
    </w:lvl>
    <w:lvl w:ilvl="6" w:tplc="2E1C6D8C" w:tentative="1">
      <w:start w:val="1"/>
      <w:numFmt w:val="bullet"/>
      <w:lvlText w:val=""/>
      <w:lvlJc w:val="left"/>
      <w:pPr>
        <w:tabs>
          <w:tab w:val="num" w:pos="5040"/>
        </w:tabs>
        <w:ind w:left="5040" w:hanging="360"/>
      </w:pPr>
      <w:rPr>
        <w:rFonts w:ascii="Wingdings" w:hAnsi="Wingdings" w:hint="default"/>
      </w:rPr>
    </w:lvl>
    <w:lvl w:ilvl="7" w:tplc="1E8C6666" w:tentative="1">
      <w:start w:val="1"/>
      <w:numFmt w:val="bullet"/>
      <w:lvlText w:val=""/>
      <w:lvlJc w:val="left"/>
      <w:pPr>
        <w:tabs>
          <w:tab w:val="num" w:pos="5760"/>
        </w:tabs>
        <w:ind w:left="5760" w:hanging="360"/>
      </w:pPr>
      <w:rPr>
        <w:rFonts w:ascii="Wingdings" w:hAnsi="Wingdings" w:hint="default"/>
      </w:rPr>
    </w:lvl>
    <w:lvl w:ilvl="8" w:tplc="E1809820" w:tentative="1">
      <w:start w:val="1"/>
      <w:numFmt w:val="bullet"/>
      <w:lvlText w:val=""/>
      <w:lvlJc w:val="left"/>
      <w:pPr>
        <w:tabs>
          <w:tab w:val="num" w:pos="6480"/>
        </w:tabs>
        <w:ind w:left="6480" w:hanging="360"/>
      </w:pPr>
      <w:rPr>
        <w:rFonts w:ascii="Wingdings" w:hAnsi="Wingdings" w:hint="default"/>
      </w:rPr>
    </w:lvl>
  </w:abstractNum>
  <w:abstractNum w:abstractNumId="14">
    <w:nsid w:val="2D6829C7"/>
    <w:multiLevelType w:val="hybridMultilevel"/>
    <w:tmpl w:val="361AFF7A"/>
    <w:lvl w:ilvl="0" w:tplc="0C0A000F">
      <w:start w:val="1"/>
      <w:numFmt w:val="decimal"/>
      <w:lvlText w:val="%1."/>
      <w:lvlJc w:val="left"/>
      <w:pPr>
        <w:tabs>
          <w:tab w:val="num" w:pos="900"/>
        </w:tabs>
        <w:ind w:left="90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nsid w:val="35F12876"/>
    <w:multiLevelType w:val="hybridMultilevel"/>
    <w:tmpl w:val="04B604D6"/>
    <w:lvl w:ilvl="0" w:tplc="F9C005F4">
      <w:start w:val="1"/>
      <w:numFmt w:val="bullet"/>
      <w:lvlText w:val=""/>
      <w:lvlJc w:val="left"/>
      <w:pPr>
        <w:tabs>
          <w:tab w:val="num" w:pos="720"/>
        </w:tabs>
        <w:ind w:left="720" w:hanging="360"/>
      </w:pPr>
      <w:rPr>
        <w:rFonts w:ascii="Wingdings" w:hAnsi="Wingdings" w:hint="default"/>
      </w:rPr>
    </w:lvl>
    <w:lvl w:ilvl="1" w:tplc="AFA60B38">
      <w:start w:val="31"/>
      <w:numFmt w:val="bullet"/>
      <w:lvlText w:val=""/>
      <w:lvlJc w:val="left"/>
      <w:pPr>
        <w:tabs>
          <w:tab w:val="num" w:pos="1440"/>
        </w:tabs>
        <w:ind w:left="1440" w:hanging="360"/>
      </w:pPr>
      <w:rPr>
        <w:rFonts w:ascii="Wingdings" w:hAnsi="Wingdings" w:hint="default"/>
      </w:rPr>
    </w:lvl>
    <w:lvl w:ilvl="2" w:tplc="A268EC0E" w:tentative="1">
      <w:start w:val="1"/>
      <w:numFmt w:val="bullet"/>
      <w:lvlText w:val=""/>
      <w:lvlJc w:val="left"/>
      <w:pPr>
        <w:tabs>
          <w:tab w:val="num" w:pos="2160"/>
        </w:tabs>
        <w:ind w:left="2160" w:hanging="360"/>
      </w:pPr>
      <w:rPr>
        <w:rFonts w:ascii="Wingdings" w:hAnsi="Wingdings" w:hint="default"/>
      </w:rPr>
    </w:lvl>
    <w:lvl w:ilvl="3" w:tplc="5380CC82" w:tentative="1">
      <w:start w:val="1"/>
      <w:numFmt w:val="bullet"/>
      <w:lvlText w:val=""/>
      <w:lvlJc w:val="left"/>
      <w:pPr>
        <w:tabs>
          <w:tab w:val="num" w:pos="2880"/>
        </w:tabs>
        <w:ind w:left="2880" w:hanging="360"/>
      </w:pPr>
      <w:rPr>
        <w:rFonts w:ascii="Wingdings" w:hAnsi="Wingdings" w:hint="default"/>
      </w:rPr>
    </w:lvl>
    <w:lvl w:ilvl="4" w:tplc="50E6EA74" w:tentative="1">
      <w:start w:val="1"/>
      <w:numFmt w:val="bullet"/>
      <w:lvlText w:val=""/>
      <w:lvlJc w:val="left"/>
      <w:pPr>
        <w:tabs>
          <w:tab w:val="num" w:pos="3600"/>
        </w:tabs>
        <w:ind w:left="3600" w:hanging="360"/>
      </w:pPr>
      <w:rPr>
        <w:rFonts w:ascii="Wingdings" w:hAnsi="Wingdings" w:hint="default"/>
      </w:rPr>
    </w:lvl>
    <w:lvl w:ilvl="5" w:tplc="F996B458" w:tentative="1">
      <w:start w:val="1"/>
      <w:numFmt w:val="bullet"/>
      <w:lvlText w:val=""/>
      <w:lvlJc w:val="left"/>
      <w:pPr>
        <w:tabs>
          <w:tab w:val="num" w:pos="4320"/>
        </w:tabs>
        <w:ind w:left="4320" w:hanging="360"/>
      </w:pPr>
      <w:rPr>
        <w:rFonts w:ascii="Wingdings" w:hAnsi="Wingdings" w:hint="default"/>
      </w:rPr>
    </w:lvl>
    <w:lvl w:ilvl="6" w:tplc="2868A89E" w:tentative="1">
      <w:start w:val="1"/>
      <w:numFmt w:val="bullet"/>
      <w:lvlText w:val=""/>
      <w:lvlJc w:val="left"/>
      <w:pPr>
        <w:tabs>
          <w:tab w:val="num" w:pos="5040"/>
        </w:tabs>
        <w:ind w:left="5040" w:hanging="360"/>
      </w:pPr>
      <w:rPr>
        <w:rFonts w:ascii="Wingdings" w:hAnsi="Wingdings" w:hint="default"/>
      </w:rPr>
    </w:lvl>
    <w:lvl w:ilvl="7" w:tplc="29E45470" w:tentative="1">
      <w:start w:val="1"/>
      <w:numFmt w:val="bullet"/>
      <w:lvlText w:val=""/>
      <w:lvlJc w:val="left"/>
      <w:pPr>
        <w:tabs>
          <w:tab w:val="num" w:pos="5760"/>
        </w:tabs>
        <w:ind w:left="5760" w:hanging="360"/>
      </w:pPr>
      <w:rPr>
        <w:rFonts w:ascii="Wingdings" w:hAnsi="Wingdings" w:hint="default"/>
      </w:rPr>
    </w:lvl>
    <w:lvl w:ilvl="8" w:tplc="BB64714E" w:tentative="1">
      <w:start w:val="1"/>
      <w:numFmt w:val="bullet"/>
      <w:lvlText w:val=""/>
      <w:lvlJc w:val="left"/>
      <w:pPr>
        <w:tabs>
          <w:tab w:val="num" w:pos="6480"/>
        </w:tabs>
        <w:ind w:left="6480" w:hanging="360"/>
      </w:pPr>
      <w:rPr>
        <w:rFonts w:ascii="Wingdings" w:hAnsi="Wingdings" w:hint="default"/>
      </w:rPr>
    </w:lvl>
  </w:abstractNum>
  <w:abstractNum w:abstractNumId="16">
    <w:nsid w:val="37C52C64"/>
    <w:multiLevelType w:val="hybridMultilevel"/>
    <w:tmpl w:val="5A26E922"/>
    <w:lvl w:ilvl="0" w:tplc="0C0A000F">
      <w:start w:val="1"/>
      <w:numFmt w:val="decimal"/>
      <w:lvlText w:val="%1."/>
      <w:lvlJc w:val="left"/>
      <w:pPr>
        <w:ind w:left="502" w:hanging="360"/>
      </w:pPr>
    </w:lvl>
    <w:lvl w:ilvl="1" w:tplc="0C0A0019" w:tentative="1">
      <w:start w:val="1"/>
      <w:numFmt w:val="lowerLetter"/>
      <w:lvlText w:val="%2."/>
      <w:lvlJc w:val="left"/>
      <w:pPr>
        <w:ind w:left="2360" w:hanging="360"/>
      </w:pPr>
    </w:lvl>
    <w:lvl w:ilvl="2" w:tplc="0C0A001B" w:tentative="1">
      <w:start w:val="1"/>
      <w:numFmt w:val="lowerRoman"/>
      <w:lvlText w:val="%3."/>
      <w:lvlJc w:val="right"/>
      <w:pPr>
        <w:ind w:left="3080" w:hanging="180"/>
      </w:pPr>
    </w:lvl>
    <w:lvl w:ilvl="3" w:tplc="0C0A000F" w:tentative="1">
      <w:start w:val="1"/>
      <w:numFmt w:val="decimal"/>
      <w:lvlText w:val="%4."/>
      <w:lvlJc w:val="left"/>
      <w:pPr>
        <w:ind w:left="3800" w:hanging="360"/>
      </w:pPr>
    </w:lvl>
    <w:lvl w:ilvl="4" w:tplc="0C0A0019" w:tentative="1">
      <w:start w:val="1"/>
      <w:numFmt w:val="lowerLetter"/>
      <w:lvlText w:val="%5."/>
      <w:lvlJc w:val="left"/>
      <w:pPr>
        <w:ind w:left="4520" w:hanging="360"/>
      </w:pPr>
    </w:lvl>
    <w:lvl w:ilvl="5" w:tplc="0C0A001B" w:tentative="1">
      <w:start w:val="1"/>
      <w:numFmt w:val="lowerRoman"/>
      <w:lvlText w:val="%6."/>
      <w:lvlJc w:val="right"/>
      <w:pPr>
        <w:ind w:left="5240" w:hanging="180"/>
      </w:pPr>
    </w:lvl>
    <w:lvl w:ilvl="6" w:tplc="0C0A000F" w:tentative="1">
      <w:start w:val="1"/>
      <w:numFmt w:val="decimal"/>
      <w:lvlText w:val="%7."/>
      <w:lvlJc w:val="left"/>
      <w:pPr>
        <w:ind w:left="5960" w:hanging="360"/>
      </w:pPr>
    </w:lvl>
    <w:lvl w:ilvl="7" w:tplc="0C0A0019" w:tentative="1">
      <w:start w:val="1"/>
      <w:numFmt w:val="lowerLetter"/>
      <w:lvlText w:val="%8."/>
      <w:lvlJc w:val="left"/>
      <w:pPr>
        <w:ind w:left="6680" w:hanging="360"/>
      </w:pPr>
    </w:lvl>
    <w:lvl w:ilvl="8" w:tplc="0C0A001B" w:tentative="1">
      <w:start w:val="1"/>
      <w:numFmt w:val="lowerRoman"/>
      <w:lvlText w:val="%9."/>
      <w:lvlJc w:val="right"/>
      <w:pPr>
        <w:ind w:left="7400" w:hanging="180"/>
      </w:pPr>
    </w:lvl>
  </w:abstractNum>
  <w:abstractNum w:abstractNumId="17">
    <w:nsid w:val="4E817402"/>
    <w:multiLevelType w:val="hybridMultilevel"/>
    <w:tmpl w:val="99282F7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nsid w:val="65DE366D"/>
    <w:multiLevelType w:val="hybridMultilevel"/>
    <w:tmpl w:val="B7AE11E4"/>
    <w:lvl w:ilvl="0" w:tplc="080A000F">
      <w:start w:val="1"/>
      <w:numFmt w:val="decimal"/>
      <w:lvlText w:val="%1."/>
      <w:lvlJc w:val="left"/>
      <w:pPr>
        <w:ind w:left="762" w:hanging="360"/>
      </w:pPr>
    </w:lvl>
    <w:lvl w:ilvl="1" w:tplc="080A0019">
      <w:start w:val="1"/>
      <w:numFmt w:val="lowerLetter"/>
      <w:lvlText w:val="%2."/>
      <w:lvlJc w:val="left"/>
      <w:pPr>
        <w:ind w:left="1482" w:hanging="360"/>
      </w:pPr>
    </w:lvl>
    <w:lvl w:ilvl="2" w:tplc="080A001B">
      <w:start w:val="1"/>
      <w:numFmt w:val="lowerRoman"/>
      <w:lvlText w:val="%3."/>
      <w:lvlJc w:val="right"/>
      <w:pPr>
        <w:ind w:left="2202" w:hanging="180"/>
      </w:pPr>
    </w:lvl>
    <w:lvl w:ilvl="3" w:tplc="080A000F">
      <w:start w:val="1"/>
      <w:numFmt w:val="decimal"/>
      <w:lvlText w:val="%4."/>
      <w:lvlJc w:val="left"/>
      <w:pPr>
        <w:ind w:left="2922" w:hanging="360"/>
      </w:pPr>
    </w:lvl>
    <w:lvl w:ilvl="4" w:tplc="080A0019">
      <w:start w:val="1"/>
      <w:numFmt w:val="lowerLetter"/>
      <w:lvlText w:val="%5."/>
      <w:lvlJc w:val="left"/>
      <w:pPr>
        <w:ind w:left="3642" w:hanging="360"/>
      </w:pPr>
    </w:lvl>
    <w:lvl w:ilvl="5" w:tplc="080A001B">
      <w:start w:val="1"/>
      <w:numFmt w:val="lowerRoman"/>
      <w:lvlText w:val="%6."/>
      <w:lvlJc w:val="right"/>
      <w:pPr>
        <w:ind w:left="4362" w:hanging="180"/>
      </w:pPr>
    </w:lvl>
    <w:lvl w:ilvl="6" w:tplc="080A000F">
      <w:start w:val="1"/>
      <w:numFmt w:val="decimal"/>
      <w:lvlText w:val="%7."/>
      <w:lvlJc w:val="left"/>
      <w:pPr>
        <w:ind w:left="5082" w:hanging="360"/>
      </w:pPr>
    </w:lvl>
    <w:lvl w:ilvl="7" w:tplc="080A0019">
      <w:start w:val="1"/>
      <w:numFmt w:val="lowerLetter"/>
      <w:lvlText w:val="%8."/>
      <w:lvlJc w:val="left"/>
      <w:pPr>
        <w:ind w:left="5802" w:hanging="360"/>
      </w:pPr>
    </w:lvl>
    <w:lvl w:ilvl="8" w:tplc="080A001B">
      <w:start w:val="1"/>
      <w:numFmt w:val="lowerRoman"/>
      <w:lvlText w:val="%9."/>
      <w:lvlJc w:val="right"/>
      <w:pPr>
        <w:ind w:left="6522" w:hanging="180"/>
      </w:pPr>
    </w:lvl>
  </w:abstractNum>
  <w:abstractNum w:abstractNumId="19">
    <w:nsid w:val="67DE032E"/>
    <w:multiLevelType w:val="hybridMultilevel"/>
    <w:tmpl w:val="652CB460"/>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20">
    <w:nsid w:val="777A47DE"/>
    <w:multiLevelType w:val="hybridMultilevel"/>
    <w:tmpl w:val="B2FE5A9A"/>
    <w:lvl w:ilvl="0" w:tplc="395E279E">
      <w:start w:val="1"/>
      <w:numFmt w:val="bullet"/>
      <w:lvlText w:val=""/>
      <w:lvlJc w:val="left"/>
      <w:pPr>
        <w:tabs>
          <w:tab w:val="num" w:pos="720"/>
        </w:tabs>
        <w:ind w:left="720" w:hanging="360"/>
      </w:pPr>
      <w:rPr>
        <w:rFonts w:ascii="Wingdings" w:hAnsi="Wingdings" w:hint="default"/>
      </w:rPr>
    </w:lvl>
    <w:lvl w:ilvl="1" w:tplc="1AF8EC9A" w:tentative="1">
      <w:start w:val="1"/>
      <w:numFmt w:val="bullet"/>
      <w:lvlText w:val=""/>
      <w:lvlJc w:val="left"/>
      <w:pPr>
        <w:tabs>
          <w:tab w:val="num" w:pos="1440"/>
        </w:tabs>
        <w:ind w:left="1440" w:hanging="360"/>
      </w:pPr>
      <w:rPr>
        <w:rFonts w:ascii="Wingdings" w:hAnsi="Wingdings" w:hint="default"/>
      </w:rPr>
    </w:lvl>
    <w:lvl w:ilvl="2" w:tplc="9274D91A" w:tentative="1">
      <w:start w:val="1"/>
      <w:numFmt w:val="bullet"/>
      <w:lvlText w:val=""/>
      <w:lvlJc w:val="left"/>
      <w:pPr>
        <w:tabs>
          <w:tab w:val="num" w:pos="2160"/>
        </w:tabs>
        <w:ind w:left="2160" w:hanging="360"/>
      </w:pPr>
      <w:rPr>
        <w:rFonts w:ascii="Wingdings" w:hAnsi="Wingdings" w:hint="default"/>
      </w:rPr>
    </w:lvl>
    <w:lvl w:ilvl="3" w:tplc="406CD56C" w:tentative="1">
      <w:start w:val="1"/>
      <w:numFmt w:val="bullet"/>
      <w:lvlText w:val=""/>
      <w:lvlJc w:val="left"/>
      <w:pPr>
        <w:tabs>
          <w:tab w:val="num" w:pos="2880"/>
        </w:tabs>
        <w:ind w:left="2880" w:hanging="360"/>
      </w:pPr>
      <w:rPr>
        <w:rFonts w:ascii="Wingdings" w:hAnsi="Wingdings" w:hint="default"/>
      </w:rPr>
    </w:lvl>
    <w:lvl w:ilvl="4" w:tplc="2C5E6086" w:tentative="1">
      <w:start w:val="1"/>
      <w:numFmt w:val="bullet"/>
      <w:lvlText w:val=""/>
      <w:lvlJc w:val="left"/>
      <w:pPr>
        <w:tabs>
          <w:tab w:val="num" w:pos="3600"/>
        </w:tabs>
        <w:ind w:left="3600" w:hanging="360"/>
      </w:pPr>
      <w:rPr>
        <w:rFonts w:ascii="Wingdings" w:hAnsi="Wingdings" w:hint="default"/>
      </w:rPr>
    </w:lvl>
    <w:lvl w:ilvl="5" w:tplc="5FF0FCF8" w:tentative="1">
      <w:start w:val="1"/>
      <w:numFmt w:val="bullet"/>
      <w:lvlText w:val=""/>
      <w:lvlJc w:val="left"/>
      <w:pPr>
        <w:tabs>
          <w:tab w:val="num" w:pos="4320"/>
        </w:tabs>
        <w:ind w:left="4320" w:hanging="360"/>
      </w:pPr>
      <w:rPr>
        <w:rFonts w:ascii="Wingdings" w:hAnsi="Wingdings" w:hint="default"/>
      </w:rPr>
    </w:lvl>
    <w:lvl w:ilvl="6" w:tplc="3FDEB11A" w:tentative="1">
      <w:start w:val="1"/>
      <w:numFmt w:val="bullet"/>
      <w:lvlText w:val=""/>
      <w:lvlJc w:val="left"/>
      <w:pPr>
        <w:tabs>
          <w:tab w:val="num" w:pos="5040"/>
        </w:tabs>
        <w:ind w:left="5040" w:hanging="360"/>
      </w:pPr>
      <w:rPr>
        <w:rFonts w:ascii="Wingdings" w:hAnsi="Wingdings" w:hint="default"/>
      </w:rPr>
    </w:lvl>
    <w:lvl w:ilvl="7" w:tplc="B1B26EEC" w:tentative="1">
      <w:start w:val="1"/>
      <w:numFmt w:val="bullet"/>
      <w:lvlText w:val=""/>
      <w:lvlJc w:val="left"/>
      <w:pPr>
        <w:tabs>
          <w:tab w:val="num" w:pos="5760"/>
        </w:tabs>
        <w:ind w:left="5760" w:hanging="360"/>
      </w:pPr>
      <w:rPr>
        <w:rFonts w:ascii="Wingdings" w:hAnsi="Wingdings" w:hint="default"/>
      </w:rPr>
    </w:lvl>
    <w:lvl w:ilvl="8" w:tplc="C8F62E48" w:tentative="1">
      <w:start w:val="1"/>
      <w:numFmt w:val="bullet"/>
      <w:lvlText w:val=""/>
      <w:lvlJc w:val="left"/>
      <w:pPr>
        <w:tabs>
          <w:tab w:val="num" w:pos="6480"/>
        </w:tabs>
        <w:ind w:left="6480" w:hanging="360"/>
      </w:pPr>
      <w:rPr>
        <w:rFonts w:ascii="Wingdings" w:hAnsi="Wingdings" w:hint="default"/>
      </w:rPr>
    </w:lvl>
  </w:abstractNum>
  <w:abstractNum w:abstractNumId="21">
    <w:nsid w:val="7D7F3D8A"/>
    <w:multiLevelType w:val="hybridMultilevel"/>
    <w:tmpl w:val="18AA81B8"/>
    <w:lvl w:ilvl="0" w:tplc="0C0A000F">
      <w:start w:val="1"/>
      <w:numFmt w:val="decimal"/>
      <w:lvlText w:val="%1."/>
      <w:lvlJc w:val="left"/>
      <w:pPr>
        <w:ind w:left="1501" w:hanging="360"/>
      </w:pPr>
    </w:lvl>
    <w:lvl w:ilvl="1" w:tplc="0C0A0019" w:tentative="1">
      <w:start w:val="1"/>
      <w:numFmt w:val="lowerLetter"/>
      <w:lvlText w:val="%2."/>
      <w:lvlJc w:val="left"/>
      <w:pPr>
        <w:ind w:left="2221" w:hanging="360"/>
      </w:pPr>
    </w:lvl>
    <w:lvl w:ilvl="2" w:tplc="0C0A001B" w:tentative="1">
      <w:start w:val="1"/>
      <w:numFmt w:val="lowerRoman"/>
      <w:lvlText w:val="%3."/>
      <w:lvlJc w:val="right"/>
      <w:pPr>
        <w:ind w:left="2941" w:hanging="180"/>
      </w:pPr>
    </w:lvl>
    <w:lvl w:ilvl="3" w:tplc="0C0A000F" w:tentative="1">
      <w:start w:val="1"/>
      <w:numFmt w:val="decimal"/>
      <w:lvlText w:val="%4."/>
      <w:lvlJc w:val="left"/>
      <w:pPr>
        <w:ind w:left="3661" w:hanging="360"/>
      </w:pPr>
    </w:lvl>
    <w:lvl w:ilvl="4" w:tplc="0C0A0019" w:tentative="1">
      <w:start w:val="1"/>
      <w:numFmt w:val="lowerLetter"/>
      <w:lvlText w:val="%5."/>
      <w:lvlJc w:val="left"/>
      <w:pPr>
        <w:ind w:left="4381" w:hanging="360"/>
      </w:pPr>
    </w:lvl>
    <w:lvl w:ilvl="5" w:tplc="0C0A001B" w:tentative="1">
      <w:start w:val="1"/>
      <w:numFmt w:val="lowerRoman"/>
      <w:lvlText w:val="%6."/>
      <w:lvlJc w:val="right"/>
      <w:pPr>
        <w:ind w:left="5101" w:hanging="180"/>
      </w:pPr>
    </w:lvl>
    <w:lvl w:ilvl="6" w:tplc="0C0A000F" w:tentative="1">
      <w:start w:val="1"/>
      <w:numFmt w:val="decimal"/>
      <w:lvlText w:val="%7."/>
      <w:lvlJc w:val="left"/>
      <w:pPr>
        <w:ind w:left="5821" w:hanging="360"/>
      </w:pPr>
    </w:lvl>
    <w:lvl w:ilvl="7" w:tplc="0C0A0019" w:tentative="1">
      <w:start w:val="1"/>
      <w:numFmt w:val="lowerLetter"/>
      <w:lvlText w:val="%8."/>
      <w:lvlJc w:val="left"/>
      <w:pPr>
        <w:ind w:left="6541" w:hanging="360"/>
      </w:pPr>
    </w:lvl>
    <w:lvl w:ilvl="8" w:tplc="0C0A001B" w:tentative="1">
      <w:start w:val="1"/>
      <w:numFmt w:val="lowerRoman"/>
      <w:lvlText w:val="%9."/>
      <w:lvlJc w:val="right"/>
      <w:pPr>
        <w:ind w:left="7261" w:hanging="180"/>
      </w:pPr>
    </w:lvl>
  </w:abstractNum>
  <w:abstractNum w:abstractNumId="22">
    <w:nsid w:val="7E635F6D"/>
    <w:multiLevelType w:val="hybridMultilevel"/>
    <w:tmpl w:val="D2688F3E"/>
    <w:lvl w:ilvl="0" w:tplc="53C63AC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8"/>
  </w:num>
  <w:num w:numId="5">
    <w:abstractNumId w:val="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5"/>
  </w:num>
  <w:num w:numId="9">
    <w:abstractNumId w:val="2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15"/>
  </w:num>
  <w:num w:numId="14">
    <w:abstractNumId w:val="20"/>
  </w:num>
  <w:num w:numId="15">
    <w:abstractNumId w:val="10"/>
  </w:num>
  <w:num w:numId="16">
    <w:abstractNumId w:val="12"/>
  </w:num>
  <w:num w:numId="17">
    <w:abstractNumId w:val="17"/>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
  </w:num>
  <w:num w:numId="24">
    <w:abstractNumId w:val="0"/>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ttachedTemplate r:id="rId1"/>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B7E"/>
    <w:rsid w:val="0000031F"/>
    <w:rsid w:val="0000035F"/>
    <w:rsid w:val="0000072D"/>
    <w:rsid w:val="00000CBE"/>
    <w:rsid w:val="0000155B"/>
    <w:rsid w:val="00001A28"/>
    <w:rsid w:val="00001B78"/>
    <w:rsid w:val="00003043"/>
    <w:rsid w:val="00004D0A"/>
    <w:rsid w:val="00004FB8"/>
    <w:rsid w:val="00005956"/>
    <w:rsid w:val="00006F73"/>
    <w:rsid w:val="00007106"/>
    <w:rsid w:val="00007132"/>
    <w:rsid w:val="00007F1B"/>
    <w:rsid w:val="0001236E"/>
    <w:rsid w:val="0001246D"/>
    <w:rsid w:val="00012A38"/>
    <w:rsid w:val="00014638"/>
    <w:rsid w:val="00014F96"/>
    <w:rsid w:val="000159BD"/>
    <w:rsid w:val="00015EC5"/>
    <w:rsid w:val="00016549"/>
    <w:rsid w:val="00017199"/>
    <w:rsid w:val="000179BE"/>
    <w:rsid w:val="00021251"/>
    <w:rsid w:val="000215E3"/>
    <w:rsid w:val="00022404"/>
    <w:rsid w:val="00022F14"/>
    <w:rsid w:val="0002478C"/>
    <w:rsid w:val="00024DA8"/>
    <w:rsid w:val="0002548B"/>
    <w:rsid w:val="00025797"/>
    <w:rsid w:val="00026DA1"/>
    <w:rsid w:val="00027B74"/>
    <w:rsid w:val="000305B9"/>
    <w:rsid w:val="00031C10"/>
    <w:rsid w:val="00032641"/>
    <w:rsid w:val="00033BE7"/>
    <w:rsid w:val="00035FC7"/>
    <w:rsid w:val="000374B4"/>
    <w:rsid w:val="0003757E"/>
    <w:rsid w:val="00037CA8"/>
    <w:rsid w:val="00041965"/>
    <w:rsid w:val="00041ACB"/>
    <w:rsid w:val="00042234"/>
    <w:rsid w:val="000443B4"/>
    <w:rsid w:val="00045D97"/>
    <w:rsid w:val="00045D9D"/>
    <w:rsid w:val="00046738"/>
    <w:rsid w:val="00047895"/>
    <w:rsid w:val="00047CD2"/>
    <w:rsid w:val="000511BA"/>
    <w:rsid w:val="00051A16"/>
    <w:rsid w:val="000527F0"/>
    <w:rsid w:val="000531D7"/>
    <w:rsid w:val="00053FD3"/>
    <w:rsid w:val="00054864"/>
    <w:rsid w:val="0005587E"/>
    <w:rsid w:val="00056327"/>
    <w:rsid w:val="00056797"/>
    <w:rsid w:val="00056B8E"/>
    <w:rsid w:val="00056F7A"/>
    <w:rsid w:val="00057237"/>
    <w:rsid w:val="00057B23"/>
    <w:rsid w:val="0006003D"/>
    <w:rsid w:val="000620F9"/>
    <w:rsid w:val="000624E1"/>
    <w:rsid w:val="00062AE6"/>
    <w:rsid w:val="00063969"/>
    <w:rsid w:val="00063C92"/>
    <w:rsid w:val="00064377"/>
    <w:rsid w:val="0006480F"/>
    <w:rsid w:val="000654DB"/>
    <w:rsid w:val="00065947"/>
    <w:rsid w:val="00065DD4"/>
    <w:rsid w:val="00065DE6"/>
    <w:rsid w:val="00066297"/>
    <w:rsid w:val="000671D3"/>
    <w:rsid w:val="00071AF0"/>
    <w:rsid w:val="000723F6"/>
    <w:rsid w:val="00073548"/>
    <w:rsid w:val="00073A90"/>
    <w:rsid w:val="00073CB6"/>
    <w:rsid w:val="000768AB"/>
    <w:rsid w:val="00080036"/>
    <w:rsid w:val="000808E1"/>
    <w:rsid w:val="00080E05"/>
    <w:rsid w:val="00081835"/>
    <w:rsid w:val="00081B66"/>
    <w:rsid w:val="00081BDA"/>
    <w:rsid w:val="000823CB"/>
    <w:rsid w:val="000836A7"/>
    <w:rsid w:val="00084B02"/>
    <w:rsid w:val="00085E61"/>
    <w:rsid w:val="00086CB5"/>
    <w:rsid w:val="00086D8B"/>
    <w:rsid w:val="000877BF"/>
    <w:rsid w:val="0009180B"/>
    <w:rsid w:val="0009239F"/>
    <w:rsid w:val="00093148"/>
    <w:rsid w:val="000932E3"/>
    <w:rsid w:val="00094AD4"/>
    <w:rsid w:val="00096996"/>
    <w:rsid w:val="00097122"/>
    <w:rsid w:val="000974A9"/>
    <w:rsid w:val="00097944"/>
    <w:rsid w:val="00097B16"/>
    <w:rsid w:val="000A010C"/>
    <w:rsid w:val="000A0F9B"/>
    <w:rsid w:val="000A1A1E"/>
    <w:rsid w:val="000A1B7B"/>
    <w:rsid w:val="000A24B8"/>
    <w:rsid w:val="000A31CB"/>
    <w:rsid w:val="000A3969"/>
    <w:rsid w:val="000A7641"/>
    <w:rsid w:val="000B1827"/>
    <w:rsid w:val="000B21AE"/>
    <w:rsid w:val="000B4062"/>
    <w:rsid w:val="000B496D"/>
    <w:rsid w:val="000B5251"/>
    <w:rsid w:val="000B5FBF"/>
    <w:rsid w:val="000B602E"/>
    <w:rsid w:val="000B6D15"/>
    <w:rsid w:val="000C01EB"/>
    <w:rsid w:val="000C0505"/>
    <w:rsid w:val="000C154F"/>
    <w:rsid w:val="000C162F"/>
    <w:rsid w:val="000C2A55"/>
    <w:rsid w:val="000C2EDF"/>
    <w:rsid w:val="000C3D94"/>
    <w:rsid w:val="000C4930"/>
    <w:rsid w:val="000C4A7A"/>
    <w:rsid w:val="000C553B"/>
    <w:rsid w:val="000C6950"/>
    <w:rsid w:val="000D09DC"/>
    <w:rsid w:val="000D2428"/>
    <w:rsid w:val="000D2742"/>
    <w:rsid w:val="000D4BDE"/>
    <w:rsid w:val="000D54C3"/>
    <w:rsid w:val="000D5D51"/>
    <w:rsid w:val="000D5F11"/>
    <w:rsid w:val="000E0478"/>
    <w:rsid w:val="000E0E00"/>
    <w:rsid w:val="000E1982"/>
    <w:rsid w:val="000E1ED7"/>
    <w:rsid w:val="000E2E57"/>
    <w:rsid w:val="000E3774"/>
    <w:rsid w:val="000E4780"/>
    <w:rsid w:val="000E4EEC"/>
    <w:rsid w:val="000E51CA"/>
    <w:rsid w:val="000E65FC"/>
    <w:rsid w:val="000E68D0"/>
    <w:rsid w:val="000E721C"/>
    <w:rsid w:val="000E751D"/>
    <w:rsid w:val="000F0253"/>
    <w:rsid w:val="000F125B"/>
    <w:rsid w:val="000F1C41"/>
    <w:rsid w:val="000F1DE2"/>
    <w:rsid w:val="000F294F"/>
    <w:rsid w:val="000F2CF6"/>
    <w:rsid w:val="000F3149"/>
    <w:rsid w:val="000F3547"/>
    <w:rsid w:val="000F426B"/>
    <w:rsid w:val="000F56DB"/>
    <w:rsid w:val="000F5AA1"/>
    <w:rsid w:val="000F5FC2"/>
    <w:rsid w:val="000F691F"/>
    <w:rsid w:val="0010023B"/>
    <w:rsid w:val="00101012"/>
    <w:rsid w:val="00101FC1"/>
    <w:rsid w:val="00102929"/>
    <w:rsid w:val="00102DAB"/>
    <w:rsid w:val="00103505"/>
    <w:rsid w:val="0010505D"/>
    <w:rsid w:val="00106851"/>
    <w:rsid w:val="00113FAA"/>
    <w:rsid w:val="00114875"/>
    <w:rsid w:val="00114B03"/>
    <w:rsid w:val="0011500D"/>
    <w:rsid w:val="00117277"/>
    <w:rsid w:val="00117FBA"/>
    <w:rsid w:val="0012002D"/>
    <w:rsid w:val="00121223"/>
    <w:rsid w:val="0012148E"/>
    <w:rsid w:val="00121908"/>
    <w:rsid w:val="001224C8"/>
    <w:rsid w:val="00122DBD"/>
    <w:rsid w:val="00123E1E"/>
    <w:rsid w:val="00125373"/>
    <w:rsid w:val="0012586F"/>
    <w:rsid w:val="00127560"/>
    <w:rsid w:val="0013056A"/>
    <w:rsid w:val="0013082B"/>
    <w:rsid w:val="00131C8F"/>
    <w:rsid w:val="001331C5"/>
    <w:rsid w:val="0013591F"/>
    <w:rsid w:val="001374C0"/>
    <w:rsid w:val="00137524"/>
    <w:rsid w:val="00137896"/>
    <w:rsid w:val="00140A78"/>
    <w:rsid w:val="00140E9E"/>
    <w:rsid w:val="00140FDF"/>
    <w:rsid w:val="0014147C"/>
    <w:rsid w:val="001425D5"/>
    <w:rsid w:val="00142B48"/>
    <w:rsid w:val="00143503"/>
    <w:rsid w:val="00143616"/>
    <w:rsid w:val="00144187"/>
    <w:rsid w:val="0014430D"/>
    <w:rsid w:val="00144D42"/>
    <w:rsid w:val="00145A8D"/>
    <w:rsid w:val="00145BAF"/>
    <w:rsid w:val="00146326"/>
    <w:rsid w:val="00146859"/>
    <w:rsid w:val="0014711F"/>
    <w:rsid w:val="00147578"/>
    <w:rsid w:val="00150544"/>
    <w:rsid w:val="001513B6"/>
    <w:rsid w:val="00151C21"/>
    <w:rsid w:val="00152140"/>
    <w:rsid w:val="001521D1"/>
    <w:rsid w:val="00152BB0"/>
    <w:rsid w:val="00153170"/>
    <w:rsid w:val="00154862"/>
    <w:rsid w:val="00154FF7"/>
    <w:rsid w:val="001555D9"/>
    <w:rsid w:val="00156BC6"/>
    <w:rsid w:val="00160633"/>
    <w:rsid w:val="00160990"/>
    <w:rsid w:val="00163783"/>
    <w:rsid w:val="00163E30"/>
    <w:rsid w:val="00164BA1"/>
    <w:rsid w:val="00165110"/>
    <w:rsid w:val="001651DD"/>
    <w:rsid w:val="00165532"/>
    <w:rsid w:val="00165ECC"/>
    <w:rsid w:val="00166754"/>
    <w:rsid w:val="0016750E"/>
    <w:rsid w:val="001679F2"/>
    <w:rsid w:val="00167B95"/>
    <w:rsid w:val="00167EB2"/>
    <w:rsid w:val="00170DC4"/>
    <w:rsid w:val="00171FEB"/>
    <w:rsid w:val="00172274"/>
    <w:rsid w:val="00172411"/>
    <w:rsid w:val="001732E2"/>
    <w:rsid w:val="00174CA2"/>
    <w:rsid w:val="00175C5A"/>
    <w:rsid w:val="001767CE"/>
    <w:rsid w:val="0017729F"/>
    <w:rsid w:val="00177325"/>
    <w:rsid w:val="001776D6"/>
    <w:rsid w:val="00180280"/>
    <w:rsid w:val="00180610"/>
    <w:rsid w:val="0018078B"/>
    <w:rsid w:val="001809F7"/>
    <w:rsid w:val="001812B8"/>
    <w:rsid w:val="0018170A"/>
    <w:rsid w:val="00181804"/>
    <w:rsid w:val="00183EAA"/>
    <w:rsid w:val="00183ED8"/>
    <w:rsid w:val="00184428"/>
    <w:rsid w:val="00184E62"/>
    <w:rsid w:val="00185FCE"/>
    <w:rsid w:val="0018661D"/>
    <w:rsid w:val="001871A7"/>
    <w:rsid w:val="00190AA2"/>
    <w:rsid w:val="00190D60"/>
    <w:rsid w:val="00190E6E"/>
    <w:rsid w:val="001915EC"/>
    <w:rsid w:val="00191A70"/>
    <w:rsid w:val="00192703"/>
    <w:rsid w:val="00192A7E"/>
    <w:rsid w:val="00192DEC"/>
    <w:rsid w:val="0019415B"/>
    <w:rsid w:val="001948BB"/>
    <w:rsid w:val="00195270"/>
    <w:rsid w:val="0019680A"/>
    <w:rsid w:val="001975BB"/>
    <w:rsid w:val="00197CC3"/>
    <w:rsid w:val="001A1841"/>
    <w:rsid w:val="001A1FA2"/>
    <w:rsid w:val="001A3A85"/>
    <w:rsid w:val="001A3AD2"/>
    <w:rsid w:val="001A40BA"/>
    <w:rsid w:val="001A46CD"/>
    <w:rsid w:val="001A4987"/>
    <w:rsid w:val="001A5D02"/>
    <w:rsid w:val="001B02B4"/>
    <w:rsid w:val="001B08AE"/>
    <w:rsid w:val="001B1275"/>
    <w:rsid w:val="001B14E2"/>
    <w:rsid w:val="001B3609"/>
    <w:rsid w:val="001B4693"/>
    <w:rsid w:val="001B6280"/>
    <w:rsid w:val="001B65D1"/>
    <w:rsid w:val="001B6F46"/>
    <w:rsid w:val="001B716B"/>
    <w:rsid w:val="001C0F18"/>
    <w:rsid w:val="001C28B6"/>
    <w:rsid w:val="001C3457"/>
    <w:rsid w:val="001C44A7"/>
    <w:rsid w:val="001C4F49"/>
    <w:rsid w:val="001C5C06"/>
    <w:rsid w:val="001C70DA"/>
    <w:rsid w:val="001C7E99"/>
    <w:rsid w:val="001C7F98"/>
    <w:rsid w:val="001D13E2"/>
    <w:rsid w:val="001D163A"/>
    <w:rsid w:val="001D173A"/>
    <w:rsid w:val="001D18CD"/>
    <w:rsid w:val="001D47BB"/>
    <w:rsid w:val="001D4931"/>
    <w:rsid w:val="001D5A8B"/>
    <w:rsid w:val="001D76FE"/>
    <w:rsid w:val="001D7B72"/>
    <w:rsid w:val="001D7B80"/>
    <w:rsid w:val="001E35C9"/>
    <w:rsid w:val="001E3B4D"/>
    <w:rsid w:val="001E46A5"/>
    <w:rsid w:val="001E4B60"/>
    <w:rsid w:val="001E6228"/>
    <w:rsid w:val="001E71CE"/>
    <w:rsid w:val="001E7442"/>
    <w:rsid w:val="001F082E"/>
    <w:rsid w:val="001F27EC"/>
    <w:rsid w:val="001F2D37"/>
    <w:rsid w:val="001F2DFD"/>
    <w:rsid w:val="001F30F0"/>
    <w:rsid w:val="001F42F3"/>
    <w:rsid w:val="001F59AE"/>
    <w:rsid w:val="001F5EC4"/>
    <w:rsid w:val="001F5F8E"/>
    <w:rsid w:val="001F6055"/>
    <w:rsid w:val="001F6FE4"/>
    <w:rsid w:val="00200246"/>
    <w:rsid w:val="00200E49"/>
    <w:rsid w:val="0020134C"/>
    <w:rsid w:val="00206515"/>
    <w:rsid w:val="00207EB6"/>
    <w:rsid w:val="00211E42"/>
    <w:rsid w:val="00212381"/>
    <w:rsid w:val="00213392"/>
    <w:rsid w:val="00214B2A"/>
    <w:rsid w:val="00216400"/>
    <w:rsid w:val="0021640E"/>
    <w:rsid w:val="00216949"/>
    <w:rsid w:val="00216BF8"/>
    <w:rsid w:val="0022013F"/>
    <w:rsid w:val="00220BE2"/>
    <w:rsid w:val="002211D5"/>
    <w:rsid w:val="0022145E"/>
    <w:rsid w:val="002222F9"/>
    <w:rsid w:val="00222A4A"/>
    <w:rsid w:val="002233C3"/>
    <w:rsid w:val="00223B49"/>
    <w:rsid w:val="00223EEF"/>
    <w:rsid w:val="00223F77"/>
    <w:rsid w:val="00224309"/>
    <w:rsid w:val="00225894"/>
    <w:rsid w:val="00225F91"/>
    <w:rsid w:val="00226A90"/>
    <w:rsid w:val="00226C89"/>
    <w:rsid w:val="00227CC1"/>
    <w:rsid w:val="00230C5F"/>
    <w:rsid w:val="002310CE"/>
    <w:rsid w:val="0023408A"/>
    <w:rsid w:val="002346AD"/>
    <w:rsid w:val="00234BF1"/>
    <w:rsid w:val="00234FA3"/>
    <w:rsid w:val="00236981"/>
    <w:rsid w:val="00237246"/>
    <w:rsid w:val="002412B4"/>
    <w:rsid w:val="002415A0"/>
    <w:rsid w:val="00242913"/>
    <w:rsid w:val="00242AFE"/>
    <w:rsid w:val="00242EA2"/>
    <w:rsid w:val="0024337A"/>
    <w:rsid w:val="0024339F"/>
    <w:rsid w:val="0024640E"/>
    <w:rsid w:val="00246414"/>
    <w:rsid w:val="00246754"/>
    <w:rsid w:val="00247269"/>
    <w:rsid w:val="002501AF"/>
    <w:rsid w:val="002506C6"/>
    <w:rsid w:val="0025181A"/>
    <w:rsid w:val="00251BE5"/>
    <w:rsid w:val="0025229B"/>
    <w:rsid w:val="0025305A"/>
    <w:rsid w:val="002531AD"/>
    <w:rsid w:val="0025323E"/>
    <w:rsid w:val="00253AF9"/>
    <w:rsid w:val="00253D82"/>
    <w:rsid w:val="00254330"/>
    <w:rsid w:val="002543EB"/>
    <w:rsid w:val="00256082"/>
    <w:rsid w:val="002562C9"/>
    <w:rsid w:val="00257AF3"/>
    <w:rsid w:val="00257FEE"/>
    <w:rsid w:val="002602ED"/>
    <w:rsid w:val="00261218"/>
    <w:rsid w:val="00261D83"/>
    <w:rsid w:val="002626EE"/>
    <w:rsid w:val="002637C5"/>
    <w:rsid w:val="002658A6"/>
    <w:rsid w:val="00265EF2"/>
    <w:rsid w:val="0026643E"/>
    <w:rsid w:val="00266888"/>
    <w:rsid w:val="00270151"/>
    <w:rsid w:val="002708C1"/>
    <w:rsid w:val="00270E08"/>
    <w:rsid w:val="00270FF1"/>
    <w:rsid w:val="0027296D"/>
    <w:rsid w:val="002730EF"/>
    <w:rsid w:val="00273269"/>
    <w:rsid w:val="00273D0F"/>
    <w:rsid w:val="0027404B"/>
    <w:rsid w:val="002742A4"/>
    <w:rsid w:val="00280A97"/>
    <w:rsid w:val="00280B49"/>
    <w:rsid w:val="0028158F"/>
    <w:rsid w:val="00282C04"/>
    <w:rsid w:val="00282D4A"/>
    <w:rsid w:val="00283D0D"/>
    <w:rsid w:val="002842B9"/>
    <w:rsid w:val="0028593E"/>
    <w:rsid w:val="00285B0B"/>
    <w:rsid w:val="00285C5F"/>
    <w:rsid w:val="0028701B"/>
    <w:rsid w:val="0028735F"/>
    <w:rsid w:val="00287BA5"/>
    <w:rsid w:val="00291707"/>
    <w:rsid w:val="0029219D"/>
    <w:rsid w:val="00292B79"/>
    <w:rsid w:val="0029381C"/>
    <w:rsid w:val="00293E48"/>
    <w:rsid w:val="00294168"/>
    <w:rsid w:val="00295BC5"/>
    <w:rsid w:val="00296536"/>
    <w:rsid w:val="00297250"/>
    <w:rsid w:val="002976FE"/>
    <w:rsid w:val="00297E41"/>
    <w:rsid w:val="00297FE6"/>
    <w:rsid w:val="002A0BB0"/>
    <w:rsid w:val="002A0FB1"/>
    <w:rsid w:val="002A121E"/>
    <w:rsid w:val="002A17CC"/>
    <w:rsid w:val="002A3656"/>
    <w:rsid w:val="002A3AAA"/>
    <w:rsid w:val="002A40A6"/>
    <w:rsid w:val="002A41DA"/>
    <w:rsid w:val="002A42C7"/>
    <w:rsid w:val="002B191C"/>
    <w:rsid w:val="002B2808"/>
    <w:rsid w:val="002B5942"/>
    <w:rsid w:val="002B59D2"/>
    <w:rsid w:val="002B6DB0"/>
    <w:rsid w:val="002B75E4"/>
    <w:rsid w:val="002B783E"/>
    <w:rsid w:val="002C1B16"/>
    <w:rsid w:val="002C2EBE"/>
    <w:rsid w:val="002C4555"/>
    <w:rsid w:val="002C6EDE"/>
    <w:rsid w:val="002C71C4"/>
    <w:rsid w:val="002C758B"/>
    <w:rsid w:val="002C781E"/>
    <w:rsid w:val="002D00E1"/>
    <w:rsid w:val="002D079E"/>
    <w:rsid w:val="002D08D4"/>
    <w:rsid w:val="002D3D80"/>
    <w:rsid w:val="002D4ABF"/>
    <w:rsid w:val="002D5877"/>
    <w:rsid w:val="002D6092"/>
    <w:rsid w:val="002D73A5"/>
    <w:rsid w:val="002D7995"/>
    <w:rsid w:val="002E46BD"/>
    <w:rsid w:val="002E7167"/>
    <w:rsid w:val="002F0357"/>
    <w:rsid w:val="002F198C"/>
    <w:rsid w:val="002F1ABD"/>
    <w:rsid w:val="002F2BD3"/>
    <w:rsid w:val="002F2FE6"/>
    <w:rsid w:val="002F3014"/>
    <w:rsid w:val="002F3D7C"/>
    <w:rsid w:val="002F51EE"/>
    <w:rsid w:val="002F5358"/>
    <w:rsid w:val="002F576A"/>
    <w:rsid w:val="002F58A8"/>
    <w:rsid w:val="002F6346"/>
    <w:rsid w:val="002F65F1"/>
    <w:rsid w:val="002F68A4"/>
    <w:rsid w:val="002F6BB4"/>
    <w:rsid w:val="002F7715"/>
    <w:rsid w:val="00300A8E"/>
    <w:rsid w:val="003022B3"/>
    <w:rsid w:val="0030303F"/>
    <w:rsid w:val="00303D64"/>
    <w:rsid w:val="00304C87"/>
    <w:rsid w:val="00305F11"/>
    <w:rsid w:val="0030631C"/>
    <w:rsid w:val="00306A7A"/>
    <w:rsid w:val="00312570"/>
    <w:rsid w:val="003127CF"/>
    <w:rsid w:val="00312918"/>
    <w:rsid w:val="00313113"/>
    <w:rsid w:val="00315765"/>
    <w:rsid w:val="00315E2D"/>
    <w:rsid w:val="00316637"/>
    <w:rsid w:val="00320ABA"/>
    <w:rsid w:val="0032314E"/>
    <w:rsid w:val="003253B8"/>
    <w:rsid w:val="00326D82"/>
    <w:rsid w:val="00330DA1"/>
    <w:rsid w:val="003345E1"/>
    <w:rsid w:val="00335BC2"/>
    <w:rsid w:val="00335FBC"/>
    <w:rsid w:val="00336AA2"/>
    <w:rsid w:val="00336BF6"/>
    <w:rsid w:val="00337B54"/>
    <w:rsid w:val="0034073A"/>
    <w:rsid w:val="00340B7D"/>
    <w:rsid w:val="00343FAA"/>
    <w:rsid w:val="0034553D"/>
    <w:rsid w:val="00345A98"/>
    <w:rsid w:val="00345DF7"/>
    <w:rsid w:val="0034722A"/>
    <w:rsid w:val="00351EBC"/>
    <w:rsid w:val="00352AC9"/>
    <w:rsid w:val="00353618"/>
    <w:rsid w:val="00354CFC"/>
    <w:rsid w:val="0035544D"/>
    <w:rsid w:val="00355BC8"/>
    <w:rsid w:val="0035621A"/>
    <w:rsid w:val="0035637A"/>
    <w:rsid w:val="00357300"/>
    <w:rsid w:val="00357ACC"/>
    <w:rsid w:val="00357FA3"/>
    <w:rsid w:val="003602D9"/>
    <w:rsid w:val="003618FC"/>
    <w:rsid w:val="00361DE5"/>
    <w:rsid w:val="00361E6A"/>
    <w:rsid w:val="00363886"/>
    <w:rsid w:val="00364FEB"/>
    <w:rsid w:val="00365064"/>
    <w:rsid w:val="003662D0"/>
    <w:rsid w:val="0037100C"/>
    <w:rsid w:val="0037356A"/>
    <w:rsid w:val="0037413B"/>
    <w:rsid w:val="00374D93"/>
    <w:rsid w:val="003753A4"/>
    <w:rsid w:val="00376050"/>
    <w:rsid w:val="003766D2"/>
    <w:rsid w:val="00376FE9"/>
    <w:rsid w:val="00377040"/>
    <w:rsid w:val="00377300"/>
    <w:rsid w:val="00377F6A"/>
    <w:rsid w:val="00380237"/>
    <w:rsid w:val="003807DF"/>
    <w:rsid w:val="003813A4"/>
    <w:rsid w:val="00381533"/>
    <w:rsid w:val="00381759"/>
    <w:rsid w:val="003818D9"/>
    <w:rsid w:val="00381A68"/>
    <w:rsid w:val="003832B9"/>
    <w:rsid w:val="00383EAC"/>
    <w:rsid w:val="00384F73"/>
    <w:rsid w:val="00385844"/>
    <w:rsid w:val="00386574"/>
    <w:rsid w:val="003866DB"/>
    <w:rsid w:val="00387436"/>
    <w:rsid w:val="00391E6A"/>
    <w:rsid w:val="00392329"/>
    <w:rsid w:val="00392B04"/>
    <w:rsid w:val="00393256"/>
    <w:rsid w:val="00393F3E"/>
    <w:rsid w:val="00394216"/>
    <w:rsid w:val="0039472E"/>
    <w:rsid w:val="0039636F"/>
    <w:rsid w:val="00396BCD"/>
    <w:rsid w:val="00397B8E"/>
    <w:rsid w:val="003A006C"/>
    <w:rsid w:val="003A05D6"/>
    <w:rsid w:val="003A1DE1"/>
    <w:rsid w:val="003A472F"/>
    <w:rsid w:val="003A5338"/>
    <w:rsid w:val="003A60F4"/>
    <w:rsid w:val="003A65E2"/>
    <w:rsid w:val="003A7167"/>
    <w:rsid w:val="003B03F0"/>
    <w:rsid w:val="003B4952"/>
    <w:rsid w:val="003B4F33"/>
    <w:rsid w:val="003B52B2"/>
    <w:rsid w:val="003B6355"/>
    <w:rsid w:val="003B6987"/>
    <w:rsid w:val="003B6C2A"/>
    <w:rsid w:val="003B6F20"/>
    <w:rsid w:val="003B7317"/>
    <w:rsid w:val="003B74CB"/>
    <w:rsid w:val="003C13B7"/>
    <w:rsid w:val="003C14F8"/>
    <w:rsid w:val="003C1DAA"/>
    <w:rsid w:val="003C3ABF"/>
    <w:rsid w:val="003C3ECA"/>
    <w:rsid w:val="003C4094"/>
    <w:rsid w:val="003C6E60"/>
    <w:rsid w:val="003D0CBC"/>
    <w:rsid w:val="003D14C1"/>
    <w:rsid w:val="003D1539"/>
    <w:rsid w:val="003D25E4"/>
    <w:rsid w:val="003D2CAC"/>
    <w:rsid w:val="003D400F"/>
    <w:rsid w:val="003D458B"/>
    <w:rsid w:val="003D4C8D"/>
    <w:rsid w:val="003D73F5"/>
    <w:rsid w:val="003E0E2B"/>
    <w:rsid w:val="003E15CC"/>
    <w:rsid w:val="003E2880"/>
    <w:rsid w:val="003E2886"/>
    <w:rsid w:val="003E2A91"/>
    <w:rsid w:val="003E3E90"/>
    <w:rsid w:val="003E4A79"/>
    <w:rsid w:val="003E64B9"/>
    <w:rsid w:val="003E67A9"/>
    <w:rsid w:val="003E6C2C"/>
    <w:rsid w:val="003F015F"/>
    <w:rsid w:val="003F123C"/>
    <w:rsid w:val="003F4730"/>
    <w:rsid w:val="003F4C04"/>
    <w:rsid w:val="003F6C1E"/>
    <w:rsid w:val="003F6F0B"/>
    <w:rsid w:val="003F760D"/>
    <w:rsid w:val="003F7B2A"/>
    <w:rsid w:val="003F7FBC"/>
    <w:rsid w:val="0040000E"/>
    <w:rsid w:val="004015C8"/>
    <w:rsid w:val="00401AF6"/>
    <w:rsid w:val="00401BF7"/>
    <w:rsid w:val="00403EE3"/>
    <w:rsid w:val="004040DD"/>
    <w:rsid w:val="00407257"/>
    <w:rsid w:val="004078CF"/>
    <w:rsid w:val="00407B9A"/>
    <w:rsid w:val="00410528"/>
    <w:rsid w:val="004123DE"/>
    <w:rsid w:val="00414EBA"/>
    <w:rsid w:val="00415FA2"/>
    <w:rsid w:val="00420397"/>
    <w:rsid w:val="00420BD5"/>
    <w:rsid w:val="00422471"/>
    <w:rsid w:val="004224D8"/>
    <w:rsid w:val="00422AAD"/>
    <w:rsid w:val="004235AC"/>
    <w:rsid w:val="00423C6B"/>
    <w:rsid w:val="0042560A"/>
    <w:rsid w:val="004260F3"/>
    <w:rsid w:val="0042615D"/>
    <w:rsid w:val="004304B3"/>
    <w:rsid w:val="004306CD"/>
    <w:rsid w:val="004309DF"/>
    <w:rsid w:val="004338F4"/>
    <w:rsid w:val="00436F7A"/>
    <w:rsid w:val="004379A1"/>
    <w:rsid w:val="00437C94"/>
    <w:rsid w:val="004420D5"/>
    <w:rsid w:val="004436D6"/>
    <w:rsid w:val="00444F60"/>
    <w:rsid w:val="0044508B"/>
    <w:rsid w:val="00445495"/>
    <w:rsid w:val="00446712"/>
    <w:rsid w:val="00447A57"/>
    <w:rsid w:val="00447AA2"/>
    <w:rsid w:val="00450021"/>
    <w:rsid w:val="00450C5C"/>
    <w:rsid w:val="004553CD"/>
    <w:rsid w:val="00456A7F"/>
    <w:rsid w:val="00456FF4"/>
    <w:rsid w:val="0045727D"/>
    <w:rsid w:val="00457465"/>
    <w:rsid w:val="004604DB"/>
    <w:rsid w:val="00460D88"/>
    <w:rsid w:val="00461CDE"/>
    <w:rsid w:val="00461F84"/>
    <w:rsid w:val="00462CFF"/>
    <w:rsid w:val="0046339F"/>
    <w:rsid w:val="00463C1C"/>
    <w:rsid w:val="00464AA2"/>
    <w:rsid w:val="0046548F"/>
    <w:rsid w:val="00466B68"/>
    <w:rsid w:val="00470997"/>
    <w:rsid w:val="00470F02"/>
    <w:rsid w:val="004717E4"/>
    <w:rsid w:val="00471FAB"/>
    <w:rsid w:val="0047357D"/>
    <w:rsid w:val="00473694"/>
    <w:rsid w:val="004736E6"/>
    <w:rsid w:val="00473E58"/>
    <w:rsid w:val="00474D42"/>
    <w:rsid w:val="004755F1"/>
    <w:rsid w:val="0047603F"/>
    <w:rsid w:val="004764CC"/>
    <w:rsid w:val="00476B84"/>
    <w:rsid w:val="00477027"/>
    <w:rsid w:val="00483BE6"/>
    <w:rsid w:val="00483CD1"/>
    <w:rsid w:val="004850CA"/>
    <w:rsid w:val="004854BB"/>
    <w:rsid w:val="00486A59"/>
    <w:rsid w:val="00487F35"/>
    <w:rsid w:val="0049109A"/>
    <w:rsid w:val="004912AC"/>
    <w:rsid w:val="0049151E"/>
    <w:rsid w:val="00491F29"/>
    <w:rsid w:val="0049267B"/>
    <w:rsid w:val="0049348F"/>
    <w:rsid w:val="004A027E"/>
    <w:rsid w:val="004A0F06"/>
    <w:rsid w:val="004A1144"/>
    <w:rsid w:val="004A1258"/>
    <w:rsid w:val="004A2CF8"/>
    <w:rsid w:val="004A37F2"/>
    <w:rsid w:val="004A4D2A"/>
    <w:rsid w:val="004A5790"/>
    <w:rsid w:val="004A5AAC"/>
    <w:rsid w:val="004A685D"/>
    <w:rsid w:val="004A7ADF"/>
    <w:rsid w:val="004A7FC1"/>
    <w:rsid w:val="004B0210"/>
    <w:rsid w:val="004B0409"/>
    <w:rsid w:val="004B1F6D"/>
    <w:rsid w:val="004B2221"/>
    <w:rsid w:val="004B48AC"/>
    <w:rsid w:val="004B4EB3"/>
    <w:rsid w:val="004B537A"/>
    <w:rsid w:val="004B69D5"/>
    <w:rsid w:val="004B6BDB"/>
    <w:rsid w:val="004B72A9"/>
    <w:rsid w:val="004B77B9"/>
    <w:rsid w:val="004C090B"/>
    <w:rsid w:val="004C1FF6"/>
    <w:rsid w:val="004C287A"/>
    <w:rsid w:val="004C2D34"/>
    <w:rsid w:val="004C2E23"/>
    <w:rsid w:val="004C3D0D"/>
    <w:rsid w:val="004C4361"/>
    <w:rsid w:val="004C4385"/>
    <w:rsid w:val="004C56E1"/>
    <w:rsid w:val="004C5DD0"/>
    <w:rsid w:val="004C7B9F"/>
    <w:rsid w:val="004D04FD"/>
    <w:rsid w:val="004D10C5"/>
    <w:rsid w:val="004D18C5"/>
    <w:rsid w:val="004D1D5B"/>
    <w:rsid w:val="004D1DD7"/>
    <w:rsid w:val="004D23AF"/>
    <w:rsid w:val="004D2632"/>
    <w:rsid w:val="004D284A"/>
    <w:rsid w:val="004D2928"/>
    <w:rsid w:val="004D394C"/>
    <w:rsid w:val="004D434A"/>
    <w:rsid w:val="004D49F0"/>
    <w:rsid w:val="004D4AED"/>
    <w:rsid w:val="004D4BB6"/>
    <w:rsid w:val="004D5CFC"/>
    <w:rsid w:val="004D742D"/>
    <w:rsid w:val="004D7B6A"/>
    <w:rsid w:val="004E0E09"/>
    <w:rsid w:val="004E18FC"/>
    <w:rsid w:val="004E218B"/>
    <w:rsid w:val="004E5136"/>
    <w:rsid w:val="004E56B9"/>
    <w:rsid w:val="004E5F62"/>
    <w:rsid w:val="004E6766"/>
    <w:rsid w:val="004E6E6B"/>
    <w:rsid w:val="004E7D7E"/>
    <w:rsid w:val="004F01F3"/>
    <w:rsid w:val="004F1A8C"/>
    <w:rsid w:val="004F1C6C"/>
    <w:rsid w:val="004F1DA5"/>
    <w:rsid w:val="004F27BA"/>
    <w:rsid w:val="004F4594"/>
    <w:rsid w:val="004F5496"/>
    <w:rsid w:val="004F55B8"/>
    <w:rsid w:val="004F591E"/>
    <w:rsid w:val="004F5A23"/>
    <w:rsid w:val="004F766B"/>
    <w:rsid w:val="004F7BF1"/>
    <w:rsid w:val="005002D5"/>
    <w:rsid w:val="00500A4E"/>
    <w:rsid w:val="00500C82"/>
    <w:rsid w:val="0050186B"/>
    <w:rsid w:val="00501935"/>
    <w:rsid w:val="0050312D"/>
    <w:rsid w:val="00504285"/>
    <w:rsid w:val="00505633"/>
    <w:rsid w:val="005059C1"/>
    <w:rsid w:val="00505D8D"/>
    <w:rsid w:val="0050614D"/>
    <w:rsid w:val="0051039B"/>
    <w:rsid w:val="00510EF1"/>
    <w:rsid w:val="00511626"/>
    <w:rsid w:val="00511F23"/>
    <w:rsid w:val="00513338"/>
    <w:rsid w:val="00513FE2"/>
    <w:rsid w:val="00514188"/>
    <w:rsid w:val="00515DE3"/>
    <w:rsid w:val="00515F0D"/>
    <w:rsid w:val="0051624D"/>
    <w:rsid w:val="00516E8A"/>
    <w:rsid w:val="00520489"/>
    <w:rsid w:val="00520EA4"/>
    <w:rsid w:val="00521CC2"/>
    <w:rsid w:val="00522DB4"/>
    <w:rsid w:val="00522FDF"/>
    <w:rsid w:val="00523A60"/>
    <w:rsid w:val="00523F49"/>
    <w:rsid w:val="00525A18"/>
    <w:rsid w:val="00525C89"/>
    <w:rsid w:val="00527E87"/>
    <w:rsid w:val="00530598"/>
    <w:rsid w:val="005312C5"/>
    <w:rsid w:val="00531DB0"/>
    <w:rsid w:val="005348DA"/>
    <w:rsid w:val="005350B0"/>
    <w:rsid w:val="005361EA"/>
    <w:rsid w:val="0053720D"/>
    <w:rsid w:val="00542208"/>
    <w:rsid w:val="00543A88"/>
    <w:rsid w:val="0054410C"/>
    <w:rsid w:val="00545A3F"/>
    <w:rsid w:val="00547DB7"/>
    <w:rsid w:val="00550027"/>
    <w:rsid w:val="00551309"/>
    <w:rsid w:val="005515C6"/>
    <w:rsid w:val="00553210"/>
    <w:rsid w:val="00553BA8"/>
    <w:rsid w:val="00553EC9"/>
    <w:rsid w:val="005542FD"/>
    <w:rsid w:val="00554EE6"/>
    <w:rsid w:val="00555C67"/>
    <w:rsid w:val="00555EEE"/>
    <w:rsid w:val="00556AF9"/>
    <w:rsid w:val="00556F0C"/>
    <w:rsid w:val="00557422"/>
    <w:rsid w:val="00557E93"/>
    <w:rsid w:val="00560542"/>
    <w:rsid w:val="00560AA0"/>
    <w:rsid w:val="00561EB1"/>
    <w:rsid w:val="00562DD3"/>
    <w:rsid w:val="00563E41"/>
    <w:rsid w:val="0056463B"/>
    <w:rsid w:val="00564B23"/>
    <w:rsid w:val="00564FB7"/>
    <w:rsid w:val="00566666"/>
    <w:rsid w:val="00567374"/>
    <w:rsid w:val="005675F1"/>
    <w:rsid w:val="00567E63"/>
    <w:rsid w:val="005705FA"/>
    <w:rsid w:val="00570F08"/>
    <w:rsid w:val="005718C8"/>
    <w:rsid w:val="0057434B"/>
    <w:rsid w:val="00574D47"/>
    <w:rsid w:val="00574DB6"/>
    <w:rsid w:val="00575341"/>
    <w:rsid w:val="005761D8"/>
    <w:rsid w:val="00577139"/>
    <w:rsid w:val="005772E8"/>
    <w:rsid w:val="00577D0D"/>
    <w:rsid w:val="0058064B"/>
    <w:rsid w:val="0058105B"/>
    <w:rsid w:val="00584642"/>
    <w:rsid w:val="00585190"/>
    <w:rsid w:val="005854D7"/>
    <w:rsid w:val="00586A9E"/>
    <w:rsid w:val="00586C37"/>
    <w:rsid w:val="00591ACA"/>
    <w:rsid w:val="0059222C"/>
    <w:rsid w:val="00592792"/>
    <w:rsid w:val="005943A3"/>
    <w:rsid w:val="00596327"/>
    <w:rsid w:val="00596A16"/>
    <w:rsid w:val="005970A9"/>
    <w:rsid w:val="005971DD"/>
    <w:rsid w:val="00597FD9"/>
    <w:rsid w:val="005A1151"/>
    <w:rsid w:val="005A19E6"/>
    <w:rsid w:val="005A1A30"/>
    <w:rsid w:val="005A2262"/>
    <w:rsid w:val="005A2930"/>
    <w:rsid w:val="005A2E7D"/>
    <w:rsid w:val="005A36C6"/>
    <w:rsid w:val="005A3BE0"/>
    <w:rsid w:val="005A4932"/>
    <w:rsid w:val="005A5275"/>
    <w:rsid w:val="005A5394"/>
    <w:rsid w:val="005A5F2C"/>
    <w:rsid w:val="005A7BF1"/>
    <w:rsid w:val="005B10FF"/>
    <w:rsid w:val="005B5707"/>
    <w:rsid w:val="005B5BC9"/>
    <w:rsid w:val="005B5EFB"/>
    <w:rsid w:val="005B6B96"/>
    <w:rsid w:val="005B7084"/>
    <w:rsid w:val="005B71DC"/>
    <w:rsid w:val="005C1453"/>
    <w:rsid w:val="005C2026"/>
    <w:rsid w:val="005C28B1"/>
    <w:rsid w:val="005C2AE1"/>
    <w:rsid w:val="005C2E16"/>
    <w:rsid w:val="005C7118"/>
    <w:rsid w:val="005C77C6"/>
    <w:rsid w:val="005D0095"/>
    <w:rsid w:val="005D0343"/>
    <w:rsid w:val="005D3419"/>
    <w:rsid w:val="005D37B0"/>
    <w:rsid w:val="005D55D5"/>
    <w:rsid w:val="005D638F"/>
    <w:rsid w:val="005D718A"/>
    <w:rsid w:val="005D73F6"/>
    <w:rsid w:val="005E10E2"/>
    <w:rsid w:val="005E2DCA"/>
    <w:rsid w:val="005E434C"/>
    <w:rsid w:val="005E542D"/>
    <w:rsid w:val="005E5D0E"/>
    <w:rsid w:val="005E5ECA"/>
    <w:rsid w:val="005F076A"/>
    <w:rsid w:val="005F1772"/>
    <w:rsid w:val="005F21FF"/>
    <w:rsid w:val="005F2B7D"/>
    <w:rsid w:val="005F2E38"/>
    <w:rsid w:val="005F4673"/>
    <w:rsid w:val="005F6AF2"/>
    <w:rsid w:val="00600915"/>
    <w:rsid w:val="00600A11"/>
    <w:rsid w:val="00601C86"/>
    <w:rsid w:val="00602673"/>
    <w:rsid w:val="006046DC"/>
    <w:rsid w:val="00604B71"/>
    <w:rsid w:val="00605CD8"/>
    <w:rsid w:val="0060636D"/>
    <w:rsid w:val="00607189"/>
    <w:rsid w:val="00607F9C"/>
    <w:rsid w:val="00610799"/>
    <w:rsid w:val="006116D2"/>
    <w:rsid w:val="00611D0E"/>
    <w:rsid w:val="00612473"/>
    <w:rsid w:val="00612693"/>
    <w:rsid w:val="006131EE"/>
    <w:rsid w:val="0061382F"/>
    <w:rsid w:val="00613AC8"/>
    <w:rsid w:val="0061635B"/>
    <w:rsid w:val="006166E9"/>
    <w:rsid w:val="00617314"/>
    <w:rsid w:val="00620120"/>
    <w:rsid w:val="006203E3"/>
    <w:rsid w:val="00621258"/>
    <w:rsid w:val="006217E8"/>
    <w:rsid w:val="006219D8"/>
    <w:rsid w:val="00622274"/>
    <w:rsid w:val="00622AA1"/>
    <w:rsid w:val="00622C0D"/>
    <w:rsid w:val="00622DB3"/>
    <w:rsid w:val="00623351"/>
    <w:rsid w:val="00623FD7"/>
    <w:rsid w:val="00624B7E"/>
    <w:rsid w:val="00625D1F"/>
    <w:rsid w:val="00626469"/>
    <w:rsid w:val="00626AA8"/>
    <w:rsid w:val="00627AD7"/>
    <w:rsid w:val="00627F01"/>
    <w:rsid w:val="00630A84"/>
    <w:rsid w:val="0063279D"/>
    <w:rsid w:val="00632875"/>
    <w:rsid w:val="00633705"/>
    <w:rsid w:val="006338B3"/>
    <w:rsid w:val="0063410F"/>
    <w:rsid w:val="00634E7F"/>
    <w:rsid w:val="006364E0"/>
    <w:rsid w:val="0063791E"/>
    <w:rsid w:val="00637B52"/>
    <w:rsid w:val="00640D76"/>
    <w:rsid w:val="006421EB"/>
    <w:rsid w:val="00642E85"/>
    <w:rsid w:val="006437A8"/>
    <w:rsid w:val="00643C09"/>
    <w:rsid w:val="00644F53"/>
    <w:rsid w:val="00644FE3"/>
    <w:rsid w:val="0064634E"/>
    <w:rsid w:val="0064703B"/>
    <w:rsid w:val="00650165"/>
    <w:rsid w:val="006503FF"/>
    <w:rsid w:val="0065073D"/>
    <w:rsid w:val="00650F0A"/>
    <w:rsid w:val="00652316"/>
    <w:rsid w:val="006526C6"/>
    <w:rsid w:val="0065539A"/>
    <w:rsid w:val="006554EA"/>
    <w:rsid w:val="006555B6"/>
    <w:rsid w:val="006568E9"/>
    <w:rsid w:val="00662A24"/>
    <w:rsid w:val="00663E2D"/>
    <w:rsid w:val="00665627"/>
    <w:rsid w:val="00666134"/>
    <w:rsid w:val="00666902"/>
    <w:rsid w:val="00666A90"/>
    <w:rsid w:val="00667876"/>
    <w:rsid w:val="00667AC5"/>
    <w:rsid w:val="00671357"/>
    <w:rsid w:val="00671CC4"/>
    <w:rsid w:val="006735DA"/>
    <w:rsid w:val="006743E9"/>
    <w:rsid w:val="00674AB7"/>
    <w:rsid w:val="00674F9F"/>
    <w:rsid w:val="00675307"/>
    <w:rsid w:val="00675BB4"/>
    <w:rsid w:val="006766C3"/>
    <w:rsid w:val="0067699C"/>
    <w:rsid w:val="006769BE"/>
    <w:rsid w:val="00676CB1"/>
    <w:rsid w:val="00677084"/>
    <w:rsid w:val="006771B9"/>
    <w:rsid w:val="006814C7"/>
    <w:rsid w:val="00681A7C"/>
    <w:rsid w:val="00682FD0"/>
    <w:rsid w:val="00684378"/>
    <w:rsid w:val="00686BF2"/>
    <w:rsid w:val="0068775E"/>
    <w:rsid w:val="00687FA0"/>
    <w:rsid w:val="006939BB"/>
    <w:rsid w:val="00693D45"/>
    <w:rsid w:val="00695442"/>
    <w:rsid w:val="0069564E"/>
    <w:rsid w:val="00695C57"/>
    <w:rsid w:val="006964F9"/>
    <w:rsid w:val="00696938"/>
    <w:rsid w:val="006A04DB"/>
    <w:rsid w:val="006A0656"/>
    <w:rsid w:val="006A0B41"/>
    <w:rsid w:val="006A1157"/>
    <w:rsid w:val="006A1C7D"/>
    <w:rsid w:val="006A2C7B"/>
    <w:rsid w:val="006A4F0D"/>
    <w:rsid w:val="006A60E5"/>
    <w:rsid w:val="006B06BB"/>
    <w:rsid w:val="006B1074"/>
    <w:rsid w:val="006B1A3F"/>
    <w:rsid w:val="006B255F"/>
    <w:rsid w:val="006B2641"/>
    <w:rsid w:val="006B2B6B"/>
    <w:rsid w:val="006B33AB"/>
    <w:rsid w:val="006B44B9"/>
    <w:rsid w:val="006B4E72"/>
    <w:rsid w:val="006B4FC3"/>
    <w:rsid w:val="006B5104"/>
    <w:rsid w:val="006B57B1"/>
    <w:rsid w:val="006B5978"/>
    <w:rsid w:val="006B5AD6"/>
    <w:rsid w:val="006B5FDD"/>
    <w:rsid w:val="006C0519"/>
    <w:rsid w:val="006C0F55"/>
    <w:rsid w:val="006C19E0"/>
    <w:rsid w:val="006C351E"/>
    <w:rsid w:val="006C3A4B"/>
    <w:rsid w:val="006C3CDD"/>
    <w:rsid w:val="006C5C92"/>
    <w:rsid w:val="006D0221"/>
    <w:rsid w:val="006D0D28"/>
    <w:rsid w:val="006D0F47"/>
    <w:rsid w:val="006D1D29"/>
    <w:rsid w:val="006D243B"/>
    <w:rsid w:val="006D28CC"/>
    <w:rsid w:val="006D3430"/>
    <w:rsid w:val="006D38DA"/>
    <w:rsid w:val="006D3A8B"/>
    <w:rsid w:val="006D5208"/>
    <w:rsid w:val="006D5C04"/>
    <w:rsid w:val="006D6E0A"/>
    <w:rsid w:val="006E08F5"/>
    <w:rsid w:val="006E0948"/>
    <w:rsid w:val="006E097A"/>
    <w:rsid w:val="006E18B5"/>
    <w:rsid w:val="006E2081"/>
    <w:rsid w:val="006E2D25"/>
    <w:rsid w:val="006E2FB0"/>
    <w:rsid w:val="006E3736"/>
    <w:rsid w:val="006E3C69"/>
    <w:rsid w:val="006E685D"/>
    <w:rsid w:val="006E7E64"/>
    <w:rsid w:val="006F029A"/>
    <w:rsid w:val="006F042C"/>
    <w:rsid w:val="006F3066"/>
    <w:rsid w:val="006F32E0"/>
    <w:rsid w:val="006F34EA"/>
    <w:rsid w:val="006F3952"/>
    <w:rsid w:val="006F45E6"/>
    <w:rsid w:val="006F49F0"/>
    <w:rsid w:val="006F4E00"/>
    <w:rsid w:val="006F522A"/>
    <w:rsid w:val="006F5CA9"/>
    <w:rsid w:val="006F6844"/>
    <w:rsid w:val="006F6B0C"/>
    <w:rsid w:val="006F6F99"/>
    <w:rsid w:val="006F7417"/>
    <w:rsid w:val="00700D63"/>
    <w:rsid w:val="00701248"/>
    <w:rsid w:val="0070159E"/>
    <w:rsid w:val="00701D63"/>
    <w:rsid w:val="00701FD4"/>
    <w:rsid w:val="00702009"/>
    <w:rsid w:val="00702C17"/>
    <w:rsid w:val="00703579"/>
    <w:rsid w:val="00703B91"/>
    <w:rsid w:val="00705DC1"/>
    <w:rsid w:val="00706CD6"/>
    <w:rsid w:val="00706E34"/>
    <w:rsid w:val="0071093D"/>
    <w:rsid w:val="00710F4E"/>
    <w:rsid w:val="00711612"/>
    <w:rsid w:val="0071245E"/>
    <w:rsid w:val="00712BE5"/>
    <w:rsid w:val="00713E19"/>
    <w:rsid w:val="007151CF"/>
    <w:rsid w:val="00715476"/>
    <w:rsid w:val="00716311"/>
    <w:rsid w:val="00716F2E"/>
    <w:rsid w:val="0071721A"/>
    <w:rsid w:val="007210B4"/>
    <w:rsid w:val="0072323E"/>
    <w:rsid w:val="00723369"/>
    <w:rsid w:val="00725481"/>
    <w:rsid w:val="00726487"/>
    <w:rsid w:val="00726ECE"/>
    <w:rsid w:val="00726F29"/>
    <w:rsid w:val="00727374"/>
    <w:rsid w:val="007278FA"/>
    <w:rsid w:val="0073136B"/>
    <w:rsid w:val="00731A80"/>
    <w:rsid w:val="007331D0"/>
    <w:rsid w:val="00734703"/>
    <w:rsid w:val="00734E92"/>
    <w:rsid w:val="00734F6B"/>
    <w:rsid w:val="007367DF"/>
    <w:rsid w:val="007372C7"/>
    <w:rsid w:val="007373D0"/>
    <w:rsid w:val="00737B43"/>
    <w:rsid w:val="007400E0"/>
    <w:rsid w:val="00741163"/>
    <w:rsid w:val="00741A40"/>
    <w:rsid w:val="00742703"/>
    <w:rsid w:val="00743E26"/>
    <w:rsid w:val="0074466E"/>
    <w:rsid w:val="00744B47"/>
    <w:rsid w:val="00744C79"/>
    <w:rsid w:val="00744D15"/>
    <w:rsid w:val="00745890"/>
    <w:rsid w:val="00747376"/>
    <w:rsid w:val="00754361"/>
    <w:rsid w:val="0075542C"/>
    <w:rsid w:val="0076014B"/>
    <w:rsid w:val="0076076E"/>
    <w:rsid w:val="00760B48"/>
    <w:rsid w:val="007616A5"/>
    <w:rsid w:val="00761A36"/>
    <w:rsid w:val="00762976"/>
    <w:rsid w:val="00762E79"/>
    <w:rsid w:val="00762E94"/>
    <w:rsid w:val="00763095"/>
    <w:rsid w:val="007659EC"/>
    <w:rsid w:val="00766ED7"/>
    <w:rsid w:val="00767B21"/>
    <w:rsid w:val="00770E00"/>
    <w:rsid w:val="00771F16"/>
    <w:rsid w:val="00771F4E"/>
    <w:rsid w:val="007725B2"/>
    <w:rsid w:val="0077412D"/>
    <w:rsid w:val="007747F2"/>
    <w:rsid w:val="00775CD9"/>
    <w:rsid w:val="00776C4D"/>
    <w:rsid w:val="00777549"/>
    <w:rsid w:val="007804D0"/>
    <w:rsid w:val="00780F76"/>
    <w:rsid w:val="00781CA2"/>
    <w:rsid w:val="007823FE"/>
    <w:rsid w:val="0078294C"/>
    <w:rsid w:val="00782B79"/>
    <w:rsid w:val="0078369F"/>
    <w:rsid w:val="007839C2"/>
    <w:rsid w:val="0078407D"/>
    <w:rsid w:val="00785936"/>
    <w:rsid w:val="00785A53"/>
    <w:rsid w:val="00785E2F"/>
    <w:rsid w:val="0078634B"/>
    <w:rsid w:val="00786D85"/>
    <w:rsid w:val="007873DF"/>
    <w:rsid w:val="007903BB"/>
    <w:rsid w:val="00790420"/>
    <w:rsid w:val="00794AD2"/>
    <w:rsid w:val="00795AB4"/>
    <w:rsid w:val="00797006"/>
    <w:rsid w:val="00797035"/>
    <w:rsid w:val="00797F40"/>
    <w:rsid w:val="007A280F"/>
    <w:rsid w:val="007A2D85"/>
    <w:rsid w:val="007A3834"/>
    <w:rsid w:val="007A3B7F"/>
    <w:rsid w:val="007A3FA8"/>
    <w:rsid w:val="007A6230"/>
    <w:rsid w:val="007A684D"/>
    <w:rsid w:val="007B08DD"/>
    <w:rsid w:val="007B197D"/>
    <w:rsid w:val="007B22C3"/>
    <w:rsid w:val="007B2953"/>
    <w:rsid w:val="007B2CE7"/>
    <w:rsid w:val="007B37C5"/>
    <w:rsid w:val="007B423D"/>
    <w:rsid w:val="007B53D2"/>
    <w:rsid w:val="007B5770"/>
    <w:rsid w:val="007B596A"/>
    <w:rsid w:val="007B758A"/>
    <w:rsid w:val="007C0651"/>
    <w:rsid w:val="007C0F17"/>
    <w:rsid w:val="007C219E"/>
    <w:rsid w:val="007C34C6"/>
    <w:rsid w:val="007C42D8"/>
    <w:rsid w:val="007C7983"/>
    <w:rsid w:val="007D078E"/>
    <w:rsid w:val="007D12CB"/>
    <w:rsid w:val="007D2079"/>
    <w:rsid w:val="007D28C7"/>
    <w:rsid w:val="007D2C9B"/>
    <w:rsid w:val="007D3599"/>
    <w:rsid w:val="007D3F25"/>
    <w:rsid w:val="007D424E"/>
    <w:rsid w:val="007D4422"/>
    <w:rsid w:val="007D4ED8"/>
    <w:rsid w:val="007D7212"/>
    <w:rsid w:val="007D7B8A"/>
    <w:rsid w:val="007E3D11"/>
    <w:rsid w:val="007E5D92"/>
    <w:rsid w:val="007E7AFC"/>
    <w:rsid w:val="007E7E54"/>
    <w:rsid w:val="007F13F1"/>
    <w:rsid w:val="007F1FB6"/>
    <w:rsid w:val="007F2A01"/>
    <w:rsid w:val="007F2E56"/>
    <w:rsid w:val="007F2EF1"/>
    <w:rsid w:val="007F37AA"/>
    <w:rsid w:val="007F4AFB"/>
    <w:rsid w:val="007F6AD7"/>
    <w:rsid w:val="007F6FD4"/>
    <w:rsid w:val="00800903"/>
    <w:rsid w:val="00801345"/>
    <w:rsid w:val="00802520"/>
    <w:rsid w:val="00805698"/>
    <w:rsid w:val="00805826"/>
    <w:rsid w:val="008064E4"/>
    <w:rsid w:val="008067DB"/>
    <w:rsid w:val="00812CB2"/>
    <w:rsid w:val="00813337"/>
    <w:rsid w:val="008133EF"/>
    <w:rsid w:val="00814495"/>
    <w:rsid w:val="00814790"/>
    <w:rsid w:val="00815986"/>
    <w:rsid w:val="00816E4A"/>
    <w:rsid w:val="00817246"/>
    <w:rsid w:val="00820732"/>
    <w:rsid w:val="00821448"/>
    <w:rsid w:val="00823008"/>
    <w:rsid w:val="00823BD6"/>
    <w:rsid w:val="00823E80"/>
    <w:rsid w:val="008251A0"/>
    <w:rsid w:val="0082610F"/>
    <w:rsid w:val="00827281"/>
    <w:rsid w:val="00830041"/>
    <w:rsid w:val="00830D5D"/>
    <w:rsid w:val="00831E53"/>
    <w:rsid w:val="00832FDF"/>
    <w:rsid w:val="008339C5"/>
    <w:rsid w:val="00833F81"/>
    <w:rsid w:val="008344C9"/>
    <w:rsid w:val="00834E2B"/>
    <w:rsid w:val="00835046"/>
    <w:rsid w:val="00835171"/>
    <w:rsid w:val="00835E0E"/>
    <w:rsid w:val="008361DE"/>
    <w:rsid w:val="008367B5"/>
    <w:rsid w:val="008374BE"/>
    <w:rsid w:val="00837D86"/>
    <w:rsid w:val="0084282C"/>
    <w:rsid w:val="00842921"/>
    <w:rsid w:val="00843850"/>
    <w:rsid w:val="00844FB6"/>
    <w:rsid w:val="00845942"/>
    <w:rsid w:val="00846CFB"/>
    <w:rsid w:val="0084729D"/>
    <w:rsid w:val="00847338"/>
    <w:rsid w:val="00847426"/>
    <w:rsid w:val="008475E4"/>
    <w:rsid w:val="00850B64"/>
    <w:rsid w:val="008529B3"/>
    <w:rsid w:val="00854310"/>
    <w:rsid w:val="00854A72"/>
    <w:rsid w:val="008552D9"/>
    <w:rsid w:val="0085549A"/>
    <w:rsid w:val="00855C5E"/>
    <w:rsid w:val="00857927"/>
    <w:rsid w:val="00857AFB"/>
    <w:rsid w:val="00857B85"/>
    <w:rsid w:val="00857FEA"/>
    <w:rsid w:val="00862FF1"/>
    <w:rsid w:val="00864BB3"/>
    <w:rsid w:val="00864D2E"/>
    <w:rsid w:val="00864E0B"/>
    <w:rsid w:val="00864F6C"/>
    <w:rsid w:val="008657FB"/>
    <w:rsid w:val="008722D8"/>
    <w:rsid w:val="00873280"/>
    <w:rsid w:val="00873DA8"/>
    <w:rsid w:val="00873E5C"/>
    <w:rsid w:val="008742E5"/>
    <w:rsid w:val="00874A5A"/>
    <w:rsid w:val="00874CC6"/>
    <w:rsid w:val="0087504D"/>
    <w:rsid w:val="008751A5"/>
    <w:rsid w:val="00875692"/>
    <w:rsid w:val="008756F3"/>
    <w:rsid w:val="00875F06"/>
    <w:rsid w:val="00876AC5"/>
    <w:rsid w:val="008779D6"/>
    <w:rsid w:val="00882447"/>
    <w:rsid w:val="00882BDC"/>
    <w:rsid w:val="00882E40"/>
    <w:rsid w:val="0088323B"/>
    <w:rsid w:val="00883856"/>
    <w:rsid w:val="00883F3D"/>
    <w:rsid w:val="008851F2"/>
    <w:rsid w:val="00885286"/>
    <w:rsid w:val="00885897"/>
    <w:rsid w:val="00886D3B"/>
    <w:rsid w:val="00886D69"/>
    <w:rsid w:val="008873EB"/>
    <w:rsid w:val="008879FB"/>
    <w:rsid w:val="0089006B"/>
    <w:rsid w:val="008901D1"/>
    <w:rsid w:val="0089093B"/>
    <w:rsid w:val="00891570"/>
    <w:rsid w:val="008930C2"/>
    <w:rsid w:val="00893162"/>
    <w:rsid w:val="008948D9"/>
    <w:rsid w:val="00895553"/>
    <w:rsid w:val="008973C5"/>
    <w:rsid w:val="008973DC"/>
    <w:rsid w:val="00897B2D"/>
    <w:rsid w:val="008A0E21"/>
    <w:rsid w:val="008A1BF3"/>
    <w:rsid w:val="008A32F7"/>
    <w:rsid w:val="008A360E"/>
    <w:rsid w:val="008A41E9"/>
    <w:rsid w:val="008A4BC4"/>
    <w:rsid w:val="008A4E77"/>
    <w:rsid w:val="008A5A11"/>
    <w:rsid w:val="008A5EA0"/>
    <w:rsid w:val="008A5ED7"/>
    <w:rsid w:val="008A6AA4"/>
    <w:rsid w:val="008A6C27"/>
    <w:rsid w:val="008A6F7B"/>
    <w:rsid w:val="008A7114"/>
    <w:rsid w:val="008A7A4D"/>
    <w:rsid w:val="008B039E"/>
    <w:rsid w:val="008B0F91"/>
    <w:rsid w:val="008B10C5"/>
    <w:rsid w:val="008B1E73"/>
    <w:rsid w:val="008B21C1"/>
    <w:rsid w:val="008B2A07"/>
    <w:rsid w:val="008B2B4B"/>
    <w:rsid w:val="008B446D"/>
    <w:rsid w:val="008B4633"/>
    <w:rsid w:val="008B485E"/>
    <w:rsid w:val="008B5399"/>
    <w:rsid w:val="008B6008"/>
    <w:rsid w:val="008B61D7"/>
    <w:rsid w:val="008B65C7"/>
    <w:rsid w:val="008C0565"/>
    <w:rsid w:val="008C0A5B"/>
    <w:rsid w:val="008C10D0"/>
    <w:rsid w:val="008C1F18"/>
    <w:rsid w:val="008C2078"/>
    <w:rsid w:val="008C2797"/>
    <w:rsid w:val="008C2E2D"/>
    <w:rsid w:val="008C4438"/>
    <w:rsid w:val="008C4E5A"/>
    <w:rsid w:val="008C5F31"/>
    <w:rsid w:val="008C623F"/>
    <w:rsid w:val="008C6E2B"/>
    <w:rsid w:val="008C77CB"/>
    <w:rsid w:val="008D0D3C"/>
    <w:rsid w:val="008D18DB"/>
    <w:rsid w:val="008D1D9E"/>
    <w:rsid w:val="008D2515"/>
    <w:rsid w:val="008D255B"/>
    <w:rsid w:val="008D2C1D"/>
    <w:rsid w:val="008D49ED"/>
    <w:rsid w:val="008D51AC"/>
    <w:rsid w:val="008D635A"/>
    <w:rsid w:val="008D72E2"/>
    <w:rsid w:val="008E0025"/>
    <w:rsid w:val="008E0C7B"/>
    <w:rsid w:val="008E1528"/>
    <w:rsid w:val="008E3112"/>
    <w:rsid w:val="008E52C2"/>
    <w:rsid w:val="008E5826"/>
    <w:rsid w:val="008E642B"/>
    <w:rsid w:val="008E6BE9"/>
    <w:rsid w:val="008F153D"/>
    <w:rsid w:val="008F1A20"/>
    <w:rsid w:val="008F2B6F"/>
    <w:rsid w:val="008F2F44"/>
    <w:rsid w:val="008F379F"/>
    <w:rsid w:val="008F3DDC"/>
    <w:rsid w:val="008F41B2"/>
    <w:rsid w:val="008F4E30"/>
    <w:rsid w:val="008F4E6F"/>
    <w:rsid w:val="008F50C0"/>
    <w:rsid w:val="008F587D"/>
    <w:rsid w:val="008F6A12"/>
    <w:rsid w:val="008F70D7"/>
    <w:rsid w:val="00901531"/>
    <w:rsid w:val="009018AB"/>
    <w:rsid w:val="00903106"/>
    <w:rsid w:val="0090361D"/>
    <w:rsid w:val="00903AF3"/>
    <w:rsid w:val="009042B3"/>
    <w:rsid w:val="00905C44"/>
    <w:rsid w:val="009060F7"/>
    <w:rsid w:val="009061AD"/>
    <w:rsid w:val="009071A2"/>
    <w:rsid w:val="00907388"/>
    <w:rsid w:val="00910A3F"/>
    <w:rsid w:val="00910E71"/>
    <w:rsid w:val="0091242F"/>
    <w:rsid w:val="009131A2"/>
    <w:rsid w:val="00913EE7"/>
    <w:rsid w:val="00914920"/>
    <w:rsid w:val="0091543D"/>
    <w:rsid w:val="009155F5"/>
    <w:rsid w:val="009168A8"/>
    <w:rsid w:val="009175EA"/>
    <w:rsid w:val="009175EC"/>
    <w:rsid w:val="00920F39"/>
    <w:rsid w:val="009210E5"/>
    <w:rsid w:val="009212BE"/>
    <w:rsid w:val="00921A5F"/>
    <w:rsid w:val="0092229D"/>
    <w:rsid w:val="00922614"/>
    <w:rsid w:val="00923BCE"/>
    <w:rsid w:val="009245D1"/>
    <w:rsid w:val="009258E9"/>
    <w:rsid w:val="009266CC"/>
    <w:rsid w:val="00927042"/>
    <w:rsid w:val="00927584"/>
    <w:rsid w:val="00927F77"/>
    <w:rsid w:val="00930AEB"/>
    <w:rsid w:val="009310B9"/>
    <w:rsid w:val="00931277"/>
    <w:rsid w:val="00931625"/>
    <w:rsid w:val="0093189A"/>
    <w:rsid w:val="00931F36"/>
    <w:rsid w:val="00932025"/>
    <w:rsid w:val="00932048"/>
    <w:rsid w:val="00933AAF"/>
    <w:rsid w:val="0093424C"/>
    <w:rsid w:val="00935EAC"/>
    <w:rsid w:val="00937322"/>
    <w:rsid w:val="009376EA"/>
    <w:rsid w:val="009377C6"/>
    <w:rsid w:val="00940571"/>
    <w:rsid w:val="009405A0"/>
    <w:rsid w:val="00942166"/>
    <w:rsid w:val="009428D3"/>
    <w:rsid w:val="00942B9F"/>
    <w:rsid w:val="00943513"/>
    <w:rsid w:val="0094516E"/>
    <w:rsid w:val="009464F4"/>
    <w:rsid w:val="0095026A"/>
    <w:rsid w:val="00953510"/>
    <w:rsid w:val="00953C8F"/>
    <w:rsid w:val="00956017"/>
    <w:rsid w:val="00957719"/>
    <w:rsid w:val="0096012B"/>
    <w:rsid w:val="0096102E"/>
    <w:rsid w:val="0096128A"/>
    <w:rsid w:val="00962057"/>
    <w:rsid w:val="00962A5F"/>
    <w:rsid w:val="00963980"/>
    <w:rsid w:val="0096584D"/>
    <w:rsid w:val="00965E05"/>
    <w:rsid w:val="00965E35"/>
    <w:rsid w:val="00966B02"/>
    <w:rsid w:val="00966BFB"/>
    <w:rsid w:val="0096767A"/>
    <w:rsid w:val="00967C5F"/>
    <w:rsid w:val="00967D4D"/>
    <w:rsid w:val="00967E83"/>
    <w:rsid w:val="00971B7D"/>
    <w:rsid w:val="00971D0E"/>
    <w:rsid w:val="00971DEC"/>
    <w:rsid w:val="009723AE"/>
    <w:rsid w:val="00973811"/>
    <w:rsid w:val="00973C31"/>
    <w:rsid w:val="00974248"/>
    <w:rsid w:val="00975773"/>
    <w:rsid w:val="0097580A"/>
    <w:rsid w:val="00976410"/>
    <w:rsid w:val="009779F5"/>
    <w:rsid w:val="00980910"/>
    <w:rsid w:val="00980FE2"/>
    <w:rsid w:val="0098148B"/>
    <w:rsid w:val="00981D09"/>
    <w:rsid w:val="0098210C"/>
    <w:rsid w:val="0098372B"/>
    <w:rsid w:val="0098651A"/>
    <w:rsid w:val="0098669B"/>
    <w:rsid w:val="009867DC"/>
    <w:rsid w:val="009868BB"/>
    <w:rsid w:val="00986DD6"/>
    <w:rsid w:val="00986ED2"/>
    <w:rsid w:val="00991463"/>
    <w:rsid w:val="00992895"/>
    <w:rsid w:val="00993436"/>
    <w:rsid w:val="009934F8"/>
    <w:rsid w:val="00993746"/>
    <w:rsid w:val="009939A8"/>
    <w:rsid w:val="00996889"/>
    <w:rsid w:val="009968B2"/>
    <w:rsid w:val="00996F50"/>
    <w:rsid w:val="009A05AE"/>
    <w:rsid w:val="009A0EF9"/>
    <w:rsid w:val="009A1811"/>
    <w:rsid w:val="009A21D5"/>
    <w:rsid w:val="009A27A0"/>
    <w:rsid w:val="009A2C06"/>
    <w:rsid w:val="009A2D6E"/>
    <w:rsid w:val="009A30A4"/>
    <w:rsid w:val="009A3F58"/>
    <w:rsid w:val="009A41E8"/>
    <w:rsid w:val="009A4498"/>
    <w:rsid w:val="009A54A5"/>
    <w:rsid w:val="009A5934"/>
    <w:rsid w:val="009A6274"/>
    <w:rsid w:val="009A68C9"/>
    <w:rsid w:val="009A7DEE"/>
    <w:rsid w:val="009B05D0"/>
    <w:rsid w:val="009B1277"/>
    <w:rsid w:val="009B1367"/>
    <w:rsid w:val="009B181D"/>
    <w:rsid w:val="009B191B"/>
    <w:rsid w:val="009B1FB2"/>
    <w:rsid w:val="009B33BF"/>
    <w:rsid w:val="009B3506"/>
    <w:rsid w:val="009B4396"/>
    <w:rsid w:val="009B46C7"/>
    <w:rsid w:val="009B47C5"/>
    <w:rsid w:val="009B4E0F"/>
    <w:rsid w:val="009C02EF"/>
    <w:rsid w:val="009C1AE2"/>
    <w:rsid w:val="009C1D12"/>
    <w:rsid w:val="009C1EA0"/>
    <w:rsid w:val="009C2C5B"/>
    <w:rsid w:val="009C30E0"/>
    <w:rsid w:val="009C30EB"/>
    <w:rsid w:val="009C4DAA"/>
    <w:rsid w:val="009C4EEB"/>
    <w:rsid w:val="009C5889"/>
    <w:rsid w:val="009C5BDC"/>
    <w:rsid w:val="009C6D0B"/>
    <w:rsid w:val="009C785A"/>
    <w:rsid w:val="009C79D5"/>
    <w:rsid w:val="009D07E4"/>
    <w:rsid w:val="009D1F8A"/>
    <w:rsid w:val="009D28FC"/>
    <w:rsid w:val="009D2E96"/>
    <w:rsid w:val="009D3189"/>
    <w:rsid w:val="009D37DB"/>
    <w:rsid w:val="009D5296"/>
    <w:rsid w:val="009D547F"/>
    <w:rsid w:val="009D5903"/>
    <w:rsid w:val="009D5AFC"/>
    <w:rsid w:val="009D6200"/>
    <w:rsid w:val="009D6390"/>
    <w:rsid w:val="009D70A2"/>
    <w:rsid w:val="009D7CBF"/>
    <w:rsid w:val="009E1BCE"/>
    <w:rsid w:val="009E2386"/>
    <w:rsid w:val="009E25A1"/>
    <w:rsid w:val="009E3AD4"/>
    <w:rsid w:val="009E48D0"/>
    <w:rsid w:val="009E52BD"/>
    <w:rsid w:val="009E5B65"/>
    <w:rsid w:val="009E5D86"/>
    <w:rsid w:val="009E5D97"/>
    <w:rsid w:val="009E6174"/>
    <w:rsid w:val="009E636C"/>
    <w:rsid w:val="009E6932"/>
    <w:rsid w:val="009E6A92"/>
    <w:rsid w:val="009E6BF3"/>
    <w:rsid w:val="009F13C7"/>
    <w:rsid w:val="009F36D8"/>
    <w:rsid w:val="009F3DD0"/>
    <w:rsid w:val="009F49E8"/>
    <w:rsid w:val="009F517B"/>
    <w:rsid w:val="009F75A1"/>
    <w:rsid w:val="009F77F7"/>
    <w:rsid w:val="00A000DD"/>
    <w:rsid w:val="00A00ED2"/>
    <w:rsid w:val="00A00F7A"/>
    <w:rsid w:val="00A0266C"/>
    <w:rsid w:val="00A04321"/>
    <w:rsid w:val="00A04ADD"/>
    <w:rsid w:val="00A04D7F"/>
    <w:rsid w:val="00A04EAB"/>
    <w:rsid w:val="00A05BCF"/>
    <w:rsid w:val="00A061B9"/>
    <w:rsid w:val="00A0629A"/>
    <w:rsid w:val="00A06A6A"/>
    <w:rsid w:val="00A105D5"/>
    <w:rsid w:val="00A112BC"/>
    <w:rsid w:val="00A121A1"/>
    <w:rsid w:val="00A126F1"/>
    <w:rsid w:val="00A14AC5"/>
    <w:rsid w:val="00A155F6"/>
    <w:rsid w:val="00A15961"/>
    <w:rsid w:val="00A15E29"/>
    <w:rsid w:val="00A1668C"/>
    <w:rsid w:val="00A203F0"/>
    <w:rsid w:val="00A205F8"/>
    <w:rsid w:val="00A20FA3"/>
    <w:rsid w:val="00A21203"/>
    <w:rsid w:val="00A21425"/>
    <w:rsid w:val="00A22ADD"/>
    <w:rsid w:val="00A23744"/>
    <w:rsid w:val="00A23AAD"/>
    <w:rsid w:val="00A23BA9"/>
    <w:rsid w:val="00A23E0C"/>
    <w:rsid w:val="00A247CA"/>
    <w:rsid w:val="00A25D23"/>
    <w:rsid w:val="00A25E57"/>
    <w:rsid w:val="00A26EA8"/>
    <w:rsid w:val="00A27087"/>
    <w:rsid w:val="00A3126C"/>
    <w:rsid w:val="00A33277"/>
    <w:rsid w:val="00A33ADB"/>
    <w:rsid w:val="00A3473F"/>
    <w:rsid w:val="00A350FC"/>
    <w:rsid w:val="00A358C0"/>
    <w:rsid w:val="00A368E4"/>
    <w:rsid w:val="00A36C40"/>
    <w:rsid w:val="00A37EB1"/>
    <w:rsid w:val="00A41CC2"/>
    <w:rsid w:val="00A422DE"/>
    <w:rsid w:val="00A42AD5"/>
    <w:rsid w:val="00A4303F"/>
    <w:rsid w:val="00A45453"/>
    <w:rsid w:val="00A46065"/>
    <w:rsid w:val="00A46304"/>
    <w:rsid w:val="00A463EE"/>
    <w:rsid w:val="00A478DD"/>
    <w:rsid w:val="00A47F6F"/>
    <w:rsid w:val="00A53085"/>
    <w:rsid w:val="00A53576"/>
    <w:rsid w:val="00A53647"/>
    <w:rsid w:val="00A53682"/>
    <w:rsid w:val="00A55A6D"/>
    <w:rsid w:val="00A55DA2"/>
    <w:rsid w:val="00A56942"/>
    <w:rsid w:val="00A60F4B"/>
    <w:rsid w:val="00A610A2"/>
    <w:rsid w:val="00A610E0"/>
    <w:rsid w:val="00A661F8"/>
    <w:rsid w:val="00A668BF"/>
    <w:rsid w:val="00A66B36"/>
    <w:rsid w:val="00A673C2"/>
    <w:rsid w:val="00A67804"/>
    <w:rsid w:val="00A7021B"/>
    <w:rsid w:val="00A70459"/>
    <w:rsid w:val="00A7193B"/>
    <w:rsid w:val="00A71CF0"/>
    <w:rsid w:val="00A7397D"/>
    <w:rsid w:val="00A74066"/>
    <w:rsid w:val="00A743F9"/>
    <w:rsid w:val="00A7459C"/>
    <w:rsid w:val="00A74DA4"/>
    <w:rsid w:val="00A75DDB"/>
    <w:rsid w:val="00A762DF"/>
    <w:rsid w:val="00A76EB7"/>
    <w:rsid w:val="00A77555"/>
    <w:rsid w:val="00A8057D"/>
    <w:rsid w:val="00A81169"/>
    <w:rsid w:val="00A8175C"/>
    <w:rsid w:val="00A82169"/>
    <w:rsid w:val="00A82667"/>
    <w:rsid w:val="00A836C7"/>
    <w:rsid w:val="00A84E75"/>
    <w:rsid w:val="00A85EF5"/>
    <w:rsid w:val="00A90C90"/>
    <w:rsid w:val="00A91008"/>
    <w:rsid w:val="00A94875"/>
    <w:rsid w:val="00A94C74"/>
    <w:rsid w:val="00A94F0D"/>
    <w:rsid w:val="00A951CB"/>
    <w:rsid w:val="00A95DD5"/>
    <w:rsid w:val="00A9670A"/>
    <w:rsid w:val="00A96782"/>
    <w:rsid w:val="00A97B9F"/>
    <w:rsid w:val="00AA0A45"/>
    <w:rsid w:val="00AA0F88"/>
    <w:rsid w:val="00AA13CF"/>
    <w:rsid w:val="00AA29A4"/>
    <w:rsid w:val="00AA3D5D"/>
    <w:rsid w:val="00AA425D"/>
    <w:rsid w:val="00AA5659"/>
    <w:rsid w:val="00AA5F93"/>
    <w:rsid w:val="00AA64EF"/>
    <w:rsid w:val="00AA6F66"/>
    <w:rsid w:val="00AA7F0C"/>
    <w:rsid w:val="00AB09D3"/>
    <w:rsid w:val="00AB0C15"/>
    <w:rsid w:val="00AB13AA"/>
    <w:rsid w:val="00AB18C4"/>
    <w:rsid w:val="00AB2350"/>
    <w:rsid w:val="00AB6037"/>
    <w:rsid w:val="00AB75C7"/>
    <w:rsid w:val="00AC014E"/>
    <w:rsid w:val="00AC0665"/>
    <w:rsid w:val="00AC0CE6"/>
    <w:rsid w:val="00AC1B38"/>
    <w:rsid w:val="00AC1C5C"/>
    <w:rsid w:val="00AC1E2C"/>
    <w:rsid w:val="00AC1E36"/>
    <w:rsid w:val="00AC20B2"/>
    <w:rsid w:val="00AC2CE3"/>
    <w:rsid w:val="00AC4188"/>
    <w:rsid w:val="00AC57CE"/>
    <w:rsid w:val="00AC5B20"/>
    <w:rsid w:val="00AC66B3"/>
    <w:rsid w:val="00AC7320"/>
    <w:rsid w:val="00AD06FF"/>
    <w:rsid w:val="00AD17B4"/>
    <w:rsid w:val="00AD1888"/>
    <w:rsid w:val="00AD1E8A"/>
    <w:rsid w:val="00AD4145"/>
    <w:rsid w:val="00AD4919"/>
    <w:rsid w:val="00AD4A41"/>
    <w:rsid w:val="00AD5368"/>
    <w:rsid w:val="00AD5931"/>
    <w:rsid w:val="00AD5D74"/>
    <w:rsid w:val="00AD67F9"/>
    <w:rsid w:val="00AD7D7E"/>
    <w:rsid w:val="00AE1A03"/>
    <w:rsid w:val="00AE2D3D"/>
    <w:rsid w:val="00AE4836"/>
    <w:rsid w:val="00AE529A"/>
    <w:rsid w:val="00AE5E3F"/>
    <w:rsid w:val="00AE5E59"/>
    <w:rsid w:val="00AE6729"/>
    <w:rsid w:val="00AE6AAC"/>
    <w:rsid w:val="00AE6C32"/>
    <w:rsid w:val="00AF010F"/>
    <w:rsid w:val="00AF0943"/>
    <w:rsid w:val="00AF0FDA"/>
    <w:rsid w:val="00AF1DA6"/>
    <w:rsid w:val="00AF29EB"/>
    <w:rsid w:val="00AF2C22"/>
    <w:rsid w:val="00AF30BF"/>
    <w:rsid w:val="00AF38F8"/>
    <w:rsid w:val="00AF3B7F"/>
    <w:rsid w:val="00AF4202"/>
    <w:rsid w:val="00AF44B5"/>
    <w:rsid w:val="00AF4C45"/>
    <w:rsid w:val="00AF63BA"/>
    <w:rsid w:val="00AF6FA9"/>
    <w:rsid w:val="00AF7090"/>
    <w:rsid w:val="00AF7803"/>
    <w:rsid w:val="00B006CD"/>
    <w:rsid w:val="00B00B7C"/>
    <w:rsid w:val="00B00F74"/>
    <w:rsid w:val="00B0100D"/>
    <w:rsid w:val="00B011BF"/>
    <w:rsid w:val="00B019FC"/>
    <w:rsid w:val="00B020F3"/>
    <w:rsid w:val="00B02151"/>
    <w:rsid w:val="00B02D25"/>
    <w:rsid w:val="00B036D2"/>
    <w:rsid w:val="00B05936"/>
    <w:rsid w:val="00B06CB1"/>
    <w:rsid w:val="00B07F69"/>
    <w:rsid w:val="00B10F33"/>
    <w:rsid w:val="00B119E5"/>
    <w:rsid w:val="00B127DF"/>
    <w:rsid w:val="00B12E5D"/>
    <w:rsid w:val="00B13ADB"/>
    <w:rsid w:val="00B1507E"/>
    <w:rsid w:val="00B16B56"/>
    <w:rsid w:val="00B200FA"/>
    <w:rsid w:val="00B20F99"/>
    <w:rsid w:val="00B220AF"/>
    <w:rsid w:val="00B22FFC"/>
    <w:rsid w:val="00B23669"/>
    <w:rsid w:val="00B243C2"/>
    <w:rsid w:val="00B24B1F"/>
    <w:rsid w:val="00B2713B"/>
    <w:rsid w:val="00B2751A"/>
    <w:rsid w:val="00B27999"/>
    <w:rsid w:val="00B31E9E"/>
    <w:rsid w:val="00B33C41"/>
    <w:rsid w:val="00B36CF9"/>
    <w:rsid w:val="00B37AAD"/>
    <w:rsid w:val="00B40858"/>
    <w:rsid w:val="00B40B25"/>
    <w:rsid w:val="00B410E4"/>
    <w:rsid w:val="00B42D77"/>
    <w:rsid w:val="00B433F0"/>
    <w:rsid w:val="00B43556"/>
    <w:rsid w:val="00B442CA"/>
    <w:rsid w:val="00B44366"/>
    <w:rsid w:val="00B466CE"/>
    <w:rsid w:val="00B4671D"/>
    <w:rsid w:val="00B46F32"/>
    <w:rsid w:val="00B478A0"/>
    <w:rsid w:val="00B51CC9"/>
    <w:rsid w:val="00B5247D"/>
    <w:rsid w:val="00B5277B"/>
    <w:rsid w:val="00B530CC"/>
    <w:rsid w:val="00B532B2"/>
    <w:rsid w:val="00B53428"/>
    <w:rsid w:val="00B56E2F"/>
    <w:rsid w:val="00B56FA7"/>
    <w:rsid w:val="00B57558"/>
    <w:rsid w:val="00B60696"/>
    <w:rsid w:val="00B60C5F"/>
    <w:rsid w:val="00B60E60"/>
    <w:rsid w:val="00B6160D"/>
    <w:rsid w:val="00B62800"/>
    <w:rsid w:val="00B64B70"/>
    <w:rsid w:val="00B659C2"/>
    <w:rsid w:val="00B663C7"/>
    <w:rsid w:val="00B66857"/>
    <w:rsid w:val="00B70376"/>
    <w:rsid w:val="00B71D5D"/>
    <w:rsid w:val="00B72072"/>
    <w:rsid w:val="00B736F2"/>
    <w:rsid w:val="00B7734D"/>
    <w:rsid w:val="00B801C9"/>
    <w:rsid w:val="00B81242"/>
    <w:rsid w:val="00B81952"/>
    <w:rsid w:val="00B81E8B"/>
    <w:rsid w:val="00B820B6"/>
    <w:rsid w:val="00B82410"/>
    <w:rsid w:val="00B82EF0"/>
    <w:rsid w:val="00B8316F"/>
    <w:rsid w:val="00B833AA"/>
    <w:rsid w:val="00B8344F"/>
    <w:rsid w:val="00B858E4"/>
    <w:rsid w:val="00B86C0F"/>
    <w:rsid w:val="00B87146"/>
    <w:rsid w:val="00B90BA1"/>
    <w:rsid w:val="00B930E8"/>
    <w:rsid w:val="00B93DCC"/>
    <w:rsid w:val="00B94539"/>
    <w:rsid w:val="00B948E8"/>
    <w:rsid w:val="00B954A0"/>
    <w:rsid w:val="00B97FC5"/>
    <w:rsid w:val="00BA00FC"/>
    <w:rsid w:val="00BA0DD5"/>
    <w:rsid w:val="00BA13AB"/>
    <w:rsid w:val="00BA2892"/>
    <w:rsid w:val="00BA2936"/>
    <w:rsid w:val="00BA351F"/>
    <w:rsid w:val="00BA3B94"/>
    <w:rsid w:val="00BA4521"/>
    <w:rsid w:val="00BA478D"/>
    <w:rsid w:val="00BA508C"/>
    <w:rsid w:val="00BA50C8"/>
    <w:rsid w:val="00BA58E5"/>
    <w:rsid w:val="00BA5E84"/>
    <w:rsid w:val="00BA628C"/>
    <w:rsid w:val="00BA7B18"/>
    <w:rsid w:val="00BA7CB4"/>
    <w:rsid w:val="00BB1B1F"/>
    <w:rsid w:val="00BB28F7"/>
    <w:rsid w:val="00BB3956"/>
    <w:rsid w:val="00BB3A02"/>
    <w:rsid w:val="00BB525F"/>
    <w:rsid w:val="00BB754E"/>
    <w:rsid w:val="00BB77F1"/>
    <w:rsid w:val="00BB792F"/>
    <w:rsid w:val="00BB7D0E"/>
    <w:rsid w:val="00BB7E40"/>
    <w:rsid w:val="00BC031E"/>
    <w:rsid w:val="00BC19CD"/>
    <w:rsid w:val="00BC34E0"/>
    <w:rsid w:val="00BC42B3"/>
    <w:rsid w:val="00BC4AF1"/>
    <w:rsid w:val="00BC6CD6"/>
    <w:rsid w:val="00BC6D0C"/>
    <w:rsid w:val="00BC74DB"/>
    <w:rsid w:val="00BD0491"/>
    <w:rsid w:val="00BD1BC1"/>
    <w:rsid w:val="00BD2AC8"/>
    <w:rsid w:val="00BD389E"/>
    <w:rsid w:val="00BD39FA"/>
    <w:rsid w:val="00BD3BC4"/>
    <w:rsid w:val="00BD5C78"/>
    <w:rsid w:val="00BD6236"/>
    <w:rsid w:val="00BD624E"/>
    <w:rsid w:val="00BD65C6"/>
    <w:rsid w:val="00BD6EBF"/>
    <w:rsid w:val="00BD72AE"/>
    <w:rsid w:val="00BE11EB"/>
    <w:rsid w:val="00BE13EF"/>
    <w:rsid w:val="00BE25E4"/>
    <w:rsid w:val="00BE26BF"/>
    <w:rsid w:val="00BE2B24"/>
    <w:rsid w:val="00BE2E3D"/>
    <w:rsid w:val="00BE58C7"/>
    <w:rsid w:val="00BE615D"/>
    <w:rsid w:val="00BE7DC8"/>
    <w:rsid w:val="00BF0EBA"/>
    <w:rsid w:val="00BF117C"/>
    <w:rsid w:val="00BF273C"/>
    <w:rsid w:val="00BF299C"/>
    <w:rsid w:val="00BF2BA3"/>
    <w:rsid w:val="00BF2F86"/>
    <w:rsid w:val="00BF34F6"/>
    <w:rsid w:val="00BF7022"/>
    <w:rsid w:val="00BF7B41"/>
    <w:rsid w:val="00C00516"/>
    <w:rsid w:val="00C00BE2"/>
    <w:rsid w:val="00C0138D"/>
    <w:rsid w:val="00C0163B"/>
    <w:rsid w:val="00C01914"/>
    <w:rsid w:val="00C027D6"/>
    <w:rsid w:val="00C02930"/>
    <w:rsid w:val="00C02C85"/>
    <w:rsid w:val="00C02E97"/>
    <w:rsid w:val="00C03841"/>
    <w:rsid w:val="00C048F6"/>
    <w:rsid w:val="00C04906"/>
    <w:rsid w:val="00C05B90"/>
    <w:rsid w:val="00C05FDC"/>
    <w:rsid w:val="00C07BE9"/>
    <w:rsid w:val="00C11661"/>
    <w:rsid w:val="00C12397"/>
    <w:rsid w:val="00C1279F"/>
    <w:rsid w:val="00C1363E"/>
    <w:rsid w:val="00C14C20"/>
    <w:rsid w:val="00C164A6"/>
    <w:rsid w:val="00C16D49"/>
    <w:rsid w:val="00C20DEC"/>
    <w:rsid w:val="00C21200"/>
    <w:rsid w:val="00C215FC"/>
    <w:rsid w:val="00C22836"/>
    <w:rsid w:val="00C22A41"/>
    <w:rsid w:val="00C25676"/>
    <w:rsid w:val="00C259DD"/>
    <w:rsid w:val="00C276FC"/>
    <w:rsid w:val="00C27D9A"/>
    <w:rsid w:val="00C3092A"/>
    <w:rsid w:val="00C30B12"/>
    <w:rsid w:val="00C30DAA"/>
    <w:rsid w:val="00C30F88"/>
    <w:rsid w:val="00C341D2"/>
    <w:rsid w:val="00C344BB"/>
    <w:rsid w:val="00C35714"/>
    <w:rsid w:val="00C3590A"/>
    <w:rsid w:val="00C35BE4"/>
    <w:rsid w:val="00C36F3C"/>
    <w:rsid w:val="00C37DA4"/>
    <w:rsid w:val="00C42656"/>
    <w:rsid w:val="00C43190"/>
    <w:rsid w:val="00C4587D"/>
    <w:rsid w:val="00C46FA9"/>
    <w:rsid w:val="00C47014"/>
    <w:rsid w:val="00C50644"/>
    <w:rsid w:val="00C50D4F"/>
    <w:rsid w:val="00C51A66"/>
    <w:rsid w:val="00C524E2"/>
    <w:rsid w:val="00C52550"/>
    <w:rsid w:val="00C536F0"/>
    <w:rsid w:val="00C558E0"/>
    <w:rsid w:val="00C562FE"/>
    <w:rsid w:val="00C5695E"/>
    <w:rsid w:val="00C57D47"/>
    <w:rsid w:val="00C57D80"/>
    <w:rsid w:val="00C57F26"/>
    <w:rsid w:val="00C60405"/>
    <w:rsid w:val="00C604AF"/>
    <w:rsid w:val="00C60D56"/>
    <w:rsid w:val="00C61ED8"/>
    <w:rsid w:val="00C62840"/>
    <w:rsid w:val="00C64339"/>
    <w:rsid w:val="00C64A22"/>
    <w:rsid w:val="00C65A7F"/>
    <w:rsid w:val="00C67550"/>
    <w:rsid w:val="00C70751"/>
    <w:rsid w:val="00C712E3"/>
    <w:rsid w:val="00C7188C"/>
    <w:rsid w:val="00C721D3"/>
    <w:rsid w:val="00C7291B"/>
    <w:rsid w:val="00C74E82"/>
    <w:rsid w:val="00C754C3"/>
    <w:rsid w:val="00C75817"/>
    <w:rsid w:val="00C75B4A"/>
    <w:rsid w:val="00C76D1C"/>
    <w:rsid w:val="00C7772D"/>
    <w:rsid w:val="00C81570"/>
    <w:rsid w:val="00C8291D"/>
    <w:rsid w:val="00C832C4"/>
    <w:rsid w:val="00C85683"/>
    <w:rsid w:val="00C856D7"/>
    <w:rsid w:val="00C86F1B"/>
    <w:rsid w:val="00C874A8"/>
    <w:rsid w:val="00C90AE2"/>
    <w:rsid w:val="00C930FB"/>
    <w:rsid w:val="00C94061"/>
    <w:rsid w:val="00C9478C"/>
    <w:rsid w:val="00C964BE"/>
    <w:rsid w:val="00C97097"/>
    <w:rsid w:val="00C97703"/>
    <w:rsid w:val="00C97B05"/>
    <w:rsid w:val="00CA0AB5"/>
    <w:rsid w:val="00CA123F"/>
    <w:rsid w:val="00CA18BE"/>
    <w:rsid w:val="00CA4FF3"/>
    <w:rsid w:val="00CA5E75"/>
    <w:rsid w:val="00CA5FDE"/>
    <w:rsid w:val="00CA64CC"/>
    <w:rsid w:val="00CB0427"/>
    <w:rsid w:val="00CB0768"/>
    <w:rsid w:val="00CB0968"/>
    <w:rsid w:val="00CB0AA0"/>
    <w:rsid w:val="00CB2A9A"/>
    <w:rsid w:val="00CB3063"/>
    <w:rsid w:val="00CB40F4"/>
    <w:rsid w:val="00CB4206"/>
    <w:rsid w:val="00CB7031"/>
    <w:rsid w:val="00CC039C"/>
    <w:rsid w:val="00CC221C"/>
    <w:rsid w:val="00CC2C83"/>
    <w:rsid w:val="00CC30AD"/>
    <w:rsid w:val="00CC3335"/>
    <w:rsid w:val="00CC3527"/>
    <w:rsid w:val="00CC35B5"/>
    <w:rsid w:val="00CC60F0"/>
    <w:rsid w:val="00CC61F0"/>
    <w:rsid w:val="00CC73CC"/>
    <w:rsid w:val="00CC7D62"/>
    <w:rsid w:val="00CD014A"/>
    <w:rsid w:val="00CD2B99"/>
    <w:rsid w:val="00CD420F"/>
    <w:rsid w:val="00CD4EAB"/>
    <w:rsid w:val="00CD4FED"/>
    <w:rsid w:val="00CD5732"/>
    <w:rsid w:val="00CD5A10"/>
    <w:rsid w:val="00CD5C28"/>
    <w:rsid w:val="00CD60F7"/>
    <w:rsid w:val="00CD6A39"/>
    <w:rsid w:val="00CD6CA6"/>
    <w:rsid w:val="00CE0BDB"/>
    <w:rsid w:val="00CE2CE2"/>
    <w:rsid w:val="00CE3032"/>
    <w:rsid w:val="00CE324D"/>
    <w:rsid w:val="00CE4573"/>
    <w:rsid w:val="00CE5893"/>
    <w:rsid w:val="00CE5995"/>
    <w:rsid w:val="00CE5E01"/>
    <w:rsid w:val="00CE64DC"/>
    <w:rsid w:val="00CE65FF"/>
    <w:rsid w:val="00CE7D63"/>
    <w:rsid w:val="00CE7EB5"/>
    <w:rsid w:val="00CF0562"/>
    <w:rsid w:val="00CF0C7F"/>
    <w:rsid w:val="00CF0E7D"/>
    <w:rsid w:val="00CF1B91"/>
    <w:rsid w:val="00CF27DF"/>
    <w:rsid w:val="00CF2899"/>
    <w:rsid w:val="00CF2F66"/>
    <w:rsid w:val="00CF2F8D"/>
    <w:rsid w:val="00CF3327"/>
    <w:rsid w:val="00CF378E"/>
    <w:rsid w:val="00CF3C3A"/>
    <w:rsid w:val="00CF4309"/>
    <w:rsid w:val="00CF4B06"/>
    <w:rsid w:val="00CF5824"/>
    <w:rsid w:val="00CF5A29"/>
    <w:rsid w:val="00CF641C"/>
    <w:rsid w:val="00CF7088"/>
    <w:rsid w:val="00CF714A"/>
    <w:rsid w:val="00CF725F"/>
    <w:rsid w:val="00CF7462"/>
    <w:rsid w:val="00CF750A"/>
    <w:rsid w:val="00D008B3"/>
    <w:rsid w:val="00D00A90"/>
    <w:rsid w:val="00D01FD7"/>
    <w:rsid w:val="00D02F01"/>
    <w:rsid w:val="00D036A5"/>
    <w:rsid w:val="00D03F5E"/>
    <w:rsid w:val="00D06418"/>
    <w:rsid w:val="00D07F65"/>
    <w:rsid w:val="00D10687"/>
    <w:rsid w:val="00D1290F"/>
    <w:rsid w:val="00D12F58"/>
    <w:rsid w:val="00D14EC3"/>
    <w:rsid w:val="00D152E7"/>
    <w:rsid w:val="00D15C08"/>
    <w:rsid w:val="00D15F03"/>
    <w:rsid w:val="00D16930"/>
    <w:rsid w:val="00D16FBE"/>
    <w:rsid w:val="00D17132"/>
    <w:rsid w:val="00D179B1"/>
    <w:rsid w:val="00D17D80"/>
    <w:rsid w:val="00D203D5"/>
    <w:rsid w:val="00D21E10"/>
    <w:rsid w:val="00D2336F"/>
    <w:rsid w:val="00D238B8"/>
    <w:rsid w:val="00D242E0"/>
    <w:rsid w:val="00D24624"/>
    <w:rsid w:val="00D24CFE"/>
    <w:rsid w:val="00D24E03"/>
    <w:rsid w:val="00D24FA4"/>
    <w:rsid w:val="00D276AE"/>
    <w:rsid w:val="00D2774C"/>
    <w:rsid w:val="00D278CF"/>
    <w:rsid w:val="00D302FE"/>
    <w:rsid w:val="00D3241F"/>
    <w:rsid w:val="00D329C9"/>
    <w:rsid w:val="00D32D97"/>
    <w:rsid w:val="00D36805"/>
    <w:rsid w:val="00D372D8"/>
    <w:rsid w:val="00D37894"/>
    <w:rsid w:val="00D37A0C"/>
    <w:rsid w:val="00D41D47"/>
    <w:rsid w:val="00D42DBE"/>
    <w:rsid w:val="00D4381C"/>
    <w:rsid w:val="00D452AE"/>
    <w:rsid w:val="00D46AB0"/>
    <w:rsid w:val="00D470CC"/>
    <w:rsid w:val="00D47AB0"/>
    <w:rsid w:val="00D47D20"/>
    <w:rsid w:val="00D527B9"/>
    <w:rsid w:val="00D53FC5"/>
    <w:rsid w:val="00D55D61"/>
    <w:rsid w:val="00D55E98"/>
    <w:rsid w:val="00D56455"/>
    <w:rsid w:val="00D56892"/>
    <w:rsid w:val="00D610AF"/>
    <w:rsid w:val="00D6162C"/>
    <w:rsid w:val="00D627B3"/>
    <w:rsid w:val="00D62D32"/>
    <w:rsid w:val="00D6354E"/>
    <w:rsid w:val="00D63768"/>
    <w:rsid w:val="00D63C31"/>
    <w:rsid w:val="00D64400"/>
    <w:rsid w:val="00D64DEE"/>
    <w:rsid w:val="00D658E0"/>
    <w:rsid w:val="00D66C45"/>
    <w:rsid w:val="00D66F30"/>
    <w:rsid w:val="00D71AD1"/>
    <w:rsid w:val="00D724F5"/>
    <w:rsid w:val="00D72CD8"/>
    <w:rsid w:val="00D7365B"/>
    <w:rsid w:val="00D738DC"/>
    <w:rsid w:val="00D739E9"/>
    <w:rsid w:val="00D762E0"/>
    <w:rsid w:val="00D772BD"/>
    <w:rsid w:val="00D77EE4"/>
    <w:rsid w:val="00D805E5"/>
    <w:rsid w:val="00D824DB"/>
    <w:rsid w:val="00D831A9"/>
    <w:rsid w:val="00D832F0"/>
    <w:rsid w:val="00D836A9"/>
    <w:rsid w:val="00D83A49"/>
    <w:rsid w:val="00D84AC5"/>
    <w:rsid w:val="00D84F73"/>
    <w:rsid w:val="00D8677B"/>
    <w:rsid w:val="00D900A6"/>
    <w:rsid w:val="00D93994"/>
    <w:rsid w:val="00D93BB1"/>
    <w:rsid w:val="00D96815"/>
    <w:rsid w:val="00D97685"/>
    <w:rsid w:val="00DA0BE6"/>
    <w:rsid w:val="00DA120B"/>
    <w:rsid w:val="00DA1475"/>
    <w:rsid w:val="00DA28DB"/>
    <w:rsid w:val="00DA2BE9"/>
    <w:rsid w:val="00DA2CBB"/>
    <w:rsid w:val="00DA3050"/>
    <w:rsid w:val="00DA3ABF"/>
    <w:rsid w:val="00DA40B8"/>
    <w:rsid w:val="00DA43C3"/>
    <w:rsid w:val="00DA46AC"/>
    <w:rsid w:val="00DA5484"/>
    <w:rsid w:val="00DA5B77"/>
    <w:rsid w:val="00DA6390"/>
    <w:rsid w:val="00DA685C"/>
    <w:rsid w:val="00DA77C8"/>
    <w:rsid w:val="00DA7827"/>
    <w:rsid w:val="00DA7CB5"/>
    <w:rsid w:val="00DA7E0E"/>
    <w:rsid w:val="00DB0137"/>
    <w:rsid w:val="00DB2207"/>
    <w:rsid w:val="00DB3AF5"/>
    <w:rsid w:val="00DB4345"/>
    <w:rsid w:val="00DB527F"/>
    <w:rsid w:val="00DB6A98"/>
    <w:rsid w:val="00DB6ED5"/>
    <w:rsid w:val="00DB7958"/>
    <w:rsid w:val="00DB7AC5"/>
    <w:rsid w:val="00DC00AE"/>
    <w:rsid w:val="00DC1E01"/>
    <w:rsid w:val="00DC2299"/>
    <w:rsid w:val="00DC34D2"/>
    <w:rsid w:val="00DC3ABF"/>
    <w:rsid w:val="00DC4B3B"/>
    <w:rsid w:val="00DC4C1A"/>
    <w:rsid w:val="00DC7B50"/>
    <w:rsid w:val="00DD0582"/>
    <w:rsid w:val="00DD0AA1"/>
    <w:rsid w:val="00DD110C"/>
    <w:rsid w:val="00DD1B3F"/>
    <w:rsid w:val="00DD317D"/>
    <w:rsid w:val="00DD44E7"/>
    <w:rsid w:val="00DD467D"/>
    <w:rsid w:val="00DD567C"/>
    <w:rsid w:val="00DD5F11"/>
    <w:rsid w:val="00DE0868"/>
    <w:rsid w:val="00DE0CDE"/>
    <w:rsid w:val="00DE102C"/>
    <w:rsid w:val="00DE1925"/>
    <w:rsid w:val="00DE1BCB"/>
    <w:rsid w:val="00DE216F"/>
    <w:rsid w:val="00DE55C4"/>
    <w:rsid w:val="00DE56FA"/>
    <w:rsid w:val="00DE5784"/>
    <w:rsid w:val="00DE7B1F"/>
    <w:rsid w:val="00DE7D32"/>
    <w:rsid w:val="00DF126D"/>
    <w:rsid w:val="00DF183A"/>
    <w:rsid w:val="00DF2B02"/>
    <w:rsid w:val="00DF3717"/>
    <w:rsid w:val="00DF5DE5"/>
    <w:rsid w:val="00DF6392"/>
    <w:rsid w:val="00DF674C"/>
    <w:rsid w:val="00DF7522"/>
    <w:rsid w:val="00DF7730"/>
    <w:rsid w:val="00E018D9"/>
    <w:rsid w:val="00E01CB5"/>
    <w:rsid w:val="00E030CF"/>
    <w:rsid w:val="00E03EC4"/>
    <w:rsid w:val="00E04D12"/>
    <w:rsid w:val="00E04F95"/>
    <w:rsid w:val="00E07182"/>
    <w:rsid w:val="00E07FA1"/>
    <w:rsid w:val="00E11D3B"/>
    <w:rsid w:val="00E11EDD"/>
    <w:rsid w:val="00E12641"/>
    <w:rsid w:val="00E12D39"/>
    <w:rsid w:val="00E13C54"/>
    <w:rsid w:val="00E16328"/>
    <w:rsid w:val="00E164D9"/>
    <w:rsid w:val="00E16655"/>
    <w:rsid w:val="00E169B5"/>
    <w:rsid w:val="00E17430"/>
    <w:rsid w:val="00E204EA"/>
    <w:rsid w:val="00E21B57"/>
    <w:rsid w:val="00E2268D"/>
    <w:rsid w:val="00E22CAE"/>
    <w:rsid w:val="00E22E27"/>
    <w:rsid w:val="00E245DD"/>
    <w:rsid w:val="00E24FC9"/>
    <w:rsid w:val="00E26071"/>
    <w:rsid w:val="00E3041E"/>
    <w:rsid w:val="00E30B7F"/>
    <w:rsid w:val="00E31850"/>
    <w:rsid w:val="00E32314"/>
    <w:rsid w:val="00E32950"/>
    <w:rsid w:val="00E32F0C"/>
    <w:rsid w:val="00E353E7"/>
    <w:rsid w:val="00E37A51"/>
    <w:rsid w:val="00E37B54"/>
    <w:rsid w:val="00E400CA"/>
    <w:rsid w:val="00E404B1"/>
    <w:rsid w:val="00E40639"/>
    <w:rsid w:val="00E42EA2"/>
    <w:rsid w:val="00E43296"/>
    <w:rsid w:val="00E4392D"/>
    <w:rsid w:val="00E43A6B"/>
    <w:rsid w:val="00E442D6"/>
    <w:rsid w:val="00E4444B"/>
    <w:rsid w:val="00E45B1E"/>
    <w:rsid w:val="00E4716F"/>
    <w:rsid w:val="00E5049D"/>
    <w:rsid w:val="00E50F93"/>
    <w:rsid w:val="00E5208A"/>
    <w:rsid w:val="00E52193"/>
    <w:rsid w:val="00E547AB"/>
    <w:rsid w:val="00E548DD"/>
    <w:rsid w:val="00E55C1C"/>
    <w:rsid w:val="00E576BB"/>
    <w:rsid w:val="00E63703"/>
    <w:rsid w:val="00E63C0B"/>
    <w:rsid w:val="00E64D67"/>
    <w:rsid w:val="00E64EC4"/>
    <w:rsid w:val="00E64F91"/>
    <w:rsid w:val="00E65B3C"/>
    <w:rsid w:val="00E667B5"/>
    <w:rsid w:val="00E66F3A"/>
    <w:rsid w:val="00E72587"/>
    <w:rsid w:val="00E72837"/>
    <w:rsid w:val="00E744AF"/>
    <w:rsid w:val="00E752BB"/>
    <w:rsid w:val="00E75454"/>
    <w:rsid w:val="00E76890"/>
    <w:rsid w:val="00E7711E"/>
    <w:rsid w:val="00E77B81"/>
    <w:rsid w:val="00E80ACF"/>
    <w:rsid w:val="00E81657"/>
    <w:rsid w:val="00E82607"/>
    <w:rsid w:val="00E83535"/>
    <w:rsid w:val="00E853CC"/>
    <w:rsid w:val="00E85DBA"/>
    <w:rsid w:val="00E908EE"/>
    <w:rsid w:val="00E9096A"/>
    <w:rsid w:val="00E931DD"/>
    <w:rsid w:val="00E93792"/>
    <w:rsid w:val="00E937EE"/>
    <w:rsid w:val="00E95BA3"/>
    <w:rsid w:val="00E962ED"/>
    <w:rsid w:val="00E9718F"/>
    <w:rsid w:val="00E972A9"/>
    <w:rsid w:val="00EA182A"/>
    <w:rsid w:val="00EA1F91"/>
    <w:rsid w:val="00EA2092"/>
    <w:rsid w:val="00EA24AA"/>
    <w:rsid w:val="00EA266E"/>
    <w:rsid w:val="00EA3274"/>
    <w:rsid w:val="00EA364B"/>
    <w:rsid w:val="00EA4609"/>
    <w:rsid w:val="00EA61BB"/>
    <w:rsid w:val="00EA6815"/>
    <w:rsid w:val="00EB1570"/>
    <w:rsid w:val="00EB2280"/>
    <w:rsid w:val="00EB2483"/>
    <w:rsid w:val="00EB26A0"/>
    <w:rsid w:val="00EB2CA1"/>
    <w:rsid w:val="00EB2CF7"/>
    <w:rsid w:val="00EB2DAD"/>
    <w:rsid w:val="00EB32C0"/>
    <w:rsid w:val="00EB454F"/>
    <w:rsid w:val="00EB5342"/>
    <w:rsid w:val="00EB55F6"/>
    <w:rsid w:val="00EB67FF"/>
    <w:rsid w:val="00EB69EF"/>
    <w:rsid w:val="00EB7B09"/>
    <w:rsid w:val="00EC0D18"/>
    <w:rsid w:val="00EC0DB5"/>
    <w:rsid w:val="00EC1E9D"/>
    <w:rsid w:val="00EC2140"/>
    <w:rsid w:val="00EC701F"/>
    <w:rsid w:val="00EC7B1F"/>
    <w:rsid w:val="00EC7CA7"/>
    <w:rsid w:val="00EC7FC6"/>
    <w:rsid w:val="00ED072F"/>
    <w:rsid w:val="00ED0749"/>
    <w:rsid w:val="00ED0D72"/>
    <w:rsid w:val="00ED1D5E"/>
    <w:rsid w:val="00ED23B3"/>
    <w:rsid w:val="00ED3954"/>
    <w:rsid w:val="00ED56DC"/>
    <w:rsid w:val="00ED574A"/>
    <w:rsid w:val="00ED5F36"/>
    <w:rsid w:val="00ED703C"/>
    <w:rsid w:val="00EE0CE4"/>
    <w:rsid w:val="00EE1343"/>
    <w:rsid w:val="00EE1C09"/>
    <w:rsid w:val="00EE380F"/>
    <w:rsid w:val="00EE45B3"/>
    <w:rsid w:val="00EE5F2F"/>
    <w:rsid w:val="00EE6EB2"/>
    <w:rsid w:val="00EE7B64"/>
    <w:rsid w:val="00EF03FC"/>
    <w:rsid w:val="00EF2763"/>
    <w:rsid w:val="00EF33D1"/>
    <w:rsid w:val="00EF3475"/>
    <w:rsid w:val="00EF5626"/>
    <w:rsid w:val="00EF7270"/>
    <w:rsid w:val="00EF7AAB"/>
    <w:rsid w:val="00F0039C"/>
    <w:rsid w:val="00F00D32"/>
    <w:rsid w:val="00F017E1"/>
    <w:rsid w:val="00F01CD5"/>
    <w:rsid w:val="00F02EEB"/>
    <w:rsid w:val="00F03CF0"/>
    <w:rsid w:val="00F03FC0"/>
    <w:rsid w:val="00F04A1B"/>
    <w:rsid w:val="00F05AED"/>
    <w:rsid w:val="00F060A1"/>
    <w:rsid w:val="00F06396"/>
    <w:rsid w:val="00F11DA1"/>
    <w:rsid w:val="00F124F9"/>
    <w:rsid w:val="00F13422"/>
    <w:rsid w:val="00F14019"/>
    <w:rsid w:val="00F141B9"/>
    <w:rsid w:val="00F14763"/>
    <w:rsid w:val="00F15F68"/>
    <w:rsid w:val="00F16D2F"/>
    <w:rsid w:val="00F16ED7"/>
    <w:rsid w:val="00F212AC"/>
    <w:rsid w:val="00F215EC"/>
    <w:rsid w:val="00F2199B"/>
    <w:rsid w:val="00F2232D"/>
    <w:rsid w:val="00F235D5"/>
    <w:rsid w:val="00F24809"/>
    <w:rsid w:val="00F24F69"/>
    <w:rsid w:val="00F255F4"/>
    <w:rsid w:val="00F310B3"/>
    <w:rsid w:val="00F31A9E"/>
    <w:rsid w:val="00F31F76"/>
    <w:rsid w:val="00F34DEE"/>
    <w:rsid w:val="00F35364"/>
    <w:rsid w:val="00F35E8A"/>
    <w:rsid w:val="00F36535"/>
    <w:rsid w:val="00F36B3D"/>
    <w:rsid w:val="00F37293"/>
    <w:rsid w:val="00F37578"/>
    <w:rsid w:val="00F37B78"/>
    <w:rsid w:val="00F40107"/>
    <w:rsid w:val="00F4177A"/>
    <w:rsid w:val="00F41D2E"/>
    <w:rsid w:val="00F42B95"/>
    <w:rsid w:val="00F45D19"/>
    <w:rsid w:val="00F462E8"/>
    <w:rsid w:val="00F46A37"/>
    <w:rsid w:val="00F4775A"/>
    <w:rsid w:val="00F47F79"/>
    <w:rsid w:val="00F502E6"/>
    <w:rsid w:val="00F51010"/>
    <w:rsid w:val="00F52BEC"/>
    <w:rsid w:val="00F52E0C"/>
    <w:rsid w:val="00F52E30"/>
    <w:rsid w:val="00F53868"/>
    <w:rsid w:val="00F53F0C"/>
    <w:rsid w:val="00F54102"/>
    <w:rsid w:val="00F54641"/>
    <w:rsid w:val="00F54A5F"/>
    <w:rsid w:val="00F552ED"/>
    <w:rsid w:val="00F60771"/>
    <w:rsid w:val="00F61B00"/>
    <w:rsid w:val="00F63EE8"/>
    <w:rsid w:val="00F64EA9"/>
    <w:rsid w:val="00F66118"/>
    <w:rsid w:val="00F671D2"/>
    <w:rsid w:val="00F6752E"/>
    <w:rsid w:val="00F70229"/>
    <w:rsid w:val="00F71CBE"/>
    <w:rsid w:val="00F73AD5"/>
    <w:rsid w:val="00F73CA4"/>
    <w:rsid w:val="00F74411"/>
    <w:rsid w:val="00F751FE"/>
    <w:rsid w:val="00F7703F"/>
    <w:rsid w:val="00F819DD"/>
    <w:rsid w:val="00F81D04"/>
    <w:rsid w:val="00F83C81"/>
    <w:rsid w:val="00F84324"/>
    <w:rsid w:val="00F84882"/>
    <w:rsid w:val="00F848D6"/>
    <w:rsid w:val="00F8700A"/>
    <w:rsid w:val="00F91BEA"/>
    <w:rsid w:val="00F92C35"/>
    <w:rsid w:val="00F92F6E"/>
    <w:rsid w:val="00F93635"/>
    <w:rsid w:val="00F9400D"/>
    <w:rsid w:val="00F94B10"/>
    <w:rsid w:val="00F9577D"/>
    <w:rsid w:val="00F964F3"/>
    <w:rsid w:val="00F97F8A"/>
    <w:rsid w:val="00FA013F"/>
    <w:rsid w:val="00FA09D7"/>
    <w:rsid w:val="00FA1B3B"/>
    <w:rsid w:val="00FA24C5"/>
    <w:rsid w:val="00FA2565"/>
    <w:rsid w:val="00FA2EFA"/>
    <w:rsid w:val="00FA2FA1"/>
    <w:rsid w:val="00FA339B"/>
    <w:rsid w:val="00FA37A6"/>
    <w:rsid w:val="00FA42FA"/>
    <w:rsid w:val="00FA5395"/>
    <w:rsid w:val="00FA568E"/>
    <w:rsid w:val="00FA5D24"/>
    <w:rsid w:val="00FA6904"/>
    <w:rsid w:val="00FA6D4F"/>
    <w:rsid w:val="00FA7A03"/>
    <w:rsid w:val="00FB0654"/>
    <w:rsid w:val="00FB132C"/>
    <w:rsid w:val="00FB1696"/>
    <w:rsid w:val="00FB1EF2"/>
    <w:rsid w:val="00FB1F39"/>
    <w:rsid w:val="00FB26F3"/>
    <w:rsid w:val="00FB3C5D"/>
    <w:rsid w:val="00FB42AE"/>
    <w:rsid w:val="00FB4388"/>
    <w:rsid w:val="00FB4B80"/>
    <w:rsid w:val="00FB6D3E"/>
    <w:rsid w:val="00FB72CB"/>
    <w:rsid w:val="00FB7A98"/>
    <w:rsid w:val="00FC07AA"/>
    <w:rsid w:val="00FC0CDE"/>
    <w:rsid w:val="00FC1089"/>
    <w:rsid w:val="00FC1E0E"/>
    <w:rsid w:val="00FC27E6"/>
    <w:rsid w:val="00FC28E2"/>
    <w:rsid w:val="00FC602B"/>
    <w:rsid w:val="00FD1B5E"/>
    <w:rsid w:val="00FD285A"/>
    <w:rsid w:val="00FD2BE0"/>
    <w:rsid w:val="00FD3057"/>
    <w:rsid w:val="00FD36B5"/>
    <w:rsid w:val="00FD3FA4"/>
    <w:rsid w:val="00FD467A"/>
    <w:rsid w:val="00FD4C5D"/>
    <w:rsid w:val="00FD505F"/>
    <w:rsid w:val="00FD572A"/>
    <w:rsid w:val="00FD6128"/>
    <w:rsid w:val="00FD69A6"/>
    <w:rsid w:val="00FE393E"/>
    <w:rsid w:val="00FE4027"/>
    <w:rsid w:val="00FE6A68"/>
    <w:rsid w:val="00FE7B83"/>
    <w:rsid w:val="00FF57DB"/>
    <w:rsid w:val="00FF5860"/>
    <w:rsid w:val="00FF5925"/>
    <w:rsid w:val="00FF5F11"/>
    <w:rsid w:val="00FF64F6"/>
    <w:rsid w:val="00FF7248"/>
    <w:rsid w:val="00FF7D9E"/>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CA979D"/>
  <w15:docId w15:val="{70FD3167-7C39-4605-B84E-23EF84B35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STKaiti" w:hAnsi="Arial" w:cs="Tahoma"/>
        <w:lang w:val="es-US" w:eastAsia="es-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956"/>
    <w:pPr>
      <w:spacing w:after="200" w:line="276" w:lineRule="auto"/>
    </w:pPr>
    <w:rPr>
      <w:rFonts w:ascii="Calibri" w:eastAsia="Calibri" w:hAnsi="Calibri" w:cs="Times New Roman"/>
      <w:sz w:val="22"/>
      <w:szCs w:val="22"/>
      <w:lang w:val="es-ES" w:eastAsia="en-US"/>
    </w:rPr>
  </w:style>
  <w:style w:type="paragraph" w:styleId="Ttulo1">
    <w:name w:val="heading 1"/>
    <w:basedOn w:val="Normal"/>
    <w:next w:val="Normal"/>
    <w:link w:val="Ttulo1Car"/>
    <w:autoRedefine/>
    <w:uiPriority w:val="9"/>
    <w:qFormat/>
    <w:rsid w:val="00715476"/>
    <w:pPr>
      <w:keepNext/>
      <w:keepLines/>
      <w:spacing w:after="0" w:line="360" w:lineRule="auto"/>
      <w:ind w:firstLine="720"/>
      <w:jc w:val="center"/>
      <w:outlineLvl w:val="0"/>
    </w:pPr>
    <w:rPr>
      <w:rFonts w:ascii="Arial" w:eastAsia="STKaiti" w:hAnsi="Arial" w:cs="Arial"/>
      <w:color w:val="0D0D0D"/>
      <w:sz w:val="28"/>
      <w:szCs w:val="28"/>
    </w:rPr>
  </w:style>
  <w:style w:type="paragraph" w:styleId="Ttulo2">
    <w:name w:val="heading 2"/>
    <w:basedOn w:val="Normal"/>
    <w:next w:val="Normal"/>
    <w:link w:val="Ttulo2Car"/>
    <w:autoRedefine/>
    <w:uiPriority w:val="9"/>
    <w:unhideWhenUsed/>
    <w:qFormat/>
    <w:rsid w:val="00DA7CB5"/>
    <w:pPr>
      <w:keepNext/>
      <w:keepLines/>
      <w:shd w:val="clear" w:color="auto" w:fill="FFFFFF"/>
      <w:spacing w:after="0" w:line="360" w:lineRule="auto"/>
      <w:ind w:firstLine="720"/>
      <w:outlineLvl w:val="1"/>
    </w:pPr>
    <w:rPr>
      <w:rFonts w:ascii="Arial" w:eastAsia="STKaiti" w:hAnsi="Arial" w:cs="Arial"/>
      <w:bCs/>
      <w:sz w:val="24"/>
      <w:szCs w:val="24"/>
      <w:lang w:eastAsia="es-US"/>
    </w:rPr>
  </w:style>
  <w:style w:type="paragraph" w:styleId="Ttulo3">
    <w:name w:val="heading 3"/>
    <w:basedOn w:val="Normal"/>
    <w:next w:val="Normal"/>
    <w:link w:val="Ttulo3Car"/>
    <w:autoRedefine/>
    <w:uiPriority w:val="9"/>
    <w:unhideWhenUsed/>
    <w:qFormat/>
    <w:rsid w:val="00715476"/>
    <w:pPr>
      <w:keepNext/>
      <w:keepLines/>
      <w:spacing w:before="40" w:after="0" w:line="360" w:lineRule="auto"/>
      <w:jc w:val="center"/>
      <w:outlineLvl w:val="2"/>
    </w:pPr>
    <w:rPr>
      <w:rFonts w:ascii="Arial" w:eastAsia="STKaiti" w:hAnsi="Arial" w:cs="Arial"/>
      <w:bCs/>
      <w:noProof/>
      <w:lang w:val="es-MX" w:eastAsia="es-US"/>
    </w:rPr>
  </w:style>
  <w:style w:type="paragraph" w:styleId="Ttulo4">
    <w:name w:val="heading 4"/>
    <w:basedOn w:val="Normal"/>
    <w:next w:val="Normal"/>
    <w:link w:val="Ttulo4Car"/>
    <w:autoRedefine/>
    <w:uiPriority w:val="9"/>
    <w:unhideWhenUsed/>
    <w:qFormat/>
    <w:rsid w:val="007367DF"/>
    <w:pPr>
      <w:keepNext/>
      <w:keepLines/>
      <w:spacing w:after="0" w:line="360" w:lineRule="auto"/>
      <w:jc w:val="center"/>
      <w:outlineLvl w:val="3"/>
    </w:pPr>
    <w:rPr>
      <w:rFonts w:ascii="Arial" w:eastAsia="STKaiti" w:hAnsi="Arial" w:cs="Arial"/>
      <w:bCs/>
      <w:iCs/>
      <w:lang w:eastAsia="es-US"/>
    </w:rPr>
  </w:style>
  <w:style w:type="paragraph" w:styleId="Ttulo5">
    <w:name w:val="heading 5"/>
    <w:basedOn w:val="Normal"/>
    <w:next w:val="Normal"/>
    <w:link w:val="Ttulo5Car"/>
    <w:autoRedefine/>
    <w:uiPriority w:val="9"/>
    <w:semiHidden/>
    <w:unhideWhenUsed/>
    <w:qFormat/>
    <w:rsid w:val="00B66857"/>
    <w:pPr>
      <w:keepNext/>
      <w:keepLines/>
      <w:spacing w:before="40" w:after="0" w:line="360" w:lineRule="auto"/>
      <w:ind w:firstLine="864"/>
      <w:outlineLvl w:val="4"/>
    </w:pPr>
    <w:rPr>
      <w:rFonts w:ascii="Arial" w:eastAsia="STKaiti" w:hAnsi="Arial"/>
      <w:sz w:val="20"/>
      <w:szCs w:val="20"/>
      <w:lang w:val="es-US" w:eastAsia="es-US"/>
    </w:rPr>
  </w:style>
  <w:style w:type="paragraph" w:styleId="Ttulo6">
    <w:name w:val="heading 6"/>
    <w:basedOn w:val="Normal"/>
    <w:next w:val="Normal"/>
    <w:link w:val="Ttulo6Car"/>
    <w:autoRedefine/>
    <w:uiPriority w:val="9"/>
    <w:semiHidden/>
    <w:unhideWhenUsed/>
    <w:qFormat/>
    <w:rsid w:val="00B66857"/>
    <w:pPr>
      <w:keepNext/>
      <w:keepLines/>
      <w:spacing w:before="40"/>
      <w:outlineLvl w:val="5"/>
    </w:pPr>
    <w:rPr>
      <w:sz w:val="20"/>
      <w:szCs w:val="20"/>
    </w:rPr>
  </w:style>
  <w:style w:type="paragraph" w:styleId="Ttulo7">
    <w:name w:val="heading 7"/>
    <w:basedOn w:val="Normal"/>
    <w:next w:val="Normal"/>
    <w:link w:val="Ttulo7Car"/>
    <w:autoRedefine/>
    <w:uiPriority w:val="9"/>
    <w:semiHidden/>
    <w:unhideWhenUsed/>
    <w:qFormat/>
    <w:rsid w:val="00B66857"/>
    <w:pPr>
      <w:keepNext/>
      <w:keepLines/>
      <w:spacing w:before="40"/>
      <w:outlineLvl w:val="6"/>
    </w:pPr>
    <w:rPr>
      <w:i/>
      <w:iCs/>
      <w:sz w:val="20"/>
      <w:szCs w:val="20"/>
    </w:rPr>
  </w:style>
  <w:style w:type="paragraph" w:styleId="Ttulo8">
    <w:name w:val="heading 8"/>
    <w:basedOn w:val="Normal"/>
    <w:next w:val="Normal"/>
    <w:link w:val="Ttulo8Car"/>
    <w:autoRedefine/>
    <w:uiPriority w:val="9"/>
    <w:unhideWhenUsed/>
    <w:qFormat/>
    <w:rsid w:val="00B66857"/>
    <w:pPr>
      <w:keepNext/>
      <w:keepLines/>
      <w:spacing w:before="40" w:after="0" w:line="360" w:lineRule="auto"/>
      <w:ind w:firstLine="864"/>
      <w:outlineLvl w:val="7"/>
    </w:pPr>
    <w:rPr>
      <w:rFonts w:ascii="Arial" w:eastAsia="STKaiti" w:hAnsi="Arial"/>
      <w:caps/>
      <w:color w:val="272727"/>
      <w:sz w:val="20"/>
      <w:szCs w:val="18"/>
      <w:lang w:val="es-US" w:eastAsia="es-US"/>
    </w:rPr>
  </w:style>
  <w:style w:type="paragraph" w:styleId="Ttulo9">
    <w:name w:val="heading 9"/>
    <w:basedOn w:val="Normal"/>
    <w:next w:val="Normal"/>
    <w:link w:val="Ttulo9Car"/>
    <w:autoRedefine/>
    <w:uiPriority w:val="9"/>
    <w:semiHidden/>
    <w:unhideWhenUsed/>
    <w:qFormat/>
    <w:rsid w:val="00B66857"/>
    <w:pPr>
      <w:keepNext/>
      <w:keepLines/>
      <w:spacing w:before="40" w:after="0" w:line="360" w:lineRule="auto"/>
      <w:ind w:firstLine="864"/>
      <w:outlineLvl w:val="8"/>
    </w:pPr>
    <w:rPr>
      <w:rFonts w:ascii="Arial" w:eastAsia="STKaiti" w:hAnsi="Arial"/>
      <w:i/>
      <w:iCs/>
      <w:caps/>
      <w:sz w:val="20"/>
      <w:szCs w:val="18"/>
      <w:lang w:val="es-US" w:eastAsia="es-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715476"/>
    <w:rPr>
      <w:rFonts w:cs="Arial"/>
      <w:color w:val="0D0D0D"/>
      <w:sz w:val="28"/>
      <w:szCs w:val="28"/>
      <w:lang w:val="es-ES" w:eastAsia="en-US"/>
    </w:rPr>
  </w:style>
  <w:style w:type="character" w:customStyle="1" w:styleId="Ttulo2Car">
    <w:name w:val="Título 2 Car"/>
    <w:link w:val="Ttulo2"/>
    <w:uiPriority w:val="9"/>
    <w:rsid w:val="00DA7CB5"/>
    <w:rPr>
      <w:rFonts w:cs="Arial"/>
      <w:bCs/>
      <w:sz w:val="24"/>
      <w:szCs w:val="24"/>
      <w:shd w:val="clear" w:color="auto" w:fill="FFFFFF"/>
      <w:lang w:val="es-ES"/>
    </w:rPr>
  </w:style>
  <w:style w:type="character" w:customStyle="1" w:styleId="Ttulo3Car">
    <w:name w:val="Título 3 Car"/>
    <w:link w:val="Ttulo3"/>
    <w:uiPriority w:val="9"/>
    <w:rsid w:val="00715476"/>
    <w:rPr>
      <w:rFonts w:cs="Arial"/>
      <w:bCs/>
      <w:noProof/>
      <w:sz w:val="22"/>
      <w:szCs w:val="22"/>
      <w:lang w:val="es-MX"/>
    </w:rPr>
  </w:style>
  <w:style w:type="character" w:customStyle="1" w:styleId="Ttulo4Car">
    <w:name w:val="Título 4 Car"/>
    <w:link w:val="Ttulo4"/>
    <w:uiPriority w:val="9"/>
    <w:rsid w:val="007367DF"/>
    <w:rPr>
      <w:rFonts w:cs="Arial"/>
      <w:bCs/>
      <w:iCs/>
      <w:sz w:val="22"/>
      <w:szCs w:val="22"/>
      <w:lang w:val="es-ES"/>
    </w:rPr>
  </w:style>
  <w:style w:type="character" w:customStyle="1" w:styleId="Ttulo5Car">
    <w:name w:val="Título 5 Car"/>
    <w:link w:val="Ttulo5"/>
    <w:uiPriority w:val="9"/>
    <w:rsid w:val="001D4931"/>
    <w:rPr>
      <w:rFonts w:ascii="Candara" w:eastAsia="STKaiti" w:hAnsi="Candara" w:cs="Tahoma"/>
    </w:rPr>
  </w:style>
  <w:style w:type="character" w:customStyle="1" w:styleId="Ttulo6Car">
    <w:name w:val="Título 6 Car"/>
    <w:link w:val="Ttulo6"/>
    <w:uiPriority w:val="9"/>
    <w:semiHidden/>
    <w:rsid w:val="00B66857"/>
    <w:rPr>
      <w:rFonts w:ascii="Candara" w:eastAsia="STKaiti" w:hAnsi="Candara" w:cs="Tahoma"/>
      <w:szCs w:val="20"/>
    </w:rPr>
  </w:style>
  <w:style w:type="character" w:customStyle="1" w:styleId="Ttulo7Car">
    <w:name w:val="Título 7 Car"/>
    <w:link w:val="Ttulo7"/>
    <w:uiPriority w:val="9"/>
    <w:semiHidden/>
    <w:rsid w:val="00B66857"/>
    <w:rPr>
      <w:rFonts w:ascii="Candara" w:eastAsia="STKaiti" w:hAnsi="Candara" w:cs="Tahoma"/>
      <w:i/>
      <w:iCs/>
      <w:szCs w:val="20"/>
    </w:rPr>
  </w:style>
  <w:style w:type="character" w:customStyle="1" w:styleId="Ttulo8Car">
    <w:name w:val="Título 8 Car"/>
    <w:link w:val="Ttulo8"/>
    <w:uiPriority w:val="9"/>
    <w:rsid w:val="00B66857"/>
    <w:rPr>
      <w:rFonts w:ascii="Candara" w:eastAsia="STKaiti" w:hAnsi="Candara" w:cs="Tahoma"/>
      <w:caps/>
      <w:color w:val="272727"/>
      <w:szCs w:val="18"/>
    </w:rPr>
  </w:style>
  <w:style w:type="character" w:customStyle="1" w:styleId="Ttulo9Car">
    <w:name w:val="Título 9 Car"/>
    <w:link w:val="Ttulo9"/>
    <w:uiPriority w:val="9"/>
    <w:semiHidden/>
    <w:rsid w:val="00B66857"/>
    <w:rPr>
      <w:rFonts w:ascii="Candara" w:eastAsia="STKaiti" w:hAnsi="Candara" w:cs="Tahoma"/>
      <w:i/>
      <w:iCs/>
      <w:caps/>
      <w:szCs w:val="18"/>
    </w:rPr>
  </w:style>
  <w:style w:type="paragraph" w:styleId="Puesto">
    <w:name w:val="Title"/>
    <w:basedOn w:val="Normal"/>
    <w:next w:val="Normal"/>
    <w:link w:val="PuestoCar"/>
    <w:uiPriority w:val="1"/>
    <w:qFormat/>
    <w:rsid w:val="001D4931"/>
    <w:pPr>
      <w:spacing w:after="0" w:line="240" w:lineRule="auto"/>
      <w:ind w:firstLine="864"/>
      <w:contextualSpacing/>
    </w:pPr>
    <w:rPr>
      <w:rFonts w:ascii="Arial" w:eastAsia="STKaiti" w:hAnsi="Arial"/>
      <w:spacing w:val="-10"/>
      <w:kern w:val="28"/>
      <w:sz w:val="72"/>
      <w:szCs w:val="72"/>
      <w:lang w:val="es-US" w:eastAsia="es-US"/>
    </w:rPr>
  </w:style>
  <w:style w:type="character" w:customStyle="1" w:styleId="PuestoCar">
    <w:name w:val="Puesto Car"/>
    <w:link w:val="Puesto"/>
    <w:uiPriority w:val="1"/>
    <w:rsid w:val="00B66857"/>
    <w:rPr>
      <w:rFonts w:ascii="Candara" w:eastAsia="STKaiti" w:hAnsi="Candara" w:cs="Tahoma"/>
      <w:spacing w:val="-10"/>
      <w:kern w:val="28"/>
      <w:sz w:val="72"/>
      <w:szCs w:val="72"/>
    </w:rPr>
  </w:style>
  <w:style w:type="paragraph" w:styleId="Subttulo">
    <w:name w:val="Subtitle"/>
    <w:basedOn w:val="Normal"/>
    <w:next w:val="Normal"/>
    <w:link w:val="SubttuloCar"/>
    <w:uiPriority w:val="11"/>
    <w:semiHidden/>
    <w:unhideWhenUsed/>
    <w:rsid w:val="000A0F9B"/>
    <w:pPr>
      <w:numPr>
        <w:ilvl w:val="1"/>
      </w:numPr>
      <w:ind w:firstLine="864"/>
    </w:pPr>
    <w:rPr>
      <w:color w:val="404040"/>
      <w:spacing w:val="15"/>
      <w:sz w:val="20"/>
      <w:szCs w:val="20"/>
    </w:rPr>
  </w:style>
  <w:style w:type="character" w:customStyle="1" w:styleId="SubttuloCar">
    <w:name w:val="Subtítulo Car"/>
    <w:link w:val="Subttulo"/>
    <w:uiPriority w:val="11"/>
    <w:semiHidden/>
    <w:rsid w:val="000A0F9B"/>
    <w:rPr>
      <w:color w:val="404040"/>
      <w:spacing w:val="15"/>
    </w:rPr>
  </w:style>
  <w:style w:type="character" w:styleId="nfasisintenso">
    <w:name w:val="Intense Emphasis"/>
    <w:uiPriority w:val="21"/>
    <w:semiHidden/>
    <w:unhideWhenUsed/>
    <w:qFormat/>
    <w:rsid w:val="000A0F9B"/>
    <w:rPr>
      <w:i/>
      <w:iCs/>
      <w:color w:val="0D5672"/>
    </w:rPr>
  </w:style>
  <w:style w:type="paragraph" w:styleId="Citadestacada">
    <w:name w:val="Intense Quote"/>
    <w:basedOn w:val="Normal"/>
    <w:next w:val="Normal"/>
    <w:link w:val="CitadestacadaCar"/>
    <w:uiPriority w:val="30"/>
    <w:semiHidden/>
    <w:unhideWhenUsed/>
    <w:qFormat/>
    <w:rsid w:val="000A0F9B"/>
    <w:pPr>
      <w:pBdr>
        <w:top w:val="single" w:sz="4" w:space="10" w:color="0D5672"/>
        <w:bottom w:val="single" w:sz="4" w:space="10" w:color="0D5672"/>
      </w:pBdr>
      <w:spacing w:before="360" w:after="360"/>
      <w:ind w:left="864" w:right="864"/>
      <w:jc w:val="center"/>
    </w:pPr>
    <w:rPr>
      <w:i/>
      <w:iCs/>
      <w:color w:val="0D5672"/>
      <w:sz w:val="20"/>
      <w:szCs w:val="20"/>
    </w:rPr>
  </w:style>
  <w:style w:type="character" w:customStyle="1" w:styleId="CitadestacadaCar">
    <w:name w:val="Cita destacada Car"/>
    <w:link w:val="Citadestacada"/>
    <w:uiPriority w:val="30"/>
    <w:semiHidden/>
    <w:rsid w:val="000A0F9B"/>
    <w:rPr>
      <w:i/>
      <w:iCs/>
      <w:color w:val="0D5672"/>
    </w:rPr>
  </w:style>
  <w:style w:type="character" w:styleId="Referenciaintensa">
    <w:name w:val="Intense Reference"/>
    <w:uiPriority w:val="32"/>
    <w:semiHidden/>
    <w:unhideWhenUsed/>
    <w:qFormat/>
    <w:rsid w:val="000A0F9B"/>
    <w:rPr>
      <w:b/>
      <w:bCs/>
      <w:caps w:val="0"/>
      <w:smallCaps/>
      <w:color w:val="0D5672"/>
      <w:spacing w:val="5"/>
    </w:rPr>
  </w:style>
  <w:style w:type="paragraph" w:styleId="Descripcin">
    <w:name w:val="caption"/>
    <w:basedOn w:val="Normal"/>
    <w:next w:val="Normal"/>
    <w:uiPriority w:val="35"/>
    <w:semiHidden/>
    <w:unhideWhenUsed/>
    <w:qFormat/>
    <w:rsid w:val="00B66857"/>
    <w:pPr>
      <w:spacing w:line="240" w:lineRule="auto"/>
    </w:pPr>
    <w:rPr>
      <w:i/>
      <w:iCs/>
      <w:szCs w:val="20"/>
    </w:rPr>
  </w:style>
  <w:style w:type="paragraph" w:styleId="TtulodeTDC">
    <w:name w:val="TOC Heading"/>
    <w:basedOn w:val="Ttulo1"/>
    <w:next w:val="Normal"/>
    <w:uiPriority w:val="39"/>
    <w:semiHidden/>
    <w:unhideWhenUsed/>
    <w:qFormat/>
    <w:rsid w:val="001D4931"/>
    <w:pPr>
      <w:outlineLvl w:val="9"/>
    </w:pPr>
  </w:style>
  <w:style w:type="paragraph" w:styleId="Textodeglobo">
    <w:name w:val="Balloon Text"/>
    <w:basedOn w:val="Normal"/>
    <w:link w:val="TextodegloboCar"/>
    <w:uiPriority w:val="99"/>
    <w:semiHidden/>
    <w:unhideWhenUsed/>
    <w:rsid w:val="00B66857"/>
    <w:pPr>
      <w:spacing w:line="240" w:lineRule="auto"/>
    </w:pPr>
    <w:rPr>
      <w:rFonts w:ascii="Segoe UI" w:hAnsi="Segoe UI"/>
      <w:sz w:val="20"/>
      <w:szCs w:val="18"/>
    </w:rPr>
  </w:style>
  <w:style w:type="character" w:customStyle="1" w:styleId="TextodegloboCar">
    <w:name w:val="Texto de globo Car"/>
    <w:link w:val="Textodeglobo"/>
    <w:uiPriority w:val="99"/>
    <w:semiHidden/>
    <w:rsid w:val="00B66857"/>
    <w:rPr>
      <w:rFonts w:ascii="Segoe UI" w:hAnsi="Segoe UI" w:cs="Segoe UI"/>
      <w:szCs w:val="18"/>
    </w:rPr>
  </w:style>
  <w:style w:type="paragraph" w:styleId="Textoindependiente3">
    <w:name w:val="Body Text 3"/>
    <w:basedOn w:val="Normal"/>
    <w:link w:val="Textoindependiente3Car"/>
    <w:uiPriority w:val="99"/>
    <w:semiHidden/>
    <w:unhideWhenUsed/>
    <w:rsid w:val="00B66857"/>
    <w:pPr>
      <w:spacing w:after="120"/>
    </w:pPr>
    <w:rPr>
      <w:sz w:val="20"/>
      <w:szCs w:val="16"/>
    </w:rPr>
  </w:style>
  <w:style w:type="character" w:customStyle="1" w:styleId="Textoindependiente3Car">
    <w:name w:val="Texto independiente 3 Car"/>
    <w:link w:val="Textoindependiente3"/>
    <w:uiPriority w:val="99"/>
    <w:semiHidden/>
    <w:rsid w:val="00B66857"/>
    <w:rPr>
      <w:szCs w:val="16"/>
    </w:rPr>
  </w:style>
  <w:style w:type="paragraph" w:styleId="Sangra3detindependiente">
    <w:name w:val="Body Text Indent 3"/>
    <w:basedOn w:val="Normal"/>
    <w:link w:val="Sangra3detindependienteCar"/>
    <w:uiPriority w:val="99"/>
    <w:semiHidden/>
    <w:unhideWhenUsed/>
    <w:rsid w:val="00B66857"/>
    <w:pPr>
      <w:spacing w:after="120"/>
      <w:ind w:left="360"/>
    </w:pPr>
    <w:rPr>
      <w:sz w:val="20"/>
      <w:szCs w:val="16"/>
    </w:rPr>
  </w:style>
  <w:style w:type="character" w:customStyle="1" w:styleId="Sangra3detindependienteCar">
    <w:name w:val="Sangría 3 de t. independiente Car"/>
    <w:link w:val="Sangra3detindependiente"/>
    <w:uiPriority w:val="99"/>
    <w:semiHidden/>
    <w:rsid w:val="00B66857"/>
    <w:rPr>
      <w:szCs w:val="16"/>
    </w:rPr>
  </w:style>
  <w:style w:type="character" w:styleId="Refdecomentario">
    <w:name w:val="annotation reference"/>
    <w:uiPriority w:val="99"/>
    <w:semiHidden/>
    <w:unhideWhenUsed/>
    <w:rsid w:val="00B66857"/>
    <w:rPr>
      <w:sz w:val="22"/>
      <w:szCs w:val="16"/>
    </w:rPr>
  </w:style>
  <w:style w:type="paragraph" w:styleId="Textocomentario">
    <w:name w:val="annotation text"/>
    <w:basedOn w:val="Normal"/>
    <w:link w:val="TextocomentarioCar"/>
    <w:uiPriority w:val="99"/>
    <w:unhideWhenUsed/>
    <w:rsid w:val="00B66857"/>
    <w:pPr>
      <w:spacing w:after="0" w:line="240" w:lineRule="auto"/>
      <w:ind w:firstLine="864"/>
    </w:pPr>
    <w:rPr>
      <w:rFonts w:ascii="Arial" w:eastAsia="STKaiti" w:hAnsi="Arial"/>
      <w:sz w:val="20"/>
      <w:szCs w:val="20"/>
      <w:lang w:val="es-US" w:eastAsia="es-US"/>
    </w:rPr>
  </w:style>
  <w:style w:type="character" w:customStyle="1" w:styleId="TextocomentarioCar">
    <w:name w:val="Texto comentario Car"/>
    <w:link w:val="Textocomentario"/>
    <w:uiPriority w:val="99"/>
    <w:rsid w:val="00B66857"/>
    <w:rPr>
      <w:szCs w:val="20"/>
    </w:rPr>
  </w:style>
  <w:style w:type="paragraph" w:styleId="Asuntodelcomentario">
    <w:name w:val="annotation subject"/>
    <w:basedOn w:val="Textocomentario"/>
    <w:next w:val="Textocomentario"/>
    <w:link w:val="AsuntodelcomentarioCar"/>
    <w:uiPriority w:val="99"/>
    <w:semiHidden/>
    <w:unhideWhenUsed/>
    <w:rsid w:val="00B66857"/>
    <w:rPr>
      <w:b/>
      <w:bCs/>
    </w:rPr>
  </w:style>
  <w:style w:type="character" w:customStyle="1" w:styleId="AsuntodelcomentarioCar">
    <w:name w:val="Asunto del comentario Car"/>
    <w:link w:val="Asuntodelcomentario"/>
    <w:uiPriority w:val="99"/>
    <w:semiHidden/>
    <w:rsid w:val="00B66857"/>
    <w:rPr>
      <w:b/>
      <w:bCs/>
      <w:szCs w:val="20"/>
    </w:rPr>
  </w:style>
  <w:style w:type="paragraph" w:styleId="Mapadeldocumento">
    <w:name w:val="Document Map"/>
    <w:basedOn w:val="Normal"/>
    <w:link w:val="MapadeldocumentoCar"/>
    <w:uiPriority w:val="99"/>
    <w:semiHidden/>
    <w:unhideWhenUsed/>
    <w:rsid w:val="00B66857"/>
    <w:pPr>
      <w:spacing w:line="240" w:lineRule="auto"/>
    </w:pPr>
    <w:rPr>
      <w:rFonts w:ascii="Segoe UI" w:hAnsi="Segoe UI"/>
      <w:sz w:val="20"/>
      <w:szCs w:val="16"/>
    </w:rPr>
  </w:style>
  <w:style w:type="character" w:customStyle="1" w:styleId="MapadeldocumentoCar">
    <w:name w:val="Mapa del documento Car"/>
    <w:link w:val="Mapadeldocumento"/>
    <w:uiPriority w:val="99"/>
    <w:semiHidden/>
    <w:rsid w:val="00B66857"/>
    <w:rPr>
      <w:rFonts w:ascii="Segoe UI" w:hAnsi="Segoe UI" w:cs="Segoe UI"/>
      <w:szCs w:val="16"/>
    </w:rPr>
  </w:style>
  <w:style w:type="paragraph" w:styleId="Textonotaalfinal">
    <w:name w:val="endnote text"/>
    <w:basedOn w:val="Normal"/>
    <w:link w:val="TextonotaalfinalCar"/>
    <w:uiPriority w:val="99"/>
    <w:semiHidden/>
    <w:unhideWhenUsed/>
    <w:rsid w:val="00B66857"/>
    <w:pPr>
      <w:spacing w:line="240" w:lineRule="auto"/>
    </w:pPr>
    <w:rPr>
      <w:sz w:val="20"/>
      <w:szCs w:val="20"/>
    </w:rPr>
  </w:style>
  <w:style w:type="character" w:customStyle="1" w:styleId="TextonotaalfinalCar">
    <w:name w:val="Texto nota al final Car"/>
    <w:link w:val="Textonotaalfinal"/>
    <w:uiPriority w:val="99"/>
    <w:semiHidden/>
    <w:rsid w:val="00B66857"/>
    <w:rPr>
      <w:szCs w:val="20"/>
    </w:rPr>
  </w:style>
  <w:style w:type="paragraph" w:styleId="Remitedesobre">
    <w:name w:val="envelope return"/>
    <w:basedOn w:val="Normal"/>
    <w:uiPriority w:val="99"/>
    <w:semiHidden/>
    <w:unhideWhenUsed/>
    <w:rsid w:val="00B66857"/>
    <w:pPr>
      <w:spacing w:after="0" w:line="240" w:lineRule="auto"/>
      <w:ind w:firstLine="864"/>
    </w:pPr>
    <w:rPr>
      <w:rFonts w:ascii="Candara" w:eastAsia="STKaiti" w:hAnsi="Candara" w:cs="Tahoma"/>
      <w:szCs w:val="20"/>
      <w:lang w:val="es-US" w:eastAsia="es-US"/>
    </w:rPr>
  </w:style>
  <w:style w:type="paragraph" w:styleId="Textonotapie">
    <w:name w:val="footnote text"/>
    <w:aliases w:val="5_G"/>
    <w:basedOn w:val="Normal"/>
    <w:link w:val="TextonotapieCar"/>
    <w:uiPriority w:val="99"/>
    <w:unhideWhenUsed/>
    <w:rsid w:val="00F14019"/>
    <w:pPr>
      <w:spacing w:after="0" w:line="240" w:lineRule="auto"/>
      <w:ind w:firstLine="864"/>
    </w:pPr>
    <w:rPr>
      <w:rFonts w:ascii="Times New Roman" w:eastAsia="STKaiti" w:hAnsi="Times New Roman"/>
      <w:sz w:val="20"/>
      <w:szCs w:val="20"/>
      <w:lang w:val="es-US" w:eastAsia="es-US"/>
    </w:rPr>
  </w:style>
  <w:style w:type="character" w:customStyle="1" w:styleId="TextonotapieCar">
    <w:name w:val="Texto nota pie Car"/>
    <w:aliases w:val="5_G Car"/>
    <w:link w:val="Textonotapie"/>
    <w:uiPriority w:val="99"/>
    <w:rsid w:val="00F14019"/>
    <w:rPr>
      <w:rFonts w:ascii="Times New Roman" w:hAnsi="Times New Roman" w:cs="Times New Roman"/>
    </w:rPr>
  </w:style>
  <w:style w:type="character" w:styleId="CdigoHTML">
    <w:name w:val="HTML Code"/>
    <w:uiPriority w:val="99"/>
    <w:semiHidden/>
    <w:unhideWhenUsed/>
    <w:rsid w:val="00B66857"/>
    <w:rPr>
      <w:rFonts w:ascii="Consolas" w:hAnsi="Consolas"/>
      <w:sz w:val="22"/>
      <w:szCs w:val="20"/>
    </w:rPr>
  </w:style>
  <w:style w:type="character" w:styleId="TecladoHTML">
    <w:name w:val="HTML Keyboard"/>
    <w:uiPriority w:val="99"/>
    <w:semiHidden/>
    <w:unhideWhenUsed/>
    <w:rsid w:val="00B66857"/>
    <w:rPr>
      <w:rFonts w:ascii="Consolas" w:hAnsi="Consolas"/>
      <w:sz w:val="22"/>
      <w:szCs w:val="20"/>
    </w:rPr>
  </w:style>
  <w:style w:type="paragraph" w:styleId="HTMLconformatoprevio">
    <w:name w:val="HTML Preformatted"/>
    <w:basedOn w:val="Normal"/>
    <w:link w:val="HTMLconformatoprevioCar"/>
    <w:uiPriority w:val="99"/>
    <w:unhideWhenUsed/>
    <w:rsid w:val="00B66857"/>
    <w:pPr>
      <w:spacing w:after="0" w:line="240" w:lineRule="auto"/>
      <w:ind w:firstLine="864"/>
    </w:pPr>
    <w:rPr>
      <w:rFonts w:ascii="Consolas" w:eastAsia="STKaiti" w:hAnsi="Consolas"/>
      <w:sz w:val="20"/>
      <w:szCs w:val="20"/>
      <w:lang w:val="es-US" w:eastAsia="es-US"/>
    </w:rPr>
  </w:style>
  <w:style w:type="character" w:customStyle="1" w:styleId="HTMLconformatoprevioCar">
    <w:name w:val="HTML con formato previo Car"/>
    <w:link w:val="HTMLconformatoprevio"/>
    <w:uiPriority w:val="99"/>
    <w:rsid w:val="00B66857"/>
    <w:rPr>
      <w:rFonts w:ascii="Consolas" w:hAnsi="Consolas"/>
      <w:szCs w:val="20"/>
    </w:rPr>
  </w:style>
  <w:style w:type="character" w:styleId="MquinadeescribirHTML">
    <w:name w:val="HTML Typewriter"/>
    <w:uiPriority w:val="99"/>
    <w:semiHidden/>
    <w:unhideWhenUsed/>
    <w:rsid w:val="00B66857"/>
    <w:rPr>
      <w:rFonts w:ascii="Consolas" w:hAnsi="Consolas"/>
      <w:sz w:val="22"/>
      <w:szCs w:val="20"/>
    </w:rPr>
  </w:style>
  <w:style w:type="paragraph" w:styleId="Textomacro">
    <w:name w:val="macro"/>
    <w:link w:val="TextomacroCar"/>
    <w:uiPriority w:val="99"/>
    <w:semiHidden/>
    <w:unhideWhenUsed/>
    <w:rsid w:val="00B66857"/>
    <w:pPr>
      <w:tabs>
        <w:tab w:val="left" w:pos="480"/>
        <w:tab w:val="left" w:pos="960"/>
        <w:tab w:val="left" w:pos="1440"/>
        <w:tab w:val="left" w:pos="1920"/>
        <w:tab w:val="left" w:pos="2400"/>
        <w:tab w:val="left" w:pos="2880"/>
        <w:tab w:val="left" w:pos="3360"/>
        <w:tab w:val="left" w:pos="3840"/>
        <w:tab w:val="left" w:pos="4320"/>
      </w:tabs>
      <w:spacing w:after="100" w:afterAutospacing="1" w:line="259" w:lineRule="auto"/>
      <w:ind w:firstLine="720"/>
    </w:pPr>
    <w:rPr>
      <w:rFonts w:ascii="Consolas" w:hAnsi="Consolas"/>
      <w:sz w:val="22"/>
      <w:szCs w:val="22"/>
      <w:lang w:val="es-MX" w:eastAsia="es-MX"/>
    </w:rPr>
  </w:style>
  <w:style w:type="character" w:customStyle="1" w:styleId="TextomacroCar">
    <w:name w:val="Texto macro Car"/>
    <w:link w:val="Textomacro"/>
    <w:uiPriority w:val="99"/>
    <w:semiHidden/>
    <w:rsid w:val="00B66857"/>
    <w:rPr>
      <w:rFonts w:ascii="Consolas" w:hAnsi="Consolas"/>
      <w:lang w:val="es-MX" w:eastAsia="es-MX" w:bidi="ar-SA"/>
    </w:rPr>
  </w:style>
  <w:style w:type="paragraph" w:styleId="Textosinformato">
    <w:name w:val="Plain Text"/>
    <w:basedOn w:val="Normal"/>
    <w:link w:val="TextosinformatoCar"/>
    <w:uiPriority w:val="99"/>
    <w:semiHidden/>
    <w:unhideWhenUsed/>
    <w:rsid w:val="00B66857"/>
    <w:pPr>
      <w:spacing w:line="240" w:lineRule="auto"/>
    </w:pPr>
    <w:rPr>
      <w:rFonts w:ascii="Consolas" w:hAnsi="Consolas"/>
      <w:sz w:val="20"/>
      <w:szCs w:val="21"/>
    </w:rPr>
  </w:style>
  <w:style w:type="character" w:customStyle="1" w:styleId="TextosinformatoCar">
    <w:name w:val="Texto sin formato Car"/>
    <w:link w:val="Textosinformato"/>
    <w:uiPriority w:val="99"/>
    <w:semiHidden/>
    <w:rsid w:val="00B66857"/>
    <w:rPr>
      <w:rFonts w:ascii="Consolas" w:hAnsi="Consolas"/>
      <w:szCs w:val="21"/>
    </w:rPr>
  </w:style>
  <w:style w:type="paragraph" w:styleId="Textodebloque">
    <w:name w:val="Block Text"/>
    <w:basedOn w:val="Normal"/>
    <w:uiPriority w:val="99"/>
    <w:semiHidden/>
    <w:unhideWhenUsed/>
    <w:rsid w:val="00216BF8"/>
    <w:pPr>
      <w:pBdr>
        <w:top w:val="single" w:sz="2" w:space="10" w:color="0D5672" w:shadow="1"/>
        <w:left w:val="single" w:sz="2" w:space="10" w:color="0D5672" w:shadow="1"/>
        <w:bottom w:val="single" w:sz="2" w:space="10" w:color="0D5672" w:shadow="1"/>
        <w:right w:val="single" w:sz="2" w:space="10" w:color="0D5672" w:shadow="1"/>
      </w:pBdr>
      <w:ind w:left="1152" w:right="1152"/>
    </w:pPr>
    <w:rPr>
      <w:i/>
      <w:iCs/>
      <w:color w:val="0D5672"/>
    </w:rPr>
  </w:style>
  <w:style w:type="character" w:styleId="Hipervnculovisitado">
    <w:name w:val="FollowedHyperlink"/>
    <w:uiPriority w:val="99"/>
    <w:semiHidden/>
    <w:unhideWhenUsed/>
    <w:rsid w:val="00971DEC"/>
    <w:rPr>
      <w:color w:val="215D4B"/>
      <w:u w:val="single"/>
    </w:rPr>
  </w:style>
  <w:style w:type="character" w:styleId="Hipervnculo">
    <w:name w:val="Hyperlink"/>
    <w:uiPriority w:val="99"/>
    <w:unhideWhenUsed/>
    <w:rsid w:val="00B66857"/>
    <w:rPr>
      <w:color w:val="2E653E"/>
      <w:u w:val="single"/>
    </w:rPr>
  </w:style>
  <w:style w:type="character" w:styleId="Textodelmarcadordeposicin">
    <w:name w:val="Placeholder Text"/>
    <w:uiPriority w:val="99"/>
    <w:semiHidden/>
    <w:rsid w:val="00B66857"/>
    <w:rPr>
      <w:color w:val="595959"/>
    </w:rPr>
  </w:style>
  <w:style w:type="paragraph" w:styleId="Encabezado">
    <w:name w:val="header"/>
    <w:basedOn w:val="Normal"/>
    <w:link w:val="EncabezadoCar"/>
    <w:uiPriority w:val="99"/>
    <w:unhideWhenUsed/>
    <w:rsid w:val="008B6008"/>
    <w:pPr>
      <w:spacing w:after="0" w:line="240" w:lineRule="auto"/>
      <w:ind w:firstLine="864"/>
    </w:pPr>
    <w:rPr>
      <w:rFonts w:ascii="Arial" w:eastAsia="STKaiti" w:hAnsi="Arial" w:cs="Tahoma"/>
      <w:lang w:val="es-US" w:eastAsia="es-US"/>
    </w:rPr>
  </w:style>
  <w:style w:type="character" w:customStyle="1" w:styleId="EncabezadoCar">
    <w:name w:val="Encabezado Car"/>
    <w:basedOn w:val="Fuentedeprrafopredeter"/>
    <w:link w:val="Encabezado"/>
    <w:uiPriority w:val="99"/>
    <w:rsid w:val="008B6008"/>
  </w:style>
  <w:style w:type="paragraph" w:styleId="Piedepgina">
    <w:name w:val="footer"/>
    <w:basedOn w:val="Normal"/>
    <w:link w:val="PiedepginaCar"/>
    <w:uiPriority w:val="99"/>
    <w:unhideWhenUsed/>
    <w:rsid w:val="008B6008"/>
    <w:pPr>
      <w:spacing w:after="0" w:line="240" w:lineRule="auto"/>
      <w:ind w:firstLine="864"/>
    </w:pPr>
    <w:rPr>
      <w:rFonts w:ascii="Arial" w:eastAsia="STKaiti" w:hAnsi="Arial" w:cs="Tahoma"/>
      <w:lang w:val="es-US" w:eastAsia="es-US"/>
    </w:rPr>
  </w:style>
  <w:style w:type="character" w:customStyle="1" w:styleId="PiedepginaCar">
    <w:name w:val="Pie de página Car"/>
    <w:basedOn w:val="Fuentedeprrafopredeter"/>
    <w:link w:val="Piedepgina"/>
    <w:uiPriority w:val="99"/>
    <w:rsid w:val="008B6008"/>
  </w:style>
  <w:style w:type="paragraph" w:styleId="NormalWeb">
    <w:name w:val="Normal (Web)"/>
    <w:basedOn w:val="Normal"/>
    <w:uiPriority w:val="99"/>
    <w:unhideWhenUsed/>
    <w:rsid w:val="000654DB"/>
    <w:pPr>
      <w:spacing w:after="0" w:line="360" w:lineRule="auto"/>
      <w:ind w:firstLine="864"/>
    </w:pPr>
    <w:rPr>
      <w:rFonts w:ascii="Times New Roman" w:eastAsia="STKaiti" w:hAnsi="Times New Roman"/>
      <w:sz w:val="24"/>
      <w:szCs w:val="24"/>
      <w:lang w:val="es-US" w:eastAsia="es-US"/>
    </w:rPr>
  </w:style>
  <w:style w:type="character" w:styleId="Refdenotaalpie">
    <w:name w:val="footnote reference"/>
    <w:aliases w:val="4_G"/>
    <w:uiPriority w:val="99"/>
    <w:semiHidden/>
    <w:unhideWhenUsed/>
    <w:rsid w:val="00D610AF"/>
    <w:rPr>
      <w:vertAlign w:val="superscript"/>
    </w:rPr>
  </w:style>
  <w:style w:type="character" w:styleId="Textoennegrita">
    <w:name w:val="Strong"/>
    <w:uiPriority w:val="22"/>
    <w:qFormat/>
    <w:rsid w:val="00BA351F"/>
    <w:rPr>
      <w:b/>
      <w:bCs/>
    </w:rPr>
  </w:style>
  <w:style w:type="character" w:customStyle="1" w:styleId="superscript">
    <w:name w:val="superscript"/>
    <w:basedOn w:val="Fuentedeprrafopredeter"/>
    <w:rsid w:val="00121908"/>
  </w:style>
  <w:style w:type="character" w:customStyle="1" w:styleId="apple-converted-space">
    <w:name w:val="apple-converted-space"/>
    <w:rsid w:val="00830D5D"/>
  </w:style>
  <w:style w:type="character" w:customStyle="1" w:styleId="htmlval1">
    <w:name w:val="html_val1"/>
    <w:rsid w:val="009258E9"/>
    <w:rPr>
      <w:color w:val="0000FF"/>
    </w:rPr>
  </w:style>
  <w:style w:type="character" w:customStyle="1" w:styleId="post-date">
    <w:name w:val="post-date"/>
    <w:basedOn w:val="Fuentedeprrafopredeter"/>
    <w:rsid w:val="005D638F"/>
  </w:style>
  <w:style w:type="paragraph" w:customStyle="1" w:styleId="Default">
    <w:name w:val="Default"/>
    <w:rsid w:val="00D53FC5"/>
    <w:pPr>
      <w:autoSpaceDE w:val="0"/>
      <w:autoSpaceDN w:val="0"/>
      <w:adjustRightInd w:val="0"/>
      <w:spacing w:after="100" w:afterAutospacing="1" w:line="360" w:lineRule="auto"/>
      <w:ind w:firstLine="720"/>
    </w:pPr>
    <w:rPr>
      <w:rFonts w:ascii="Times New Roman" w:eastAsia="Calibri" w:hAnsi="Times New Roman" w:cs="Times New Roman"/>
      <w:color w:val="000000"/>
      <w:sz w:val="24"/>
      <w:szCs w:val="24"/>
      <w:lang w:val="es-MX" w:eastAsia="es-MX"/>
    </w:rPr>
  </w:style>
  <w:style w:type="character" w:customStyle="1" w:styleId="normal1">
    <w:name w:val="normal1"/>
    <w:rsid w:val="003E67A9"/>
  </w:style>
  <w:style w:type="paragraph" w:styleId="Textoindependiente">
    <w:name w:val="Body Text"/>
    <w:basedOn w:val="Normal"/>
    <w:link w:val="TextoindependienteCar"/>
    <w:unhideWhenUsed/>
    <w:rsid w:val="003B52B2"/>
    <w:pPr>
      <w:spacing w:after="120" w:line="360" w:lineRule="auto"/>
      <w:ind w:firstLine="864"/>
    </w:pPr>
    <w:rPr>
      <w:rFonts w:ascii="Arial" w:eastAsia="STKaiti" w:hAnsi="Arial" w:cs="Tahoma"/>
      <w:lang w:val="es-US" w:eastAsia="es-US"/>
    </w:rPr>
  </w:style>
  <w:style w:type="character" w:customStyle="1" w:styleId="TextoindependienteCar">
    <w:name w:val="Texto independiente Car"/>
    <w:link w:val="Textoindependiente"/>
    <w:rsid w:val="003B52B2"/>
    <w:rPr>
      <w:sz w:val="22"/>
      <w:szCs w:val="22"/>
      <w:lang w:val="en-US" w:eastAsia="ja-JP"/>
    </w:rPr>
  </w:style>
  <w:style w:type="character" w:customStyle="1" w:styleId="htmltxt1">
    <w:name w:val="html_txt1"/>
    <w:rsid w:val="00832FDF"/>
    <w:rPr>
      <w:color w:val="000000"/>
    </w:rPr>
  </w:style>
  <w:style w:type="character" w:customStyle="1" w:styleId="InternetLink">
    <w:name w:val="Internet Link"/>
    <w:rsid w:val="00C30F88"/>
    <w:rPr>
      <w:color w:val="000080"/>
      <w:u w:val="single"/>
    </w:rPr>
  </w:style>
  <w:style w:type="paragraph" w:customStyle="1" w:styleId="TextBody">
    <w:name w:val="Text Body"/>
    <w:basedOn w:val="Normal"/>
    <w:rsid w:val="00C30F88"/>
    <w:pPr>
      <w:widowControl w:val="0"/>
      <w:suppressAutoHyphens/>
      <w:spacing w:after="140" w:line="288" w:lineRule="auto"/>
    </w:pPr>
    <w:rPr>
      <w:rFonts w:ascii="Liberation Serif" w:eastAsia="Droid Sans Fallback" w:hAnsi="Liberation Serif" w:cs="FreeSans"/>
      <w:color w:val="00000A"/>
      <w:sz w:val="24"/>
      <w:szCs w:val="24"/>
      <w:lang w:val="es-US" w:eastAsia="zh-CN" w:bidi="hi-IN"/>
    </w:rPr>
  </w:style>
  <w:style w:type="character" w:customStyle="1" w:styleId="StrongEmphasis">
    <w:name w:val="Strong Emphasis"/>
    <w:rsid w:val="00483BE6"/>
    <w:rPr>
      <w:b/>
      <w:bCs/>
    </w:rPr>
  </w:style>
  <w:style w:type="character" w:styleId="nfasis">
    <w:name w:val="Emphasis"/>
    <w:qFormat/>
    <w:rsid w:val="00483BE6"/>
    <w:rPr>
      <w:i/>
      <w:iCs/>
    </w:rPr>
  </w:style>
  <w:style w:type="character" w:customStyle="1" w:styleId="FontStyle15">
    <w:name w:val="Font Style15"/>
    <w:rsid w:val="00261218"/>
    <w:rPr>
      <w:rFonts w:ascii="Century Gothic" w:hAnsi="Century Gothic" w:cs="Century Gothic" w:hint="default"/>
      <w:sz w:val="28"/>
      <w:szCs w:val="28"/>
    </w:rPr>
  </w:style>
  <w:style w:type="character" w:customStyle="1" w:styleId="time">
    <w:name w:val="time"/>
    <w:rsid w:val="00261218"/>
  </w:style>
  <w:style w:type="character" w:customStyle="1" w:styleId="entry-date">
    <w:name w:val="entry-date"/>
    <w:rsid w:val="00627F01"/>
  </w:style>
  <w:style w:type="paragraph" w:styleId="Prrafodelista">
    <w:name w:val="List Paragraph"/>
    <w:basedOn w:val="Normal"/>
    <w:uiPriority w:val="34"/>
    <w:unhideWhenUsed/>
    <w:qFormat/>
    <w:rsid w:val="009A54A5"/>
    <w:pPr>
      <w:spacing w:after="0" w:line="360" w:lineRule="auto"/>
      <w:ind w:left="708" w:firstLine="864"/>
    </w:pPr>
    <w:rPr>
      <w:rFonts w:ascii="Arial" w:eastAsia="STKaiti" w:hAnsi="Arial" w:cs="Tahoma"/>
      <w:lang w:val="es-US" w:eastAsia="es-US"/>
    </w:rPr>
  </w:style>
  <w:style w:type="paragraph" w:customStyle="1" w:styleId="Contenidodelista">
    <w:name w:val="Contenido de lista"/>
    <w:basedOn w:val="Normal"/>
    <w:rsid w:val="00D900A6"/>
    <w:pPr>
      <w:widowControl w:val="0"/>
      <w:suppressAutoHyphens/>
      <w:spacing w:after="0" w:line="240" w:lineRule="auto"/>
      <w:ind w:left="567"/>
    </w:pPr>
    <w:rPr>
      <w:rFonts w:ascii="Liberation Serif" w:eastAsia="SimSun" w:hAnsi="Liberation Serif" w:cs="Mangal"/>
      <w:kern w:val="2"/>
      <w:sz w:val="24"/>
      <w:szCs w:val="24"/>
      <w:lang w:val="es-US" w:eastAsia="zh-CN" w:bidi="hi-IN"/>
    </w:rPr>
  </w:style>
  <w:style w:type="paragraph" w:styleId="TDC1">
    <w:name w:val="toc 1"/>
    <w:basedOn w:val="Normal"/>
    <w:next w:val="Normal"/>
    <w:autoRedefine/>
    <w:uiPriority w:val="39"/>
    <w:unhideWhenUsed/>
    <w:rsid w:val="004A37F2"/>
    <w:pPr>
      <w:spacing w:before="120" w:after="120"/>
    </w:pPr>
    <w:rPr>
      <w:rFonts w:asciiTheme="minorHAnsi" w:hAnsiTheme="minorHAnsi"/>
      <w:b/>
      <w:bCs/>
      <w:caps/>
      <w:sz w:val="20"/>
      <w:szCs w:val="20"/>
    </w:rPr>
  </w:style>
  <w:style w:type="paragraph" w:styleId="TDC2">
    <w:name w:val="toc 2"/>
    <w:basedOn w:val="Normal"/>
    <w:next w:val="Normal"/>
    <w:autoRedefine/>
    <w:uiPriority w:val="39"/>
    <w:unhideWhenUsed/>
    <w:rsid w:val="004A37F2"/>
    <w:pPr>
      <w:spacing w:after="0"/>
      <w:ind w:left="220"/>
    </w:pPr>
    <w:rPr>
      <w:rFonts w:asciiTheme="minorHAnsi" w:hAnsiTheme="minorHAnsi"/>
      <w:smallCaps/>
      <w:sz w:val="20"/>
      <w:szCs w:val="20"/>
    </w:rPr>
  </w:style>
  <w:style w:type="paragraph" w:styleId="TDC3">
    <w:name w:val="toc 3"/>
    <w:basedOn w:val="Normal"/>
    <w:next w:val="Normal"/>
    <w:autoRedefine/>
    <w:uiPriority w:val="39"/>
    <w:unhideWhenUsed/>
    <w:rsid w:val="00817246"/>
    <w:pPr>
      <w:spacing w:after="0"/>
      <w:ind w:left="440"/>
    </w:pPr>
    <w:rPr>
      <w:rFonts w:asciiTheme="minorHAnsi" w:hAnsiTheme="minorHAnsi"/>
      <w:i/>
      <w:iCs/>
      <w:sz w:val="20"/>
      <w:szCs w:val="20"/>
    </w:rPr>
  </w:style>
  <w:style w:type="paragraph" w:styleId="TDC4">
    <w:name w:val="toc 4"/>
    <w:basedOn w:val="Normal"/>
    <w:next w:val="Normal"/>
    <w:autoRedefine/>
    <w:uiPriority w:val="39"/>
    <w:unhideWhenUsed/>
    <w:rsid w:val="004A37F2"/>
    <w:pPr>
      <w:spacing w:after="0"/>
      <w:ind w:left="660"/>
    </w:pPr>
    <w:rPr>
      <w:rFonts w:asciiTheme="minorHAnsi" w:hAnsiTheme="minorHAnsi"/>
      <w:sz w:val="18"/>
      <w:szCs w:val="18"/>
    </w:rPr>
  </w:style>
  <w:style w:type="paragraph" w:styleId="TDC5">
    <w:name w:val="toc 5"/>
    <w:basedOn w:val="Normal"/>
    <w:next w:val="Normal"/>
    <w:autoRedefine/>
    <w:uiPriority w:val="39"/>
    <w:unhideWhenUsed/>
    <w:rsid w:val="004A37F2"/>
    <w:pPr>
      <w:spacing w:after="0"/>
      <w:ind w:left="880"/>
    </w:pPr>
    <w:rPr>
      <w:rFonts w:asciiTheme="minorHAnsi" w:hAnsiTheme="minorHAnsi"/>
      <w:sz w:val="18"/>
      <w:szCs w:val="18"/>
    </w:rPr>
  </w:style>
  <w:style w:type="paragraph" w:styleId="TDC6">
    <w:name w:val="toc 6"/>
    <w:basedOn w:val="Normal"/>
    <w:next w:val="Normal"/>
    <w:autoRedefine/>
    <w:uiPriority w:val="39"/>
    <w:unhideWhenUsed/>
    <w:rsid w:val="004A37F2"/>
    <w:pPr>
      <w:spacing w:after="0"/>
      <w:ind w:left="1100"/>
    </w:pPr>
    <w:rPr>
      <w:rFonts w:asciiTheme="minorHAnsi" w:hAnsiTheme="minorHAnsi"/>
      <w:sz w:val="18"/>
      <w:szCs w:val="18"/>
    </w:rPr>
  </w:style>
  <w:style w:type="paragraph" w:styleId="TDC7">
    <w:name w:val="toc 7"/>
    <w:basedOn w:val="Normal"/>
    <w:next w:val="Normal"/>
    <w:autoRedefine/>
    <w:uiPriority w:val="39"/>
    <w:unhideWhenUsed/>
    <w:rsid w:val="004A37F2"/>
    <w:pPr>
      <w:spacing w:after="0"/>
      <w:ind w:left="1320"/>
    </w:pPr>
    <w:rPr>
      <w:rFonts w:asciiTheme="minorHAnsi" w:hAnsiTheme="minorHAnsi"/>
      <w:sz w:val="18"/>
      <w:szCs w:val="18"/>
    </w:rPr>
  </w:style>
  <w:style w:type="paragraph" w:styleId="TDC8">
    <w:name w:val="toc 8"/>
    <w:basedOn w:val="Normal"/>
    <w:next w:val="Normal"/>
    <w:autoRedefine/>
    <w:uiPriority w:val="39"/>
    <w:unhideWhenUsed/>
    <w:rsid w:val="004A37F2"/>
    <w:pPr>
      <w:spacing w:after="0"/>
      <w:ind w:left="1540"/>
    </w:pPr>
    <w:rPr>
      <w:rFonts w:asciiTheme="minorHAnsi" w:hAnsiTheme="minorHAnsi"/>
      <w:sz w:val="18"/>
      <w:szCs w:val="18"/>
    </w:rPr>
  </w:style>
  <w:style w:type="paragraph" w:styleId="TDC9">
    <w:name w:val="toc 9"/>
    <w:basedOn w:val="Normal"/>
    <w:next w:val="Normal"/>
    <w:autoRedefine/>
    <w:uiPriority w:val="39"/>
    <w:unhideWhenUsed/>
    <w:rsid w:val="004A37F2"/>
    <w:pPr>
      <w:spacing w:after="0"/>
      <w:ind w:left="1760"/>
    </w:pPr>
    <w:rPr>
      <w:rFonts w:asciiTheme="minorHAnsi" w:hAnsiTheme="minorHAnsi"/>
      <w:sz w:val="18"/>
      <w:szCs w:val="18"/>
    </w:rPr>
  </w:style>
  <w:style w:type="character" w:customStyle="1" w:styleId="author-name">
    <w:name w:val="author-name"/>
    <w:basedOn w:val="Fuentedeprrafopredeter"/>
    <w:rsid w:val="002C758B"/>
  </w:style>
  <w:style w:type="paragraph" w:styleId="Sinespaciado">
    <w:name w:val="No Spacing"/>
    <w:link w:val="SinespaciadoCar"/>
    <w:uiPriority w:val="1"/>
    <w:qFormat/>
    <w:rsid w:val="00CE5893"/>
    <w:pPr>
      <w:spacing w:after="100" w:afterAutospacing="1"/>
      <w:ind w:left="238" w:firstLine="709"/>
    </w:pPr>
    <w:rPr>
      <w:rFonts w:ascii="Calibri" w:eastAsia="Calibri" w:hAnsi="Calibri" w:cs="Times New Roman"/>
      <w:sz w:val="22"/>
      <w:szCs w:val="22"/>
      <w:lang w:val="es-MX" w:eastAsia="en-US"/>
    </w:rPr>
  </w:style>
  <w:style w:type="paragraph" w:customStyle="1" w:styleId="Ttulo21">
    <w:name w:val="Título 21"/>
    <w:basedOn w:val="Normal"/>
    <w:next w:val="TextBody"/>
    <w:rsid w:val="00FE4027"/>
    <w:pPr>
      <w:keepNext/>
      <w:widowControl w:val="0"/>
      <w:suppressAutoHyphens/>
      <w:spacing w:before="200" w:after="120" w:line="240" w:lineRule="auto"/>
      <w:outlineLvl w:val="1"/>
    </w:pPr>
    <w:rPr>
      <w:rFonts w:ascii="Liberation Serif" w:eastAsia="Droid Sans Fallback" w:hAnsi="Liberation Serif" w:cs="FreeSans"/>
      <w:b/>
      <w:bCs/>
      <w:sz w:val="36"/>
      <w:szCs w:val="36"/>
      <w:lang w:val="en-US" w:eastAsia="zh-CN" w:bidi="hi-IN"/>
    </w:rPr>
  </w:style>
  <w:style w:type="character" w:customStyle="1" w:styleId="Quotation">
    <w:name w:val="Quotation"/>
    <w:qFormat/>
    <w:rsid w:val="00FE4027"/>
    <w:rPr>
      <w:i/>
      <w:iCs/>
    </w:rPr>
  </w:style>
  <w:style w:type="character" w:customStyle="1" w:styleId="Cita2">
    <w:name w:val="Cita2"/>
    <w:rsid w:val="00AA0F88"/>
    <w:rPr>
      <w:i/>
      <w:iCs/>
    </w:rPr>
  </w:style>
  <w:style w:type="character" w:customStyle="1" w:styleId="SinespaciadoCar">
    <w:name w:val="Sin espaciado Car"/>
    <w:basedOn w:val="Fuentedeprrafopredeter"/>
    <w:link w:val="Sinespaciado"/>
    <w:uiPriority w:val="1"/>
    <w:rsid w:val="00AA6F66"/>
    <w:rPr>
      <w:rFonts w:ascii="Calibri" w:eastAsia="Calibri" w:hAnsi="Calibri" w:cs="Times New Roman"/>
      <w:sz w:val="22"/>
      <w:szCs w:val="22"/>
      <w:lang w:val="es-MX" w:eastAsia="en-US"/>
    </w:rPr>
  </w:style>
  <w:style w:type="character" w:customStyle="1" w:styleId="Date1">
    <w:name w:val="Date1"/>
    <w:basedOn w:val="Fuentedeprrafopredeter"/>
    <w:rsid w:val="000C154F"/>
  </w:style>
  <w:style w:type="table" w:styleId="Tablaconcuadrcula">
    <w:name w:val="Table Grid"/>
    <w:basedOn w:val="Tablanormal"/>
    <w:uiPriority w:val="39"/>
    <w:rsid w:val="00FD30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837">
      <w:bodyDiv w:val="1"/>
      <w:marLeft w:val="0"/>
      <w:marRight w:val="0"/>
      <w:marTop w:val="0"/>
      <w:marBottom w:val="0"/>
      <w:divBdr>
        <w:top w:val="none" w:sz="0" w:space="0" w:color="auto"/>
        <w:left w:val="none" w:sz="0" w:space="0" w:color="auto"/>
        <w:bottom w:val="none" w:sz="0" w:space="0" w:color="auto"/>
        <w:right w:val="none" w:sz="0" w:space="0" w:color="auto"/>
      </w:divBdr>
    </w:div>
    <w:div w:id="10764526">
      <w:bodyDiv w:val="1"/>
      <w:marLeft w:val="0"/>
      <w:marRight w:val="0"/>
      <w:marTop w:val="0"/>
      <w:marBottom w:val="0"/>
      <w:divBdr>
        <w:top w:val="none" w:sz="0" w:space="0" w:color="auto"/>
        <w:left w:val="none" w:sz="0" w:space="0" w:color="auto"/>
        <w:bottom w:val="none" w:sz="0" w:space="0" w:color="auto"/>
        <w:right w:val="none" w:sz="0" w:space="0" w:color="auto"/>
      </w:divBdr>
    </w:div>
    <w:div w:id="12927176">
      <w:bodyDiv w:val="1"/>
      <w:marLeft w:val="0"/>
      <w:marRight w:val="0"/>
      <w:marTop w:val="0"/>
      <w:marBottom w:val="0"/>
      <w:divBdr>
        <w:top w:val="none" w:sz="0" w:space="0" w:color="auto"/>
        <w:left w:val="none" w:sz="0" w:space="0" w:color="auto"/>
        <w:bottom w:val="none" w:sz="0" w:space="0" w:color="auto"/>
        <w:right w:val="none" w:sz="0" w:space="0" w:color="auto"/>
      </w:divBdr>
    </w:div>
    <w:div w:id="19821970">
      <w:bodyDiv w:val="1"/>
      <w:marLeft w:val="0"/>
      <w:marRight w:val="0"/>
      <w:marTop w:val="0"/>
      <w:marBottom w:val="0"/>
      <w:divBdr>
        <w:top w:val="none" w:sz="0" w:space="0" w:color="auto"/>
        <w:left w:val="none" w:sz="0" w:space="0" w:color="auto"/>
        <w:bottom w:val="none" w:sz="0" w:space="0" w:color="auto"/>
        <w:right w:val="none" w:sz="0" w:space="0" w:color="auto"/>
      </w:divBdr>
    </w:div>
    <w:div w:id="21132145">
      <w:bodyDiv w:val="1"/>
      <w:marLeft w:val="0"/>
      <w:marRight w:val="0"/>
      <w:marTop w:val="0"/>
      <w:marBottom w:val="0"/>
      <w:divBdr>
        <w:top w:val="none" w:sz="0" w:space="0" w:color="auto"/>
        <w:left w:val="none" w:sz="0" w:space="0" w:color="auto"/>
        <w:bottom w:val="none" w:sz="0" w:space="0" w:color="auto"/>
        <w:right w:val="none" w:sz="0" w:space="0" w:color="auto"/>
      </w:divBdr>
    </w:div>
    <w:div w:id="24141639">
      <w:bodyDiv w:val="1"/>
      <w:marLeft w:val="0"/>
      <w:marRight w:val="0"/>
      <w:marTop w:val="0"/>
      <w:marBottom w:val="0"/>
      <w:divBdr>
        <w:top w:val="none" w:sz="0" w:space="0" w:color="auto"/>
        <w:left w:val="none" w:sz="0" w:space="0" w:color="auto"/>
        <w:bottom w:val="none" w:sz="0" w:space="0" w:color="auto"/>
        <w:right w:val="none" w:sz="0" w:space="0" w:color="auto"/>
      </w:divBdr>
    </w:div>
    <w:div w:id="28262540">
      <w:bodyDiv w:val="1"/>
      <w:marLeft w:val="0"/>
      <w:marRight w:val="0"/>
      <w:marTop w:val="0"/>
      <w:marBottom w:val="0"/>
      <w:divBdr>
        <w:top w:val="none" w:sz="0" w:space="0" w:color="auto"/>
        <w:left w:val="none" w:sz="0" w:space="0" w:color="auto"/>
        <w:bottom w:val="none" w:sz="0" w:space="0" w:color="auto"/>
        <w:right w:val="none" w:sz="0" w:space="0" w:color="auto"/>
      </w:divBdr>
    </w:div>
    <w:div w:id="29456656">
      <w:bodyDiv w:val="1"/>
      <w:marLeft w:val="0"/>
      <w:marRight w:val="0"/>
      <w:marTop w:val="0"/>
      <w:marBottom w:val="0"/>
      <w:divBdr>
        <w:top w:val="none" w:sz="0" w:space="0" w:color="auto"/>
        <w:left w:val="none" w:sz="0" w:space="0" w:color="auto"/>
        <w:bottom w:val="none" w:sz="0" w:space="0" w:color="auto"/>
        <w:right w:val="none" w:sz="0" w:space="0" w:color="auto"/>
      </w:divBdr>
    </w:div>
    <w:div w:id="29501693">
      <w:bodyDiv w:val="1"/>
      <w:marLeft w:val="0"/>
      <w:marRight w:val="0"/>
      <w:marTop w:val="0"/>
      <w:marBottom w:val="0"/>
      <w:divBdr>
        <w:top w:val="none" w:sz="0" w:space="0" w:color="auto"/>
        <w:left w:val="none" w:sz="0" w:space="0" w:color="auto"/>
        <w:bottom w:val="none" w:sz="0" w:space="0" w:color="auto"/>
        <w:right w:val="none" w:sz="0" w:space="0" w:color="auto"/>
      </w:divBdr>
    </w:div>
    <w:div w:id="34040164">
      <w:bodyDiv w:val="1"/>
      <w:marLeft w:val="0"/>
      <w:marRight w:val="0"/>
      <w:marTop w:val="0"/>
      <w:marBottom w:val="0"/>
      <w:divBdr>
        <w:top w:val="none" w:sz="0" w:space="0" w:color="auto"/>
        <w:left w:val="none" w:sz="0" w:space="0" w:color="auto"/>
        <w:bottom w:val="none" w:sz="0" w:space="0" w:color="auto"/>
        <w:right w:val="none" w:sz="0" w:space="0" w:color="auto"/>
      </w:divBdr>
    </w:div>
    <w:div w:id="37970883">
      <w:bodyDiv w:val="1"/>
      <w:marLeft w:val="0"/>
      <w:marRight w:val="0"/>
      <w:marTop w:val="0"/>
      <w:marBottom w:val="0"/>
      <w:divBdr>
        <w:top w:val="none" w:sz="0" w:space="0" w:color="auto"/>
        <w:left w:val="none" w:sz="0" w:space="0" w:color="auto"/>
        <w:bottom w:val="none" w:sz="0" w:space="0" w:color="auto"/>
        <w:right w:val="none" w:sz="0" w:space="0" w:color="auto"/>
      </w:divBdr>
    </w:div>
    <w:div w:id="42291912">
      <w:bodyDiv w:val="1"/>
      <w:marLeft w:val="0"/>
      <w:marRight w:val="0"/>
      <w:marTop w:val="0"/>
      <w:marBottom w:val="0"/>
      <w:divBdr>
        <w:top w:val="none" w:sz="0" w:space="0" w:color="auto"/>
        <w:left w:val="none" w:sz="0" w:space="0" w:color="auto"/>
        <w:bottom w:val="none" w:sz="0" w:space="0" w:color="auto"/>
        <w:right w:val="none" w:sz="0" w:space="0" w:color="auto"/>
      </w:divBdr>
    </w:div>
    <w:div w:id="53890564">
      <w:bodyDiv w:val="1"/>
      <w:marLeft w:val="390"/>
      <w:marRight w:val="240"/>
      <w:marTop w:val="300"/>
      <w:marBottom w:val="75"/>
      <w:divBdr>
        <w:top w:val="none" w:sz="0" w:space="0" w:color="auto"/>
        <w:left w:val="none" w:sz="0" w:space="0" w:color="auto"/>
        <w:bottom w:val="none" w:sz="0" w:space="0" w:color="auto"/>
        <w:right w:val="none" w:sz="0" w:space="0" w:color="auto"/>
      </w:divBdr>
    </w:div>
    <w:div w:id="54012163">
      <w:bodyDiv w:val="1"/>
      <w:marLeft w:val="0"/>
      <w:marRight w:val="0"/>
      <w:marTop w:val="0"/>
      <w:marBottom w:val="0"/>
      <w:divBdr>
        <w:top w:val="none" w:sz="0" w:space="0" w:color="auto"/>
        <w:left w:val="none" w:sz="0" w:space="0" w:color="auto"/>
        <w:bottom w:val="none" w:sz="0" w:space="0" w:color="auto"/>
        <w:right w:val="none" w:sz="0" w:space="0" w:color="auto"/>
      </w:divBdr>
    </w:div>
    <w:div w:id="54669980">
      <w:bodyDiv w:val="1"/>
      <w:marLeft w:val="0"/>
      <w:marRight w:val="0"/>
      <w:marTop w:val="0"/>
      <w:marBottom w:val="0"/>
      <w:divBdr>
        <w:top w:val="none" w:sz="0" w:space="0" w:color="auto"/>
        <w:left w:val="none" w:sz="0" w:space="0" w:color="auto"/>
        <w:bottom w:val="none" w:sz="0" w:space="0" w:color="auto"/>
        <w:right w:val="none" w:sz="0" w:space="0" w:color="auto"/>
      </w:divBdr>
    </w:div>
    <w:div w:id="57440701">
      <w:bodyDiv w:val="1"/>
      <w:marLeft w:val="0"/>
      <w:marRight w:val="0"/>
      <w:marTop w:val="0"/>
      <w:marBottom w:val="0"/>
      <w:divBdr>
        <w:top w:val="none" w:sz="0" w:space="0" w:color="auto"/>
        <w:left w:val="none" w:sz="0" w:space="0" w:color="auto"/>
        <w:bottom w:val="none" w:sz="0" w:space="0" w:color="auto"/>
        <w:right w:val="none" w:sz="0" w:space="0" w:color="auto"/>
      </w:divBdr>
    </w:div>
    <w:div w:id="66999221">
      <w:bodyDiv w:val="1"/>
      <w:marLeft w:val="0"/>
      <w:marRight w:val="0"/>
      <w:marTop w:val="0"/>
      <w:marBottom w:val="0"/>
      <w:divBdr>
        <w:top w:val="none" w:sz="0" w:space="0" w:color="auto"/>
        <w:left w:val="none" w:sz="0" w:space="0" w:color="auto"/>
        <w:bottom w:val="none" w:sz="0" w:space="0" w:color="auto"/>
        <w:right w:val="none" w:sz="0" w:space="0" w:color="auto"/>
      </w:divBdr>
    </w:div>
    <w:div w:id="71199892">
      <w:bodyDiv w:val="1"/>
      <w:marLeft w:val="0"/>
      <w:marRight w:val="0"/>
      <w:marTop w:val="0"/>
      <w:marBottom w:val="0"/>
      <w:divBdr>
        <w:top w:val="none" w:sz="0" w:space="0" w:color="auto"/>
        <w:left w:val="none" w:sz="0" w:space="0" w:color="auto"/>
        <w:bottom w:val="none" w:sz="0" w:space="0" w:color="auto"/>
        <w:right w:val="none" w:sz="0" w:space="0" w:color="auto"/>
      </w:divBdr>
    </w:div>
    <w:div w:id="73168384">
      <w:bodyDiv w:val="1"/>
      <w:marLeft w:val="0"/>
      <w:marRight w:val="0"/>
      <w:marTop w:val="0"/>
      <w:marBottom w:val="0"/>
      <w:divBdr>
        <w:top w:val="none" w:sz="0" w:space="0" w:color="auto"/>
        <w:left w:val="none" w:sz="0" w:space="0" w:color="auto"/>
        <w:bottom w:val="none" w:sz="0" w:space="0" w:color="auto"/>
        <w:right w:val="none" w:sz="0" w:space="0" w:color="auto"/>
      </w:divBdr>
    </w:div>
    <w:div w:id="74060223">
      <w:bodyDiv w:val="1"/>
      <w:marLeft w:val="0"/>
      <w:marRight w:val="0"/>
      <w:marTop w:val="0"/>
      <w:marBottom w:val="0"/>
      <w:divBdr>
        <w:top w:val="none" w:sz="0" w:space="0" w:color="auto"/>
        <w:left w:val="none" w:sz="0" w:space="0" w:color="auto"/>
        <w:bottom w:val="none" w:sz="0" w:space="0" w:color="auto"/>
        <w:right w:val="none" w:sz="0" w:space="0" w:color="auto"/>
      </w:divBdr>
    </w:div>
    <w:div w:id="74088203">
      <w:bodyDiv w:val="1"/>
      <w:marLeft w:val="0"/>
      <w:marRight w:val="0"/>
      <w:marTop w:val="0"/>
      <w:marBottom w:val="0"/>
      <w:divBdr>
        <w:top w:val="none" w:sz="0" w:space="0" w:color="auto"/>
        <w:left w:val="none" w:sz="0" w:space="0" w:color="auto"/>
        <w:bottom w:val="none" w:sz="0" w:space="0" w:color="auto"/>
        <w:right w:val="none" w:sz="0" w:space="0" w:color="auto"/>
      </w:divBdr>
    </w:div>
    <w:div w:id="75052057">
      <w:bodyDiv w:val="1"/>
      <w:marLeft w:val="0"/>
      <w:marRight w:val="0"/>
      <w:marTop w:val="0"/>
      <w:marBottom w:val="0"/>
      <w:divBdr>
        <w:top w:val="none" w:sz="0" w:space="0" w:color="auto"/>
        <w:left w:val="none" w:sz="0" w:space="0" w:color="auto"/>
        <w:bottom w:val="none" w:sz="0" w:space="0" w:color="auto"/>
        <w:right w:val="none" w:sz="0" w:space="0" w:color="auto"/>
      </w:divBdr>
    </w:div>
    <w:div w:id="77289854">
      <w:bodyDiv w:val="1"/>
      <w:marLeft w:val="0"/>
      <w:marRight w:val="0"/>
      <w:marTop w:val="0"/>
      <w:marBottom w:val="0"/>
      <w:divBdr>
        <w:top w:val="none" w:sz="0" w:space="0" w:color="auto"/>
        <w:left w:val="none" w:sz="0" w:space="0" w:color="auto"/>
        <w:bottom w:val="none" w:sz="0" w:space="0" w:color="auto"/>
        <w:right w:val="none" w:sz="0" w:space="0" w:color="auto"/>
      </w:divBdr>
    </w:div>
    <w:div w:id="80419093">
      <w:bodyDiv w:val="1"/>
      <w:marLeft w:val="0"/>
      <w:marRight w:val="0"/>
      <w:marTop w:val="0"/>
      <w:marBottom w:val="0"/>
      <w:divBdr>
        <w:top w:val="none" w:sz="0" w:space="0" w:color="auto"/>
        <w:left w:val="none" w:sz="0" w:space="0" w:color="auto"/>
        <w:bottom w:val="none" w:sz="0" w:space="0" w:color="auto"/>
        <w:right w:val="none" w:sz="0" w:space="0" w:color="auto"/>
      </w:divBdr>
    </w:div>
    <w:div w:id="84234202">
      <w:bodyDiv w:val="1"/>
      <w:marLeft w:val="0"/>
      <w:marRight w:val="0"/>
      <w:marTop w:val="0"/>
      <w:marBottom w:val="0"/>
      <w:divBdr>
        <w:top w:val="none" w:sz="0" w:space="0" w:color="auto"/>
        <w:left w:val="none" w:sz="0" w:space="0" w:color="auto"/>
        <w:bottom w:val="none" w:sz="0" w:space="0" w:color="auto"/>
        <w:right w:val="none" w:sz="0" w:space="0" w:color="auto"/>
      </w:divBdr>
    </w:div>
    <w:div w:id="84495375">
      <w:bodyDiv w:val="1"/>
      <w:marLeft w:val="0"/>
      <w:marRight w:val="0"/>
      <w:marTop w:val="0"/>
      <w:marBottom w:val="0"/>
      <w:divBdr>
        <w:top w:val="none" w:sz="0" w:space="0" w:color="auto"/>
        <w:left w:val="none" w:sz="0" w:space="0" w:color="auto"/>
        <w:bottom w:val="none" w:sz="0" w:space="0" w:color="auto"/>
        <w:right w:val="none" w:sz="0" w:space="0" w:color="auto"/>
      </w:divBdr>
    </w:div>
    <w:div w:id="85466036">
      <w:bodyDiv w:val="1"/>
      <w:marLeft w:val="0"/>
      <w:marRight w:val="0"/>
      <w:marTop w:val="0"/>
      <w:marBottom w:val="0"/>
      <w:divBdr>
        <w:top w:val="none" w:sz="0" w:space="0" w:color="auto"/>
        <w:left w:val="none" w:sz="0" w:space="0" w:color="auto"/>
        <w:bottom w:val="none" w:sz="0" w:space="0" w:color="auto"/>
        <w:right w:val="none" w:sz="0" w:space="0" w:color="auto"/>
      </w:divBdr>
    </w:div>
    <w:div w:id="88357060">
      <w:bodyDiv w:val="1"/>
      <w:marLeft w:val="0"/>
      <w:marRight w:val="0"/>
      <w:marTop w:val="0"/>
      <w:marBottom w:val="0"/>
      <w:divBdr>
        <w:top w:val="none" w:sz="0" w:space="0" w:color="auto"/>
        <w:left w:val="none" w:sz="0" w:space="0" w:color="auto"/>
        <w:bottom w:val="none" w:sz="0" w:space="0" w:color="auto"/>
        <w:right w:val="none" w:sz="0" w:space="0" w:color="auto"/>
      </w:divBdr>
    </w:div>
    <w:div w:id="93598835">
      <w:bodyDiv w:val="1"/>
      <w:marLeft w:val="0"/>
      <w:marRight w:val="0"/>
      <w:marTop w:val="0"/>
      <w:marBottom w:val="0"/>
      <w:divBdr>
        <w:top w:val="none" w:sz="0" w:space="0" w:color="auto"/>
        <w:left w:val="none" w:sz="0" w:space="0" w:color="auto"/>
        <w:bottom w:val="none" w:sz="0" w:space="0" w:color="auto"/>
        <w:right w:val="none" w:sz="0" w:space="0" w:color="auto"/>
      </w:divBdr>
    </w:div>
    <w:div w:id="95176375">
      <w:bodyDiv w:val="1"/>
      <w:marLeft w:val="0"/>
      <w:marRight w:val="0"/>
      <w:marTop w:val="0"/>
      <w:marBottom w:val="0"/>
      <w:divBdr>
        <w:top w:val="none" w:sz="0" w:space="0" w:color="auto"/>
        <w:left w:val="none" w:sz="0" w:space="0" w:color="auto"/>
        <w:bottom w:val="none" w:sz="0" w:space="0" w:color="auto"/>
        <w:right w:val="none" w:sz="0" w:space="0" w:color="auto"/>
      </w:divBdr>
    </w:div>
    <w:div w:id="97602475">
      <w:bodyDiv w:val="1"/>
      <w:marLeft w:val="0"/>
      <w:marRight w:val="0"/>
      <w:marTop w:val="0"/>
      <w:marBottom w:val="0"/>
      <w:divBdr>
        <w:top w:val="none" w:sz="0" w:space="0" w:color="auto"/>
        <w:left w:val="none" w:sz="0" w:space="0" w:color="auto"/>
        <w:bottom w:val="none" w:sz="0" w:space="0" w:color="auto"/>
        <w:right w:val="none" w:sz="0" w:space="0" w:color="auto"/>
      </w:divBdr>
    </w:div>
    <w:div w:id="101192957">
      <w:bodyDiv w:val="1"/>
      <w:marLeft w:val="0"/>
      <w:marRight w:val="0"/>
      <w:marTop w:val="0"/>
      <w:marBottom w:val="0"/>
      <w:divBdr>
        <w:top w:val="none" w:sz="0" w:space="0" w:color="auto"/>
        <w:left w:val="none" w:sz="0" w:space="0" w:color="auto"/>
        <w:bottom w:val="none" w:sz="0" w:space="0" w:color="auto"/>
        <w:right w:val="none" w:sz="0" w:space="0" w:color="auto"/>
      </w:divBdr>
    </w:div>
    <w:div w:id="103812175">
      <w:bodyDiv w:val="1"/>
      <w:marLeft w:val="0"/>
      <w:marRight w:val="0"/>
      <w:marTop w:val="0"/>
      <w:marBottom w:val="0"/>
      <w:divBdr>
        <w:top w:val="none" w:sz="0" w:space="0" w:color="auto"/>
        <w:left w:val="none" w:sz="0" w:space="0" w:color="auto"/>
        <w:bottom w:val="none" w:sz="0" w:space="0" w:color="auto"/>
        <w:right w:val="none" w:sz="0" w:space="0" w:color="auto"/>
      </w:divBdr>
    </w:div>
    <w:div w:id="104623208">
      <w:bodyDiv w:val="1"/>
      <w:marLeft w:val="0"/>
      <w:marRight w:val="0"/>
      <w:marTop w:val="0"/>
      <w:marBottom w:val="0"/>
      <w:divBdr>
        <w:top w:val="none" w:sz="0" w:space="0" w:color="auto"/>
        <w:left w:val="none" w:sz="0" w:space="0" w:color="auto"/>
        <w:bottom w:val="none" w:sz="0" w:space="0" w:color="auto"/>
        <w:right w:val="none" w:sz="0" w:space="0" w:color="auto"/>
      </w:divBdr>
    </w:div>
    <w:div w:id="107630838">
      <w:bodyDiv w:val="1"/>
      <w:marLeft w:val="0"/>
      <w:marRight w:val="0"/>
      <w:marTop w:val="0"/>
      <w:marBottom w:val="0"/>
      <w:divBdr>
        <w:top w:val="none" w:sz="0" w:space="0" w:color="auto"/>
        <w:left w:val="none" w:sz="0" w:space="0" w:color="auto"/>
        <w:bottom w:val="none" w:sz="0" w:space="0" w:color="auto"/>
        <w:right w:val="none" w:sz="0" w:space="0" w:color="auto"/>
      </w:divBdr>
    </w:div>
    <w:div w:id="108283214">
      <w:bodyDiv w:val="1"/>
      <w:marLeft w:val="0"/>
      <w:marRight w:val="0"/>
      <w:marTop w:val="0"/>
      <w:marBottom w:val="0"/>
      <w:divBdr>
        <w:top w:val="none" w:sz="0" w:space="0" w:color="auto"/>
        <w:left w:val="none" w:sz="0" w:space="0" w:color="auto"/>
        <w:bottom w:val="none" w:sz="0" w:space="0" w:color="auto"/>
        <w:right w:val="none" w:sz="0" w:space="0" w:color="auto"/>
      </w:divBdr>
    </w:div>
    <w:div w:id="111442351">
      <w:bodyDiv w:val="1"/>
      <w:marLeft w:val="0"/>
      <w:marRight w:val="0"/>
      <w:marTop w:val="0"/>
      <w:marBottom w:val="0"/>
      <w:divBdr>
        <w:top w:val="none" w:sz="0" w:space="0" w:color="auto"/>
        <w:left w:val="none" w:sz="0" w:space="0" w:color="auto"/>
        <w:bottom w:val="none" w:sz="0" w:space="0" w:color="auto"/>
        <w:right w:val="none" w:sz="0" w:space="0" w:color="auto"/>
      </w:divBdr>
    </w:div>
    <w:div w:id="111948192">
      <w:bodyDiv w:val="1"/>
      <w:marLeft w:val="0"/>
      <w:marRight w:val="0"/>
      <w:marTop w:val="0"/>
      <w:marBottom w:val="0"/>
      <w:divBdr>
        <w:top w:val="none" w:sz="0" w:space="0" w:color="auto"/>
        <w:left w:val="none" w:sz="0" w:space="0" w:color="auto"/>
        <w:bottom w:val="none" w:sz="0" w:space="0" w:color="auto"/>
        <w:right w:val="none" w:sz="0" w:space="0" w:color="auto"/>
      </w:divBdr>
    </w:div>
    <w:div w:id="113209836">
      <w:bodyDiv w:val="1"/>
      <w:marLeft w:val="0"/>
      <w:marRight w:val="0"/>
      <w:marTop w:val="0"/>
      <w:marBottom w:val="0"/>
      <w:divBdr>
        <w:top w:val="none" w:sz="0" w:space="0" w:color="auto"/>
        <w:left w:val="none" w:sz="0" w:space="0" w:color="auto"/>
        <w:bottom w:val="none" w:sz="0" w:space="0" w:color="auto"/>
        <w:right w:val="none" w:sz="0" w:space="0" w:color="auto"/>
      </w:divBdr>
    </w:div>
    <w:div w:id="113720004">
      <w:bodyDiv w:val="1"/>
      <w:marLeft w:val="0"/>
      <w:marRight w:val="0"/>
      <w:marTop w:val="0"/>
      <w:marBottom w:val="0"/>
      <w:divBdr>
        <w:top w:val="none" w:sz="0" w:space="0" w:color="auto"/>
        <w:left w:val="none" w:sz="0" w:space="0" w:color="auto"/>
        <w:bottom w:val="none" w:sz="0" w:space="0" w:color="auto"/>
        <w:right w:val="none" w:sz="0" w:space="0" w:color="auto"/>
      </w:divBdr>
    </w:div>
    <w:div w:id="114836267">
      <w:bodyDiv w:val="1"/>
      <w:marLeft w:val="0"/>
      <w:marRight w:val="0"/>
      <w:marTop w:val="0"/>
      <w:marBottom w:val="0"/>
      <w:divBdr>
        <w:top w:val="none" w:sz="0" w:space="0" w:color="auto"/>
        <w:left w:val="none" w:sz="0" w:space="0" w:color="auto"/>
        <w:bottom w:val="none" w:sz="0" w:space="0" w:color="auto"/>
        <w:right w:val="none" w:sz="0" w:space="0" w:color="auto"/>
      </w:divBdr>
    </w:div>
    <w:div w:id="115224063">
      <w:bodyDiv w:val="1"/>
      <w:marLeft w:val="0"/>
      <w:marRight w:val="0"/>
      <w:marTop w:val="0"/>
      <w:marBottom w:val="0"/>
      <w:divBdr>
        <w:top w:val="none" w:sz="0" w:space="0" w:color="auto"/>
        <w:left w:val="none" w:sz="0" w:space="0" w:color="auto"/>
        <w:bottom w:val="none" w:sz="0" w:space="0" w:color="auto"/>
        <w:right w:val="none" w:sz="0" w:space="0" w:color="auto"/>
      </w:divBdr>
    </w:div>
    <w:div w:id="120150771">
      <w:bodyDiv w:val="1"/>
      <w:marLeft w:val="0"/>
      <w:marRight w:val="0"/>
      <w:marTop w:val="0"/>
      <w:marBottom w:val="0"/>
      <w:divBdr>
        <w:top w:val="none" w:sz="0" w:space="0" w:color="auto"/>
        <w:left w:val="none" w:sz="0" w:space="0" w:color="auto"/>
        <w:bottom w:val="none" w:sz="0" w:space="0" w:color="auto"/>
        <w:right w:val="none" w:sz="0" w:space="0" w:color="auto"/>
      </w:divBdr>
    </w:div>
    <w:div w:id="120224473">
      <w:bodyDiv w:val="1"/>
      <w:marLeft w:val="0"/>
      <w:marRight w:val="0"/>
      <w:marTop w:val="0"/>
      <w:marBottom w:val="0"/>
      <w:divBdr>
        <w:top w:val="none" w:sz="0" w:space="0" w:color="auto"/>
        <w:left w:val="none" w:sz="0" w:space="0" w:color="auto"/>
        <w:bottom w:val="none" w:sz="0" w:space="0" w:color="auto"/>
        <w:right w:val="none" w:sz="0" w:space="0" w:color="auto"/>
      </w:divBdr>
    </w:div>
    <w:div w:id="121190154">
      <w:bodyDiv w:val="1"/>
      <w:marLeft w:val="0"/>
      <w:marRight w:val="0"/>
      <w:marTop w:val="0"/>
      <w:marBottom w:val="0"/>
      <w:divBdr>
        <w:top w:val="none" w:sz="0" w:space="0" w:color="auto"/>
        <w:left w:val="none" w:sz="0" w:space="0" w:color="auto"/>
        <w:bottom w:val="none" w:sz="0" w:space="0" w:color="auto"/>
        <w:right w:val="none" w:sz="0" w:space="0" w:color="auto"/>
      </w:divBdr>
    </w:div>
    <w:div w:id="121192584">
      <w:bodyDiv w:val="1"/>
      <w:marLeft w:val="0"/>
      <w:marRight w:val="0"/>
      <w:marTop w:val="0"/>
      <w:marBottom w:val="0"/>
      <w:divBdr>
        <w:top w:val="none" w:sz="0" w:space="0" w:color="auto"/>
        <w:left w:val="none" w:sz="0" w:space="0" w:color="auto"/>
        <w:bottom w:val="none" w:sz="0" w:space="0" w:color="auto"/>
        <w:right w:val="none" w:sz="0" w:space="0" w:color="auto"/>
      </w:divBdr>
    </w:div>
    <w:div w:id="121656314">
      <w:bodyDiv w:val="1"/>
      <w:marLeft w:val="0"/>
      <w:marRight w:val="0"/>
      <w:marTop w:val="0"/>
      <w:marBottom w:val="0"/>
      <w:divBdr>
        <w:top w:val="none" w:sz="0" w:space="0" w:color="auto"/>
        <w:left w:val="none" w:sz="0" w:space="0" w:color="auto"/>
        <w:bottom w:val="none" w:sz="0" w:space="0" w:color="auto"/>
        <w:right w:val="none" w:sz="0" w:space="0" w:color="auto"/>
      </w:divBdr>
    </w:div>
    <w:div w:id="122114444">
      <w:bodyDiv w:val="1"/>
      <w:marLeft w:val="0"/>
      <w:marRight w:val="0"/>
      <w:marTop w:val="0"/>
      <w:marBottom w:val="0"/>
      <w:divBdr>
        <w:top w:val="none" w:sz="0" w:space="0" w:color="auto"/>
        <w:left w:val="none" w:sz="0" w:space="0" w:color="auto"/>
        <w:bottom w:val="none" w:sz="0" w:space="0" w:color="auto"/>
        <w:right w:val="none" w:sz="0" w:space="0" w:color="auto"/>
      </w:divBdr>
    </w:div>
    <w:div w:id="130710535">
      <w:bodyDiv w:val="1"/>
      <w:marLeft w:val="0"/>
      <w:marRight w:val="0"/>
      <w:marTop w:val="0"/>
      <w:marBottom w:val="0"/>
      <w:divBdr>
        <w:top w:val="none" w:sz="0" w:space="0" w:color="auto"/>
        <w:left w:val="none" w:sz="0" w:space="0" w:color="auto"/>
        <w:bottom w:val="none" w:sz="0" w:space="0" w:color="auto"/>
        <w:right w:val="none" w:sz="0" w:space="0" w:color="auto"/>
      </w:divBdr>
    </w:div>
    <w:div w:id="134028184">
      <w:bodyDiv w:val="1"/>
      <w:marLeft w:val="0"/>
      <w:marRight w:val="0"/>
      <w:marTop w:val="0"/>
      <w:marBottom w:val="0"/>
      <w:divBdr>
        <w:top w:val="none" w:sz="0" w:space="0" w:color="auto"/>
        <w:left w:val="none" w:sz="0" w:space="0" w:color="auto"/>
        <w:bottom w:val="none" w:sz="0" w:space="0" w:color="auto"/>
        <w:right w:val="none" w:sz="0" w:space="0" w:color="auto"/>
      </w:divBdr>
    </w:div>
    <w:div w:id="134101368">
      <w:bodyDiv w:val="1"/>
      <w:marLeft w:val="0"/>
      <w:marRight w:val="0"/>
      <w:marTop w:val="0"/>
      <w:marBottom w:val="0"/>
      <w:divBdr>
        <w:top w:val="none" w:sz="0" w:space="0" w:color="auto"/>
        <w:left w:val="none" w:sz="0" w:space="0" w:color="auto"/>
        <w:bottom w:val="none" w:sz="0" w:space="0" w:color="auto"/>
        <w:right w:val="none" w:sz="0" w:space="0" w:color="auto"/>
      </w:divBdr>
    </w:div>
    <w:div w:id="136578082">
      <w:bodyDiv w:val="1"/>
      <w:marLeft w:val="0"/>
      <w:marRight w:val="0"/>
      <w:marTop w:val="0"/>
      <w:marBottom w:val="0"/>
      <w:divBdr>
        <w:top w:val="none" w:sz="0" w:space="0" w:color="auto"/>
        <w:left w:val="none" w:sz="0" w:space="0" w:color="auto"/>
        <w:bottom w:val="none" w:sz="0" w:space="0" w:color="auto"/>
        <w:right w:val="none" w:sz="0" w:space="0" w:color="auto"/>
      </w:divBdr>
    </w:div>
    <w:div w:id="140926793">
      <w:bodyDiv w:val="1"/>
      <w:marLeft w:val="0"/>
      <w:marRight w:val="0"/>
      <w:marTop w:val="0"/>
      <w:marBottom w:val="0"/>
      <w:divBdr>
        <w:top w:val="none" w:sz="0" w:space="0" w:color="auto"/>
        <w:left w:val="none" w:sz="0" w:space="0" w:color="auto"/>
        <w:bottom w:val="none" w:sz="0" w:space="0" w:color="auto"/>
        <w:right w:val="none" w:sz="0" w:space="0" w:color="auto"/>
      </w:divBdr>
    </w:div>
    <w:div w:id="144442798">
      <w:bodyDiv w:val="1"/>
      <w:marLeft w:val="0"/>
      <w:marRight w:val="0"/>
      <w:marTop w:val="0"/>
      <w:marBottom w:val="0"/>
      <w:divBdr>
        <w:top w:val="none" w:sz="0" w:space="0" w:color="auto"/>
        <w:left w:val="none" w:sz="0" w:space="0" w:color="auto"/>
        <w:bottom w:val="none" w:sz="0" w:space="0" w:color="auto"/>
        <w:right w:val="none" w:sz="0" w:space="0" w:color="auto"/>
      </w:divBdr>
    </w:div>
    <w:div w:id="146677966">
      <w:bodyDiv w:val="1"/>
      <w:marLeft w:val="0"/>
      <w:marRight w:val="0"/>
      <w:marTop w:val="0"/>
      <w:marBottom w:val="0"/>
      <w:divBdr>
        <w:top w:val="none" w:sz="0" w:space="0" w:color="auto"/>
        <w:left w:val="none" w:sz="0" w:space="0" w:color="auto"/>
        <w:bottom w:val="none" w:sz="0" w:space="0" w:color="auto"/>
        <w:right w:val="none" w:sz="0" w:space="0" w:color="auto"/>
      </w:divBdr>
    </w:div>
    <w:div w:id="151265072">
      <w:bodyDiv w:val="1"/>
      <w:marLeft w:val="0"/>
      <w:marRight w:val="0"/>
      <w:marTop w:val="0"/>
      <w:marBottom w:val="0"/>
      <w:divBdr>
        <w:top w:val="none" w:sz="0" w:space="0" w:color="auto"/>
        <w:left w:val="none" w:sz="0" w:space="0" w:color="auto"/>
        <w:bottom w:val="none" w:sz="0" w:space="0" w:color="auto"/>
        <w:right w:val="none" w:sz="0" w:space="0" w:color="auto"/>
      </w:divBdr>
    </w:div>
    <w:div w:id="152184449">
      <w:bodyDiv w:val="1"/>
      <w:marLeft w:val="0"/>
      <w:marRight w:val="0"/>
      <w:marTop w:val="0"/>
      <w:marBottom w:val="0"/>
      <w:divBdr>
        <w:top w:val="none" w:sz="0" w:space="0" w:color="auto"/>
        <w:left w:val="none" w:sz="0" w:space="0" w:color="auto"/>
        <w:bottom w:val="none" w:sz="0" w:space="0" w:color="auto"/>
        <w:right w:val="none" w:sz="0" w:space="0" w:color="auto"/>
      </w:divBdr>
    </w:div>
    <w:div w:id="152450226">
      <w:bodyDiv w:val="1"/>
      <w:marLeft w:val="0"/>
      <w:marRight w:val="0"/>
      <w:marTop w:val="0"/>
      <w:marBottom w:val="0"/>
      <w:divBdr>
        <w:top w:val="none" w:sz="0" w:space="0" w:color="auto"/>
        <w:left w:val="none" w:sz="0" w:space="0" w:color="auto"/>
        <w:bottom w:val="none" w:sz="0" w:space="0" w:color="auto"/>
        <w:right w:val="none" w:sz="0" w:space="0" w:color="auto"/>
      </w:divBdr>
    </w:div>
    <w:div w:id="158204221">
      <w:bodyDiv w:val="1"/>
      <w:marLeft w:val="0"/>
      <w:marRight w:val="0"/>
      <w:marTop w:val="0"/>
      <w:marBottom w:val="0"/>
      <w:divBdr>
        <w:top w:val="none" w:sz="0" w:space="0" w:color="auto"/>
        <w:left w:val="none" w:sz="0" w:space="0" w:color="auto"/>
        <w:bottom w:val="none" w:sz="0" w:space="0" w:color="auto"/>
        <w:right w:val="none" w:sz="0" w:space="0" w:color="auto"/>
      </w:divBdr>
    </w:div>
    <w:div w:id="162552605">
      <w:bodyDiv w:val="1"/>
      <w:marLeft w:val="0"/>
      <w:marRight w:val="0"/>
      <w:marTop w:val="0"/>
      <w:marBottom w:val="0"/>
      <w:divBdr>
        <w:top w:val="none" w:sz="0" w:space="0" w:color="auto"/>
        <w:left w:val="none" w:sz="0" w:space="0" w:color="auto"/>
        <w:bottom w:val="none" w:sz="0" w:space="0" w:color="auto"/>
        <w:right w:val="none" w:sz="0" w:space="0" w:color="auto"/>
      </w:divBdr>
    </w:div>
    <w:div w:id="162822431">
      <w:bodyDiv w:val="1"/>
      <w:marLeft w:val="0"/>
      <w:marRight w:val="0"/>
      <w:marTop w:val="0"/>
      <w:marBottom w:val="0"/>
      <w:divBdr>
        <w:top w:val="none" w:sz="0" w:space="0" w:color="auto"/>
        <w:left w:val="none" w:sz="0" w:space="0" w:color="auto"/>
        <w:bottom w:val="none" w:sz="0" w:space="0" w:color="auto"/>
        <w:right w:val="none" w:sz="0" w:space="0" w:color="auto"/>
      </w:divBdr>
    </w:div>
    <w:div w:id="162863899">
      <w:bodyDiv w:val="1"/>
      <w:marLeft w:val="0"/>
      <w:marRight w:val="0"/>
      <w:marTop w:val="0"/>
      <w:marBottom w:val="0"/>
      <w:divBdr>
        <w:top w:val="none" w:sz="0" w:space="0" w:color="auto"/>
        <w:left w:val="none" w:sz="0" w:space="0" w:color="auto"/>
        <w:bottom w:val="none" w:sz="0" w:space="0" w:color="auto"/>
        <w:right w:val="none" w:sz="0" w:space="0" w:color="auto"/>
      </w:divBdr>
    </w:div>
    <w:div w:id="165822796">
      <w:bodyDiv w:val="1"/>
      <w:marLeft w:val="0"/>
      <w:marRight w:val="0"/>
      <w:marTop w:val="0"/>
      <w:marBottom w:val="0"/>
      <w:divBdr>
        <w:top w:val="none" w:sz="0" w:space="0" w:color="auto"/>
        <w:left w:val="none" w:sz="0" w:space="0" w:color="auto"/>
        <w:bottom w:val="none" w:sz="0" w:space="0" w:color="auto"/>
        <w:right w:val="none" w:sz="0" w:space="0" w:color="auto"/>
      </w:divBdr>
    </w:div>
    <w:div w:id="166214052">
      <w:bodyDiv w:val="1"/>
      <w:marLeft w:val="0"/>
      <w:marRight w:val="0"/>
      <w:marTop w:val="0"/>
      <w:marBottom w:val="0"/>
      <w:divBdr>
        <w:top w:val="none" w:sz="0" w:space="0" w:color="auto"/>
        <w:left w:val="none" w:sz="0" w:space="0" w:color="auto"/>
        <w:bottom w:val="none" w:sz="0" w:space="0" w:color="auto"/>
        <w:right w:val="none" w:sz="0" w:space="0" w:color="auto"/>
      </w:divBdr>
    </w:div>
    <w:div w:id="168183756">
      <w:bodyDiv w:val="1"/>
      <w:marLeft w:val="0"/>
      <w:marRight w:val="0"/>
      <w:marTop w:val="0"/>
      <w:marBottom w:val="0"/>
      <w:divBdr>
        <w:top w:val="none" w:sz="0" w:space="0" w:color="auto"/>
        <w:left w:val="none" w:sz="0" w:space="0" w:color="auto"/>
        <w:bottom w:val="none" w:sz="0" w:space="0" w:color="auto"/>
        <w:right w:val="none" w:sz="0" w:space="0" w:color="auto"/>
      </w:divBdr>
    </w:div>
    <w:div w:id="171183391">
      <w:bodyDiv w:val="1"/>
      <w:marLeft w:val="0"/>
      <w:marRight w:val="0"/>
      <w:marTop w:val="0"/>
      <w:marBottom w:val="0"/>
      <w:divBdr>
        <w:top w:val="none" w:sz="0" w:space="0" w:color="auto"/>
        <w:left w:val="none" w:sz="0" w:space="0" w:color="auto"/>
        <w:bottom w:val="none" w:sz="0" w:space="0" w:color="auto"/>
        <w:right w:val="none" w:sz="0" w:space="0" w:color="auto"/>
      </w:divBdr>
    </w:div>
    <w:div w:id="174420855">
      <w:bodyDiv w:val="1"/>
      <w:marLeft w:val="0"/>
      <w:marRight w:val="0"/>
      <w:marTop w:val="0"/>
      <w:marBottom w:val="0"/>
      <w:divBdr>
        <w:top w:val="none" w:sz="0" w:space="0" w:color="auto"/>
        <w:left w:val="none" w:sz="0" w:space="0" w:color="auto"/>
        <w:bottom w:val="none" w:sz="0" w:space="0" w:color="auto"/>
        <w:right w:val="none" w:sz="0" w:space="0" w:color="auto"/>
      </w:divBdr>
    </w:div>
    <w:div w:id="180167542">
      <w:bodyDiv w:val="1"/>
      <w:marLeft w:val="0"/>
      <w:marRight w:val="0"/>
      <w:marTop w:val="0"/>
      <w:marBottom w:val="0"/>
      <w:divBdr>
        <w:top w:val="none" w:sz="0" w:space="0" w:color="auto"/>
        <w:left w:val="none" w:sz="0" w:space="0" w:color="auto"/>
        <w:bottom w:val="none" w:sz="0" w:space="0" w:color="auto"/>
        <w:right w:val="none" w:sz="0" w:space="0" w:color="auto"/>
      </w:divBdr>
    </w:div>
    <w:div w:id="184439731">
      <w:bodyDiv w:val="1"/>
      <w:marLeft w:val="0"/>
      <w:marRight w:val="0"/>
      <w:marTop w:val="0"/>
      <w:marBottom w:val="0"/>
      <w:divBdr>
        <w:top w:val="none" w:sz="0" w:space="0" w:color="auto"/>
        <w:left w:val="none" w:sz="0" w:space="0" w:color="auto"/>
        <w:bottom w:val="none" w:sz="0" w:space="0" w:color="auto"/>
        <w:right w:val="none" w:sz="0" w:space="0" w:color="auto"/>
      </w:divBdr>
    </w:div>
    <w:div w:id="186338343">
      <w:bodyDiv w:val="1"/>
      <w:marLeft w:val="0"/>
      <w:marRight w:val="0"/>
      <w:marTop w:val="0"/>
      <w:marBottom w:val="0"/>
      <w:divBdr>
        <w:top w:val="none" w:sz="0" w:space="0" w:color="auto"/>
        <w:left w:val="none" w:sz="0" w:space="0" w:color="auto"/>
        <w:bottom w:val="none" w:sz="0" w:space="0" w:color="auto"/>
        <w:right w:val="none" w:sz="0" w:space="0" w:color="auto"/>
      </w:divBdr>
    </w:div>
    <w:div w:id="188182203">
      <w:bodyDiv w:val="1"/>
      <w:marLeft w:val="0"/>
      <w:marRight w:val="0"/>
      <w:marTop w:val="0"/>
      <w:marBottom w:val="0"/>
      <w:divBdr>
        <w:top w:val="none" w:sz="0" w:space="0" w:color="auto"/>
        <w:left w:val="none" w:sz="0" w:space="0" w:color="auto"/>
        <w:bottom w:val="none" w:sz="0" w:space="0" w:color="auto"/>
        <w:right w:val="none" w:sz="0" w:space="0" w:color="auto"/>
      </w:divBdr>
    </w:div>
    <w:div w:id="189296691">
      <w:bodyDiv w:val="1"/>
      <w:marLeft w:val="0"/>
      <w:marRight w:val="0"/>
      <w:marTop w:val="0"/>
      <w:marBottom w:val="0"/>
      <w:divBdr>
        <w:top w:val="none" w:sz="0" w:space="0" w:color="auto"/>
        <w:left w:val="none" w:sz="0" w:space="0" w:color="auto"/>
        <w:bottom w:val="none" w:sz="0" w:space="0" w:color="auto"/>
        <w:right w:val="none" w:sz="0" w:space="0" w:color="auto"/>
      </w:divBdr>
    </w:div>
    <w:div w:id="193808153">
      <w:bodyDiv w:val="1"/>
      <w:marLeft w:val="0"/>
      <w:marRight w:val="0"/>
      <w:marTop w:val="0"/>
      <w:marBottom w:val="0"/>
      <w:divBdr>
        <w:top w:val="none" w:sz="0" w:space="0" w:color="auto"/>
        <w:left w:val="none" w:sz="0" w:space="0" w:color="auto"/>
        <w:bottom w:val="none" w:sz="0" w:space="0" w:color="auto"/>
        <w:right w:val="none" w:sz="0" w:space="0" w:color="auto"/>
      </w:divBdr>
    </w:div>
    <w:div w:id="193856003">
      <w:bodyDiv w:val="1"/>
      <w:marLeft w:val="0"/>
      <w:marRight w:val="0"/>
      <w:marTop w:val="0"/>
      <w:marBottom w:val="0"/>
      <w:divBdr>
        <w:top w:val="none" w:sz="0" w:space="0" w:color="auto"/>
        <w:left w:val="none" w:sz="0" w:space="0" w:color="auto"/>
        <w:bottom w:val="none" w:sz="0" w:space="0" w:color="auto"/>
        <w:right w:val="none" w:sz="0" w:space="0" w:color="auto"/>
      </w:divBdr>
    </w:div>
    <w:div w:id="197164654">
      <w:bodyDiv w:val="1"/>
      <w:marLeft w:val="0"/>
      <w:marRight w:val="0"/>
      <w:marTop w:val="0"/>
      <w:marBottom w:val="0"/>
      <w:divBdr>
        <w:top w:val="none" w:sz="0" w:space="0" w:color="auto"/>
        <w:left w:val="none" w:sz="0" w:space="0" w:color="auto"/>
        <w:bottom w:val="none" w:sz="0" w:space="0" w:color="auto"/>
        <w:right w:val="none" w:sz="0" w:space="0" w:color="auto"/>
      </w:divBdr>
    </w:div>
    <w:div w:id="197399561">
      <w:bodyDiv w:val="1"/>
      <w:marLeft w:val="0"/>
      <w:marRight w:val="0"/>
      <w:marTop w:val="0"/>
      <w:marBottom w:val="0"/>
      <w:divBdr>
        <w:top w:val="none" w:sz="0" w:space="0" w:color="auto"/>
        <w:left w:val="none" w:sz="0" w:space="0" w:color="auto"/>
        <w:bottom w:val="none" w:sz="0" w:space="0" w:color="auto"/>
        <w:right w:val="none" w:sz="0" w:space="0" w:color="auto"/>
      </w:divBdr>
    </w:div>
    <w:div w:id="198133864">
      <w:bodyDiv w:val="1"/>
      <w:marLeft w:val="0"/>
      <w:marRight w:val="0"/>
      <w:marTop w:val="0"/>
      <w:marBottom w:val="0"/>
      <w:divBdr>
        <w:top w:val="none" w:sz="0" w:space="0" w:color="auto"/>
        <w:left w:val="none" w:sz="0" w:space="0" w:color="auto"/>
        <w:bottom w:val="none" w:sz="0" w:space="0" w:color="auto"/>
        <w:right w:val="none" w:sz="0" w:space="0" w:color="auto"/>
      </w:divBdr>
    </w:div>
    <w:div w:id="200409550">
      <w:bodyDiv w:val="1"/>
      <w:marLeft w:val="0"/>
      <w:marRight w:val="0"/>
      <w:marTop w:val="0"/>
      <w:marBottom w:val="0"/>
      <w:divBdr>
        <w:top w:val="none" w:sz="0" w:space="0" w:color="auto"/>
        <w:left w:val="none" w:sz="0" w:space="0" w:color="auto"/>
        <w:bottom w:val="none" w:sz="0" w:space="0" w:color="auto"/>
        <w:right w:val="none" w:sz="0" w:space="0" w:color="auto"/>
      </w:divBdr>
    </w:div>
    <w:div w:id="202250202">
      <w:bodyDiv w:val="1"/>
      <w:marLeft w:val="0"/>
      <w:marRight w:val="0"/>
      <w:marTop w:val="0"/>
      <w:marBottom w:val="0"/>
      <w:divBdr>
        <w:top w:val="none" w:sz="0" w:space="0" w:color="auto"/>
        <w:left w:val="none" w:sz="0" w:space="0" w:color="auto"/>
        <w:bottom w:val="none" w:sz="0" w:space="0" w:color="auto"/>
        <w:right w:val="none" w:sz="0" w:space="0" w:color="auto"/>
      </w:divBdr>
    </w:div>
    <w:div w:id="204681547">
      <w:bodyDiv w:val="1"/>
      <w:marLeft w:val="0"/>
      <w:marRight w:val="0"/>
      <w:marTop w:val="0"/>
      <w:marBottom w:val="0"/>
      <w:divBdr>
        <w:top w:val="none" w:sz="0" w:space="0" w:color="auto"/>
        <w:left w:val="none" w:sz="0" w:space="0" w:color="auto"/>
        <w:bottom w:val="none" w:sz="0" w:space="0" w:color="auto"/>
        <w:right w:val="none" w:sz="0" w:space="0" w:color="auto"/>
      </w:divBdr>
    </w:div>
    <w:div w:id="205683545">
      <w:bodyDiv w:val="1"/>
      <w:marLeft w:val="0"/>
      <w:marRight w:val="0"/>
      <w:marTop w:val="0"/>
      <w:marBottom w:val="0"/>
      <w:divBdr>
        <w:top w:val="none" w:sz="0" w:space="0" w:color="auto"/>
        <w:left w:val="none" w:sz="0" w:space="0" w:color="auto"/>
        <w:bottom w:val="none" w:sz="0" w:space="0" w:color="auto"/>
        <w:right w:val="none" w:sz="0" w:space="0" w:color="auto"/>
      </w:divBdr>
    </w:div>
    <w:div w:id="207686677">
      <w:bodyDiv w:val="1"/>
      <w:marLeft w:val="0"/>
      <w:marRight w:val="0"/>
      <w:marTop w:val="0"/>
      <w:marBottom w:val="0"/>
      <w:divBdr>
        <w:top w:val="none" w:sz="0" w:space="0" w:color="auto"/>
        <w:left w:val="none" w:sz="0" w:space="0" w:color="auto"/>
        <w:bottom w:val="none" w:sz="0" w:space="0" w:color="auto"/>
        <w:right w:val="none" w:sz="0" w:space="0" w:color="auto"/>
      </w:divBdr>
    </w:div>
    <w:div w:id="208148090">
      <w:bodyDiv w:val="1"/>
      <w:marLeft w:val="0"/>
      <w:marRight w:val="0"/>
      <w:marTop w:val="0"/>
      <w:marBottom w:val="0"/>
      <w:divBdr>
        <w:top w:val="none" w:sz="0" w:space="0" w:color="auto"/>
        <w:left w:val="none" w:sz="0" w:space="0" w:color="auto"/>
        <w:bottom w:val="none" w:sz="0" w:space="0" w:color="auto"/>
        <w:right w:val="none" w:sz="0" w:space="0" w:color="auto"/>
      </w:divBdr>
    </w:div>
    <w:div w:id="210309212">
      <w:bodyDiv w:val="1"/>
      <w:marLeft w:val="0"/>
      <w:marRight w:val="0"/>
      <w:marTop w:val="0"/>
      <w:marBottom w:val="0"/>
      <w:divBdr>
        <w:top w:val="none" w:sz="0" w:space="0" w:color="auto"/>
        <w:left w:val="none" w:sz="0" w:space="0" w:color="auto"/>
        <w:bottom w:val="none" w:sz="0" w:space="0" w:color="auto"/>
        <w:right w:val="none" w:sz="0" w:space="0" w:color="auto"/>
      </w:divBdr>
    </w:div>
    <w:div w:id="210508166">
      <w:bodyDiv w:val="1"/>
      <w:marLeft w:val="0"/>
      <w:marRight w:val="0"/>
      <w:marTop w:val="0"/>
      <w:marBottom w:val="0"/>
      <w:divBdr>
        <w:top w:val="none" w:sz="0" w:space="0" w:color="auto"/>
        <w:left w:val="none" w:sz="0" w:space="0" w:color="auto"/>
        <w:bottom w:val="none" w:sz="0" w:space="0" w:color="auto"/>
        <w:right w:val="none" w:sz="0" w:space="0" w:color="auto"/>
      </w:divBdr>
    </w:div>
    <w:div w:id="211425301">
      <w:bodyDiv w:val="1"/>
      <w:marLeft w:val="0"/>
      <w:marRight w:val="0"/>
      <w:marTop w:val="0"/>
      <w:marBottom w:val="0"/>
      <w:divBdr>
        <w:top w:val="none" w:sz="0" w:space="0" w:color="auto"/>
        <w:left w:val="none" w:sz="0" w:space="0" w:color="auto"/>
        <w:bottom w:val="none" w:sz="0" w:space="0" w:color="auto"/>
        <w:right w:val="none" w:sz="0" w:space="0" w:color="auto"/>
      </w:divBdr>
    </w:div>
    <w:div w:id="211818307">
      <w:bodyDiv w:val="1"/>
      <w:marLeft w:val="0"/>
      <w:marRight w:val="0"/>
      <w:marTop w:val="0"/>
      <w:marBottom w:val="0"/>
      <w:divBdr>
        <w:top w:val="none" w:sz="0" w:space="0" w:color="auto"/>
        <w:left w:val="none" w:sz="0" w:space="0" w:color="auto"/>
        <w:bottom w:val="none" w:sz="0" w:space="0" w:color="auto"/>
        <w:right w:val="none" w:sz="0" w:space="0" w:color="auto"/>
      </w:divBdr>
    </w:div>
    <w:div w:id="213659701">
      <w:bodyDiv w:val="1"/>
      <w:marLeft w:val="0"/>
      <w:marRight w:val="0"/>
      <w:marTop w:val="0"/>
      <w:marBottom w:val="0"/>
      <w:divBdr>
        <w:top w:val="none" w:sz="0" w:space="0" w:color="auto"/>
        <w:left w:val="none" w:sz="0" w:space="0" w:color="auto"/>
        <w:bottom w:val="none" w:sz="0" w:space="0" w:color="auto"/>
        <w:right w:val="none" w:sz="0" w:space="0" w:color="auto"/>
      </w:divBdr>
    </w:div>
    <w:div w:id="215364141">
      <w:bodyDiv w:val="1"/>
      <w:marLeft w:val="0"/>
      <w:marRight w:val="0"/>
      <w:marTop w:val="0"/>
      <w:marBottom w:val="0"/>
      <w:divBdr>
        <w:top w:val="none" w:sz="0" w:space="0" w:color="auto"/>
        <w:left w:val="none" w:sz="0" w:space="0" w:color="auto"/>
        <w:bottom w:val="none" w:sz="0" w:space="0" w:color="auto"/>
        <w:right w:val="none" w:sz="0" w:space="0" w:color="auto"/>
      </w:divBdr>
    </w:div>
    <w:div w:id="216480458">
      <w:bodyDiv w:val="1"/>
      <w:marLeft w:val="0"/>
      <w:marRight w:val="0"/>
      <w:marTop w:val="0"/>
      <w:marBottom w:val="0"/>
      <w:divBdr>
        <w:top w:val="none" w:sz="0" w:space="0" w:color="auto"/>
        <w:left w:val="none" w:sz="0" w:space="0" w:color="auto"/>
        <w:bottom w:val="none" w:sz="0" w:space="0" w:color="auto"/>
        <w:right w:val="none" w:sz="0" w:space="0" w:color="auto"/>
      </w:divBdr>
    </w:div>
    <w:div w:id="226111650">
      <w:bodyDiv w:val="1"/>
      <w:marLeft w:val="0"/>
      <w:marRight w:val="0"/>
      <w:marTop w:val="0"/>
      <w:marBottom w:val="0"/>
      <w:divBdr>
        <w:top w:val="none" w:sz="0" w:space="0" w:color="auto"/>
        <w:left w:val="none" w:sz="0" w:space="0" w:color="auto"/>
        <w:bottom w:val="none" w:sz="0" w:space="0" w:color="auto"/>
        <w:right w:val="none" w:sz="0" w:space="0" w:color="auto"/>
      </w:divBdr>
    </w:div>
    <w:div w:id="226233033">
      <w:bodyDiv w:val="1"/>
      <w:marLeft w:val="0"/>
      <w:marRight w:val="0"/>
      <w:marTop w:val="0"/>
      <w:marBottom w:val="0"/>
      <w:divBdr>
        <w:top w:val="none" w:sz="0" w:space="0" w:color="auto"/>
        <w:left w:val="none" w:sz="0" w:space="0" w:color="auto"/>
        <w:bottom w:val="none" w:sz="0" w:space="0" w:color="auto"/>
        <w:right w:val="none" w:sz="0" w:space="0" w:color="auto"/>
      </w:divBdr>
    </w:div>
    <w:div w:id="227301701">
      <w:bodyDiv w:val="1"/>
      <w:marLeft w:val="0"/>
      <w:marRight w:val="0"/>
      <w:marTop w:val="0"/>
      <w:marBottom w:val="0"/>
      <w:divBdr>
        <w:top w:val="none" w:sz="0" w:space="0" w:color="auto"/>
        <w:left w:val="none" w:sz="0" w:space="0" w:color="auto"/>
        <w:bottom w:val="none" w:sz="0" w:space="0" w:color="auto"/>
        <w:right w:val="none" w:sz="0" w:space="0" w:color="auto"/>
      </w:divBdr>
    </w:div>
    <w:div w:id="227571691">
      <w:bodyDiv w:val="1"/>
      <w:marLeft w:val="0"/>
      <w:marRight w:val="0"/>
      <w:marTop w:val="0"/>
      <w:marBottom w:val="0"/>
      <w:divBdr>
        <w:top w:val="none" w:sz="0" w:space="0" w:color="auto"/>
        <w:left w:val="none" w:sz="0" w:space="0" w:color="auto"/>
        <w:bottom w:val="none" w:sz="0" w:space="0" w:color="auto"/>
        <w:right w:val="none" w:sz="0" w:space="0" w:color="auto"/>
      </w:divBdr>
    </w:div>
    <w:div w:id="227621060">
      <w:bodyDiv w:val="1"/>
      <w:marLeft w:val="0"/>
      <w:marRight w:val="0"/>
      <w:marTop w:val="0"/>
      <w:marBottom w:val="0"/>
      <w:divBdr>
        <w:top w:val="none" w:sz="0" w:space="0" w:color="auto"/>
        <w:left w:val="none" w:sz="0" w:space="0" w:color="auto"/>
        <w:bottom w:val="none" w:sz="0" w:space="0" w:color="auto"/>
        <w:right w:val="none" w:sz="0" w:space="0" w:color="auto"/>
      </w:divBdr>
    </w:div>
    <w:div w:id="233316649">
      <w:bodyDiv w:val="1"/>
      <w:marLeft w:val="0"/>
      <w:marRight w:val="0"/>
      <w:marTop w:val="0"/>
      <w:marBottom w:val="0"/>
      <w:divBdr>
        <w:top w:val="none" w:sz="0" w:space="0" w:color="auto"/>
        <w:left w:val="none" w:sz="0" w:space="0" w:color="auto"/>
        <w:bottom w:val="none" w:sz="0" w:space="0" w:color="auto"/>
        <w:right w:val="none" w:sz="0" w:space="0" w:color="auto"/>
      </w:divBdr>
    </w:div>
    <w:div w:id="236523434">
      <w:bodyDiv w:val="1"/>
      <w:marLeft w:val="0"/>
      <w:marRight w:val="0"/>
      <w:marTop w:val="0"/>
      <w:marBottom w:val="0"/>
      <w:divBdr>
        <w:top w:val="none" w:sz="0" w:space="0" w:color="auto"/>
        <w:left w:val="none" w:sz="0" w:space="0" w:color="auto"/>
        <w:bottom w:val="none" w:sz="0" w:space="0" w:color="auto"/>
        <w:right w:val="none" w:sz="0" w:space="0" w:color="auto"/>
      </w:divBdr>
    </w:div>
    <w:div w:id="241990411">
      <w:bodyDiv w:val="1"/>
      <w:marLeft w:val="0"/>
      <w:marRight w:val="0"/>
      <w:marTop w:val="0"/>
      <w:marBottom w:val="0"/>
      <w:divBdr>
        <w:top w:val="none" w:sz="0" w:space="0" w:color="auto"/>
        <w:left w:val="none" w:sz="0" w:space="0" w:color="auto"/>
        <w:bottom w:val="none" w:sz="0" w:space="0" w:color="auto"/>
        <w:right w:val="none" w:sz="0" w:space="0" w:color="auto"/>
      </w:divBdr>
    </w:div>
    <w:div w:id="248120860">
      <w:bodyDiv w:val="1"/>
      <w:marLeft w:val="0"/>
      <w:marRight w:val="0"/>
      <w:marTop w:val="0"/>
      <w:marBottom w:val="0"/>
      <w:divBdr>
        <w:top w:val="none" w:sz="0" w:space="0" w:color="auto"/>
        <w:left w:val="none" w:sz="0" w:space="0" w:color="auto"/>
        <w:bottom w:val="none" w:sz="0" w:space="0" w:color="auto"/>
        <w:right w:val="none" w:sz="0" w:space="0" w:color="auto"/>
      </w:divBdr>
    </w:div>
    <w:div w:id="250088152">
      <w:bodyDiv w:val="1"/>
      <w:marLeft w:val="0"/>
      <w:marRight w:val="0"/>
      <w:marTop w:val="0"/>
      <w:marBottom w:val="0"/>
      <w:divBdr>
        <w:top w:val="none" w:sz="0" w:space="0" w:color="auto"/>
        <w:left w:val="none" w:sz="0" w:space="0" w:color="auto"/>
        <w:bottom w:val="none" w:sz="0" w:space="0" w:color="auto"/>
        <w:right w:val="none" w:sz="0" w:space="0" w:color="auto"/>
      </w:divBdr>
    </w:div>
    <w:div w:id="254753187">
      <w:bodyDiv w:val="1"/>
      <w:marLeft w:val="0"/>
      <w:marRight w:val="0"/>
      <w:marTop w:val="0"/>
      <w:marBottom w:val="0"/>
      <w:divBdr>
        <w:top w:val="none" w:sz="0" w:space="0" w:color="auto"/>
        <w:left w:val="none" w:sz="0" w:space="0" w:color="auto"/>
        <w:bottom w:val="none" w:sz="0" w:space="0" w:color="auto"/>
        <w:right w:val="none" w:sz="0" w:space="0" w:color="auto"/>
      </w:divBdr>
      <w:divsChild>
        <w:div w:id="191500970">
          <w:marLeft w:val="1166"/>
          <w:marRight w:val="0"/>
          <w:marTop w:val="154"/>
          <w:marBottom w:val="0"/>
          <w:divBdr>
            <w:top w:val="none" w:sz="0" w:space="0" w:color="auto"/>
            <w:left w:val="none" w:sz="0" w:space="0" w:color="auto"/>
            <w:bottom w:val="none" w:sz="0" w:space="0" w:color="auto"/>
            <w:right w:val="none" w:sz="0" w:space="0" w:color="auto"/>
          </w:divBdr>
        </w:div>
        <w:div w:id="354037128">
          <w:marLeft w:val="1166"/>
          <w:marRight w:val="0"/>
          <w:marTop w:val="154"/>
          <w:marBottom w:val="0"/>
          <w:divBdr>
            <w:top w:val="none" w:sz="0" w:space="0" w:color="auto"/>
            <w:left w:val="none" w:sz="0" w:space="0" w:color="auto"/>
            <w:bottom w:val="none" w:sz="0" w:space="0" w:color="auto"/>
            <w:right w:val="none" w:sz="0" w:space="0" w:color="auto"/>
          </w:divBdr>
        </w:div>
        <w:div w:id="943536068">
          <w:marLeft w:val="1166"/>
          <w:marRight w:val="0"/>
          <w:marTop w:val="154"/>
          <w:marBottom w:val="0"/>
          <w:divBdr>
            <w:top w:val="none" w:sz="0" w:space="0" w:color="auto"/>
            <w:left w:val="none" w:sz="0" w:space="0" w:color="auto"/>
            <w:bottom w:val="none" w:sz="0" w:space="0" w:color="auto"/>
            <w:right w:val="none" w:sz="0" w:space="0" w:color="auto"/>
          </w:divBdr>
        </w:div>
        <w:div w:id="1150294957">
          <w:marLeft w:val="1166"/>
          <w:marRight w:val="0"/>
          <w:marTop w:val="154"/>
          <w:marBottom w:val="0"/>
          <w:divBdr>
            <w:top w:val="none" w:sz="0" w:space="0" w:color="auto"/>
            <w:left w:val="none" w:sz="0" w:space="0" w:color="auto"/>
            <w:bottom w:val="none" w:sz="0" w:space="0" w:color="auto"/>
            <w:right w:val="none" w:sz="0" w:space="0" w:color="auto"/>
          </w:divBdr>
        </w:div>
        <w:div w:id="1424960729">
          <w:marLeft w:val="547"/>
          <w:marRight w:val="0"/>
          <w:marTop w:val="154"/>
          <w:marBottom w:val="0"/>
          <w:divBdr>
            <w:top w:val="none" w:sz="0" w:space="0" w:color="auto"/>
            <w:left w:val="none" w:sz="0" w:space="0" w:color="auto"/>
            <w:bottom w:val="none" w:sz="0" w:space="0" w:color="auto"/>
            <w:right w:val="none" w:sz="0" w:space="0" w:color="auto"/>
          </w:divBdr>
        </w:div>
        <w:div w:id="1459951203">
          <w:marLeft w:val="547"/>
          <w:marRight w:val="0"/>
          <w:marTop w:val="154"/>
          <w:marBottom w:val="0"/>
          <w:divBdr>
            <w:top w:val="none" w:sz="0" w:space="0" w:color="auto"/>
            <w:left w:val="none" w:sz="0" w:space="0" w:color="auto"/>
            <w:bottom w:val="none" w:sz="0" w:space="0" w:color="auto"/>
            <w:right w:val="none" w:sz="0" w:space="0" w:color="auto"/>
          </w:divBdr>
        </w:div>
        <w:div w:id="1556964334">
          <w:marLeft w:val="1166"/>
          <w:marRight w:val="0"/>
          <w:marTop w:val="154"/>
          <w:marBottom w:val="0"/>
          <w:divBdr>
            <w:top w:val="none" w:sz="0" w:space="0" w:color="auto"/>
            <w:left w:val="none" w:sz="0" w:space="0" w:color="auto"/>
            <w:bottom w:val="none" w:sz="0" w:space="0" w:color="auto"/>
            <w:right w:val="none" w:sz="0" w:space="0" w:color="auto"/>
          </w:divBdr>
        </w:div>
        <w:div w:id="1655794763">
          <w:marLeft w:val="1166"/>
          <w:marRight w:val="0"/>
          <w:marTop w:val="154"/>
          <w:marBottom w:val="0"/>
          <w:divBdr>
            <w:top w:val="none" w:sz="0" w:space="0" w:color="auto"/>
            <w:left w:val="none" w:sz="0" w:space="0" w:color="auto"/>
            <w:bottom w:val="none" w:sz="0" w:space="0" w:color="auto"/>
            <w:right w:val="none" w:sz="0" w:space="0" w:color="auto"/>
          </w:divBdr>
        </w:div>
      </w:divsChild>
    </w:div>
    <w:div w:id="256866575">
      <w:bodyDiv w:val="1"/>
      <w:marLeft w:val="0"/>
      <w:marRight w:val="0"/>
      <w:marTop w:val="0"/>
      <w:marBottom w:val="0"/>
      <w:divBdr>
        <w:top w:val="none" w:sz="0" w:space="0" w:color="auto"/>
        <w:left w:val="none" w:sz="0" w:space="0" w:color="auto"/>
        <w:bottom w:val="none" w:sz="0" w:space="0" w:color="auto"/>
        <w:right w:val="none" w:sz="0" w:space="0" w:color="auto"/>
      </w:divBdr>
    </w:div>
    <w:div w:id="265382414">
      <w:bodyDiv w:val="1"/>
      <w:marLeft w:val="0"/>
      <w:marRight w:val="0"/>
      <w:marTop w:val="0"/>
      <w:marBottom w:val="0"/>
      <w:divBdr>
        <w:top w:val="none" w:sz="0" w:space="0" w:color="auto"/>
        <w:left w:val="none" w:sz="0" w:space="0" w:color="auto"/>
        <w:bottom w:val="none" w:sz="0" w:space="0" w:color="auto"/>
        <w:right w:val="none" w:sz="0" w:space="0" w:color="auto"/>
      </w:divBdr>
    </w:div>
    <w:div w:id="267008546">
      <w:bodyDiv w:val="1"/>
      <w:marLeft w:val="0"/>
      <w:marRight w:val="0"/>
      <w:marTop w:val="0"/>
      <w:marBottom w:val="0"/>
      <w:divBdr>
        <w:top w:val="none" w:sz="0" w:space="0" w:color="auto"/>
        <w:left w:val="none" w:sz="0" w:space="0" w:color="auto"/>
        <w:bottom w:val="none" w:sz="0" w:space="0" w:color="auto"/>
        <w:right w:val="none" w:sz="0" w:space="0" w:color="auto"/>
      </w:divBdr>
      <w:divsChild>
        <w:div w:id="663356110">
          <w:marLeft w:val="0"/>
          <w:marRight w:val="0"/>
          <w:marTop w:val="0"/>
          <w:marBottom w:val="0"/>
          <w:divBdr>
            <w:top w:val="none" w:sz="0" w:space="0" w:color="auto"/>
            <w:left w:val="none" w:sz="0" w:space="0" w:color="auto"/>
            <w:bottom w:val="none" w:sz="0" w:space="0" w:color="auto"/>
            <w:right w:val="none" w:sz="0" w:space="0" w:color="auto"/>
          </w:divBdr>
          <w:divsChild>
            <w:div w:id="2090997622">
              <w:marLeft w:val="0"/>
              <w:marRight w:val="0"/>
              <w:marTop w:val="0"/>
              <w:marBottom w:val="0"/>
              <w:divBdr>
                <w:top w:val="none" w:sz="0" w:space="0" w:color="auto"/>
                <w:left w:val="none" w:sz="0" w:space="0" w:color="auto"/>
                <w:bottom w:val="none" w:sz="0" w:space="0" w:color="auto"/>
                <w:right w:val="none" w:sz="0" w:space="0" w:color="auto"/>
              </w:divBdr>
              <w:divsChild>
                <w:div w:id="977151279">
                  <w:marLeft w:val="0"/>
                  <w:marRight w:val="0"/>
                  <w:marTop w:val="0"/>
                  <w:marBottom w:val="0"/>
                  <w:divBdr>
                    <w:top w:val="none" w:sz="0" w:space="0" w:color="auto"/>
                    <w:left w:val="none" w:sz="0" w:space="0" w:color="auto"/>
                    <w:bottom w:val="none" w:sz="0" w:space="0" w:color="auto"/>
                    <w:right w:val="none" w:sz="0" w:space="0" w:color="auto"/>
                  </w:divBdr>
                  <w:divsChild>
                    <w:div w:id="1878424286">
                      <w:marLeft w:val="0"/>
                      <w:marRight w:val="0"/>
                      <w:marTop w:val="0"/>
                      <w:marBottom w:val="0"/>
                      <w:divBdr>
                        <w:top w:val="none" w:sz="0" w:space="0" w:color="auto"/>
                        <w:left w:val="none" w:sz="0" w:space="0" w:color="auto"/>
                        <w:bottom w:val="none" w:sz="0" w:space="0" w:color="auto"/>
                        <w:right w:val="none" w:sz="0" w:space="0" w:color="auto"/>
                      </w:divBdr>
                      <w:divsChild>
                        <w:div w:id="1420374483">
                          <w:marLeft w:val="0"/>
                          <w:marRight w:val="0"/>
                          <w:marTop w:val="0"/>
                          <w:marBottom w:val="0"/>
                          <w:divBdr>
                            <w:top w:val="none" w:sz="0" w:space="0" w:color="auto"/>
                            <w:left w:val="none" w:sz="0" w:space="0" w:color="auto"/>
                            <w:bottom w:val="none" w:sz="0" w:space="0" w:color="auto"/>
                            <w:right w:val="none" w:sz="0" w:space="0" w:color="auto"/>
                          </w:divBdr>
                          <w:divsChild>
                            <w:div w:id="1353068626">
                              <w:marLeft w:val="0"/>
                              <w:marRight w:val="0"/>
                              <w:marTop w:val="0"/>
                              <w:marBottom w:val="0"/>
                              <w:divBdr>
                                <w:top w:val="none" w:sz="0" w:space="0" w:color="auto"/>
                                <w:left w:val="none" w:sz="0" w:space="0" w:color="auto"/>
                                <w:bottom w:val="none" w:sz="0" w:space="0" w:color="auto"/>
                                <w:right w:val="none" w:sz="0" w:space="0" w:color="auto"/>
                              </w:divBdr>
                              <w:divsChild>
                                <w:div w:id="1219701912">
                                  <w:marLeft w:val="0"/>
                                  <w:marRight w:val="0"/>
                                  <w:marTop w:val="0"/>
                                  <w:marBottom w:val="0"/>
                                  <w:divBdr>
                                    <w:top w:val="none" w:sz="0" w:space="0" w:color="auto"/>
                                    <w:left w:val="none" w:sz="0" w:space="0" w:color="auto"/>
                                    <w:bottom w:val="none" w:sz="0" w:space="0" w:color="auto"/>
                                    <w:right w:val="none" w:sz="0" w:space="0" w:color="auto"/>
                                  </w:divBdr>
                                  <w:divsChild>
                                    <w:div w:id="943925930">
                                      <w:marLeft w:val="0"/>
                                      <w:marRight w:val="0"/>
                                      <w:marTop w:val="0"/>
                                      <w:marBottom w:val="0"/>
                                      <w:divBdr>
                                        <w:top w:val="none" w:sz="0" w:space="0" w:color="auto"/>
                                        <w:left w:val="none" w:sz="0" w:space="0" w:color="auto"/>
                                        <w:bottom w:val="none" w:sz="0" w:space="0" w:color="auto"/>
                                        <w:right w:val="none" w:sz="0" w:space="0" w:color="auto"/>
                                      </w:divBdr>
                                      <w:divsChild>
                                        <w:div w:id="14921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436427">
      <w:bodyDiv w:val="1"/>
      <w:marLeft w:val="0"/>
      <w:marRight w:val="0"/>
      <w:marTop w:val="0"/>
      <w:marBottom w:val="0"/>
      <w:divBdr>
        <w:top w:val="none" w:sz="0" w:space="0" w:color="auto"/>
        <w:left w:val="none" w:sz="0" w:space="0" w:color="auto"/>
        <w:bottom w:val="none" w:sz="0" w:space="0" w:color="auto"/>
        <w:right w:val="none" w:sz="0" w:space="0" w:color="auto"/>
      </w:divBdr>
    </w:div>
    <w:div w:id="268859302">
      <w:bodyDiv w:val="1"/>
      <w:marLeft w:val="0"/>
      <w:marRight w:val="0"/>
      <w:marTop w:val="0"/>
      <w:marBottom w:val="0"/>
      <w:divBdr>
        <w:top w:val="none" w:sz="0" w:space="0" w:color="auto"/>
        <w:left w:val="none" w:sz="0" w:space="0" w:color="auto"/>
        <w:bottom w:val="none" w:sz="0" w:space="0" w:color="auto"/>
        <w:right w:val="none" w:sz="0" w:space="0" w:color="auto"/>
      </w:divBdr>
    </w:div>
    <w:div w:id="271472595">
      <w:bodyDiv w:val="1"/>
      <w:marLeft w:val="0"/>
      <w:marRight w:val="0"/>
      <w:marTop w:val="0"/>
      <w:marBottom w:val="0"/>
      <w:divBdr>
        <w:top w:val="none" w:sz="0" w:space="0" w:color="auto"/>
        <w:left w:val="none" w:sz="0" w:space="0" w:color="auto"/>
        <w:bottom w:val="none" w:sz="0" w:space="0" w:color="auto"/>
        <w:right w:val="none" w:sz="0" w:space="0" w:color="auto"/>
      </w:divBdr>
    </w:div>
    <w:div w:id="272710612">
      <w:bodyDiv w:val="1"/>
      <w:marLeft w:val="0"/>
      <w:marRight w:val="0"/>
      <w:marTop w:val="0"/>
      <w:marBottom w:val="0"/>
      <w:divBdr>
        <w:top w:val="none" w:sz="0" w:space="0" w:color="auto"/>
        <w:left w:val="none" w:sz="0" w:space="0" w:color="auto"/>
        <w:bottom w:val="none" w:sz="0" w:space="0" w:color="auto"/>
        <w:right w:val="none" w:sz="0" w:space="0" w:color="auto"/>
      </w:divBdr>
    </w:div>
    <w:div w:id="273096747">
      <w:bodyDiv w:val="1"/>
      <w:marLeft w:val="0"/>
      <w:marRight w:val="0"/>
      <w:marTop w:val="0"/>
      <w:marBottom w:val="0"/>
      <w:divBdr>
        <w:top w:val="none" w:sz="0" w:space="0" w:color="auto"/>
        <w:left w:val="none" w:sz="0" w:space="0" w:color="auto"/>
        <w:bottom w:val="none" w:sz="0" w:space="0" w:color="auto"/>
        <w:right w:val="none" w:sz="0" w:space="0" w:color="auto"/>
      </w:divBdr>
    </w:div>
    <w:div w:id="273558225">
      <w:bodyDiv w:val="1"/>
      <w:marLeft w:val="0"/>
      <w:marRight w:val="0"/>
      <w:marTop w:val="0"/>
      <w:marBottom w:val="0"/>
      <w:divBdr>
        <w:top w:val="none" w:sz="0" w:space="0" w:color="auto"/>
        <w:left w:val="none" w:sz="0" w:space="0" w:color="auto"/>
        <w:bottom w:val="none" w:sz="0" w:space="0" w:color="auto"/>
        <w:right w:val="none" w:sz="0" w:space="0" w:color="auto"/>
      </w:divBdr>
    </w:div>
    <w:div w:id="273633990">
      <w:bodyDiv w:val="1"/>
      <w:marLeft w:val="0"/>
      <w:marRight w:val="0"/>
      <w:marTop w:val="0"/>
      <w:marBottom w:val="0"/>
      <w:divBdr>
        <w:top w:val="none" w:sz="0" w:space="0" w:color="auto"/>
        <w:left w:val="none" w:sz="0" w:space="0" w:color="auto"/>
        <w:bottom w:val="none" w:sz="0" w:space="0" w:color="auto"/>
        <w:right w:val="none" w:sz="0" w:space="0" w:color="auto"/>
      </w:divBdr>
    </w:div>
    <w:div w:id="280649055">
      <w:bodyDiv w:val="1"/>
      <w:marLeft w:val="0"/>
      <w:marRight w:val="0"/>
      <w:marTop w:val="0"/>
      <w:marBottom w:val="0"/>
      <w:divBdr>
        <w:top w:val="none" w:sz="0" w:space="0" w:color="auto"/>
        <w:left w:val="none" w:sz="0" w:space="0" w:color="auto"/>
        <w:bottom w:val="none" w:sz="0" w:space="0" w:color="auto"/>
        <w:right w:val="none" w:sz="0" w:space="0" w:color="auto"/>
      </w:divBdr>
    </w:div>
    <w:div w:id="282003628">
      <w:bodyDiv w:val="1"/>
      <w:marLeft w:val="0"/>
      <w:marRight w:val="0"/>
      <w:marTop w:val="0"/>
      <w:marBottom w:val="0"/>
      <w:divBdr>
        <w:top w:val="none" w:sz="0" w:space="0" w:color="auto"/>
        <w:left w:val="none" w:sz="0" w:space="0" w:color="auto"/>
        <w:bottom w:val="none" w:sz="0" w:space="0" w:color="auto"/>
        <w:right w:val="none" w:sz="0" w:space="0" w:color="auto"/>
      </w:divBdr>
    </w:div>
    <w:div w:id="285704147">
      <w:bodyDiv w:val="1"/>
      <w:marLeft w:val="0"/>
      <w:marRight w:val="0"/>
      <w:marTop w:val="0"/>
      <w:marBottom w:val="0"/>
      <w:divBdr>
        <w:top w:val="none" w:sz="0" w:space="0" w:color="auto"/>
        <w:left w:val="none" w:sz="0" w:space="0" w:color="auto"/>
        <w:bottom w:val="none" w:sz="0" w:space="0" w:color="auto"/>
        <w:right w:val="none" w:sz="0" w:space="0" w:color="auto"/>
      </w:divBdr>
    </w:div>
    <w:div w:id="287901011">
      <w:bodyDiv w:val="1"/>
      <w:marLeft w:val="0"/>
      <w:marRight w:val="0"/>
      <w:marTop w:val="0"/>
      <w:marBottom w:val="0"/>
      <w:divBdr>
        <w:top w:val="none" w:sz="0" w:space="0" w:color="auto"/>
        <w:left w:val="none" w:sz="0" w:space="0" w:color="auto"/>
        <w:bottom w:val="none" w:sz="0" w:space="0" w:color="auto"/>
        <w:right w:val="none" w:sz="0" w:space="0" w:color="auto"/>
      </w:divBdr>
    </w:div>
    <w:div w:id="291518338">
      <w:bodyDiv w:val="1"/>
      <w:marLeft w:val="0"/>
      <w:marRight w:val="0"/>
      <w:marTop w:val="0"/>
      <w:marBottom w:val="0"/>
      <w:divBdr>
        <w:top w:val="none" w:sz="0" w:space="0" w:color="auto"/>
        <w:left w:val="none" w:sz="0" w:space="0" w:color="auto"/>
        <w:bottom w:val="none" w:sz="0" w:space="0" w:color="auto"/>
        <w:right w:val="none" w:sz="0" w:space="0" w:color="auto"/>
      </w:divBdr>
    </w:div>
    <w:div w:id="293222210">
      <w:bodyDiv w:val="1"/>
      <w:marLeft w:val="0"/>
      <w:marRight w:val="0"/>
      <w:marTop w:val="0"/>
      <w:marBottom w:val="0"/>
      <w:divBdr>
        <w:top w:val="none" w:sz="0" w:space="0" w:color="auto"/>
        <w:left w:val="none" w:sz="0" w:space="0" w:color="auto"/>
        <w:bottom w:val="none" w:sz="0" w:space="0" w:color="auto"/>
        <w:right w:val="none" w:sz="0" w:space="0" w:color="auto"/>
      </w:divBdr>
    </w:div>
    <w:div w:id="295765498">
      <w:bodyDiv w:val="1"/>
      <w:marLeft w:val="0"/>
      <w:marRight w:val="0"/>
      <w:marTop w:val="0"/>
      <w:marBottom w:val="0"/>
      <w:divBdr>
        <w:top w:val="none" w:sz="0" w:space="0" w:color="auto"/>
        <w:left w:val="none" w:sz="0" w:space="0" w:color="auto"/>
        <w:bottom w:val="none" w:sz="0" w:space="0" w:color="auto"/>
        <w:right w:val="none" w:sz="0" w:space="0" w:color="auto"/>
      </w:divBdr>
    </w:div>
    <w:div w:id="297608244">
      <w:bodyDiv w:val="1"/>
      <w:marLeft w:val="0"/>
      <w:marRight w:val="0"/>
      <w:marTop w:val="0"/>
      <w:marBottom w:val="0"/>
      <w:divBdr>
        <w:top w:val="none" w:sz="0" w:space="0" w:color="auto"/>
        <w:left w:val="none" w:sz="0" w:space="0" w:color="auto"/>
        <w:bottom w:val="none" w:sz="0" w:space="0" w:color="auto"/>
        <w:right w:val="none" w:sz="0" w:space="0" w:color="auto"/>
      </w:divBdr>
    </w:div>
    <w:div w:id="297875921">
      <w:bodyDiv w:val="1"/>
      <w:marLeft w:val="0"/>
      <w:marRight w:val="0"/>
      <w:marTop w:val="0"/>
      <w:marBottom w:val="0"/>
      <w:divBdr>
        <w:top w:val="none" w:sz="0" w:space="0" w:color="auto"/>
        <w:left w:val="none" w:sz="0" w:space="0" w:color="auto"/>
        <w:bottom w:val="none" w:sz="0" w:space="0" w:color="auto"/>
        <w:right w:val="none" w:sz="0" w:space="0" w:color="auto"/>
      </w:divBdr>
    </w:div>
    <w:div w:id="299531796">
      <w:bodyDiv w:val="1"/>
      <w:marLeft w:val="0"/>
      <w:marRight w:val="0"/>
      <w:marTop w:val="0"/>
      <w:marBottom w:val="0"/>
      <w:divBdr>
        <w:top w:val="none" w:sz="0" w:space="0" w:color="auto"/>
        <w:left w:val="none" w:sz="0" w:space="0" w:color="auto"/>
        <w:bottom w:val="none" w:sz="0" w:space="0" w:color="auto"/>
        <w:right w:val="none" w:sz="0" w:space="0" w:color="auto"/>
      </w:divBdr>
    </w:div>
    <w:div w:id="300813811">
      <w:bodyDiv w:val="1"/>
      <w:marLeft w:val="0"/>
      <w:marRight w:val="0"/>
      <w:marTop w:val="0"/>
      <w:marBottom w:val="0"/>
      <w:divBdr>
        <w:top w:val="none" w:sz="0" w:space="0" w:color="auto"/>
        <w:left w:val="none" w:sz="0" w:space="0" w:color="auto"/>
        <w:bottom w:val="none" w:sz="0" w:space="0" w:color="auto"/>
        <w:right w:val="none" w:sz="0" w:space="0" w:color="auto"/>
      </w:divBdr>
    </w:div>
    <w:div w:id="305748461">
      <w:bodyDiv w:val="1"/>
      <w:marLeft w:val="0"/>
      <w:marRight w:val="0"/>
      <w:marTop w:val="0"/>
      <w:marBottom w:val="0"/>
      <w:divBdr>
        <w:top w:val="none" w:sz="0" w:space="0" w:color="auto"/>
        <w:left w:val="none" w:sz="0" w:space="0" w:color="auto"/>
        <w:bottom w:val="none" w:sz="0" w:space="0" w:color="auto"/>
        <w:right w:val="none" w:sz="0" w:space="0" w:color="auto"/>
      </w:divBdr>
    </w:div>
    <w:div w:id="307981489">
      <w:bodyDiv w:val="1"/>
      <w:marLeft w:val="0"/>
      <w:marRight w:val="0"/>
      <w:marTop w:val="0"/>
      <w:marBottom w:val="0"/>
      <w:divBdr>
        <w:top w:val="none" w:sz="0" w:space="0" w:color="auto"/>
        <w:left w:val="none" w:sz="0" w:space="0" w:color="auto"/>
        <w:bottom w:val="none" w:sz="0" w:space="0" w:color="auto"/>
        <w:right w:val="none" w:sz="0" w:space="0" w:color="auto"/>
      </w:divBdr>
    </w:div>
    <w:div w:id="311445965">
      <w:bodyDiv w:val="1"/>
      <w:marLeft w:val="0"/>
      <w:marRight w:val="0"/>
      <w:marTop w:val="0"/>
      <w:marBottom w:val="0"/>
      <w:divBdr>
        <w:top w:val="none" w:sz="0" w:space="0" w:color="auto"/>
        <w:left w:val="none" w:sz="0" w:space="0" w:color="auto"/>
        <w:bottom w:val="none" w:sz="0" w:space="0" w:color="auto"/>
        <w:right w:val="none" w:sz="0" w:space="0" w:color="auto"/>
      </w:divBdr>
    </w:div>
    <w:div w:id="312299905">
      <w:bodyDiv w:val="1"/>
      <w:marLeft w:val="0"/>
      <w:marRight w:val="0"/>
      <w:marTop w:val="0"/>
      <w:marBottom w:val="0"/>
      <w:divBdr>
        <w:top w:val="none" w:sz="0" w:space="0" w:color="auto"/>
        <w:left w:val="none" w:sz="0" w:space="0" w:color="auto"/>
        <w:bottom w:val="none" w:sz="0" w:space="0" w:color="auto"/>
        <w:right w:val="none" w:sz="0" w:space="0" w:color="auto"/>
      </w:divBdr>
    </w:div>
    <w:div w:id="314337714">
      <w:bodyDiv w:val="1"/>
      <w:marLeft w:val="0"/>
      <w:marRight w:val="0"/>
      <w:marTop w:val="0"/>
      <w:marBottom w:val="0"/>
      <w:divBdr>
        <w:top w:val="none" w:sz="0" w:space="0" w:color="auto"/>
        <w:left w:val="none" w:sz="0" w:space="0" w:color="auto"/>
        <w:bottom w:val="none" w:sz="0" w:space="0" w:color="auto"/>
        <w:right w:val="none" w:sz="0" w:space="0" w:color="auto"/>
      </w:divBdr>
    </w:div>
    <w:div w:id="314914636">
      <w:bodyDiv w:val="1"/>
      <w:marLeft w:val="0"/>
      <w:marRight w:val="0"/>
      <w:marTop w:val="0"/>
      <w:marBottom w:val="0"/>
      <w:divBdr>
        <w:top w:val="none" w:sz="0" w:space="0" w:color="auto"/>
        <w:left w:val="none" w:sz="0" w:space="0" w:color="auto"/>
        <w:bottom w:val="none" w:sz="0" w:space="0" w:color="auto"/>
        <w:right w:val="none" w:sz="0" w:space="0" w:color="auto"/>
      </w:divBdr>
    </w:div>
    <w:div w:id="316735650">
      <w:bodyDiv w:val="1"/>
      <w:marLeft w:val="0"/>
      <w:marRight w:val="0"/>
      <w:marTop w:val="0"/>
      <w:marBottom w:val="0"/>
      <w:divBdr>
        <w:top w:val="none" w:sz="0" w:space="0" w:color="auto"/>
        <w:left w:val="none" w:sz="0" w:space="0" w:color="auto"/>
        <w:bottom w:val="none" w:sz="0" w:space="0" w:color="auto"/>
        <w:right w:val="none" w:sz="0" w:space="0" w:color="auto"/>
      </w:divBdr>
    </w:div>
    <w:div w:id="317005123">
      <w:bodyDiv w:val="1"/>
      <w:marLeft w:val="0"/>
      <w:marRight w:val="0"/>
      <w:marTop w:val="0"/>
      <w:marBottom w:val="0"/>
      <w:divBdr>
        <w:top w:val="none" w:sz="0" w:space="0" w:color="auto"/>
        <w:left w:val="none" w:sz="0" w:space="0" w:color="auto"/>
        <w:bottom w:val="none" w:sz="0" w:space="0" w:color="auto"/>
        <w:right w:val="none" w:sz="0" w:space="0" w:color="auto"/>
      </w:divBdr>
    </w:div>
    <w:div w:id="321661815">
      <w:bodyDiv w:val="1"/>
      <w:marLeft w:val="0"/>
      <w:marRight w:val="0"/>
      <w:marTop w:val="0"/>
      <w:marBottom w:val="0"/>
      <w:divBdr>
        <w:top w:val="none" w:sz="0" w:space="0" w:color="auto"/>
        <w:left w:val="none" w:sz="0" w:space="0" w:color="auto"/>
        <w:bottom w:val="none" w:sz="0" w:space="0" w:color="auto"/>
        <w:right w:val="none" w:sz="0" w:space="0" w:color="auto"/>
      </w:divBdr>
    </w:div>
    <w:div w:id="323051219">
      <w:bodyDiv w:val="1"/>
      <w:marLeft w:val="0"/>
      <w:marRight w:val="0"/>
      <w:marTop w:val="0"/>
      <w:marBottom w:val="0"/>
      <w:divBdr>
        <w:top w:val="none" w:sz="0" w:space="0" w:color="auto"/>
        <w:left w:val="none" w:sz="0" w:space="0" w:color="auto"/>
        <w:bottom w:val="none" w:sz="0" w:space="0" w:color="auto"/>
        <w:right w:val="none" w:sz="0" w:space="0" w:color="auto"/>
      </w:divBdr>
    </w:div>
    <w:div w:id="323364933">
      <w:bodyDiv w:val="1"/>
      <w:marLeft w:val="0"/>
      <w:marRight w:val="0"/>
      <w:marTop w:val="0"/>
      <w:marBottom w:val="0"/>
      <w:divBdr>
        <w:top w:val="none" w:sz="0" w:space="0" w:color="auto"/>
        <w:left w:val="none" w:sz="0" w:space="0" w:color="auto"/>
        <w:bottom w:val="none" w:sz="0" w:space="0" w:color="auto"/>
        <w:right w:val="none" w:sz="0" w:space="0" w:color="auto"/>
      </w:divBdr>
    </w:div>
    <w:div w:id="324867663">
      <w:bodyDiv w:val="1"/>
      <w:marLeft w:val="0"/>
      <w:marRight w:val="0"/>
      <w:marTop w:val="0"/>
      <w:marBottom w:val="0"/>
      <w:divBdr>
        <w:top w:val="none" w:sz="0" w:space="0" w:color="auto"/>
        <w:left w:val="none" w:sz="0" w:space="0" w:color="auto"/>
        <w:bottom w:val="none" w:sz="0" w:space="0" w:color="auto"/>
        <w:right w:val="none" w:sz="0" w:space="0" w:color="auto"/>
      </w:divBdr>
    </w:div>
    <w:div w:id="325715428">
      <w:bodyDiv w:val="1"/>
      <w:marLeft w:val="0"/>
      <w:marRight w:val="0"/>
      <w:marTop w:val="0"/>
      <w:marBottom w:val="0"/>
      <w:divBdr>
        <w:top w:val="none" w:sz="0" w:space="0" w:color="auto"/>
        <w:left w:val="none" w:sz="0" w:space="0" w:color="auto"/>
        <w:bottom w:val="none" w:sz="0" w:space="0" w:color="auto"/>
        <w:right w:val="none" w:sz="0" w:space="0" w:color="auto"/>
      </w:divBdr>
    </w:div>
    <w:div w:id="330716976">
      <w:bodyDiv w:val="1"/>
      <w:marLeft w:val="0"/>
      <w:marRight w:val="0"/>
      <w:marTop w:val="0"/>
      <w:marBottom w:val="0"/>
      <w:divBdr>
        <w:top w:val="none" w:sz="0" w:space="0" w:color="auto"/>
        <w:left w:val="none" w:sz="0" w:space="0" w:color="auto"/>
        <w:bottom w:val="none" w:sz="0" w:space="0" w:color="auto"/>
        <w:right w:val="none" w:sz="0" w:space="0" w:color="auto"/>
      </w:divBdr>
    </w:div>
    <w:div w:id="331110671">
      <w:bodyDiv w:val="1"/>
      <w:marLeft w:val="0"/>
      <w:marRight w:val="0"/>
      <w:marTop w:val="0"/>
      <w:marBottom w:val="0"/>
      <w:divBdr>
        <w:top w:val="none" w:sz="0" w:space="0" w:color="auto"/>
        <w:left w:val="none" w:sz="0" w:space="0" w:color="auto"/>
        <w:bottom w:val="none" w:sz="0" w:space="0" w:color="auto"/>
        <w:right w:val="none" w:sz="0" w:space="0" w:color="auto"/>
      </w:divBdr>
    </w:div>
    <w:div w:id="335696944">
      <w:bodyDiv w:val="1"/>
      <w:marLeft w:val="0"/>
      <w:marRight w:val="0"/>
      <w:marTop w:val="0"/>
      <w:marBottom w:val="0"/>
      <w:divBdr>
        <w:top w:val="none" w:sz="0" w:space="0" w:color="auto"/>
        <w:left w:val="none" w:sz="0" w:space="0" w:color="auto"/>
        <w:bottom w:val="none" w:sz="0" w:space="0" w:color="auto"/>
        <w:right w:val="none" w:sz="0" w:space="0" w:color="auto"/>
      </w:divBdr>
    </w:div>
    <w:div w:id="336738357">
      <w:bodyDiv w:val="1"/>
      <w:marLeft w:val="0"/>
      <w:marRight w:val="0"/>
      <w:marTop w:val="0"/>
      <w:marBottom w:val="0"/>
      <w:divBdr>
        <w:top w:val="none" w:sz="0" w:space="0" w:color="auto"/>
        <w:left w:val="none" w:sz="0" w:space="0" w:color="auto"/>
        <w:bottom w:val="none" w:sz="0" w:space="0" w:color="auto"/>
        <w:right w:val="none" w:sz="0" w:space="0" w:color="auto"/>
      </w:divBdr>
    </w:div>
    <w:div w:id="339045777">
      <w:bodyDiv w:val="1"/>
      <w:marLeft w:val="0"/>
      <w:marRight w:val="0"/>
      <w:marTop w:val="0"/>
      <w:marBottom w:val="0"/>
      <w:divBdr>
        <w:top w:val="none" w:sz="0" w:space="0" w:color="auto"/>
        <w:left w:val="none" w:sz="0" w:space="0" w:color="auto"/>
        <w:bottom w:val="none" w:sz="0" w:space="0" w:color="auto"/>
        <w:right w:val="none" w:sz="0" w:space="0" w:color="auto"/>
      </w:divBdr>
    </w:div>
    <w:div w:id="339235382">
      <w:bodyDiv w:val="1"/>
      <w:marLeft w:val="0"/>
      <w:marRight w:val="0"/>
      <w:marTop w:val="0"/>
      <w:marBottom w:val="0"/>
      <w:divBdr>
        <w:top w:val="none" w:sz="0" w:space="0" w:color="auto"/>
        <w:left w:val="none" w:sz="0" w:space="0" w:color="auto"/>
        <w:bottom w:val="none" w:sz="0" w:space="0" w:color="auto"/>
        <w:right w:val="none" w:sz="0" w:space="0" w:color="auto"/>
      </w:divBdr>
    </w:div>
    <w:div w:id="339508328">
      <w:bodyDiv w:val="1"/>
      <w:marLeft w:val="0"/>
      <w:marRight w:val="0"/>
      <w:marTop w:val="0"/>
      <w:marBottom w:val="0"/>
      <w:divBdr>
        <w:top w:val="none" w:sz="0" w:space="0" w:color="auto"/>
        <w:left w:val="none" w:sz="0" w:space="0" w:color="auto"/>
        <w:bottom w:val="none" w:sz="0" w:space="0" w:color="auto"/>
        <w:right w:val="none" w:sz="0" w:space="0" w:color="auto"/>
      </w:divBdr>
    </w:div>
    <w:div w:id="345986852">
      <w:bodyDiv w:val="1"/>
      <w:marLeft w:val="0"/>
      <w:marRight w:val="0"/>
      <w:marTop w:val="0"/>
      <w:marBottom w:val="0"/>
      <w:divBdr>
        <w:top w:val="none" w:sz="0" w:space="0" w:color="auto"/>
        <w:left w:val="none" w:sz="0" w:space="0" w:color="auto"/>
        <w:bottom w:val="none" w:sz="0" w:space="0" w:color="auto"/>
        <w:right w:val="none" w:sz="0" w:space="0" w:color="auto"/>
      </w:divBdr>
    </w:div>
    <w:div w:id="346637814">
      <w:bodyDiv w:val="1"/>
      <w:marLeft w:val="0"/>
      <w:marRight w:val="0"/>
      <w:marTop w:val="0"/>
      <w:marBottom w:val="0"/>
      <w:divBdr>
        <w:top w:val="none" w:sz="0" w:space="0" w:color="auto"/>
        <w:left w:val="none" w:sz="0" w:space="0" w:color="auto"/>
        <w:bottom w:val="none" w:sz="0" w:space="0" w:color="auto"/>
        <w:right w:val="none" w:sz="0" w:space="0" w:color="auto"/>
      </w:divBdr>
    </w:div>
    <w:div w:id="350034703">
      <w:bodyDiv w:val="1"/>
      <w:marLeft w:val="0"/>
      <w:marRight w:val="0"/>
      <w:marTop w:val="0"/>
      <w:marBottom w:val="0"/>
      <w:divBdr>
        <w:top w:val="none" w:sz="0" w:space="0" w:color="auto"/>
        <w:left w:val="none" w:sz="0" w:space="0" w:color="auto"/>
        <w:bottom w:val="none" w:sz="0" w:space="0" w:color="auto"/>
        <w:right w:val="none" w:sz="0" w:space="0" w:color="auto"/>
      </w:divBdr>
    </w:div>
    <w:div w:id="352805112">
      <w:bodyDiv w:val="1"/>
      <w:marLeft w:val="0"/>
      <w:marRight w:val="0"/>
      <w:marTop w:val="0"/>
      <w:marBottom w:val="0"/>
      <w:divBdr>
        <w:top w:val="none" w:sz="0" w:space="0" w:color="auto"/>
        <w:left w:val="none" w:sz="0" w:space="0" w:color="auto"/>
        <w:bottom w:val="none" w:sz="0" w:space="0" w:color="auto"/>
        <w:right w:val="none" w:sz="0" w:space="0" w:color="auto"/>
      </w:divBdr>
    </w:div>
    <w:div w:id="359749514">
      <w:bodyDiv w:val="1"/>
      <w:marLeft w:val="0"/>
      <w:marRight w:val="0"/>
      <w:marTop w:val="0"/>
      <w:marBottom w:val="0"/>
      <w:divBdr>
        <w:top w:val="none" w:sz="0" w:space="0" w:color="auto"/>
        <w:left w:val="none" w:sz="0" w:space="0" w:color="auto"/>
        <w:bottom w:val="none" w:sz="0" w:space="0" w:color="auto"/>
        <w:right w:val="none" w:sz="0" w:space="0" w:color="auto"/>
      </w:divBdr>
    </w:div>
    <w:div w:id="362439983">
      <w:bodyDiv w:val="1"/>
      <w:marLeft w:val="0"/>
      <w:marRight w:val="0"/>
      <w:marTop w:val="0"/>
      <w:marBottom w:val="0"/>
      <w:divBdr>
        <w:top w:val="none" w:sz="0" w:space="0" w:color="auto"/>
        <w:left w:val="none" w:sz="0" w:space="0" w:color="auto"/>
        <w:bottom w:val="none" w:sz="0" w:space="0" w:color="auto"/>
        <w:right w:val="none" w:sz="0" w:space="0" w:color="auto"/>
      </w:divBdr>
    </w:div>
    <w:div w:id="367531634">
      <w:bodyDiv w:val="1"/>
      <w:marLeft w:val="0"/>
      <w:marRight w:val="0"/>
      <w:marTop w:val="0"/>
      <w:marBottom w:val="0"/>
      <w:divBdr>
        <w:top w:val="none" w:sz="0" w:space="0" w:color="auto"/>
        <w:left w:val="none" w:sz="0" w:space="0" w:color="auto"/>
        <w:bottom w:val="none" w:sz="0" w:space="0" w:color="auto"/>
        <w:right w:val="none" w:sz="0" w:space="0" w:color="auto"/>
      </w:divBdr>
    </w:div>
    <w:div w:id="368796196">
      <w:bodyDiv w:val="1"/>
      <w:marLeft w:val="0"/>
      <w:marRight w:val="0"/>
      <w:marTop w:val="0"/>
      <w:marBottom w:val="0"/>
      <w:divBdr>
        <w:top w:val="none" w:sz="0" w:space="0" w:color="auto"/>
        <w:left w:val="none" w:sz="0" w:space="0" w:color="auto"/>
        <w:bottom w:val="none" w:sz="0" w:space="0" w:color="auto"/>
        <w:right w:val="none" w:sz="0" w:space="0" w:color="auto"/>
      </w:divBdr>
    </w:div>
    <w:div w:id="369261012">
      <w:bodyDiv w:val="1"/>
      <w:marLeft w:val="0"/>
      <w:marRight w:val="0"/>
      <w:marTop w:val="0"/>
      <w:marBottom w:val="0"/>
      <w:divBdr>
        <w:top w:val="none" w:sz="0" w:space="0" w:color="auto"/>
        <w:left w:val="none" w:sz="0" w:space="0" w:color="auto"/>
        <w:bottom w:val="none" w:sz="0" w:space="0" w:color="auto"/>
        <w:right w:val="none" w:sz="0" w:space="0" w:color="auto"/>
      </w:divBdr>
    </w:div>
    <w:div w:id="370420341">
      <w:bodyDiv w:val="1"/>
      <w:marLeft w:val="0"/>
      <w:marRight w:val="0"/>
      <w:marTop w:val="0"/>
      <w:marBottom w:val="0"/>
      <w:divBdr>
        <w:top w:val="none" w:sz="0" w:space="0" w:color="auto"/>
        <w:left w:val="none" w:sz="0" w:space="0" w:color="auto"/>
        <w:bottom w:val="none" w:sz="0" w:space="0" w:color="auto"/>
        <w:right w:val="none" w:sz="0" w:space="0" w:color="auto"/>
      </w:divBdr>
    </w:div>
    <w:div w:id="370886284">
      <w:bodyDiv w:val="1"/>
      <w:marLeft w:val="0"/>
      <w:marRight w:val="0"/>
      <w:marTop w:val="0"/>
      <w:marBottom w:val="0"/>
      <w:divBdr>
        <w:top w:val="none" w:sz="0" w:space="0" w:color="auto"/>
        <w:left w:val="none" w:sz="0" w:space="0" w:color="auto"/>
        <w:bottom w:val="none" w:sz="0" w:space="0" w:color="auto"/>
        <w:right w:val="none" w:sz="0" w:space="0" w:color="auto"/>
      </w:divBdr>
    </w:div>
    <w:div w:id="372537713">
      <w:bodyDiv w:val="1"/>
      <w:marLeft w:val="0"/>
      <w:marRight w:val="0"/>
      <w:marTop w:val="0"/>
      <w:marBottom w:val="0"/>
      <w:divBdr>
        <w:top w:val="none" w:sz="0" w:space="0" w:color="auto"/>
        <w:left w:val="none" w:sz="0" w:space="0" w:color="auto"/>
        <w:bottom w:val="none" w:sz="0" w:space="0" w:color="auto"/>
        <w:right w:val="none" w:sz="0" w:space="0" w:color="auto"/>
      </w:divBdr>
    </w:div>
    <w:div w:id="372853193">
      <w:bodyDiv w:val="1"/>
      <w:marLeft w:val="0"/>
      <w:marRight w:val="0"/>
      <w:marTop w:val="0"/>
      <w:marBottom w:val="0"/>
      <w:divBdr>
        <w:top w:val="none" w:sz="0" w:space="0" w:color="auto"/>
        <w:left w:val="none" w:sz="0" w:space="0" w:color="auto"/>
        <w:bottom w:val="none" w:sz="0" w:space="0" w:color="auto"/>
        <w:right w:val="none" w:sz="0" w:space="0" w:color="auto"/>
      </w:divBdr>
    </w:div>
    <w:div w:id="373190008">
      <w:bodyDiv w:val="1"/>
      <w:marLeft w:val="0"/>
      <w:marRight w:val="0"/>
      <w:marTop w:val="0"/>
      <w:marBottom w:val="0"/>
      <w:divBdr>
        <w:top w:val="none" w:sz="0" w:space="0" w:color="auto"/>
        <w:left w:val="none" w:sz="0" w:space="0" w:color="auto"/>
        <w:bottom w:val="none" w:sz="0" w:space="0" w:color="auto"/>
        <w:right w:val="none" w:sz="0" w:space="0" w:color="auto"/>
      </w:divBdr>
    </w:div>
    <w:div w:id="373313464">
      <w:bodyDiv w:val="1"/>
      <w:marLeft w:val="0"/>
      <w:marRight w:val="0"/>
      <w:marTop w:val="0"/>
      <w:marBottom w:val="0"/>
      <w:divBdr>
        <w:top w:val="none" w:sz="0" w:space="0" w:color="auto"/>
        <w:left w:val="none" w:sz="0" w:space="0" w:color="auto"/>
        <w:bottom w:val="none" w:sz="0" w:space="0" w:color="auto"/>
        <w:right w:val="none" w:sz="0" w:space="0" w:color="auto"/>
      </w:divBdr>
    </w:div>
    <w:div w:id="373509038">
      <w:bodyDiv w:val="1"/>
      <w:marLeft w:val="0"/>
      <w:marRight w:val="0"/>
      <w:marTop w:val="0"/>
      <w:marBottom w:val="0"/>
      <w:divBdr>
        <w:top w:val="none" w:sz="0" w:space="0" w:color="auto"/>
        <w:left w:val="none" w:sz="0" w:space="0" w:color="auto"/>
        <w:bottom w:val="none" w:sz="0" w:space="0" w:color="auto"/>
        <w:right w:val="none" w:sz="0" w:space="0" w:color="auto"/>
      </w:divBdr>
    </w:div>
    <w:div w:id="376121853">
      <w:bodyDiv w:val="1"/>
      <w:marLeft w:val="0"/>
      <w:marRight w:val="0"/>
      <w:marTop w:val="0"/>
      <w:marBottom w:val="0"/>
      <w:divBdr>
        <w:top w:val="none" w:sz="0" w:space="0" w:color="auto"/>
        <w:left w:val="none" w:sz="0" w:space="0" w:color="auto"/>
        <w:bottom w:val="none" w:sz="0" w:space="0" w:color="auto"/>
        <w:right w:val="none" w:sz="0" w:space="0" w:color="auto"/>
      </w:divBdr>
    </w:div>
    <w:div w:id="376320543">
      <w:bodyDiv w:val="1"/>
      <w:marLeft w:val="0"/>
      <w:marRight w:val="0"/>
      <w:marTop w:val="0"/>
      <w:marBottom w:val="0"/>
      <w:divBdr>
        <w:top w:val="none" w:sz="0" w:space="0" w:color="auto"/>
        <w:left w:val="none" w:sz="0" w:space="0" w:color="auto"/>
        <w:bottom w:val="none" w:sz="0" w:space="0" w:color="auto"/>
        <w:right w:val="none" w:sz="0" w:space="0" w:color="auto"/>
      </w:divBdr>
    </w:div>
    <w:div w:id="376855860">
      <w:bodyDiv w:val="1"/>
      <w:marLeft w:val="0"/>
      <w:marRight w:val="0"/>
      <w:marTop w:val="0"/>
      <w:marBottom w:val="0"/>
      <w:divBdr>
        <w:top w:val="none" w:sz="0" w:space="0" w:color="auto"/>
        <w:left w:val="none" w:sz="0" w:space="0" w:color="auto"/>
        <w:bottom w:val="none" w:sz="0" w:space="0" w:color="auto"/>
        <w:right w:val="none" w:sz="0" w:space="0" w:color="auto"/>
      </w:divBdr>
    </w:div>
    <w:div w:id="378632557">
      <w:bodyDiv w:val="1"/>
      <w:marLeft w:val="0"/>
      <w:marRight w:val="0"/>
      <w:marTop w:val="0"/>
      <w:marBottom w:val="0"/>
      <w:divBdr>
        <w:top w:val="none" w:sz="0" w:space="0" w:color="auto"/>
        <w:left w:val="none" w:sz="0" w:space="0" w:color="auto"/>
        <w:bottom w:val="none" w:sz="0" w:space="0" w:color="auto"/>
        <w:right w:val="none" w:sz="0" w:space="0" w:color="auto"/>
      </w:divBdr>
    </w:div>
    <w:div w:id="380254958">
      <w:bodyDiv w:val="1"/>
      <w:marLeft w:val="0"/>
      <w:marRight w:val="0"/>
      <w:marTop w:val="0"/>
      <w:marBottom w:val="0"/>
      <w:divBdr>
        <w:top w:val="none" w:sz="0" w:space="0" w:color="auto"/>
        <w:left w:val="none" w:sz="0" w:space="0" w:color="auto"/>
        <w:bottom w:val="none" w:sz="0" w:space="0" w:color="auto"/>
        <w:right w:val="none" w:sz="0" w:space="0" w:color="auto"/>
      </w:divBdr>
    </w:div>
    <w:div w:id="384763535">
      <w:bodyDiv w:val="1"/>
      <w:marLeft w:val="0"/>
      <w:marRight w:val="0"/>
      <w:marTop w:val="0"/>
      <w:marBottom w:val="0"/>
      <w:divBdr>
        <w:top w:val="none" w:sz="0" w:space="0" w:color="auto"/>
        <w:left w:val="none" w:sz="0" w:space="0" w:color="auto"/>
        <w:bottom w:val="none" w:sz="0" w:space="0" w:color="auto"/>
        <w:right w:val="none" w:sz="0" w:space="0" w:color="auto"/>
      </w:divBdr>
    </w:div>
    <w:div w:id="384984851">
      <w:bodyDiv w:val="1"/>
      <w:marLeft w:val="0"/>
      <w:marRight w:val="0"/>
      <w:marTop w:val="0"/>
      <w:marBottom w:val="0"/>
      <w:divBdr>
        <w:top w:val="none" w:sz="0" w:space="0" w:color="auto"/>
        <w:left w:val="none" w:sz="0" w:space="0" w:color="auto"/>
        <w:bottom w:val="none" w:sz="0" w:space="0" w:color="auto"/>
        <w:right w:val="none" w:sz="0" w:space="0" w:color="auto"/>
      </w:divBdr>
    </w:div>
    <w:div w:id="386954278">
      <w:bodyDiv w:val="1"/>
      <w:marLeft w:val="0"/>
      <w:marRight w:val="0"/>
      <w:marTop w:val="0"/>
      <w:marBottom w:val="0"/>
      <w:divBdr>
        <w:top w:val="none" w:sz="0" w:space="0" w:color="auto"/>
        <w:left w:val="none" w:sz="0" w:space="0" w:color="auto"/>
        <w:bottom w:val="none" w:sz="0" w:space="0" w:color="auto"/>
        <w:right w:val="none" w:sz="0" w:space="0" w:color="auto"/>
      </w:divBdr>
    </w:div>
    <w:div w:id="388651997">
      <w:bodyDiv w:val="1"/>
      <w:marLeft w:val="0"/>
      <w:marRight w:val="0"/>
      <w:marTop w:val="0"/>
      <w:marBottom w:val="0"/>
      <w:divBdr>
        <w:top w:val="none" w:sz="0" w:space="0" w:color="auto"/>
        <w:left w:val="none" w:sz="0" w:space="0" w:color="auto"/>
        <w:bottom w:val="none" w:sz="0" w:space="0" w:color="auto"/>
        <w:right w:val="none" w:sz="0" w:space="0" w:color="auto"/>
      </w:divBdr>
    </w:div>
    <w:div w:id="388766462">
      <w:bodyDiv w:val="1"/>
      <w:marLeft w:val="0"/>
      <w:marRight w:val="0"/>
      <w:marTop w:val="0"/>
      <w:marBottom w:val="0"/>
      <w:divBdr>
        <w:top w:val="none" w:sz="0" w:space="0" w:color="auto"/>
        <w:left w:val="none" w:sz="0" w:space="0" w:color="auto"/>
        <w:bottom w:val="none" w:sz="0" w:space="0" w:color="auto"/>
        <w:right w:val="none" w:sz="0" w:space="0" w:color="auto"/>
      </w:divBdr>
    </w:div>
    <w:div w:id="391465169">
      <w:bodyDiv w:val="1"/>
      <w:marLeft w:val="0"/>
      <w:marRight w:val="0"/>
      <w:marTop w:val="0"/>
      <w:marBottom w:val="0"/>
      <w:divBdr>
        <w:top w:val="none" w:sz="0" w:space="0" w:color="auto"/>
        <w:left w:val="none" w:sz="0" w:space="0" w:color="auto"/>
        <w:bottom w:val="none" w:sz="0" w:space="0" w:color="auto"/>
        <w:right w:val="none" w:sz="0" w:space="0" w:color="auto"/>
      </w:divBdr>
    </w:div>
    <w:div w:id="392654546">
      <w:bodyDiv w:val="1"/>
      <w:marLeft w:val="0"/>
      <w:marRight w:val="0"/>
      <w:marTop w:val="0"/>
      <w:marBottom w:val="0"/>
      <w:divBdr>
        <w:top w:val="none" w:sz="0" w:space="0" w:color="auto"/>
        <w:left w:val="none" w:sz="0" w:space="0" w:color="auto"/>
        <w:bottom w:val="none" w:sz="0" w:space="0" w:color="auto"/>
        <w:right w:val="none" w:sz="0" w:space="0" w:color="auto"/>
      </w:divBdr>
    </w:div>
    <w:div w:id="392778420">
      <w:bodyDiv w:val="1"/>
      <w:marLeft w:val="0"/>
      <w:marRight w:val="0"/>
      <w:marTop w:val="0"/>
      <w:marBottom w:val="0"/>
      <w:divBdr>
        <w:top w:val="none" w:sz="0" w:space="0" w:color="auto"/>
        <w:left w:val="none" w:sz="0" w:space="0" w:color="auto"/>
        <w:bottom w:val="none" w:sz="0" w:space="0" w:color="auto"/>
        <w:right w:val="none" w:sz="0" w:space="0" w:color="auto"/>
      </w:divBdr>
    </w:div>
    <w:div w:id="400980241">
      <w:bodyDiv w:val="1"/>
      <w:marLeft w:val="0"/>
      <w:marRight w:val="0"/>
      <w:marTop w:val="0"/>
      <w:marBottom w:val="0"/>
      <w:divBdr>
        <w:top w:val="none" w:sz="0" w:space="0" w:color="auto"/>
        <w:left w:val="none" w:sz="0" w:space="0" w:color="auto"/>
        <w:bottom w:val="none" w:sz="0" w:space="0" w:color="auto"/>
        <w:right w:val="none" w:sz="0" w:space="0" w:color="auto"/>
      </w:divBdr>
    </w:div>
    <w:div w:id="402147552">
      <w:bodyDiv w:val="1"/>
      <w:marLeft w:val="0"/>
      <w:marRight w:val="0"/>
      <w:marTop w:val="0"/>
      <w:marBottom w:val="0"/>
      <w:divBdr>
        <w:top w:val="none" w:sz="0" w:space="0" w:color="auto"/>
        <w:left w:val="none" w:sz="0" w:space="0" w:color="auto"/>
        <w:bottom w:val="none" w:sz="0" w:space="0" w:color="auto"/>
        <w:right w:val="none" w:sz="0" w:space="0" w:color="auto"/>
      </w:divBdr>
    </w:div>
    <w:div w:id="402148352">
      <w:bodyDiv w:val="1"/>
      <w:marLeft w:val="0"/>
      <w:marRight w:val="0"/>
      <w:marTop w:val="0"/>
      <w:marBottom w:val="0"/>
      <w:divBdr>
        <w:top w:val="none" w:sz="0" w:space="0" w:color="auto"/>
        <w:left w:val="none" w:sz="0" w:space="0" w:color="auto"/>
        <w:bottom w:val="none" w:sz="0" w:space="0" w:color="auto"/>
        <w:right w:val="none" w:sz="0" w:space="0" w:color="auto"/>
      </w:divBdr>
    </w:div>
    <w:div w:id="402338396">
      <w:bodyDiv w:val="1"/>
      <w:marLeft w:val="0"/>
      <w:marRight w:val="0"/>
      <w:marTop w:val="0"/>
      <w:marBottom w:val="0"/>
      <w:divBdr>
        <w:top w:val="none" w:sz="0" w:space="0" w:color="auto"/>
        <w:left w:val="none" w:sz="0" w:space="0" w:color="auto"/>
        <w:bottom w:val="none" w:sz="0" w:space="0" w:color="auto"/>
        <w:right w:val="none" w:sz="0" w:space="0" w:color="auto"/>
      </w:divBdr>
    </w:div>
    <w:div w:id="406078305">
      <w:bodyDiv w:val="1"/>
      <w:marLeft w:val="0"/>
      <w:marRight w:val="0"/>
      <w:marTop w:val="0"/>
      <w:marBottom w:val="0"/>
      <w:divBdr>
        <w:top w:val="none" w:sz="0" w:space="0" w:color="auto"/>
        <w:left w:val="none" w:sz="0" w:space="0" w:color="auto"/>
        <w:bottom w:val="none" w:sz="0" w:space="0" w:color="auto"/>
        <w:right w:val="none" w:sz="0" w:space="0" w:color="auto"/>
      </w:divBdr>
    </w:div>
    <w:div w:id="412043623">
      <w:bodyDiv w:val="1"/>
      <w:marLeft w:val="0"/>
      <w:marRight w:val="0"/>
      <w:marTop w:val="0"/>
      <w:marBottom w:val="0"/>
      <w:divBdr>
        <w:top w:val="none" w:sz="0" w:space="0" w:color="auto"/>
        <w:left w:val="none" w:sz="0" w:space="0" w:color="auto"/>
        <w:bottom w:val="none" w:sz="0" w:space="0" w:color="auto"/>
        <w:right w:val="none" w:sz="0" w:space="0" w:color="auto"/>
      </w:divBdr>
    </w:div>
    <w:div w:id="415830689">
      <w:bodyDiv w:val="1"/>
      <w:marLeft w:val="0"/>
      <w:marRight w:val="0"/>
      <w:marTop w:val="0"/>
      <w:marBottom w:val="0"/>
      <w:divBdr>
        <w:top w:val="none" w:sz="0" w:space="0" w:color="auto"/>
        <w:left w:val="none" w:sz="0" w:space="0" w:color="auto"/>
        <w:bottom w:val="none" w:sz="0" w:space="0" w:color="auto"/>
        <w:right w:val="none" w:sz="0" w:space="0" w:color="auto"/>
      </w:divBdr>
    </w:div>
    <w:div w:id="424542308">
      <w:bodyDiv w:val="1"/>
      <w:marLeft w:val="0"/>
      <w:marRight w:val="0"/>
      <w:marTop w:val="0"/>
      <w:marBottom w:val="0"/>
      <w:divBdr>
        <w:top w:val="none" w:sz="0" w:space="0" w:color="auto"/>
        <w:left w:val="none" w:sz="0" w:space="0" w:color="auto"/>
        <w:bottom w:val="none" w:sz="0" w:space="0" w:color="auto"/>
        <w:right w:val="none" w:sz="0" w:space="0" w:color="auto"/>
      </w:divBdr>
    </w:div>
    <w:div w:id="424959814">
      <w:bodyDiv w:val="1"/>
      <w:marLeft w:val="0"/>
      <w:marRight w:val="0"/>
      <w:marTop w:val="0"/>
      <w:marBottom w:val="0"/>
      <w:divBdr>
        <w:top w:val="none" w:sz="0" w:space="0" w:color="auto"/>
        <w:left w:val="none" w:sz="0" w:space="0" w:color="auto"/>
        <w:bottom w:val="none" w:sz="0" w:space="0" w:color="auto"/>
        <w:right w:val="none" w:sz="0" w:space="0" w:color="auto"/>
      </w:divBdr>
    </w:div>
    <w:div w:id="432210135">
      <w:bodyDiv w:val="1"/>
      <w:marLeft w:val="0"/>
      <w:marRight w:val="0"/>
      <w:marTop w:val="0"/>
      <w:marBottom w:val="0"/>
      <w:divBdr>
        <w:top w:val="none" w:sz="0" w:space="0" w:color="auto"/>
        <w:left w:val="none" w:sz="0" w:space="0" w:color="auto"/>
        <w:bottom w:val="none" w:sz="0" w:space="0" w:color="auto"/>
        <w:right w:val="none" w:sz="0" w:space="0" w:color="auto"/>
      </w:divBdr>
    </w:div>
    <w:div w:id="437333354">
      <w:bodyDiv w:val="1"/>
      <w:marLeft w:val="0"/>
      <w:marRight w:val="0"/>
      <w:marTop w:val="0"/>
      <w:marBottom w:val="0"/>
      <w:divBdr>
        <w:top w:val="none" w:sz="0" w:space="0" w:color="auto"/>
        <w:left w:val="none" w:sz="0" w:space="0" w:color="auto"/>
        <w:bottom w:val="none" w:sz="0" w:space="0" w:color="auto"/>
        <w:right w:val="none" w:sz="0" w:space="0" w:color="auto"/>
      </w:divBdr>
    </w:div>
    <w:div w:id="437405966">
      <w:bodyDiv w:val="1"/>
      <w:marLeft w:val="0"/>
      <w:marRight w:val="0"/>
      <w:marTop w:val="0"/>
      <w:marBottom w:val="0"/>
      <w:divBdr>
        <w:top w:val="none" w:sz="0" w:space="0" w:color="auto"/>
        <w:left w:val="none" w:sz="0" w:space="0" w:color="auto"/>
        <w:bottom w:val="none" w:sz="0" w:space="0" w:color="auto"/>
        <w:right w:val="none" w:sz="0" w:space="0" w:color="auto"/>
      </w:divBdr>
    </w:div>
    <w:div w:id="438375533">
      <w:bodyDiv w:val="1"/>
      <w:marLeft w:val="0"/>
      <w:marRight w:val="0"/>
      <w:marTop w:val="0"/>
      <w:marBottom w:val="0"/>
      <w:divBdr>
        <w:top w:val="none" w:sz="0" w:space="0" w:color="auto"/>
        <w:left w:val="none" w:sz="0" w:space="0" w:color="auto"/>
        <w:bottom w:val="none" w:sz="0" w:space="0" w:color="auto"/>
        <w:right w:val="none" w:sz="0" w:space="0" w:color="auto"/>
      </w:divBdr>
    </w:div>
    <w:div w:id="439377336">
      <w:bodyDiv w:val="1"/>
      <w:marLeft w:val="0"/>
      <w:marRight w:val="0"/>
      <w:marTop w:val="0"/>
      <w:marBottom w:val="0"/>
      <w:divBdr>
        <w:top w:val="none" w:sz="0" w:space="0" w:color="auto"/>
        <w:left w:val="none" w:sz="0" w:space="0" w:color="auto"/>
        <w:bottom w:val="none" w:sz="0" w:space="0" w:color="auto"/>
        <w:right w:val="none" w:sz="0" w:space="0" w:color="auto"/>
      </w:divBdr>
    </w:div>
    <w:div w:id="444036255">
      <w:bodyDiv w:val="1"/>
      <w:marLeft w:val="0"/>
      <w:marRight w:val="0"/>
      <w:marTop w:val="0"/>
      <w:marBottom w:val="0"/>
      <w:divBdr>
        <w:top w:val="none" w:sz="0" w:space="0" w:color="auto"/>
        <w:left w:val="none" w:sz="0" w:space="0" w:color="auto"/>
        <w:bottom w:val="none" w:sz="0" w:space="0" w:color="auto"/>
        <w:right w:val="none" w:sz="0" w:space="0" w:color="auto"/>
      </w:divBdr>
    </w:div>
    <w:div w:id="444235414">
      <w:bodyDiv w:val="1"/>
      <w:marLeft w:val="0"/>
      <w:marRight w:val="0"/>
      <w:marTop w:val="0"/>
      <w:marBottom w:val="0"/>
      <w:divBdr>
        <w:top w:val="none" w:sz="0" w:space="0" w:color="auto"/>
        <w:left w:val="none" w:sz="0" w:space="0" w:color="auto"/>
        <w:bottom w:val="none" w:sz="0" w:space="0" w:color="auto"/>
        <w:right w:val="none" w:sz="0" w:space="0" w:color="auto"/>
      </w:divBdr>
    </w:div>
    <w:div w:id="444275290">
      <w:bodyDiv w:val="1"/>
      <w:marLeft w:val="0"/>
      <w:marRight w:val="0"/>
      <w:marTop w:val="0"/>
      <w:marBottom w:val="0"/>
      <w:divBdr>
        <w:top w:val="none" w:sz="0" w:space="0" w:color="auto"/>
        <w:left w:val="none" w:sz="0" w:space="0" w:color="auto"/>
        <w:bottom w:val="none" w:sz="0" w:space="0" w:color="auto"/>
        <w:right w:val="none" w:sz="0" w:space="0" w:color="auto"/>
      </w:divBdr>
    </w:div>
    <w:div w:id="445736293">
      <w:bodyDiv w:val="1"/>
      <w:marLeft w:val="0"/>
      <w:marRight w:val="0"/>
      <w:marTop w:val="0"/>
      <w:marBottom w:val="0"/>
      <w:divBdr>
        <w:top w:val="none" w:sz="0" w:space="0" w:color="auto"/>
        <w:left w:val="none" w:sz="0" w:space="0" w:color="auto"/>
        <w:bottom w:val="none" w:sz="0" w:space="0" w:color="auto"/>
        <w:right w:val="none" w:sz="0" w:space="0" w:color="auto"/>
      </w:divBdr>
    </w:div>
    <w:div w:id="447117730">
      <w:bodyDiv w:val="1"/>
      <w:marLeft w:val="0"/>
      <w:marRight w:val="0"/>
      <w:marTop w:val="0"/>
      <w:marBottom w:val="0"/>
      <w:divBdr>
        <w:top w:val="none" w:sz="0" w:space="0" w:color="auto"/>
        <w:left w:val="none" w:sz="0" w:space="0" w:color="auto"/>
        <w:bottom w:val="none" w:sz="0" w:space="0" w:color="auto"/>
        <w:right w:val="none" w:sz="0" w:space="0" w:color="auto"/>
      </w:divBdr>
    </w:div>
    <w:div w:id="450634839">
      <w:bodyDiv w:val="1"/>
      <w:marLeft w:val="0"/>
      <w:marRight w:val="0"/>
      <w:marTop w:val="0"/>
      <w:marBottom w:val="0"/>
      <w:divBdr>
        <w:top w:val="none" w:sz="0" w:space="0" w:color="auto"/>
        <w:left w:val="none" w:sz="0" w:space="0" w:color="auto"/>
        <w:bottom w:val="none" w:sz="0" w:space="0" w:color="auto"/>
        <w:right w:val="none" w:sz="0" w:space="0" w:color="auto"/>
      </w:divBdr>
    </w:div>
    <w:div w:id="452023558">
      <w:bodyDiv w:val="1"/>
      <w:marLeft w:val="0"/>
      <w:marRight w:val="0"/>
      <w:marTop w:val="0"/>
      <w:marBottom w:val="0"/>
      <w:divBdr>
        <w:top w:val="none" w:sz="0" w:space="0" w:color="auto"/>
        <w:left w:val="none" w:sz="0" w:space="0" w:color="auto"/>
        <w:bottom w:val="none" w:sz="0" w:space="0" w:color="auto"/>
        <w:right w:val="none" w:sz="0" w:space="0" w:color="auto"/>
      </w:divBdr>
    </w:div>
    <w:div w:id="452820758">
      <w:bodyDiv w:val="1"/>
      <w:marLeft w:val="0"/>
      <w:marRight w:val="0"/>
      <w:marTop w:val="0"/>
      <w:marBottom w:val="0"/>
      <w:divBdr>
        <w:top w:val="none" w:sz="0" w:space="0" w:color="auto"/>
        <w:left w:val="none" w:sz="0" w:space="0" w:color="auto"/>
        <w:bottom w:val="none" w:sz="0" w:space="0" w:color="auto"/>
        <w:right w:val="none" w:sz="0" w:space="0" w:color="auto"/>
      </w:divBdr>
    </w:div>
    <w:div w:id="456266075">
      <w:bodyDiv w:val="1"/>
      <w:marLeft w:val="0"/>
      <w:marRight w:val="0"/>
      <w:marTop w:val="0"/>
      <w:marBottom w:val="0"/>
      <w:divBdr>
        <w:top w:val="none" w:sz="0" w:space="0" w:color="auto"/>
        <w:left w:val="none" w:sz="0" w:space="0" w:color="auto"/>
        <w:bottom w:val="none" w:sz="0" w:space="0" w:color="auto"/>
        <w:right w:val="none" w:sz="0" w:space="0" w:color="auto"/>
      </w:divBdr>
    </w:div>
    <w:div w:id="456487426">
      <w:bodyDiv w:val="1"/>
      <w:marLeft w:val="0"/>
      <w:marRight w:val="0"/>
      <w:marTop w:val="0"/>
      <w:marBottom w:val="0"/>
      <w:divBdr>
        <w:top w:val="none" w:sz="0" w:space="0" w:color="auto"/>
        <w:left w:val="none" w:sz="0" w:space="0" w:color="auto"/>
        <w:bottom w:val="none" w:sz="0" w:space="0" w:color="auto"/>
        <w:right w:val="none" w:sz="0" w:space="0" w:color="auto"/>
      </w:divBdr>
    </w:div>
    <w:div w:id="457071277">
      <w:bodyDiv w:val="1"/>
      <w:marLeft w:val="0"/>
      <w:marRight w:val="0"/>
      <w:marTop w:val="0"/>
      <w:marBottom w:val="0"/>
      <w:divBdr>
        <w:top w:val="none" w:sz="0" w:space="0" w:color="auto"/>
        <w:left w:val="none" w:sz="0" w:space="0" w:color="auto"/>
        <w:bottom w:val="none" w:sz="0" w:space="0" w:color="auto"/>
        <w:right w:val="none" w:sz="0" w:space="0" w:color="auto"/>
      </w:divBdr>
    </w:div>
    <w:div w:id="459760830">
      <w:bodyDiv w:val="1"/>
      <w:marLeft w:val="0"/>
      <w:marRight w:val="0"/>
      <w:marTop w:val="0"/>
      <w:marBottom w:val="0"/>
      <w:divBdr>
        <w:top w:val="none" w:sz="0" w:space="0" w:color="auto"/>
        <w:left w:val="none" w:sz="0" w:space="0" w:color="auto"/>
        <w:bottom w:val="none" w:sz="0" w:space="0" w:color="auto"/>
        <w:right w:val="none" w:sz="0" w:space="0" w:color="auto"/>
      </w:divBdr>
    </w:div>
    <w:div w:id="461577085">
      <w:bodyDiv w:val="1"/>
      <w:marLeft w:val="0"/>
      <w:marRight w:val="0"/>
      <w:marTop w:val="0"/>
      <w:marBottom w:val="0"/>
      <w:divBdr>
        <w:top w:val="none" w:sz="0" w:space="0" w:color="auto"/>
        <w:left w:val="none" w:sz="0" w:space="0" w:color="auto"/>
        <w:bottom w:val="none" w:sz="0" w:space="0" w:color="auto"/>
        <w:right w:val="none" w:sz="0" w:space="0" w:color="auto"/>
      </w:divBdr>
    </w:div>
    <w:div w:id="462819733">
      <w:bodyDiv w:val="1"/>
      <w:marLeft w:val="0"/>
      <w:marRight w:val="0"/>
      <w:marTop w:val="0"/>
      <w:marBottom w:val="0"/>
      <w:divBdr>
        <w:top w:val="none" w:sz="0" w:space="0" w:color="auto"/>
        <w:left w:val="none" w:sz="0" w:space="0" w:color="auto"/>
        <w:bottom w:val="none" w:sz="0" w:space="0" w:color="auto"/>
        <w:right w:val="none" w:sz="0" w:space="0" w:color="auto"/>
      </w:divBdr>
    </w:div>
    <w:div w:id="463620432">
      <w:bodyDiv w:val="1"/>
      <w:marLeft w:val="0"/>
      <w:marRight w:val="0"/>
      <w:marTop w:val="0"/>
      <w:marBottom w:val="0"/>
      <w:divBdr>
        <w:top w:val="none" w:sz="0" w:space="0" w:color="auto"/>
        <w:left w:val="none" w:sz="0" w:space="0" w:color="auto"/>
        <w:bottom w:val="none" w:sz="0" w:space="0" w:color="auto"/>
        <w:right w:val="none" w:sz="0" w:space="0" w:color="auto"/>
      </w:divBdr>
    </w:div>
    <w:div w:id="464616901">
      <w:bodyDiv w:val="1"/>
      <w:marLeft w:val="0"/>
      <w:marRight w:val="0"/>
      <w:marTop w:val="0"/>
      <w:marBottom w:val="0"/>
      <w:divBdr>
        <w:top w:val="none" w:sz="0" w:space="0" w:color="auto"/>
        <w:left w:val="none" w:sz="0" w:space="0" w:color="auto"/>
        <w:bottom w:val="none" w:sz="0" w:space="0" w:color="auto"/>
        <w:right w:val="none" w:sz="0" w:space="0" w:color="auto"/>
      </w:divBdr>
    </w:div>
    <w:div w:id="467404738">
      <w:bodyDiv w:val="1"/>
      <w:marLeft w:val="0"/>
      <w:marRight w:val="0"/>
      <w:marTop w:val="0"/>
      <w:marBottom w:val="0"/>
      <w:divBdr>
        <w:top w:val="none" w:sz="0" w:space="0" w:color="auto"/>
        <w:left w:val="none" w:sz="0" w:space="0" w:color="auto"/>
        <w:bottom w:val="none" w:sz="0" w:space="0" w:color="auto"/>
        <w:right w:val="none" w:sz="0" w:space="0" w:color="auto"/>
      </w:divBdr>
    </w:div>
    <w:div w:id="467821534">
      <w:bodyDiv w:val="1"/>
      <w:marLeft w:val="0"/>
      <w:marRight w:val="0"/>
      <w:marTop w:val="0"/>
      <w:marBottom w:val="0"/>
      <w:divBdr>
        <w:top w:val="none" w:sz="0" w:space="0" w:color="auto"/>
        <w:left w:val="none" w:sz="0" w:space="0" w:color="auto"/>
        <w:bottom w:val="none" w:sz="0" w:space="0" w:color="auto"/>
        <w:right w:val="none" w:sz="0" w:space="0" w:color="auto"/>
      </w:divBdr>
    </w:div>
    <w:div w:id="473914759">
      <w:bodyDiv w:val="1"/>
      <w:marLeft w:val="0"/>
      <w:marRight w:val="0"/>
      <w:marTop w:val="0"/>
      <w:marBottom w:val="0"/>
      <w:divBdr>
        <w:top w:val="none" w:sz="0" w:space="0" w:color="auto"/>
        <w:left w:val="none" w:sz="0" w:space="0" w:color="auto"/>
        <w:bottom w:val="none" w:sz="0" w:space="0" w:color="auto"/>
        <w:right w:val="none" w:sz="0" w:space="0" w:color="auto"/>
      </w:divBdr>
    </w:div>
    <w:div w:id="482963129">
      <w:bodyDiv w:val="1"/>
      <w:marLeft w:val="0"/>
      <w:marRight w:val="0"/>
      <w:marTop w:val="0"/>
      <w:marBottom w:val="0"/>
      <w:divBdr>
        <w:top w:val="none" w:sz="0" w:space="0" w:color="auto"/>
        <w:left w:val="none" w:sz="0" w:space="0" w:color="auto"/>
        <w:bottom w:val="none" w:sz="0" w:space="0" w:color="auto"/>
        <w:right w:val="none" w:sz="0" w:space="0" w:color="auto"/>
      </w:divBdr>
    </w:div>
    <w:div w:id="484248885">
      <w:bodyDiv w:val="1"/>
      <w:marLeft w:val="0"/>
      <w:marRight w:val="0"/>
      <w:marTop w:val="0"/>
      <w:marBottom w:val="0"/>
      <w:divBdr>
        <w:top w:val="none" w:sz="0" w:space="0" w:color="auto"/>
        <w:left w:val="none" w:sz="0" w:space="0" w:color="auto"/>
        <w:bottom w:val="none" w:sz="0" w:space="0" w:color="auto"/>
        <w:right w:val="none" w:sz="0" w:space="0" w:color="auto"/>
      </w:divBdr>
    </w:div>
    <w:div w:id="484469133">
      <w:bodyDiv w:val="1"/>
      <w:marLeft w:val="0"/>
      <w:marRight w:val="0"/>
      <w:marTop w:val="0"/>
      <w:marBottom w:val="0"/>
      <w:divBdr>
        <w:top w:val="none" w:sz="0" w:space="0" w:color="auto"/>
        <w:left w:val="none" w:sz="0" w:space="0" w:color="auto"/>
        <w:bottom w:val="none" w:sz="0" w:space="0" w:color="auto"/>
        <w:right w:val="none" w:sz="0" w:space="0" w:color="auto"/>
      </w:divBdr>
    </w:div>
    <w:div w:id="484705547">
      <w:bodyDiv w:val="1"/>
      <w:marLeft w:val="0"/>
      <w:marRight w:val="0"/>
      <w:marTop w:val="0"/>
      <w:marBottom w:val="0"/>
      <w:divBdr>
        <w:top w:val="none" w:sz="0" w:space="0" w:color="auto"/>
        <w:left w:val="none" w:sz="0" w:space="0" w:color="auto"/>
        <w:bottom w:val="none" w:sz="0" w:space="0" w:color="auto"/>
        <w:right w:val="none" w:sz="0" w:space="0" w:color="auto"/>
      </w:divBdr>
    </w:div>
    <w:div w:id="490565188">
      <w:bodyDiv w:val="1"/>
      <w:marLeft w:val="0"/>
      <w:marRight w:val="0"/>
      <w:marTop w:val="0"/>
      <w:marBottom w:val="0"/>
      <w:divBdr>
        <w:top w:val="none" w:sz="0" w:space="0" w:color="auto"/>
        <w:left w:val="none" w:sz="0" w:space="0" w:color="auto"/>
        <w:bottom w:val="none" w:sz="0" w:space="0" w:color="auto"/>
        <w:right w:val="none" w:sz="0" w:space="0" w:color="auto"/>
      </w:divBdr>
    </w:div>
    <w:div w:id="494147740">
      <w:bodyDiv w:val="1"/>
      <w:marLeft w:val="0"/>
      <w:marRight w:val="0"/>
      <w:marTop w:val="0"/>
      <w:marBottom w:val="0"/>
      <w:divBdr>
        <w:top w:val="none" w:sz="0" w:space="0" w:color="auto"/>
        <w:left w:val="none" w:sz="0" w:space="0" w:color="auto"/>
        <w:bottom w:val="none" w:sz="0" w:space="0" w:color="auto"/>
        <w:right w:val="none" w:sz="0" w:space="0" w:color="auto"/>
      </w:divBdr>
    </w:div>
    <w:div w:id="494686372">
      <w:bodyDiv w:val="1"/>
      <w:marLeft w:val="0"/>
      <w:marRight w:val="0"/>
      <w:marTop w:val="0"/>
      <w:marBottom w:val="0"/>
      <w:divBdr>
        <w:top w:val="none" w:sz="0" w:space="0" w:color="auto"/>
        <w:left w:val="none" w:sz="0" w:space="0" w:color="auto"/>
        <w:bottom w:val="none" w:sz="0" w:space="0" w:color="auto"/>
        <w:right w:val="none" w:sz="0" w:space="0" w:color="auto"/>
      </w:divBdr>
    </w:div>
    <w:div w:id="495804788">
      <w:bodyDiv w:val="1"/>
      <w:marLeft w:val="0"/>
      <w:marRight w:val="0"/>
      <w:marTop w:val="0"/>
      <w:marBottom w:val="0"/>
      <w:divBdr>
        <w:top w:val="none" w:sz="0" w:space="0" w:color="auto"/>
        <w:left w:val="none" w:sz="0" w:space="0" w:color="auto"/>
        <w:bottom w:val="none" w:sz="0" w:space="0" w:color="auto"/>
        <w:right w:val="none" w:sz="0" w:space="0" w:color="auto"/>
      </w:divBdr>
    </w:div>
    <w:div w:id="496771063">
      <w:bodyDiv w:val="1"/>
      <w:marLeft w:val="0"/>
      <w:marRight w:val="0"/>
      <w:marTop w:val="0"/>
      <w:marBottom w:val="0"/>
      <w:divBdr>
        <w:top w:val="none" w:sz="0" w:space="0" w:color="auto"/>
        <w:left w:val="none" w:sz="0" w:space="0" w:color="auto"/>
        <w:bottom w:val="none" w:sz="0" w:space="0" w:color="auto"/>
        <w:right w:val="none" w:sz="0" w:space="0" w:color="auto"/>
      </w:divBdr>
    </w:div>
    <w:div w:id="500465295">
      <w:bodyDiv w:val="1"/>
      <w:marLeft w:val="0"/>
      <w:marRight w:val="0"/>
      <w:marTop w:val="0"/>
      <w:marBottom w:val="0"/>
      <w:divBdr>
        <w:top w:val="none" w:sz="0" w:space="0" w:color="auto"/>
        <w:left w:val="none" w:sz="0" w:space="0" w:color="auto"/>
        <w:bottom w:val="none" w:sz="0" w:space="0" w:color="auto"/>
        <w:right w:val="none" w:sz="0" w:space="0" w:color="auto"/>
      </w:divBdr>
    </w:div>
    <w:div w:id="501355912">
      <w:bodyDiv w:val="1"/>
      <w:marLeft w:val="0"/>
      <w:marRight w:val="0"/>
      <w:marTop w:val="0"/>
      <w:marBottom w:val="0"/>
      <w:divBdr>
        <w:top w:val="none" w:sz="0" w:space="0" w:color="auto"/>
        <w:left w:val="none" w:sz="0" w:space="0" w:color="auto"/>
        <w:bottom w:val="none" w:sz="0" w:space="0" w:color="auto"/>
        <w:right w:val="none" w:sz="0" w:space="0" w:color="auto"/>
      </w:divBdr>
    </w:div>
    <w:div w:id="501819325">
      <w:bodyDiv w:val="1"/>
      <w:marLeft w:val="0"/>
      <w:marRight w:val="0"/>
      <w:marTop w:val="0"/>
      <w:marBottom w:val="0"/>
      <w:divBdr>
        <w:top w:val="none" w:sz="0" w:space="0" w:color="auto"/>
        <w:left w:val="none" w:sz="0" w:space="0" w:color="auto"/>
        <w:bottom w:val="none" w:sz="0" w:space="0" w:color="auto"/>
        <w:right w:val="none" w:sz="0" w:space="0" w:color="auto"/>
      </w:divBdr>
    </w:div>
    <w:div w:id="503323774">
      <w:bodyDiv w:val="1"/>
      <w:marLeft w:val="0"/>
      <w:marRight w:val="0"/>
      <w:marTop w:val="0"/>
      <w:marBottom w:val="0"/>
      <w:divBdr>
        <w:top w:val="none" w:sz="0" w:space="0" w:color="auto"/>
        <w:left w:val="none" w:sz="0" w:space="0" w:color="auto"/>
        <w:bottom w:val="none" w:sz="0" w:space="0" w:color="auto"/>
        <w:right w:val="none" w:sz="0" w:space="0" w:color="auto"/>
      </w:divBdr>
    </w:div>
    <w:div w:id="507603973">
      <w:bodyDiv w:val="1"/>
      <w:marLeft w:val="0"/>
      <w:marRight w:val="0"/>
      <w:marTop w:val="0"/>
      <w:marBottom w:val="0"/>
      <w:divBdr>
        <w:top w:val="none" w:sz="0" w:space="0" w:color="auto"/>
        <w:left w:val="none" w:sz="0" w:space="0" w:color="auto"/>
        <w:bottom w:val="none" w:sz="0" w:space="0" w:color="auto"/>
        <w:right w:val="none" w:sz="0" w:space="0" w:color="auto"/>
      </w:divBdr>
    </w:div>
    <w:div w:id="508763583">
      <w:bodyDiv w:val="1"/>
      <w:marLeft w:val="0"/>
      <w:marRight w:val="0"/>
      <w:marTop w:val="0"/>
      <w:marBottom w:val="0"/>
      <w:divBdr>
        <w:top w:val="none" w:sz="0" w:space="0" w:color="auto"/>
        <w:left w:val="none" w:sz="0" w:space="0" w:color="auto"/>
        <w:bottom w:val="none" w:sz="0" w:space="0" w:color="auto"/>
        <w:right w:val="none" w:sz="0" w:space="0" w:color="auto"/>
      </w:divBdr>
    </w:div>
    <w:div w:id="509105765">
      <w:bodyDiv w:val="1"/>
      <w:marLeft w:val="0"/>
      <w:marRight w:val="0"/>
      <w:marTop w:val="0"/>
      <w:marBottom w:val="0"/>
      <w:divBdr>
        <w:top w:val="none" w:sz="0" w:space="0" w:color="auto"/>
        <w:left w:val="none" w:sz="0" w:space="0" w:color="auto"/>
        <w:bottom w:val="none" w:sz="0" w:space="0" w:color="auto"/>
        <w:right w:val="none" w:sz="0" w:space="0" w:color="auto"/>
      </w:divBdr>
    </w:div>
    <w:div w:id="511189239">
      <w:bodyDiv w:val="1"/>
      <w:marLeft w:val="0"/>
      <w:marRight w:val="0"/>
      <w:marTop w:val="0"/>
      <w:marBottom w:val="0"/>
      <w:divBdr>
        <w:top w:val="none" w:sz="0" w:space="0" w:color="auto"/>
        <w:left w:val="none" w:sz="0" w:space="0" w:color="auto"/>
        <w:bottom w:val="none" w:sz="0" w:space="0" w:color="auto"/>
        <w:right w:val="none" w:sz="0" w:space="0" w:color="auto"/>
      </w:divBdr>
    </w:div>
    <w:div w:id="512187748">
      <w:bodyDiv w:val="1"/>
      <w:marLeft w:val="0"/>
      <w:marRight w:val="0"/>
      <w:marTop w:val="0"/>
      <w:marBottom w:val="0"/>
      <w:divBdr>
        <w:top w:val="none" w:sz="0" w:space="0" w:color="auto"/>
        <w:left w:val="none" w:sz="0" w:space="0" w:color="auto"/>
        <w:bottom w:val="none" w:sz="0" w:space="0" w:color="auto"/>
        <w:right w:val="none" w:sz="0" w:space="0" w:color="auto"/>
      </w:divBdr>
    </w:div>
    <w:div w:id="514005100">
      <w:bodyDiv w:val="1"/>
      <w:marLeft w:val="0"/>
      <w:marRight w:val="0"/>
      <w:marTop w:val="0"/>
      <w:marBottom w:val="0"/>
      <w:divBdr>
        <w:top w:val="none" w:sz="0" w:space="0" w:color="auto"/>
        <w:left w:val="none" w:sz="0" w:space="0" w:color="auto"/>
        <w:bottom w:val="none" w:sz="0" w:space="0" w:color="auto"/>
        <w:right w:val="none" w:sz="0" w:space="0" w:color="auto"/>
      </w:divBdr>
      <w:divsChild>
        <w:div w:id="73746358">
          <w:marLeft w:val="394"/>
          <w:marRight w:val="0"/>
          <w:marTop w:val="0"/>
          <w:marBottom w:val="0"/>
          <w:divBdr>
            <w:top w:val="none" w:sz="0" w:space="0" w:color="auto"/>
            <w:left w:val="none" w:sz="0" w:space="0" w:color="auto"/>
            <w:bottom w:val="none" w:sz="0" w:space="0" w:color="auto"/>
            <w:right w:val="none" w:sz="0" w:space="0" w:color="auto"/>
          </w:divBdr>
          <w:divsChild>
            <w:div w:id="1361778243">
              <w:marLeft w:val="0"/>
              <w:marRight w:val="0"/>
              <w:marTop w:val="0"/>
              <w:marBottom w:val="0"/>
              <w:divBdr>
                <w:top w:val="none" w:sz="0" w:space="0" w:color="auto"/>
                <w:left w:val="none" w:sz="0" w:space="0" w:color="auto"/>
                <w:bottom w:val="none" w:sz="0" w:space="0" w:color="auto"/>
                <w:right w:val="none" w:sz="0" w:space="0" w:color="auto"/>
              </w:divBdr>
            </w:div>
          </w:divsChild>
        </w:div>
        <w:div w:id="280110986">
          <w:marLeft w:val="0"/>
          <w:marRight w:val="0"/>
          <w:marTop w:val="0"/>
          <w:marBottom w:val="0"/>
          <w:divBdr>
            <w:top w:val="none" w:sz="0" w:space="0" w:color="auto"/>
            <w:left w:val="none" w:sz="0" w:space="0" w:color="auto"/>
            <w:bottom w:val="none" w:sz="0" w:space="0" w:color="auto"/>
            <w:right w:val="none" w:sz="0" w:space="0" w:color="auto"/>
          </w:divBdr>
          <w:divsChild>
            <w:div w:id="3388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776640">
      <w:bodyDiv w:val="1"/>
      <w:marLeft w:val="0"/>
      <w:marRight w:val="0"/>
      <w:marTop w:val="0"/>
      <w:marBottom w:val="0"/>
      <w:divBdr>
        <w:top w:val="none" w:sz="0" w:space="0" w:color="auto"/>
        <w:left w:val="none" w:sz="0" w:space="0" w:color="auto"/>
        <w:bottom w:val="none" w:sz="0" w:space="0" w:color="auto"/>
        <w:right w:val="none" w:sz="0" w:space="0" w:color="auto"/>
      </w:divBdr>
    </w:div>
    <w:div w:id="516309575">
      <w:bodyDiv w:val="1"/>
      <w:marLeft w:val="0"/>
      <w:marRight w:val="0"/>
      <w:marTop w:val="0"/>
      <w:marBottom w:val="0"/>
      <w:divBdr>
        <w:top w:val="none" w:sz="0" w:space="0" w:color="auto"/>
        <w:left w:val="none" w:sz="0" w:space="0" w:color="auto"/>
        <w:bottom w:val="none" w:sz="0" w:space="0" w:color="auto"/>
        <w:right w:val="none" w:sz="0" w:space="0" w:color="auto"/>
      </w:divBdr>
    </w:div>
    <w:div w:id="516426538">
      <w:bodyDiv w:val="1"/>
      <w:marLeft w:val="0"/>
      <w:marRight w:val="0"/>
      <w:marTop w:val="0"/>
      <w:marBottom w:val="0"/>
      <w:divBdr>
        <w:top w:val="none" w:sz="0" w:space="0" w:color="auto"/>
        <w:left w:val="none" w:sz="0" w:space="0" w:color="auto"/>
        <w:bottom w:val="none" w:sz="0" w:space="0" w:color="auto"/>
        <w:right w:val="none" w:sz="0" w:space="0" w:color="auto"/>
      </w:divBdr>
    </w:div>
    <w:div w:id="519785933">
      <w:bodyDiv w:val="1"/>
      <w:marLeft w:val="0"/>
      <w:marRight w:val="0"/>
      <w:marTop w:val="0"/>
      <w:marBottom w:val="0"/>
      <w:divBdr>
        <w:top w:val="none" w:sz="0" w:space="0" w:color="auto"/>
        <w:left w:val="none" w:sz="0" w:space="0" w:color="auto"/>
        <w:bottom w:val="none" w:sz="0" w:space="0" w:color="auto"/>
        <w:right w:val="none" w:sz="0" w:space="0" w:color="auto"/>
      </w:divBdr>
    </w:div>
    <w:div w:id="520242282">
      <w:bodyDiv w:val="1"/>
      <w:marLeft w:val="0"/>
      <w:marRight w:val="0"/>
      <w:marTop w:val="0"/>
      <w:marBottom w:val="0"/>
      <w:divBdr>
        <w:top w:val="none" w:sz="0" w:space="0" w:color="auto"/>
        <w:left w:val="none" w:sz="0" w:space="0" w:color="auto"/>
        <w:bottom w:val="none" w:sz="0" w:space="0" w:color="auto"/>
        <w:right w:val="none" w:sz="0" w:space="0" w:color="auto"/>
      </w:divBdr>
    </w:div>
    <w:div w:id="525872788">
      <w:bodyDiv w:val="1"/>
      <w:marLeft w:val="0"/>
      <w:marRight w:val="0"/>
      <w:marTop w:val="0"/>
      <w:marBottom w:val="0"/>
      <w:divBdr>
        <w:top w:val="none" w:sz="0" w:space="0" w:color="auto"/>
        <w:left w:val="none" w:sz="0" w:space="0" w:color="auto"/>
        <w:bottom w:val="none" w:sz="0" w:space="0" w:color="auto"/>
        <w:right w:val="none" w:sz="0" w:space="0" w:color="auto"/>
      </w:divBdr>
    </w:div>
    <w:div w:id="533811915">
      <w:bodyDiv w:val="1"/>
      <w:marLeft w:val="0"/>
      <w:marRight w:val="0"/>
      <w:marTop w:val="0"/>
      <w:marBottom w:val="0"/>
      <w:divBdr>
        <w:top w:val="none" w:sz="0" w:space="0" w:color="auto"/>
        <w:left w:val="none" w:sz="0" w:space="0" w:color="auto"/>
        <w:bottom w:val="none" w:sz="0" w:space="0" w:color="auto"/>
        <w:right w:val="none" w:sz="0" w:space="0" w:color="auto"/>
      </w:divBdr>
    </w:div>
    <w:div w:id="535504763">
      <w:bodyDiv w:val="1"/>
      <w:marLeft w:val="0"/>
      <w:marRight w:val="0"/>
      <w:marTop w:val="0"/>
      <w:marBottom w:val="0"/>
      <w:divBdr>
        <w:top w:val="none" w:sz="0" w:space="0" w:color="auto"/>
        <w:left w:val="none" w:sz="0" w:space="0" w:color="auto"/>
        <w:bottom w:val="none" w:sz="0" w:space="0" w:color="auto"/>
        <w:right w:val="none" w:sz="0" w:space="0" w:color="auto"/>
      </w:divBdr>
    </w:div>
    <w:div w:id="538973677">
      <w:bodyDiv w:val="1"/>
      <w:marLeft w:val="0"/>
      <w:marRight w:val="0"/>
      <w:marTop w:val="0"/>
      <w:marBottom w:val="0"/>
      <w:divBdr>
        <w:top w:val="none" w:sz="0" w:space="0" w:color="auto"/>
        <w:left w:val="none" w:sz="0" w:space="0" w:color="auto"/>
        <w:bottom w:val="none" w:sz="0" w:space="0" w:color="auto"/>
        <w:right w:val="none" w:sz="0" w:space="0" w:color="auto"/>
      </w:divBdr>
    </w:div>
    <w:div w:id="542911345">
      <w:bodyDiv w:val="1"/>
      <w:marLeft w:val="0"/>
      <w:marRight w:val="0"/>
      <w:marTop w:val="0"/>
      <w:marBottom w:val="0"/>
      <w:divBdr>
        <w:top w:val="none" w:sz="0" w:space="0" w:color="auto"/>
        <w:left w:val="none" w:sz="0" w:space="0" w:color="auto"/>
        <w:bottom w:val="none" w:sz="0" w:space="0" w:color="auto"/>
        <w:right w:val="none" w:sz="0" w:space="0" w:color="auto"/>
      </w:divBdr>
    </w:div>
    <w:div w:id="543761785">
      <w:bodyDiv w:val="1"/>
      <w:marLeft w:val="0"/>
      <w:marRight w:val="0"/>
      <w:marTop w:val="0"/>
      <w:marBottom w:val="0"/>
      <w:divBdr>
        <w:top w:val="none" w:sz="0" w:space="0" w:color="auto"/>
        <w:left w:val="none" w:sz="0" w:space="0" w:color="auto"/>
        <w:bottom w:val="none" w:sz="0" w:space="0" w:color="auto"/>
        <w:right w:val="none" w:sz="0" w:space="0" w:color="auto"/>
      </w:divBdr>
    </w:div>
    <w:div w:id="547297468">
      <w:bodyDiv w:val="1"/>
      <w:marLeft w:val="0"/>
      <w:marRight w:val="0"/>
      <w:marTop w:val="0"/>
      <w:marBottom w:val="0"/>
      <w:divBdr>
        <w:top w:val="none" w:sz="0" w:space="0" w:color="auto"/>
        <w:left w:val="none" w:sz="0" w:space="0" w:color="auto"/>
        <w:bottom w:val="none" w:sz="0" w:space="0" w:color="auto"/>
        <w:right w:val="none" w:sz="0" w:space="0" w:color="auto"/>
      </w:divBdr>
    </w:div>
    <w:div w:id="548030779">
      <w:bodyDiv w:val="1"/>
      <w:marLeft w:val="0"/>
      <w:marRight w:val="0"/>
      <w:marTop w:val="0"/>
      <w:marBottom w:val="0"/>
      <w:divBdr>
        <w:top w:val="none" w:sz="0" w:space="0" w:color="auto"/>
        <w:left w:val="none" w:sz="0" w:space="0" w:color="auto"/>
        <w:bottom w:val="none" w:sz="0" w:space="0" w:color="auto"/>
        <w:right w:val="none" w:sz="0" w:space="0" w:color="auto"/>
      </w:divBdr>
    </w:div>
    <w:div w:id="551888993">
      <w:bodyDiv w:val="1"/>
      <w:marLeft w:val="0"/>
      <w:marRight w:val="0"/>
      <w:marTop w:val="0"/>
      <w:marBottom w:val="0"/>
      <w:divBdr>
        <w:top w:val="none" w:sz="0" w:space="0" w:color="auto"/>
        <w:left w:val="none" w:sz="0" w:space="0" w:color="auto"/>
        <w:bottom w:val="none" w:sz="0" w:space="0" w:color="auto"/>
        <w:right w:val="none" w:sz="0" w:space="0" w:color="auto"/>
      </w:divBdr>
    </w:div>
    <w:div w:id="552037569">
      <w:bodyDiv w:val="1"/>
      <w:marLeft w:val="0"/>
      <w:marRight w:val="0"/>
      <w:marTop w:val="0"/>
      <w:marBottom w:val="0"/>
      <w:divBdr>
        <w:top w:val="none" w:sz="0" w:space="0" w:color="auto"/>
        <w:left w:val="none" w:sz="0" w:space="0" w:color="auto"/>
        <w:bottom w:val="none" w:sz="0" w:space="0" w:color="auto"/>
        <w:right w:val="none" w:sz="0" w:space="0" w:color="auto"/>
      </w:divBdr>
    </w:div>
    <w:div w:id="553155041">
      <w:bodyDiv w:val="1"/>
      <w:marLeft w:val="0"/>
      <w:marRight w:val="0"/>
      <w:marTop w:val="0"/>
      <w:marBottom w:val="0"/>
      <w:divBdr>
        <w:top w:val="none" w:sz="0" w:space="0" w:color="auto"/>
        <w:left w:val="none" w:sz="0" w:space="0" w:color="auto"/>
        <w:bottom w:val="none" w:sz="0" w:space="0" w:color="auto"/>
        <w:right w:val="none" w:sz="0" w:space="0" w:color="auto"/>
      </w:divBdr>
    </w:div>
    <w:div w:id="555894412">
      <w:bodyDiv w:val="1"/>
      <w:marLeft w:val="0"/>
      <w:marRight w:val="0"/>
      <w:marTop w:val="0"/>
      <w:marBottom w:val="0"/>
      <w:divBdr>
        <w:top w:val="none" w:sz="0" w:space="0" w:color="auto"/>
        <w:left w:val="none" w:sz="0" w:space="0" w:color="auto"/>
        <w:bottom w:val="none" w:sz="0" w:space="0" w:color="auto"/>
        <w:right w:val="none" w:sz="0" w:space="0" w:color="auto"/>
      </w:divBdr>
    </w:div>
    <w:div w:id="559050435">
      <w:bodyDiv w:val="1"/>
      <w:marLeft w:val="0"/>
      <w:marRight w:val="0"/>
      <w:marTop w:val="0"/>
      <w:marBottom w:val="0"/>
      <w:divBdr>
        <w:top w:val="none" w:sz="0" w:space="0" w:color="auto"/>
        <w:left w:val="none" w:sz="0" w:space="0" w:color="auto"/>
        <w:bottom w:val="none" w:sz="0" w:space="0" w:color="auto"/>
        <w:right w:val="none" w:sz="0" w:space="0" w:color="auto"/>
      </w:divBdr>
    </w:div>
    <w:div w:id="559483197">
      <w:bodyDiv w:val="1"/>
      <w:marLeft w:val="0"/>
      <w:marRight w:val="0"/>
      <w:marTop w:val="0"/>
      <w:marBottom w:val="0"/>
      <w:divBdr>
        <w:top w:val="none" w:sz="0" w:space="0" w:color="auto"/>
        <w:left w:val="none" w:sz="0" w:space="0" w:color="auto"/>
        <w:bottom w:val="none" w:sz="0" w:space="0" w:color="auto"/>
        <w:right w:val="none" w:sz="0" w:space="0" w:color="auto"/>
      </w:divBdr>
    </w:div>
    <w:div w:id="559484722">
      <w:bodyDiv w:val="1"/>
      <w:marLeft w:val="0"/>
      <w:marRight w:val="0"/>
      <w:marTop w:val="0"/>
      <w:marBottom w:val="0"/>
      <w:divBdr>
        <w:top w:val="none" w:sz="0" w:space="0" w:color="auto"/>
        <w:left w:val="none" w:sz="0" w:space="0" w:color="auto"/>
        <w:bottom w:val="none" w:sz="0" w:space="0" w:color="auto"/>
        <w:right w:val="none" w:sz="0" w:space="0" w:color="auto"/>
      </w:divBdr>
    </w:div>
    <w:div w:id="560793075">
      <w:bodyDiv w:val="1"/>
      <w:marLeft w:val="0"/>
      <w:marRight w:val="0"/>
      <w:marTop w:val="0"/>
      <w:marBottom w:val="0"/>
      <w:divBdr>
        <w:top w:val="none" w:sz="0" w:space="0" w:color="auto"/>
        <w:left w:val="none" w:sz="0" w:space="0" w:color="auto"/>
        <w:bottom w:val="none" w:sz="0" w:space="0" w:color="auto"/>
        <w:right w:val="none" w:sz="0" w:space="0" w:color="auto"/>
      </w:divBdr>
    </w:div>
    <w:div w:id="561062811">
      <w:bodyDiv w:val="1"/>
      <w:marLeft w:val="0"/>
      <w:marRight w:val="0"/>
      <w:marTop w:val="0"/>
      <w:marBottom w:val="0"/>
      <w:divBdr>
        <w:top w:val="none" w:sz="0" w:space="0" w:color="auto"/>
        <w:left w:val="none" w:sz="0" w:space="0" w:color="auto"/>
        <w:bottom w:val="none" w:sz="0" w:space="0" w:color="auto"/>
        <w:right w:val="none" w:sz="0" w:space="0" w:color="auto"/>
      </w:divBdr>
    </w:div>
    <w:div w:id="563562466">
      <w:bodyDiv w:val="1"/>
      <w:marLeft w:val="0"/>
      <w:marRight w:val="0"/>
      <w:marTop w:val="0"/>
      <w:marBottom w:val="0"/>
      <w:divBdr>
        <w:top w:val="none" w:sz="0" w:space="0" w:color="auto"/>
        <w:left w:val="none" w:sz="0" w:space="0" w:color="auto"/>
        <w:bottom w:val="none" w:sz="0" w:space="0" w:color="auto"/>
        <w:right w:val="none" w:sz="0" w:space="0" w:color="auto"/>
      </w:divBdr>
    </w:div>
    <w:div w:id="565653566">
      <w:bodyDiv w:val="1"/>
      <w:marLeft w:val="0"/>
      <w:marRight w:val="0"/>
      <w:marTop w:val="0"/>
      <w:marBottom w:val="0"/>
      <w:divBdr>
        <w:top w:val="none" w:sz="0" w:space="0" w:color="auto"/>
        <w:left w:val="none" w:sz="0" w:space="0" w:color="auto"/>
        <w:bottom w:val="none" w:sz="0" w:space="0" w:color="auto"/>
        <w:right w:val="none" w:sz="0" w:space="0" w:color="auto"/>
      </w:divBdr>
    </w:div>
    <w:div w:id="566114359">
      <w:bodyDiv w:val="1"/>
      <w:marLeft w:val="0"/>
      <w:marRight w:val="0"/>
      <w:marTop w:val="0"/>
      <w:marBottom w:val="0"/>
      <w:divBdr>
        <w:top w:val="none" w:sz="0" w:space="0" w:color="auto"/>
        <w:left w:val="none" w:sz="0" w:space="0" w:color="auto"/>
        <w:bottom w:val="none" w:sz="0" w:space="0" w:color="auto"/>
        <w:right w:val="none" w:sz="0" w:space="0" w:color="auto"/>
      </w:divBdr>
    </w:div>
    <w:div w:id="571039358">
      <w:bodyDiv w:val="1"/>
      <w:marLeft w:val="0"/>
      <w:marRight w:val="0"/>
      <w:marTop w:val="0"/>
      <w:marBottom w:val="0"/>
      <w:divBdr>
        <w:top w:val="none" w:sz="0" w:space="0" w:color="auto"/>
        <w:left w:val="none" w:sz="0" w:space="0" w:color="auto"/>
        <w:bottom w:val="none" w:sz="0" w:space="0" w:color="auto"/>
        <w:right w:val="none" w:sz="0" w:space="0" w:color="auto"/>
      </w:divBdr>
    </w:div>
    <w:div w:id="572394847">
      <w:bodyDiv w:val="1"/>
      <w:marLeft w:val="0"/>
      <w:marRight w:val="0"/>
      <w:marTop w:val="0"/>
      <w:marBottom w:val="0"/>
      <w:divBdr>
        <w:top w:val="none" w:sz="0" w:space="0" w:color="auto"/>
        <w:left w:val="none" w:sz="0" w:space="0" w:color="auto"/>
        <w:bottom w:val="none" w:sz="0" w:space="0" w:color="auto"/>
        <w:right w:val="none" w:sz="0" w:space="0" w:color="auto"/>
      </w:divBdr>
    </w:div>
    <w:div w:id="575749912">
      <w:bodyDiv w:val="1"/>
      <w:marLeft w:val="0"/>
      <w:marRight w:val="0"/>
      <w:marTop w:val="0"/>
      <w:marBottom w:val="0"/>
      <w:divBdr>
        <w:top w:val="none" w:sz="0" w:space="0" w:color="auto"/>
        <w:left w:val="none" w:sz="0" w:space="0" w:color="auto"/>
        <w:bottom w:val="none" w:sz="0" w:space="0" w:color="auto"/>
        <w:right w:val="none" w:sz="0" w:space="0" w:color="auto"/>
      </w:divBdr>
    </w:div>
    <w:div w:id="576860423">
      <w:bodyDiv w:val="1"/>
      <w:marLeft w:val="0"/>
      <w:marRight w:val="0"/>
      <w:marTop w:val="0"/>
      <w:marBottom w:val="0"/>
      <w:divBdr>
        <w:top w:val="none" w:sz="0" w:space="0" w:color="auto"/>
        <w:left w:val="none" w:sz="0" w:space="0" w:color="auto"/>
        <w:bottom w:val="none" w:sz="0" w:space="0" w:color="auto"/>
        <w:right w:val="none" w:sz="0" w:space="0" w:color="auto"/>
      </w:divBdr>
    </w:div>
    <w:div w:id="579027313">
      <w:bodyDiv w:val="1"/>
      <w:marLeft w:val="0"/>
      <w:marRight w:val="0"/>
      <w:marTop w:val="0"/>
      <w:marBottom w:val="0"/>
      <w:divBdr>
        <w:top w:val="none" w:sz="0" w:space="0" w:color="auto"/>
        <w:left w:val="none" w:sz="0" w:space="0" w:color="auto"/>
        <w:bottom w:val="none" w:sz="0" w:space="0" w:color="auto"/>
        <w:right w:val="none" w:sz="0" w:space="0" w:color="auto"/>
      </w:divBdr>
    </w:div>
    <w:div w:id="581062729">
      <w:bodyDiv w:val="1"/>
      <w:marLeft w:val="0"/>
      <w:marRight w:val="0"/>
      <w:marTop w:val="0"/>
      <w:marBottom w:val="0"/>
      <w:divBdr>
        <w:top w:val="none" w:sz="0" w:space="0" w:color="auto"/>
        <w:left w:val="none" w:sz="0" w:space="0" w:color="auto"/>
        <w:bottom w:val="none" w:sz="0" w:space="0" w:color="auto"/>
        <w:right w:val="none" w:sz="0" w:space="0" w:color="auto"/>
      </w:divBdr>
    </w:div>
    <w:div w:id="582182698">
      <w:bodyDiv w:val="1"/>
      <w:marLeft w:val="0"/>
      <w:marRight w:val="0"/>
      <w:marTop w:val="0"/>
      <w:marBottom w:val="0"/>
      <w:divBdr>
        <w:top w:val="none" w:sz="0" w:space="0" w:color="auto"/>
        <w:left w:val="none" w:sz="0" w:space="0" w:color="auto"/>
        <w:bottom w:val="none" w:sz="0" w:space="0" w:color="auto"/>
        <w:right w:val="none" w:sz="0" w:space="0" w:color="auto"/>
      </w:divBdr>
    </w:div>
    <w:div w:id="583878842">
      <w:bodyDiv w:val="1"/>
      <w:marLeft w:val="0"/>
      <w:marRight w:val="0"/>
      <w:marTop w:val="0"/>
      <w:marBottom w:val="0"/>
      <w:divBdr>
        <w:top w:val="none" w:sz="0" w:space="0" w:color="auto"/>
        <w:left w:val="none" w:sz="0" w:space="0" w:color="auto"/>
        <w:bottom w:val="none" w:sz="0" w:space="0" w:color="auto"/>
        <w:right w:val="none" w:sz="0" w:space="0" w:color="auto"/>
      </w:divBdr>
    </w:div>
    <w:div w:id="583995870">
      <w:bodyDiv w:val="1"/>
      <w:marLeft w:val="0"/>
      <w:marRight w:val="0"/>
      <w:marTop w:val="0"/>
      <w:marBottom w:val="0"/>
      <w:divBdr>
        <w:top w:val="none" w:sz="0" w:space="0" w:color="auto"/>
        <w:left w:val="none" w:sz="0" w:space="0" w:color="auto"/>
        <w:bottom w:val="none" w:sz="0" w:space="0" w:color="auto"/>
        <w:right w:val="none" w:sz="0" w:space="0" w:color="auto"/>
      </w:divBdr>
    </w:div>
    <w:div w:id="587084584">
      <w:bodyDiv w:val="1"/>
      <w:marLeft w:val="0"/>
      <w:marRight w:val="0"/>
      <w:marTop w:val="0"/>
      <w:marBottom w:val="0"/>
      <w:divBdr>
        <w:top w:val="none" w:sz="0" w:space="0" w:color="auto"/>
        <w:left w:val="none" w:sz="0" w:space="0" w:color="auto"/>
        <w:bottom w:val="none" w:sz="0" w:space="0" w:color="auto"/>
        <w:right w:val="none" w:sz="0" w:space="0" w:color="auto"/>
      </w:divBdr>
    </w:div>
    <w:div w:id="588002258">
      <w:bodyDiv w:val="1"/>
      <w:marLeft w:val="0"/>
      <w:marRight w:val="0"/>
      <w:marTop w:val="0"/>
      <w:marBottom w:val="0"/>
      <w:divBdr>
        <w:top w:val="none" w:sz="0" w:space="0" w:color="auto"/>
        <w:left w:val="none" w:sz="0" w:space="0" w:color="auto"/>
        <w:bottom w:val="none" w:sz="0" w:space="0" w:color="auto"/>
        <w:right w:val="none" w:sz="0" w:space="0" w:color="auto"/>
      </w:divBdr>
    </w:div>
    <w:div w:id="588730272">
      <w:bodyDiv w:val="1"/>
      <w:marLeft w:val="0"/>
      <w:marRight w:val="0"/>
      <w:marTop w:val="0"/>
      <w:marBottom w:val="0"/>
      <w:divBdr>
        <w:top w:val="none" w:sz="0" w:space="0" w:color="auto"/>
        <w:left w:val="none" w:sz="0" w:space="0" w:color="auto"/>
        <w:bottom w:val="none" w:sz="0" w:space="0" w:color="auto"/>
        <w:right w:val="none" w:sz="0" w:space="0" w:color="auto"/>
      </w:divBdr>
    </w:div>
    <w:div w:id="593591704">
      <w:bodyDiv w:val="1"/>
      <w:marLeft w:val="0"/>
      <w:marRight w:val="0"/>
      <w:marTop w:val="0"/>
      <w:marBottom w:val="0"/>
      <w:divBdr>
        <w:top w:val="none" w:sz="0" w:space="0" w:color="auto"/>
        <w:left w:val="none" w:sz="0" w:space="0" w:color="auto"/>
        <w:bottom w:val="none" w:sz="0" w:space="0" w:color="auto"/>
        <w:right w:val="none" w:sz="0" w:space="0" w:color="auto"/>
      </w:divBdr>
    </w:div>
    <w:div w:id="595098506">
      <w:bodyDiv w:val="1"/>
      <w:marLeft w:val="0"/>
      <w:marRight w:val="0"/>
      <w:marTop w:val="0"/>
      <w:marBottom w:val="0"/>
      <w:divBdr>
        <w:top w:val="none" w:sz="0" w:space="0" w:color="auto"/>
        <w:left w:val="none" w:sz="0" w:space="0" w:color="auto"/>
        <w:bottom w:val="none" w:sz="0" w:space="0" w:color="auto"/>
        <w:right w:val="none" w:sz="0" w:space="0" w:color="auto"/>
      </w:divBdr>
    </w:div>
    <w:div w:id="597493582">
      <w:bodyDiv w:val="1"/>
      <w:marLeft w:val="0"/>
      <w:marRight w:val="0"/>
      <w:marTop w:val="0"/>
      <w:marBottom w:val="0"/>
      <w:divBdr>
        <w:top w:val="none" w:sz="0" w:space="0" w:color="auto"/>
        <w:left w:val="none" w:sz="0" w:space="0" w:color="auto"/>
        <w:bottom w:val="none" w:sz="0" w:space="0" w:color="auto"/>
        <w:right w:val="none" w:sz="0" w:space="0" w:color="auto"/>
      </w:divBdr>
    </w:div>
    <w:div w:id="597909439">
      <w:bodyDiv w:val="1"/>
      <w:marLeft w:val="0"/>
      <w:marRight w:val="0"/>
      <w:marTop w:val="0"/>
      <w:marBottom w:val="0"/>
      <w:divBdr>
        <w:top w:val="none" w:sz="0" w:space="0" w:color="auto"/>
        <w:left w:val="none" w:sz="0" w:space="0" w:color="auto"/>
        <w:bottom w:val="none" w:sz="0" w:space="0" w:color="auto"/>
        <w:right w:val="none" w:sz="0" w:space="0" w:color="auto"/>
      </w:divBdr>
    </w:div>
    <w:div w:id="597911776">
      <w:bodyDiv w:val="1"/>
      <w:marLeft w:val="0"/>
      <w:marRight w:val="0"/>
      <w:marTop w:val="0"/>
      <w:marBottom w:val="0"/>
      <w:divBdr>
        <w:top w:val="none" w:sz="0" w:space="0" w:color="auto"/>
        <w:left w:val="none" w:sz="0" w:space="0" w:color="auto"/>
        <w:bottom w:val="none" w:sz="0" w:space="0" w:color="auto"/>
        <w:right w:val="none" w:sz="0" w:space="0" w:color="auto"/>
      </w:divBdr>
    </w:div>
    <w:div w:id="600257052">
      <w:bodyDiv w:val="1"/>
      <w:marLeft w:val="0"/>
      <w:marRight w:val="0"/>
      <w:marTop w:val="0"/>
      <w:marBottom w:val="0"/>
      <w:divBdr>
        <w:top w:val="none" w:sz="0" w:space="0" w:color="auto"/>
        <w:left w:val="none" w:sz="0" w:space="0" w:color="auto"/>
        <w:bottom w:val="none" w:sz="0" w:space="0" w:color="auto"/>
        <w:right w:val="none" w:sz="0" w:space="0" w:color="auto"/>
      </w:divBdr>
    </w:div>
    <w:div w:id="601962198">
      <w:bodyDiv w:val="1"/>
      <w:marLeft w:val="0"/>
      <w:marRight w:val="0"/>
      <w:marTop w:val="0"/>
      <w:marBottom w:val="0"/>
      <w:divBdr>
        <w:top w:val="none" w:sz="0" w:space="0" w:color="auto"/>
        <w:left w:val="none" w:sz="0" w:space="0" w:color="auto"/>
        <w:bottom w:val="none" w:sz="0" w:space="0" w:color="auto"/>
        <w:right w:val="none" w:sz="0" w:space="0" w:color="auto"/>
      </w:divBdr>
    </w:div>
    <w:div w:id="604386424">
      <w:bodyDiv w:val="1"/>
      <w:marLeft w:val="0"/>
      <w:marRight w:val="0"/>
      <w:marTop w:val="0"/>
      <w:marBottom w:val="0"/>
      <w:divBdr>
        <w:top w:val="none" w:sz="0" w:space="0" w:color="auto"/>
        <w:left w:val="none" w:sz="0" w:space="0" w:color="auto"/>
        <w:bottom w:val="none" w:sz="0" w:space="0" w:color="auto"/>
        <w:right w:val="none" w:sz="0" w:space="0" w:color="auto"/>
      </w:divBdr>
    </w:div>
    <w:div w:id="605697681">
      <w:bodyDiv w:val="1"/>
      <w:marLeft w:val="0"/>
      <w:marRight w:val="0"/>
      <w:marTop w:val="0"/>
      <w:marBottom w:val="0"/>
      <w:divBdr>
        <w:top w:val="none" w:sz="0" w:space="0" w:color="auto"/>
        <w:left w:val="none" w:sz="0" w:space="0" w:color="auto"/>
        <w:bottom w:val="none" w:sz="0" w:space="0" w:color="auto"/>
        <w:right w:val="none" w:sz="0" w:space="0" w:color="auto"/>
      </w:divBdr>
    </w:div>
    <w:div w:id="608780224">
      <w:bodyDiv w:val="1"/>
      <w:marLeft w:val="0"/>
      <w:marRight w:val="0"/>
      <w:marTop w:val="0"/>
      <w:marBottom w:val="0"/>
      <w:divBdr>
        <w:top w:val="none" w:sz="0" w:space="0" w:color="auto"/>
        <w:left w:val="none" w:sz="0" w:space="0" w:color="auto"/>
        <w:bottom w:val="none" w:sz="0" w:space="0" w:color="auto"/>
        <w:right w:val="none" w:sz="0" w:space="0" w:color="auto"/>
      </w:divBdr>
    </w:div>
    <w:div w:id="611286458">
      <w:bodyDiv w:val="1"/>
      <w:marLeft w:val="0"/>
      <w:marRight w:val="0"/>
      <w:marTop w:val="0"/>
      <w:marBottom w:val="0"/>
      <w:divBdr>
        <w:top w:val="none" w:sz="0" w:space="0" w:color="auto"/>
        <w:left w:val="none" w:sz="0" w:space="0" w:color="auto"/>
        <w:bottom w:val="none" w:sz="0" w:space="0" w:color="auto"/>
        <w:right w:val="none" w:sz="0" w:space="0" w:color="auto"/>
      </w:divBdr>
    </w:div>
    <w:div w:id="612368869">
      <w:bodyDiv w:val="1"/>
      <w:marLeft w:val="0"/>
      <w:marRight w:val="0"/>
      <w:marTop w:val="0"/>
      <w:marBottom w:val="0"/>
      <w:divBdr>
        <w:top w:val="none" w:sz="0" w:space="0" w:color="auto"/>
        <w:left w:val="none" w:sz="0" w:space="0" w:color="auto"/>
        <w:bottom w:val="none" w:sz="0" w:space="0" w:color="auto"/>
        <w:right w:val="none" w:sz="0" w:space="0" w:color="auto"/>
      </w:divBdr>
    </w:div>
    <w:div w:id="619266130">
      <w:bodyDiv w:val="1"/>
      <w:marLeft w:val="0"/>
      <w:marRight w:val="0"/>
      <w:marTop w:val="0"/>
      <w:marBottom w:val="0"/>
      <w:divBdr>
        <w:top w:val="none" w:sz="0" w:space="0" w:color="auto"/>
        <w:left w:val="none" w:sz="0" w:space="0" w:color="auto"/>
        <w:bottom w:val="none" w:sz="0" w:space="0" w:color="auto"/>
        <w:right w:val="none" w:sz="0" w:space="0" w:color="auto"/>
      </w:divBdr>
    </w:div>
    <w:div w:id="621035239">
      <w:bodyDiv w:val="1"/>
      <w:marLeft w:val="0"/>
      <w:marRight w:val="0"/>
      <w:marTop w:val="0"/>
      <w:marBottom w:val="0"/>
      <w:divBdr>
        <w:top w:val="none" w:sz="0" w:space="0" w:color="auto"/>
        <w:left w:val="none" w:sz="0" w:space="0" w:color="auto"/>
        <w:bottom w:val="none" w:sz="0" w:space="0" w:color="auto"/>
        <w:right w:val="none" w:sz="0" w:space="0" w:color="auto"/>
      </w:divBdr>
    </w:div>
    <w:div w:id="621154220">
      <w:bodyDiv w:val="1"/>
      <w:marLeft w:val="0"/>
      <w:marRight w:val="0"/>
      <w:marTop w:val="0"/>
      <w:marBottom w:val="0"/>
      <w:divBdr>
        <w:top w:val="none" w:sz="0" w:space="0" w:color="auto"/>
        <w:left w:val="none" w:sz="0" w:space="0" w:color="auto"/>
        <w:bottom w:val="none" w:sz="0" w:space="0" w:color="auto"/>
        <w:right w:val="none" w:sz="0" w:space="0" w:color="auto"/>
      </w:divBdr>
    </w:div>
    <w:div w:id="622926571">
      <w:bodyDiv w:val="1"/>
      <w:marLeft w:val="0"/>
      <w:marRight w:val="0"/>
      <w:marTop w:val="0"/>
      <w:marBottom w:val="0"/>
      <w:divBdr>
        <w:top w:val="none" w:sz="0" w:space="0" w:color="auto"/>
        <w:left w:val="none" w:sz="0" w:space="0" w:color="auto"/>
        <w:bottom w:val="none" w:sz="0" w:space="0" w:color="auto"/>
        <w:right w:val="none" w:sz="0" w:space="0" w:color="auto"/>
      </w:divBdr>
    </w:div>
    <w:div w:id="628053880">
      <w:bodyDiv w:val="1"/>
      <w:marLeft w:val="0"/>
      <w:marRight w:val="0"/>
      <w:marTop w:val="0"/>
      <w:marBottom w:val="0"/>
      <w:divBdr>
        <w:top w:val="none" w:sz="0" w:space="0" w:color="auto"/>
        <w:left w:val="none" w:sz="0" w:space="0" w:color="auto"/>
        <w:bottom w:val="none" w:sz="0" w:space="0" w:color="auto"/>
        <w:right w:val="none" w:sz="0" w:space="0" w:color="auto"/>
      </w:divBdr>
    </w:div>
    <w:div w:id="632754820">
      <w:bodyDiv w:val="1"/>
      <w:marLeft w:val="0"/>
      <w:marRight w:val="0"/>
      <w:marTop w:val="0"/>
      <w:marBottom w:val="0"/>
      <w:divBdr>
        <w:top w:val="none" w:sz="0" w:space="0" w:color="auto"/>
        <w:left w:val="none" w:sz="0" w:space="0" w:color="auto"/>
        <w:bottom w:val="none" w:sz="0" w:space="0" w:color="auto"/>
        <w:right w:val="none" w:sz="0" w:space="0" w:color="auto"/>
      </w:divBdr>
    </w:div>
    <w:div w:id="639382875">
      <w:bodyDiv w:val="1"/>
      <w:marLeft w:val="0"/>
      <w:marRight w:val="0"/>
      <w:marTop w:val="0"/>
      <w:marBottom w:val="0"/>
      <w:divBdr>
        <w:top w:val="none" w:sz="0" w:space="0" w:color="auto"/>
        <w:left w:val="none" w:sz="0" w:space="0" w:color="auto"/>
        <w:bottom w:val="none" w:sz="0" w:space="0" w:color="auto"/>
        <w:right w:val="none" w:sz="0" w:space="0" w:color="auto"/>
      </w:divBdr>
    </w:div>
    <w:div w:id="640040650">
      <w:bodyDiv w:val="1"/>
      <w:marLeft w:val="0"/>
      <w:marRight w:val="0"/>
      <w:marTop w:val="0"/>
      <w:marBottom w:val="0"/>
      <w:divBdr>
        <w:top w:val="none" w:sz="0" w:space="0" w:color="auto"/>
        <w:left w:val="none" w:sz="0" w:space="0" w:color="auto"/>
        <w:bottom w:val="none" w:sz="0" w:space="0" w:color="auto"/>
        <w:right w:val="none" w:sz="0" w:space="0" w:color="auto"/>
      </w:divBdr>
    </w:div>
    <w:div w:id="640963848">
      <w:bodyDiv w:val="1"/>
      <w:marLeft w:val="0"/>
      <w:marRight w:val="0"/>
      <w:marTop w:val="0"/>
      <w:marBottom w:val="0"/>
      <w:divBdr>
        <w:top w:val="none" w:sz="0" w:space="0" w:color="auto"/>
        <w:left w:val="none" w:sz="0" w:space="0" w:color="auto"/>
        <w:bottom w:val="none" w:sz="0" w:space="0" w:color="auto"/>
        <w:right w:val="none" w:sz="0" w:space="0" w:color="auto"/>
      </w:divBdr>
    </w:div>
    <w:div w:id="641542100">
      <w:bodyDiv w:val="1"/>
      <w:marLeft w:val="0"/>
      <w:marRight w:val="0"/>
      <w:marTop w:val="0"/>
      <w:marBottom w:val="0"/>
      <w:divBdr>
        <w:top w:val="none" w:sz="0" w:space="0" w:color="auto"/>
        <w:left w:val="none" w:sz="0" w:space="0" w:color="auto"/>
        <w:bottom w:val="none" w:sz="0" w:space="0" w:color="auto"/>
        <w:right w:val="none" w:sz="0" w:space="0" w:color="auto"/>
      </w:divBdr>
    </w:div>
    <w:div w:id="642126407">
      <w:bodyDiv w:val="1"/>
      <w:marLeft w:val="0"/>
      <w:marRight w:val="0"/>
      <w:marTop w:val="0"/>
      <w:marBottom w:val="0"/>
      <w:divBdr>
        <w:top w:val="none" w:sz="0" w:space="0" w:color="auto"/>
        <w:left w:val="none" w:sz="0" w:space="0" w:color="auto"/>
        <w:bottom w:val="none" w:sz="0" w:space="0" w:color="auto"/>
        <w:right w:val="none" w:sz="0" w:space="0" w:color="auto"/>
      </w:divBdr>
    </w:div>
    <w:div w:id="643320349">
      <w:bodyDiv w:val="1"/>
      <w:marLeft w:val="0"/>
      <w:marRight w:val="0"/>
      <w:marTop w:val="0"/>
      <w:marBottom w:val="0"/>
      <w:divBdr>
        <w:top w:val="none" w:sz="0" w:space="0" w:color="auto"/>
        <w:left w:val="none" w:sz="0" w:space="0" w:color="auto"/>
        <w:bottom w:val="none" w:sz="0" w:space="0" w:color="auto"/>
        <w:right w:val="none" w:sz="0" w:space="0" w:color="auto"/>
      </w:divBdr>
    </w:div>
    <w:div w:id="644509819">
      <w:bodyDiv w:val="1"/>
      <w:marLeft w:val="0"/>
      <w:marRight w:val="0"/>
      <w:marTop w:val="0"/>
      <w:marBottom w:val="0"/>
      <w:divBdr>
        <w:top w:val="none" w:sz="0" w:space="0" w:color="auto"/>
        <w:left w:val="none" w:sz="0" w:space="0" w:color="auto"/>
        <w:bottom w:val="none" w:sz="0" w:space="0" w:color="auto"/>
        <w:right w:val="none" w:sz="0" w:space="0" w:color="auto"/>
      </w:divBdr>
    </w:div>
    <w:div w:id="651450133">
      <w:bodyDiv w:val="1"/>
      <w:marLeft w:val="0"/>
      <w:marRight w:val="0"/>
      <w:marTop w:val="0"/>
      <w:marBottom w:val="0"/>
      <w:divBdr>
        <w:top w:val="none" w:sz="0" w:space="0" w:color="auto"/>
        <w:left w:val="none" w:sz="0" w:space="0" w:color="auto"/>
        <w:bottom w:val="none" w:sz="0" w:space="0" w:color="auto"/>
        <w:right w:val="none" w:sz="0" w:space="0" w:color="auto"/>
      </w:divBdr>
    </w:div>
    <w:div w:id="652102913">
      <w:bodyDiv w:val="1"/>
      <w:marLeft w:val="0"/>
      <w:marRight w:val="0"/>
      <w:marTop w:val="0"/>
      <w:marBottom w:val="0"/>
      <w:divBdr>
        <w:top w:val="none" w:sz="0" w:space="0" w:color="auto"/>
        <w:left w:val="none" w:sz="0" w:space="0" w:color="auto"/>
        <w:bottom w:val="none" w:sz="0" w:space="0" w:color="auto"/>
        <w:right w:val="none" w:sz="0" w:space="0" w:color="auto"/>
      </w:divBdr>
    </w:div>
    <w:div w:id="652561677">
      <w:bodyDiv w:val="1"/>
      <w:marLeft w:val="0"/>
      <w:marRight w:val="0"/>
      <w:marTop w:val="0"/>
      <w:marBottom w:val="0"/>
      <w:divBdr>
        <w:top w:val="none" w:sz="0" w:space="0" w:color="auto"/>
        <w:left w:val="none" w:sz="0" w:space="0" w:color="auto"/>
        <w:bottom w:val="none" w:sz="0" w:space="0" w:color="auto"/>
        <w:right w:val="none" w:sz="0" w:space="0" w:color="auto"/>
      </w:divBdr>
    </w:div>
    <w:div w:id="652563035">
      <w:bodyDiv w:val="1"/>
      <w:marLeft w:val="0"/>
      <w:marRight w:val="0"/>
      <w:marTop w:val="0"/>
      <w:marBottom w:val="0"/>
      <w:divBdr>
        <w:top w:val="none" w:sz="0" w:space="0" w:color="auto"/>
        <w:left w:val="none" w:sz="0" w:space="0" w:color="auto"/>
        <w:bottom w:val="none" w:sz="0" w:space="0" w:color="auto"/>
        <w:right w:val="none" w:sz="0" w:space="0" w:color="auto"/>
      </w:divBdr>
    </w:div>
    <w:div w:id="653267421">
      <w:bodyDiv w:val="1"/>
      <w:marLeft w:val="0"/>
      <w:marRight w:val="0"/>
      <w:marTop w:val="0"/>
      <w:marBottom w:val="0"/>
      <w:divBdr>
        <w:top w:val="none" w:sz="0" w:space="0" w:color="auto"/>
        <w:left w:val="none" w:sz="0" w:space="0" w:color="auto"/>
        <w:bottom w:val="none" w:sz="0" w:space="0" w:color="auto"/>
        <w:right w:val="none" w:sz="0" w:space="0" w:color="auto"/>
      </w:divBdr>
    </w:div>
    <w:div w:id="653804455">
      <w:bodyDiv w:val="1"/>
      <w:marLeft w:val="0"/>
      <w:marRight w:val="0"/>
      <w:marTop w:val="0"/>
      <w:marBottom w:val="0"/>
      <w:divBdr>
        <w:top w:val="none" w:sz="0" w:space="0" w:color="auto"/>
        <w:left w:val="none" w:sz="0" w:space="0" w:color="auto"/>
        <w:bottom w:val="none" w:sz="0" w:space="0" w:color="auto"/>
        <w:right w:val="none" w:sz="0" w:space="0" w:color="auto"/>
      </w:divBdr>
    </w:div>
    <w:div w:id="654722599">
      <w:bodyDiv w:val="1"/>
      <w:marLeft w:val="0"/>
      <w:marRight w:val="0"/>
      <w:marTop w:val="0"/>
      <w:marBottom w:val="0"/>
      <w:divBdr>
        <w:top w:val="none" w:sz="0" w:space="0" w:color="auto"/>
        <w:left w:val="none" w:sz="0" w:space="0" w:color="auto"/>
        <w:bottom w:val="none" w:sz="0" w:space="0" w:color="auto"/>
        <w:right w:val="none" w:sz="0" w:space="0" w:color="auto"/>
      </w:divBdr>
    </w:div>
    <w:div w:id="655501603">
      <w:bodyDiv w:val="1"/>
      <w:marLeft w:val="0"/>
      <w:marRight w:val="0"/>
      <w:marTop w:val="0"/>
      <w:marBottom w:val="0"/>
      <w:divBdr>
        <w:top w:val="none" w:sz="0" w:space="0" w:color="auto"/>
        <w:left w:val="none" w:sz="0" w:space="0" w:color="auto"/>
        <w:bottom w:val="none" w:sz="0" w:space="0" w:color="auto"/>
        <w:right w:val="none" w:sz="0" w:space="0" w:color="auto"/>
      </w:divBdr>
    </w:div>
    <w:div w:id="660430939">
      <w:bodyDiv w:val="1"/>
      <w:marLeft w:val="0"/>
      <w:marRight w:val="0"/>
      <w:marTop w:val="0"/>
      <w:marBottom w:val="0"/>
      <w:divBdr>
        <w:top w:val="none" w:sz="0" w:space="0" w:color="auto"/>
        <w:left w:val="none" w:sz="0" w:space="0" w:color="auto"/>
        <w:bottom w:val="none" w:sz="0" w:space="0" w:color="auto"/>
        <w:right w:val="none" w:sz="0" w:space="0" w:color="auto"/>
      </w:divBdr>
    </w:div>
    <w:div w:id="668020398">
      <w:bodyDiv w:val="1"/>
      <w:marLeft w:val="0"/>
      <w:marRight w:val="0"/>
      <w:marTop w:val="0"/>
      <w:marBottom w:val="0"/>
      <w:divBdr>
        <w:top w:val="none" w:sz="0" w:space="0" w:color="auto"/>
        <w:left w:val="none" w:sz="0" w:space="0" w:color="auto"/>
        <w:bottom w:val="none" w:sz="0" w:space="0" w:color="auto"/>
        <w:right w:val="none" w:sz="0" w:space="0" w:color="auto"/>
      </w:divBdr>
    </w:div>
    <w:div w:id="668405581">
      <w:bodyDiv w:val="1"/>
      <w:marLeft w:val="0"/>
      <w:marRight w:val="0"/>
      <w:marTop w:val="0"/>
      <w:marBottom w:val="0"/>
      <w:divBdr>
        <w:top w:val="none" w:sz="0" w:space="0" w:color="auto"/>
        <w:left w:val="none" w:sz="0" w:space="0" w:color="auto"/>
        <w:bottom w:val="none" w:sz="0" w:space="0" w:color="auto"/>
        <w:right w:val="none" w:sz="0" w:space="0" w:color="auto"/>
      </w:divBdr>
    </w:div>
    <w:div w:id="669255264">
      <w:bodyDiv w:val="1"/>
      <w:marLeft w:val="0"/>
      <w:marRight w:val="0"/>
      <w:marTop w:val="0"/>
      <w:marBottom w:val="0"/>
      <w:divBdr>
        <w:top w:val="none" w:sz="0" w:space="0" w:color="auto"/>
        <w:left w:val="none" w:sz="0" w:space="0" w:color="auto"/>
        <w:bottom w:val="none" w:sz="0" w:space="0" w:color="auto"/>
        <w:right w:val="none" w:sz="0" w:space="0" w:color="auto"/>
      </w:divBdr>
    </w:div>
    <w:div w:id="672495946">
      <w:bodyDiv w:val="1"/>
      <w:marLeft w:val="0"/>
      <w:marRight w:val="0"/>
      <w:marTop w:val="0"/>
      <w:marBottom w:val="0"/>
      <w:divBdr>
        <w:top w:val="none" w:sz="0" w:space="0" w:color="auto"/>
        <w:left w:val="none" w:sz="0" w:space="0" w:color="auto"/>
        <w:bottom w:val="none" w:sz="0" w:space="0" w:color="auto"/>
        <w:right w:val="none" w:sz="0" w:space="0" w:color="auto"/>
      </w:divBdr>
    </w:div>
    <w:div w:id="678238674">
      <w:bodyDiv w:val="1"/>
      <w:marLeft w:val="0"/>
      <w:marRight w:val="0"/>
      <w:marTop w:val="0"/>
      <w:marBottom w:val="0"/>
      <w:divBdr>
        <w:top w:val="none" w:sz="0" w:space="0" w:color="auto"/>
        <w:left w:val="none" w:sz="0" w:space="0" w:color="auto"/>
        <w:bottom w:val="none" w:sz="0" w:space="0" w:color="auto"/>
        <w:right w:val="none" w:sz="0" w:space="0" w:color="auto"/>
      </w:divBdr>
    </w:div>
    <w:div w:id="680351287">
      <w:bodyDiv w:val="1"/>
      <w:marLeft w:val="0"/>
      <w:marRight w:val="0"/>
      <w:marTop w:val="0"/>
      <w:marBottom w:val="0"/>
      <w:divBdr>
        <w:top w:val="none" w:sz="0" w:space="0" w:color="auto"/>
        <w:left w:val="none" w:sz="0" w:space="0" w:color="auto"/>
        <w:bottom w:val="none" w:sz="0" w:space="0" w:color="auto"/>
        <w:right w:val="none" w:sz="0" w:space="0" w:color="auto"/>
      </w:divBdr>
    </w:div>
    <w:div w:id="681132761">
      <w:bodyDiv w:val="1"/>
      <w:marLeft w:val="0"/>
      <w:marRight w:val="0"/>
      <w:marTop w:val="0"/>
      <w:marBottom w:val="0"/>
      <w:divBdr>
        <w:top w:val="none" w:sz="0" w:space="0" w:color="auto"/>
        <w:left w:val="none" w:sz="0" w:space="0" w:color="auto"/>
        <w:bottom w:val="none" w:sz="0" w:space="0" w:color="auto"/>
        <w:right w:val="none" w:sz="0" w:space="0" w:color="auto"/>
      </w:divBdr>
    </w:div>
    <w:div w:id="681784257">
      <w:bodyDiv w:val="1"/>
      <w:marLeft w:val="0"/>
      <w:marRight w:val="0"/>
      <w:marTop w:val="0"/>
      <w:marBottom w:val="0"/>
      <w:divBdr>
        <w:top w:val="none" w:sz="0" w:space="0" w:color="auto"/>
        <w:left w:val="none" w:sz="0" w:space="0" w:color="auto"/>
        <w:bottom w:val="none" w:sz="0" w:space="0" w:color="auto"/>
        <w:right w:val="none" w:sz="0" w:space="0" w:color="auto"/>
      </w:divBdr>
    </w:div>
    <w:div w:id="681931636">
      <w:bodyDiv w:val="1"/>
      <w:marLeft w:val="0"/>
      <w:marRight w:val="0"/>
      <w:marTop w:val="0"/>
      <w:marBottom w:val="0"/>
      <w:divBdr>
        <w:top w:val="none" w:sz="0" w:space="0" w:color="auto"/>
        <w:left w:val="none" w:sz="0" w:space="0" w:color="auto"/>
        <w:bottom w:val="none" w:sz="0" w:space="0" w:color="auto"/>
        <w:right w:val="none" w:sz="0" w:space="0" w:color="auto"/>
      </w:divBdr>
    </w:div>
    <w:div w:id="690909727">
      <w:bodyDiv w:val="1"/>
      <w:marLeft w:val="0"/>
      <w:marRight w:val="0"/>
      <w:marTop w:val="0"/>
      <w:marBottom w:val="0"/>
      <w:divBdr>
        <w:top w:val="none" w:sz="0" w:space="0" w:color="auto"/>
        <w:left w:val="none" w:sz="0" w:space="0" w:color="auto"/>
        <w:bottom w:val="none" w:sz="0" w:space="0" w:color="auto"/>
        <w:right w:val="none" w:sz="0" w:space="0" w:color="auto"/>
      </w:divBdr>
    </w:div>
    <w:div w:id="693189382">
      <w:bodyDiv w:val="1"/>
      <w:marLeft w:val="0"/>
      <w:marRight w:val="0"/>
      <w:marTop w:val="0"/>
      <w:marBottom w:val="0"/>
      <w:divBdr>
        <w:top w:val="none" w:sz="0" w:space="0" w:color="auto"/>
        <w:left w:val="none" w:sz="0" w:space="0" w:color="auto"/>
        <w:bottom w:val="none" w:sz="0" w:space="0" w:color="auto"/>
        <w:right w:val="none" w:sz="0" w:space="0" w:color="auto"/>
      </w:divBdr>
    </w:div>
    <w:div w:id="697311718">
      <w:bodyDiv w:val="1"/>
      <w:marLeft w:val="0"/>
      <w:marRight w:val="0"/>
      <w:marTop w:val="0"/>
      <w:marBottom w:val="0"/>
      <w:divBdr>
        <w:top w:val="none" w:sz="0" w:space="0" w:color="auto"/>
        <w:left w:val="none" w:sz="0" w:space="0" w:color="auto"/>
        <w:bottom w:val="none" w:sz="0" w:space="0" w:color="auto"/>
        <w:right w:val="none" w:sz="0" w:space="0" w:color="auto"/>
      </w:divBdr>
    </w:div>
    <w:div w:id="698045133">
      <w:bodyDiv w:val="1"/>
      <w:marLeft w:val="0"/>
      <w:marRight w:val="0"/>
      <w:marTop w:val="0"/>
      <w:marBottom w:val="0"/>
      <w:divBdr>
        <w:top w:val="none" w:sz="0" w:space="0" w:color="auto"/>
        <w:left w:val="none" w:sz="0" w:space="0" w:color="auto"/>
        <w:bottom w:val="none" w:sz="0" w:space="0" w:color="auto"/>
        <w:right w:val="none" w:sz="0" w:space="0" w:color="auto"/>
      </w:divBdr>
    </w:div>
    <w:div w:id="698354352">
      <w:bodyDiv w:val="1"/>
      <w:marLeft w:val="0"/>
      <w:marRight w:val="0"/>
      <w:marTop w:val="0"/>
      <w:marBottom w:val="0"/>
      <w:divBdr>
        <w:top w:val="none" w:sz="0" w:space="0" w:color="auto"/>
        <w:left w:val="none" w:sz="0" w:space="0" w:color="auto"/>
        <w:bottom w:val="none" w:sz="0" w:space="0" w:color="auto"/>
        <w:right w:val="none" w:sz="0" w:space="0" w:color="auto"/>
      </w:divBdr>
    </w:div>
    <w:div w:id="702099383">
      <w:bodyDiv w:val="1"/>
      <w:marLeft w:val="0"/>
      <w:marRight w:val="0"/>
      <w:marTop w:val="0"/>
      <w:marBottom w:val="0"/>
      <w:divBdr>
        <w:top w:val="none" w:sz="0" w:space="0" w:color="auto"/>
        <w:left w:val="none" w:sz="0" w:space="0" w:color="auto"/>
        <w:bottom w:val="none" w:sz="0" w:space="0" w:color="auto"/>
        <w:right w:val="none" w:sz="0" w:space="0" w:color="auto"/>
      </w:divBdr>
    </w:div>
    <w:div w:id="707292384">
      <w:bodyDiv w:val="1"/>
      <w:marLeft w:val="0"/>
      <w:marRight w:val="0"/>
      <w:marTop w:val="0"/>
      <w:marBottom w:val="0"/>
      <w:divBdr>
        <w:top w:val="none" w:sz="0" w:space="0" w:color="auto"/>
        <w:left w:val="none" w:sz="0" w:space="0" w:color="auto"/>
        <w:bottom w:val="none" w:sz="0" w:space="0" w:color="auto"/>
        <w:right w:val="none" w:sz="0" w:space="0" w:color="auto"/>
      </w:divBdr>
    </w:div>
    <w:div w:id="708451514">
      <w:bodyDiv w:val="1"/>
      <w:marLeft w:val="0"/>
      <w:marRight w:val="0"/>
      <w:marTop w:val="0"/>
      <w:marBottom w:val="0"/>
      <w:divBdr>
        <w:top w:val="none" w:sz="0" w:space="0" w:color="auto"/>
        <w:left w:val="none" w:sz="0" w:space="0" w:color="auto"/>
        <w:bottom w:val="none" w:sz="0" w:space="0" w:color="auto"/>
        <w:right w:val="none" w:sz="0" w:space="0" w:color="auto"/>
      </w:divBdr>
    </w:div>
    <w:div w:id="709915215">
      <w:bodyDiv w:val="1"/>
      <w:marLeft w:val="0"/>
      <w:marRight w:val="0"/>
      <w:marTop w:val="0"/>
      <w:marBottom w:val="0"/>
      <w:divBdr>
        <w:top w:val="none" w:sz="0" w:space="0" w:color="auto"/>
        <w:left w:val="none" w:sz="0" w:space="0" w:color="auto"/>
        <w:bottom w:val="none" w:sz="0" w:space="0" w:color="auto"/>
        <w:right w:val="none" w:sz="0" w:space="0" w:color="auto"/>
      </w:divBdr>
    </w:div>
    <w:div w:id="712192879">
      <w:bodyDiv w:val="1"/>
      <w:marLeft w:val="0"/>
      <w:marRight w:val="0"/>
      <w:marTop w:val="0"/>
      <w:marBottom w:val="0"/>
      <w:divBdr>
        <w:top w:val="none" w:sz="0" w:space="0" w:color="auto"/>
        <w:left w:val="none" w:sz="0" w:space="0" w:color="auto"/>
        <w:bottom w:val="none" w:sz="0" w:space="0" w:color="auto"/>
        <w:right w:val="none" w:sz="0" w:space="0" w:color="auto"/>
      </w:divBdr>
    </w:div>
    <w:div w:id="718943766">
      <w:bodyDiv w:val="1"/>
      <w:marLeft w:val="0"/>
      <w:marRight w:val="0"/>
      <w:marTop w:val="0"/>
      <w:marBottom w:val="0"/>
      <w:divBdr>
        <w:top w:val="none" w:sz="0" w:space="0" w:color="auto"/>
        <w:left w:val="none" w:sz="0" w:space="0" w:color="auto"/>
        <w:bottom w:val="none" w:sz="0" w:space="0" w:color="auto"/>
        <w:right w:val="none" w:sz="0" w:space="0" w:color="auto"/>
      </w:divBdr>
    </w:div>
    <w:div w:id="719405396">
      <w:bodyDiv w:val="1"/>
      <w:marLeft w:val="0"/>
      <w:marRight w:val="0"/>
      <w:marTop w:val="0"/>
      <w:marBottom w:val="0"/>
      <w:divBdr>
        <w:top w:val="none" w:sz="0" w:space="0" w:color="auto"/>
        <w:left w:val="none" w:sz="0" w:space="0" w:color="auto"/>
        <w:bottom w:val="none" w:sz="0" w:space="0" w:color="auto"/>
        <w:right w:val="none" w:sz="0" w:space="0" w:color="auto"/>
      </w:divBdr>
    </w:div>
    <w:div w:id="721561811">
      <w:bodyDiv w:val="1"/>
      <w:marLeft w:val="0"/>
      <w:marRight w:val="0"/>
      <w:marTop w:val="0"/>
      <w:marBottom w:val="0"/>
      <w:divBdr>
        <w:top w:val="none" w:sz="0" w:space="0" w:color="auto"/>
        <w:left w:val="none" w:sz="0" w:space="0" w:color="auto"/>
        <w:bottom w:val="none" w:sz="0" w:space="0" w:color="auto"/>
        <w:right w:val="none" w:sz="0" w:space="0" w:color="auto"/>
      </w:divBdr>
    </w:div>
    <w:div w:id="722605478">
      <w:bodyDiv w:val="1"/>
      <w:marLeft w:val="0"/>
      <w:marRight w:val="0"/>
      <w:marTop w:val="0"/>
      <w:marBottom w:val="0"/>
      <w:divBdr>
        <w:top w:val="none" w:sz="0" w:space="0" w:color="auto"/>
        <w:left w:val="none" w:sz="0" w:space="0" w:color="auto"/>
        <w:bottom w:val="none" w:sz="0" w:space="0" w:color="auto"/>
        <w:right w:val="none" w:sz="0" w:space="0" w:color="auto"/>
      </w:divBdr>
    </w:div>
    <w:div w:id="727801912">
      <w:bodyDiv w:val="1"/>
      <w:marLeft w:val="0"/>
      <w:marRight w:val="0"/>
      <w:marTop w:val="0"/>
      <w:marBottom w:val="0"/>
      <w:divBdr>
        <w:top w:val="none" w:sz="0" w:space="0" w:color="auto"/>
        <w:left w:val="none" w:sz="0" w:space="0" w:color="auto"/>
        <w:bottom w:val="none" w:sz="0" w:space="0" w:color="auto"/>
        <w:right w:val="none" w:sz="0" w:space="0" w:color="auto"/>
      </w:divBdr>
    </w:div>
    <w:div w:id="740756172">
      <w:bodyDiv w:val="1"/>
      <w:marLeft w:val="0"/>
      <w:marRight w:val="0"/>
      <w:marTop w:val="0"/>
      <w:marBottom w:val="0"/>
      <w:divBdr>
        <w:top w:val="none" w:sz="0" w:space="0" w:color="auto"/>
        <w:left w:val="none" w:sz="0" w:space="0" w:color="auto"/>
        <w:bottom w:val="none" w:sz="0" w:space="0" w:color="auto"/>
        <w:right w:val="none" w:sz="0" w:space="0" w:color="auto"/>
      </w:divBdr>
    </w:div>
    <w:div w:id="741833765">
      <w:bodyDiv w:val="1"/>
      <w:marLeft w:val="0"/>
      <w:marRight w:val="0"/>
      <w:marTop w:val="0"/>
      <w:marBottom w:val="0"/>
      <w:divBdr>
        <w:top w:val="none" w:sz="0" w:space="0" w:color="auto"/>
        <w:left w:val="none" w:sz="0" w:space="0" w:color="auto"/>
        <w:bottom w:val="none" w:sz="0" w:space="0" w:color="auto"/>
        <w:right w:val="none" w:sz="0" w:space="0" w:color="auto"/>
      </w:divBdr>
    </w:div>
    <w:div w:id="746994788">
      <w:bodyDiv w:val="1"/>
      <w:marLeft w:val="0"/>
      <w:marRight w:val="0"/>
      <w:marTop w:val="0"/>
      <w:marBottom w:val="0"/>
      <w:divBdr>
        <w:top w:val="none" w:sz="0" w:space="0" w:color="auto"/>
        <w:left w:val="none" w:sz="0" w:space="0" w:color="auto"/>
        <w:bottom w:val="none" w:sz="0" w:space="0" w:color="auto"/>
        <w:right w:val="none" w:sz="0" w:space="0" w:color="auto"/>
      </w:divBdr>
    </w:div>
    <w:div w:id="747076682">
      <w:bodyDiv w:val="1"/>
      <w:marLeft w:val="0"/>
      <w:marRight w:val="0"/>
      <w:marTop w:val="0"/>
      <w:marBottom w:val="0"/>
      <w:divBdr>
        <w:top w:val="none" w:sz="0" w:space="0" w:color="auto"/>
        <w:left w:val="none" w:sz="0" w:space="0" w:color="auto"/>
        <w:bottom w:val="none" w:sz="0" w:space="0" w:color="auto"/>
        <w:right w:val="none" w:sz="0" w:space="0" w:color="auto"/>
      </w:divBdr>
    </w:div>
    <w:div w:id="747921019">
      <w:bodyDiv w:val="1"/>
      <w:marLeft w:val="0"/>
      <w:marRight w:val="0"/>
      <w:marTop w:val="0"/>
      <w:marBottom w:val="0"/>
      <w:divBdr>
        <w:top w:val="none" w:sz="0" w:space="0" w:color="auto"/>
        <w:left w:val="none" w:sz="0" w:space="0" w:color="auto"/>
        <w:bottom w:val="none" w:sz="0" w:space="0" w:color="auto"/>
        <w:right w:val="none" w:sz="0" w:space="0" w:color="auto"/>
      </w:divBdr>
    </w:div>
    <w:div w:id="749349219">
      <w:bodyDiv w:val="1"/>
      <w:marLeft w:val="0"/>
      <w:marRight w:val="0"/>
      <w:marTop w:val="0"/>
      <w:marBottom w:val="0"/>
      <w:divBdr>
        <w:top w:val="none" w:sz="0" w:space="0" w:color="auto"/>
        <w:left w:val="none" w:sz="0" w:space="0" w:color="auto"/>
        <w:bottom w:val="none" w:sz="0" w:space="0" w:color="auto"/>
        <w:right w:val="none" w:sz="0" w:space="0" w:color="auto"/>
      </w:divBdr>
    </w:div>
    <w:div w:id="750197342">
      <w:bodyDiv w:val="1"/>
      <w:marLeft w:val="0"/>
      <w:marRight w:val="0"/>
      <w:marTop w:val="0"/>
      <w:marBottom w:val="0"/>
      <w:divBdr>
        <w:top w:val="none" w:sz="0" w:space="0" w:color="auto"/>
        <w:left w:val="none" w:sz="0" w:space="0" w:color="auto"/>
        <w:bottom w:val="none" w:sz="0" w:space="0" w:color="auto"/>
        <w:right w:val="none" w:sz="0" w:space="0" w:color="auto"/>
      </w:divBdr>
    </w:div>
    <w:div w:id="751972038">
      <w:bodyDiv w:val="1"/>
      <w:marLeft w:val="0"/>
      <w:marRight w:val="0"/>
      <w:marTop w:val="0"/>
      <w:marBottom w:val="0"/>
      <w:divBdr>
        <w:top w:val="none" w:sz="0" w:space="0" w:color="auto"/>
        <w:left w:val="none" w:sz="0" w:space="0" w:color="auto"/>
        <w:bottom w:val="none" w:sz="0" w:space="0" w:color="auto"/>
        <w:right w:val="none" w:sz="0" w:space="0" w:color="auto"/>
      </w:divBdr>
    </w:div>
    <w:div w:id="753743384">
      <w:bodyDiv w:val="1"/>
      <w:marLeft w:val="0"/>
      <w:marRight w:val="0"/>
      <w:marTop w:val="0"/>
      <w:marBottom w:val="0"/>
      <w:divBdr>
        <w:top w:val="none" w:sz="0" w:space="0" w:color="auto"/>
        <w:left w:val="none" w:sz="0" w:space="0" w:color="auto"/>
        <w:bottom w:val="none" w:sz="0" w:space="0" w:color="auto"/>
        <w:right w:val="none" w:sz="0" w:space="0" w:color="auto"/>
      </w:divBdr>
    </w:div>
    <w:div w:id="753939715">
      <w:bodyDiv w:val="1"/>
      <w:marLeft w:val="0"/>
      <w:marRight w:val="0"/>
      <w:marTop w:val="0"/>
      <w:marBottom w:val="0"/>
      <w:divBdr>
        <w:top w:val="none" w:sz="0" w:space="0" w:color="auto"/>
        <w:left w:val="none" w:sz="0" w:space="0" w:color="auto"/>
        <w:bottom w:val="none" w:sz="0" w:space="0" w:color="auto"/>
        <w:right w:val="none" w:sz="0" w:space="0" w:color="auto"/>
      </w:divBdr>
    </w:div>
    <w:div w:id="754472480">
      <w:bodyDiv w:val="1"/>
      <w:marLeft w:val="0"/>
      <w:marRight w:val="0"/>
      <w:marTop w:val="0"/>
      <w:marBottom w:val="0"/>
      <w:divBdr>
        <w:top w:val="none" w:sz="0" w:space="0" w:color="auto"/>
        <w:left w:val="none" w:sz="0" w:space="0" w:color="auto"/>
        <w:bottom w:val="none" w:sz="0" w:space="0" w:color="auto"/>
        <w:right w:val="none" w:sz="0" w:space="0" w:color="auto"/>
      </w:divBdr>
    </w:div>
    <w:div w:id="754941710">
      <w:bodyDiv w:val="1"/>
      <w:marLeft w:val="0"/>
      <w:marRight w:val="0"/>
      <w:marTop w:val="0"/>
      <w:marBottom w:val="0"/>
      <w:divBdr>
        <w:top w:val="none" w:sz="0" w:space="0" w:color="auto"/>
        <w:left w:val="none" w:sz="0" w:space="0" w:color="auto"/>
        <w:bottom w:val="none" w:sz="0" w:space="0" w:color="auto"/>
        <w:right w:val="none" w:sz="0" w:space="0" w:color="auto"/>
      </w:divBdr>
    </w:div>
    <w:div w:id="754979707">
      <w:bodyDiv w:val="1"/>
      <w:marLeft w:val="0"/>
      <w:marRight w:val="0"/>
      <w:marTop w:val="0"/>
      <w:marBottom w:val="0"/>
      <w:divBdr>
        <w:top w:val="none" w:sz="0" w:space="0" w:color="auto"/>
        <w:left w:val="none" w:sz="0" w:space="0" w:color="auto"/>
        <w:bottom w:val="none" w:sz="0" w:space="0" w:color="auto"/>
        <w:right w:val="none" w:sz="0" w:space="0" w:color="auto"/>
      </w:divBdr>
    </w:div>
    <w:div w:id="762260000">
      <w:bodyDiv w:val="1"/>
      <w:marLeft w:val="0"/>
      <w:marRight w:val="0"/>
      <w:marTop w:val="0"/>
      <w:marBottom w:val="0"/>
      <w:divBdr>
        <w:top w:val="none" w:sz="0" w:space="0" w:color="auto"/>
        <w:left w:val="none" w:sz="0" w:space="0" w:color="auto"/>
        <w:bottom w:val="none" w:sz="0" w:space="0" w:color="auto"/>
        <w:right w:val="none" w:sz="0" w:space="0" w:color="auto"/>
      </w:divBdr>
    </w:div>
    <w:div w:id="762454013">
      <w:bodyDiv w:val="1"/>
      <w:marLeft w:val="0"/>
      <w:marRight w:val="0"/>
      <w:marTop w:val="0"/>
      <w:marBottom w:val="0"/>
      <w:divBdr>
        <w:top w:val="none" w:sz="0" w:space="0" w:color="auto"/>
        <w:left w:val="none" w:sz="0" w:space="0" w:color="auto"/>
        <w:bottom w:val="none" w:sz="0" w:space="0" w:color="auto"/>
        <w:right w:val="none" w:sz="0" w:space="0" w:color="auto"/>
      </w:divBdr>
    </w:div>
    <w:div w:id="767852199">
      <w:bodyDiv w:val="1"/>
      <w:marLeft w:val="0"/>
      <w:marRight w:val="0"/>
      <w:marTop w:val="0"/>
      <w:marBottom w:val="0"/>
      <w:divBdr>
        <w:top w:val="none" w:sz="0" w:space="0" w:color="auto"/>
        <w:left w:val="none" w:sz="0" w:space="0" w:color="auto"/>
        <w:bottom w:val="none" w:sz="0" w:space="0" w:color="auto"/>
        <w:right w:val="none" w:sz="0" w:space="0" w:color="auto"/>
      </w:divBdr>
    </w:div>
    <w:div w:id="767970494">
      <w:bodyDiv w:val="1"/>
      <w:marLeft w:val="0"/>
      <w:marRight w:val="0"/>
      <w:marTop w:val="0"/>
      <w:marBottom w:val="0"/>
      <w:divBdr>
        <w:top w:val="none" w:sz="0" w:space="0" w:color="auto"/>
        <w:left w:val="none" w:sz="0" w:space="0" w:color="auto"/>
        <w:bottom w:val="none" w:sz="0" w:space="0" w:color="auto"/>
        <w:right w:val="none" w:sz="0" w:space="0" w:color="auto"/>
      </w:divBdr>
    </w:div>
    <w:div w:id="770856505">
      <w:bodyDiv w:val="1"/>
      <w:marLeft w:val="0"/>
      <w:marRight w:val="0"/>
      <w:marTop w:val="0"/>
      <w:marBottom w:val="0"/>
      <w:divBdr>
        <w:top w:val="none" w:sz="0" w:space="0" w:color="auto"/>
        <w:left w:val="none" w:sz="0" w:space="0" w:color="auto"/>
        <w:bottom w:val="none" w:sz="0" w:space="0" w:color="auto"/>
        <w:right w:val="none" w:sz="0" w:space="0" w:color="auto"/>
      </w:divBdr>
    </w:div>
    <w:div w:id="776481802">
      <w:bodyDiv w:val="1"/>
      <w:marLeft w:val="0"/>
      <w:marRight w:val="0"/>
      <w:marTop w:val="0"/>
      <w:marBottom w:val="0"/>
      <w:divBdr>
        <w:top w:val="none" w:sz="0" w:space="0" w:color="auto"/>
        <w:left w:val="none" w:sz="0" w:space="0" w:color="auto"/>
        <w:bottom w:val="none" w:sz="0" w:space="0" w:color="auto"/>
        <w:right w:val="none" w:sz="0" w:space="0" w:color="auto"/>
      </w:divBdr>
    </w:div>
    <w:div w:id="782918539">
      <w:bodyDiv w:val="1"/>
      <w:marLeft w:val="0"/>
      <w:marRight w:val="0"/>
      <w:marTop w:val="0"/>
      <w:marBottom w:val="0"/>
      <w:divBdr>
        <w:top w:val="none" w:sz="0" w:space="0" w:color="auto"/>
        <w:left w:val="none" w:sz="0" w:space="0" w:color="auto"/>
        <w:bottom w:val="none" w:sz="0" w:space="0" w:color="auto"/>
        <w:right w:val="none" w:sz="0" w:space="0" w:color="auto"/>
      </w:divBdr>
    </w:div>
    <w:div w:id="783427308">
      <w:bodyDiv w:val="1"/>
      <w:marLeft w:val="0"/>
      <w:marRight w:val="0"/>
      <w:marTop w:val="0"/>
      <w:marBottom w:val="0"/>
      <w:divBdr>
        <w:top w:val="none" w:sz="0" w:space="0" w:color="auto"/>
        <w:left w:val="none" w:sz="0" w:space="0" w:color="auto"/>
        <w:bottom w:val="none" w:sz="0" w:space="0" w:color="auto"/>
        <w:right w:val="none" w:sz="0" w:space="0" w:color="auto"/>
      </w:divBdr>
    </w:div>
    <w:div w:id="786899066">
      <w:bodyDiv w:val="1"/>
      <w:marLeft w:val="0"/>
      <w:marRight w:val="0"/>
      <w:marTop w:val="0"/>
      <w:marBottom w:val="0"/>
      <w:divBdr>
        <w:top w:val="none" w:sz="0" w:space="0" w:color="auto"/>
        <w:left w:val="none" w:sz="0" w:space="0" w:color="auto"/>
        <w:bottom w:val="none" w:sz="0" w:space="0" w:color="auto"/>
        <w:right w:val="none" w:sz="0" w:space="0" w:color="auto"/>
      </w:divBdr>
    </w:div>
    <w:div w:id="788621657">
      <w:bodyDiv w:val="1"/>
      <w:marLeft w:val="0"/>
      <w:marRight w:val="0"/>
      <w:marTop w:val="0"/>
      <w:marBottom w:val="0"/>
      <w:divBdr>
        <w:top w:val="none" w:sz="0" w:space="0" w:color="auto"/>
        <w:left w:val="none" w:sz="0" w:space="0" w:color="auto"/>
        <w:bottom w:val="none" w:sz="0" w:space="0" w:color="auto"/>
        <w:right w:val="none" w:sz="0" w:space="0" w:color="auto"/>
      </w:divBdr>
    </w:div>
    <w:div w:id="791557051">
      <w:bodyDiv w:val="1"/>
      <w:marLeft w:val="0"/>
      <w:marRight w:val="0"/>
      <w:marTop w:val="0"/>
      <w:marBottom w:val="0"/>
      <w:divBdr>
        <w:top w:val="none" w:sz="0" w:space="0" w:color="auto"/>
        <w:left w:val="none" w:sz="0" w:space="0" w:color="auto"/>
        <w:bottom w:val="none" w:sz="0" w:space="0" w:color="auto"/>
        <w:right w:val="none" w:sz="0" w:space="0" w:color="auto"/>
      </w:divBdr>
    </w:div>
    <w:div w:id="792944525">
      <w:bodyDiv w:val="1"/>
      <w:marLeft w:val="0"/>
      <w:marRight w:val="0"/>
      <w:marTop w:val="0"/>
      <w:marBottom w:val="0"/>
      <w:divBdr>
        <w:top w:val="none" w:sz="0" w:space="0" w:color="auto"/>
        <w:left w:val="none" w:sz="0" w:space="0" w:color="auto"/>
        <w:bottom w:val="none" w:sz="0" w:space="0" w:color="auto"/>
        <w:right w:val="none" w:sz="0" w:space="0" w:color="auto"/>
      </w:divBdr>
    </w:div>
    <w:div w:id="793788148">
      <w:bodyDiv w:val="1"/>
      <w:marLeft w:val="0"/>
      <w:marRight w:val="0"/>
      <w:marTop w:val="0"/>
      <w:marBottom w:val="0"/>
      <w:divBdr>
        <w:top w:val="none" w:sz="0" w:space="0" w:color="auto"/>
        <w:left w:val="none" w:sz="0" w:space="0" w:color="auto"/>
        <w:bottom w:val="none" w:sz="0" w:space="0" w:color="auto"/>
        <w:right w:val="none" w:sz="0" w:space="0" w:color="auto"/>
      </w:divBdr>
    </w:div>
    <w:div w:id="795685593">
      <w:bodyDiv w:val="1"/>
      <w:marLeft w:val="0"/>
      <w:marRight w:val="0"/>
      <w:marTop w:val="0"/>
      <w:marBottom w:val="0"/>
      <w:divBdr>
        <w:top w:val="none" w:sz="0" w:space="0" w:color="auto"/>
        <w:left w:val="none" w:sz="0" w:space="0" w:color="auto"/>
        <w:bottom w:val="none" w:sz="0" w:space="0" w:color="auto"/>
        <w:right w:val="none" w:sz="0" w:space="0" w:color="auto"/>
      </w:divBdr>
    </w:div>
    <w:div w:id="796142801">
      <w:bodyDiv w:val="1"/>
      <w:marLeft w:val="0"/>
      <w:marRight w:val="0"/>
      <w:marTop w:val="0"/>
      <w:marBottom w:val="0"/>
      <w:divBdr>
        <w:top w:val="none" w:sz="0" w:space="0" w:color="auto"/>
        <w:left w:val="none" w:sz="0" w:space="0" w:color="auto"/>
        <w:bottom w:val="none" w:sz="0" w:space="0" w:color="auto"/>
        <w:right w:val="none" w:sz="0" w:space="0" w:color="auto"/>
      </w:divBdr>
    </w:div>
    <w:div w:id="798719840">
      <w:bodyDiv w:val="1"/>
      <w:marLeft w:val="0"/>
      <w:marRight w:val="0"/>
      <w:marTop w:val="0"/>
      <w:marBottom w:val="0"/>
      <w:divBdr>
        <w:top w:val="none" w:sz="0" w:space="0" w:color="auto"/>
        <w:left w:val="none" w:sz="0" w:space="0" w:color="auto"/>
        <w:bottom w:val="none" w:sz="0" w:space="0" w:color="auto"/>
        <w:right w:val="none" w:sz="0" w:space="0" w:color="auto"/>
      </w:divBdr>
    </w:div>
    <w:div w:id="799033571">
      <w:bodyDiv w:val="1"/>
      <w:marLeft w:val="0"/>
      <w:marRight w:val="0"/>
      <w:marTop w:val="0"/>
      <w:marBottom w:val="0"/>
      <w:divBdr>
        <w:top w:val="none" w:sz="0" w:space="0" w:color="auto"/>
        <w:left w:val="none" w:sz="0" w:space="0" w:color="auto"/>
        <w:bottom w:val="none" w:sz="0" w:space="0" w:color="auto"/>
        <w:right w:val="none" w:sz="0" w:space="0" w:color="auto"/>
      </w:divBdr>
    </w:div>
    <w:div w:id="799373402">
      <w:bodyDiv w:val="1"/>
      <w:marLeft w:val="0"/>
      <w:marRight w:val="0"/>
      <w:marTop w:val="0"/>
      <w:marBottom w:val="0"/>
      <w:divBdr>
        <w:top w:val="none" w:sz="0" w:space="0" w:color="auto"/>
        <w:left w:val="none" w:sz="0" w:space="0" w:color="auto"/>
        <w:bottom w:val="none" w:sz="0" w:space="0" w:color="auto"/>
        <w:right w:val="none" w:sz="0" w:space="0" w:color="auto"/>
      </w:divBdr>
    </w:div>
    <w:div w:id="799541423">
      <w:bodyDiv w:val="1"/>
      <w:marLeft w:val="0"/>
      <w:marRight w:val="0"/>
      <w:marTop w:val="0"/>
      <w:marBottom w:val="0"/>
      <w:divBdr>
        <w:top w:val="none" w:sz="0" w:space="0" w:color="auto"/>
        <w:left w:val="none" w:sz="0" w:space="0" w:color="auto"/>
        <w:bottom w:val="none" w:sz="0" w:space="0" w:color="auto"/>
        <w:right w:val="none" w:sz="0" w:space="0" w:color="auto"/>
      </w:divBdr>
    </w:div>
    <w:div w:id="802578973">
      <w:bodyDiv w:val="1"/>
      <w:marLeft w:val="0"/>
      <w:marRight w:val="0"/>
      <w:marTop w:val="0"/>
      <w:marBottom w:val="0"/>
      <w:divBdr>
        <w:top w:val="none" w:sz="0" w:space="0" w:color="auto"/>
        <w:left w:val="none" w:sz="0" w:space="0" w:color="auto"/>
        <w:bottom w:val="none" w:sz="0" w:space="0" w:color="auto"/>
        <w:right w:val="none" w:sz="0" w:space="0" w:color="auto"/>
      </w:divBdr>
    </w:div>
    <w:div w:id="805776745">
      <w:bodyDiv w:val="1"/>
      <w:marLeft w:val="0"/>
      <w:marRight w:val="0"/>
      <w:marTop w:val="0"/>
      <w:marBottom w:val="0"/>
      <w:divBdr>
        <w:top w:val="none" w:sz="0" w:space="0" w:color="auto"/>
        <w:left w:val="none" w:sz="0" w:space="0" w:color="auto"/>
        <w:bottom w:val="none" w:sz="0" w:space="0" w:color="auto"/>
        <w:right w:val="none" w:sz="0" w:space="0" w:color="auto"/>
      </w:divBdr>
    </w:div>
    <w:div w:id="810635062">
      <w:bodyDiv w:val="1"/>
      <w:marLeft w:val="0"/>
      <w:marRight w:val="0"/>
      <w:marTop w:val="0"/>
      <w:marBottom w:val="0"/>
      <w:divBdr>
        <w:top w:val="none" w:sz="0" w:space="0" w:color="auto"/>
        <w:left w:val="none" w:sz="0" w:space="0" w:color="auto"/>
        <w:bottom w:val="none" w:sz="0" w:space="0" w:color="auto"/>
        <w:right w:val="none" w:sz="0" w:space="0" w:color="auto"/>
      </w:divBdr>
    </w:div>
    <w:div w:id="814371856">
      <w:bodyDiv w:val="1"/>
      <w:marLeft w:val="0"/>
      <w:marRight w:val="0"/>
      <w:marTop w:val="0"/>
      <w:marBottom w:val="0"/>
      <w:divBdr>
        <w:top w:val="none" w:sz="0" w:space="0" w:color="auto"/>
        <w:left w:val="none" w:sz="0" w:space="0" w:color="auto"/>
        <w:bottom w:val="none" w:sz="0" w:space="0" w:color="auto"/>
        <w:right w:val="none" w:sz="0" w:space="0" w:color="auto"/>
      </w:divBdr>
    </w:div>
    <w:div w:id="815880775">
      <w:bodyDiv w:val="1"/>
      <w:marLeft w:val="0"/>
      <w:marRight w:val="0"/>
      <w:marTop w:val="0"/>
      <w:marBottom w:val="0"/>
      <w:divBdr>
        <w:top w:val="none" w:sz="0" w:space="0" w:color="auto"/>
        <w:left w:val="none" w:sz="0" w:space="0" w:color="auto"/>
        <w:bottom w:val="none" w:sz="0" w:space="0" w:color="auto"/>
        <w:right w:val="none" w:sz="0" w:space="0" w:color="auto"/>
      </w:divBdr>
    </w:div>
    <w:div w:id="820273858">
      <w:bodyDiv w:val="1"/>
      <w:marLeft w:val="0"/>
      <w:marRight w:val="0"/>
      <w:marTop w:val="0"/>
      <w:marBottom w:val="0"/>
      <w:divBdr>
        <w:top w:val="none" w:sz="0" w:space="0" w:color="auto"/>
        <w:left w:val="none" w:sz="0" w:space="0" w:color="auto"/>
        <w:bottom w:val="none" w:sz="0" w:space="0" w:color="auto"/>
        <w:right w:val="none" w:sz="0" w:space="0" w:color="auto"/>
      </w:divBdr>
    </w:div>
    <w:div w:id="822041561">
      <w:bodyDiv w:val="1"/>
      <w:marLeft w:val="0"/>
      <w:marRight w:val="0"/>
      <w:marTop w:val="0"/>
      <w:marBottom w:val="0"/>
      <w:divBdr>
        <w:top w:val="none" w:sz="0" w:space="0" w:color="auto"/>
        <w:left w:val="none" w:sz="0" w:space="0" w:color="auto"/>
        <w:bottom w:val="none" w:sz="0" w:space="0" w:color="auto"/>
        <w:right w:val="none" w:sz="0" w:space="0" w:color="auto"/>
      </w:divBdr>
    </w:div>
    <w:div w:id="822087500">
      <w:bodyDiv w:val="1"/>
      <w:marLeft w:val="0"/>
      <w:marRight w:val="0"/>
      <w:marTop w:val="0"/>
      <w:marBottom w:val="0"/>
      <w:divBdr>
        <w:top w:val="none" w:sz="0" w:space="0" w:color="auto"/>
        <w:left w:val="none" w:sz="0" w:space="0" w:color="auto"/>
        <w:bottom w:val="none" w:sz="0" w:space="0" w:color="auto"/>
        <w:right w:val="none" w:sz="0" w:space="0" w:color="auto"/>
      </w:divBdr>
    </w:div>
    <w:div w:id="824392076">
      <w:bodyDiv w:val="1"/>
      <w:marLeft w:val="0"/>
      <w:marRight w:val="0"/>
      <w:marTop w:val="0"/>
      <w:marBottom w:val="0"/>
      <w:divBdr>
        <w:top w:val="none" w:sz="0" w:space="0" w:color="auto"/>
        <w:left w:val="none" w:sz="0" w:space="0" w:color="auto"/>
        <w:bottom w:val="none" w:sz="0" w:space="0" w:color="auto"/>
        <w:right w:val="none" w:sz="0" w:space="0" w:color="auto"/>
      </w:divBdr>
    </w:div>
    <w:div w:id="827592981">
      <w:bodyDiv w:val="1"/>
      <w:marLeft w:val="0"/>
      <w:marRight w:val="0"/>
      <w:marTop w:val="0"/>
      <w:marBottom w:val="0"/>
      <w:divBdr>
        <w:top w:val="none" w:sz="0" w:space="0" w:color="auto"/>
        <w:left w:val="none" w:sz="0" w:space="0" w:color="auto"/>
        <w:bottom w:val="none" w:sz="0" w:space="0" w:color="auto"/>
        <w:right w:val="none" w:sz="0" w:space="0" w:color="auto"/>
      </w:divBdr>
    </w:div>
    <w:div w:id="830679567">
      <w:bodyDiv w:val="1"/>
      <w:marLeft w:val="0"/>
      <w:marRight w:val="0"/>
      <w:marTop w:val="0"/>
      <w:marBottom w:val="0"/>
      <w:divBdr>
        <w:top w:val="none" w:sz="0" w:space="0" w:color="auto"/>
        <w:left w:val="none" w:sz="0" w:space="0" w:color="auto"/>
        <w:bottom w:val="none" w:sz="0" w:space="0" w:color="auto"/>
        <w:right w:val="none" w:sz="0" w:space="0" w:color="auto"/>
      </w:divBdr>
    </w:div>
    <w:div w:id="833573115">
      <w:bodyDiv w:val="1"/>
      <w:marLeft w:val="0"/>
      <w:marRight w:val="0"/>
      <w:marTop w:val="0"/>
      <w:marBottom w:val="0"/>
      <w:divBdr>
        <w:top w:val="none" w:sz="0" w:space="0" w:color="auto"/>
        <w:left w:val="none" w:sz="0" w:space="0" w:color="auto"/>
        <w:bottom w:val="none" w:sz="0" w:space="0" w:color="auto"/>
        <w:right w:val="none" w:sz="0" w:space="0" w:color="auto"/>
      </w:divBdr>
    </w:div>
    <w:div w:id="840898914">
      <w:bodyDiv w:val="1"/>
      <w:marLeft w:val="0"/>
      <w:marRight w:val="0"/>
      <w:marTop w:val="0"/>
      <w:marBottom w:val="0"/>
      <w:divBdr>
        <w:top w:val="none" w:sz="0" w:space="0" w:color="auto"/>
        <w:left w:val="none" w:sz="0" w:space="0" w:color="auto"/>
        <w:bottom w:val="none" w:sz="0" w:space="0" w:color="auto"/>
        <w:right w:val="none" w:sz="0" w:space="0" w:color="auto"/>
      </w:divBdr>
    </w:div>
    <w:div w:id="841624805">
      <w:bodyDiv w:val="1"/>
      <w:marLeft w:val="0"/>
      <w:marRight w:val="0"/>
      <w:marTop w:val="0"/>
      <w:marBottom w:val="0"/>
      <w:divBdr>
        <w:top w:val="none" w:sz="0" w:space="0" w:color="auto"/>
        <w:left w:val="none" w:sz="0" w:space="0" w:color="auto"/>
        <w:bottom w:val="none" w:sz="0" w:space="0" w:color="auto"/>
        <w:right w:val="none" w:sz="0" w:space="0" w:color="auto"/>
      </w:divBdr>
    </w:div>
    <w:div w:id="843860405">
      <w:bodyDiv w:val="1"/>
      <w:marLeft w:val="0"/>
      <w:marRight w:val="0"/>
      <w:marTop w:val="0"/>
      <w:marBottom w:val="0"/>
      <w:divBdr>
        <w:top w:val="none" w:sz="0" w:space="0" w:color="auto"/>
        <w:left w:val="none" w:sz="0" w:space="0" w:color="auto"/>
        <w:bottom w:val="none" w:sz="0" w:space="0" w:color="auto"/>
        <w:right w:val="none" w:sz="0" w:space="0" w:color="auto"/>
      </w:divBdr>
    </w:div>
    <w:div w:id="844514584">
      <w:bodyDiv w:val="1"/>
      <w:marLeft w:val="0"/>
      <w:marRight w:val="0"/>
      <w:marTop w:val="0"/>
      <w:marBottom w:val="0"/>
      <w:divBdr>
        <w:top w:val="none" w:sz="0" w:space="0" w:color="auto"/>
        <w:left w:val="none" w:sz="0" w:space="0" w:color="auto"/>
        <w:bottom w:val="none" w:sz="0" w:space="0" w:color="auto"/>
        <w:right w:val="none" w:sz="0" w:space="0" w:color="auto"/>
      </w:divBdr>
    </w:div>
    <w:div w:id="850804468">
      <w:bodyDiv w:val="1"/>
      <w:marLeft w:val="0"/>
      <w:marRight w:val="0"/>
      <w:marTop w:val="0"/>
      <w:marBottom w:val="0"/>
      <w:divBdr>
        <w:top w:val="none" w:sz="0" w:space="0" w:color="auto"/>
        <w:left w:val="none" w:sz="0" w:space="0" w:color="auto"/>
        <w:bottom w:val="none" w:sz="0" w:space="0" w:color="auto"/>
        <w:right w:val="none" w:sz="0" w:space="0" w:color="auto"/>
      </w:divBdr>
    </w:div>
    <w:div w:id="850947781">
      <w:bodyDiv w:val="1"/>
      <w:marLeft w:val="0"/>
      <w:marRight w:val="0"/>
      <w:marTop w:val="0"/>
      <w:marBottom w:val="0"/>
      <w:divBdr>
        <w:top w:val="none" w:sz="0" w:space="0" w:color="auto"/>
        <w:left w:val="none" w:sz="0" w:space="0" w:color="auto"/>
        <w:bottom w:val="none" w:sz="0" w:space="0" w:color="auto"/>
        <w:right w:val="none" w:sz="0" w:space="0" w:color="auto"/>
      </w:divBdr>
    </w:div>
    <w:div w:id="851606543">
      <w:bodyDiv w:val="1"/>
      <w:marLeft w:val="0"/>
      <w:marRight w:val="0"/>
      <w:marTop w:val="0"/>
      <w:marBottom w:val="0"/>
      <w:divBdr>
        <w:top w:val="none" w:sz="0" w:space="0" w:color="auto"/>
        <w:left w:val="none" w:sz="0" w:space="0" w:color="auto"/>
        <w:bottom w:val="none" w:sz="0" w:space="0" w:color="auto"/>
        <w:right w:val="none" w:sz="0" w:space="0" w:color="auto"/>
      </w:divBdr>
    </w:div>
    <w:div w:id="852065467">
      <w:bodyDiv w:val="1"/>
      <w:marLeft w:val="0"/>
      <w:marRight w:val="0"/>
      <w:marTop w:val="0"/>
      <w:marBottom w:val="0"/>
      <w:divBdr>
        <w:top w:val="none" w:sz="0" w:space="0" w:color="auto"/>
        <w:left w:val="none" w:sz="0" w:space="0" w:color="auto"/>
        <w:bottom w:val="none" w:sz="0" w:space="0" w:color="auto"/>
        <w:right w:val="none" w:sz="0" w:space="0" w:color="auto"/>
      </w:divBdr>
    </w:div>
    <w:div w:id="852185201">
      <w:bodyDiv w:val="1"/>
      <w:marLeft w:val="0"/>
      <w:marRight w:val="0"/>
      <w:marTop w:val="0"/>
      <w:marBottom w:val="0"/>
      <w:divBdr>
        <w:top w:val="none" w:sz="0" w:space="0" w:color="auto"/>
        <w:left w:val="none" w:sz="0" w:space="0" w:color="auto"/>
        <w:bottom w:val="none" w:sz="0" w:space="0" w:color="auto"/>
        <w:right w:val="none" w:sz="0" w:space="0" w:color="auto"/>
      </w:divBdr>
    </w:div>
    <w:div w:id="853031404">
      <w:bodyDiv w:val="1"/>
      <w:marLeft w:val="0"/>
      <w:marRight w:val="0"/>
      <w:marTop w:val="0"/>
      <w:marBottom w:val="0"/>
      <w:divBdr>
        <w:top w:val="none" w:sz="0" w:space="0" w:color="auto"/>
        <w:left w:val="none" w:sz="0" w:space="0" w:color="auto"/>
        <w:bottom w:val="none" w:sz="0" w:space="0" w:color="auto"/>
        <w:right w:val="none" w:sz="0" w:space="0" w:color="auto"/>
      </w:divBdr>
    </w:div>
    <w:div w:id="855191411">
      <w:bodyDiv w:val="1"/>
      <w:marLeft w:val="0"/>
      <w:marRight w:val="0"/>
      <w:marTop w:val="0"/>
      <w:marBottom w:val="0"/>
      <w:divBdr>
        <w:top w:val="none" w:sz="0" w:space="0" w:color="auto"/>
        <w:left w:val="none" w:sz="0" w:space="0" w:color="auto"/>
        <w:bottom w:val="none" w:sz="0" w:space="0" w:color="auto"/>
        <w:right w:val="none" w:sz="0" w:space="0" w:color="auto"/>
      </w:divBdr>
    </w:div>
    <w:div w:id="862744233">
      <w:bodyDiv w:val="1"/>
      <w:marLeft w:val="0"/>
      <w:marRight w:val="0"/>
      <w:marTop w:val="0"/>
      <w:marBottom w:val="0"/>
      <w:divBdr>
        <w:top w:val="none" w:sz="0" w:space="0" w:color="auto"/>
        <w:left w:val="none" w:sz="0" w:space="0" w:color="auto"/>
        <w:bottom w:val="none" w:sz="0" w:space="0" w:color="auto"/>
        <w:right w:val="none" w:sz="0" w:space="0" w:color="auto"/>
      </w:divBdr>
    </w:div>
    <w:div w:id="869143733">
      <w:bodyDiv w:val="1"/>
      <w:marLeft w:val="0"/>
      <w:marRight w:val="0"/>
      <w:marTop w:val="0"/>
      <w:marBottom w:val="0"/>
      <w:divBdr>
        <w:top w:val="none" w:sz="0" w:space="0" w:color="auto"/>
        <w:left w:val="none" w:sz="0" w:space="0" w:color="auto"/>
        <w:bottom w:val="none" w:sz="0" w:space="0" w:color="auto"/>
        <w:right w:val="none" w:sz="0" w:space="0" w:color="auto"/>
      </w:divBdr>
    </w:div>
    <w:div w:id="869415606">
      <w:bodyDiv w:val="1"/>
      <w:marLeft w:val="0"/>
      <w:marRight w:val="0"/>
      <w:marTop w:val="0"/>
      <w:marBottom w:val="0"/>
      <w:divBdr>
        <w:top w:val="none" w:sz="0" w:space="0" w:color="auto"/>
        <w:left w:val="none" w:sz="0" w:space="0" w:color="auto"/>
        <w:bottom w:val="none" w:sz="0" w:space="0" w:color="auto"/>
        <w:right w:val="none" w:sz="0" w:space="0" w:color="auto"/>
      </w:divBdr>
    </w:div>
    <w:div w:id="870145771">
      <w:bodyDiv w:val="1"/>
      <w:marLeft w:val="0"/>
      <w:marRight w:val="0"/>
      <w:marTop w:val="0"/>
      <w:marBottom w:val="0"/>
      <w:divBdr>
        <w:top w:val="none" w:sz="0" w:space="0" w:color="auto"/>
        <w:left w:val="none" w:sz="0" w:space="0" w:color="auto"/>
        <w:bottom w:val="none" w:sz="0" w:space="0" w:color="auto"/>
        <w:right w:val="none" w:sz="0" w:space="0" w:color="auto"/>
      </w:divBdr>
    </w:div>
    <w:div w:id="870648207">
      <w:bodyDiv w:val="1"/>
      <w:marLeft w:val="0"/>
      <w:marRight w:val="0"/>
      <w:marTop w:val="0"/>
      <w:marBottom w:val="0"/>
      <w:divBdr>
        <w:top w:val="none" w:sz="0" w:space="0" w:color="auto"/>
        <w:left w:val="none" w:sz="0" w:space="0" w:color="auto"/>
        <w:bottom w:val="none" w:sz="0" w:space="0" w:color="auto"/>
        <w:right w:val="none" w:sz="0" w:space="0" w:color="auto"/>
      </w:divBdr>
    </w:div>
    <w:div w:id="871573632">
      <w:bodyDiv w:val="1"/>
      <w:marLeft w:val="0"/>
      <w:marRight w:val="0"/>
      <w:marTop w:val="0"/>
      <w:marBottom w:val="0"/>
      <w:divBdr>
        <w:top w:val="none" w:sz="0" w:space="0" w:color="auto"/>
        <w:left w:val="none" w:sz="0" w:space="0" w:color="auto"/>
        <w:bottom w:val="none" w:sz="0" w:space="0" w:color="auto"/>
        <w:right w:val="none" w:sz="0" w:space="0" w:color="auto"/>
      </w:divBdr>
    </w:div>
    <w:div w:id="871839481">
      <w:bodyDiv w:val="1"/>
      <w:marLeft w:val="0"/>
      <w:marRight w:val="0"/>
      <w:marTop w:val="0"/>
      <w:marBottom w:val="0"/>
      <w:divBdr>
        <w:top w:val="none" w:sz="0" w:space="0" w:color="auto"/>
        <w:left w:val="none" w:sz="0" w:space="0" w:color="auto"/>
        <w:bottom w:val="none" w:sz="0" w:space="0" w:color="auto"/>
        <w:right w:val="none" w:sz="0" w:space="0" w:color="auto"/>
      </w:divBdr>
    </w:div>
    <w:div w:id="873928018">
      <w:bodyDiv w:val="1"/>
      <w:marLeft w:val="0"/>
      <w:marRight w:val="0"/>
      <w:marTop w:val="0"/>
      <w:marBottom w:val="0"/>
      <w:divBdr>
        <w:top w:val="none" w:sz="0" w:space="0" w:color="auto"/>
        <w:left w:val="none" w:sz="0" w:space="0" w:color="auto"/>
        <w:bottom w:val="none" w:sz="0" w:space="0" w:color="auto"/>
        <w:right w:val="none" w:sz="0" w:space="0" w:color="auto"/>
      </w:divBdr>
      <w:divsChild>
        <w:div w:id="69697260">
          <w:marLeft w:val="547"/>
          <w:marRight w:val="0"/>
          <w:marTop w:val="154"/>
          <w:marBottom w:val="0"/>
          <w:divBdr>
            <w:top w:val="none" w:sz="0" w:space="0" w:color="auto"/>
            <w:left w:val="none" w:sz="0" w:space="0" w:color="auto"/>
            <w:bottom w:val="none" w:sz="0" w:space="0" w:color="auto"/>
            <w:right w:val="none" w:sz="0" w:space="0" w:color="auto"/>
          </w:divBdr>
        </w:div>
        <w:div w:id="1221752306">
          <w:marLeft w:val="547"/>
          <w:marRight w:val="0"/>
          <w:marTop w:val="154"/>
          <w:marBottom w:val="0"/>
          <w:divBdr>
            <w:top w:val="none" w:sz="0" w:space="0" w:color="auto"/>
            <w:left w:val="none" w:sz="0" w:space="0" w:color="auto"/>
            <w:bottom w:val="none" w:sz="0" w:space="0" w:color="auto"/>
            <w:right w:val="none" w:sz="0" w:space="0" w:color="auto"/>
          </w:divBdr>
        </w:div>
        <w:div w:id="1808164529">
          <w:marLeft w:val="547"/>
          <w:marRight w:val="0"/>
          <w:marTop w:val="154"/>
          <w:marBottom w:val="0"/>
          <w:divBdr>
            <w:top w:val="none" w:sz="0" w:space="0" w:color="auto"/>
            <w:left w:val="none" w:sz="0" w:space="0" w:color="auto"/>
            <w:bottom w:val="none" w:sz="0" w:space="0" w:color="auto"/>
            <w:right w:val="none" w:sz="0" w:space="0" w:color="auto"/>
          </w:divBdr>
        </w:div>
      </w:divsChild>
    </w:div>
    <w:div w:id="878130667">
      <w:bodyDiv w:val="1"/>
      <w:marLeft w:val="0"/>
      <w:marRight w:val="0"/>
      <w:marTop w:val="0"/>
      <w:marBottom w:val="0"/>
      <w:divBdr>
        <w:top w:val="none" w:sz="0" w:space="0" w:color="auto"/>
        <w:left w:val="none" w:sz="0" w:space="0" w:color="auto"/>
        <w:bottom w:val="none" w:sz="0" w:space="0" w:color="auto"/>
        <w:right w:val="none" w:sz="0" w:space="0" w:color="auto"/>
      </w:divBdr>
    </w:div>
    <w:div w:id="881359408">
      <w:bodyDiv w:val="1"/>
      <w:marLeft w:val="0"/>
      <w:marRight w:val="0"/>
      <w:marTop w:val="0"/>
      <w:marBottom w:val="0"/>
      <w:divBdr>
        <w:top w:val="none" w:sz="0" w:space="0" w:color="auto"/>
        <w:left w:val="none" w:sz="0" w:space="0" w:color="auto"/>
        <w:bottom w:val="none" w:sz="0" w:space="0" w:color="auto"/>
        <w:right w:val="none" w:sz="0" w:space="0" w:color="auto"/>
      </w:divBdr>
    </w:div>
    <w:div w:id="881745109">
      <w:bodyDiv w:val="1"/>
      <w:marLeft w:val="0"/>
      <w:marRight w:val="0"/>
      <w:marTop w:val="0"/>
      <w:marBottom w:val="0"/>
      <w:divBdr>
        <w:top w:val="none" w:sz="0" w:space="0" w:color="auto"/>
        <w:left w:val="none" w:sz="0" w:space="0" w:color="auto"/>
        <w:bottom w:val="none" w:sz="0" w:space="0" w:color="auto"/>
        <w:right w:val="none" w:sz="0" w:space="0" w:color="auto"/>
      </w:divBdr>
    </w:div>
    <w:div w:id="882135381">
      <w:bodyDiv w:val="1"/>
      <w:marLeft w:val="0"/>
      <w:marRight w:val="0"/>
      <w:marTop w:val="0"/>
      <w:marBottom w:val="0"/>
      <w:divBdr>
        <w:top w:val="none" w:sz="0" w:space="0" w:color="auto"/>
        <w:left w:val="none" w:sz="0" w:space="0" w:color="auto"/>
        <w:bottom w:val="none" w:sz="0" w:space="0" w:color="auto"/>
        <w:right w:val="none" w:sz="0" w:space="0" w:color="auto"/>
      </w:divBdr>
    </w:div>
    <w:div w:id="884636672">
      <w:bodyDiv w:val="1"/>
      <w:marLeft w:val="0"/>
      <w:marRight w:val="0"/>
      <w:marTop w:val="0"/>
      <w:marBottom w:val="0"/>
      <w:divBdr>
        <w:top w:val="none" w:sz="0" w:space="0" w:color="auto"/>
        <w:left w:val="none" w:sz="0" w:space="0" w:color="auto"/>
        <w:bottom w:val="none" w:sz="0" w:space="0" w:color="auto"/>
        <w:right w:val="none" w:sz="0" w:space="0" w:color="auto"/>
      </w:divBdr>
    </w:div>
    <w:div w:id="887766585">
      <w:bodyDiv w:val="1"/>
      <w:marLeft w:val="0"/>
      <w:marRight w:val="0"/>
      <w:marTop w:val="0"/>
      <w:marBottom w:val="0"/>
      <w:divBdr>
        <w:top w:val="none" w:sz="0" w:space="0" w:color="auto"/>
        <w:left w:val="none" w:sz="0" w:space="0" w:color="auto"/>
        <w:bottom w:val="none" w:sz="0" w:space="0" w:color="auto"/>
        <w:right w:val="none" w:sz="0" w:space="0" w:color="auto"/>
      </w:divBdr>
    </w:div>
    <w:div w:id="889421573">
      <w:bodyDiv w:val="1"/>
      <w:marLeft w:val="0"/>
      <w:marRight w:val="0"/>
      <w:marTop w:val="0"/>
      <w:marBottom w:val="0"/>
      <w:divBdr>
        <w:top w:val="none" w:sz="0" w:space="0" w:color="auto"/>
        <w:left w:val="none" w:sz="0" w:space="0" w:color="auto"/>
        <w:bottom w:val="none" w:sz="0" w:space="0" w:color="auto"/>
        <w:right w:val="none" w:sz="0" w:space="0" w:color="auto"/>
      </w:divBdr>
    </w:div>
    <w:div w:id="892424748">
      <w:bodyDiv w:val="1"/>
      <w:marLeft w:val="0"/>
      <w:marRight w:val="0"/>
      <w:marTop w:val="0"/>
      <w:marBottom w:val="0"/>
      <w:divBdr>
        <w:top w:val="none" w:sz="0" w:space="0" w:color="auto"/>
        <w:left w:val="none" w:sz="0" w:space="0" w:color="auto"/>
        <w:bottom w:val="none" w:sz="0" w:space="0" w:color="auto"/>
        <w:right w:val="none" w:sz="0" w:space="0" w:color="auto"/>
      </w:divBdr>
    </w:div>
    <w:div w:id="899707963">
      <w:bodyDiv w:val="1"/>
      <w:marLeft w:val="0"/>
      <w:marRight w:val="0"/>
      <w:marTop w:val="0"/>
      <w:marBottom w:val="0"/>
      <w:divBdr>
        <w:top w:val="none" w:sz="0" w:space="0" w:color="auto"/>
        <w:left w:val="none" w:sz="0" w:space="0" w:color="auto"/>
        <w:bottom w:val="none" w:sz="0" w:space="0" w:color="auto"/>
        <w:right w:val="none" w:sz="0" w:space="0" w:color="auto"/>
      </w:divBdr>
    </w:div>
    <w:div w:id="901251450">
      <w:bodyDiv w:val="1"/>
      <w:marLeft w:val="0"/>
      <w:marRight w:val="0"/>
      <w:marTop w:val="0"/>
      <w:marBottom w:val="0"/>
      <w:divBdr>
        <w:top w:val="none" w:sz="0" w:space="0" w:color="auto"/>
        <w:left w:val="none" w:sz="0" w:space="0" w:color="auto"/>
        <w:bottom w:val="none" w:sz="0" w:space="0" w:color="auto"/>
        <w:right w:val="none" w:sz="0" w:space="0" w:color="auto"/>
      </w:divBdr>
    </w:div>
    <w:div w:id="903297988">
      <w:bodyDiv w:val="1"/>
      <w:marLeft w:val="0"/>
      <w:marRight w:val="0"/>
      <w:marTop w:val="0"/>
      <w:marBottom w:val="0"/>
      <w:divBdr>
        <w:top w:val="none" w:sz="0" w:space="0" w:color="auto"/>
        <w:left w:val="none" w:sz="0" w:space="0" w:color="auto"/>
        <w:bottom w:val="none" w:sz="0" w:space="0" w:color="auto"/>
        <w:right w:val="none" w:sz="0" w:space="0" w:color="auto"/>
      </w:divBdr>
    </w:div>
    <w:div w:id="909388600">
      <w:bodyDiv w:val="1"/>
      <w:marLeft w:val="0"/>
      <w:marRight w:val="0"/>
      <w:marTop w:val="0"/>
      <w:marBottom w:val="0"/>
      <w:divBdr>
        <w:top w:val="none" w:sz="0" w:space="0" w:color="auto"/>
        <w:left w:val="none" w:sz="0" w:space="0" w:color="auto"/>
        <w:bottom w:val="none" w:sz="0" w:space="0" w:color="auto"/>
        <w:right w:val="none" w:sz="0" w:space="0" w:color="auto"/>
      </w:divBdr>
    </w:div>
    <w:div w:id="909660169">
      <w:bodyDiv w:val="1"/>
      <w:marLeft w:val="0"/>
      <w:marRight w:val="0"/>
      <w:marTop w:val="0"/>
      <w:marBottom w:val="0"/>
      <w:divBdr>
        <w:top w:val="none" w:sz="0" w:space="0" w:color="auto"/>
        <w:left w:val="none" w:sz="0" w:space="0" w:color="auto"/>
        <w:bottom w:val="none" w:sz="0" w:space="0" w:color="auto"/>
        <w:right w:val="none" w:sz="0" w:space="0" w:color="auto"/>
      </w:divBdr>
    </w:div>
    <w:div w:id="910580374">
      <w:bodyDiv w:val="1"/>
      <w:marLeft w:val="0"/>
      <w:marRight w:val="0"/>
      <w:marTop w:val="0"/>
      <w:marBottom w:val="0"/>
      <w:divBdr>
        <w:top w:val="none" w:sz="0" w:space="0" w:color="auto"/>
        <w:left w:val="none" w:sz="0" w:space="0" w:color="auto"/>
        <w:bottom w:val="none" w:sz="0" w:space="0" w:color="auto"/>
        <w:right w:val="none" w:sz="0" w:space="0" w:color="auto"/>
      </w:divBdr>
    </w:div>
    <w:div w:id="911818509">
      <w:bodyDiv w:val="1"/>
      <w:marLeft w:val="0"/>
      <w:marRight w:val="0"/>
      <w:marTop w:val="0"/>
      <w:marBottom w:val="0"/>
      <w:divBdr>
        <w:top w:val="none" w:sz="0" w:space="0" w:color="auto"/>
        <w:left w:val="none" w:sz="0" w:space="0" w:color="auto"/>
        <w:bottom w:val="none" w:sz="0" w:space="0" w:color="auto"/>
        <w:right w:val="none" w:sz="0" w:space="0" w:color="auto"/>
      </w:divBdr>
    </w:div>
    <w:div w:id="912740733">
      <w:bodyDiv w:val="1"/>
      <w:marLeft w:val="0"/>
      <w:marRight w:val="0"/>
      <w:marTop w:val="0"/>
      <w:marBottom w:val="0"/>
      <w:divBdr>
        <w:top w:val="none" w:sz="0" w:space="0" w:color="auto"/>
        <w:left w:val="none" w:sz="0" w:space="0" w:color="auto"/>
        <w:bottom w:val="none" w:sz="0" w:space="0" w:color="auto"/>
        <w:right w:val="none" w:sz="0" w:space="0" w:color="auto"/>
      </w:divBdr>
    </w:div>
    <w:div w:id="913009811">
      <w:bodyDiv w:val="1"/>
      <w:marLeft w:val="0"/>
      <w:marRight w:val="0"/>
      <w:marTop w:val="0"/>
      <w:marBottom w:val="0"/>
      <w:divBdr>
        <w:top w:val="none" w:sz="0" w:space="0" w:color="auto"/>
        <w:left w:val="none" w:sz="0" w:space="0" w:color="auto"/>
        <w:bottom w:val="none" w:sz="0" w:space="0" w:color="auto"/>
        <w:right w:val="none" w:sz="0" w:space="0" w:color="auto"/>
      </w:divBdr>
    </w:div>
    <w:div w:id="914707188">
      <w:bodyDiv w:val="1"/>
      <w:marLeft w:val="0"/>
      <w:marRight w:val="0"/>
      <w:marTop w:val="0"/>
      <w:marBottom w:val="0"/>
      <w:divBdr>
        <w:top w:val="none" w:sz="0" w:space="0" w:color="auto"/>
        <w:left w:val="none" w:sz="0" w:space="0" w:color="auto"/>
        <w:bottom w:val="none" w:sz="0" w:space="0" w:color="auto"/>
        <w:right w:val="none" w:sz="0" w:space="0" w:color="auto"/>
      </w:divBdr>
    </w:div>
    <w:div w:id="919487864">
      <w:bodyDiv w:val="1"/>
      <w:marLeft w:val="0"/>
      <w:marRight w:val="0"/>
      <w:marTop w:val="0"/>
      <w:marBottom w:val="0"/>
      <w:divBdr>
        <w:top w:val="none" w:sz="0" w:space="0" w:color="auto"/>
        <w:left w:val="none" w:sz="0" w:space="0" w:color="auto"/>
        <w:bottom w:val="none" w:sz="0" w:space="0" w:color="auto"/>
        <w:right w:val="none" w:sz="0" w:space="0" w:color="auto"/>
      </w:divBdr>
    </w:div>
    <w:div w:id="922953258">
      <w:bodyDiv w:val="1"/>
      <w:marLeft w:val="0"/>
      <w:marRight w:val="0"/>
      <w:marTop w:val="0"/>
      <w:marBottom w:val="0"/>
      <w:divBdr>
        <w:top w:val="none" w:sz="0" w:space="0" w:color="auto"/>
        <w:left w:val="none" w:sz="0" w:space="0" w:color="auto"/>
        <w:bottom w:val="none" w:sz="0" w:space="0" w:color="auto"/>
        <w:right w:val="none" w:sz="0" w:space="0" w:color="auto"/>
      </w:divBdr>
    </w:div>
    <w:div w:id="924922790">
      <w:bodyDiv w:val="1"/>
      <w:marLeft w:val="0"/>
      <w:marRight w:val="0"/>
      <w:marTop w:val="0"/>
      <w:marBottom w:val="0"/>
      <w:divBdr>
        <w:top w:val="none" w:sz="0" w:space="0" w:color="auto"/>
        <w:left w:val="none" w:sz="0" w:space="0" w:color="auto"/>
        <w:bottom w:val="none" w:sz="0" w:space="0" w:color="auto"/>
        <w:right w:val="none" w:sz="0" w:space="0" w:color="auto"/>
      </w:divBdr>
    </w:div>
    <w:div w:id="927618908">
      <w:bodyDiv w:val="1"/>
      <w:marLeft w:val="0"/>
      <w:marRight w:val="0"/>
      <w:marTop w:val="0"/>
      <w:marBottom w:val="0"/>
      <w:divBdr>
        <w:top w:val="none" w:sz="0" w:space="0" w:color="auto"/>
        <w:left w:val="none" w:sz="0" w:space="0" w:color="auto"/>
        <w:bottom w:val="none" w:sz="0" w:space="0" w:color="auto"/>
        <w:right w:val="none" w:sz="0" w:space="0" w:color="auto"/>
      </w:divBdr>
    </w:div>
    <w:div w:id="930167277">
      <w:bodyDiv w:val="1"/>
      <w:marLeft w:val="0"/>
      <w:marRight w:val="0"/>
      <w:marTop w:val="0"/>
      <w:marBottom w:val="0"/>
      <w:divBdr>
        <w:top w:val="none" w:sz="0" w:space="0" w:color="auto"/>
        <w:left w:val="none" w:sz="0" w:space="0" w:color="auto"/>
        <w:bottom w:val="none" w:sz="0" w:space="0" w:color="auto"/>
        <w:right w:val="none" w:sz="0" w:space="0" w:color="auto"/>
      </w:divBdr>
    </w:div>
    <w:div w:id="931427615">
      <w:bodyDiv w:val="1"/>
      <w:marLeft w:val="0"/>
      <w:marRight w:val="0"/>
      <w:marTop w:val="0"/>
      <w:marBottom w:val="0"/>
      <w:divBdr>
        <w:top w:val="none" w:sz="0" w:space="0" w:color="auto"/>
        <w:left w:val="none" w:sz="0" w:space="0" w:color="auto"/>
        <w:bottom w:val="none" w:sz="0" w:space="0" w:color="auto"/>
        <w:right w:val="none" w:sz="0" w:space="0" w:color="auto"/>
      </w:divBdr>
    </w:div>
    <w:div w:id="932976857">
      <w:bodyDiv w:val="1"/>
      <w:marLeft w:val="0"/>
      <w:marRight w:val="0"/>
      <w:marTop w:val="0"/>
      <w:marBottom w:val="0"/>
      <w:divBdr>
        <w:top w:val="none" w:sz="0" w:space="0" w:color="auto"/>
        <w:left w:val="none" w:sz="0" w:space="0" w:color="auto"/>
        <w:bottom w:val="none" w:sz="0" w:space="0" w:color="auto"/>
        <w:right w:val="none" w:sz="0" w:space="0" w:color="auto"/>
      </w:divBdr>
      <w:divsChild>
        <w:div w:id="1168517378">
          <w:marLeft w:val="547"/>
          <w:marRight w:val="0"/>
          <w:marTop w:val="96"/>
          <w:marBottom w:val="0"/>
          <w:divBdr>
            <w:top w:val="none" w:sz="0" w:space="0" w:color="auto"/>
            <w:left w:val="none" w:sz="0" w:space="0" w:color="auto"/>
            <w:bottom w:val="none" w:sz="0" w:space="0" w:color="auto"/>
            <w:right w:val="none" w:sz="0" w:space="0" w:color="auto"/>
          </w:divBdr>
        </w:div>
      </w:divsChild>
    </w:div>
    <w:div w:id="936326636">
      <w:bodyDiv w:val="1"/>
      <w:marLeft w:val="0"/>
      <w:marRight w:val="0"/>
      <w:marTop w:val="0"/>
      <w:marBottom w:val="0"/>
      <w:divBdr>
        <w:top w:val="none" w:sz="0" w:space="0" w:color="auto"/>
        <w:left w:val="none" w:sz="0" w:space="0" w:color="auto"/>
        <w:bottom w:val="none" w:sz="0" w:space="0" w:color="auto"/>
        <w:right w:val="none" w:sz="0" w:space="0" w:color="auto"/>
      </w:divBdr>
    </w:div>
    <w:div w:id="937718024">
      <w:bodyDiv w:val="1"/>
      <w:marLeft w:val="0"/>
      <w:marRight w:val="0"/>
      <w:marTop w:val="0"/>
      <w:marBottom w:val="0"/>
      <w:divBdr>
        <w:top w:val="none" w:sz="0" w:space="0" w:color="auto"/>
        <w:left w:val="none" w:sz="0" w:space="0" w:color="auto"/>
        <w:bottom w:val="none" w:sz="0" w:space="0" w:color="auto"/>
        <w:right w:val="none" w:sz="0" w:space="0" w:color="auto"/>
      </w:divBdr>
    </w:div>
    <w:div w:id="939407183">
      <w:bodyDiv w:val="1"/>
      <w:marLeft w:val="0"/>
      <w:marRight w:val="0"/>
      <w:marTop w:val="0"/>
      <w:marBottom w:val="0"/>
      <w:divBdr>
        <w:top w:val="none" w:sz="0" w:space="0" w:color="auto"/>
        <w:left w:val="none" w:sz="0" w:space="0" w:color="auto"/>
        <w:bottom w:val="none" w:sz="0" w:space="0" w:color="auto"/>
        <w:right w:val="none" w:sz="0" w:space="0" w:color="auto"/>
      </w:divBdr>
    </w:div>
    <w:div w:id="941113406">
      <w:bodyDiv w:val="1"/>
      <w:marLeft w:val="0"/>
      <w:marRight w:val="0"/>
      <w:marTop w:val="0"/>
      <w:marBottom w:val="0"/>
      <w:divBdr>
        <w:top w:val="none" w:sz="0" w:space="0" w:color="auto"/>
        <w:left w:val="none" w:sz="0" w:space="0" w:color="auto"/>
        <w:bottom w:val="none" w:sz="0" w:space="0" w:color="auto"/>
        <w:right w:val="none" w:sz="0" w:space="0" w:color="auto"/>
      </w:divBdr>
    </w:div>
    <w:div w:id="941186567">
      <w:bodyDiv w:val="1"/>
      <w:marLeft w:val="0"/>
      <w:marRight w:val="0"/>
      <w:marTop w:val="0"/>
      <w:marBottom w:val="0"/>
      <w:divBdr>
        <w:top w:val="none" w:sz="0" w:space="0" w:color="auto"/>
        <w:left w:val="none" w:sz="0" w:space="0" w:color="auto"/>
        <w:bottom w:val="none" w:sz="0" w:space="0" w:color="auto"/>
        <w:right w:val="none" w:sz="0" w:space="0" w:color="auto"/>
      </w:divBdr>
    </w:div>
    <w:div w:id="950281169">
      <w:bodyDiv w:val="1"/>
      <w:marLeft w:val="0"/>
      <w:marRight w:val="0"/>
      <w:marTop w:val="0"/>
      <w:marBottom w:val="0"/>
      <w:divBdr>
        <w:top w:val="none" w:sz="0" w:space="0" w:color="auto"/>
        <w:left w:val="none" w:sz="0" w:space="0" w:color="auto"/>
        <w:bottom w:val="none" w:sz="0" w:space="0" w:color="auto"/>
        <w:right w:val="none" w:sz="0" w:space="0" w:color="auto"/>
      </w:divBdr>
    </w:div>
    <w:div w:id="952204813">
      <w:bodyDiv w:val="1"/>
      <w:marLeft w:val="0"/>
      <w:marRight w:val="0"/>
      <w:marTop w:val="0"/>
      <w:marBottom w:val="0"/>
      <w:divBdr>
        <w:top w:val="none" w:sz="0" w:space="0" w:color="auto"/>
        <w:left w:val="none" w:sz="0" w:space="0" w:color="auto"/>
        <w:bottom w:val="none" w:sz="0" w:space="0" w:color="auto"/>
        <w:right w:val="none" w:sz="0" w:space="0" w:color="auto"/>
      </w:divBdr>
    </w:div>
    <w:div w:id="955715414">
      <w:bodyDiv w:val="1"/>
      <w:marLeft w:val="0"/>
      <w:marRight w:val="0"/>
      <w:marTop w:val="0"/>
      <w:marBottom w:val="0"/>
      <w:divBdr>
        <w:top w:val="none" w:sz="0" w:space="0" w:color="auto"/>
        <w:left w:val="none" w:sz="0" w:space="0" w:color="auto"/>
        <w:bottom w:val="none" w:sz="0" w:space="0" w:color="auto"/>
        <w:right w:val="none" w:sz="0" w:space="0" w:color="auto"/>
      </w:divBdr>
    </w:div>
    <w:div w:id="956520795">
      <w:bodyDiv w:val="1"/>
      <w:marLeft w:val="0"/>
      <w:marRight w:val="0"/>
      <w:marTop w:val="0"/>
      <w:marBottom w:val="0"/>
      <w:divBdr>
        <w:top w:val="none" w:sz="0" w:space="0" w:color="auto"/>
        <w:left w:val="none" w:sz="0" w:space="0" w:color="auto"/>
        <w:bottom w:val="none" w:sz="0" w:space="0" w:color="auto"/>
        <w:right w:val="none" w:sz="0" w:space="0" w:color="auto"/>
      </w:divBdr>
    </w:div>
    <w:div w:id="959603295">
      <w:bodyDiv w:val="1"/>
      <w:marLeft w:val="0"/>
      <w:marRight w:val="0"/>
      <w:marTop w:val="0"/>
      <w:marBottom w:val="0"/>
      <w:divBdr>
        <w:top w:val="none" w:sz="0" w:space="0" w:color="auto"/>
        <w:left w:val="none" w:sz="0" w:space="0" w:color="auto"/>
        <w:bottom w:val="none" w:sz="0" w:space="0" w:color="auto"/>
        <w:right w:val="none" w:sz="0" w:space="0" w:color="auto"/>
      </w:divBdr>
    </w:div>
    <w:div w:id="959648071">
      <w:bodyDiv w:val="1"/>
      <w:marLeft w:val="0"/>
      <w:marRight w:val="0"/>
      <w:marTop w:val="0"/>
      <w:marBottom w:val="0"/>
      <w:divBdr>
        <w:top w:val="none" w:sz="0" w:space="0" w:color="auto"/>
        <w:left w:val="none" w:sz="0" w:space="0" w:color="auto"/>
        <w:bottom w:val="none" w:sz="0" w:space="0" w:color="auto"/>
        <w:right w:val="none" w:sz="0" w:space="0" w:color="auto"/>
      </w:divBdr>
    </w:div>
    <w:div w:id="961957074">
      <w:bodyDiv w:val="1"/>
      <w:marLeft w:val="0"/>
      <w:marRight w:val="0"/>
      <w:marTop w:val="0"/>
      <w:marBottom w:val="0"/>
      <w:divBdr>
        <w:top w:val="none" w:sz="0" w:space="0" w:color="auto"/>
        <w:left w:val="none" w:sz="0" w:space="0" w:color="auto"/>
        <w:bottom w:val="none" w:sz="0" w:space="0" w:color="auto"/>
        <w:right w:val="none" w:sz="0" w:space="0" w:color="auto"/>
      </w:divBdr>
    </w:div>
    <w:div w:id="964775603">
      <w:bodyDiv w:val="1"/>
      <w:marLeft w:val="0"/>
      <w:marRight w:val="0"/>
      <w:marTop w:val="0"/>
      <w:marBottom w:val="0"/>
      <w:divBdr>
        <w:top w:val="none" w:sz="0" w:space="0" w:color="auto"/>
        <w:left w:val="none" w:sz="0" w:space="0" w:color="auto"/>
        <w:bottom w:val="none" w:sz="0" w:space="0" w:color="auto"/>
        <w:right w:val="none" w:sz="0" w:space="0" w:color="auto"/>
      </w:divBdr>
      <w:divsChild>
        <w:div w:id="1621842902">
          <w:marLeft w:val="547"/>
          <w:marRight w:val="0"/>
          <w:marTop w:val="149"/>
          <w:marBottom w:val="0"/>
          <w:divBdr>
            <w:top w:val="none" w:sz="0" w:space="0" w:color="auto"/>
            <w:left w:val="none" w:sz="0" w:space="0" w:color="auto"/>
            <w:bottom w:val="none" w:sz="0" w:space="0" w:color="auto"/>
            <w:right w:val="none" w:sz="0" w:space="0" w:color="auto"/>
          </w:divBdr>
        </w:div>
      </w:divsChild>
    </w:div>
    <w:div w:id="968128096">
      <w:bodyDiv w:val="1"/>
      <w:marLeft w:val="0"/>
      <w:marRight w:val="0"/>
      <w:marTop w:val="0"/>
      <w:marBottom w:val="0"/>
      <w:divBdr>
        <w:top w:val="none" w:sz="0" w:space="0" w:color="auto"/>
        <w:left w:val="none" w:sz="0" w:space="0" w:color="auto"/>
        <w:bottom w:val="none" w:sz="0" w:space="0" w:color="auto"/>
        <w:right w:val="none" w:sz="0" w:space="0" w:color="auto"/>
      </w:divBdr>
    </w:div>
    <w:div w:id="968129706">
      <w:bodyDiv w:val="1"/>
      <w:marLeft w:val="0"/>
      <w:marRight w:val="0"/>
      <w:marTop w:val="0"/>
      <w:marBottom w:val="0"/>
      <w:divBdr>
        <w:top w:val="none" w:sz="0" w:space="0" w:color="auto"/>
        <w:left w:val="none" w:sz="0" w:space="0" w:color="auto"/>
        <w:bottom w:val="none" w:sz="0" w:space="0" w:color="auto"/>
        <w:right w:val="none" w:sz="0" w:space="0" w:color="auto"/>
      </w:divBdr>
    </w:div>
    <w:div w:id="972907215">
      <w:bodyDiv w:val="1"/>
      <w:marLeft w:val="0"/>
      <w:marRight w:val="0"/>
      <w:marTop w:val="0"/>
      <w:marBottom w:val="0"/>
      <w:divBdr>
        <w:top w:val="none" w:sz="0" w:space="0" w:color="auto"/>
        <w:left w:val="none" w:sz="0" w:space="0" w:color="auto"/>
        <w:bottom w:val="none" w:sz="0" w:space="0" w:color="auto"/>
        <w:right w:val="none" w:sz="0" w:space="0" w:color="auto"/>
      </w:divBdr>
    </w:div>
    <w:div w:id="974289803">
      <w:bodyDiv w:val="1"/>
      <w:marLeft w:val="0"/>
      <w:marRight w:val="0"/>
      <w:marTop w:val="0"/>
      <w:marBottom w:val="0"/>
      <w:divBdr>
        <w:top w:val="none" w:sz="0" w:space="0" w:color="auto"/>
        <w:left w:val="none" w:sz="0" w:space="0" w:color="auto"/>
        <w:bottom w:val="none" w:sz="0" w:space="0" w:color="auto"/>
        <w:right w:val="none" w:sz="0" w:space="0" w:color="auto"/>
      </w:divBdr>
    </w:div>
    <w:div w:id="974724795">
      <w:bodyDiv w:val="1"/>
      <w:marLeft w:val="0"/>
      <w:marRight w:val="0"/>
      <w:marTop w:val="0"/>
      <w:marBottom w:val="0"/>
      <w:divBdr>
        <w:top w:val="none" w:sz="0" w:space="0" w:color="auto"/>
        <w:left w:val="none" w:sz="0" w:space="0" w:color="auto"/>
        <w:bottom w:val="none" w:sz="0" w:space="0" w:color="auto"/>
        <w:right w:val="none" w:sz="0" w:space="0" w:color="auto"/>
      </w:divBdr>
    </w:div>
    <w:div w:id="975570747">
      <w:bodyDiv w:val="1"/>
      <w:marLeft w:val="0"/>
      <w:marRight w:val="0"/>
      <w:marTop w:val="0"/>
      <w:marBottom w:val="0"/>
      <w:divBdr>
        <w:top w:val="none" w:sz="0" w:space="0" w:color="auto"/>
        <w:left w:val="none" w:sz="0" w:space="0" w:color="auto"/>
        <w:bottom w:val="none" w:sz="0" w:space="0" w:color="auto"/>
        <w:right w:val="none" w:sz="0" w:space="0" w:color="auto"/>
      </w:divBdr>
    </w:div>
    <w:div w:id="977803727">
      <w:bodyDiv w:val="1"/>
      <w:marLeft w:val="0"/>
      <w:marRight w:val="0"/>
      <w:marTop w:val="0"/>
      <w:marBottom w:val="0"/>
      <w:divBdr>
        <w:top w:val="none" w:sz="0" w:space="0" w:color="auto"/>
        <w:left w:val="none" w:sz="0" w:space="0" w:color="auto"/>
        <w:bottom w:val="none" w:sz="0" w:space="0" w:color="auto"/>
        <w:right w:val="none" w:sz="0" w:space="0" w:color="auto"/>
      </w:divBdr>
    </w:div>
    <w:div w:id="978457972">
      <w:bodyDiv w:val="1"/>
      <w:marLeft w:val="0"/>
      <w:marRight w:val="0"/>
      <w:marTop w:val="0"/>
      <w:marBottom w:val="0"/>
      <w:divBdr>
        <w:top w:val="none" w:sz="0" w:space="0" w:color="auto"/>
        <w:left w:val="none" w:sz="0" w:space="0" w:color="auto"/>
        <w:bottom w:val="none" w:sz="0" w:space="0" w:color="auto"/>
        <w:right w:val="none" w:sz="0" w:space="0" w:color="auto"/>
      </w:divBdr>
    </w:div>
    <w:div w:id="978534431">
      <w:bodyDiv w:val="1"/>
      <w:marLeft w:val="0"/>
      <w:marRight w:val="0"/>
      <w:marTop w:val="0"/>
      <w:marBottom w:val="0"/>
      <w:divBdr>
        <w:top w:val="none" w:sz="0" w:space="0" w:color="auto"/>
        <w:left w:val="none" w:sz="0" w:space="0" w:color="auto"/>
        <w:bottom w:val="none" w:sz="0" w:space="0" w:color="auto"/>
        <w:right w:val="none" w:sz="0" w:space="0" w:color="auto"/>
      </w:divBdr>
    </w:div>
    <w:div w:id="982075961">
      <w:bodyDiv w:val="1"/>
      <w:marLeft w:val="0"/>
      <w:marRight w:val="0"/>
      <w:marTop w:val="0"/>
      <w:marBottom w:val="0"/>
      <w:divBdr>
        <w:top w:val="none" w:sz="0" w:space="0" w:color="auto"/>
        <w:left w:val="none" w:sz="0" w:space="0" w:color="auto"/>
        <w:bottom w:val="none" w:sz="0" w:space="0" w:color="auto"/>
        <w:right w:val="none" w:sz="0" w:space="0" w:color="auto"/>
      </w:divBdr>
    </w:div>
    <w:div w:id="983512958">
      <w:bodyDiv w:val="1"/>
      <w:marLeft w:val="0"/>
      <w:marRight w:val="0"/>
      <w:marTop w:val="0"/>
      <w:marBottom w:val="0"/>
      <w:divBdr>
        <w:top w:val="none" w:sz="0" w:space="0" w:color="auto"/>
        <w:left w:val="none" w:sz="0" w:space="0" w:color="auto"/>
        <w:bottom w:val="none" w:sz="0" w:space="0" w:color="auto"/>
        <w:right w:val="none" w:sz="0" w:space="0" w:color="auto"/>
      </w:divBdr>
    </w:div>
    <w:div w:id="988873234">
      <w:bodyDiv w:val="1"/>
      <w:marLeft w:val="0"/>
      <w:marRight w:val="0"/>
      <w:marTop w:val="0"/>
      <w:marBottom w:val="0"/>
      <w:divBdr>
        <w:top w:val="none" w:sz="0" w:space="0" w:color="auto"/>
        <w:left w:val="none" w:sz="0" w:space="0" w:color="auto"/>
        <w:bottom w:val="none" w:sz="0" w:space="0" w:color="auto"/>
        <w:right w:val="none" w:sz="0" w:space="0" w:color="auto"/>
      </w:divBdr>
    </w:div>
    <w:div w:id="989139304">
      <w:bodyDiv w:val="1"/>
      <w:marLeft w:val="0"/>
      <w:marRight w:val="0"/>
      <w:marTop w:val="0"/>
      <w:marBottom w:val="0"/>
      <w:divBdr>
        <w:top w:val="none" w:sz="0" w:space="0" w:color="auto"/>
        <w:left w:val="none" w:sz="0" w:space="0" w:color="auto"/>
        <w:bottom w:val="none" w:sz="0" w:space="0" w:color="auto"/>
        <w:right w:val="none" w:sz="0" w:space="0" w:color="auto"/>
      </w:divBdr>
    </w:div>
    <w:div w:id="993754593">
      <w:bodyDiv w:val="1"/>
      <w:marLeft w:val="0"/>
      <w:marRight w:val="0"/>
      <w:marTop w:val="0"/>
      <w:marBottom w:val="0"/>
      <w:divBdr>
        <w:top w:val="none" w:sz="0" w:space="0" w:color="auto"/>
        <w:left w:val="none" w:sz="0" w:space="0" w:color="auto"/>
        <w:bottom w:val="none" w:sz="0" w:space="0" w:color="auto"/>
        <w:right w:val="none" w:sz="0" w:space="0" w:color="auto"/>
      </w:divBdr>
    </w:div>
    <w:div w:id="996376302">
      <w:bodyDiv w:val="1"/>
      <w:marLeft w:val="0"/>
      <w:marRight w:val="0"/>
      <w:marTop w:val="0"/>
      <w:marBottom w:val="0"/>
      <w:divBdr>
        <w:top w:val="none" w:sz="0" w:space="0" w:color="auto"/>
        <w:left w:val="none" w:sz="0" w:space="0" w:color="auto"/>
        <w:bottom w:val="none" w:sz="0" w:space="0" w:color="auto"/>
        <w:right w:val="none" w:sz="0" w:space="0" w:color="auto"/>
      </w:divBdr>
    </w:div>
    <w:div w:id="1000042684">
      <w:bodyDiv w:val="1"/>
      <w:marLeft w:val="0"/>
      <w:marRight w:val="0"/>
      <w:marTop w:val="0"/>
      <w:marBottom w:val="0"/>
      <w:divBdr>
        <w:top w:val="none" w:sz="0" w:space="0" w:color="auto"/>
        <w:left w:val="none" w:sz="0" w:space="0" w:color="auto"/>
        <w:bottom w:val="none" w:sz="0" w:space="0" w:color="auto"/>
        <w:right w:val="none" w:sz="0" w:space="0" w:color="auto"/>
      </w:divBdr>
    </w:div>
    <w:div w:id="1003508903">
      <w:bodyDiv w:val="1"/>
      <w:marLeft w:val="0"/>
      <w:marRight w:val="0"/>
      <w:marTop w:val="0"/>
      <w:marBottom w:val="0"/>
      <w:divBdr>
        <w:top w:val="none" w:sz="0" w:space="0" w:color="auto"/>
        <w:left w:val="none" w:sz="0" w:space="0" w:color="auto"/>
        <w:bottom w:val="none" w:sz="0" w:space="0" w:color="auto"/>
        <w:right w:val="none" w:sz="0" w:space="0" w:color="auto"/>
      </w:divBdr>
    </w:div>
    <w:div w:id="1004361131">
      <w:bodyDiv w:val="1"/>
      <w:marLeft w:val="0"/>
      <w:marRight w:val="0"/>
      <w:marTop w:val="0"/>
      <w:marBottom w:val="0"/>
      <w:divBdr>
        <w:top w:val="none" w:sz="0" w:space="0" w:color="auto"/>
        <w:left w:val="none" w:sz="0" w:space="0" w:color="auto"/>
        <w:bottom w:val="none" w:sz="0" w:space="0" w:color="auto"/>
        <w:right w:val="none" w:sz="0" w:space="0" w:color="auto"/>
      </w:divBdr>
    </w:div>
    <w:div w:id="1005790998">
      <w:bodyDiv w:val="1"/>
      <w:marLeft w:val="0"/>
      <w:marRight w:val="0"/>
      <w:marTop w:val="0"/>
      <w:marBottom w:val="0"/>
      <w:divBdr>
        <w:top w:val="none" w:sz="0" w:space="0" w:color="auto"/>
        <w:left w:val="none" w:sz="0" w:space="0" w:color="auto"/>
        <w:bottom w:val="none" w:sz="0" w:space="0" w:color="auto"/>
        <w:right w:val="none" w:sz="0" w:space="0" w:color="auto"/>
      </w:divBdr>
    </w:div>
    <w:div w:id="1008947875">
      <w:bodyDiv w:val="1"/>
      <w:marLeft w:val="0"/>
      <w:marRight w:val="0"/>
      <w:marTop w:val="0"/>
      <w:marBottom w:val="0"/>
      <w:divBdr>
        <w:top w:val="none" w:sz="0" w:space="0" w:color="auto"/>
        <w:left w:val="none" w:sz="0" w:space="0" w:color="auto"/>
        <w:bottom w:val="none" w:sz="0" w:space="0" w:color="auto"/>
        <w:right w:val="none" w:sz="0" w:space="0" w:color="auto"/>
      </w:divBdr>
    </w:div>
    <w:div w:id="1011489221">
      <w:bodyDiv w:val="1"/>
      <w:marLeft w:val="0"/>
      <w:marRight w:val="0"/>
      <w:marTop w:val="0"/>
      <w:marBottom w:val="0"/>
      <w:divBdr>
        <w:top w:val="none" w:sz="0" w:space="0" w:color="auto"/>
        <w:left w:val="none" w:sz="0" w:space="0" w:color="auto"/>
        <w:bottom w:val="none" w:sz="0" w:space="0" w:color="auto"/>
        <w:right w:val="none" w:sz="0" w:space="0" w:color="auto"/>
      </w:divBdr>
    </w:div>
    <w:div w:id="1013338525">
      <w:bodyDiv w:val="1"/>
      <w:marLeft w:val="0"/>
      <w:marRight w:val="0"/>
      <w:marTop w:val="0"/>
      <w:marBottom w:val="0"/>
      <w:divBdr>
        <w:top w:val="none" w:sz="0" w:space="0" w:color="auto"/>
        <w:left w:val="none" w:sz="0" w:space="0" w:color="auto"/>
        <w:bottom w:val="none" w:sz="0" w:space="0" w:color="auto"/>
        <w:right w:val="none" w:sz="0" w:space="0" w:color="auto"/>
      </w:divBdr>
    </w:div>
    <w:div w:id="1013454486">
      <w:bodyDiv w:val="1"/>
      <w:marLeft w:val="0"/>
      <w:marRight w:val="0"/>
      <w:marTop w:val="0"/>
      <w:marBottom w:val="0"/>
      <w:divBdr>
        <w:top w:val="none" w:sz="0" w:space="0" w:color="auto"/>
        <w:left w:val="none" w:sz="0" w:space="0" w:color="auto"/>
        <w:bottom w:val="none" w:sz="0" w:space="0" w:color="auto"/>
        <w:right w:val="none" w:sz="0" w:space="0" w:color="auto"/>
      </w:divBdr>
    </w:div>
    <w:div w:id="1018117486">
      <w:bodyDiv w:val="1"/>
      <w:marLeft w:val="0"/>
      <w:marRight w:val="0"/>
      <w:marTop w:val="0"/>
      <w:marBottom w:val="0"/>
      <w:divBdr>
        <w:top w:val="none" w:sz="0" w:space="0" w:color="auto"/>
        <w:left w:val="none" w:sz="0" w:space="0" w:color="auto"/>
        <w:bottom w:val="none" w:sz="0" w:space="0" w:color="auto"/>
        <w:right w:val="none" w:sz="0" w:space="0" w:color="auto"/>
      </w:divBdr>
    </w:div>
    <w:div w:id="1018510091">
      <w:bodyDiv w:val="1"/>
      <w:marLeft w:val="0"/>
      <w:marRight w:val="0"/>
      <w:marTop w:val="0"/>
      <w:marBottom w:val="0"/>
      <w:divBdr>
        <w:top w:val="none" w:sz="0" w:space="0" w:color="auto"/>
        <w:left w:val="none" w:sz="0" w:space="0" w:color="auto"/>
        <w:bottom w:val="none" w:sz="0" w:space="0" w:color="auto"/>
        <w:right w:val="none" w:sz="0" w:space="0" w:color="auto"/>
      </w:divBdr>
    </w:div>
    <w:div w:id="1018896534">
      <w:bodyDiv w:val="1"/>
      <w:marLeft w:val="0"/>
      <w:marRight w:val="0"/>
      <w:marTop w:val="0"/>
      <w:marBottom w:val="0"/>
      <w:divBdr>
        <w:top w:val="none" w:sz="0" w:space="0" w:color="auto"/>
        <w:left w:val="none" w:sz="0" w:space="0" w:color="auto"/>
        <w:bottom w:val="none" w:sz="0" w:space="0" w:color="auto"/>
        <w:right w:val="none" w:sz="0" w:space="0" w:color="auto"/>
      </w:divBdr>
    </w:div>
    <w:div w:id="1019818985">
      <w:bodyDiv w:val="1"/>
      <w:marLeft w:val="0"/>
      <w:marRight w:val="0"/>
      <w:marTop w:val="0"/>
      <w:marBottom w:val="0"/>
      <w:divBdr>
        <w:top w:val="none" w:sz="0" w:space="0" w:color="auto"/>
        <w:left w:val="none" w:sz="0" w:space="0" w:color="auto"/>
        <w:bottom w:val="none" w:sz="0" w:space="0" w:color="auto"/>
        <w:right w:val="none" w:sz="0" w:space="0" w:color="auto"/>
      </w:divBdr>
    </w:div>
    <w:div w:id="1020744452">
      <w:bodyDiv w:val="1"/>
      <w:marLeft w:val="0"/>
      <w:marRight w:val="0"/>
      <w:marTop w:val="0"/>
      <w:marBottom w:val="0"/>
      <w:divBdr>
        <w:top w:val="none" w:sz="0" w:space="0" w:color="auto"/>
        <w:left w:val="none" w:sz="0" w:space="0" w:color="auto"/>
        <w:bottom w:val="none" w:sz="0" w:space="0" w:color="auto"/>
        <w:right w:val="none" w:sz="0" w:space="0" w:color="auto"/>
      </w:divBdr>
    </w:div>
    <w:div w:id="1021131153">
      <w:bodyDiv w:val="1"/>
      <w:marLeft w:val="0"/>
      <w:marRight w:val="0"/>
      <w:marTop w:val="0"/>
      <w:marBottom w:val="0"/>
      <w:divBdr>
        <w:top w:val="none" w:sz="0" w:space="0" w:color="auto"/>
        <w:left w:val="none" w:sz="0" w:space="0" w:color="auto"/>
        <w:bottom w:val="none" w:sz="0" w:space="0" w:color="auto"/>
        <w:right w:val="none" w:sz="0" w:space="0" w:color="auto"/>
      </w:divBdr>
    </w:div>
    <w:div w:id="1022049328">
      <w:bodyDiv w:val="1"/>
      <w:marLeft w:val="0"/>
      <w:marRight w:val="0"/>
      <w:marTop w:val="0"/>
      <w:marBottom w:val="0"/>
      <w:divBdr>
        <w:top w:val="none" w:sz="0" w:space="0" w:color="auto"/>
        <w:left w:val="none" w:sz="0" w:space="0" w:color="auto"/>
        <w:bottom w:val="none" w:sz="0" w:space="0" w:color="auto"/>
        <w:right w:val="none" w:sz="0" w:space="0" w:color="auto"/>
      </w:divBdr>
    </w:div>
    <w:div w:id="1025324306">
      <w:bodyDiv w:val="1"/>
      <w:marLeft w:val="0"/>
      <w:marRight w:val="0"/>
      <w:marTop w:val="0"/>
      <w:marBottom w:val="0"/>
      <w:divBdr>
        <w:top w:val="none" w:sz="0" w:space="0" w:color="auto"/>
        <w:left w:val="none" w:sz="0" w:space="0" w:color="auto"/>
        <w:bottom w:val="none" w:sz="0" w:space="0" w:color="auto"/>
        <w:right w:val="none" w:sz="0" w:space="0" w:color="auto"/>
      </w:divBdr>
    </w:div>
    <w:div w:id="1027288804">
      <w:bodyDiv w:val="1"/>
      <w:marLeft w:val="0"/>
      <w:marRight w:val="0"/>
      <w:marTop w:val="0"/>
      <w:marBottom w:val="0"/>
      <w:divBdr>
        <w:top w:val="none" w:sz="0" w:space="0" w:color="auto"/>
        <w:left w:val="none" w:sz="0" w:space="0" w:color="auto"/>
        <w:bottom w:val="none" w:sz="0" w:space="0" w:color="auto"/>
        <w:right w:val="none" w:sz="0" w:space="0" w:color="auto"/>
      </w:divBdr>
    </w:div>
    <w:div w:id="1028725341">
      <w:bodyDiv w:val="1"/>
      <w:marLeft w:val="0"/>
      <w:marRight w:val="0"/>
      <w:marTop w:val="0"/>
      <w:marBottom w:val="0"/>
      <w:divBdr>
        <w:top w:val="none" w:sz="0" w:space="0" w:color="auto"/>
        <w:left w:val="none" w:sz="0" w:space="0" w:color="auto"/>
        <w:bottom w:val="none" w:sz="0" w:space="0" w:color="auto"/>
        <w:right w:val="none" w:sz="0" w:space="0" w:color="auto"/>
      </w:divBdr>
    </w:div>
    <w:div w:id="1034648661">
      <w:bodyDiv w:val="1"/>
      <w:marLeft w:val="0"/>
      <w:marRight w:val="0"/>
      <w:marTop w:val="0"/>
      <w:marBottom w:val="0"/>
      <w:divBdr>
        <w:top w:val="none" w:sz="0" w:space="0" w:color="auto"/>
        <w:left w:val="none" w:sz="0" w:space="0" w:color="auto"/>
        <w:bottom w:val="none" w:sz="0" w:space="0" w:color="auto"/>
        <w:right w:val="none" w:sz="0" w:space="0" w:color="auto"/>
      </w:divBdr>
    </w:div>
    <w:div w:id="1036076234">
      <w:bodyDiv w:val="1"/>
      <w:marLeft w:val="0"/>
      <w:marRight w:val="0"/>
      <w:marTop w:val="0"/>
      <w:marBottom w:val="0"/>
      <w:divBdr>
        <w:top w:val="none" w:sz="0" w:space="0" w:color="auto"/>
        <w:left w:val="none" w:sz="0" w:space="0" w:color="auto"/>
        <w:bottom w:val="none" w:sz="0" w:space="0" w:color="auto"/>
        <w:right w:val="none" w:sz="0" w:space="0" w:color="auto"/>
      </w:divBdr>
    </w:div>
    <w:div w:id="1038311920">
      <w:bodyDiv w:val="1"/>
      <w:marLeft w:val="0"/>
      <w:marRight w:val="0"/>
      <w:marTop w:val="0"/>
      <w:marBottom w:val="0"/>
      <w:divBdr>
        <w:top w:val="none" w:sz="0" w:space="0" w:color="auto"/>
        <w:left w:val="none" w:sz="0" w:space="0" w:color="auto"/>
        <w:bottom w:val="none" w:sz="0" w:space="0" w:color="auto"/>
        <w:right w:val="none" w:sz="0" w:space="0" w:color="auto"/>
      </w:divBdr>
    </w:div>
    <w:div w:id="1038509872">
      <w:bodyDiv w:val="1"/>
      <w:marLeft w:val="0"/>
      <w:marRight w:val="0"/>
      <w:marTop w:val="0"/>
      <w:marBottom w:val="0"/>
      <w:divBdr>
        <w:top w:val="none" w:sz="0" w:space="0" w:color="auto"/>
        <w:left w:val="none" w:sz="0" w:space="0" w:color="auto"/>
        <w:bottom w:val="none" w:sz="0" w:space="0" w:color="auto"/>
        <w:right w:val="none" w:sz="0" w:space="0" w:color="auto"/>
      </w:divBdr>
    </w:div>
    <w:div w:id="1041444804">
      <w:bodyDiv w:val="1"/>
      <w:marLeft w:val="0"/>
      <w:marRight w:val="0"/>
      <w:marTop w:val="0"/>
      <w:marBottom w:val="0"/>
      <w:divBdr>
        <w:top w:val="none" w:sz="0" w:space="0" w:color="auto"/>
        <w:left w:val="none" w:sz="0" w:space="0" w:color="auto"/>
        <w:bottom w:val="none" w:sz="0" w:space="0" w:color="auto"/>
        <w:right w:val="none" w:sz="0" w:space="0" w:color="auto"/>
      </w:divBdr>
    </w:div>
    <w:div w:id="1045640828">
      <w:bodyDiv w:val="1"/>
      <w:marLeft w:val="0"/>
      <w:marRight w:val="0"/>
      <w:marTop w:val="0"/>
      <w:marBottom w:val="0"/>
      <w:divBdr>
        <w:top w:val="none" w:sz="0" w:space="0" w:color="auto"/>
        <w:left w:val="none" w:sz="0" w:space="0" w:color="auto"/>
        <w:bottom w:val="none" w:sz="0" w:space="0" w:color="auto"/>
        <w:right w:val="none" w:sz="0" w:space="0" w:color="auto"/>
      </w:divBdr>
    </w:div>
    <w:div w:id="1050306864">
      <w:bodyDiv w:val="1"/>
      <w:marLeft w:val="0"/>
      <w:marRight w:val="0"/>
      <w:marTop w:val="0"/>
      <w:marBottom w:val="0"/>
      <w:divBdr>
        <w:top w:val="none" w:sz="0" w:space="0" w:color="auto"/>
        <w:left w:val="none" w:sz="0" w:space="0" w:color="auto"/>
        <w:bottom w:val="none" w:sz="0" w:space="0" w:color="auto"/>
        <w:right w:val="none" w:sz="0" w:space="0" w:color="auto"/>
      </w:divBdr>
    </w:div>
    <w:div w:id="1051617243">
      <w:bodyDiv w:val="1"/>
      <w:marLeft w:val="0"/>
      <w:marRight w:val="0"/>
      <w:marTop w:val="0"/>
      <w:marBottom w:val="0"/>
      <w:divBdr>
        <w:top w:val="none" w:sz="0" w:space="0" w:color="auto"/>
        <w:left w:val="none" w:sz="0" w:space="0" w:color="auto"/>
        <w:bottom w:val="none" w:sz="0" w:space="0" w:color="auto"/>
        <w:right w:val="none" w:sz="0" w:space="0" w:color="auto"/>
      </w:divBdr>
    </w:div>
    <w:div w:id="1056129217">
      <w:bodyDiv w:val="1"/>
      <w:marLeft w:val="0"/>
      <w:marRight w:val="0"/>
      <w:marTop w:val="0"/>
      <w:marBottom w:val="0"/>
      <w:divBdr>
        <w:top w:val="none" w:sz="0" w:space="0" w:color="auto"/>
        <w:left w:val="none" w:sz="0" w:space="0" w:color="auto"/>
        <w:bottom w:val="none" w:sz="0" w:space="0" w:color="auto"/>
        <w:right w:val="none" w:sz="0" w:space="0" w:color="auto"/>
      </w:divBdr>
    </w:div>
    <w:div w:id="1057245105">
      <w:bodyDiv w:val="1"/>
      <w:marLeft w:val="0"/>
      <w:marRight w:val="0"/>
      <w:marTop w:val="0"/>
      <w:marBottom w:val="0"/>
      <w:divBdr>
        <w:top w:val="none" w:sz="0" w:space="0" w:color="auto"/>
        <w:left w:val="none" w:sz="0" w:space="0" w:color="auto"/>
        <w:bottom w:val="none" w:sz="0" w:space="0" w:color="auto"/>
        <w:right w:val="none" w:sz="0" w:space="0" w:color="auto"/>
      </w:divBdr>
    </w:div>
    <w:div w:id="1059355764">
      <w:bodyDiv w:val="1"/>
      <w:marLeft w:val="0"/>
      <w:marRight w:val="0"/>
      <w:marTop w:val="0"/>
      <w:marBottom w:val="0"/>
      <w:divBdr>
        <w:top w:val="none" w:sz="0" w:space="0" w:color="auto"/>
        <w:left w:val="none" w:sz="0" w:space="0" w:color="auto"/>
        <w:bottom w:val="none" w:sz="0" w:space="0" w:color="auto"/>
        <w:right w:val="none" w:sz="0" w:space="0" w:color="auto"/>
      </w:divBdr>
    </w:div>
    <w:div w:id="1062288347">
      <w:bodyDiv w:val="1"/>
      <w:marLeft w:val="0"/>
      <w:marRight w:val="0"/>
      <w:marTop w:val="0"/>
      <w:marBottom w:val="0"/>
      <w:divBdr>
        <w:top w:val="none" w:sz="0" w:space="0" w:color="auto"/>
        <w:left w:val="none" w:sz="0" w:space="0" w:color="auto"/>
        <w:bottom w:val="none" w:sz="0" w:space="0" w:color="auto"/>
        <w:right w:val="none" w:sz="0" w:space="0" w:color="auto"/>
      </w:divBdr>
    </w:div>
    <w:div w:id="1064377212">
      <w:bodyDiv w:val="1"/>
      <w:marLeft w:val="0"/>
      <w:marRight w:val="0"/>
      <w:marTop w:val="0"/>
      <w:marBottom w:val="0"/>
      <w:divBdr>
        <w:top w:val="none" w:sz="0" w:space="0" w:color="auto"/>
        <w:left w:val="none" w:sz="0" w:space="0" w:color="auto"/>
        <w:bottom w:val="none" w:sz="0" w:space="0" w:color="auto"/>
        <w:right w:val="none" w:sz="0" w:space="0" w:color="auto"/>
      </w:divBdr>
    </w:div>
    <w:div w:id="1066564486">
      <w:bodyDiv w:val="1"/>
      <w:marLeft w:val="0"/>
      <w:marRight w:val="0"/>
      <w:marTop w:val="0"/>
      <w:marBottom w:val="0"/>
      <w:divBdr>
        <w:top w:val="none" w:sz="0" w:space="0" w:color="auto"/>
        <w:left w:val="none" w:sz="0" w:space="0" w:color="auto"/>
        <w:bottom w:val="none" w:sz="0" w:space="0" w:color="auto"/>
        <w:right w:val="none" w:sz="0" w:space="0" w:color="auto"/>
      </w:divBdr>
    </w:div>
    <w:div w:id="1067612550">
      <w:bodyDiv w:val="1"/>
      <w:marLeft w:val="0"/>
      <w:marRight w:val="0"/>
      <w:marTop w:val="0"/>
      <w:marBottom w:val="0"/>
      <w:divBdr>
        <w:top w:val="none" w:sz="0" w:space="0" w:color="auto"/>
        <w:left w:val="none" w:sz="0" w:space="0" w:color="auto"/>
        <w:bottom w:val="none" w:sz="0" w:space="0" w:color="auto"/>
        <w:right w:val="none" w:sz="0" w:space="0" w:color="auto"/>
      </w:divBdr>
    </w:div>
    <w:div w:id="1069884926">
      <w:bodyDiv w:val="1"/>
      <w:marLeft w:val="0"/>
      <w:marRight w:val="0"/>
      <w:marTop w:val="0"/>
      <w:marBottom w:val="0"/>
      <w:divBdr>
        <w:top w:val="none" w:sz="0" w:space="0" w:color="auto"/>
        <w:left w:val="none" w:sz="0" w:space="0" w:color="auto"/>
        <w:bottom w:val="none" w:sz="0" w:space="0" w:color="auto"/>
        <w:right w:val="none" w:sz="0" w:space="0" w:color="auto"/>
      </w:divBdr>
    </w:div>
    <w:div w:id="1075054931">
      <w:bodyDiv w:val="1"/>
      <w:marLeft w:val="0"/>
      <w:marRight w:val="0"/>
      <w:marTop w:val="0"/>
      <w:marBottom w:val="0"/>
      <w:divBdr>
        <w:top w:val="none" w:sz="0" w:space="0" w:color="auto"/>
        <w:left w:val="none" w:sz="0" w:space="0" w:color="auto"/>
        <w:bottom w:val="none" w:sz="0" w:space="0" w:color="auto"/>
        <w:right w:val="none" w:sz="0" w:space="0" w:color="auto"/>
      </w:divBdr>
    </w:div>
    <w:div w:id="1078476458">
      <w:bodyDiv w:val="1"/>
      <w:marLeft w:val="0"/>
      <w:marRight w:val="0"/>
      <w:marTop w:val="0"/>
      <w:marBottom w:val="0"/>
      <w:divBdr>
        <w:top w:val="none" w:sz="0" w:space="0" w:color="auto"/>
        <w:left w:val="none" w:sz="0" w:space="0" w:color="auto"/>
        <w:bottom w:val="none" w:sz="0" w:space="0" w:color="auto"/>
        <w:right w:val="none" w:sz="0" w:space="0" w:color="auto"/>
      </w:divBdr>
    </w:div>
    <w:div w:id="1079208643">
      <w:bodyDiv w:val="1"/>
      <w:marLeft w:val="0"/>
      <w:marRight w:val="0"/>
      <w:marTop w:val="0"/>
      <w:marBottom w:val="0"/>
      <w:divBdr>
        <w:top w:val="none" w:sz="0" w:space="0" w:color="auto"/>
        <w:left w:val="none" w:sz="0" w:space="0" w:color="auto"/>
        <w:bottom w:val="none" w:sz="0" w:space="0" w:color="auto"/>
        <w:right w:val="none" w:sz="0" w:space="0" w:color="auto"/>
      </w:divBdr>
    </w:div>
    <w:div w:id="1079790716">
      <w:bodyDiv w:val="1"/>
      <w:marLeft w:val="0"/>
      <w:marRight w:val="0"/>
      <w:marTop w:val="0"/>
      <w:marBottom w:val="0"/>
      <w:divBdr>
        <w:top w:val="none" w:sz="0" w:space="0" w:color="auto"/>
        <w:left w:val="none" w:sz="0" w:space="0" w:color="auto"/>
        <w:bottom w:val="none" w:sz="0" w:space="0" w:color="auto"/>
        <w:right w:val="none" w:sz="0" w:space="0" w:color="auto"/>
      </w:divBdr>
    </w:div>
    <w:div w:id="1081368650">
      <w:bodyDiv w:val="1"/>
      <w:marLeft w:val="0"/>
      <w:marRight w:val="0"/>
      <w:marTop w:val="0"/>
      <w:marBottom w:val="0"/>
      <w:divBdr>
        <w:top w:val="none" w:sz="0" w:space="0" w:color="auto"/>
        <w:left w:val="none" w:sz="0" w:space="0" w:color="auto"/>
        <w:bottom w:val="none" w:sz="0" w:space="0" w:color="auto"/>
        <w:right w:val="none" w:sz="0" w:space="0" w:color="auto"/>
      </w:divBdr>
    </w:div>
    <w:div w:id="1082022265">
      <w:bodyDiv w:val="1"/>
      <w:marLeft w:val="0"/>
      <w:marRight w:val="0"/>
      <w:marTop w:val="0"/>
      <w:marBottom w:val="0"/>
      <w:divBdr>
        <w:top w:val="none" w:sz="0" w:space="0" w:color="auto"/>
        <w:left w:val="none" w:sz="0" w:space="0" w:color="auto"/>
        <w:bottom w:val="none" w:sz="0" w:space="0" w:color="auto"/>
        <w:right w:val="none" w:sz="0" w:space="0" w:color="auto"/>
      </w:divBdr>
    </w:div>
    <w:div w:id="1082028217">
      <w:bodyDiv w:val="1"/>
      <w:marLeft w:val="0"/>
      <w:marRight w:val="0"/>
      <w:marTop w:val="0"/>
      <w:marBottom w:val="0"/>
      <w:divBdr>
        <w:top w:val="none" w:sz="0" w:space="0" w:color="auto"/>
        <w:left w:val="none" w:sz="0" w:space="0" w:color="auto"/>
        <w:bottom w:val="none" w:sz="0" w:space="0" w:color="auto"/>
        <w:right w:val="none" w:sz="0" w:space="0" w:color="auto"/>
      </w:divBdr>
    </w:div>
    <w:div w:id="1083140525">
      <w:bodyDiv w:val="1"/>
      <w:marLeft w:val="0"/>
      <w:marRight w:val="0"/>
      <w:marTop w:val="0"/>
      <w:marBottom w:val="0"/>
      <w:divBdr>
        <w:top w:val="none" w:sz="0" w:space="0" w:color="auto"/>
        <w:left w:val="none" w:sz="0" w:space="0" w:color="auto"/>
        <w:bottom w:val="none" w:sz="0" w:space="0" w:color="auto"/>
        <w:right w:val="none" w:sz="0" w:space="0" w:color="auto"/>
      </w:divBdr>
    </w:div>
    <w:div w:id="1084960256">
      <w:bodyDiv w:val="1"/>
      <w:marLeft w:val="0"/>
      <w:marRight w:val="0"/>
      <w:marTop w:val="0"/>
      <w:marBottom w:val="0"/>
      <w:divBdr>
        <w:top w:val="none" w:sz="0" w:space="0" w:color="auto"/>
        <w:left w:val="none" w:sz="0" w:space="0" w:color="auto"/>
        <w:bottom w:val="none" w:sz="0" w:space="0" w:color="auto"/>
        <w:right w:val="none" w:sz="0" w:space="0" w:color="auto"/>
      </w:divBdr>
    </w:div>
    <w:div w:id="1085882454">
      <w:bodyDiv w:val="1"/>
      <w:marLeft w:val="0"/>
      <w:marRight w:val="0"/>
      <w:marTop w:val="0"/>
      <w:marBottom w:val="0"/>
      <w:divBdr>
        <w:top w:val="none" w:sz="0" w:space="0" w:color="auto"/>
        <w:left w:val="none" w:sz="0" w:space="0" w:color="auto"/>
        <w:bottom w:val="none" w:sz="0" w:space="0" w:color="auto"/>
        <w:right w:val="none" w:sz="0" w:space="0" w:color="auto"/>
      </w:divBdr>
    </w:div>
    <w:div w:id="1086654720">
      <w:bodyDiv w:val="1"/>
      <w:marLeft w:val="0"/>
      <w:marRight w:val="0"/>
      <w:marTop w:val="0"/>
      <w:marBottom w:val="0"/>
      <w:divBdr>
        <w:top w:val="none" w:sz="0" w:space="0" w:color="auto"/>
        <w:left w:val="none" w:sz="0" w:space="0" w:color="auto"/>
        <w:bottom w:val="none" w:sz="0" w:space="0" w:color="auto"/>
        <w:right w:val="none" w:sz="0" w:space="0" w:color="auto"/>
      </w:divBdr>
    </w:div>
    <w:div w:id="1086656214">
      <w:bodyDiv w:val="1"/>
      <w:marLeft w:val="0"/>
      <w:marRight w:val="0"/>
      <w:marTop w:val="0"/>
      <w:marBottom w:val="0"/>
      <w:divBdr>
        <w:top w:val="none" w:sz="0" w:space="0" w:color="auto"/>
        <w:left w:val="none" w:sz="0" w:space="0" w:color="auto"/>
        <w:bottom w:val="none" w:sz="0" w:space="0" w:color="auto"/>
        <w:right w:val="none" w:sz="0" w:space="0" w:color="auto"/>
      </w:divBdr>
    </w:div>
    <w:div w:id="1093941706">
      <w:bodyDiv w:val="1"/>
      <w:marLeft w:val="0"/>
      <w:marRight w:val="0"/>
      <w:marTop w:val="0"/>
      <w:marBottom w:val="0"/>
      <w:divBdr>
        <w:top w:val="none" w:sz="0" w:space="0" w:color="auto"/>
        <w:left w:val="none" w:sz="0" w:space="0" w:color="auto"/>
        <w:bottom w:val="none" w:sz="0" w:space="0" w:color="auto"/>
        <w:right w:val="none" w:sz="0" w:space="0" w:color="auto"/>
      </w:divBdr>
    </w:div>
    <w:div w:id="1096097611">
      <w:bodyDiv w:val="1"/>
      <w:marLeft w:val="0"/>
      <w:marRight w:val="0"/>
      <w:marTop w:val="0"/>
      <w:marBottom w:val="0"/>
      <w:divBdr>
        <w:top w:val="none" w:sz="0" w:space="0" w:color="auto"/>
        <w:left w:val="none" w:sz="0" w:space="0" w:color="auto"/>
        <w:bottom w:val="none" w:sz="0" w:space="0" w:color="auto"/>
        <w:right w:val="none" w:sz="0" w:space="0" w:color="auto"/>
      </w:divBdr>
    </w:div>
    <w:div w:id="1097363371">
      <w:bodyDiv w:val="1"/>
      <w:marLeft w:val="0"/>
      <w:marRight w:val="0"/>
      <w:marTop w:val="0"/>
      <w:marBottom w:val="0"/>
      <w:divBdr>
        <w:top w:val="none" w:sz="0" w:space="0" w:color="auto"/>
        <w:left w:val="none" w:sz="0" w:space="0" w:color="auto"/>
        <w:bottom w:val="none" w:sz="0" w:space="0" w:color="auto"/>
        <w:right w:val="none" w:sz="0" w:space="0" w:color="auto"/>
      </w:divBdr>
    </w:div>
    <w:div w:id="1099057938">
      <w:bodyDiv w:val="1"/>
      <w:marLeft w:val="0"/>
      <w:marRight w:val="0"/>
      <w:marTop w:val="0"/>
      <w:marBottom w:val="0"/>
      <w:divBdr>
        <w:top w:val="none" w:sz="0" w:space="0" w:color="auto"/>
        <w:left w:val="none" w:sz="0" w:space="0" w:color="auto"/>
        <w:bottom w:val="none" w:sz="0" w:space="0" w:color="auto"/>
        <w:right w:val="none" w:sz="0" w:space="0" w:color="auto"/>
      </w:divBdr>
    </w:div>
    <w:div w:id="1101611569">
      <w:bodyDiv w:val="1"/>
      <w:marLeft w:val="0"/>
      <w:marRight w:val="0"/>
      <w:marTop w:val="0"/>
      <w:marBottom w:val="0"/>
      <w:divBdr>
        <w:top w:val="none" w:sz="0" w:space="0" w:color="auto"/>
        <w:left w:val="none" w:sz="0" w:space="0" w:color="auto"/>
        <w:bottom w:val="none" w:sz="0" w:space="0" w:color="auto"/>
        <w:right w:val="none" w:sz="0" w:space="0" w:color="auto"/>
      </w:divBdr>
    </w:div>
    <w:div w:id="1103067270">
      <w:bodyDiv w:val="1"/>
      <w:marLeft w:val="0"/>
      <w:marRight w:val="0"/>
      <w:marTop w:val="0"/>
      <w:marBottom w:val="0"/>
      <w:divBdr>
        <w:top w:val="none" w:sz="0" w:space="0" w:color="auto"/>
        <w:left w:val="none" w:sz="0" w:space="0" w:color="auto"/>
        <w:bottom w:val="none" w:sz="0" w:space="0" w:color="auto"/>
        <w:right w:val="none" w:sz="0" w:space="0" w:color="auto"/>
      </w:divBdr>
    </w:div>
    <w:div w:id="1103306573">
      <w:bodyDiv w:val="1"/>
      <w:marLeft w:val="0"/>
      <w:marRight w:val="0"/>
      <w:marTop w:val="0"/>
      <w:marBottom w:val="0"/>
      <w:divBdr>
        <w:top w:val="none" w:sz="0" w:space="0" w:color="auto"/>
        <w:left w:val="none" w:sz="0" w:space="0" w:color="auto"/>
        <w:bottom w:val="none" w:sz="0" w:space="0" w:color="auto"/>
        <w:right w:val="none" w:sz="0" w:space="0" w:color="auto"/>
      </w:divBdr>
    </w:div>
    <w:div w:id="1104836618">
      <w:bodyDiv w:val="1"/>
      <w:marLeft w:val="0"/>
      <w:marRight w:val="0"/>
      <w:marTop w:val="0"/>
      <w:marBottom w:val="0"/>
      <w:divBdr>
        <w:top w:val="none" w:sz="0" w:space="0" w:color="auto"/>
        <w:left w:val="none" w:sz="0" w:space="0" w:color="auto"/>
        <w:bottom w:val="none" w:sz="0" w:space="0" w:color="auto"/>
        <w:right w:val="none" w:sz="0" w:space="0" w:color="auto"/>
      </w:divBdr>
    </w:div>
    <w:div w:id="1105031684">
      <w:bodyDiv w:val="1"/>
      <w:marLeft w:val="0"/>
      <w:marRight w:val="0"/>
      <w:marTop w:val="0"/>
      <w:marBottom w:val="0"/>
      <w:divBdr>
        <w:top w:val="none" w:sz="0" w:space="0" w:color="auto"/>
        <w:left w:val="none" w:sz="0" w:space="0" w:color="auto"/>
        <w:bottom w:val="none" w:sz="0" w:space="0" w:color="auto"/>
        <w:right w:val="none" w:sz="0" w:space="0" w:color="auto"/>
      </w:divBdr>
    </w:div>
    <w:div w:id="1111777472">
      <w:bodyDiv w:val="1"/>
      <w:marLeft w:val="0"/>
      <w:marRight w:val="0"/>
      <w:marTop w:val="0"/>
      <w:marBottom w:val="0"/>
      <w:divBdr>
        <w:top w:val="none" w:sz="0" w:space="0" w:color="auto"/>
        <w:left w:val="none" w:sz="0" w:space="0" w:color="auto"/>
        <w:bottom w:val="none" w:sz="0" w:space="0" w:color="auto"/>
        <w:right w:val="none" w:sz="0" w:space="0" w:color="auto"/>
      </w:divBdr>
    </w:div>
    <w:div w:id="1117218688">
      <w:bodyDiv w:val="1"/>
      <w:marLeft w:val="0"/>
      <w:marRight w:val="0"/>
      <w:marTop w:val="0"/>
      <w:marBottom w:val="0"/>
      <w:divBdr>
        <w:top w:val="none" w:sz="0" w:space="0" w:color="auto"/>
        <w:left w:val="none" w:sz="0" w:space="0" w:color="auto"/>
        <w:bottom w:val="none" w:sz="0" w:space="0" w:color="auto"/>
        <w:right w:val="none" w:sz="0" w:space="0" w:color="auto"/>
      </w:divBdr>
    </w:div>
    <w:div w:id="1120798727">
      <w:bodyDiv w:val="1"/>
      <w:marLeft w:val="0"/>
      <w:marRight w:val="0"/>
      <w:marTop w:val="0"/>
      <w:marBottom w:val="0"/>
      <w:divBdr>
        <w:top w:val="none" w:sz="0" w:space="0" w:color="auto"/>
        <w:left w:val="none" w:sz="0" w:space="0" w:color="auto"/>
        <w:bottom w:val="none" w:sz="0" w:space="0" w:color="auto"/>
        <w:right w:val="none" w:sz="0" w:space="0" w:color="auto"/>
      </w:divBdr>
    </w:div>
    <w:div w:id="1123618943">
      <w:bodyDiv w:val="1"/>
      <w:marLeft w:val="0"/>
      <w:marRight w:val="0"/>
      <w:marTop w:val="0"/>
      <w:marBottom w:val="0"/>
      <w:divBdr>
        <w:top w:val="none" w:sz="0" w:space="0" w:color="auto"/>
        <w:left w:val="none" w:sz="0" w:space="0" w:color="auto"/>
        <w:bottom w:val="none" w:sz="0" w:space="0" w:color="auto"/>
        <w:right w:val="none" w:sz="0" w:space="0" w:color="auto"/>
      </w:divBdr>
    </w:div>
    <w:div w:id="1123767811">
      <w:bodyDiv w:val="1"/>
      <w:marLeft w:val="0"/>
      <w:marRight w:val="0"/>
      <w:marTop w:val="0"/>
      <w:marBottom w:val="0"/>
      <w:divBdr>
        <w:top w:val="none" w:sz="0" w:space="0" w:color="auto"/>
        <w:left w:val="none" w:sz="0" w:space="0" w:color="auto"/>
        <w:bottom w:val="none" w:sz="0" w:space="0" w:color="auto"/>
        <w:right w:val="none" w:sz="0" w:space="0" w:color="auto"/>
      </w:divBdr>
    </w:div>
    <w:div w:id="1129205314">
      <w:bodyDiv w:val="1"/>
      <w:marLeft w:val="0"/>
      <w:marRight w:val="0"/>
      <w:marTop w:val="0"/>
      <w:marBottom w:val="0"/>
      <w:divBdr>
        <w:top w:val="none" w:sz="0" w:space="0" w:color="auto"/>
        <w:left w:val="none" w:sz="0" w:space="0" w:color="auto"/>
        <w:bottom w:val="none" w:sz="0" w:space="0" w:color="auto"/>
        <w:right w:val="none" w:sz="0" w:space="0" w:color="auto"/>
      </w:divBdr>
    </w:div>
    <w:div w:id="1129930083">
      <w:bodyDiv w:val="1"/>
      <w:marLeft w:val="0"/>
      <w:marRight w:val="0"/>
      <w:marTop w:val="0"/>
      <w:marBottom w:val="0"/>
      <w:divBdr>
        <w:top w:val="none" w:sz="0" w:space="0" w:color="auto"/>
        <w:left w:val="none" w:sz="0" w:space="0" w:color="auto"/>
        <w:bottom w:val="none" w:sz="0" w:space="0" w:color="auto"/>
        <w:right w:val="none" w:sz="0" w:space="0" w:color="auto"/>
      </w:divBdr>
    </w:div>
    <w:div w:id="1130241987">
      <w:bodyDiv w:val="1"/>
      <w:marLeft w:val="0"/>
      <w:marRight w:val="0"/>
      <w:marTop w:val="0"/>
      <w:marBottom w:val="0"/>
      <w:divBdr>
        <w:top w:val="none" w:sz="0" w:space="0" w:color="auto"/>
        <w:left w:val="none" w:sz="0" w:space="0" w:color="auto"/>
        <w:bottom w:val="none" w:sz="0" w:space="0" w:color="auto"/>
        <w:right w:val="none" w:sz="0" w:space="0" w:color="auto"/>
      </w:divBdr>
    </w:div>
    <w:div w:id="1130633907">
      <w:bodyDiv w:val="1"/>
      <w:marLeft w:val="0"/>
      <w:marRight w:val="0"/>
      <w:marTop w:val="0"/>
      <w:marBottom w:val="0"/>
      <w:divBdr>
        <w:top w:val="none" w:sz="0" w:space="0" w:color="auto"/>
        <w:left w:val="none" w:sz="0" w:space="0" w:color="auto"/>
        <w:bottom w:val="none" w:sz="0" w:space="0" w:color="auto"/>
        <w:right w:val="none" w:sz="0" w:space="0" w:color="auto"/>
      </w:divBdr>
    </w:div>
    <w:div w:id="1133718895">
      <w:bodyDiv w:val="1"/>
      <w:marLeft w:val="0"/>
      <w:marRight w:val="0"/>
      <w:marTop w:val="0"/>
      <w:marBottom w:val="0"/>
      <w:divBdr>
        <w:top w:val="none" w:sz="0" w:space="0" w:color="auto"/>
        <w:left w:val="none" w:sz="0" w:space="0" w:color="auto"/>
        <w:bottom w:val="none" w:sz="0" w:space="0" w:color="auto"/>
        <w:right w:val="none" w:sz="0" w:space="0" w:color="auto"/>
      </w:divBdr>
    </w:div>
    <w:div w:id="1137843003">
      <w:bodyDiv w:val="1"/>
      <w:marLeft w:val="0"/>
      <w:marRight w:val="0"/>
      <w:marTop w:val="0"/>
      <w:marBottom w:val="0"/>
      <w:divBdr>
        <w:top w:val="none" w:sz="0" w:space="0" w:color="auto"/>
        <w:left w:val="none" w:sz="0" w:space="0" w:color="auto"/>
        <w:bottom w:val="none" w:sz="0" w:space="0" w:color="auto"/>
        <w:right w:val="none" w:sz="0" w:space="0" w:color="auto"/>
      </w:divBdr>
    </w:div>
    <w:div w:id="1143044846">
      <w:bodyDiv w:val="1"/>
      <w:marLeft w:val="0"/>
      <w:marRight w:val="0"/>
      <w:marTop w:val="0"/>
      <w:marBottom w:val="0"/>
      <w:divBdr>
        <w:top w:val="none" w:sz="0" w:space="0" w:color="auto"/>
        <w:left w:val="none" w:sz="0" w:space="0" w:color="auto"/>
        <w:bottom w:val="none" w:sz="0" w:space="0" w:color="auto"/>
        <w:right w:val="none" w:sz="0" w:space="0" w:color="auto"/>
      </w:divBdr>
    </w:div>
    <w:div w:id="1143472379">
      <w:bodyDiv w:val="1"/>
      <w:marLeft w:val="0"/>
      <w:marRight w:val="0"/>
      <w:marTop w:val="0"/>
      <w:marBottom w:val="0"/>
      <w:divBdr>
        <w:top w:val="none" w:sz="0" w:space="0" w:color="auto"/>
        <w:left w:val="none" w:sz="0" w:space="0" w:color="auto"/>
        <w:bottom w:val="none" w:sz="0" w:space="0" w:color="auto"/>
        <w:right w:val="none" w:sz="0" w:space="0" w:color="auto"/>
      </w:divBdr>
    </w:div>
    <w:div w:id="1143549118">
      <w:bodyDiv w:val="1"/>
      <w:marLeft w:val="0"/>
      <w:marRight w:val="0"/>
      <w:marTop w:val="0"/>
      <w:marBottom w:val="0"/>
      <w:divBdr>
        <w:top w:val="none" w:sz="0" w:space="0" w:color="auto"/>
        <w:left w:val="none" w:sz="0" w:space="0" w:color="auto"/>
        <w:bottom w:val="none" w:sz="0" w:space="0" w:color="auto"/>
        <w:right w:val="none" w:sz="0" w:space="0" w:color="auto"/>
      </w:divBdr>
    </w:div>
    <w:div w:id="1143621852">
      <w:bodyDiv w:val="1"/>
      <w:marLeft w:val="0"/>
      <w:marRight w:val="0"/>
      <w:marTop w:val="0"/>
      <w:marBottom w:val="0"/>
      <w:divBdr>
        <w:top w:val="none" w:sz="0" w:space="0" w:color="auto"/>
        <w:left w:val="none" w:sz="0" w:space="0" w:color="auto"/>
        <w:bottom w:val="none" w:sz="0" w:space="0" w:color="auto"/>
        <w:right w:val="none" w:sz="0" w:space="0" w:color="auto"/>
      </w:divBdr>
    </w:div>
    <w:div w:id="1147161183">
      <w:bodyDiv w:val="1"/>
      <w:marLeft w:val="0"/>
      <w:marRight w:val="0"/>
      <w:marTop w:val="0"/>
      <w:marBottom w:val="0"/>
      <w:divBdr>
        <w:top w:val="none" w:sz="0" w:space="0" w:color="auto"/>
        <w:left w:val="none" w:sz="0" w:space="0" w:color="auto"/>
        <w:bottom w:val="none" w:sz="0" w:space="0" w:color="auto"/>
        <w:right w:val="none" w:sz="0" w:space="0" w:color="auto"/>
      </w:divBdr>
    </w:div>
    <w:div w:id="1147626690">
      <w:bodyDiv w:val="1"/>
      <w:marLeft w:val="0"/>
      <w:marRight w:val="0"/>
      <w:marTop w:val="0"/>
      <w:marBottom w:val="0"/>
      <w:divBdr>
        <w:top w:val="none" w:sz="0" w:space="0" w:color="auto"/>
        <w:left w:val="none" w:sz="0" w:space="0" w:color="auto"/>
        <w:bottom w:val="none" w:sz="0" w:space="0" w:color="auto"/>
        <w:right w:val="none" w:sz="0" w:space="0" w:color="auto"/>
      </w:divBdr>
    </w:div>
    <w:div w:id="1149323174">
      <w:bodyDiv w:val="1"/>
      <w:marLeft w:val="0"/>
      <w:marRight w:val="0"/>
      <w:marTop w:val="0"/>
      <w:marBottom w:val="0"/>
      <w:divBdr>
        <w:top w:val="none" w:sz="0" w:space="0" w:color="auto"/>
        <w:left w:val="none" w:sz="0" w:space="0" w:color="auto"/>
        <w:bottom w:val="none" w:sz="0" w:space="0" w:color="auto"/>
        <w:right w:val="none" w:sz="0" w:space="0" w:color="auto"/>
      </w:divBdr>
    </w:div>
    <w:div w:id="1150177386">
      <w:bodyDiv w:val="1"/>
      <w:marLeft w:val="0"/>
      <w:marRight w:val="0"/>
      <w:marTop w:val="0"/>
      <w:marBottom w:val="0"/>
      <w:divBdr>
        <w:top w:val="none" w:sz="0" w:space="0" w:color="auto"/>
        <w:left w:val="none" w:sz="0" w:space="0" w:color="auto"/>
        <w:bottom w:val="none" w:sz="0" w:space="0" w:color="auto"/>
        <w:right w:val="none" w:sz="0" w:space="0" w:color="auto"/>
      </w:divBdr>
    </w:div>
    <w:div w:id="1150515674">
      <w:bodyDiv w:val="1"/>
      <w:marLeft w:val="0"/>
      <w:marRight w:val="0"/>
      <w:marTop w:val="0"/>
      <w:marBottom w:val="0"/>
      <w:divBdr>
        <w:top w:val="none" w:sz="0" w:space="0" w:color="auto"/>
        <w:left w:val="none" w:sz="0" w:space="0" w:color="auto"/>
        <w:bottom w:val="none" w:sz="0" w:space="0" w:color="auto"/>
        <w:right w:val="none" w:sz="0" w:space="0" w:color="auto"/>
      </w:divBdr>
    </w:div>
    <w:div w:id="1153066213">
      <w:bodyDiv w:val="1"/>
      <w:marLeft w:val="0"/>
      <w:marRight w:val="0"/>
      <w:marTop w:val="0"/>
      <w:marBottom w:val="0"/>
      <w:divBdr>
        <w:top w:val="none" w:sz="0" w:space="0" w:color="auto"/>
        <w:left w:val="none" w:sz="0" w:space="0" w:color="auto"/>
        <w:bottom w:val="none" w:sz="0" w:space="0" w:color="auto"/>
        <w:right w:val="none" w:sz="0" w:space="0" w:color="auto"/>
      </w:divBdr>
    </w:div>
    <w:div w:id="1153831364">
      <w:bodyDiv w:val="1"/>
      <w:marLeft w:val="0"/>
      <w:marRight w:val="0"/>
      <w:marTop w:val="0"/>
      <w:marBottom w:val="0"/>
      <w:divBdr>
        <w:top w:val="none" w:sz="0" w:space="0" w:color="auto"/>
        <w:left w:val="none" w:sz="0" w:space="0" w:color="auto"/>
        <w:bottom w:val="none" w:sz="0" w:space="0" w:color="auto"/>
        <w:right w:val="none" w:sz="0" w:space="0" w:color="auto"/>
      </w:divBdr>
    </w:div>
    <w:div w:id="1154108242">
      <w:bodyDiv w:val="1"/>
      <w:marLeft w:val="0"/>
      <w:marRight w:val="0"/>
      <w:marTop w:val="0"/>
      <w:marBottom w:val="0"/>
      <w:divBdr>
        <w:top w:val="none" w:sz="0" w:space="0" w:color="auto"/>
        <w:left w:val="none" w:sz="0" w:space="0" w:color="auto"/>
        <w:bottom w:val="none" w:sz="0" w:space="0" w:color="auto"/>
        <w:right w:val="none" w:sz="0" w:space="0" w:color="auto"/>
      </w:divBdr>
    </w:div>
    <w:div w:id="1155104457">
      <w:bodyDiv w:val="1"/>
      <w:marLeft w:val="0"/>
      <w:marRight w:val="0"/>
      <w:marTop w:val="0"/>
      <w:marBottom w:val="0"/>
      <w:divBdr>
        <w:top w:val="none" w:sz="0" w:space="0" w:color="auto"/>
        <w:left w:val="none" w:sz="0" w:space="0" w:color="auto"/>
        <w:bottom w:val="none" w:sz="0" w:space="0" w:color="auto"/>
        <w:right w:val="none" w:sz="0" w:space="0" w:color="auto"/>
      </w:divBdr>
    </w:div>
    <w:div w:id="1158577464">
      <w:bodyDiv w:val="1"/>
      <w:marLeft w:val="0"/>
      <w:marRight w:val="0"/>
      <w:marTop w:val="0"/>
      <w:marBottom w:val="0"/>
      <w:divBdr>
        <w:top w:val="none" w:sz="0" w:space="0" w:color="auto"/>
        <w:left w:val="none" w:sz="0" w:space="0" w:color="auto"/>
        <w:bottom w:val="none" w:sz="0" w:space="0" w:color="auto"/>
        <w:right w:val="none" w:sz="0" w:space="0" w:color="auto"/>
      </w:divBdr>
    </w:div>
    <w:div w:id="1158690046">
      <w:bodyDiv w:val="1"/>
      <w:marLeft w:val="0"/>
      <w:marRight w:val="0"/>
      <w:marTop w:val="0"/>
      <w:marBottom w:val="0"/>
      <w:divBdr>
        <w:top w:val="none" w:sz="0" w:space="0" w:color="auto"/>
        <w:left w:val="none" w:sz="0" w:space="0" w:color="auto"/>
        <w:bottom w:val="none" w:sz="0" w:space="0" w:color="auto"/>
        <w:right w:val="none" w:sz="0" w:space="0" w:color="auto"/>
      </w:divBdr>
    </w:div>
    <w:div w:id="1165438431">
      <w:bodyDiv w:val="1"/>
      <w:marLeft w:val="0"/>
      <w:marRight w:val="0"/>
      <w:marTop w:val="0"/>
      <w:marBottom w:val="0"/>
      <w:divBdr>
        <w:top w:val="none" w:sz="0" w:space="0" w:color="auto"/>
        <w:left w:val="none" w:sz="0" w:space="0" w:color="auto"/>
        <w:bottom w:val="none" w:sz="0" w:space="0" w:color="auto"/>
        <w:right w:val="none" w:sz="0" w:space="0" w:color="auto"/>
      </w:divBdr>
    </w:div>
    <w:div w:id="1166555689">
      <w:bodyDiv w:val="1"/>
      <w:marLeft w:val="0"/>
      <w:marRight w:val="0"/>
      <w:marTop w:val="0"/>
      <w:marBottom w:val="0"/>
      <w:divBdr>
        <w:top w:val="none" w:sz="0" w:space="0" w:color="auto"/>
        <w:left w:val="none" w:sz="0" w:space="0" w:color="auto"/>
        <w:bottom w:val="none" w:sz="0" w:space="0" w:color="auto"/>
        <w:right w:val="none" w:sz="0" w:space="0" w:color="auto"/>
      </w:divBdr>
    </w:div>
    <w:div w:id="1166626631">
      <w:bodyDiv w:val="1"/>
      <w:marLeft w:val="0"/>
      <w:marRight w:val="0"/>
      <w:marTop w:val="0"/>
      <w:marBottom w:val="0"/>
      <w:divBdr>
        <w:top w:val="none" w:sz="0" w:space="0" w:color="auto"/>
        <w:left w:val="none" w:sz="0" w:space="0" w:color="auto"/>
        <w:bottom w:val="none" w:sz="0" w:space="0" w:color="auto"/>
        <w:right w:val="none" w:sz="0" w:space="0" w:color="auto"/>
      </w:divBdr>
    </w:div>
    <w:div w:id="1169637467">
      <w:bodyDiv w:val="1"/>
      <w:marLeft w:val="0"/>
      <w:marRight w:val="0"/>
      <w:marTop w:val="0"/>
      <w:marBottom w:val="0"/>
      <w:divBdr>
        <w:top w:val="none" w:sz="0" w:space="0" w:color="auto"/>
        <w:left w:val="none" w:sz="0" w:space="0" w:color="auto"/>
        <w:bottom w:val="none" w:sz="0" w:space="0" w:color="auto"/>
        <w:right w:val="none" w:sz="0" w:space="0" w:color="auto"/>
      </w:divBdr>
    </w:div>
    <w:div w:id="1172063279">
      <w:bodyDiv w:val="1"/>
      <w:marLeft w:val="0"/>
      <w:marRight w:val="0"/>
      <w:marTop w:val="0"/>
      <w:marBottom w:val="0"/>
      <w:divBdr>
        <w:top w:val="none" w:sz="0" w:space="0" w:color="auto"/>
        <w:left w:val="none" w:sz="0" w:space="0" w:color="auto"/>
        <w:bottom w:val="none" w:sz="0" w:space="0" w:color="auto"/>
        <w:right w:val="none" w:sz="0" w:space="0" w:color="auto"/>
      </w:divBdr>
    </w:div>
    <w:div w:id="1172185245">
      <w:bodyDiv w:val="1"/>
      <w:marLeft w:val="0"/>
      <w:marRight w:val="0"/>
      <w:marTop w:val="0"/>
      <w:marBottom w:val="0"/>
      <w:divBdr>
        <w:top w:val="none" w:sz="0" w:space="0" w:color="auto"/>
        <w:left w:val="none" w:sz="0" w:space="0" w:color="auto"/>
        <w:bottom w:val="none" w:sz="0" w:space="0" w:color="auto"/>
        <w:right w:val="none" w:sz="0" w:space="0" w:color="auto"/>
      </w:divBdr>
    </w:div>
    <w:div w:id="1173642020">
      <w:bodyDiv w:val="1"/>
      <w:marLeft w:val="0"/>
      <w:marRight w:val="0"/>
      <w:marTop w:val="0"/>
      <w:marBottom w:val="0"/>
      <w:divBdr>
        <w:top w:val="none" w:sz="0" w:space="0" w:color="auto"/>
        <w:left w:val="none" w:sz="0" w:space="0" w:color="auto"/>
        <w:bottom w:val="none" w:sz="0" w:space="0" w:color="auto"/>
        <w:right w:val="none" w:sz="0" w:space="0" w:color="auto"/>
      </w:divBdr>
    </w:div>
    <w:div w:id="1178424863">
      <w:bodyDiv w:val="1"/>
      <w:marLeft w:val="0"/>
      <w:marRight w:val="0"/>
      <w:marTop w:val="0"/>
      <w:marBottom w:val="0"/>
      <w:divBdr>
        <w:top w:val="none" w:sz="0" w:space="0" w:color="auto"/>
        <w:left w:val="none" w:sz="0" w:space="0" w:color="auto"/>
        <w:bottom w:val="none" w:sz="0" w:space="0" w:color="auto"/>
        <w:right w:val="none" w:sz="0" w:space="0" w:color="auto"/>
      </w:divBdr>
    </w:div>
    <w:div w:id="1180895740">
      <w:bodyDiv w:val="1"/>
      <w:marLeft w:val="0"/>
      <w:marRight w:val="0"/>
      <w:marTop w:val="0"/>
      <w:marBottom w:val="0"/>
      <w:divBdr>
        <w:top w:val="none" w:sz="0" w:space="0" w:color="auto"/>
        <w:left w:val="none" w:sz="0" w:space="0" w:color="auto"/>
        <w:bottom w:val="none" w:sz="0" w:space="0" w:color="auto"/>
        <w:right w:val="none" w:sz="0" w:space="0" w:color="auto"/>
      </w:divBdr>
    </w:div>
    <w:div w:id="1187988755">
      <w:bodyDiv w:val="1"/>
      <w:marLeft w:val="0"/>
      <w:marRight w:val="0"/>
      <w:marTop w:val="0"/>
      <w:marBottom w:val="0"/>
      <w:divBdr>
        <w:top w:val="none" w:sz="0" w:space="0" w:color="auto"/>
        <w:left w:val="none" w:sz="0" w:space="0" w:color="auto"/>
        <w:bottom w:val="none" w:sz="0" w:space="0" w:color="auto"/>
        <w:right w:val="none" w:sz="0" w:space="0" w:color="auto"/>
      </w:divBdr>
    </w:div>
    <w:div w:id="1188638268">
      <w:bodyDiv w:val="1"/>
      <w:marLeft w:val="0"/>
      <w:marRight w:val="0"/>
      <w:marTop w:val="0"/>
      <w:marBottom w:val="0"/>
      <w:divBdr>
        <w:top w:val="none" w:sz="0" w:space="0" w:color="auto"/>
        <w:left w:val="none" w:sz="0" w:space="0" w:color="auto"/>
        <w:bottom w:val="none" w:sz="0" w:space="0" w:color="auto"/>
        <w:right w:val="none" w:sz="0" w:space="0" w:color="auto"/>
      </w:divBdr>
    </w:div>
    <w:div w:id="1190144183">
      <w:bodyDiv w:val="1"/>
      <w:marLeft w:val="0"/>
      <w:marRight w:val="0"/>
      <w:marTop w:val="0"/>
      <w:marBottom w:val="0"/>
      <w:divBdr>
        <w:top w:val="none" w:sz="0" w:space="0" w:color="auto"/>
        <w:left w:val="none" w:sz="0" w:space="0" w:color="auto"/>
        <w:bottom w:val="none" w:sz="0" w:space="0" w:color="auto"/>
        <w:right w:val="none" w:sz="0" w:space="0" w:color="auto"/>
      </w:divBdr>
    </w:div>
    <w:div w:id="1191921161">
      <w:bodyDiv w:val="1"/>
      <w:marLeft w:val="0"/>
      <w:marRight w:val="0"/>
      <w:marTop w:val="0"/>
      <w:marBottom w:val="0"/>
      <w:divBdr>
        <w:top w:val="none" w:sz="0" w:space="0" w:color="auto"/>
        <w:left w:val="none" w:sz="0" w:space="0" w:color="auto"/>
        <w:bottom w:val="none" w:sz="0" w:space="0" w:color="auto"/>
        <w:right w:val="none" w:sz="0" w:space="0" w:color="auto"/>
      </w:divBdr>
    </w:div>
    <w:div w:id="1193112158">
      <w:bodyDiv w:val="1"/>
      <w:marLeft w:val="0"/>
      <w:marRight w:val="0"/>
      <w:marTop w:val="0"/>
      <w:marBottom w:val="0"/>
      <w:divBdr>
        <w:top w:val="none" w:sz="0" w:space="0" w:color="auto"/>
        <w:left w:val="none" w:sz="0" w:space="0" w:color="auto"/>
        <w:bottom w:val="none" w:sz="0" w:space="0" w:color="auto"/>
        <w:right w:val="none" w:sz="0" w:space="0" w:color="auto"/>
      </w:divBdr>
    </w:div>
    <w:div w:id="1194611230">
      <w:bodyDiv w:val="1"/>
      <w:marLeft w:val="0"/>
      <w:marRight w:val="0"/>
      <w:marTop w:val="0"/>
      <w:marBottom w:val="0"/>
      <w:divBdr>
        <w:top w:val="none" w:sz="0" w:space="0" w:color="auto"/>
        <w:left w:val="none" w:sz="0" w:space="0" w:color="auto"/>
        <w:bottom w:val="none" w:sz="0" w:space="0" w:color="auto"/>
        <w:right w:val="none" w:sz="0" w:space="0" w:color="auto"/>
      </w:divBdr>
    </w:div>
    <w:div w:id="1200244906">
      <w:bodyDiv w:val="1"/>
      <w:marLeft w:val="0"/>
      <w:marRight w:val="0"/>
      <w:marTop w:val="0"/>
      <w:marBottom w:val="0"/>
      <w:divBdr>
        <w:top w:val="none" w:sz="0" w:space="0" w:color="auto"/>
        <w:left w:val="none" w:sz="0" w:space="0" w:color="auto"/>
        <w:bottom w:val="none" w:sz="0" w:space="0" w:color="auto"/>
        <w:right w:val="none" w:sz="0" w:space="0" w:color="auto"/>
      </w:divBdr>
    </w:div>
    <w:div w:id="1200320711">
      <w:bodyDiv w:val="1"/>
      <w:marLeft w:val="0"/>
      <w:marRight w:val="0"/>
      <w:marTop w:val="0"/>
      <w:marBottom w:val="0"/>
      <w:divBdr>
        <w:top w:val="none" w:sz="0" w:space="0" w:color="auto"/>
        <w:left w:val="none" w:sz="0" w:space="0" w:color="auto"/>
        <w:bottom w:val="none" w:sz="0" w:space="0" w:color="auto"/>
        <w:right w:val="none" w:sz="0" w:space="0" w:color="auto"/>
      </w:divBdr>
    </w:div>
    <w:div w:id="1201093122">
      <w:bodyDiv w:val="1"/>
      <w:marLeft w:val="0"/>
      <w:marRight w:val="0"/>
      <w:marTop w:val="0"/>
      <w:marBottom w:val="0"/>
      <w:divBdr>
        <w:top w:val="none" w:sz="0" w:space="0" w:color="auto"/>
        <w:left w:val="none" w:sz="0" w:space="0" w:color="auto"/>
        <w:bottom w:val="none" w:sz="0" w:space="0" w:color="auto"/>
        <w:right w:val="none" w:sz="0" w:space="0" w:color="auto"/>
      </w:divBdr>
    </w:div>
    <w:div w:id="1203783395">
      <w:bodyDiv w:val="1"/>
      <w:marLeft w:val="0"/>
      <w:marRight w:val="0"/>
      <w:marTop w:val="0"/>
      <w:marBottom w:val="0"/>
      <w:divBdr>
        <w:top w:val="none" w:sz="0" w:space="0" w:color="auto"/>
        <w:left w:val="none" w:sz="0" w:space="0" w:color="auto"/>
        <w:bottom w:val="none" w:sz="0" w:space="0" w:color="auto"/>
        <w:right w:val="none" w:sz="0" w:space="0" w:color="auto"/>
      </w:divBdr>
    </w:div>
    <w:div w:id="1205602469">
      <w:bodyDiv w:val="1"/>
      <w:marLeft w:val="0"/>
      <w:marRight w:val="0"/>
      <w:marTop w:val="0"/>
      <w:marBottom w:val="0"/>
      <w:divBdr>
        <w:top w:val="none" w:sz="0" w:space="0" w:color="auto"/>
        <w:left w:val="none" w:sz="0" w:space="0" w:color="auto"/>
        <w:bottom w:val="none" w:sz="0" w:space="0" w:color="auto"/>
        <w:right w:val="none" w:sz="0" w:space="0" w:color="auto"/>
      </w:divBdr>
    </w:div>
    <w:div w:id="1206530123">
      <w:bodyDiv w:val="1"/>
      <w:marLeft w:val="0"/>
      <w:marRight w:val="0"/>
      <w:marTop w:val="0"/>
      <w:marBottom w:val="0"/>
      <w:divBdr>
        <w:top w:val="none" w:sz="0" w:space="0" w:color="auto"/>
        <w:left w:val="none" w:sz="0" w:space="0" w:color="auto"/>
        <w:bottom w:val="none" w:sz="0" w:space="0" w:color="auto"/>
        <w:right w:val="none" w:sz="0" w:space="0" w:color="auto"/>
      </w:divBdr>
    </w:div>
    <w:div w:id="1212304307">
      <w:bodyDiv w:val="1"/>
      <w:marLeft w:val="0"/>
      <w:marRight w:val="0"/>
      <w:marTop w:val="0"/>
      <w:marBottom w:val="0"/>
      <w:divBdr>
        <w:top w:val="none" w:sz="0" w:space="0" w:color="auto"/>
        <w:left w:val="none" w:sz="0" w:space="0" w:color="auto"/>
        <w:bottom w:val="none" w:sz="0" w:space="0" w:color="auto"/>
        <w:right w:val="none" w:sz="0" w:space="0" w:color="auto"/>
      </w:divBdr>
    </w:div>
    <w:div w:id="1213469763">
      <w:bodyDiv w:val="1"/>
      <w:marLeft w:val="0"/>
      <w:marRight w:val="0"/>
      <w:marTop w:val="0"/>
      <w:marBottom w:val="0"/>
      <w:divBdr>
        <w:top w:val="none" w:sz="0" w:space="0" w:color="auto"/>
        <w:left w:val="none" w:sz="0" w:space="0" w:color="auto"/>
        <w:bottom w:val="none" w:sz="0" w:space="0" w:color="auto"/>
        <w:right w:val="none" w:sz="0" w:space="0" w:color="auto"/>
      </w:divBdr>
    </w:div>
    <w:div w:id="1215698123">
      <w:bodyDiv w:val="1"/>
      <w:marLeft w:val="0"/>
      <w:marRight w:val="0"/>
      <w:marTop w:val="0"/>
      <w:marBottom w:val="0"/>
      <w:divBdr>
        <w:top w:val="none" w:sz="0" w:space="0" w:color="auto"/>
        <w:left w:val="none" w:sz="0" w:space="0" w:color="auto"/>
        <w:bottom w:val="none" w:sz="0" w:space="0" w:color="auto"/>
        <w:right w:val="none" w:sz="0" w:space="0" w:color="auto"/>
      </w:divBdr>
    </w:div>
    <w:div w:id="1228301635">
      <w:bodyDiv w:val="1"/>
      <w:marLeft w:val="0"/>
      <w:marRight w:val="0"/>
      <w:marTop w:val="0"/>
      <w:marBottom w:val="0"/>
      <w:divBdr>
        <w:top w:val="none" w:sz="0" w:space="0" w:color="auto"/>
        <w:left w:val="none" w:sz="0" w:space="0" w:color="auto"/>
        <w:bottom w:val="none" w:sz="0" w:space="0" w:color="auto"/>
        <w:right w:val="none" w:sz="0" w:space="0" w:color="auto"/>
      </w:divBdr>
    </w:div>
    <w:div w:id="1228757815">
      <w:bodyDiv w:val="1"/>
      <w:marLeft w:val="0"/>
      <w:marRight w:val="0"/>
      <w:marTop w:val="0"/>
      <w:marBottom w:val="0"/>
      <w:divBdr>
        <w:top w:val="none" w:sz="0" w:space="0" w:color="auto"/>
        <w:left w:val="none" w:sz="0" w:space="0" w:color="auto"/>
        <w:bottom w:val="none" w:sz="0" w:space="0" w:color="auto"/>
        <w:right w:val="none" w:sz="0" w:space="0" w:color="auto"/>
      </w:divBdr>
    </w:div>
    <w:div w:id="1230071878">
      <w:bodyDiv w:val="1"/>
      <w:marLeft w:val="0"/>
      <w:marRight w:val="0"/>
      <w:marTop w:val="0"/>
      <w:marBottom w:val="0"/>
      <w:divBdr>
        <w:top w:val="none" w:sz="0" w:space="0" w:color="auto"/>
        <w:left w:val="none" w:sz="0" w:space="0" w:color="auto"/>
        <w:bottom w:val="none" w:sz="0" w:space="0" w:color="auto"/>
        <w:right w:val="none" w:sz="0" w:space="0" w:color="auto"/>
      </w:divBdr>
    </w:div>
    <w:div w:id="1237128732">
      <w:bodyDiv w:val="1"/>
      <w:marLeft w:val="0"/>
      <w:marRight w:val="0"/>
      <w:marTop w:val="0"/>
      <w:marBottom w:val="0"/>
      <w:divBdr>
        <w:top w:val="none" w:sz="0" w:space="0" w:color="auto"/>
        <w:left w:val="none" w:sz="0" w:space="0" w:color="auto"/>
        <w:bottom w:val="none" w:sz="0" w:space="0" w:color="auto"/>
        <w:right w:val="none" w:sz="0" w:space="0" w:color="auto"/>
      </w:divBdr>
    </w:div>
    <w:div w:id="1237933436">
      <w:bodyDiv w:val="1"/>
      <w:marLeft w:val="0"/>
      <w:marRight w:val="0"/>
      <w:marTop w:val="0"/>
      <w:marBottom w:val="0"/>
      <w:divBdr>
        <w:top w:val="none" w:sz="0" w:space="0" w:color="auto"/>
        <w:left w:val="none" w:sz="0" w:space="0" w:color="auto"/>
        <w:bottom w:val="none" w:sz="0" w:space="0" w:color="auto"/>
        <w:right w:val="none" w:sz="0" w:space="0" w:color="auto"/>
      </w:divBdr>
      <w:divsChild>
        <w:div w:id="324867293">
          <w:marLeft w:val="0"/>
          <w:marRight w:val="0"/>
          <w:marTop w:val="0"/>
          <w:marBottom w:val="0"/>
          <w:divBdr>
            <w:top w:val="none" w:sz="0" w:space="0" w:color="auto"/>
            <w:left w:val="none" w:sz="0" w:space="0" w:color="auto"/>
            <w:bottom w:val="none" w:sz="0" w:space="0" w:color="auto"/>
            <w:right w:val="none" w:sz="0" w:space="0" w:color="auto"/>
          </w:divBdr>
        </w:div>
        <w:div w:id="420834617">
          <w:marLeft w:val="0"/>
          <w:marRight w:val="0"/>
          <w:marTop w:val="0"/>
          <w:marBottom w:val="0"/>
          <w:divBdr>
            <w:top w:val="none" w:sz="0" w:space="0" w:color="auto"/>
            <w:left w:val="none" w:sz="0" w:space="0" w:color="auto"/>
            <w:bottom w:val="none" w:sz="0" w:space="0" w:color="auto"/>
            <w:right w:val="none" w:sz="0" w:space="0" w:color="auto"/>
          </w:divBdr>
          <w:divsChild>
            <w:div w:id="87373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905607">
      <w:bodyDiv w:val="1"/>
      <w:marLeft w:val="0"/>
      <w:marRight w:val="0"/>
      <w:marTop w:val="0"/>
      <w:marBottom w:val="0"/>
      <w:divBdr>
        <w:top w:val="none" w:sz="0" w:space="0" w:color="auto"/>
        <w:left w:val="none" w:sz="0" w:space="0" w:color="auto"/>
        <w:bottom w:val="none" w:sz="0" w:space="0" w:color="auto"/>
        <w:right w:val="none" w:sz="0" w:space="0" w:color="auto"/>
      </w:divBdr>
    </w:div>
    <w:div w:id="1245993517">
      <w:bodyDiv w:val="1"/>
      <w:marLeft w:val="0"/>
      <w:marRight w:val="0"/>
      <w:marTop w:val="0"/>
      <w:marBottom w:val="0"/>
      <w:divBdr>
        <w:top w:val="none" w:sz="0" w:space="0" w:color="auto"/>
        <w:left w:val="none" w:sz="0" w:space="0" w:color="auto"/>
        <w:bottom w:val="none" w:sz="0" w:space="0" w:color="auto"/>
        <w:right w:val="none" w:sz="0" w:space="0" w:color="auto"/>
      </w:divBdr>
    </w:div>
    <w:div w:id="1249579448">
      <w:bodyDiv w:val="1"/>
      <w:marLeft w:val="0"/>
      <w:marRight w:val="0"/>
      <w:marTop w:val="0"/>
      <w:marBottom w:val="0"/>
      <w:divBdr>
        <w:top w:val="none" w:sz="0" w:space="0" w:color="auto"/>
        <w:left w:val="none" w:sz="0" w:space="0" w:color="auto"/>
        <w:bottom w:val="none" w:sz="0" w:space="0" w:color="auto"/>
        <w:right w:val="none" w:sz="0" w:space="0" w:color="auto"/>
      </w:divBdr>
    </w:div>
    <w:div w:id="1249580495">
      <w:bodyDiv w:val="1"/>
      <w:marLeft w:val="0"/>
      <w:marRight w:val="0"/>
      <w:marTop w:val="0"/>
      <w:marBottom w:val="0"/>
      <w:divBdr>
        <w:top w:val="none" w:sz="0" w:space="0" w:color="auto"/>
        <w:left w:val="none" w:sz="0" w:space="0" w:color="auto"/>
        <w:bottom w:val="none" w:sz="0" w:space="0" w:color="auto"/>
        <w:right w:val="none" w:sz="0" w:space="0" w:color="auto"/>
      </w:divBdr>
    </w:div>
    <w:div w:id="1250188548">
      <w:bodyDiv w:val="1"/>
      <w:marLeft w:val="0"/>
      <w:marRight w:val="0"/>
      <w:marTop w:val="0"/>
      <w:marBottom w:val="0"/>
      <w:divBdr>
        <w:top w:val="none" w:sz="0" w:space="0" w:color="auto"/>
        <w:left w:val="none" w:sz="0" w:space="0" w:color="auto"/>
        <w:bottom w:val="none" w:sz="0" w:space="0" w:color="auto"/>
        <w:right w:val="none" w:sz="0" w:space="0" w:color="auto"/>
      </w:divBdr>
    </w:div>
    <w:div w:id="1251045308">
      <w:bodyDiv w:val="1"/>
      <w:marLeft w:val="0"/>
      <w:marRight w:val="0"/>
      <w:marTop w:val="0"/>
      <w:marBottom w:val="0"/>
      <w:divBdr>
        <w:top w:val="none" w:sz="0" w:space="0" w:color="auto"/>
        <w:left w:val="none" w:sz="0" w:space="0" w:color="auto"/>
        <w:bottom w:val="none" w:sz="0" w:space="0" w:color="auto"/>
        <w:right w:val="none" w:sz="0" w:space="0" w:color="auto"/>
      </w:divBdr>
    </w:div>
    <w:div w:id="1253204215">
      <w:bodyDiv w:val="1"/>
      <w:marLeft w:val="0"/>
      <w:marRight w:val="0"/>
      <w:marTop w:val="0"/>
      <w:marBottom w:val="0"/>
      <w:divBdr>
        <w:top w:val="none" w:sz="0" w:space="0" w:color="auto"/>
        <w:left w:val="none" w:sz="0" w:space="0" w:color="auto"/>
        <w:bottom w:val="none" w:sz="0" w:space="0" w:color="auto"/>
        <w:right w:val="none" w:sz="0" w:space="0" w:color="auto"/>
      </w:divBdr>
    </w:div>
    <w:div w:id="1255163509">
      <w:bodyDiv w:val="1"/>
      <w:marLeft w:val="0"/>
      <w:marRight w:val="0"/>
      <w:marTop w:val="0"/>
      <w:marBottom w:val="0"/>
      <w:divBdr>
        <w:top w:val="none" w:sz="0" w:space="0" w:color="auto"/>
        <w:left w:val="none" w:sz="0" w:space="0" w:color="auto"/>
        <w:bottom w:val="none" w:sz="0" w:space="0" w:color="auto"/>
        <w:right w:val="none" w:sz="0" w:space="0" w:color="auto"/>
      </w:divBdr>
    </w:div>
    <w:div w:id="1258829015">
      <w:bodyDiv w:val="1"/>
      <w:marLeft w:val="0"/>
      <w:marRight w:val="0"/>
      <w:marTop w:val="0"/>
      <w:marBottom w:val="0"/>
      <w:divBdr>
        <w:top w:val="none" w:sz="0" w:space="0" w:color="auto"/>
        <w:left w:val="none" w:sz="0" w:space="0" w:color="auto"/>
        <w:bottom w:val="none" w:sz="0" w:space="0" w:color="auto"/>
        <w:right w:val="none" w:sz="0" w:space="0" w:color="auto"/>
      </w:divBdr>
    </w:div>
    <w:div w:id="1258907874">
      <w:bodyDiv w:val="1"/>
      <w:marLeft w:val="0"/>
      <w:marRight w:val="0"/>
      <w:marTop w:val="0"/>
      <w:marBottom w:val="0"/>
      <w:divBdr>
        <w:top w:val="none" w:sz="0" w:space="0" w:color="auto"/>
        <w:left w:val="none" w:sz="0" w:space="0" w:color="auto"/>
        <w:bottom w:val="none" w:sz="0" w:space="0" w:color="auto"/>
        <w:right w:val="none" w:sz="0" w:space="0" w:color="auto"/>
      </w:divBdr>
    </w:div>
    <w:div w:id="1259216346">
      <w:bodyDiv w:val="1"/>
      <w:marLeft w:val="0"/>
      <w:marRight w:val="0"/>
      <w:marTop w:val="0"/>
      <w:marBottom w:val="0"/>
      <w:divBdr>
        <w:top w:val="none" w:sz="0" w:space="0" w:color="auto"/>
        <w:left w:val="none" w:sz="0" w:space="0" w:color="auto"/>
        <w:bottom w:val="none" w:sz="0" w:space="0" w:color="auto"/>
        <w:right w:val="none" w:sz="0" w:space="0" w:color="auto"/>
      </w:divBdr>
    </w:div>
    <w:div w:id="1268734133">
      <w:bodyDiv w:val="1"/>
      <w:marLeft w:val="0"/>
      <w:marRight w:val="0"/>
      <w:marTop w:val="0"/>
      <w:marBottom w:val="0"/>
      <w:divBdr>
        <w:top w:val="none" w:sz="0" w:space="0" w:color="auto"/>
        <w:left w:val="none" w:sz="0" w:space="0" w:color="auto"/>
        <w:bottom w:val="none" w:sz="0" w:space="0" w:color="auto"/>
        <w:right w:val="none" w:sz="0" w:space="0" w:color="auto"/>
      </w:divBdr>
    </w:div>
    <w:div w:id="1270696614">
      <w:bodyDiv w:val="1"/>
      <w:marLeft w:val="0"/>
      <w:marRight w:val="0"/>
      <w:marTop w:val="0"/>
      <w:marBottom w:val="0"/>
      <w:divBdr>
        <w:top w:val="none" w:sz="0" w:space="0" w:color="auto"/>
        <w:left w:val="none" w:sz="0" w:space="0" w:color="auto"/>
        <w:bottom w:val="none" w:sz="0" w:space="0" w:color="auto"/>
        <w:right w:val="none" w:sz="0" w:space="0" w:color="auto"/>
      </w:divBdr>
    </w:div>
    <w:div w:id="1281765661">
      <w:bodyDiv w:val="1"/>
      <w:marLeft w:val="0"/>
      <w:marRight w:val="0"/>
      <w:marTop w:val="0"/>
      <w:marBottom w:val="0"/>
      <w:divBdr>
        <w:top w:val="none" w:sz="0" w:space="0" w:color="auto"/>
        <w:left w:val="none" w:sz="0" w:space="0" w:color="auto"/>
        <w:bottom w:val="none" w:sz="0" w:space="0" w:color="auto"/>
        <w:right w:val="none" w:sz="0" w:space="0" w:color="auto"/>
      </w:divBdr>
    </w:div>
    <w:div w:id="1286620653">
      <w:bodyDiv w:val="1"/>
      <w:marLeft w:val="0"/>
      <w:marRight w:val="0"/>
      <w:marTop w:val="0"/>
      <w:marBottom w:val="0"/>
      <w:divBdr>
        <w:top w:val="none" w:sz="0" w:space="0" w:color="auto"/>
        <w:left w:val="none" w:sz="0" w:space="0" w:color="auto"/>
        <w:bottom w:val="none" w:sz="0" w:space="0" w:color="auto"/>
        <w:right w:val="none" w:sz="0" w:space="0" w:color="auto"/>
      </w:divBdr>
    </w:div>
    <w:div w:id="1286887334">
      <w:bodyDiv w:val="1"/>
      <w:marLeft w:val="0"/>
      <w:marRight w:val="0"/>
      <w:marTop w:val="0"/>
      <w:marBottom w:val="0"/>
      <w:divBdr>
        <w:top w:val="none" w:sz="0" w:space="0" w:color="auto"/>
        <w:left w:val="none" w:sz="0" w:space="0" w:color="auto"/>
        <w:bottom w:val="none" w:sz="0" w:space="0" w:color="auto"/>
        <w:right w:val="none" w:sz="0" w:space="0" w:color="auto"/>
      </w:divBdr>
    </w:div>
    <w:div w:id="1291008941">
      <w:bodyDiv w:val="1"/>
      <w:marLeft w:val="0"/>
      <w:marRight w:val="0"/>
      <w:marTop w:val="0"/>
      <w:marBottom w:val="0"/>
      <w:divBdr>
        <w:top w:val="none" w:sz="0" w:space="0" w:color="auto"/>
        <w:left w:val="none" w:sz="0" w:space="0" w:color="auto"/>
        <w:bottom w:val="none" w:sz="0" w:space="0" w:color="auto"/>
        <w:right w:val="none" w:sz="0" w:space="0" w:color="auto"/>
      </w:divBdr>
    </w:div>
    <w:div w:id="1291328468">
      <w:bodyDiv w:val="1"/>
      <w:marLeft w:val="0"/>
      <w:marRight w:val="0"/>
      <w:marTop w:val="0"/>
      <w:marBottom w:val="0"/>
      <w:divBdr>
        <w:top w:val="none" w:sz="0" w:space="0" w:color="auto"/>
        <w:left w:val="none" w:sz="0" w:space="0" w:color="auto"/>
        <w:bottom w:val="none" w:sz="0" w:space="0" w:color="auto"/>
        <w:right w:val="none" w:sz="0" w:space="0" w:color="auto"/>
      </w:divBdr>
    </w:div>
    <w:div w:id="1294290867">
      <w:bodyDiv w:val="1"/>
      <w:marLeft w:val="0"/>
      <w:marRight w:val="0"/>
      <w:marTop w:val="0"/>
      <w:marBottom w:val="0"/>
      <w:divBdr>
        <w:top w:val="none" w:sz="0" w:space="0" w:color="auto"/>
        <w:left w:val="none" w:sz="0" w:space="0" w:color="auto"/>
        <w:bottom w:val="none" w:sz="0" w:space="0" w:color="auto"/>
        <w:right w:val="none" w:sz="0" w:space="0" w:color="auto"/>
      </w:divBdr>
    </w:div>
    <w:div w:id="1296519364">
      <w:bodyDiv w:val="1"/>
      <w:marLeft w:val="0"/>
      <w:marRight w:val="0"/>
      <w:marTop w:val="0"/>
      <w:marBottom w:val="0"/>
      <w:divBdr>
        <w:top w:val="none" w:sz="0" w:space="0" w:color="auto"/>
        <w:left w:val="none" w:sz="0" w:space="0" w:color="auto"/>
        <w:bottom w:val="none" w:sz="0" w:space="0" w:color="auto"/>
        <w:right w:val="none" w:sz="0" w:space="0" w:color="auto"/>
      </w:divBdr>
    </w:div>
    <w:div w:id="1297905778">
      <w:bodyDiv w:val="1"/>
      <w:marLeft w:val="0"/>
      <w:marRight w:val="0"/>
      <w:marTop w:val="0"/>
      <w:marBottom w:val="0"/>
      <w:divBdr>
        <w:top w:val="none" w:sz="0" w:space="0" w:color="auto"/>
        <w:left w:val="none" w:sz="0" w:space="0" w:color="auto"/>
        <w:bottom w:val="none" w:sz="0" w:space="0" w:color="auto"/>
        <w:right w:val="none" w:sz="0" w:space="0" w:color="auto"/>
      </w:divBdr>
    </w:div>
    <w:div w:id="1298334911">
      <w:bodyDiv w:val="1"/>
      <w:marLeft w:val="0"/>
      <w:marRight w:val="0"/>
      <w:marTop w:val="0"/>
      <w:marBottom w:val="0"/>
      <w:divBdr>
        <w:top w:val="none" w:sz="0" w:space="0" w:color="auto"/>
        <w:left w:val="none" w:sz="0" w:space="0" w:color="auto"/>
        <w:bottom w:val="none" w:sz="0" w:space="0" w:color="auto"/>
        <w:right w:val="none" w:sz="0" w:space="0" w:color="auto"/>
      </w:divBdr>
    </w:div>
    <w:div w:id="1302687627">
      <w:bodyDiv w:val="1"/>
      <w:marLeft w:val="0"/>
      <w:marRight w:val="0"/>
      <w:marTop w:val="0"/>
      <w:marBottom w:val="0"/>
      <w:divBdr>
        <w:top w:val="none" w:sz="0" w:space="0" w:color="auto"/>
        <w:left w:val="none" w:sz="0" w:space="0" w:color="auto"/>
        <w:bottom w:val="none" w:sz="0" w:space="0" w:color="auto"/>
        <w:right w:val="none" w:sz="0" w:space="0" w:color="auto"/>
      </w:divBdr>
    </w:div>
    <w:div w:id="1303736448">
      <w:bodyDiv w:val="1"/>
      <w:marLeft w:val="0"/>
      <w:marRight w:val="0"/>
      <w:marTop w:val="0"/>
      <w:marBottom w:val="0"/>
      <w:divBdr>
        <w:top w:val="none" w:sz="0" w:space="0" w:color="auto"/>
        <w:left w:val="none" w:sz="0" w:space="0" w:color="auto"/>
        <w:bottom w:val="none" w:sz="0" w:space="0" w:color="auto"/>
        <w:right w:val="none" w:sz="0" w:space="0" w:color="auto"/>
      </w:divBdr>
    </w:div>
    <w:div w:id="1308315023">
      <w:bodyDiv w:val="1"/>
      <w:marLeft w:val="0"/>
      <w:marRight w:val="0"/>
      <w:marTop w:val="0"/>
      <w:marBottom w:val="0"/>
      <w:divBdr>
        <w:top w:val="none" w:sz="0" w:space="0" w:color="auto"/>
        <w:left w:val="none" w:sz="0" w:space="0" w:color="auto"/>
        <w:bottom w:val="none" w:sz="0" w:space="0" w:color="auto"/>
        <w:right w:val="none" w:sz="0" w:space="0" w:color="auto"/>
      </w:divBdr>
    </w:div>
    <w:div w:id="1310399784">
      <w:bodyDiv w:val="1"/>
      <w:marLeft w:val="0"/>
      <w:marRight w:val="0"/>
      <w:marTop w:val="0"/>
      <w:marBottom w:val="0"/>
      <w:divBdr>
        <w:top w:val="none" w:sz="0" w:space="0" w:color="auto"/>
        <w:left w:val="none" w:sz="0" w:space="0" w:color="auto"/>
        <w:bottom w:val="none" w:sz="0" w:space="0" w:color="auto"/>
        <w:right w:val="none" w:sz="0" w:space="0" w:color="auto"/>
      </w:divBdr>
    </w:div>
    <w:div w:id="1310984377">
      <w:bodyDiv w:val="1"/>
      <w:marLeft w:val="0"/>
      <w:marRight w:val="0"/>
      <w:marTop w:val="0"/>
      <w:marBottom w:val="0"/>
      <w:divBdr>
        <w:top w:val="none" w:sz="0" w:space="0" w:color="auto"/>
        <w:left w:val="none" w:sz="0" w:space="0" w:color="auto"/>
        <w:bottom w:val="none" w:sz="0" w:space="0" w:color="auto"/>
        <w:right w:val="none" w:sz="0" w:space="0" w:color="auto"/>
      </w:divBdr>
    </w:div>
    <w:div w:id="1315838952">
      <w:bodyDiv w:val="1"/>
      <w:marLeft w:val="0"/>
      <w:marRight w:val="0"/>
      <w:marTop w:val="0"/>
      <w:marBottom w:val="0"/>
      <w:divBdr>
        <w:top w:val="none" w:sz="0" w:space="0" w:color="auto"/>
        <w:left w:val="none" w:sz="0" w:space="0" w:color="auto"/>
        <w:bottom w:val="none" w:sz="0" w:space="0" w:color="auto"/>
        <w:right w:val="none" w:sz="0" w:space="0" w:color="auto"/>
      </w:divBdr>
    </w:div>
    <w:div w:id="1316690620">
      <w:bodyDiv w:val="1"/>
      <w:marLeft w:val="0"/>
      <w:marRight w:val="0"/>
      <w:marTop w:val="0"/>
      <w:marBottom w:val="0"/>
      <w:divBdr>
        <w:top w:val="none" w:sz="0" w:space="0" w:color="auto"/>
        <w:left w:val="none" w:sz="0" w:space="0" w:color="auto"/>
        <w:bottom w:val="none" w:sz="0" w:space="0" w:color="auto"/>
        <w:right w:val="none" w:sz="0" w:space="0" w:color="auto"/>
      </w:divBdr>
    </w:div>
    <w:div w:id="1317997239">
      <w:bodyDiv w:val="1"/>
      <w:marLeft w:val="0"/>
      <w:marRight w:val="0"/>
      <w:marTop w:val="0"/>
      <w:marBottom w:val="0"/>
      <w:divBdr>
        <w:top w:val="none" w:sz="0" w:space="0" w:color="auto"/>
        <w:left w:val="none" w:sz="0" w:space="0" w:color="auto"/>
        <w:bottom w:val="none" w:sz="0" w:space="0" w:color="auto"/>
        <w:right w:val="none" w:sz="0" w:space="0" w:color="auto"/>
      </w:divBdr>
    </w:div>
    <w:div w:id="1317997285">
      <w:bodyDiv w:val="1"/>
      <w:marLeft w:val="0"/>
      <w:marRight w:val="0"/>
      <w:marTop w:val="0"/>
      <w:marBottom w:val="0"/>
      <w:divBdr>
        <w:top w:val="none" w:sz="0" w:space="0" w:color="auto"/>
        <w:left w:val="none" w:sz="0" w:space="0" w:color="auto"/>
        <w:bottom w:val="none" w:sz="0" w:space="0" w:color="auto"/>
        <w:right w:val="none" w:sz="0" w:space="0" w:color="auto"/>
      </w:divBdr>
    </w:div>
    <w:div w:id="1322852927">
      <w:bodyDiv w:val="1"/>
      <w:marLeft w:val="0"/>
      <w:marRight w:val="0"/>
      <w:marTop w:val="0"/>
      <w:marBottom w:val="0"/>
      <w:divBdr>
        <w:top w:val="none" w:sz="0" w:space="0" w:color="auto"/>
        <w:left w:val="none" w:sz="0" w:space="0" w:color="auto"/>
        <w:bottom w:val="none" w:sz="0" w:space="0" w:color="auto"/>
        <w:right w:val="none" w:sz="0" w:space="0" w:color="auto"/>
      </w:divBdr>
    </w:div>
    <w:div w:id="1325822371">
      <w:bodyDiv w:val="1"/>
      <w:marLeft w:val="0"/>
      <w:marRight w:val="0"/>
      <w:marTop w:val="0"/>
      <w:marBottom w:val="0"/>
      <w:divBdr>
        <w:top w:val="none" w:sz="0" w:space="0" w:color="auto"/>
        <w:left w:val="none" w:sz="0" w:space="0" w:color="auto"/>
        <w:bottom w:val="none" w:sz="0" w:space="0" w:color="auto"/>
        <w:right w:val="none" w:sz="0" w:space="0" w:color="auto"/>
      </w:divBdr>
    </w:div>
    <w:div w:id="1331715050">
      <w:bodyDiv w:val="1"/>
      <w:marLeft w:val="0"/>
      <w:marRight w:val="0"/>
      <w:marTop w:val="0"/>
      <w:marBottom w:val="0"/>
      <w:divBdr>
        <w:top w:val="none" w:sz="0" w:space="0" w:color="auto"/>
        <w:left w:val="none" w:sz="0" w:space="0" w:color="auto"/>
        <w:bottom w:val="none" w:sz="0" w:space="0" w:color="auto"/>
        <w:right w:val="none" w:sz="0" w:space="0" w:color="auto"/>
      </w:divBdr>
    </w:div>
    <w:div w:id="1338193374">
      <w:bodyDiv w:val="1"/>
      <w:marLeft w:val="0"/>
      <w:marRight w:val="0"/>
      <w:marTop w:val="0"/>
      <w:marBottom w:val="0"/>
      <w:divBdr>
        <w:top w:val="none" w:sz="0" w:space="0" w:color="auto"/>
        <w:left w:val="none" w:sz="0" w:space="0" w:color="auto"/>
        <w:bottom w:val="none" w:sz="0" w:space="0" w:color="auto"/>
        <w:right w:val="none" w:sz="0" w:space="0" w:color="auto"/>
      </w:divBdr>
    </w:div>
    <w:div w:id="1339386923">
      <w:bodyDiv w:val="1"/>
      <w:marLeft w:val="0"/>
      <w:marRight w:val="0"/>
      <w:marTop w:val="0"/>
      <w:marBottom w:val="0"/>
      <w:divBdr>
        <w:top w:val="none" w:sz="0" w:space="0" w:color="auto"/>
        <w:left w:val="none" w:sz="0" w:space="0" w:color="auto"/>
        <w:bottom w:val="none" w:sz="0" w:space="0" w:color="auto"/>
        <w:right w:val="none" w:sz="0" w:space="0" w:color="auto"/>
      </w:divBdr>
    </w:div>
    <w:div w:id="1341003949">
      <w:bodyDiv w:val="1"/>
      <w:marLeft w:val="0"/>
      <w:marRight w:val="0"/>
      <w:marTop w:val="0"/>
      <w:marBottom w:val="0"/>
      <w:divBdr>
        <w:top w:val="none" w:sz="0" w:space="0" w:color="auto"/>
        <w:left w:val="none" w:sz="0" w:space="0" w:color="auto"/>
        <w:bottom w:val="none" w:sz="0" w:space="0" w:color="auto"/>
        <w:right w:val="none" w:sz="0" w:space="0" w:color="auto"/>
      </w:divBdr>
    </w:div>
    <w:div w:id="1341590514">
      <w:bodyDiv w:val="1"/>
      <w:marLeft w:val="0"/>
      <w:marRight w:val="0"/>
      <w:marTop w:val="0"/>
      <w:marBottom w:val="0"/>
      <w:divBdr>
        <w:top w:val="none" w:sz="0" w:space="0" w:color="auto"/>
        <w:left w:val="none" w:sz="0" w:space="0" w:color="auto"/>
        <w:bottom w:val="none" w:sz="0" w:space="0" w:color="auto"/>
        <w:right w:val="none" w:sz="0" w:space="0" w:color="auto"/>
      </w:divBdr>
    </w:div>
    <w:div w:id="1341615420">
      <w:bodyDiv w:val="1"/>
      <w:marLeft w:val="0"/>
      <w:marRight w:val="0"/>
      <w:marTop w:val="0"/>
      <w:marBottom w:val="0"/>
      <w:divBdr>
        <w:top w:val="none" w:sz="0" w:space="0" w:color="auto"/>
        <w:left w:val="none" w:sz="0" w:space="0" w:color="auto"/>
        <w:bottom w:val="none" w:sz="0" w:space="0" w:color="auto"/>
        <w:right w:val="none" w:sz="0" w:space="0" w:color="auto"/>
      </w:divBdr>
    </w:div>
    <w:div w:id="1345285488">
      <w:bodyDiv w:val="1"/>
      <w:marLeft w:val="0"/>
      <w:marRight w:val="0"/>
      <w:marTop w:val="0"/>
      <w:marBottom w:val="0"/>
      <w:divBdr>
        <w:top w:val="none" w:sz="0" w:space="0" w:color="auto"/>
        <w:left w:val="none" w:sz="0" w:space="0" w:color="auto"/>
        <w:bottom w:val="none" w:sz="0" w:space="0" w:color="auto"/>
        <w:right w:val="none" w:sz="0" w:space="0" w:color="auto"/>
      </w:divBdr>
    </w:div>
    <w:div w:id="1345589381">
      <w:bodyDiv w:val="1"/>
      <w:marLeft w:val="0"/>
      <w:marRight w:val="0"/>
      <w:marTop w:val="0"/>
      <w:marBottom w:val="0"/>
      <w:divBdr>
        <w:top w:val="none" w:sz="0" w:space="0" w:color="auto"/>
        <w:left w:val="none" w:sz="0" w:space="0" w:color="auto"/>
        <w:bottom w:val="none" w:sz="0" w:space="0" w:color="auto"/>
        <w:right w:val="none" w:sz="0" w:space="0" w:color="auto"/>
      </w:divBdr>
    </w:div>
    <w:div w:id="1346135312">
      <w:bodyDiv w:val="1"/>
      <w:marLeft w:val="0"/>
      <w:marRight w:val="0"/>
      <w:marTop w:val="0"/>
      <w:marBottom w:val="0"/>
      <w:divBdr>
        <w:top w:val="none" w:sz="0" w:space="0" w:color="auto"/>
        <w:left w:val="none" w:sz="0" w:space="0" w:color="auto"/>
        <w:bottom w:val="none" w:sz="0" w:space="0" w:color="auto"/>
        <w:right w:val="none" w:sz="0" w:space="0" w:color="auto"/>
      </w:divBdr>
    </w:div>
    <w:div w:id="1347294231">
      <w:bodyDiv w:val="1"/>
      <w:marLeft w:val="0"/>
      <w:marRight w:val="0"/>
      <w:marTop w:val="0"/>
      <w:marBottom w:val="0"/>
      <w:divBdr>
        <w:top w:val="none" w:sz="0" w:space="0" w:color="auto"/>
        <w:left w:val="none" w:sz="0" w:space="0" w:color="auto"/>
        <w:bottom w:val="none" w:sz="0" w:space="0" w:color="auto"/>
        <w:right w:val="none" w:sz="0" w:space="0" w:color="auto"/>
      </w:divBdr>
    </w:div>
    <w:div w:id="1350832491">
      <w:bodyDiv w:val="1"/>
      <w:marLeft w:val="0"/>
      <w:marRight w:val="0"/>
      <w:marTop w:val="0"/>
      <w:marBottom w:val="0"/>
      <w:divBdr>
        <w:top w:val="none" w:sz="0" w:space="0" w:color="auto"/>
        <w:left w:val="none" w:sz="0" w:space="0" w:color="auto"/>
        <w:bottom w:val="none" w:sz="0" w:space="0" w:color="auto"/>
        <w:right w:val="none" w:sz="0" w:space="0" w:color="auto"/>
      </w:divBdr>
    </w:div>
    <w:div w:id="1352873284">
      <w:bodyDiv w:val="1"/>
      <w:marLeft w:val="0"/>
      <w:marRight w:val="0"/>
      <w:marTop w:val="0"/>
      <w:marBottom w:val="0"/>
      <w:divBdr>
        <w:top w:val="none" w:sz="0" w:space="0" w:color="auto"/>
        <w:left w:val="none" w:sz="0" w:space="0" w:color="auto"/>
        <w:bottom w:val="none" w:sz="0" w:space="0" w:color="auto"/>
        <w:right w:val="none" w:sz="0" w:space="0" w:color="auto"/>
      </w:divBdr>
    </w:div>
    <w:div w:id="1353536831">
      <w:bodyDiv w:val="1"/>
      <w:marLeft w:val="0"/>
      <w:marRight w:val="0"/>
      <w:marTop w:val="0"/>
      <w:marBottom w:val="0"/>
      <w:divBdr>
        <w:top w:val="none" w:sz="0" w:space="0" w:color="auto"/>
        <w:left w:val="none" w:sz="0" w:space="0" w:color="auto"/>
        <w:bottom w:val="none" w:sz="0" w:space="0" w:color="auto"/>
        <w:right w:val="none" w:sz="0" w:space="0" w:color="auto"/>
      </w:divBdr>
    </w:div>
    <w:div w:id="1354453861">
      <w:bodyDiv w:val="1"/>
      <w:marLeft w:val="0"/>
      <w:marRight w:val="0"/>
      <w:marTop w:val="0"/>
      <w:marBottom w:val="0"/>
      <w:divBdr>
        <w:top w:val="none" w:sz="0" w:space="0" w:color="auto"/>
        <w:left w:val="none" w:sz="0" w:space="0" w:color="auto"/>
        <w:bottom w:val="none" w:sz="0" w:space="0" w:color="auto"/>
        <w:right w:val="none" w:sz="0" w:space="0" w:color="auto"/>
      </w:divBdr>
    </w:div>
    <w:div w:id="1356154793">
      <w:bodyDiv w:val="1"/>
      <w:marLeft w:val="0"/>
      <w:marRight w:val="0"/>
      <w:marTop w:val="0"/>
      <w:marBottom w:val="0"/>
      <w:divBdr>
        <w:top w:val="none" w:sz="0" w:space="0" w:color="auto"/>
        <w:left w:val="none" w:sz="0" w:space="0" w:color="auto"/>
        <w:bottom w:val="none" w:sz="0" w:space="0" w:color="auto"/>
        <w:right w:val="none" w:sz="0" w:space="0" w:color="auto"/>
      </w:divBdr>
    </w:div>
    <w:div w:id="1356468069">
      <w:bodyDiv w:val="1"/>
      <w:marLeft w:val="0"/>
      <w:marRight w:val="0"/>
      <w:marTop w:val="0"/>
      <w:marBottom w:val="0"/>
      <w:divBdr>
        <w:top w:val="none" w:sz="0" w:space="0" w:color="auto"/>
        <w:left w:val="none" w:sz="0" w:space="0" w:color="auto"/>
        <w:bottom w:val="none" w:sz="0" w:space="0" w:color="auto"/>
        <w:right w:val="none" w:sz="0" w:space="0" w:color="auto"/>
      </w:divBdr>
    </w:div>
    <w:div w:id="1356468126">
      <w:bodyDiv w:val="1"/>
      <w:marLeft w:val="0"/>
      <w:marRight w:val="0"/>
      <w:marTop w:val="0"/>
      <w:marBottom w:val="0"/>
      <w:divBdr>
        <w:top w:val="none" w:sz="0" w:space="0" w:color="auto"/>
        <w:left w:val="none" w:sz="0" w:space="0" w:color="auto"/>
        <w:bottom w:val="none" w:sz="0" w:space="0" w:color="auto"/>
        <w:right w:val="none" w:sz="0" w:space="0" w:color="auto"/>
      </w:divBdr>
    </w:div>
    <w:div w:id="1358501132">
      <w:bodyDiv w:val="1"/>
      <w:marLeft w:val="0"/>
      <w:marRight w:val="0"/>
      <w:marTop w:val="0"/>
      <w:marBottom w:val="0"/>
      <w:divBdr>
        <w:top w:val="none" w:sz="0" w:space="0" w:color="auto"/>
        <w:left w:val="none" w:sz="0" w:space="0" w:color="auto"/>
        <w:bottom w:val="none" w:sz="0" w:space="0" w:color="auto"/>
        <w:right w:val="none" w:sz="0" w:space="0" w:color="auto"/>
      </w:divBdr>
    </w:div>
    <w:div w:id="1364211164">
      <w:bodyDiv w:val="1"/>
      <w:marLeft w:val="0"/>
      <w:marRight w:val="0"/>
      <w:marTop w:val="0"/>
      <w:marBottom w:val="0"/>
      <w:divBdr>
        <w:top w:val="none" w:sz="0" w:space="0" w:color="auto"/>
        <w:left w:val="none" w:sz="0" w:space="0" w:color="auto"/>
        <w:bottom w:val="none" w:sz="0" w:space="0" w:color="auto"/>
        <w:right w:val="none" w:sz="0" w:space="0" w:color="auto"/>
      </w:divBdr>
    </w:div>
    <w:div w:id="1365522926">
      <w:bodyDiv w:val="1"/>
      <w:marLeft w:val="0"/>
      <w:marRight w:val="0"/>
      <w:marTop w:val="0"/>
      <w:marBottom w:val="0"/>
      <w:divBdr>
        <w:top w:val="none" w:sz="0" w:space="0" w:color="auto"/>
        <w:left w:val="none" w:sz="0" w:space="0" w:color="auto"/>
        <w:bottom w:val="none" w:sz="0" w:space="0" w:color="auto"/>
        <w:right w:val="none" w:sz="0" w:space="0" w:color="auto"/>
      </w:divBdr>
    </w:div>
    <w:div w:id="1368023460">
      <w:bodyDiv w:val="1"/>
      <w:marLeft w:val="0"/>
      <w:marRight w:val="0"/>
      <w:marTop w:val="0"/>
      <w:marBottom w:val="0"/>
      <w:divBdr>
        <w:top w:val="none" w:sz="0" w:space="0" w:color="auto"/>
        <w:left w:val="none" w:sz="0" w:space="0" w:color="auto"/>
        <w:bottom w:val="none" w:sz="0" w:space="0" w:color="auto"/>
        <w:right w:val="none" w:sz="0" w:space="0" w:color="auto"/>
      </w:divBdr>
    </w:div>
    <w:div w:id="1374579172">
      <w:bodyDiv w:val="1"/>
      <w:marLeft w:val="0"/>
      <w:marRight w:val="0"/>
      <w:marTop w:val="0"/>
      <w:marBottom w:val="0"/>
      <w:divBdr>
        <w:top w:val="none" w:sz="0" w:space="0" w:color="auto"/>
        <w:left w:val="none" w:sz="0" w:space="0" w:color="auto"/>
        <w:bottom w:val="none" w:sz="0" w:space="0" w:color="auto"/>
        <w:right w:val="none" w:sz="0" w:space="0" w:color="auto"/>
      </w:divBdr>
    </w:div>
    <w:div w:id="1378776418">
      <w:bodyDiv w:val="1"/>
      <w:marLeft w:val="0"/>
      <w:marRight w:val="0"/>
      <w:marTop w:val="0"/>
      <w:marBottom w:val="0"/>
      <w:divBdr>
        <w:top w:val="none" w:sz="0" w:space="0" w:color="auto"/>
        <w:left w:val="none" w:sz="0" w:space="0" w:color="auto"/>
        <w:bottom w:val="none" w:sz="0" w:space="0" w:color="auto"/>
        <w:right w:val="none" w:sz="0" w:space="0" w:color="auto"/>
      </w:divBdr>
    </w:div>
    <w:div w:id="1379621631">
      <w:bodyDiv w:val="1"/>
      <w:marLeft w:val="0"/>
      <w:marRight w:val="0"/>
      <w:marTop w:val="0"/>
      <w:marBottom w:val="0"/>
      <w:divBdr>
        <w:top w:val="none" w:sz="0" w:space="0" w:color="auto"/>
        <w:left w:val="none" w:sz="0" w:space="0" w:color="auto"/>
        <w:bottom w:val="none" w:sz="0" w:space="0" w:color="auto"/>
        <w:right w:val="none" w:sz="0" w:space="0" w:color="auto"/>
      </w:divBdr>
    </w:div>
    <w:div w:id="1379893173">
      <w:bodyDiv w:val="1"/>
      <w:marLeft w:val="0"/>
      <w:marRight w:val="0"/>
      <w:marTop w:val="0"/>
      <w:marBottom w:val="0"/>
      <w:divBdr>
        <w:top w:val="none" w:sz="0" w:space="0" w:color="auto"/>
        <w:left w:val="none" w:sz="0" w:space="0" w:color="auto"/>
        <w:bottom w:val="none" w:sz="0" w:space="0" w:color="auto"/>
        <w:right w:val="none" w:sz="0" w:space="0" w:color="auto"/>
      </w:divBdr>
    </w:div>
    <w:div w:id="1380976721">
      <w:bodyDiv w:val="1"/>
      <w:marLeft w:val="0"/>
      <w:marRight w:val="0"/>
      <w:marTop w:val="0"/>
      <w:marBottom w:val="0"/>
      <w:divBdr>
        <w:top w:val="none" w:sz="0" w:space="0" w:color="auto"/>
        <w:left w:val="none" w:sz="0" w:space="0" w:color="auto"/>
        <w:bottom w:val="none" w:sz="0" w:space="0" w:color="auto"/>
        <w:right w:val="none" w:sz="0" w:space="0" w:color="auto"/>
      </w:divBdr>
    </w:div>
    <w:div w:id="1384795481">
      <w:bodyDiv w:val="1"/>
      <w:marLeft w:val="0"/>
      <w:marRight w:val="0"/>
      <w:marTop w:val="0"/>
      <w:marBottom w:val="0"/>
      <w:divBdr>
        <w:top w:val="none" w:sz="0" w:space="0" w:color="auto"/>
        <w:left w:val="none" w:sz="0" w:space="0" w:color="auto"/>
        <w:bottom w:val="none" w:sz="0" w:space="0" w:color="auto"/>
        <w:right w:val="none" w:sz="0" w:space="0" w:color="auto"/>
      </w:divBdr>
    </w:div>
    <w:div w:id="1392194704">
      <w:bodyDiv w:val="1"/>
      <w:marLeft w:val="0"/>
      <w:marRight w:val="0"/>
      <w:marTop w:val="0"/>
      <w:marBottom w:val="0"/>
      <w:divBdr>
        <w:top w:val="none" w:sz="0" w:space="0" w:color="auto"/>
        <w:left w:val="none" w:sz="0" w:space="0" w:color="auto"/>
        <w:bottom w:val="none" w:sz="0" w:space="0" w:color="auto"/>
        <w:right w:val="none" w:sz="0" w:space="0" w:color="auto"/>
      </w:divBdr>
    </w:div>
    <w:div w:id="1393693653">
      <w:bodyDiv w:val="1"/>
      <w:marLeft w:val="0"/>
      <w:marRight w:val="0"/>
      <w:marTop w:val="0"/>
      <w:marBottom w:val="0"/>
      <w:divBdr>
        <w:top w:val="none" w:sz="0" w:space="0" w:color="auto"/>
        <w:left w:val="none" w:sz="0" w:space="0" w:color="auto"/>
        <w:bottom w:val="none" w:sz="0" w:space="0" w:color="auto"/>
        <w:right w:val="none" w:sz="0" w:space="0" w:color="auto"/>
      </w:divBdr>
    </w:div>
    <w:div w:id="1396657312">
      <w:bodyDiv w:val="1"/>
      <w:marLeft w:val="0"/>
      <w:marRight w:val="0"/>
      <w:marTop w:val="0"/>
      <w:marBottom w:val="0"/>
      <w:divBdr>
        <w:top w:val="none" w:sz="0" w:space="0" w:color="auto"/>
        <w:left w:val="none" w:sz="0" w:space="0" w:color="auto"/>
        <w:bottom w:val="none" w:sz="0" w:space="0" w:color="auto"/>
        <w:right w:val="none" w:sz="0" w:space="0" w:color="auto"/>
      </w:divBdr>
    </w:div>
    <w:div w:id="1397170585">
      <w:bodyDiv w:val="1"/>
      <w:marLeft w:val="0"/>
      <w:marRight w:val="0"/>
      <w:marTop w:val="0"/>
      <w:marBottom w:val="0"/>
      <w:divBdr>
        <w:top w:val="none" w:sz="0" w:space="0" w:color="auto"/>
        <w:left w:val="none" w:sz="0" w:space="0" w:color="auto"/>
        <w:bottom w:val="none" w:sz="0" w:space="0" w:color="auto"/>
        <w:right w:val="none" w:sz="0" w:space="0" w:color="auto"/>
      </w:divBdr>
    </w:div>
    <w:div w:id="1400908870">
      <w:bodyDiv w:val="1"/>
      <w:marLeft w:val="0"/>
      <w:marRight w:val="0"/>
      <w:marTop w:val="0"/>
      <w:marBottom w:val="0"/>
      <w:divBdr>
        <w:top w:val="none" w:sz="0" w:space="0" w:color="auto"/>
        <w:left w:val="none" w:sz="0" w:space="0" w:color="auto"/>
        <w:bottom w:val="none" w:sz="0" w:space="0" w:color="auto"/>
        <w:right w:val="none" w:sz="0" w:space="0" w:color="auto"/>
      </w:divBdr>
    </w:div>
    <w:div w:id="1404907329">
      <w:bodyDiv w:val="1"/>
      <w:marLeft w:val="0"/>
      <w:marRight w:val="0"/>
      <w:marTop w:val="0"/>
      <w:marBottom w:val="0"/>
      <w:divBdr>
        <w:top w:val="none" w:sz="0" w:space="0" w:color="auto"/>
        <w:left w:val="none" w:sz="0" w:space="0" w:color="auto"/>
        <w:bottom w:val="none" w:sz="0" w:space="0" w:color="auto"/>
        <w:right w:val="none" w:sz="0" w:space="0" w:color="auto"/>
      </w:divBdr>
    </w:div>
    <w:div w:id="1408453472">
      <w:bodyDiv w:val="1"/>
      <w:marLeft w:val="0"/>
      <w:marRight w:val="0"/>
      <w:marTop w:val="0"/>
      <w:marBottom w:val="0"/>
      <w:divBdr>
        <w:top w:val="none" w:sz="0" w:space="0" w:color="auto"/>
        <w:left w:val="none" w:sz="0" w:space="0" w:color="auto"/>
        <w:bottom w:val="none" w:sz="0" w:space="0" w:color="auto"/>
        <w:right w:val="none" w:sz="0" w:space="0" w:color="auto"/>
      </w:divBdr>
    </w:div>
    <w:div w:id="1408765490">
      <w:bodyDiv w:val="1"/>
      <w:marLeft w:val="0"/>
      <w:marRight w:val="0"/>
      <w:marTop w:val="0"/>
      <w:marBottom w:val="0"/>
      <w:divBdr>
        <w:top w:val="none" w:sz="0" w:space="0" w:color="auto"/>
        <w:left w:val="none" w:sz="0" w:space="0" w:color="auto"/>
        <w:bottom w:val="none" w:sz="0" w:space="0" w:color="auto"/>
        <w:right w:val="none" w:sz="0" w:space="0" w:color="auto"/>
      </w:divBdr>
    </w:div>
    <w:div w:id="1416586941">
      <w:bodyDiv w:val="1"/>
      <w:marLeft w:val="0"/>
      <w:marRight w:val="0"/>
      <w:marTop w:val="0"/>
      <w:marBottom w:val="0"/>
      <w:divBdr>
        <w:top w:val="none" w:sz="0" w:space="0" w:color="auto"/>
        <w:left w:val="none" w:sz="0" w:space="0" w:color="auto"/>
        <w:bottom w:val="none" w:sz="0" w:space="0" w:color="auto"/>
        <w:right w:val="none" w:sz="0" w:space="0" w:color="auto"/>
      </w:divBdr>
    </w:div>
    <w:div w:id="1417290840">
      <w:bodyDiv w:val="1"/>
      <w:marLeft w:val="0"/>
      <w:marRight w:val="0"/>
      <w:marTop w:val="0"/>
      <w:marBottom w:val="0"/>
      <w:divBdr>
        <w:top w:val="none" w:sz="0" w:space="0" w:color="auto"/>
        <w:left w:val="none" w:sz="0" w:space="0" w:color="auto"/>
        <w:bottom w:val="none" w:sz="0" w:space="0" w:color="auto"/>
        <w:right w:val="none" w:sz="0" w:space="0" w:color="auto"/>
      </w:divBdr>
    </w:div>
    <w:div w:id="1419407323">
      <w:bodyDiv w:val="1"/>
      <w:marLeft w:val="0"/>
      <w:marRight w:val="0"/>
      <w:marTop w:val="0"/>
      <w:marBottom w:val="0"/>
      <w:divBdr>
        <w:top w:val="none" w:sz="0" w:space="0" w:color="auto"/>
        <w:left w:val="none" w:sz="0" w:space="0" w:color="auto"/>
        <w:bottom w:val="none" w:sz="0" w:space="0" w:color="auto"/>
        <w:right w:val="none" w:sz="0" w:space="0" w:color="auto"/>
      </w:divBdr>
    </w:div>
    <w:div w:id="1424453752">
      <w:bodyDiv w:val="1"/>
      <w:marLeft w:val="0"/>
      <w:marRight w:val="0"/>
      <w:marTop w:val="0"/>
      <w:marBottom w:val="0"/>
      <w:divBdr>
        <w:top w:val="none" w:sz="0" w:space="0" w:color="auto"/>
        <w:left w:val="none" w:sz="0" w:space="0" w:color="auto"/>
        <w:bottom w:val="none" w:sz="0" w:space="0" w:color="auto"/>
        <w:right w:val="none" w:sz="0" w:space="0" w:color="auto"/>
      </w:divBdr>
    </w:div>
    <w:div w:id="1425952256">
      <w:bodyDiv w:val="1"/>
      <w:marLeft w:val="0"/>
      <w:marRight w:val="0"/>
      <w:marTop w:val="0"/>
      <w:marBottom w:val="0"/>
      <w:divBdr>
        <w:top w:val="none" w:sz="0" w:space="0" w:color="auto"/>
        <w:left w:val="none" w:sz="0" w:space="0" w:color="auto"/>
        <w:bottom w:val="none" w:sz="0" w:space="0" w:color="auto"/>
        <w:right w:val="none" w:sz="0" w:space="0" w:color="auto"/>
      </w:divBdr>
    </w:div>
    <w:div w:id="1430464339">
      <w:bodyDiv w:val="1"/>
      <w:marLeft w:val="0"/>
      <w:marRight w:val="0"/>
      <w:marTop w:val="0"/>
      <w:marBottom w:val="0"/>
      <w:divBdr>
        <w:top w:val="none" w:sz="0" w:space="0" w:color="auto"/>
        <w:left w:val="none" w:sz="0" w:space="0" w:color="auto"/>
        <w:bottom w:val="none" w:sz="0" w:space="0" w:color="auto"/>
        <w:right w:val="none" w:sz="0" w:space="0" w:color="auto"/>
      </w:divBdr>
    </w:div>
    <w:div w:id="1434013683">
      <w:bodyDiv w:val="1"/>
      <w:marLeft w:val="0"/>
      <w:marRight w:val="0"/>
      <w:marTop w:val="0"/>
      <w:marBottom w:val="0"/>
      <w:divBdr>
        <w:top w:val="none" w:sz="0" w:space="0" w:color="auto"/>
        <w:left w:val="none" w:sz="0" w:space="0" w:color="auto"/>
        <w:bottom w:val="none" w:sz="0" w:space="0" w:color="auto"/>
        <w:right w:val="none" w:sz="0" w:space="0" w:color="auto"/>
      </w:divBdr>
    </w:div>
    <w:div w:id="1438793603">
      <w:bodyDiv w:val="1"/>
      <w:marLeft w:val="0"/>
      <w:marRight w:val="0"/>
      <w:marTop w:val="0"/>
      <w:marBottom w:val="0"/>
      <w:divBdr>
        <w:top w:val="none" w:sz="0" w:space="0" w:color="auto"/>
        <w:left w:val="none" w:sz="0" w:space="0" w:color="auto"/>
        <w:bottom w:val="none" w:sz="0" w:space="0" w:color="auto"/>
        <w:right w:val="none" w:sz="0" w:space="0" w:color="auto"/>
      </w:divBdr>
    </w:div>
    <w:div w:id="1440761945">
      <w:bodyDiv w:val="1"/>
      <w:marLeft w:val="0"/>
      <w:marRight w:val="0"/>
      <w:marTop w:val="0"/>
      <w:marBottom w:val="0"/>
      <w:divBdr>
        <w:top w:val="none" w:sz="0" w:space="0" w:color="auto"/>
        <w:left w:val="none" w:sz="0" w:space="0" w:color="auto"/>
        <w:bottom w:val="none" w:sz="0" w:space="0" w:color="auto"/>
        <w:right w:val="none" w:sz="0" w:space="0" w:color="auto"/>
      </w:divBdr>
    </w:div>
    <w:div w:id="1441952412">
      <w:bodyDiv w:val="1"/>
      <w:marLeft w:val="0"/>
      <w:marRight w:val="0"/>
      <w:marTop w:val="0"/>
      <w:marBottom w:val="0"/>
      <w:divBdr>
        <w:top w:val="none" w:sz="0" w:space="0" w:color="auto"/>
        <w:left w:val="none" w:sz="0" w:space="0" w:color="auto"/>
        <w:bottom w:val="none" w:sz="0" w:space="0" w:color="auto"/>
        <w:right w:val="none" w:sz="0" w:space="0" w:color="auto"/>
      </w:divBdr>
    </w:div>
    <w:div w:id="1443114909">
      <w:bodyDiv w:val="1"/>
      <w:marLeft w:val="0"/>
      <w:marRight w:val="0"/>
      <w:marTop w:val="0"/>
      <w:marBottom w:val="0"/>
      <w:divBdr>
        <w:top w:val="none" w:sz="0" w:space="0" w:color="auto"/>
        <w:left w:val="none" w:sz="0" w:space="0" w:color="auto"/>
        <w:bottom w:val="none" w:sz="0" w:space="0" w:color="auto"/>
        <w:right w:val="none" w:sz="0" w:space="0" w:color="auto"/>
      </w:divBdr>
    </w:div>
    <w:div w:id="1443188563">
      <w:bodyDiv w:val="1"/>
      <w:marLeft w:val="0"/>
      <w:marRight w:val="0"/>
      <w:marTop w:val="0"/>
      <w:marBottom w:val="0"/>
      <w:divBdr>
        <w:top w:val="none" w:sz="0" w:space="0" w:color="auto"/>
        <w:left w:val="none" w:sz="0" w:space="0" w:color="auto"/>
        <w:bottom w:val="none" w:sz="0" w:space="0" w:color="auto"/>
        <w:right w:val="none" w:sz="0" w:space="0" w:color="auto"/>
      </w:divBdr>
    </w:div>
    <w:div w:id="1444038368">
      <w:bodyDiv w:val="1"/>
      <w:marLeft w:val="0"/>
      <w:marRight w:val="0"/>
      <w:marTop w:val="0"/>
      <w:marBottom w:val="0"/>
      <w:divBdr>
        <w:top w:val="none" w:sz="0" w:space="0" w:color="auto"/>
        <w:left w:val="none" w:sz="0" w:space="0" w:color="auto"/>
        <w:bottom w:val="none" w:sz="0" w:space="0" w:color="auto"/>
        <w:right w:val="none" w:sz="0" w:space="0" w:color="auto"/>
      </w:divBdr>
    </w:div>
    <w:div w:id="1451432171">
      <w:bodyDiv w:val="1"/>
      <w:marLeft w:val="0"/>
      <w:marRight w:val="0"/>
      <w:marTop w:val="0"/>
      <w:marBottom w:val="0"/>
      <w:divBdr>
        <w:top w:val="none" w:sz="0" w:space="0" w:color="auto"/>
        <w:left w:val="none" w:sz="0" w:space="0" w:color="auto"/>
        <w:bottom w:val="none" w:sz="0" w:space="0" w:color="auto"/>
        <w:right w:val="none" w:sz="0" w:space="0" w:color="auto"/>
      </w:divBdr>
    </w:div>
    <w:div w:id="1455102120">
      <w:bodyDiv w:val="1"/>
      <w:marLeft w:val="0"/>
      <w:marRight w:val="0"/>
      <w:marTop w:val="0"/>
      <w:marBottom w:val="0"/>
      <w:divBdr>
        <w:top w:val="none" w:sz="0" w:space="0" w:color="auto"/>
        <w:left w:val="none" w:sz="0" w:space="0" w:color="auto"/>
        <w:bottom w:val="none" w:sz="0" w:space="0" w:color="auto"/>
        <w:right w:val="none" w:sz="0" w:space="0" w:color="auto"/>
      </w:divBdr>
    </w:div>
    <w:div w:id="1456757320">
      <w:bodyDiv w:val="1"/>
      <w:marLeft w:val="0"/>
      <w:marRight w:val="0"/>
      <w:marTop w:val="0"/>
      <w:marBottom w:val="0"/>
      <w:divBdr>
        <w:top w:val="none" w:sz="0" w:space="0" w:color="auto"/>
        <w:left w:val="none" w:sz="0" w:space="0" w:color="auto"/>
        <w:bottom w:val="none" w:sz="0" w:space="0" w:color="auto"/>
        <w:right w:val="none" w:sz="0" w:space="0" w:color="auto"/>
      </w:divBdr>
    </w:div>
    <w:div w:id="1461918115">
      <w:bodyDiv w:val="1"/>
      <w:marLeft w:val="0"/>
      <w:marRight w:val="0"/>
      <w:marTop w:val="0"/>
      <w:marBottom w:val="0"/>
      <w:divBdr>
        <w:top w:val="none" w:sz="0" w:space="0" w:color="auto"/>
        <w:left w:val="none" w:sz="0" w:space="0" w:color="auto"/>
        <w:bottom w:val="none" w:sz="0" w:space="0" w:color="auto"/>
        <w:right w:val="none" w:sz="0" w:space="0" w:color="auto"/>
      </w:divBdr>
    </w:div>
    <w:div w:id="1466705318">
      <w:bodyDiv w:val="1"/>
      <w:marLeft w:val="0"/>
      <w:marRight w:val="0"/>
      <w:marTop w:val="0"/>
      <w:marBottom w:val="0"/>
      <w:divBdr>
        <w:top w:val="none" w:sz="0" w:space="0" w:color="auto"/>
        <w:left w:val="none" w:sz="0" w:space="0" w:color="auto"/>
        <w:bottom w:val="none" w:sz="0" w:space="0" w:color="auto"/>
        <w:right w:val="none" w:sz="0" w:space="0" w:color="auto"/>
      </w:divBdr>
    </w:div>
    <w:div w:id="1467234817">
      <w:bodyDiv w:val="1"/>
      <w:marLeft w:val="0"/>
      <w:marRight w:val="0"/>
      <w:marTop w:val="0"/>
      <w:marBottom w:val="0"/>
      <w:divBdr>
        <w:top w:val="none" w:sz="0" w:space="0" w:color="auto"/>
        <w:left w:val="none" w:sz="0" w:space="0" w:color="auto"/>
        <w:bottom w:val="none" w:sz="0" w:space="0" w:color="auto"/>
        <w:right w:val="none" w:sz="0" w:space="0" w:color="auto"/>
      </w:divBdr>
    </w:div>
    <w:div w:id="1468008752">
      <w:bodyDiv w:val="1"/>
      <w:marLeft w:val="0"/>
      <w:marRight w:val="0"/>
      <w:marTop w:val="0"/>
      <w:marBottom w:val="0"/>
      <w:divBdr>
        <w:top w:val="none" w:sz="0" w:space="0" w:color="auto"/>
        <w:left w:val="none" w:sz="0" w:space="0" w:color="auto"/>
        <w:bottom w:val="none" w:sz="0" w:space="0" w:color="auto"/>
        <w:right w:val="none" w:sz="0" w:space="0" w:color="auto"/>
      </w:divBdr>
    </w:div>
    <w:div w:id="1469977712">
      <w:bodyDiv w:val="1"/>
      <w:marLeft w:val="0"/>
      <w:marRight w:val="0"/>
      <w:marTop w:val="0"/>
      <w:marBottom w:val="0"/>
      <w:divBdr>
        <w:top w:val="none" w:sz="0" w:space="0" w:color="auto"/>
        <w:left w:val="none" w:sz="0" w:space="0" w:color="auto"/>
        <w:bottom w:val="none" w:sz="0" w:space="0" w:color="auto"/>
        <w:right w:val="none" w:sz="0" w:space="0" w:color="auto"/>
      </w:divBdr>
    </w:div>
    <w:div w:id="1470975417">
      <w:bodyDiv w:val="1"/>
      <w:marLeft w:val="0"/>
      <w:marRight w:val="0"/>
      <w:marTop w:val="0"/>
      <w:marBottom w:val="0"/>
      <w:divBdr>
        <w:top w:val="none" w:sz="0" w:space="0" w:color="auto"/>
        <w:left w:val="none" w:sz="0" w:space="0" w:color="auto"/>
        <w:bottom w:val="none" w:sz="0" w:space="0" w:color="auto"/>
        <w:right w:val="none" w:sz="0" w:space="0" w:color="auto"/>
      </w:divBdr>
    </w:div>
    <w:div w:id="1472210666">
      <w:bodyDiv w:val="1"/>
      <w:marLeft w:val="0"/>
      <w:marRight w:val="0"/>
      <w:marTop w:val="0"/>
      <w:marBottom w:val="0"/>
      <w:divBdr>
        <w:top w:val="none" w:sz="0" w:space="0" w:color="auto"/>
        <w:left w:val="none" w:sz="0" w:space="0" w:color="auto"/>
        <w:bottom w:val="none" w:sz="0" w:space="0" w:color="auto"/>
        <w:right w:val="none" w:sz="0" w:space="0" w:color="auto"/>
      </w:divBdr>
    </w:div>
    <w:div w:id="1474827834">
      <w:bodyDiv w:val="1"/>
      <w:marLeft w:val="0"/>
      <w:marRight w:val="0"/>
      <w:marTop w:val="0"/>
      <w:marBottom w:val="0"/>
      <w:divBdr>
        <w:top w:val="none" w:sz="0" w:space="0" w:color="auto"/>
        <w:left w:val="none" w:sz="0" w:space="0" w:color="auto"/>
        <w:bottom w:val="none" w:sz="0" w:space="0" w:color="auto"/>
        <w:right w:val="none" w:sz="0" w:space="0" w:color="auto"/>
      </w:divBdr>
    </w:div>
    <w:div w:id="1480147564">
      <w:bodyDiv w:val="1"/>
      <w:marLeft w:val="0"/>
      <w:marRight w:val="0"/>
      <w:marTop w:val="0"/>
      <w:marBottom w:val="0"/>
      <w:divBdr>
        <w:top w:val="none" w:sz="0" w:space="0" w:color="auto"/>
        <w:left w:val="none" w:sz="0" w:space="0" w:color="auto"/>
        <w:bottom w:val="none" w:sz="0" w:space="0" w:color="auto"/>
        <w:right w:val="none" w:sz="0" w:space="0" w:color="auto"/>
      </w:divBdr>
    </w:div>
    <w:div w:id="1480920932">
      <w:bodyDiv w:val="1"/>
      <w:marLeft w:val="0"/>
      <w:marRight w:val="0"/>
      <w:marTop w:val="0"/>
      <w:marBottom w:val="0"/>
      <w:divBdr>
        <w:top w:val="none" w:sz="0" w:space="0" w:color="auto"/>
        <w:left w:val="none" w:sz="0" w:space="0" w:color="auto"/>
        <w:bottom w:val="none" w:sz="0" w:space="0" w:color="auto"/>
        <w:right w:val="none" w:sz="0" w:space="0" w:color="auto"/>
      </w:divBdr>
    </w:div>
    <w:div w:id="1481536788">
      <w:bodyDiv w:val="1"/>
      <w:marLeft w:val="0"/>
      <w:marRight w:val="0"/>
      <w:marTop w:val="0"/>
      <w:marBottom w:val="0"/>
      <w:divBdr>
        <w:top w:val="none" w:sz="0" w:space="0" w:color="auto"/>
        <w:left w:val="none" w:sz="0" w:space="0" w:color="auto"/>
        <w:bottom w:val="none" w:sz="0" w:space="0" w:color="auto"/>
        <w:right w:val="none" w:sz="0" w:space="0" w:color="auto"/>
      </w:divBdr>
    </w:div>
    <w:div w:id="1486782371">
      <w:bodyDiv w:val="1"/>
      <w:marLeft w:val="0"/>
      <w:marRight w:val="0"/>
      <w:marTop w:val="0"/>
      <w:marBottom w:val="0"/>
      <w:divBdr>
        <w:top w:val="none" w:sz="0" w:space="0" w:color="auto"/>
        <w:left w:val="none" w:sz="0" w:space="0" w:color="auto"/>
        <w:bottom w:val="none" w:sz="0" w:space="0" w:color="auto"/>
        <w:right w:val="none" w:sz="0" w:space="0" w:color="auto"/>
      </w:divBdr>
    </w:div>
    <w:div w:id="1488935202">
      <w:bodyDiv w:val="1"/>
      <w:marLeft w:val="0"/>
      <w:marRight w:val="0"/>
      <w:marTop w:val="0"/>
      <w:marBottom w:val="0"/>
      <w:divBdr>
        <w:top w:val="none" w:sz="0" w:space="0" w:color="auto"/>
        <w:left w:val="none" w:sz="0" w:space="0" w:color="auto"/>
        <w:bottom w:val="none" w:sz="0" w:space="0" w:color="auto"/>
        <w:right w:val="none" w:sz="0" w:space="0" w:color="auto"/>
      </w:divBdr>
    </w:div>
    <w:div w:id="1493256787">
      <w:bodyDiv w:val="1"/>
      <w:marLeft w:val="0"/>
      <w:marRight w:val="0"/>
      <w:marTop w:val="0"/>
      <w:marBottom w:val="0"/>
      <w:divBdr>
        <w:top w:val="none" w:sz="0" w:space="0" w:color="auto"/>
        <w:left w:val="none" w:sz="0" w:space="0" w:color="auto"/>
        <w:bottom w:val="none" w:sz="0" w:space="0" w:color="auto"/>
        <w:right w:val="none" w:sz="0" w:space="0" w:color="auto"/>
      </w:divBdr>
    </w:div>
    <w:div w:id="1493327874">
      <w:bodyDiv w:val="1"/>
      <w:marLeft w:val="0"/>
      <w:marRight w:val="0"/>
      <w:marTop w:val="0"/>
      <w:marBottom w:val="0"/>
      <w:divBdr>
        <w:top w:val="none" w:sz="0" w:space="0" w:color="auto"/>
        <w:left w:val="none" w:sz="0" w:space="0" w:color="auto"/>
        <w:bottom w:val="none" w:sz="0" w:space="0" w:color="auto"/>
        <w:right w:val="none" w:sz="0" w:space="0" w:color="auto"/>
      </w:divBdr>
    </w:div>
    <w:div w:id="1495300660">
      <w:bodyDiv w:val="1"/>
      <w:marLeft w:val="0"/>
      <w:marRight w:val="0"/>
      <w:marTop w:val="0"/>
      <w:marBottom w:val="0"/>
      <w:divBdr>
        <w:top w:val="none" w:sz="0" w:space="0" w:color="auto"/>
        <w:left w:val="none" w:sz="0" w:space="0" w:color="auto"/>
        <w:bottom w:val="none" w:sz="0" w:space="0" w:color="auto"/>
        <w:right w:val="none" w:sz="0" w:space="0" w:color="auto"/>
      </w:divBdr>
    </w:div>
    <w:div w:id="1497304522">
      <w:bodyDiv w:val="1"/>
      <w:marLeft w:val="0"/>
      <w:marRight w:val="0"/>
      <w:marTop w:val="0"/>
      <w:marBottom w:val="0"/>
      <w:divBdr>
        <w:top w:val="none" w:sz="0" w:space="0" w:color="auto"/>
        <w:left w:val="none" w:sz="0" w:space="0" w:color="auto"/>
        <w:bottom w:val="none" w:sz="0" w:space="0" w:color="auto"/>
        <w:right w:val="none" w:sz="0" w:space="0" w:color="auto"/>
      </w:divBdr>
    </w:div>
    <w:div w:id="1498888393">
      <w:bodyDiv w:val="1"/>
      <w:marLeft w:val="0"/>
      <w:marRight w:val="0"/>
      <w:marTop w:val="0"/>
      <w:marBottom w:val="0"/>
      <w:divBdr>
        <w:top w:val="none" w:sz="0" w:space="0" w:color="auto"/>
        <w:left w:val="none" w:sz="0" w:space="0" w:color="auto"/>
        <w:bottom w:val="none" w:sz="0" w:space="0" w:color="auto"/>
        <w:right w:val="none" w:sz="0" w:space="0" w:color="auto"/>
      </w:divBdr>
    </w:div>
    <w:div w:id="1500266057">
      <w:bodyDiv w:val="1"/>
      <w:marLeft w:val="0"/>
      <w:marRight w:val="0"/>
      <w:marTop w:val="0"/>
      <w:marBottom w:val="0"/>
      <w:divBdr>
        <w:top w:val="none" w:sz="0" w:space="0" w:color="auto"/>
        <w:left w:val="none" w:sz="0" w:space="0" w:color="auto"/>
        <w:bottom w:val="none" w:sz="0" w:space="0" w:color="auto"/>
        <w:right w:val="none" w:sz="0" w:space="0" w:color="auto"/>
      </w:divBdr>
    </w:div>
    <w:div w:id="1500583525">
      <w:bodyDiv w:val="1"/>
      <w:marLeft w:val="0"/>
      <w:marRight w:val="0"/>
      <w:marTop w:val="0"/>
      <w:marBottom w:val="0"/>
      <w:divBdr>
        <w:top w:val="none" w:sz="0" w:space="0" w:color="auto"/>
        <w:left w:val="none" w:sz="0" w:space="0" w:color="auto"/>
        <w:bottom w:val="none" w:sz="0" w:space="0" w:color="auto"/>
        <w:right w:val="none" w:sz="0" w:space="0" w:color="auto"/>
      </w:divBdr>
    </w:div>
    <w:div w:id="1508254533">
      <w:bodyDiv w:val="1"/>
      <w:marLeft w:val="0"/>
      <w:marRight w:val="0"/>
      <w:marTop w:val="0"/>
      <w:marBottom w:val="0"/>
      <w:divBdr>
        <w:top w:val="none" w:sz="0" w:space="0" w:color="auto"/>
        <w:left w:val="none" w:sz="0" w:space="0" w:color="auto"/>
        <w:bottom w:val="none" w:sz="0" w:space="0" w:color="auto"/>
        <w:right w:val="none" w:sz="0" w:space="0" w:color="auto"/>
      </w:divBdr>
    </w:div>
    <w:div w:id="1510482171">
      <w:bodyDiv w:val="1"/>
      <w:marLeft w:val="0"/>
      <w:marRight w:val="0"/>
      <w:marTop w:val="0"/>
      <w:marBottom w:val="0"/>
      <w:divBdr>
        <w:top w:val="none" w:sz="0" w:space="0" w:color="auto"/>
        <w:left w:val="none" w:sz="0" w:space="0" w:color="auto"/>
        <w:bottom w:val="none" w:sz="0" w:space="0" w:color="auto"/>
        <w:right w:val="none" w:sz="0" w:space="0" w:color="auto"/>
      </w:divBdr>
    </w:div>
    <w:div w:id="1510631513">
      <w:bodyDiv w:val="1"/>
      <w:marLeft w:val="0"/>
      <w:marRight w:val="0"/>
      <w:marTop w:val="0"/>
      <w:marBottom w:val="0"/>
      <w:divBdr>
        <w:top w:val="none" w:sz="0" w:space="0" w:color="auto"/>
        <w:left w:val="none" w:sz="0" w:space="0" w:color="auto"/>
        <w:bottom w:val="none" w:sz="0" w:space="0" w:color="auto"/>
        <w:right w:val="none" w:sz="0" w:space="0" w:color="auto"/>
      </w:divBdr>
    </w:div>
    <w:div w:id="1515074602">
      <w:bodyDiv w:val="1"/>
      <w:marLeft w:val="0"/>
      <w:marRight w:val="0"/>
      <w:marTop w:val="0"/>
      <w:marBottom w:val="0"/>
      <w:divBdr>
        <w:top w:val="none" w:sz="0" w:space="0" w:color="auto"/>
        <w:left w:val="none" w:sz="0" w:space="0" w:color="auto"/>
        <w:bottom w:val="none" w:sz="0" w:space="0" w:color="auto"/>
        <w:right w:val="none" w:sz="0" w:space="0" w:color="auto"/>
      </w:divBdr>
    </w:div>
    <w:div w:id="1515263913">
      <w:bodyDiv w:val="1"/>
      <w:marLeft w:val="0"/>
      <w:marRight w:val="0"/>
      <w:marTop w:val="0"/>
      <w:marBottom w:val="0"/>
      <w:divBdr>
        <w:top w:val="none" w:sz="0" w:space="0" w:color="auto"/>
        <w:left w:val="none" w:sz="0" w:space="0" w:color="auto"/>
        <w:bottom w:val="none" w:sz="0" w:space="0" w:color="auto"/>
        <w:right w:val="none" w:sz="0" w:space="0" w:color="auto"/>
      </w:divBdr>
    </w:div>
    <w:div w:id="1515344099">
      <w:bodyDiv w:val="1"/>
      <w:marLeft w:val="0"/>
      <w:marRight w:val="0"/>
      <w:marTop w:val="0"/>
      <w:marBottom w:val="0"/>
      <w:divBdr>
        <w:top w:val="none" w:sz="0" w:space="0" w:color="auto"/>
        <w:left w:val="none" w:sz="0" w:space="0" w:color="auto"/>
        <w:bottom w:val="none" w:sz="0" w:space="0" w:color="auto"/>
        <w:right w:val="none" w:sz="0" w:space="0" w:color="auto"/>
      </w:divBdr>
    </w:div>
    <w:div w:id="1515875060">
      <w:bodyDiv w:val="1"/>
      <w:marLeft w:val="0"/>
      <w:marRight w:val="0"/>
      <w:marTop w:val="0"/>
      <w:marBottom w:val="0"/>
      <w:divBdr>
        <w:top w:val="none" w:sz="0" w:space="0" w:color="auto"/>
        <w:left w:val="none" w:sz="0" w:space="0" w:color="auto"/>
        <w:bottom w:val="none" w:sz="0" w:space="0" w:color="auto"/>
        <w:right w:val="none" w:sz="0" w:space="0" w:color="auto"/>
      </w:divBdr>
    </w:div>
    <w:div w:id="1516387282">
      <w:bodyDiv w:val="1"/>
      <w:marLeft w:val="0"/>
      <w:marRight w:val="0"/>
      <w:marTop w:val="0"/>
      <w:marBottom w:val="0"/>
      <w:divBdr>
        <w:top w:val="none" w:sz="0" w:space="0" w:color="auto"/>
        <w:left w:val="none" w:sz="0" w:space="0" w:color="auto"/>
        <w:bottom w:val="none" w:sz="0" w:space="0" w:color="auto"/>
        <w:right w:val="none" w:sz="0" w:space="0" w:color="auto"/>
      </w:divBdr>
    </w:div>
    <w:div w:id="1517429350">
      <w:bodyDiv w:val="1"/>
      <w:marLeft w:val="0"/>
      <w:marRight w:val="0"/>
      <w:marTop w:val="0"/>
      <w:marBottom w:val="0"/>
      <w:divBdr>
        <w:top w:val="none" w:sz="0" w:space="0" w:color="auto"/>
        <w:left w:val="none" w:sz="0" w:space="0" w:color="auto"/>
        <w:bottom w:val="none" w:sz="0" w:space="0" w:color="auto"/>
        <w:right w:val="none" w:sz="0" w:space="0" w:color="auto"/>
      </w:divBdr>
    </w:div>
    <w:div w:id="1518350146">
      <w:bodyDiv w:val="1"/>
      <w:marLeft w:val="0"/>
      <w:marRight w:val="0"/>
      <w:marTop w:val="0"/>
      <w:marBottom w:val="0"/>
      <w:divBdr>
        <w:top w:val="none" w:sz="0" w:space="0" w:color="auto"/>
        <w:left w:val="none" w:sz="0" w:space="0" w:color="auto"/>
        <w:bottom w:val="none" w:sz="0" w:space="0" w:color="auto"/>
        <w:right w:val="none" w:sz="0" w:space="0" w:color="auto"/>
      </w:divBdr>
    </w:div>
    <w:div w:id="1525513050">
      <w:bodyDiv w:val="1"/>
      <w:marLeft w:val="0"/>
      <w:marRight w:val="0"/>
      <w:marTop w:val="0"/>
      <w:marBottom w:val="0"/>
      <w:divBdr>
        <w:top w:val="none" w:sz="0" w:space="0" w:color="auto"/>
        <w:left w:val="none" w:sz="0" w:space="0" w:color="auto"/>
        <w:bottom w:val="none" w:sz="0" w:space="0" w:color="auto"/>
        <w:right w:val="none" w:sz="0" w:space="0" w:color="auto"/>
      </w:divBdr>
    </w:div>
    <w:div w:id="1526096731">
      <w:bodyDiv w:val="1"/>
      <w:marLeft w:val="0"/>
      <w:marRight w:val="0"/>
      <w:marTop w:val="0"/>
      <w:marBottom w:val="0"/>
      <w:divBdr>
        <w:top w:val="none" w:sz="0" w:space="0" w:color="auto"/>
        <w:left w:val="none" w:sz="0" w:space="0" w:color="auto"/>
        <w:bottom w:val="none" w:sz="0" w:space="0" w:color="auto"/>
        <w:right w:val="none" w:sz="0" w:space="0" w:color="auto"/>
      </w:divBdr>
    </w:div>
    <w:div w:id="1527406011">
      <w:bodyDiv w:val="1"/>
      <w:marLeft w:val="0"/>
      <w:marRight w:val="0"/>
      <w:marTop w:val="0"/>
      <w:marBottom w:val="0"/>
      <w:divBdr>
        <w:top w:val="none" w:sz="0" w:space="0" w:color="auto"/>
        <w:left w:val="none" w:sz="0" w:space="0" w:color="auto"/>
        <w:bottom w:val="none" w:sz="0" w:space="0" w:color="auto"/>
        <w:right w:val="none" w:sz="0" w:space="0" w:color="auto"/>
      </w:divBdr>
    </w:div>
    <w:div w:id="1528760180">
      <w:bodyDiv w:val="1"/>
      <w:marLeft w:val="0"/>
      <w:marRight w:val="0"/>
      <w:marTop w:val="0"/>
      <w:marBottom w:val="0"/>
      <w:divBdr>
        <w:top w:val="none" w:sz="0" w:space="0" w:color="auto"/>
        <w:left w:val="none" w:sz="0" w:space="0" w:color="auto"/>
        <w:bottom w:val="none" w:sz="0" w:space="0" w:color="auto"/>
        <w:right w:val="none" w:sz="0" w:space="0" w:color="auto"/>
      </w:divBdr>
    </w:div>
    <w:div w:id="1532647981">
      <w:bodyDiv w:val="1"/>
      <w:marLeft w:val="0"/>
      <w:marRight w:val="0"/>
      <w:marTop w:val="0"/>
      <w:marBottom w:val="0"/>
      <w:divBdr>
        <w:top w:val="none" w:sz="0" w:space="0" w:color="auto"/>
        <w:left w:val="none" w:sz="0" w:space="0" w:color="auto"/>
        <w:bottom w:val="none" w:sz="0" w:space="0" w:color="auto"/>
        <w:right w:val="none" w:sz="0" w:space="0" w:color="auto"/>
      </w:divBdr>
    </w:div>
    <w:div w:id="1532650480">
      <w:bodyDiv w:val="1"/>
      <w:marLeft w:val="0"/>
      <w:marRight w:val="0"/>
      <w:marTop w:val="0"/>
      <w:marBottom w:val="0"/>
      <w:divBdr>
        <w:top w:val="none" w:sz="0" w:space="0" w:color="auto"/>
        <w:left w:val="none" w:sz="0" w:space="0" w:color="auto"/>
        <w:bottom w:val="none" w:sz="0" w:space="0" w:color="auto"/>
        <w:right w:val="none" w:sz="0" w:space="0" w:color="auto"/>
      </w:divBdr>
    </w:div>
    <w:div w:id="1537546317">
      <w:bodyDiv w:val="1"/>
      <w:marLeft w:val="0"/>
      <w:marRight w:val="0"/>
      <w:marTop w:val="0"/>
      <w:marBottom w:val="0"/>
      <w:divBdr>
        <w:top w:val="none" w:sz="0" w:space="0" w:color="auto"/>
        <w:left w:val="none" w:sz="0" w:space="0" w:color="auto"/>
        <w:bottom w:val="none" w:sz="0" w:space="0" w:color="auto"/>
        <w:right w:val="none" w:sz="0" w:space="0" w:color="auto"/>
      </w:divBdr>
    </w:div>
    <w:div w:id="1539857709">
      <w:bodyDiv w:val="1"/>
      <w:marLeft w:val="0"/>
      <w:marRight w:val="0"/>
      <w:marTop w:val="0"/>
      <w:marBottom w:val="0"/>
      <w:divBdr>
        <w:top w:val="none" w:sz="0" w:space="0" w:color="auto"/>
        <w:left w:val="none" w:sz="0" w:space="0" w:color="auto"/>
        <w:bottom w:val="none" w:sz="0" w:space="0" w:color="auto"/>
        <w:right w:val="none" w:sz="0" w:space="0" w:color="auto"/>
      </w:divBdr>
    </w:div>
    <w:div w:id="1540163571">
      <w:bodyDiv w:val="1"/>
      <w:marLeft w:val="0"/>
      <w:marRight w:val="0"/>
      <w:marTop w:val="0"/>
      <w:marBottom w:val="0"/>
      <w:divBdr>
        <w:top w:val="none" w:sz="0" w:space="0" w:color="auto"/>
        <w:left w:val="none" w:sz="0" w:space="0" w:color="auto"/>
        <w:bottom w:val="none" w:sz="0" w:space="0" w:color="auto"/>
        <w:right w:val="none" w:sz="0" w:space="0" w:color="auto"/>
      </w:divBdr>
    </w:div>
    <w:div w:id="1540238260">
      <w:bodyDiv w:val="1"/>
      <w:marLeft w:val="0"/>
      <w:marRight w:val="0"/>
      <w:marTop w:val="0"/>
      <w:marBottom w:val="0"/>
      <w:divBdr>
        <w:top w:val="none" w:sz="0" w:space="0" w:color="auto"/>
        <w:left w:val="none" w:sz="0" w:space="0" w:color="auto"/>
        <w:bottom w:val="none" w:sz="0" w:space="0" w:color="auto"/>
        <w:right w:val="none" w:sz="0" w:space="0" w:color="auto"/>
      </w:divBdr>
    </w:div>
    <w:div w:id="1549336815">
      <w:bodyDiv w:val="1"/>
      <w:marLeft w:val="0"/>
      <w:marRight w:val="0"/>
      <w:marTop w:val="0"/>
      <w:marBottom w:val="0"/>
      <w:divBdr>
        <w:top w:val="none" w:sz="0" w:space="0" w:color="auto"/>
        <w:left w:val="none" w:sz="0" w:space="0" w:color="auto"/>
        <w:bottom w:val="none" w:sz="0" w:space="0" w:color="auto"/>
        <w:right w:val="none" w:sz="0" w:space="0" w:color="auto"/>
      </w:divBdr>
    </w:div>
    <w:div w:id="1549878731">
      <w:bodyDiv w:val="1"/>
      <w:marLeft w:val="0"/>
      <w:marRight w:val="0"/>
      <w:marTop w:val="0"/>
      <w:marBottom w:val="0"/>
      <w:divBdr>
        <w:top w:val="none" w:sz="0" w:space="0" w:color="auto"/>
        <w:left w:val="none" w:sz="0" w:space="0" w:color="auto"/>
        <w:bottom w:val="none" w:sz="0" w:space="0" w:color="auto"/>
        <w:right w:val="none" w:sz="0" w:space="0" w:color="auto"/>
      </w:divBdr>
    </w:div>
    <w:div w:id="1550142914">
      <w:bodyDiv w:val="1"/>
      <w:marLeft w:val="0"/>
      <w:marRight w:val="0"/>
      <w:marTop w:val="0"/>
      <w:marBottom w:val="0"/>
      <w:divBdr>
        <w:top w:val="none" w:sz="0" w:space="0" w:color="auto"/>
        <w:left w:val="none" w:sz="0" w:space="0" w:color="auto"/>
        <w:bottom w:val="none" w:sz="0" w:space="0" w:color="auto"/>
        <w:right w:val="none" w:sz="0" w:space="0" w:color="auto"/>
      </w:divBdr>
    </w:div>
    <w:div w:id="1558400179">
      <w:bodyDiv w:val="1"/>
      <w:marLeft w:val="0"/>
      <w:marRight w:val="0"/>
      <w:marTop w:val="0"/>
      <w:marBottom w:val="0"/>
      <w:divBdr>
        <w:top w:val="none" w:sz="0" w:space="0" w:color="auto"/>
        <w:left w:val="none" w:sz="0" w:space="0" w:color="auto"/>
        <w:bottom w:val="none" w:sz="0" w:space="0" w:color="auto"/>
        <w:right w:val="none" w:sz="0" w:space="0" w:color="auto"/>
      </w:divBdr>
    </w:div>
    <w:div w:id="1561281839">
      <w:bodyDiv w:val="1"/>
      <w:marLeft w:val="0"/>
      <w:marRight w:val="0"/>
      <w:marTop w:val="0"/>
      <w:marBottom w:val="0"/>
      <w:divBdr>
        <w:top w:val="none" w:sz="0" w:space="0" w:color="auto"/>
        <w:left w:val="none" w:sz="0" w:space="0" w:color="auto"/>
        <w:bottom w:val="none" w:sz="0" w:space="0" w:color="auto"/>
        <w:right w:val="none" w:sz="0" w:space="0" w:color="auto"/>
      </w:divBdr>
    </w:div>
    <w:div w:id="1563517312">
      <w:bodyDiv w:val="1"/>
      <w:marLeft w:val="0"/>
      <w:marRight w:val="0"/>
      <w:marTop w:val="0"/>
      <w:marBottom w:val="0"/>
      <w:divBdr>
        <w:top w:val="none" w:sz="0" w:space="0" w:color="auto"/>
        <w:left w:val="none" w:sz="0" w:space="0" w:color="auto"/>
        <w:bottom w:val="none" w:sz="0" w:space="0" w:color="auto"/>
        <w:right w:val="none" w:sz="0" w:space="0" w:color="auto"/>
      </w:divBdr>
    </w:div>
    <w:div w:id="1566843091">
      <w:bodyDiv w:val="1"/>
      <w:marLeft w:val="0"/>
      <w:marRight w:val="0"/>
      <w:marTop w:val="0"/>
      <w:marBottom w:val="0"/>
      <w:divBdr>
        <w:top w:val="none" w:sz="0" w:space="0" w:color="auto"/>
        <w:left w:val="none" w:sz="0" w:space="0" w:color="auto"/>
        <w:bottom w:val="none" w:sz="0" w:space="0" w:color="auto"/>
        <w:right w:val="none" w:sz="0" w:space="0" w:color="auto"/>
      </w:divBdr>
    </w:div>
    <w:div w:id="1569195217">
      <w:bodyDiv w:val="1"/>
      <w:marLeft w:val="0"/>
      <w:marRight w:val="0"/>
      <w:marTop w:val="0"/>
      <w:marBottom w:val="0"/>
      <w:divBdr>
        <w:top w:val="none" w:sz="0" w:space="0" w:color="auto"/>
        <w:left w:val="none" w:sz="0" w:space="0" w:color="auto"/>
        <w:bottom w:val="none" w:sz="0" w:space="0" w:color="auto"/>
        <w:right w:val="none" w:sz="0" w:space="0" w:color="auto"/>
      </w:divBdr>
    </w:div>
    <w:div w:id="1569610216">
      <w:bodyDiv w:val="1"/>
      <w:marLeft w:val="0"/>
      <w:marRight w:val="0"/>
      <w:marTop w:val="0"/>
      <w:marBottom w:val="0"/>
      <w:divBdr>
        <w:top w:val="none" w:sz="0" w:space="0" w:color="auto"/>
        <w:left w:val="none" w:sz="0" w:space="0" w:color="auto"/>
        <w:bottom w:val="none" w:sz="0" w:space="0" w:color="auto"/>
        <w:right w:val="none" w:sz="0" w:space="0" w:color="auto"/>
      </w:divBdr>
    </w:div>
    <w:div w:id="1570001125">
      <w:bodyDiv w:val="1"/>
      <w:marLeft w:val="0"/>
      <w:marRight w:val="0"/>
      <w:marTop w:val="0"/>
      <w:marBottom w:val="0"/>
      <w:divBdr>
        <w:top w:val="none" w:sz="0" w:space="0" w:color="auto"/>
        <w:left w:val="none" w:sz="0" w:space="0" w:color="auto"/>
        <w:bottom w:val="none" w:sz="0" w:space="0" w:color="auto"/>
        <w:right w:val="none" w:sz="0" w:space="0" w:color="auto"/>
      </w:divBdr>
    </w:div>
    <w:div w:id="1577857459">
      <w:bodyDiv w:val="1"/>
      <w:marLeft w:val="0"/>
      <w:marRight w:val="0"/>
      <w:marTop w:val="0"/>
      <w:marBottom w:val="0"/>
      <w:divBdr>
        <w:top w:val="none" w:sz="0" w:space="0" w:color="auto"/>
        <w:left w:val="none" w:sz="0" w:space="0" w:color="auto"/>
        <w:bottom w:val="none" w:sz="0" w:space="0" w:color="auto"/>
        <w:right w:val="none" w:sz="0" w:space="0" w:color="auto"/>
      </w:divBdr>
    </w:div>
    <w:div w:id="1578441422">
      <w:bodyDiv w:val="1"/>
      <w:marLeft w:val="0"/>
      <w:marRight w:val="0"/>
      <w:marTop w:val="0"/>
      <w:marBottom w:val="0"/>
      <w:divBdr>
        <w:top w:val="none" w:sz="0" w:space="0" w:color="auto"/>
        <w:left w:val="none" w:sz="0" w:space="0" w:color="auto"/>
        <w:bottom w:val="none" w:sz="0" w:space="0" w:color="auto"/>
        <w:right w:val="none" w:sz="0" w:space="0" w:color="auto"/>
      </w:divBdr>
    </w:div>
    <w:div w:id="1581014698">
      <w:bodyDiv w:val="1"/>
      <w:marLeft w:val="0"/>
      <w:marRight w:val="0"/>
      <w:marTop w:val="0"/>
      <w:marBottom w:val="0"/>
      <w:divBdr>
        <w:top w:val="none" w:sz="0" w:space="0" w:color="auto"/>
        <w:left w:val="none" w:sz="0" w:space="0" w:color="auto"/>
        <w:bottom w:val="none" w:sz="0" w:space="0" w:color="auto"/>
        <w:right w:val="none" w:sz="0" w:space="0" w:color="auto"/>
      </w:divBdr>
    </w:div>
    <w:div w:id="1581871711">
      <w:bodyDiv w:val="1"/>
      <w:marLeft w:val="0"/>
      <w:marRight w:val="0"/>
      <w:marTop w:val="0"/>
      <w:marBottom w:val="0"/>
      <w:divBdr>
        <w:top w:val="none" w:sz="0" w:space="0" w:color="auto"/>
        <w:left w:val="none" w:sz="0" w:space="0" w:color="auto"/>
        <w:bottom w:val="none" w:sz="0" w:space="0" w:color="auto"/>
        <w:right w:val="none" w:sz="0" w:space="0" w:color="auto"/>
      </w:divBdr>
    </w:div>
    <w:div w:id="1585919358">
      <w:bodyDiv w:val="1"/>
      <w:marLeft w:val="0"/>
      <w:marRight w:val="0"/>
      <w:marTop w:val="0"/>
      <w:marBottom w:val="0"/>
      <w:divBdr>
        <w:top w:val="none" w:sz="0" w:space="0" w:color="auto"/>
        <w:left w:val="none" w:sz="0" w:space="0" w:color="auto"/>
        <w:bottom w:val="none" w:sz="0" w:space="0" w:color="auto"/>
        <w:right w:val="none" w:sz="0" w:space="0" w:color="auto"/>
      </w:divBdr>
    </w:div>
    <w:div w:id="1587762977">
      <w:bodyDiv w:val="1"/>
      <w:marLeft w:val="0"/>
      <w:marRight w:val="0"/>
      <w:marTop w:val="0"/>
      <w:marBottom w:val="0"/>
      <w:divBdr>
        <w:top w:val="none" w:sz="0" w:space="0" w:color="auto"/>
        <w:left w:val="none" w:sz="0" w:space="0" w:color="auto"/>
        <w:bottom w:val="none" w:sz="0" w:space="0" w:color="auto"/>
        <w:right w:val="none" w:sz="0" w:space="0" w:color="auto"/>
      </w:divBdr>
    </w:div>
    <w:div w:id="1588928985">
      <w:bodyDiv w:val="1"/>
      <w:marLeft w:val="0"/>
      <w:marRight w:val="0"/>
      <w:marTop w:val="0"/>
      <w:marBottom w:val="0"/>
      <w:divBdr>
        <w:top w:val="none" w:sz="0" w:space="0" w:color="auto"/>
        <w:left w:val="none" w:sz="0" w:space="0" w:color="auto"/>
        <w:bottom w:val="none" w:sz="0" w:space="0" w:color="auto"/>
        <w:right w:val="none" w:sz="0" w:space="0" w:color="auto"/>
      </w:divBdr>
    </w:div>
    <w:div w:id="1592007433">
      <w:bodyDiv w:val="1"/>
      <w:marLeft w:val="0"/>
      <w:marRight w:val="0"/>
      <w:marTop w:val="0"/>
      <w:marBottom w:val="0"/>
      <w:divBdr>
        <w:top w:val="none" w:sz="0" w:space="0" w:color="auto"/>
        <w:left w:val="none" w:sz="0" w:space="0" w:color="auto"/>
        <w:bottom w:val="none" w:sz="0" w:space="0" w:color="auto"/>
        <w:right w:val="none" w:sz="0" w:space="0" w:color="auto"/>
      </w:divBdr>
    </w:div>
    <w:div w:id="1593539895">
      <w:bodyDiv w:val="1"/>
      <w:marLeft w:val="0"/>
      <w:marRight w:val="0"/>
      <w:marTop w:val="0"/>
      <w:marBottom w:val="0"/>
      <w:divBdr>
        <w:top w:val="none" w:sz="0" w:space="0" w:color="auto"/>
        <w:left w:val="none" w:sz="0" w:space="0" w:color="auto"/>
        <w:bottom w:val="none" w:sz="0" w:space="0" w:color="auto"/>
        <w:right w:val="none" w:sz="0" w:space="0" w:color="auto"/>
      </w:divBdr>
    </w:div>
    <w:div w:id="1600137652">
      <w:bodyDiv w:val="1"/>
      <w:marLeft w:val="0"/>
      <w:marRight w:val="0"/>
      <w:marTop w:val="0"/>
      <w:marBottom w:val="0"/>
      <w:divBdr>
        <w:top w:val="none" w:sz="0" w:space="0" w:color="auto"/>
        <w:left w:val="none" w:sz="0" w:space="0" w:color="auto"/>
        <w:bottom w:val="none" w:sz="0" w:space="0" w:color="auto"/>
        <w:right w:val="none" w:sz="0" w:space="0" w:color="auto"/>
      </w:divBdr>
    </w:div>
    <w:div w:id="1600331507">
      <w:bodyDiv w:val="1"/>
      <w:marLeft w:val="0"/>
      <w:marRight w:val="0"/>
      <w:marTop w:val="0"/>
      <w:marBottom w:val="0"/>
      <w:divBdr>
        <w:top w:val="none" w:sz="0" w:space="0" w:color="auto"/>
        <w:left w:val="none" w:sz="0" w:space="0" w:color="auto"/>
        <w:bottom w:val="none" w:sz="0" w:space="0" w:color="auto"/>
        <w:right w:val="none" w:sz="0" w:space="0" w:color="auto"/>
      </w:divBdr>
    </w:div>
    <w:div w:id="1600791774">
      <w:bodyDiv w:val="1"/>
      <w:marLeft w:val="0"/>
      <w:marRight w:val="0"/>
      <w:marTop w:val="0"/>
      <w:marBottom w:val="0"/>
      <w:divBdr>
        <w:top w:val="none" w:sz="0" w:space="0" w:color="auto"/>
        <w:left w:val="none" w:sz="0" w:space="0" w:color="auto"/>
        <w:bottom w:val="none" w:sz="0" w:space="0" w:color="auto"/>
        <w:right w:val="none" w:sz="0" w:space="0" w:color="auto"/>
      </w:divBdr>
    </w:div>
    <w:div w:id="1607348233">
      <w:bodyDiv w:val="1"/>
      <w:marLeft w:val="0"/>
      <w:marRight w:val="0"/>
      <w:marTop w:val="0"/>
      <w:marBottom w:val="0"/>
      <w:divBdr>
        <w:top w:val="none" w:sz="0" w:space="0" w:color="auto"/>
        <w:left w:val="none" w:sz="0" w:space="0" w:color="auto"/>
        <w:bottom w:val="none" w:sz="0" w:space="0" w:color="auto"/>
        <w:right w:val="none" w:sz="0" w:space="0" w:color="auto"/>
      </w:divBdr>
    </w:div>
    <w:div w:id="1607350451">
      <w:bodyDiv w:val="1"/>
      <w:marLeft w:val="0"/>
      <w:marRight w:val="0"/>
      <w:marTop w:val="0"/>
      <w:marBottom w:val="0"/>
      <w:divBdr>
        <w:top w:val="none" w:sz="0" w:space="0" w:color="auto"/>
        <w:left w:val="none" w:sz="0" w:space="0" w:color="auto"/>
        <w:bottom w:val="none" w:sz="0" w:space="0" w:color="auto"/>
        <w:right w:val="none" w:sz="0" w:space="0" w:color="auto"/>
      </w:divBdr>
    </w:div>
    <w:div w:id="1609697168">
      <w:bodyDiv w:val="1"/>
      <w:marLeft w:val="0"/>
      <w:marRight w:val="0"/>
      <w:marTop w:val="0"/>
      <w:marBottom w:val="0"/>
      <w:divBdr>
        <w:top w:val="none" w:sz="0" w:space="0" w:color="auto"/>
        <w:left w:val="none" w:sz="0" w:space="0" w:color="auto"/>
        <w:bottom w:val="none" w:sz="0" w:space="0" w:color="auto"/>
        <w:right w:val="none" w:sz="0" w:space="0" w:color="auto"/>
      </w:divBdr>
    </w:div>
    <w:div w:id="1614558000">
      <w:bodyDiv w:val="1"/>
      <w:marLeft w:val="0"/>
      <w:marRight w:val="0"/>
      <w:marTop w:val="0"/>
      <w:marBottom w:val="0"/>
      <w:divBdr>
        <w:top w:val="none" w:sz="0" w:space="0" w:color="auto"/>
        <w:left w:val="none" w:sz="0" w:space="0" w:color="auto"/>
        <w:bottom w:val="none" w:sz="0" w:space="0" w:color="auto"/>
        <w:right w:val="none" w:sz="0" w:space="0" w:color="auto"/>
      </w:divBdr>
    </w:div>
    <w:div w:id="1615406554">
      <w:bodyDiv w:val="1"/>
      <w:marLeft w:val="0"/>
      <w:marRight w:val="0"/>
      <w:marTop w:val="0"/>
      <w:marBottom w:val="0"/>
      <w:divBdr>
        <w:top w:val="none" w:sz="0" w:space="0" w:color="auto"/>
        <w:left w:val="none" w:sz="0" w:space="0" w:color="auto"/>
        <w:bottom w:val="none" w:sz="0" w:space="0" w:color="auto"/>
        <w:right w:val="none" w:sz="0" w:space="0" w:color="auto"/>
      </w:divBdr>
    </w:div>
    <w:div w:id="1619483799">
      <w:bodyDiv w:val="1"/>
      <w:marLeft w:val="0"/>
      <w:marRight w:val="0"/>
      <w:marTop w:val="0"/>
      <w:marBottom w:val="0"/>
      <w:divBdr>
        <w:top w:val="none" w:sz="0" w:space="0" w:color="auto"/>
        <w:left w:val="none" w:sz="0" w:space="0" w:color="auto"/>
        <w:bottom w:val="none" w:sz="0" w:space="0" w:color="auto"/>
        <w:right w:val="none" w:sz="0" w:space="0" w:color="auto"/>
      </w:divBdr>
    </w:div>
    <w:div w:id="1621758472">
      <w:bodyDiv w:val="1"/>
      <w:marLeft w:val="0"/>
      <w:marRight w:val="0"/>
      <w:marTop w:val="0"/>
      <w:marBottom w:val="0"/>
      <w:divBdr>
        <w:top w:val="none" w:sz="0" w:space="0" w:color="auto"/>
        <w:left w:val="none" w:sz="0" w:space="0" w:color="auto"/>
        <w:bottom w:val="none" w:sz="0" w:space="0" w:color="auto"/>
        <w:right w:val="none" w:sz="0" w:space="0" w:color="auto"/>
      </w:divBdr>
    </w:div>
    <w:div w:id="1622613600">
      <w:bodyDiv w:val="1"/>
      <w:marLeft w:val="0"/>
      <w:marRight w:val="0"/>
      <w:marTop w:val="0"/>
      <w:marBottom w:val="0"/>
      <w:divBdr>
        <w:top w:val="none" w:sz="0" w:space="0" w:color="auto"/>
        <w:left w:val="none" w:sz="0" w:space="0" w:color="auto"/>
        <w:bottom w:val="none" w:sz="0" w:space="0" w:color="auto"/>
        <w:right w:val="none" w:sz="0" w:space="0" w:color="auto"/>
      </w:divBdr>
    </w:div>
    <w:div w:id="1631519320">
      <w:bodyDiv w:val="1"/>
      <w:marLeft w:val="0"/>
      <w:marRight w:val="0"/>
      <w:marTop w:val="0"/>
      <w:marBottom w:val="0"/>
      <w:divBdr>
        <w:top w:val="none" w:sz="0" w:space="0" w:color="auto"/>
        <w:left w:val="none" w:sz="0" w:space="0" w:color="auto"/>
        <w:bottom w:val="none" w:sz="0" w:space="0" w:color="auto"/>
        <w:right w:val="none" w:sz="0" w:space="0" w:color="auto"/>
      </w:divBdr>
    </w:div>
    <w:div w:id="1631594202">
      <w:bodyDiv w:val="1"/>
      <w:marLeft w:val="0"/>
      <w:marRight w:val="0"/>
      <w:marTop w:val="0"/>
      <w:marBottom w:val="0"/>
      <w:divBdr>
        <w:top w:val="none" w:sz="0" w:space="0" w:color="auto"/>
        <w:left w:val="none" w:sz="0" w:space="0" w:color="auto"/>
        <w:bottom w:val="none" w:sz="0" w:space="0" w:color="auto"/>
        <w:right w:val="none" w:sz="0" w:space="0" w:color="auto"/>
      </w:divBdr>
    </w:div>
    <w:div w:id="1638098040">
      <w:bodyDiv w:val="1"/>
      <w:marLeft w:val="0"/>
      <w:marRight w:val="0"/>
      <w:marTop w:val="0"/>
      <w:marBottom w:val="0"/>
      <w:divBdr>
        <w:top w:val="none" w:sz="0" w:space="0" w:color="auto"/>
        <w:left w:val="none" w:sz="0" w:space="0" w:color="auto"/>
        <w:bottom w:val="none" w:sz="0" w:space="0" w:color="auto"/>
        <w:right w:val="none" w:sz="0" w:space="0" w:color="auto"/>
      </w:divBdr>
    </w:div>
    <w:div w:id="1646280775">
      <w:bodyDiv w:val="1"/>
      <w:marLeft w:val="0"/>
      <w:marRight w:val="0"/>
      <w:marTop w:val="0"/>
      <w:marBottom w:val="0"/>
      <w:divBdr>
        <w:top w:val="none" w:sz="0" w:space="0" w:color="auto"/>
        <w:left w:val="none" w:sz="0" w:space="0" w:color="auto"/>
        <w:bottom w:val="none" w:sz="0" w:space="0" w:color="auto"/>
        <w:right w:val="none" w:sz="0" w:space="0" w:color="auto"/>
      </w:divBdr>
    </w:div>
    <w:div w:id="1646545393">
      <w:bodyDiv w:val="1"/>
      <w:marLeft w:val="0"/>
      <w:marRight w:val="0"/>
      <w:marTop w:val="0"/>
      <w:marBottom w:val="0"/>
      <w:divBdr>
        <w:top w:val="none" w:sz="0" w:space="0" w:color="auto"/>
        <w:left w:val="none" w:sz="0" w:space="0" w:color="auto"/>
        <w:bottom w:val="none" w:sz="0" w:space="0" w:color="auto"/>
        <w:right w:val="none" w:sz="0" w:space="0" w:color="auto"/>
      </w:divBdr>
    </w:div>
    <w:div w:id="1659503988">
      <w:bodyDiv w:val="1"/>
      <w:marLeft w:val="0"/>
      <w:marRight w:val="0"/>
      <w:marTop w:val="0"/>
      <w:marBottom w:val="0"/>
      <w:divBdr>
        <w:top w:val="none" w:sz="0" w:space="0" w:color="auto"/>
        <w:left w:val="none" w:sz="0" w:space="0" w:color="auto"/>
        <w:bottom w:val="none" w:sz="0" w:space="0" w:color="auto"/>
        <w:right w:val="none" w:sz="0" w:space="0" w:color="auto"/>
      </w:divBdr>
    </w:div>
    <w:div w:id="1664359391">
      <w:bodyDiv w:val="1"/>
      <w:marLeft w:val="0"/>
      <w:marRight w:val="0"/>
      <w:marTop w:val="0"/>
      <w:marBottom w:val="0"/>
      <w:divBdr>
        <w:top w:val="none" w:sz="0" w:space="0" w:color="auto"/>
        <w:left w:val="none" w:sz="0" w:space="0" w:color="auto"/>
        <w:bottom w:val="none" w:sz="0" w:space="0" w:color="auto"/>
        <w:right w:val="none" w:sz="0" w:space="0" w:color="auto"/>
      </w:divBdr>
    </w:div>
    <w:div w:id="1666011406">
      <w:bodyDiv w:val="1"/>
      <w:marLeft w:val="0"/>
      <w:marRight w:val="0"/>
      <w:marTop w:val="0"/>
      <w:marBottom w:val="0"/>
      <w:divBdr>
        <w:top w:val="none" w:sz="0" w:space="0" w:color="auto"/>
        <w:left w:val="none" w:sz="0" w:space="0" w:color="auto"/>
        <w:bottom w:val="none" w:sz="0" w:space="0" w:color="auto"/>
        <w:right w:val="none" w:sz="0" w:space="0" w:color="auto"/>
      </w:divBdr>
    </w:div>
    <w:div w:id="1667128353">
      <w:bodyDiv w:val="1"/>
      <w:marLeft w:val="0"/>
      <w:marRight w:val="0"/>
      <w:marTop w:val="0"/>
      <w:marBottom w:val="0"/>
      <w:divBdr>
        <w:top w:val="none" w:sz="0" w:space="0" w:color="auto"/>
        <w:left w:val="none" w:sz="0" w:space="0" w:color="auto"/>
        <w:bottom w:val="none" w:sz="0" w:space="0" w:color="auto"/>
        <w:right w:val="none" w:sz="0" w:space="0" w:color="auto"/>
      </w:divBdr>
    </w:div>
    <w:div w:id="1667397974">
      <w:bodyDiv w:val="1"/>
      <w:marLeft w:val="0"/>
      <w:marRight w:val="0"/>
      <w:marTop w:val="0"/>
      <w:marBottom w:val="0"/>
      <w:divBdr>
        <w:top w:val="none" w:sz="0" w:space="0" w:color="auto"/>
        <w:left w:val="none" w:sz="0" w:space="0" w:color="auto"/>
        <w:bottom w:val="none" w:sz="0" w:space="0" w:color="auto"/>
        <w:right w:val="none" w:sz="0" w:space="0" w:color="auto"/>
      </w:divBdr>
    </w:div>
    <w:div w:id="1668290492">
      <w:bodyDiv w:val="1"/>
      <w:marLeft w:val="0"/>
      <w:marRight w:val="0"/>
      <w:marTop w:val="0"/>
      <w:marBottom w:val="0"/>
      <w:divBdr>
        <w:top w:val="none" w:sz="0" w:space="0" w:color="auto"/>
        <w:left w:val="none" w:sz="0" w:space="0" w:color="auto"/>
        <w:bottom w:val="none" w:sz="0" w:space="0" w:color="auto"/>
        <w:right w:val="none" w:sz="0" w:space="0" w:color="auto"/>
      </w:divBdr>
    </w:div>
    <w:div w:id="1672102843">
      <w:bodyDiv w:val="1"/>
      <w:marLeft w:val="0"/>
      <w:marRight w:val="0"/>
      <w:marTop w:val="0"/>
      <w:marBottom w:val="0"/>
      <w:divBdr>
        <w:top w:val="none" w:sz="0" w:space="0" w:color="auto"/>
        <w:left w:val="none" w:sz="0" w:space="0" w:color="auto"/>
        <w:bottom w:val="none" w:sz="0" w:space="0" w:color="auto"/>
        <w:right w:val="none" w:sz="0" w:space="0" w:color="auto"/>
      </w:divBdr>
    </w:div>
    <w:div w:id="1674718402">
      <w:bodyDiv w:val="1"/>
      <w:marLeft w:val="0"/>
      <w:marRight w:val="0"/>
      <w:marTop w:val="0"/>
      <w:marBottom w:val="0"/>
      <w:divBdr>
        <w:top w:val="none" w:sz="0" w:space="0" w:color="auto"/>
        <w:left w:val="none" w:sz="0" w:space="0" w:color="auto"/>
        <w:bottom w:val="none" w:sz="0" w:space="0" w:color="auto"/>
        <w:right w:val="none" w:sz="0" w:space="0" w:color="auto"/>
      </w:divBdr>
    </w:div>
    <w:div w:id="1682004456">
      <w:bodyDiv w:val="1"/>
      <w:marLeft w:val="0"/>
      <w:marRight w:val="0"/>
      <w:marTop w:val="0"/>
      <w:marBottom w:val="0"/>
      <w:divBdr>
        <w:top w:val="none" w:sz="0" w:space="0" w:color="auto"/>
        <w:left w:val="none" w:sz="0" w:space="0" w:color="auto"/>
        <w:bottom w:val="none" w:sz="0" w:space="0" w:color="auto"/>
        <w:right w:val="none" w:sz="0" w:space="0" w:color="auto"/>
      </w:divBdr>
    </w:div>
    <w:div w:id="1682470993">
      <w:bodyDiv w:val="1"/>
      <w:marLeft w:val="0"/>
      <w:marRight w:val="0"/>
      <w:marTop w:val="0"/>
      <w:marBottom w:val="0"/>
      <w:divBdr>
        <w:top w:val="none" w:sz="0" w:space="0" w:color="auto"/>
        <w:left w:val="none" w:sz="0" w:space="0" w:color="auto"/>
        <w:bottom w:val="none" w:sz="0" w:space="0" w:color="auto"/>
        <w:right w:val="none" w:sz="0" w:space="0" w:color="auto"/>
      </w:divBdr>
    </w:div>
    <w:div w:id="1690140050">
      <w:bodyDiv w:val="1"/>
      <w:marLeft w:val="0"/>
      <w:marRight w:val="0"/>
      <w:marTop w:val="0"/>
      <w:marBottom w:val="0"/>
      <w:divBdr>
        <w:top w:val="none" w:sz="0" w:space="0" w:color="auto"/>
        <w:left w:val="none" w:sz="0" w:space="0" w:color="auto"/>
        <w:bottom w:val="none" w:sz="0" w:space="0" w:color="auto"/>
        <w:right w:val="none" w:sz="0" w:space="0" w:color="auto"/>
      </w:divBdr>
    </w:div>
    <w:div w:id="1690451248">
      <w:bodyDiv w:val="1"/>
      <w:marLeft w:val="0"/>
      <w:marRight w:val="0"/>
      <w:marTop w:val="0"/>
      <w:marBottom w:val="0"/>
      <w:divBdr>
        <w:top w:val="none" w:sz="0" w:space="0" w:color="auto"/>
        <w:left w:val="none" w:sz="0" w:space="0" w:color="auto"/>
        <w:bottom w:val="none" w:sz="0" w:space="0" w:color="auto"/>
        <w:right w:val="none" w:sz="0" w:space="0" w:color="auto"/>
      </w:divBdr>
    </w:div>
    <w:div w:id="1692106115">
      <w:bodyDiv w:val="1"/>
      <w:marLeft w:val="0"/>
      <w:marRight w:val="0"/>
      <w:marTop w:val="0"/>
      <w:marBottom w:val="0"/>
      <w:divBdr>
        <w:top w:val="none" w:sz="0" w:space="0" w:color="auto"/>
        <w:left w:val="none" w:sz="0" w:space="0" w:color="auto"/>
        <w:bottom w:val="none" w:sz="0" w:space="0" w:color="auto"/>
        <w:right w:val="none" w:sz="0" w:space="0" w:color="auto"/>
      </w:divBdr>
    </w:div>
    <w:div w:id="1693535430">
      <w:bodyDiv w:val="1"/>
      <w:marLeft w:val="0"/>
      <w:marRight w:val="0"/>
      <w:marTop w:val="0"/>
      <w:marBottom w:val="0"/>
      <w:divBdr>
        <w:top w:val="none" w:sz="0" w:space="0" w:color="auto"/>
        <w:left w:val="none" w:sz="0" w:space="0" w:color="auto"/>
        <w:bottom w:val="none" w:sz="0" w:space="0" w:color="auto"/>
        <w:right w:val="none" w:sz="0" w:space="0" w:color="auto"/>
      </w:divBdr>
    </w:div>
    <w:div w:id="1693610649">
      <w:bodyDiv w:val="1"/>
      <w:marLeft w:val="0"/>
      <w:marRight w:val="0"/>
      <w:marTop w:val="0"/>
      <w:marBottom w:val="0"/>
      <w:divBdr>
        <w:top w:val="none" w:sz="0" w:space="0" w:color="auto"/>
        <w:left w:val="none" w:sz="0" w:space="0" w:color="auto"/>
        <w:bottom w:val="none" w:sz="0" w:space="0" w:color="auto"/>
        <w:right w:val="none" w:sz="0" w:space="0" w:color="auto"/>
      </w:divBdr>
    </w:div>
    <w:div w:id="1694960407">
      <w:bodyDiv w:val="1"/>
      <w:marLeft w:val="0"/>
      <w:marRight w:val="0"/>
      <w:marTop w:val="0"/>
      <w:marBottom w:val="0"/>
      <w:divBdr>
        <w:top w:val="none" w:sz="0" w:space="0" w:color="auto"/>
        <w:left w:val="none" w:sz="0" w:space="0" w:color="auto"/>
        <w:bottom w:val="none" w:sz="0" w:space="0" w:color="auto"/>
        <w:right w:val="none" w:sz="0" w:space="0" w:color="auto"/>
      </w:divBdr>
    </w:div>
    <w:div w:id="1698044986">
      <w:bodyDiv w:val="1"/>
      <w:marLeft w:val="0"/>
      <w:marRight w:val="0"/>
      <w:marTop w:val="0"/>
      <w:marBottom w:val="0"/>
      <w:divBdr>
        <w:top w:val="none" w:sz="0" w:space="0" w:color="auto"/>
        <w:left w:val="none" w:sz="0" w:space="0" w:color="auto"/>
        <w:bottom w:val="none" w:sz="0" w:space="0" w:color="auto"/>
        <w:right w:val="none" w:sz="0" w:space="0" w:color="auto"/>
      </w:divBdr>
    </w:div>
    <w:div w:id="1698896286">
      <w:bodyDiv w:val="1"/>
      <w:marLeft w:val="0"/>
      <w:marRight w:val="0"/>
      <w:marTop w:val="0"/>
      <w:marBottom w:val="0"/>
      <w:divBdr>
        <w:top w:val="none" w:sz="0" w:space="0" w:color="auto"/>
        <w:left w:val="none" w:sz="0" w:space="0" w:color="auto"/>
        <w:bottom w:val="none" w:sz="0" w:space="0" w:color="auto"/>
        <w:right w:val="none" w:sz="0" w:space="0" w:color="auto"/>
      </w:divBdr>
    </w:div>
    <w:div w:id="1701321169">
      <w:bodyDiv w:val="1"/>
      <w:marLeft w:val="0"/>
      <w:marRight w:val="0"/>
      <w:marTop w:val="0"/>
      <w:marBottom w:val="0"/>
      <w:divBdr>
        <w:top w:val="none" w:sz="0" w:space="0" w:color="auto"/>
        <w:left w:val="none" w:sz="0" w:space="0" w:color="auto"/>
        <w:bottom w:val="none" w:sz="0" w:space="0" w:color="auto"/>
        <w:right w:val="none" w:sz="0" w:space="0" w:color="auto"/>
      </w:divBdr>
    </w:div>
    <w:div w:id="1702048239">
      <w:bodyDiv w:val="1"/>
      <w:marLeft w:val="0"/>
      <w:marRight w:val="0"/>
      <w:marTop w:val="0"/>
      <w:marBottom w:val="0"/>
      <w:divBdr>
        <w:top w:val="none" w:sz="0" w:space="0" w:color="auto"/>
        <w:left w:val="none" w:sz="0" w:space="0" w:color="auto"/>
        <w:bottom w:val="none" w:sz="0" w:space="0" w:color="auto"/>
        <w:right w:val="none" w:sz="0" w:space="0" w:color="auto"/>
      </w:divBdr>
    </w:div>
    <w:div w:id="1703044856">
      <w:bodyDiv w:val="1"/>
      <w:marLeft w:val="0"/>
      <w:marRight w:val="0"/>
      <w:marTop w:val="0"/>
      <w:marBottom w:val="0"/>
      <w:divBdr>
        <w:top w:val="none" w:sz="0" w:space="0" w:color="auto"/>
        <w:left w:val="none" w:sz="0" w:space="0" w:color="auto"/>
        <w:bottom w:val="none" w:sz="0" w:space="0" w:color="auto"/>
        <w:right w:val="none" w:sz="0" w:space="0" w:color="auto"/>
      </w:divBdr>
    </w:div>
    <w:div w:id="1704401768">
      <w:bodyDiv w:val="1"/>
      <w:marLeft w:val="0"/>
      <w:marRight w:val="0"/>
      <w:marTop w:val="0"/>
      <w:marBottom w:val="0"/>
      <w:divBdr>
        <w:top w:val="none" w:sz="0" w:space="0" w:color="auto"/>
        <w:left w:val="none" w:sz="0" w:space="0" w:color="auto"/>
        <w:bottom w:val="none" w:sz="0" w:space="0" w:color="auto"/>
        <w:right w:val="none" w:sz="0" w:space="0" w:color="auto"/>
      </w:divBdr>
    </w:div>
    <w:div w:id="1705399537">
      <w:bodyDiv w:val="1"/>
      <w:marLeft w:val="0"/>
      <w:marRight w:val="0"/>
      <w:marTop w:val="0"/>
      <w:marBottom w:val="0"/>
      <w:divBdr>
        <w:top w:val="none" w:sz="0" w:space="0" w:color="auto"/>
        <w:left w:val="none" w:sz="0" w:space="0" w:color="auto"/>
        <w:bottom w:val="none" w:sz="0" w:space="0" w:color="auto"/>
        <w:right w:val="none" w:sz="0" w:space="0" w:color="auto"/>
      </w:divBdr>
    </w:div>
    <w:div w:id="1708526549">
      <w:bodyDiv w:val="1"/>
      <w:marLeft w:val="0"/>
      <w:marRight w:val="0"/>
      <w:marTop w:val="0"/>
      <w:marBottom w:val="0"/>
      <w:divBdr>
        <w:top w:val="none" w:sz="0" w:space="0" w:color="auto"/>
        <w:left w:val="none" w:sz="0" w:space="0" w:color="auto"/>
        <w:bottom w:val="none" w:sz="0" w:space="0" w:color="auto"/>
        <w:right w:val="none" w:sz="0" w:space="0" w:color="auto"/>
      </w:divBdr>
    </w:div>
    <w:div w:id="1710953817">
      <w:bodyDiv w:val="1"/>
      <w:marLeft w:val="0"/>
      <w:marRight w:val="0"/>
      <w:marTop w:val="0"/>
      <w:marBottom w:val="0"/>
      <w:divBdr>
        <w:top w:val="none" w:sz="0" w:space="0" w:color="auto"/>
        <w:left w:val="none" w:sz="0" w:space="0" w:color="auto"/>
        <w:bottom w:val="none" w:sz="0" w:space="0" w:color="auto"/>
        <w:right w:val="none" w:sz="0" w:space="0" w:color="auto"/>
      </w:divBdr>
    </w:div>
    <w:div w:id="1713261546">
      <w:bodyDiv w:val="1"/>
      <w:marLeft w:val="0"/>
      <w:marRight w:val="0"/>
      <w:marTop w:val="0"/>
      <w:marBottom w:val="0"/>
      <w:divBdr>
        <w:top w:val="none" w:sz="0" w:space="0" w:color="auto"/>
        <w:left w:val="none" w:sz="0" w:space="0" w:color="auto"/>
        <w:bottom w:val="none" w:sz="0" w:space="0" w:color="auto"/>
        <w:right w:val="none" w:sz="0" w:space="0" w:color="auto"/>
      </w:divBdr>
    </w:div>
    <w:div w:id="1713771839">
      <w:bodyDiv w:val="1"/>
      <w:marLeft w:val="0"/>
      <w:marRight w:val="0"/>
      <w:marTop w:val="0"/>
      <w:marBottom w:val="0"/>
      <w:divBdr>
        <w:top w:val="none" w:sz="0" w:space="0" w:color="auto"/>
        <w:left w:val="none" w:sz="0" w:space="0" w:color="auto"/>
        <w:bottom w:val="none" w:sz="0" w:space="0" w:color="auto"/>
        <w:right w:val="none" w:sz="0" w:space="0" w:color="auto"/>
      </w:divBdr>
    </w:div>
    <w:div w:id="1718318669">
      <w:bodyDiv w:val="1"/>
      <w:marLeft w:val="0"/>
      <w:marRight w:val="0"/>
      <w:marTop w:val="0"/>
      <w:marBottom w:val="0"/>
      <w:divBdr>
        <w:top w:val="none" w:sz="0" w:space="0" w:color="auto"/>
        <w:left w:val="none" w:sz="0" w:space="0" w:color="auto"/>
        <w:bottom w:val="none" w:sz="0" w:space="0" w:color="auto"/>
        <w:right w:val="none" w:sz="0" w:space="0" w:color="auto"/>
      </w:divBdr>
    </w:div>
    <w:div w:id="1724673595">
      <w:bodyDiv w:val="1"/>
      <w:marLeft w:val="0"/>
      <w:marRight w:val="0"/>
      <w:marTop w:val="0"/>
      <w:marBottom w:val="0"/>
      <w:divBdr>
        <w:top w:val="none" w:sz="0" w:space="0" w:color="auto"/>
        <w:left w:val="none" w:sz="0" w:space="0" w:color="auto"/>
        <w:bottom w:val="none" w:sz="0" w:space="0" w:color="auto"/>
        <w:right w:val="none" w:sz="0" w:space="0" w:color="auto"/>
      </w:divBdr>
    </w:div>
    <w:div w:id="1729572791">
      <w:bodyDiv w:val="1"/>
      <w:marLeft w:val="0"/>
      <w:marRight w:val="0"/>
      <w:marTop w:val="0"/>
      <w:marBottom w:val="0"/>
      <w:divBdr>
        <w:top w:val="none" w:sz="0" w:space="0" w:color="auto"/>
        <w:left w:val="none" w:sz="0" w:space="0" w:color="auto"/>
        <w:bottom w:val="none" w:sz="0" w:space="0" w:color="auto"/>
        <w:right w:val="none" w:sz="0" w:space="0" w:color="auto"/>
      </w:divBdr>
    </w:div>
    <w:div w:id="1736002653">
      <w:bodyDiv w:val="1"/>
      <w:marLeft w:val="0"/>
      <w:marRight w:val="0"/>
      <w:marTop w:val="0"/>
      <w:marBottom w:val="0"/>
      <w:divBdr>
        <w:top w:val="none" w:sz="0" w:space="0" w:color="auto"/>
        <w:left w:val="none" w:sz="0" w:space="0" w:color="auto"/>
        <w:bottom w:val="none" w:sz="0" w:space="0" w:color="auto"/>
        <w:right w:val="none" w:sz="0" w:space="0" w:color="auto"/>
      </w:divBdr>
    </w:div>
    <w:div w:id="1741707673">
      <w:bodyDiv w:val="1"/>
      <w:marLeft w:val="0"/>
      <w:marRight w:val="0"/>
      <w:marTop w:val="0"/>
      <w:marBottom w:val="0"/>
      <w:divBdr>
        <w:top w:val="none" w:sz="0" w:space="0" w:color="auto"/>
        <w:left w:val="none" w:sz="0" w:space="0" w:color="auto"/>
        <w:bottom w:val="none" w:sz="0" w:space="0" w:color="auto"/>
        <w:right w:val="none" w:sz="0" w:space="0" w:color="auto"/>
      </w:divBdr>
    </w:div>
    <w:div w:id="1753238079">
      <w:bodyDiv w:val="1"/>
      <w:marLeft w:val="0"/>
      <w:marRight w:val="0"/>
      <w:marTop w:val="0"/>
      <w:marBottom w:val="0"/>
      <w:divBdr>
        <w:top w:val="none" w:sz="0" w:space="0" w:color="auto"/>
        <w:left w:val="none" w:sz="0" w:space="0" w:color="auto"/>
        <w:bottom w:val="none" w:sz="0" w:space="0" w:color="auto"/>
        <w:right w:val="none" w:sz="0" w:space="0" w:color="auto"/>
      </w:divBdr>
    </w:div>
    <w:div w:id="1753696676">
      <w:bodyDiv w:val="1"/>
      <w:marLeft w:val="0"/>
      <w:marRight w:val="0"/>
      <w:marTop w:val="0"/>
      <w:marBottom w:val="0"/>
      <w:divBdr>
        <w:top w:val="none" w:sz="0" w:space="0" w:color="auto"/>
        <w:left w:val="none" w:sz="0" w:space="0" w:color="auto"/>
        <w:bottom w:val="none" w:sz="0" w:space="0" w:color="auto"/>
        <w:right w:val="none" w:sz="0" w:space="0" w:color="auto"/>
      </w:divBdr>
    </w:div>
    <w:div w:id="1754081878">
      <w:bodyDiv w:val="1"/>
      <w:marLeft w:val="0"/>
      <w:marRight w:val="0"/>
      <w:marTop w:val="0"/>
      <w:marBottom w:val="0"/>
      <w:divBdr>
        <w:top w:val="none" w:sz="0" w:space="0" w:color="auto"/>
        <w:left w:val="none" w:sz="0" w:space="0" w:color="auto"/>
        <w:bottom w:val="none" w:sz="0" w:space="0" w:color="auto"/>
        <w:right w:val="none" w:sz="0" w:space="0" w:color="auto"/>
      </w:divBdr>
    </w:div>
    <w:div w:id="1756049222">
      <w:bodyDiv w:val="1"/>
      <w:marLeft w:val="0"/>
      <w:marRight w:val="0"/>
      <w:marTop w:val="0"/>
      <w:marBottom w:val="0"/>
      <w:divBdr>
        <w:top w:val="none" w:sz="0" w:space="0" w:color="auto"/>
        <w:left w:val="none" w:sz="0" w:space="0" w:color="auto"/>
        <w:bottom w:val="none" w:sz="0" w:space="0" w:color="auto"/>
        <w:right w:val="none" w:sz="0" w:space="0" w:color="auto"/>
      </w:divBdr>
    </w:div>
    <w:div w:id="1763064670">
      <w:bodyDiv w:val="1"/>
      <w:marLeft w:val="0"/>
      <w:marRight w:val="0"/>
      <w:marTop w:val="0"/>
      <w:marBottom w:val="0"/>
      <w:divBdr>
        <w:top w:val="none" w:sz="0" w:space="0" w:color="auto"/>
        <w:left w:val="none" w:sz="0" w:space="0" w:color="auto"/>
        <w:bottom w:val="none" w:sz="0" w:space="0" w:color="auto"/>
        <w:right w:val="none" w:sz="0" w:space="0" w:color="auto"/>
      </w:divBdr>
    </w:div>
    <w:div w:id="1763378800">
      <w:bodyDiv w:val="1"/>
      <w:marLeft w:val="0"/>
      <w:marRight w:val="0"/>
      <w:marTop w:val="0"/>
      <w:marBottom w:val="0"/>
      <w:divBdr>
        <w:top w:val="none" w:sz="0" w:space="0" w:color="auto"/>
        <w:left w:val="none" w:sz="0" w:space="0" w:color="auto"/>
        <w:bottom w:val="none" w:sz="0" w:space="0" w:color="auto"/>
        <w:right w:val="none" w:sz="0" w:space="0" w:color="auto"/>
      </w:divBdr>
    </w:div>
    <w:div w:id="1767268703">
      <w:bodyDiv w:val="1"/>
      <w:marLeft w:val="0"/>
      <w:marRight w:val="0"/>
      <w:marTop w:val="0"/>
      <w:marBottom w:val="0"/>
      <w:divBdr>
        <w:top w:val="none" w:sz="0" w:space="0" w:color="auto"/>
        <w:left w:val="none" w:sz="0" w:space="0" w:color="auto"/>
        <w:bottom w:val="none" w:sz="0" w:space="0" w:color="auto"/>
        <w:right w:val="none" w:sz="0" w:space="0" w:color="auto"/>
      </w:divBdr>
    </w:div>
    <w:div w:id="1770345109">
      <w:bodyDiv w:val="1"/>
      <w:marLeft w:val="0"/>
      <w:marRight w:val="0"/>
      <w:marTop w:val="0"/>
      <w:marBottom w:val="0"/>
      <w:divBdr>
        <w:top w:val="none" w:sz="0" w:space="0" w:color="auto"/>
        <w:left w:val="none" w:sz="0" w:space="0" w:color="auto"/>
        <w:bottom w:val="none" w:sz="0" w:space="0" w:color="auto"/>
        <w:right w:val="none" w:sz="0" w:space="0" w:color="auto"/>
      </w:divBdr>
    </w:div>
    <w:div w:id="1780949054">
      <w:bodyDiv w:val="1"/>
      <w:marLeft w:val="0"/>
      <w:marRight w:val="0"/>
      <w:marTop w:val="0"/>
      <w:marBottom w:val="0"/>
      <w:divBdr>
        <w:top w:val="none" w:sz="0" w:space="0" w:color="auto"/>
        <w:left w:val="none" w:sz="0" w:space="0" w:color="auto"/>
        <w:bottom w:val="none" w:sz="0" w:space="0" w:color="auto"/>
        <w:right w:val="none" w:sz="0" w:space="0" w:color="auto"/>
      </w:divBdr>
    </w:div>
    <w:div w:id="1781679660">
      <w:bodyDiv w:val="1"/>
      <w:marLeft w:val="0"/>
      <w:marRight w:val="0"/>
      <w:marTop w:val="0"/>
      <w:marBottom w:val="0"/>
      <w:divBdr>
        <w:top w:val="none" w:sz="0" w:space="0" w:color="auto"/>
        <w:left w:val="none" w:sz="0" w:space="0" w:color="auto"/>
        <w:bottom w:val="none" w:sz="0" w:space="0" w:color="auto"/>
        <w:right w:val="none" w:sz="0" w:space="0" w:color="auto"/>
      </w:divBdr>
    </w:div>
    <w:div w:id="1782534477">
      <w:bodyDiv w:val="1"/>
      <w:marLeft w:val="0"/>
      <w:marRight w:val="0"/>
      <w:marTop w:val="0"/>
      <w:marBottom w:val="0"/>
      <w:divBdr>
        <w:top w:val="none" w:sz="0" w:space="0" w:color="auto"/>
        <w:left w:val="none" w:sz="0" w:space="0" w:color="auto"/>
        <w:bottom w:val="none" w:sz="0" w:space="0" w:color="auto"/>
        <w:right w:val="none" w:sz="0" w:space="0" w:color="auto"/>
      </w:divBdr>
    </w:div>
    <w:div w:id="1783068914">
      <w:bodyDiv w:val="1"/>
      <w:marLeft w:val="0"/>
      <w:marRight w:val="0"/>
      <w:marTop w:val="0"/>
      <w:marBottom w:val="0"/>
      <w:divBdr>
        <w:top w:val="none" w:sz="0" w:space="0" w:color="auto"/>
        <w:left w:val="none" w:sz="0" w:space="0" w:color="auto"/>
        <w:bottom w:val="none" w:sz="0" w:space="0" w:color="auto"/>
        <w:right w:val="none" w:sz="0" w:space="0" w:color="auto"/>
      </w:divBdr>
    </w:div>
    <w:div w:id="1783452633">
      <w:bodyDiv w:val="1"/>
      <w:marLeft w:val="0"/>
      <w:marRight w:val="0"/>
      <w:marTop w:val="0"/>
      <w:marBottom w:val="0"/>
      <w:divBdr>
        <w:top w:val="none" w:sz="0" w:space="0" w:color="auto"/>
        <w:left w:val="none" w:sz="0" w:space="0" w:color="auto"/>
        <w:bottom w:val="none" w:sz="0" w:space="0" w:color="auto"/>
        <w:right w:val="none" w:sz="0" w:space="0" w:color="auto"/>
      </w:divBdr>
    </w:div>
    <w:div w:id="1783456223">
      <w:bodyDiv w:val="1"/>
      <w:marLeft w:val="0"/>
      <w:marRight w:val="0"/>
      <w:marTop w:val="0"/>
      <w:marBottom w:val="0"/>
      <w:divBdr>
        <w:top w:val="none" w:sz="0" w:space="0" w:color="auto"/>
        <w:left w:val="none" w:sz="0" w:space="0" w:color="auto"/>
        <w:bottom w:val="none" w:sz="0" w:space="0" w:color="auto"/>
        <w:right w:val="none" w:sz="0" w:space="0" w:color="auto"/>
      </w:divBdr>
    </w:div>
    <w:div w:id="1785034341">
      <w:bodyDiv w:val="1"/>
      <w:marLeft w:val="0"/>
      <w:marRight w:val="0"/>
      <w:marTop w:val="0"/>
      <w:marBottom w:val="0"/>
      <w:divBdr>
        <w:top w:val="none" w:sz="0" w:space="0" w:color="auto"/>
        <w:left w:val="none" w:sz="0" w:space="0" w:color="auto"/>
        <w:bottom w:val="none" w:sz="0" w:space="0" w:color="auto"/>
        <w:right w:val="none" w:sz="0" w:space="0" w:color="auto"/>
      </w:divBdr>
    </w:div>
    <w:div w:id="1787459712">
      <w:bodyDiv w:val="1"/>
      <w:marLeft w:val="0"/>
      <w:marRight w:val="0"/>
      <w:marTop w:val="0"/>
      <w:marBottom w:val="0"/>
      <w:divBdr>
        <w:top w:val="none" w:sz="0" w:space="0" w:color="auto"/>
        <w:left w:val="none" w:sz="0" w:space="0" w:color="auto"/>
        <w:bottom w:val="none" w:sz="0" w:space="0" w:color="auto"/>
        <w:right w:val="none" w:sz="0" w:space="0" w:color="auto"/>
      </w:divBdr>
    </w:div>
    <w:div w:id="1790470162">
      <w:bodyDiv w:val="1"/>
      <w:marLeft w:val="0"/>
      <w:marRight w:val="0"/>
      <w:marTop w:val="0"/>
      <w:marBottom w:val="0"/>
      <w:divBdr>
        <w:top w:val="none" w:sz="0" w:space="0" w:color="auto"/>
        <w:left w:val="none" w:sz="0" w:space="0" w:color="auto"/>
        <w:bottom w:val="none" w:sz="0" w:space="0" w:color="auto"/>
        <w:right w:val="none" w:sz="0" w:space="0" w:color="auto"/>
      </w:divBdr>
    </w:div>
    <w:div w:id="1792475722">
      <w:bodyDiv w:val="1"/>
      <w:marLeft w:val="0"/>
      <w:marRight w:val="0"/>
      <w:marTop w:val="0"/>
      <w:marBottom w:val="0"/>
      <w:divBdr>
        <w:top w:val="none" w:sz="0" w:space="0" w:color="auto"/>
        <w:left w:val="none" w:sz="0" w:space="0" w:color="auto"/>
        <w:bottom w:val="none" w:sz="0" w:space="0" w:color="auto"/>
        <w:right w:val="none" w:sz="0" w:space="0" w:color="auto"/>
      </w:divBdr>
    </w:div>
    <w:div w:id="1795978261">
      <w:bodyDiv w:val="1"/>
      <w:marLeft w:val="0"/>
      <w:marRight w:val="0"/>
      <w:marTop w:val="0"/>
      <w:marBottom w:val="0"/>
      <w:divBdr>
        <w:top w:val="none" w:sz="0" w:space="0" w:color="auto"/>
        <w:left w:val="none" w:sz="0" w:space="0" w:color="auto"/>
        <w:bottom w:val="none" w:sz="0" w:space="0" w:color="auto"/>
        <w:right w:val="none" w:sz="0" w:space="0" w:color="auto"/>
      </w:divBdr>
    </w:div>
    <w:div w:id="1799952649">
      <w:bodyDiv w:val="1"/>
      <w:marLeft w:val="0"/>
      <w:marRight w:val="0"/>
      <w:marTop w:val="0"/>
      <w:marBottom w:val="0"/>
      <w:divBdr>
        <w:top w:val="none" w:sz="0" w:space="0" w:color="auto"/>
        <w:left w:val="none" w:sz="0" w:space="0" w:color="auto"/>
        <w:bottom w:val="none" w:sz="0" w:space="0" w:color="auto"/>
        <w:right w:val="none" w:sz="0" w:space="0" w:color="auto"/>
      </w:divBdr>
    </w:div>
    <w:div w:id="1800566566">
      <w:bodyDiv w:val="1"/>
      <w:marLeft w:val="0"/>
      <w:marRight w:val="0"/>
      <w:marTop w:val="0"/>
      <w:marBottom w:val="0"/>
      <w:divBdr>
        <w:top w:val="none" w:sz="0" w:space="0" w:color="auto"/>
        <w:left w:val="none" w:sz="0" w:space="0" w:color="auto"/>
        <w:bottom w:val="none" w:sz="0" w:space="0" w:color="auto"/>
        <w:right w:val="none" w:sz="0" w:space="0" w:color="auto"/>
      </w:divBdr>
    </w:div>
    <w:div w:id="1800683279">
      <w:bodyDiv w:val="1"/>
      <w:marLeft w:val="0"/>
      <w:marRight w:val="0"/>
      <w:marTop w:val="0"/>
      <w:marBottom w:val="0"/>
      <w:divBdr>
        <w:top w:val="none" w:sz="0" w:space="0" w:color="auto"/>
        <w:left w:val="none" w:sz="0" w:space="0" w:color="auto"/>
        <w:bottom w:val="none" w:sz="0" w:space="0" w:color="auto"/>
        <w:right w:val="none" w:sz="0" w:space="0" w:color="auto"/>
      </w:divBdr>
    </w:div>
    <w:div w:id="1801026587">
      <w:bodyDiv w:val="1"/>
      <w:marLeft w:val="0"/>
      <w:marRight w:val="0"/>
      <w:marTop w:val="0"/>
      <w:marBottom w:val="0"/>
      <w:divBdr>
        <w:top w:val="none" w:sz="0" w:space="0" w:color="auto"/>
        <w:left w:val="none" w:sz="0" w:space="0" w:color="auto"/>
        <w:bottom w:val="none" w:sz="0" w:space="0" w:color="auto"/>
        <w:right w:val="none" w:sz="0" w:space="0" w:color="auto"/>
      </w:divBdr>
    </w:div>
    <w:div w:id="1804343129">
      <w:bodyDiv w:val="1"/>
      <w:marLeft w:val="0"/>
      <w:marRight w:val="0"/>
      <w:marTop w:val="0"/>
      <w:marBottom w:val="0"/>
      <w:divBdr>
        <w:top w:val="none" w:sz="0" w:space="0" w:color="auto"/>
        <w:left w:val="none" w:sz="0" w:space="0" w:color="auto"/>
        <w:bottom w:val="none" w:sz="0" w:space="0" w:color="auto"/>
        <w:right w:val="none" w:sz="0" w:space="0" w:color="auto"/>
      </w:divBdr>
    </w:div>
    <w:div w:id="1807819356">
      <w:bodyDiv w:val="1"/>
      <w:marLeft w:val="0"/>
      <w:marRight w:val="0"/>
      <w:marTop w:val="0"/>
      <w:marBottom w:val="0"/>
      <w:divBdr>
        <w:top w:val="none" w:sz="0" w:space="0" w:color="auto"/>
        <w:left w:val="none" w:sz="0" w:space="0" w:color="auto"/>
        <w:bottom w:val="none" w:sz="0" w:space="0" w:color="auto"/>
        <w:right w:val="none" w:sz="0" w:space="0" w:color="auto"/>
      </w:divBdr>
    </w:div>
    <w:div w:id="1808205874">
      <w:bodyDiv w:val="1"/>
      <w:marLeft w:val="0"/>
      <w:marRight w:val="0"/>
      <w:marTop w:val="0"/>
      <w:marBottom w:val="0"/>
      <w:divBdr>
        <w:top w:val="none" w:sz="0" w:space="0" w:color="auto"/>
        <w:left w:val="none" w:sz="0" w:space="0" w:color="auto"/>
        <w:bottom w:val="none" w:sz="0" w:space="0" w:color="auto"/>
        <w:right w:val="none" w:sz="0" w:space="0" w:color="auto"/>
      </w:divBdr>
    </w:div>
    <w:div w:id="1814103069">
      <w:bodyDiv w:val="1"/>
      <w:marLeft w:val="0"/>
      <w:marRight w:val="0"/>
      <w:marTop w:val="0"/>
      <w:marBottom w:val="0"/>
      <w:divBdr>
        <w:top w:val="none" w:sz="0" w:space="0" w:color="auto"/>
        <w:left w:val="none" w:sz="0" w:space="0" w:color="auto"/>
        <w:bottom w:val="none" w:sz="0" w:space="0" w:color="auto"/>
        <w:right w:val="none" w:sz="0" w:space="0" w:color="auto"/>
      </w:divBdr>
    </w:div>
    <w:div w:id="1819151569">
      <w:bodyDiv w:val="1"/>
      <w:marLeft w:val="0"/>
      <w:marRight w:val="0"/>
      <w:marTop w:val="0"/>
      <w:marBottom w:val="0"/>
      <w:divBdr>
        <w:top w:val="none" w:sz="0" w:space="0" w:color="auto"/>
        <w:left w:val="none" w:sz="0" w:space="0" w:color="auto"/>
        <w:bottom w:val="none" w:sz="0" w:space="0" w:color="auto"/>
        <w:right w:val="none" w:sz="0" w:space="0" w:color="auto"/>
      </w:divBdr>
    </w:div>
    <w:div w:id="1821653268">
      <w:bodyDiv w:val="1"/>
      <w:marLeft w:val="0"/>
      <w:marRight w:val="0"/>
      <w:marTop w:val="0"/>
      <w:marBottom w:val="0"/>
      <w:divBdr>
        <w:top w:val="none" w:sz="0" w:space="0" w:color="auto"/>
        <w:left w:val="none" w:sz="0" w:space="0" w:color="auto"/>
        <w:bottom w:val="none" w:sz="0" w:space="0" w:color="auto"/>
        <w:right w:val="none" w:sz="0" w:space="0" w:color="auto"/>
      </w:divBdr>
    </w:div>
    <w:div w:id="1825051526">
      <w:bodyDiv w:val="1"/>
      <w:marLeft w:val="0"/>
      <w:marRight w:val="0"/>
      <w:marTop w:val="0"/>
      <w:marBottom w:val="0"/>
      <w:divBdr>
        <w:top w:val="none" w:sz="0" w:space="0" w:color="auto"/>
        <w:left w:val="none" w:sz="0" w:space="0" w:color="auto"/>
        <w:bottom w:val="none" w:sz="0" w:space="0" w:color="auto"/>
        <w:right w:val="none" w:sz="0" w:space="0" w:color="auto"/>
      </w:divBdr>
    </w:div>
    <w:div w:id="1832792234">
      <w:bodyDiv w:val="1"/>
      <w:marLeft w:val="0"/>
      <w:marRight w:val="0"/>
      <w:marTop w:val="0"/>
      <w:marBottom w:val="0"/>
      <w:divBdr>
        <w:top w:val="none" w:sz="0" w:space="0" w:color="auto"/>
        <w:left w:val="none" w:sz="0" w:space="0" w:color="auto"/>
        <w:bottom w:val="none" w:sz="0" w:space="0" w:color="auto"/>
        <w:right w:val="none" w:sz="0" w:space="0" w:color="auto"/>
      </w:divBdr>
    </w:div>
    <w:div w:id="1838963555">
      <w:bodyDiv w:val="1"/>
      <w:marLeft w:val="0"/>
      <w:marRight w:val="0"/>
      <w:marTop w:val="0"/>
      <w:marBottom w:val="0"/>
      <w:divBdr>
        <w:top w:val="none" w:sz="0" w:space="0" w:color="auto"/>
        <w:left w:val="none" w:sz="0" w:space="0" w:color="auto"/>
        <w:bottom w:val="none" w:sz="0" w:space="0" w:color="auto"/>
        <w:right w:val="none" w:sz="0" w:space="0" w:color="auto"/>
      </w:divBdr>
    </w:div>
    <w:div w:id="1843936576">
      <w:bodyDiv w:val="1"/>
      <w:marLeft w:val="0"/>
      <w:marRight w:val="0"/>
      <w:marTop w:val="0"/>
      <w:marBottom w:val="0"/>
      <w:divBdr>
        <w:top w:val="none" w:sz="0" w:space="0" w:color="auto"/>
        <w:left w:val="none" w:sz="0" w:space="0" w:color="auto"/>
        <w:bottom w:val="none" w:sz="0" w:space="0" w:color="auto"/>
        <w:right w:val="none" w:sz="0" w:space="0" w:color="auto"/>
      </w:divBdr>
    </w:div>
    <w:div w:id="1844470100">
      <w:bodyDiv w:val="1"/>
      <w:marLeft w:val="0"/>
      <w:marRight w:val="0"/>
      <w:marTop w:val="0"/>
      <w:marBottom w:val="0"/>
      <w:divBdr>
        <w:top w:val="none" w:sz="0" w:space="0" w:color="auto"/>
        <w:left w:val="none" w:sz="0" w:space="0" w:color="auto"/>
        <w:bottom w:val="none" w:sz="0" w:space="0" w:color="auto"/>
        <w:right w:val="none" w:sz="0" w:space="0" w:color="auto"/>
      </w:divBdr>
    </w:div>
    <w:div w:id="1849636300">
      <w:bodyDiv w:val="1"/>
      <w:marLeft w:val="0"/>
      <w:marRight w:val="0"/>
      <w:marTop w:val="0"/>
      <w:marBottom w:val="0"/>
      <w:divBdr>
        <w:top w:val="none" w:sz="0" w:space="0" w:color="auto"/>
        <w:left w:val="none" w:sz="0" w:space="0" w:color="auto"/>
        <w:bottom w:val="none" w:sz="0" w:space="0" w:color="auto"/>
        <w:right w:val="none" w:sz="0" w:space="0" w:color="auto"/>
      </w:divBdr>
    </w:div>
    <w:div w:id="1855335700">
      <w:bodyDiv w:val="1"/>
      <w:marLeft w:val="0"/>
      <w:marRight w:val="0"/>
      <w:marTop w:val="0"/>
      <w:marBottom w:val="0"/>
      <w:divBdr>
        <w:top w:val="none" w:sz="0" w:space="0" w:color="auto"/>
        <w:left w:val="none" w:sz="0" w:space="0" w:color="auto"/>
        <w:bottom w:val="none" w:sz="0" w:space="0" w:color="auto"/>
        <w:right w:val="none" w:sz="0" w:space="0" w:color="auto"/>
      </w:divBdr>
    </w:div>
    <w:div w:id="1855680927">
      <w:bodyDiv w:val="1"/>
      <w:marLeft w:val="0"/>
      <w:marRight w:val="0"/>
      <w:marTop w:val="0"/>
      <w:marBottom w:val="0"/>
      <w:divBdr>
        <w:top w:val="none" w:sz="0" w:space="0" w:color="auto"/>
        <w:left w:val="none" w:sz="0" w:space="0" w:color="auto"/>
        <w:bottom w:val="none" w:sz="0" w:space="0" w:color="auto"/>
        <w:right w:val="none" w:sz="0" w:space="0" w:color="auto"/>
      </w:divBdr>
    </w:div>
    <w:div w:id="1857579211">
      <w:bodyDiv w:val="1"/>
      <w:marLeft w:val="0"/>
      <w:marRight w:val="0"/>
      <w:marTop w:val="0"/>
      <w:marBottom w:val="0"/>
      <w:divBdr>
        <w:top w:val="none" w:sz="0" w:space="0" w:color="auto"/>
        <w:left w:val="none" w:sz="0" w:space="0" w:color="auto"/>
        <w:bottom w:val="none" w:sz="0" w:space="0" w:color="auto"/>
        <w:right w:val="none" w:sz="0" w:space="0" w:color="auto"/>
      </w:divBdr>
    </w:div>
    <w:div w:id="1859197145">
      <w:bodyDiv w:val="1"/>
      <w:marLeft w:val="0"/>
      <w:marRight w:val="0"/>
      <w:marTop w:val="0"/>
      <w:marBottom w:val="0"/>
      <w:divBdr>
        <w:top w:val="none" w:sz="0" w:space="0" w:color="auto"/>
        <w:left w:val="none" w:sz="0" w:space="0" w:color="auto"/>
        <w:bottom w:val="none" w:sz="0" w:space="0" w:color="auto"/>
        <w:right w:val="none" w:sz="0" w:space="0" w:color="auto"/>
      </w:divBdr>
    </w:div>
    <w:div w:id="1860199381">
      <w:bodyDiv w:val="1"/>
      <w:marLeft w:val="0"/>
      <w:marRight w:val="0"/>
      <w:marTop w:val="0"/>
      <w:marBottom w:val="0"/>
      <w:divBdr>
        <w:top w:val="none" w:sz="0" w:space="0" w:color="auto"/>
        <w:left w:val="none" w:sz="0" w:space="0" w:color="auto"/>
        <w:bottom w:val="none" w:sz="0" w:space="0" w:color="auto"/>
        <w:right w:val="none" w:sz="0" w:space="0" w:color="auto"/>
      </w:divBdr>
    </w:div>
    <w:div w:id="1862433753">
      <w:bodyDiv w:val="1"/>
      <w:marLeft w:val="0"/>
      <w:marRight w:val="0"/>
      <w:marTop w:val="0"/>
      <w:marBottom w:val="0"/>
      <w:divBdr>
        <w:top w:val="none" w:sz="0" w:space="0" w:color="auto"/>
        <w:left w:val="none" w:sz="0" w:space="0" w:color="auto"/>
        <w:bottom w:val="none" w:sz="0" w:space="0" w:color="auto"/>
        <w:right w:val="none" w:sz="0" w:space="0" w:color="auto"/>
      </w:divBdr>
    </w:div>
    <w:div w:id="1868254894">
      <w:bodyDiv w:val="1"/>
      <w:marLeft w:val="0"/>
      <w:marRight w:val="0"/>
      <w:marTop w:val="0"/>
      <w:marBottom w:val="0"/>
      <w:divBdr>
        <w:top w:val="none" w:sz="0" w:space="0" w:color="auto"/>
        <w:left w:val="none" w:sz="0" w:space="0" w:color="auto"/>
        <w:bottom w:val="none" w:sz="0" w:space="0" w:color="auto"/>
        <w:right w:val="none" w:sz="0" w:space="0" w:color="auto"/>
      </w:divBdr>
    </w:div>
    <w:div w:id="1869022595">
      <w:bodyDiv w:val="1"/>
      <w:marLeft w:val="0"/>
      <w:marRight w:val="0"/>
      <w:marTop w:val="0"/>
      <w:marBottom w:val="0"/>
      <w:divBdr>
        <w:top w:val="none" w:sz="0" w:space="0" w:color="auto"/>
        <w:left w:val="none" w:sz="0" w:space="0" w:color="auto"/>
        <w:bottom w:val="none" w:sz="0" w:space="0" w:color="auto"/>
        <w:right w:val="none" w:sz="0" w:space="0" w:color="auto"/>
      </w:divBdr>
    </w:div>
    <w:div w:id="1869030163">
      <w:bodyDiv w:val="1"/>
      <w:marLeft w:val="0"/>
      <w:marRight w:val="0"/>
      <w:marTop w:val="0"/>
      <w:marBottom w:val="0"/>
      <w:divBdr>
        <w:top w:val="none" w:sz="0" w:space="0" w:color="auto"/>
        <w:left w:val="none" w:sz="0" w:space="0" w:color="auto"/>
        <w:bottom w:val="none" w:sz="0" w:space="0" w:color="auto"/>
        <w:right w:val="none" w:sz="0" w:space="0" w:color="auto"/>
      </w:divBdr>
    </w:div>
    <w:div w:id="1870608464">
      <w:bodyDiv w:val="1"/>
      <w:marLeft w:val="0"/>
      <w:marRight w:val="0"/>
      <w:marTop w:val="0"/>
      <w:marBottom w:val="0"/>
      <w:divBdr>
        <w:top w:val="none" w:sz="0" w:space="0" w:color="auto"/>
        <w:left w:val="none" w:sz="0" w:space="0" w:color="auto"/>
        <w:bottom w:val="none" w:sz="0" w:space="0" w:color="auto"/>
        <w:right w:val="none" w:sz="0" w:space="0" w:color="auto"/>
      </w:divBdr>
    </w:div>
    <w:div w:id="1872063249">
      <w:bodyDiv w:val="1"/>
      <w:marLeft w:val="0"/>
      <w:marRight w:val="0"/>
      <w:marTop w:val="0"/>
      <w:marBottom w:val="0"/>
      <w:divBdr>
        <w:top w:val="none" w:sz="0" w:space="0" w:color="auto"/>
        <w:left w:val="none" w:sz="0" w:space="0" w:color="auto"/>
        <w:bottom w:val="none" w:sz="0" w:space="0" w:color="auto"/>
        <w:right w:val="none" w:sz="0" w:space="0" w:color="auto"/>
      </w:divBdr>
    </w:div>
    <w:div w:id="1872841509">
      <w:bodyDiv w:val="1"/>
      <w:marLeft w:val="0"/>
      <w:marRight w:val="0"/>
      <w:marTop w:val="0"/>
      <w:marBottom w:val="0"/>
      <w:divBdr>
        <w:top w:val="none" w:sz="0" w:space="0" w:color="auto"/>
        <w:left w:val="none" w:sz="0" w:space="0" w:color="auto"/>
        <w:bottom w:val="none" w:sz="0" w:space="0" w:color="auto"/>
        <w:right w:val="none" w:sz="0" w:space="0" w:color="auto"/>
      </w:divBdr>
    </w:div>
    <w:div w:id="1875538079">
      <w:bodyDiv w:val="1"/>
      <w:marLeft w:val="0"/>
      <w:marRight w:val="0"/>
      <w:marTop w:val="0"/>
      <w:marBottom w:val="0"/>
      <w:divBdr>
        <w:top w:val="none" w:sz="0" w:space="0" w:color="auto"/>
        <w:left w:val="none" w:sz="0" w:space="0" w:color="auto"/>
        <w:bottom w:val="none" w:sz="0" w:space="0" w:color="auto"/>
        <w:right w:val="none" w:sz="0" w:space="0" w:color="auto"/>
      </w:divBdr>
    </w:div>
    <w:div w:id="1876846124">
      <w:bodyDiv w:val="1"/>
      <w:marLeft w:val="0"/>
      <w:marRight w:val="0"/>
      <w:marTop w:val="0"/>
      <w:marBottom w:val="0"/>
      <w:divBdr>
        <w:top w:val="none" w:sz="0" w:space="0" w:color="auto"/>
        <w:left w:val="none" w:sz="0" w:space="0" w:color="auto"/>
        <w:bottom w:val="none" w:sz="0" w:space="0" w:color="auto"/>
        <w:right w:val="none" w:sz="0" w:space="0" w:color="auto"/>
      </w:divBdr>
    </w:div>
    <w:div w:id="1877890757">
      <w:bodyDiv w:val="1"/>
      <w:marLeft w:val="0"/>
      <w:marRight w:val="0"/>
      <w:marTop w:val="0"/>
      <w:marBottom w:val="0"/>
      <w:divBdr>
        <w:top w:val="none" w:sz="0" w:space="0" w:color="auto"/>
        <w:left w:val="none" w:sz="0" w:space="0" w:color="auto"/>
        <w:bottom w:val="none" w:sz="0" w:space="0" w:color="auto"/>
        <w:right w:val="none" w:sz="0" w:space="0" w:color="auto"/>
      </w:divBdr>
    </w:div>
    <w:div w:id="1878424142">
      <w:bodyDiv w:val="1"/>
      <w:marLeft w:val="0"/>
      <w:marRight w:val="0"/>
      <w:marTop w:val="0"/>
      <w:marBottom w:val="0"/>
      <w:divBdr>
        <w:top w:val="none" w:sz="0" w:space="0" w:color="auto"/>
        <w:left w:val="none" w:sz="0" w:space="0" w:color="auto"/>
        <w:bottom w:val="none" w:sz="0" w:space="0" w:color="auto"/>
        <w:right w:val="none" w:sz="0" w:space="0" w:color="auto"/>
      </w:divBdr>
    </w:div>
    <w:div w:id="1882744477">
      <w:bodyDiv w:val="1"/>
      <w:marLeft w:val="0"/>
      <w:marRight w:val="0"/>
      <w:marTop w:val="0"/>
      <w:marBottom w:val="0"/>
      <w:divBdr>
        <w:top w:val="none" w:sz="0" w:space="0" w:color="auto"/>
        <w:left w:val="none" w:sz="0" w:space="0" w:color="auto"/>
        <w:bottom w:val="none" w:sz="0" w:space="0" w:color="auto"/>
        <w:right w:val="none" w:sz="0" w:space="0" w:color="auto"/>
      </w:divBdr>
    </w:div>
    <w:div w:id="1885209486">
      <w:bodyDiv w:val="1"/>
      <w:marLeft w:val="0"/>
      <w:marRight w:val="0"/>
      <w:marTop w:val="0"/>
      <w:marBottom w:val="0"/>
      <w:divBdr>
        <w:top w:val="none" w:sz="0" w:space="0" w:color="auto"/>
        <w:left w:val="none" w:sz="0" w:space="0" w:color="auto"/>
        <w:bottom w:val="none" w:sz="0" w:space="0" w:color="auto"/>
        <w:right w:val="none" w:sz="0" w:space="0" w:color="auto"/>
      </w:divBdr>
    </w:div>
    <w:div w:id="1886484232">
      <w:bodyDiv w:val="1"/>
      <w:marLeft w:val="0"/>
      <w:marRight w:val="0"/>
      <w:marTop w:val="0"/>
      <w:marBottom w:val="0"/>
      <w:divBdr>
        <w:top w:val="none" w:sz="0" w:space="0" w:color="auto"/>
        <w:left w:val="none" w:sz="0" w:space="0" w:color="auto"/>
        <w:bottom w:val="none" w:sz="0" w:space="0" w:color="auto"/>
        <w:right w:val="none" w:sz="0" w:space="0" w:color="auto"/>
      </w:divBdr>
    </w:div>
    <w:div w:id="1887060399">
      <w:bodyDiv w:val="1"/>
      <w:marLeft w:val="0"/>
      <w:marRight w:val="0"/>
      <w:marTop w:val="0"/>
      <w:marBottom w:val="0"/>
      <w:divBdr>
        <w:top w:val="none" w:sz="0" w:space="0" w:color="auto"/>
        <w:left w:val="none" w:sz="0" w:space="0" w:color="auto"/>
        <w:bottom w:val="none" w:sz="0" w:space="0" w:color="auto"/>
        <w:right w:val="none" w:sz="0" w:space="0" w:color="auto"/>
      </w:divBdr>
    </w:div>
    <w:div w:id="1888299562">
      <w:bodyDiv w:val="1"/>
      <w:marLeft w:val="0"/>
      <w:marRight w:val="0"/>
      <w:marTop w:val="0"/>
      <w:marBottom w:val="0"/>
      <w:divBdr>
        <w:top w:val="none" w:sz="0" w:space="0" w:color="auto"/>
        <w:left w:val="none" w:sz="0" w:space="0" w:color="auto"/>
        <w:bottom w:val="none" w:sz="0" w:space="0" w:color="auto"/>
        <w:right w:val="none" w:sz="0" w:space="0" w:color="auto"/>
      </w:divBdr>
    </w:div>
    <w:div w:id="1889493812">
      <w:bodyDiv w:val="1"/>
      <w:marLeft w:val="0"/>
      <w:marRight w:val="0"/>
      <w:marTop w:val="0"/>
      <w:marBottom w:val="0"/>
      <w:divBdr>
        <w:top w:val="none" w:sz="0" w:space="0" w:color="auto"/>
        <w:left w:val="none" w:sz="0" w:space="0" w:color="auto"/>
        <w:bottom w:val="none" w:sz="0" w:space="0" w:color="auto"/>
        <w:right w:val="none" w:sz="0" w:space="0" w:color="auto"/>
      </w:divBdr>
    </w:div>
    <w:div w:id="1891573236">
      <w:bodyDiv w:val="1"/>
      <w:marLeft w:val="0"/>
      <w:marRight w:val="0"/>
      <w:marTop w:val="0"/>
      <w:marBottom w:val="0"/>
      <w:divBdr>
        <w:top w:val="none" w:sz="0" w:space="0" w:color="auto"/>
        <w:left w:val="none" w:sz="0" w:space="0" w:color="auto"/>
        <w:bottom w:val="none" w:sz="0" w:space="0" w:color="auto"/>
        <w:right w:val="none" w:sz="0" w:space="0" w:color="auto"/>
      </w:divBdr>
    </w:div>
    <w:div w:id="1892114095">
      <w:bodyDiv w:val="1"/>
      <w:marLeft w:val="0"/>
      <w:marRight w:val="0"/>
      <w:marTop w:val="0"/>
      <w:marBottom w:val="0"/>
      <w:divBdr>
        <w:top w:val="none" w:sz="0" w:space="0" w:color="auto"/>
        <w:left w:val="none" w:sz="0" w:space="0" w:color="auto"/>
        <w:bottom w:val="none" w:sz="0" w:space="0" w:color="auto"/>
        <w:right w:val="none" w:sz="0" w:space="0" w:color="auto"/>
      </w:divBdr>
    </w:div>
    <w:div w:id="1892763490">
      <w:bodyDiv w:val="1"/>
      <w:marLeft w:val="0"/>
      <w:marRight w:val="0"/>
      <w:marTop w:val="0"/>
      <w:marBottom w:val="0"/>
      <w:divBdr>
        <w:top w:val="none" w:sz="0" w:space="0" w:color="auto"/>
        <w:left w:val="none" w:sz="0" w:space="0" w:color="auto"/>
        <w:bottom w:val="none" w:sz="0" w:space="0" w:color="auto"/>
        <w:right w:val="none" w:sz="0" w:space="0" w:color="auto"/>
      </w:divBdr>
    </w:div>
    <w:div w:id="1895852840">
      <w:bodyDiv w:val="1"/>
      <w:marLeft w:val="0"/>
      <w:marRight w:val="0"/>
      <w:marTop w:val="0"/>
      <w:marBottom w:val="0"/>
      <w:divBdr>
        <w:top w:val="none" w:sz="0" w:space="0" w:color="auto"/>
        <w:left w:val="none" w:sz="0" w:space="0" w:color="auto"/>
        <w:bottom w:val="none" w:sz="0" w:space="0" w:color="auto"/>
        <w:right w:val="none" w:sz="0" w:space="0" w:color="auto"/>
      </w:divBdr>
    </w:div>
    <w:div w:id="1901134946">
      <w:bodyDiv w:val="1"/>
      <w:marLeft w:val="0"/>
      <w:marRight w:val="0"/>
      <w:marTop w:val="0"/>
      <w:marBottom w:val="0"/>
      <w:divBdr>
        <w:top w:val="none" w:sz="0" w:space="0" w:color="auto"/>
        <w:left w:val="none" w:sz="0" w:space="0" w:color="auto"/>
        <w:bottom w:val="none" w:sz="0" w:space="0" w:color="auto"/>
        <w:right w:val="none" w:sz="0" w:space="0" w:color="auto"/>
      </w:divBdr>
    </w:div>
    <w:div w:id="1903785898">
      <w:bodyDiv w:val="1"/>
      <w:marLeft w:val="0"/>
      <w:marRight w:val="0"/>
      <w:marTop w:val="0"/>
      <w:marBottom w:val="0"/>
      <w:divBdr>
        <w:top w:val="none" w:sz="0" w:space="0" w:color="auto"/>
        <w:left w:val="none" w:sz="0" w:space="0" w:color="auto"/>
        <w:bottom w:val="none" w:sz="0" w:space="0" w:color="auto"/>
        <w:right w:val="none" w:sz="0" w:space="0" w:color="auto"/>
      </w:divBdr>
    </w:div>
    <w:div w:id="1907763756">
      <w:bodyDiv w:val="1"/>
      <w:marLeft w:val="0"/>
      <w:marRight w:val="0"/>
      <w:marTop w:val="0"/>
      <w:marBottom w:val="0"/>
      <w:divBdr>
        <w:top w:val="none" w:sz="0" w:space="0" w:color="auto"/>
        <w:left w:val="none" w:sz="0" w:space="0" w:color="auto"/>
        <w:bottom w:val="none" w:sz="0" w:space="0" w:color="auto"/>
        <w:right w:val="none" w:sz="0" w:space="0" w:color="auto"/>
      </w:divBdr>
    </w:div>
    <w:div w:id="1911191404">
      <w:bodyDiv w:val="1"/>
      <w:marLeft w:val="0"/>
      <w:marRight w:val="0"/>
      <w:marTop w:val="0"/>
      <w:marBottom w:val="0"/>
      <w:divBdr>
        <w:top w:val="none" w:sz="0" w:space="0" w:color="auto"/>
        <w:left w:val="none" w:sz="0" w:space="0" w:color="auto"/>
        <w:bottom w:val="none" w:sz="0" w:space="0" w:color="auto"/>
        <w:right w:val="none" w:sz="0" w:space="0" w:color="auto"/>
      </w:divBdr>
    </w:div>
    <w:div w:id="1914663447">
      <w:bodyDiv w:val="1"/>
      <w:marLeft w:val="0"/>
      <w:marRight w:val="0"/>
      <w:marTop w:val="0"/>
      <w:marBottom w:val="0"/>
      <w:divBdr>
        <w:top w:val="none" w:sz="0" w:space="0" w:color="auto"/>
        <w:left w:val="none" w:sz="0" w:space="0" w:color="auto"/>
        <w:bottom w:val="none" w:sz="0" w:space="0" w:color="auto"/>
        <w:right w:val="none" w:sz="0" w:space="0" w:color="auto"/>
      </w:divBdr>
    </w:div>
    <w:div w:id="1917519089">
      <w:bodyDiv w:val="1"/>
      <w:marLeft w:val="0"/>
      <w:marRight w:val="0"/>
      <w:marTop w:val="0"/>
      <w:marBottom w:val="0"/>
      <w:divBdr>
        <w:top w:val="none" w:sz="0" w:space="0" w:color="auto"/>
        <w:left w:val="none" w:sz="0" w:space="0" w:color="auto"/>
        <w:bottom w:val="none" w:sz="0" w:space="0" w:color="auto"/>
        <w:right w:val="none" w:sz="0" w:space="0" w:color="auto"/>
      </w:divBdr>
    </w:div>
    <w:div w:id="1918467851">
      <w:bodyDiv w:val="1"/>
      <w:marLeft w:val="0"/>
      <w:marRight w:val="0"/>
      <w:marTop w:val="0"/>
      <w:marBottom w:val="0"/>
      <w:divBdr>
        <w:top w:val="none" w:sz="0" w:space="0" w:color="auto"/>
        <w:left w:val="none" w:sz="0" w:space="0" w:color="auto"/>
        <w:bottom w:val="none" w:sz="0" w:space="0" w:color="auto"/>
        <w:right w:val="none" w:sz="0" w:space="0" w:color="auto"/>
      </w:divBdr>
    </w:div>
    <w:div w:id="1922565022">
      <w:bodyDiv w:val="1"/>
      <w:marLeft w:val="0"/>
      <w:marRight w:val="0"/>
      <w:marTop w:val="0"/>
      <w:marBottom w:val="0"/>
      <w:divBdr>
        <w:top w:val="none" w:sz="0" w:space="0" w:color="auto"/>
        <w:left w:val="none" w:sz="0" w:space="0" w:color="auto"/>
        <w:bottom w:val="none" w:sz="0" w:space="0" w:color="auto"/>
        <w:right w:val="none" w:sz="0" w:space="0" w:color="auto"/>
      </w:divBdr>
    </w:div>
    <w:div w:id="1922641610">
      <w:bodyDiv w:val="1"/>
      <w:marLeft w:val="0"/>
      <w:marRight w:val="0"/>
      <w:marTop w:val="0"/>
      <w:marBottom w:val="0"/>
      <w:divBdr>
        <w:top w:val="none" w:sz="0" w:space="0" w:color="auto"/>
        <w:left w:val="none" w:sz="0" w:space="0" w:color="auto"/>
        <w:bottom w:val="none" w:sz="0" w:space="0" w:color="auto"/>
        <w:right w:val="none" w:sz="0" w:space="0" w:color="auto"/>
      </w:divBdr>
    </w:div>
    <w:div w:id="1923297266">
      <w:bodyDiv w:val="1"/>
      <w:marLeft w:val="0"/>
      <w:marRight w:val="0"/>
      <w:marTop w:val="0"/>
      <w:marBottom w:val="0"/>
      <w:divBdr>
        <w:top w:val="none" w:sz="0" w:space="0" w:color="auto"/>
        <w:left w:val="none" w:sz="0" w:space="0" w:color="auto"/>
        <w:bottom w:val="none" w:sz="0" w:space="0" w:color="auto"/>
        <w:right w:val="none" w:sz="0" w:space="0" w:color="auto"/>
      </w:divBdr>
    </w:div>
    <w:div w:id="1932202869">
      <w:bodyDiv w:val="1"/>
      <w:marLeft w:val="0"/>
      <w:marRight w:val="0"/>
      <w:marTop w:val="0"/>
      <w:marBottom w:val="0"/>
      <w:divBdr>
        <w:top w:val="none" w:sz="0" w:space="0" w:color="auto"/>
        <w:left w:val="none" w:sz="0" w:space="0" w:color="auto"/>
        <w:bottom w:val="none" w:sz="0" w:space="0" w:color="auto"/>
        <w:right w:val="none" w:sz="0" w:space="0" w:color="auto"/>
      </w:divBdr>
    </w:div>
    <w:div w:id="1934389812">
      <w:bodyDiv w:val="1"/>
      <w:marLeft w:val="0"/>
      <w:marRight w:val="0"/>
      <w:marTop w:val="0"/>
      <w:marBottom w:val="0"/>
      <w:divBdr>
        <w:top w:val="none" w:sz="0" w:space="0" w:color="auto"/>
        <w:left w:val="none" w:sz="0" w:space="0" w:color="auto"/>
        <w:bottom w:val="none" w:sz="0" w:space="0" w:color="auto"/>
        <w:right w:val="none" w:sz="0" w:space="0" w:color="auto"/>
      </w:divBdr>
    </w:div>
    <w:div w:id="1939755110">
      <w:bodyDiv w:val="1"/>
      <w:marLeft w:val="0"/>
      <w:marRight w:val="0"/>
      <w:marTop w:val="0"/>
      <w:marBottom w:val="0"/>
      <w:divBdr>
        <w:top w:val="none" w:sz="0" w:space="0" w:color="auto"/>
        <w:left w:val="none" w:sz="0" w:space="0" w:color="auto"/>
        <w:bottom w:val="none" w:sz="0" w:space="0" w:color="auto"/>
        <w:right w:val="none" w:sz="0" w:space="0" w:color="auto"/>
      </w:divBdr>
    </w:div>
    <w:div w:id="1951089216">
      <w:bodyDiv w:val="1"/>
      <w:marLeft w:val="0"/>
      <w:marRight w:val="0"/>
      <w:marTop w:val="0"/>
      <w:marBottom w:val="0"/>
      <w:divBdr>
        <w:top w:val="none" w:sz="0" w:space="0" w:color="auto"/>
        <w:left w:val="none" w:sz="0" w:space="0" w:color="auto"/>
        <w:bottom w:val="none" w:sz="0" w:space="0" w:color="auto"/>
        <w:right w:val="none" w:sz="0" w:space="0" w:color="auto"/>
      </w:divBdr>
    </w:div>
    <w:div w:id="1951349489">
      <w:bodyDiv w:val="1"/>
      <w:marLeft w:val="0"/>
      <w:marRight w:val="0"/>
      <w:marTop w:val="0"/>
      <w:marBottom w:val="0"/>
      <w:divBdr>
        <w:top w:val="none" w:sz="0" w:space="0" w:color="auto"/>
        <w:left w:val="none" w:sz="0" w:space="0" w:color="auto"/>
        <w:bottom w:val="none" w:sz="0" w:space="0" w:color="auto"/>
        <w:right w:val="none" w:sz="0" w:space="0" w:color="auto"/>
      </w:divBdr>
    </w:div>
    <w:div w:id="1960841468">
      <w:bodyDiv w:val="1"/>
      <w:marLeft w:val="0"/>
      <w:marRight w:val="0"/>
      <w:marTop w:val="0"/>
      <w:marBottom w:val="0"/>
      <w:divBdr>
        <w:top w:val="none" w:sz="0" w:space="0" w:color="auto"/>
        <w:left w:val="none" w:sz="0" w:space="0" w:color="auto"/>
        <w:bottom w:val="none" w:sz="0" w:space="0" w:color="auto"/>
        <w:right w:val="none" w:sz="0" w:space="0" w:color="auto"/>
      </w:divBdr>
    </w:div>
    <w:div w:id="1965110056">
      <w:bodyDiv w:val="1"/>
      <w:marLeft w:val="0"/>
      <w:marRight w:val="0"/>
      <w:marTop w:val="0"/>
      <w:marBottom w:val="0"/>
      <w:divBdr>
        <w:top w:val="none" w:sz="0" w:space="0" w:color="auto"/>
        <w:left w:val="none" w:sz="0" w:space="0" w:color="auto"/>
        <w:bottom w:val="none" w:sz="0" w:space="0" w:color="auto"/>
        <w:right w:val="none" w:sz="0" w:space="0" w:color="auto"/>
      </w:divBdr>
    </w:div>
    <w:div w:id="1966615972">
      <w:bodyDiv w:val="1"/>
      <w:marLeft w:val="0"/>
      <w:marRight w:val="0"/>
      <w:marTop w:val="0"/>
      <w:marBottom w:val="0"/>
      <w:divBdr>
        <w:top w:val="none" w:sz="0" w:space="0" w:color="auto"/>
        <w:left w:val="none" w:sz="0" w:space="0" w:color="auto"/>
        <w:bottom w:val="none" w:sz="0" w:space="0" w:color="auto"/>
        <w:right w:val="none" w:sz="0" w:space="0" w:color="auto"/>
      </w:divBdr>
    </w:div>
    <w:div w:id="1967929634">
      <w:bodyDiv w:val="1"/>
      <w:marLeft w:val="0"/>
      <w:marRight w:val="0"/>
      <w:marTop w:val="0"/>
      <w:marBottom w:val="0"/>
      <w:divBdr>
        <w:top w:val="none" w:sz="0" w:space="0" w:color="auto"/>
        <w:left w:val="none" w:sz="0" w:space="0" w:color="auto"/>
        <w:bottom w:val="none" w:sz="0" w:space="0" w:color="auto"/>
        <w:right w:val="none" w:sz="0" w:space="0" w:color="auto"/>
      </w:divBdr>
      <w:divsChild>
        <w:div w:id="1814592647">
          <w:marLeft w:val="0"/>
          <w:marRight w:val="0"/>
          <w:marTop w:val="0"/>
          <w:marBottom w:val="0"/>
          <w:divBdr>
            <w:top w:val="none" w:sz="0" w:space="0" w:color="auto"/>
            <w:left w:val="none" w:sz="0" w:space="0" w:color="auto"/>
            <w:bottom w:val="none" w:sz="0" w:space="0" w:color="auto"/>
            <w:right w:val="none" w:sz="0" w:space="0" w:color="auto"/>
          </w:divBdr>
        </w:div>
        <w:div w:id="2070690136">
          <w:marLeft w:val="0"/>
          <w:marRight w:val="0"/>
          <w:marTop w:val="0"/>
          <w:marBottom w:val="0"/>
          <w:divBdr>
            <w:top w:val="none" w:sz="0" w:space="0" w:color="auto"/>
            <w:left w:val="none" w:sz="0" w:space="0" w:color="auto"/>
            <w:bottom w:val="none" w:sz="0" w:space="0" w:color="auto"/>
            <w:right w:val="none" w:sz="0" w:space="0" w:color="auto"/>
          </w:divBdr>
          <w:divsChild>
            <w:div w:id="10432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550996">
      <w:bodyDiv w:val="1"/>
      <w:marLeft w:val="0"/>
      <w:marRight w:val="0"/>
      <w:marTop w:val="0"/>
      <w:marBottom w:val="0"/>
      <w:divBdr>
        <w:top w:val="none" w:sz="0" w:space="0" w:color="auto"/>
        <w:left w:val="none" w:sz="0" w:space="0" w:color="auto"/>
        <w:bottom w:val="none" w:sz="0" w:space="0" w:color="auto"/>
        <w:right w:val="none" w:sz="0" w:space="0" w:color="auto"/>
      </w:divBdr>
    </w:div>
    <w:div w:id="1973559413">
      <w:bodyDiv w:val="1"/>
      <w:marLeft w:val="0"/>
      <w:marRight w:val="0"/>
      <w:marTop w:val="0"/>
      <w:marBottom w:val="0"/>
      <w:divBdr>
        <w:top w:val="none" w:sz="0" w:space="0" w:color="auto"/>
        <w:left w:val="none" w:sz="0" w:space="0" w:color="auto"/>
        <w:bottom w:val="none" w:sz="0" w:space="0" w:color="auto"/>
        <w:right w:val="none" w:sz="0" w:space="0" w:color="auto"/>
      </w:divBdr>
    </w:div>
    <w:div w:id="1973972213">
      <w:bodyDiv w:val="1"/>
      <w:marLeft w:val="0"/>
      <w:marRight w:val="0"/>
      <w:marTop w:val="0"/>
      <w:marBottom w:val="0"/>
      <w:divBdr>
        <w:top w:val="none" w:sz="0" w:space="0" w:color="auto"/>
        <w:left w:val="none" w:sz="0" w:space="0" w:color="auto"/>
        <w:bottom w:val="none" w:sz="0" w:space="0" w:color="auto"/>
        <w:right w:val="none" w:sz="0" w:space="0" w:color="auto"/>
      </w:divBdr>
    </w:div>
    <w:div w:id="1974367057">
      <w:bodyDiv w:val="1"/>
      <w:marLeft w:val="0"/>
      <w:marRight w:val="0"/>
      <w:marTop w:val="0"/>
      <w:marBottom w:val="0"/>
      <w:divBdr>
        <w:top w:val="none" w:sz="0" w:space="0" w:color="auto"/>
        <w:left w:val="none" w:sz="0" w:space="0" w:color="auto"/>
        <w:bottom w:val="none" w:sz="0" w:space="0" w:color="auto"/>
        <w:right w:val="none" w:sz="0" w:space="0" w:color="auto"/>
      </w:divBdr>
      <w:divsChild>
        <w:div w:id="493255364">
          <w:marLeft w:val="0"/>
          <w:marRight w:val="0"/>
          <w:marTop w:val="0"/>
          <w:marBottom w:val="0"/>
          <w:divBdr>
            <w:top w:val="none" w:sz="0" w:space="0" w:color="auto"/>
            <w:left w:val="none" w:sz="0" w:space="0" w:color="auto"/>
            <w:bottom w:val="none" w:sz="0" w:space="0" w:color="auto"/>
            <w:right w:val="none" w:sz="0" w:space="0" w:color="auto"/>
          </w:divBdr>
        </w:div>
        <w:div w:id="1464739068">
          <w:marLeft w:val="0"/>
          <w:marRight w:val="0"/>
          <w:marTop w:val="0"/>
          <w:marBottom w:val="0"/>
          <w:divBdr>
            <w:top w:val="none" w:sz="0" w:space="0" w:color="auto"/>
            <w:left w:val="none" w:sz="0" w:space="0" w:color="auto"/>
            <w:bottom w:val="none" w:sz="0" w:space="0" w:color="auto"/>
            <w:right w:val="none" w:sz="0" w:space="0" w:color="auto"/>
          </w:divBdr>
          <w:divsChild>
            <w:div w:id="19176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95502">
      <w:bodyDiv w:val="1"/>
      <w:marLeft w:val="0"/>
      <w:marRight w:val="0"/>
      <w:marTop w:val="0"/>
      <w:marBottom w:val="0"/>
      <w:divBdr>
        <w:top w:val="none" w:sz="0" w:space="0" w:color="auto"/>
        <w:left w:val="none" w:sz="0" w:space="0" w:color="auto"/>
        <w:bottom w:val="none" w:sz="0" w:space="0" w:color="auto"/>
        <w:right w:val="none" w:sz="0" w:space="0" w:color="auto"/>
      </w:divBdr>
    </w:div>
    <w:div w:id="1976712979">
      <w:bodyDiv w:val="1"/>
      <w:marLeft w:val="0"/>
      <w:marRight w:val="0"/>
      <w:marTop w:val="0"/>
      <w:marBottom w:val="0"/>
      <w:divBdr>
        <w:top w:val="none" w:sz="0" w:space="0" w:color="auto"/>
        <w:left w:val="none" w:sz="0" w:space="0" w:color="auto"/>
        <w:bottom w:val="none" w:sz="0" w:space="0" w:color="auto"/>
        <w:right w:val="none" w:sz="0" w:space="0" w:color="auto"/>
      </w:divBdr>
    </w:div>
    <w:div w:id="1980301795">
      <w:bodyDiv w:val="1"/>
      <w:marLeft w:val="0"/>
      <w:marRight w:val="0"/>
      <w:marTop w:val="0"/>
      <w:marBottom w:val="0"/>
      <w:divBdr>
        <w:top w:val="none" w:sz="0" w:space="0" w:color="auto"/>
        <w:left w:val="none" w:sz="0" w:space="0" w:color="auto"/>
        <w:bottom w:val="none" w:sz="0" w:space="0" w:color="auto"/>
        <w:right w:val="none" w:sz="0" w:space="0" w:color="auto"/>
      </w:divBdr>
    </w:div>
    <w:div w:id="1982274057">
      <w:bodyDiv w:val="1"/>
      <w:marLeft w:val="0"/>
      <w:marRight w:val="0"/>
      <w:marTop w:val="0"/>
      <w:marBottom w:val="0"/>
      <w:divBdr>
        <w:top w:val="none" w:sz="0" w:space="0" w:color="auto"/>
        <w:left w:val="none" w:sz="0" w:space="0" w:color="auto"/>
        <w:bottom w:val="none" w:sz="0" w:space="0" w:color="auto"/>
        <w:right w:val="none" w:sz="0" w:space="0" w:color="auto"/>
      </w:divBdr>
    </w:div>
    <w:div w:id="1982422854">
      <w:bodyDiv w:val="1"/>
      <w:marLeft w:val="0"/>
      <w:marRight w:val="0"/>
      <w:marTop w:val="0"/>
      <w:marBottom w:val="0"/>
      <w:divBdr>
        <w:top w:val="none" w:sz="0" w:space="0" w:color="auto"/>
        <w:left w:val="none" w:sz="0" w:space="0" w:color="auto"/>
        <w:bottom w:val="none" w:sz="0" w:space="0" w:color="auto"/>
        <w:right w:val="none" w:sz="0" w:space="0" w:color="auto"/>
      </w:divBdr>
    </w:div>
    <w:div w:id="1984583648">
      <w:bodyDiv w:val="1"/>
      <w:marLeft w:val="0"/>
      <w:marRight w:val="0"/>
      <w:marTop w:val="0"/>
      <w:marBottom w:val="0"/>
      <w:divBdr>
        <w:top w:val="none" w:sz="0" w:space="0" w:color="auto"/>
        <w:left w:val="none" w:sz="0" w:space="0" w:color="auto"/>
        <w:bottom w:val="none" w:sz="0" w:space="0" w:color="auto"/>
        <w:right w:val="none" w:sz="0" w:space="0" w:color="auto"/>
      </w:divBdr>
    </w:div>
    <w:div w:id="1986733953">
      <w:bodyDiv w:val="1"/>
      <w:marLeft w:val="0"/>
      <w:marRight w:val="0"/>
      <w:marTop w:val="0"/>
      <w:marBottom w:val="0"/>
      <w:divBdr>
        <w:top w:val="none" w:sz="0" w:space="0" w:color="auto"/>
        <w:left w:val="none" w:sz="0" w:space="0" w:color="auto"/>
        <w:bottom w:val="none" w:sz="0" w:space="0" w:color="auto"/>
        <w:right w:val="none" w:sz="0" w:space="0" w:color="auto"/>
      </w:divBdr>
    </w:div>
    <w:div w:id="1988780425">
      <w:bodyDiv w:val="1"/>
      <w:marLeft w:val="0"/>
      <w:marRight w:val="0"/>
      <w:marTop w:val="0"/>
      <w:marBottom w:val="0"/>
      <w:divBdr>
        <w:top w:val="none" w:sz="0" w:space="0" w:color="auto"/>
        <w:left w:val="none" w:sz="0" w:space="0" w:color="auto"/>
        <w:bottom w:val="none" w:sz="0" w:space="0" w:color="auto"/>
        <w:right w:val="none" w:sz="0" w:space="0" w:color="auto"/>
      </w:divBdr>
    </w:div>
    <w:div w:id="1988897192">
      <w:bodyDiv w:val="1"/>
      <w:marLeft w:val="0"/>
      <w:marRight w:val="0"/>
      <w:marTop w:val="0"/>
      <w:marBottom w:val="0"/>
      <w:divBdr>
        <w:top w:val="none" w:sz="0" w:space="0" w:color="auto"/>
        <w:left w:val="none" w:sz="0" w:space="0" w:color="auto"/>
        <w:bottom w:val="none" w:sz="0" w:space="0" w:color="auto"/>
        <w:right w:val="none" w:sz="0" w:space="0" w:color="auto"/>
      </w:divBdr>
    </w:div>
    <w:div w:id="1992295986">
      <w:bodyDiv w:val="1"/>
      <w:marLeft w:val="0"/>
      <w:marRight w:val="0"/>
      <w:marTop w:val="0"/>
      <w:marBottom w:val="0"/>
      <w:divBdr>
        <w:top w:val="none" w:sz="0" w:space="0" w:color="auto"/>
        <w:left w:val="none" w:sz="0" w:space="0" w:color="auto"/>
        <w:bottom w:val="none" w:sz="0" w:space="0" w:color="auto"/>
        <w:right w:val="none" w:sz="0" w:space="0" w:color="auto"/>
      </w:divBdr>
    </w:div>
    <w:div w:id="1992712101">
      <w:bodyDiv w:val="1"/>
      <w:marLeft w:val="0"/>
      <w:marRight w:val="0"/>
      <w:marTop w:val="0"/>
      <w:marBottom w:val="0"/>
      <w:divBdr>
        <w:top w:val="none" w:sz="0" w:space="0" w:color="auto"/>
        <w:left w:val="none" w:sz="0" w:space="0" w:color="auto"/>
        <w:bottom w:val="none" w:sz="0" w:space="0" w:color="auto"/>
        <w:right w:val="none" w:sz="0" w:space="0" w:color="auto"/>
      </w:divBdr>
    </w:div>
    <w:div w:id="1993019817">
      <w:bodyDiv w:val="1"/>
      <w:marLeft w:val="0"/>
      <w:marRight w:val="0"/>
      <w:marTop w:val="0"/>
      <w:marBottom w:val="0"/>
      <w:divBdr>
        <w:top w:val="none" w:sz="0" w:space="0" w:color="auto"/>
        <w:left w:val="none" w:sz="0" w:space="0" w:color="auto"/>
        <w:bottom w:val="none" w:sz="0" w:space="0" w:color="auto"/>
        <w:right w:val="none" w:sz="0" w:space="0" w:color="auto"/>
      </w:divBdr>
    </w:div>
    <w:div w:id="1993293388">
      <w:bodyDiv w:val="1"/>
      <w:marLeft w:val="0"/>
      <w:marRight w:val="0"/>
      <w:marTop w:val="0"/>
      <w:marBottom w:val="0"/>
      <w:divBdr>
        <w:top w:val="none" w:sz="0" w:space="0" w:color="auto"/>
        <w:left w:val="none" w:sz="0" w:space="0" w:color="auto"/>
        <w:bottom w:val="none" w:sz="0" w:space="0" w:color="auto"/>
        <w:right w:val="none" w:sz="0" w:space="0" w:color="auto"/>
      </w:divBdr>
    </w:div>
    <w:div w:id="1994064312">
      <w:bodyDiv w:val="1"/>
      <w:marLeft w:val="0"/>
      <w:marRight w:val="0"/>
      <w:marTop w:val="0"/>
      <w:marBottom w:val="0"/>
      <w:divBdr>
        <w:top w:val="none" w:sz="0" w:space="0" w:color="auto"/>
        <w:left w:val="none" w:sz="0" w:space="0" w:color="auto"/>
        <w:bottom w:val="none" w:sz="0" w:space="0" w:color="auto"/>
        <w:right w:val="none" w:sz="0" w:space="0" w:color="auto"/>
      </w:divBdr>
    </w:div>
    <w:div w:id="1994137232">
      <w:bodyDiv w:val="1"/>
      <w:marLeft w:val="0"/>
      <w:marRight w:val="0"/>
      <w:marTop w:val="0"/>
      <w:marBottom w:val="0"/>
      <w:divBdr>
        <w:top w:val="none" w:sz="0" w:space="0" w:color="auto"/>
        <w:left w:val="none" w:sz="0" w:space="0" w:color="auto"/>
        <w:bottom w:val="none" w:sz="0" w:space="0" w:color="auto"/>
        <w:right w:val="none" w:sz="0" w:space="0" w:color="auto"/>
      </w:divBdr>
    </w:div>
    <w:div w:id="1995525118">
      <w:bodyDiv w:val="1"/>
      <w:marLeft w:val="0"/>
      <w:marRight w:val="0"/>
      <w:marTop w:val="0"/>
      <w:marBottom w:val="0"/>
      <w:divBdr>
        <w:top w:val="none" w:sz="0" w:space="0" w:color="auto"/>
        <w:left w:val="none" w:sz="0" w:space="0" w:color="auto"/>
        <w:bottom w:val="none" w:sz="0" w:space="0" w:color="auto"/>
        <w:right w:val="none" w:sz="0" w:space="0" w:color="auto"/>
      </w:divBdr>
    </w:div>
    <w:div w:id="1996494515">
      <w:bodyDiv w:val="1"/>
      <w:marLeft w:val="0"/>
      <w:marRight w:val="0"/>
      <w:marTop w:val="0"/>
      <w:marBottom w:val="0"/>
      <w:divBdr>
        <w:top w:val="none" w:sz="0" w:space="0" w:color="auto"/>
        <w:left w:val="none" w:sz="0" w:space="0" w:color="auto"/>
        <w:bottom w:val="none" w:sz="0" w:space="0" w:color="auto"/>
        <w:right w:val="none" w:sz="0" w:space="0" w:color="auto"/>
      </w:divBdr>
    </w:div>
    <w:div w:id="1998413022">
      <w:bodyDiv w:val="1"/>
      <w:marLeft w:val="0"/>
      <w:marRight w:val="0"/>
      <w:marTop w:val="0"/>
      <w:marBottom w:val="0"/>
      <w:divBdr>
        <w:top w:val="none" w:sz="0" w:space="0" w:color="auto"/>
        <w:left w:val="none" w:sz="0" w:space="0" w:color="auto"/>
        <w:bottom w:val="none" w:sz="0" w:space="0" w:color="auto"/>
        <w:right w:val="none" w:sz="0" w:space="0" w:color="auto"/>
      </w:divBdr>
    </w:div>
    <w:div w:id="2002200646">
      <w:bodyDiv w:val="1"/>
      <w:marLeft w:val="0"/>
      <w:marRight w:val="0"/>
      <w:marTop w:val="0"/>
      <w:marBottom w:val="0"/>
      <w:divBdr>
        <w:top w:val="none" w:sz="0" w:space="0" w:color="auto"/>
        <w:left w:val="none" w:sz="0" w:space="0" w:color="auto"/>
        <w:bottom w:val="none" w:sz="0" w:space="0" w:color="auto"/>
        <w:right w:val="none" w:sz="0" w:space="0" w:color="auto"/>
      </w:divBdr>
    </w:div>
    <w:div w:id="2004698210">
      <w:bodyDiv w:val="1"/>
      <w:marLeft w:val="0"/>
      <w:marRight w:val="0"/>
      <w:marTop w:val="0"/>
      <w:marBottom w:val="0"/>
      <w:divBdr>
        <w:top w:val="none" w:sz="0" w:space="0" w:color="auto"/>
        <w:left w:val="none" w:sz="0" w:space="0" w:color="auto"/>
        <w:bottom w:val="none" w:sz="0" w:space="0" w:color="auto"/>
        <w:right w:val="none" w:sz="0" w:space="0" w:color="auto"/>
      </w:divBdr>
    </w:div>
    <w:div w:id="2006860459">
      <w:bodyDiv w:val="1"/>
      <w:marLeft w:val="0"/>
      <w:marRight w:val="0"/>
      <w:marTop w:val="0"/>
      <w:marBottom w:val="0"/>
      <w:divBdr>
        <w:top w:val="none" w:sz="0" w:space="0" w:color="auto"/>
        <w:left w:val="none" w:sz="0" w:space="0" w:color="auto"/>
        <w:bottom w:val="none" w:sz="0" w:space="0" w:color="auto"/>
        <w:right w:val="none" w:sz="0" w:space="0" w:color="auto"/>
      </w:divBdr>
    </w:div>
    <w:div w:id="2006935423">
      <w:bodyDiv w:val="1"/>
      <w:marLeft w:val="0"/>
      <w:marRight w:val="0"/>
      <w:marTop w:val="0"/>
      <w:marBottom w:val="0"/>
      <w:divBdr>
        <w:top w:val="none" w:sz="0" w:space="0" w:color="auto"/>
        <w:left w:val="none" w:sz="0" w:space="0" w:color="auto"/>
        <w:bottom w:val="none" w:sz="0" w:space="0" w:color="auto"/>
        <w:right w:val="none" w:sz="0" w:space="0" w:color="auto"/>
      </w:divBdr>
    </w:div>
    <w:div w:id="2010020903">
      <w:bodyDiv w:val="1"/>
      <w:marLeft w:val="0"/>
      <w:marRight w:val="0"/>
      <w:marTop w:val="0"/>
      <w:marBottom w:val="0"/>
      <w:divBdr>
        <w:top w:val="none" w:sz="0" w:space="0" w:color="auto"/>
        <w:left w:val="none" w:sz="0" w:space="0" w:color="auto"/>
        <w:bottom w:val="none" w:sz="0" w:space="0" w:color="auto"/>
        <w:right w:val="none" w:sz="0" w:space="0" w:color="auto"/>
      </w:divBdr>
    </w:div>
    <w:div w:id="2014185507">
      <w:bodyDiv w:val="1"/>
      <w:marLeft w:val="0"/>
      <w:marRight w:val="0"/>
      <w:marTop w:val="0"/>
      <w:marBottom w:val="0"/>
      <w:divBdr>
        <w:top w:val="none" w:sz="0" w:space="0" w:color="auto"/>
        <w:left w:val="none" w:sz="0" w:space="0" w:color="auto"/>
        <w:bottom w:val="none" w:sz="0" w:space="0" w:color="auto"/>
        <w:right w:val="none" w:sz="0" w:space="0" w:color="auto"/>
      </w:divBdr>
    </w:div>
    <w:div w:id="2021083171">
      <w:bodyDiv w:val="1"/>
      <w:marLeft w:val="0"/>
      <w:marRight w:val="0"/>
      <w:marTop w:val="0"/>
      <w:marBottom w:val="0"/>
      <w:divBdr>
        <w:top w:val="none" w:sz="0" w:space="0" w:color="auto"/>
        <w:left w:val="none" w:sz="0" w:space="0" w:color="auto"/>
        <w:bottom w:val="none" w:sz="0" w:space="0" w:color="auto"/>
        <w:right w:val="none" w:sz="0" w:space="0" w:color="auto"/>
      </w:divBdr>
    </w:div>
    <w:div w:id="2021278386">
      <w:bodyDiv w:val="1"/>
      <w:marLeft w:val="0"/>
      <w:marRight w:val="0"/>
      <w:marTop w:val="0"/>
      <w:marBottom w:val="0"/>
      <w:divBdr>
        <w:top w:val="none" w:sz="0" w:space="0" w:color="auto"/>
        <w:left w:val="none" w:sz="0" w:space="0" w:color="auto"/>
        <w:bottom w:val="none" w:sz="0" w:space="0" w:color="auto"/>
        <w:right w:val="none" w:sz="0" w:space="0" w:color="auto"/>
      </w:divBdr>
    </w:div>
    <w:div w:id="2024239256">
      <w:bodyDiv w:val="1"/>
      <w:marLeft w:val="0"/>
      <w:marRight w:val="0"/>
      <w:marTop w:val="0"/>
      <w:marBottom w:val="0"/>
      <w:divBdr>
        <w:top w:val="none" w:sz="0" w:space="0" w:color="auto"/>
        <w:left w:val="none" w:sz="0" w:space="0" w:color="auto"/>
        <w:bottom w:val="none" w:sz="0" w:space="0" w:color="auto"/>
        <w:right w:val="none" w:sz="0" w:space="0" w:color="auto"/>
      </w:divBdr>
    </w:div>
    <w:div w:id="2025739043">
      <w:bodyDiv w:val="1"/>
      <w:marLeft w:val="0"/>
      <w:marRight w:val="0"/>
      <w:marTop w:val="0"/>
      <w:marBottom w:val="0"/>
      <w:divBdr>
        <w:top w:val="none" w:sz="0" w:space="0" w:color="auto"/>
        <w:left w:val="none" w:sz="0" w:space="0" w:color="auto"/>
        <w:bottom w:val="none" w:sz="0" w:space="0" w:color="auto"/>
        <w:right w:val="none" w:sz="0" w:space="0" w:color="auto"/>
      </w:divBdr>
    </w:div>
    <w:div w:id="2030375757">
      <w:bodyDiv w:val="1"/>
      <w:marLeft w:val="0"/>
      <w:marRight w:val="0"/>
      <w:marTop w:val="0"/>
      <w:marBottom w:val="0"/>
      <w:divBdr>
        <w:top w:val="none" w:sz="0" w:space="0" w:color="auto"/>
        <w:left w:val="none" w:sz="0" w:space="0" w:color="auto"/>
        <w:bottom w:val="none" w:sz="0" w:space="0" w:color="auto"/>
        <w:right w:val="none" w:sz="0" w:space="0" w:color="auto"/>
      </w:divBdr>
    </w:div>
    <w:div w:id="2033871367">
      <w:bodyDiv w:val="1"/>
      <w:marLeft w:val="0"/>
      <w:marRight w:val="0"/>
      <w:marTop w:val="0"/>
      <w:marBottom w:val="0"/>
      <w:divBdr>
        <w:top w:val="none" w:sz="0" w:space="0" w:color="auto"/>
        <w:left w:val="none" w:sz="0" w:space="0" w:color="auto"/>
        <w:bottom w:val="none" w:sz="0" w:space="0" w:color="auto"/>
        <w:right w:val="none" w:sz="0" w:space="0" w:color="auto"/>
      </w:divBdr>
    </w:div>
    <w:div w:id="2035691784">
      <w:bodyDiv w:val="1"/>
      <w:marLeft w:val="0"/>
      <w:marRight w:val="0"/>
      <w:marTop w:val="0"/>
      <w:marBottom w:val="0"/>
      <w:divBdr>
        <w:top w:val="none" w:sz="0" w:space="0" w:color="auto"/>
        <w:left w:val="none" w:sz="0" w:space="0" w:color="auto"/>
        <w:bottom w:val="none" w:sz="0" w:space="0" w:color="auto"/>
        <w:right w:val="none" w:sz="0" w:space="0" w:color="auto"/>
      </w:divBdr>
    </w:div>
    <w:div w:id="2036955303">
      <w:bodyDiv w:val="1"/>
      <w:marLeft w:val="0"/>
      <w:marRight w:val="0"/>
      <w:marTop w:val="0"/>
      <w:marBottom w:val="0"/>
      <w:divBdr>
        <w:top w:val="none" w:sz="0" w:space="0" w:color="auto"/>
        <w:left w:val="none" w:sz="0" w:space="0" w:color="auto"/>
        <w:bottom w:val="none" w:sz="0" w:space="0" w:color="auto"/>
        <w:right w:val="none" w:sz="0" w:space="0" w:color="auto"/>
      </w:divBdr>
    </w:div>
    <w:div w:id="2044986675">
      <w:bodyDiv w:val="1"/>
      <w:marLeft w:val="0"/>
      <w:marRight w:val="0"/>
      <w:marTop w:val="0"/>
      <w:marBottom w:val="0"/>
      <w:divBdr>
        <w:top w:val="none" w:sz="0" w:space="0" w:color="auto"/>
        <w:left w:val="none" w:sz="0" w:space="0" w:color="auto"/>
        <w:bottom w:val="none" w:sz="0" w:space="0" w:color="auto"/>
        <w:right w:val="none" w:sz="0" w:space="0" w:color="auto"/>
      </w:divBdr>
    </w:div>
    <w:div w:id="2045130277">
      <w:bodyDiv w:val="1"/>
      <w:marLeft w:val="0"/>
      <w:marRight w:val="0"/>
      <w:marTop w:val="0"/>
      <w:marBottom w:val="0"/>
      <w:divBdr>
        <w:top w:val="none" w:sz="0" w:space="0" w:color="auto"/>
        <w:left w:val="none" w:sz="0" w:space="0" w:color="auto"/>
        <w:bottom w:val="none" w:sz="0" w:space="0" w:color="auto"/>
        <w:right w:val="none" w:sz="0" w:space="0" w:color="auto"/>
      </w:divBdr>
    </w:div>
    <w:div w:id="2045515124">
      <w:bodyDiv w:val="1"/>
      <w:marLeft w:val="0"/>
      <w:marRight w:val="0"/>
      <w:marTop w:val="0"/>
      <w:marBottom w:val="0"/>
      <w:divBdr>
        <w:top w:val="none" w:sz="0" w:space="0" w:color="auto"/>
        <w:left w:val="none" w:sz="0" w:space="0" w:color="auto"/>
        <w:bottom w:val="none" w:sz="0" w:space="0" w:color="auto"/>
        <w:right w:val="none" w:sz="0" w:space="0" w:color="auto"/>
      </w:divBdr>
    </w:div>
    <w:div w:id="2048335538">
      <w:bodyDiv w:val="1"/>
      <w:marLeft w:val="0"/>
      <w:marRight w:val="0"/>
      <w:marTop w:val="0"/>
      <w:marBottom w:val="0"/>
      <w:divBdr>
        <w:top w:val="none" w:sz="0" w:space="0" w:color="auto"/>
        <w:left w:val="none" w:sz="0" w:space="0" w:color="auto"/>
        <w:bottom w:val="none" w:sz="0" w:space="0" w:color="auto"/>
        <w:right w:val="none" w:sz="0" w:space="0" w:color="auto"/>
      </w:divBdr>
    </w:div>
    <w:div w:id="2049255366">
      <w:bodyDiv w:val="1"/>
      <w:marLeft w:val="0"/>
      <w:marRight w:val="0"/>
      <w:marTop w:val="0"/>
      <w:marBottom w:val="0"/>
      <w:divBdr>
        <w:top w:val="none" w:sz="0" w:space="0" w:color="auto"/>
        <w:left w:val="none" w:sz="0" w:space="0" w:color="auto"/>
        <w:bottom w:val="none" w:sz="0" w:space="0" w:color="auto"/>
        <w:right w:val="none" w:sz="0" w:space="0" w:color="auto"/>
      </w:divBdr>
    </w:div>
    <w:div w:id="2049573015">
      <w:bodyDiv w:val="1"/>
      <w:marLeft w:val="0"/>
      <w:marRight w:val="0"/>
      <w:marTop w:val="0"/>
      <w:marBottom w:val="0"/>
      <w:divBdr>
        <w:top w:val="none" w:sz="0" w:space="0" w:color="auto"/>
        <w:left w:val="none" w:sz="0" w:space="0" w:color="auto"/>
        <w:bottom w:val="none" w:sz="0" w:space="0" w:color="auto"/>
        <w:right w:val="none" w:sz="0" w:space="0" w:color="auto"/>
      </w:divBdr>
    </w:div>
    <w:div w:id="2049912257">
      <w:bodyDiv w:val="1"/>
      <w:marLeft w:val="0"/>
      <w:marRight w:val="0"/>
      <w:marTop w:val="0"/>
      <w:marBottom w:val="0"/>
      <w:divBdr>
        <w:top w:val="none" w:sz="0" w:space="0" w:color="auto"/>
        <w:left w:val="none" w:sz="0" w:space="0" w:color="auto"/>
        <w:bottom w:val="none" w:sz="0" w:space="0" w:color="auto"/>
        <w:right w:val="none" w:sz="0" w:space="0" w:color="auto"/>
      </w:divBdr>
    </w:div>
    <w:div w:id="2061054631">
      <w:bodyDiv w:val="1"/>
      <w:marLeft w:val="0"/>
      <w:marRight w:val="0"/>
      <w:marTop w:val="0"/>
      <w:marBottom w:val="0"/>
      <w:divBdr>
        <w:top w:val="none" w:sz="0" w:space="0" w:color="auto"/>
        <w:left w:val="none" w:sz="0" w:space="0" w:color="auto"/>
        <w:bottom w:val="none" w:sz="0" w:space="0" w:color="auto"/>
        <w:right w:val="none" w:sz="0" w:space="0" w:color="auto"/>
      </w:divBdr>
    </w:div>
    <w:div w:id="2064256991">
      <w:bodyDiv w:val="1"/>
      <w:marLeft w:val="0"/>
      <w:marRight w:val="0"/>
      <w:marTop w:val="0"/>
      <w:marBottom w:val="0"/>
      <w:divBdr>
        <w:top w:val="none" w:sz="0" w:space="0" w:color="auto"/>
        <w:left w:val="none" w:sz="0" w:space="0" w:color="auto"/>
        <w:bottom w:val="none" w:sz="0" w:space="0" w:color="auto"/>
        <w:right w:val="none" w:sz="0" w:space="0" w:color="auto"/>
      </w:divBdr>
    </w:div>
    <w:div w:id="2068988658">
      <w:bodyDiv w:val="1"/>
      <w:marLeft w:val="0"/>
      <w:marRight w:val="0"/>
      <w:marTop w:val="0"/>
      <w:marBottom w:val="0"/>
      <w:divBdr>
        <w:top w:val="none" w:sz="0" w:space="0" w:color="auto"/>
        <w:left w:val="none" w:sz="0" w:space="0" w:color="auto"/>
        <w:bottom w:val="none" w:sz="0" w:space="0" w:color="auto"/>
        <w:right w:val="none" w:sz="0" w:space="0" w:color="auto"/>
      </w:divBdr>
    </w:div>
    <w:div w:id="2071533017">
      <w:bodyDiv w:val="1"/>
      <w:marLeft w:val="0"/>
      <w:marRight w:val="0"/>
      <w:marTop w:val="0"/>
      <w:marBottom w:val="0"/>
      <w:divBdr>
        <w:top w:val="none" w:sz="0" w:space="0" w:color="auto"/>
        <w:left w:val="none" w:sz="0" w:space="0" w:color="auto"/>
        <w:bottom w:val="none" w:sz="0" w:space="0" w:color="auto"/>
        <w:right w:val="none" w:sz="0" w:space="0" w:color="auto"/>
      </w:divBdr>
    </w:div>
    <w:div w:id="2076926916">
      <w:bodyDiv w:val="1"/>
      <w:marLeft w:val="0"/>
      <w:marRight w:val="0"/>
      <w:marTop w:val="0"/>
      <w:marBottom w:val="0"/>
      <w:divBdr>
        <w:top w:val="none" w:sz="0" w:space="0" w:color="auto"/>
        <w:left w:val="none" w:sz="0" w:space="0" w:color="auto"/>
        <w:bottom w:val="none" w:sz="0" w:space="0" w:color="auto"/>
        <w:right w:val="none" w:sz="0" w:space="0" w:color="auto"/>
      </w:divBdr>
    </w:div>
    <w:div w:id="2078702455">
      <w:bodyDiv w:val="1"/>
      <w:marLeft w:val="0"/>
      <w:marRight w:val="0"/>
      <w:marTop w:val="0"/>
      <w:marBottom w:val="0"/>
      <w:divBdr>
        <w:top w:val="none" w:sz="0" w:space="0" w:color="auto"/>
        <w:left w:val="none" w:sz="0" w:space="0" w:color="auto"/>
        <w:bottom w:val="none" w:sz="0" w:space="0" w:color="auto"/>
        <w:right w:val="none" w:sz="0" w:space="0" w:color="auto"/>
      </w:divBdr>
    </w:div>
    <w:div w:id="2084907536">
      <w:bodyDiv w:val="1"/>
      <w:marLeft w:val="0"/>
      <w:marRight w:val="0"/>
      <w:marTop w:val="0"/>
      <w:marBottom w:val="0"/>
      <w:divBdr>
        <w:top w:val="none" w:sz="0" w:space="0" w:color="auto"/>
        <w:left w:val="none" w:sz="0" w:space="0" w:color="auto"/>
        <w:bottom w:val="none" w:sz="0" w:space="0" w:color="auto"/>
        <w:right w:val="none" w:sz="0" w:space="0" w:color="auto"/>
      </w:divBdr>
    </w:div>
    <w:div w:id="2087410268">
      <w:bodyDiv w:val="1"/>
      <w:marLeft w:val="0"/>
      <w:marRight w:val="0"/>
      <w:marTop w:val="0"/>
      <w:marBottom w:val="0"/>
      <w:divBdr>
        <w:top w:val="none" w:sz="0" w:space="0" w:color="auto"/>
        <w:left w:val="none" w:sz="0" w:space="0" w:color="auto"/>
        <w:bottom w:val="none" w:sz="0" w:space="0" w:color="auto"/>
        <w:right w:val="none" w:sz="0" w:space="0" w:color="auto"/>
      </w:divBdr>
    </w:div>
    <w:div w:id="2087678179">
      <w:bodyDiv w:val="1"/>
      <w:marLeft w:val="0"/>
      <w:marRight w:val="0"/>
      <w:marTop w:val="0"/>
      <w:marBottom w:val="0"/>
      <w:divBdr>
        <w:top w:val="none" w:sz="0" w:space="0" w:color="auto"/>
        <w:left w:val="none" w:sz="0" w:space="0" w:color="auto"/>
        <w:bottom w:val="none" w:sz="0" w:space="0" w:color="auto"/>
        <w:right w:val="none" w:sz="0" w:space="0" w:color="auto"/>
      </w:divBdr>
    </w:div>
    <w:div w:id="2091848317">
      <w:bodyDiv w:val="1"/>
      <w:marLeft w:val="0"/>
      <w:marRight w:val="0"/>
      <w:marTop w:val="0"/>
      <w:marBottom w:val="0"/>
      <w:divBdr>
        <w:top w:val="none" w:sz="0" w:space="0" w:color="auto"/>
        <w:left w:val="none" w:sz="0" w:space="0" w:color="auto"/>
        <w:bottom w:val="none" w:sz="0" w:space="0" w:color="auto"/>
        <w:right w:val="none" w:sz="0" w:space="0" w:color="auto"/>
      </w:divBdr>
    </w:div>
    <w:div w:id="2094157563">
      <w:bodyDiv w:val="1"/>
      <w:marLeft w:val="0"/>
      <w:marRight w:val="0"/>
      <w:marTop w:val="0"/>
      <w:marBottom w:val="0"/>
      <w:divBdr>
        <w:top w:val="none" w:sz="0" w:space="0" w:color="auto"/>
        <w:left w:val="none" w:sz="0" w:space="0" w:color="auto"/>
        <w:bottom w:val="none" w:sz="0" w:space="0" w:color="auto"/>
        <w:right w:val="none" w:sz="0" w:space="0" w:color="auto"/>
      </w:divBdr>
    </w:div>
    <w:div w:id="2096398170">
      <w:bodyDiv w:val="1"/>
      <w:marLeft w:val="0"/>
      <w:marRight w:val="0"/>
      <w:marTop w:val="0"/>
      <w:marBottom w:val="0"/>
      <w:divBdr>
        <w:top w:val="none" w:sz="0" w:space="0" w:color="auto"/>
        <w:left w:val="none" w:sz="0" w:space="0" w:color="auto"/>
        <w:bottom w:val="none" w:sz="0" w:space="0" w:color="auto"/>
        <w:right w:val="none" w:sz="0" w:space="0" w:color="auto"/>
      </w:divBdr>
    </w:div>
    <w:div w:id="2105177243">
      <w:bodyDiv w:val="1"/>
      <w:marLeft w:val="0"/>
      <w:marRight w:val="0"/>
      <w:marTop w:val="0"/>
      <w:marBottom w:val="0"/>
      <w:divBdr>
        <w:top w:val="none" w:sz="0" w:space="0" w:color="auto"/>
        <w:left w:val="none" w:sz="0" w:space="0" w:color="auto"/>
        <w:bottom w:val="none" w:sz="0" w:space="0" w:color="auto"/>
        <w:right w:val="none" w:sz="0" w:space="0" w:color="auto"/>
      </w:divBdr>
    </w:div>
    <w:div w:id="2105878642">
      <w:bodyDiv w:val="1"/>
      <w:marLeft w:val="0"/>
      <w:marRight w:val="0"/>
      <w:marTop w:val="0"/>
      <w:marBottom w:val="0"/>
      <w:divBdr>
        <w:top w:val="none" w:sz="0" w:space="0" w:color="auto"/>
        <w:left w:val="none" w:sz="0" w:space="0" w:color="auto"/>
        <w:bottom w:val="none" w:sz="0" w:space="0" w:color="auto"/>
        <w:right w:val="none" w:sz="0" w:space="0" w:color="auto"/>
      </w:divBdr>
    </w:div>
    <w:div w:id="2112161665">
      <w:bodyDiv w:val="1"/>
      <w:marLeft w:val="0"/>
      <w:marRight w:val="0"/>
      <w:marTop w:val="0"/>
      <w:marBottom w:val="0"/>
      <w:divBdr>
        <w:top w:val="none" w:sz="0" w:space="0" w:color="auto"/>
        <w:left w:val="none" w:sz="0" w:space="0" w:color="auto"/>
        <w:bottom w:val="none" w:sz="0" w:space="0" w:color="auto"/>
        <w:right w:val="none" w:sz="0" w:space="0" w:color="auto"/>
      </w:divBdr>
    </w:div>
    <w:div w:id="2118476800">
      <w:bodyDiv w:val="1"/>
      <w:marLeft w:val="0"/>
      <w:marRight w:val="0"/>
      <w:marTop w:val="0"/>
      <w:marBottom w:val="0"/>
      <w:divBdr>
        <w:top w:val="none" w:sz="0" w:space="0" w:color="auto"/>
        <w:left w:val="none" w:sz="0" w:space="0" w:color="auto"/>
        <w:bottom w:val="none" w:sz="0" w:space="0" w:color="auto"/>
        <w:right w:val="none" w:sz="0" w:space="0" w:color="auto"/>
      </w:divBdr>
    </w:div>
    <w:div w:id="2119135505">
      <w:bodyDiv w:val="1"/>
      <w:marLeft w:val="0"/>
      <w:marRight w:val="0"/>
      <w:marTop w:val="0"/>
      <w:marBottom w:val="0"/>
      <w:divBdr>
        <w:top w:val="none" w:sz="0" w:space="0" w:color="auto"/>
        <w:left w:val="none" w:sz="0" w:space="0" w:color="auto"/>
        <w:bottom w:val="none" w:sz="0" w:space="0" w:color="auto"/>
        <w:right w:val="none" w:sz="0" w:space="0" w:color="auto"/>
      </w:divBdr>
    </w:div>
    <w:div w:id="2120904834">
      <w:bodyDiv w:val="1"/>
      <w:marLeft w:val="0"/>
      <w:marRight w:val="0"/>
      <w:marTop w:val="0"/>
      <w:marBottom w:val="0"/>
      <w:divBdr>
        <w:top w:val="none" w:sz="0" w:space="0" w:color="auto"/>
        <w:left w:val="none" w:sz="0" w:space="0" w:color="auto"/>
        <w:bottom w:val="none" w:sz="0" w:space="0" w:color="auto"/>
        <w:right w:val="none" w:sz="0" w:space="0" w:color="auto"/>
      </w:divBdr>
    </w:div>
    <w:div w:id="2123566924">
      <w:bodyDiv w:val="1"/>
      <w:marLeft w:val="0"/>
      <w:marRight w:val="0"/>
      <w:marTop w:val="0"/>
      <w:marBottom w:val="0"/>
      <w:divBdr>
        <w:top w:val="none" w:sz="0" w:space="0" w:color="auto"/>
        <w:left w:val="none" w:sz="0" w:space="0" w:color="auto"/>
        <w:bottom w:val="none" w:sz="0" w:space="0" w:color="auto"/>
        <w:right w:val="none" w:sz="0" w:space="0" w:color="auto"/>
      </w:divBdr>
    </w:div>
    <w:div w:id="2124182218">
      <w:bodyDiv w:val="1"/>
      <w:marLeft w:val="0"/>
      <w:marRight w:val="0"/>
      <w:marTop w:val="0"/>
      <w:marBottom w:val="0"/>
      <w:divBdr>
        <w:top w:val="none" w:sz="0" w:space="0" w:color="auto"/>
        <w:left w:val="none" w:sz="0" w:space="0" w:color="auto"/>
        <w:bottom w:val="none" w:sz="0" w:space="0" w:color="auto"/>
        <w:right w:val="none" w:sz="0" w:space="0" w:color="auto"/>
      </w:divBdr>
    </w:div>
    <w:div w:id="2130317830">
      <w:bodyDiv w:val="1"/>
      <w:marLeft w:val="0"/>
      <w:marRight w:val="0"/>
      <w:marTop w:val="0"/>
      <w:marBottom w:val="0"/>
      <w:divBdr>
        <w:top w:val="none" w:sz="0" w:space="0" w:color="auto"/>
        <w:left w:val="none" w:sz="0" w:space="0" w:color="auto"/>
        <w:bottom w:val="none" w:sz="0" w:space="0" w:color="auto"/>
        <w:right w:val="none" w:sz="0" w:space="0" w:color="auto"/>
      </w:divBdr>
    </w:div>
    <w:div w:id="2131825614">
      <w:bodyDiv w:val="1"/>
      <w:marLeft w:val="0"/>
      <w:marRight w:val="0"/>
      <w:marTop w:val="0"/>
      <w:marBottom w:val="0"/>
      <w:divBdr>
        <w:top w:val="none" w:sz="0" w:space="0" w:color="auto"/>
        <w:left w:val="none" w:sz="0" w:space="0" w:color="auto"/>
        <w:bottom w:val="none" w:sz="0" w:space="0" w:color="auto"/>
        <w:right w:val="none" w:sz="0" w:space="0" w:color="auto"/>
      </w:divBdr>
    </w:div>
    <w:div w:id="2132704809">
      <w:bodyDiv w:val="1"/>
      <w:marLeft w:val="0"/>
      <w:marRight w:val="0"/>
      <w:marTop w:val="0"/>
      <w:marBottom w:val="0"/>
      <w:divBdr>
        <w:top w:val="none" w:sz="0" w:space="0" w:color="auto"/>
        <w:left w:val="none" w:sz="0" w:space="0" w:color="auto"/>
        <w:bottom w:val="none" w:sz="0" w:space="0" w:color="auto"/>
        <w:right w:val="none" w:sz="0" w:space="0" w:color="auto"/>
      </w:divBdr>
    </w:div>
    <w:div w:id="2133010874">
      <w:bodyDiv w:val="1"/>
      <w:marLeft w:val="0"/>
      <w:marRight w:val="0"/>
      <w:marTop w:val="0"/>
      <w:marBottom w:val="0"/>
      <w:divBdr>
        <w:top w:val="none" w:sz="0" w:space="0" w:color="auto"/>
        <w:left w:val="none" w:sz="0" w:space="0" w:color="auto"/>
        <w:bottom w:val="none" w:sz="0" w:space="0" w:color="auto"/>
        <w:right w:val="none" w:sz="0" w:space="0" w:color="auto"/>
      </w:divBdr>
    </w:div>
    <w:div w:id="2133018456">
      <w:bodyDiv w:val="1"/>
      <w:marLeft w:val="0"/>
      <w:marRight w:val="0"/>
      <w:marTop w:val="0"/>
      <w:marBottom w:val="0"/>
      <w:divBdr>
        <w:top w:val="none" w:sz="0" w:space="0" w:color="auto"/>
        <w:left w:val="none" w:sz="0" w:space="0" w:color="auto"/>
        <w:bottom w:val="none" w:sz="0" w:space="0" w:color="auto"/>
        <w:right w:val="none" w:sz="0" w:space="0" w:color="auto"/>
      </w:divBdr>
    </w:div>
    <w:div w:id="2140099152">
      <w:bodyDiv w:val="1"/>
      <w:marLeft w:val="0"/>
      <w:marRight w:val="0"/>
      <w:marTop w:val="0"/>
      <w:marBottom w:val="0"/>
      <w:divBdr>
        <w:top w:val="none" w:sz="0" w:space="0" w:color="auto"/>
        <w:left w:val="none" w:sz="0" w:space="0" w:color="auto"/>
        <w:bottom w:val="none" w:sz="0" w:space="0" w:color="auto"/>
        <w:right w:val="none" w:sz="0" w:space="0" w:color="auto"/>
      </w:divBdr>
    </w:div>
    <w:div w:id="214631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ubadebate.cu/opinion/2013/11/20/la-bondad-de-las-escuelas-de-formacion-integra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binternet.ohchr.org/Treaties/CRC-OP-SC/Shared%20Documents/CUB/INT_CRC-OP-SC_INR_CUB_6823_S.do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ielo.sld.cu/pdf/uh/n283/uh0928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nografias.com/trabajos12/elorigest/elorigest.shtml"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mujeres.co.cu/comite%20nacional/textos/INFORME.pdf" TargetMode="External"/><Relationship Id="rId23" Type="http://schemas.openxmlformats.org/officeDocument/2006/relationships/customXml" Target="../customXml/item3.xml"/><Relationship Id="rId10" Type="http://schemas.microsoft.com/office/2011/relationships/commentsExtended" Target="commentsExtended.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paho.org/arg/images/gallery/Blueprint%20Trans%20Espa%C3%83%C2%B1ol.pdf"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7" Type="http://schemas.openxmlformats.org/officeDocument/2006/relationships/hyperlink" Target="http://derecho.upla.edu.pe/pdf/diccionariosorio.pdf." TargetMode="External"/><Relationship Id="rId21" Type="http://schemas.openxmlformats.org/officeDocument/2006/relationships/hyperlink" Target="http://tbinternet.ohchr.org/Treaties/CED/Shared%20Documents/CUB/CED_C_CUB_CO_1_26924_S.pdf" TargetMode="External"/><Relationship Id="rId42" Type="http://schemas.openxmlformats.org/officeDocument/2006/relationships/hyperlink" Target="http://tbinternet.ohchr.org/Treaties/CED/Shared%20Documents/CUB/CED_C_CUB_CO_1_26924_S.pdf" TargetMode="External"/><Relationship Id="rId47" Type="http://schemas.openxmlformats.org/officeDocument/2006/relationships/hyperlink" Target="http://www.tsp.cu/sites/default/files/divulga_cendij/JusticiaDerecho21.pdf" TargetMode="External"/><Relationship Id="rId63" Type="http://schemas.openxmlformats.org/officeDocument/2006/relationships/hyperlink" Target="http://www.cubanet.org/mas-noticias/desamparados-impedido-fisico-y-familia/" TargetMode="External"/><Relationship Id="rId68" Type="http://schemas.openxmlformats.org/officeDocument/2006/relationships/hyperlink" Target="https://www.economist.com/news/americas/21719482-tiny-pensions-must-be-supplementedwhatever-work-available-cubas-economy-flat-lines" TargetMode="External"/><Relationship Id="rId84" Type="http://schemas.openxmlformats.org/officeDocument/2006/relationships/hyperlink" Target="http://www.refworld.org/pdfid/4b600a132.pdf" TargetMode="External"/><Relationship Id="rId89" Type="http://schemas.openxmlformats.org/officeDocument/2006/relationships/hyperlink" Target="http://www.refworld.org.es/docid/5a5e371b4.html" TargetMode="External"/><Relationship Id="rId112" Type="http://schemas.openxmlformats.org/officeDocument/2006/relationships/hyperlink" Target="https://referenciajuridica.wordpress.com/author/referenciajuridica/" TargetMode="External"/><Relationship Id="rId133" Type="http://schemas.openxmlformats.org/officeDocument/2006/relationships/hyperlink" Target="http://www.elnuevoherald.com/noticias/mundo/america-latina/cuba-es/article130034889.html" TargetMode="External"/><Relationship Id="rId138" Type="http://schemas.openxmlformats.org/officeDocument/2006/relationships/hyperlink" Target="http://revistas.uned.es/index.php/REEC/article/viewFile/17573/15930" TargetMode="External"/><Relationship Id="rId154" Type="http://schemas.openxmlformats.org/officeDocument/2006/relationships/hyperlink" Target="https://www.apcca.org/uploads/10th_Edition_2013.pdf" TargetMode="External"/><Relationship Id="rId159" Type="http://schemas.openxmlformats.org/officeDocument/2006/relationships/hyperlink" Target="http://www.martinoticias.com/content/suicidio-de-joven-recluta-llega-hasta-diaz-canel/81717.html" TargetMode="External"/><Relationship Id="rId175" Type="http://schemas.openxmlformats.org/officeDocument/2006/relationships/hyperlink" Target="http://www.14ymedio.com/nacional/situacion-presos-Cuba-es-presentada-ante-comision-interamericana-derechos-humanos-por-cubalex_0_1659434051.html" TargetMode="External"/><Relationship Id="rId170" Type="http://schemas.openxmlformats.org/officeDocument/2006/relationships/hyperlink" Target="http://biblioteca.clacso.edu.ar/clacso/becas/20131028052827/BayonaBecasInforme.pdf" TargetMode="External"/><Relationship Id="rId191" Type="http://schemas.openxmlformats.org/officeDocument/2006/relationships/hyperlink" Target="http://www.unicef.org/spanish/sowc06/pdfs/sowc06_fullreport_sp.pdf" TargetMode="External"/><Relationship Id="rId16" Type="http://schemas.openxmlformats.org/officeDocument/2006/relationships/hyperlink" Target="http://www.elnuevoherald.com/noticias/mundo/america-latina/cuba-es/" TargetMode="External"/><Relationship Id="rId107" Type="http://schemas.openxmlformats.org/officeDocument/2006/relationships/hyperlink" Target="https://www.unicef.org/cuba/cu_resources_Educarparalaigualdad.pdf" TargetMode="External"/><Relationship Id="rId11" Type="http://schemas.openxmlformats.org/officeDocument/2006/relationships/hyperlink" Target="http://tbinternet.ohchr.org/_layouts/treatybodyexternal/Download.aspx?symbolno=CERD%2FC%2FCUB%2F19-21&amp;Lang=en" TargetMode="External"/><Relationship Id="rId32" Type="http://schemas.openxmlformats.org/officeDocument/2006/relationships/hyperlink" Target="http://www.acnur.org/fileadmin/scripts/doc.php?file=uploads/media/2864_informe_CiDH_Cuba_2012" TargetMode="External"/><Relationship Id="rId37" Type="http://schemas.openxmlformats.org/officeDocument/2006/relationships/hyperlink" Target="https://www.unodc.org/documents/.../2013_11_12_Cuba_Final_Country_Report.pdf" TargetMode="External"/><Relationship Id="rId53" Type="http://schemas.openxmlformats.org/officeDocument/2006/relationships/hyperlink" Target="http://tbinternet.ohchr.org/_layouts/treatybodyexternal/Download.aspx?symbolno=CERD%2FC%2FCUB%2F19-21&amp;Lang=en" TargetMode="External"/><Relationship Id="rId58" Type="http://schemas.openxmlformats.org/officeDocument/2006/relationships/hyperlink" Target="http://www.onbc.cu/uploads/media/page/0001/01/5cf875568387af55a6dee664f0fe15509246c0f7.pdf" TargetMode="External"/><Relationship Id="rId74" Type="http://schemas.openxmlformats.org/officeDocument/2006/relationships/hyperlink" Target="http://www.onbc.cu/uploads/media/page/0001/01/eef3049ed87cb52a254b39719250268c55739dac.pdf" TargetMode="External"/><Relationship Id="rId79" Type="http://schemas.openxmlformats.org/officeDocument/2006/relationships/hyperlink" Target="https://www.cubanet.org/mas-noticias/fiscalia-de-pinar-del-rio-se-ensana-con-joven-madre/" TargetMode="External"/><Relationship Id="rId102" Type="http://schemas.openxmlformats.org/officeDocument/2006/relationships/hyperlink" Target="http://www.ohchr.org/SP/NewsEvents/Pages/DisplayNews.aspx?NewsID=21518&amp;LangID=S" TargetMode="External"/><Relationship Id="rId123" Type="http://schemas.openxmlformats.org/officeDocument/2006/relationships/hyperlink" Target="http://www.seeci.net/cuiciid2016/PDFs/INNOV%201%20Unida.pdf" TargetMode="External"/><Relationship Id="rId128" Type="http://schemas.openxmlformats.org/officeDocument/2006/relationships/hyperlink" Target="https://www.economist.com/news/americas/21719812-revolutionary-economy-neither-efficient-nor-fun-what-tourist-industry-reveals-about" TargetMode="External"/><Relationship Id="rId144" Type="http://schemas.openxmlformats.org/officeDocument/2006/relationships/hyperlink" Target="http://www.diariodecuba.com/cuba/1409039786_10124.html" TargetMode="External"/><Relationship Id="rId149" Type="http://schemas.openxmlformats.org/officeDocument/2006/relationships/hyperlink" Target="http://www.odaalc.org/documentos/1374531071.pdf" TargetMode="External"/><Relationship Id="rId5" Type="http://schemas.openxmlformats.org/officeDocument/2006/relationships/hyperlink" Target="https://www.unodc.org/documents/.../2013_11_12_Cuba_Final_Country_Report.pdf" TargetMode="External"/><Relationship Id="rId90" Type="http://schemas.openxmlformats.org/officeDocument/2006/relationships/hyperlink" Target="http://tbinternet.ohchr.org/_layouts/treatybodyexternal/Download.aspx?symbolno=INT%2fCED%2fICO%2fCUB%2f26636&amp;Lang=en" TargetMode="External"/><Relationship Id="rId95" Type="http://schemas.openxmlformats.org/officeDocument/2006/relationships/hyperlink" Target="http://hdl.handle.net/2268/171991" TargetMode="External"/><Relationship Id="rId160" Type="http://schemas.openxmlformats.org/officeDocument/2006/relationships/hyperlink" Target="http://www.cubanet.org/opiniones/la-ejecuciones-simuladas-en-prisiones-cubanas/" TargetMode="External"/><Relationship Id="rId165" Type="http://schemas.openxmlformats.org/officeDocument/2006/relationships/hyperlink" Target="http://tbinternet.ohchr.org/Treaties/CRC-OP-AC/Shared%20Documents/CUB/INT_CRC-OP-AC_NGO_CUB_17928_E.pdf" TargetMode="External"/><Relationship Id="rId181" Type="http://schemas.openxmlformats.org/officeDocument/2006/relationships/hyperlink" Target="http://www.14ymedio.com/nacional/situacion-presos-Cuba-es-presentada-ante-comision-interamericana-derechos-humanos-por-cubalex_0_1659434051.html" TargetMode="External"/><Relationship Id="rId186" Type="http://schemas.openxmlformats.org/officeDocument/2006/relationships/hyperlink" Target="http://www.ohchr.org/SP/NewsEvents/Pages/DisplayNews.aspx?NewsID=21518&amp;LangID=S" TargetMode="External"/><Relationship Id="rId22" Type="http://schemas.openxmlformats.org/officeDocument/2006/relationships/hyperlink" Target="http://tbinternet.ohchr.org/_layouts/treatybodyexternal/Download.aspx?symbolno=CERD%2FC%2FCUB%2F19-21&amp;Lang=en" TargetMode="External"/><Relationship Id="rId27" Type="http://schemas.openxmlformats.org/officeDocument/2006/relationships/hyperlink" Target="http://tbinternet.ohchr.org/_layouts/treatybodyexternal/Download.aspx?symbolno=CERD%2FC%2FCUB%2F19-21&amp;Lang=en" TargetMode="External"/><Relationship Id="rId43" Type="http://schemas.openxmlformats.org/officeDocument/2006/relationships/hyperlink" Target="http://tbinternet.ohchr.org/Treaties/CED/Shared%20Documents/CUB/INT_CED_CSS_CUB_26645_S.pdf" TargetMode="External"/><Relationship Id="rId48" Type="http://schemas.openxmlformats.org/officeDocument/2006/relationships/hyperlink" Target="http://www.tsp.cu/sites/default/files/18JusticiaDerecho.pdf" TargetMode="External"/><Relationship Id="rId64" Type="http://schemas.openxmlformats.org/officeDocument/2006/relationships/hyperlink" Target="http://www.14ymedio.com/nacional/Red-Cultura-Inclusiva-escuchar-Ginebra_0_2399160071.htmlmarzo" TargetMode="External"/><Relationship Id="rId69" Type="http://schemas.openxmlformats.org/officeDocument/2006/relationships/hyperlink" Target="https://www.cibercuba.com/noticias/2018-04-14-u1-e43231-s27061-juristas-cubanos-critican-cuentapropistas-priorizan-fisico-sus" TargetMode="External"/><Relationship Id="rId113" Type="http://schemas.openxmlformats.org/officeDocument/2006/relationships/hyperlink" Target="http://www.cubanet.org/mas-noticias/escalada-de-violencia-en-el-mes-de-noviembre/" TargetMode="External"/><Relationship Id="rId118" Type="http://schemas.openxmlformats.org/officeDocument/2006/relationships/hyperlink" Target="https://www.cubanet.org/noticias/realizan-acto-de-repudio-con-ninos-frente-a-sede-de-damas-de-blanco/" TargetMode="External"/><Relationship Id="rId134" Type="http://schemas.openxmlformats.org/officeDocument/2006/relationships/hyperlink" Target="http://www.diariodecuba.com/cuba/1503664629_33513.html" TargetMode="External"/><Relationship Id="rId139" Type="http://schemas.openxmlformats.org/officeDocument/2006/relationships/hyperlink" Target="http://www.juventudrebelde.cu/cuba/2008-03-30/repasador-por-cuenta-impropia" TargetMode="External"/><Relationship Id="rId80" Type="http://schemas.openxmlformats.org/officeDocument/2006/relationships/hyperlink" Target="http://quno.org/sites/default/files/resources/ESPAN&#771;OL_Children%20need%20dads%20too.pdf" TargetMode="External"/><Relationship Id="rId85" Type="http://schemas.openxmlformats.org/officeDocument/2006/relationships/hyperlink" Target="https://www.unicef.org/cuba/adolescence_31368.html" TargetMode="External"/><Relationship Id="rId150" Type="http://schemas.openxmlformats.org/officeDocument/2006/relationships/hyperlink" Target="http://www.odaalc.org/documentos/1374531071.pdf" TargetMode="External"/><Relationship Id="rId155" Type="http://schemas.openxmlformats.org/officeDocument/2006/relationships/hyperlink" Target="http://www.bbc.com/mundo/noticias/2013/04/130410_carceles_cubanas_yv" TargetMode="External"/><Relationship Id="rId171" Type="http://schemas.openxmlformats.org/officeDocument/2006/relationships/hyperlink" Target="http://www.uam.mx/cdi/redesinv/publicaciones/mariana/menezes.pdf" TargetMode="External"/><Relationship Id="rId176" Type="http://schemas.openxmlformats.org/officeDocument/2006/relationships/hyperlink" Target="http://www.14ymedio.com/nacional/situacion-presos-Cuba-es-presentada-ante-comision-interamericana-derechos-humanos-por-cubalex_0_1659434051.html" TargetMode="External"/><Relationship Id="rId192" Type="http://schemas.openxmlformats.org/officeDocument/2006/relationships/hyperlink" Target="http://www.parlamentocubano.cu/index.php/documentos-legales/" TargetMode="External"/><Relationship Id="rId12" Type="http://schemas.openxmlformats.org/officeDocument/2006/relationships/hyperlink" Target="https://www.unodc.org/documents/.../2013_11_12_Cuba_Final_Country_Report.pdf" TargetMode="External"/><Relationship Id="rId17" Type="http://schemas.openxmlformats.org/officeDocument/2006/relationships/hyperlink" Target="http://www.cubanet.org/actualidad/actualidad-destacados/en-cuba-ni-los-muertos-descansan/" TargetMode="External"/><Relationship Id="rId33" Type="http://schemas.openxmlformats.org/officeDocument/2006/relationships/hyperlink" Target="http://www.nytimes.com/2013/03/24/opinion/sunday/for-blacks-in-cubathe-revolution-hasnt-begun.html" TargetMode="External"/><Relationship Id="rId38" Type="http://schemas.openxmlformats.org/officeDocument/2006/relationships/hyperlink" Target="http://www2.ohchr.org/english/bodies/crc/docs/co/CRC.C.CUB.CO.2_sp.doc" TargetMode="External"/><Relationship Id="rId59" Type="http://schemas.openxmlformats.org/officeDocument/2006/relationships/hyperlink" Target="http://www.diariodecuba.com/derechos-humanos/1407260619_9819.html" TargetMode="External"/><Relationship Id="rId103" Type="http://schemas.openxmlformats.org/officeDocument/2006/relationships/hyperlink" Target="http://tbinternet.ohchr.org/_layouts/treatybodyexternal/Download.aspx?symbolno=CRC%2FC%2F15%2FAdd.72&amp;Lang=en" TargetMode="External"/><Relationship Id="rId108" Type="http://schemas.openxmlformats.org/officeDocument/2006/relationships/hyperlink" Target="http://www.ipscuba.net/index.php?option=com_k2&amp;view=item&amp;id=2921:el-maltrato-infantil-una-mirada-desde-cuba&amp;Itemid=10" TargetMode="External"/><Relationship Id="rId124" Type="http://schemas.openxmlformats.org/officeDocument/2006/relationships/hyperlink" Target="http://www.diariodecuba.com/cuba/1409053074_10126.html" TargetMode="External"/><Relationship Id="rId129" Type="http://schemas.openxmlformats.org/officeDocument/2006/relationships/hyperlink" Target="http://www.cubasymposium.org/PEchangeCubaWEB.pdf" TargetMode="External"/><Relationship Id="rId54" Type="http://schemas.openxmlformats.org/officeDocument/2006/relationships/hyperlink" Target="https://fra.europa.eu/sites/default/files/fra_uploads/1510-FRA_CASE_LAW_HANDBOOK_ES.pdf" TargetMode="External"/><Relationship Id="rId70" Type="http://schemas.openxmlformats.org/officeDocument/2006/relationships/hyperlink" Target="http://www.juventudrebelde.cu/opinion/2018-02-13/viaje-de-escombros" TargetMode="External"/><Relationship Id="rId75" Type="http://schemas.openxmlformats.org/officeDocument/2006/relationships/hyperlink" Target="http://www.etecsa.cu" TargetMode="External"/><Relationship Id="rId91" Type="http://schemas.openxmlformats.org/officeDocument/2006/relationships/hyperlink" Target="http://www.acnur.org/noticias/noticia/un-informe-de-acnur-revelalas-nefastas-consecuencias-de-la-apatridia-sobre-los-ninos/" TargetMode="External"/><Relationship Id="rId96" Type="http://schemas.openxmlformats.org/officeDocument/2006/relationships/hyperlink" Target="http://www.ohchr.org/SP/NewsEvents/Pages/DisplayNews.aspx?NewsID=21518&amp;LangID=S" TargetMode="External"/><Relationship Id="rId140" Type="http://schemas.openxmlformats.org/officeDocument/2006/relationships/hyperlink" Target="http://www.redalyc.org/articulo.oa?id=83625847007" TargetMode="External"/><Relationship Id="rId145" Type="http://schemas.openxmlformats.org/officeDocument/2006/relationships/hyperlink" Target="http://www.ipsnews.net/2015/01/anemia-in-east" TargetMode="External"/><Relationship Id="rId161" Type="http://schemas.openxmlformats.org/officeDocument/2006/relationships/hyperlink" Target="http://www.ipscuba.net/genero/carceles-de-muje" TargetMode="External"/><Relationship Id="rId166" Type="http://schemas.openxmlformats.org/officeDocument/2006/relationships/hyperlink" Target="http://www.tsp.cu/" TargetMode="External"/><Relationship Id="rId182" Type="http://schemas.openxmlformats.org/officeDocument/2006/relationships/hyperlink" Target="https://www.unodc.org/pdf/criminal_justice/Compendium_UN_Standards_and_Norms_CP_and_CJ_Spanish.pdf" TargetMode="External"/><Relationship Id="rId187" Type="http://schemas.openxmlformats.org/officeDocument/2006/relationships/hyperlink" Target="http://www.archive.icpa.ca/tools/download/1018/WiP-CommentarySMRs200806-Spanish.pdf" TargetMode="External"/><Relationship Id="rId1" Type="http://schemas.openxmlformats.org/officeDocument/2006/relationships/hyperlink" Target="http://www.diariodecuba.com/cuba/1403287061_9151.html" TargetMode="External"/><Relationship Id="rId6" Type="http://schemas.openxmlformats.org/officeDocument/2006/relationships/hyperlink" Target="http://journalusco.edu.co/index.php/Pielagus/article/view/131" TargetMode="External"/><Relationship Id="rId23" Type="http://schemas.openxmlformats.org/officeDocument/2006/relationships/hyperlink" Target="http://documents.worldbank.org/curated/en/2004/05/5490661/achievement-deterioration-universal-access-social-services-cuba" TargetMode="External"/><Relationship Id="rId28" Type="http://schemas.openxmlformats.org/officeDocument/2006/relationships/hyperlink" Target="http://www.ipscuba.net/sociedad/fiscalia-cubana" TargetMode="External"/><Relationship Id="rId49" Type="http://schemas.openxmlformats.org/officeDocument/2006/relationships/hyperlink" Target="https://law.yale.edu/system/files/documents/pdf/sela/SELA13_GuancheFernandez_CV_Sp_20130316.pdf" TargetMode="External"/><Relationship Id="rId114" Type="http://schemas.openxmlformats.org/officeDocument/2006/relationships/hyperlink" Target="http://tbinternet.ohchr.org/_layouts/treatybodyexternal/Download.aspx?symbolno=INT%2fCRC-OP" TargetMode="External"/><Relationship Id="rId119" Type="http://schemas.openxmlformats.org/officeDocument/2006/relationships/hyperlink" Target="https://www.unicef.org/cuba/zppd_Adolescencia_en_Cuba.pdf" TargetMode="External"/><Relationship Id="rId44" Type="http://schemas.openxmlformats.org/officeDocument/2006/relationships/hyperlink" Target="http://tbinternet.ohchr.org/_layouts/treatybodyexternal/Download.aspx?symbolno=INT%2fCED%2fICO%2fCUB%2f26636&amp;Lang=en" TargetMode="External"/><Relationship Id="rId60" Type="http://schemas.openxmlformats.org/officeDocument/2006/relationships/hyperlink" Target="http://tbinternet.ohchr.org/Treaties/CED/Shared%20Documents/CUB/CED_C_CUB_Q_1_Add-1_26435_S.pdf%20Pag.%201" TargetMode="External"/><Relationship Id="rId65" Type="http://schemas.openxmlformats.org/officeDocument/2006/relationships/hyperlink" Target="http://www.14ymedio.com/nacional/Red-Cultura-Inclusiva-escuchar-Ginebra_0_2399160071.htmlmarzo" TargetMode="External"/><Relationship Id="rId81" Type="http://schemas.openxmlformats.org/officeDocument/2006/relationships/hyperlink" Target="http://tbinternet.ohchr.org/_layouts/treatybodyexternal/Download.aspx?symbolno=CEDAW%2fC%2fCUB%2fCO%2f7-8&amp;Lang=en" TargetMode="External"/><Relationship Id="rId86" Type="http://schemas.openxmlformats.org/officeDocument/2006/relationships/hyperlink" Target="http://www.cubadebate.cu/noticias/2014/04/16/cuba-en-numeros-lo-que-el-censo-nos-dejo/" TargetMode="External"/><Relationship Id="rId130" Type="http://schemas.openxmlformats.org/officeDocument/2006/relationships/hyperlink" Target="http://revistas.uned.es/index.php/REEC/article/viewFile/17573/15930" TargetMode="External"/><Relationship Id="rId135" Type="http://schemas.openxmlformats.org/officeDocument/2006/relationships/hyperlink" Target="http://cafefuerte.com/cuba/17263-curso-escolar-comenzara-con-deficit-de-12-mil-profesores-y-una-jornada-de-condena-a-eeuu/" TargetMode="External"/><Relationship Id="rId151" Type="http://schemas.openxmlformats.org/officeDocument/2006/relationships/hyperlink" Target="http://facultad.pucp.edu.pe/derecho/wp-content/uploads/2015/03/Constituci%C3%B3n-y-Poder-Judicial.pdf" TargetMode="External"/><Relationship Id="rId156" Type="http://schemas.openxmlformats.org/officeDocument/2006/relationships/hyperlink" Target="https://www.oas.org/es/cidh/afrodescendientes/docs/pdf/afros_2011_esp.pdf" TargetMode="External"/><Relationship Id="rId177" Type="http://schemas.openxmlformats.org/officeDocument/2006/relationships/hyperlink" Target="http://scielo.sld.cu/pdf/uh/n283/uh09283.pdf" TargetMode="External"/><Relationship Id="rId172" Type="http://schemas.openxmlformats.org/officeDocument/2006/relationships/hyperlink" Target="http://acupsi.org/index/descargar.html?id=numeros/alternativas-cubanas-en-psicologia-v2n5.pdf" TargetMode="External"/><Relationship Id="rId193" Type="http://schemas.openxmlformats.org/officeDocument/2006/relationships/hyperlink" Target="http://tbinternet.ohchr.org/_layouts/treatybodyexternal/Download.aspx?symbolno=CERD%2FC%2FCUB%2F19-21&amp;Lang=en" TargetMode="External"/><Relationship Id="rId13" Type="http://schemas.openxmlformats.org/officeDocument/2006/relationships/hyperlink" Target="https://www.cidh.oas.org/annualrep/98span/Capitulo%207.htm" TargetMode="External"/><Relationship Id="rId18" Type="http://schemas.openxmlformats.org/officeDocument/2006/relationships/hyperlink" Target="https://www.theguardian.com/world/2009/dec/04/cuba-defends-record-on-race" TargetMode="External"/><Relationship Id="rId39" Type="http://schemas.openxmlformats.org/officeDocument/2006/relationships/hyperlink" Target="http://www2.ohchr.org/english/bodies/cedaw/docs/co/CEDAW/C/CUB/CO/7-8.doc" TargetMode="External"/><Relationship Id="rId109" Type="http://schemas.openxmlformats.org/officeDocument/2006/relationships/hyperlink" Target="http://tbinternet.ohchr.org/Treaties/CED/Shared%20Documents/CUB/CED_C_CUB_CO_1_26924_S.pdf" TargetMode="External"/><Relationship Id="rId34" Type="http://schemas.openxmlformats.org/officeDocument/2006/relationships/hyperlink" Target="http://www.ipscuba.net/sociedad/especialistas-e" TargetMode="External"/><Relationship Id="rId50" Type="http://schemas.openxmlformats.org/officeDocument/2006/relationships/hyperlink" Target="http://www.tsp.cu/sites/default/files/18JusticiaDerecho.pdf" TargetMode="External"/><Relationship Id="rId55" Type="http://schemas.openxmlformats.org/officeDocument/2006/relationships/hyperlink" Target="https://goo.gl/yTzd7V" TargetMode="External"/><Relationship Id="rId76" Type="http://schemas.openxmlformats.org/officeDocument/2006/relationships/hyperlink" Target="http://www.savethechildren.es/docs/Ficheros/675/Acoso_escolar_y_ciberacoso_informe_vOK_-_05.14.pdf" TargetMode="External"/><Relationship Id="rId97" Type="http://schemas.openxmlformats.org/officeDocument/2006/relationships/hyperlink" Target="http://hdl.handle.net/2268/171991" TargetMode="External"/><Relationship Id="rId104" Type="http://schemas.openxmlformats.org/officeDocument/2006/relationships/hyperlink" Target="http://tbinternet.ohchr.org/Treaties/CED/Shared%20Documents/CUB/CED_C_CUB_CO_1_26924_S.pdf" TargetMode="External"/><Relationship Id="rId120" Type="http://schemas.openxmlformats.org/officeDocument/2006/relationships/hyperlink" Target="http://www.redalyc.org/articulo.oa?id=83625847007" TargetMode="External"/><Relationship Id="rId125" Type="http://schemas.openxmlformats.org/officeDocument/2006/relationships/hyperlink" Target="http://www.leccenews24.it/attualita/-a-cuba-si-muore-un-vescovo-salentino-lancia-il-grido-d-allarme.htm" TargetMode="External"/><Relationship Id="rId141" Type="http://schemas.openxmlformats.org/officeDocument/2006/relationships/hyperlink" Target="http://www.seeci.net/cuiciid2016/PDFs/INNOV%201%20Unida.pdf" TargetMode="External"/><Relationship Id="rId146" Type="http://schemas.openxmlformats.org/officeDocument/2006/relationships/hyperlink" Target="https://www.cubanet.org/noticias/tres-familias-en-la-calle-por-peligro-de-derrumbe/" TargetMode="External"/><Relationship Id="rId167" Type="http://schemas.openxmlformats.org/officeDocument/2006/relationships/hyperlink" Target="https://mics-surveysprod.s3.amazonaws.com/MICS5/Latin%20America%20and%20Caribbean/Cuba/2014/Key%20findings/Cuba%202014%20MICS%20KFR_Spanish.pdf" TargetMode="External"/><Relationship Id="rId188" Type="http://schemas.openxmlformats.org/officeDocument/2006/relationships/hyperlink" Target="http://www.archive.icpa.ca/tools/download/1018/WiP-CommentarySMRs200806-Spanish.pdf" TargetMode="External"/><Relationship Id="rId7" Type="http://schemas.openxmlformats.org/officeDocument/2006/relationships/hyperlink" Target="http://www.ohchr.org/Documents/HRBodies/CED/StatesReportsarticle29/Cuba.doc" TargetMode="External"/><Relationship Id="rId71" Type="http://schemas.openxmlformats.org/officeDocument/2006/relationships/hyperlink" Target="http://cartasdesdecuba.com/cuba-y-los-derechos-del-consumidor/" TargetMode="External"/><Relationship Id="rId92" Type="http://schemas.openxmlformats.org/officeDocument/2006/relationships/hyperlink" Target="http://www.cubadebate.cu/noticias/2017/10/29/que-significan-las-nuevas-medidas-migratorias-de-cuba/" TargetMode="External"/><Relationship Id="rId162" Type="http://schemas.openxmlformats.org/officeDocument/2006/relationships/hyperlink" Target="http://www.ipscuba.net/genero/carceles-de-muje" TargetMode="External"/><Relationship Id="rId183" Type="http://schemas.openxmlformats.org/officeDocument/2006/relationships/hyperlink" Target="http://amsterdamlawforum.org/article/viewFile/364/522" TargetMode="External"/><Relationship Id="rId2" Type="http://schemas.openxmlformats.org/officeDocument/2006/relationships/hyperlink" Target="http://www.alamesacuba.com/es/" TargetMode="External"/><Relationship Id="rId29" Type="http://schemas.openxmlformats.org/officeDocument/2006/relationships/hyperlink" Target="http://www.trabajadores.cu/20171001/justeza-y-ensenanza/" TargetMode="External"/><Relationship Id="rId24" Type="http://schemas.openxmlformats.org/officeDocument/2006/relationships/hyperlink" Target="http://igop.uab.cat/wp-content/uploads/2014/01/subirats2aparte1.pdf" TargetMode="External"/><Relationship Id="rId40" Type="http://schemas.openxmlformats.org/officeDocument/2006/relationships/hyperlink" Target="http://www.cidh.org" TargetMode="External"/><Relationship Id="rId45" Type="http://schemas.openxmlformats.org/officeDocument/2006/relationships/hyperlink" Target="https://www.unodc.org/documents/.../2013_11_12_Cuba_Final_Country_Report.pdf" TargetMode="External"/><Relationship Id="rId66" Type="http://schemas.openxmlformats.org/officeDocument/2006/relationships/hyperlink" Target="https://www.cubanet.org/mas-noticias/gobierno-cubano-prohibe-viajar-activista-ciego-que-rendiria-informe-ante-la-onu/" TargetMode="External"/><Relationship Id="rId87" Type="http://schemas.openxmlformats.org/officeDocument/2006/relationships/hyperlink" Target="http://www.ipscuba.net/sociedad/la-adolescencia-de-cuba-requiere-mas-investigaciones-segun-panelistas/" TargetMode="External"/><Relationship Id="rId110" Type="http://schemas.openxmlformats.org/officeDocument/2006/relationships/hyperlink" Target="http://catarina.udlap.mx/u_dl_a/tales/documentos/ledf/elizondo_c_e/capitulo4.pdf" TargetMode="External"/><Relationship Id="rId115" Type="http://schemas.openxmlformats.org/officeDocument/2006/relationships/hyperlink" Target="https://www.unodc.org/documents/justice-and-prison%20reform/crimeprevention/Handbook_on_the_Crime_Prevention_Guidelines_Spanish.pdf" TargetMode="External"/><Relationship Id="rId131" Type="http://schemas.openxmlformats.org/officeDocument/2006/relationships/hyperlink" Target="http://www.juventudrebelde.cu/cuba/2017-01-21/retrato-deladolescente-" TargetMode="External"/><Relationship Id="rId136" Type="http://schemas.openxmlformats.org/officeDocument/2006/relationships/hyperlink" Target="http://www.cubadebate.cu/noticias/2013/10/11/mas-de-1-000-personas-tienen-licencia-como-repasadores-cuba/" TargetMode="External"/><Relationship Id="rId157" Type="http://schemas.openxmlformats.org/officeDocument/2006/relationships/hyperlink" Target="http://www.14ymedio.com/nacional/indulto-incluye-considerados-politicos-disidencia_0_1852614730.html" TargetMode="External"/><Relationship Id="rId178" Type="http://schemas.openxmlformats.org/officeDocument/2006/relationships/hyperlink" Target="https://books.google.cz/books/about/Criminolog&#237;a.html?id=iVNUAQAACAAJ&amp;redir_esc=y" TargetMode="External"/><Relationship Id="rId61" Type="http://schemas.openxmlformats.org/officeDocument/2006/relationships/hyperlink" Target="http://www.unicef.org/videoaudio/PDFs/" TargetMode="External"/><Relationship Id="rId82" Type="http://schemas.openxmlformats.org/officeDocument/2006/relationships/hyperlink" Target="https://www.ecoi.net/en/file/local/1406025/1226_1504088552_accord-coi-compilation-cuba.pdf" TargetMode="External"/><Relationship Id="rId152" Type="http://schemas.openxmlformats.org/officeDocument/2006/relationships/hyperlink" Target="http://www.ipscuba.net/genero/carceles-de-muje" TargetMode="External"/><Relationship Id="rId173" Type="http://schemas.openxmlformats.org/officeDocument/2006/relationships/hyperlink" Target="https://www.unicef.org/cuba/zppd_Adolescencia_en_Cuba.pdf" TargetMode="External"/><Relationship Id="rId194" Type="http://schemas.openxmlformats.org/officeDocument/2006/relationships/hyperlink" Target="http://www.uam.mx/cdi/redesinv/publicaciones/mariana/menezes.pdf" TargetMode="External"/><Relationship Id="rId19" Type="http://schemas.openxmlformats.org/officeDocument/2006/relationships/hyperlink" Target="http://edition.cnn.com/2009/WORLD/americas/12/09/cuba.us.race/index.html" TargetMode="External"/><Relationship Id="rId14" Type="http://schemas.openxmlformats.org/officeDocument/2006/relationships/hyperlink" Target="https://revistas.uo.edu.cu/index.php/stgo/article/download/1746/1726" TargetMode="External"/><Relationship Id="rId30" Type="http://schemas.openxmlformats.org/officeDocument/2006/relationships/hyperlink" Target="http://tbinternet.ohchr.org/_layouts/treatybodyexternal/Download.aspx?symbolno=CERD%2FC%2FCUB%2F19-21&amp;Lang=en" TargetMode="External"/><Relationship Id="rId35" Type="http://schemas.openxmlformats.org/officeDocument/2006/relationships/hyperlink" Target="http://www.oas.org/es/cidh/audiencias/TopicsList.aspx?Lang=es&amp;Topic=18" TargetMode="External"/><Relationship Id="rId56" Type="http://schemas.openxmlformats.org/officeDocument/2006/relationships/hyperlink" Target="http://facultad.pucp.edu.pe/derecho/wp-content/uploads/2015/03/Constituci%C3%B3n-y-Poder-Judicial.pdf" TargetMode="External"/><Relationship Id="rId77" Type="http://schemas.openxmlformats.org/officeDocument/2006/relationships/hyperlink" Target="https://fra.europa.eu/sites/default/files/fra_uploads/1510-FRA_CASE_LAW_HANDBOOK_ES.pdf" TargetMode="External"/><Relationship Id="rId100" Type="http://schemas.openxmlformats.org/officeDocument/2006/relationships/hyperlink" Target="https://www.unicef.org/lac/Atlas_de_la_infancia_y_la_adolescencia_en_CubaLR4(1).pdf" TargetMode="External"/><Relationship Id="rId105" Type="http://schemas.openxmlformats.org/officeDocument/2006/relationships/hyperlink" Target="http://www.cubaencuentro.com/opinion/articulos/cuando-el-homosexualismo-era-peor-que-una-enfermedad-en-cuba-319607" TargetMode="External"/><Relationship Id="rId126" Type="http://schemas.openxmlformats.org/officeDocument/2006/relationships/hyperlink" Target="http://www.juventudrebelde.cu/opinion/2017-07-18/atrapados-en-una-rara-piramide-2/" TargetMode="External"/><Relationship Id="rId147" Type="http://schemas.openxmlformats.org/officeDocument/2006/relationships/hyperlink" Target="http://tbinternet.ohchr.org/_layouts/treatybodyexternal/Download.aspx?symbolno=CERD%2FC%2FCUB%2F19-21&amp;Lang=en" TargetMode="External"/><Relationship Id="rId168" Type="http://schemas.openxmlformats.org/officeDocument/2006/relationships/hyperlink" Target="https://www.pdfdrive.net/anthony-giddens-sociologia-e33955264.html" TargetMode="External"/><Relationship Id="rId8" Type="http://schemas.openxmlformats.org/officeDocument/2006/relationships/hyperlink" Target="http://biblio.juridicas.unam.mx" TargetMode="External"/><Relationship Id="rId51" Type="http://schemas.openxmlformats.org/officeDocument/2006/relationships/hyperlink" Target="http://www.tsp.cu/sites/default/files/18JusticiaDerecho.pdf" TargetMode="External"/><Relationship Id="rId72" Type="http://schemas.openxmlformats.org/officeDocument/2006/relationships/hyperlink" Target="http://www.martinoticias.com/content/cuba-ley-inversiones-extranjeras-mecanismos-/39175.html" TargetMode="External"/><Relationship Id="rId93" Type="http://schemas.openxmlformats.org/officeDocument/2006/relationships/hyperlink" Target="http://www.juventudrebelde.cu/cuba/2012-12-01/los-cambios-al-detalle/" TargetMode="External"/><Relationship Id="rId98" Type="http://schemas.openxmlformats.org/officeDocument/2006/relationships/hyperlink" Target="http://www.tsp.cu/sites/default/files/15JusticiaDerecho.pdf" TargetMode="External"/><Relationship Id="rId121" Type="http://schemas.openxmlformats.org/officeDocument/2006/relationships/hyperlink" Target="http://www.monografias.com/trabajos77/consideraciones-tematica-racial-cuba/consideraciones-tematica-racial-cuba2.shtml" TargetMode="External"/><Relationship Id="rId142" Type="http://schemas.openxmlformats.org/officeDocument/2006/relationships/hyperlink" Target="http://www.nytimes.com/2013/03/24/opinion/sunday/for-blacks-in-cubathe-revolution-hasnt-begun.html" TargetMode="External"/><Relationship Id="rId163" Type="http://schemas.openxmlformats.org/officeDocument/2006/relationships/hyperlink" Target="https://pdfs.semanticscholar.org/cb58/ddc5b9d6ab2bebb9d0994ed6848cad6b5c2c.pdf" TargetMode="External"/><Relationship Id="rId184" Type="http://schemas.openxmlformats.org/officeDocument/2006/relationships/hyperlink" Target="http://www.archive.icpa.ca/tools/download/1018/WiP-CommentarySMRs200806-Spanish.pdf" TargetMode="External"/><Relationship Id="rId189" Type="http://schemas.openxmlformats.org/officeDocument/2006/relationships/hyperlink" Target="http://www.mined.gob.cu/img/200-14%20%20Consultada" TargetMode="External"/><Relationship Id="rId3" Type="http://schemas.openxmlformats.org/officeDocument/2006/relationships/hyperlink" Target="http://www.ohchr.org/SP/NewsEvents/Pages/DisplayNews.aspx?NewsID=21893&amp;LangID=S" TargetMode="External"/><Relationship Id="rId25" Type="http://schemas.openxmlformats.org/officeDocument/2006/relationships/hyperlink" Target="http://scholarship.law.berkeley.edu/bjil/vol27/iss2/1" TargetMode="External"/><Relationship Id="rId46" Type="http://schemas.openxmlformats.org/officeDocument/2006/relationships/hyperlink" Target="http://www.ohchr.org/SP/NewsEvents/Pages/DisplayNews.aspx?NewsID=21518&amp;LangID=S" TargetMode="External"/><Relationship Id="rId67" Type="http://schemas.openxmlformats.org/officeDocument/2006/relationships/hyperlink" Target="http://www.edasolau.com/" TargetMode="External"/><Relationship Id="rId116" Type="http://schemas.openxmlformats.org/officeDocument/2006/relationships/hyperlink" Target="http://derechoguatemala.blogspot.com/" TargetMode="External"/><Relationship Id="rId137" Type="http://schemas.openxmlformats.org/officeDocument/2006/relationships/hyperlink" Target="https://www.cubanet.org/articulos/el-repasador-un-cuentapropista-imprescindible/" TargetMode="External"/><Relationship Id="rId158" Type="http://schemas.openxmlformats.org/officeDocument/2006/relationships/hyperlink" Target="http://www.tsp.cu/sites/default/files/divulga_cendij/14JusticiaDerecho.pdf" TargetMode="External"/><Relationship Id="rId20" Type="http://schemas.openxmlformats.org/officeDocument/2006/relationships/hyperlink" Target="http://www.derechopenalonline.com/derecho.php?id=15,738,0,0,1,0" TargetMode="External"/><Relationship Id="rId41" Type="http://schemas.openxmlformats.org/officeDocument/2006/relationships/hyperlink" Target="http://www.oas.org/es/cidh/docs/anual/2016/docs/informeanual2016cap4b.cuba-es.docx" TargetMode="External"/><Relationship Id="rId62" Type="http://schemas.openxmlformats.org/officeDocument/2006/relationships/hyperlink" Target="https://www.unicef.org/lac/Atlas_de_la_infancia_y_la_adolescencia_en_CubaLR4(1).pdf" TargetMode="External"/><Relationship Id="rId83" Type="http://schemas.openxmlformats.org/officeDocument/2006/relationships/hyperlink" Target="https://www.unodc.org/pdf/criminal_justice/Compendium_UN_Standards_and_Norms_CP_and_CJ_Spanish.pdf" TargetMode="External"/><Relationship Id="rId88" Type="http://schemas.openxmlformats.org/officeDocument/2006/relationships/hyperlink" Target="http://www.granma.cu/cuba/2018-01-03/entraron-en-vigor-nuevas-medidas-migratorias-03-01-2018-00-01-29" TargetMode="External"/><Relationship Id="rId111" Type="http://schemas.openxmlformats.org/officeDocument/2006/relationships/hyperlink" Target="https://www.unodc.org/documents/justice-and-prison-reform/crimeprevention/Handbook_on_the_Crime_Prevention_Guidelines_Spanish.pdf" TargetMode="External"/><Relationship Id="rId132" Type="http://schemas.openxmlformats.org/officeDocument/2006/relationships/hyperlink" Target="http://www.granma.cu/cuba/2017-08-24/a-las-aulas-el-proximo-septiembre" TargetMode="External"/><Relationship Id="rId153" Type="http://schemas.openxmlformats.org/officeDocument/2006/relationships/hyperlink" Target="http://biblioteca.clacso.edu.ar/clacso/becas/20131028052827/BayonaBecasInforme.pdf" TargetMode="External"/><Relationship Id="rId174" Type="http://schemas.openxmlformats.org/officeDocument/2006/relationships/hyperlink" Target="https://www.apcca.org/uploads/10th_Edition_2013.pdf" TargetMode="External"/><Relationship Id="rId179" Type="http://schemas.openxmlformats.org/officeDocument/2006/relationships/hyperlink" Target="http://tbinternet.ohchr.org/Treaties/CRC-OP-SC/Shared%20Documents/CUB/INT_CRC-OP-SC_INR_CUB_6823_S.doc" TargetMode="External"/><Relationship Id="rId190" Type="http://schemas.openxmlformats.org/officeDocument/2006/relationships/hyperlink" Target="http://scielo.sld.cu/pdf/uh/n283/uh09283.pdf" TargetMode="External"/><Relationship Id="rId15" Type="http://schemas.openxmlformats.org/officeDocument/2006/relationships/hyperlink" Target="http://afrocubaweb.com/News/Cuba/RazaDesigualdad_Rodrigo.pdf" TargetMode="External"/><Relationship Id="rId36" Type="http://schemas.openxmlformats.org/officeDocument/2006/relationships/hyperlink" Target="http://www.ohchr.org/Documents/AboutUs/CivilSociety/ReportHC/states/2_Cuba.pdf" TargetMode="External"/><Relationship Id="rId57" Type="http://schemas.openxmlformats.org/officeDocument/2006/relationships/hyperlink" Target="http://lanic.utexas.edu/larrp" TargetMode="External"/><Relationship Id="rId106" Type="http://schemas.openxmlformats.org/officeDocument/2006/relationships/hyperlink" Target="http://www.ipscuba.net/genero/el-caso-legal-qu" TargetMode="External"/><Relationship Id="rId127" Type="http://schemas.openxmlformats.org/officeDocument/2006/relationships/hyperlink" Target="http://www.cubasymposium.org/PEchangeCubaWEB.pdf" TargetMode="External"/><Relationship Id="rId10" Type="http://schemas.openxmlformats.org/officeDocument/2006/relationships/hyperlink" Target="http://www.tsp.cu/sites/default/files/15JusticiaDerecho.pdf" TargetMode="External"/><Relationship Id="rId31" Type="http://schemas.openxmlformats.org/officeDocument/2006/relationships/hyperlink" Target="http://www.capitolhillcubans.com/2013/03/wsj-on-sonia-garro-two-easters-in.html" TargetMode="External"/><Relationship Id="rId52" Type="http://schemas.openxmlformats.org/officeDocument/2006/relationships/hyperlink" Target="https://law.yale.edu/system/files/documents/pdf/sela/SELA13_GuancheFernandez_CV_Sp_20130316.pdf" TargetMode="External"/><Relationship Id="rId73" Type="http://schemas.openxmlformats.org/officeDocument/2006/relationships/hyperlink" Target="https://www.economist.com/news/americas/21719812-revolutionary-economy-neither-efficient-norfun-what-tourist-industry-reveals-about" TargetMode="External"/><Relationship Id="rId78" Type="http://schemas.openxmlformats.org/officeDocument/2006/relationships/hyperlink" Target="http://www.diariodecuba.com/derechoshumanos/1506976316_34358.html" TargetMode="External"/><Relationship Id="rId94" Type="http://schemas.openxmlformats.org/officeDocument/2006/relationships/hyperlink" Target="file:///D:\Liselotte\otorrino_v1.16\1Nueva%20carpeta%202018sin%20guardar\%20http:\www.bdlive.co.za\national\2014\07\08\stateless-daughter-of-cubans-granted-sa-citizenship-by-high-court" TargetMode="External"/><Relationship Id="rId99" Type="http://schemas.openxmlformats.org/officeDocument/2006/relationships/hyperlink" Target="https://www.unodc.org/pdf/criminal_justice/Compendium_UN_Standards_and_Norms_CP_and_CJ_Spanish.pdf" TargetMode="External"/><Relationship Id="rId101" Type="http://schemas.openxmlformats.org/officeDocument/2006/relationships/hyperlink" Target="http://www.unal.edu.co/bioetica/documentos/2011/Maternidad.pdf" TargetMode="External"/><Relationship Id="rId122" Type="http://schemas.openxmlformats.org/officeDocument/2006/relationships/hyperlink" Target="http://biblioteca.clacso.edu.ar/clacso/becas/20131028052827/BayonaBecasInforme.pdf" TargetMode="External"/><Relationship Id="rId143" Type="http://schemas.openxmlformats.org/officeDocument/2006/relationships/hyperlink" Target="https://www.unicef.org/lac/Atlas_de_la_infancia_y_la_adolescencia_en_CubaLR4(1).pdf" TargetMode="External"/><Relationship Id="rId148" Type="http://schemas.openxmlformats.org/officeDocument/2006/relationships/hyperlink" Target="http://derecho.upla.edu.pe/pdf/diccionariosorio.pdf" TargetMode="External"/><Relationship Id="rId164" Type="http://schemas.openxmlformats.org/officeDocument/2006/relationships/hyperlink" Target="https://pdfs.semanticscholar.org/cb58/ddc5b9d6ab2bebb9d0994ed6848cad6b5c2c.pdf" TargetMode="External"/><Relationship Id="rId169" Type="http://schemas.openxmlformats.org/officeDocument/2006/relationships/hyperlink" Target="https://www.unicef.org/lac/Atlas_de_la_infancia_y_la_adolescencia_en_CubaLR4(1).pdf" TargetMode="External"/><Relationship Id="rId185" Type="http://schemas.openxmlformats.org/officeDocument/2006/relationships/hyperlink" Target="http://www.tsp.cu/sites/default/files/18JusticiaDerecho.pdf" TargetMode="External"/><Relationship Id="rId4" Type="http://schemas.openxmlformats.org/officeDocument/2006/relationships/hyperlink" Target="http://www.tsp.cu/" TargetMode="External"/><Relationship Id="rId9" Type="http://schemas.openxmlformats.org/officeDocument/2006/relationships/hyperlink" Target="http://journalusco.edu.co/index.php/Pielagus/article/view/131" TargetMode="External"/><Relationship Id="rId180" Type="http://schemas.openxmlformats.org/officeDocument/2006/relationships/hyperlink" Target="http://www.ambito-juridico.com.br/site/index.php" TargetMode="External"/><Relationship Id="rId26" Type="http://schemas.openxmlformats.org/officeDocument/2006/relationships/hyperlink" Target="http://dx.doi.org/doi:10.15779/Z38G07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pec%20design%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3191D-9228-424D-AB10-A7E5322C1E03}"/>
</file>

<file path=customXml/itemProps2.xml><?xml version="1.0" encoding="utf-8"?>
<ds:datastoreItem xmlns:ds="http://schemas.openxmlformats.org/officeDocument/2006/customXml" ds:itemID="{32D46A36-138C-4E8A-8CFA-7CED4EF9DF16}"/>
</file>

<file path=customXml/itemProps3.xml><?xml version="1.0" encoding="utf-8"?>
<ds:datastoreItem xmlns:ds="http://schemas.openxmlformats.org/officeDocument/2006/customXml" ds:itemID="{6385BE1F-1A5D-4289-BB1E-356842652864}"/>
</file>

<file path=customXml/itemProps4.xml><?xml version="1.0" encoding="utf-8"?>
<ds:datastoreItem xmlns:ds="http://schemas.openxmlformats.org/officeDocument/2006/customXml" ds:itemID="{D2997620-5788-4628-B7AC-C3644E6BBA97}"/>
</file>

<file path=docProps/app.xml><?xml version="1.0" encoding="utf-8"?>
<Properties xmlns="http://schemas.openxmlformats.org/officeDocument/2006/extended-properties" xmlns:vt="http://schemas.openxmlformats.org/officeDocument/2006/docPropsVTypes">
  <Template>Spec design (blank)</Template>
  <TotalTime>2</TotalTime>
  <Pages>91</Pages>
  <Words>19409</Words>
  <Characters>106752</Characters>
  <Application>Microsoft Office Word</Application>
  <DocSecurity>0</DocSecurity>
  <Lines>889</Lines>
  <Paragraphs>251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125910</CharactersWithSpaces>
  <SharedDoc>false</SharedDoc>
  <HLinks>
    <vt:vector size="462" baseType="variant">
      <vt:variant>
        <vt:i4>3866658</vt:i4>
      </vt:variant>
      <vt:variant>
        <vt:i4>96</vt:i4>
      </vt:variant>
      <vt:variant>
        <vt:i4>0</vt:i4>
      </vt:variant>
      <vt:variant>
        <vt:i4>5</vt:i4>
      </vt:variant>
      <vt:variant>
        <vt:lpwstr>http://www.diariodecuba.com/etiquetas/menores.html</vt:lpwstr>
      </vt:variant>
      <vt:variant>
        <vt:lpwstr/>
      </vt:variant>
      <vt:variant>
        <vt:i4>3080301</vt:i4>
      </vt:variant>
      <vt:variant>
        <vt:i4>93</vt:i4>
      </vt:variant>
      <vt:variant>
        <vt:i4>0</vt:i4>
      </vt:variant>
      <vt:variant>
        <vt:i4>5</vt:i4>
      </vt:variant>
      <vt:variant>
        <vt:lpwstr>http://www.mujeres.co.cu/comite nacional/textos/INFORME.pdf</vt:lpwstr>
      </vt:variant>
      <vt:variant>
        <vt:lpwstr/>
      </vt:variant>
      <vt:variant>
        <vt:i4>262215</vt:i4>
      </vt:variant>
      <vt:variant>
        <vt:i4>90</vt:i4>
      </vt:variant>
      <vt:variant>
        <vt:i4>0</vt:i4>
      </vt:variant>
      <vt:variant>
        <vt:i4>5</vt:i4>
      </vt:variant>
      <vt:variant>
        <vt:lpwstr>http://www.paho.org/arg/images/gallery/Blueprint Trans Espa%C3%83%C2%B1ol.pdf</vt:lpwstr>
      </vt:variant>
      <vt:variant>
        <vt:lpwstr/>
      </vt:variant>
      <vt:variant>
        <vt:i4>589914</vt:i4>
      </vt:variant>
      <vt:variant>
        <vt:i4>87</vt:i4>
      </vt:variant>
      <vt:variant>
        <vt:i4>0</vt:i4>
      </vt:variant>
      <vt:variant>
        <vt:i4>5</vt:i4>
      </vt:variant>
      <vt:variant>
        <vt:lpwstr>http://www.cubadebate.cu/opinion/2013/11/20/la-bondad-de-las-escuelas-de-formacion-integral/</vt:lpwstr>
      </vt:variant>
      <vt:variant>
        <vt:lpwstr>.V8Re8dFVKlM</vt:lpwstr>
      </vt:variant>
      <vt:variant>
        <vt:i4>6226020</vt:i4>
      </vt:variant>
      <vt:variant>
        <vt:i4>84</vt:i4>
      </vt:variant>
      <vt:variant>
        <vt:i4>0</vt:i4>
      </vt:variant>
      <vt:variant>
        <vt:i4>5</vt:i4>
      </vt:variant>
      <vt:variant>
        <vt:lpwstr>http://tbinternet.ohchr.org/Treaties/CRC-OP-SC/Shared Documents/CUB/INT_CRC-OP-SC_INR_CUB_6823_S.doc</vt:lpwstr>
      </vt:variant>
      <vt:variant>
        <vt:lpwstr/>
      </vt:variant>
      <vt:variant>
        <vt:i4>3866743</vt:i4>
      </vt:variant>
      <vt:variant>
        <vt:i4>81</vt:i4>
      </vt:variant>
      <vt:variant>
        <vt:i4>0</vt:i4>
      </vt:variant>
      <vt:variant>
        <vt:i4>5</vt:i4>
      </vt:variant>
      <vt:variant>
        <vt:lpwstr>http://www.monografias.com/trabajos12/elorigest/elorigest.shtml</vt:lpwstr>
      </vt:variant>
      <vt:variant>
        <vt:lpwstr/>
      </vt:variant>
      <vt:variant>
        <vt:i4>6226006</vt:i4>
      </vt:variant>
      <vt:variant>
        <vt:i4>78</vt:i4>
      </vt:variant>
      <vt:variant>
        <vt:i4>0</vt:i4>
      </vt:variant>
      <vt:variant>
        <vt:i4>5</vt:i4>
      </vt:variant>
      <vt:variant>
        <vt:lpwstr>http://www.diariodecuba.com/etiquetas/educacion.html</vt:lpwstr>
      </vt:variant>
      <vt:variant>
        <vt:lpwstr/>
      </vt:variant>
      <vt:variant>
        <vt:i4>6226006</vt:i4>
      </vt:variant>
      <vt:variant>
        <vt:i4>75</vt:i4>
      </vt:variant>
      <vt:variant>
        <vt:i4>0</vt:i4>
      </vt:variant>
      <vt:variant>
        <vt:i4>5</vt:i4>
      </vt:variant>
      <vt:variant>
        <vt:lpwstr>http://www.diariodecuba.com/etiquetas/educacion.html</vt:lpwstr>
      </vt:variant>
      <vt:variant>
        <vt:lpwstr/>
      </vt:variant>
      <vt:variant>
        <vt:i4>7929967</vt:i4>
      </vt:variant>
      <vt:variant>
        <vt:i4>210</vt:i4>
      </vt:variant>
      <vt:variant>
        <vt:i4>0</vt:i4>
      </vt:variant>
      <vt:variant>
        <vt:i4>5</vt:i4>
      </vt:variant>
      <vt:variant>
        <vt:lpwstr>http://www.granma.cu/cuba/2018-02-16/adopcion-en-cuba-y-el-entorno-familiar-responsable-16-02-2018-00-02-34</vt:lpwstr>
      </vt:variant>
      <vt:variant>
        <vt:lpwstr/>
      </vt:variant>
      <vt:variant>
        <vt:i4>1638425</vt:i4>
      </vt:variant>
      <vt:variant>
        <vt:i4>207</vt:i4>
      </vt:variant>
      <vt:variant>
        <vt:i4>0</vt:i4>
      </vt:variant>
      <vt:variant>
        <vt:i4>5</vt:i4>
      </vt:variant>
      <vt:variant>
        <vt:lpwstr>http://www.unicef.org/spanish/sowc06/pdfs/sowc06_fullreport_sp.pdf</vt:lpwstr>
      </vt:variant>
      <vt:variant>
        <vt:lpwstr/>
      </vt:variant>
      <vt:variant>
        <vt:i4>7471260</vt:i4>
      </vt:variant>
      <vt:variant>
        <vt:i4>204</vt:i4>
      </vt:variant>
      <vt:variant>
        <vt:i4>0</vt:i4>
      </vt:variant>
      <vt:variant>
        <vt:i4>5</vt:i4>
      </vt:variant>
      <vt:variant>
        <vt:lpwstr>https://books.google.cz/books/about/Criminología.html?id=iVNUAQAACAAJ&amp;redir_esc=y</vt:lpwstr>
      </vt:variant>
      <vt:variant>
        <vt:lpwstr/>
      </vt:variant>
      <vt:variant>
        <vt:i4>5636110</vt:i4>
      </vt:variant>
      <vt:variant>
        <vt:i4>201</vt:i4>
      </vt:variant>
      <vt:variant>
        <vt:i4>0</vt:i4>
      </vt:variant>
      <vt:variant>
        <vt:i4>5</vt:i4>
      </vt:variant>
      <vt:variant>
        <vt:lpwstr>http://acupsi.org/index/descargar.html?id=numeros/alternativas-cubanas-en-psicologia-v2n5.pdf</vt:lpwstr>
      </vt:variant>
      <vt:variant>
        <vt:lpwstr/>
      </vt:variant>
      <vt:variant>
        <vt:i4>3735671</vt:i4>
      </vt:variant>
      <vt:variant>
        <vt:i4>198</vt:i4>
      </vt:variant>
      <vt:variant>
        <vt:i4>0</vt:i4>
      </vt:variant>
      <vt:variant>
        <vt:i4>5</vt:i4>
      </vt:variant>
      <vt:variant>
        <vt:lpwstr>http://www.ohchr.org/SP/NewsEvents/Pages/DisplayNews.aspx?NewsID=21518&amp;LangID=S</vt:lpwstr>
      </vt:variant>
      <vt:variant>
        <vt:lpwstr/>
      </vt:variant>
      <vt:variant>
        <vt:i4>3997748</vt:i4>
      </vt:variant>
      <vt:variant>
        <vt:i4>195</vt:i4>
      </vt:variant>
      <vt:variant>
        <vt:i4>0</vt:i4>
      </vt:variant>
      <vt:variant>
        <vt:i4>5</vt:i4>
      </vt:variant>
      <vt:variant>
        <vt:lpwstr>http://www.tsp.cu/sites/default/files/18JusticiaDerecho.pdf</vt:lpwstr>
      </vt:variant>
      <vt:variant>
        <vt:lpwstr/>
      </vt:variant>
      <vt:variant>
        <vt:i4>5308508</vt:i4>
      </vt:variant>
      <vt:variant>
        <vt:i4>192</vt:i4>
      </vt:variant>
      <vt:variant>
        <vt:i4>0</vt:i4>
      </vt:variant>
      <vt:variant>
        <vt:i4>5</vt:i4>
      </vt:variant>
      <vt:variant>
        <vt:lpwstr>http://www.ambito-juridico.com.br/site/index.php</vt:lpwstr>
      </vt:variant>
      <vt:variant>
        <vt:lpwstr/>
      </vt:variant>
      <vt:variant>
        <vt:i4>4456517</vt:i4>
      </vt:variant>
      <vt:variant>
        <vt:i4>189</vt:i4>
      </vt:variant>
      <vt:variant>
        <vt:i4>0</vt:i4>
      </vt:variant>
      <vt:variant>
        <vt:i4>5</vt:i4>
      </vt:variant>
      <vt:variant>
        <vt:lpwstr>http://www.14ymedio.com/nacional/situacion-presos-Cuba-es-presentada-ante-comision-interamericana-derechos-humanos-por-cubalex_0_1659434051.html</vt:lpwstr>
      </vt:variant>
      <vt:variant>
        <vt:lpwstr/>
      </vt:variant>
      <vt:variant>
        <vt:i4>6226020</vt:i4>
      </vt:variant>
      <vt:variant>
        <vt:i4>186</vt:i4>
      </vt:variant>
      <vt:variant>
        <vt:i4>0</vt:i4>
      </vt:variant>
      <vt:variant>
        <vt:i4>5</vt:i4>
      </vt:variant>
      <vt:variant>
        <vt:lpwstr>http://tbinternet.ohchr.org/Treaties/CRC-OP-SC/Shared Documents/CUB/INT_CRC-OP-SC_INR_CUB_6823_S.doc</vt:lpwstr>
      </vt:variant>
      <vt:variant>
        <vt:lpwstr/>
      </vt:variant>
      <vt:variant>
        <vt:i4>6226020</vt:i4>
      </vt:variant>
      <vt:variant>
        <vt:i4>183</vt:i4>
      </vt:variant>
      <vt:variant>
        <vt:i4>0</vt:i4>
      </vt:variant>
      <vt:variant>
        <vt:i4>5</vt:i4>
      </vt:variant>
      <vt:variant>
        <vt:lpwstr>http://tbinternet.ohchr.org/Treaties/CRC-OP-SC/Shared Documents/CUB/INT_CRC-OP-SC_INR_CUB_6823_S.doc</vt:lpwstr>
      </vt:variant>
      <vt:variant>
        <vt:lpwstr/>
      </vt:variant>
      <vt:variant>
        <vt:i4>3080218</vt:i4>
      </vt:variant>
      <vt:variant>
        <vt:i4>180</vt:i4>
      </vt:variant>
      <vt:variant>
        <vt:i4>0</vt:i4>
      </vt:variant>
      <vt:variant>
        <vt:i4>5</vt:i4>
      </vt:variant>
      <vt:variant>
        <vt:lpwstr>http://www.ipscuba.net/index.php?option=com_k2&amp;view=item&amp;id=2921:el-maltrato-infantil-una-mirada-desde-cuba&amp;Itemid=10</vt:lpwstr>
      </vt:variant>
      <vt:variant>
        <vt:lpwstr/>
      </vt:variant>
      <vt:variant>
        <vt:i4>3145780</vt:i4>
      </vt:variant>
      <vt:variant>
        <vt:i4>177</vt:i4>
      </vt:variant>
      <vt:variant>
        <vt:i4>0</vt:i4>
      </vt:variant>
      <vt:variant>
        <vt:i4>5</vt:i4>
      </vt:variant>
      <vt:variant>
        <vt:lpwstr>http://www.tsp.cu/sites/default/files/15JusticiaDerecho.pdf</vt:lpwstr>
      </vt:variant>
      <vt:variant>
        <vt:lpwstr/>
      </vt:variant>
      <vt:variant>
        <vt:i4>131183</vt:i4>
      </vt:variant>
      <vt:variant>
        <vt:i4>174</vt:i4>
      </vt:variant>
      <vt:variant>
        <vt:i4>0</vt:i4>
      </vt:variant>
      <vt:variant>
        <vt:i4>5</vt:i4>
      </vt:variant>
      <vt:variant>
        <vt:lpwstr>http://www.savethechildren.es/docs/Ficheros/675/Acoso_escolar_y_ciberacoso_informe_vOK_-_05.14.pdf</vt:lpwstr>
      </vt:variant>
      <vt:variant>
        <vt:lpwstr/>
      </vt:variant>
      <vt:variant>
        <vt:i4>1048674</vt:i4>
      </vt:variant>
      <vt:variant>
        <vt:i4>171</vt:i4>
      </vt:variant>
      <vt:variant>
        <vt:i4>0</vt:i4>
      </vt:variant>
      <vt:variant>
        <vt:i4>5</vt:i4>
      </vt:variant>
      <vt:variant>
        <vt:lpwstr>http://www.upr-info.org/IMG/pdf/a_hrc_wg.6_16_cub_1_cuba_s.pdf</vt:lpwstr>
      </vt:variant>
      <vt:variant>
        <vt:lpwstr/>
      </vt:variant>
      <vt:variant>
        <vt:i4>7405674</vt:i4>
      </vt:variant>
      <vt:variant>
        <vt:i4>168</vt:i4>
      </vt:variant>
      <vt:variant>
        <vt:i4>0</vt:i4>
      </vt:variant>
      <vt:variant>
        <vt:i4>5</vt:i4>
      </vt:variant>
      <vt:variant>
        <vt:lpwstr>http://www.itu.int/ITU-D/ict/publications/idi/material/2012/MIS2012</vt:lpwstr>
      </vt:variant>
      <vt:variant>
        <vt:lpwstr/>
      </vt:variant>
      <vt:variant>
        <vt:i4>6553618</vt:i4>
      </vt:variant>
      <vt:variant>
        <vt:i4>165</vt:i4>
      </vt:variant>
      <vt:variant>
        <vt:i4>0</vt:i4>
      </vt:variant>
      <vt:variant>
        <vt:i4>5</vt:i4>
      </vt:variant>
      <vt:variant>
        <vt:lpwstr>https://mics-surveysprod.s3.amazonaws.com/MICS5/Latin America and Caribbean/Cuba/2014/Key findings/Cuba 2014 MICS KFR_Spanish.pdf</vt:lpwstr>
      </vt:variant>
      <vt:variant>
        <vt:lpwstr/>
      </vt:variant>
      <vt:variant>
        <vt:i4>6488184</vt:i4>
      </vt:variant>
      <vt:variant>
        <vt:i4>162</vt:i4>
      </vt:variant>
      <vt:variant>
        <vt:i4>0</vt:i4>
      </vt:variant>
      <vt:variant>
        <vt:i4>5</vt:i4>
      </vt:variant>
      <vt:variant>
        <vt:lpwstr>http://www.tsp.cu/</vt:lpwstr>
      </vt:variant>
      <vt:variant>
        <vt:lpwstr/>
      </vt:variant>
      <vt:variant>
        <vt:i4>2818131</vt:i4>
      </vt:variant>
      <vt:variant>
        <vt:i4>159</vt:i4>
      </vt:variant>
      <vt:variant>
        <vt:i4>0</vt:i4>
      </vt:variant>
      <vt:variant>
        <vt:i4>5</vt:i4>
      </vt:variant>
      <vt:variant>
        <vt:lpwstr>http://tbinternet.ohchr.org/Treaties/CRC-OP-AC/Shared Documents/CUB/INT_CRC-OP-AC_NGO_CUB_17928_E.pdf</vt:lpwstr>
      </vt:variant>
      <vt:variant>
        <vt:lpwstr/>
      </vt:variant>
      <vt:variant>
        <vt:i4>3735671</vt:i4>
      </vt:variant>
      <vt:variant>
        <vt:i4>156</vt:i4>
      </vt:variant>
      <vt:variant>
        <vt:i4>0</vt:i4>
      </vt:variant>
      <vt:variant>
        <vt:i4>5</vt:i4>
      </vt:variant>
      <vt:variant>
        <vt:lpwstr>http://www.ohchr.org/SP/NewsEvents/Pages/DisplayNews.aspx?NewsID=21518&amp;LangID=S</vt:lpwstr>
      </vt:variant>
      <vt:variant>
        <vt:lpwstr/>
      </vt:variant>
      <vt:variant>
        <vt:i4>4194309</vt:i4>
      </vt:variant>
      <vt:variant>
        <vt:i4>153</vt:i4>
      </vt:variant>
      <vt:variant>
        <vt:i4>0</vt:i4>
      </vt:variant>
      <vt:variant>
        <vt:i4>5</vt:i4>
      </vt:variant>
      <vt:variant>
        <vt:lpwstr>http://www.cubasymposium.org/PEchangeCubaWEB.pdf</vt:lpwstr>
      </vt:variant>
      <vt:variant>
        <vt:lpwstr/>
      </vt:variant>
      <vt:variant>
        <vt:i4>4194309</vt:i4>
      </vt:variant>
      <vt:variant>
        <vt:i4>150</vt:i4>
      </vt:variant>
      <vt:variant>
        <vt:i4>0</vt:i4>
      </vt:variant>
      <vt:variant>
        <vt:i4>5</vt:i4>
      </vt:variant>
      <vt:variant>
        <vt:lpwstr>http://www.cubasymposium.org/PEchangeCubaWEB.pdf</vt:lpwstr>
      </vt:variant>
      <vt:variant>
        <vt:lpwstr/>
      </vt:variant>
      <vt:variant>
        <vt:i4>458836</vt:i4>
      </vt:variant>
      <vt:variant>
        <vt:i4>147</vt:i4>
      </vt:variant>
      <vt:variant>
        <vt:i4>0</vt:i4>
      </vt:variant>
      <vt:variant>
        <vt:i4>5</vt:i4>
      </vt:variant>
      <vt:variant>
        <vt:lpwstr>https://www.economist.com/news/americas/21719812-revolutionary-economy-neither-efficient-nor-fun-what-tourist-industry-reveals-about</vt:lpwstr>
      </vt:variant>
      <vt:variant>
        <vt:lpwstr/>
      </vt:variant>
      <vt:variant>
        <vt:i4>65605</vt:i4>
      </vt:variant>
      <vt:variant>
        <vt:i4>144</vt:i4>
      </vt:variant>
      <vt:variant>
        <vt:i4>0</vt:i4>
      </vt:variant>
      <vt:variant>
        <vt:i4>5</vt:i4>
      </vt:variant>
      <vt:variant>
        <vt:lpwstr>https://www.cubanet.org/noticias/realizan-acto-de-repudio-con-ninos-frente-a-sede-de-damas-de-blanco/</vt:lpwstr>
      </vt:variant>
      <vt:variant>
        <vt:lpwstr/>
      </vt:variant>
      <vt:variant>
        <vt:i4>4194383</vt:i4>
      </vt:variant>
      <vt:variant>
        <vt:i4>141</vt:i4>
      </vt:variant>
      <vt:variant>
        <vt:i4>0</vt:i4>
      </vt:variant>
      <vt:variant>
        <vt:i4>5</vt:i4>
      </vt:variant>
      <vt:variant>
        <vt:lpwstr>http://derecho.upla.edu.pe/pdf/diccionariosorio.pdf.</vt:lpwstr>
      </vt:variant>
      <vt:variant>
        <vt:lpwstr/>
      </vt:variant>
      <vt:variant>
        <vt:i4>1966162</vt:i4>
      </vt:variant>
      <vt:variant>
        <vt:i4>138</vt:i4>
      </vt:variant>
      <vt:variant>
        <vt:i4>0</vt:i4>
      </vt:variant>
      <vt:variant>
        <vt:i4>5</vt:i4>
      </vt:variant>
      <vt:variant>
        <vt:lpwstr>http://derechoguatemala.blogspot.com/</vt:lpwstr>
      </vt:variant>
      <vt:variant>
        <vt:lpwstr/>
      </vt:variant>
      <vt:variant>
        <vt:i4>2687077</vt:i4>
      </vt:variant>
      <vt:variant>
        <vt:i4>135</vt:i4>
      </vt:variant>
      <vt:variant>
        <vt:i4>0</vt:i4>
      </vt:variant>
      <vt:variant>
        <vt:i4>5</vt:i4>
      </vt:variant>
      <vt:variant>
        <vt:lpwstr>https://referenciajuridica.wordpress.com/author/referenciajuridica/</vt:lpwstr>
      </vt:variant>
      <vt:variant>
        <vt:lpwstr/>
      </vt:variant>
      <vt:variant>
        <vt:i4>6553718</vt:i4>
      </vt:variant>
      <vt:variant>
        <vt:i4>132</vt:i4>
      </vt:variant>
      <vt:variant>
        <vt:i4>0</vt:i4>
      </vt:variant>
      <vt:variant>
        <vt:i4>5</vt:i4>
      </vt:variant>
      <vt:variant>
        <vt:lpwstr>http://tbinternet.ohchr.org/Treaties/CED/Shared Documents/CUB/CED_C_CUB_CO_1_26924_S.pdf</vt:lpwstr>
      </vt:variant>
      <vt:variant>
        <vt:lpwstr/>
      </vt:variant>
      <vt:variant>
        <vt:i4>3735671</vt:i4>
      </vt:variant>
      <vt:variant>
        <vt:i4>129</vt:i4>
      </vt:variant>
      <vt:variant>
        <vt:i4>0</vt:i4>
      </vt:variant>
      <vt:variant>
        <vt:i4>5</vt:i4>
      </vt:variant>
      <vt:variant>
        <vt:lpwstr>http://www.ohchr.org/SP/NewsEvents/Pages/DisplayNews.aspx?NewsID=21518&amp;LangID=S</vt:lpwstr>
      </vt:variant>
      <vt:variant>
        <vt:lpwstr/>
      </vt:variant>
      <vt:variant>
        <vt:i4>1179676</vt:i4>
      </vt:variant>
      <vt:variant>
        <vt:i4>126</vt:i4>
      </vt:variant>
      <vt:variant>
        <vt:i4>0</vt:i4>
      </vt:variant>
      <vt:variant>
        <vt:i4>5</vt:i4>
      </vt:variant>
      <vt:variant>
        <vt:lpwstr>http://hdl.handle.net/2268/171991</vt:lpwstr>
      </vt:variant>
      <vt:variant>
        <vt:lpwstr/>
      </vt:variant>
      <vt:variant>
        <vt:i4>131086</vt:i4>
      </vt:variant>
      <vt:variant>
        <vt:i4>123</vt:i4>
      </vt:variant>
      <vt:variant>
        <vt:i4>0</vt:i4>
      </vt:variant>
      <vt:variant>
        <vt:i4>5</vt:i4>
      </vt:variant>
      <vt:variant>
        <vt:lpwstr>http://www.bdlive.co.za/national/2014/07/08/stateless-daughter-of-cubans-granted-sa-citizenship-by-high-court</vt:lpwstr>
      </vt:variant>
      <vt:variant>
        <vt:lpwstr/>
      </vt:variant>
      <vt:variant>
        <vt:i4>1572929</vt:i4>
      </vt:variant>
      <vt:variant>
        <vt:i4>120</vt:i4>
      </vt:variant>
      <vt:variant>
        <vt:i4>0</vt:i4>
      </vt:variant>
      <vt:variant>
        <vt:i4>5</vt:i4>
      </vt:variant>
      <vt:variant>
        <vt:lpwstr>http://www.juventudrebelde.cu/cuba/2012-12-01/los-cambios-al-detalle/</vt:lpwstr>
      </vt:variant>
      <vt:variant>
        <vt:lpwstr/>
      </vt:variant>
      <vt:variant>
        <vt:i4>1179676</vt:i4>
      </vt:variant>
      <vt:variant>
        <vt:i4>117</vt:i4>
      </vt:variant>
      <vt:variant>
        <vt:i4>0</vt:i4>
      </vt:variant>
      <vt:variant>
        <vt:i4>5</vt:i4>
      </vt:variant>
      <vt:variant>
        <vt:lpwstr>http://hdl.handle.net/2268/171991</vt:lpwstr>
      </vt:variant>
      <vt:variant>
        <vt:lpwstr/>
      </vt:variant>
      <vt:variant>
        <vt:i4>1507361</vt:i4>
      </vt:variant>
      <vt:variant>
        <vt:i4>114</vt:i4>
      </vt:variant>
      <vt:variant>
        <vt:i4>0</vt:i4>
      </vt:variant>
      <vt:variant>
        <vt:i4>5</vt:i4>
      </vt:variant>
      <vt:variant>
        <vt:lpwstr>http://tbinternet.ohchr.org/_layouts/treatybodyexternal/Download.aspx?symbolno=INT%2fCED%2fICO%2fCUB%2f26636&amp;Lang=en</vt:lpwstr>
      </vt:variant>
      <vt:variant>
        <vt:lpwstr/>
      </vt:variant>
      <vt:variant>
        <vt:i4>7143476</vt:i4>
      </vt:variant>
      <vt:variant>
        <vt:i4>111</vt:i4>
      </vt:variant>
      <vt:variant>
        <vt:i4>0</vt:i4>
      </vt:variant>
      <vt:variant>
        <vt:i4>5</vt:i4>
      </vt:variant>
      <vt:variant>
        <vt:lpwstr>http://www.refworld.org.es/docid/5a5e371b4.html</vt:lpwstr>
      </vt:variant>
      <vt:variant>
        <vt:lpwstr/>
      </vt:variant>
      <vt:variant>
        <vt:i4>4325449</vt:i4>
      </vt:variant>
      <vt:variant>
        <vt:i4>108</vt:i4>
      </vt:variant>
      <vt:variant>
        <vt:i4>0</vt:i4>
      </vt:variant>
      <vt:variant>
        <vt:i4>5</vt:i4>
      </vt:variant>
      <vt:variant>
        <vt:lpwstr>http://www.granma.cu/cuba/2018-01-03/entraron-en-vigor-nuevas-medidas-migratorias-03-01-2018-00-01-29</vt:lpwstr>
      </vt:variant>
      <vt:variant>
        <vt:lpwstr/>
      </vt:variant>
      <vt:variant>
        <vt:i4>2949180</vt:i4>
      </vt:variant>
      <vt:variant>
        <vt:i4>105</vt:i4>
      </vt:variant>
      <vt:variant>
        <vt:i4>0</vt:i4>
      </vt:variant>
      <vt:variant>
        <vt:i4>5</vt:i4>
      </vt:variant>
      <vt:variant>
        <vt:lpwstr>http://www.acnur.org/noticias/noticia/un-informe-de-acnur-revelalas-nefastas-consecuencias-de-la-apatridia-sobre-los-ninos/</vt:lpwstr>
      </vt:variant>
      <vt:variant>
        <vt:lpwstr/>
      </vt:variant>
      <vt:variant>
        <vt:i4>3735661</vt:i4>
      </vt:variant>
      <vt:variant>
        <vt:i4>102</vt:i4>
      </vt:variant>
      <vt:variant>
        <vt:i4>0</vt:i4>
      </vt:variant>
      <vt:variant>
        <vt:i4>5</vt:i4>
      </vt:variant>
      <vt:variant>
        <vt:lpwstr>http://www.cubadebate.cu/noticias/2017/10/29/que-significan-las-nuevas-medidas-migratorias-de-cuba/</vt:lpwstr>
      </vt:variant>
      <vt:variant>
        <vt:lpwstr/>
      </vt:variant>
      <vt:variant>
        <vt:i4>1376273</vt:i4>
      </vt:variant>
      <vt:variant>
        <vt:i4>99</vt:i4>
      </vt:variant>
      <vt:variant>
        <vt:i4>0</vt:i4>
      </vt:variant>
      <vt:variant>
        <vt:i4>5</vt:i4>
      </vt:variant>
      <vt:variant>
        <vt:lpwstr>https://www.cidh.oas.org/annualrep/98span/Capitulo 7.htm</vt:lpwstr>
      </vt:variant>
      <vt:variant>
        <vt:lpwstr/>
      </vt:variant>
      <vt:variant>
        <vt:i4>393236</vt:i4>
      </vt:variant>
      <vt:variant>
        <vt:i4>96</vt:i4>
      </vt:variant>
      <vt:variant>
        <vt:i4>0</vt:i4>
      </vt:variant>
      <vt:variant>
        <vt:i4>5</vt:i4>
      </vt:variant>
      <vt:variant>
        <vt:lpwstr>https://www.unodc.org/documents/.../2013_11_12_Cuba_Final_Country_Report.pdf</vt:lpwstr>
      </vt:variant>
      <vt:variant>
        <vt:lpwstr/>
      </vt:variant>
      <vt:variant>
        <vt:i4>5046366</vt:i4>
      </vt:variant>
      <vt:variant>
        <vt:i4>93</vt:i4>
      </vt:variant>
      <vt:variant>
        <vt:i4>0</vt:i4>
      </vt:variant>
      <vt:variant>
        <vt:i4>5</vt:i4>
      </vt:variant>
      <vt:variant>
        <vt:lpwstr>http://lanic.utexas.edu/larrp</vt:lpwstr>
      </vt:variant>
      <vt:variant>
        <vt:lpwstr/>
      </vt:variant>
      <vt:variant>
        <vt:i4>2031739</vt:i4>
      </vt:variant>
      <vt:variant>
        <vt:i4>90</vt:i4>
      </vt:variant>
      <vt:variant>
        <vt:i4>0</vt:i4>
      </vt:variant>
      <vt:variant>
        <vt:i4>5</vt:i4>
      </vt:variant>
      <vt:variant>
        <vt:lpwstr>http://www.ohchr.org/Documents/AboutUs/CivilSociety/ReportHC/states/2_Cuba.pdf</vt:lpwstr>
      </vt:variant>
      <vt:variant>
        <vt:lpwstr/>
      </vt:variant>
      <vt:variant>
        <vt:i4>6160490</vt:i4>
      </vt:variant>
      <vt:variant>
        <vt:i4>87</vt:i4>
      </vt:variant>
      <vt:variant>
        <vt:i4>0</vt:i4>
      </vt:variant>
      <vt:variant>
        <vt:i4>5</vt:i4>
      </vt:variant>
      <vt:variant>
        <vt:lpwstr>http://tbinternet.ohchr.org/_layouts/treatybodyexternal/Download.aspx?symbolno=CED%2FC%2FCUB%2F1&amp;Lang=en</vt:lpwstr>
      </vt:variant>
      <vt:variant>
        <vt:lpwstr/>
      </vt:variant>
      <vt:variant>
        <vt:i4>3670033</vt:i4>
      </vt:variant>
      <vt:variant>
        <vt:i4>84</vt:i4>
      </vt:variant>
      <vt:variant>
        <vt:i4>0</vt:i4>
      </vt:variant>
      <vt:variant>
        <vt:i4>5</vt:i4>
      </vt:variant>
      <vt:variant>
        <vt:lpwstr>http://tbinternet.ohchr.org/Treaties/CED/Shared Documents/CUB/CED_C_CUB_Q_1_Add-1_26435_S.pdf Pag. 1</vt:lpwstr>
      </vt:variant>
      <vt:variant>
        <vt:lpwstr/>
      </vt:variant>
      <vt:variant>
        <vt:i4>2293865</vt:i4>
      </vt:variant>
      <vt:variant>
        <vt:i4>81</vt:i4>
      </vt:variant>
      <vt:variant>
        <vt:i4>0</vt:i4>
      </vt:variant>
      <vt:variant>
        <vt:i4>5</vt:i4>
      </vt:variant>
      <vt:variant>
        <vt:lpwstr>http://www.onbc.cu/uploads/media/page/0001/01/5cf875568387af55a6dee664f0fe15509246c0f7.pdf</vt:lpwstr>
      </vt:variant>
      <vt:variant>
        <vt:lpwstr/>
      </vt:variant>
      <vt:variant>
        <vt:i4>1507361</vt:i4>
      </vt:variant>
      <vt:variant>
        <vt:i4>78</vt:i4>
      </vt:variant>
      <vt:variant>
        <vt:i4>0</vt:i4>
      </vt:variant>
      <vt:variant>
        <vt:i4>5</vt:i4>
      </vt:variant>
      <vt:variant>
        <vt:lpwstr>http://tbinternet.ohchr.org/_layouts/treatybodyexternal/Download.aspx?symbolno=INT%2fCED%2fICO%2fCUB%2f26636&amp;Lang=en</vt:lpwstr>
      </vt:variant>
      <vt:variant>
        <vt:lpwstr/>
      </vt:variant>
      <vt:variant>
        <vt:i4>3473496</vt:i4>
      </vt:variant>
      <vt:variant>
        <vt:i4>75</vt:i4>
      </vt:variant>
      <vt:variant>
        <vt:i4>0</vt:i4>
      </vt:variant>
      <vt:variant>
        <vt:i4>5</vt:i4>
      </vt:variant>
      <vt:variant>
        <vt:lpwstr>http://tbinternet.ohchr.org/Treaties/CED/Shared Documents/CUB/INT_CED_CSS_CUB_26645_S.pdf</vt:lpwstr>
      </vt:variant>
      <vt:variant>
        <vt:lpwstr/>
      </vt:variant>
      <vt:variant>
        <vt:i4>3735671</vt:i4>
      </vt:variant>
      <vt:variant>
        <vt:i4>72</vt:i4>
      </vt:variant>
      <vt:variant>
        <vt:i4>0</vt:i4>
      </vt:variant>
      <vt:variant>
        <vt:i4>5</vt:i4>
      </vt:variant>
      <vt:variant>
        <vt:lpwstr>http://www.ohchr.org/SP/NewsEvents/Pages/DisplayNews.aspx?NewsID=21518&amp;LangID=S</vt:lpwstr>
      </vt:variant>
      <vt:variant>
        <vt:lpwstr/>
      </vt:variant>
      <vt:variant>
        <vt:i4>393236</vt:i4>
      </vt:variant>
      <vt:variant>
        <vt:i4>69</vt:i4>
      </vt:variant>
      <vt:variant>
        <vt:i4>0</vt:i4>
      </vt:variant>
      <vt:variant>
        <vt:i4>5</vt:i4>
      </vt:variant>
      <vt:variant>
        <vt:lpwstr>https://www.unodc.org/documents/.../2013_11_12_Cuba_Final_Country_Report.pdf</vt:lpwstr>
      </vt:variant>
      <vt:variant>
        <vt:lpwstr/>
      </vt:variant>
      <vt:variant>
        <vt:i4>5177403</vt:i4>
      </vt:variant>
      <vt:variant>
        <vt:i4>66</vt:i4>
      </vt:variant>
      <vt:variant>
        <vt:i4>0</vt:i4>
      </vt:variant>
      <vt:variant>
        <vt:i4>5</vt:i4>
      </vt:variant>
      <vt:variant>
        <vt:lpwstr>http://www.tsp.cu/sites/default/files/divulga_cendij/18JusticiaDerecho.pdf</vt:lpwstr>
      </vt:variant>
      <vt:variant>
        <vt:lpwstr/>
      </vt:variant>
      <vt:variant>
        <vt:i4>7536752</vt:i4>
      </vt:variant>
      <vt:variant>
        <vt:i4>60</vt:i4>
      </vt:variant>
      <vt:variant>
        <vt:i4>0</vt:i4>
      </vt:variant>
      <vt:variant>
        <vt:i4>5</vt:i4>
      </vt:variant>
      <vt:variant>
        <vt:lpwstr>http://www.oas.org/es/cidh/docs/anual/2016/docs/informeanual2016cap4b.cuba-es.docx</vt:lpwstr>
      </vt:variant>
      <vt:variant>
        <vt:lpwstr/>
      </vt:variant>
      <vt:variant>
        <vt:i4>6226009</vt:i4>
      </vt:variant>
      <vt:variant>
        <vt:i4>57</vt:i4>
      </vt:variant>
      <vt:variant>
        <vt:i4>0</vt:i4>
      </vt:variant>
      <vt:variant>
        <vt:i4>5</vt:i4>
      </vt:variant>
      <vt:variant>
        <vt:lpwstr>http://www.cidh.org/</vt:lpwstr>
      </vt:variant>
      <vt:variant>
        <vt:lpwstr/>
      </vt:variant>
      <vt:variant>
        <vt:i4>7340068</vt:i4>
      </vt:variant>
      <vt:variant>
        <vt:i4>54</vt:i4>
      </vt:variant>
      <vt:variant>
        <vt:i4>0</vt:i4>
      </vt:variant>
      <vt:variant>
        <vt:i4>5</vt:i4>
      </vt:variant>
      <vt:variant>
        <vt:lpwstr>http://catarina.udlap.mx/u_dl_a/tales/documentos/ledf/elizondo_c_e/capitulo4.pdf</vt:lpwstr>
      </vt:variant>
      <vt:variant>
        <vt:lpwstr/>
      </vt:variant>
      <vt:variant>
        <vt:i4>5767252</vt:i4>
      </vt:variant>
      <vt:variant>
        <vt:i4>51</vt:i4>
      </vt:variant>
      <vt:variant>
        <vt:i4>0</vt:i4>
      </vt:variant>
      <vt:variant>
        <vt:i4>5</vt:i4>
      </vt:variant>
      <vt:variant>
        <vt:lpwstr>http://www2.ohchr.org/english/bodies/cedaw/docs/co/CEDAW/C/CUB/CO/7-8.doc</vt:lpwstr>
      </vt:variant>
      <vt:variant>
        <vt:lpwstr/>
      </vt:variant>
      <vt:variant>
        <vt:i4>1900606</vt:i4>
      </vt:variant>
      <vt:variant>
        <vt:i4>48</vt:i4>
      </vt:variant>
      <vt:variant>
        <vt:i4>0</vt:i4>
      </vt:variant>
      <vt:variant>
        <vt:i4>5</vt:i4>
      </vt:variant>
      <vt:variant>
        <vt:lpwstr>http://www2.ohchr.org/english/bodies/crc/docs/co/CRC.C.CUB.CO.2_sp.doc</vt:lpwstr>
      </vt:variant>
      <vt:variant>
        <vt:lpwstr/>
      </vt:variant>
      <vt:variant>
        <vt:i4>393236</vt:i4>
      </vt:variant>
      <vt:variant>
        <vt:i4>45</vt:i4>
      </vt:variant>
      <vt:variant>
        <vt:i4>0</vt:i4>
      </vt:variant>
      <vt:variant>
        <vt:i4>5</vt:i4>
      </vt:variant>
      <vt:variant>
        <vt:lpwstr>https://www.unodc.org/documents/.../2013_11_12_Cuba_Final_Country_Report.pdf</vt:lpwstr>
      </vt:variant>
      <vt:variant>
        <vt:lpwstr/>
      </vt:variant>
      <vt:variant>
        <vt:i4>6553718</vt:i4>
      </vt:variant>
      <vt:variant>
        <vt:i4>42</vt:i4>
      </vt:variant>
      <vt:variant>
        <vt:i4>0</vt:i4>
      </vt:variant>
      <vt:variant>
        <vt:i4>5</vt:i4>
      </vt:variant>
      <vt:variant>
        <vt:lpwstr>http://tbinternet.ohchr.org/Treaties/CED/Shared Documents/CUB/CED_C_CUB_CO_1_26924_S.pdf</vt:lpwstr>
      </vt:variant>
      <vt:variant>
        <vt:lpwstr/>
      </vt:variant>
      <vt:variant>
        <vt:i4>5308542</vt:i4>
      </vt:variant>
      <vt:variant>
        <vt:i4>39</vt:i4>
      </vt:variant>
      <vt:variant>
        <vt:i4>0</vt:i4>
      </vt:variant>
      <vt:variant>
        <vt:i4>5</vt:i4>
      </vt:variant>
      <vt:variant>
        <vt:lpwstr>http://tbinternet.ohchr.org/_layouts/treatybodyexternal/Download.aspx?symbolno=CRC%2FC%2F15%2FAdd.72&amp;Lang=en</vt:lpwstr>
      </vt:variant>
      <vt:variant>
        <vt:lpwstr/>
      </vt:variant>
      <vt:variant>
        <vt:i4>2687078</vt:i4>
      </vt:variant>
      <vt:variant>
        <vt:i4>33</vt:i4>
      </vt:variant>
      <vt:variant>
        <vt:i4>0</vt:i4>
      </vt:variant>
      <vt:variant>
        <vt:i4>5</vt:i4>
      </vt:variant>
      <vt:variant>
        <vt:lpwstr>http://www.unal.edu.co/bioetica/documentos/2011/Maternidad.pdf</vt:lpwstr>
      </vt:variant>
      <vt:variant>
        <vt:lpwstr/>
      </vt:variant>
      <vt:variant>
        <vt:i4>6946854</vt:i4>
      </vt:variant>
      <vt:variant>
        <vt:i4>30</vt:i4>
      </vt:variant>
      <vt:variant>
        <vt:i4>0</vt:i4>
      </vt:variant>
      <vt:variant>
        <vt:i4>5</vt:i4>
      </vt:variant>
      <vt:variant>
        <vt:lpwstr>http://www.granma.cu/cuba/2017-08-24/a-las-aulas-el-proximo-septiembre</vt:lpwstr>
      </vt:variant>
      <vt:variant>
        <vt:lpwstr/>
      </vt:variant>
      <vt:variant>
        <vt:i4>7536702</vt:i4>
      </vt:variant>
      <vt:variant>
        <vt:i4>27</vt:i4>
      </vt:variant>
      <vt:variant>
        <vt:i4>0</vt:i4>
      </vt:variant>
      <vt:variant>
        <vt:i4>5</vt:i4>
      </vt:variant>
      <vt:variant>
        <vt:lpwstr>http://www.juventudrebelde.cu/opinion/2017-07-18/atrapados-en-una-rara-piramide-2/</vt:lpwstr>
      </vt:variant>
      <vt:variant>
        <vt:lpwstr/>
      </vt:variant>
      <vt:variant>
        <vt:i4>131194</vt:i4>
      </vt:variant>
      <vt:variant>
        <vt:i4>24</vt:i4>
      </vt:variant>
      <vt:variant>
        <vt:i4>0</vt:i4>
      </vt:variant>
      <vt:variant>
        <vt:i4>5</vt:i4>
      </vt:variant>
      <vt:variant>
        <vt:lpwstr>http://www.diariodecuba.com/cuba/1503664629_33513.html</vt:lpwstr>
      </vt:variant>
      <vt:variant>
        <vt:lpwstr/>
      </vt:variant>
      <vt:variant>
        <vt:i4>4653056</vt:i4>
      </vt:variant>
      <vt:variant>
        <vt:i4>21</vt:i4>
      </vt:variant>
      <vt:variant>
        <vt:i4>0</vt:i4>
      </vt:variant>
      <vt:variant>
        <vt:i4>5</vt:i4>
      </vt:variant>
      <vt:variant>
        <vt:lpwstr>http://www.juventudrebelde.cu/cuba/2017-01-21/retrato-deladolescente-</vt:lpwstr>
      </vt:variant>
      <vt:variant>
        <vt:lpwstr/>
      </vt:variant>
      <vt:variant>
        <vt:i4>29</vt:i4>
      </vt:variant>
      <vt:variant>
        <vt:i4>18</vt:i4>
      </vt:variant>
      <vt:variant>
        <vt:i4>0</vt:i4>
      </vt:variant>
      <vt:variant>
        <vt:i4>5</vt:i4>
      </vt:variant>
      <vt:variant>
        <vt:lpwstr>http://www.elnuevoherald.com/noticias/mundo/america-latina/cuba-es/article130034889.html</vt:lpwstr>
      </vt:variant>
      <vt:variant>
        <vt:lpwstr/>
      </vt:variant>
      <vt:variant>
        <vt:i4>2424881</vt:i4>
      </vt:variant>
      <vt:variant>
        <vt:i4>15</vt:i4>
      </vt:variant>
      <vt:variant>
        <vt:i4>0</vt:i4>
      </vt:variant>
      <vt:variant>
        <vt:i4>5</vt:i4>
      </vt:variant>
      <vt:variant>
        <vt:lpwstr>http://www.ipscuba.net/sociedad/la-adolescencia-de-cuba-requiere-mas-investigaciones-segun-panelistas/</vt:lpwstr>
      </vt:variant>
      <vt:variant>
        <vt:lpwstr/>
      </vt:variant>
      <vt:variant>
        <vt:i4>3538985</vt:i4>
      </vt:variant>
      <vt:variant>
        <vt:i4>12</vt:i4>
      </vt:variant>
      <vt:variant>
        <vt:i4>0</vt:i4>
      </vt:variant>
      <vt:variant>
        <vt:i4>5</vt:i4>
      </vt:variant>
      <vt:variant>
        <vt:lpwstr>http://www.cubadebate.cu/noticias/2014/04/16/cuba-en-numeros-lo-que-el-censo-nos-dejo/</vt:lpwstr>
      </vt:variant>
      <vt:variant>
        <vt:lpwstr>.Wbhv58iGNQI</vt:lpwstr>
      </vt:variant>
      <vt:variant>
        <vt:i4>1441888</vt:i4>
      </vt:variant>
      <vt:variant>
        <vt:i4>9</vt:i4>
      </vt:variant>
      <vt:variant>
        <vt:i4>0</vt:i4>
      </vt:variant>
      <vt:variant>
        <vt:i4>5</vt:i4>
      </vt:variant>
      <vt:variant>
        <vt:lpwstr>https://www.unicef.org/cuba/adolescence_31368.html</vt:lpwstr>
      </vt:variant>
      <vt:variant>
        <vt:lpwstr/>
      </vt:variant>
      <vt:variant>
        <vt:i4>6488184</vt:i4>
      </vt:variant>
      <vt:variant>
        <vt:i4>6</vt:i4>
      </vt:variant>
      <vt:variant>
        <vt:i4>0</vt:i4>
      </vt:variant>
      <vt:variant>
        <vt:i4>5</vt:i4>
      </vt:variant>
      <vt:variant>
        <vt:lpwstr>http://www.tsp.cu/</vt:lpwstr>
      </vt:variant>
      <vt:variant>
        <vt:lpwstr/>
      </vt:variant>
      <vt:variant>
        <vt:i4>7733310</vt:i4>
      </vt:variant>
      <vt:variant>
        <vt:i4>3</vt:i4>
      </vt:variant>
      <vt:variant>
        <vt:i4>0</vt:i4>
      </vt:variant>
      <vt:variant>
        <vt:i4>5</vt:i4>
      </vt:variant>
      <vt:variant>
        <vt:lpwstr>http://cpj.org/reports/CPJ.Ten.Most.Censored.5.2.12.pdf</vt:lpwstr>
      </vt:variant>
      <vt:variant>
        <vt:lpwstr/>
      </vt:variant>
      <vt:variant>
        <vt:i4>4128895</vt:i4>
      </vt:variant>
      <vt:variant>
        <vt:i4>0</vt:i4>
      </vt:variant>
      <vt:variant>
        <vt:i4>0</vt:i4>
      </vt:variant>
      <vt:variant>
        <vt:i4>5</vt:i4>
      </vt:variant>
      <vt:variant>
        <vt:lpwstr>http://www.ohchr.org/SP/NewsEvents/Pages/DisplayNews.aspx?NewsID=21893&amp;LangID=S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2018-03-29T20:57:00Z</cp:lastPrinted>
  <dcterms:created xsi:type="dcterms:W3CDTF">2018-05-29T09:38:00Z</dcterms:created>
  <dcterms:modified xsi:type="dcterms:W3CDTF">2018-05-29T09:38:00Z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