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C00682" w14:textId="0CC5D538" w:rsidR="00EA52C4" w:rsidRDefault="00EA52C4" w:rsidP="00EA52C4">
      <w:pPr>
        <w:widowControl w:val="0"/>
        <w:pBdr>
          <w:top w:val="nil"/>
          <w:left w:val="nil"/>
          <w:bottom w:val="nil"/>
          <w:right w:val="nil"/>
          <w:between w:val="nil"/>
        </w:pBdr>
        <w:spacing w:line="231" w:lineRule="auto"/>
        <w:ind w:right="4"/>
        <w:jc w:val="center"/>
        <w:rPr>
          <w:rFonts w:ascii="Times New Roman" w:eastAsia="Times New Roman" w:hAnsi="Times New Roman" w:cs="Times New Roman"/>
          <w:b/>
          <w:color w:val="000000"/>
          <w:sz w:val="19"/>
          <w:szCs w:val="19"/>
        </w:rPr>
      </w:pPr>
      <w:bookmarkStart w:id="0" w:name="_Hlk220564913"/>
      <w:bookmarkStart w:id="1" w:name="_Hlk130745385"/>
      <w:r>
        <w:rPr>
          <w:noProof/>
          <w:lang w:eastAsia="en-CA"/>
        </w:rPr>
        <w:drawing>
          <wp:inline distT="0" distB="0" distL="0" distR="0" wp14:anchorId="156C0A9E" wp14:editId="6CE007AB">
            <wp:extent cx="5181672" cy="905133"/>
            <wp:effectExtent l="0" t="0" r="0" b="0"/>
            <wp:docPr id="2" name="Picture 2" descr="Colour of Poverty – Colour of 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olour of Poverty – Colour of Chan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81941" cy="957584"/>
                    </a:xfrm>
                    <a:prstGeom prst="rect">
                      <a:avLst/>
                    </a:prstGeom>
                    <a:noFill/>
                    <a:ln>
                      <a:noFill/>
                    </a:ln>
                  </pic:spPr>
                </pic:pic>
              </a:graphicData>
            </a:graphic>
          </wp:inline>
        </w:drawing>
      </w:r>
      <w:r>
        <w:rPr>
          <w:rFonts w:ascii="Times New Roman" w:eastAsia="Times New Roman" w:hAnsi="Times New Roman" w:cs="Times New Roman"/>
          <w:b/>
          <w:color w:val="000000"/>
          <w:sz w:val="19"/>
          <w:szCs w:val="19"/>
        </w:rPr>
        <w:t xml:space="preserve">     </w:t>
      </w:r>
    </w:p>
    <w:p w14:paraId="30C6743B" w14:textId="77777777" w:rsidR="00EA52C4" w:rsidRDefault="00EA52C4" w:rsidP="00734E28">
      <w:pPr>
        <w:widowControl w:val="0"/>
        <w:pBdr>
          <w:top w:val="nil"/>
          <w:left w:val="nil"/>
          <w:bottom w:val="nil"/>
          <w:right w:val="nil"/>
          <w:between w:val="nil"/>
        </w:pBdr>
        <w:spacing w:line="480" w:lineRule="auto"/>
        <w:ind w:right="4"/>
        <w:jc w:val="center"/>
        <w:rPr>
          <w:rFonts w:ascii="Times New Roman" w:eastAsia="Times New Roman" w:hAnsi="Times New Roman" w:cs="Times New Roman"/>
          <w:b/>
          <w:color w:val="000000"/>
          <w:sz w:val="19"/>
          <w:szCs w:val="19"/>
        </w:rPr>
      </w:pPr>
      <w:r w:rsidRPr="009D4FB4">
        <w:rPr>
          <w:rFonts w:ascii="Times New Roman" w:eastAsia="Times New Roman" w:hAnsi="Times New Roman" w:cs="Times New Roman"/>
          <w:b/>
          <w:noProof/>
          <w:color w:val="000000"/>
          <w:sz w:val="19"/>
          <w:szCs w:val="19"/>
          <w:lang w:eastAsia="en-CA"/>
        </w:rPr>
        <w:drawing>
          <wp:inline distT="0" distB="0" distL="0" distR="0" wp14:anchorId="699314C5" wp14:editId="4A90A7E7">
            <wp:extent cx="1204784" cy="726735"/>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240489" cy="748273"/>
                    </a:xfrm>
                    <a:prstGeom prst="rect">
                      <a:avLst/>
                    </a:prstGeom>
                    <a:noFill/>
                    <a:ln>
                      <a:noFill/>
                    </a:ln>
                  </pic:spPr>
                </pic:pic>
              </a:graphicData>
            </a:graphic>
          </wp:inline>
        </w:drawing>
      </w:r>
      <w:r>
        <w:rPr>
          <w:rFonts w:ascii="Times New Roman" w:eastAsia="Times New Roman" w:hAnsi="Times New Roman" w:cs="Times New Roman"/>
          <w:b/>
          <w:color w:val="000000"/>
          <w:sz w:val="19"/>
          <w:szCs w:val="19"/>
        </w:rPr>
        <w:t xml:space="preserve">           </w:t>
      </w:r>
      <w:r>
        <w:rPr>
          <w:noProof/>
          <w:lang w:eastAsia="en-CA"/>
        </w:rPr>
        <w:drawing>
          <wp:inline distT="0" distB="0" distL="0" distR="0" wp14:anchorId="2A8616B2" wp14:editId="752172F8">
            <wp:extent cx="936072" cy="487457"/>
            <wp:effectExtent l="0" t="0" r="0" b="825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5925" t="23470" r="71306" b="55451"/>
                    <a:stretch/>
                  </pic:blipFill>
                  <pic:spPr bwMode="auto">
                    <a:xfrm>
                      <a:off x="0" y="0"/>
                      <a:ext cx="963954" cy="501976"/>
                    </a:xfrm>
                    <a:prstGeom prst="rect">
                      <a:avLst/>
                    </a:prstGeom>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color w:val="000000"/>
          <w:sz w:val="19"/>
          <w:szCs w:val="19"/>
        </w:rPr>
        <w:t xml:space="preserve">         </w:t>
      </w:r>
      <w:r>
        <w:rPr>
          <w:noProof/>
          <w:lang w:eastAsia="en-CA"/>
        </w:rPr>
        <w:drawing>
          <wp:inline distT="0" distB="0" distL="0" distR="0" wp14:anchorId="1F4478CD" wp14:editId="7F68A2F9">
            <wp:extent cx="1517465" cy="525162"/>
            <wp:effectExtent l="0" t="0" r="6985" b="8255"/>
            <wp:docPr id="8" name="Picture 8" descr="CSALC-Chinese and Southeast Asian Legal Clini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SALC-Chinese and Southeast Asian Legal Clinic"/>
                    <pic:cNvPicPr>
                      <a:picLocks noChangeAspect="1" noChangeArrowheads="1"/>
                    </pic:cNvPicPr>
                  </pic:nvPicPr>
                  <pic:blipFill rotWithShape="1">
                    <a:blip r:embed="rId11" cstate="print">
                      <a:extLst>
                        <a:ext uri="{28A0092B-C50C-407E-A947-70E740481C1C}">
                          <a14:useLocalDpi xmlns:a14="http://schemas.microsoft.com/office/drawing/2010/main" val="0"/>
                        </a:ext>
                      </a:extLst>
                    </a:blip>
                    <a:srcRect r="28219" b="37690"/>
                    <a:stretch/>
                  </pic:blipFill>
                  <pic:spPr bwMode="auto">
                    <a:xfrm>
                      <a:off x="0" y="0"/>
                      <a:ext cx="1648180" cy="570400"/>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cs="Times New Roman"/>
          <w:b/>
          <w:color w:val="000000"/>
          <w:sz w:val="19"/>
          <w:szCs w:val="19"/>
        </w:rPr>
        <w:t xml:space="preserve">            </w:t>
      </w:r>
      <w:r>
        <w:rPr>
          <w:b/>
          <w:noProof/>
          <w:color w:val="000000"/>
          <w:sz w:val="19"/>
          <w:szCs w:val="19"/>
          <w:lang w:eastAsia="en-CA"/>
        </w:rPr>
        <w:drawing>
          <wp:inline distT="0" distB="0" distL="0" distR="0" wp14:anchorId="0DEB4AAD" wp14:editId="169C86AC">
            <wp:extent cx="1130644" cy="632458"/>
            <wp:effectExtent l="0" t="0" r="0" b="0"/>
            <wp:docPr id="15" name="Picture 15" descr="C:\Users\s_konanur2\AppData\Local\Microsoft\Windows\INetCache\Content.MSO\1868E958.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Users\s_konanur2\AppData\Local\Microsoft\Windows\INetCache\Content.MSO\1868E958.tmp"/>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161087" cy="649487"/>
                    </a:xfrm>
                    <a:prstGeom prst="rect">
                      <a:avLst/>
                    </a:prstGeom>
                    <a:noFill/>
                    <a:ln>
                      <a:noFill/>
                    </a:ln>
                  </pic:spPr>
                </pic:pic>
              </a:graphicData>
            </a:graphic>
          </wp:inline>
        </w:drawing>
      </w:r>
      <w:r>
        <w:rPr>
          <w:rFonts w:ascii="Times New Roman" w:eastAsia="Times New Roman" w:hAnsi="Times New Roman" w:cs="Times New Roman"/>
          <w:b/>
          <w:color w:val="000000"/>
          <w:sz w:val="19"/>
          <w:szCs w:val="19"/>
        </w:rPr>
        <w:t xml:space="preserve">       </w:t>
      </w:r>
    </w:p>
    <w:p w14:paraId="4865CE74" w14:textId="77777777" w:rsidR="00EA52C4" w:rsidRDefault="00EA52C4" w:rsidP="00734E28">
      <w:pPr>
        <w:widowControl w:val="0"/>
        <w:pBdr>
          <w:top w:val="nil"/>
          <w:left w:val="nil"/>
          <w:bottom w:val="nil"/>
          <w:right w:val="nil"/>
          <w:between w:val="nil"/>
        </w:pBdr>
        <w:spacing w:line="480" w:lineRule="auto"/>
        <w:ind w:right="4"/>
        <w:jc w:val="center"/>
        <w:rPr>
          <w:rFonts w:ascii="Times New Roman" w:eastAsia="Times New Roman" w:hAnsi="Times New Roman" w:cs="Times New Roman"/>
          <w:b/>
          <w:color w:val="000000"/>
          <w:sz w:val="19"/>
          <w:szCs w:val="19"/>
        </w:rPr>
      </w:pPr>
      <w:r>
        <w:rPr>
          <w:rFonts w:ascii="Times New Roman" w:eastAsia="Times New Roman" w:hAnsi="Times New Roman" w:cs="Times New Roman"/>
          <w:b/>
          <w:color w:val="000000"/>
          <w:sz w:val="19"/>
          <w:szCs w:val="19"/>
        </w:rPr>
        <w:t xml:space="preserve"> </w:t>
      </w:r>
      <w:r>
        <w:rPr>
          <w:b/>
          <w:noProof/>
          <w:color w:val="000000"/>
          <w:sz w:val="19"/>
          <w:szCs w:val="19"/>
          <w:lang w:eastAsia="en-CA"/>
        </w:rPr>
        <w:drawing>
          <wp:inline distT="0" distB="0" distL="0" distR="0" wp14:anchorId="0DE73454" wp14:editId="79CF24B2">
            <wp:extent cx="1377779" cy="469009"/>
            <wp:effectExtent l="0" t="0" r="0" b="7620"/>
            <wp:docPr id="11" name="Picture 11" descr="C:\Users\s_konanur2\AppData\Local\Microsoft\Windows\INetCache\Content.MSO\F3AB0D4C.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Users\s_konanur2\AppData\Local\Microsoft\Windows\INetCache\Content.MSO\F3AB0D4C.tmp"/>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71644" cy="535002"/>
                    </a:xfrm>
                    <a:prstGeom prst="rect">
                      <a:avLst/>
                    </a:prstGeom>
                    <a:noFill/>
                    <a:ln>
                      <a:noFill/>
                    </a:ln>
                  </pic:spPr>
                </pic:pic>
              </a:graphicData>
            </a:graphic>
          </wp:inline>
        </w:drawing>
      </w:r>
      <w:r>
        <w:rPr>
          <w:rFonts w:ascii="Times New Roman" w:eastAsia="Times New Roman" w:hAnsi="Times New Roman" w:cs="Times New Roman"/>
          <w:b/>
          <w:color w:val="000000"/>
          <w:sz w:val="19"/>
          <w:szCs w:val="19"/>
        </w:rPr>
        <w:t xml:space="preserve">                                          </w:t>
      </w:r>
      <w:r w:rsidRPr="009D4FB4">
        <w:rPr>
          <w:rFonts w:ascii="Times New Roman" w:eastAsia="Times New Roman" w:hAnsi="Times New Roman" w:cs="Times New Roman"/>
          <w:b/>
          <w:noProof/>
          <w:color w:val="000000"/>
          <w:sz w:val="19"/>
          <w:szCs w:val="19"/>
          <w:lang w:eastAsia="en-CA"/>
        </w:rPr>
        <w:drawing>
          <wp:inline distT="0" distB="0" distL="0" distR="0" wp14:anchorId="1ABFCAFC" wp14:editId="4ADAE503">
            <wp:extent cx="1284807" cy="599303"/>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338237" cy="624226"/>
                    </a:xfrm>
                    <a:prstGeom prst="rect">
                      <a:avLst/>
                    </a:prstGeom>
                    <a:noFill/>
                    <a:ln>
                      <a:noFill/>
                    </a:ln>
                  </pic:spPr>
                </pic:pic>
              </a:graphicData>
            </a:graphic>
          </wp:inline>
        </w:drawing>
      </w:r>
    </w:p>
    <w:p w14:paraId="04AE1BE0" w14:textId="77777777" w:rsidR="00EA52C4" w:rsidRDefault="00EA52C4" w:rsidP="00EA52C4">
      <w:pPr>
        <w:widowControl w:val="0"/>
        <w:pBdr>
          <w:top w:val="nil"/>
          <w:left w:val="nil"/>
          <w:bottom w:val="nil"/>
          <w:right w:val="nil"/>
          <w:between w:val="nil"/>
        </w:pBdr>
        <w:spacing w:line="231" w:lineRule="auto"/>
        <w:ind w:right="4"/>
        <w:jc w:val="center"/>
        <w:rPr>
          <w:rFonts w:ascii="Times New Roman" w:eastAsia="Times New Roman" w:hAnsi="Times New Roman" w:cs="Times New Roman"/>
          <w:b/>
          <w:color w:val="000000"/>
          <w:sz w:val="19"/>
          <w:szCs w:val="19"/>
        </w:rPr>
      </w:pPr>
    </w:p>
    <w:p w14:paraId="2D591DB5" w14:textId="77777777" w:rsidR="00EA52C4" w:rsidRPr="00BC3DA3" w:rsidRDefault="00EA52C4" w:rsidP="00EA52C4">
      <w:pPr>
        <w:widowControl w:val="0"/>
        <w:pBdr>
          <w:top w:val="nil"/>
          <w:left w:val="nil"/>
          <w:bottom w:val="nil"/>
          <w:right w:val="nil"/>
          <w:between w:val="nil"/>
        </w:pBdr>
        <w:spacing w:line="231" w:lineRule="auto"/>
        <w:ind w:right="4"/>
        <w:jc w:val="center"/>
        <w:rPr>
          <w:rFonts w:ascii="Arial" w:eastAsia="Times New Roman" w:hAnsi="Arial" w:cs="Arial"/>
          <w:bCs/>
          <w:color w:val="000000"/>
        </w:rPr>
      </w:pPr>
    </w:p>
    <w:p w14:paraId="26700AC9" w14:textId="387B6B14" w:rsidR="00EA52C4" w:rsidRPr="00BC3DA3" w:rsidRDefault="00EA52C4" w:rsidP="00EA52C4">
      <w:pPr>
        <w:widowControl w:val="0"/>
        <w:pBdr>
          <w:top w:val="nil"/>
          <w:left w:val="nil"/>
          <w:bottom w:val="nil"/>
          <w:right w:val="nil"/>
          <w:between w:val="nil"/>
        </w:pBdr>
        <w:spacing w:line="231" w:lineRule="auto"/>
        <w:ind w:right="4"/>
        <w:jc w:val="center"/>
        <w:rPr>
          <w:rFonts w:ascii="Arial" w:eastAsia="Times New Roman" w:hAnsi="Arial" w:cs="Arial"/>
          <w:b/>
          <w:color w:val="000000"/>
        </w:rPr>
      </w:pPr>
      <w:r w:rsidRPr="00BC3DA3">
        <w:rPr>
          <w:rFonts w:ascii="Arial" w:eastAsia="Times New Roman" w:hAnsi="Arial" w:cs="Arial"/>
          <w:b/>
          <w:color w:val="000000"/>
        </w:rPr>
        <w:t xml:space="preserve">TO THE UN HUMAN RIGHTS </w:t>
      </w:r>
      <w:r w:rsidR="00734E28">
        <w:rPr>
          <w:rFonts w:ascii="Arial" w:eastAsia="Times New Roman" w:hAnsi="Arial" w:cs="Arial"/>
          <w:b/>
          <w:color w:val="000000"/>
        </w:rPr>
        <w:t>COMMITTEE</w:t>
      </w:r>
      <w:r w:rsidRPr="00BC3DA3">
        <w:rPr>
          <w:rFonts w:ascii="Arial" w:eastAsia="Times New Roman" w:hAnsi="Arial" w:cs="Arial"/>
          <w:b/>
          <w:color w:val="000000"/>
        </w:rPr>
        <w:t xml:space="preserve"> </w:t>
      </w:r>
    </w:p>
    <w:p w14:paraId="6E3106A5" w14:textId="77777777" w:rsidR="00EA52C4" w:rsidRDefault="00EA52C4" w:rsidP="00EA52C4">
      <w:pPr>
        <w:jc w:val="center"/>
        <w:rPr>
          <w:rFonts w:ascii="Arial" w:hAnsi="Arial" w:cs="Arial"/>
          <w:b/>
          <w:u w:val="single"/>
        </w:rPr>
      </w:pPr>
    </w:p>
    <w:p w14:paraId="42CB6304" w14:textId="77777777" w:rsidR="00BC3DA3" w:rsidRPr="00BC3DA3" w:rsidRDefault="00BC3DA3" w:rsidP="00EA52C4">
      <w:pPr>
        <w:jc w:val="center"/>
        <w:rPr>
          <w:rFonts w:ascii="Arial" w:hAnsi="Arial" w:cs="Arial"/>
          <w:b/>
          <w:u w:val="single"/>
        </w:rPr>
      </w:pPr>
    </w:p>
    <w:p w14:paraId="49A72171" w14:textId="77777777" w:rsidR="00BC3DA3" w:rsidRPr="00BC3DA3" w:rsidRDefault="00BC3DA3" w:rsidP="00EA52C4">
      <w:pPr>
        <w:widowControl w:val="0"/>
        <w:pBdr>
          <w:top w:val="nil"/>
          <w:left w:val="nil"/>
          <w:bottom w:val="nil"/>
          <w:right w:val="nil"/>
          <w:between w:val="nil"/>
        </w:pBdr>
        <w:spacing w:line="231" w:lineRule="auto"/>
        <w:ind w:right="4"/>
        <w:jc w:val="center"/>
        <w:rPr>
          <w:rFonts w:ascii="Arial" w:hAnsi="Arial" w:cs="Arial"/>
          <w:b/>
        </w:rPr>
      </w:pPr>
      <w:r w:rsidRPr="00BC3DA3">
        <w:rPr>
          <w:rFonts w:ascii="Arial" w:hAnsi="Arial" w:cs="Arial"/>
          <w:b/>
        </w:rPr>
        <w:t xml:space="preserve">INTERNATIONAL COVENANT ON CIVIL AND POLITICAL RIGHTS: </w:t>
      </w:r>
    </w:p>
    <w:p w14:paraId="5793CCB8" w14:textId="4A5568ED" w:rsidR="00BC3DA3" w:rsidRPr="00BC3DA3" w:rsidRDefault="00BC3DA3" w:rsidP="00EA52C4">
      <w:pPr>
        <w:widowControl w:val="0"/>
        <w:pBdr>
          <w:top w:val="nil"/>
          <w:left w:val="nil"/>
          <w:bottom w:val="nil"/>
          <w:right w:val="nil"/>
          <w:between w:val="nil"/>
        </w:pBdr>
        <w:spacing w:line="231" w:lineRule="auto"/>
        <w:ind w:right="4"/>
        <w:jc w:val="center"/>
        <w:rPr>
          <w:rFonts w:ascii="Arial" w:hAnsi="Arial" w:cs="Arial"/>
          <w:b/>
        </w:rPr>
      </w:pPr>
      <w:r w:rsidRPr="00BC3DA3">
        <w:rPr>
          <w:rFonts w:ascii="Arial" w:hAnsi="Arial" w:cs="Arial"/>
          <w:b/>
        </w:rPr>
        <w:t>CANADA PERIODIC REVIEW</w:t>
      </w:r>
    </w:p>
    <w:p w14:paraId="66082314" w14:textId="77777777" w:rsidR="00BC3DA3" w:rsidRPr="00BC3DA3" w:rsidRDefault="00BC3DA3" w:rsidP="00EA52C4">
      <w:pPr>
        <w:widowControl w:val="0"/>
        <w:pBdr>
          <w:top w:val="nil"/>
          <w:left w:val="nil"/>
          <w:bottom w:val="nil"/>
          <w:right w:val="nil"/>
          <w:between w:val="nil"/>
        </w:pBdr>
        <w:spacing w:line="231" w:lineRule="auto"/>
        <w:ind w:right="4"/>
        <w:jc w:val="center"/>
        <w:rPr>
          <w:rFonts w:ascii="Arial" w:eastAsia="Times New Roman" w:hAnsi="Arial" w:cs="Arial"/>
          <w:b/>
          <w:color w:val="000000"/>
        </w:rPr>
      </w:pPr>
    </w:p>
    <w:p w14:paraId="500B6E06" w14:textId="51E89BE8" w:rsidR="00EA52C4" w:rsidRPr="00BC3DA3" w:rsidRDefault="00EA52C4" w:rsidP="00EA52C4">
      <w:pPr>
        <w:widowControl w:val="0"/>
        <w:pBdr>
          <w:top w:val="nil"/>
          <w:left w:val="nil"/>
          <w:bottom w:val="nil"/>
          <w:right w:val="nil"/>
          <w:between w:val="nil"/>
        </w:pBdr>
        <w:spacing w:before="232"/>
        <w:jc w:val="center"/>
        <w:rPr>
          <w:rFonts w:ascii="Arial" w:eastAsia="Times New Roman" w:hAnsi="Arial" w:cs="Arial"/>
          <w:b/>
          <w:color w:val="000000"/>
        </w:rPr>
      </w:pPr>
      <w:r w:rsidRPr="00BC3DA3">
        <w:rPr>
          <w:rFonts w:ascii="Arial" w:eastAsia="Times New Roman" w:hAnsi="Arial" w:cs="Arial"/>
          <w:b/>
          <w:color w:val="000000"/>
        </w:rPr>
        <w:t>JOINT SUBMISSION</w:t>
      </w:r>
      <w:r w:rsidR="00BC3DA3" w:rsidRPr="00BC3DA3">
        <w:rPr>
          <w:rFonts w:ascii="Arial" w:eastAsia="Times New Roman" w:hAnsi="Arial" w:cs="Arial"/>
          <w:b/>
          <w:color w:val="000000"/>
        </w:rPr>
        <w:t>: FEBRUARY</w:t>
      </w:r>
      <w:r w:rsidR="003464CF">
        <w:rPr>
          <w:rFonts w:ascii="Arial" w:eastAsia="Times New Roman" w:hAnsi="Arial" w:cs="Arial"/>
          <w:b/>
          <w:color w:val="000000"/>
        </w:rPr>
        <w:t xml:space="preserve"> 2,</w:t>
      </w:r>
      <w:r w:rsidR="00BC3DA3" w:rsidRPr="00BC3DA3">
        <w:rPr>
          <w:rFonts w:ascii="Arial" w:eastAsia="Times New Roman" w:hAnsi="Arial" w:cs="Arial"/>
          <w:b/>
          <w:color w:val="000000"/>
        </w:rPr>
        <w:t xml:space="preserve"> 2026</w:t>
      </w:r>
    </w:p>
    <w:p w14:paraId="6188CE25" w14:textId="77777777" w:rsidR="00EA52C4" w:rsidRPr="00BC3DA3" w:rsidRDefault="00EA52C4" w:rsidP="00734E28">
      <w:pPr>
        <w:widowControl w:val="0"/>
        <w:pBdr>
          <w:top w:val="nil"/>
          <w:left w:val="nil"/>
          <w:bottom w:val="nil"/>
          <w:right w:val="nil"/>
          <w:between w:val="nil"/>
        </w:pBdr>
        <w:spacing w:before="228" w:line="360" w:lineRule="auto"/>
        <w:jc w:val="center"/>
        <w:rPr>
          <w:rFonts w:ascii="Arial" w:eastAsia="Times New Roman" w:hAnsi="Arial" w:cs="Arial"/>
          <w:b/>
          <w:color w:val="000000"/>
        </w:rPr>
      </w:pPr>
      <w:r w:rsidRPr="00BC3DA3">
        <w:rPr>
          <w:rFonts w:ascii="Arial" w:eastAsia="Times New Roman" w:hAnsi="Arial" w:cs="Arial"/>
          <w:b/>
          <w:color w:val="000000"/>
        </w:rPr>
        <w:t>By</w:t>
      </w:r>
    </w:p>
    <w:p w14:paraId="585945D8" w14:textId="77777777" w:rsidR="00EA52C4" w:rsidRPr="00BC3DA3" w:rsidRDefault="00EA52C4" w:rsidP="00734E28">
      <w:pPr>
        <w:widowControl w:val="0"/>
        <w:pBdr>
          <w:top w:val="nil"/>
          <w:left w:val="nil"/>
          <w:bottom w:val="nil"/>
          <w:right w:val="nil"/>
          <w:between w:val="nil"/>
        </w:pBdr>
        <w:spacing w:line="360" w:lineRule="auto"/>
        <w:jc w:val="center"/>
        <w:rPr>
          <w:rFonts w:ascii="Arial" w:eastAsia="Times New Roman" w:hAnsi="Arial" w:cs="Arial"/>
          <w:b/>
          <w:color w:val="000000"/>
        </w:rPr>
      </w:pPr>
      <w:r w:rsidRPr="00BC3DA3">
        <w:rPr>
          <w:rFonts w:ascii="Arial" w:eastAsia="Times New Roman" w:hAnsi="Arial" w:cs="Arial"/>
          <w:b/>
          <w:color w:val="000000"/>
        </w:rPr>
        <w:t>COLOUR OF POVERTY - COLOUR OF CHANGE (COP-COC)</w:t>
      </w:r>
    </w:p>
    <w:p w14:paraId="742892FC" w14:textId="77777777" w:rsidR="00EA52C4" w:rsidRPr="00BC3DA3" w:rsidRDefault="00EA52C4" w:rsidP="00734E28">
      <w:pPr>
        <w:widowControl w:val="0"/>
        <w:pBdr>
          <w:top w:val="nil"/>
          <w:left w:val="nil"/>
          <w:bottom w:val="nil"/>
          <w:right w:val="nil"/>
          <w:between w:val="nil"/>
        </w:pBdr>
        <w:spacing w:line="360" w:lineRule="auto"/>
        <w:jc w:val="center"/>
        <w:rPr>
          <w:rFonts w:ascii="Arial" w:eastAsia="Times New Roman" w:hAnsi="Arial" w:cs="Arial"/>
          <w:b/>
          <w:color w:val="000000"/>
        </w:rPr>
      </w:pPr>
      <w:r w:rsidRPr="00BC3DA3">
        <w:rPr>
          <w:rFonts w:ascii="Arial" w:eastAsia="Times New Roman" w:hAnsi="Arial" w:cs="Arial"/>
          <w:b/>
          <w:color w:val="000000"/>
        </w:rPr>
        <w:t>BLACK LEGAL ACTION CENTRE (BLAC)</w:t>
      </w:r>
    </w:p>
    <w:p w14:paraId="539BD0BF" w14:textId="77777777" w:rsidR="00EA52C4" w:rsidRPr="00BC3DA3" w:rsidRDefault="00EA52C4" w:rsidP="00734E28">
      <w:pPr>
        <w:widowControl w:val="0"/>
        <w:pBdr>
          <w:top w:val="nil"/>
          <w:left w:val="nil"/>
          <w:bottom w:val="nil"/>
          <w:right w:val="nil"/>
          <w:between w:val="nil"/>
        </w:pBdr>
        <w:spacing w:line="360" w:lineRule="auto"/>
        <w:jc w:val="center"/>
        <w:rPr>
          <w:rFonts w:ascii="Arial" w:eastAsia="Times New Roman" w:hAnsi="Arial" w:cs="Arial"/>
          <w:b/>
          <w:color w:val="000000"/>
        </w:rPr>
      </w:pPr>
      <w:r w:rsidRPr="00BC3DA3">
        <w:rPr>
          <w:rFonts w:ascii="Arial" w:eastAsia="Times New Roman" w:hAnsi="Arial" w:cs="Arial"/>
          <w:b/>
          <w:color w:val="000000"/>
        </w:rPr>
        <w:t>CHINESE CANADIAN NATIONAL COUNCIL FOR SOCIAL JUSTICE (CCNC-SJ)</w:t>
      </w:r>
    </w:p>
    <w:p w14:paraId="1BA40B54" w14:textId="77777777" w:rsidR="00EA52C4" w:rsidRPr="00BC3DA3" w:rsidRDefault="00EA52C4" w:rsidP="00734E28">
      <w:pPr>
        <w:widowControl w:val="0"/>
        <w:pBdr>
          <w:top w:val="nil"/>
          <w:left w:val="nil"/>
          <w:bottom w:val="nil"/>
          <w:right w:val="nil"/>
          <w:between w:val="nil"/>
        </w:pBdr>
        <w:spacing w:line="360" w:lineRule="auto"/>
        <w:jc w:val="center"/>
        <w:rPr>
          <w:rFonts w:ascii="Arial" w:eastAsia="Times New Roman" w:hAnsi="Arial" w:cs="Arial"/>
          <w:b/>
          <w:color w:val="000000"/>
        </w:rPr>
      </w:pPr>
      <w:r w:rsidRPr="00BC3DA3">
        <w:rPr>
          <w:rFonts w:ascii="Arial" w:eastAsia="Times New Roman" w:hAnsi="Arial" w:cs="Arial"/>
          <w:b/>
          <w:color w:val="000000"/>
        </w:rPr>
        <w:t>CHINESE &amp; SOUTHEAST ASIAN LEGAL CLINIC (CSALC)</w:t>
      </w:r>
    </w:p>
    <w:p w14:paraId="3869325A" w14:textId="77777777" w:rsidR="00EA52C4" w:rsidRPr="00BC3DA3" w:rsidRDefault="00EA52C4" w:rsidP="00734E28">
      <w:pPr>
        <w:widowControl w:val="0"/>
        <w:pBdr>
          <w:top w:val="nil"/>
          <w:left w:val="nil"/>
          <w:bottom w:val="nil"/>
          <w:right w:val="nil"/>
          <w:between w:val="nil"/>
        </w:pBdr>
        <w:spacing w:line="360" w:lineRule="auto"/>
        <w:ind w:right="4"/>
        <w:jc w:val="center"/>
        <w:rPr>
          <w:rFonts w:ascii="Arial" w:eastAsia="Times New Roman" w:hAnsi="Arial" w:cs="Arial"/>
          <w:b/>
          <w:color w:val="000000"/>
        </w:rPr>
      </w:pPr>
      <w:r w:rsidRPr="00BC3DA3">
        <w:rPr>
          <w:rFonts w:ascii="Arial" w:eastAsia="Times New Roman" w:hAnsi="Arial" w:cs="Arial"/>
          <w:b/>
          <w:color w:val="000000"/>
        </w:rPr>
        <w:t xml:space="preserve">            ONTARIO COUNCIL OF AGENCIES SERVING IMMIGRANTS (OCASI)</w:t>
      </w:r>
    </w:p>
    <w:p w14:paraId="36BD7F7C" w14:textId="77777777" w:rsidR="00EA52C4" w:rsidRPr="00BC3DA3" w:rsidRDefault="00EA52C4" w:rsidP="00734E28">
      <w:pPr>
        <w:widowControl w:val="0"/>
        <w:pBdr>
          <w:top w:val="nil"/>
          <w:left w:val="nil"/>
          <w:bottom w:val="nil"/>
          <w:right w:val="nil"/>
          <w:between w:val="nil"/>
        </w:pBdr>
        <w:spacing w:line="360" w:lineRule="auto"/>
        <w:ind w:right="4"/>
        <w:jc w:val="center"/>
        <w:rPr>
          <w:rFonts w:ascii="Arial" w:eastAsia="Times New Roman" w:hAnsi="Arial" w:cs="Arial"/>
          <w:b/>
          <w:color w:val="000000"/>
        </w:rPr>
      </w:pPr>
      <w:r w:rsidRPr="00BC3DA3">
        <w:rPr>
          <w:rFonts w:ascii="Arial" w:eastAsia="Times New Roman" w:hAnsi="Arial" w:cs="Arial"/>
          <w:b/>
          <w:color w:val="000000"/>
        </w:rPr>
        <w:t>SOUTH ASIAN LEGAL CLINIC OF ONTARIO (SALCO)</w:t>
      </w:r>
    </w:p>
    <w:p w14:paraId="1ED09B41" w14:textId="77777777" w:rsidR="00EA52C4" w:rsidRPr="00BC3DA3" w:rsidRDefault="00EA52C4" w:rsidP="00EA52C4">
      <w:pPr>
        <w:rPr>
          <w:rFonts w:ascii="Arial" w:hAnsi="Arial" w:cs="Arial"/>
          <w:b/>
          <w:bCs/>
        </w:rPr>
      </w:pPr>
    </w:p>
    <w:p w14:paraId="43E0D2F9" w14:textId="77777777" w:rsidR="00EA52C4" w:rsidRPr="00BC3DA3" w:rsidRDefault="00EA52C4" w:rsidP="00EA52C4">
      <w:pPr>
        <w:pStyle w:val="NoSpacing"/>
        <w:jc w:val="center"/>
        <w:rPr>
          <w:rFonts w:ascii="Arial" w:hAnsi="Arial" w:cs="Arial"/>
          <w:sz w:val="24"/>
          <w:szCs w:val="24"/>
        </w:rPr>
      </w:pPr>
    </w:p>
    <w:p w14:paraId="230A6370" w14:textId="77777777" w:rsidR="00EA52C4" w:rsidRPr="00BC3DA3" w:rsidRDefault="00EA52C4" w:rsidP="00EA52C4">
      <w:pPr>
        <w:pStyle w:val="NoSpacing"/>
        <w:jc w:val="center"/>
        <w:rPr>
          <w:rFonts w:ascii="Arial" w:hAnsi="Arial" w:cs="Arial"/>
          <w:sz w:val="24"/>
          <w:szCs w:val="24"/>
        </w:rPr>
      </w:pPr>
    </w:p>
    <w:p w14:paraId="60959661" w14:textId="77777777" w:rsidR="00EA52C4" w:rsidRPr="00BC3DA3" w:rsidRDefault="00EA52C4" w:rsidP="00EA52C4">
      <w:pPr>
        <w:pStyle w:val="NoSpacing"/>
        <w:jc w:val="center"/>
        <w:rPr>
          <w:rFonts w:ascii="Arial" w:hAnsi="Arial" w:cs="Arial"/>
          <w:sz w:val="24"/>
          <w:szCs w:val="24"/>
        </w:rPr>
      </w:pPr>
      <w:r w:rsidRPr="00BC3DA3">
        <w:rPr>
          <w:rFonts w:ascii="Arial" w:hAnsi="Arial" w:cs="Arial"/>
          <w:b/>
          <w:sz w:val="24"/>
          <w:szCs w:val="24"/>
        </w:rPr>
        <w:t>Submitting Organization:</w:t>
      </w:r>
      <w:r w:rsidRPr="00BC3DA3">
        <w:rPr>
          <w:rFonts w:ascii="Arial" w:hAnsi="Arial" w:cs="Arial"/>
          <w:sz w:val="24"/>
          <w:szCs w:val="24"/>
        </w:rPr>
        <w:t xml:space="preserve"> South Asian Legal Clinic of Ontario - 106A – 45 Sheppard Avenue East, Toronto, ON, M2N 5W9, </w:t>
      </w:r>
      <w:hyperlink r:id="rId15" w:history="1">
        <w:r w:rsidRPr="00BC3DA3">
          <w:rPr>
            <w:rStyle w:val="Hyperlink"/>
            <w:rFonts w:ascii="Arial" w:hAnsi="Arial" w:cs="Arial"/>
            <w:sz w:val="24"/>
            <w:szCs w:val="24"/>
          </w:rPr>
          <w:t>www.salc.on.ca</w:t>
        </w:r>
      </w:hyperlink>
      <w:r w:rsidRPr="00BC3DA3">
        <w:rPr>
          <w:rFonts w:ascii="Arial" w:hAnsi="Arial" w:cs="Arial"/>
          <w:sz w:val="24"/>
          <w:szCs w:val="24"/>
        </w:rPr>
        <w:t xml:space="preserve"> </w:t>
      </w:r>
    </w:p>
    <w:p w14:paraId="65B6E725" w14:textId="77777777" w:rsidR="00EA52C4" w:rsidRPr="00BC3DA3" w:rsidRDefault="00EA52C4" w:rsidP="00EA52C4">
      <w:pPr>
        <w:pStyle w:val="NoSpacing"/>
        <w:jc w:val="center"/>
        <w:rPr>
          <w:rFonts w:ascii="Arial" w:hAnsi="Arial" w:cs="Arial"/>
          <w:sz w:val="24"/>
          <w:szCs w:val="24"/>
        </w:rPr>
      </w:pPr>
      <w:r w:rsidRPr="00BC3DA3">
        <w:rPr>
          <w:rFonts w:ascii="Arial" w:hAnsi="Arial" w:cs="Arial"/>
          <w:sz w:val="24"/>
          <w:szCs w:val="24"/>
        </w:rPr>
        <w:t xml:space="preserve">Ph 416-487-6371 ● Fax 416-487-6456 ● Email: </w:t>
      </w:r>
      <w:hyperlink r:id="rId16" w:history="1">
        <w:r w:rsidRPr="00BC3DA3">
          <w:rPr>
            <w:rStyle w:val="Hyperlink"/>
            <w:rFonts w:ascii="Arial" w:hAnsi="Arial" w:cs="Arial"/>
            <w:sz w:val="24"/>
            <w:szCs w:val="24"/>
          </w:rPr>
          <w:t>shalini.konanur@salco.clcj.ca</w:t>
        </w:r>
      </w:hyperlink>
    </w:p>
    <w:p w14:paraId="34CE6377" w14:textId="77777777" w:rsidR="00EA52C4" w:rsidRPr="00BC3DA3" w:rsidRDefault="00EA52C4" w:rsidP="00EA52C4">
      <w:pPr>
        <w:pStyle w:val="NoSpacing"/>
        <w:jc w:val="center"/>
        <w:rPr>
          <w:rFonts w:ascii="Arial" w:hAnsi="Arial" w:cs="Arial"/>
          <w:bCs/>
          <w:color w:val="C00000"/>
          <w:sz w:val="24"/>
          <w:szCs w:val="24"/>
        </w:rPr>
      </w:pPr>
    </w:p>
    <w:p w14:paraId="6CCA8AB8" w14:textId="77777777" w:rsidR="00EA52C4" w:rsidRPr="00BC3DA3" w:rsidRDefault="00EA52C4" w:rsidP="00EA52C4">
      <w:pPr>
        <w:pStyle w:val="NoSpacing"/>
        <w:jc w:val="center"/>
        <w:rPr>
          <w:rFonts w:ascii="Arial" w:hAnsi="Arial" w:cs="Arial"/>
          <w:sz w:val="24"/>
          <w:szCs w:val="24"/>
        </w:rPr>
      </w:pPr>
      <w:r w:rsidRPr="00BC3DA3">
        <w:rPr>
          <w:rFonts w:ascii="Arial" w:hAnsi="Arial" w:cs="Arial"/>
          <w:bCs/>
          <w:color w:val="C00000"/>
          <w:sz w:val="24"/>
          <w:szCs w:val="24"/>
        </w:rPr>
        <w:t>Webpage</w:t>
      </w:r>
      <w:r w:rsidRPr="00BC3DA3">
        <w:rPr>
          <w:rFonts w:ascii="Arial" w:hAnsi="Arial" w:cs="Arial"/>
          <w:b/>
          <w:color w:val="C00000"/>
          <w:sz w:val="24"/>
          <w:szCs w:val="24"/>
        </w:rPr>
        <w:t xml:space="preserve">: </w:t>
      </w:r>
      <w:r w:rsidRPr="00BC3DA3">
        <w:rPr>
          <w:rFonts w:ascii="Arial" w:hAnsi="Arial" w:cs="Arial"/>
          <w:color w:val="0000FF"/>
          <w:sz w:val="24"/>
          <w:szCs w:val="24"/>
          <w:u w:val="single"/>
        </w:rPr>
        <w:t>www.colourofpoverty.ca</w:t>
      </w:r>
    </w:p>
    <w:p w14:paraId="3138A16B" w14:textId="77777777" w:rsidR="00EA52C4" w:rsidRPr="00BC3DA3" w:rsidRDefault="00EA52C4" w:rsidP="00EA52C4">
      <w:pPr>
        <w:pStyle w:val="NoSpacing"/>
        <w:jc w:val="center"/>
        <w:rPr>
          <w:rFonts w:ascii="Arial" w:hAnsi="Arial" w:cs="Arial"/>
          <w:sz w:val="24"/>
          <w:szCs w:val="24"/>
        </w:rPr>
      </w:pPr>
      <w:r w:rsidRPr="00BC3DA3">
        <w:rPr>
          <w:rFonts w:ascii="Arial" w:hAnsi="Arial" w:cs="Arial"/>
          <w:bCs/>
          <w:color w:val="C00000"/>
          <w:sz w:val="24"/>
          <w:szCs w:val="24"/>
        </w:rPr>
        <w:t>Facebook</w:t>
      </w:r>
      <w:r w:rsidRPr="00BC3DA3">
        <w:rPr>
          <w:rFonts w:ascii="Arial" w:hAnsi="Arial" w:cs="Arial"/>
          <w:b/>
          <w:color w:val="C00000"/>
          <w:sz w:val="24"/>
          <w:szCs w:val="24"/>
        </w:rPr>
        <w:t xml:space="preserve">: </w:t>
      </w:r>
      <w:r w:rsidRPr="00BC3DA3">
        <w:rPr>
          <w:rFonts w:ascii="Arial" w:hAnsi="Arial" w:cs="Arial"/>
          <w:sz w:val="24"/>
          <w:szCs w:val="24"/>
        </w:rPr>
        <w:t xml:space="preserve">colourofpoverty.colourofchange  </w:t>
      </w:r>
      <w:r w:rsidRPr="00BC3DA3">
        <w:rPr>
          <w:rFonts w:ascii="Arial" w:hAnsi="Arial" w:cs="Arial"/>
          <w:bCs/>
          <w:color w:val="C00000"/>
          <w:sz w:val="24"/>
          <w:szCs w:val="24"/>
        </w:rPr>
        <w:t>Twitter</w:t>
      </w:r>
      <w:r w:rsidRPr="00BC3DA3">
        <w:rPr>
          <w:rFonts w:ascii="Arial" w:hAnsi="Arial" w:cs="Arial"/>
          <w:b/>
          <w:color w:val="C00000"/>
          <w:sz w:val="24"/>
          <w:szCs w:val="24"/>
        </w:rPr>
        <w:t xml:space="preserve">: </w:t>
      </w:r>
      <w:r w:rsidRPr="00BC3DA3">
        <w:rPr>
          <w:rFonts w:ascii="Arial" w:hAnsi="Arial" w:cs="Arial"/>
          <w:sz w:val="24"/>
          <w:szCs w:val="24"/>
        </w:rPr>
        <w:t>@colourofpoverty</w:t>
      </w:r>
    </w:p>
    <w:p w14:paraId="649540FD" w14:textId="77777777" w:rsidR="00EA52C4" w:rsidRPr="00BC3DA3" w:rsidRDefault="00EA52C4" w:rsidP="00EA52C4">
      <w:pPr>
        <w:widowControl w:val="0"/>
        <w:pBdr>
          <w:top w:val="nil"/>
          <w:left w:val="nil"/>
          <w:bottom w:val="nil"/>
          <w:right w:val="nil"/>
          <w:between w:val="nil"/>
        </w:pBdr>
        <w:spacing w:before="230"/>
        <w:jc w:val="center"/>
        <w:rPr>
          <w:rFonts w:ascii="Arial" w:hAnsi="Arial" w:cs="Arial"/>
          <w:b/>
          <w:bCs/>
          <w:i/>
          <w:color w:val="C00000"/>
        </w:rPr>
      </w:pPr>
      <w:r w:rsidRPr="00BC3DA3">
        <w:rPr>
          <w:rFonts w:ascii="Arial" w:hAnsi="Arial" w:cs="Arial"/>
          <w:b/>
          <w:bCs/>
          <w:i/>
          <w:color w:val="C00000"/>
        </w:rPr>
        <w:t>Racial equity, human dignity, social justice</w:t>
      </w:r>
    </w:p>
    <w:p w14:paraId="5D1AD659" w14:textId="77777777" w:rsidR="00734E28" w:rsidRPr="00734E28" w:rsidRDefault="00734E28" w:rsidP="00734E28">
      <w:pPr>
        <w:jc w:val="center"/>
        <w:rPr>
          <w:rFonts w:ascii="Arial" w:hAnsi="Arial" w:cs="Arial"/>
          <w:b/>
          <w:sz w:val="32"/>
          <w:szCs w:val="32"/>
          <w:u w:val="single"/>
          <w:lang w:val="en-CA"/>
        </w:rPr>
      </w:pPr>
      <w:r w:rsidRPr="00734E28">
        <w:rPr>
          <w:rFonts w:ascii="Arial" w:hAnsi="Arial" w:cs="Arial"/>
          <w:b/>
          <w:sz w:val="32"/>
          <w:szCs w:val="32"/>
          <w:u w:val="single"/>
          <w:lang w:val="en-CA"/>
        </w:rPr>
        <w:lastRenderedPageBreak/>
        <w:t>Table of Contents</w:t>
      </w:r>
    </w:p>
    <w:p w14:paraId="43E0AE7B" w14:textId="77777777" w:rsidR="00EA52C4" w:rsidRPr="007B072D" w:rsidRDefault="00EA52C4" w:rsidP="00EA52C4">
      <w:pPr>
        <w:widowControl w:val="0"/>
        <w:pBdr>
          <w:top w:val="nil"/>
          <w:left w:val="nil"/>
          <w:bottom w:val="nil"/>
          <w:right w:val="nil"/>
          <w:between w:val="nil"/>
        </w:pBdr>
        <w:spacing w:line="276" w:lineRule="auto"/>
        <w:ind w:right="358"/>
        <w:rPr>
          <w:rFonts w:ascii="Times New Roman" w:eastAsia="Times New Roman" w:hAnsi="Times New Roman" w:cs="Times New Roman"/>
          <w:color w:val="000000"/>
        </w:rPr>
      </w:pPr>
      <w:bookmarkStart w:id="2" w:name="_Hlk130745550"/>
      <w:bookmarkEnd w:id="1"/>
    </w:p>
    <w:bookmarkEnd w:id="2" w:displacedByCustomXml="next"/>
    <w:sdt>
      <w:sdtPr>
        <w:rPr>
          <w:rFonts w:ascii="Arial" w:eastAsiaTheme="minorEastAsia" w:hAnsi="Arial" w:cs="Arial"/>
          <w:b w:val="0"/>
          <w:bCs w:val="0"/>
          <w:color w:val="auto"/>
          <w:sz w:val="24"/>
          <w:szCs w:val="24"/>
          <w:lang w:val="en-GB" w:eastAsia="ko-KR"/>
        </w:rPr>
        <w:id w:val="1143310961"/>
        <w:docPartObj>
          <w:docPartGallery w:val="Table of Contents"/>
          <w:docPartUnique/>
        </w:docPartObj>
      </w:sdtPr>
      <w:sdtEndPr>
        <w:rPr>
          <w:noProof/>
        </w:rPr>
      </w:sdtEndPr>
      <w:sdtContent>
        <w:p w14:paraId="26CADD7F" w14:textId="3F6ECD7A" w:rsidR="00F6676A" w:rsidRPr="00734E28" w:rsidRDefault="00F6676A" w:rsidP="00BC3DA3">
          <w:pPr>
            <w:pStyle w:val="TOCHeading"/>
            <w:spacing w:before="0"/>
            <w:contextualSpacing/>
            <w:rPr>
              <w:rFonts w:ascii="Arial" w:eastAsiaTheme="minorEastAsia" w:hAnsi="Arial" w:cs="Arial"/>
              <w:b w:val="0"/>
              <w:bCs w:val="0"/>
              <w:color w:val="auto"/>
              <w:sz w:val="24"/>
              <w:szCs w:val="24"/>
              <w:lang w:val="en-GB" w:eastAsia="ko-KR"/>
            </w:rPr>
          </w:pPr>
        </w:p>
        <w:p w14:paraId="3DBFD6F8" w14:textId="02009B36" w:rsidR="008F590E" w:rsidRPr="008F590E" w:rsidRDefault="00F6676A"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r w:rsidRPr="008F590E">
            <w:rPr>
              <w:rFonts w:ascii="Arial" w:hAnsi="Arial" w:cs="Arial"/>
              <w:b w:val="0"/>
              <w:bCs w:val="0"/>
              <w:i w:val="0"/>
              <w:iCs w:val="0"/>
            </w:rPr>
            <w:fldChar w:fldCharType="begin"/>
          </w:r>
          <w:r w:rsidRPr="008F590E">
            <w:rPr>
              <w:rFonts w:ascii="Arial" w:hAnsi="Arial" w:cs="Arial"/>
              <w:b w:val="0"/>
              <w:bCs w:val="0"/>
              <w:i w:val="0"/>
              <w:iCs w:val="0"/>
            </w:rPr>
            <w:instrText xml:space="preserve"> TOC \o "1-3" \h \z \u </w:instrText>
          </w:r>
          <w:r w:rsidRPr="008F590E">
            <w:rPr>
              <w:rFonts w:ascii="Arial" w:hAnsi="Arial" w:cs="Arial"/>
              <w:b w:val="0"/>
              <w:bCs w:val="0"/>
              <w:i w:val="0"/>
              <w:iCs w:val="0"/>
            </w:rPr>
            <w:fldChar w:fldCharType="separate"/>
          </w:r>
          <w:hyperlink w:anchor="_Toc220920947" w:history="1">
            <w:r w:rsidR="008F590E" w:rsidRPr="008F590E">
              <w:rPr>
                <w:rStyle w:val="Hyperlink"/>
                <w:rFonts w:ascii="Arial" w:hAnsi="Arial" w:cs="Arial"/>
                <w:b w:val="0"/>
                <w:bCs w:val="0"/>
                <w:i w:val="0"/>
                <w:iCs w:val="0"/>
                <w:noProof/>
              </w:rPr>
              <w:t>Overview of our Coalition</w:t>
            </w:r>
            <w:r w:rsidR="008F590E" w:rsidRPr="008F590E">
              <w:rPr>
                <w:rFonts w:ascii="Arial" w:hAnsi="Arial" w:cs="Arial"/>
                <w:b w:val="0"/>
                <w:bCs w:val="0"/>
                <w:i w:val="0"/>
                <w:iCs w:val="0"/>
                <w:noProof/>
                <w:webHidden/>
              </w:rPr>
              <w:tab/>
            </w:r>
            <w:r w:rsidR="008F590E" w:rsidRPr="008F590E">
              <w:rPr>
                <w:rFonts w:ascii="Arial" w:hAnsi="Arial" w:cs="Arial"/>
                <w:b w:val="0"/>
                <w:bCs w:val="0"/>
                <w:i w:val="0"/>
                <w:iCs w:val="0"/>
                <w:noProof/>
                <w:webHidden/>
              </w:rPr>
              <w:fldChar w:fldCharType="begin"/>
            </w:r>
            <w:r w:rsidR="008F590E" w:rsidRPr="008F590E">
              <w:rPr>
                <w:rFonts w:ascii="Arial" w:hAnsi="Arial" w:cs="Arial"/>
                <w:b w:val="0"/>
                <w:bCs w:val="0"/>
                <w:i w:val="0"/>
                <w:iCs w:val="0"/>
                <w:noProof/>
                <w:webHidden/>
              </w:rPr>
              <w:instrText xml:space="preserve"> PAGEREF _Toc220920947 \h </w:instrText>
            </w:r>
            <w:r w:rsidR="008F590E" w:rsidRPr="008F590E">
              <w:rPr>
                <w:rFonts w:ascii="Arial" w:hAnsi="Arial" w:cs="Arial"/>
                <w:b w:val="0"/>
                <w:bCs w:val="0"/>
                <w:i w:val="0"/>
                <w:iCs w:val="0"/>
                <w:noProof/>
                <w:webHidden/>
              </w:rPr>
            </w:r>
            <w:r w:rsidR="008F590E"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3</w:t>
            </w:r>
            <w:r w:rsidR="008F590E" w:rsidRPr="008F590E">
              <w:rPr>
                <w:rFonts w:ascii="Arial" w:hAnsi="Arial" w:cs="Arial"/>
                <w:b w:val="0"/>
                <w:bCs w:val="0"/>
                <w:i w:val="0"/>
                <w:iCs w:val="0"/>
                <w:noProof/>
                <w:webHidden/>
              </w:rPr>
              <w:fldChar w:fldCharType="end"/>
            </w:r>
          </w:hyperlink>
        </w:p>
        <w:p w14:paraId="03A6B726" w14:textId="31A5FC86"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48" w:history="1">
            <w:r w:rsidRPr="008F590E">
              <w:rPr>
                <w:rStyle w:val="Hyperlink"/>
                <w:rFonts w:ascii="Arial" w:hAnsi="Arial" w:cs="Arial"/>
                <w:b w:val="0"/>
                <w:bCs w:val="0"/>
                <w:i w:val="0"/>
                <w:iCs w:val="0"/>
                <w:noProof/>
              </w:rPr>
              <w:t>Endorsements</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_Toc220920948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4</w:t>
            </w:r>
            <w:r w:rsidRPr="008F590E">
              <w:rPr>
                <w:rFonts w:ascii="Arial" w:hAnsi="Arial" w:cs="Arial"/>
                <w:b w:val="0"/>
                <w:bCs w:val="0"/>
                <w:i w:val="0"/>
                <w:iCs w:val="0"/>
                <w:noProof/>
                <w:webHidden/>
              </w:rPr>
              <w:fldChar w:fldCharType="end"/>
            </w:r>
          </w:hyperlink>
        </w:p>
        <w:p w14:paraId="2DCCD21F" w14:textId="6209A629"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49" w:history="1">
            <w:r w:rsidRPr="008F590E">
              <w:rPr>
                <w:rStyle w:val="Hyperlink"/>
                <w:rFonts w:ascii="Arial" w:hAnsi="Arial" w:cs="Arial"/>
                <w:b w:val="0"/>
                <w:bCs w:val="0"/>
                <w:i w:val="0"/>
                <w:iCs w:val="0"/>
                <w:noProof/>
              </w:rPr>
              <w:t>Non-discrimination (Art 2, 3, 6, 9, 25 and 26)</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_Toc220920949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5</w:t>
            </w:r>
            <w:r w:rsidRPr="008F590E">
              <w:rPr>
                <w:rFonts w:ascii="Arial" w:hAnsi="Arial" w:cs="Arial"/>
                <w:b w:val="0"/>
                <w:bCs w:val="0"/>
                <w:i w:val="0"/>
                <w:iCs w:val="0"/>
                <w:noProof/>
                <w:webHidden/>
              </w:rPr>
              <w:fldChar w:fldCharType="end"/>
            </w:r>
          </w:hyperlink>
        </w:p>
        <w:p w14:paraId="25A5B446" w14:textId="3A2EA891" w:rsidR="008F590E" w:rsidRPr="008F590E" w:rsidRDefault="008F590E" w:rsidP="008B7B6D">
          <w:pPr>
            <w:pStyle w:val="TOC2"/>
            <w:rPr>
              <w:kern w:val="2"/>
              <w:lang w:val="en-CA" w:eastAsia="en-CA"/>
              <w14:ligatures w14:val="standardContextual"/>
            </w:rPr>
          </w:pPr>
          <w:hyperlink w:anchor="_Toc220920950" w:history="1">
            <w:r w:rsidRPr="008F590E">
              <w:rPr>
                <w:rStyle w:val="Hyperlink"/>
              </w:rPr>
              <w:t>Disaggregated data collection</w:t>
            </w:r>
            <w:r w:rsidRPr="008F590E">
              <w:rPr>
                <w:webHidden/>
              </w:rPr>
              <w:tab/>
            </w:r>
            <w:r w:rsidRPr="008F590E">
              <w:rPr>
                <w:webHidden/>
              </w:rPr>
              <w:fldChar w:fldCharType="begin"/>
            </w:r>
            <w:r w:rsidRPr="008F590E">
              <w:rPr>
                <w:webHidden/>
              </w:rPr>
              <w:instrText xml:space="preserve"> PAGEREF _Toc220920950 \h </w:instrText>
            </w:r>
            <w:r w:rsidRPr="008F590E">
              <w:rPr>
                <w:webHidden/>
              </w:rPr>
            </w:r>
            <w:r w:rsidRPr="008F590E">
              <w:rPr>
                <w:webHidden/>
              </w:rPr>
              <w:fldChar w:fldCharType="separate"/>
            </w:r>
            <w:r w:rsidR="00FB6B39">
              <w:rPr>
                <w:webHidden/>
              </w:rPr>
              <w:t>5</w:t>
            </w:r>
            <w:r w:rsidRPr="008F590E">
              <w:rPr>
                <w:webHidden/>
              </w:rPr>
              <w:fldChar w:fldCharType="end"/>
            </w:r>
          </w:hyperlink>
        </w:p>
        <w:p w14:paraId="6101A011" w14:textId="110D48BB" w:rsidR="008F590E" w:rsidRPr="008F590E" w:rsidRDefault="008F590E" w:rsidP="008B7B6D">
          <w:pPr>
            <w:pStyle w:val="TOC2"/>
            <w:rPr>
              <w:kern w:val="2"/>
              <w:lang w:val="en-CA" w:eastAsia="en-CA"/>
              <w14:ligatures w14:val="standardContextual"/>
            </w:rPr>
          </w:pPr>
          <w:hyperlink w:anchor="_Toc220920951" w:history="1">
            <w:r w:rsidRPr="008F590E">
              <w:rPr>
                <w:rStyle w:val="Hyperlink"/>
              </w:rPr>
              <w:t>Racialized poverty and labour market discrimination</w:t>
            </w:r>
            <w:r w:rsidRPr="008F590E">
              <w:rPr>
                <w:webHidden/>
              </w:rPr>
              <w:tab/>
            </w:r>
            <w:r w:rsidRPr="008F590E">
              <w:rPr>
                <w:webHidden/>
              </w:rPr>
              <w:fldChar w:fldCharType="begin"/>
            </w:r>
            <w:r w:rsidRPr="008F590E">
              <w:rPr>
                <w:webHidden/>
              </w:rPr>
              <w:instrText xml:space="preserve"> PAGEREF _Toc220920951 \h </w:instrText>
            </w:r>
            <w:r w:rsidRPr="008F590E">
              <w:rPr>
                <w:webHidden/>
              </w:rPr>
            </w:r>
            <w:r w:rsidRPr="008F590E">
              <w:rPr>
                <w:webHidden/>
              </w:rPr>
              <w:fldChar w:fldCharType="separate"/>
            </w:r>
            <w:r w:rsidR="00FB6B39">
              <w:rPr>
                <w:webHidden/>
              </w:rPr>
              <w:t>7</w:t>
            </w:r>
            <w:r w:rsidRPr="008F590E">
              <w:rPr>
                <w:webHidden/>
              </w:rPr>
              <w:fldChar w:fldCharType="end"/>
            </w:r>
          </w:hyperlink>
        </w:p>
        <w:p w14:paraId="1666A6B0" w14:textId="7134E54F"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52" w:history="1">
            <w:r w:rsidRPr="008F590E">
              <w:rPr>
                <w:rStyle w:val="Hyperlink"/>
                <w:rFonts w:ascii="Arial" w:hAnsi="Arial" w:cs="Arial"/>
                <w:b w:val="0"/>
                <w:bCs w:val="0"/>
                <w:i w:val="0"/>
                <w:iCs w:val="0"/>
                <w:noProof/>
              </w:rPr>
              <w:t>Violence against women (Articles 2, 3, 6, 7 and 26)</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_Toc220920952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10</w:t>
            </w:r>
            <w:r w:rsidRPr="008F590E">
              <w:rPr>
                <w:rFonts w:ascii="Arial" w:hAnsi="Arial" w:cs="Arial"/>
                <w:b w:val="0"/>
                <w:bCs w:val="0"/>
                <w:i w:val="0"/>
                <w:iCs w:val="0"/>
                <w:noProof/>
                <w:webHidden/>
              </w:rPr>
              <w:fldChar w:fldCharType="end"/>
            </w:r>
          </w:hyperlink>
        </w:p>
        <w:p w14:paraId="7B1560BC" w14:textId="6CA08587" w:rsidR="008F590E" w:rsidRPr="008F590E" w:rsidRDefault="008F590E" w:rsidP="008B7B6D">
          <w:pPr>
            <w:pStyle w:val="TOC2"/>
            <w:rPr>
              <w:kern w:val="2"/>
              <w:lang w:val="en-CA" w:eastAsia="en-CA"/>
              <w14:ligatures w14:val="standardContextual"/>
            </w:rPr>
          </w:pPr>
          <w:hyperlink w:anchor="_Toc220920953" w:history="1">
            <w:r w:rsidRPr="008F590E">
              <w:rPr>
                <w:rStyle w:val="Hyperlink"/>
                <w:lang w:val="en-CA"/>
              </w:rPr>
              <w:t>Gender-based violence, opaque implementation and lack of accountability:</w:t>
            </w:r>
            <w:r w:rsidRPr="008F590E">
              <w:rPr>
                <w:webHidden/>
              </w:rPr>
              <w:tab/>
            </w:r>
            <w:r w:rsidRPr="008F590E">
              <w:rPr>
                <w:webHidden/>
              </w:rPr>
              <w:fldChar w:fldCharType="begin"/>
            </w:r>
            <w:r w:rsidRPr="008F590E">
              <w:rPr>
                <w:webHidden/>
              </w:rPr>
              <w:instrText xml:space="preserve"> PAGEREF _Toc220920953 \h </w:instrText>
            </w:r>
            <w:r w:rsidRPr="008F590E">
              <w:rPr>
                <w:webHidden/>
              </w:rPr>
            </w:r>
            <w:r w:rsidRPr="008F590E">
              <w:rPr>
                <w:webHidden/>
              </w:rPr>
              <w:fldChar w:fldCharType="separate"/>
            </w:r>
            <w:r w:rsidR="00FB6B39">
              <w:rPr>
                <w:webHidden/>
              </w:rPr>
              <w:t>10</w:t>
            </w:r>
            <w:r w:rsidRPr="008F590E">
              <w:rPr>
                <w:webHidden/>
              </w:rPr>
              <w:fldChar w:fldCharType="end"/>
            </w:r>
          </w:hyperlink>
        </w:p>
        <w:p w14:paraId="7E2D1257" w14:textId="6780F41E"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54" w:history="1">
            <w:r w:rsidRPr="008F590E">
              <w:rPr>
                <w:rStyle w:val="Hyperlink"/>
                <w:rFonts w:ascii="Arial" w:hAnsi="Arial" w:cs="Arial"/>
                <w:b w:val="0"/>
                <w:bCs w:val="0"/>
                <w:i w:val="0"/>
                <w:iCs w:val="0"/>
                <w:noProof/>
              </w:rPr>
              <w:t>Immigration – Treatment of migrants, refugees and asylum seekers (Arts. 7, 9, 12, 13 and 24)</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_Toc220920954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15</w:t>
            </w:r>
            <w:r w:rsidRPr="008F590E">
              <w:rPr>
                <w:rFonts w:ascii="Arial" w:hAnsi="Arial" w:cs="Arial"/>
                <w:b w:val="0"/>
                <w:bCs w:val="0"/>
                <w:i w:val="0"/>
                <w:iCs w:val="0"/>
                <w:noProof/>
                <w:webHidden/>
              </w:rPr>
              <w:fldChar w:fldCharType="end"/>
            </w:r>
          </w:hyperlink>
        </w:p>
        <w:p w14:paraId="22259229" w14:textId="0C08A0DF" w:rsidR="008F590E" w:rsidRPr="008F590E" w:rsidRDefault="008F590E" w:rsidP="008B7B6D">
          <w:pPr>
            <w:pStyle w:val="TOC2"/>
            <w:rPr>
              <w:kern w:val="2"/>
              <w:lang w:val="en-CA" w:eastAsia="en-CA"/>
              <w14:ligatures w14:val="standardContextual"/>
            </w:rPr>
          </w:pPr>
          <w:hyperlink w:anchor="_Toc220920955" w:history="1">
            <w:r w:rsidRPr="008F590E">
              <w:rPr>
                <w:rStyle w:val="Hyperlink"/>
              </w:rPr>
              <w:t>Disproportionate impact of immigration policy changes on racialized communities and those with intersecting vulnerabilities</w:t>
            </w:r>
            <w:r w:rsidRPr="008F590E">
              <w:rPr>
                <w:webHidden/>
              </w:rPr>
              <w:tab/>
            </w:r>
            <w:r w:rsidRPr="008F590E">
              <w:rPr>
                <w:webHidden/>
              </w:rPr>
              <w:fldChar w:fldCharType="begin"/>
            </w:r>
            <w:r w:rsidRPr="008F590E">
              <w:rPr>
                <w:webHidden/>
              </w:rPr>
              <w:instrText xml:space="preserve"> PAGEREF _Toc220920955 \h </w:instrText>
            </w:r>
            <w:r w:rsidRPr="008F590E">
              <w:rPr>
                <w:webHidden/>
              </w:rPr>
            </w:r>
            <w:r w:rsidRPr="008F590E">
              <w:rPr>
                <w:webHidden/>
              </w:rPr>
              <w:fldChar w:fldCharType="separate"/>
            </w:r>
            <w:r w:rsidR="00FB6B39">
              <w:rPr>
                <w:webHidden/>
              </w:rPr>
              <w:t>15</w:t>
            </w:r>
            <w:r w:rsidRPr="008F590E">
              <w:rPr>
                <w:webHidden/>
              </w:rPr>
              <w:fldChar w:fldCharType="end"/>
            </w:r>
          </w:hyperlink>
        </w:p>
        <w:p w14:paraId="166500CB" w14:textId="0778CDB6" w:rsidR="008F590E" w:rsidRPr="008F590E" w:rsidRDefault="008F590E" w:rsidP="008B7B6D">
          <w:pPr>
            <w:pStyle w:val="TOC2"/>
            <w:rPr>
              <w:kern w:val="2"/>
              <w:lang w:val="en-CA" w:eastAsia="en-CA"/>
              <w14:ligatures w14:val="standardContextual"/>
            </w:rPr>
          </w:pPr>
          <w:hyperlink w:anchor="_Toc220920956" w:history="1">
            <w:r w:rsidRPr="008F590E">
              <w:rPr>
                <w:rStyle w:val="Hyperlink"/>
              </w:rPr>
              <w:t>Bill C-12 : Strengthening Canada’s Immigration System and Borders Act, 2025</w:t>
            </w:r>
            <w:r w:rsidRPr="008F590E">
              <w:rPr>
                <w:webHidden/>
              </w:rPr>
              <w:tab/>
            </w:r>
            <w:r w:rsidRPr="008F590E">
              <w:rPr>
                <w:webHidden/>
              </w:rPr>
              <w:fldChar w:fldCharType="begin"/>
            </w:r>
            <w:r w:rsidRPr="008F590E">
              <w:rPr>
                <w:webHidden/>
              </w:rPr>
              <w:instrText xml:space="preserve"> PAGEREF _Toc220920956 \h </w:instrText>
            </w:r>
            <w:r w:rsidRPr="008F590E">
              <w:rPr>
                <w:webHidden/>
              </w:rPr>
            </w:r>
            <w:r w:rsidRPr="008F590E">
              <w:rPr>
                <w:webHidden/>
              </w:rPr>
              <w:fldChar w:fldCharType="separate"/>
            </w:r>
            <w:r w:rsidR="00FB6B39">
              <w:rPr>
                <w:webHidden/>
              </w:rPr>
              <w:t>16</w:t>
            </w:r>
            <w:r w:rsidRPr="008F590E">
              <w:rPr>
                <w:webHidden/>
              </w:rPr>
              <w:fldChar w:fldCharType="end"/>
            </w:r>
          </w:hyperlink>
        </w:p>
        <w:p w14:paraId="3BDC33AE" w14:textId="677DA6A4" w:rsidR="008F590E" w:rsidRPr="008F590E" w:rsidRDefault="008F590E" w:rsidP="008B7B6D">
          <w:pPr>
            <w:pStyle w:val="TOC2"/>
            <w:rPr>
              <w:kern w:val="2"/>
              <w:lang w:val="en-CA" w:eastAsia="en-CA"/>
              <w14:ligatures w14:val="standardContextual"/>
            </w:rPr>
          </w:pPr>
          <w:hyperlink w:anchor="_Toc220920957" w:history="1">
            <w:r w:rsidRPr="008F590E">
              <w:rPr>
                <w:rStyle w:val="Hyperlink"/>
              </w:rPr>
              <w:t>Immigration detention, data collection gaps and lack of independent civil oversight at CBSA</w:t>
            </w:r>
            <w:r w:rsidRPr="008F590E">
              <w:rPr>
                <w:webHidden/>
              </w:rPr>
              <w:tab/>
            </w:r>
            <w:r w:rsidRPr="008F590E">
              <w:rPr>
                <w:webHidden/>
              </w:rPr>
              <w:fldChar w:fldCharType="begin"/>
            </w:r>
            <w:r w:rsidRPr="008F590E">
              <w:rPr>
                <w:webHidden/>
              </w:rPr>
              <w:instrText xml:space="preserve"> PAGEREF _Toc220920957 \h </w:instrText>
            </w:r>
            <w:r w:rsidRPr="008F590E">
              <w:rPr>
                <w:webHidden/>
              </w:rPr>
            </w:r>
            <w:r w:rsidRPr="008F590E">
              <w:rPr>
                <w:webHidden/>
              </w:rPr>
              <w:fldChar w:fldCharType="separate"/>
            </w:r>
            <w:r w:rsidR="00FB6B39">
              <w:rPr>
                <w:webHidden/>
              </w:rPr>
              <w:t>19</w:t>
            </w:r>
            <w:r w:rsidRPr="008F590E">
              <w:rPr>
                <w:webHidden/>
              </w:rPr>
              <w:fldChar w:fldCharType="end"/>
            </w:r>
          </w:hyperlink>
        </w:p>
        <w:p w14:paraId="09B75C14" w14:textId="65B122B0" w:rsidR="008F590E" w:rsidRPr="008F590E" w:rsidRDefault="008F590E" w:rsidP="008B7B6D">
          <w:pPr>
            <w:pStyle w:val="TOC2"/>
            <w:rPr>
              <w:kern w:val="2"/>
              <w:lang w:val="en-CA" w:eastAsia="en-CA"/>
              <w14:ligatures w14:val="standardContextual"/>
            </w:rPr>
          </w:pPr>
          <w:hyperlink w:anchor="_Toc220920958" w:history="1">
            <w:r w:rsidRPr="008F590E">
              <w:rPr>
                <w:rStyle w:val="Hyperlink"/>
              </w:rPr>
              <w:t>Canada Child Benefit – eligibility tied to immigration status</w:t>
            </w:r>
            <w:r w:rsidRPr="008F590E">
              <w:rPr>
                <w:webHidden/>
              </w:rPr>
              <w:tab/>
            </w:r>
            <w:r w:rsidRPr="008F590E">
              <w:rPr>
                <w:webHidden/>
              </w:rPr>
              <w:fldChar w:fldCharType="begin"/>
            </w:r>
            <w:r w:rsidRPr="008F590E">
              <w:rPr>
                <w:webHidden/>
              </w:rPr>
              <w:instrText xml:space="preserve"> PAGEREF _Toc220920958 \h </w:instrText>
            </w:r>
            <w:r w:rsidRPr="008F590E">
              <w:rPr>
                <w:webHidden/>
              </w:rPr>
            </w:r>
            <w:r w:rsidRPr="008F590E">
              <w:rPr>
                <w:webHidden/>
              </w:rPr>
              <w:fldChar w:fldCharType="separate"/>
            </w:r>
            <w:r w:rsidR="00FB6B39">
              <w:rPr>
                <w:webHidden/>
              </w:rPr>
              <w:t>21</w:t>
            </w:r>
            <w:r w:rsidRPr="008F590E">
              <w:rPr>
                <w:webHidden/>
              </w:rPr>
              <w:fldChar w:fldCharType="end"/>
            </w:r>
          </w:hyperlink>
        </w:p>
        <w:p w14:paraId="5A5411C7" w14:textId="48C01770"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59" w:history="1">
            <w:r w:rsidRPr="008F590E">
              <w:rPr>
                <w:rStyle w:val="Hyperlink"/>
                <w:rFonts w:ascii="Arial" w:hAnsi="Arial" w:cs="Arial"/>
                <w:b w:val="0"/>
                <w:bCs w:val="0"/>
                <w:i w:val="0"/>
                <w:iCs w:val="0"/>
                <w:noProof/>
              </w:rPr>
              <w:t>Freedom of religion or belief (Articles 2, 18, 25 and 26)</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_Toc220920959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23</w:t>
            </w:r>
            <w:r w:rsidRPr="008F590E">
              <w:rPr>
                <w:rFonts w:ascii="Arial" w:hAnsi="Arial" w:cs="Arial"/>
                <w:b w:val="0"/>
                <w:bCs w:val="0"/>
                <w:i w:val="0"/>
                <w:iCs w:val="0"/>
                <w:noProof/>
                <w:webHidden/>
              </w:rPr>
              <w:fldChar w:fldCharType="end"/>
            </w:r>
          </w:hyperlink>
        </w:p>
        <w:p w14:paraId="663AE711" w14:textId="7267E51A" w:rsidR="008F590E" w:rsidRPr="008F590E" w:rsidRDefault="008F590E" w:rsidP="008B7B6D">
          <w:pPr>
            <w:pStyle w:val="TOC2"/>
            <w:rPr>
              <w:kern w:val="2"/>
              <w:lang w:val="en-CA" w:eastAsia="en-CA"/>
              <w14:ligatures w14:val="standardContextual"/>
            </w:rPr>
          </w:pPr>
          <w:hyperlink w:anchor="_Toc220920960" w:history="1">
            <w:r w:rsidRPr="008F590E">
              <w:rPr>
                <w:rStyle w:val="Hyperlink"/>
                <w:lang w:val="en-CA"/>
              </w:rPr>
              <w:t>Quebec’s Bill 21 – Disproportionate impact on racialized minorities</w:t>
            </w:r>
            <w:r w:rsidRPr="008F590E">
              <w:rPr>
                <w:webHidden/>
              </w:rPr>
              <w:tab/>
            </w:r>
            <w:r w:rsidRPr="008F590E">
              <w:rPr>
                <w:webHidden/>
              </w:rPr>
              <w:fldChar w:fldCharType="begin"/>
            </w:r>
            <w:r w:rsidRPr="008F590E">
              <w:rPr>
                <w:webHidden/>
              </w:rPr>
              <w:instrText xml:space="preserve"> PAGEREF _Toc220920960 \h </w:instrText>
            </w:r>
            <w:r w:rsidRPr="008F590E">
              <w:rPr>
                <w:webHidden/>
              </w:rPr>
            </w:r>
            <w:r w:rsidRPr="008F590E">
              <w:rPr>
                <w:webHidden/>
              </w:rPr>
              <w:fldChar w:fldCharType="separate"/>
            </w:r>
            <w:r w:rsidR="00FB6B39">
              <w:rPr>
                <w:webHidden/>
              </w:rPr>
              <w:t>23</w:t>
            </w:r>
            <w:r w:rsidRPr="008F590E">
              <w:rPr>
                <w:webHidden/>
              </w:rPr>
              <w:fldChar w:fldCharType="end"/>
            </w:r>
          </w:hyperlink>
        </w:p>
        <w:p w14:paraId="7CBF66F7" w14:textId="539A5F42" w:rsidR="008F590E" w:rsidRPr="008F590E" w:rsidRDefault="008F590E" w:rsidP="008F590E">
          <w:pPr>
            <w:pStyle w:val="TOC1"/>
            <w:tabs>
              <w:tab w:val="right" w:leader="dot" w:pos="9350"/>
            </w:tabs>
            <w:spacing w:line="276" w:lineRule="auto"/>
            <w:rPr>
              <w:rFonts w:ascii="Arial" w:hAnsi="Arial" w:cs="Arial"/>
              <w:b w:val="0"/>
              <w:bCs w:val="0"/>
              <w:i w:val="0"/>
              <w:iCs w:val="0"/>
              <w:noProof/>
              <w:kern w:val="2"/>
              <w:lang w:val="en-CA" w:eastAsia="en-CA"/>
              <w14:ligatures w14:val="standardContextual"/>
            </w:rPr>
          </w:pPr>
          <w:hyperlink w:anchor="_Toc220920961" w:history="1">
            <w:r w:rsidRPr="008F590E">
              <w:rPr>
                <w:rStyle w:val="Hyperlink"/>
                <w:rFonts w:ascii="Arial" w:hAnsi="Arial" w:cs="Arial"/>
                <w:b w:val="0"/>
                <w:bCs w:val="0"/>
                <w:i w:val="0"/>
                <w:iCs w:val="0"/>
                <w:noProof/>
              </w:rPr>
              <w:t>Conclusion</w:t>
            </w:r>
            <w:r w:rsidRPr="008F590E">
              <w:rPr>
                <w:rFonts w:ascii="Arial" w:hAnsi="Arial" w:cs="Arial"/>
                <w:b w:val="0"/>
                <w:bCs w:val="0"/>
                <w:i w:val="0"/>
                <w:iCs w:val="0"/>
                <w:noProof/>
                <w:webHidden/>
              </w:rPr>
              <w:tab/>
            </w:r>
            <w:r w:rsidRPr="008F590E">
              <w:rPr>
                <w:rFonts w:ascii="Arial" w:hAnsi="Arial" w:cs="Arial"/>
                <w:b w:val="0"/>
                <w:bCs w:val="0"/>
                <w:i w:val="0"/>
                <w:iCs w:val="0"/>
                <w:noProof/>
                <w:webHidden/>
              </w:rPr>
              <w:fldChar w:fldCharType="begin"/>
            </w:r>
            <w:r w:rsidRPr="008F590E">
              <w:rPr>
                <w:rFonts w:ascii="Arial" w:hAnsi="Arial" w:cs="Arial"/>
                <w:b w:val="0"/>
                <w:bCs w:val="0"/>
                <w:i w:val="0"/>
                <w:iCs w:val="0"/>
                <w:noProof/>
                <w:webHidden/>
              </w:rPr>
              <w:instrText xml:space="preserve"> PAGEREF _Toc220920961 \h </w:instrText>
            </w:r>
            <w:r w:rsidRPr="008F590E">
              <w:rPr>
                <w:rFonts w:ascii="Arial" w:hAnsi="Arial" w:cs="Arial"/>
                <w:b w:val="0"/>
                <w:bCs w:val="0"/>
                <w:i w:val="0"/>
                <w:iCs w:val="0"/>
                <w:noProof/>
                <w:webHidden/>
              </w:rPr>
            </w:r>
            <w:r w:rsidRPr="008F590E">
              <w:rPr>
                <w:rFonts w:ascii="Arial" w:hAnsi="Arial" w:cs="Arial"/>
                <w:b w:val="0"/>
                <w:bCs w:val="0"/>
                <w:i w:val="0"/>
                <w:iCs w:val="0"/>
                <w:noProof/>
                <w:webHidden/>
              </w:rPr>
              <w:fldChar w:fldCharType="separate"/>
            </w:r>
            <w:r w:rsidR="00FB6B39">
              <w:rPr>
                <w:rFonts w:ascii="Arial" w:hAnsi="Arial" w:cs="Arial"/>
                <w:b w:val="0"/>
                <w:bCs w:val="0"/>
                <w:i w:val="0"/>
                <w:iCs w:val="0"/>
                <w:noProof/>
                <w:webHidden/>
              </w:rPr>
              <w:t>25</w:t>
            </w:r>
            <w:r w:rsidRPr="008F590E">
              <w:rPr>
                <w:rFonts w:ascii="Arial" w:hAnsi="Arial" w:cs="Arial"/>
                <w:b w:val="0"/>
                <w:bCs w:val="0"/>
                <w:i w:val="0"/>
                <w:iCs w:val="0"/>
                <w:noProof/>
                <w:webHidden/>
              </w:rPr>
              <w:fldChar w:fldCharType="end"/>
            </w:r>
          </w:hyperlink>
        </w:p>
        <w:p w14:paraId="4FA00B0E" w14:textId="55DE123B" w:rsidR="00F6676A" w:rsidRPr="009B0595" w:rsidRDefault="00F6676A" w:rsidP="008F590E">
          <w:pPr>
            <w:spacing w:line="276" w:lineRule="auto"/>
            <w:contextualSpacing/>
            <w:rPr>
              <w:rFonts w:ascii="Arial" w:hAnsi="Arial" w:cs="Arial"/>
            </w:rPr>
          </w:pPr>
          <w:r w:rsidRPr="008F590E">
            <w:rPr>
              <w:rFonts w:ascii="Arial" w:hAnsi="Arial" w:cs="Arial"/>
              <w:noProof/>
            </w:rPr>
            <w:fldChar w:fldCharType="end"/>
          </w:r>
        </w:p>
      </w:sdtContent>
    </w:sdt>
    <w:p w14:paraId="2514F001" w14:textId="77777777" w:rsidR="005A7544" w:rsidRPr="009B0595" w:rsidRDefault="005A7544" w:rsidP="005A7544">
      <w:pPr>
        <w:rPr>
          <w:rFonts w:ascii="Arial" w:hAnsi="Arial" w:cs="Arial"/>
        </w:rPr>
      </w:pPr>
    </w:p>
    <w:p w14:paraId="5951A578" w14:textId="50BADED1" w:rsidR="00EA52C4" w:rsidRDefault="00EA52C4">
      <w:pPr>
        <w:rPr>
          <w:rFonts w:ascii="Arial" w:hAnsi="Arial" w:cs="Arial"/>
        </w:rPr>
      </w:pPr>
    </w:p>
    <w:p w14:paraId="03FF54D3" w14:textId="77777777" w:rsidR="008F590E" w:rsidRDefault="008F590E">
      <w:pPr>
        <w:rPr>
          <w:rFonts w:ascii="Arial" w:hAnsi="Arial" w:cs="Arial"/>
        </w:rPr>
      </w:pPr>
    </w:p>
    <w:p w14:paraId="6186629F" w14:textId="77777777" w:rsidR="008F590E" w:rsidRDefault="008F590E">
      <w:pPr>
        <w:rPr>
          <w:rFonts w:ascii="Arial" w:hAnsi="Arial" w:cs="Arial"/>
        </w:rPr>
      </w:pPr>
    </w:p>
    <w:p w14:paraId="38C6760E" w14:textId="3B589624" w:rsidR="008F590E" w:rsidRDefault="008B7B6D" w:rsidP="008B7B6D">
      <w:pPr>
        <w:spacing w:line="276" w:lineRule="auto"/>
        <w:jc w:val="center"/>
        <w:rPr>
          <w:rFonts w:ascii="Arial" w:hAnsi="Arial" w:cs="Arial"/>
        </w:rPr>
      </w:pPr>
      <w:r>
        <w:rPr>
          <w:rFonts w:ascii="Arial" w:hAnsi="Arial" w:cs="Arial"/>
        </w:rPr>
        <w:t>W</w:t>
      </w:r>
      <w:r w:rsidR="008F590E">
        <w:rPr>
          <w:rFonts w:ascii="Arial" w:hAnsi="Arial" w:cs="Arial"/>
        </w:rPr>
        <w:t>ord Count: 7</w:t>
      </w:r>
      <w:r w:rsidR="003E1A7E">
        <w:rPr>
          <w:rFonts w:ascii="Arial" w:hAnsi="Arial" w:cs="Arial"/>
        </w:rPr>
        <w:t>33</w:t>
      </w:r>
      <w:r w:rsidR="003464CF">
        <w:rPr>
          <w:rFonts w:ascii="Arial" w:hAnsi="Arial" w:cs="Arial"/>
        </w:rPr>
        <w:t>5</w:t>
      </w:r>
      <w:r w:rsidR="008F590E">
        <w:rPr>
          <w:rFonts w:ascii="Arial" w:hAnsi="Arial" w:cs="Arial"/>
        </w:rPr>
        <w:t xml:space="preserve"> words</w:t>
      </w:r>
    </w:p>
    <w:p w14:paraId="26F2821C" w14:textId="20E64870" w:rsidR="008F590E" w:rsidRPr="008F590E" w:rsidRDefault="008F590E" w:rsidP="008F590E">
      <w:pPr>
        <w:spacing w:line="276" w:lineRule="auto"/>
        <w:jc w:val="center"/>
        <w:rPr>
          <w:rFonts w:ascii="Arial" w:eastAsiaTheme="majorEastAsia" w:hAnsi="Arial" w:cs="Arial"/>
          <w:color w:val="2F5496" w:themeColor="accent1" w:themeShade="BF"/>
        </w:rPr>
      </w:pPr>
      <w:r>
        <w:rPr>
          <w:rFonts w:ascii="Arial" w:hAnsi="Arial" w:cs="Arial"/>
        </w:rPr>
        <w:t>This submission may be hosted on the OHCHR website for public information purposes.</w:t>
      </w:r>
    </w:p>
    <w:p w14:paraId="76FDA74B" w14:textId="77777777" w:rsidR="00EA52C4" w:rsidRPr="00734E28" w:rsidRDefault="00EA52C4" w:rsidP="00734E28">
      <w:pPr>
        <w:pStyle w:val="Heading1"/>
        <w:rPr>
          <w:rFonts w:ascii="Arial" w:hAnsi="Arial" w:cs="Arial"/>
          <w:b/>
          <w:bCs/>
          <w:color w:val="auto"/>
          <w:u w:val="single"/>
        </w:rPr>
      </w:pPr>
      <w:bookmarkStart w:id="3" w:name="_Toc220920947"/>
      <w:r w:rsidRPr="00734E28">
        <w:rPr>
          <w:rFonts w:ascii="Arial" w:hAnsi="Arial" w:cs="Arial"/>
          <w:b/>
          <w:bCs/>
          <w:color w:val="auto"/>
          <w:u w:val="single"/>
        </w:rPr>
        <w:lastRenderedPageBreak/>
        <w:t>Overview of our Coalition</w:t>
      </w:r>
      <w:bookmarkEnd w:id="3"/>
    </w:p>
    <w:p w14:paraId="7C07DA6F" w14:textId="77777777" w:rsidR="00EA52C4" w:rsidRPr="00121FBC" w:rsidRDefault="00EA52C4" w:rsidP="00814D8E">
      <w:pPr>
        <w:spacing w:line="276" w:lineRule="auto"/>
        <w:rPr>
          <w:rFonts w:ascii="Arial" w:hAnsi="Arial" w:cs="Arial"/>
          <w:b/>
          <w:bCs/>
        </w:rPr>
      </w:pPr>
    </w:p>
    <w:p w14:paraId="7DEA405F" w14:textId="77777777" w:rsidR="00EA52C4" w:rsidRPr="00121FBC" w:rsidRDefault="00EA52C4" w:rsidP="00814D8E">
      <w:pPr>
        <w:spacing w:line="276" w:lineRule="auto"/>
        <w:rPr>
          <w:rFonts w:ascii="Arial" w:hAnsi="Arial" w:cs="Arial"/>
        </w:rPr>
      </w:pPr>
      <w:r w:rsidRPr="00121FBC">
        <w:rPr>
          <w:rFonts w:ascii="Arial" w:hAnsi="Arial" w:cs="Arial"/>
        </w:rPr>
        <w:t xml:space="preserve">The </w:t>
      </w:r>
      <w:r w:rsidRPr="00121FBC">
        <w:rPr>
          <w:rFonts w:ascii="Arial" w:hAnsi="Arial" w:cs="Arial"/>
          <w:b/>
          <w:bCs/>
        </w:rPr>
        <w:t>Colour of Poverty – Colour of Change</w:t>
      </w:r>
      <w:r w:rsidRPr="00121FBC">
        <w:rPr>
          <w:rFonts w:ascii="Arial" w:hAnsi="Arial" w:cs="Arial"/>
        </w:rPr>
        <w:t xml:space="preserve"> (“COPC”) was established in 2007 as an Ontario-based community initiative bringing together individuals and organizations to build community capacity to address the racialization of poverty, and the resulting social exclusion and marginalization of Indigenous, Black, and racialized communities. While rooted in Ontario, COPC works with partners across Canada. COPC is guided by a steering committee of organizations that serve racialized communities and advocate on the disproportionate impacts of systemic racism and discrimination, including higher poverty rates; barriers to safety, affordable housing; inequities in employment and labour-market outcomes; poorer outcomes in education and health; overrepresentation in the criminal justice system; immigration-related discrimination; and gaps in access to justice.</w:t>
      </w:r>
    </w:p>
    <w:p w14:paraId="2E049CB0" w14:textId="77777777" w:rsidR="00EA52C4" w:rsidRPr="00121FBC" w:rsidRDefault="00EA52C4" w:rsidP="00814D8E">
      <w:pPr>
        <w:spacing w:line="276" w:lineRule="auto"/>
        <w:rPr>
          <w:rFonts w:ascii="Arial" w:hAnsi="Arial" w:cs="Arial"/>
        </w:rPr>
      </w:pPr>
    </w:p>
    <w:p w14:paraId="01FBE7CE" w14:textId="77777777" w:rsidR="00EA52C4" w:rsidRPr="00121FBC" w:rsidRDefault="00EA52C4" w:rsidP="00814D8E">
      <w:pPr>
        <w:spacing w:line="276" w:lineRule="auto"/>
        <w:rPr>
          <w:rFonts w:ascii="Arial" w:hAnsi="Arial" w:cs="Arial"/>
        </w:rPr>
      </w:pPr>
      <w:r w:rsidRPr="00121FBC">
        <w:rPr>
          <w:rFonts w:ascii="Arial" w:hAnsi="Arial" w:cs="Arial"/>
        </w:rPr>
        <w:t xml:space="preserve">Established in 2017, the </w:t>
      </w:r>
      <w:r w:rsidRPr="00121FBC">
        <w:rPr>
          <w:rFonts w:ascii="Arial" w:hAnsi="Arial" w:cs="Arial"/>
          <w:b/>
        </w:rPr>
        <w:t>Black Legal Action Centre (BLAC)</w:t>
      </w:r>
      <w:r w:rsidRPr="00121FBC">
        <w:rPr>
          <w:rFonts w:ascii="Arial" w:hAnsi="Arial" w:cs="Arial"/>
        </w:rPr>
        <w:t xml:space="preserve"> is an independent not-for-profit community legal clinic that combats individual and systemic anti-Black racism by providing free legal services, conducting research, developing public legal education materials, and engaging in test case litigation and law reform. BLAC is the successor to the African Canadian Legal Clinic which was accredited to the 1981 UN World Conference Against Racism, Racial Discrimination, Xenophobia and Related Intolerance.</w:t>
      </w:r>
    </w:p>
    <w:p w14:paraId="37F87179" w14:textId="77777777" w:rsidR="00EA52C4" w:rsidRPr="00121FBC" w:rsidRDefault="00EA52C4" w:rsidP="00814D8E">
      <w:pPr>
        <w:spacing w:line="276" w:lineRule="auto"/>
        <w:rPr>
          <w:rFonts w:ascii="Arial" w:hAnsi="Arial" w:cs="Arial"/>
        </w:rPr>
      </w:pPr>
    </w:p>
    <w:p w14:paraId="51260C2B" w14:textId="77777777" w:rsidR="00EA52C4" w:rsidRPr="00121FBC" w:rsidRDefault="00EA52C4" w:rsidP="00814D8E">
      <w:pPr>
        <w:widowControl w:val="0"/>
        <w:pBdr>
          <w:top w:val="nil"/>
          <w:left w:val="nil"/>
          <w:bottom w:val="nil"/>
          <w:right w:val="nil"/>
          <w:between w:val="nil"/>
        </w:pBdr>
        <w:spacing w:line="276" w:lineRule="auto"/>
        <w:ind w:right="357"/>
        <w:rPr>
          <w:rFonts w:ascii="Arial" w:hAnsi="Arial" w:cs="Arial"/>
        </w:rPr>
      </w:pPr>
      <w:r w:rsidRPr="00121FBC">
        <w:rPr>
          <w:rFonts w:ascii="Arial" w:hAnsi="Arial" w:cs="Arial"/>
        </w:rPr>
        <w:t xml:space="preserve">The </w:t>
      </w:r>
      <w:r w:rsidRPr="00121FBC">
        <w:rPr>
          <w:rFonts w:ascii="Arial" w:hAnsi="Arial" w:cs="Arial"/>
          <w:b/>
          <w:bCs/>
        </w:rPr>
        <w:t xml:space="preserve">Chinese &amp; South East Asian Legal Clinic (CSALC) </w:t>
      </w:r>
      <w:r w:rsidRPr="00121FBC">
        <w:rPr>
          <w:rFonts w:ascii="Arial" w:hAnsi="Arial" w:cs="Arial"/>
        </w:rPr>
        <w:t xml:space="preserve">– formerly known as the Metro Toronto Chinese &amp; Southeast Asian Legal Clinic (MTCSALC) – is a Canadian NGO mandated to provide free legal services to low income members of Chinese and Southeast Asian communities in Ontario. Apart from providing legal services, CSALC also engages in systemic advocacy to advance the rights of immigrants, racialized communities and other disadvantaged members of society. CSALC has ECOSOC consultative status at the UN. </w:t>
      </w:r>
    </w:p>
    <w:p w14:paraId="3BADBCF7" w14:textId="77777777" w:rsidR="00EA52C4" w:rsidRPr="00121FBC" w:rsidRDefault="00EA52C4" w:rsidP="00814D8E">
      <w:pPr>
        <w:widowControl w:val="0"/>
        <w:pBdr>
          <w:top w:val="nil"/>
          <w:left w:val="nil"/>
          <w:bottom w:val="nil"/>
          <w:right w:val="nil"/>
          <w:between w:val="nil"/>
        </w:pBdr>
        <w:spacing w:line="276" w:lineRule="auto"/>
        <w:ind w:right="357"/>
        <w:rPr>
          <w:rFonts w:ascii="Arial" w:hAnsi="Arial" w:cs="Arial"/>
        </w:rPr>
      </w:pPr>
    </w:p>
    <w:p w14:paraId="1337266D" w14:textId="77777777" w:rsidR="00EA52C4" w:rsidRPr="00121FBC" w:rsidRDefault="00EA52C4" w:rsidP="00814D8E">
      <w:pPr>
        <w:widowControl w:val="0"/>
        <w:pBdr>
          <w:top w:val="nil"/>
          <w:left w:val="nil"/>
          <w:bottom w:val="nil"/>
          <w:right w:val="nil"/>
          <w:between w:val="nil"/>
        </w:pBdr>
        <w:spacing w:line="276" w:lineRule="auto"/>
        <w:ind w:right="357"/>
        <w:rPr>
          <w:rFonts w:ascii="Arial" w:eastAsia="Times New Roman" w:hAnsi="Arial" w:cs="Arial"/>
          <w:color w:val="000000"/>
        </w:rPr>
      </w:pPr>
      <w:r w:rsidRPr="00121FBC">
        <w:rPr>
          <w:rFonts w:ascii="Arial" w:eastAsia="Times New Roman" w:hAnsi="Arial" w:cs="Arial"/>
          <w:color w:val="000000"/>
        </w:rPr>
        <w:t xml:space="preserve">The </w:t>
      </w:r>
      <w:r w:rsidRPr="00121FBC">
        <w:rPr>
          <w:rFonts w:ascii="Arial" w:eastAsia="Times New Roman" w:hAnsi="Arial" w:cs="Arial"/>
          <w:b/>
          <w:color w:val="000000"/>
        </w:rPr>
        <w:t>Chinese Canadian National Council for Social Justice</w:t>
      </w:r>
      <w:r w:rsidRPr="00121FBC">
        <w:rPr>
          <w:rFonts w:ascii="Arial" w:eastAsia="Times New Roman" w:hAnsi="Arial" w:cs="Arial"/>
          <w:color w:val="000000"/>
        </w:rPr>
        <w:t xml:space="preserve"> </w:t>
      </w:r>
      <w:r w:rsidRPr="00121FBC">
        <w:rPr>
          <w:rFonts w:ascii="Arial" w:eastAsia="Times New Roman" w:hAnsi="Arial" w:cs="Arial"/>
          <w:b/>
          <w:color w:val="000000"/>
        </w:rPr>
        <w:t>(CCNC-SJ)</w:t>
      </w:r>
      <w:r w:rsidRPr="00121FBC">
        <w:rPr>
          <w:rFonts w:ascii="Arial" w:eastAsia="Times New Roman" w:hAnsi="Arial" w:cs="Arial"/>
          <w:color w:val="000000"/>
        </w:rPr>
        <w:t xml:space="preserve"> is a not-for-profit organization that engages, educates, and advocates for social justice and equity for all. Since January 2020 when the first case of COVID 19 was found in Canada, CCNC-SJ has been leading and collaborating with partners across Canada campaigns to raise awareness about rising anti-Asian racism and to advocate for government and community actions to combat systemic anti-Asian racism in Canada.</w:t>
      </w:r>
    </w:p>
    <w:p w14:paraId="45C9DD24" w14:textId="77777777" w:rsidR="00EA52C4" w:rsidRPr="00121FBC" w:rsidRDefault="00EA52C4" w:rsidP="00814D8E">
      <w:pPr>
        <w:pStyle w:val="Default"/>
        <w:spacing w:line="276" w:lineRule="auto"/>
        <w:rPr>
          <w:rFonts w:ascii="Arial" w:hAnsi="Arial" w:cs="Arial"/>
        </w:rPr>
      </w:pPr>
    </w:p>
    <w:p w14:paraId="1C6F6ED8" w14:textId="77777777" w:rsidR="00EA52C4" w:rsidRPr="00121FBC" w:rsidRDefault="00EA52C4" w:rsidP="00814D8E">
      <w:pPr>
        <w:widowControl w:val="0"/>
        <w:pBdr>
          <w:top w:val="nil"/>
          <w:left w:val="nil"/>
          <w:bottom w:val="nil"/>
          <w:right w:val="nil"/>
          <w:between w:val="nil"/>
        </w:pBdr>
        <w:spacing w:line="276" w:lineRule="auto"/>
        <w:ind w:left="4" w:right="358" w:firstLine="7"/>
        <w:rPr>
          <w:rFonts w:ascii="Arial" w:hAnsi="Arial" w:cs="Arial"/>
        </w:rPr>
      </w:pPr>
      <w:r w:rsidRPr="00121FBC">
        <w:rPr>
          <w:rFonts w:ascii="Arial" w:hAnsi="Arial" w:cs="Arial"/>
          <w:bCs/>
        </w:rPr>
        <w:t xml:space="preserve">The </w:t>
      </w:r>
      <w:r w:rsidRPr="00121FBC">
        <w:rPr>
          <w:rFonts w:ascii="Arial" w:hAnsi="Arial" w:cs="Arial"/>
          <w:b/>
          <w:bCs/>
        </w:rPr>
        <w:t xml:space="preserve">OCASI - Ontario Council of Agencies Serving Immigrants </w:t>
      </w:r>
      <w:r w:rsidRPr="00121FBC">
        <w:rPr>
          <w:rFonts w:ascii="Arial" w:hAnsi="Arial" w:cs="Arial"/>
        </w:rPr>
        <w:t xml:space="preserve">is a council of autonomous immigrant and refugee-serving organizations in Ontario and the </w:t>
      </w:r>
      <w:r w:rsidRPr="00121FBC">
        <w:rPr>
          <w:rFonts w:ascii="Arial" w:hAnsi="Arial" w:cs="Arial"/>
        </w:rPr>
        <w:lastRenderedPageBreak/>
        <w:t>collective voice of the immigrant and refugee-serving sector in the province. Formed in 1978, OCASI has 240 member organizations across the province of Ontario. OCASI’s mission is to achieve equality, access and full participation for immigrants and refugees in every aspect of Canadian life. For more than four decades OCASI has engaged in public education and advocacy to identify and address systemic and structural racism and discrimination.</w:t>
      </w:r>
    </w:p>
    <w:p w14:paraId="79FC04CB" w14:textId="77777777" w:rsidR="00EA52C4" w:rsidRPr="00121FBC" w:rsidRDefault="00EA52C4" w:rsidP="00814D8E">
      <w:pPr>
        <w:widowControl w:val="0"/>
        <w:pBdr>
          <w:top w:val="nil"/>
          <w:left w:val="nil"/>
          <w:bottom w:val="nil"/>
          <w:right w:val="nil"/>
          <w:between w:val="nil"/>
        </w:pBdr>
        <w:spacing w:line="276" w:lineRule="auto"/>
        <w:ind w:left="4" w:right="358" w:firstLine="7"/>
        <w:rPr>
          <w:rFonts w:ascii="Arial" w:hAnsi="Arial" w:cs="Arial"/>
        </w:rPr>
      </w:pPr>
      <w:r w:rsidRPr="00121FBC">
        <w:rPr>
          <w:rFonts w:ascii="Arial" w:hAnsi="Arial" w:cs="Arial"/>
        </w:rPr>
        <w:t xml:space="preserve"> </w:t>
      </w:r>
    </w:p>
    <w:p w14:paraId="5A602284" w14:textId="77777777" w:rsidR="00EA52C4" w:rsidRPr="00121FBC" w:rsidRDefault="00EA52C4" w:rsidP="00814D8E">
      <w:pPr>
        <w:spacing w:line="276" w:lineRule="auto"/>
        <w:rPr>
          <w:rFonts w:ascii="Arial" w:hAnsi="Arial" w:cs="Arial"/>
        </w:rPr>
      </w:pPr>
      <w:r w:rsidRPr="00121FBC">
        <w:rPr>
          <w:rFonts w:ascii="Arial" w:hAnsi="Arial" w:cs="Arial"/>
        </w:rPr>
        <w:t xml:space="preserve">The </w:t>
      </w:r>
      <w:r w:rsidRPr="00121FBC">
        <w:rPr>
          <w:rFonts w:ascii="Arial" w:hAnsi="Arial" w:cs="Arial"/>
          <w:b/>
          <w:bCs/>
        </w:rPr>
        <w:t>South Asian Legal Clinic of Ontario</w:t>
      </w:r>
      <w:r w:rsidRPr="00121FBC">
        <w:rPr>
          <w:rFonts w:ascii="Arial" w:hAnsi="Arial" w:cs="Arial"/>
        </w:rPr>
        <w:t xml:space="preserve"> (SALCO) is a not-for-profit community legal clinic that advances access to justice for low-income South Asian communities in Ontario through culturally responsive, language-accessible legal services and systemic advocacy. Established in 1999, SALCO provides direct legal representation, advice, and referrals in areas including human rights, income security, housing, employment, family, and immigration. Beyond individual casework, SALCO works to address systemic racism and discrimination through law reform, test-case and strategic litigation partnerships, community development, and public legal education. SALCO holds ECOSOC consultative status with the United Nations.</w:t>
      </w:r>
    </w:p>
    <w:p w14:paraId="123FCD23" w14:textId="77777777" w:rsidR="00EA52C4" w:rsidRDefault="00EA52C4" w:rsidP="00814D8E">
      <w:pPr>
        <w:pStyle w:val="Heading1"/>
        <w:spacing w:before="0" w:line="276" w:lineRule="auto"/>
        <w:contextualSpacing/>
        <w:rPr>
          <w:rFonts w:ascii="Arial" w:hAnsi="Arial" w:cs="Arial"/>
          <w:b/>
          <w:bCs/>
          <w:sz w:val="24"/>
          <w:szCs w:val="24"/>
        </w:rPr>
      </w:pPr>
    </w:p>
    <w:p w14:paraId="39E00115" w14:textId="77777777" w:rsidR="009542B1" w:rsidRDefault="009542B1" w:rsidP="009542B1"/>
    <w:p w14:paraId="5CC2E32A" w14:textId="77777777" w:rsidR="009542B1" w:rsidRPr="009542B1" w:rsidRDefault="009542B1" w:rsidP="009542B1"/>
    <w:p w14:paraId="098C9322" w14:textId="248BA834" w:rsidR="008F590E" w:rsidRPr="008F590E" w:rsidRDefault="008F590E" w:rsidP="008F590E">
      <w:pPr>
        <w:pStyle w:val="Heading1"/>
        <w:rPr>
          <w:rFonts w:ascii="Arial" w:hAnsi="Arial" w:cs="Arial"/>
          <w:b/>
          <w:bCs/>
          <w:u w:val="single"/>
        </w:rPr>
      </w:pPr>
      <w:bookmarkStart w:id="4" w:name="_Toc220920948"/>
      <w:r w:rsidRPr="008F590E">
        <w:rPr>
          <w:rFonts w:ascii="Arial" w:hAnsi="Arial" w:cs="Arial"/>
          <w:b/>
          <w:bCs/>
          <w:color w:val="auto"/>
          <w:u w:val="single"/>
        </w:rPr>
        <w:t>Endorsements</w:t>
      </w:r>
      <w:bookmarkEnd w:id="4"/>
    </w:p>
    <w:p w14:paraId="0B1E9002" w14:textId="77777777" w:rsidR="008F590E" w:rsidRDefault="008F590E">
      <w:pPr>
        <w:rPr>
          <w:rFonts w:ascii="Arial" w:hAnsi="Arial" w:cs="Arial"/>
          <w:b/>
          <w:bCs/>
          <w:u w:val="single"/>
        </w:rPr>
      </w:pPr>
    </w:p>
    <w:p w14:paraId="538E5439" w14:textId="4F057773" w:rsidR="008F590E" w:rsidRDefault="008F590E" w:rsidP="008F590E">
      <w:pPr>
        <w:spacing w:line="360" w:lineRule="auto"/>
        <w:rPr>
          <w:rFonts w:ascii="Arial" w:hAnsi="Arial" w:cs="Arial"/>
        </w:rPr>
      </w:pPr>
      <w:r>
        <w:rPr>
          <w:rFonts w:ascii="Arial" w:hAnsi="Arial" w:cs="Arial"/>
        </w:rPr>
        <w:t>This submission has been endorsed by the following organizations (in alphabetical order):</w:t>
      </w:r>
    </w:p>
    <w:p w14:paraId="4FB03EFE" w14:textId="175AC02C" w:rsidR="008F590E" w:rsidRPr="008F590E" w:rsidRDefault="008F590E" w:rsidP="008F590E">
      <w:pPr>
        <w:pStyle w:val="ListParagraph"/>
        <w:numPr>
          <w:ilvl w:val="0"/>
          <w:numId w:val="20"/>
        </w:numPr>
        <w:spacing w:line="360" w:lineRule="auto"/>
        <w:rPr>
          <w:rFonts w:ascii="Arial" w:hAnsi="Arial" w:cs="Arial"/>
          <w:b/>
          <w:bCs/>
          <w:sz w:val="24"/>
          <w:szCs w:val="24"/>
        </w:rPr>
      </w:pPr>
      <w:r w:rsidRPr="008F590E">
        <w:rPr>
          <w:rFonts w:ascii="Arial" w:hAnsi="Arial" w:cs="Arial"/>
          <w:b/>
          <w:bCs/>
          <w:sz w:val="24"/>
          <w:szCs w:val="24"/>
        </w:rPr>
        <w:t xml:space="preserve">Canadian Association of Elizabeth Fry Societies </w:t>
      </w:r>
      <w:r w:rsidR="00510DE4">
        <w:rPr>
          <w:rFonts w:ascii="Arial" w:hAnsi="Arial" w:cs="Arial"/>
          <w:b/>
          <w:bCs/>
          <w:sz w:val="24"/>
          <w:szCs w:val="24"/>
        </w:rPr>
        <w:t>(CAEFS)</w:t>
      </w:r>
    </w:p>
    <w:p w14:paraId="2928BEC3" w14:textId="25D16AF8" w:rsidR="008F590E" w:rsidRPr="008F590E" w:rsidRDefault="008F590E" w:rsidP="008F590E">
      <w:pPr>
        <w:pStyle w:val="ListParagraph"/>
        <w:numPr>
          <w:ilvl w:val="0"/>
          <w:numId w:val="20"/>
        </w:numPr>
        <w:spacing w:line="360" w:lineRule="auto"/>
        <w:rPr>
          <w:rFonts w:ascii="Arial" w:hAnsi="Arial" w:cs="Arial"/>
          <w:b/>
          <w:bCs/>
          <w:sz w:val="24"/>
          <w:szCs w:val="24"/>
        </w:rPr>
      </w:pPr>
      <w:r w:rsidRPr="008F590E">
        <w:rPr>
          <w:rFonts w:ascii="Arial" w:hAnsi="Arial" w:cs="Arial"/>
          <w:b/>
          <w:bCs/>
          <w:sz w:val="24"/>
          <w:szCs w:val="24"/>
        </w:rPr>
        <w:t>Feminist Alliance for International Action (Canada)</w:t>
      </w:r>
      <w:r w:rsidR="00510DE4">
        <w:rPr>
          <w:rFonts w:ascii="Arial" w:hAnsi="Arial" w:cs="Arial"/>
          <w:b/>
          <w:bCs/>
          <w:sz w:val="24"/>
          <w:szCs w:val="24"/>
        </w:rPr>
        <w:t xml:space="preserve"> (FAFIA)</w:t>
      </w:r>
    </w:p>
    <w:p w14:paraId="42B85E12" w14:textId="16178102" w:rsidR="009542B1" w:rsidRPr="008F590E" w:rsidRDefault="008F590E" w:rsidP="008F590E">
      <w:pPr>
        <w:pStyle w:val="ListParagraph"/>
        <w:numPr>
          <w:ilvl w:val="0"/>
          <w:numId w:val="20"/>
        </w:numPr>
        <w:spacing w:line="360" w:lineRule="auto"/>
        <w:rPr>
          <w:rFonts w:ascii="Arial" w:eastAsiaTheme="minorEastAsia" w:hAnsi="Arial" w:cs="Arial"/>
          <w:sz w:val="24"/>
          <w:szCs w:val="24"/>
        </w:rPr>
      </w:pPr>
      <w:r w:rsidRPr="008F590E">
        <w:rPr>
          <w:rFonts w:ascii="Arial" w:hAnsi="Arial" w:cs="Arial"/>
          <w:b/>
          <w:bCs/>
          <w:sz w:val="24"/>
          <w:szCs w:val="24"/>
        </w:rPr>
        <w:t>John Humphrey Centre for Peace and Human Rights</w:t>
      </w:r>
      <w:r w:rsidR="00510DE4">
        <w:rPr>
          <w:rFonts w:ascii="Arial" w:hAnsi="Arial" w:cs="Arial"/>
          <w:b/>
          <w:bCs/>
          <w:sz w:val="24"/>
          <w:szCs w:val="24"/>
        </w:rPr>
        <w:t xml:space="preserve"> (JHC)</w:t>
      </w:r>
      <w:r w:rsidR="009542B1" w:rsidRPr="008F590E">
        <w:rPr>
          <w:rFonts w:ascii="Arial" w:hAnsi="Arial" w:cs="Arial"/>
          <w:b/>
          <w:bCs/>
          <w:u w:val="single"/>
        </w:rPr>
        <w:br w:type="page"/>
      </w:r>
    </w:p>
    <w:p w14:paraId="3F6BFF82" w14:textId="519B0269" w:rsidR="003A1D26" w:rsidRPr="00734E28" w:rsidRDefault="00AE1A1D" w:rsidP="008B7B6D">
      <w:pPr>
        <w:pStyle w:val="Heading1"/>
        <w:jc w:val="center"/>
        <w:rPr>
          <w:rFonts w:ascii="Arial" w:hAnsi="Arial" w:cs="Arial"/>
          <w:b/>
          <w:bCs/>
          <w:color w:val="auto"/>
          <w:u w:val="single"/>
        </w:rPr>
      </w:pPr>
      <w:bookmarkStart w:id="5" w:name="_Toc220920949"/>
      <w:r w:rsidRPr="00734E28">
        <w:rPr>
          <w:rFonts w:ascii="Arial" w:hAnsi="Arial" w:cs="Arial"/>
          <w:b/>
          <w:bCs/>
          <w:color w:val="auto"/>
          <w:u w:val="single"/>
        </w:rPr>
        <w:lastRenderedPageBreak/>
        <w:t>Non-discrimination (Art 2, 3, 6, 9, 25 and 26)</w:t>
      </w:r>
      <w:bookmarkEnd w:id="5"/>
    </w:p>
    <w:p w14:paraId="0535D6A6" w14:textId="77777777" w:rsidR="00814D8E" w:rsidRPr="00734E28" w:rsidRDefault="00814D8E" w:rsidP="00734E28">
      <w:pPr>
        <w:pStyle w:val="Heading1"/>
        <w:rPr>
          <w:rFonts w:ascii="Arial" w:hAnsi="Arial" w:cs="Arial"/>
          <w:b/>
          <w:bCs/>
          <w:color w:val="auto"/>
          <w:u w:val="single"/>
        </w:rPr>
      </w:pPr>
    </w:p>
    <w:p w14:paraId="7DB67EB2" w14:textId="26116AAB" w:rsidR="00AE1A1D" w:rsidRPr="00734E28" w:rsidRDefault="00AE1A1D" w:rsidP="00814D8E">
      <w:pPr>
        <w:pStyle w:val="Heading2"/>
        <w:spacing w:before="0" w:line="276" w:lineRule="auto"/>
        <w:contextualSpacing/>
        <w:rPr>
          <w:rFonts w:ascii="Arial" w:hAnsi="Arial" w:cs="Arial"/>
          <w:b/>
          <w:bCs/>
          <w:color w:val="auto"/>
          <w:sz w:val="24"/>
          <w:szCs w:val="24"/>
          <w:u w:val="single"/>
        </w:rPr>
      </w:pPr>
      <w:bookmarkStart w:id="6" w:name="_Toc220920950"/>
      <w:r w:rsidRPr="00734E28">
        <w:rPr>
          <w:rFonts w:ascii="Arial" w:hAnsi="Arial" w:cs="Arial"/>
          <w:b/>
          <w:bCs/>
          <w:color w:val="auto"/>
          <w:sz w:val="24"/>
          <w:szCs w:val="24"/>
          <w:u w:val="single"/>
        </w:rPr>
        <w:t>Disaggregated data collection</w:t>
      </w:r>
      <w:bookmarkEnd w:id="6"/>
    </w:p>
    <w:p w14:paraId="70D492D2" w14:textId="77777777" w:rsidR="00814D8E" w:rsidRPr="00121FBC" w:rsidRDefault="00814D8E" w:rsidP="00814D8E">
      <w:pPr>
        <w:rPr>
          <w:rFonts w:ascii="Arial" w:hAnsi="Arial" w:cs="Arial"/>
        </w:rPr>
      </w:pPr>
    </w:p>
    <w:p w14:paraId="5D2776FC" w14:textId="77777777" w:rsidR="00AE1A1D" w:rsidRPr="00121FBC" w:rsidRDefault="00AE1A1D" w:rsidP="00814D8E">
      <w:pPr>
        <w:pStyle w:val="ListParagraph"/>
        <w:numPr>
          <w:ilvl w:val="0"/>
          <w:numId w:val="10"/>
        </w:numPr>
        <w:spacing w:line="276" w:lineRule="auto"/>
        <w:contextualSpacing/>
        <w:jc w:val="both"/>
        <w:rPr>
          <w:rFonts w:ascii="Arial" w:hAnsi="Arial" w:cs="Arial"/>
          <w:sz w:val="24"/>
          <w:szCs w:val="24"/>
          <w:lang w:val="en-CA"/>
        </w:rPr>
      </w:pPr>
      <w:r w:rsidRPr="00121FBC">
        <w:rPr>
          <w:rFonts w:ascii="Arial" w:hAnsi="Arial" w:cs="Arial"/>
          <w:sz w:val="24"/>
          <w:szCs w:val="24"/>
          <w:lang w:val="en-CA"/>
        </w:rPr>
        <w:t>Canada</w:t>
      </w:r>
      <w:r w:rsidRPr="00121FBC">
        <w:rPr>
          <w:rFonts w:ascii="Arial" w:hAnsi="Arial" w:cs="Arial"/>
          <w:spacing w:val="-2"/>
          <w:sz w:val="24"/>
          <w:szCs w:val="24"/>
          <w:lang w:val="en-CA"/>
        </w:rPr>
        <w:t xml:space="preserve"> </w:t>
      </w:r>
      <w:r w:rsidRPr="00121FBC">
        <w:rPr>
          <w:rFonts w:ascii="Arial" w:hAnsi="Arial" w:cs="Arial"/>
          <w:sz w:val="24"/>
          <w:szCs w:val="24"/>
          <w:lang w:val="en-CA"/>
        </w:rPr>
        <w:t>has</w:t>
      </w:r>
      <w:r w:rsidRPr="00121FBC">
        <w:rPr>
          <w:rFonts w:ascii="Arial" w:hAnsi="Arial" w:cs="Arial"/>
          <w:spacing w:val="-4"/>
          <w:sz w:val="24"/>
          <w:szCs w:val="24"/>
          <w:lang w:val="en-CA"/>
        </w:rPr>
        <w:t xml:space="preserve"> </w:t>
      </w:r>
      <w:r w:rsidRPr="00121FBC">
        <w:rPr>
          <w:rFonts w:ascii="Arial" w:hAnsi="Arial" w:cs="Arial"/>
          <w:sz w:val="24"/>
          <w:szCs w:val="24"/>
          <w:lang w:val="en-CA"/>
        </w:rPr>
        <w:t>a</w:t>
      </w:r>
      <w:r w:rsidRPr="00121FBC">
        <w:rPr>
          <w:rFonts w:ascii="Arial" w:hAnsi="Arial" w:cs="Arial"/>
          <w:spacing w:val="-5"/>
          <w:sz w:val="24"/>
          <w:szCs w:val="24"/>
          <w:lang w:val="en-CA"/>
        </w:rPr>
        <w:t xml:space="preserve"> </w:t>
      </w:r>
      <w:r w:rsidRPr="00121FBC">
        <w:rPr>
          <w:rFonts w:ascii="Arial" w:hAnsi="Arial" w:cs="Arial"/>
          <w:sz w:val="24"/>
          <w:szCs w:val="24"/>
          <w:lang w:val="en-CA"/>
        </w:rPr>
        <w:t>significant</w:t>
      </w:r>
      <w:r w:rsidRPr="00121FBC">
        <w:rPr>
          <w:rFonts w:ascii="Arial" w:hAnsi="Arial" w:cs="Arial"/>
          <w:spacing w:val="-4"/>
          <w:sz w:val="24"/>
          <w:szCs w:val="24"/>
          <w:lang w:val="en-CA"/>
        </w:rPr>
        <w:t xml:space="preserve"> </w:t>
      </w:r>
      <w:r w:rsidRPr="00121FBC">
        <w:rPr>
          <w:rFonts w:ascii="Arial" w:hAnsi="Arial" w:cs="Arial"/>
          <w:sz w:val="24"/>
          <w:szCs w:val="24"/>
          <w:lang w:val="en-CA"/>
        </w:rPr>
        <w:t>and</w:t>
      </w:r>
      <w:r w:rsidRPr="00121FBC">
        <w:rPr>
          <w:rFonts w:ascii="Arial" w:hAnsi="Arial" w:cs="Arial"/>
          <w:spacing w:val="-4"/>
          <w:sz w:val="24"/>
          <w:szCs w:val="24"/>
          <w:lang w:val="en-CA"/>
        </w:rPr>
        <w:t xml:space="preserve"> </w:t>
      </w:r>
      <w:r w:rsidRPr="00121FBC">
        <w:rPr>
          <w:rFonts w:ascii="Arial" w:hAnsi="Arial" w:cs="Arial"/>
          <w:sz w:val="24"/>
          <w:szCs w:val="24"/>
          <w:lang w:val="en-CA"/>
        </w:rPr>
        <w:t>diverse</w:t>
      </w:r>
      <w:r w:rsidRPr="00121FBC">
        <w:rPr>
          <w:rFonts w:ascii="Arial" w:hAnsi="Arial" w:cs="Arial"/>
          <w:spacing w:val="-6"/>
          <w:sz w:val="24"/>
          <w:szCs w:val="24"/>
          <w:lang w:val="en-CA"/>
        </w:rPr>
        <w:t xml:space="preserve"> </w:t>
      </w:r>
      <w:r w:rsidRPr="00121FBC">
        <w:rPr>
          <w:rFonts w:ascii="Arial" w:hAnsi="Arial" w:cs="Arial"/>
          <w:sz w:val="24"/>
          <w:szCs w:val="24"/>
          <w:lang w:val="en-CA"/>
        </w:rPr>
        <w:t>population</w:t>
      </w:r>
      <w:r w:rsidRPr="00121FBC">
        <w:rPr>
          <w:rFonts w:ascii="Arial" w:hAnsi="Arial" w:cs="Arial"/>
          <w:spacing w:val="-4"/>
          <w:sz w:val="24"/>
          <w:szCs w:val="24"/>
          <w:lang w:val="en-CA"/>
        </w:rPr>
        <w:t xml:space="preserve"> </w:t>
      </w:r>
      <w:r w:rsidRPr="00121FBC">
        <w:rPr>
          <w:rFonts w:ascii="Arial" w:hAnsi="Arial" w:cs="Arial"/>
          <w:sz w:val="24"/>
          <w:szCs w:val="24"/>
          <w:lang w:val="en-CA"/>
        </w:rPr>
        <w:t>of racialized people, which is changing due to immigration. It welcomed just over 1.3 million new permanent residents between 2016 and 2021, a record high. Immigration accounts for almost 100% of Canada’s labour force growth. Roughly 75% of Canada’s population growth comes from immigration, mostly in the economic category. Indigenous and racialized people are the fastest growing population in Canada, including racialized women.  In 2016, racialized people accounted for 22.2% of Canada’s population with a projected estimate of 38.2-43% by the year 2041</w:t>
      </w:r>
      <w:r w:rsidRPr="00121FBC">
        <w:rPr>
          <w:rStyle w:val="FootnoteReference"/>
          <w:rFonts w:ascii="Arial" w:hAnsi="Arial" w:cs="Arial"/>
          <w:sz w:val="24"/>
          <w:szCs w:val="24"/>
          <w:lang w:val="en-CA"/>
        </w:rPr>
        <w:footnoteReference w:id="1"/>
      </w:r>
      <w:r w:rsidRPr="00121FBC">
        <w:rPr>
          <w:rFonts w:ascii="Arial" w:hAnsi="Arial" w:cs="Arial"/>
          <w:sz w:val="24"/>
          <w:szCs w:val="24"/>
          <w:lang w:val="en-CA"/>
        </w:rPr>
        <w:t>. The Indigenous population continues to grow faster than the non-Indigenous population, growing 9.4% between 2016 and 2021</w:t>
      </w:r>
      <w:r w:rsidRPr="00121FBC">
        <w:rPr>
          <w:rStyle w:val="FootnoteReference"/>
          <w:rFonts w:ascii="Arial" w:hAnsi="Arial" w:cs="Arial"/>
          <w:sz w:val="24"/>
          <w:szCs w:val="24"/>
          <w:lang w:val="en-CA"/>
        </w:rPr>
        <w:footnoteReference w:id="2"/>
      </w:r>
      <w:r w:rsidRPr="00121FBC">
        <w:rPr>
          <w:rFonts w:ascii="Arial" w:hAnsi="Arial" w:cs="Arial"/>
          <w:sz w:val="24"/>
          <w:szCs w:val="24"/>
          <w:lang w:val="en-CA"/>
        </w:rPr>
        <w:t>. In 2021, among women, more than 1 in 4 (25.8%) women aged 15 and older were part of the racialized population, more than one-quarter (27.1%) were immigrants, and 4.5% were Indigenous</w:t>
      </w:r>
      <w:r w:rsidRPr="00121FBC">
        <w:rPr>
          <w:rStyle w:val="FootnoteReference"/>
          <w:rFonts w:ascii="Arial" w:hAnsi="Arial" w:cs="Arial"/>
          <w:sz w:val="24"/>
          <w:szCs w:val="24"/>
          <w:lang w:val="en-CA"/>
        </w:rPr>
        <w:footnoteReference w:id="3"/>
      </w:r>
      <w:r w:rsidRPr="00121FBC">
        <w:rPr>
          <w:rFonts w:ascii="Arial" w:hAnsi="Arial" w:cs="Arial"/>
          <w:sz w:val="24"/>
          <w:szCs w:val="24"/>
          <w:lang w:val="en-CA"/>
        </w:rPr>
        <w:t xml:space="preserve">.  </w:t>
      </w:r>
    </w:p>
    <w:p w14:paraId="733F58E5" w14:textId="77777777" w:rsidR="00EA52C4" w:rsidRPr="00121FBC" w:rsidRDefault="00EA52C4" w:rsidP="00814D8E">
      <w:pPr>
        <w:pStyle w:val="ListParagraph"/>
        <w:spacing w:line="276" w:lineRule="auto"/>
        <w:ind w:firstLine="0"/>
        <w:contextualSpacing/>
        <w:jc w:val="both"/>
        <w:rPr>
          <w:rFonts w:ascii="Arial" w:hAnsi="Arial" w:cs="Arial"/>
          <w:sz w:val="24"/>
          <w:szCs w:val="24"/>
          <w:lang w:val="en-CA"/>
        </w:rPr>
      </w:pPr>
    </w:p>
    <w:p w14:paraId="4E0C995B" w14:textId="77777777" w:rsidR="00AE1A1D" w:rsidRPr="00121FBC" w:rsidRDefault="00AE1A1D" w:rsidP="00814D8E">
      <w:pPr>
        <w:pStyle w:val="ListParagraph"/>
        <w:numPr>
          <w:ilvl w:val="0"/>
          <w:numId w:val="10"/>
        </w:numPr>
        <w:tabs>
          <w:tab w:val="left" w:pos="460"/>
        </w:tabs>
        <w:spacing w:line="276" w:lineRule="auto"/>
        <w:ind w:right="286"/>
        <w:contextualSpacing/>
        <w:jc w:val="both"/>
        <w:rPr>
          <w:rFonts w:ascii="Arial" w:hAnsi="Arial" w:cs="Arial"/>
          <w:sz w:val="24"/>
          <w:szCs w:val="24"/>
          <w:lang w:val="en-CA"/>
        </w:rPr>
      </w:pPr>
      <w:r w:rsidRPr="00121FBC">
        <w:rPr>
          <w:rFonts w:ascii="Arial" w:hAnsi="Arial" w:cs="Arial"/>
          <w:sz w:val="24"/>
          <w:szCs w:val="24"/>
          <w:lang w:val="en-CA"/>
        </w:rPr>
        <w:t>Recent statistics demonstrate the ethno-racial diversity of Canada:</w:t>
      </w:r>
    </w:p>
    <w:p w14:paraId="546422E8" w14:textId="77777777" w:rsidR="00AE1A1D" w:rsidRPr="00121FBC" w:rsidRDefault="00AE1A1D" w:rsidP="00814D8E">
      <w:pPr>
        <w:pStyle w:val="ListParagraph"/>
        <w:numPr>
          <w:ilvl w:val="1"/>
          <w:numId w:val="2"/>
        </w:numPr>
        <w:tabs>
          <w:tab w:val="left" w:pos="885"/>
        </w:tabs>
        <w:spacing w:line="276" w:lineRule="auto"/>
        <w:ind w:right="198"/>
        <w:contextualSpacing/>
        <w:jc w:val="both"/>
        <w:rPr>
          <w:rFonts w:ascii="Arial" w:hAnsi="Arial" w:cs="Arial"/>
          <w:sz w:val="24"/>
          <w:szCs w:val="24"/>
          <w:lang w:val="en-CA"/>
        </w:rPr>
      </w:pPr>
      <w:r w:rsidRPr="00121FBC">
        <w:rPr>
          <w:rFonts w:ascii="Arial" w:hAnsi="Arial" w:cs="Arial"/>
          <w:sz w:val="24"/>
          <w:szCs w:val="24"/>
          <w:lang w:val="en-CA"/>
        </w:rPr>
        <w:t>In</w:t>
      </w:r>
      <w:r w:rsidRPr="00121FBC">
        <w:rPr>
          <w:rFonts w:ascii="Arial" w:hAnsi="Arial" w:cs="Arial"/>
          <w:spacing w:val="-3"/>
          <w:sz w:val="24"/>
          <w:szCs w:val="24"/>
          <w:lang w:val="en-CA"/>
        </w:rPr>
        <w:t xml:space="preserve"> </w:t>
      </w:r>
      <w:r w:rsidRPr="00121FBC">
        <w:rPr>
          <w:rFonts w:ascii="Arial" w:hAnsi="Arial" w:cs="Arial"/>
          <w:sz w:val="24"/>
          <w:szCs w:val="24"/>
          <w:lang w:val="en-CA"/>
        </w:rPr>
        <w:t>2020,</w:t>
      </w:r>
      <w:r w:rsidRPr="00121FBC">
        <w:rPr>
          <w:rFonts w:ascii="Arial" w:hAnsi="Arial" w:cs="Arial"/>
          <w:spacing w:val="-3"/>
          <w:sz w:val="24"/>
          <w:szCs w:val="24"/>
          <w:lang w:val="en-CA"/>
        </w:rPr>
        <w:t xml:space="preserve"> </w:t>
      </w:r>
      <w:r w:rsidRPr="00121FBC">
        <w:rPr>
          <w:rFonts w:ascii="Arial" w:hAnsi="Arial" w:cs="Arial"/>
          <w:sz w:val="24"/>
          <w:szCs w:val="24"/>
          <w:lang w:val="en-CA"/>
        </w:rPr>
        <w:t>92%</w:t>
      </w:r>
      <w:r w:rsidRPr="00121FBC">
        <w:rPr>
          <w:rFonts w:ascii="Arial" w:hAnsi="Arial" w:cs="Arial"/>
          <w:spacing w:val="-4"/>
          <w:sz w:val="24"/>
          <w:szCs w:val="24"/>
          <w:lang w:val="en-CA"/>
        </w:rPr>
        <w:t xml:space="preserve"> </w:t>
      </w:r>
      <w:r w:rsidRPr="00121FBC">
        <w:rPr>
          <w:rFonts w:ascii="Arial" w:hAnsi="Arial" w:cs="Arial"/>
          <w:sz w:val="24"/>
          <w:szCs w:val="24"/>
          <w:lang w:val="en-CA"/>
        </w:rPr>
        <w:t>of</w:t>
      </w:r>
      <w:r w:rsidRPr="00121FBC">
        <w:rPr>
          <w:rFonts w:ascii="Arial" w:hAnsi="Arial" w:cs="Arial"/>
          <w:spacing w:val="-3"/>
          <w:sz w:val="24"/>
          <w:szCs w:val="24"/>
          <w:lang w:val="en-CA"/>
        </w:rPr>
        <w:t xml:space="preserve"> </w:t>
      </w:r>
      <w:r w:rsidRPr="00121FBC">
        <w:rPr>
          <w:rFonts w:ascii="Arial" w:hAnsi="Arial" w:cs="Arial"/>
          <w:sz w:val="24"/>
          <w:szCs w:val="24"/>
          <w:lang w:val="en-CA"/>
        </w:rPr>
        <w:t>Canadians</w:t>
      </w:r>
      <w:r w:rsidRPr="00121FBC">
        <w:rPr>
          <w:rFonts w:ascii="Arial" w:hAnsi="Arial" w:cs="Arial"/>
          <w:spacing w:val="-4"/>
          <w:sz w:val="24"/>
          <w:szCs w:val="24"/>
          <w:lang w:val="en-CA"/>
        </w:rPr>
        <w:t xml:space="preserve"> </w:t>
      </w:r>
      <w:r w:rsidRPr="00121FBC">
        <w:rPr>
          <w:rFonts w:ascii="Arial" w:hAnsi="Arial" w:cs="Arial"/>
          <w:sz w:val="24"/>
          <w:szCs w:val="24"/>
          <w:lang w:val="en-CA"/>
        </w:rPr>
        <w:t>aged</w:t>
      </w:r>
      <w:r w:rsidRPr="00121FBC">
        <w:rPr>
          <w:rFonts w:ascii="Arial" w:hAnsi="Arial" w:cs="Arial"/>
          <w:spacing w:val="-3"/>
          <w:sz w:val="24"/>
          <w:szCs w:val="24"/>
          <w:lang w:val="en-CA"/>
        </w:rPr>
        <w:t xml:space="preserve"> </w:t>
      </w:r>
      <w:r w:rsidRPr="00121FBC">
        <w:rPr>
          <w:rFonts w:ascii="Arial" w:hAnsi="Arial" w:cs="Arial"/>
          <w:sz w:val="24"/>
          <w:szCs w:val="24"/>
          <w:lang w:val="en-CA"/>
        </w:rPr>
        <w:t>15</w:t>
      </w:r>
      <w:r w:rsidRPr="00121FBC">
        <w:rPr>
          <w:rFonts w:ascii="Arial" w:hAnsi="Arial" w:cs="Arial"/>
          <w:spacing w:val="-3"/>
          <w:sz w:val="24"/>
          <w:szCs w:val="24"/>
          <w:lang w:val="en-CA"/>
        </w:rPr>
        <w:t xml:space="preserve"> </w:t>
      </w:r>
      <w:r w:rsidRPr="00121FBC">
        <w:rPr>
          <w:rFonts w:ascii="Arial" w:hAnsi="Arial" w:cs="Arial"/>
          <w:sz w:val="24"/>
          <w:szCs w:val="24"/>
          <w:lang w:val="en-CA"/>
        </w:rPr>
        <w:t>and</w:t>
      </w:r>
      <w:r w:rsidRPr="00121FBC">
        <w:rPr>
          <w:rFonts w:ascii="Arial" w:hAnsi="Arial" w:cs="Arial"/>
          <w:spacing w:val="-3"/>
          <w:sz w:val="24"/>
          <w:szCs w:val="24"/>
          <w:lang w:val="en-CA"/>
        </w:rPr>
        <w:t xml:space="preserve"> </w:t>
      </w:r>
      <w:r w:rsidRPr="00121FBC">
        <w:rPr>
          <w:rFonts w:ascii="Arial" w:hAnsi="Arial" w:cs="Arial"/>
          <w:sz w:val="24"/>
          <w:szCs w:val="24"/>
          <w:lang w:val="en-CA"/>
        </w:rPr>
        <w:t>older</w:t>
      </w:r>
      <w:r w:rsidRPr="00121FBC">
        <w:rPr>
          <w:rFonts w:ascii="Arial" w:hAnsi="Arial" w:cs="Arial"/>
          <w:spacing w:val="-3"/>
          <w:sz w:val="24"/>
          <w:szCs w:val="24"/>
          <w:lang w:val="en-CA"/>
        </w:rPr>
        <w:t xml:space="preserve"> </w:t>
      </w:r>
      <w:r w:rsidRPr="00121FBC">
        <w:rPr>
          <w:rFonts w:ascii="Arial" w:hAnsi="Arial" w:cs="Arial"/>
          <w:sz w:val="24"/>
          <w:szCs w:val="24"/>
          <w:lang w:val="en-CA"/>
        </w:rPr>
        <w:t>agreed</w:t>
      </w:r>
      <w:r w:rsidRPr="00121FBC">
        <w:rPr>
          <w:rFonts w:ascii="Arial" w:hAnsi="Arial" w:cs="Arial"/>
          <w:spacing w:val="-3"/>
          <w:sz w:val="24"/>
          <w:szCs w:val="24"/>
          <w:lang w:val="en-CA"/>
        </w:rPr>
        <w:t xml:space="preserve"> </w:t>
      </w:r>
      <w:r w:rsidRPr="00121FBC">
        <w:rPr>
          <w:rFonts w:ascii="Arial" w:hAnsi="Arial" w:cs="Arial"/>
          <w:sz w:val="24"/>
          <w:szCs w:val="24"/>
          <w:lang w:val="en-CA"/>
        </w:rPr>
        <w:t>that</w:t>
      </w:r>
      <w:r w:rsidRPr="00121FBC">
        <w:rPr>
          <w:rFonts w:ascii="Arial" w:hAnsi="Arial" w:cs="Arial"/>
          <w:spacing w:val="-3"/>
          <w:sz w:val="24"/>
          <w:szCs w:val="24"/>
          <w:lang w:val="en-CA"/>
        </w:rPr>
        <w:t xml:space="preserve"> </w:t>
      </w:r>
      <w:r w:rsidRPr="00121FBC">
        <w:rPr>
          <w:rFonts w:ascii="Arial" w:hAnsi="Arial" w:cs="Arial"/>
          <w:sz w:val="24"/>
          <w:szCs w:val="24"/>
          <w:lang w:val="en-CA"/>
        </w:rPr>
        <w:t>ethnic</w:t>
      </w:r>
      <w:r w:rsidRPr="00121FBC">
        <w:rPr>
          <w:rFonts w:ascii="Arial" w:hAnsi="Arial" w:cs="Arial"/>
          <w:spacing w:val="-4"/>
          <w:sz w:val="24"/>
          <w:szCs w:val="24"/>
          <w:lang w:val="en-CA"/>
        </w:rPr>
        <w:t xml:space="preserve"> </w:t>
      </w:r>
      <w:r w:rsidRPr="00121FBC">
        <w:rPr>
          <w:rFonts w:ascii="Arial" w:hAnsi="Arial" w:cs="Arial"/>
          <w:sz w:val="24"/>
          <w:szCs w:val="24"/>
          <w:lang w:val="en-CA"/>
        </w:rPr>
        <w:t>or</w:t>
      </w:r>
      <w:r w:rsidRPr="00121FBC">
        <w:rPr>
          <w:rFonts w:ascii="Arial" w:hAnsi="Arial" w:cs="Arial"/>
          <w:spacing w:val="-2"/>
          <w:sz w:val="24"/>
          <w:szCs w:val="24"/>
          <w:lang w:val="en-CA"/>
        </w:rPr>
        <w:t xml:space="preserve"> </w:t>
      </w:r>
      <w:r w:rsidRPr="00121FBC">
        <w:rPr>
          <w:rFonts w:ascii="Arial" w:hAnsi="Arial" w:cs="Arial"/>
          <w:sz w:val="24"/>
          <w:szCs w:val="24"/>
          <w:lang w:val="en-CA"/>
        </w:rPr>
        <w:t>cultural</w:t>
      </w:r>
      <w:r w:rsidRPr="00121FBC">
        <w:rPr>
          <w:rFonts w:ascii="Arial" w:hAnsi="Arial" w:cs="Arial"/>
          <w:spacing w:val="-1"/>
          <w:sz w:val="24"/>
          <w:szCs w:val="24"/>
          <w:lang w:val="en-CA"/>
        </w:rPr>
        <w:t xml:space="preserve"> </w:t>
      </w:r>
      <w:r w:rsidRPr="00121FBC">
        <w:rPr>
          <w:rFonts w:ascii="Arial" w:hAnsi="Arial" w:cs="Arial"/>
          <w:sz w:val="24"/>
          <w:szCs w:val="24"/>
          <w:lang w:val="en-CA"/>
        </w:rPr>
        <w:t>diversity</w:t>
      </w:r>
      <w:r w:rsidRPr="00121FBC">
        <w:rPr>
          <w:rFonts w:ascii="Arial" w:hAnsi="Arial" w:cs="Arial"/>
          <w:spacing w:val="-7"/>
          <w:sz w:val="24"/>
          <w:szCs w:val="24"/>
          <w:lang w:val="en-CA"/>
        </w:rPr>
        <w:t xml:space="preserve"> </w:t>
      </w:r>
      <w:r w:rsidRPr="00121FBC">
        <w:rPr>
          <w:rFonts w:ascii="Arial" w:hAnsi="Arial" w:cs="Arial"/>
          <w:sz w:val="24"/>
          <w:szCs w:val="24"/>
          <w:lang w:val="en-CA"/>
        </w:rPr>
        <w:t>is</w:t>
      </w:r>
      <w:r w:rsidRPr="00121FBC">
        <w:rPr>
          <w:rFonts w:ascii="Arial" w:hAnsi="Arial" w:cs="Arial"/>
          <w:spacing w:val="-4"/>
          <w:sz w:val="24"/>
          <w:szCs w:val="24"/>
          <w:lang w:val="en-CA"/>
        </w:rPr>
        <w:t xml:space="preserve"> </w:t>
      </w:r>
      <w:r w:rsidRPr="00121FBC">
        <w:rPr>
          <w:rFonts w:ascii="Arial" w:hAnsi="Arial" w:cs="Arial"/>
          <w:sz w:val="24"/>
          <w:szCs w:val="24"/>
          <w:lang w:val="en-CA"/>
        </w:rPr>
        <w:t>a Canadian value.</w:t>
      </w:r>
    </w:p>
    <w:p w14:paraId="209BF8DF" w14:textId="77777777"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sz w:val="24"/>
          <w:szCs w:val="24"/>
          <w:lang w:val="en-CA"/>
        </w:rPr>
      </w:pPr>
      <w:r w:rsidRPr="00121FBC">
        <w:rPr>
          <w:rFonts w:ascii="Arial" w:hAnsi="Arial" w:cs="Arial"/>
          <w:sz w:val="24"/>
          <w:szCs w:val="24"/>
          <w:lang w:val="en-CA"/>
        </w:rPr>
        <w:t>In</w:t>
      </w:r>
      <w:r w:rsidRPr="00121FBC">
        <w:rPr>
          <w:rFonts w:ascii="Arial" w:hAnsi="Arial" w:cs="Arial"/>
          <w:spacing w:val="-4"/>
          <w:sz w:val="24"/>
          <w:szCs w:val="24"/>
          <w:lang w:val="en-CA"/>
        </w:rPr>
        <w:t xml:space="preserve"> </w:t>
      </w:r>
      <w:r w:rsidRPr="00121FBC">
        <w:rPr>
          <w:rFonts w:ascii="Arial" w:hAnsi="Arial" w:cs="Arial"/>
          <w:sz w:val="24"/>
          <w:szCs w:val="24"/>
          <w:lang w:val="en-CA"/>
        </w:rPr>
        <w:t>the</w:t>
      </w:r>
      <w:r w:rsidRPr="00121FBC">
        <w:rPr>
          <w:rFonts w:ascii="Arial" w:hAnsi="Arial" w:cs="Arial"/>
          <w:spacing w:val="-4"/>
          <w:sz w:val="24"/>
          <w:szCs w:val="24"/>
          <w:lang w:val="en-CA"/>
        </w:rPr>
        <w:t xml:space="preserve"> </w:t>
      </w:r>
      <w:r w:rsidRPr="00121FBC">
        <w:rPr>
          <w:rFonts w:ascii="Arial" w:hAnsi="Arial" w:cs="Arial"/>
          <w:sz w:val="24"/>
          <w:szCs w:val="24"/>
          <w:lang w:val="en-CA"/>
        </w:rPr>
        <w:t>2021</w:t>
      </w:r>
      <w:r w:rsidRPr="00121FBC">
        <w:rPr>
          <w:rFonts w:ascii="Arial" w:hAnsi="Arial" w:cs="Arial"/>
          <w:spacing w:val="-4"/>
          <w:sz w:val="24"/>
          <w:szCs w:val="24"/>
          <w:lang w:val="en-CA"/>
        </w:rPr>
        <w:t xml:space="preserve"> </w:t>
      </w:r>
      <w:r w:rsidRPr="00121FBC">
        <w:rPr>
          <w:rFonts w:ascii="Arial" w:hAnsi="Arial" w:cs="Arial"/>
          <w:sz w:val="24"/>
          <w:szCs w:val="24"/>
          <w:lang w:val="en-CA"/>
        </w:rPr>
        <w:t>Census,</w:t>
      </w:r>
      <w:r w:rsidRPr="00121FBC">
        <w:rPr>
          <w:rFonts w:ascii="Arial" w:hAnsi="Arial" w:cs="Arial"/>
          <w:spacing w:val="-4"/>
          <w:sz w:val="24"/>
          <w:szCs w:val="24"/>
          <w:lang w:val="en-CA"/>
        </w:rPr>
        <w:t xml:space="preserve"> </w:t>
      </w:r>
      <w:r w:rsidRPr="00121FBC">
        <w:rPr>
          <w:rFonts w:ascii="Arial" w:hAnsi="Arial" w:cs="Arial"/>
          <w:sz w:val="24"/>
          <w:szCs w:val="24"/>
          <w:lang w:val="en-CA"/>
        </w:rPr>
        <w:t>2.2</w:t>
      </w:r>
      <w:r w:rsidRPr="00121FBC">
        <w:rPr>
          <w:rFonts w:ascii="Arial" w:hAnsi="Arial" w:cs="Arial"/>
          <w:spacing w:val="-4"/>
          <w:sz w:val="24"/>
          <w:szCs w:val="24"/>
          <w:lang w:val="en-CA"/>
        </w:rPr>
        <w:t xml:space="preserve"> </w:t>
      </w:r>
      <w:r w:rsidRPr="00121FBC">
        <w:rPr>
          <w:rFonts w:ascii="Arial" w:hAnsi="Arial" w:cs="Arial"/>
          <w:sz w:val="24"/>
          <w:szCs w:val="24"/>
          <w:lang w:val="en-CA"/>
        </w:rPr>
        <w:t>million</w:t>
      </w:r>
      <w:r w:rsidRPr="00121FBC">
        <w:rPr>
          <w:rFonts w:ascii="Arial" w:hAnsi="Arial" w:cs="Arial"/>
          <w:spacing w:val="-4"/>
          <w:sz w:val="24"/>
          <w:szCs w:val="24"/>
          <w:lang w:val="en-CA"/>
        </w:rPr>
        <w:t xml:space="preserve"> </w:t>
      </w:r>
      <w:r w:rsidRPr="00121FBC">
        <w:rPr>
          <w:rFonts w:ascii="Arial" w:hAnsi="Arial" w:cs="Arial"/>
          <w:sz w:val="24"/>
          <w:szCs w:val="24"/>
          <w:lang w:val="en-CA"/>
        </w:rPr>
        <w:t>people</w:t>
      </w:r>
      <w:r w:rsidRPr="00121FBC">
        <w:rPr>
          <w:rFonts w:ascii="Arial" w:hAnsi="Arial" w:cs="Arial"/>
          <w:spacing w:val="-4"/>
          <w:sz w:val="24"/>
          <w:szCs w:val="24"/>
          <w:lang w:val="en-CA"/>
        </w:rPr>
        <w:t xml:space="preserve"> </w:t>
      </w:r>
      <w:r w:rsidRPr="00121FBC">
        <w:rPr>
          <w:rFonts w:ascii="Arial" w:hAnsi="Arial" w:cs="Arial"/>
          <w:sz w:val="24"/>
          <w:szCs w:val="24"/>
          <w:lang w:val="en-CA"/>
        </w:rPr>
        <w:t>reported</w:t>
      </w:r>
      <w:r w:rsidRPr="00121FBC">
        <w:rPr>
          <w:rFonts w:ascii="Arial" w:hAnsi="Arial" w:cs="Arial"/>
          <w:spacing w:val="-2"/>
          <w:sz w:val="24"/>
          <w:szCs w:val="24"/>
          <w:lang w:val="en-CA"/>
        </w:rPr>
        <w:t xml:space="preserve"> </w:t>
      </w:r>
      <w:r w:rsidRPr="00121FBC">
        <w:rPr>
          <w:rFonts w:ascii="Arial" w:hAnsi="Arial" w:cs="Arial"/>
          <w:sz w:val="24"/>
          <w:szCs w:val="24"/>
          <w:lang w:val="en-CA"/>
        </w:rPr>
        <w:t>Indigenous</w:t>
      </w:r>
      <w:r w:rsidRPr="00121FBC">
        <w:rPr>
          <w:rFonts w:ascii="Arial" w:hAnsi="Arial" w:cs="Arial"/>
          <w:spacing w:val="-2"/>
          <w:sz w:val="24"/>
          <w:szCs w:val="24"/>
          <w:lang w:val="en-CA"/>
        </w:rPr>
        <w:t xml:space="preserve"> </w:t>
      </w:r>
      <w:r w:rsidRPr="00121FBC">
        <w:rPr>
          <w:rFonts w:ascii="Arial" w:hAnsi="Arial" w:cs="Arial"/>
          <w:sz w:val="24"/>
          <w:szCs w:val="24"/>
          <w:lang w:val="en-CA"/>
        </w:rPr>
        <w:t>ancestry</w:t>
      </w:r>
      <w:r w:rsidRPr="00121FBC">
        <w:rPr>
          <w:rFonts w:ascii="Arial" w:hAnsi="Arial" w:cs="Arial"/>
          <w:spacing w:val="-7"/>
          <w:sz w:val="24"/>
          <w:szCs w:val="24"/>
          <w:lang w:val="en-CA"/>
        </w:rPr>
        <w:t xml:space="preserve"> </w:t>
      </w:r>
      <w:r w:rsidRPr="00121FBC">
        <w:rPr>
          <w:rFonts w:ascii="Arial" w:hAnsi="Arial" w:cs="Arial"/>
          <w:sz w:val="24"/>
          <w:szCs w:val="24"/>
          <w:lang w:val="en-CA"/>
        </w:rPr>
        <w:t>representing</w:t>
      </w:r>
      <w:r w:rsidRPr="00121FBC">
        <w:rPr>
          <w:rFonts w:ascii="Arial" w:hAnsi="Arial" w:cs="Arial"/>
          <w:spacing w:val="-7"/>
          <w:sz w:val="24"/>
          <w:szCs w:val="24"/>
          <w:lang w:val="en-CA"/>
        </w:rPr>
        <w:t xml:space="preserve"> </w:t>
      </w:r>
      <w:r w:rsidRPr="00121FBC">
        <w:rPr>
          <w:rFonts w:ascii="Arial" w:hAnsi="Arial" w:cs="Arial"/>
          <w:sz w:val="24"/>
          <w:szCs w:val="24"/>
          <w:lang w:val="en-CA"/>
        </w:rPr>
        <w:t>almost 6% of the population of Canada.</w:t>
      </w:r>
    </w:p>
    <w:p w14:paraId="1AA74DA5" w14:textId="77777777" w:rsidR="00AE1A1D" w:rsidRPr="00121FBC" w:rsidRDefault="00AE1A1D" w:rsidP="00814D8E">
      <w:pPr>
        <w:pStyle w:val="ListParagraph"/>
        <w:numPr>
          <w:ilvl w:val="1"/>
          <w:numId w:val="2"/>
        </w:numPr>
        <w:tabs>
          <w:tab w:val="left" w:pos="885"/>
        </w:tabs>
        <w:spacing w:line="276" w:lineRule="auto"/>
        <w:ind w:right="408"/>
        <w:contextualSpacing/>
        <w:jc w:val="both"/>
        <w:rPr>
          <w:rFonts w:ascii="Arial" w:hAnsi="Arial" w:cs="Arial"/>
          <w:sz w:val="24"/>
          <w:szCs w:val="24"/>
          <w:lang w:val="en-CA"/>
        </w:rPr>
      </w:pPr>
      <w:r w:rsidRPr="00121FBC">
        <w:rPr>
          <w:rFonts w:ascii="Arial" w:hAnsi="Arial" w:cs="Arial"/>
          <w:sz w:val="24"/>
          <w:szCs w:val="24"/>
          <w:lang w:val="en-CA"/>
        </w:rPr>
        <w:t>South</w:t>
      </w:r>
      <w:r w:rsidRPr="00121FBC">
        <w:rPr>
          <w:rFonts w:ascii="Arial" w:hAnsi="Arial" w:cs="Arial"/>
          <w:spacing w:val="-15"/>
          <w:sz w:val="24"/>
          <w:szCs w:val="24"/>
          <w:lang w:val="en-CA"/>
        </w:rPr>
        <w:t xml:space="preserve"> </w:t>
      </w:r>
      <w:r w:rsidRPr="00121FBC">
        <w:rPr>
          <w:rFonts w:ascii="Arial" w:hAnsi="Arial" w:cs="Arial"/>
          <w:sz w:val="24"/>
          <w:szCs w:val="24"/>
          <w:lang w:val="en-CA"/>
        </w:rPr>
        <w:t>Asian</w:t>
      </w:r>
      <w:r w:rsidRPr="00121FBC">
        <w:rPr>
          <w:rFonts w:ascii="Arial" w:hAnsi="Arial" w:cs="Arial"/>
          <w:spacing w:val="-7"/>
          <w:sz w:val="24"/>
          <w:szCs w:val="24"/>
          <w:lang w:val="en-CA"/>
        </w:rPr>
        <w:t xml:space="preserve"> </w:t>
      </w:r>
      <w:r w:rsidRPr="00121FBC">
        <w:rPr>
          <w:rFonts w:ascii="Arial" w:hAnsi="Arial" w:cs="Arial"/>
          <w:sz w:val="24"/>
          <w:szCs w:val="24"/>
          <w:lang w:val="en-CA"/>
        </w:rPr>
        <w:t>people</w:t>
      </w:r>
      <w:r w:rsidRPr="00121FBC">
        <w:rPr>
          <w:rFonts w:ascii="Arial" w:hAnsi="Arial" w:cs="Arial"/>
          <w:spacing w:val="-7"/>
          <w:sz w:val="24"/>
          <w:szCs w:val="24"/>
          <w:lang w:val="en-CA"/>
        </w:rPr>
        <w:t xml:space="preserve"> </w:t>
      </w:r>
      <w:r w:rsidRPr="00121FBC">
        <w:rPr>
          <w:rFonts w:ascii="Arial" w:hAnsi="Arial" w:cs="Arial"/>
          <w:sz w:val="24"/>
          <w:szCs w:val="24"/>
          <w:lang w:val="en-CA"/>
        </w:rPr>
        <w:t>represented</w:t>
      </w:r>
      <w:r w:rsidRPr="00121FBC">
        <w:rPr>
          <w:rFonts w:ascii="Arial" w:hAnsi="Arial" w:cs="Arial"/>
          <w:spacing w:val="-7"/>
          <w:sz w:val="24"/>
          <w:szCs w:val="24"/>
          <w:lang w:val="en-CA"/>
        </w:rPr>
        <w:t xml:space="preserve"> </w:t>
      </w:r>
      <w:r w:rsidRPr="00121FBC">
        <w:rPr>
          <w:rFonts w:ascii="Arial" w:hAnsi="Arial" w:cs="Arial"/>
          <w:sz w:val="24"/>
          <w:szCs w:val="24"/>
          <w:lang w:val="en-CA"/>
        </w:rPr>
        <w:t>7.1%,</w:t>
      </w:r>
      <w:r w:rsidRPr="00121FBC">
        <w:rPr>
          <w:rFonts w:ascii="Arial" w:hAnsi="Arial" w:cs="Arial"/>
          <w:spacing w:val="-7"/>
          <w:sz w:val="24"/>
          <w:szCs w:val="24"/>
          <w:lang w:val="en-CA"/>
        </w:rPr>
        <w:t xml:space="preserve"> </w:t>
      </w:r>
      <w:r w:rsidRPr="00121FBC">
        <w:rPr>
          <w:rFonts w:ascii="Arial" w:hAnsi="Arial" w:cs="Arial"/>
          <w:sz w:val="24"/>
          <w:szCs w:val="24"/>
          <w:lang w:val="en-CA"/>
        </w:rPr>
        <w:t>Chinese</w:t>
      </w:r>
      <w:r w:rsidRPr="00121FBC">
        <w:rPr>
          <w:rFonts w:ascii="Arial" w:hAnsi="Arial" w:cs="Arial"/>
          <w:spacing w:val="-9"/>
          <w:sz w:val="24"/>
          <w:szCs w:val="24"/>
          <w:lang w:val="en-CA"/>
        </w:rPr>
        <w:t xml:space="preserve"> </w:t>
      </w:r>
      <w:r w:rsidRPr="00121FBC">
        <w:rPr>
          <w:rFonts w:ascii="Arial" w:hAnsi="Arial" w:cs="Arial"/>
          <w:sz w:val="24"/>
          <w:szCs w:val="24"/>
          <w:lang w:val="en-CA"/>
        </w:rPr>
        <w:t>people</w:t>
      </w:r>
      <w:r w:rsidRPr="00121FBC">
        <w:rPr>
          <w:rFonts w:ascii="Arial" w:hAnsi="Arial" w:cs="Arial"/>
          <w:spacing w:val="-7"/>
          <w:sz w:val="24"/>
          <w:szCs w:val="24"/>
          <w:lang w:val="en-CA"/>
        </w:rPr>
        <w:t xml:space="preserve"> </w:t>
      </w:r>
      <w:r w:rsidRPr="00121FBC">
        <w:rPr>
          <w:rFonts w:ascii="Arial" w:hAnsi="Arial" w:cs="Arial"/>
          <w:sz w:val="24"/>
          <w:szCs w:val="24"/>
          <w:lang w:val="en-CA"/>
        </w:rPr>
        <w:t>represented</w:t>
      </w:r>
      <w:r w:rsidRPr="00121FBC">
        <w:rPr>
          <w:rFonts w:ascii="Arial" w:hAnsi="Arial" w:cs="Arial"/>
          <w:spacing w:val="-7"/>
          <w:sz w:val="24"/>
          <w:szCs w:val="24"/>
          <w:lang w:val="en-CA"/>
        </w:rPr>
        <w:t xml:space="preserve"> </w:t>
      </w:r>
      <w:r w:rsidRPr="00121FBC">
        <w:rPr>
          <w:rFonts w:ascii="Arial" w:hAnsi="Arial" w:cs="Arial"/>
          <w:sz w:val="24"/>
          <w:szCs w:val="24"/>
          <w:lang w:val="en-CA"/>
        </w:rPr>
        <w:t>4.7%, and Black people represented 4.3% of the total population of Canada.</w:t>
      </w:r>
      <w:r w:rsidRPr="00121FBC">
        <w:rPr>
          <w:rStyle w:val="FootnoteReference"/>
          <w:rFonts w:ascii="Arial" w:hAnsi="Arial" w:cs="Arial"/>
          <w:sz w:val="24"/>
          <w:szCs w:val="24"/>
          <w:lang w:val="en-CA"/>
        </w:rPr>
        <w:footnoteReference w:id="4"/>
      </w:r>
      <w:r w:rsidRPr="00121FBC">
        <w:rPr>
          <w:rFonts w:ascii="Arial" w:hAnsi="Arial" w:cs="Arial"/>
          <w:sz w:val="24"/>
          <w:szCs w:val="24"/>
          <w:lang w:val="en-CA"/>
        </w:rPr>
        <w:t xml:space="preserve"> </w:t>
      </w:r>
    </w:p>
    <w:p w14:paraId="66C1FEFF" w14:textId="77777777" w:rsidR="00EA52C4" w:rsidRPr="00121FBC" w:rsidRDefault="00EA52C4" w:rsidP="00814D8E">
      <w:pPr>
        <w:pStyle w:val="ListParagraph"/>
        <w:tabs>
          <w:tab w:val="left" w:pos="885"/>
        </w:tabs>
        <w:spacing w:line="276" w:lineRule="auto"/>
        <w:ind w:left="885" w:right="408" w:firstLine="0"/>
        <w:contextualSpacing/>
        <w:jc w:val="both"/>
        <w:rPr>
          <w:rFonts w:ascii="Arial" w:hAnsi="Arial" w:cs="Arial"/>
          <w:sz w:val="24"/>
          <w:szCs w:val="24"/>
          <w:lang w:val="en-CA"/>
        </w:rPr>
      </w:pPr>
    </w:p>
    <w:p w14:paraId="1F5A631F" w14:textId="77777777" w:rsidR="00AE1A1D" w:rsidRPr="00121FBC" w:rsidRDefault="00AE1A1D"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The year-over-year increase in racialized populations speaks to the necessity</w:t>
      </w:r>
      <w:r w:rsidRPr="00121FBC">
        <w:rPr>
          <w:rFonts w:ascii="Arial" w:hAnsi="Arial" w:cs="Arial"/>
          <w:b/>
          <w:sz w:val="24"/>
          <w:szCs w:val="24"/>
          <w:lang w:val="en-CA"/>
        </w:rPr>
        <w:t xml:space="preserve"> </w:t>
      </w:r>
      <w:r w:rsidRPr="00121FBC">
        <w:rPr>
          <w:rFonts w:ascii="Arial" w:hAnsi="Arial" w:cs="Arial"/>
          <w:sz w:val="24"/>
          <w:szCs w:val="24"/>
          <w:lang w:val="en-CA"/>
        </w:rPr>
        <w:t>to collect disaggregated</w:t>
      </w:r>
      <w:r w:rsidRPr="00121FBC">
        <w:rPr>
          <w:rFonts w:ascii="Arial" w:hAnsi="Arial" w:cs="Arial"/>
          <w:spacing w:val="-4"/>
          <w:sz w:val="24"/>
          <w:szCs w:val="24"/>
          <w:lang w:val="en-CA"/>
        </w:rPr>
        <w:t xml:space="preserve"> </w:t>
      </w:r>
      <w:r w:rsidRPr="00121FBC">
        <w:rPr>
          <w:rFonts w:ascii="Arial" w:hAnsi="Arial" w:cs="Arial"/>
          <w:sz w:val="24"/>
          <w:szCs w:val="24"/>
          <w:lang w:val="en-CA"/>
        </w:rPr>
        <w:t>data</w:t>
      </w:r>
      <w:r w:rsidRPr="00121FBC">
        <w:rPr>
          <w:rFonts w:ascii="Arial" w:hAnsi="Arial" w:cs="Arial"/>
          <w:spacing w:val="-4"/>
          <w:sz w:val="24"/>
          <w:szCs w:val="24"/>
          <w:lang w:val="en-CA"/>
        </w:rPr>
        <w:t xml:space="preserve"> </w:t>
      </w:r>
      <w:r w:rsidRPr="00121FBC">
        <w:rPr>
          <w:rFonts w:ascii="Arial" w:hAnsi="Arial" w:cs="Arial"/>
          <w:sz w:val="24"/>
          <w:szCs w:val="24"/>
          <w:lang w:val="en-CA"/>
        </w:rPr>
        <w:t>in</w:t>
      </w:r>
      <w:r w:rsidRPr="00121FBC">
        <w:rPr>
          <w:rFonts w:ascii="Arial" w:hAnsi="Arial" w:cs="Arial"/>
          <w:spacing w:val="-4"/>
          <w:sz w:val="24"/>
          <w:szCs w:val="24"/>
          <w:lang w:val="en-CA"/>
        </w:rPr>
        <w:t xml:space="preserve"> </w:t>
      </w:r>
      <w:r w:rsidRPr="00121FBC">
        <w:rPr>
          <w:rFonts w:ascii="Arial" w:hAnsi="Arial" w:cs="Arial"/>
          <w:sz w:val="24"/>
          <w:szCs w:val="24"/>
          <w:lang w:val="en-CA"/>
        </w:rPr>
        <w:t>Canada, which has been recognized both by this Committee as well as by Canada in its Universal Period Review.</w:t>
      </w:r>
      <w:r w:rsidRPr="00121FBC">
        <w:rPr>
          <w:rFonts w:ascii="Arial" w:hAnsi="Arial" w:cs="Arial"/>
          <w:spacing w:val="-2"/>
          <w:sz w:val="24"/>
          <w:szCs w:val="24"/>
          <w:lang w:val="en-CA"/>
        </w:rPr>
        <w:t xml:space="preserve"> These ethno-racial and </w:t>
      </w:r>
      <w:r w:rsidRPr="00121FBC">
        <w:rPr>
          <w:rFonts w:ascii="Arial" w:hAnsi="Arial" w:cs="Arial"/>
          <w:sz w:val="24"/>
          <w:szCs w:val="24"/>
          <w:lang w:val="en-CA"/>
        </w:rPr>
        <w:t>intersectional</w:t>
      </w:r>
      <w:r w:rsidRPr="00121FBC">
        <w:rPr>
          <w:rFonts w:ascii="Arial" w:hAnsi="Arial" w:cs="Arial"/>
          <w:spacing w:val="-4"/>
          <w:sz w:val="24"/>
          <w:szCs w:val="24"/>
          <w:lang w:val="en-CA"/>
        </w:rPr>
        <w:t xml:space="preserve"> </w:t>
      </w:r>
      <w:r w:rsidRPr="00121FBC">
        <w:rPr>
          <w:rFonts w:ascii="Arial" w:hAnsi="Arial" w:cs="Arial"/>
          <w:sz w:val="24"/>
          <w:szCs w:val="24"/>
          <w:lang w:val="en-CA"/>
        </w:rPr>
        <w:t>identities</w:t>
      </w:r>
      <w:r w:rsidRPr="00121FBC">
        <w:rPr>
          <w:rFonts w:ascii="Arial" w:hAnsi="Arial" w:cs="Arial"/>
          <w:spacing w:val="-5"/>
          <w:sz w:val="24"/>
          <w:szCs w:val="24"/>
          <w:lang w:val="en-CA"/>
        </w:rPr>
        <w:t xml:space="preserve"> </w:t>
      </w:r>
      <w:r w:rsidRPr="00121FBC">
        <w:rPr>
          <w:rFonts w:ascii="Arial" w:hAnsi="Arial" w:cs="Arial"/>
          <w:sz w:val="24"/>
          <w:szCs w:val="24"/>
          <w:lang w:val="en-CA"/>
        </w:rPr>
        <w:t>create</w:t>
      </w:r>
      <w:r w:rsidRPr="00121FBC">
        <w:rPr>
          <w:rFonts w:ascii="Arial" w:hAnsi="Arial" w:cs="Arial"/>
          <w:spacing w:val="-4"/>
          <w:sz w:val="24"/>
          <w:szCs w:val="24"/>
          <w:lang w:val="en-CA"/>
        </w:rPr>
        <w:t xml:space="preserve"> </w:t>
      </w:r>
      <w:r w:rsidRPr="00121FBC">
        <w:rPr>
          <w:rFonts w:ascii="Arial" w:hAnsi="Arial" w:cs="Arial"/>
          <w:sz w:val="24"/>
          <w:szCs w:val="24"/>
          <w:lang w:val="en-CA"/>
        </w:rPr>
        <w:t>varying</w:t>
      </w:r>
      <w:r w:rsidRPr="00121FBC">
        <w:rPr>
          <w:rFonts w:ascii="Arial" w:hAnsi="Arial" w:cs="Arial"/>
          <w:spacing w:val="-7"/>
          <w:sz w:val="24"/>
          <w:szCs w:val="24"/>
          <w:lang w:val="en-CA"/>
        </w:rPr>
        <w:t xml:space="preserve"> </w:t>
      </w:r>
      <w:r w:rsidRPr="00121FBC">
        <w:rPr>
          <w:rFonts w:ascii="Arial" w:hAnsi="Arial" w:cs="Arial"/>
          <w:sz w:val="24"/>
          <w:szCs w:val="24"/>
          <w:lang w:val="en-CA"/>
        </w:rPr>
        <w:t>experiences</w:t>
      </w:r>
      <w:r w:rsidRPr="00121FBC">
        <w:rPr>
          <w:rFonts w:ascii="Arial" w:hAnsi="Arial" w:cs="Arial"/>
          <w:spacing w:val="-5"/>
          <w:sz w:val="24"/>
          <w:szCs w:val="24"/>
          <w:lang w:val="en-CA"/>
        </w:rPr>
        <w:t xml:space="preserve"> </w:t>
      </w:r>
      <w:r w:rsidRPr="00121FBC">
        <w:rPr>
          <w:rFonts w:ascii="Arial" w:hAnsi="Arial" w:cs="Arial"/>
          <w:sz w:val="24"/>
          <w:szCs w:val="24"/>
          <w:lang w:val="en-CA"/>
        </w:rPr>
        <w:t>of</w:t>
      </w:r>
      <w:r w:rsidRPr="00121FBC">
        <w:rPr>
          <w:rFonts w:ascii="Arial" w:hAnsi="Arial" w:cs="Arial"/>
          <w:spacing w:val="-4"/>
          <w:sz w:val="24"/>
          <w:szCs w:val="24"/>
          <w:lang w:val="en-CA"/>
        </w:rPr>
        <w:t xml:space="preserve"> </w:t>
      </w:r>
      <w:r w:rsidRPr="00121FBC">
        <w:rPr>
          <w:rFonts w:ascii="Arial" w:hAnsi="Arial" w:cs="Arial"/>
          <w:sz w:val="24"/>
          <w:szCs w:val="24"/>
          <w:lang w:val="en-CA"/>
        </w:rPr>
        <w:t>barriers to accessing help, employment/unemployment, wage gaps, violence, education and health outcomes, access to housing, and over-representation in Canada’s justice system.</w:t>
      </w:r>
    </w:p>
    <w:p w14:paraId="7B4F6791" w14:textId="77777777" w:rsidR="00EA52C4" w:rsidRPr="00121FBC" w:rsidRDefault="00EA52C4" w:rsidP="00814D8E">
      <w:pPr>
        <w:pStyle w:val="ListParagraph"/>
        <w:tabs>
          <w:tab w:val="left" w:pos="460"/>
        </w:tabs>
        <w:spacing w:line="276" w:lineRule="auto"/>
        <w:ind w:firstLine="0"/>
        <w:contextualSpacing/>
        <w:jc w:val="both"/>
        <w:rPr>
          <w:rFonts w:ascii="Arial" w:hAnsi="Arial" w:cs="Arial"/>
          <w:sz w:val="24"/>
          <w:szCs w:val="24"/>
          <w:lang w:val="en-CA"/>
        </w:rPr>
      </w:pPr>
    </w:p>
    <w:p w14:paraId="69996E3B" w14:textId="5A42A5EC" w:rsidR="00AE1A1D" w:rsidRPr="00121FBC" w:rsidRDefault="00AE1A1D" w:rsidP="00814D8E">
      <w:pPr>
        <w:pStyle w:val="ListParagraph"/>
        <w:numPr>
          <w:ilvl w:val="0"/>
          <w:numId w:val="10"/>
        </w:numPr>
        <w:tabs>
          <w:tab w:val="left" w:pos="460"/>
          <w:tab w:val="left" w:pos="9180"/>
        </w:tabs>
        <w:spacing w:line="276" w:lineRule="auto"/>
        <w:ind w:right="135"/>
        <w:contextualSpacing/>
        <w:jc w:val="both"/>
        <w:rPr>
          <w:rFonts w:ascii="Arial" w:hAnsi="Arial" w:cs="Arial"/>
          <w:sz w:val="24"/>
          <w:szCs w:val="24"/>
          <w:lang w:val="en-CA"/>
        </w:rPr>
      </w:pPr>
      <w:r w:rsidRPr="00121FBC">
        <w:rPr>
          <w:rFonts w:ascii="Arial" w:hAnsi="Arial" w:cs="Arial"/>
          <w:sz w:val="24"/>
          <w:szCs w:val="24"/>
          <w:lang w:val="en-CA"/>
        </w:rPr>
        <w:t xml:space="preserve">Canada has made strides in its collection of disaggregated data. We acknowledge the launch of the Disaggregated Data Action Plan, led by Statistics Canada. However, Canada’s approach to the collection of disaggregated data has not </w:t>
      </w:r>
      <w:r w:rsidRPr="00121FBC">
        <w:rPr>
          <w:rFonts w:ascii="Arial" w:hAnsi="Arial" w:cs="Arial"/>
          <w:sz w:val="24"/>
          <w:szCs w:val="24"/>
          <w:lang w:val="en-CA"/>
        </w:rPr>
        <w:lastRenderedPageBreak/>
        <w:t>progressed at a rate that acknowledges the growing populations of racialized people in Canada and the growing</w:t>
      </w:r>
      <w:r w:rsidRPr="00121FBC">
        <w:rPr>
          <w:rFonts w:ascii="Arial" w:hAnsi="Arial" w:cs="Arial"/>
          <w:spacing w:val="-2"/>
          <w:sz w:val="24"/>
          <w:szCs w:val="24"/>
          <w:lang w:val="en-CA"/>
        </w:rPr>
        <w:t xml:space="preserve"> </w:t>
      </w:r>
      <w:r w:rsidRPr="00121FBC">
        <w:rPr>
          <w:rFonts w:ascii="Arial" w:hAnsi="Arial" w:cs="Arial"/>
          <w:sz w:val="24"/>
          <w:szCs w:val="24"/>
          <w:lang w:val="en-CA"/>
        </w:rPr>
        <w:t>disparities in all of their life</w:t>
      </w:r>
      <w:r w:rsidRPr="00121FBC">
        <w:rPr>
          <w:rFonts w:ascii="Arial" w:hAnsi="Arial" w:cs="Arial"/>
          <w:spacing w:val="-1"/>
          <w:sz w:val="24"/>
          <w:szCs w:val="24"/>
          <w:lang w:val="en-CA"/>
        </w:rPr>
        <w:t xml:space="preserve"> </w:t>
      </w:r>
      <w:r w:rsidRPr="00121FBC">
        <w:rPr>
          <w:rFonts w:ascii="Arial" w:hAnsi="Arial" w:cs="Arial"/>
          <w:sz w:val="24"/>
          <w:szCs w:val="24"/>
          <w:lang w:val="en-CA"/>
        </w:rPr>
        <w:t>outcomes. While the Plan has an all of government approach, progress is disjointed, and data collection is either inconsistent or non-existent. This type of ethno-racial data is still not</w:t>
      </w:r>
      <w:r w:rsidRPr="00121FBC">
        <w:rPr>
          <w:rFonts w:ascii="Arial" w:hAnsi="Arial" w:cs="Arial"/>
          <w:spacing w:val="-7"/>
          <w:sz w:val="24"/>
          <w:szCs w:val="24"/>
          <w:lang w:val="en-CA"/>
        </w:rPr>
        <w:t xml:space="preserve"> </w:t>
      </w:r>
      <w:r w:rsidRPr="00121FBC">
        <w:rPr>
          <w:rFonts w:ascii="Arial" w:hAnsi="Arial" w:cs="Arial"/>
          <w:sz w:val="24"/>
          <w:szCs w:val="24"/>
          <w:lang w:val="en-CA"/>
        </w:rPr>
        <w:t>collected for eg.,</w:t>
      </w:r>
      <w:r w:rsidRPr="00121FBC">
        <w:rPr>
          <w:rFonts w:ascii="Arial" w:hAnsi="Arial" w:cs="Arial"/>
          <w:spacing w:val="-4"/>
          <w:sz w:val="24"/>
          <w:szCs w:val="24"/>
          <w:lang w:val="en-CA"/>
        </w:rPr>
        <w:t xml:space="preserve"> </w:t>
      </w:r>
      <w:r w:rsidRPr="00121FBC">
        <w:rPr>
          <w:rFonts w:ascii="Arial" w:hAnsi="Arial" w:cs="Arial"/>
          <w:sz w:val="24"/>
          <w:szCs w:val="24"/>
          <w:lang w:val="en-CA"/>
        </w:rPr>
        <w:t>in</w:t>
      </w:r>
      <w:r w:rsidRPr="00121FBC">
        <w:rPr>
          <w:rFonts w:ascii="Arial" w:hAnsi="Arial" w:cs="Arial"/>
          <w:spacing w:val="-4"/>
          <w:sz w:val="24"/>
          <w:szCs w:val="24"/>
          <w:lang w:val="en-CA"/>
        </w:rPr>
        <w:t xml:space="preserve"> </w:t>
      </w:r>
      <w:r w:rsidRPr="00121FBC">
        <w:rPr>
          <w:rFonts w:ascii="Arial" w:hAnsi="Arial" w:cs="Arial"/>
          <w:sz w:val="24"/>
          <w:szCs w:val="24"/>
          <w:lang w:val="en-CA"/>
        </w:rPr>
        <w:t>many</w:t>
      </w:r>
      <w:r w:rsidRPr="00121FBC">
        <w:rPr>
          <w:rFonts w:ascii="Arial" w:hAnsi="Arial" w:cs="Arial"/>
          <w:spacing w:val="-9"/>
          <w:sz w:val="24"/>
          <w:szCs w:val="24"/>
          <w:lang w:val="en-CA"/>
        </w:rPr>
        <w:t xml:space="preserve"> </w:t>
      </w:r>
      <w:r w:rsidRPr="00121FBC">
        <w:rPr>
          <w:rFonts w:ascii="Arial" w:hAnsi="Arial" w:cs="Arial"/>
          <w:sz w:val="24"/>
          <w:szCs w:val="24"/>
          <w:lang w:val="en-CA"/>
        </w:rPr>
        <w:t>of</w:t>
      </w:r>
      <w:r w:rsidRPr="00121FBC">
        <w:rPr>
          <w:rFonts w:ascii="Arial" w:hAnsi="Arial" w:cs="Arial"/>
          <w:spacing w:val="-3"/>
          <w:sz w:val="24"/>
          <w:szCs w:val="24"/>
          <w:lang w:val="en-CA"/>
        </w:rPr>
        <w:t xml:space="preserve"> </w:t>
      </w:r>
      <w:r w:rsidRPr="00121FBC">
        <w:rPr>
          <w:rFonts w:ascii="Arial" w:hAnsi="Arial" w:cs="Arial"/>
          <w:sz w:val="24"/>
          <w:szCs w:val="24"/>
          <w:lang w:val="en-CA"/>
        </w:rPr>
        <w:t>the</w:t>
      </w:r>
      <w:r w:rsidRPr="00121FBC">
        <w:rPr>
          <w:rFonts w:ascii="Arial" w:hAnsi="Arial" w:cs="Arial"/>
          <w:spacing w:val="-4"/>
          <w:sz w:val="24"/>
          <w:szCs w:val="24"/>
          <w:lang w:val="en-CA"/>
        </w:rPr>
        <w:t xml:space="preserve"> </w:t>
      </w:r>
      <w:r w:rsidRPr="00121FBC">
        <w:rPr>
          <w:rFonts w:ascii="Arial" w:hAnsi="Arial" w:cs="Arial"/>
          <w:sz w:val="24"/>
          <w:szCs w:val="24"/>
          <w:lang w:val="en-CA"/>
        </w:rPr>
        <w:t>programs</w:t>
      </w:r>
      <w:r w:rsidRPr="00121FBC">
        <w:rPr>
          <w:rFonts w:ascii="Arial" w:hAnsi="Arial" w:cs="Arial"/>
          <w:spacing w:val="-5"/>
          <w:sz w:val="24"/>
          <w:szCs w:val="24"/>
          <w:lang w:val="en-CA"/>
        </w:rPr>
        <w:t xml:space="preserve"> </w:t>
      </w:r>
      <w:r w:rsidRPr="00121FBC">
        <w:rPr>
          <w:rFonts w:ascii="Arial" w:hAnsi="Arial" w:cs="Arial"/>
          <w:sz w:val="24"/>
          <w:szCs w:val="24"/>
          <w:lang w:val="en-CA"/>
        </w:rPr>
        <w:t>delivered</w:t>
      </w:r>
      <w:r w:rsidRPr="00121FBC">
        <w:rPr>
          <w:rFonts w:ascii="Arial" w:hAnsi="Arial" w:cs="Arial"/>
          <w:spacing w:val="-4"/>
          <w:sz w:val="24"/>
          <w:szCs w:val="24"/>
          <w:lang w:val="en-CA"/>
        </w:rPr>
        <w:t xml:space="preserve"> </w:t>
      </w:r>
      <w:r w:rsidRPr="00121FBC">
        <w:rPr>
          <w:rFonts w:ascii="Arial" w:hAnsi="Arial" w:cs="Arial"/>
          <w:sz w:val="24"/>
          <w:szCs w:val="24"/>
          <w:lang w:val="en-CA"/>
        </w:rPr>
        <w:t>by</w:t>
      </w:r>
      <w:r w:rsidRPr="00121FBC">
        <w:rPr>
          <w:rFonts w:ascii="Arial" w:hAnsi="Arial" w:cs="Arial"/>
          <w:spacing w:val="-7"/>
          <w:sz w:val="24"/>
          <w:szCs w:val="24"/>
          <w:lang w:val="en-CA"/>
        </w:rPr>
        <w:t xml:space="preserve"> </w:t>
      </w:r>
      <w:r w:rsidRPr="00121FBC">
        <w:rPr>
          <w:rFonts w:ascii="Arial" w:hAnsi="Arial" w:cs="Arial"/>
          <w:sz w:val="24"/>
          <w:szCs w:val="24"/>
          <w:lang w:val="en-CA"/>
        </w:rPr>
        <w:t>Canada</w:t>
      </w:r>
      <w:r w:rsidRPr="00121FBC">
        <w:rPr>
          <w:rFonts w:ascii="Arial" w:hAnsi="Arial" w:cs="Arial"/>
          <w:spacing w:val="-3"/>
          <w:sz w:val="24"/>
          <w:szCs w:val="24"/>
          <w:lang w:val="en-CA"/>
        </w:rPr>
        <w:t xml:space="preserve"> </w:t>
      </w:r>
      <w:r w:rsidRPr="00121FBC">
        <w:rPr>
          <w:rFonts w:ascii="Arial" w:hAnsi="Arial" w:cs="Arial"/>
          <w:sz w:val="24"/>
          <w:szCs w:val="24"/>
          <w:lang w:val="en-CA"/>
        </w:rPr>
        <w:t>Border</w:t>
      </w:r>
      <w:r w:rsidRPr="00121FBC">
        <w:rPr>
          <w:rFonts w:ascii="Arial" w:hAnsi="Arial" w:cs="Arial"/>
          <w:spacing w:val="-4"/>
          <w:sz w:val="24"/>
          <w:szCs w:val="24"/>
          <w:lang w:val="en-CA"/>
        </w:rPr>
        <w:t xml:space="preserve"> </w:t>
      </w:r>
      <w:r w:rsidRPr="00121FBC">
        <w:rPr>
          <w:rFonts w:ascii="Arial" w:hAnsi="Arial" w:cs="Arial"/>
          <w:sz w:val="24"/>
          <w:szCs w:val="24"/>
          <w:lang w:val="en-CA"/>
        </w:rPr>
        <w:t>Services</w:t>
      </w:r>
      <w:r w:rsidRPr="00121FBC">
        <w:rPr>
          <w:rFonts w:ascii="Arial" w:hAnsi="Arial" w:cs="Arial"/>
          <w:spacing w:val="-15"/>
          <w:sz w:val="24"/>
          <w:szCs w:val="24"/>
          <w:lang w:val="en-CA"/>
        </w:rPr>
        <w:t xml:space="preserve"> </w:t>
      </w:r>
      <w:r w:rsidRPr="00121FBC">
        <w:rPr>
          <w:rFonts w:ascii="Arial" w:hAnsi="Arial" w:cs="Arial"/>
          <w:sz w:val="24"/>
          <w:szCs w:val="24"/>
          <w:lang w:val="en-CA"/>
        </w:rPr>
        <w:t>Agency,</w:t>
      </w:r>
      <w:r w:rsidRPr="00121FBC">
        <w:rPr>
          <w:rFonts w:ascii="Arial" w:hAnsi="Arial" w:cs="Arial"/>
          <w:spacing w:val="-4"/>
          <w:sz w:val="24"/>
          <w:szCs w:val="24"/>
          <w:lang w:val="en-CA"/>
        </w:rPr>
        <w:t xml:space="preserve"> </w:t>
      </w:r>
      <w:r w:rsidRPr="00121FBC">
        <w:rPr>
          <w:rFonts w:ascii="Arial" w:hAnsi="Arial" w:cs="Arial"/>
          <w:sz w:val="24"/>
          <w:szCs w:val="24"/>
          <w:lang w:val="en-CA"/>
        </w:rPr>
        <w:t>which</w:t>
      </w:r>
      <w:r w:rsidRPr="00121FBC">
        <w:rPr>
          <w:rFonts w:ascii="Arial" w:hAnsi="Arial" w:cs="Arial"/>
          <w:spacing w:val="-4"/>
          <w:sz w:val="24"/>
          <w:szCs w:val="24"/>
          <w:lang w:val="en-CA"/>
        </w:rPr>
        <w:t xml:space="preserve"> </w:t>
      </w:r>
      <w:r w:rsidRPr="00121FBC">
        <w:rPr>
          <w:rFonts w:ascii="Arial" w:hAnsi="Arial" w:cs="Arial"/>
          <w:sz w:val="24"/>
          <w:szCs w:val="24"/>
          <w:lang w:val="en-CA"/>
        </w:rPr>
        <w:t xml:space="preserve">is tasked with immigration enforcement and the removal of people from Canada, many from racialized communities; nor in critical areas such as health and healthcare. </w:t>
      </w:r>
    </w:p>
    <w:p w14:paraId="1103B0D8" w14:textId="77777777" w:rsidR="00EA52C4" w:rsidRPr="00121FBC" w:rsidRDefault="00EA52C4" w:rsidP="00814D8E">
      <w:pPr>
        <w:pStyle w:val="ListParagraph"/>
        <w:tabs>
          <w:tab w:val="left" w:pos="460"/>
          <w:tab w:val="left" w:pos="9180"/>
        </w:tabs>
        <w:spacing w:line="276" w:lineRule="auto"/>
        <w:ind w:right="135" w:firstLine="0"/>
        <w:contextualSpacing/>
        <w:jc w:val="both"/>
        <w:rPr>
          <w:rFonts w:ascii="Arial" w:hAnsi="Arial" w:cs="Arial"/>
          <w:sz w:val="24"/>
          <w:szCs w:val="24"/>
          <w:lang w:val="en-CA"/>
        </w:rPr>
      </w:pPr>
    </w:p>
    <w:p w14:paraId="49E42C65" w14:textId="3BAB0251" w:rsidR="00741755" w:rsidRPr="00121FBC" w:rsidRDefault="005A39D1" w:rsidP="00814D8E">
      <w:pPr>
        <w:pStyle w:val="ListParagraph"/>
        <w:numPr>
          <w:ilvl w:val="0"/>
          <w:numId w:val="10"/>
        </w:numPr>
        <w:tabs>
          <w:tab w:val="left" w:pos="460"/>
          <w:tab w:val="left" w:pos="9180"/>
        </w:tabs>
        <w:spacing w:line="276" w:lineRule="auto"/>
        <w:ind w:right="135"/>
        <w:contextualSpacing/>
        <w:jc w:val="both"/>
        <w:rPr>
          <w:rFonts w:ascii="Arial" w:hAnsi="Arial" w:cs="Arial"/>
          <w:sz w:val="24"/>
          <w:szCs w:val="24"/>
          <w:lang w:val="en-CA"/>
        </w:rPr>
      </w:pPr>
      <w:r w:rsidRPr="00121FBC">
        <w:rPr>
          <w:rFonts w:ascii="Arial" w:hAnsi="Arial" w:cs="Arial"/>
          <w:sz w:val="24"/>
          <w:szCs w:val="24"/>
          <w:lang w:val="en-CA"/>
        </w:rPr>
        <w:t>The Federal government budget was silent on investments in racial equity and addressing racism</w:t>
      </w:r>
      <w:r w:rsidR="005C67B2" w:rsidRPr="00121FBC">
        <w:rPr>
          <w:rStyle w:val="FootnoteReference"/>
          <w:rFonts w:ascii="Arial" w:hAnsi="Arial" w:cs="Arial"/>
          <w:sz w:val="24"/>
          <w:szCs w:val="24"/>
          <w:lang w:val="en-CA"/>
        </w:rPr>
        <w:footnoteReference w:id="5"/>
      </w:r>
      <w:r w:rsidRPr="00121FBC">
        <w:rPr>
          <w:rFonts w:ascii="Arial" w:hAnsi="Arial" w:cs="Arial"/>
          <w:sz w:val="24"/>
          <w:szCs w:val="24"/>
          <w:lang w:val="en-CA"/>
        </w:rPr>
        <w:t>. Public discourse in Canada is increasingly polarizing with a rise of racially motivated attacks and anti-immigrant sentiment, as well as worsening inequities in income, labour market access, healthcare and housing. In an environment, where resources would be most needed, the budget was silent on investment in Canada’s Anti-Racism Strategy</w:t>
      </w:r>
      <w:r w:rsidR="005C67B2" w:rsidRPr="00121FBC">
        <w:rPr>
          <w:rFonts w:ascii="Arial" w:hAnsi="Arial" w:cs="Arial"/>
          <w:sz w:val="24"/>
          <w:szCs w:val="24"/>
          <w:lang w:val="en-CA"/>
        </w:rPr>
        <w:t xml:space="preserve"> and the federal anti-racism secretariat</w:t>
      </w:r>
      <w:r w:rsidRPr="00121FBC">
        <w:rPr>
          <w:rFonts w:ascii="Arial" w:hAnsi="Arial" w:cs="Arial"/>
          <w:sz w:val="24"/>
          <w:szCs w:val="24"/>
          <w:lang w:val="en-CA"/>
        </w:rPr>
        <w:t xml:space="preserve">. </w:t>
      </w:r>
    </w:p>
    <w:p w14:paraId="105B8D8C" w14:textId="77777777" w:rsidR="00EA52C4" w:rsidRPr="00121FBC" w:rsidRDefault="00EA52C4" w:rsidP="00814D8E">
      <w:pPr>
        <w:pStyle w:val="ListParagraph"/>
        <w:tabs>
          <w:tab w:val="left" w:pos="460"/>
          <w:tab w:val="left" w:pos="9180"/>
        </w:tabs>
        <w:spacing w:line="276" w:lineRule="auto"/>
        <w:ind w:right="135" w:firstLine="0"/>
        <w:contextualSpacing/>
        <w:jc w:val="both"/>
        <w:rPr>
          <w:rFonts w:ascii="Arial" w:hAnsi="Arial" w:cs="Arial"/>
          <w:sz w:val="24"/>
          <w:szCs w:val="24"/>
          <w:lang w:val="en-CA"/>
        </w:rPr>
      </w:pPr>
    </w:p>
    <w:p w14:paraId="70080AC4" w14:textId="08A055B5" w:rsidR="00AE1A1D" w:rsidRPr="00121FBC" w:rsidRDefault="00AE1A1D" w:rsidP="00814D8E">
      <w:pPr>
        <w:pStyle w:val="ListParagraph"/>
        <w:numPr>
          <w:ilvl w:val="0"/>
          <w:numId w:val="10"/>
        </w:numPr>
        <w:spacing w:line="276" w:lineRule="auto"/>
        <w:contextualSpacing/>
        <w:rPr>
          <w:rFonts w:ascii="Arial" w:hAnsi="Arial" w:cs="Arial"/>
          <w:b/>
          <w:sz w:val="24"/>
          <w:szCs w:val="24"/>
          <w:lang w:val="en-CA"/>
        </w:rPr>
      </w:pPr>
      <w:r w:rsidRPr="00121FBC">
        <w:rPr>
          <w:rFonts w:ascii="Arial" w:hAnsi="Arial" w:cs="Arial"/>
          <w:b/>
          <w:sz w:val="24"/>
          <w:szCs w:val="24"/>
          <w:lang w:val="en-CA"/>
        </w:rPr>
        <w:t>Recommendations:</w:t>
      </w:r>
      <w:r w:rsidR="00814D8E" w:rsidRPr="00121FBC">
        <w:rPr>
          <w:rFonts w:ascii="Arial" w:hAnsi="Arial" w:cs="Arial"/>
          <w:b/>
          <w:sz w:val="24"/>
          <w:szCs w:val="24"/>
          <w:lang w:val="en-CA"/>
        </w:rPr>
        <w:t xml:space="preserve"> </w:t>
      </w:r>
      <w:r w:rsidRPr="00121FBC">
        <w:rPr>
          <w:rFonts w:ascii="Arial" w:hAnsi="Arial" w:cs="Arial"/>
          <w:b/>
          <w:sz w:val="24"/>
          <w:szCs w:val="24"/>
          <w:lang w:val="en-CA"/>
        </w:rPr>
        <w:t>We ask the Committee to recommend that Canada:</w:t>
      </w:r>
    </w:p>
    <w:p w14:paraId="7F91F4D0" w14:textId="6DADA23C"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b/>
          <w:sz w:val="24"/>
          <w:szCs w:val="24"/>
          <w:lang w:val="en-CA"/>
        </w:rPr>
      </w:pPr>
      <w:r w:rsidRPr="00121FBC">
        <w:rPr>
          <w:rFonts w:ascii="Arial" w:hAnsi="Arial" w:cs="Arial"/>
          <w:b/>
          <w:sz w:val="24"/>
          <w:szCs w:val="24"/>
          <w:lang w:val="en-CA"/>
        </w:rPr>
        <w:t>Require the</w:t>
      </w:r>
      <w:r w:rsidRPr="00121FBC">
        <w:rPr>
          <w:rFonts w:ascii="Arial" w:hAnsi="Arial" w:cs="Arial"/>
          <w:b/>
          <w:spacing w:val="-8"/>
          <w:sz w:val="24"/>
          <w:szCs w:val="24"/>
          <w:lang w:val="en-CA"/>
        </w:rPr>
        <w:t xml:space="preserve"> </w:t>
      </w:r>
      <w:r w:rsidRPr="00121FBC">
        <w:rPr>
          <w:rFonts w:ascii="Arial" w:hAnsi="Arial" w:cs="Arial"/>
          <w:b/>
          <w:sz w:val="24"/>
          <w:szCs w:val="24"/>
          <w:lang w:val="en-CA"/>
        </w:rPr>
        <w:t>Federal,</w:t>
      </w:r>
      <w:r w:rsidRPr="00121FBC">
        <w:rPr>
          <w:rFonts w:ascii="Arial" w:hAnsi="Arial" w:cs="Arial"/>
          <w:b/>
          <w:spacing w:val="-6"/>
          <w:sz w:val="24"/>
          <w:szCs w:val="24"/>
          <w:lang w:val="en-CA"/>
        </w:rPr>
        <w:t xml:space="preserve"> </w:t>
      </w:r>
      <w:r w:rsidRPr="00121FBC">
        <w:rPr>
          <w:rFonts w:ascii="Arial" w:hAnsi="Arial" w:cs="Arial"/>
          <w:b/>
          <w:sz w:val="24"/>
          <w:szCs w:val="24"/>
          <w:lang w:val="en-CA"/>
        </w:rPr>
        <w:t>Provincial,</w:t>
      </w:r>
      <w:r w:rsidRPr="00121FBC">
        <w:rPr>
          <w:rFonts w:ascii="Arial" w:hAnsi="Arial" w:cs="Arial"/>
          <w:b/>
          <w:spacing w:val="-9"/>
          <w:sz w:val="24"/>
          <w:szCs w:val="24"/>
          <w:lang w:val="en-CA"/>
        </w:rPr>
        <w:t xml:space="preserve"> </w:t>
      </w:r>
      <w:r w:rsidRPr="00121FBC">
        <w:rPr>
          <w:rFonts w:ascii="Arial" w:hAnsi="Arial" w:cs="Arial"/>
          <w:b/>
          <w:sz w:val="24"/>
          <w:szCs w:val="24"/>
          <w:lang w:val="en-CA"/>
        </w:rPr>
        <w:t>Territorial</w:t>
      </w:r>
      <w:r w:rsidRPr="00121FBC">
        <w:rPr>
          <w:rFonts w:ascii="Arial" w:hAnsi="Arial" w:cs="Arial"/>
          <w:b/>
          <w:spacing w:val="-6"/>
          <w:sz w:val="24"/>
          <w:szCs w:val="24"/>
          <w:lang w:val="en-CA"/>
        </w:rPr>
        <w:t xml:space="preserve"> </w:t>
      </w:r>
      <w:r w:rsidRPr="00121FBC">
        <w:rPr>
          <w:rFonts w:ascii="Arial" w:hAnsi="Arial" w:cs="Arial"/>
          <w:b/>
          <w:sz w:val="24"/>
          <w:szCs w:val="24"/>
          <w:lang w:val="en-CA"/>
        </w:rPr>
        <w:t>and</w:t>
      </w:r>
      <w:r w:rsidRPr="00121FBC">
        <w:rPr>
          <w:rFonts w:ascii="Arial" w:hAnsi="Arial" w:cs="Arial"/>
          <w:b/>
          <w:spacing w:val="-6"/>
          <w:sz w:val="24"/>
          <w:szCs w:val="24"/>
          <w:lang w:val="en-CA"/>
        </w:rPr>
        <w:t xml:space="preserve"> </w:t>
      </w:r>
      <w:r w:rsidRPr="00121FBC">
        <w:rPr>
          <w:rFonts w:ascii="Arial" w:hAnsi="Arial" w:cs="Arial"/>
          <w:b/>
          <w:sz w:val="24"/>
          <w:szCs w:val="24"/>
          <w:lang w:val="en-CA"/>
        </w:rPr>
        <w:t>Municipal</w:t>
      </w:r>
      <w:r w:rsidRPr="00121FBC">
        <w:rPr>
          <w:rFonts w:ascii="Arial" w:hAnsi="Arial" w:cs="Arial"/>
          <w:b/>
          <w:spacing w:val="-6"/>
          <w:sz w:val="24"/>
          <w:szCs w:val="24"/>
          <w:lang w:val="en-CA"/>
        </w:rPr>
        <w:t xml:space="preserve"> </w:t>
      </w:r>
      <w:r w:rsidRPr="00121FBC">
        <w:rPr>
          <w:rFonts w:ascii="Arial" w:hAnsi="Arial" w:cs="Arial"/>
          <w:b/>
          <w:sz w:val="24"/>
          <w:szCs w:val="24"/>
          <w:lang w:val="en-CA"/>
        </w:rPr>
        <w:t>governments</w:t>
      </w:r>
      <w:r w:rsidRPr="00121FBC">
        <w:rPr>
          <w:rFonts w:ascii="Arial" w:hAnsi="Arial" w:cs="Arial"/>
          <w:b/>
          <w:spacing w:val="-7"/>
          <w:sz w:val="24"/>
          <w:szCs w:val="24"/>
          <w:lang w:val="en-CA"/>
        </w:rPr>
        <w:t xml:space="preserve"> </w:t>
      </w:r>
      <w:r w:rsidRPr="00121FBC">
        <w:rPr>
          <w:rFonts w:ascii="Arial" w:hAnsi="Arial" w:cs="Arial"/>
          <w:b/>
          <w:spacing w:val="-5"/>
          <w:sz w:val="24"/>
          <w:szCs w:val="24"/>
          <w:lang w:val="en-CA"/>
        </w:rPr>
        <w:t>collect</w:t>
      </w:r>
      <w:r w:rsidRPr="00121FBC">
        <w:rPr>
          <w:rFonts w:ascii="Arial" w:hAnsi="Arial" w:cs="Arial"/>
          <w:b/>
          <w:sz w:val="24"/>
          <w:szCs w:val="24"/>
          <w:lang w:val="en-CA"/>
        </w:rPr>
        <w:t xml:space="preserve"> and track disaggregated data with respect to ethno-racial</w:t>
      </w:r>
      <w:r w:rsidR="00C21BD0" w:rsidRPr="00121FBC">
        <w:rPr>
          <w:rFonts w:ascii="Arial" w:hAnsi="Arial" w:cs="Arial"/>
          <w:b/>
          <w:sz w:val="24"/>
          <w:szCs w:val="24"/>
          <w:lang w:val="en-CA"/>
        </w:rPr>
        <w:t xml:space="preserve">, immigration status, </w:t>
      </w:r>
      <w:r w:rsidRPr="00121FBC">
        <w:rPr>
          <w:rFonts w:ascii="Arial" w:hAnsi="Arial" w:cs="Arial"/>
          <w:b/>
          <w:sz w:val="24"/>
          <w:szCs w:val="24"/>
          <w:lang w:val="en-CA"/>
        </w:rPr>
        <w:t xml:space="preserve">and faith backgrounds across </w:t>
      </w:r>
      <w:r w:rsidRPr="00121FBC">
        <w:rPr>
          <w:rFonts w:ascii="Arial" w:hAnsi="Arial" w:cs="Arial"/>
          <w:b/>
          <w:sz w:val="24"/>
          <w:szCs w:val="24"/>
          <w:u w:val="single"/>
          <w:lang w:val="en-CA"/>
        </w:rPr>
        <w:t>all</w:t>
      </w:r>
      <w:r w:rsidRPr="00121FBC">
        <w:rPr>
          <w:rFonts w:ascii="Arial" w:hAnsi="Arial" w:cs="Arial"/>
          <w:b/>
          <w:sz w:val="24"/>
          <w:szCs w:val="24"/>
          <w:lang w:val="en-CA"/>
        </w:rPr>
        <w:t xml:space="preserve"> Departments;</w:t>
      </w:r>
    </w:p>
    <w:p w14:paraId="1D69DA42" w14:textId="77777777"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b/>
          <w:sz w:val="24"/>
          <w:szCs w:val="24"/>
          <w:lang w:val="en-CA"/>
        </w:rPr>
      </w:pPr>
      <w:r w:rsidRPr="00121FBC">
        <w:rPr>
          <w:rFonts w:ascii="Arial" w:hAnsi="Arial" w:cs="Arial"/>
          <w:b/>
          <w:sz w:val="24"/>
          <w:szCs w:val="24"/>
          <w:lang w:val="en-CA"/>
        </w:rPr>
        <w:t>Require Ministries,</w:t>
      </w:r>
      <w:r w:rsidRPr="00121FBC">
        <w:rPr>
          <w:rFonts w:ascii="Arial" w:hAnsi="Arial" w:cs="Arial"/>
          <w:b/>
          <w:spacing w:val="-4"/>
          <w:sz w:val="24"/>
          <w:szCs w:val="24"/>
          <w:lang w:val="en-CA"/>
        </w:rPr>
        <w:t xml:space="preserve"> </w:t>
      </w:r>
      <w:r w:rsidRPr="00121FBC">
        <w:rPr>
          <w:rFonts w:ascii="Arial" w:hAnsi="Arial" w:cs="Arial"/>
          <w:b/>
          <w:sz w:val="24"/>
          <w:szCs w:val="24"/>
          <w:lang w:val="en-CA"/>
        </w:rPr>
        <w:t>Divisions</w:t>
      </w:r>
      <w:r w:rsidRPr="00121FBC">
        <w:rPr>
          <w:rFonts w:ascii="Arial" w:hAnsi="Arial" w:cs="Arial"/>
          <w:b/>
          <w:spacing w:val="-4"/>
          <w:sz w:val="24"/>
          <w:szCs w:val="24"/>
          <w:lang w:val="en-CA"/>
        </w:rPr>
        <w:t xml:space="preserve"> </w:t>
      </w:r>
      <w:r w:rsidRPr="00121FBC">
        <w:rPr>
          <w:rFonts w:ascii="Arial" w:hAnsi="Arial" w:cs="Arial"/>
          <w:b/>
          <w:sz w:val="24"/>
          <w:szCs w:val="24"/>
          <w:lang w:val="en-CA"/>
        </w:rPr>
        <w:t>and</w:t>
      </w:r>
      <w:r w:rsidRPr="00121FBC">
        <w:rPr>
          <w:rFonts w:ascii="Arial" w:hAnsi="Arial" w:cs="Arial"/>
          <w:b/>
          <w:spacing w:val="-6"/>
          <w:sz w:val="24"/>
          <w:szCs w:val="24"/>
          <w:lang w:val="en-CA"/>
        </w:rPr>
        <w:t xml:space="preserve"> </w:t>
      </w:r>
      <w:r w:rsidRPr="00121FBC">
        <w:rPr>
          <w:rFonts w:ascii="Arial" w:hAnsi="Arial" w:cs="Arial"/>
          <w:b/>
          <w:sz w:val="24"/>
          <w:szCs w:val="24"/>
          <w:lang w:val="en-CA"/>
        </w:rPr>
        <w:t>relevant</w:t>
      </w:r>
      <w:r w:rsidRPr="00121FBC">
        <w:rPr>
          <w:rFonts w:ascii="Arial" w:hAnsi="Arial" w:cs="Arial"/>
          <w:b/>
          <w:spacing w:val="-4"/>
          <w:sz w:val="24"/>
          <w:szCs w:val="24"/>
          <w:lang w:val="en-CA"/>
        </w:rPr>
        <w:t xml:space="preserve"> </w:t>
      </w:r>
      <w:r w:rsidRPr="00121FBC">
        <w:rPr>
          <w:rFonts w:ascii="Arial" w:hAnsi="Arial" w:cs="Arial"/>
          <w:b/>
          <w:sz w:val="24"/>
          <w:szCs w:val="24"/>
          <w:lang w:val="en-CA"/>
        </w:rPr>
        <w:t>institutions to use</w:t>
      </w:r>
      <w:r w:rsidRPr="00121FBC">
        <w:rPr>
          <w:rFonts w:ascii="Arial" w:hAnsi="Arial" w:cs="Arial"/>
          <w:b/>
          <w:spacing w:val="-5"/>
          <w:sz w:val="24"/>
          <w:szCs w:val="24"/>
          <w:lang w:val="en-CA"/>
        </w:rPr>
        <w:t xml:space="preserve"> </w:t>
      </w:r>
      <w:r w:rsidRPr="00121FBC">
        <w:rPr>
          <w:rFonts w:ascii="Arial" w:hAnsi="Arial" w:cs="Arial"/>
          <w:b/>
          <w:sz w:val="24"/>
          <w:szCs w:val="24"/>
          <w:lang w:val="en-CA"/>
        </w:rPr>
        <w:t>this</w:t>
      </w:r>
      <w:r w:rsidRPr="00121FBC">
        <w:rPr>
          <w:rFonts w:ascii="Arial" w:hAnsi="Arial" w:cs="Arial"/>
          <w:b/>
          <w:spacing w:val="-5"/>
          <w:sz w:val="24"/>
          <w:szCs w:val="24"/>
          <w:lang w:val="en-CA"/>
        </w:rPr>
        <w:t xml:space="preserve"> </w:t>
      </w:r>
      <w:r w:rsidRPr="00121FBC">
        <w:rPr>
          <w:rFonts w:ascii="Arial" w:hAnsi="Arial" w:cs="Arial"/>
          <w:b/>
          <w:sz w:val="24"/>
          <w:szCs w:val="24"/>
          <w:lang w:val="en-CA"/>
        </w:rPr>
        <w:t>data</w:t>
      </w:r>
      <w:r w:rsidRPr="00121FBC">
        <w:rPr>
          <w:rFonts w:ascii="Arial" w:hAnsi="Arial" w:cs="Arial"/>
          <w:b/>
          <w:spacing w:val="-4"/>
          <w:sz w:val="24"/>
          <w:szCs w:val="24"/>
          <w:lang w:val="en-CA"/>
        </w:rPr>
        <w:t xml:space="preserve"> </w:t>
      </w:r>
      <w:r w:rsidRPr="00121FBC">
        <w:rPr>
          <w:rFonts w:ascii="Arial" w:hAnsi="Arial" w:cs="Arial"/>
          <w:b/>
          <w:sz w:val="24"/>
          <w:szCs w:val="24"/>
          <w:lang w:val="en-CA"/>
        </w:rPr>
        <w:t>to</w:t>
      </w:r>
      <w:r w:rsidRPr="00121FBC">
        <w:rPr>
          <w:rFonts w:ascii="Arial" w:hAnsi="Arial" w:cs="Arial"/>
          <w:b/>
          <w:spacing w:val="-4"/>
          <w:sz w:val="24"/>
          <w:szCs w:val="24"/>
          <w:lang w:val="en-CA"/>
        </w:rPr>
        <w:t xml:space="preserve"> </w:t>
      </w:r>
      <w:r w:rsidRPr="00121FBC">
        <w:rPr>
          <w:rFonts w:ascii="Arial" w:hAnsi="Arial" w:cs="Arial"/>
          <w:b/>
          <w:sz w:val="24"/>
          <w:szCs w:val="24"/>
          <w:lang w:val="en-CA"/>
        </w:rPr>
        <w:t>develop</w:t>
      </w:r>
      <w:r w:rsidRPr="00121FBC">
        <w:rPr>
          <w:rFonts w:ascii="Arial" w:hAnsi="Arial" w:cs="Arial"/>
          <w:b/>
          <w:spacing w:val="-2"/>
          <w:sz w:val="24"/>
          <w:szCs w:val="24"/>
          <w:lang w:val="en-CA"/>
        </w:rPr>
        <w:t xml:space="preserve"> </w:t>
      </w:r>
      <w:r w:rsidRPr="00121FBC">
        <w:rPr>
          <w:rFonts w:ascii="Arial" w:hAnsi="Arial" w:cs="Arial"/>
          <w:b/>
          <w:sz w:val="24"/>
          <w:szCs w:val="24"/>
          <w:lang w:val="en-CA"/>
        </w:rPr>
        <w:t>strategies</w:t>
      </w:r>
      <w:r w:rsidRPr="00121FBC">
        <w:rPr>
          <w:rFonts w:ascii="Arial" w:hAnsi="Arial" w:cs="Arial"/>
          <w:b/>
          <w:spacing w:val="-5"/>
          <w:sz w:val="24"/>
          <w:szCs w:val="24"/>
          <w:lang w:val="en-CA"/>
        </w:rPr>
        <w:t xml:space="preserve"> </w:t>
      </w:r>
      <w:r w:rsidRPr="00121FBC">
        <w:rPr>
          <w:rFonts w:ascii="Arial" w:hAnsi="Arial" w:cs="Arial"/>
          <w:b/>
          <w:sz w:val="24"/>
          <w:szCs w:val="24"/>
          <w:lang w:val="en-CA"/>
        </w:rPr>
        <w:t>for addressing systemic racism/faithism and human rights violations;</w:t>
      </w:r>
    </w:p>
    <w:p w14:paraId="00E6D1D9" w14:textId="77777777"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b/>
          <w:sz w:val="24"/>
          <w:szCs w:val="24"/>
          <w:lang w:val="en-CA"/>
        </w:rPr>
      </w:pPr>
      <w:r w:rsidRPr="00121FBC">
        <w:rPr>
          <w:rFonts w:ascii="Arial" w:hAnsi="Arial" w:cs="Arial"/>
          <w:b/>
          <w:sz w:val="24"/>
          <w:szCs w:val="24"/>
          <w:lang w:val="en-CA"/>
        </w:rPr>
        <w:t>Ensure that data</w:t>
      </w:r>
      <w:r w:rsidRPr="00121FBC">
        <w:rPr>
          <w:rFonts w:ascii="Arial" w:hAnsi="Arial" w:cs="Arial"/>
          <w:b/>
          <w:spacing w:val="-3"/>
          <w:sz w:val="24"/>
          <w:szCs w:val="24"/>
          <w:lang w:val="en-CA"/>
        </w:rPr>
        <w:t xml:space="preserve"> </w:t>
      </w:r>
      <w:r w:rsidRPr="00121FBC">
        <w:rPr>
          <w:rFonts w:ascii="Arial" w:hAnsi="Arial" w:cs="Arial"/>
          <w:b/>
          <w:sz w:val="24"/>
          <w:szCs w:val="24"/>
          <w:lang w:val="en-CA"/>
        </w:rPr>
        <w:t>is</w:t>
      </w:r>
      <w:r w:rsidRPr="00121FBC">
        <w:rPr>
          <w:rFonts w:ascii="Arial" w:hAnsi="Arial" w:cs="Arial"/>
          <w:b/>
          <w:spacing w:val="-4"/>
          <w:sz w:val="24"/>
          <w:szCs w:val="24"/>
          <w:lang w:val="en-CA"/>
        </w:rPr>
        <w:t xml:space="preserve"> </w:t>
      </w:r>
      <w:r w:rsidRPr="00121FBC">
        <w:rPr>
          <w:rFonts w:ascii="Arial" w:hAnsi="Arial" w:cs="Arial"/>
          <w:b/>
          <w:sz w:val="24"/>
          <w:szCs w:val="24"/>
          <w:lang w:val="en-CA"/>
        </w:rPr>
        <w:t>collected</w:t>
      </w:r>
      <w:r w:rsidRPr="00121FBC">
        <w:rPr>
          <w:rFonts w:ascii="Arial" w:hAnsi="Arial" w:cs="Arial"/>
          <w:b/>
          <w:spacing w:val="-2"/>
          <w:sz w:val="24"/>
          <w:szCs w:val="24"/>
          <w:lang w:val="en-CA"/>
        </w:rPr>
        <w:t xml:space="preserve"> </w:t>
      </w:r>
      <w:r w:rsidRPr="00121FBC">
        <w:rPr>
          <w:rFonts w:ascii="Arial" w:hAnsi="Arial" w:cs="Arial"/>
          <w:b/>
          <w:sz w:val="24"/>
          <w:szCs w:val="24"/>
          <w:lang w:val="en-CA"/>
        </w:rPr>
        <w:t>in</w:t>
      </w:r>
      <w:r w:rsidRPr="00121FBC">
        <w:rPr>
          <w:rFonts w:ascii="Arial" w:hAnsi="Arial" w:cs="Arial"/>
          <w:b/>
          <w:spacing w:val="-2"/>
          <w:sz w:val="24"/>
          <w:szCs w:val="24"/>
          <w:lang w:val="en-CA"/>
        </w:rPr>
        <w:t xml:space="preserve"> </w:t>
      </w:r>
      <w:r w:rsidRPr="00121FBC">
        <w:rPr>
          <w:rFonts w:ascii="Arial" w:hAnsi="Arial" w:cs="Arial"/>
          <w:b/>
          <w:sz w:val="24"/>
          <w:szCs w:val="24"/>
          <w:lang w:val="en-CA"/>
        </w:rPr>
        <w:t>a</w:t>
      </w:r>
      <w:r w:rsidRPr="00121FBC">
        <w:rPr>
          <w:rFonts w:ascii="Arial" w:hAnsi="Arial" w:cs="Arial"/>
          <w:b/>
          <w:spacing w:val="-4"/>
          <w:sz w:val="24"/>
          <w:szCs w:val="24"/>
          <w:lang w:val="en-CA"/>
        </w:rPr>
        <w:t xml:space="preserve"> consistent/coherent </w:t>
      </w:r>
      <w:r w:rsidRPr="00121FBC">
        <w:rPr>
          <w:rFonts w:ascii="Arial" w:hAnsi="Arial" w:cs="Arial"/>
          <w:b/>
          <w:sz w:val="24"/>
          <w:szCs w:val="24"/>
          <w:lang w:val="en-CA"/>
        </w:rPr>
        <w:t>way</w:t>
      </w:r>
      <w:r w:rsidRPr="00121FBC">
        <w:rPr>
          <w:rFonts w:ascii="Arial" w:hAnsi="Arial" w:cs="Arial"/>
          <w:b/>
          <w:spacing w:val="-8"/>
          <w:sz w:val="24"/>
          <w:szCs w:val="24"/>
          <w:lang w:val="en-CA"/>
        </w:rPr>
        <w:t xml:space="preserve"> </w:t>
      </w:r>
      <w:r w:rsidRPr="00121FBC">
        <w:rPr>
          <w:rFonts w:ascii="Arial" w:hAnsi="Arial" w:cs="Arial"/>
          <w:b/>
          <w:sz w:val="24"/>
          <w:szCs w:val="24"/>
          <w:lang w:val="en-CA"/>
        </w:rPr>
        <w:t>that</w:t>
      </w:r>
      <w:r w:rsidRPr="00121FBC">
        <w:rPr>
          <w:rFonts w:ascii="Arial" w:hAnsi="Arial" w:cs="Arial"/>
          <w:b/>
          <w:spacing w:val="-3"/>
          <w:sz w:val="24"/>
          <w:szCs w:val="24"/>
          <w:lang w:val="en-CA"/>
        </w:rPr>
        <w:t xml:space="preserve"> </w:t>
      </w:r>
      <w:r w:rsidRPr="00121FBC">
        <w:rPr>
          <w:rFonts w:ascii="Arial" w:hAnsi="Arial" w:cs="Arial"/>
          <w:b/>
          <w:sz w:val="24"/>
          <w:szCs w:val="24"/>
          <w:lang w:val="en-CA"/>
        </w:rPr>
        <w:t>enables</w:t>
      </w:r>
      <w:r w:rsidRPr="00121FBC">
        <w:rPr>
          <w:rFonts w:ascii="Arial" w:hAnsi="Arial" w:cs="Arial"/>
          <w:b/>
          <w:spacing w:val="-4"/>
          <w:sz w:val="24"/>
          <w:szCs w:val="24"/>
          <w:lang w:val="en-CA"/>
        </w:rPr>
        <w:t xml:space="preserve"> </w:t>
      </w:r>
      <w:r w:rsidRPr="00121FBC">
        <w:rPr>
          <w:rFonts w:ascii="Arial" w:hAnsi="Arial" w:cs="Arial"/>
          <w:b/>
          <w:sz w:val="24"/>
          <w:szCs w:val="24"/>
          <w:lang w:val="en-CA"/>
        </w:rPr>
        <w:t>analysis</w:t>
      </w:r>
      <w:r w:rsidRPr="00121FBC">
        <w:rPr>
          <w:rFonts w:ascii="Arial" w:hAnsi="Arial" w:cs="Arial"/>
          <w:b/>
          <w:spacing w:val="-3"/>
          <w:sz w:val="24"/>
          <w:szCs w:val="24"/>
          <w:lang w:val="en-CA"/>
        </w:rPr>
        <w:t xml:space="preserve"> </w:t>
      </w:r>
      <w:r w:rsidRPr="00121FBC">
        <w:rPr>
          <w:rFonts w:ascii="Arial" w:hAnsi="Arial" w:cs="Arial"/>
          <w:b/>
          <w:sz w:val="24"/>
          <w:szCs w:val="24"/>
          <w:lang w:val="en-CA"/>
        </w:rPr>
        <w:t>of</w:t>
      </w:r>
      <w:r w:rsidRPr="00121FBC">
        <w:rPr>
          <w:rFonts w:ascii="Arial" w:hAnsi="Arial" w:cs="Arial"/>
          <w:b/>
          <w:spacing w:val="-3"/>
          <w:sz w:val="24"/>
          <w:szCs w:val="24"/>
          <w:lang w:val="en-CA"/>
        </w:rPr>
        <w:t xml:space="preserve"> </w:t>
      </w:r>
      <w:r w:rsidRPr="00121FBC">
        <w:rPr>
          <w:rFonts w:ascii="Arial" w:hAnsi="Arial" w:cs="Arial"/>
          <w:b/>
          <w:sz w:val="24"/>
          <w:szCs w:val="24"/>
          <w:lang w:val="en-CA"/>
        </w:rPr>
        <w:t>the</w:t>
      </w:r>
      <w:r w:rsidRPr="00121FBC">
        <w:rPr>
          <w:rFonts w:ascii="Arial" w:hAnsi="Arial" w:cs="Arial"/>
          <w:b/>
          <w:spacing w:val="-5"/>
          <w:sz w:val="24"/>
          <w:szCs w:val="24"/>
          <w:lang w:val="en-CA"/>
        </w:rPr>
        <w:t xml:space="preserve"> </w:t>
      </w:r>
      <w:r w:rsidRPr="00121FBC">
        <w:rPr>
          <w:rFonts w:ascii="Arial" w:hAnsi="Arial" w:cs="Arial"/>
          <w:b/>
          <w:sz w:val="24"/>
          <w:szCs w:val="24"/>
          <w:lang w:val="en-CA"/>
        </w:rPr>
        <w:t>intersecting</w:t>
      </w:r>
      <w:r w:rsidRPr="00121FBC">
        <w:rPr>
          <w:rFonts w:ascii="Arial" w:hAnsi="Arial" w:cs="Arial"/>
          <w:b/>
          <w:spacing w:val="-4"/>
          <w:sz w:val="24"/>
          <w:szCs w:val="24"/>
          <w:lang w:val="en-CA"/>
        </w:rPr>
        <w:t xml:space="preserve"> </w:t>
      </w:r>
      <w:r w:rsidRPr="00121FBC">
        <w:rPr>
          <w:rFonts w:ascii="Arial" w:hAnsi="Arial" w:cs="Arial"/>
          <w:b/>
          <w:sz w:val="24"/>
          <w:szCs w:val="24"/>
          <w:lang w:val="en-CA"/>
        </w:rPr>
        <w:t>effects</w:t>
      </w:r>
      <w:r w:rsidRPr="00121FBC">
        <w:rPr>
          <w:rFonts w:ascii="Arial" w:hAnsi="Arial" w:cs="Arial"/>
          <w:b/>
          <w:spacing w:val="-4"/>
          <w:sz w:val="24"/>
          <w:szCs w:val="24"/>
          <w:lang w:val="en-CA"/>
        </w:rPr>
        <w:t xml:space="preserve"> </w:t>
      </w:r>
      <w:r w:rsidRPr="00121FBC">
        <w:rPr>
          <w:rFonts w:ascii="Arial" w:hAnsi="Arial" w:cs="Arial"/>
          <w:b/>
          <w:sz w:val="24"/>
          <w:szCs w:val="24"/>
          <w:lang w:val="en-CA"/>
        </w:rPr>
        <w:t>of ethno-racial and faith backgrounds with gender identity, sexual orientation, socioeconomic status, immigration status, age, and (dis)ability;</w:t>
      </w:r>
    </w:p>
    <w:p w14:paraId="320D2A54" w14:textId="77777777" w:rsidR="00AE1A1D" w:rsidRPr="00121FBC" w:rsidRDefault="00AE1A1D" w:rsidP="00814D8E">
      <w:pPr>
        <w:pStyle w:val="ListParagraph"/>
        <w:numPr>
          <w:ilvl w:val="1"/>
          <w:numId w:val="2"/>
        </w:numPr>
        <w:tabs>
          <w:tab w:val="left" w:pos="885"/>
          <w:tab w:val="left" w:pos="8730"/>
        </w:tabs>
        <w:spacing w:line="276" w:lineRule="auto"/>
        <w:contextualSpacing/>
        <w:jc w:val="both"/>
        <w:rPr>
          <w:rFonts w:ascii="Arial" w:hAnsi="Arial" w:cs="Arial"/>
          <w:b/>
          <w:sz w:val="24"/>
          <w:szCs w:val="24"/>
          <w:lang w:val="en-CA"/>
        </w:rPr>
      </w:pPr>
      <w:r w:rsidRPr="00121FBC">
        <w:rPr>
          <w:rFonts w:ascii="Arial" w:hAnsi="Arial" w:cs="Arial"/>
          <w:b/>
          <w:sz w:val="24"/>
          <w:szCs w:val="24"/>
          <w:lang w:val="en-CA"/>
        </w:rPr>
        <w:t>Use</w:t>
      </w:r>
      <w:r w:rsidRPr="00121FBC">
        <w:rPr>
          <w:rFonts w:ascii="Arial" w:hAnsi="Arial" w:cs="Arial"/>
          <w:b/>
          <w:spacing w:val="-7"/>
          <w:sz w:val="24"/>
          <w:szCs w:val="24"/>
          <w:lang w:val="en-CA"/>
        </w:rPr>
        <w:t xml:space="preserve"> </w:t>
      </w:r>
      <w:r w:rsidRPr="00121FBC">
        <w:rPr>
          <w:rFonts w:ascii="Arial" w:hAnsi="Arial" w:cs="Arial"/>
          <w:b/>
          <w:sz w:val="24"/>
          <w:szCs w:val="24"/>
          <w:lang w:val="en-CA"/>
        </w:rPr>
        <w:t>disaggregated</w:t>
      </w:r>
      <w:r w:rsidRPr="00121FBC">
        <w:rPr>
          <w:rFonts w:ascii="Arial" w:hAnsi="Arial" w:cs="Arial"/>
          <w:b/>
          <w:spacing w:val="-5"/>
          <w:sz w:val="24"/>
          <w:szCs w:val="24"/>
          <w:lang w:val="en-CA"/>
        </w:rPr>
        <w:t xml:space="preserve"> </w:t>
      </w:r>
      <w:r w:rsidRPr="00121FBC">
        <w:rPr>
          <w:rFonts w:ascii="Arial" w:hAnsi="Arial" w:cs="Arial"/>
          <w:b/>
          <w:sz w:val="24"/>
          <w:szCs w:val="24"/>
          <w:lang w:val="en-CA"/>
        </w:rPr>
        <w:t>socio-demographic</w:t>
      </w:r>
      <w:r w:rsidRPr="00121FBC">
        <w:rPr>
          <w:rFonts w:ascii="Arial" w:hAnsi="Arial" w:cs="Arial"/>
          <w:b/>
          <w:spacing w:val="-5"/>
          <w:sz w:val="24"/>
          <w:szCs w:val="24"/>
          <w:lang w:val="en-CA"/>
        </w:rPr>
        <w:t xml:space="preserve"> </w:t>
      </w:r>
      <w:r w:rsidRPr="00121FBC">
        <w:rPr>
          <w:rFonts w:ascii="Arial" w:hAnsi="Arial" w:cs="Arial"/>
          <w:b/>
          <w:sz w:val="24"/>
          <w:szCs w:val="24"/>
          <w:lang w:val="en-CA"/>
        </w:rPr>
        <w:t>data</w:t>
      </w:r>
      <w:r w:rsidRPr="00121FBC">
        <w:rPr>
          <w:rFonts w:ascii="Arial" w:hAnsi="Arial" w:cs="Arial"/>
          <w:b/>
          <w:spacing w:val="-6"/>
          <w:sz w:val="24"/>
          <w:szCs w:val="24"/>
          <w:lang w:val="en-CA"/>
        </w:rPr>
        <w:t xml:space="preserve"> </w:t>
      </w:r>
      <w:r w:rsidRPr="00121FBC">
        <w:rPr>
          <w:rFonts w:ascii="Arial" w:hAnsi="Arial" w:cs="Arial"/>
          <w:b/>
          <w:sz w:val="24"/>
          <w:szCs w:val="24"/>
          <w:lang w:val="en-CA"/>
        </w:rPr>
        <w:t>to</w:t>
      </w:r>
      <w:r w:rsidRPr="00121FBC">
        <w:rPr>
          <w:rFonts w:ascii="Arial" w:hAnsi="Arial" w:cs="Arial"/>
          <w:b/>
          <w:spacing w:val="-5"/>
          <w:sz w:val="24"/>
          <w:szCs w:val="24"/>
          <w:lang w:val="en-CA"/>
        </w:rPr>
        <w:t xml:space="preserve"> </w:t>
      </w:r>
      <w:r w:rsidRPr="00121FBC">
        <w:rPr>
          <w:rFonts w:ascii="Arial" w:hAnsi="Arial" w:cs="Arial"/>
          <w:b/>
          <w:sz w:val="24"/>
          <w:szCs w:val="24"/>
          <w:lang w:val="en-CA"/>
        </w:rPr>
        <w:t>develop</w:t>
      </w:r>
      <w:r w:rsidRPr="00121FBC">
        <w:rPr>
          <w:rFonts w:ascii="Arial" w:hAnsi="Arial" w:cs="Arial"/>
          <w:b/>
          <w:spacing w:val="-5"/>
          <w:sz w:val="24"/>
          <w:szCs w:val="24"/>
          <w:lang w:val="en-CA"/>
        </w:rPr>
        <w:t xml:space="preserve"> </w:t>
      </w:r>
      <w:r w:rsidRPr="00121FBC">
        <w:rPr>
          <w:rFonts w:ascii="Arial" w:hAnsi="Arial" w:cs="Arial"/>
          <w:b/>
          <w:sz w:val="24"/>
          <w:szCs w:val="24"/>
          <w:lang w:val="en-CA"/>
        </w:rPr>
        <w:t>strategies</w:t>
      </w:r>
      <w:r w:rsidRPr="00121FBC">
        <w:rPr>
          <w:rFonts w:ascii="Arial" w:hAnsi="Arial" w:cs="Arial"/>
          <w:b/>
          <w:spacing w:val="-6"/>
          <w:sz w:val="24"/>
          <w:szCs w:val="24"/>
          <w:lang w:val="en-CA"/>
        </w:rPr>
        <w:t xml:space="preserve"> </w:t>
      </w:r>
      <w:r w:rsidRPr="00121FBC">
        <w:rPr>
          <w:rFonts w:ascii="Arial" w:hAnsi="Arial" w:cs="Arial"/>
          <w:b/>
          <w:sz w:val="24"/>
          <w:szCs w:val="24"/>
          <w:lang w:val="en-CA"/>
        </w:rPr>
        <w:t>to</w:t>
      </w:r>
      <w:r w:rsidRPr="00121FBC">
        <w:rPr>
          <w:rFonts w:ascii="Arial" w:hAnsi="Arial" w:cs="Arial"/>
          <w:b/>
          <w:spacing w:val="-5"/>
          <w:sz w:val="24"/>
          <w:szCs w:val="24"/>
          <w:lang w:val="en-CA"/>
        </w:rPr>
        <w:t xml:space="preserve"> </w:t>
      </w:r>
      <w:r w:rsidRPr="00121FBC">
        <w:rPr>
          <w:rFonts w:ascii="Arial" w:hAnsi="Arial" w:cs="Arial"/>
          <w:b/>
          <w:sz w:val="24"/>
          <w:szCs w:val="24"/>
          <w:lang w:val="en-CA"/>
        </w:rPr>
        <w:t>address</w:t>
      </w:r>
      <w:r w:rsidRPr="00121FBC">
        <w:rPr>
          <w:rFonts w:ascii="Arial" w:hAnsi="Arial" w:cs="Arial"/>
          <w:b/>
          <w:spacing w:val="-3"/>
          <w:sz w:val="24"/>
          <w:szCs w:val="24"/>
          <w:lang w:val="en-CA"/>
        </w:rPr>
        <w:t xml:space="preserve"> </w:t>
      </w:r>
      <w:r w:rsidRPr="00121FBC">
        <w:rPr>
          <w:rFonts w:ascii="Arial" w:hAnsi="Arial" w:cs="Arial"/>
          <w:b/>
          <w:sz w:val="24"/>
          <w:szCs w:val="24"/>
          <w:lang w:val="en-CA"/>
        </w:rPr>
        <w:t>systemic racism and faithism; and,</w:t>
      </w:r>
    </w:p>
    <w:p w14:paraId="3E1DB0B5" w14:textId="77777777"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b/>
          <w:sz w:val="24"/>
          <w:szCs w:val="24"/>
          <w:u w:val="single"/>
          <w:lang w:val="en-CA"/>
        </w:rPr>
      </w:pPr>
      <w:r w:rsidRPr="00121FBC">
        <w:rPr>
          <w:rFonts w:ascii="Arial" w:hAnsi="Arial" w:cs="Arial"/>
          <w:b/>
          <w:sz w:val="24"/>
          <w:szCs w:val="24"/>
          <w:lang w:val="en-CA"/>
        </w:rPr>
        <w:t>Ensure community governance of such data (e.g., the OCAP framework</w:t>
      </w:r>
      <w:r w:rsidRPr="00121FBC">
        <w:rPr>
          <w:rStyle w:val="FootnoteReference"/>
          <w:rFonts w:ascii="Arial" w:hAnsi="Arial" w:cs="Arial"/>
          <w:b/>
          <w:sz w:val="24"/>
          <w:szCs w:val="24"/>
          <w:lang w:val="en-CA"/>
        </w:rPr>
        <w:footnoteReference w:id="6"/>
      </w:r>
      <w:r w:rsidRPr="00121FBC">
        <w:rPr>
          <w:rFonts w:ascii="Arial" w:hAnsi="Arial" w:cs="Arial"/>
          <w:b/>
          <w:sz w:val="24"/>
          <w:szCs w:val="24"/>
          <w:lang w:val="en-CA"/>
        </w:rPr>
        <w:t xml:space="preserve"> as developed and applied by Indigenous Peoples in Canada, the EGAP framework as proposed by the Black Health Equity Group in Ontario</w:t>
      </w:r>
      <w:r w:rsidRPr="00121FBC">
        <w:rPr>
          <w:rStyle w:val="FootnoteReference"/>
          <w:rFonts w:ascii="Arial" w:hAnsi="Arial" w:cs="Arial"/>
          <w:b/>
          <w:sz w:val="24"/>
          <w:szCs w:val="24"/>
          <w:lang w:val="en-CA"/>
        </w:rPr>
        <w:footnoteReference w:id="7"/>
      </w:r>
      <w:r w:rsidRPr="00121FBC">
        <w:rPr>
          <w:rFonts w:ascii="Arial" w:hAnsi="Arial" w:cs="Arial"/>
          <w:b/>
          <w:sz w:val="24"/>
          <w:szCs w:val="24"/>
          <w:lang w:val="en-CA"/>
        </w:rPr>
        <w:t>) by Indigenous and equity seeking (and of course deserving) communities is in place to ensure</w:t>
      </w:r>
      <w:r w:rsidRPr="00121FBC">
        <w:rPr>
          <w:rFonts w:ascii="Arial" w:hAnsi="Arial" w:cs="Arial"/>
          <w:b/>
          <w:spacing w:val="-6"/>
          <w:sz w:val="24"/>
          <w:szCs w:val="24"/>
          <w:lang w:val="en-CA"/>
        </w:rPr>
        <w:t xml:space="preserve"> </w:t>
      </w:r>
      <w:r w:rsidRPr="00121FBC">
        <w:rPr>
          <w:rFonts w:ascii="Arial" w:hAnsi="Arial" w:cs="Arial"/>
          <w:b/>
          <w:sz w:val="24"/>
          <w:szCs w:val="24"/>
          <w:lang w:val="en-CA"/>
        </w:rPr>
        <w:t>community</w:t>
      </w:r>
      <w:r w:rsidRPr="00121FBC">
        <w:rPr>
          <w:rFonts w:ascii="Arial" w:hAnsi="Arial" w:cs="Arial"/>
          <w:b/>
          <w:spacing w:val="-9"/>
          <w:sz w:val="24"/>
          <w:szCs w:val="24"/>
          <w:lang w:val="en-CA"/>
        </w:rPr>
        <w:t xml:space="preserve"> </w:t>
      </w:r>
      <w:r w:rsidRPr="00121FBC">
        <w:rPr>
          <w:rFonts w:ascii="Arial" w:hAnsi="Arial" w:cs="Arial"/>
          <w:b/>
          <w:sz w:val="24"/>
          <w:szCs w:val="24"/>
          <w:lang w:val="en-CA"/>
        </w:rPr>
        <w:t>ownership,</w:t>
      </w:r>
      <w:r w:rsidRPr="00121FBC">
        <w:rPr>
          <w:rFonts w:ascii="Arial" w:hAnsi="Arial" w:cs="Arial"/>
          <w:b/>
          <w:spacing w:val="-4"/>
          <w:sz w:val="24"/>
          <w:szCs w:val="24"/>
          <w:lang w:val="en-CA"/>
        </w:rPr>
        <w:t xml:space="preserve"> </w:t>
      </w:r>
      <w:r w:rsidRPr="00121FBC">
        <w:rPr>
          <w:rFonts w:ascii="Arial" w:hAnsi="Arial" w:cs="Arial"/>
          <w:b/>
          <w:sz w:val="24"/>
          <w:szCs w:val="24"/>
          <w:lang w:val="en-CA"/>
        </w:rPr>
        <w:t>control,</w:t>
      </w:r>
      <w:r w:rsidRPr="00121FBC">
        <w:rPr>
          <w:rFonts w:ascii="Arial" w:hAnsi="Arial" w:cs="Arial"/>
          <w:b/>
          <w:spacing w:val="-4"/>
          <w:sz w:val="24"/>
          <w:szCs w:val="24"/>
          <w:lang w:val="en-CA"/>
        </w:rPr>
        <w:t xml:space="preserve"> </w:t>
      </w:r>
      <w:r w:rsidRPr="00121FBC">
        <w:rPr>
          <w:rFonts w:ascii="Arial" w:hAnsi="Arial" w:cs="Arial"/>
          <w:b/>
          <w:sz w:val="24"/>
          <w:szCs w:val="24"/>
          <w:lang w:val="en-CA"/>
        </w:rPr>
        <w:t>access,</w:t>
      </w:r>
      <w:r w:rsidRPr="00121FBC">
        <w:rPr>
          <w:rFonts w:ascii="Arial" w:hAnsi="Arial" w:cs="Arial"/>
          <w:b/>
          <w:spacing w:val="-4"/>
          <w:sz w:val="24"/>
          <w:szCs w:val="24"/>
          <w:lang w:val="en-CA"/>
        </w:rPr>
        <w:t xml:space="preserve"> </w:t>
      </w:r>
      <w:r w:rsidRPr="00121FBC">
        <w:rPr>
          <w:rFonts w:ascii="Arial" w:hAnsi="Arial" w:cs="Arial"/>
          <w:b/>
          <w:sz w:val="24"/>
          <w:szCs w:val="24"/>
          <w:lang w:val="en-CA"/>
        </w:rPr>
        <w:t>use,</w:t>
      </w:r>
      <w:r w:rsidRPr="00121FBC">
        <w:rPr>
          <w:rFonts w:ascii="Arial" w:hAnsi="Arial" w:cs="Arial"/>
          <w:b/>
          <w:spacing w:val="-2"/>
          <w:sz w:val="24"/>
          <w:szCs w:val="24"/>
          <w:lang w:val="en-CA"/>
        </w:rPr>
        <w:t xml:space="preserve"> </w:t>
      </w:r>
      <w:r w:rsidRPr="00121FBC">
        <w:rPr>
          <w:rFonts w:ascii="Arial" w:hAnsi="Arial" w:cs="Arial"/>
          <w:b/>
          <w:sz w:val="24"/>
          <w:szCs w:val="24"/>
          <w:lang w:val="en-CA"/>
        </w:rPr>
        <w:t>and</w:t>
      </w:r>
      <w:r w:rsidRPr="00121FBC">
        <w:rPr>
          <w:rFonts w:ascii="Arial" w:hAnsi="Arial" w:cs="Arial"/>
          <w:b/>
          <w:spacing w:val="-4"/>
          <w:sz w:val="24"/>
          <w:szCs w:val="24"/>
          <w:lang w:val="en-CA"/>
        </w:rPr>
        <w:t xml:space="preserve"> </w:t>
      </w:r>
      <w:r w:rsidRPr="00121FBC">
        <w:rPr>
          <w:rFonts w:ascii="Arial" w:hAnsi="Arial" w:cs="Arial"/>
          <w:b/>
          <w:sz w:val="24"/>
          <w:szCs w:val="24"/>
          <w:lang w:val="en-CA"/>
        </w:rPr>
        <w:t>interpretation</w:t>
      </w:r>
      <w:r w:rsidRPr="00121FBC">
        <w:rPr>
          <w:rFonts w:ascii="Arial" w:hAnsi="Arial" w:cs="Arial"/>
          <w:b/>
          <w:spacing w:val="-4"/>
          <w:sz w:val="24"/>
          <w:szCs w:val="24"/>
          <w:lang w:val="en-CA"/>
        </w:rPr>
        <w:t xml:space="preserve"> </w:t>
      </w:r>
      <w:r w:rsidRPr="00121FBC">
        <w:rPr>
          <w:rFonts w:ascii="Arial" w:hAnsi="Arial" w:cs="Arial"/>
          <w:b/>
          <w:sz w:val="24"/>
          <w:szCs w:val="24"/>
          <w:lang w:val="en-CA"/>
        </w:rPr>
        <w:t>to</w:t>
      </w:r>
      <w:r w:rsidRPr="00121FBC">
        <w:rPr>
          <w:rFonts w:ascii="Arial" w:hAnsi="Arial" w:cs="Arial"/>
          <w:b/>
          <w:spacing w:val="-4"/>
          <w:sz w:val="24"/>
          <w:szCs w:val="24"/>
          <w:lang w:val="en-CA"/>
        </w:rPr>
        <w:t xml:space="preserve"> </w:t>
      </w:r>
      <w:r w:rsidRPr="00121FBC">
        <w:rPr>
          <w:rFonts w:ascii="Arial" w:hAnsi="Arial" w:cs="Arial"/>
          <w:b/>
          <w:sz w:val="24"/>
          <w:szCs w:val="24"/>
          <w:lang w:val="en-CA"/>
        </w:rPr>
        <w:t>prevent</w:t>
      </w:r>
      <w:r w:rsidRPr="00121FBC">
        <w:rPr>
          <w:rFonts w:ascii="Arial" w:hAnsi="Arial" w:cs="Arial"/>
          <w:b/>
          <w:spacing w:val="-4"/>
          <w:sz w:val="24"/>
          <w:szCs w:val="24"/>
          <w:lang w:val="en-CA"/>
        </w:rPr>
        <w:t xml:space="preserve"> </w:t>
      </w:r>
      <w:r w:rsidRPr="00121FBC">
        <w:rPr>
          <w:rFonts w:ascii="Arial" w:hAnsi="Arial" w:cs="Arial"/>
          <w:b/>
          <w:sz w:val="24"/>
          <w:szCs w:val="24"/>
          <w:lang w:val="en-CA"/>
        </w:rPr>
        <w:t xml:space="preserve">misuse, misinterpretation, and commercialization </w:t>
      </w:r>
      <w:r w:rsidRPr="00121FBC">
        <w:rPr>
          <w:rFonts w:ascii="Arial" w:hAnsi="Arial" w:cs="Arial"/>
          <w:b/>
          <w:sz w:val="24"/>
          <w:szCs w:val="24"/>
          <w:lang w:val="en-CA"/>
        </w:rPr>
        <w:lastRenderedPageBreak/>
        <w:t>of data.</w:t>
      </w:r>
    </w:p>
    <w:p w14:paraId="1410ED15" w14:textId="77777777" w:rsidR="00AE1A1D" w:rsidRPr="00121FBC" w:rsidRDefault="00AE1A1D" w:rsidP="00814D8E">
      <w:pPr>
        <w:pStyle w:val="ListParagraph"/>
        <w:numPr>
          <w:ilvl w:val="1"/>
          <w:numId w:val="2"/>
        </w:numPr>
        <w:tabs>
          <w:tab w:val="left" w:pos="885"/>
        </w:tabs>
        <w:spacing w:line="276" w:lineRule="auto"/>
        <w:contextualSpacing/>
        <w:jc w:val="both"/>
        <w:rPr>
          <w:rFonts w:ascii="Arial" w:hAnsi="Arial" w:cs="Arial"/>
          <w:bCs/>
          <w:sz w:val="24"/>
          <w:szCs w:val="24"/>
          <w:lang w:val="en-CA"/>
        </w:rPr>
      </w:pPr>
      <w:r w:rsidRPr="00121FBC">
        <w:rPr>
          <w:rFonts w:ascii="Arial" w:hAnsi="Arial" w:cs="Arial"/>
          <w:b/>
          <w:sz w:val="24"/>
          <w:szCs w:val="24"/>
          <w:lang w:val="en-CA"/>
        </w:rPr>
        <w:t>Build on the National Anti-Racism Strategy and work with racialized communities to create and implement a comprehensive legislated National Action Plan Against Racism.</w:t>
      </w:r>
    </w:p>
    <w:p w14:paraId="2797D171" w14:textId="77777777" w:rsidR="00AE1A1D" w:rsidRPr="00121FBC" w:rsidRDefault="00AE1A1D" w:rsidP="00814D8E">
      <w:pPr>
        <w:spacing w:line="276" w:lineRule="auto"/>
        <w:rPr>
          <w:rFonts w:ascii="Arial" w:hAnsi="Arial" w:cs="Arial"/>
        </w:rPr>
      </w:pPr>
    </w:p>
    <w:p w14:paraId="2D54236B" w14:textId="17C2F5B1" w:rsidR="00FD0262" w:rsidRPr="00734E28" w:rsidRDefault="00FD0262" w:rsidP="00814D8E">
      <w:pPr>
        <w:pStyle w:val="Heading2"/>
        <w:spacing w:before="0" w:line="276" w:lineRule="auto"/>
        <w:contextualSpacing/>
        <w:rPr>
          <w:rFonts w:ascii="Arial" w:hAnsi="Arial" w:cs="Arial"/>
          <w:b/>
          <w:bCs/>
          <w:color w:val="auto"/>
          <w:sz w:val="24"/>
          <w:szCs w:val="24"/>
          <w:u w:val="single"/>
        </w:rPr>
      </w:pPr>
      <w:bookmarkStart w:id="7" w:name="_Toc220920951"/>
      <w:r w:rsidRPr="00734E28">
        <w:rPr>
          <w:rFonts w:ascii="Arial" w:hAnsi="Arial" w:cs="Arial"/>
          <w:b/>
          <w:bCs/>
          <w:color w:val="auto"/>
          <w:sz w:val="24"/>
          <w:szCs w:val="24"/>
          <w:u w:val="single"/>
        </w:rPr>
        <w:t>Racialized poverty</w:t>
      </w:r>
      <w:r w:rsidR="00C53C60" w:rsidRPr="00734E28">
        <w:rPr>
          <w:rFonts w:ascii="Arial" w:hAnsi="Arial" w:cs="Arial"/>
          <w:b/>
          <w:bCs/>
          <w:color w:val="auto"/>
          <w:sz w:val="24"/>
          <w:szCs w:val="24"/>
          <w:u w:val="single"/>
        </w:rPr>
        <w:t xml:space="preserve"> and labour market discrimination</w:t>
      </w:r>
      <w:bookmarkEnd w:id="7"/>
    </w:p>
    <w:p w14:paraId="722125FD" w14:textId="77777777" w:rsidR="00814D8E" w:rsidRPr="00121FBC" w:rsidRDefault="00814D8E" w:rsidP="00814D8E">
      <w:pPr>
        <w:rPr>
          <w:rFonts w:ascii="Arial" w:hAnsi="Arial" w:cs="Arial"/>
        </w:rPr>
      </w:pPr>
    </w:p>
    <w:p w14:paraId="71FB9E15" w14:textId="77777777" w:rsidR="00EA52C4" w:rsidRPr="00121FBC" w:rsidRDefault="00B143EC"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According to Statistics Canada, i</w:t>
      </w:r>
      <w:r w:rsidR="00A03310" w:rsidRPr="00121FBC">
        <w:rPr>
          <w:rFonts w:ascii="Arial" w:hAnsi="Arial" w:cs="Arial"/>
          <w:sz w:val="24"/>
          <w:szCs w:val="24"/>
        </w:rPr>
        <w:t>n 2023, the poverty rate for individuals who are members of racialized groups</w:t>
      </w:r>
      <w:r w:rsidR="00A03310" w:rsidRPr="00121FBC">
        <w:rPr>
          <w:rStyle w:val="FootnoteReference"/>
          <w:rFonts w:ascii="Arial" w:hAnsi="Arial" w:cs="Arial"/>
          <w:sz w:val="24"/>
          <w:szCs w:val="24"/>
        </w:rPr>
        <w:footnoteReference w:id="8"/>
      </w:r>
      <w:r w:rsidR="00A03310" w:rsidRPr="00121FBC">
        <w:rPr>
          <w:rFonts w:ascii="Arial" w:hAnsi="Arial" w:cs="Arial"/>
          <w:sz w:val="24"/>
          <w:szCs w:val="24"/>
        </w:rPr>
        <w:t xml:space="preserve"> was 14.0%, up from 2022 (13.0%), but it was relatively unchanged for non-racialized Canadians (8.5%).</w:t>
      </w:r>
      <w:r w:rsidR="00845681" w:rsidRPr="00121FBC">
        <w:rPr>
          <w:rFonts w:ascii="Arial" w:hAnsi="Arial" w:cs="Arial"/>
          <w:sz w:val="24"/>
          <w:szCs w:val="24"/>
        </w:rPr>
        <w:t xml:space="preserve"> </w:t>
      </w:r>
      <w:r w:rsidR="00F512A4" w:rsidRPr="00121FBC">
        <w:rPr>
          <w:rFonts w:ascii="Arial" w:hAnsi="Arial" w:cs="Arial"/>
          <w:sz w:val="24"/>
          <w:szCs w:val="24"/>
        </w:rPr>
        <w:t xml:space="preserve">Research from Statistics Canada shows that, for some racialized groups, </w:t>
      </w:r>
      <w:r w:rsidR="0037459A" w:rsidRPr="00121FBC">
        <w:rPr>
          <w:rFonts w:ascii="Arial" w:hAnsi="Arial" w:cs="Arial"/>
          <w:sz w:val="24"/>
          <w:szCs w:val="24"/>
        </w:rPr>
        <w:t>differences in poverty rate persisted into the third generation or more</w:t>
      </w:r>
      <w:r w:rsidR="0037459A" w:rsidRPr="00121FBC">
        <w:rPr>
          <w:rStyle w:val="FootnoteReference"/>
          <w:rFonts w:ascii="Arial" w:hAnsi="Arial" w:cs="Arial"/>
          <w:sz w:val="24"/>
          <w:szCs w:val="24"/>
        </w:rPr>
        <w:footnoteReference w:id="9"/>
      </w:r>
      <w:r w:rsidR="0037459A" w:rsidRPr="00121FBC">
        <w:rPr>
          <w:rFonts w:ascii="Arial" w:hAnsi="Arial" w:cs="Arial"/>
          <w:sz w:val="24"/>
          <w:szCs w:val="24"/>
        </w:rPr>
        <w:t xml:space="preserve">. </w:t>
      </w:r>
    </w:p>
    <w:p w14:paraId="77BD9325" w14:textId="77777777" w:rsidR="00EA52C4" w:rsidRPr="00121FBC" w:rsidRDefault="00EA52C4" w:rsidP="00814D8E">
      <w:pPr>
        <w:pStyle w:val="ListParagraph"/>
        <w:spacing w:line="276" w:lineRule="auto"/>
        <w:ind w:firstLine="0"/>
        <w:contextualSpacing/>
        <w:rPr>
          <w:rFonts w:ascii="Arial" w:hAnsi="Arial" w:cs="Arial"/>
          <w:sz w:val="24"/>
          <w:szCs w:val="24"/>
        </w:rPr>
      </w:pPr>
    </w:p>
    <w:p w14:paraId="0F0D58D2" w14:textId="5CEC7E7E" w:rsidR="00FD0262" w:rsidRPr="00121FBC" w:rsidRDefault="00A03310"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In the provinces, 17.5% of the Indigenous population lived below the poverty line in 2023. Further, this population continued to be nearly twice as likely to be living in poverty compared with the non-Indigenous population (9.9%)</w:t>
      </w:r>
      <w:r w:rsidR="00B143EC" w:rsidRPr="00121FBC">
        <w:rPr>
          <w:rStyle w:val="FootnoteReference"/>
          <w:rFonts w:ascii="Arial" w:hAnsi="Arial" w:cs="Arial"/>
          <w:sz w:val="24"/>
          <w:szCs w:val="24"/>
        </w:rPr>
        <w:footnoteReference w:id="10"/>
      </w:r>
      <w:r w:rsidRPr="00121FBC">
        <w:rPr>
          <w:rFonts w:ascii="Arial" w:hAnsi="Arial" w:cs="Arial"/>
          <w:sz w:val="24"/>
          <w:szCs w:val="24"/>
        </w:rPr>
        <w:t>.</w:t>
      </w:r>
    </w:p>
    <w:p w14:paraId="654F1EFA" w14:textId="77777777" w:rsidR="00EA52C4" w:rsidRPr="00121FBC" w:rsidRDefault="00EA52C4" w:rsidP="00814D8E">
      <w:pPr>
        <w:pStyle w:val="ListParagraph"/>
        <w:spacing w:line="276" w:lineRule="auto"/>
        <w:rPr>
          <w:rFonts w:ascii="Arial" w:hAnsi="Arial" w:cs="Arial"/>
          <w:sz w:val="24"/>
          <w:szCs w:val="24"/>
        </w:rPr>
      </w:pPr>
    </w:p>
    <w:p w14:paraId="1011B290" w14:textId="5F7897A3" w:rsidR="00FD0262" w:rsidRPr="00121FBC" w:rsidRDefault="00C42662"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Despite</w:t>
      </w:r>
      <w:r w:rsidR="00845681" w:rsidRPr="00121FBC">
        <w:rPr>
          <w:rFonts w:ascii="Arial" w:hAnsi="Arial" w:cs="Arial"/>
          <w:sz w:val="24"/>
          <w:szCs w:val="24"/>
        </w:rPr>
        <w:t xml:space="preserve"> improvements over the course of the Covid-19 pandemic due to increased financial government assistance, the overall poverty rates </w:t>
      </w:r>
      <w:r w:rsidR="007C197A" w:rsidRPr="00121FBC">
        <w:rPr>
          <w:rFonts w:ascii="Arial" w:hAnsi="Arial" w:cs="Arial"/>
          <w:sz w:val="24"/>
          <w:szCs w:val="24"/>
        </w:rPr>
        <w:t>have</w:t>
      </w:r>
      <w:r w:rsidR="00845681" w:rsidRPr="00121FBC">
        <w:rPr>
          <w:rFonts w:ascii="Arial" w:hAnsi="Arial" w:cs="Arial"/>
          <w:sz w:val="24"/>
          <w:szCs w:val="24"/>
        </w:rPr>
        <w:t xml:space="preserve"> returned to pre-pandemic levels as those temporary assistance programs end. Canada’s </w:t>
      </w:r>
      <w:r w:rsidR="00845681" w:rsidRPr="00121FBC">
        <w:rPr>
          <w:rFonts w:ascii="Arial" w:hAnsi="Arial" w:cs="Arial"/>
          <w:i/>
          <w:iCs/>
          <w:sz w:val="24"/>
          <w:szCs w:val="24"/>
        </w:rPr>
        <w:t>Poverty Reduction Act, 2019</w:t>
      </w:r>
      <w:r w:rsidR="007C197A" w:rsidRPr="00121FBC">
        <w:rPr>
          <w:rStyle w:val="FootnoteReference"/>
          <w:rFonts w:ascii="Arial" w:hAnsi="Arial" w:cs="Arial"/>
          <w:i/>
          <w:iCs/>
          <w:sz w:val="24"/>
          <w:szCs w:val="24"/>
        </w:rPr>
        <w:footnoteReference w:id="11"/>
      </w:r>
      <w:r w:rsidR="00845681" w:rsidRPr="00121FBC">
        <w:rPr>
          <w:rFonts w:ascii="Arial" w:hAnsi="Arial" w:cs="Arial"/>
          <w:sz w:val="24"/>
          <w:szCs w:val="24"/>
        </w:rPr>
        <w:t xml:space="preserve"> sets poverty reduction targets at </w:t>
      </w:r>
      <w:r w:rsidR="007C197A" w:rsidRPr="00121FBC">
        <w:rPr>
          <w:rFonts w:ascii="Arial" w:hAnsi="Arial" w:cs="Arial"/>
          <w:sz w:val="24"/>
          <w:szCs w:val="24"/>
        </w:rPr>
        <w:t xml:space="preserve">a 20 percent reduction by 2020 and a 50 per cent reduction by 2030, compared to 2015 levels. </w:t>
      </w:r>
      <w:r w:rsidRPr="00121FBC">
        <w:rPr>
          <w:rFonts w:ascii="Arial" w:hAnsi="Arial" w:cs="Arial"/>
          <w:sz w:val="24"/>
          <w:szCs w:val="24"/>
        </w:rPr>
        <w:t xml:space="preserve">A return to pre-pandemic levels is a significant loss in progress towards these targets. </w:t>
      </w:r>
    </w:p>
    <w:p w14:paraId="3A90AE3F" w14:textId="77777777" w:rsidR="00EA52C4" w:rsidRPr="00121FBC" w:rsidRDefault="00EA52C4" w:rsidP="00814D8E">
      <w:pPr>
        <w:pStyle w:val="ListParagraph"/>
        <w:tabs>
          <w:tab w:val="left" w:pos="460"/>
        </w:tabs>
        <w:spacing w:line="276" w:lineRule="auto"/>
        <w:ind w:right="119" w:firstLine="0"/>
        <w:contextualSpacing/>
        <w:jc w:val="both"/>
        <w:rPr>
          <w:rFonts w:ascii="Arial" w:hAnsi="Arial" w:cs="Arial"/>
          <w:sz w:val="24"/>
          <w:szCs w:val="24"/>
          <w:lang w:val="en-CA"/>
        </w:rPr>
      </w:pPr>
    </w:p>
    <w:p w14:paraId="53316C28" w14:textId="2E27801A" w:rsidR="0071492F" w:rsidRPr="00121FBC" w:rsidRDefault="0071492F" w:rsidP="00814D8E">
      <w:pPr>
        <w:pStyle w:val="ListParagraph"/>
        <w:numPr>
          <w:ilvl w:val="0"/>
          <w:numId w:val="10"/>
        </w:numPr>
        <w:tabs>
          <w:tab w:val="left" w:pos="460"/>
        </w:tabs>
        <w:spacing w:line="276" w:lineRule="auto"/>
        <w:ind w:right="119"/>
        <w:contextualSpacing/>
        <w:jc w:val="both"/>
        <w:rPr>
          <w:rFonts w:ascii="Arial" w:hAnsi="Arial" w:cs="Arial"/>
          <w:sz w:val="24"/>
          <w:szCs w:val="24"/>
          <w:lang w:val="en-CA"/>
        </w:rPr>
      </w:pPr>
      <w:r w:rsidRPr="00121FBC">
        <w:rPr>
          <w:rFonts w:ascii="Arial" w:hAnsi="Arial" w:cs="Arial"/>
          <w:sz w:val="24"/>
          <w:szCs w:val="24"/>
          <w:lang w:val="en-CA"/>
        </w:rPr>
        <w:t>Research in Canada indicates that race-based discrimination continues.</w:t>
      </w:r>
      <w:r w:rsidRPr="00121FBC">
        <w:rPr>
          <w:rFonts w:ascii="Arial" w:hAnsi="Arial" w:cs="Arial"/>
          <w:spacing w:val="40"/>
          <w:sz w:val="24"/>
          <w:szCs w:val="24"/>
          <w:lang w:val="en-CA"/>
        </w:rPr>
        <w:t xml:space="preserve"> </w:t>
      </w:r>
      <w:r w:rsidRPr="00121FBC">
        <w:rPr>
          <w:rFonts w:ascii="Arial" w:hAnsi="Arial" w:cs="Arial"/>
          <w:sz w:val="24"/>
          <w:szCs w:val="24"/>
          <w:lang w:val="en-CA"/>
        </w:rPr>
        <w:t>For example, employers discriminate against job applicants even when they</w:t>
      </w:r>
      <w:r w:rsidRPr="00121FBC">
        <w:rPr>
          <w:rFonts w:ascii="Arial" w:hAnsi="Arial" w:cs="Arial"/>
          <w:spacing w:val="-2"/>
          <w:sz w:val="24"/>
          <w:szCs w:val="24"/>
          <w:lang w:val="en-CA"/>
        </w:rPr>
        <w:t xml:space="preserve"> </w:t>
      </w:r>
      <w:r w:rsidRPr="00121FBC">
        <w:rPr>
          <w:rFonts w:ascii="Arial" w:hAnsi="Arial" w:cs="Arial"/>
          <w:sz w:val="24"/>
          <w:szCs w:val="24"/>
          <w:lang w:val="en-CA"/>
        </w:rPr>
        <w:t>have equivalent education and experience,</w:t>
      </w:r>
      <w:r w:rsidRPr="00121FBC">
        <w:rPr>
          <w:rFonts w:ascii="Arial" w:hAnsi="Arial" w:cs="Arial"/>
          <w:spacing w:val="-3"/>
          <w:sz w:val="24"/>
          <w:szCs w:val="24"/>
          <w:lang w:val="en-CA"/>
        </w:rPr>
        <w:t xml:space="preserve"> </w:t>
      </w:r>
      <w:r w:rsidRPr="00121FBC">
        <w:rPr>
          <w:rFonts w:ascii="Arial" w:hAnsi="Arial" w:cs="Arial"/>
          <w:sz w:val="24"/>
          <w:szCs w:val="24"/>
          <w:lang w:val="en-CA"/>
        </w:rPr>
        <w:t>as</w:t>
      </w:r>
      <w:r w:rsidRPr="00121FBC">
        <w:rPr>
          <w:rFonts w:ascii="Arial" w:hAnsi="Arial" w:cs="Arial"/>
          <w:spacing w:val="-4"/>
          <w:sz w:val="24"/>
          <w:szCs w:val="24"/>
          <w:lang w:val="en-CA"/>
        </w:rPr>
        <w:t xml:space="preserve"> </w:t>
      </w:r>
      <w:r w:rsidRPr="00121FBC">
        <w:rPr>
          <w:rFonts w:ascii="Arial" w:hAnsi="Arial" w:cs="Arial"/>
          <w:sz w:val="24"/>
          <w:szCs w:val="24"/>
          <w:lang w:val="en-CA"/>
        </w:rPr>
        <w:t>proven</w:t>
      </w:r>
      <w:r w:rsidRPr="00121FBC">
        <w:rPr>
          <w:rFonts w:ascii="Arial" w:hAnsi="Arial" w:cs="Arial"/>
          <w:spacing w:val="-3"/>
          <w:sz w:val="24"/>
          <w:szCs w:val="24"/>
          <w:lang w:val="en-CA"/>
        </w:rPr>
        <w:t xml:space="preserve"> </w:t>
      </w:r>
      <w:r w:rsidRPr="00121FBC">
        <w:rPr>
          <w:rFonts w:ascii="Arial" w:hAnsi="Arial" w:cs="Arial"/>
          <w:sz w:val="24"/>
          <w:szCs w:val="24"/>
          <w:lang w:val="en-CA"/>
        </w:rPr>
        <w:t>by</w:t>
      </w:r>
      <w:r w:rsidRPr="00121FBC">
        <w:rPr>
          <w:rFonts w:ascii="Arial" w:hAnsi="Arial" w:cs="Arial"/>
          <w:spacing w:val="-6"/>
          <w:sz w:val="24"/>
          <w:szCs w:val="24"/>
          <w:lang w:val="en-CA"/>
        </w:rPr>
        <w:t xml:space="preserve"> </w:t>
      </w:r>
      <w:r w:rsidRPr="00121FBC">
        <w:rPr>
          <w:rFonts w:ascii="Arial" w:hAnsi="Arial" w:cs="Arial"/>
          <w:sz w:val="24"/>
          <w:szCs w:val="24"/>
          <w:lang w:val="en-CA"/>
        </w:rPr>
        <w:t>studies</w:t>
      </w:r>
      <w:r w:rsidRPr="00121FBC">
        <w:rPr>
          <w:rFonts w:ascii="Arial" w:hAnsi="Arial" w:cs="Arial"/>
          <w:spacing w:val="-4"/>
          <w:sz w:val="24"/>
          <w:szCs w:val="24"/>
          <w:lang w:val="en-CA"/>
        </w:rPr>
        <w:t xml:space="preserve"> </w:t>
      </w:r>
      <w:r w:rsidRPr="00121FBC">
        <w:rPr>
          <w:rFonts w:ascii="Arial" w:hAnsi="Arial" w:cs="Arial"/>
          <w:sz w:val="24"/>
          <w:szCs w:val="24"/>
          <w:lang w:val="en-CA"/>
        </w:rPr>
        <w:t>that</w:t>
      </w:r>
      <w:r w:rsidRPr="00121FBC">
        <w:rPr>
          <w:rFonts w:ascii="Arial" w:hAnsi="Arial" w:cs="Arial"/>
          <w:spacing w:val="-3"/>
          <w:sz w:val="24"/>
          <w:szCs w:val="24"/>
          <w:lang w:val="en-CA"/>
        </w:rPr>
        <w:t xml:space="preserve"> </w:t>
      </w:r>
      <w:r w:rsidRPr="00121FBC">
        <w:rPr>
          <w:rFonts w:ascii="Arial" w:hAnsi="Arial" w:cs="Arial"/>
          <w:sz w:val="24"/>
          <w:szCs w:val="24"/>
          <w:lang w:val="en-CA"/>
        </w:rPr>
        <w:t>show</w:t>
      </w:r>
      <w:r w:rsidRPr="00121FBC">
        <w:rPr>
          <w:rFonts w:ascii="Arial" w:hAnsi="Arial" w:cs="Arial"/>
          <w:spacing w:val="-4"/>
          <w:sz w:val="24"/>
          <w:szCs w:val="24"/>
          <w:lang w:val="en-CA"/>
        </w:rPr>
        <w:t xml:space="preserve"> </w:t>
      </w:r>
      <w:r w:rsidRPr="00121FBC">
        <w:rPr>
          <w:rFonts w:ascii="Arial" w:hAnsi="Arial" w:cs="Arial"/>
          <w:sz w:val="24"/>
          <w:szCs w:val="24"/>
          <w:lang w:val="en-CA"/>
        </w:rPr>
        <w:t>far</w:t>
      </w:r>
      <w:r w:rsidRPr="00121FBC">
        <w:rPr>
          <w:rFonts w:ascii="Arial" w:hAnsi="Arial" w:cs="Arial"/>
          <w:spacing w:val="-3"/>
          <w:sz w:val="24"/>
          <w:szCs w:val="24"/>
          <w:lang w:val="en-CA"/>
        </w:rPr>
        <w:t xml:space="preserve"> </w:t>
      </w:r>
      <w:r w:rsidRPr="00121FBC">
        <w:rPr>
          <w:rFonts w:ascii="Arial" w:hAnsi="Arial" w:cs="Arial"/>
          <w:sz w:val="24"/>
          <w:szCs w:val="24"/>
          <w:lang w:val="en-CA"/>
        </w:rPr>
        <w:t>fewer</w:t>
      </w:r>
      <w:r w:rsidRPr="00121FBC">
        <w:rPr>
          <w:rFonts w:ascii="Arial" w:hAnsi="Arial" w:cs="Arial"/>
          <w:spacing w:val="-3"/>
          <w:sz w:val="24"/>
          <w:szCs w:val="24"/>
          <w:lang w:val="en-CA"/>
        </w:rPr>
        <w:t xml:space="preserve"> </w:t>
      </w:r>
      <w:r w:rsidRPr="00121FBC">
        <w:rPr>
          <w:rFonts w:ascii="Arial" w:hAnsi="Arial" w:cs="Arial"/>
          <w:sz w:val="24"/>
          <w:szCs w:val="24"/>
          <w:lang w:val="en-CA"/>
        </w:rPr>
        <w:t>interviews</w:t>
      </w:r>
      <w:r w:rsidRPr="00121FBC">
        <w:rPr>
          <w:rFonts w:ascii="Arial" w:hAnsi="Arial" w:cs="Arial"/>
          <w:spacing w:val="-2"/>
          <w:sz w:val="24"/>
          <w:szCs w:val="24"/>
          <w:lang w:val="en-CA"/>
        </w:rPr>
        <w:t xml:space="preserve"> </w:t>
      </w:r>
      <w:r w:rsidRPr="00121FBC">
        <w:rPr>
          <w:rFonts w:ascii="Arial" w:hAnsi="Arial" w:cs="Arial"/>
          <w:sz w:val="24"/>
          <w:szCs w:val="24"/>
          <w:lang w:val="en-CA"/>
        </w:rPr>
        <w:t>are</w:t>
      </w:r>
      <w:r w:rsidRPr="00121FBC">
        <w:rPr>
          <w:rFonts w:ascii="Arial" w:hAnsi="Arial" w:cs="Arial"/>
          <w:spacing w:val="-5"/>
          <w:sz w:val="24"/>
          <w:szCs w:val="24"/>
          <w:lang w:val="en-CA"/>
        </w:rPr>
        <w:t xml:space="preserve"> </w:t>
      </w:r>
      <w:r w:rsidRPr="00121FBC">
        <w:rPr>
          <w:rFonts w:ascii="Arial" w:hAnsi="Arial" w:cs="Arial"/>
          <w:sz w:val="24"/>
          <w:szCs w:val="24"/>
          <w:lang w:val="en-CA"/>
        </w:rPr>
        <w:t>offered</w:t>
      </w:r>
      <w:r w:rsidRPr="00121FBC">
        <w:rPr>
          <w:rFonts w:ascii="Arial" w:hAnsi="Arial" w:cs="Arial"/>
          <w:spacing w:val="-1"/>
          <w:sz w:val="24"/>
          <w:szCs w:val="24"/>
          <w:lang w:val="en-CA"/>
        </w:rPr>
        <w:t xml:space="preserve"> </w:t>
      </w:r>
      <w:r w:rsidRPr="00121FBC">
        <w:rPr>
          <w:rFonts w:ascii="Arial" w:hAnsi="Arial" w:cs="Arial"/>
          <w:sz w:val="24"/>
          <w:szCs w:val="24"/>
          <w:lang w:val="en-CA"/>
        </w:rPr>
        <w:t>to candidates</w:t>
      </w:r>
      <w:r w:rsidRPr="00121FBC">
        <w:rPr>
          <w:rFonts w:ascii="Arial" w:hAnsi="Arial" w:cs="Arial"/>
          <w:spacing w:val="-4"/>
          <w:sz w:val="24"/>
          <w:szCs w:val="24"/>
          <w:lang w:val="en-CA"/>
        </w:rPr>
        <w:t xml:space="preserve"> </w:t>
      </w:r>
      <w:r w:rsidRPr="00121FBC">
        <w:rPr>
          <w:rFonts w:ascii="Arial" w:hAnsi="Arial" w:cs="Arial"/>
          <w:sz w:val="24"/>
          <w:szCs w:val="24"/>
          <w:lang w:val="en-CA"/>
        </w:rPr>
        <w:t>with Asian-sounding names.</w:t>
      </w:r>
      <w:r w:rsidRPr="00121FBC">
        <w:rPr>
          <w:rStyle w:val="FootnoteReference"/>
          <w:rFonts w:ascii="Arial" w:hAnsi="Arial" w:cs="Arial"/>
          <w:sz w:val="24"/>
          <w:szCs w:val="24"/>
          <w:lang w:val="en-CA"/>
        </w:rPr>
        <w:footnoteReference w:id="12"/>
      </w:r>
    </w:p>
    <w:p w14:paraId="6018480F" w14:textId="77777777" w:rsidR="00EA52C4" w:rsidRPr="00121FBC" w:rsidRDefault="00EA52C4" w:rsidP="00814D8E">
      <w:pPr>
        <w:pStyle w:val="ListParagraph"/>
        <w:tabs>
          <w:tab w:val="left" w:pos="460"/>
        </w:tabs>
        <w:spacing w:line="276" w:lineRule="auto"/>
        <w:ind w:right="119" w:firstLine="0"/>
        <w:contextualSpacing/>
        <w:jc w:val="both"/>
        <w:rPr>
          <w:rFonts w:ascii="Arial" w:hAnsi="Arial" w:cs="Arial"/>
          <w:sz w:val="24"/>
          <w:szCs w:val="24"/>
          <w:lang w:val="en-CA"/>
        </w:rPr>
      </w:pPr>
    </w:p>
    <w:p w14:paraId="05B03801" w14:textId="77777777" w:rsidR="0071492F" w:rsidRPr="00121FBC" w:rsidRDefault="0071492F"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lastRenderedPageBreak/>
        <w:t>Peoples of colour and immigrants are overrepresented in part-time and precarious employment characterized by lower wages, absence of benefits, and job insecurity.</w:t>
      </w:r>
      <w:r w:rsidRPr="00121FBC">
        <w:rPr>
          <w:rStyle w:val="FootnoteReference"/>
          <w:rFonts w:ascii="Arial" w:hAnsi="Arial" w:cs="Arial"/>
          <w:sz w:val="24"/>
          <w:szCs w:val="24"/>
          <w:lang w:val="en-CA"/>
        </w:rPr>
        <w:footnoteReference w:id="13"/>
      </w:r>
      <w:r w:rsidRPr="00121FBC">
        <w:rPr>
          <w:rFonts w:ascii="Arial" w:hAnsi="Arial" w:cs="Arial"/>
          <w:spacing w:val="-11"/>
          <w:sz w:val="24"/>
          <w:szCs w:val="24"/>
          <w:lang w:val="en-CA"/>
        </w:rPr>
        <w:t xml:space="preserve"> This also puts m</w:t>
      </w:r>
      <w:r w:rsidRPr="00121FBC">
        <w:rPr>
          <w:rFonts w:ascii="Arial" w:hAnsi="Arial" w:cs="Arial"/>
          <w:sz w:val="24"/>
          <w:szCs w:val="24"/>
          <w:lang w:val="en-CA"/>
        </w:rPr>
        <w:t>igrant women with temporary or no immigration status at an increased risk for workplace exploitation. Factors that contribute to making the gaps deeper and wider are systemic racism/faithism in hiring and promotion,</w:t>
      </w:r>
      <w:r w:rsidRPr="00121FBC">
        <w:rPr>
          <w:rFonts w:ascii="Arial" w:hAnsi="Arial" w:cs="Arial"/>
          <w:spacing w:val="-5"/>
          <w:sz w:val="24"/>
          <w:szCs w:val="24"/>
          <w:lang w:val="en-CA"/>
        </w:rPr>
        <w:t xml:space="preserve"> </w:t>
      </w:r>
      <w:r w:rsidRPr="00121FBC">
        <w:rPr>
          <w:rFonts w:ascii="Arial" w:hAnsi="Arial" w:cs="Arial"/>
          <w:sz w:val="24"/>
          <w:szCs w:val="24"/>
          <w:lang w:val="en-CA"/>
        </w:rPr>
        <w:t>de-skilling</w:t>
      </w:r>
      <w:r w:rsidRPr="00121FBC">
        <w:rPr>
          <w:rFonts w:ascii="Arial" w:hAnsi="Arial" w:cs="Arial"/>
          <w:spacing w:val="-7"/>
          <w:sz w:val="24"/>
          <w:szCs w:val="24"/>
          <w:lang w:val="en-CA"/>
        </w:rPr>
        <w:t xml:space="preserve"> </w:t>
      </w:r>
      <w:r w:rsidRPr="00121FBC">
        <w:rPr>
          <w:rFonts w:ascii="Arial" w:hAnsi="Arial" w:cs="Arial"/>
          <w:sz w:val="24"/>
          <w:szCs w:val="24"/>
          <w:lang w:val="en-CA"/>
        </w:rPr>
        <w:t>of</w:t>
      </w:r>
      <w:r w:rsidRPr="00121FBC">
        <w:rPr>
          <w:rFonts w:ascii="Arial" w:hAnsi="Arial" w:cs="Arial"/>
          <w:spacing w:val="-4"/>
          <w:sz w:val="24"/>
          <w:szCs w:val="24"/>
          <w:lang w:val="en-CA"/>
        </w:rPr>
        <w:t xml:space="preserve"> </w:t>
      </w:r>
      <w:r w:rsidRPr="00121FBC">
        <w:rPr>
          <w:rFonts w:ascii="Arial" w:hAnsi="Arial" w:cs="Arial"/>
          <w:sz w:val="24"/>
          <w:szCs w:val="24"/>
          <w:lang w:val="en-CA"/>
        </w:rPr>
        <w:t>immigrants</w:t>
      </w:r>
      <w:r w:rsidRPr="00121FBC">
        <w:rPr>
          <w:rFonts w:ascii="Arial" w:hAnsi="Arial" w:cs="Arial"/>
          <w:spacing w:val="-6"/>
          <w:sz w:val="24"/>
          <w:szCs w:val="24"/>
          <w:lang w:val="en-CA"/>
        </w:rPr>
        <w:t xml:space="preserve"> </w:t>
      </w:r>
      <w:r w:rsidRPr="00121FBC">
        <w:rPr>
          <w:rFonts w:ascii="Arial" w:hAnsi="Arial" w:cs="Arial"/>
          <w:sz w:val="24"/>
          <w:szCs w:val="24"/>
          <w:lang w:val="en-CA"/>
        </w:rPr>
        <w:t>due</w:t>
      </w:r>
      <w:r w:rsidRPr="00121FBC">
        <w:rPr>
          <w:rFonts w:ascii="Arial" w:hAnsi="Arial" w:cs="Arial"/>
          <w:spacing w:val="-4"/>
          <w:sz w:val="24"/>
          <w:szCs w:val="24"/>
          <w:lang w:val="en-CA"/>
        </w:rPr>
        <w:t xml:space="preserve"> </w:t>
      </w:r>
      <w:r w:rsidRPr="00121FBC">
        <w:rPr>
          <w:rFonts w:ascii="Arial" w:hAnsi="Arial" w:cs="Arial"/>
          <w:sz w:val="24"/>
          <w:szCs w:val="24"/>
          <w:lang w:val="en-CA"/>
        </w:rPr>
        <w:t>to</w:t>
      </w:r>
      <w:r w:rsidRPr="00121FBC">
        <w:rPr>
          <w:rFonts w:ascii="Arial" w:hAnsi="Arial" w:cs="Arial"/>
          <w:spacing w:val="-5"/>
          <w:sz w:val="24"/>
          <w:szCs w:val="24"/>
          <w:lang w:val="en-CA"/>
        </w:rPr>
        <w:t xml:space="preserve"> </w:t>
      </w:r>
      <w:r w:rsidRPr="00121FBC">
        <w:rPr>
          <w:rFonts w:ascii="Arial" w:hAnsi="Arial" w:cs="Arial"/>
          <w:sz w:val="24"/>
          <w:szCs w:val="24"/>
          <w:lang w:val="en-CA"/>
        </w:rPr>
        <w:t>non-recognition</w:t>
      </w:r>
      <w:r w:rsidRPr="00121FBC">
        <w:rPr>
          <w:rFonts w:ascii="Arial" w:hAnsi="Arial" w:cs="Arial"/>
          <w:spacing w:val="-5"/>
          <w:sz w:val="24"/>
          <w:szCs w:val="24"/>
          <w:lang w:val="en-CA"/>
        </w:rPr>
        <w:t xml:space="preserve"> </w:t>
      </w:r>
      <w:r w:rsidRPr="00121FBC">
        <w:rPr>
          <w:rFonts w:ascii="Arial" w:hAnsi="Arial" w:cs="Arial"/>
          <w:sz w:val="24"/>
          <w:szCs w:val="24"/>
          <w:lang w:val="en-CA"/>
        </w:rPr>
        <w:t>of</w:t>
      </w:r>
      <w:r w:rsidRPr="00121FBC">
        <w:rPr>
          <w:rFonts w:ascii="Arial" w:hAnsi="Arial" w:cs="Arial"/>
          <w:spacing w:val="-5"/>
          <w:sz w:val="24"/>
          <w:szCs w:val="24"/>
          <w:lang w:val="en-CA"/>
        </w:rPr>
        <w:t xml:space="preserve"> </w:t>
      </w:r>
      <w:r w:rsidRPr="00121FBC">
        <w:rPr>
          <w:rFonts w:ascii="Arial" w:hAnsi="Arial" w:cs="Arial"/>
          <w:sz w:val="24"/>
          <w:szCs w:val="24"/>
          <w:lang w:val="en-CA"/>
        </w:rPr>
        <w:t>international</w:t>
      </w:r>
      <w:r w:rsidRPr="00121FBC">
        <w:rPr>
          <w:rFonts w:ascii="Arial" w:hAnsi="Arial" w:cs="Arial"/>
          <w:spacing w:val="-5"/>
          <w:sz w:val="24"/>
          <w:szCs w:val="24"/>
          <w:lang w:val="en-CA"/>
        </w:rPr>
        <w:t xml:space="preserve"> </w:t>
      </w:r>
      <w:r w:rsidRPr="00121FBC">
        <w:rPr>
          <w:rFonts w:ascii="Arial" w:hAnsi="Arial" w:cs="Arial"/>
          <w:sz w:val="24"/>
          <w:szCs w:val="24"/>
          <w:lang w:val="en-CA"/>
        </w:rPr>
        <w:t>credentials and experience earned abroad; and use of police</w:t>
      </w:r>
      <w:r w:rsidRPr="00121FBC">
        <w:rPr>
          <w:rFonts w:ascii="Arial" w:hAnsi="Arial" w:cs="Arial"/>
          <w:spacing w:val="-1"/>
          <w:sz w:val="24"/>
          <w:szCs w:val="24"/>
          <w:lang w:val="en-CA"/>
        </w:rPr>
        <w:t xml:space="preserve"> </w:t>
      </w:r>
      <w:r w:rsidRPr="00121FBC">
        <w:rPr>
          <w:rFonts w:ascii="Arial" w:hAnsi="Arial" w:cs="Arial"/>
          <w:sz w:val="24"/>
          <w:szCs w:val="24"/>
          <w:lang w:val="en-CA"/>
        </w:rPr>
        <w:t>record checks</w:t>
      </w:r>
      <w:r w:rsidRPr="00121FBC">
        <w:rPr>
          <w:rFonts w:ascii="Arial" w:hAnsi="Arial" w:cs="Arial"/>
          <w:spacing w:val="-1"/>
          <w:sz w:val="24"/>
          <w:szCs w:val="24"/>
          <w:lang w:val="en-CA"/>
        </w:rPr>
        <w:t xml:space="preserve"> </w:t>
      </w:r>
      <w:r w:rsidRPr="00121FBC">
        <w:rPr>
          <w:rFonts w:ascii="Arial" w:hAnsi="Arial" w:cs="Arial"/>
          <w:sz w:val="24"/>
          <w:szCs w:val="24"/>
          <w:lang w:val="en-CA"/>
        </w:rPr>
        <w:t>to discriminate</w:t>
      </w:r>
      <w:r w:rsidRPr="00121FBC">
        <w:rPr>
          <w:rFonts w:ascii="Arial" w:hAnsi="Arial" w:cs="Arial"/>
          <w:spacing w:val="-1"/>
          <w:sz w:val="24"/>
          <w:szCs w:val="24"/>
          <w:lang w:val="en-CA"/>
        </w:rPr>
        <w:t xml:space="preserve"> </w:t>
      </w:r>
      <w:r w:rsidRPr="00121FBC">
        <w:rPr>
          <w:rFonts w:ascii="Arial" w:hAnsi="Arial" w:cs="Arial"/>
          <w:sz w:val="24"/>
          <w:szCs w:val="24"/>
          <w:lang w:val="en-CA"/>
        </w:rPr>
        <w:t>against applicants.</w:t>
      </w:r>
      <w:r w:rsidRPr="00121FBC">
        <w:rPr>
          <w:rFonts w:ascii="Arial" w:hAnsi="Arial" w:cs="Arial"/>
          <w:spacing w:val="-14"/>
          <w:sz w:val="24"/>
          <w:szCs w:val="24"/>
          <w:lang w:val="en-CA"/>
        </w:rPr>
        <w:t xml:space="preserve"> </w:t>
      </w:r>
    </w:p>
    <w:p w14:paraId="47964DA1" w14:textId="77777777" w:rsidR="00EA52C4" w:rsidRPr="00121FBC" w:rsidRDefault="00EA52C4" w:rsidP="00814D8E">
      <w:pPr>
        <w:pStyle w:val="ListParagraph"/>
        <w:tabs>
          <w:tab w:val="left" w:pos="458"/>
        </w:tabs>
        <w:spacing w:line="276" w:lineRule="auto"/>
        <w:ind w:firstLine="0"/>
        <w:contextualSpacing/>
        <w:jc w:val="both"/>
        <w:rPr>
          <w:rFonts w:ascii="Arial" w:hAnsi="Arial" w:cs="Arial"/>
          <w:sz w:val="24"/>
          <w:szCs w:val="24"/>
          <w:lang w:val="en-CA"/>
        </w:rPr>
      </w:pPr>
    </w:p>
    <w:p w14:paraId="0320357A" w14:textId="1E914F27" w:rsidR="0071492F" w:rsidRPr="00121FBC" w:rsidRDefault="0071492F" w:rsidP="00814D8E">
      <w:pPr>
        <w:pStyle w:val="ListParagraph"/>
        <w:numPr>
          <w:ilvl w:val="0"/>
          <w:numId w:val="10"/>
        </w:numPr>
        <w:tabs>
          <w:tab w:val="left" w:pos="458"/>
        </w:tabs>
        <w:spacing w:line="276" w:lineRule="auto"/>
        <w:contextualSpacing/>
        <w:jc w:val="both"/>
        <w:rPr>
          <w:rFonts w:ascii="Arial" w:hAnsi="Arial" w:cs="Arial"/>
          <w:sz w:val="24"/>
          <w:szCs w:val="24"/>
          <w:lang w:val="en-CA"/>
        </w:rPr>
      </w:pPr>
      <w:r w:rsidRPr="00121FBC">
        <w:rPr>
          <w:rFonts w:ascii="Arial" w:hAnsi="Arial" w:cs="Arial"/>
          <w:sz w:val="24"/>
          <w:szCs w:val="24"/>
          <w:lang w:val="en-CA"/>
        </w:rPr>
        <w:t>As of October 2025, in Ontario</w:t>
      </w:r>
      <w:r w:rsidRPr="00121FBC">
        <w:rPr>
          <w:rStyle w:val="FootnoteReference"/>
          <w:rFonts w:ascii="Arial" w:hAnsi="Arial" w:cs="Arial"/>
          <w:sz w:val="24"/>
          <w:szCs w:val="24"/>
          <w:lang w:val="en-CA"/>
        </w:rPr>
        <w:footnoteReference w:id="14"/>
      </w:r>
      <w:r w:rsidRPr="00121FBC">
        <w:rPr>
          <w:rFonts w:ascii="Arial" w:hAnsi="Arial" w:cs="Arial"/>
          <w:sz w:val="24"/>
          <w:szCs w:val="24"/>
          <w:lang w:val="en-CA"/>
        </w:rPr>
        <w:t>, the unemployment rate for similar for men and women, estimated at 7.6%. However, the unemployment rate among population groups designated as “visible minorities” (peoples of colour) was estimated at 9.5% in comparison to a 6.8% rate for non-peoples of colour and those that did not identify as Indigenous. Similarly, the unemployment rate for the Indigenous population was 12.2% compared to 7.9% for the non-Indigenous population. Through the pandemic and beyond, Indigenous people and peoples of colour across all regions in Canada continue to have higher rates of unemployment than “non-visible minority” communities.</w:t>
      </w:r>
      <w:r w:rsidRPr="00121FBC">
        <w:rPr>
          <w:rStyle w:val="FootnoteReference"/>
          <w:rFonts w:ascii="Arial" w:hAnsi="Arial" w:cs="Arial"/>
          <w:sz w:val="24"/>
          <w:szCs w:val="24"/>
          <w:lang w:val="en-CA"/>
        </w:rPr>
        <w:footnoteReference w:id="15"/>
      </w:r>
    </w:p>
    <w:p w14:paraId="69DE84EC" w14:textId="77777777" w:rsidR="00F15941" w:rsidRPr="00121FBC" w:rsidRDefault="00F15941" w:rsidP="00814D8E">
      <w:pPr>
        <w:pStyle w:val="ListParagraph"/>
        <w:spacing w:line="276" w:lineRule="auto"/>
        <w:rPr>
          <w:rFonts w:ascii="Arial" w:hAnsi="Arial" w:cs="Arial"/>
          <w:sz w:val="24"/>
          <w:szCs w:val="24"/>
          <w:lang w:val="en-CA"/>
        </w:rPr>
      </w:pPr>
    </w:p>
    <w:p w14:paraId="6D259F6B" w14:textId="6B53E4EC" w:rsidR="00817BDB" w:rsidRPr="00121FBC" w:rsidRDefault="0071492F"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Despite overall improvements in labour market outcomes for women, there remains a gender gap between men and women. </w:t>
      </w:r>
      <w:r w:rsidR="00C42662" w:rsidRPr="00121FBC">
        <w:rPr>
          <w:rFonts w:ascii="Arial" w:hAnsi="Arial" w:cs="Arial"/>
          <w:sz w:val="24"/>
          <w:szCs w:val="24"/>
          <w:lang w:val="en-CA"/>
        </w:rPr>
        <w:t>M</w:t>
      </w:r>
      <w:r w:rsidR="00817BDB" w:rsidRPr="00121FBC">
        <w:rPr>
          <w:rFonts w:ascii="Arial" w:hAnsi="Arial" w:cs="Arial"/>
          <w:sz w:val="24"/>
          <w:szCs w:val="24"/>
          <w:lang w:val="en-CA"/>
        </w:rPr>
        <w:t>ajor gender inequalities persist. Women—especially mothers of young children, caregivers, women with fewer years of formal schooling, and those facing overlapping forms of discrimination—remain concentrated in lower-paid occupations rooted in traditional gender roles such as care work and personal service work</w:t>
      </w:r>
      <w:r w:rsidR="00817BDB" w:rsidRPr="00121FBC">
        <w:rPr>
          <w:rStyle w:val="FootnoteReference"/>
          <w:rFonts w:ascii="Arial" w:hAnsi="Arial" w:cs="Arial"/>
          <w:sz w:val="24"/>
          <w:szCs w:val="24"/>
          <w:lang w:val="en-CA"/>
        </w:rPr>
        <w:footnoteReference w:id="16"/>
      </w:r>
      <w:r w:rsidR="00817BDB" w:rsidRPr="00121FBC">
        <w:rPr>
          <w:rFonts w:ascii="Arial" w:hAnsi="Arial" w:cs="Arial"/>
          <w:sz w:val="24"/>
          <w:szCs w:val="24"/>
          <w:lang w:val="en-CA"/>
        </w:rPr>
        <w:t xml:space="preserve">. </w:t>
      </w:r>
    </w:p>
    <w:p w14:paraId="1AB79CF3" w14:textId="77777777" w:rsidR="00F15941" w:rsidRPr="00121FBC" w:rsidRDefault="00F15941" w:rsidP="00814D8E">
      <w:pPr>
        <w:pStyle w:val="ListParagraph"/>
        <w:spacing w:line="276" w:lineRule="auto"/>
        <w:rPr>
          <w:rFonts w:ascii="Arial" w:hAnsi="Arial" w:cs="Arial"/>
          <w:sz w:val="24"/>
          <w:szCs w:val="24"/>
          <w:lang w:val="en-CA"/>
        </w:rPr>
      </w:pPr>
    </w:p>
    <w:p w14:paraId="7F973C45" w14:textId="44FCCC02" w:rsidR="0071492F" w:rsidRPr="00121FBC" w:rsidRDefault="0071492F"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These</w:t>
      </w:r>
      <w:r w:rsidR="00817BDB" w:rsidRPr="00121FBC">
        <w:rPr>
          <w:rFonts w:ascii="Arial" w:hAnsi="Arial" w:cs="Arial"/>
          <w:sz w:val="24"/>
          <w:szCs w:val="24"/>
          <w:lang w:val="en-CA"/>
        </w:rPr>
        <w:t xml:space="preserve"> gender-based wage</w:t>
      </w:r>
      <w:r w:rsidRPr="00121FBC">
        <w:rPr>
          <w:rFonts w:ascii="Arial" w:hAnsi="Arial" w:cs="Arial"/>
          <w:sz w:val="24"/>
          <w:szCs w:val="24"/>
          <w:lang w:val="en-CA"/>
        </w:rPr>
        <w:t xml:space="preserve"> gaps become compounded when accounting for immigration status, race and faith background. While labour force participation rates and employment rates improve with the length of time spent in Canada, there remains a gap between immigrant and Canadian-born women</w:t>
      </w:r>
      <w:r w:rsidRPr="00121FBC">
        <w:rPr>
          <w:rStyle w:val="FootnoteReference"/>
          <w:rFonts w:ascii="Arial" w:hAnsi="Arial" w:cs="Arial"/>
          <w:sz w:val="24"/>
          <w:szCs w:val="24"/>
          <w:lang w:val="en-CA"/>
        </w:rPr>
        <w:footnoteReference w:id="17"/>
      </w:r>
      <w:r w:rsidRPr="00121FBC">
        <w:rPr>
          <w:rFonts w:ascii="Arial" w:hAnsi="Arial" w:cs="Arial"/>
          <w:sz w:val="24"/>
          <w:szCs w:val="24"/>
          <w:lang w:val="en-CA"/>
        </w:rPr>
        <w:t xml:space="preserve">. </w:t>
      </w:r>
    </w:p>
    <w:p w14:paraId="1C0FC76A" w14:textId="77777777" w:rsidR="00F15941" w:rsidRPr="00121FBC" w:rsidRDefault="00F15941" w:rsidP="00814D8E">
      <w:pPr>
        <w:pStyle w:val="ListParagraph"/>
        <w:tabs>
          <w:tab w:val="left" w:pos="460"/>
        </w:tabs>
        <w:spacing w:line="276" w:lineRule="auto"/>
        <w:ind w:firstLine="0"/>
        <w:contextualSpacing/>
        <w:jc w:val="both"/>
        <w:rPr>
          <w:rFonts w:ascii="Arial" w:hAnsi="Arial" w:cs="Arial"/>
          <w:sz w:val="24"/>
          <w:szCs w:val="24"/>
          <w:lang w:val="en-CA"/>
        </w:rPr>
      </w:pPr>
    </w:p>
    <w:p w14:paraId="67F0193A" w14:textId="4502EB75" w:rsidR="0071492F" w:rsidRPr="00121FBC" w:rsidRDefault="0071492F"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This disparity is more apparent when comparing immigrant and women of colour to </w:t>
      </w:r>
      <w:r w:rsidRPr="00121FBC">
        <w:rPr>
          <w:rFonts w:ascii="Arial" w:hAnsi="Arial" w:cs="Arial"/>
          <w:sz w:val="24"/>
          <w:szCs w:val="24"/>
          <w:lang w:val="en-CA"/>
        </w:rPr>
        <w:lastRenderedPageBreak/>
        <w:t>Canadian-born white men. In 2019, the wage gap between Canadian-born white men and immigrant women was 47%. The gap increased to 61% for immigrant women of colour</w:t>
      </w:r>
      <w:r w:rsidRPr="00121FBC">
        <w:rPr>
          <w:rStyle w:val="FootnoteReference"/>
          <w:rFonts w:ascii="Arial" w:hAnsi="Arial" w:cs="Arial"/>
          <w:sz w:val="24"/>
          <w:szCs w:val="24"/>
          <w:lang w:val="en-CA"/>
        </w:rPr>
        <w:footnoteReference w:id="18"/>
      </w:r>
      <w:r w:rsidRPr="00121FBC">
        <w:rPr>
          <w:rFonts w:ascii="Arial" w:hAnsi="Arial" w:cs="Arial"/>
          <w:sz w:val="24"/>
          <w:szCs w:val="24"/>
          <w:lang w:val="en-CA"/>
        </w:rPr>
        <w:t>. Racialized women in Canada – including Indigenous women, Black women and women of colour - have lower labour force participation rates and lower employment rates, are less likely to work full-time, and experience a larger wage gap compared to Canadian-born men.</w:t>
      </w:r>
      <w:r w:rsidRPr="00121FBC">
        <w:rPr>
          <w:rStyle w:val="FootnoteReference"/>
          <w:rFonts w:ascii="Arial" w:hAnsi="Arial" w:cs="Arial"/>
          <w:sz w:val="24"/>
          <w:szCs w:val="24"/>
          <w:lang w:val="en-CA"/>
        </w:rPr>
        <w:footnoteReference w:id="19"/>
      </w:r>
      <w:r w:rsidRPr="00121FBC">
        <w:rPr>
          <w:rFonts w:ascii="Arial" w:hAnsi="Arial" w:cs="Arial"/>
          <w:sz w:val="24"/>
          <w:szCs w:val="24"/>
          <w:lang w:val="en-CA"/>
        </w:rPr>
        <w:t xml:space="preserve"> .  A </w:t>
      </w:r>
      <w:r w:rsidR="00B96229" w:rsidRPr="00121FBC">
        <w:rPr>
          <w:rFonts w:ascii="Arial" w:hAnsi="Arial" w:cs="Arial"/>
          <w:sz w:val="24"/>
          <w:szCs w:val="24"/>
          <w:lang w:val="en-CA"/>
        </w:rPr>
        <w:t xml:space="preserve">2022 </w:t>
      </w:r>
      <w:r w:rsidRPr="00121FBC">
        <w:rPr>
          <w:rFonts w:ascii="Arial" w:hAnsi="Arial" w:cs="Arial"/>
          <w:sz w:val="24"/>
          <w:szCs w:val="24"/>
          <w:lang w:val="en-CA"/>
        </w:rPr>
        <w:t>study from Statistics Canada found that the average pay for peoples of colour could be as much as 30% lower in similar sized workplaces.</w:t>
      </w:r>
      <w:r w:rsidRPr="00121FBC">
        <w:rPr>
          <w:rStyle w:val="FootnoteReference"/>
          <w:rFonts w:ascii="Arial" w:hAnsi="Arial" w:cs="Arial"/>
          <w:sz w:val="24"/>
          <w:szCs w:val="24"/>
          <w:lang w:val="en-CA"/>
        </w:rPr>
        <w:footnoteReference w:id="20"/>
      </w:r>
    </w:p>
    <w:p w14:paraId="5CE0D41C" w14:textId="77777777" w:rsidR="00F15941" w:rsidRPr="00121FBC" w:rsidRDefault="00F15941" w:rsidP="00814D8E">
      <w:pPr>
        <w:pStyle w:val="ListParagraph"/>
        <w:tabs>
          <w:tab w:val="left" w:pos="460"/>
        </w:tabs>
        <w:spacing w:line="276" w:lineRule="auto"/>
        <w:ind w:firstLine="0"/>
        <w:contextualSpacing/>
        <w:jc w:val="both"/>
        <w:rPr>
          <w:rFonts w:ascii="Arial" w:hAnsi="Arial" w:cs="Arial"/>
          <w:b/>
          <w:bCs/>
          <w:sz w:val="24"/>
          <w:szCs w:val="24"/>
          <w:lang w:val="en-CA"/>
        </w:rPr>
      </w:pPr>
    </w:p>
    <w:p w14:paraId="4CE45857" w14:textId="1FCD8369" w:rsidR="00817BDB" w:rsidRPr="00121FBC" w:rsidRDefault="00814D8E" w:rsidP="00814D8E">
      <w:pPr>
        <w:pStyle w:val="ListParagraph"/>
        <w:numPr>
          <w:ilvl w:val="0"/>
          <w:numId w:val="10"/>
        </w:numPr>
        <w:tabs>
          <w:tab w:val="left" w:pos="460"/>
        </w:tabs>
        <w:spacing w:line="276" w:lineRule="auto"/>
        <w:contextualSpacing/>
        <w:jc w:val="both"/>
        <w:rPr>
          <w:rFonts w:ascii="Arial" w:hAnsi="Arial" w:cs="Arial"/>
          <w:b/>
          <w:bCs/>
          <w:sz w:val="24"/>
          <w:szCs w:val="24"/>
          <w:lang w:val="en-CA"/>
        </w:rPr>
      </w:pPr>
      <w:r w:rsidRPr="00121FBC">
        <w:rPr>
          <w:rFonts w:ascii="Arial" w:hAnsi="Arial" w:cs="Arial"/>
          <w:b/>
          <w:bCs/>
          <w:sz w:val="24"/>
          <w:szCs w:val="24"/>
          <w:lang w:val="en-CA"/>
        </w:rPr>
        <w:t xml:space="preserve">Recommendations: </w:t>
      </w:r>
      <w:r w:rsidR="00817BDB" w:rsidRPr="00121FBC">
        <w:rPr>
          <w:rFonts w:ascii="Arial" w:hAnsi="Arial" w:cs="Arial"/>
          <w:b/>
          <w:bCs/>
          <w:sz w:val="24"/>
          <w:szCs w:val="24"/>
          <w:lang w:val="en-CA"/>
        </w:rPr>
        <w:t xml:space="preserve">We recommend the Committee ask Canada to: </w:t>
      </w:r>
    </w:p>
    <w:p w14:paraId="056B1B5A" w14:textId="77777777" w:rsidR="00B110C5" w:rsidRPr="00121FBC" w:rsidRDefault="00C53C60" w:rsidP="00814D8E">
      <w:pPr>
        <w:pStyle w:val="ListParagraph"/>
        <w:numPr>
          <w:ilvl w:val="0"/>
          <w:numId w:val="11"/>
        </w:numPr>
        <w:spacing w:line="276" w:lineRule="auto"/>
        <w:contextualSpacing/>
        <w:jc w:val="both"/>
        <w:rPr>
          <w:rFonts w:ascii="Arial" w:hAnsi="Arial" w:cs="Arial"/>
          <w:b/>
          <w:bCs/>
          <w:sz w:val="24"/>
          <w:szCs w:val="24"/>
          <w:lang w:val="en-CA"/>
        </w:rPr>
      </w:pPr>
      <w:r w:rsidRPr="00121FBC">
        <w:rPr>
          <w:rFonts w:ascii="Arial" w:hAnsi="Arial" w:cs="Arial"/>
          <w:b/>
          <w:bCs/>
          <w:sz w:val="24"/>
          <w:szCs w:val="24"/>
          <w:lang w:val="en-CA"/>
        </w:rPr>
        <w:t>Require</w:t>
      </w:r>
      <w:r w:rsidRPr="00121FBC">
        <w:rPr>
          <w:rFonts w:ascii="Arial" w:hAnsi="Arial" w:cs="Arial"/>
          <w:b/>
          <w:bCs/>
          <w:spacing w:val="-6"/>
          <w:sz w:val="24"/>
          <w:szCs w:val="24"/>
          <w:lang w:val="en-CA"/>
        </w:rPr>
        <w:t xml:space="preserve"> </w:t>
      </w:r>
      <w:r w:rsidRPr="00121FBC">
        <w:rPr>
          <w:rFonts w:ascii="Arial" w:hAnsi="Arial" w:cs="Arial"/>
          <w:b/>
          <w:bCs/>
          <w:sz w:val="24"/>
          <w:szCs w:val="24"/>
          <w:lang w:val="en-CA"/>
        </w:rPr>
        <w:t>provincial</w:t>
      </w:r>
      <w:r w:rsidRPr="00121FBC">
        <w:rPr>
          <w:rFonts w:ascii="Arial" w:hAnsi="Arial" w:cs="Arial"/>
          <w:b/>
          <w:bCs/>
          <w:spacing w:val="-4"/>
          <w:sz w:val="24"/>
          <w:szCs w:val="24"/>
          <w:lang w:val="en-CA"/>
        </w:rPr>
        <w:t xml:space="preserve"> </w:t>
      </w:r>
      <w:r w:rsidRPr="00121FBC">
        <w:rPr>
          <w:rFonts w:ascii="Arial" w:hAnsi="Arial" w:cs="Arial"/>
          <w:b/>
          <w:bCs/>
          <w:sz w:val="24"/>
          <w:szCs w:val="24"/>
          <w:lang w:val="en-CA"/>
        </w:rPr>
        <w:t>and</w:t>
      </w:r>
      <w:r w:rsidRPr="00121FBC">
        <w:rPr>
          <w:rFonts w:ascii="Arial" w:hAnsi="Arial" w:cs="Arial"/>
          <w:b/>
          <w:bCs/>
          <w:spacing w:val="-4"/>
          <w:sz w:val="24"/>
          <w:szCs w:val="24"/>
          <w:lang w:val="en-CA"/>
        </w:rPr>
        <w:t xml:space="preserve"> </w:t>
      </w:r>
      <w:r w:rsidRPr="00121FBC">
        <w:rPr>
          <w:rFonts w:ascii="Arial" w:hAnsi="Arial" w:cs="Arial"/>
          <w:b/>
          <w:bCs/>
          <w:sz w:val="24"/>
          <w:szCs w:val="24"/>
          <w:lang w:val="en-CA"/>
        </w:rPr>
        <w:t>territorial</w:t>
      </w:r>
      <w:r w:rsidRPr="00121FBC">
        <w:rPr>
          <w:rFonts w:ascii="Arial" w:hAnsi="Arial" w:cs="Arial"/>
          <w:b/>
          <w:bCs/>
          <w:spacing w:val="-4"/>
          <w:sz w:val="24"/>
          <w:szCs w:val="24"/>
          <w:lang w:val="en-CA"/>
        </w:rPr>
        <w:t xml:space="preserve"> </w:t>
      </w:r>
      <w:r w:rsidRPr="00121FBC">
        <w:rPr>
          <w:rFonts w:ascii="Arial" w:hAnsi="Arial" w:cs="Arial"/>
          <w:b/>
          <w:bCs/>
          <w:sz w:val="24"/>
          <w:szCs w:val="24"/>
          <w:lang w:val="en-CA"/>
        </w:rPr>
        <w:t>governments</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to</w:t>
      </w:r>
      <w:r w:rsidRPr="00121FBC">
        <w:rPr>
          <w:rFonts w:ascii="Arial" w:hAnsi="Arial" w:cs="Arial"/>
          <w:b/>
          <w:bCs/>
          <w:spacing w:val="-4"/>
          <w:sz w:val="24"/>
          <w:szCs w:val="24"/>
          <w:lang w:val="en-CA"/>
        </w:rPr>
        <w:t xml:space="preserve"> </w:t>
      </w:r>
      <w:r w:rsidRPr="00121FBC">
        <w:rPr>
          <w:rFonts w:ascii="Arial" w:hAnsi="Arial" w:cs="Arial"/>
          <w:b/>
          <w:bCs/>
          <w:sz w:val="24"/>
          <w:szCs w:val="24"/>
          <w:lang w:val="en-CA"/>
        </w:rPr>
        <w:t>introduce</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and enforce</w:t>
      </w:r>
      <w:r w:rsidRPr="00121FBC">
        <w:rPr>
          <w:rFonts w:ascii="Arial" w:hAnsi="Arial" w:cs="Arial"/>
          <w:b/>
          <w:bCs/>
          <w:spacing w:val="-5"/>
          <w:sz w:val="24"/>
          <w:szCs w:val="24"/>
          <w:lang w:val="en-CA"/>
        </w:rPr>
        <w:t xml:space="preserve"> robust</w:t>
      </w:r>
      <w:r w:rsidRPr="00121FBC">
        <w:rPr>
          <w:rFonts w:ascii="Arial" w:hAnsi="Arial" w:cs="Arial"/>
          <w:b/>
          <w:bCs/>
          <w:sz w:val="24"/>
          <w:szCs w:val="24"/>
          <w:lang w:val="en-CA"/>
        </w:rPr>
        <w:t xml:space="preserve"> and effective employment equity legislation;</w:t>
      </w:r>
    </w:p>
    <w:p w14:paraId="00799CBC" w14:textId="1EEE7E33" w:rsidR="00B110C5" w:rsidRPr="00121FBC" w:rsidRDefault="00B110C5" w:rsidP="00814D8E">
      <w:pPr>
        <w:pStyle w:val="ListParagraph"/>
        <w:numPr>
          <w:ilvl w:val="0"/>
          <w:numId w:val="11"/>
        </w:numPr>
        <w:spacing w:line="276" w:lineRule="auto"/>
        <w:contextualSpacing/>
        <w:jc w:val="both"/>
        <w:rPr>
          <w:rFonts w:ascii="Arial" w:hAnsi="Arial" w:cs="Arial"/>
          <w:b/>
          <w:bCs/>
          <w:sz w:val="24"/>
          <w:szCs w:val="24"/>
          <w:lang w:val="en-CA"/>
        </w:rPr>
      </w:pPr>
      <w:r w:rsidRPr="00121FBC">
        <w:rPr>
          <w:rFonts w:ascii="Arial" w:hAnsi="Arial" w:cs="Arial"/>
          <w:b/>
          <w:bCs/>
          <w:sz w:val="24"/>
          <w:szCs w:val="24"/>
        </w:rPr>
        <w:t xml:space="preserve">Amend the </w:t>
      </w:r>
      <w:r w:rsidRPr="00121FBC">
        <w:rPr>
          <w:rFonts w:ascii="Arial" w:hAnsi="Arial" w:cs="Arial"/>
          <w:b/>
          <w:bCs/>
          <w:i/>
          <w:sz w:val="24"/>
          <w:szCs w:val="24"/>
        </w:rPr>
        <w:t>Employment Equity Act</w:t>
      </w:r>
      <w:r w:rsidRPr="00121FBC">
        <w:rPr>
          <w:rFonts w:ascii="Arial" w:hAnsi="Arial" w:cs="Arial"/>
          <w:b/>
          <w:bCs/>
          <w:sz w:val="24"/>
          <w:szCs w:val="24"/>
        </w:rPr>
        <w:t xml:space="preserve"> (</w:t>
      </w:r>
      <w:r w:rsidRPr="00121FBC">
        <w:rPr>
          <w:rFonts w:ascii="Arial" w:hAnsi="Arial" w:cs="Arial"/>
          <w:b/>
          <w:bCs/>
          <w:i/>
          <w:sz w:val="24"/>
          <w:szCs w:val="24"/>
        </w:rPr>
        <w:t>EEA</w:t>
      </w:r>
      <w:r w:rsidRPr="00121FBC">
        <w:rPr>
          <w:rFonts w:ascii="Arial" w:hAnsi="Arial" w:cs="Arial"/>
          <w:b/>
          <w:bCs/>
          <w:sz w:val="24"/>
          <w:szCs w:val="24"/>
        </w:rPr>
        <w:t>) to reinstate mandatory compliance by Federal Contractors with all requirements under the statute;</w:t>
      </w:r>
    </w:p>
    <w:p w14:paraId="1179555E" w14:textId="6B19FBA7" w:rsidR="00C53C60" w:rsidRDefault="00C53C60" w:rsidP="00814D8E">
      <w:pPr>
        <w:pStyle w:val="ListParagraph"/>
        <w:numPr>
          <w:ilvl w:val="0"/>
          <w:numId w:val="11"/>
        </w:numPr>
        <w:spacing w:line="276" w:lineRule="auto"/>
        <w:contextualSpacing/>
        <w:jc w:val="both"/>
        <w:rPr>
          <w:rFonts w:ascii="Arial" w:hAnsi="Arial" w:cs="Arial"/>
          <w:b/>
          <w:bCs/>
          <w:sz w:val="24"/>
          <w:szCs w:val="24"/>
          <w:lang w:val="en-CA"/>
        </w:rPr>
      </w:pPr>
      <w:r w:rsidRPr="00121FBC">
        <w:rPr>
          <w:rFonts w:ascii="Arial" w:hAnsi="Arial" w:cs="Arial"/>
          <w:b/>
          <w:bCs/>
          <w:sz w:val="24"/>
          <w:szCs w:val="24"/>
          <w:lang w:val="en-CA"/>
        </w:rPr>
        <w:t>Include a recognition of intersectional discrimination/oppression</w:t>
      </w:r>
      <w:r w:rsidRPr="00121FBC">
        <w:rPr>
          <w:rFonts w:ascii="Arial" w:hAnsi="Arial" w:cs="Arial"/>
          <w:b/>
          <w:bCs/>
          <w:spacing w:val="-5"/>
          <w:sz w:val="24"/>
          <w:szCs w:val="24"/>
          <w:lang w:val="en-CA"/>
        </w:rPr>
        <w:t xml:space="preserve"> as </w:t>
      </w:r>
      <w:r w:rsidRPr="00121FBC">
        <w:rPr>
          <w:rFonts w:ascii="Arial" w:hAnsi="Arial" w:cs="Arial"/>
          <w:b/>
          <w:bCs/>
          <w:sz w:val="24"/>
          <w:szCs w:val="24"/>
          <w:lang w:val="en-CA"/>
        </w:rPr>
        <w:t>experienced</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by</w:t>
      </w:r>
      <w:r w:rsidRPr="00121FBC">
        <w:rPr>
          <w:rFonts w:ascii="Arial" w:hAnsi="Arial" w:cs="Arial"/>
          <w:b/>
          <w:bCs/>
          <w:spacing w:val="-10"/>
          <w:sz w:val="24"/>
          <w:szCs w:val="24"/>
          <w:lang w:val="en-CA"/>
        </w:rPr>
        <w:t xml:space="preserve"> members of </w:t>
      </w:r>
      <w:r w:rsidRPr="00121FBC">
        <w:rPr>
          <w:rFonts w:ascii="Arial" w:hAnsi="Arial" w:cs="Arial"/>
          <w:b/>
          <w:bCs/>
          <w:sz w:val="24"/>
          <w:szCs w:val="24"/>
          <w:lang w:val="en-CA"/>
        </w:rPr>
        <w:t>the</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designated</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groups – Indigenous Peoples, peoples of colour, women, persons living with disabilities, 2SLGBTQI+ individuals and those of diverse faith backgrounds, in employment equity legislation.</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Such</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recognition</w:t>
      </w:r>
      <w:r w:rsidRPr="00121FBC">
        <w:rPr>
          <w:rFonts w:ascii="Arial" w:hAnsi="Arial" w:cs="Arial"/>
          <w:b/>
          <w:bCs/>
          <w:spacing w:val="-5"/>
          <w:sz w:val="24"/>
          <w:szCs w:val="24"/>
          <w:lang w:val="en-CA"/>
        </w:rPr>
        <w:t xml:space="preserve"> </w:t>
      </w:r>
      <w:r w:rsidRPr="00121FBC">
        <w:rPr>
          <w:rFonts w:ascii="Arial" w:hAnsi="Arial" w:cs="Arial"/>
          <w:b/>
          <w:bCs/>
          <w:sz w:val="24"/>
          <w:szCs w:val="24"/>
          <w:lang w:val="en-CA"/>
        </w:rPr>
        <w:t>is important</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to</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advance employment opportunities</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for</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those</w:t>
      </w:r>
      <w:r w:rsidRPr="00121FBC">
        <w:rPr>
          <w:rFonts w:ascii="Arial" w:hAnsi="Arial" w:cs="Arial"/>
          <w:b/>
          <w:bCs/>
          <w:spacing w:val="-3"/>
          <w:sz w:val="24"/>
          <w:szCs w:val="24"/>
          <w:lang w:val="en-CA"/>
        </w:rPr>
        <w:t xml:space="preserve"> </w:t>
      </w:r>
      <w:r w:rsidRPr="00121FBC">
        <w:rPr>
          <w:rFonts w:ascii="Arial" w:hAnsi="Arial" w:cs="Arial"/>
          <w:b/>
          <w:bCs/>
          <w:sz w:val="24"/>
          <w:szCs w:val="24"/>
          <w:lang w:val="en-CA"/>
        </w:rPr>
        <w:t>most marginalized</w:t>
      </w:r>
      <w:r w:rsidR="005C67B2" w:rsidRPr="00121FBC">
        <w:rPr>
          <w:rFonts w:ascii="Arial" w:hAnsi="Arial" w:cs="Arial"/>
          <w:b/>
          <w:bCs/>
          <w:sz w:val="24"/>
          <w:szCs w:val="24"/>
          <w:lang w:val="en-CA"/>
        </w:rPr>
        <w:t>.</w:t>
      </w:r>
    </w:p>
    <w:p w14:paraId="41F81892" w14:textId="77777777" w:rsidR="00734E28" w:rsidRDefault="00734E28" w:rsidP="00734E28">
      <w:pPr>
        <w:pStyle w:val="ListParagraph"/>
        <w:spacing w:line="276" w:lineRule="auto"/>
        <w:ind w:left="720" w:firstLine="0"/>
        <w:contextualSpacing/>
        <w:jc w:val="both"/>
        <w:rPr>
          <w:rFonts w:ascii="Arial" w:hAnsi="Arial" w:cs="Arial"/>
          <w:b/>
          <w:bCs/>
          <w:sz w:val="24"/>
          <w:szCs w:val="24"/>
          <w:lang w:val="en-CA"/>
        </w:rPr>
      </w:pPr>
    </w:p>
    <w:p w14:paraId="7CCE0931" w14:textId="77777777" w:rsidR="00734E28" w:rsidRPr="00121FBC" w:rsidRDefault="00734E28" w:rsidP="00734E28">
      <w:pPr>
        <w:pStyle w:val="ListParagraph"/>
        <w:spacing w:line="276" w:lineRule="auto"/>
        <w:ind w:left="720" w:firstLine="0"/>
        <w:contextualSpacing/>
        <w:jc w:val="both"/>
        <w:rPr>
          <w:rFonts w:ascii="Arial" w:hAnsi="Arial" w:cs="Arial"/>
          <w:b/>
          <w:bCs/>
          <w:sz w:val="24"/>
          <w:szCs w:val="24"/>
          <w:lang w:val="en-CA"/>
        </w:rPr>
      </w:pPr>
    </w:p>
    <w:p w14:paraId="6052292D" w14:textId="77777777" w:rsidR="009542B1" w:rsidRDefault="009542B1">
      <w:pPr>
        <w:rPr>
          <w:rFonts w:ascii="Arial" w:eastAsiaTheme="majorEastAsia" w:hAnsi="Arial" w:cs="Arial"/>
          <w:b/>
          <w:bCs/>
          <w:sz w:val="32"/>
          <w:szCs w:val="32"/>
          <w:u w:val="single"/>
        </w:rPr>
      </w:pPr>
      <w:r>
        <w:rPr>
          <w:rFonts w:ascii="Arial" w:hAnsi="Arial" w:cs="Arial"/>
          <w:b/>
          <w:bCs/>
          <w:u w:val="single"/>
        </w:rPr>
        <w:br w:type="page"/>
      </w:r>
    </w:p>
    <w:p w14:paraId="0FF8A843" w14:textId="35FDAFE8" w:rsidR="00B758B4" w:rsidRPr="00734E28" w:rsidRDefault="00B758B4" w:rsidP="008B7B6D">
      <w:pPr>
        <w:pStyle w:val="Heading1"/>
        <w:jc w:val="center"/>
        <w:rPr>
          <w:rFonts w:ascii="Arial" w:hAnsi="Arial" w:cs="Arial"/>
          <w:b/>
          <w:bCs/>
          <w:u w:val="single"/>
        </w:rPr>
      </w:pPr>
      <w:bookmarkStart w:id="8" w:name="_Toc220920952"/>
      <w:r w:rsidRPr="00734E28">
        <w:rPr>
          <w:rFonts w:ascii="Arial" w:hAnsi="Arial" w:cs="Arial"/>
          <w:b/>
          <w:bCs/>
          <w:color w:val="auto"/>
          <w:u w:val="single"/>
        </w:rPr>
        <w:lastRenderedPageBreak/>
        <w:t>Violence against women (Articles 2, 3, 6, 7 and 26)</w:t>
      </w:r>
      <w:bookmarkEnd w:id="8"/>
    </w:p>
    <w:p w14:paraId="0560CAAE" w14:textId="77777777" w:rsidR="00B758B4" w:rsidRPr="00121FBC" w:rsidRDefault="00B758B4" w:rsidP="00814D8E">
      <w:pPr>
        <w:spacing w:line="276" w:lineRule="auto"/>
        <w:rPr>
          <w:rFonts w:ascii="Arial" w:hAnsi="Arial" w:cs="Arial"/>
          <w:lang w:val="en-CA"/>
        </w:rPr>
      </w:pPr>
    </w:p>
    <w:p w14:paraId="292F97E7" w14:textId="35B8DCBA" w:rsidR="0055010E" w:rsidRPr="00734E28" w:rsidRDefault="0055010E" w:rsidP="00814D8E">
      <w:pPr>
        <w:pStyle w:val="Heading2"/>
        <w:spacing w:before="0" w:line="276" w:lineRule="auto"/>
        <w:rPr>
          <w:rFonts w:ascii="Arial" w:hAnsi="Arial" w:cs="Arial"/>
          <w:b/>
          <w:bCs/>
          <w:color w:val="auto"/>
          <w:sz w:val="24"/>
          <w:szCs w:val="24"/>
          <w:u w:val="single"/>
          <w:lang w:val="en-CA"/>
        </w:rPr>
      </w:pPr>
      <w:bookmarkStart w:id="9" w:name="_Toc220920953"/>
      <w:r w:rsidRPr="00734E28">
        <w:rPr>
          <w:rFonts w:ascii="Arial" w:hAnsi="Arial" w:cs="Arial"/>
          <w:b/>
          <w:bCs/>
          <w:color w:val="auto"/>
          <w:sz w:val="24"/>
          <w:szCs w:val="24"/>
          <w:u w:val="single"/>
          <w:lang w:val="en-CA"/>
        </w:rPr>
        <w:t>Gender-based violence, opaque implementation and lack of accountability:</w:t>
      </w:r>
      <w:bookmarkEnd w:id="9"/>
    </w:p>
    <w:p w14:paraId="0FDFB46F" w14:textId="77777777" w:rsidR="00F15941" w:rsidRPr="00121FBC" w:rsidRDefault="00F15941" w:rsidP="00814D8E">
      <w:pPr>
        <w:spacing w:line="276" w:lineRule="auto"/>
        <w:rPr>
          <w:rFonts w:ascii="Arial" w:hAnsi="Arial" w:cs="Arial"/>
          <w:lang w:val="en-CA"/>
        </w:rPr>
      </w:pPr>
    </w:p>
    <w:p w14:paraId="21E3548F" w14:textId="1E530789" w:rsidR="0055010E"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Gender-based violence, family violence and intimate partner violence (IPV) continue to be critical areas of concern. Indigenous women face significantly higher rates of intimate partner violence</w:t>
      </w:r>
      <w:r w:rsidRPr="00121FBC">
        <w:rPr>
          <w:rFonts w:ascii="Arial" w:hAnsi="Arial" w:cs="Arial"/>
          <w:vertAlign w:val="superscript"/>
          <w:lang w:val="en-CA"/>
        </w:rPr>
        <w:footnoteReference w:id="21"/>
      </w:r>
      <w:r w:rsidRPr="00121FBC">
        <w:rPr>
          <w:rFonts w:ascii="Arial" w:hAnsi="Arial" w:cs="Arial"/>
          <w:lang w:val="en-CA"/>
        </w:rPr>
        <w:t xml:space="preserve"> and are killed at nearly 7 times the rate of non-Indigenous women</w:t>
      </w:r>
      <w:r w:rsidRPr="00121FBC">
        <w:rPr>
          <w:rFonts w:ascii="Arial" w:hAnsi="Arial" w:cs="Arial"/>
          <w:vertAlign w:val="superscript"/>
          <w:lang w:val="en-CA"/>
        </w:rPr>
        <w:footnoteReference w:id="22"/>
      </w:r>
      <w:r w:rsidRPr="00121FBC">
        <w:rPr>
          <w:rFonts w:ascii="Arial" w:hAnsi="Arial" w:cs="Arial"/>
          <w:lang w:val="en-CA"/>
        </w:rPr>
        <w:t>. The National Inquiry into Missing and Murdered Indigenous Women and Girls concluded in 2019 and issued a final report with 231 individual Calls for Justice directed at governments, institutions, social service providers, industries and all Canadians. Very little progress</w:t>
      </w:r>
      <w:r w:rsidRPr="00121FBC">
        <w:rPr>
          <w:rFonts w:ascii="Arial" w:hAnsi="Arial" w:cs="Arial"/>
          <w:vertAlign w:val="superscript"/>
          <w:lang w:val="en-CA"/>
        </w:rPr>
        <w:footnoteReference w:id="23"/>
      </w:r>
      <w:r w:rsidRPr="00121FBC">
        <w:rPr>
          <w:rFonts w:ascii="Arial" w:hAnsi="Arial" w:cs="Arial"/>
          <w:lang w:val="en-CA"/>
        </w:rPr>
        <w:t xml:space="preserve"> has been made on the implementation and Indigenous women and girls continue to face heightened risk of violence and death. </w:t>
      </w:r>
      <w:r w:rsidR="00770F70" w:rsidRPr="00121FBC">
        <w:rPr>
          <w:rFonts w:ascii="Arial" w:hAnsi="Arial" w:cs="Arial"/>
          <w:lang w:val="en-CA"/>
        </w:rPr>
        <w:t>Insufficient investment</w:t>
      </w:r>
      <w:r w:rsidR="00770F70" w:rsidRPr="00121FBC">
        <w:rPr>
          <w:rStyle w:val="FootnoteReference"/>
          <w:rFonts w:ascii="Arial" w:hAnsi="Arial" w:cs="Arial"/>
          <w:lang w:val="en-CA"/>
        </w:rPr>
        <w:footnoteReference w:id="24"/>
      </w:r>
      <w:r w:rsidR="00770F70" w:rsidRPr="00121FBC">
        <w:rPr>
          <w:rFonts w:ascii="Arial" w:hAnsi="Arial" w:cs="Arial"/>
          <w:lang w:val="en-CA"/>
        </w:rPr>
        <w:t xml:space="preserve"> in indigenous women’s organizations hinder action and do not reflect the need to prioritize their safety and the prevention of violence against indigenous women.</w:t>
      </w:r>
      <w:r w:rsidRPr="00121FBC">
        <w:rPr>
          <w:rFonts w:ascii="Arial" w:hAnsi="Arial" w:cs="Arial"/>
          <w:lang w:val="en-CA"/>
        </w:rPr>
        <w:t xml:space="preserve"> </w:t>
      </w:r>
    </w:p>
    <w:p w14:paraId="3ABD365A" w14:textId="77777777" w:rsidR="00F15941" w:rsidRPr="00121FBC" w:rsidRDefault="00F15941" w:rsidP="00814D8E">
      <w:pPr>
        <w:spacing w:line="276" w:lineRule="auto"/>
        <w:ind w:left="460"/>
        <w:contextualSpacing/>
        <w:rPr>
          <w:rFonts w:ascii="Arial" w:hAnsi="Arial" w:cs="Arial"/>
          <w:lang w:val="en-CA"/>
        </w:rPr>
      </w:pPr>
    </w:p>
    <w:p w14:paraId="2F6F1CCE" w14:textId="19B5528F" w:rsidR="007069C6"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In 202</w:t>
      </w:r>
      <w:r w:rsidR="00037243" w:rsidRPr="00121FBC">
        <w:rPr>
          <w:rFonts w:ascii="Arial" w:hAnsi="Arial" w:cs="Arial"/>
          <w:lang w:val="en-CA"/>
        </w:rPr>
        <w:t>4</w:t>
      </w:r>
      <w:r w:rsidRPr="00121FBC">
        <w:rPr>
          <w:rFonts w:ascii="Arial" w:hAnsi="Arial" w:cs="Arial"/>
          <w:lang w:val="en-CA"/>
        </w:rPr>
        <w:t>, across Canada, overall rates of family violence and intimate partner violence</w:t>
      </w:r>
      <w:r w:rsidR="00037243" w:rsidRPr="00121FBC">
        <w:rPr>
          <w:rFonts w:ascii="Arial" w:hAnsi="Arial" w:cs="Arial"/>
          <w:lang w:val="en-CA"/>
        </w:rPr>
        <w:t xml:space="preserve"> continue their upward trend since 2018, although they stayed relatively unchanged since the previous year</w:t>
      </w:r>
      <w:r w:rsidRPr="00121FBC">
        <w:rPr>
          <w:rFonts w:ascii="Arial" w:hAnsi="Arial" w:cs="Arial"/>
          <w:vertAlign w:val="superscript"/>
          <w:lang w:val="en-CA"/>
        </w:rPr>
        <w:footnoteReference w:id="25"/>
      </w:r>
      <w:r w:rsidRPr="00121FBC">
        <w:rPr>
          <w:rFonts w:ascii="Arial" w:hAnsi="Arial" w:cs="Arial"/>
          <w:lang w:val="en-CA"/>
        </w:rPr>
        <w:t xml:space="preserve">. This upward trend is also reflected in SALCO’s internal data collection in providing legal services to South Asian survivors of GBV in Ontario, where, from 2019 – 2024 we have seen a 41% increase in client cases related to GBV. </w:t>
      </w:r>
      <w:r w:rsidR="00037243" w:rsidRPr="00121FBC">
        <w:rPr>
          <w:rFonts w:ascii="Arial" w:hAnsi="Arial" w:cs="Arial"/>
          <w:lang w:val="en-CA"/>
        </w:rPr>
        <w:t xml:space="preserve">The Ontario legislature has recognized intimate partner violence as </w:t>
      </w:r>
      <w:r w:rsidR="00037243" w:rsidRPr="00121FBC">
        <w:rPr>
          <w:rFonts w:ascii="Arial" w:hAnsi="Arial" w:cs="Arial"/>
          <w:i/>
          <w:iCs/>
          <w:lang w:val="en-CA"/>
        </w:rPr>
        <w:t>endemic</w:t>
      </w:r>
      <w:r w:rsidR="00037243" w:rsidRPr="00121FBC">
        <w:rPr>
          <w:rFonts w:ascii="Arial" w:hAnsi="Arial" w:cs="Arial"/>
          <w:lang w:val="en-CA"/>
        </w:rPr>
        <w:t xml:space="preserve"> in Ontario</w:t>
      </w:r>
      <w:r w:rsidR="00037243" w:rsidRPr="00121FBC">
        <w:rPr>
          <w:rStyle w:val="FootnoteReference"/>
          <w:rFonts w:ascii="Arial" w:hAnsi="Arial" w:cs="Arial"/>
          <w:lang w:val="en-CA"/>
        </w:rPr>
        <w:footnoteReference w:id="26"/>
      </w:r>
      <w:r w:rsidR="00037243" w:rsidRPr="00121FBC">
        <w:rPr>
          <w:rFonts w:ascii="Arial" w:hAnsi="Arial" w:cs="Arial"/>
          <w:lang w:val="en-CA"/>
        </w:rPr>
        <w:t>.</w:t>
      </w:r>
      <w:r w:rsidRPr="00121FBC">
        <w:rPr>
          <w:rFonts w:ascii="Arial" w:hAnsi="Arial" w:cs="Arial"/>
          <w:lang w:val="en-CA"/>
        </w:rPr>
        <w:t xml:space="preserve"> </w:t>
      </w:r>
    </w:p>
    <w:p w14:paraId="74125264" w14:textId="77777777" w:rsidR="00F15941" w:rsidRPr="00121FBC" w:rsidRDefault="00F15941" w:rsidP="00814D8E">
      <w:pPr>
        <w:spacing w:line="276" w:lineRule="auto"/>
        <w:ind w:left="460"/>
        <w:contextualSpacing/>
        <w:rPr>
          <w:rFonts w:ascii="Arial" w:hAnsi="Arial" w:cs="Arial"/>
          <w:lang w:val="en-CA"/>
        </w:rPr>
      </w:pPr>
    </w:p>
    <w:p w14:paraId="3552EE42" w14:textId="07DAE866" w:rsidR="0055010E"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Since Canada’s last report to this Committee, the government has created the National Action Plan to End Gender-Based Violence (NAP-GBV). </w:t>
      </w:r>
      <w:r w:rsidR="00037243" w:rsidRPr="00121FBC">
        <w:rPr>
          <w:rFonts w:ascii="Arial" w:hAnsi="Arial" w:cs="Arial"/>
          <w:lang w:val="en-CA"/>
        </w:rPr>
        <w:t>Our coalition</w:t>
      </w:r>
      <w:r w:rsidRPr="00121FBC">
        <w:rPr>
          <w:rFonts w:ascii="Arial" w:hAnsi="Arial" w:cs="Arial"/>
          <w:lang w:val="en-CA"/>
        </w:rPr>
        <w:t xml:space="preserve"> welcomes the creation of the National Action Plan. </w:t>
      </w:r>
      <w:r w:rsidR="00770F70" w:rsidRPr="00121FBC">
        <w:rPr>
          <w:rFonts w:ascii="Arial" w:hAnsi="Arial" w:cs="Arial"/>
          <w:lang w:val="en-CA"/>
        </w:rPr>
        <w:t>Leading up to its creation, c</w:t>
      </w:r>
      <w:r w:rsidRPr="00121FBC">
        <w:rPr>
          <w:rFonts w:ascii="Arial" w:hAnsi="Arial" w:cs="Arial"/>
          <w:lang w:val="en-CA"/>
        </w:rPr>
        <w:t>ivil society and indigenous organizations came together to create the Roadmap for a National Action Plan</w:t>
      </w:r>
      <w:r w:rsidRPr="00121FBC">
        <w:rPr>
          <w:rFonts w:ascii="Arial" w:hAnsi="Arial" w:cs="Arial"/>
          <w:vertAlign w:val="superscript"/>
          <w:lang w:val="en-CA"/>
        </w:rPr>
        <w:footnoteReference w:id="27"/>
      </w:r>
      <w:r w:rsidRPr="00121FBC">
        <w:rPr>
          <w:rFonts w:ascii="Arial" w:hAnsi="Arial" w:cs="Arial"/>
          <w:lang w:val="en-CA"/>
        </w:rPr>
        <w:t xml:space="preserve">, a report outlining 100 recommendations across the four pillars of the NAP that the federal government must implement </w:t>
      </w:r>
      <w:r w:rsidR="00037243" w:rsidRPr="00121FBC">
        <w:rPr>
          <w:rFonts w:ascii="Arial" w:hAnsi="Arial" w:cs="Arial"/>
          <w:lang w:val="en-CA"/>
        </w:rPr>
        <w:t>to</w:t>
      </w:r>
      <w:r w:rsidRPr="00121FBC">
        <w:rPr>
          <w:rFonts w:ascii="Arial" w:hAnsi="Arial" w:cs="Arial"/>
          <w:lang w:val="en-CA"/>
        </w:rPr>
        <w:t xml:space="preserve"> achieve a Canada free of gender-based violence. </w:t>
      </w:r>
    </w:p>
    <w:p w14:paraId="6F1F4980" w14:textId="77777777" w:rsidR="00F15941" w:rsidRPr="00121FBC" w:rsidRDefault="00F15941" w:rsidP="00814D8E">
      <w:pPr>
        <w:spacing w:line="276" w:lineRule="auto"/>
        <w:ind w:left="460"/>
        <w:contextualSpacing/>
        <w:rPr>
          <w:rFonts w:ascii="Arial" w:hAnsi="Arial" w:cs="Arial"/>
          <w:lang w:val="en-CA"/>
        </w:rPr>
      </w:pPr>
    </w:p>
    <w:p w14:paraId="498B1DF0" w14:textId="7DEFAF26" w:rsidR="0055010E"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lastRenderedPageBreak/>
        <w:t>In addition to the 100 recommendations, the key takeaways of the Roadmap report were that the successful implementation of the NAP requires, among other things, independent oversight and evaluation, an all-of-government approach with cooperation and coordination among governments and the centering of the voices and experiences of the people most affected by gender-based violence - which includes Indigenous women, Black women, women of colour, women with disabilities, non-binary and trans women, 2SLGBTQI+ people, people living in rural and remote areas, and migrant women.</w:t>
      </w:r>
    </w:p>
    <w:p w14:paraId="0A55E6D5" w14:textId="77777777" w:rsidR="00F15941" w:rsidRPr="00121FBC" w:rsidRDefault="00F15941" w:rsidP="00814D8E">
      <w:pPr>
        <w:spacing w:line="276" w:lineRule="auto"/>
        <w:ind w:left="460"/>
        <w:contextualSpacing/>
        <w:rPr>
          <w:rFonts w:ascii="Arial" w:hAnsi="Arial" w:cs="Arial"/>
          <w:lang w:val="en-CA"/>
        </w:rPr>
      </w:pPr>
    </w:p>
    <w:p w14:paraId="7908505C" w14:textId="1E53A7B7" w:rsidR="0055010E"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When Black women and women of colour report GBV or IPV, their experiences are taken less seriously within the criminal law system and perpetrators receive less harsh punishments</w:t>
      </w:r>
      <w:r w:rsidRPr="00121FBC">
        <w:rPr>
          <w:rFonts w:ascii="Arial" w:hAnsi="Arial" w:cs="Arial"/>
          <w:vertAlign w:val="superscript"/>
          <w:lang w:val="en-CA"/>
        </w:rPr>
        <w:footnoteReference w:id="28"/>
      </w:r>
      <w:r w:rsidRPr="00121FBC">
        <w:rPr>
          <w:rFonts w:ascii="Arial" w:hAnsi="Arial" w:cs="Arial"/>
          <w:lang w:val="en-CA"/>
        </w:rPr>
        <w:t xml:space="preserve">. </w:t>
      </w:r>
    </w:p>
    <w:p w14:paraId="3E24A790" w14:textId="77777777" w:rsidR="00F15941" w:rsidRPr="00121FBC" w:rsidRDefault="00F15941" w:rsidP="00814D8E">
      <w:pPr>
        <w:spacing w:line="276" w:lineRule="auto"/>
        <w:ind w:left="460"/>
        <w:contextualSpacing/>
        <w:rPr>
          <w:rFonts w:ascii="Arial" w:hAnsi="Arial" w:cs="Arial"/>
          <w:lang w:val="en-CA"/>
        </w:rPr>
      </w:pPr>
    </w:p>
    <w:p w14:paraId="3C2A5EAD" w14:textId="1C853A92" w:rsidR="00770F70"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In 2022-2023, the federal government started releasing funds for the implementation of the NAP-GBV through the Department for Women and Gender Equality (WAGE). </w:t>
      </w:r>
      <w:r w:rsidR="00F26722" w:rsidRPr="00121FBC">
        <w:rPr>
          <w:rFonts w:ascii="Arial" w:hAnsi="Arial" w:cs="Arial"/>
          <w:lang w:val="en-CA"/>
        </w:rPr>
        <w:t>Through a series of bilateral agreements with the provincial and territorial governments, the federal government sends funds to</w:t>
      </w:r>
      <w:r w:rsidR="00770F70" w:rsidRPr="00121FBC">
        <w:rPr>
          <w:rFonts w:ascii="Arial" w:hAnsi="Arial" w:cs="Arial"/>
          <w:lang w:val="en-CA"/>
        </w:rPr>
        <w:t xml:space="preserve"> the PT governments that they </w:t>
      </w:r>
      <w:r w:rsidR="00037243" w:rsidRPr="00121FBC">
        <w:rPr>
          <w:rFonts w:ascii="Arial" w:hAnsi="Arial" w:cs="Arial"/>
          <w:lang w:val="en-CA"/>
        </w:rPr>
        <w:t>dispense</w:t>
      </w:r>
      <w:r w:rsidR="00F26722" w:rsidRPr="00121FBC">
        <w:rPr>
          <w:rFonts w:ascii="Arial" w:hAnsi="Arial" w:cs="Arial"/>
          <w:lang w:val="en-CA"/>
        </w:rPr>
        <w:t xml:space="preserve"> to initiatives that are aimed at preventing and addressing GBV. </w:t>
      </w:r>
    </w:p>
    <w:p w14:paraId="07E088FD" w14:textId="77777777" w:rsidR="00F15941" w:rsidRPr="00121FBC" w:rsidRDefault="00F15941" w:rsidP="00814D8E">
      <w:pPr>
        <w:spacing w:line="276" w:lineRule="auto"/>
        <w:ind w:left="460"/>
        <w:contextualSpacing/>
        <w:rPr>
          <w:rFonts w:ascii="Arial" w:hAnsi="Arial" w:cs="Arial"/>
          <w:lang w:val="en-CA"/>
        </w:rPr>
      </w:pPr>
    </w:p>
    <w:p w14:paraId="5073AB29" w14:textId="1F3D25D1" w:rsidR="009149C1" w:rsidRPr="00121FBC" w:rsidRDefault="00867156"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GBV organizations have raised concerns around the lack of transparency </w:t>
      </w:r>
      <w:r w:rsidR="00F26722" w:rsidRPr="00121FBC">
        <w:rPr>
          <w:rFonts w:ascii="Arial" w:hAnsi="Arial" w:cs="Arial"/>
          <w:lang w:val="en-CA"/>
        </w:rPr>
        <w:t>and asked for greater accountability</w:t>
      </w:r>
      <w:r w:rsidR="00B918D1" w:rsidRPr="00121FBC">
        <w:rPr>
          <w:rStyle w:val="FootnoteReference"/>
          <w:rFonts w:ascii="Arial" w:hAnsi="Arial" w:cs="Arial"/>
          <w:lang w:val="en-CA"/>
        </w:rPr>
        <w:footnoteReference w:id="29"/>
      </w:r>
      <w:r w:rsidR="00B918D1" w:rsidRPr="00121FBC">
        <w:rPr>
          <w:rFonts w:ascii="Arial" w:hAnsi="Arial" w:cs="Arial"/>
          <w:lang w:val="en-CA"/>
        </w:rPr>
        <w:t xml:space="preserve">. </w:t>
      </w:r>
      <w:r w:rsidR="00695618" w:rsidRPr="00121FBC">
        <w:rPr>
          <w:rFonts w:ascii="Arial" w:hAnsi="Arial" w:cs="Arial"/>
          <w:lang w:val="en-CA"/>
        </w:rPr>
        <w:t xml:space="preserve">There is no mechanism for civil society to be involved at the PT level to advise on priority-setting for how the funds are allocated. </w:t>
      </w:r>
      <w:r w:rsidR="0055010E" w:rsidRPr="00121FBC">
        <w:rPr>
          <w:rFonts w:ascii="Arial" w:hAnsi="Arial" w:cs="Arial"/>
          <w:lang w:val="en-CA"/>
        </w:rPr>
        <w:t>WAGE has not currently made known any mechanism for independent oversight and evaluation of th</w:t>
      </w:r>
      <w:r w:rsidR="00F26722" w:rsidRPr="00121FBC">
        <w:rPr>
          <w:rFonts w:ascii="Arial" w:hAnsi="Arial" w:cs="Arial"/>
          <w:lang w:val="en-CA"/>
        </w:rPr>
        <w:t>e</w:t>
      </w:r>
      <w:r w:rsidR="0055010E" w:rsidRPr="00121FBC">
        <w:rPr>
          <w:rFonts w:ascii="Arial" w:hAnsi="Arial" w:cs="Arial"/>
          <w:lang w:val="en-CA"/>
        </w:rPr>
        <w:t xml:space="preserve"> expected results and the progress made under the NAP-GBV. </w:t>
      </w:r>
    </w:p>
    <w:p w14:paraId="6A8B23A1" w14:textId="77777777" w:rsidR="00F15941" w:rsidRPr="00121FBC" w:rsidRDefault="00F15941" w:rsidP="00814D8E">
      <w:pPr>
        <w:spacing w:line="276" w:lineRule="auto"/>
        <w:ind w:left="460"/>
        <w:contextualSpacing/>
        <w:rPr>
          <w:rFonts w:ascii="Arial" w:hAnsi="Arial" w:cs="Arial"/>
          <w:lang w:val="en-CA"/>
        </w:rPr>
      </w:pPr>
    </w:p>
    <w:p w14:paraId="4EFFC0E6" w14:textId="4BF3FF04" w:rsidR="0055010E" w:rsidRPr="00121FBC" w:rsidRDefault="00F26722"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With the distribution of funds being left to the provincial and territorial governments, there is a lack of consistency across jurisdictions and survivors in different areas of the country have unequal access to resources and supports. </w:t>
      </w:r>
    </w:p>
    <w:p w14:paraId="72690D4C" w14:textId="77777777" w:rsidR="00F15941" w:rsidRPr="00121FBC" w:rsidRDefault="00F15941" w:rsidP="00814D8E">
      <w:pPr>
        <w:pStyle w:val="ListParagraph"/>
        <w:spacing w:line="276" w:lineRule="auto"/>
        <w:ind w:firstLine="0"/>
        <w:rPr>
          <w:rFonts w:ascii="Arial" w:eastAsiaTheme="minorEastAsia" w:hAnsi="Arial" w:cs="Arial"/>
          <w:sz w:val="24"/>
          <w:szCs w:val="24"/>
          <w:lang w:val="en-CA" w:eastAsia="ko-KR"/>
        </w:rPr>
      </w:pPr>
    </w:p>
    <w:p w14:paraId="3447D9C3" w14:textId="76E2B5E5" w:rsidR="009149C1" w:rsidRPr="00121FBC" w:rsidRDefault="009149C1" w:rsidP="00814D8E">
      <w:pPr>
        <w:pStyle w:val="ListParagraph"/>
        <w:numPr>
          <w:ilvl w:val="0"/>
          <w:numId w:val="10"/>
        </w:numPr>
        <w:spacing w:line="276" w:lineRule="auto"/>
        <w:rPr>
          <w:rFonts w:ascii="Arial" w:eastAsiaTheme="minorEastAsia" w:hAnsi="Arial" w:cs="Arial"/>
          <w:sz w:val="24"/>
          <w:szCs w:val="24"/>
          <w:lang w:val="en-CA" w:eastAsia="ko-KR"/>
        </w:rPr>
      </w:pPr>
      <w:r w:rsidRPr="00121FBC">
        <w:rPr>
          <w:rFonts w:ascii="Arial" w:eastAsiaTheme="minorEastAsia" w:hAnsi="Arial" w:cs="Arial"/>
          <w:sz w:val="24"/>
          <w:szCs w:val="24"/>
          <w:lang w:val="en-CA" w:eastAsia="ko-KR"/>
        </w:rPr>
        <w:t xml:space="preserve">This inconsistency is compounded by ineffective, and in some cases, non-existent data collection. Canada does not adequately collect data to understand the differential impacts of violence on racialized women in Canada – Indigenous women, Black women or women of colour, including those with precarious or no immigration status. There is little or no collection of disaggregated data on GBV or IPV in provincial and territorial jurisdictions. There is no data, let alone disaggregated data, on the experiences of migrant women and women with precarious immigration status in the sex trade including arrests, detentions or </w:t>
      </w:r>
      <w:r w:rsidRPr="00121FBC">
        <w:rPr>
          <w:rFonts w:ascii="Arial" w:eastAsiaTheme="minorEastAsia" w:hAnsi="Arial" w:cs="Arial"/>
          <w:sz w:val="24"/>
          <w:szCs w:val="24"/>
          <w:lang w:val="en-CA" w:eastAsia="ko-KR"/>
        </w:rPr>
        <w:lastRenderedPageBreak/>
        <w:t>removals.  The COP-COC network’s grassroots work in these communities reveals that these women are subject to significant rates of violence that is exacerbated by systemic racism and faithism, as well as precarious immigration status and lack of workplace protections.</w:t>
      </w:r>
    </w:p>
    <w:p w14:paraId="6A9FF88C" w14:textId="77777777" w:rsidR="009149C1" w:rsidRPr="00121FBC" w:rsidRDefault="009149C1" w:rsidP="00814D8E">
      <w:pPr>
        <w:spacing w:line="276" w:lineRule="auto"/>
        <w:ind w:left="460"/>
        <w:contextualSpacing/>
        <w:rPr>
          <w:rFonts w:ascii="Arial" w:hAnsi="Arial" w:cs="Arial"/>
          <w:lang w:val="en-CA"/>
        </w:rPr>
      </w:pPr>
    </w:p>
    <w:p w14:paraId="44980B8D" w14:textId="2015B179" w:rsidR="0055010E" w:rsidRPr="00121FBC" w:rsidRDefault="009149C1"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Oversight and accountability are vital to ensure the investments made by the federal government are effective. </w:t>
      </w:r>
      <w:r w:rsidR="0055010E" w:rsidRPr="00121FBC">
        <w:rPr>
          <w:rFonts w:ascii="Arial" w:hAnsi="Arial" w:cs="Arial"/>
          <w:lang w:val="en-CA"/>
        </w:rPr>
        <w:t>The need for a robust accountability mechanism has also been recognized by the Mass Casualty Commission Report</w:t>
      </w:r>
      <w:r w:rsidR="0055010E" w:rsidRPr="00121FBC">
        <w:rPr>
          <w:rFonts w:ascii="Arial" w:hAnsi="Arial" w:cs="Arial"/>
          <w:vertAlign w:val="superscript"/>
          <w:lang w:val="en-CA"/>
        </w:rPr>
        <w:footnoteReference w:id="30"/>
      </w:r>
      <w:r w:rsidR="0055010E" w:rsidRPr="00121FBC">
        <w:rPr>
          <w:rFonts w:ascii="Arial" w:hAnsi="Arial" w:cs="Arial"/>
          <w:lang w:val="en-CA"/>
        </w:rPr>
        <w:t>. Recommendation 17 of the report recommends the federal government establish by statute an independent and impartial GBV commissioner</w:t>
      </w:r>
      <w:r w:rsidR="0055010E" w:rsidRPr="00121FBC">
        <w:rPr>
          <w:rFonts w:ascii="Arial" w:hAnsi="Arial" w:cs="Arial"/>
          <w:vertAlign w:val="superscript"/>
          <w:lang w:val="en-CA"/>
        </w:rPr>
        <w:footnoteReference w:id="31"/>
      </w:r>
      <w:r w:rsidR="0055010E" w:rsidRPr="00121FBC">
        <w:rPr>
          <w:rFonts w:ascii="Arial" w:hAnsi="Arial" w:cs="Arial"/>
          <w:lang w:val="en-CA"/>
        </w:rPr>
        <w:t xml:space="preserve"> with “adequate, stable funding and effective powers” whose mandate should be developed “in consultation with the Provincial and Territorial governments, women survivors (including from marginalized and precarious communities), and the GBV advocacy and support sector”.</w:t>
      </w:r>
    </w:p>
    <w:p w14:paraId="24924E8F" w14:textId="77777777" w:rsidR="00F15941" w:rsidRPr="00121FBC" w:rsidRDefault="00F15941" w:rsidP="00814D8E">
      <w:pPr>
        <w:spacing w:line="276" w:lineRule="auto"/>
        <w:ind w:left="460"/>
        <w:contextualSpacing/>
        <w:rPr>
          <w:rFonts w:ascii="Arial" w:hAnsi="Arial" w:cs="Arial"/>
          <w:lang w:val="en-CA"/>
        </w:rPr>
      </w:pPr>
    </w:p>
    <w:p w14:paraId="580E7199" w14:textId="4330073C" w:rsidR="00344062" w:rsidRPr="00121FBC" w:rsidRDefault="00344062" w:rsidP="00814D8E">
      <w:pPr>
        <w:numPr>
          <w:ilvl w:val="0"/>
          <w:numId w:val="10"/>
        </w:numPr>
        <w:spacing w:line="276" w:lineRule="auto"/>
        <w:contextualSpacing/>
        <w:rPr>
          <w:rFonts w:ascii="Arial" w:hAnsi="Arial" w:cs="Arial"/>
          <w:lang w:val="en-CA"/>
        </w:rPr>
      </w:pPr>
      <w:r w:rsidRPr="00121FBC">
        <w:rPr>
          <w:rFonts w:ascii="Arial" w:hAnsi="Arial" w:cs="Arial"/>
          <w:lang w:val="en-CA"/>
        </w:rPr>
        <w:t>Women with precarious immigration status fleeing violence are able to apply for temporary resident permits and in some cases, permanent residence</w:t>
      </w:r>
      <w:r w:rsidR="00DF6133" w:rsidRPr="00121FBC">
        <w:rPr>
          <w:rStyle w:val="FootnoteReference"/>
          <w:rFonts w:ascii="Arial" w:hAnsi="Arial" w:cs="Arial"/>
          <w:lang w:val="en-CA"/>
        </w:rPr>
        <w:footnoteReference w:id="32"/>
      </w:r>
      <w:r w:rsidRPr="00121FBC">
        <w:rPr>
          <w:rFonts w:ascii="Arial" w:hAnsi="Arial" w:cs="Arial"/>
          <w:lang w:val="en-CA"/>
        </w:rPr>
        <w:t>. However, these applications are discretionary</w:t>
      </w:r>
      <w:r w:rsidR="00DF6133" w:rsidRPr="00121FBC">
        <w:rPr>
          <w:rFonts w:ascii="Arial" w:hAnsi="Arial" w:cs="Arial"/>
          <w:lang w:val="en-CA"/>
        </w:rPr>
        <w:t>, eligibility criteria are narrow</w:t>
      </w:r>
      <w:r w:rsidRPr="00121FBC">
        <w:rPr>
          <w:rFonts w:ascii="Arial" w:hAnsi="Arial" w:cs="Arial"/>
          <w:lang w:val="en-CA"/>
        </w:rPr>
        <w:t xml:space="preserve"> and there is no guarantee of approval. TRPs are usually granted for a year at a time. Applicants must reapply every year if they need to stay in Canada. Often applicants are navigating criminal and family court processes, and uncertainty around their immigration status adds another layer of precarity. </w:t>
      </w:r>
    </w:p>
    <w:p w14:paraId="747C7B27" w14:textId="77777777" w:rsidR="00F15941" w:rsidRPr="00121FBC" w:rsidRDefault="00F15941" w:rsidP="00814D8E">
      <w:pPr>
        <w:spacing w:line="276" w:lineRule="auto"/>
        <w:ind w:left="460"/>
        <w:contextualSpacing/>
        <w:rPr>
          <w:rFonts w:ascii="Arial" w:hAnsi="Arial" w:cs="Arial"/>
          <w:lang w:val="en-CA"/>
        </w:rPr>
      </w:pPr>
    </w:p>
    <w:p w14:paraId="1F32E862" w14:textId="682162D7" w:rsidR="009149C1" w:rsidRPr="00121FBC" w:rsidRDefault="009149C1"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Canada allows </w:t>
      </w:r>
      <w:r w:rsidR="00D44A7F">
        <w:rPr>
          <w:rFonts w:ascii="Arial" w:hAnsi="Arial" w:cs="Arial"/>
          <w:lang w:val="en-CA"/>
        </w:rPr>
        <w:t>people</w:t>
      </w:r>
      <w:r w:rsidRPr="00121FBC">
        <w:rPr>
          <w:rFonts w:ascii="Arial" w:hAnsi="Arial" w:cs="Arial"/>
          <w:lang w:val="en-CA"/>
        </w:rPr>
        <w:t xml:space="preserve"> who </w:t>
      </w:r>
      <w:r w:rsidR="00D44A7F">
        <w:rPr>
          <w:rFonts w:ascii="Arial" w:hAnsi="Arial" w:cs="Arial"/>
          <w:lang w:val="en-CA"/>
        </w:rPr>
        <w:t>have been</w:t>
      </w:r>
      <w:r w:rsidRPr="00121FBC">
        <w:rPr>
          <w:rFonts w:ascii="Arial" w:hAnsi="Arial" w:cs="Arial"/>
          <w:lang w:val="en-CA"/>
        </w:rPr>
        <w:t xml:space="preserve"> trafficked to apply for a temporary resident permit, however </w:t>
      </w:r>
      <w:r w:rsidR="00D44A7F">
        <w:rPr>
          <w:rFonts w:ascii="Arial" w:hAnsi="Arial" w:cs="Arial"/>
          <w:lang w:val="en-CA"/>
        </w:rPr>
        <w:t>most</w:t>
      </w:r>
      <w:r w:rsidRPr="00121FBC">
        <w:rPr>
          <w:rFonts w:ascii="Arial" w:hAnsi="Arial" w:cs="Arial"/>
          <w:lang w:val="en-CA"/>
        </w:rPr>
        <w:t xml:space="preserve"> are often unaware of this option, the application process is difficult, the requirements onerous and very few permits have been issued.</w:t>
      </w:r>
    </w:p>
    <w:p w14:paraId="5F04F3E1" w14:textId="77777777" w:rsidR="00F15941" w:rsidRPr="00121FBC" w:rsidRDefault="00F15941" w:rsidP="00814D8E">
      <w:pPr>
        <w:spacing w:line="276" w:lineRule="auto"/>
        <w:ind w:left="460"/>
        <w:contextualSpacing/>
        <w:rPr>
          <w:rFonts w:ascii="Arial" w:hAnsi="Arial" w:cs="Arial"/>
          <w:lang w:val="en-CA"/>
        </w:rPr>
      </w:pPr>
    </w:p>
    <w:p w14:paraId="13441BC4" w14:textId="668D8A71" w:rsidR="00DF6133" w:rsidRPr="00121FBC" w:rsidRDefault="00DF6133"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An application for a Temporary Resident Permit is not an eligible service for legal aid in Ontario. This means low-income survivors have to rely on assistance from a legal clinic or decide to self-represent. </w:t>
      </w:r>
    </w:p>
    <w:p w14:paraId="510EB959" w14:textId="37381CF0" w:rsidR="00344062" w:rsidRPr="00121FBC" w:rsidRDefault="009149C1" w:rsidP="00814D8E">
      <w:pPr>
        <w:numPr>
          <w:ilvl w:val="0"/>
          <w:numId w:val="10"/>
        </w:numPr>
        <w:spacing w:line="276" w:lineRule="auto"/>
        <w:contextualSpacing/>
        <w:rPr>
          <w:rFonts w:ascii="Arial" w:hAnsi="Arial" w:cs="Arial"/>
          <w:lang w:val="en-CA"/>
        </w:rPr>
      </w:pPr>
      <w:r w:rsidRPr="00121FBC">
        <w:rPr>
          <w:rFonts w:ascii="Arial" w:hAnsi="Arial" w:cs="Arial"/>
          <w:lang w:val="en-CA"/>
        </w:rPr>
        <w:lastRenderedPageBreak/>
        <w:t>Both of t</w:t>
      </w:r>
      <w:r w:rsidR="00344062" w:rsidRPr="00121FBC">
        <w:rPr>
          <w:rFonts w:ascii="Arial" w:hAnsi="Arial" w:cs="Arial"/>
          <w:lang w:val="en-CA"/>
        </w:rPr>
        <w:t xml:space="preserve">hese Temporary Resident Programs are </w:t>
      </w:r>
      <w:r w:rsidR="0025174C" w:rsidRPr="00121FBC">
        <w:rPr>
          <w:rFonts w:ascii="Arial" w:hAnsi="Arial" w:cs="Arial"/>
          <w:lang w:val="en-CA"/>
        </w:rPr>
        <w:t xml:space="preserve">public policy immigration </w:t>
      </w:r>
      <w:r w:rsidR="00344062" w:rsidRPr="00121FBC">
        <w:rPr>
          <w:rFonts w:ascii="Arial" w:hAnsi="Arial" w:cs="Arial"/>
          <w:lang w:val="en-CA"/>
        </w:rPr>
        <w:t xml:space="preserve">programs </w:t>
      </w:r>
      <w:r w:rsidR="0025174C" w:rsidRPr="00121FBC">
        <w:rPr>
          <w:rFonts w:ascii="Arial" w:hAnsi="Arial" w:cs="Arial"/>
          <w:lang w:val="en-CA"/>
        </w:rPr>
        <w:t>created by</w:t>
      </w:r>
      <w:r w:rsidR="00344062" w:rsidRPr="00121FBC">
        <w:rPr>
          <w:rFonts w:ascii="Arial" w:hAnsi="Arial" w:cs="Arial"/>
          <w:lang w:val="en-CA"/>
        </w:rPr>
        <w:t xml:space="preserve"> Ministerial Instructions</w:t>
      </w:r>
      <w:r w:rsidR="00DF6133" w:rsidRPr="00121FBC">
        <w:rPr>
          <w:rStyle w:val="FootnoteReference"/>
          <w:rFonts w:ascii="Arial" w:hAnsi="Arial" w:cs="Arial"/>
          <w:lang w:val="en-CA"/>
        </w:rPr>
        <w:footnoteReference w:id="33"/>
      </w:r>
      <w:r w:rsidR="00DF6133" w:rsidRPr="00121FBC">
        <w:rPr>
          <w:rStyle w:val="FootnoteReference"/>
          <w:rFonts w:ascii="Arial" w:hAnsi="Arial" w:cs="Arial"/>
          <w:lang w:val="en-CA"/>
        </w:rPr>
        <w:footnoteReference w:id="34"/>
      </w:r>
      <w:r w:rsidR="0025174C" w:rsidRPr="00121FBC">
        <w:rPr>
          <w:rFonts w:ascii="Arial" w:hAnsi="Arial" w:cs="Arial"/>
          <w:lang w:val="en-CA"/>
        </w:rPr>
        <w:t xml:space="preserve"> under the authority of S. 24(3) of the </w:t>
      </w:r>
      <w:r w:rsidR="0025174C" w:rsidRPr="00121FBC">
        <w:rPr>
          <w:rFonts w:ascii="Arial" w:hAnsi="Arial" w:cs="Arial"/>
          <w:i/>
          <w:iCs/>
          <w:lang w:val="en-CA"/>
        </w:rPr>
        <w:t>Immigration and Refugee Protection Act</w:t>
      </w:r>
      <w:r w:rsidR="00344062" w:rsidRPr="00121FBC">
        <w:rPr>
          <w:rFonts w:ascii="Arial" w:hAnsi="Arial" w:cs="Arial"/>
          <w:lang w:val="en-CA"/>
        </w:rPr>
        <w:t>. This means that these programs can be ended at any time,</w:t>
      </w:r>
      <w:r w:rsidRPr="00121FBC">
        <w:rPr>
          <w:rFonts w:ascii="Arial" w:hAnsi="Arial" w:cs="Arial"/>
          <w:lang w:val="en-CA"/>
        </w:rPr>
        <w:t xml:space="preserve"> at the prerogative of the Minister of Citizenship and Immigration,</w:t>
      </w:r>
      <w:r w:rsidR="00344062" w:rsidRPr="00121FBC">
        <w:rPr>
          <w:rFonts w:ascii="Arial" w:hAnsi="Arial" w:cs="Arial"/>
          <w:lang w:val="en-CA"/>
        </w:rPr>
        <w:t xml:space="preserve"> taking away a crucial pathway to immigration stability for women and gender-diverse people fleeing violence. </w:t>
      </w:r>
      <w:r w:rsidR="00DF6133" w:rsidRPr="00121FBC">
        <w:rPr>
          <w:rFonts w:ascii="Arial" w:hAnsi="Arial" w:cs="Arial"/>
          <w:lang w:val="en-CA"/>
        </w:rPr>
        <w:t xml:space="preserve">It is imperative to </w:t>
      </w:r>
      <w:r w:rsidRPr="00121FBC">
        <w:rPr>
          <w:rFonts w:ascii="Arial" w:hAnsi="Arial" w:cs="Arial"/>
          <w:lang w:val="en-CA"/>
        </w:rPr>
        <w:t>enshrine</w:t>
      </w:r>
      <w:r w:rsidR="00DF6133" w:rsidRPr="00121FBC">
        <w:rPr>
          <w:rFonts w:ascii="Arial" w:hAnsi="Arial" w:cs="Arial"/>
          <w:lang w:val="en-CA"/>
        </w:rPr>
        <w:t xml:space="preserve"> these programs </w:t>
      </w:r>
      <w:r w:rsidRPr="00121FBC">
        <w:rPr>
          <w:rFonts w:ascii="Arial" w:hAnsi="Arial" w:cs="Arial"/>
          <w:lang w:val="en-CA"/>
        </w:rPr>
        <w:t xml:space="preserve">in legislation </w:t>
      </w:r>
      <w:r w:rsidR="00DF6133" w:rsidRPr="00121FBC">
        <w:rPr>
          <w:rFonts w:ascii="Arial" w:hAnsi="Arial" w:cs="Arial"/>
          <w:lang w:val="en-CA"/>
        </w:rPr>
        <w:t xml:space="preserve">so that survivors have a stable immigration pathway as an option as they rebuild their lives. </w:t>
      </w:r>
    </w:p>
    <w:p w14:paraId="7738F0C4" w14:textId="77777777" w:rsidR="00F15941" w:rsidRPr="00121FBC" w:rsidRDefault="00F15941" w:rsidP="00814D8E">
      <w:pPr>
        <w:spacing w:line="276" w:lineRule="auto"/>
        <w:ind w:left="460"/>
        <w:contextualSpacing/>
        <w:rPr>
          <w:rFonts w:ascii="Arial" w:hAnsi="Arial" w:cs="Arial"/>
          <w:lang w:val="en-CA"/>
        </w:rPr>
      </w:pPr>
    </w:p>
    <w:p w14:paraId="0BBB0AC3" w14:textId="5C0CEEFB" w:rsidR="0055010E" w:rsidRPr="00121FBC" w:rsidRDefault="0055010E" w:rsidP="00814D8E">
      <w:pPr>
        <w:numPr>
          <w:ilvl w:val="0"/>
          <w:numId w:val="10"/>
        </w:numPr>
        <w:spacing w:line="276" w:lineRule="auto"/>
        <w:contextualSpacing/>
        <w:rPr>
          <w:rFonts w:ascii="Arial" w:hAnsi="Arial" w:cs="Arial"/>
          <w:lang w:val="en-CA"/>
        </w:rPr>
      </w:pPr>
      <w:r w:rsidRPr="00121FBC">
        <w:rPr>
          <w:rFonts w:ascii="Arial" w:hAnsi="Arial" w:cs="Arial"/>
          <w:lang w:val="en-CA"/>
        </w:rPr>
        <w:t xml:space="preserve">Racialized women in Canada are also subject to disproportionate rates of digital violence and hate crimes. According to Statistics Canada, 67% of those who report online violence to police are women and girls. The harm caused by digital violence against women is significant since it can be pervasive and can re-victimize survivors every time harmful content is shared. The experiences of Indigenous, Black and racialized women </w:t>
      </w:r>
      <w:r w:rsidR="00344062" w:rsidRPr="00121FBC">
        <w:rPr>
          <w:rFonts w:ascii="Arial" w:hAnsi="Arial" w:cs="Arial"/>
          <w:lang w:val="en-CA"/>
        </w:rPr>
        <w:t>are</w:t>
      </w:r>
      <w:r w:rsidRPr="00121FBC">
        <w:rPr>
          <w:rFonts w:ascii="Arial" w:hAnsi="Arial" w:cs="Arial"/>
          <w:lang w:val="en-CA"/>
        </w:rPr>
        <w:t xml:space="preserve"> significantly under-counted in these statistics, due to various factors including fear of police, combined with systemic access barriers. </w:t>
      </w:r>
    </w:p>
    <w:p w14:paraId="21988660" w14:textId="77777777" w:rsidR="0055010E" w:rsidRPr="00121FBC" w:rsidRDefault="0055010E" w:rsidP="00814D8E">
      <w:pPr>
        <w:spacing w:line="276" w:lineRule="auto"/>
        <w:contextualSpacing/>
        <w:rPr>
          <w:rFonts w:ascii="Arial" w:hAnsi="Arial" w:cs="Arial"/>
          <w:lang w:val="en-CA"/>
        </w:rPr>
      </w:pPr>
    </w:p>
    <w:p w14:paraId="71F53F0F" w14:textId="3D0CE4CE" w:rsidR="0055010E" w:rsidRPr="00121FBC" w:rsidRDefault="00814D8E" w:rsidP="00814D8E">
      <w:pPr>
        <w:numPr>
          <w:ilvl w:val="0"/>
          <w:numId w:val="10"/>
        </w:numPr>
        <w:spacing w:line="276" w:lineRule="auto"/>
        <w:contextualSpacing/>
        <w:rPr>
          <w:rFonts w:ascii="Arial" w:hAnsi="Arial" w:cs="Arial"/>
          <w:b/>
          <w:lang w:val="en-CA"/>
        </w:rPr>
      </w:pPr>
      <w:r w:rsidRPr="00121FBC">
        <w:rPr>
          <w:rFonts w:ascii="Arial" w:hAnsi="Arial" w:cs="Arial"/>
          <w:b/>
          <w:lang w:val="en-CA"/>
        </w:rPr>
        <w:t xml:space="preserve">Recommendations: </w:t>
      </w:r>
      <w:r w:rsidR="0055010E" w:rsidRPr="00121FBC">
        <w:rPr>
          <w:rFonts w:ascii="Arial" w:hAnsi="Arial" w:cs="Arial"/>
          <w:b/>
          <w:lang w:val="en-CA"/>
        </w:rPr>
        <w:t>We ask the Committee recommend that Canada:</w:t>
      </w:r>
    </w:p>
    <w:p w14:paraId="688115C3" w14:textId="34FC6D26"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 xml:space="preserve">Fully implement, without delay, the Missing and Murdered Indigenous Women, Girls and 2SLGBTQQIA+ People National Action Plan and the calls for justice that prioritize Indigenous women’s safety and healing; </w:t>
      </w:r>
    </w:p>
    <w:p w14:paraId="3B2CC8A9" w14:textId="0479A94A"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 xml:space="preserve">Create a robust and independent oversight and accountability mechanism to ensure that efforts and investments made under the </w:t>
      </w:r>
      <w:r w:rsidR="007069C6" w:rsidRPr="00121FBC">
        <w:rPr>
          <w:rFonts w:ascii="Arial" w:hAnsi="Arial" w:cs="Arial"/>
          <w:b/>
          <w:lang w:val="en-CA"/>
        </w:rPr>
        <w:t>National Action Plan to End Gender-Based Violence</w:t>
      </w:r>
      <w:r w:rsidRPr="00121FBC">
        <w:rPr>
          <w:rFonts w:ascii="Arial" w:hAnsi="Arial" w:cs="Arial"/>
          <w:b/>
          <w:lang w:val="en-CA"/>
        </w:rPr>
        <w:t xml:space="preserve"> are effective;</w:t>
      </w:r>
    </w:p>
    <w:p w14:paraId="401AC7AC" w14:textId="77777777"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Evaluate and ensure the equitable distribution of adequate funding and support for Indigenous, Black and racialized survivors of GBV and IPV;</w:t>
      </w:r>
    </w:p>
    <w:p w14:paraId="5E6AE7E0" w14:textId="37D7F8FE"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 xml:space="preserve">Establish equitable, broad-based and accessible immigration status regularization programs for survivors of GBV, IPV and human trafficking; </w:t>
      </w:r>
    </w:p>
    <w:p w14:paraId="464E66C6" w14:textId="3ED1E800"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 xml:space="preserve">Include the protection of racialized women and girls in </w:t>
      </w:r>
      <w:r w:rsidR="00695618" w:rsidRPr="00121FBC">
        <w:rPr>
          <w:rFonts w:ascii="Arial" w:hAnsi="Arial" w:cs="Arial"/>
          <w:b/>
          <w:lang w:val="en-CA"/>
        </w:rPr>
        <w:t>any online harms legislation that is proposed.</w:t>
      </w:r>
      <w:r w:rsidRPr="00121FBC">
        <w:rPr>
          <w:rFonts w:ascii="Arial" w:hAnsi="Arial" w:cs="Arial"/>
          <w:b/>
          <w:lang w:val="en-CA"/>
        </w:rPr>
        <w:t xml:space="preserve"> </w:t>
      </w:r>
      <w:r w:rsidR="00344062" w:rsidRPr="00121FBC">
        <w:rPr>
          <w:rFonts w:ascii="Arial" w:hAnsi="Arial" w:cs="Arial"/>
          <w:b/>
          <w:lang w:val="en-CA"/>
        </w:rPr>
        <w:t>Oblige</w:t>
      </w:r>
      <w:r w:rsidRPr="00121FBC">
        <w:rPr>
          <w:rFonts w:ascii="Arial" w:hAnsi="Arial" w:cs="Arial"/>
          <w:b/>
          <w:lang w:val="en-CA"/>
        </w:rPr>
        <w:t xml:space="preserve"> social media platforms to remove content that incites violence or hate against women and girls, including hate that intersects gender identity, faith, and race;</w:t>
      </w:r>
    </w:p>
    <w:p w14:paraId="48C99112" w14:textId="77777777"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lastRenderedPageBreak/>
        <w:t>Introduce a broad, equitable and inclusive immigration status regularization program that would allow sex workers with precarious immigration status to gain permanent residence and be protected from exploitation; and</w:t>
      </w:r>
    </w:p>
    <w:p w14:paraId="77CF42E4" w14:textId="62E3FF58" w:rsidR="0055010E" w:rsidRPr="00121FBC" w:rsidRDefault="0055010E" w:rsidP="00814D8E">
      <w:pPr>
        <w:numPr>
          <w:ilvl w:val="0"/>
          <w:numId w:val="16"/>
        </w:numPr>
        <w:spacing w:line="276" w:lineRule="auto"/>
        <w:contextualSpacing/>
        <w:rPr>
          <w:rFonts w:ascii="Arial" w:hAnsi="Arial" w:cs="Arial"/>
          <w:b/>
          <w:lang w:val="en-CA"/>
        </w:rPr>
      </w:pPr>
      <w:r w:rsidRPr="00121FBC">
        <w:rPr>
          <w:rFonts w:ascii="Arial" w:hAnsi="Arial" w:cs="Arial"/>
          <w:b/>
          <w:lang w:val="en-CA"/>
        </w:rPr>
        <w:t xml:space="preserve">Make permanent public policies in immigration that provide for immigration protection for women trying to leave situations of violence who have no or precarious immigration status including the </w:t>
      </w:r>
      <w:r w:rsidR="00344062" w:rsidRPr="00121FBC">
        <w:rPr>
          <w:rFonts w:ascii="Arial" w:hAnsi="Arial" w:cs="Arial"/>
          <w:b/>
          <w:lang w:val="en-CA"/>
        </w:rPr>
        <w:t>T</w:t>
      </w:r>
      <w:r w:rsidRPr="00121FBC">
        <w:rPr>
          <w:rFonts w:ascii="Arial" w:hAnsi="Arial" w:cs="Arial"/>
          <w:b/>
          <w:lang w:val="en-CA"/>
        </w:rPr>
        <w:t xml:space="preserve">emporary </w:t>
      </w:r>
      <w:r w:rsidR="00344062" w:rsidRPr="00121FBC">
        <w:rPr>
          <w:rFonts w:ascii="Arial" w:hAnsi="Arial" w:cs="Arial"/>
          <w:b/>
          <w:lang w:val="en-CA"/>
        </w:rPr>
        <w:t>R</w:t>
      </w:r>
      <w:r w:rsidRPr="00121FBC">
        <w:rPr>
          <w:rFonts w:ascii="Arial" w:hAnsi="Arial" w:cs="Arial"/>
          <w:b/>
          <w:lang w:val="en-CA"/>
        </w:rPr>
        <w:t xml:space="preserve">esident </w:t>
      </w:r>
      <w:r w:rsidR="00344062" w:rsidRPr="00121FBC">
        <w:rPr>
          <w:rFonts w:ascii="Arial" w:hAnsi="Arial" w:cs="Arial"/>
          <w:b/>
          <w:lang w:val="en-CA"/>
        </w:rPr>
        <w:t>P</w:t>
      </w:r>
      <w:r w:rsidRPr="00121FBC">
        <w:rPr>
          <w:rFonts w:ascii="Arial" w:hAnsi="Arial" w:cs="Arial"/>
          <w:b/>
          <w:lang w:val="en-CA"/>
        </w:rPr>
        <w:t xml:space="preserve">ermit </w:t>
      </w:r>
      <w:r w:rsidR="00695618" w:rsidRPr="00121FBC">
        <w:rPr>
          <w:rFonts w:ascii="Arial" w:hAnsi="Arial" w:cs="Arial"/>
          <w:b/>
          <w:lang w:val="en-CA"/>
        </w:rPr>
        <w:t xml:space="preserve">for </w:t>
      </w:r>
      <w:r w:rsidR="00344062" w:rsidRPr="00121FBC">
        <w:rPr>
          <w:rFonts w:ascii="Arial" w:hAnsi="Arial" w:cs="Arial"/>
          <w:b/>
          <w:lang w:val="en-CA"/>
        </w:rPr>
        <w:t>V</w:t>
      </w:r>
      <w:r w:rsidR="00695618" w:rsidRPr="00121FBC">
        <w:rPr>
          <w:rFonts w:ascii="Arial" w:hAnsi="Arial" w:cs="Arial"/>
          <w:b/>
          <w:lang w:val="en-CA"/>
        </w:rPr>
        <w:t xml:space="preserve">ictims of </w:t>
      </w:r>
      <w:r w:rsidR="00344062" w:rsidRPr="00121FBC">
        <w:rPr>
          <w:rFonts w:ascii="Arial" w:hAnsi="Arial" w:cs="Arial"/>
          <w:b/>
          <w:lang w:val="en-CA"/>
        </w:rPr>
        <w:t>F</w:t>
      </w:r>
      <w:r w:rsidRPr="00121FBC">
        <w:rPr>
          <w:rFonts w:ascii="Arial" w:hAnsi="Arial" w:cs="Arial"/>
          <w:b/>
          <w:lang w:val="en-CA"/>
        </w:rPr>
        <w:t xml:space="preserve">amily </w:t>
      </w:r>
      <w:r w:rsidR="00344062" w:rsidRPr="00121FBC">
        <w:rPr>
          <w:rFonts w:ascii="Arial" w:hAnsi="Arial" w:cs="Arial"/>
          <w:b/>
          <w:lang w:val="en-CA"/>
        </w:rPr>
        <w:t>V</w:t>
      </w:r>
      <w:r w:rsidRPr="00121FBC">
        <w:rPr>
          <w:rFonts w:ascii="Arial" w:hAnsi="Arial" w:cs="Arial"/>
          <w:b/>
          <w:lang w:val="en-CA"/>
        </w:rPr>
        <w:t xml:space="preserve">iolence, the fast-tracked permanent residence on </w:t>
      </w:r>
      <w:r w:rsidR="00344062" w:rsidRPr="00121FBC">
        <w:rPr>
          <w:rFonts w:ascii="Arial" w:hAnsi="Arial" w:cs="Arial"/>
          <w:b/>
          <w:lang w:val="en-CA"/>
        </w:rPr>
        <w:t>H</w:t>
      </w:r>
      <w:r w:rsidRPr="00121FBC">
        <w:rPr>
          <w:rFonts w:ascii="Arial" w:hAnsi="Arial" w:cs="Arial"/>
          <w:b/>
          <w:lang w:val="en-CA"/>
        </w:rPr>
        <w:t xml:space="preserve">umanitarian and </w:t>
      </w:r>
      <w:r w:rsidR="00344062" w:rsidRPr="00121FBC">
        <w:rPr>
          <w:rFonts w:ascii="Arial" w:hAnsi="Arial" w:cs="Arial"/>
          <w:b/>
          <w:lang w:val="en-CA"/>
        </w:rPr>
        <w:t>C</w:t>
      </w:r>
      <w:r w:rsidRPr="00121FBC">
        <w:rPr>
          <w:rFonts w:ascii="Arial" w:hAnsi="Arial" w:cs="Arial"/>
          <w:b/>
          <w:lang w:val="en-CA"/>
        </w:rPr>
        <w:t xml:space="preserve">ompassionate grounds for women facing intimate partner violence, and the </w:t>
      </w:r>
      <w:r w:rsidR="00344062" w:rsidRPr="00121FBC">
        <w:rPr>
          <w:rFonts w:ascii="Arial" w:hAnsi="Arial" w:cs="Arial"/>
          <w:b/>
          <w:lang w:val="en-CA"/>
        </w:rPr>
        <w:t>Open Work Permit for Vulnerable Workers</w:t>
      </w:r>
      <w:r w:rsidRPr="00121FBC">
        <w:rPr>
          <w:rFonts w:ascii="Arial" w:hAnsi="Arial" w:cs="Arial"/>
          <w:b/>
          <w:lang w:val="en-CA"/>
        </w:rPr>
        <w:t>.</w:t>
      </w:r>
    </w:p>
    <w:p w14:paraId="25E95F4B" w14:textId="77777777" w:rsidR="00C125FD" w:rsidRPr="00121FBC" w:rsidRDefault="00C125FD" w:rsidP="00814D8E">
      <w:pPr>
        <w:spacing w:line="276" w:lineRule="auto"/>
        <w:contextualSpacing/>
        <w:rPr>
          <w:rFonts w:ascii="Arial" w:hAnsi="Arial" w:cs="Arial"/>
          <w:lang w:val="en-CA"/>
        </w:rPr>
      </w:pPr>
    </w:p>
    <w:p w14:paraId="3C9A28CE" w14:textId="77777777" w:rsidR="009542B1" w:rsidRDefault="009542B1">
      <w:pPr>
        <w:rPr>
          <w:rFonts w:ascii="Arial" w:eastAsiaTheme="majorEastAsia" w:hAnsi="Arial" w:cs="Arial"/>
          <w:b/>
          <w:bCs/>
          <w:sz w:val="32"/>
          <w:szCs w:val="32"/>
          <w:u w:val="single"/>
        </w:rPr>
      </w:pPr>
      <w:r>
        <w:rPr>
          <w:rFonts w:ascii="Arial" w:hAnsi="Arial" w:cs="Arial"/>
          <w:b/>
          <w:bCs/>
          <w:u w:val="single"/>
        </w:rPr>
        <w:br w:type="page"/>
      </w:r>
    </w:p>
    <w:p w14:paraId="6162BFE9" w14:textId="4B0291A4" w:rsidR="00F6676A" w:rsidRPr="00734E28" w:rsidRDefault="00F6676A" w:rsidP="008B7B6D">
      <w:pPr>
        <w:pStyle w:val="Heading1"/>
        <w:jc w:val="center"/>
        <w:rPr>
          <w:rFonts w:ascii="Arial" w:hAnsi="Arial" w:cs="Arial"/>
          <w:b/>
          <w:bCs/>
          <w:color w:val="auto"/>
          <w:u w:val="single"/>
        </w:rPr>
      </w:pPr>
      <w:bookmarkStart w:id="10" w:name="_Toc220920954"/>
      <w:r w:rsidRPr="00734E28">
        <w:rPr>
          <w:rFonts w:ascii="Arial" w:hAnsi="Arial" w:cs="Arial"/>
          <w:b/>
          <w:bCs/>
          <w:color w:val="auto"/>
          <w:u w:val="single"/>
        </w:rPr>
        <w:lastRenderedPageBreak/>
        <w:t>Immigration – Treatment of migrants, refugees and asylum seekers</w:t>
      </w:r>
      <w:r w:rsidR="00523B99" w:rsidRPr="00734E28">
        <w:rPr>
          <w:rFonts w:ascii="Arial" w:hAnsi="Arial" w:cs="Arial"/>
          <w:b/>
          <w:bCs/>
          <w:color w:val="auto"/>
          <w:u w:val="single"/>
        </w:rPr>
        <w:t xml:space="preserve"> </w:t>
      </w:r>
      <w:r w:rsidR="00AE1A1D" w:rsidRPr="00734E28">
        <w:rPr>
          <w:rFonts w:ascii="Arial" w:hAnsi="Arial" w:cs="Arial"/>
          <w:b/>
          <w:bCs/>
          <w:color w:val="auto"/>
          <w:u w:val="single"/>
        </w:rPr>
        <w:t>(Arts. 7, 9, 12, 13 and 24)</w:t>
      </w:r>
      <w:bookmarkEnd w:id="10"/>
    </w:p>
    <w:p w14:paraId="086987E6" w14:textId="77777777" w:rsidR="00814D8E" w:rsidRPr="00121FBC" w:rsidRDefault="00814D8E" w:rsidP="00814D8E">
      <w:pPr>
        <w:pStyle w:val="Heading2"/>
        <w:spacing w:before="0" w:line="276" w:lineRule="auto"/>
        <w:contextualSpacing/>
        <w:rPr>
          <w:rFonts w:ascii="Arial" w:hAnsi="Arial" w:cs="Arial"/>
          <w:sz w:val="24"/>
          <w:szCs w:val="24"/>
        </w:rPr>
      </w:pPr>
    </w:p>
    <w:p w14:paraId="44AA9463" w14:textId="32B29777" w:rsidR="00F6676A" w:rsidRPr="00734E28" w:rsidRDefault="00A357E1" w:rsidP="00814D8E">
      <w:pPr>
        <w:pStyle w:val="Heading2"/>
        <w:spacing w:before="0" w:line="276" w:lineRule="auto"/>
        <w:contextualSpacing/>
        <w:rPr>
          <w:rFonts w:ascii="Arial" w:hAnsi="Arial" w:cs="Arial"/>
          <w:b/>
          <w:bCs/>
          <w:color w:val="auto"/>
          <w:sz w:val="24"/>
          <w:szCs w:val="24"/>
          <w:u w:val="single"/>
        </w:rPr>
      </w:pPr>
      <w:bookmarkStart w:id="11" w:name="_Toc220920955"/>
      <w:r w:rsidRPr="00734E28">
        <w:rPr>
          <w:rFonts w:ascii="Arial" w:hAnsi="Arial" w:cs="Arial"/>
          <w:b/>
          <w:bCs/>
          <w:color w:val="auto"/>
          <w:sz w:val="24"/>
          <w:szCs w:val="24"/>
          <w:u w:val="single"/>
        </w:rPr>
        <w:t>Disproportionate impact of immigration policy changes on racialized communities and those with intersecting vulnerabilities</w:t>
      </w:r>
      <w:bookmarkEnd w:id="11"/>
      <w:r w:rsidRPr="00734E28">
        <w:rPr>
          <w:rFonts w:ascii="Arial" w:hAnsi="Arial" w:cs="Arial"/>
          <w:b/>
          <w:bCs/>
          <w:color w:val="auto"/>
          <w:sz w:val="24"/>
          <w:szCs w:val="24"/>
          <w:u w:val="single"/>
        </w:rPr>
        <w:t xml:space="preserve"> </w:t>
      </w:r>
    </w:p>
    <w:p w14:paraId="3B15402E" w14:textId="77777777" w:rsidR="00814D8E" w:rsidRPr="00121FBC" w:rsidRDefault="00814D8E" w:rsidP="00814D8E">
      <w:pPr>
        <w:rPr>
          <w:rFonts w:ascii="Arial" w:hAnsi="Arial" w:cs="Arial"/>
        </w:rPr>
      </w:pPr>
    </w:p>
    <w:p w14:paraId="7FC15E93" w14:textId="5A026083" w:rsidR="00080ED6" w:rsidRPr="00121FBC" w:rsidRDefault="00080ED6" w:rsidP="00814D8E">
      <w:pPr>
        <w:pStyle w:val="ListParagraph"/>
        <w:numPr>
          <w:ilvl w:val="0"/>
          <w:numId w:val="10"/>
        </w:numPr>
        <w:spacing w:line="276" w:lineRule="auto"/>
        <w:rPr>
          <w:rFonts w:ascii="Arial" w:hAnsi="Arial" w:cs="Arial"/>
          <w:sz w:val="24"/>
          <w:szCs w:val="24"/>
        </w:rPr>
      </w:pPr>
      <w:r w:rsidRPr="00121FBC">
        <w:rPr>
          <w:rFonts w:ascii="Arial" w:hAnsi="Arial" w:cs="Arial"/>
          <w:sz w:val="24"/>
          <w:szCs w:val="24"/>
        </w:rPr>
        <w:t xml:space="preserve">Immigration, Refugees and Citizenship Canada (IRCC) has temporarily paused </w:t>
      </w:r>
      <w:r w:rsidR="00190D24" w:rsidRPr="00121FBC">
        <w:rPr>
          <w:rFonts w:ascii="Arial" w:hAnsi="Arial" w:cs="Arial"/>
          <w:sz w:val="24"/>
          <w:szCs w:val="24"/>
        </w:rPr>
        <w:t xml:space="preserve">intake for </w:t>
      </w:r>
      <w:r w:rsidRPr="00121FBC">
        <w:rPr>
          <w:rFonts w:ascii="Arial" w:hAnsi="Arial" w:cs="Arial"/>
          <w:sz w:val="24"/>
          <w:szCs w:val="24"/>
        </w:rPr>
        <w:t xml:space="preserve">several immigration programs. </w:t>
      </w:r>
      <w:r w:rsidR="007B6005" w:rsidRPr="00121FBC">
        <w:rPr>
          <w:rFonts w:ascii="Arial" w:hAnsi="Arial" w:cs="Arial"/>
          <w:sz w:val="24"/>
          <w:szCs w:val="24"/>
        </w:rPr>
        <w:t>Streams affected include the Home Care Worker Immigration Pilot</w:t>
      </w:r>
      <w:r w:rsidR="005F1588" w:rsidRPr="00121FBC">
        <w:rPr>
          <w:rStyle w:val="FootnoteReference"/>
          <w:rFonts w:ascii="Arial" w:hAnsi="Arial" w:cs="Arial"/>
          <w:sz w:val="24"/>
          <w:szCs w:val="24"/>
        </w:rPr>
        <w:footnoteReference w:id="35"/>
      </w:r>
      <w:r w:rsidR="007B6005" w:rsidRPr="00121FBC">
        <w:rPr>
          <w:rFonts w:ascii="Arial" w:hAnsi="Arial" w:cs="Arial"/>
          <w:sz w:val="24"/>
          <w:szCs w:val="24"/>
        </w:rPr>
        <w:t>, the Parents and Grandparents Sponsorship program</w:t>
      </w:r>
      <w:r w:rsidR="005F1588" w:rsidRPr="00121FBC">
        <w:rPr>
          <w:rStyle w:val="FootnoteReference"/>
          <w:rFonts w:ascii="Arial" w:hAnsi="Arial" w:cs="Arial"/>
          <w:sz w:val="24"/>
          <w:szCs w:val="24"/>
        </w:rPr>
        <w:footnoteReference w:id="36"/>
      </w:r>
      <w:r w:rsidR="007B6005" w:rsidRPr="00121FBC">
        <w:rPr>
          <w:rFonts w:ascii="Arial" w:hAnsi="Arial" w:cs="Arial"/>
          <w:sz w:val="24"/>
          <w:szCs w:val="24"/>
        </w:rPr>
        <w:t xml:space="preserve"> and the Refugee Sponsorship programs</w:t>
      </w:r>
      <w:r w:rsidR="005F1588" w:rsidRPr="00121FBC">
        <w:rPr>
          <w:rStyle w:val="FootnoteReference"/>
          <w:rFonts w:ascii="Arial" w:hAnsi="Arial" w:cs="Arial"/>
          <w:sz w:val="24"/>
          <w:szCs w:val="24"/>
        </w:rPr>
        <w:footnoteReference w:id="37"/>
      </w:r>
      <w:r w:rsidR="007B6005" w:rsidRPr="00121FBC">
        <w:rPr>
          <w:rFonts w:ascii="Arial" w:hAnsi="Arial" w:cs="Arial"/>
          <w:sz w:val="24"/>
          <w:szCs w:val="24"/>
        </w:rPr>
        <w:t xml:space="preserve"> by groups of five and community sponsors.</w:t>
      </w:r>
      <w:r w:rsidRPr="00121FBC">
        <w:rPr>
          <w:rFonts w:ascii="Arial" w:hAnsi="Arial" w:cs="Arial"/>
          <w:sz w:val="24"/>
          <w:szCs w:val="24"/>
        </w:rPr>
        <w:t xml:space="preserve"> </w:t>
      </w:r>
      <w:r w:rsidR="00180CED" w:rsidRPr="00121FBC">
        <w:rPr>
          <w:rFonts w:ascii="Arial" w:hAnsi="Arial" w:cs="Arial"/>
          <w:sz w:val="24"/>
          <w:szCs w:val="24"/>
        </w:rPr>
        <w:t xml:space="preserve">Historically, these are programs are used primarily by racialized communities. These </w:t>
      </w:r>
      <w:r w:rsidR="00190D24" w:rsidRPr="00121FBC">
        <w:rPr>
          <w:rFonts w:ascii="Arial" w:hAnsi="Arial" w:cs="Arial"/>
          <w:sz w:val="24"/>
          <w:szCs w:val="24"/>
        </w:rPr>
        <w:t>interruptions in intake effectively</w:t>
      </w:r>
      <w:r w:rsidR="00180CED" w:rsidRPr="00121FBC">
        <w:rPr>
          <w:rFonts w:ascii="Arial" w:hAnsi="Arial" w:cs="Arial"/>
          <w:sz w:val="24"/>
          <w:szCs w:val="24"/>
        </w:rPr>
        <w:t xml:space="preserve"> cut off routes that were specifically designed to convert long</w:t>
      </w:r>
      <w:r w:rsidR="00180CED" w:rsidRPr="00121FBC">
        <w:rPr>
          <w:rFonts w:ascii="Cambria Math" w:hAnsi="Cambria Math" w:cs="Cambria Math"/>
          <w:sz w:val="24"/>
          <w:szCs w:val="24"/>
        </w:rPr>
        <w:t>‑</w:t>
      </w:r>
      <w:r w:rsidR="00180CED" w:rsidRPr="00121FBC">
        <w:rPr>
          <w:rFonts w:ascii="Arial" w:hAnsi="Arial" w:cs="Arial"/>
          <w:sz w:val="24"/>
          <w:szCs w:val="24"/>
        </w:rPr>
        <w:t>term work, caregiving, or community ties into permanent residence. When new intake is paused but backlogs remain, racialized applicants are more likely to be stuck for years in precarious temporary status or in unsafe conditions abroad while waiting for a decision.</w:t>
      </w:r>
      <w:r w:rsidR="00121FBC">
        <w:rPr>
          <w:rFonts w:ascii="Arial" w:hAnsi="Arial" w:cs="Arial"/>
          <w:sz w:val="24"/>
          <w:szCs w:val="24"/>
        </w:rPr>
        <w:t xml:space="preserve">  In addition, cuts to other immigration programs, like Interim Federal Health, leave them lacking critical supports while they wait.</w:t>
      </w:r>
      <w:r w:rsidR="00180CED" w:rsidRPr="00121FBC">
        <w:rPr>
          <w:rFonts w:ascii="Arial" w:hAnsi="Arial" w:cs="Arial"/>
          <w:sz w:val="24"/>
          <w:szCs w:val="24"/>
        </w:rPr>
        <w:t xml:space="preserve"> </w:t>
      </w:r>
    </w:p>
    <w:p w14:paraId="445F7C0B" w14:textId="77777777" w:rsidR="00617FE6" w:rsidRPr="00121FBC" w:rsidRDefault="00617FE6" w:rsidP="00814D8E">
      <w:pPr>
        <w:pStyle w:val="ListParagraph"/>
        <w:spacing w:line="276" w:lineRule="auto"/>
        <w:ind w:firstLine="0"/>
        <w:rPr>
          <w:rFonts w:ascii="Arial" w:hAnsi="Arial" w:cs="Arial"/>
          <w:sz w:val="24"/>
          <w:szCs w:val="24"/>
        </w:rPr>
      </w:pPr>
    </w:p>
    <w:p w14:paraId="5895FA60" w14:textId="0CE83C57" w:rsidR="00226563" w:rsidRPr="00121FBC" w:rsidRDefault="00190D24" w:rsidP="00814D8E">
      <w:pPr>
        <w:pStyle w:val="ListParagraph"/>
        <w:numPr>
          <w:ilvl w:val="0"/>
          <w:numId w:val="10"/>
        </w:numPr>
        <w:spacing w:line="276" w:lineRule="auto"/>
        <w:rPr>
          <w:rFonts w:ascii="Arial" w:hAnsi="Arial" w:cs="Arial"/>
          <w:sz w:val="24"/>
          <w:szCs w:val="24"/>
        </w:rPr>
      </w:pPr>
      <w:r w:rsidRPr="00121FBC">
        <w:rPr>
          <w:rFonts w:ascii="Arial" w:hAnsi="Arial" w:cs="Arial"/>
          <w:sz w:val="24"/>
          <w:szCs w:val="24"/>
        </w:rPr>
        <w:t xml:space="preserve">Demand for these programs has far exceeded the number of spots available under the government’s immigration levels plan, creating large backlogs and long processing times for applicants. </w:t>
      </w:r>
      <w:r w:rsidR="00193047" w:rsidRPr="00121FBC">
        <w:rPr>
          <w:rFonts w:ascii="Arial" w:hAnsi="Arial" w:cs="Arial"/>
          <w:sz w:val="24"/>
          <w:szCs w:val="24"/>
        </w:rPr>
        <w:t xml:space="preserve">In 2025, IRCC </w:t>
      </w:r>
      <w:r w:rsidRPr="00121FBC">
        <w:rPr>
          <w:rFonts w:ascii="Arial" w:hAnsi="Arial" w:cs="Arial"/>
          <w:sz w:val="24"/>
          <w:szCs w:val="24"/>
        </w:rPr>
        <w:t xml:space="preserve">released updated processing times for its programs and wait times went up exponentially. </w:t>
      </w:r>
      <w:r w:rsidR="00193047" w:rsidRPr="00121FBC">
        <w:rPr>
          <w:rFonts w:ascii="Arial" w:hAnsi="Arial" w:cs="Arial"/>
          <w:sz w:val="24"/>
          <w:szCs w:val="24"/>
        </w:rPr>
        <w:t>IRCC explains that these updated processing times take into account annual caps or quotas for streams, the number of applications already submitted in a particular stream, and if there are any operational priorities or staff capacity</w:t>
      </w:r>
      <w:r w:rsidR="000D79A4" w:rsidRPr="00121FBC">
        <w:rPr>
          <w:rFonts w:ascii="Arial" w:hAnsi="Arial" w:cs="Arial"/>
          <w:sz w:val="24"/>
          <w:szCs w:val="24"/>
        </w:rPr>
        <w:t xml:space="preserve"> limits that affect how many applications can be processed. </w:t>
      </w:r>
      <w:r w:rsidR="00561591" w:rsidRPr="00121FBC">
        <w:rPr>
          <w:rFonts w:ascii="Arial" w:hAnsi="Arial" w:cs="Arial"/>
          <w:sz w:val="24"/>
          <w:szCs w:val="24"/>
        </w:rPr>
        <w:t>New processing times included up to 108 months (nine years) for the caregivers pathway and more than 10 years for the humanitarian and compassionate stream</w:t>
      </w:r>
      <w:r w:rsidR="00B16F3C" w:rsidRPr="00121FBC">
        <w:rPr>
          <w:rStyle w:val="FootnoteReference"/>
          <w:rFonts w:ascii="Arial" w:hAnsi="Arial" w:cs="Arial"/>
          <w:sz w:val="24"/>
          <w:szCs w:val="24"/>
        </w:rPr>
        <w:footnoteReference w:id="38"/>
      </w:r>
      <w:r w:rsidR="00561591" w:rsidRPr="00121FBC">
        <w:rPr>
          <w:rFonts w:ascii="Arial" w:hAnsi="Arial" w:cs="Arial"/>
          <w:sz w:val="24"/>
          <w:szCs w:val="24"/>
        </w:rPr>
        <w:t>.</w:t>
      </w:r>
    </w:p>
    <w:p w14:paraId="48DAB663" w14:textId="77777777" w:rsidR="00617FE6" w:rsidRPr="00121FBC" w:rsidRDefault="00617FE6" w:rsidP="00814D8E">
      <w:pPr>
        <w:pStyle w:val="ListParagraph"/>
        <w:spacing w:line="276" w:lineRule="auto"/>
        <w:ind w:firstLine="0"/>
        <w:rPr>
          <w:rFonts w:ascii="Arial" w:hAnsi="Arial" w:cs="Arial"/>
          <w:sz w:val="24"/>
          <w:szCs w:val="24"/>
        </w:rPr>
      </w:pPr>
    </w:p>
    <w:p w14:paraId="643388EF" w14:textId="1E2692CE" w:rsidR="000D79A4" w:rsidRPr="00121FBC" w:rsidRDefault="000D79A4" w:rsidP="00814D8E">
      <w:pPr>
        <w:pStyle w:val="ListParagraph"/>
        <w:numPr>
          <w:ilvl w:val="0"/>
          <w:numId w:val="10"/>
        </w:numPr>
        <w:spacing w:line="276" w:lineRule="auto"/>
        <w:rPr>
          <w:rFonts w:ascii="Arial" w:hAnsi="Arial" w:cs="Arial"/>
          <w:sz w:val="24"/>
          <w:szCs w:val="24"/>
        </w:rPr>
      </w:pPr>
      <w:r w:rsidRPr="00121FBC">
        <w:rPr>
          <w:rFonts w:ascii="Arial" w:hAnsi="Arial" w:cs="Arial"/>
          <w:sz w:val="24"/>
          <w:szCs w:val="24"/>
        </w:rPr>
        <w:t xml:space="preserve">These </w:t>
      </w:r>
      <w:r w:rsidR="00561591" w:rsidRPr="00121FBC">
        <w:rPr>
          <w:rFonts w:ascii="Arial" w:hAnsi="Arial" w:cs="Arial"/>
          <w:sz w:val="24"/>
          <w:szCs w:val="24"/>
        </w:rPr>
        <w:t>pauses and delay</w:t>
      </w:r>
      <w:r w:rsidR="00190D24" w:rsidRPr="00121FBC">
        <w:rPr>
          <w:rFonts w:ascii="Arial" w:hAnsi="Arial" w:cs="Arial"/>
          <w:sz w:val="24"/>
          <w:szCs w:val="24"/>
        </w:rPr>
        <w:t>s</w:t>
      </w:r>
      <w:r w:rsidRPr="00121FBC">
        <w:rPr>
          <w:rFonts w:ascii="Arial" w:hAnsi="Arial" w:cs="Arial"/>
          <w:sz w:val="24"/>
          <w:szCs w:val="24"/>
        </w:rPr>
        <w:t xml:space="preserve"> particularly impact racialized women, as the primary users of programs that recognize their unpaid or underpaid care work</w:t>
      </w:r>
      <w:r w:rsidR="008A12C6" w:rsidRPr="00121FBC">
        <w:rPr>
          <w:rStyle w:val="FootnoteReference"/>
          <w:rFonts w:ascii="Arial" w:hAnsi="Arial" w:cs="Arial"/>
          <w:sz w:val="24"/>
          <w:szCs w:val="24"/>
        </w:rPr>
        <w:footnoteReference w:id="39"/>
      </w:r>
      <w:r w:rsidRPr="00121FBC">
        <w:rPr>
          <w:rFonts w:ascii="Arial" w:hAnsi="Arial" w:cs="Arial"/>
          <w:sz w:val="24"/>
          <w:szCs w:val="24"/>
        </w:rPr>
        <w:t xml:space="preserve"> and </w:t>
      </w:r>
      <w:r w:rsidRPr="00121FBC">
        <w:rPr>
          <w:rFonts w:ascii="Arial" w:hAnsi="Arial" w:cs="Arial"/>
          <w:sz w:val="24"/>
          <w:szCs w:val="24"/>
        </w:rPr>
        <w:lastRenderedPageBreak/>
        <w:t xml:space="preserve">community support, forcing them to stay in precarious situations with fewer rights and protections. Families from racialized communities will be separated longer because pauses on parent, grandparent, or refugee sponsorships delay reunification. Alternate </w:t>
      </w:r>
      <w:r w:rsidR="00561591" w:rsidRPr="00121FBC">
        <w:rPr>
          <w:rFonts w:ascii="Arial" w:hAnsi="Arial" w:cs="Arial"/>
          <w:sz w:val="24"/>
          <w:szCs w:val="24"/>
        </w:rPr>
        <w:t>‘safety net’</w:t>
      </w:r>
      <w:r w:rsidRPr="00121FBC">
        <w:rPr>
          <w:rFonts w:ascii="Arial" w:hAnsi="Arial" w:cs="Arial"/>
          <w:sz w:val="24"/>
          <w:szCs w:val="24"/>
        </w:rPr>
        <w:t xml:space="preserve"> streams for permanent residence such as those on humanitarian and compassionate grounds are plagued with decade long processing times. </w:t>
      </w:r>
      <w:r w:rsidR="00561591" w:rsidRPr="00121FBC">
        <w:rPr>
          <w:rFonts w:ascii="Arial" w:hAnsi="Arial" w:cs="Arial"/>
          <w:sz w:val="24"/>
          <w:szCs w:val="24"/>
        </w:rPr>
        <w:t xml:space="preserve">Parents and grandparents may be able to obtain ‘super visas’ (visitor visas with longer periods of authorized stay) to stay in Canada, but they are not authorized to work and ineligible for social assistance or public healthcare. </w:t>
      </w:r>
    </w:p>
    <w:p w14:paraId="1E3DCFBA" w14:textId="77777777" w:rsidR="00617FE6" w:rsidRPr="00121FBC" w:rsidRDefault="00617FE6" w:rsidP="00814D8E">
      <w:pPr>
        <w:pStyle w:val="ListParagraph"/>
        <w:spacing w:line="276" w:lineRule="auto"/>
        <w:rPr>
          <w:rFonts w:ascii="Arial" w:hAnsi="Arial" w:cs="Arial"/>
          <w:sz w:val="24"/>
          <w:szCs w:val="24"/>
        </w:rPr>
      </w:pPr>
    </w:p>
    <w:p w14:paraId="33DAA5C5" w14:textId="44E36381" w:rsidR="00B16F3C" w:rsidRPr="00121FBC" w:rsidRDefault="001C1F98" w:rsidP="00814D8E">
      <w:pPr>
        <w:pStyle w:val="ListParagraph"/>
        <w:numPr>
          <w:ilvl w:val="0"/>
          <w:numId w:val="10"/>
        </w:numPr>
        <w:spacing w:line="276" w:lineRule="auto"/>
        <w:rPr>
          <w:rFonts w:ascii="Arial" w:hAnsi="Arial" w:cs="Arial"/>
          <w:b/>
          <w:bCs/>
          <w:sz w:val="24"/>
          <w:szCs w:val="24"/>
        </w:rPr>
      </w:pPr>
      <w:r w:rsidRPr="00121FBC">
        <w:rPr>
          <w:rFonts w:ascii="Arial" w:hAnsi="Arial" w:cs="Arial"/>
          <w:b/>
          <w:bCs/>
          <w:sz w:val="24"/>
          <w:szCs w:val="24"/>
        </w:rPr>
        <w:t xml:space="preserve">Recommendations: </w:t>
      </w:r>
      <w:r w:rsidR="00B16F3C" w:rsidRPr="00121FBC">
        <w:rPr>
          <w:rFonts w:ascii="Arial" w:hAnsi="Arial" w:cs="Arial"/>
          <w:b/>
          <w:bCs/>
          <w:sz w:val="24"/>
          <w:szCs w:val="24"/>
        </w:rPr>
        <w:t>We ask that the Committee recommend that Canada:</w:t>
      </w:r>
    </w:p>
    <w:p w14:paraId="48D2728C" w14:textId="77777777" w:rsidR="003478B2" w:rsidRPr="00121FBC" w:rsidRDefault="00B16F3C" w:rsidP="003478B2">
      <w:pPr>
        <w:pStyle w:val="ListParagraph"/>
        <w:numPr>
          <w:ilvl w:val="1"/>
          <w:numId w:val="10"/>
        </w:numPr>
        <w:spacing w:line="276" w:lineRule="auto"/>
        <w:rPr>
          <w:rFonts w:ascii="Arial" w:hAnsi="Arial" w:cs="Arial"/>
          <w:b/>
          <w:bCs/>
          <w:sz w:val="24"/>
          <w:szCs w:val="24"/>
          <w:lang w:val="en-CA"/>
        </w:rPr>
      </w:pPr>
      <w:r w:rsidRPr="00121FBC">
        <w:rPr>
          <w:rFonts w:ascii="Arial" w:hAnsi="Arial" w:cs="Arial"/>
          <w:b/>
          <w:bCs/>
          <w:sz w:val="24"/>
          <w:szCs w:val="24"/>
        </w:rPr>
        <w:t>Establish a permanent, stable pathway for caregivers to be able to obtain permanent residence with predictable annual intakes</w:t>
      </w:r>
    </w:p>
    <w:p w14:paraId="2A32E03B" w14:textId="63D9B070" w:rsidR="00B16F3C" w:rsidRPr="00121FBC" w:rsidRDefault="003478B2" w:rsidP="0074399C">
      <w:pPr>
        <w:pStyle w:val="ListParagraph"/>
        <w:numPr>
          <w:ilvl w:val="1"/>
          <w:numId w:val="10"/>
        </w:numPr>
        <w:spacing w:line="276" w:lineRule="auto"/>
        <w:rPr>
          <w:rFonts w:ascii="Arial" w:hAnsi="Arial" w:cs="Arial"/>
          <w:b/>
          <w:bCs/>
          <w:sz w:val="24"/>
          <w:szCs w:val="24"/>
        </w:rPr>
      </w:pPr>
      <w:r w:rsidRPr="00121FBC">
        <w:rPr>
          <w:rFonts w:ascii="Arial" w:hAnsi="Arial" w:cs="Arial"/>
          <w:b/>
          <w:bCs/>
          <w:sz w:val="24"/>
          <w:szCs w:val="24"/>
          <w:lang w:val="en-CA"/>
        </w:rPr>
        <w:t xml:space="preserve">This includes an </w:t>
      </w:r>
      <w:r w:rsidRPr="00121FBC">
        <w:rPr>
          <w:rFonts w:ascii="Arial" w:hAnsi="Arial" w:cs="Arial"/>
          <w:b/>
          <w:bCs/>
          <w:sz w:val="24"/>
          <w:szCs w:val="24"/>
        </w:rPr>
        <w:t xml:space="preserve">immediate reversal </w:t>
      </w:r>
      <w:r w:rsidRPr="00121FBC">
        <w:rPr>
          <w:rFonts w:ascii="Arial" w:hAnsi="Arial" w:cs="Arial"/>
          <w:b/>
          <w:bCs/>
          <w:sz w:val="24"/>
          <w:szCs w:val="24"/>
          <w:lang w:val="en-CA"/>
        </w:rPr>
        <w:t>of the pause of the Home Care Worker Immigration Pilots (HCWIP), which primarily impacts racialized women, and ensure accessible non-exploitative routes to permanency for all care workers, by removing caps/narrow application windows, ending employer-dependent requirements that trap workers in abusive conditions, issuing emergency and bridging open work permits, and adopting family unity safeguards (including suspending child “age-out” limits)</w:t>
      </w:r>
    </w:p>
    <w:p w14:paraId="2F8852F9" w14:textId="7F6FE77C" w:rsidR="000D79A4" w:rsidRPr="00121FBC" w:rsidRDefault="00B16F3C" w:rsidP="00814D8E">
      <w:pPr>
        <w:pStyle w:val="ListParagraph"/>
        <w:numPr>
          <w:ilvl w:val="1"/>
          <w:numId w:val="10"/>
        </w:numPr>
        <w:spacing w:line="276" w:lineRule="auto"/>
        <w:rPr>
          <w:rFonts w:ascii="Arial" w:hAnsi="Arial" w:cs="Arial"/>
          <w:b/>
          <w:bCs/>
          <w:sz w:val="24"/>
          <w:szCs w:val="24"/>
        </w:rPr>
      </w:pPr>
      <w:r w:rsidRPr="00121FBC">
        <w:rPr>
          <w:rFonts w:ascii="Arial" w:hAnsi="Arial" w:cs="Arial"/>
          <w:b/>
          <w:bCs/>
          <w:sz w:val="24"/>
          <w:szCs w:val="24"/>
        </w:rPr>
        <w:t>Adequately staff</w:t>
      </w:r>
      <w:r w:rsidR="00C266F8" w:rsidRPr="00121FBC">
        <w:rPr>
          <w:rFonts w:ascii="Arial" w:hAnsi="Arial" w:cs="Arial"/>
          <w:b/>
          <w:bCs/>
          <w:sz w:val="24"/>
          <w:szCs w:val="24"/>
        </w:rPr>
        <w:t>, fund</w:t>
      </w:r>
      <w:r w:rsidRPr="00121FBC">
        <w:rPr>
          <w:rFonts w:ascii="Arial" w:hAnsi="Arial" w:cs="Arial"/>
          <w:b/>
          <w:bCs/>
          <w:sz w:val="24"/>
          <w:szCs w:val="24"/>
        </w:rPr>
        <w:t xml:space="preserve"> and resource humanitarian and family reunification</w:t>
      </w:r>
      <w:r w:rsidR="00A14D04" w:rsidRPr="00121FBC">
        <w:rPr>
          <w:rFonts w:ascii="Arial" w:hAnsi="Arial" w:cs="Arial"/>
          <w:b/>
          <w:bCs/>
          <w:sz w:val="24"/>
          <w:szCs w:val="24"/>
        </w:rPr>
        <w:t xml:space="preserve"> immigration</w:t>
      </w:r>
      <w:r w:rsidRPr="00121FBC">
        <w:rPr>
          <w:rFonts w:ascii="Arial" w:hAnsi="Arial" w:cs="Arial"/>
          <w:b/>
          <w:bCs/>
          <w:sz w:val="24"/>
          <w:szCs w:val="24"/>
        </w:rPr>
        <w:t xml:space="preserve"> programs to </w:t>
      </w:r>
      <w:r w:rsidR="00A14D04" w:rsidRPr="00121FBC">
        <w:rPr>
          <w:rFonts w:ascii="Arial" w:hAnsi="Arial" w:cs="Arial"/>
          <w:b/>
          <w:bCs/>
          <w:sz w:val="24"/>
          <w:szCs w:val="24"/>
        </w:rPr>
        <w:t>reduce</w:t>
      </w:r>
      <w:r w:rsidRPr="00121FBC">
        <w:rPr>
          <w:rFonts w:ascii="Arial" w:hAnsi="Arial" w:cs="Arial"/>
          <w:b/>
          <w:bCs/>
          <w:sz w:val="24"/>
          <w:szCs w:val="24"/>
        </w:rPr>
        <w:t xml:space="preserve"> processing times</w:t>
      </w:r>
    </w:p>
    <w:p w14:paraId="21BB65A5" w14:textId="77777777" w:rsidR="00121FBC" w:rsidRDefault="00FF36DD" w:rsidP="00121FBC">
      <w:pPr>
        <w:pStyle w:val="ListParagraph"/>
        <w:numPr>
          <w:ilvl w:val="1"/>
          <w:numId w:val="10"/>
        </w:numPr>
        <w:spacing w:line="276" w:lineRule="auto"/>
        <w:rPr>
          <w:rFonts w:ascii="Arial" w:hAnsi="Arial" w:cs="Arial"/>
          <w:b/>
          <w:bCs/>
          <w:sz w:val="24"/>
          <w:szCs w:val="24"/>
        </w:rPr>
      </w:pPr>
      <w:r w:rsidRPr="00121FBC">
        <w:rPr>
          <w:rFonts w:ascii="Arial" w:hAnsi="Arial" w:cs="Arial"/>
          <w:b/>
          <w:bCs/>
          <w:sz w:val="24"/>
          <w:szCs w:val="24"/>
        </w:rPr>
        <w:t>Evaluate the impacts of immigration policies on racialized communities, and adopt measures to mitigate ethno-racially disparate effects</w:t>
      </w:r>
    </w:p>
    <w:p w14:paraId="57EBB9F9" w14:textId="43D1F62B" w:rsidR="00121FBC" w:rsidRPr="00121FBC" w:rsidRDefault="00121FBC" w:rsidP="00121FBC">
      <w:pPr>
        <w:pStyle w:val="ListParagraph"/>
        <w:numPr>
          <w:ilvl w:val="1"/>
          <w:numId w:val="10"/>
        </w:numPr>
        <w:spacing w:line="276" w:lineRule="auto"/>
        <w:rPr>
          <w:rFonts w:ascii="Arial" w:hAnsi="Arial" w:cs="Arial"/>
          <w:b/>
          <w:bCs/>
          <w:sz w:val="24"/>
          <w:szCs w:val="24"/>
        </w:rPr>
      </w:pPr>
      <w:r w:rsidRPr="00121FBC">
        <w:rPr>
          <w:rFonts w:ascii="Arial" w:hAnsi="Arial" w:cs="Arial"/>
          <w:b/>
          <w:bCs/>
          <w:sz w:val="24"/>
          <w:szCs w:val="24"/>
        </w:rPr>
        <w:t>Immediately reverse the co-pay system for the Interim Federal Health Program supplemental health products or services that will go into effect as of May 1, 2026. The Interim Federal Health Program (IFHP) gives limited, interim health coverage for resettled refugees, protected persons, refugee claimants, and victims of human trafficking. The new requirement will create a financial barrier for healthcare. Racialized people, particularly women and gender-diverse people are over-represented among those living in poverty and with few resources of their own for healthcare products and services, and are more likely to be disproportionately affected</w:t>
      </w:r>
    </w:p>
    <w:p w14:paraId="778E0159" w14:textId="77777777" w:rsidR="008A3534" w:rsidRPr="00121FBC" w:rsidRDefault="008A3534" w:rsidP="00814D8E">
      <w:pPr>
        <w:spacing w:line="276" w:lineRule="auto"/>
        <w:contextualSpacing/>
        <w:rPr>
          <w:rFonts w:ascii="Arial" w:hAnsi="Arial" w:cs="Arial"/>
        </w:rPr>
      </w:pPr>
    </w:p>
    <w:p w14:paraId="5477E23E" w14:textId="7654D193" w:rsidR="00F6676A" w:rsidRPr="00734E28" w:rsidRDefault="00190D24" w:rsidP="00814D8E">
      <w:pPr>
        <w:pStyle w:val="Heading2"/>
        <w:spacing w:before="0" w:line="276" w:lineRule="auto"/>
        <w:contextualSpacing/>
        <w:rPr>
          <w:rFonts w:ascii="Arial" w:hAnsi="Arial" w:cs="Arial"/>
          <w:b/>
          <w:bCs/>
          <w:color w:val="auto"/>
          <w:sz w:val="24"/>
          <w:szCs w:val="24"/>
          <w:u w:val="single"/>
        </w:rPr>
      </w:pPr>
      <w:bookmarkStart w:id="12" w:name="_Toc220920956"/>
      <w:r w:rsidRPr="00734E28">
        <w:rPr>
          <w:rFonts w:ascii="Arial" w:hAnsi="Arial" w:cs="Arial"/>
          <w:b/>
          <w:bCs/>
          <w:color w:val="auto"/>
          <w:sz w:val="24"/>
          <w:szCs w:val="24"/>
          <w:u w:val="single"/>
        </w:rPr>
        <w:t>Bill C-12</w:t>
      </w:r>
      <w:r w:rsidR="0063317F" w:rsidRPr="00734E28">
        <w:rPr>
          <w:rFonts w:ascii="Arial" w:hAnsi="Arial" w:cs="Arial"/>
          <w:b/>
          <w:bCs/>
          <w:color w:val="auto"/>
          <w:sz w:val="24"/>
          <w:szCs w:val="24"/>
          <w:u w:val="single"/>
        </w:rPr>
        <w:t xml:space="preserve"> : Strengthening</w:t>
      </w:r>
      <w:r w:rsidR="00CD36D7" w:rsidRPr="00734E28">
        <w:rPr>
          <w:rFonts w:ascii="Arial" w:hAnsi="Arial" w:cs="Arial"/>
          <w:b/>
          <w:bCs/>
          <w:color w:val="auto"/>
          <w:sz w:val="24"/>
          <w:szCs w:val="24"/>
          <w:u w:val="single"/>
        </w:rPr>
        <w:t xml:space="preserve"> Canada’s Immigration System and Borders Act, 2025</w:t>
      </w:r>
      <w:bookmarkEnd w:id="12"/>
    </w:p>
    <w:p w14:paraId="110713A9" w14:textId="77777777" w:rsidR="001C1F98" w:rsidRPr="00121FBC" w:rsidRDefault="001C1F98" w:rsidP="001C1F98">
      <w:pPr>
        <w:rPr>
          <w:rFonts w:ascii="Arial" w:hAnsi="Arial" w:cs="Arial"/>
        </w:rPr>
      </w:pPr>
    </w:p>
    <w:p w14:paraId="47913125" w14:textId="01BEAE83" w:rsidR="00A03DDB" w:rsidRPr="00121FBC" w:rsidRDefault="00A03DDB"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 xml:space="preserve">Canada has proposed legislation through </w:t>
      </w:r>
      <w:r w:rsidR="00044F84" w:rsidRPr="00121FBC">
        <w:rPr>
          <w:rFonts w:ascii="Arial" w:hAnsi="Arial" w:cs="Arial"/>
          <w:sz w:val="24"/>
          <w:szCs w:val="24"/>
        </w:rPr>
        <w:t xml:space="preserve">Bill </w:t>
      </w:r>
      <w:r w:rsidRPr="00121FBC">
        <w:rPr>
          <w:rFonts w:ascii="Arial" w:hAnsi="Arial" w:cs="Arial"/>
          <w:sz w:val="24"/>
          <w:szCs w:val="24"/>
        </w:rPr>
        <w:t xml:space="preserve">C-12 that, if passed into law, would significantly impact rights of migrants, refugees and asylum seekers. These changes </w:t>
      </w:r>
      <w:r w:rsidR="00044F84" w:rsidRPr="00121FBC">
        <w:rPr>
          <w:rFonts w:ascii="Arial" w:hAnsi="Arial" w:cs="Arial"/>
          <w:sz w:val="24"/>
          <w:szCs w:val="24"/>
        </w:rPr>
        <w:t xml:space="preserve">weaken refugee protections, undermine rights guaranteed by the Canadian </w:t>
      </w:r>
      <w:r w:rsidR="00044F84" w:rsidRPr="00121FBC">
        <w:rPr>
          <w:rFonts w:ascii="Arial" w:hAnsi="Arial" w:cs="Arial"/>
          <w:i/>
          <w:iCs/>
          <w:sz w:val="24"/>
          <w:szCs w:val="24"/>
        </w:rPr>
        <w:t xml:space="preserve">Charter of Rights and Freedoms, </w:t>
      </w:r>
      <w:r w:rsidR="00044F84" w:rsidRPr="00121FBC">
        <w:rPr>
          <w:rFonts w:ascii="Arial" w:hAnsi="Arial" w:cs="Arial"/>
          <w:sz w:val="24"/>
          <w:szCs w:val="24"/>
        </w:rPr>
        <w:t>and contravene</w:t>
      </w:r>
      <w:r w:rsidR="00044F84" w:rsidRPr="00121FBC">
        <w:rPr>
          <w:rFonts w:ascii="Arial" w:hAnsi="Arial" w:cs="Arial"/>
          <w:i/>
          <w:iCs/>
          <w:sz w:val="24"/>
          <w:szCs w:val="24"/>
        </w:rPr>
        <w:t xml:space="preserve"> </w:t>
      </w:r>
      <w:r w:rsidRPr="00121FBC">
        <w:rPr>
          <w:rFonts w:ascii="Arial" w:hAnsi="Arial" w:cs="Arial"/>
          <w:sz w:val="24"/>
          <w:szCs w:val="24"/>
        </w:rPr>
        <w:t xml:space="preserve">Canada’s </w:t>
      </w:r>
      <w:r w:rsidR="00044F84" w:rsidRPr="00121FBC">
        <w:rPr>
          <w:rFonts w:ascii="Arial" w:hAnsi="Arial" w:cs="Arial"/>
          <w:sz w:val="24"/>
          <w:szCs w:val="24"/>
        </w:rPr>
        <w:t xml:space="preserve">international </w:t>
      </w:r>
      <w:r w:rsidRPr="00121FBC">
        <w:rPr>
          <w:rFonts w:ascii="Arial" w:hAnsi="Arial" w:cs="Arial"/>
          <w:sz w:val="24"/>
          <w:szCs w:val="24"/>
        </w:rPr>
        <w:lastRenderedPageBreak/>
        <w:t xml:space="preserve">obligations under the ICCPR and the 1951 Refugee Convention. </w:t>
      </w:r>
    </w:p>
    <w:p w14:paraId="17D14FE2" w14:textId="77777777" w:rsidR="00617FE6" w:rsidRPr="00121FBC" w:rsidRDefault="00617FE6" w:rsidP="00814D8E">
      <w:pPr>
        <w:pStyle w:val="ListParagraph"/>
        <w:spacing w:line="276" w:lineRule="auto"/>
        <w:ind w:firstLine="0"/>
        <w:contextualSpacing/>
        <w:rPr>
          <w:rFonts w:ascii="Arial" w:hAnsi="Arial" w:cs="Arial"/>
          <w:sz w:val="24"/>
          <w:szCs w:val="24"/>
        </w:rPr>
      </w:pPr>
    </w:p>
    <w:p w14:paraId="0D791B42" w14:textId="70998A6D" w:rsidR="00A03DDB" w:rsidRPr="00121FBC" w:rsidRDefault="00044F84"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 xml:space="preserve">The </w:t>
      </w:r>
      <w:r w:rsidRPr="00D44A7F">
        <w:rPr>
          <w:rFonts w:ascii="Arial" w:hAnsi="Arial" w:cs="Arial"/>
          <w:i/>
          <w:iCs/>
          <w:sz w:val="24"/>
          <w:szCs w:val="24"/>
        </w:rPr>
        <w:t>Strengthening Canada’s Immigration System and Borders Act</w:t>
      </w:r>
      <w:r w:rsidRPr="00121FBC">
        <w:rPr>
          <w:rFonts w:ascii="Arial" w:hAnsi="Arial" w:cs="Arial"/>
          <w:sz w:val="24"/>
          <w:szCs w:val="24"/>
        </w:rPr>
        <w:t xml:space="preserve"> </w:t>
      </w:r>
      <w:r w:rsidR="00D44A7F">
        <w:rPr>
          <w:rFonts w:ascii="Arial" w:hAnsi="Arial" w:cs="Arial"/>
          <w:sz w:val="24"/>
          <w:szCs w:val="24"/>
        </w:rPr>
        <w:t xml:space="preserve">bill </w:t>
      </w:r>
      <w:r w:rsidRPr="00121FBC">
        <w:rPr>
          <w:rFonts w:ascii="Arial" w:hAnsi="Arial" w:cs="Arial"/>
          <w:sz w:val="24"/>
          <w:szCs w:val="24"/>
        </w:rPr>
        <w:t xml:space="preserve">makes sweeping changes to Canada’s refugee and immigration program, among others. Our submission focuses on the impact of these changes on racialized communities and those escaping gender-based violence. </w:t>
      </w:r>
    </w:p>
    <w:p w14:paraId="617FF54B" w14:textId="77777777" w:rsidR="001C1F98" w:rsidRPr="00121FBC" w:rsidRDefault="001C1F98" w:rsidP="00814D8E">
      <w:pPr>
        <w:pStyle w:val="ListParagraph"/>
        <w:spacing w:line="276" w:lineRule="auto"/>
        <w:ind w:firstLine="0"/>
        <w:contextualSpacing/>
        <w:rPr>
          <w:rFonts w:ascii="Arial" w:hAnsi="Arial" w:cs="Arial"/>
          <w:sz w:val="24"/>
          <w:szCs w:val="24"/>
        </w:rPr>
      </w:pPr>
    </w:p>
    <w:p w14:paraId="298403D3" w14:textId="7B0A7BA8" w:rsidR="00FA76A8" w:rsidRPr="00121FBC" w:rsidRDefault="00B16611"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 xml:space="preserve">The Bill creates new ineligibility provisions that would prevent asylum claimants from accessing an oral hearing at the Immigration and Refugee Board, as part of their claim’s determination process. A 1-year bar (for those who entered Canada after June 24, 2020) and a 14-day bar for those entering Canada from the US between Ports of Entry has been imposed. Any refugee claims made after these time limits are automatically ineligible for adjudication by the Immigration and Refugee Board, an independent administrative tribunal. </w:t>
      </w:r>
      <w:r w:rsidR="00AD7BC0" w:rsidRPr="00121FBC">
        <w:rPr>
          <w:rFonts w:ascii="Arial" w:hAnsi="Arial" w:cs="Arial"/>
          <w:sz w:val="24"/>
          <w:szCs w:val="24"/>
        </w:rPr>
        <w:t xml:space="preserve">People who are excluded from making a refugee claim under the above two new ineligibility provisions may be offered a Pre-Removal Risk Assessment (PRRA) when the Canadian Border Services Agency (CBSA) is ready to enforce removal proceedings. A PRRA assesses risk to an individual on removal from Canada. If approved, the application obtains protected person status and may apply for permanent residence. It is an administrative decision made by an IRCC officer and lacks the procedural safeguards of a formal refugee hearing. Unlike the Immigration and Refugee Board (IRB), it provides no right to an oral hearing—as required by the Supreme Court of Canada's decision in </w:t>
      </w:r>
      <w:r w:rsidR="00AD7BC0" w:rsidRPr="00121FBC">
        <w:rPr>
          <w:rFonts w:ascii="Arial" w:hAnsi="Arial" w:cs="Arial"/>
          <w:i/>
          <w:iCs/>
          <w:sz w:val="24"/>
          <w:szCs w:val="24"/>
        </w:rPr>
        <w:t>Singh v Canada</w:t>
      </w:r>
      <w:r w:rsidR="00D44A7F">
        <w:rPr>
          <w:rStyle w:val="FootnoteReference"/>
          <w:rFonts w:ascii="Arial" w:hAnsi="Arial" w:cs="Arial"/>
          <w:i/>
          <w:iCs/>
          <w:sz w:val="24"/>
          <w:szCs w:val="24"/>
        </w:rPr>
        <w:footnoteReference w:id="40"/>
      </w:r>
      <w:r w:rsidR="00AD7BC0" w:rsidRPr="00121FBC">
        <w:rPr>
          <w:rFonts w:ascii="Arial" w:hAnsi="Arial" w:cs="Arial"/>
          <w:sz w:val="24"/>
          <w:szCs w:val="24"/>
        </w:rPr>
        <w:t xml:space="preserve">—nor a right to appeal. IRCC officers </w:t>
      </w:r>
      <w:r w:rsidR="00EB7772" w:rsidRPr="00121FBC">
        <w:rPr>
          <w:rFonts w:ascii="Arial" w:hAnsi="Arial" w:cs="Arial"/>
          <w:sz w:val="24"/>
          <w:szCs w:val="24"/>
        </w:rPr>
        <w:t xml:space="preserve">are not independent and </w:t>
      </w:r>
      <w:r w:rsidR="00AD7BC0" w:rsidRPr="00121FBC">
        <w:rPr>
          <w:rFonts w:ascii="Arial" w:hAnsi="Arial" w:cs="Arial"/>
          <w:sz w:val="24"/>
          <w:szCs w:val="24"/>
        </w:rPr>
        <w:t>do not possess the same resources or expertise to properly evaluate a claim</w:t>
      </w:r>
      <w:r w:rsidR="00EB7772" w:rsidRPr="00121FBC">
        <w:rPr>
          <w:rFonts w:ascii="Arial" w:hAnsi="Arial" w:cs="Arial"/>
          <w:sz w:val="24"/>
          <w:szCs w:val="24"/>
        </w:rPr>
        <w:t>, as compared to adjudicators at the IRB</w:t>
      </w:r>
      <w:r w:rsidR="00AD7BC0" w:rsidRPr="00121FBC">
        <w:rPr>
          <w:rFonts w:ascii="Arial" w:hAnsi="Arial" w:cs="Arial"/>
          <w:sz w:val="24"/>
          <w:szCs w:val="24"/>
        </w:rPr>
        <w:t xml:space="preserve">. The only </w:t>
      </w:r>
      <w:r w:rsidR="00254E59" w:rsidRPr="00121FBC">
        <w:rPr>
          <w:rFonts w:ascii="Arial" w:hAnsi="Arial" w:cs="Arial"/>
          <w:sz w:val="24"/>
          <w:szCs w:val="24"/>
        </w:rPr>
        <w:t xml:space="preserve">option for legal recourse from a PRRA decision is a judicial review or a stay through the Federal Court of Canada, which is already considerably backlogged. </w:t>
      </w:r>
    </w:p>
    <w:p w14:paraId="6059E8B3" w14:textId="77777777" w:rsidR="00BC3DA3" w:rsidRPr="00D44A7F" w:rsidRDefault="00BC3DA3" w:rsidP="00D44A7F">
      <w:pPr>
        <w:spacing w:line="276" w:lineRule="auto"/>
        <w:contextualSpacing/>
        <w:rPr>
          <w:rFonts w:ascii="Arial" w:hAnsi="Arial" w:cs="Arial"/>
        </w:rPr>
      </w:pPr>
    </w:p>
    <w:p w14:paraId="778C44BC" w14:textId="5D35BE2C" w:rsidR="00617FE6" w:rsidRPr="00D44A7F" w:rsidRDefault="00254E59" w:rsidP="00D44A7F">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There is the very real risk that people in need of protection will be quickly deported only to face persecution and harm</w:t>
      </w:r>
      <w:r w:rsidR="0011041D" w:rsidRPr="00121FBC">
        <w:rPr>
          <w:rFonts w:ascii="Arial" w:hAnsi="Arial" w:cs="Arial"/>
          <w:sz w:val="24"/>
          <w:szCs w:val="24"/>
        </w:rPr>
        <w:t>, violating the principle of non-refoulement.</w:t>
      </w:r>
      <w:r w:rsidR="00FA76A8" w:rsidRPr="00121FBC">
        <w:rPr>
          <w:rFonts w:ascii="Arial" w:hAnsi="Arial" w:cs="Arial"/>
          <w:sz w:val="24"/>
          <w:szCs w:val="24"/>
        </w:rPr>
        <w:t xml:space="preserve"> The </w:t>
      </w:r>
      <w:r w:rsidR="008133B2" w:rsidRPr="00121FBC">
        <w:rPr>
          <w:rFonts w:ascii="Arial" w:hAnsi="Arial" w:cs="Arial"/>
          <w:sz w:val="24"/>
          <w:szCs w:val="24"/>
        </w:rPr>
        <w:t>suggested 1-yr (and 14-day) bar</w:t>
      </w:r>
      <w:r w:rsidR="00FA76A8" w:rsidRPr="00121FBC">
        <w:rPr>
          <w:rFonts w:ascii="Arial" w:hAnsi="Arial" w:cs="Arial"/>
          <w:sz w:val="24"/>
          <w:szCs w:val="24"/>
        </w:rPr>
        <w:t xml:space="preserve"> </w:t>
      </w:r>
      <w:r w:rsidR="005834B3" w:rsidRPr="00121FBC">
        <w:rPr>
          <w:rFonts w:ascii="Arial" w:hAnsi="Arial" w:cs="Arial"/>
          <w:sz w:val="24"/>
          <w:szCs w:val="24"/>
        </w:rPr>
        <w:t>do</w:t>
      </w:r>
      <w:r w:rsidR="008133B2" w:rsidRPr="00121FBC">
        <w:rPr>
          <w:rFonts w:ascii="Arial" w:hAnsi="Arial" w:cs="Arial"/>
          <w:sz w:val="24"/>
          <w:szCs w:val="24"/>
        </w:rPr>
        <w:t>es</w:t>
      </w:r>
      <w:r w:rsidR="005834B3" w:rsidRPr="00121FBC">
        <w:rPr>
          <w:rFonts w:ascii="Arial" w:hAnsi="Arial" w:cs="Arial"/>
          <w:sz w:val="24"/>
          <w:szCs w:val="24"/>
        </w:rPr>
        <w:t xml:space="preserve"> not account for claims based on violence or SOGIESC</w:t>
      </w:r>
      <w:r w:rsidR="005834B3" w:rsidRPr="00121FBC">
        <w:rPr>
          <w:rStyle w:val="FootnoteReference"/>
          <w:rFonts w:ascii="Arial" w:hAnsi="Arial" w:cs="Arial"/>
          <w:sz w:val="24"/>
          <w:szCs w:val="24"/>
        </w:rPr>
        <w:footnoteReference w:id="41"/>
      </w:r>
      <w:r w:rsidR="005834B3" w:rsidRPr="00121FBC">
        <w:rPr>
          <w:rFonts w:ascii="Arial" w:hAnsi="Arial" w:cs="Arial"/>
          <w:sz w:val="24"/>
          <w:szCs w:val="24"/>
        </w:rPr>
        <w:t>, where applicants may not be ready to file a claim as soon as they enter Canada. They</w:t>
      </w:r>
      <w:r w:rsidR="00FA76A8" w:rsidRPr="00121FBC">
        <w:rPr>
          <w:rFonts w:ascii="Arial" w:hAnsi="Arial" w:cs="Arial"/>
          <w:sz w:val="24"/>
          <w:szCs w:val="24"/>
        </w:rPr>
        <w:t xml:space="preserve"> do not account for situations where country </w:t>
      </w:r>
      <w:r w:rsidR="005834B3" w:rsidRPr="00121FBC">
        <w:rPr>
          <w:rFonts w:ascii="Arial" w:hAnsi="Arial" w:cs="Arial"/>
          <w:sz w:val="24"/>
          <w:szCs w:val="24"/>
        </w:rPr>
        <w:t xml:space="preserve">of origin </w:t>
      </w:r>
      <w:r w:rsidR="00FA76A8" w:rsidRPr="00121FBC">
        <w:rPr>
          <w:rFonts w:ascii="Arial" w:hAnsi="Arial" w:cs="Arial"/>
          <w:sz w:val="24"/>
          <w:szCs w:val="24"/>
        </w:rPr>
        <w:t>conditions change</w:t>
      </w:r>
      <w:r w:rsidR="005834B3" w:rsidRPr="00121FBC">
        <w:rPr>
          <w:rFonts w:ascii="Arial" w:hAnsi="Arial" w:cs="Arial"/>
          <w:sz w:val="24"/>
          <w:szCs w:val="24"/>
        </w:rPr>
        <w:t>d after applicants have already lived in Canada or the many legitimate reasons an applicant’s need to seek asylum only arose after their arrival (</w:t>
      </w:r>
      <w:r w:rsidR="005834B3" w:rsidRPr="00121FBC">
        <w:rPr>
          <w:rFonts w:ascii="Arial" w:hAnsi="Arial" w:cs="Arial"/>
          <w:i/>
          <w:iCs/>
          <w:sz w:val="24"/>
          <w:szCs w:val="24"/>
        </w:rPr>
        <w:t xml:space="preserve">sur place </w:t>
      </w:r>
      <w:r w:rsidR="005834B3" w:rsidRPr="00121FBC">
        <w:rPr>
          <w:rFonts w:ascii="Arial" w:hAnsi="Arial" w:cs="Arial"/>
          <w:sz w:val="24"/>
          <w:szCs w:val="24"/>
        </w:rPr>
        <w:t xml:space="preserve">claims). </w:t>
      </w:r>
    </w:p>
    <w:p w14:paraId="465B4351" w14:textId="2F4A87FB" w:rsidR="00254E59" w:rsidRPr="00121FBC" w:rsidRDefault="00254E59"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lastRenderedPageBreak/>
        <w:t xml:space="preserve">The Bill </w:t>
      </w:r>
      <w:r w:rsidR="008133B2" w:rsidRPr="00121FBC">
        <w:rPr>
          <w:rFonts w:ascii="Arial" w:hAnsi="Arial" w:cs="Arial"/>
          <w:sz w:val="24"/>
          <w:szCs w:val="24"/>
        </w:rPr>
        <w:t xml:space="preserve">also </w:t>
      </w:r>
      <w:r w:rsidRPr="00121FBC">
        <w:rPr>
          <w:rFonts w:ascii="Arial" w:hAnsi="Arial" w:cs="Arial"/>
          <w:sz w:val="24"/>
          <w:szCs w:val="24"/>
        </w:rPr>
        <w:t xml:space="preserve">gives the government sweeping new powers to cancel, suspend or change a broad range of immigration documents for reasons of “public interest”, including permanent or temporary resident visas, work or study permits, and travel authorizations. </w:t>
      </w:r>
      <w:r w:rsidR="00790FF2" w:rsidRPr="00121FBC">
        <w:rPr>
          <w:rFonts w:ascii="Arial" w:hAnsi="Arial" w:cs="Arial"/>
          <w:sz w:val="24"/>
          <w:szCs w:val="24"/>
        </w:rPr>
        <w:t>The Bill provides for these decisions to be taken by the Governor-in-Council</w:t>
      </w:r>
      <w:r w:rsidR="003459FB" w:rsidRPr="00121FBC">
        <w:rPr>
          <w:rStyle w:val="FootnoteReference"/>
          <w:rFonts w:ascii="Arial" w:hAnsi="Arial" w:cs="Arial"/>
          <w:sz w:val="24"/>
          <w:szCs w:val="24"/>
        </w:rPr>
        <w:footnoteReference w:id="42"/>
      </w:r>
      <w:r w:rsidR="00790FF2" w:rsidRPr="00121FBC">
        <w:rPr>
          <w:rFonts w:ascii="Arial" w:hAnsi="Arial" w:cs="Arial"/>
          <w:sz w:val="24"/>
          <w:szCs w:val="24"/>
        </w:rPr>
        <w:t xml:space="preserve">, which means that there is no requirement for parliamentary debate or oversight before these decisions are made. </w:t>
      </w:r>
      <w:r w:rsidRPr="00121FBC">
        <w:rPr>
          <w:rFonts w:ascii="Arial" w:hAnsi="Arial" w:cs="Arial"/>
          <w:sz w:val="24"/>
          <w:szCs w:val="24"/>
        </w:rPr>
        <w:t xml:space="preserve">The Bill </w:t>
      </w:r>
      <w:r w:rsidR="003E1A7E">
        <w:rPr>
          <w:rFonts w:ascii="Arial" w:hAnsi="Arial" w:cs="Arial"/>
          <w:sz w:val="24"/>
          <w:szCs w:val="24"/>
        </w:rPr>
        <w:t>would</w:t>
      </w:r>
      <w:r w:rsidRPr="00121FBC">
        <w:rPr>
          <w:rFonts w:ascii="Arial" w:hAnsi="Arial" w:cs="Arial"/>
          <w:sz w:val="24"/>
          <w:szCs w:val="24"/>
        </w:rPr>
        <w:t xml:space="preserve"> also allow the government to suspend new applications in a specific category and suspend and terminate processing of applications already submitted as a matter of public interest. </w:t>
      </w:r>
      <w:r w:rsidR="004A024B" w:rsidRPr="00121FBC">
        <w:rPr>
          <w:rFonts w:ascii="Arial" w:hAnsi="Arial" w:cs="Arial"/>
          <w:sz w:val="24"/>
          <w:szCs w:val="24"/>
        </w:rPr>
        <w:t xml:space="preserve">In its current form, the Bill would allow discriminatory actions such as cancelling applications and/or documents for applicants from one country. </w:t>
      </w:r>
      <w:r w:rsidRPr="00121FBC">
        <w:rPr>
          <w:rFonts w:ascii="Arial" w:hAnsi="Arial" w:cs="Arial"/>
          <w:sz w:val="24"/>
          <w:szCs w:val="24"/>
        </w:rPr>
        <w:t xml:space="preserve"> </w:t>
      </w:r>
      <w:r w:rsidR="003E1A7E">
        <w:rPr>
          <w:rFonts w:ascii="Arial" w:hAnsi="Arial" w:cs="Arial"/>
          <w:sz w:val="24"/>
          <w:szCs w:val="24"/>
        </w:rPr>
        <w:t>One j</w:t>
      </w:r>
      <w:r w:rsidR="004A024B" w:rsidRPr="00121FBC">
        <w:rPr>
          <w:rFonts w:ascii="Arial" w:hAnsi="Arial" w:cs="Arial"/>
          <w:sz w:val="24"/>
          <w:szCs w:val="24"/>
        </w:rPr>
        <w:t xml:space="preserve">ournalistic investigation reveal the government’s motivations to target </w:t>
      </w:r>
      <w:r w:rsidR="007F7AA3" w:rsidRPr="00121FBC">
        <w:rPr>
          <w:rFonts w:ascii="Arial" w:hAnsi="Arial" w:cs="Arial"/>
          <w:sz w:val="24"/>
          <w:szCs w:val="24"/>
        </w:rPr>
        <w:t>applicants</w:t>
      </w:r>
      <w:r w:rsidR="004A024B" w:rsidRPr="00121FBC">
        <w:rPr>
          <w:rFonts w:ascii="Arial" w:hAnsi="Arial" w:cs="Arial"/>
          <w:sz w:val="24"/>
          <w:szCs w:val="24"/>
        </w:rPr>
        <w:t xml:space="preserve"> from India and Bangladesh through these legislative changes</w:t>
      </w:r>
      <w:r w:rsidR="004A024B" w:rsidRPr="00121FBC">
        <w:rPr>
          <w:rStyle w:val="FootnoteReference"/>
          <w:rFonts w:ascii="Arial" w:hAnsi="Arial" w:cs="Arial"/>
          <w:sz w:val="24"/>
          <w:szCs w:val="24"/>
        </w:rPr>
        <w:footnoteReference w:id="43"/>
      </w:r>
      <w:r w:rsidR="004A024B" w:rsidRPr="00121FBC">
        <w:rPr>
          <w:rFonts w:ascii="Arial" w:hAnsi="Arial" w:cs="Arial"/>
          <w:sz w:val="24"/>
          <w:szCs w:val="24"/>
        </w:rPr>
        <w:t xml:space="preserve">. </w:t>
      </w:r>
    </w:p>
    <w:p w14:paraId="3E624FB2" w14:textId="77777777" w:rsidR="00617FE6" w:rsidRPr="00121FBC" w:rsidRDefault="00617FE6" w:rsidP="00814D8E">
      <w:pPr>
        <w:pStyle w:val="ListParagraph"/>
        <w:spacing w:line="276" w:lineRule="auto"/>
        <w:ind w:firstLine="0"/>
        <w:contextualSpacing/>
        <w:rPr>
          <w:rFonts w:ascii="Arial" w:hAnsi="Arial" w:cs="Arial"/>
          <w:sz w:val="24"/>
          <w:szCs w:val="24"/>
        </w:rPr>
      </w:pPr>
    </w:p>
    <w:p w14:paraId="2378D53F" w14:textId="5B35EA17" w:rsidR="00060E74" w:rsidRPr="00121FBC" w:rsidRDefault="000A3CCF"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IRCC also updated processing times for some permanent residency programs</w:t>
      </w:r>
      <w:r w:rsidR="00790FF2" w:rsidRPr="00121FBC">
        <w:rPr>
          <w:rFonts w:ascii="Arial" w:hAnsi="Arial" w:cs="Arial"/>
          <w:sz w:val="24"/>
          <w:szCs w:val="24"/>
        </w:rPr>
        <w:t xml:space="preserve"> recently</w:t>
      </w:r>
      <w:r w:rsidRPr="00121FBC">
        <w:rPr>
          <w:rFonts w:ascii="Arial" w:hAnsi="Arial" w:cs="Arial"/>
          <w:sz w:val="24"/>
          <w:szCs w:val="24"/>
        </w:rPr>
        <w:t xml:space="preserve">, with wait times </w:t>
      </w:r>
      <w:r w:rsidR="00E8472E" w:rsidRPr="00121FBC">
        <w:rPr>
          <w:rFonts w:ascii="Arial" w:hAnsi="Arial" w:cs="Arial"/>
          <w:sz w:val="24"/>
          <w:szCs w:val="24"/>
        </w:rPr>
        <w:t xml:space="preserve">for some programs </w:t>
      </w:r>
      <w:r w:rsidRPr="00121FBC">
        <w:rPr>
          <w:rFonts w:ascii="Arial" w:hAnsi="Arial" w:cs="Arial"/>
          <w:sz w:val="24"/>
          <w:szCs w:val="24"/>
        </w:rPr>
        <w:t xml:space="preserve">reaching </w:t>
      </w:r>
      <w:r w:rsidR="00E8472E" w:rsidRPr="00121FBC">
        <w:rPr>
          <w:rFonts w:ascii="Arial" w:hAnsi="Arial" w:cs="Arial"/>
          <w:sz w:val="24"/>
          <w:szCs w:val="24"/>
        </w:rPr>
        <w:t>up to</w:t>
      </w:r>
      <w:r w:rsidRPr="00121FBC">
        <w:rPr>
          <w:rFonts w:ascii="Arial" w:hAnsi="Arial" w:cs="Arial"/>
          <w:sz w:val="24"/>
          <w:szCs w:val="24"/>
        </w:rPr>
        <w:t xml:space="preserve"> 50 years. There is growing concern among advocates</w:t>
      </w:r>
      <w:r w:rsidRPr="00121FBC">
        <w:rPr>
          <w:rStyle w:val="FootnoteReference"/>
          <w:rFonts w:ascii="Arial" w:hAnsi="Arial" w:cs="Arial"/>
          <w:sz w:val="24"/>
          <w:szCs w:val="24"/>
        </w:rPr>
        <w:footnoteReference w:id="44"/>
      </w:r>
      <w:r w:rsidRPr="00121FBC">
        <w:rPr>
          <w:rFonts w:ascii="Arial" w:hAnsi="Arial" w:cs="Arial"/>
          <w:sz w:val="24"/>
          <w:szCs w:val="24"/>
        </w:rPr>
        <w:t xml:space="preserve"> that the government will use power </w:t>
      </w:r>
      <w:r w:rsidR="00790FF2" w:rsidRPr="00121FBC">
        <w:rPr>
          <w:rFonts w:ascii="Arial" w:hAnsi="Arial" w:cs="Arial"/>
          <w:sz w:val="24"/>
          <w:szCs w:val="24"/>
        </w:rPr>
        <w:t>granted by</w:t>
      </w:r>
      <w:r w:rsidRPr="00121FBC">
        <w:rPr>
          <w:rFonts w:ascii="Arial" w:hAnsi="Arial" w:cs="Arial"/>
          <w:sz w:val="24"/>
          <w:szCs w:val="24"/>
        </w:rPr>
        <w:t xml:space="preserve"> Bill C-12 to cancel applications in some </w:t>
      </w:r>
      <w:r w:rsidR="00E8472E" w:rsidRPr="00121FBC">
        <w:rPr>
          <w:rFonts w:ascii="Arial" w:hAnsi="Arial" w:cs="Arial"/>
          <w:sz w:val="24"/>
          <w:szCs w:val="24"/>
        </w:rPr>
        <w:t>of these backlogged programs</w:t>
      </w:r>
      <w:r w:rsidRPr="00121FBC">
        <w:rPr>
          <w:rFonts w:ascii="Arial" w:hAnsi="Arial" w:cs="Arial"/>
          <w:sz w:val="24"/>
          <w:szCs w:val="24"/>
        </w:rPr>
        <w:t xml:space="preserve"> </w:t>
      </w:r>
      <w:r w:rsidRPr="00121FBC">
        <w:rPr>
          <w:rFonts w:ascii="Arial" w:hAnsi="Arial" w:cs="Arial"/>
          <w:i/>
          <w:iCs/>
          <w:sz w:val="24"/>
          <w:szCs w:val="24"/>
        </w:rPr>
        <w:t>en masse</w:t>
      </w:r>
      <w:r w:rsidR="00350555" w:rsidRPr="00121FBC">
        <w:rPr>
          <w:rFonts w:ascii="Arial" w:hAnsi="Arial" w:cs="Arial"/>
          <w:i/>
          <w:iCs/>
          <w:sz w:val="24"/>
          <w:szCs w:val="24"/>
        </w:rPr>
        <w:t xml:space="preserve">. </w:t>
      </w:r>
      <w:r w:rsidR="007D01DA" w:rsidRPr="00121FBC">
        <w:rPr>
          <w:rFonts w:ascii="Arial" w:hAnsi="Arial" w:cs="Arial"/>
          <w:sz w:val="24"/>
          <w:szCs w:val="24"/>
        </w:rPr>
        <w:t xml:space="preserve">There are no official </w:t>
      </w:r>
      <w:r w:rsidR="00790FF2" w:rsidRPr="00121FBC">
        <w:rPr>
          <w:rFonts w:ascii="Arial" w:hAnsi="Arial" w:cs="Arial"/>
          <w:sz w:val="24"/>
          <w:szCs w:val="24"/>
        </w:rPr>
        <w:t>counts,</w:t>
      </w:r>
      <w:r w:rsidR="007D01DA" w:rsidRPr="00121FBC">
        <w:rPr>
          <w:rFonts w:ascii="Arial" w:hAnsi="Arial" w:cs="Arial"/>
          <w:sz w:val="24"/>
          <w:szCs w:val="24"/>
        </w:rPr>
        <w:t xml:space="preserve"> but e</w:t>
      </w:r>
      <w:r w:rsidR="00350555" w:rsidRPr="00121FBC">
        <w:rPr>
          <w:rFonts w:ascii="Arial" w:hAnsi="Arial" w:cs="Arial"/>
          <w:sz w:val="24"/>
          <w:szCs w:val="24"/>
        </w:rPr>
        <w:t xml:space="preserve">stimates suggest that there are more than 500,000 </w:t>
      </w:r>
      <w:r w:rsidR="007D01DA" w:rsidRPr="00121FBC">
        <w:rPr>
          <w:rFonts w:ascii="Arial" w:hAnsi="Arial" w:cs="Arial"/>
          <w:sz w:val="24"/>
          <w:szCs w:val="24"/>
        </w:rPr>
        <w:t>non-status</w:t>
      </w:r>
      <w:r w:rsidR="00350555" w:rsidRPr="00121FBC">
        <w:rPr>
          <w:rFonts w:ascii="Arial" w:hAnsi="Arial" w:cs="Arial"/>
          <w:sz w:val="24"/>
          <w:szCs w:val="24"/>
        </w:rPr>
        <w:t xml:space="preserve"> individuals </w:t>
      </w:r>
      <w:r w:rsidR="00DF5117" w:rsidRPr="00121FBC">
        <w:rPr>
          <w:rFonts w:ascii="Arial" w:hAnsi="Arial" w:cs="Arial"/>
          <w:sz w:val="24"/>
          <w:szCs w:val="24"/>
        </w:rPr>
        <w:t>living</w:t>
      </w:r>
      <w:r w:rsidR="00350555" w:rsidRPr="00121FBC">
        <w:rPr>
          <w:rFonts w:ascii="Arial" w:hAnsi="Arial" w:cs="Arial"/>
          <w:sz w:val="24"/>
          <w:szCs w:val="24"/>
        </w:rPr>
        <w:t xml:space="preserve"> in Canada. </w:t>
      </w:r>
      <w:r w:rsidRPr="00121FBC">
        <w:rPr>
          <w:rFonts w:ascii="Arial" w:hAnsi="Arial" w:cs="Arial"/>
          <w:sz w:val="24"/>
          <w:szCs w:val="24"/>
        </w:rPr>
        <w:t xml:space="preserve"> </w:t>
      </w:r>
      <w:r w:rsidR="007D01DA" w:rsidRPr="00121FBC">
        <w:rPr>
          <w:rFonts w:ascii="Arial" w:hAnsi="Arial" w:cs="Arial"/>
          <w:sz w:val="24"/>
          <w:szCs w:val="24"/>
        </w:rPr>
        <w:t>These proposed legislative changes mean that number could increase exponentially</w:t>
      </w:r>
      <w:r w:rsidR="00DF5117" w:rsidRPr="00121FBC">
        <w:rPr>
          <w:rFonts w:ascii="Arial" w:hAnsi="Arial" w:cs="Arial"/>
          <w:sz w:val="24"/>
          <w:szCs w:val="24"/>
        </w:rPr>
        <w:t xml:space="preserve"> with more people living precariously in Canada</w:t>
      </w:r>
      <w:r w:rsidR="007D01DA" w:rsidRPr="00121FBC">
        <w:rPr>
          <w:rFonts w:ascii="Arial" w:hAnsi="Arial" w:cs="Arial"/>
          <w:sz w:val="24"/>
          <w:szCs w:val="24"/>
        </w:rPr>
        <w:t xml:space="preserve">. </w:t>
      </w:r>
      <w:r w:rsidR="00DF5117" w:rsidRPr="00121FBC">
        <w:rPr>
          <w:rFonts w:ascii="Arial" w:hAnsi="Arial" w:cs="Arial"/>
          <w:sz w:val="24"/>
          <w:szCs w:val="24"/>
        </w:rPr>
        <w:t xml:space="preserve">Lack of immigration status cuts people off from rights and entitlements, access to </w:t>
      </w:r>
      <w:r w:rsidR="0011041D" w:rsidRPr="00121FBC">
        <w:rPr>
          <w:rFonts w:ascii="Arial" w:hAnsi="Arial" w:cs="Arial"/>
          <w:sz w:val="24"/>
          <w:szCs w:val="24"/>
        </w:rPr>
        <w:t xml:space="preserve">employment and </w:t>
      </w:r>
      <w:r w:rsidR="00DF5117" w:rsidRPr="00121FBC">
        <w:rPr>
          <w:rFonts w:ascii="Arial" w:hAnsi="Arial" w:cs="Arial"/>
          <w:sz w:val="24"/>
          <w:szCs w:val="24"/>
        </w:rPr>
        <w:t xml:space="preserve">services like social assistance and healthcare and increases their vulnerability to exploitation and abuse. </w:t>
      </w:r>
    </w:p>
    <w:p w14:paraId="538D21F2" w14:textId="77777777" w:rsidR="00617FE6" w:rsidRPr="00121FBC" w:rsidRDefault="00617FE6" w:rsidP="00814D8E">
      <w:pPr>
        <w:pStyle w:val="ListParagraph"/>
        <w:spacing w:line="276" w:lineRule="auto"/>
        <w:ind w:firstLine="0"/>
        <w:contextualSpacing/>
        <w:rPr>
          <w:rFonts w:ascii="Arial" w:hAnsi="Arial" w:cs="Arial"/>
          <w:sz w:val="24"/>
          <w:szCs w:val="24"/>
        </w:rPr>
      </w:pPr>
    </w:p>
    <w:p w14:paraId="5F8865BA" w14:textId="23416B39" w:rsidR="00385470" w:rsidRPr="00121FBC" w:rsidRDefault="00385470"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The government argues that the changes to the refugee determination system will make the system more efficient and reduce taxpayer burden by deterring claims they assume are non-viable based on prior length of stay in Canada. However, research shows that the proposed changes will be less efficient and increase the load on the already overwhelmed Federal Court system, leading to more litigation. The proposed eligibility bars</w:t>
      </w:r>
      <w:r w:rsidR="00E8521A" w:rsidRPr="00121FBC">
        <w:rPr>
          <w:rFonts w:ascii="Arial" w:hAnsi="Arial" w:cs="Arial"/>
          <w:sz w:val="24"/>
          <w:szCs w:val="24"/>
        </w:rPr>
        <w:t xml:space="preserve"> send applicants through the PRRA process which</w:t>
      </w:r>
      <w:r w:rsidRPr="00121FBC">
        <w:rPr>
          <w:rFonts w:ascii="Arial" w:hAnsi="Arial" w:cs="Arial"/>
          <w:sz w:val="24"/>
          <w:szCs w:val="24"/>
        </w:rPr>
        <w:t xml:space="preserve"> would be mo</w:t>
      </w:r>
      <w:r w:rsidR="00E8521A" w:rsidRPr="00121FBC">
        <w:rPr>
          <w:rFonts w:ascii="Arial" w:hAnsi="Arial" w:cs="Arial"/>
          <w:sz w:val="24"/>
          <w:szCs w:val="24"/>
        </w:rPr>
        <w:t>re expensive from a legal aid perspective than the existing process through the Immigration and Refugee Board</w:t>
      </w:r>
      <w:r w:rsidR="00E8521A" w:rsidRPr="00121FBC">
        <w:rPr>
          <w:rStyle w:val="FootnoteReference"/>
          <w:rFonts w:ascii="Arial" w:hAnsi="Arial" w:cs="Arial"/>
          <w:sz w:val="24"/>
          <w:szCs w:val="24"/>
        </w:rPr>
        <w:footnoteReference w:id="45"/>
      </w:r>
      <w:r w:rsidR="00E8521A" w:rsidRPr="00121FBC">
        <w:rPr>
          <w:rFonts w:ascii="Arial" w:hAnsi="Arial" w:cs="Arial"/>
          <w:sz w:val="24"/>
          <w:szCs w:val="24"/>
        </w:rPr>
        <w:t xml:space="preserve">. </w:t>
      </w:r>
    </w:p>
    <w:p w14:paraId="2FDD16E6" w14:textId="77777777" w:rsidR="00617FE6" w:rsidRPr="00121FBC" w:rsidRDefault="00617FE6" w:rsidP="00814D8E">
      <w:pPr>
        <w:pStyle w:val="ListParagraph"/>
        <w:spacing w:line="276" w:lineRule="auto"/>
        <w:ind w:firstLine="0"/>
        <w:contextualSpacing/>
        <w:rPr>
          <w:rFonts w:ascii="Arial" w:hAnsi="Arial" w:cs="Arial"/>
          <w:sz w:val="24"/>
          <w:szCs w:val="24"/>
        </w:rPr>
      </w:pPr>
    </w:p>
    <w:p w14:paraId="3D9FEB8B" w14:textId="685C16A1" w:rsidR="00E8521A" w:rsidRPr="00121FBC" w:rsidRDefault="00E8521A" w:rsidP="00814D8E">
      <w:pPr>
        <w:pStyle w:val="ListParagraph"/>
        <w:numPr>
          <w:ilvl w:val="0"/>
          <w:numId w:val="10"/>
        </w:numPr>
        <w:spacing w:line="276" w:lineRule="auto"/>
        <w:contextualSpacing/>
        <w:rPr>
          <w:rFonts w:ascii="Arial" w:hAnsi="Arial" w:cs="Arial"/>
          <w:sz w:val="24"/>
          <w:szCs w:val="24"/>
        </w:rPr>
      </w:pPr>
      <w:r w:rsidRPr="00121FBC">
        <w:rPr>
          <w:rFonts w:ascii="Arial" w:hAnsi="Arial" w:cs="Arial"/>
          <w:sz w:val="24"/>
          <w:szCs w:val="24"/>
        </w:rPr>
        <w:t xml:space="preserve">A misguided piece of legislation that </w:t>
      </w:r>
      <w:r w:rsidR="0063317F" w:rsidRPr="00121FBC">
        <w:rPr>
          <w:rFonts w:ascii="Arial" w:hAnsi="Arial" w:cs="Arial"/>
          <w:sz w:val="24"/>
          <w:szCs w:val="24"/>
        </w:rPr>
        <w:t>is</w:t>
      </w:r>
      <w:r w:rsidRPr="00121FBC">
        <w:rPr>
          <w:rFonts w:ascii="Arial" w:hAnsi="Arial" w:cs="Arial"/>
          <w:sz w:val="24"/>
          <w:szCs w:val="24"/>
        </w:rPr>
        <w:t xml:space="preserve"> motivated by appeasing the United States, Bill C-12 would not meet any of its stated objectives. </w:t>
      </w:r>
      <w:r w:rsidR="00695618" w:rsidRPr="00121FBC">
        <w:rPr>
          <w:rFonts w:ascii="Arial" w:hAnsi="Arial" w:cs="Arial"/>
          <w:sz w:val="24"/>
          <w:szCs w:val="24"/>
        </w:rPr>
        <w:t>Instead,</w:t>
      </w:r>
      <w:r w:rsidRPr="00121FBC">
        <w:rPr>
          <w:rFonts w:ascii="Arial" w:hAnsi="Arial" w:cs="Arial"/>
          <w:sz w:val="24"/>
          <w:szCs w:val="24"/>
        </w:rPr>
        <w:t xml:space="preserve"> it </w:t>
      </w:r>
      <w:r w:rsidR="0009381C" w:rsidRPr="00121FBC">
        <w:rPr>
          <w:rFonts w:ascii="Arial" w:hAnsi="Arial" w:cs="Arial"/>
          <w:sz w:val="24"/>
          <w:szCs w:val="24"/>
        </w:rPr>
        <w:t xml:space="preserve">seems designed to overwhelm the refugee and immigration system and then use unchecked executive powers to clear the board. Civil society advocacy organizations have </w:t>
      </w:r>
      <w:r w:rsidR="0063317F" w:rsidRPr="00121FBC">
        <w:rPr>
          <w:rFonts w:ascii="Arial" w:hAnsi="Arial" w:cs="Arial"/>
          <w:sz w:val="24"/>
          <w:szCs w:val="24"/>
        </w:rPr>
        <w:t>been sounding the alarm</w:t>
      </w:r>
      <w:r w:rsidR="0009381C" w:rsidRPr="00121FBC">
        <w:rPr>
          <w:rStyle w:val="FootnoteReference"/>
          <w:rFonts w:ascii="Arial" w:hAnsi="Arial" w:cs="Arial"/>
          <w:sz w:val="24"/>
          <w:szCs w:val="24"/>
        </w:rPr>
        <w:footnoteReference w:id="46"/>
      </w:r>
      <w:r w:rsidR="0009381C" w:rsidRPr="00121FBC">
        <w:rPr>
          <w:rFonts w:ascii="Arial" w:hAnsi="Arial" w:cs="Arial"/>
          <w:sz w:val="24"/>
          <w:szCs w:val="24"/>
        </w:rPr>
        <w:t xml:space="preserve"> of the impact these changes would have across sectors, however </w:t>
      </w:r>
      <w:r w:rsidR="0063317F" w:rsidRPr="00121FBC">
        <w:rPr>
          <w:rFonts w:ascii="Arial" w:hAnsi="Arial" w:cs="Arial"/>
          <w:sz w:val="24"/>
          <w:szCs w:val="24"/>
        </w:rPr>
        <w:t xml:space="preserve">despite widespread opposition </w:t>
      </w:r>
      <w:r w:rsidR="0009381C" w:rsidRPr="00121FBC">
        <w:rPr>
          <w:rFonts w:ascii="Arial" w:hAnsi="Arial" w:cs="Arial"/>
          <w:sz w:val="24"/>
          <w:szCs w:val="24"/>
        </w:rPr>
        <w:t xml:space="preserve">the government </w:t>
      </w:r>
      <w:r w:rsidR="0063317F" w:rsidRPr="00121FBC">
        <w:rPr>
          <w:rFonts w:ascii="Arial" w:hAnsi="Arial" w:cs="Arial"/>
          <w:sz w:val="24"/>
          <w:szCs w:val="24"/>
        </w:rPr>
        <w:t>is</w:t>
      </w:r>
      <w:r w:rsidR="0009381C" w:rsidRPr="00121FBC">
        <w:rPr>
          <w:rFonts w:ascii="Arial" w:hAnsi="Arial" w:cs="Arial"/>
          <w:sz w:val="24"/>
          <w:szCs w:val="24"/>
        </w:rPr>
        <w:t xml:space="preserve"> intent on rushing this into law. </w:t>
      </w:r>
    </w:p>
    <w:p w14:paraId="465B87F8" w14:textId="77777777" w:rsidR="00617FE6" w:rsidRPr="00121FBC" w:rsidRDefault="00617FE6" w:rsidP="00814D8E">
      <w:pPr>
        <w:pStyle w:val="ListParagraph"/>
        <w:spacing w:line="276" w:lineRule="auto"/>
        <w:rPr>
          <w:rFonts w:ascii="Arial" w:hAnsi="Arial" w:cs="Arial"/>
          <w:sz w:val="24"/>
          <w:szCs w:val="24"/>
        </w:rPr>
      </w:pPr>
    </w:p>
    <w:p w14:paraId="147A38DD" w14:textId="15C74820" w:rsidR="0011041D" w:rsidRPr="00121FBC" w:rsidRDefault="001C1F98" w:rsidP="00814D8E">
      <w:pPr>
        <w:pStyle w:val="ListParagraph"/>
        <w:numPr>
          <w:ilvl w:val="0"/>
          <w:numId w:val="10"/>
        </w:numPr>
        <w:spacing w:line="276" w:lineRule="auto"/>
        <w:contextualSpacing/>
        <w:rPr>
          <w:rFonts w:ascii="Arial" w:hAnsi="Arial" w:cs="Arial"/>
          <w:b/>
          <w:bCs/>
          <w:sz w:val="24"/>
          <w:szCs w:val="24"/>
        </w:rPr>
      </w:pPr>
      <w:r w:rsidRPr="00121FBC">
        <w:rPr>
          <w:rFonts w:ascii="Arial" w:hAnsi="Arial" w:cs="Arial"/>
          <w:b/>
          <w:bCs/>
          <w:sz w:val="24"/>
          <w:szCs w:val="24"/>
        </w:rPr>
        <w:t xml:space="preserve">Recommendations: </w:t>
      </w:r>
      <w:r w:rsidR="0011041D" w:rsidRPr="00121FBC">
        <w:rPr>
          <w:rFonts w:ascii="Arial" w:hAnsi="Arial" w:cs="Arial"/>
          <w:b/>
          <w:bCs/>
          <w:sz w:val="24"/>
          <w:szCs w:val="24"/>
        </w:rPr>
        <w:t>We recommend that the Committee ask Canada to:</w:t>
      </w:r>
    </w:p>
    <w:p w14:paraId="1024A5A2" w14:textId="70C9BA28" w:rsidR="0011041D" w:rsidRPr="00121FBC" w:rsidRDefault="0011041D" w:rsidP="00814D8E">
      <w:pPr>
        <w:pStyle w:val="ListParagraph"/>
        <w:numPr>
          <w:ilvl w:val="1"/>
          <w:numId w:val="10"/>
        </w:numPr>
        <w:spacing w:line="276" w:lineRule="auto"/>
        <w:contextualSpacing/>
        <w:rPr>
          <w:rFonts w:ascii="Arial" w:hAnsi="Arial" w:cs="Arial"/>
          <w:b/>
          <w:bCs/>
          <w:sz w:val="24"/>
          <w:szCs w:val="24"/>
        </w:rPr>
      </w:pPr>
      <w:r w:rsidRPr="00121FBC">
        <w:rPr>
          <w:rFonts w:ascii="Arial" w:hAnsi="Arial" w:cs="Arial"/>
          <w:b/>
          <w:bCs/>
          <w:sz w:val="24"/>
          <w:szCs w:val="24"/>
        </w:rPr>
        <w:t>Withdraw Bill C-12 (and its precursor Bill C-2) in its entirety</w:t>
      </w:r>
    </w:p>
    <w:p w14:paraId="05F77144" w14:textId="17F45267" w:rsidR="0011041D" w:rsidRPr="00121FBC" w:rsidRDefault="008133B2" w:rsidP="00814D8E">
      <w:pPr>
        <w:pStyle w:val="ListParagraph"/>
        <w:numPr>
          <w:ilvl w:val="1"/>
          <w:numId w:val="10"/>
        </w:numPr>
        <w:spacing w:line="276" w:lineRule="auto"/>
        <w:contextualSpacing/>
        <w:rPr>
          <w:rFonts w:ascii="Arial" w:hAnsi="Arial" w:cs="Arial"/>
          <w:b/>
          <w:bCs/>
          <w:sz w:val="24"/>
          <w:szCs w:val="24"/>
        </w:rPr>
      </w:pPr>
      <w:r w:rsidRPr="00121FBC">
        <w:rPr>
          <w:rFonts w:ascii="Arial" w:hAnsi="Arial" w:cs="Arial"/>
          <w:b/>
          <w:bCs/>
          <w:sz w:val="24"/>
          <w:szCs w:val="24"/>
        </w:rPr>
        <w:t>Consider a plan to regularize status for all non-status individuals in Canada</w:t>
      </w:r>
    </w:p>
    <w:p w14:paraId="68ABE21F" w14:textId="77777777" w:rsidR="003E1A7E" w:rsidRDefault="00C21BD0" w:rsidP="00814D8E">
      <w:pPr>
        <w:pStyle w:val="ListParagraph"/>
        <w:numPr>
          <w:ilvl w:val="1"/>
          <w:numId w:val="10"/>
        </w:numPr>
        <w:spacing w:line="276" w:lineRule="auto"/>
        <w:contextualSpacing/>
        <w:rPr>
          <w:rFonts w:ascii="Arial" w:hAnsi="Arial" w:cs="Arial"/>
          <w:b/>
          <w:bCs/>
          <w:sz w:val="24"/>
          <w:szCs w:val="24"/>
        </w:rPr>
      </w:pPr>
      <w:r w:rsidRPr="00121FBC">
        <w:rPr>
          <w:rFonts w:ascii="Arial" w:hAnsi="Arial" w:cs="Arial"/>
          <w:b/>
          <w:bCs/>
          <w:sz w:val="24"/>
          <w:szCs w:val="24"/>
        </w:rPr>
        <w:t xml:space="preserve">In the alternative, </w:t>
      </w:r>
      <w:r w:rsidR="008133B2" w:rsidRPr="00121FBC">
        <w:rPr>
          <w:rFonts w:ascii="Arial" w:hAnsi="Arial" w:cs="Arial"/>
          <w:b/>
          <w:bCs/>
          <w:sz w:val="24"/>
          <w:szCs w:val="24"/>
        </w:rPr>
        <w:t xml:space="preserve">Amend the Bill to make it </w:t>
      </w:r>
      <w:r w:rsidR="008133B2" w:rsidRPr="00121FBC">
        <w:rPr>
          <w:rFonts w:ascii="Arial" w:hAnsi="Arial" w:cs="Arial"/>
          <w:b/>
          <w:bCs/>
          <w:i/>
          <w:iCs/>
          <w:sz w:val="24"/>
          <w:szCs w:val="24"/>
        </w:rPr>
        <w:t>Charter</w:t>
      </w:r>
      <w:r w:rsidR="008133B2" w:rsidRPr="00121FBC">
        <w:rPr>
          <w:rFonts w:ascii="Arial" w:hAnsi="Arial" w:cs="Arial"/>
          <w:b/>
          <w:bCs/>
          <w:sz w:val="24"/>
          <w:szCs w:val="24"/>
        </w:rPr>
        <w:t xml:space="preserve"> compliant and compliant with Canada’s international obligations, under this Covenant and others, in consultation with the communities affected by these changes</w:t>
      </w:r>
      <w:r w:rsidRPr="00121FBC">
        <w:rPr>
          <w:rFonts w:ascii="Arial" w:hAnsi="Arial" w:cs="Arial"/>
          <w:b/>
          <w:bCs/>
          <w:sz w:val="24"/>
          <w:szCs w:val="24"/>
        </w:rPr>
        <w:t xml:space="preserve">; </w:t>
      </w:r>
    </w:p>
    <w:p w14:paraId="7739534A" w14:textId="1FBB1F48" w:rsidR="0063317F" w:rsidRPr="00121FBC" w:rsidRDefault="003620FA" w:rsidP="00814D8E">
      <w:pPr>
        <w:pStyle w:val="ListParagraph"/>
        <w:numPr>
          <w:ilvl w:val="1"/>
          <w:numId w:val="10"/>
        </w:numPr>
        <w:spacing w:line="276" w:lineRule="auto"/>
        <w:contextualSpacing/>
        <w:rPr>
          <w:rFonts w:ascii="Arial" w:hAnsi="Arial" w:cs="Arial"/>
          <w:b/>
          <w:bCs/>
          <w:sz w:val="24"/>
          <w:szCs w:val="24"/>
        </w:rPr>
      </w:pPr>
      <w:r w:rsidRPr="00121FBC">
        <w:rPr>
          <w:rFonts w:ascii="Arial" w:hAnsi="Arial" w:cs="Arial"/>
          <w:b/>
          <w:bCs/>
          <w:sz w:val="24"/>
          <w:szCs w:val="24"/>
        </w:rPr>
        <w:t xml:space="preserve">Amend the </w:t>
      </w:r>
      <w:r w:rsidR="009B0595" w:rsidRPr="00121FBC">
        <w:rPr>
          <w:rFonts w:ascii="Arial" w:hAnsi="Arial" w:cs="Arial"/>
          <w:b/>
          <w:bCs/>
          <w:sz w:val="24"/>
          <w:szCs w:val="24"/>
        </w:rPr>
        <w:t>Bill</w:t>
      </w:r>
      <w:r w:rsidRPr="00121FBC">
        <w:rPr>
          <w:rFonts w:ascii="Arial" w:hAnsi="Arial" w:cs="Arial"/>
          <w:b/>
          <w:bCs/>
          <w:sz w:val="24"/>
          <w:szCs w:val="24"/>
        </w:rPr>
        <w:t xml:space="preserve"> to create</w:t>
      </w:r>
      <w:r w:rsidR="0063317F" w:rsidRPr="00121FBC">
        <w:rPr>
          <w:rFonts w:ascii="Arial" w:hAnsi="Arial" w:cs="Arial"/>
          <w:b/>
          <w:bCs/>
          <w:sz w:val="24"/>
          <w:szCs w:val="24"/>
        </w:rPr>
        <w:t xml:space="preserve"> </w:t>
      </w:r>
      <w:r w:rsidR="009B0595" w:rsidRPr="00121FBC">
        <w:rPr>
          <w:rFonts w:ascii="Arial" w:hAnsi="Arial" w:cs="Arial"/>
          <w:b/>
          <w:bCs/>
          <w:sz w:val="24"/>
          <w:szCs w:val="24"/>
        </w:rPr>
        <w:t xml:space="preserve">reasonable </w:t>
      </w:r>
      <w:r w:rsidR="0063317F" w:rsidRPr="00121FBC">
        <w:rPr>
          <w:rFonts w:ascii="Arial" w:hAnsi="Arial" w:cs="Arial"/>
          <w:b/>
          <w:bCs/>
          <w:sz w:val="24"/>
          <w:szCs w:val="24"/>
        </w:rPr>
        <w:t>exceptions to the proposed grounds of ineligibility</w:t>
      </w:r>
    </w:p>
    <w:p w14:paraId="4686D9F4" w14:textId="77777777" w:rsidR="00617FE6" w:rsidRPr="00121FBC" w:rsidRDefault="00617FE6" w:rsidP="00814D8E">
      <w:pPr>
        <w:pStyle w:val="Heading2"/>
        <w:spacing w:before="0" w:line="276" w:lineRule="auto"/>
        <w:contextualSpacing/>
        <w:rPr>
          <w:rFonts w:ascii="Arial" w:hAnsi="Arial" w:cs="Arial"/>
          <w:sz w:val="24"/>
          <w:szCs w:val="24"/>
        </w:rPr>
      </w:pPr>
    </w:p>
    <w:p w14:paraId="46793661" w14:textId="3FF8CABF" w:rsidR="00F6676A" w:rsidRPr="00734E28" w:rsidRDefault="00F6676A" w:rsidP="00814D8E">
      <w:pPr>
        <w:pStyle w:val="Heading2"/>
        <w:spacing w:before="0" w:line="276" w:lineRule="auto"/>
        <w:contextualSpacing/>
        <w:rPr>
          <w:rFonts w:ascii="Arial" w:hAnsi="Arial" w:cs="Arial"/>
          <w:b/>
          <w:bCs/>
          <w:color w:val="auto"/>
          <w:sz w:val="24"/>
          <w:szCs w:val="24"/>
          <w:u w:val="single"/>
        </w:rPr>
      </w:pPr>
      <w:bookmarkStart w:id="13" w:name="_Toc220920957"/>
      <w:r w:rsidRPr="00734E28">
        <w:rPr>
          <w:rFonts w:ascii="Arial" w:hAnsi="Arial" w:cs="Arial"/>
          <w:b/>
          <w:bCs/>
          <w:color w:val="auto"/>
          <w:sz w:val="24"/>
          <w:szCs w:val="24"/>
          <w:u w:val="single"/>
        </w:rPr>
        <w:t>Immigration detention</w:t>
      </w:r>
      <w:r w:rsidR="000F5FD0" w:rsidRPr="00734E28">
        <w:rPr>
          <w:rFonts w:ascii="Arial" w:hAnsi="Arial" w:cs="Arial"/>
          <w:b/>
          <w:bCs/>
          <w:color w:val="auto"/>
          <w:sz w:val="24"/>
          <w:szCs w:val="24"/>
          <w:u w:val="single"/>
        </w:rPr>
        <w:t>, data collection gaps and lack of independent civil oversight at CBSA</w:t>
      </w:r>
      <w:bookmarkEnd w:id="13"/>
    </w:p>
    <w:p w14:paraId="7AE5621D" w14:textId="77777777" w:rsidR="001C1F98" w:rsidRPr="00121FBC" w:rsidRDefault="001C1F98" w:rsidP="001C1F98">
      <w:pPr>
        <w:rPr>
          <w:rFonts w:ascii="Arial" w:hAnsi="Arial" w:cs="Arial"/>
        </w:rPr>
      </w:pPr>
    </w:p>
    <w:p w14:paraId="12E5F219" w14:textId="23600FF2" w:rsidR="007807D3" w:rsidRPr="00121FBC" w:rsidRDefault="007807D3" w:rsidP="00814D8E">
      <w:pPr>
        <w:pStyle w:val="Default"/>
        <w:numPr>
          <w:ilvl w:val="0"/>
          <w:numId w:val="10"/>
        </w:numPr>
        <w:spacing w:line="276" w:lineRule="auto"/>
        <w:contextualSpacing/>
        <w:rPr>
          <w:rFonts w:ascii="Arial" w:hAnsi="Arial" w:cs="Arial"/>
        </w:rPr>
      </w:pPr>
      <w:r w:rsidRPr="00121FBC">
        <w:rPr>
          <w:rFonts w:ascii="Arial" w:hAnsi="Arial" w:cs="Arial"/>
        </w:rPr>
        <w:t xml:space="preserve">Our Coalition advocates to </w:t>
      </w:r>
      <w:r w:rsidRPr="003E1A7E">
        <w:rPr>
          <w:rFonts w:ascii="Arial" w:hAnsi="Arial" w:cs="Arial"/>
        </w:rPr>
        <w:t>end</w:t>
      </w:r>
      <w:r w:rsidRPr="00121FBC">
        <w:rPr>
          <w:rFonts w:ascii="Arial" w:hAnsi="Arial" w:cs="Arial"/>
          <w:b/>
          <w:bCs/>
        </w:rPr>
        <w:t xml:space="preserve"> </w:t>
      </w:r>
      <w:r w:rsidRPr="00121FBC">
        <w:rPr>
          <w:rFonts w:ascii="Arial" w:hAnsi="Arial" w:cs="Arial"/>
        </w:rPr>
        <w:t xml:space="preserve">immigration detention in Canada. </w:t>
      </w:r>
      <w:r w:rsidR="008F4AA5" w:rsidRPr="00121FBC">
        <w:rPr>
          <w:rFonts w:ascii="Arial" w:hAnsi="Arial" w:cs="Arial"/>
          <w:lang w:val="en-CA"/>
        </w:rPr>
        <w:t xml:space="preserve">Canada continues to detain migrants who have not been charged or convicted of any crime and </w:t>
      </w:r>
      <w:r w:rsidRPr="00121FBC">
        <w:rPr>
          <w:rFonts w:ascii="Arial" w:hAnsi="Arial" w:cs="Arial"/>
          <w:lang w:val="en-CA"/>
        </w:rPr>
        <w:t>does not impose a time limit</w:t>
      </w:r>
      <w:r w:rsidR="008F4AA5" w:rsidRPr="00121FBC">
        <w:rPr>
          <w:rFonts w:ascii="Arial" w:hAnsi="Arial" w:cs="Arial"/>
          <w:lang w:val="en-CA"/>
        </w:rPr>
        <w:t xml:space="preserve"> on migration detention. </w:t>
      </w:r>
      <w:r w:rsidR="00D92CC7" w:rsidRPr="00121FBC">
        <w:rPr>
          <w:rFonts w:ascii="Arial" w:hAnsi="Arial" w:cs="Arial"/>
          <w:lang w:val="en-CA"/>
        </w:rPr>
        <w:t xml:space="preserve">There is no prohibition against detaining children and youth. </w:t>
      </w:r>
      <w:r w:rsidR="008F4AA5" w:rsidRPr="00121FBC">
        <w:rPr>
          <w:rFonts w:ascii="Arial" w:hAnsi="Arial" w:cs="Arial"/>
          <w:lang w:val="en-CA"/>
        </w:rPr>
        <w:t>There is no independent oversight of Canada Border Services Agency. These concerns were echoed recently by members of the UN Working Group on Arbitrary Detention following their country visit to Canada.</w:t>
      </w:r>
      <w:r w:rsidR="008F4AA5" w:rsidRPr="00121FBC">
        <w:rPr>
          <w:rStyle w:val="FootnoteReference"/>
          <w:rFonts w:ascii="Arial" w:hAnsi="Arial" w:cs="Arial"/>
          <w:lang w:val="en-CA"/>
        </w:rPr>
        <w:footnoteReference w:id="47"/>
      </w:r>
      <w:r w:rsidR="008F4AA5" w:rsidRPr="00121FBC">
        <w:rPr>
          <w:rFonts w:ascii="Arial" w:hAnsi="Arial" w:cs="Arial"/>
          <w:lang w:val="en-CA"/>
        </w:rPr>
        <w:t xml:space="preserve"> </w:t>
      </w:r>
    </w:p>
    <w:p w14:paraId="25297746" w14:textId="77777777" w:rsidR="00617FE6" w:rsidRPr="00121FBC" w:rsidRDefault="00617FE6" w:rsidP="00814D8E">
      <w:pPr>
        <w:pStyle w:val="Default"/>
        <w:spacing w:line="276" w:lineRule="auto"/>
        <w:ind w:left="460"/>
        <w:contextualSpacing/>
        <w:rPr>
          <w:rFonts w:ascii="Arial" w:hAnsi="Arial" w:cs="Arial"/>
        </w:rPr>
      </w:pPr>
    </w:p>
    <w:p w14:paraId="3E2EC4E2" w14:textId="73C77D06" w:rsidR="007807D3" w:rsidRPr="00121FBC" w:rsidRDefault="007807D3" w:rsidP="00814D8E">
      <w:pPr>
        <w:pStyle w:val="Default"/>
        <w:numPr>
          <w:ilvl w:val="0"/>
          <w:numId w:val="10"/>
        </w:numPr>
        <w:spacing w:line="276" w:lineRule="auto"/>
        <w:contextualSpacing/>
        <w:rPr>
          <w:rFonts w:ascii="Arial" w:hAnsi="Arial" w:cs="Arial"/>
        </w:rPr>
      </w:pPr>
      <w:r w:rsidRPr="00121FBC">
        <w:rPr>
          <w:rFonts w:ascii="Arial" w:hAnsi="Arial" w:cs="Arial"/>
        </w:rPr>
        <w:t xml:space="preserve">The Canada Border Services Agency (CBSA) does not publish detention statistics disaggregated based on race, ethnicity, or country of origin (another data gap not </w:t>
      </w:r>
      <w:r w:rsidR="003E1A7E">
        <w:rPr>
          <w:rFonts w:ascii="Arial" w:hAnsi="Arial" w:cs="Arial"/>
        </w:rPr>
        <w:t xml:space="preserve">presently </w:t>
      </w:r>
      <w:r w:rsidRPr="00121FBC">
        <w:rPr>
          <w:rFonts w:ascii="Arial" w:hAnsi="Arial" w:cs="Arial"/>
        </w:rPr>
        <w:t xml:space="preserve">addressed by the </w:t>
      </w:r>
      <w:r w:rsidR="008C6B96" w:rsidRPr="00121FBC">
        <w:rPr>
          <w:rFonts w:ascii="Arial" w:hAnsi="Arial" w:cs="Arial"/>
        </w:rPr>
        <w:t>Disaggregated</w:t>
      </w:r>
      <w:r w:rsidRPr="00121FBC">
        <w:rPr>
          <w:rFonts w:ascii="Arial" w:hAnsi="Arial" w:cs="Arial"/>
        </w:rPr>
        <w:t xml:space="preserve"> Data Action Plan). Anecdotal evidence suggests that long-term detainees are disproportionately racialized: because racialized undocumented migrants are more likely to be detained rather than receive a notice to appear for a hearing; because of difficulty obtaining identity </w:t>
      </w:r>
      <w:r w:rsidRPr="00121FBC">
        <w:rPr>
          <w:rFonts w:ascii="Arial" w:hAnsi="Arial" w:cs="Arial"/>
        </w:rPr>
        <w:lastRenderedPageBreak/>
        <w:t xml:space="preserve">documents from their countries of origin; and because of the lack of legal aid for detention reviews. </w:t>
      </w:r>
    </w:p>
    <w:p w14:paraId="7A3351C6" w14:textId="77777777" w:rsidR="00617FE6" w:rsidRPr="00121FBC" w:rsidRDefault="00617FE6" w:rsidP="00814D8E">
      <w:pPr>
        <w:pStyle w:val="Default"/>
        <w:spacing w:line="276" w:lineRule="auto"/>
        <w:ind w:left="460"/>
        <w:contextualSpacing/>
        <w:rPr>
          <w:rFonts w:ascii="Arial" w:hAnsi="Arial" w:cs="Arial"/>
        </w:rPr>
      </w:pPr>
    </w:p>
    <w:p w14:paraId="70D3444A" w14:textId="42D18049" w:rsidR="007807D3" w:rsidRPr="00121FBC" w:rsidRDefault="00E108AF" w:rsidP="00814D8E">
      <w:pPr>
        <w:pStyle w:val="Default"/>
        <w:numPr>
          <w:ilvl w:val="0"/>
          <w:numId w:val="10"/>
        </w:numPr>
        <w:spacing w:line="276" w:lineRule="auto"/>
        <w:contextualSpacing/>
        <w:rPr>
          <w:rFonts w:ascii="Arial" w:hAnsi="Arial" w:cs="Arial"/>
        </w:rPr>
      </w:pPr>
      <w:r w:rsidRPr="00121FBC">
        <w:rPr>
          <w:rFonts w:ascii="Arial" w:hAnsi="Arial" w:cs="Arial"/>
        </w:rPr>
        <w:t>Despite calls to change,</w:t>
      </w:r>
      <w:r w:rsidR="007807D3" w:rsidRPr="00121FBC">
        <w:rPr>
          <w:rFonts w:ascii="Arial" w:hAnsi="Arial" w:cs="Arial"/>
        </w:rPr>
        <w:t xml:space="preserve"> Canada still does not impose a maximum time limit on immigration detention.</w:t>
      </w:r>
      <w:r w:rsidR="000F5FD0" w:rsidRPr="00121FBC">
        <w:rPr>
          <w:rFonts w:ascii="Arial" w:hAnsi="Arial" w:cs="Arial"/>
        </w:rPr>
        <w:t xml:space="preserve"> There is still no bar against detaining children. </w:t>
      </w:r>
      <w:r w:rsidR="007807D3" w:rsidRPr="00121FBC">
        <w:rPr>
          <w:rFonts w:ascii="Arial" w:hAnsi="Arial" w:cs="Arial"/>
        </w:rPr>
        <w:t xml:space="preserve">This raises the spectre of indefinite detention based entirely on immigration grounds (such as likelihood of not appearing for future proceedings), and not for any reasons related to public safety. This means persons facing immigration removal from Canada can often be detained far longer and in worse conditions than many convicted criminals. </w:t>
      </w:r>
    </w:p>
    <w:p w14:paraId="11DECE5D" w14:textId="77777777" w:rsidR="00617FE6" w:rsidRPr="00121FBC" w:rsidRDefault="00617FE6" w:rsidP="00814D8E">
      <w:pPr>
        <w:pStyle w:val="Default"/>
        <w:spacing w:line="276" w:lineRule="auto"/>
        <w:ind w:left="460"/>
        <w:contextualSpacing/>
        <w:rPr>
          <w:rFonts w:ascii="Arial" w:hAnsi="Arial" w:cs="Arial"/>
        </w:rPr>
      </w:pPr>
    </w:p>
    <w:p w14:paraId="509F84B4" w14:textId="1DD5104B" w:rsidR="007807D3" w:rsidRPr="00121FBC" w:rsidRDefault="00D92CC7" w:rsidP="00814D8E">
      <w:pPr>
        <w:pStyle w:val="Default"/>
        <w:numPr>
          <w:ilvl w:val="0"/>
          <w:numId w:val="10"/>
        </w:numPr>
        <w:spacing w:line="276" w:lineRule="auto"/>
        <w:contextualSpacing/>
        <w:rPr>
          <w:rFonts w:ascii="Arial" w:hAnsi="Arial" w:cs="Arial"/>
        </w:rPr>
      </w:pPr>
      <w:r w:rsidRPr="00121FBC">
        <w:rPr>
          <w:rFonts w:ascii="Arial" w:hAnsi="Arial" w:cs="Arial"/>
        </w:rPr>
        <w:t>There continues to be no independent oversight mechanism for CBSA. The Public Complaints and Review Commission Act</w:t>
      </w:r>
      <w:r w:rsidR="00AD2DEB" w:rsidRPr="00121FBC">
        <w:rPr>
          <w:rStyle w:val="FootnoteReference"/>
          <w:rFonts w:ascii="Arial" w:hAnsi="Arial" w:cs="Arial"/>
        </w:rPr>
        <w:footnoteReference w:id="48"/>
      </w:r>
      <w:r w:rsidRPr="00121FBC">
        <w:rPr>
          <w:rFonts w:ascii="Arial" w:hAnsi="Arial" w:cs="Arial"/>
        </w:rPr>
        <w:t xml:space="preserve">, an </w:t>
      </w:r>
      <w:r w:rsidR="00A15875" w:rsidRPr="00121FBC">
        <w:rPr>
          <w:rFonts w:ascii="Arial" w:hAnsi="Arial" w:cs="Arial"/>
        </w:rPr>
        <w:t>Act that created the first ever arm’s length civilian oversight body for CBSA, received royal</w:t>
      </w:r>
      <w:r w:rsidR="00AD2DEB" w:rsidRPr="00121FBC">
        <w:rPr>
          <w:rFonts w:ascii="Arial" w:hAnsi="Arial" w:cs="Arial"/>
        </w:rPr>
        <w:t xml:space="preserve"> assent in October 2024</w:t>
      </w:r>
      <w:r w:rsidR="00AD2DEB" w:rsidRPr="00121FBC">
        <w:rPr>
          <w:rStyle w:val="FootnoteReference"/>
          <w:rFonts w:ascii="Arial" w:hAnsi="Arial" w:cs="Arial"/>
        </w:rPr>
        <w:footnoteReference w:id="49"/>
      </w:r>
      <w:r w:rsidR="00AD2DEB" w:rsidRPr="00121FBC">
        <w:rPr>
          <w:rFonts w:ascii="Arial" w:hAnsi="Arial" w:cs="Arial"/>
        </w:rPr>
        <w:t>. However, the Commission has yet to be established</w:t>
      </w:r>
      <w:r w:rsidR="00B85AAA" w:rsidRPr="00121FBC">
        <w:rPr>
          <w:rStyle w:val="FootnoteReference"/>
          <w:rFonts w:ascii="Arial" w:hAnsi="Arial" w:cs="Arial"/>
        </w:rPr>
        <w:footnoteReference w:id="50"/>
      </w:r>
      <w:r w:rsidR="00AD2DEB" w:rsidRPr="00121FBC">
        <w:rPr>
          <w:rFonts w:ascii="Arial" w:hAnsi="Arial" w:cs="Arial"/>
        </w:rPr>
        <w:t>. The need for oversight is</w:t>
      </w:r>
      <w:r w:rsidR="00A15875" w:rsidRPr="00121FBC">
        <w:rPr>
          <w:rFonts w:ascii="Arial" w:hAnsi="Arial" w:cs="Arial"/>
        </w:rPr>
        <w:t xml:space="preserve"> especially imperative</w:t>
      </w:r>
      <w:r w:rsidR="00AD2DEB" w:rsidRPr="00121FBC">
        <w:rPr>
          <w:rFonts w:ascii="Arial" w:hAnsi="Arial" w:cs="Arial"/>
        </w:rPr>
        <w:t xml:space="preserve"> </w:t>
      </w:r>
      <w:r w:rsidR="00A15875" w:rsidRPr="00121FBC">
        <w:rPr>
          <w:rFonts w:ascii="Arial" w:hAnsi="Arial" w:cs="Arial"/>
        </w:rPr>
        <w:t>as the federal legislature moves to pass legislation that would expand the authority of the CBSA</w:t>
      </w:r>
      <w:r w:rsidR="009C04FB" w:rsidRPr="00121FBC">
        <w:rPr>
          <w:rFonts w:ascii="Arial" w:hAnsi="Arial" w:cs="Arial"/>
        </w:rPr>
        <w:t>.</w:t>
      </w:r>
    </w:p>
    <w:p w14:paraId="58B331E4" w14:textId="77777777" w:rsidR="00617FE6" w:rsidRPr="00121FBC" w:rsidRDefault="00617FE6" w:rsidP="00814D8E">
      <w:pPr>
        <w:pStyle w:val="ListParagraph"/>
        <w:adjustRightInd w:val="0"/>
        <w:spacing w:line="276" w:lineRule="auto"/>
        <w:ind w:firstLine="0"/>
        <w:contextualSpacing/>
        <w:jc w:val="both"/>
        <w:rPr>
          <w:rFonts w:ascii="Arial" w:hAnsi="Arial" w:cs="Arial"/>
          <w:b/>
          <w:bCs/>
          <w:sz w:val="24"/>
          <w:szCs w:val="24"/>
          <w:lang w:val="en-CA"/>
        </w:rPr>
      </w:pPr>
    </w:p>
    <w:p w14:paraId="34E5F8DB" w14:textId="2B9F7358" w:rsidR="007807D3" w:rsidRPr="00121FBC" w:rsidRDefault="009C04FB" w:rsidP="00814D8E">
      <w:pPr>
        <w:pStyle w:val="ListParagraph"/>
        <w:numPr>
          <w:ilvl w:val="0"/>
          <w:numId w:val="10"/>
        </w:numPr>
        <w:adjustRightInd w:val="0"/>
        <w:spacing w:line="276" w:lineRule="auto"/>
        <w:contextualSpacing/>
        <w:jc w:val="both"/>
        <w:rPr>
          <w:rFonts w:ascii="Arial" w:hAnsi="Arial" w:cs="Arial"/>
          <w:b/>
          <w:bCs/>
          <w:sz w:val="24"/>
          <w:szCs w:val="24"/>
          <w:lang w:val="en-CA"/>
        </w:rPr>
      </w:pPr>
      <w:r w:rsidRPr="00121FBC">
        <w:rPr>
          <w:rFonts w:ascii="Arial" w:hAnsi="Arial" w:cs="Arial"/>
          <w:sz w:val="24"/>
          <w:szCs w:val="24"/>
          <w:lang w:val="en-CA"/>
        </w:rPr>
        <w:t>The UN</w:t>
      </w:r>
      <w:r w:rsidR="00AD5434" w:rsidRPr="00121FBC">
        <w:rPr>
          <w:rFonts w:ascii="Arial" w:hAnsi="Arial" w:cs="Arial"/>
          <w:sz w:val="24"/>
          <w:szCs w:val="24"/>
          <w:lang w:val="en-CA"/>
        </w:rPr>
        <w:t xml:space="preserve"> Human Rights Council</w:t>
      </w:r>
      <w:r w:rsidRPr="00121FBC">
        <w:rPr>
          <w:rFonts w:ascii="Arial" w:hAnsi="Arial" w:cs="Arial"/>
          <w:sz w:val="24"/>
          <w:szCs w:val="24"/>
          <w:lang w:val="en-CA"/>
        </w:rPr>
        <w:t xml:space="preserve"> Working Group on Arbitrary Detention made a country visit to Canada in 2024. Their report, released in August 2025</w:t>
      </w:r>
      <w:r w:rsidR="00AD5434" w:rsidRPr="00121FBC">
        <w:rPr>
          <w:rStyle w:val="FootnoteReference"/>
          <w:rFonts w:ascii="Arial" w:hAnsi="Arial" w:cs="Arial"/>
          <w:sz w:val="24"/>
          <w:szCs w:val="24"/>
          <w:lang w:val="en-CA"/>
        </w:rPr>
        <w:footnoteReference w:id="51"/>
      </w:r>
      <w:r w:rsidRPr="00121FBC">
        <w:rPr>
          <w:rFonts w:ascii="Arial" w:hAnsi="Arial" w:cs="Arial"/>
          <w:sz w:val="24"/>
          <w:szCs w:val="24"/>
          <w:lang w:val="en-CA"/>
        </w:rPr>
        <w:t xml:space="preserve">, made </w:t>
      </w:r>
      <w:r w:rsidR="008E5639" w:rsidRPr="00121FBC">
        <w:rPr>
          <w:rFonts w:ascii="Arial" w:hAnsi="Arial" w:cs="Arial"/>
          <w:sz w:val="24"/>
          <w:szCs w:val="24"/>
          <w:lang w:val="en-CA"/>
        </w:rPr>
        <w:t>several</w:t>
      </w:r>
      <w:r w:rsidRPr="00121FBC">
        <w:rPr>
          <w:rFonts w:ascii="Arial" w:hAnsi="Arial" w:cs="Arial"/>
          <w:sz w:val="24"/>
          <w:szCs w:val="24"/>
          <w:lang w:val="en-CA"/>
        </w:rPr>
        <w:t xml:space="preserve"> recommendations</w:t>
      </w:r>
      <w:r w:rsidR="00AD5434" w:rsidRPr="00121FBC">
        <w:rPr>
          <w:rStyle w:val="FootnoteReference"/>
          <w:rFonts w:ascii="Arial" w:hAnsi="Arial" w:cs="Arial"/>
          <w:sz w:val="24"/>
          <w:szCs w:val="24"/>
          <w:lang w:val="en-CA"/>
        </w:rPr>
        <w:footnoteReference w:id="52"/>
      </w:r>
      <w:r w:rsidRPr="00121FBC">
        <w:rPr>
          <w:rFonts w:ascii="Arial" w:hAnsi="Arial" w:cs="Arial"/>
          <w:sz w:val="24"/>
          <w:szCs w:val="24"/>
          <w:lang w:val="en-CA"/>
        </w:rPr>
        <w:t xml:space="preserve"> in the context of migration detention</w:t>
      </w:r>
      <w:r w:rsidR="008E5639" w:rsidRPr="00121FBC">
        <w:rPr>
          <w:rFonts w:ascii="Arial" w:hAnsi="Arial" w:cs="Arial"/>
          <w:sz w:val="24"/>
          <w:szCs w:val="24"/>
          <w:lang w:val="en-CA"/>
        </w:rPr>
        <w:t xml:space="preserve">. </w:t>
      </w:r>
      <w:r w:rsidR="008E5639" w:rsidRPr="00121FBC">
        <w:rPr>
          <w:rFonts w:ascii="Arial" w:hAnsi="Arial" w:cs="Arial"/>
          <w:b/>
          <w:bCs/>
          <w:sz w:val="24"/>
          <w:szCs w:val="24"/>
          <w:lang w:val="en-CA"/>
        </w:rPr>
        <w:t xml:space="preserve">We concur with the recommendations of the </w:t>
      </w:r>
      <w:r w:rsidR="009B0595" w:rsidRPr="00121FBC">
        <w:rPr>
          <w:rFonts w:ascii="Arial" w:hAnsi="Arial" w:cs="Arial"/>
          <w:b/>
          <w:bCs/>
          <w:sz w:val="24"/>
          <w:szCs w:val="24"/>
          <w:lang w:val="en-CA"/>
        </w:rPr>
        <w:t xml:space="preserve">UN </w:t>
      </w:r>
      <w:r w:rsidR="008E5639" w:rsidRPr="00121FBC">
        <w:rPr>
          <w:rFonts w:ascii="Arial" w:hAnsi="Arial" w:cs="Arial"/>
          <w:b/>
          <w:bCs/>
          <w:sz w:val="24"/>
          <w:szCs w:val="24"/>
          <w:lang w:val="en-CA"/>
        </w:rPr>
        <w:t>Working Group</w:t>
      </w:r>
      <w:r w:rsidR="00AD5434" w:rsidRPr="00121FBC">
        <w:rPr>
          <w:rFonts w:ascii="Arial" w:hAnsi="Arial" w:cs="Arial"/>
          <w:b/>
          <w:bCs/>
          <w:sz w:val="24"/>
          <w:szCs w:val="24"/>
          <w:lang w:val="en-CA"/>
        </w:rPr>
        <w:t xml:space="preserve"> and ask that this Committee does the same. </w:t>
      </w:r>
      <w:r w:rsidR="008E5639" w:rsidRPr="00121FBC">
        <w:rPr>
          <w:rFonts w:ascii="Arial" w:hAnsi="Arial" w:cs="Arial"/>
          <w:b/>
          <w:bCs/>
          <w:sz w:val="24"/>
          <w:szCs w:val="24"/>
          <w:lang w:val="en-CA"/>
        </w:rPr>
        <w:t>The</w:t>
      </w:r>
      <w:r w:rsidR="00AD5434" w:rsidRPr="00121FBC">
        <w:rPr>
          <w:rFonts w:ascii="Arial" w:hAnsi="Arial" w:cs="Arial"/>
          <w:b/>
          <w:bCs/>
          <w:sz w:val="24"/>
          <w:szCs w:val="24"/>
          <w:lang w:val="en-CA"/>
        </w:rPr>
        <w:t xml:space="preserve"> recommendations are</w:t>
      </w:r>
      <w:r w:rsidR="008E5639" w:rsidRPr="00121FBC">
        <w:rPr>
          <w:rFonts w:ascii="Arial" w:hAnsi="Arial" w:cs="Arial"/>
          <w:b/>
          <w:bCs/>
          <w:sz w:val="24"/>
          <w:szCs w:val="24"/>
          <w:lang w:val="en-CA"/>
        </w:rPr>
        <w:t xml:space="preserve"> excerpted below:</w:t>
      </w:r>
    </w:p>
    <w:p w14:paraId="5BA2E8F8" w14:textId="77777777"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Ensure that detention during migration is used on an exceptional basis, for the shortest time possible, and only for a legitimate purpose;</w:t>
      </w:r>
    </w:p>
    <w:p w14:paraId="7171230D" w14:textId="01352320" w:rsidR="008E5639"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Promptly enact legislation to specify a maximum duration for migration-related detention and release any individual held for migration-related reasons beyond that period;</w:t>
      </w:r>
    </w:p>
    <w:p w14:paraId="7E7CD849" w14:textId="77777777"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Take all measures necessary to put an immediate end to the administrative detention of migrant children;</w:t>
      </w:r>
    </w:p>
    <w:p w14:paraId="16826D38" w14:textId="3B0F1516"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Immediately remedy the unsatisfactory prison-like detention conditions in immigration holding centres, in accordance with international norms and standards;</w:t>
      </w:r>
    </w:p>
    <w:p w14:paraId="24A4CB32" w14:textId="24D47F46"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Put an end to the practice of using criminal justice facilities for migration </w:t>
      </w:r>
      <w:r w:rsidRPr="00121FBC">
        <w:rPr>
          <w:rFonts w:ascii="Arial" w:hAnsi="Arial" w:cs="Arial"/>
          <w:sz w:val="24"/>
          <w:szCs w:val="24"/>
          <w:lang w:val="en-CA"/>
        </w:rPr>
        <w:lastRenderedPageBreak/>
        <w:t>detention;</w:t>
      </w:r>
    </w:p>
    <w:p w14:paraId="61140C70" w14:textId="574A8983"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Ensure the provision of legal representation and access to legal aid for migrants, and guarantee access to justice and procedural safeguards for migrants with psychosocial disabilities during administrative proceedings;</w:t>
      </w:r>
    </w:p>
    <w:p w14:paraId="52B8F932" w14:textId="7A3BECF4" w:rsidR="00AD5434" w:rsidRPr="00121FBC" w:rsidRDefault="00AD5434"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sz w:val="24"/>
          <w:szCs w:val="24"/>
          <w:lang w:val="en-CA"/>
        </w:rPr>
        <w:t>Establish an independent oversight body to monitor and review the detention-related practices of the Canada Border Services Agency.</w:t>
      </w:r>
    </w:p>
    <w:p w14:paraId="608FB088" w14:textId="77777777" w:rsidR="00FC297D" w:rsidRPr="00121FBC" w:rsidRDefault="00FC297D" w:rsidP="00814D8E">
      <w:pPr>
        <w:pStyle w:val="ListParagraph"/>
        <w:adjustRightInd w:val="0"/>
        <w:spacing w:line="276" w:lineRule="auto"/>
        <w:ind w:left="885" w:firstLine="0"/>
        <w:contextualSpacing/>
        <w:jc w:val="both"/>
        <w:rPr>
          <w:rFonts w:ascii="Arial" w:hAnsi="Arial" w:cs="Arial"/>
          <w:sz w:val="24"/>
          <w:szCs w:val="24"/>
          <w:lang w:val="en-CA"/>
        </w:rPr>
      </w:pPr>
    </w:p>
    <w:p w14:paraId="5CDD1187" w14:textId="228286E5" w:rsidR="009C04FB" w:rsidRPr="00121FBC" w:rsidRDefault="00FC297D" w:rsidP="00814D8E">
      <w:pPr>
        <w:pStyle w:val="ListParagraph"/>
        <w:numPr>
          <w:ilvl w:val="0"/>
          <w:numId w:val="10"/>
        </w:numPr>
        <w:adjustRightInd w:val="0"/>
        <w:spacing w:line="276" w:lineRule="auto"/>
        <w:contextualSpacing/>
        <w:jc w:val="both"/>
        <w:rPr>
          <w:rFonts w:ascii="Arial" w:hAnsi="Arial" w:cs="Arial"/>
          <w:b/>
          <w:bCs/>
          <w:sz w:val="24"/>
          <w:szCs w:val="24"/>
          <w:lang w:val="en-CA"/>
        </w:rPr>
      </w:pPr>
      <w:r w:rsidRPr="00121FBC">
        <w:rPr>
          <w:rFonts w:ascii="Arial" w:hAnsi="Arial" w:cs="Arial"/>
          <w:b/>
          <w:bCs/>
          <w:sz w:val="24"/>
          <w:szCs w:val="24"/>
          <w:lang w:val="en-CA"/>
        </w:rPr>
        <w:t xml:space="preserve">Recommendations: </w:t>
      </w:r>
      <w:r w:rsidR="00644EDE" w:rsidRPr="00121FBC">
        <w:rPr>
          <w:rFonts w:ascii="Arial" w:hAnsi="Arial" w:cs="Arial"/>
          <w:b/>
          <w:bCs/>
          <w:sz w:val="24"/>
          <w:szCs w:val="24"/>
          <w:lang w:val="en-CA"/>
        </w:rPr>
        <w:t>We also recommend the Committee ask Canada to:</w:t>
      </w:r>
    </w:p>
    <w:p w14:paraId="514C31E5" w14:textId="5DD3093D" w:rsidR="008B5611" w:rsidRPr="00121FBC" w:rsidRDefault="008B5611" w:rsidP="00814D8E">
      <w:pPr>
        <w:pStyle w:val="ListParagraph"/>
        <w:numPr>
          <w:ilvl w:val="1"/>
          <w:numId w:val="8"/>
        </w:numPr>
        <w:adjustRightInd w:val="0"/>
        <w:spacing w:line="276" w:lineRule="auto"/>
        <w:contextualSpacing/>
        <w:jc w:val="both"/>
        <w:rPr>
          <w:rFonts w:ascii="Arial" w:hAnsi="Arial" w:cs="Arial"/>
          <w:b/>
          <w:bCs/>
          <w:sz w:val="24"/>
          <w:szCs w:val="24"/>
          <w:lang w:val="en-CA"/>
        </w:rPr>
      </w:pPr>
      <w:r w:rsidRPr="00121FBC">
        <w:rPr>
          <w:rFonts w:ascii="Arial" w:hAnsi="Arial" w:cs="Arial"/>
          <w:b/>
          <w:bCs/>
          <w:sz w:val="24"/>
          <w:szCs w:val="24"/>
          <w:lang w:val="en-CA"/>
        </w:rPr>
        <w:t xml:space="preserve">Implement the </w:t>
      </w:r>
      <w:r w:rsidRPr="00121FBC">
        <w:rPr>
          <w:rFonts w:ascii="Arial" w:hAnsi="Arial" w:cs="Arial"/>
          <w:b/>
          <w:bCs/>
          <w:i/>
          <w:iCs/>
          <w:sz w:val="24"/>
          <w:szCs w:val="24"/>
          <w:lang w:val="en-CA"/>
        </w:rPr>
        <w:t>Public Complaints and Review Commission Act, 2024</w:t>
      </w:r>
      <w:r w:rsidRPr="00121FBC">
        <w:rPr>
          <w:rFonts w:ascii="Arial" w:hAnsi="Arial" w:cs="Arial"/>
          <w:b/>
          <w:bCs/>
          <w:sz w:val="24"/>
          <w:szCs w:val="24"/>
          <w:lang w:val="en-CA"/>
        </w:rPr>
        <w:t xml:space="preserve"> without delay</w:t>
      </w:r>
    </w:p>
    <w:p w14:paraId="4FEA77FD" w14:textId="70E8A057" w:rsidR="00F6676A" w:rsidRPr="00121FBC" w:rsidRDefault="00644EDE" w:rsidP="00814D8E">
      <w:pPr>
        <w:pStyle w:val="ListParagraph"/>
        <w:numPr>
          <w:ilvl w:val="1"/>
          <w:numId w:val="8"/>
        </w:numPr>
        <w:adjustRightInd w:val="0"/>
        <w:spacing w:line="276" w:lineRule="auto"/>
        <w:contextualSpacing/>
        <w:jc w:val="both"/>
        <w:rPr>
          <w:rFonts w:ascii="Arial" w:hAnsi="Arial" w:cs="Arial"/>
          <w:sz w:val="24"/>
          <w:szCs w:val="24"/>
          <w:lang w:val="en-CA"/>
        </w:rPr>
      </w:pPr>
      <w:r w:rsidRPr="00121FBC">
        <w:rPr>
          <w:rFonts w:ascii="Arial" w:hAnsi="Arial" w:cs="Arial"/>
          <w:b/>
          <w:bCs/>
          <w:sz w:val="24"/>
          <w:szCs w:val="24"/>
          <w:lang w:val="en-CA"/>
        </w:rPr>
        <w:t>Collect and publish data disaggregated by ethno-rac</w:t>
      </w:r>
      <w:r w:rsidR="008B5611" w:rsidRPr="00121FBC">
        <w:rPr>
          <w:rFonts w:ascii="Arial" w:hAnsi="Arial" w:cs="Arial"/>
          <w:b/>
          <w:bCs/>
          <w:sz w:val="24"/>
          <w:szCs w:val="24"/>
          <w:lang w:val="en-CA"/>
        </w:rPr>
        <w:t>ial</w:t>
      </w:r>
      <w:r w:rsidRPr="00121FBC">
        <w:rPr>
          <w:rFonts w:ascii="Arial" w:hAnsi="Arial" w:cs="Arial"/>
          <w:b/>
          <w:bCs/>
          <w:sz w:val="24"/>
          <w:szCs w:val="24"/>
          <w:lang w:val="en-CA"/>
        </w:rPr>
        <w:t xml:space="preserve"> background</w:t>
      </w:r>
      <w:r w:rsidR="008B5611" w:rsidRPr="00121FBC">
        <w:rPr>
          <w:rFonts w:ascii="Arial" w:hAnsi="Arial" w:cs="Arial"/>
          <w:b/>
          <w:bCs/>
          <w:sz w:val="24"/>
          <w:szCs w:val="24"/>
          <w:lang w:val="en-CA"/>
        </w:rPr>
        <w:t>, gender</w:t>
      </w:r>
      <w:r w:rsidR="00C518EF" w:rsidRPr="00121FBC">
        <w:rPr>
          <w:rFonts w:ascii="Arial" w:hAnsi="Arial" w:cs="Arial"/>
          <w:b/>
          <w:bCs/>
          <w:sz w:val="24"/>
          <w:szCs w:val="24"/>
          <w:lang w:val="en-CA"/>
        </w:rPr>
        <w:t xml:space="preserve"> and country of origin with respect to all aspects of </w:t>
      </w:r>
      <w:r w:rsidR="008B5611" w:rsidRPr="00121FBC">
        <w:rPr>
          <w:rFonts w:ascii="Arial" w:hAnsi="Arial" w:cs="Arial"/>
          <w:b/>
          <w:bCs/>
          <w:sz w:val="24"/>
          <w:szCs w:val="24"/>
          <w:lang w:val="en-CA"/>
        </w:rPr>
        <w:t xml:space="preserve">immigration </w:t>
      </w:r>
      <w:r w:rsidR="00C518EF" w:rsidRPr="00121FBC">
        <w:rPr>
          <w:rFonts w:ascii="Arial" w:hAnsi="Arial" w:cs="Arial"/>
          <w:b/>
          <w:bCs/>
          <w:sz w:val="24"/>
          <w:szCs w:val="24"/>
          <w:lang w:val="en-CA"/>
        </w:rPr>
        <w:t>detention (including data regarding reasons for detention and length of detention).</w:t>
      </w:r>
      <w:r w:rsidR="00C518EF" w:rsidRPr="00121FBC">
        <w:rPr>
          <w:rFonts w:ascii="Arial" w:hAnsi="Arial" w:cs="Arial"/>
          <w:sz w:val="24"/>
          <w:szCs w:val="24"/>
          <w:lang w:val="en-CA"/>
        </w:rPr>
        <w:t xml:space="preserve"> </w:t>
      </w:r>
    </w:p>
    <w:p w14:paraId="275C1D39" w14:textId="4CB1C19C" w:rsidR="00653233" w:rsidRPr="00121FBC" w:rsidRDefault="00653233" w:rsidP="00814D8E">
      <w:pPr>
        <w:adjustRightInd w:val="0"/>
        <w:spacing w:line="276" w:lineRule="auto"/>
        <w:contextualSpacing/>
        <w:jc w:val="both"/>
        <w:rPr>
          <w:rFonts w:ascii="Arial" w:hAnsi="Arial" w:cs="Arial"/>
          <w:lang w:val="en-CA"/>
        </w:rPr>
      </w:pPr>
    </w:p>
    <w:p w14:paraId="49C23076" w14:textId="77777777" w:rsidR="00653233" w:rsidRPr="00734E28" w:rsidRDefault="00653233" w:rsidP="00814D8E">
      <w:pPr>
        <w:spacing w:line="276" w:lineRule="auto"/>
        <w:contextualSpacing/>
        <w:rPr>
          <w:rStyle w:val="Heading2Char"/>
          <w:rFonts w:ascii="Arial" w:hAnsi="Arial" w:cs="Arial"/>
          <w:b/>
          <w:bCs/>
          <w:sz w:val="24"/>
          <w:szCs w:val="24"/>
          <w:u w:val="single"/>
        </w:rPr>
      </w:pPr>
      <w:bookmarkStart w:id="14" w:name="_Toc220920958"/>
      <w:r w:rsidRPr="00734E28">
        <w:rPr>
          <w:rStyle w:val="Heading2Char"/>
          <w:rFonts w:ascii="Arial" w:hAnsi="Arial" w:cs="Arial"/>
          <w:b/>
          <w:bCs/>
          <w:color w:val="auto"/>
          <w:sz w:val="24"/>
          <w:szCs w:val="24"/>
          <w:u w:val="single"/>
        </w:rPr>
        <w:t>Canada Child Benefit – eligibility tied to immigration status</w:t>
      </w:r>
      <w:bookmarkEnd w:id="14"/>
    </w:p>
    <w:p w14:paraId="39C9F197" w14:textId="77777777" w:rsidR="00653233" w:rsidRPr="00121FBC" w:rsidRDefault="00653233" w:rsidP="00814D8E">
      <w:pPr>
        <w:spacing w:line="276" w:lineRule="auto"/>
        <w:contextualSpacing/>
        <w:rPr>
          <w:rStyle w:val="Heading2Char"/>
          <w:rFonts w:ascii="Arial" w:hAnsi="Arial" w:cs="Arial"/>
          <w:sz w:val="24"/>
          <w:szCs w:val="24"/>
        </w:rPr>
      </w:pPr>
    </w:p>
    <w:p w14:paraId="1345F5B7" w14:textId="77777777" w:rsidR="00653233" w:rsidRPr="00121FBC" w:rsidRDefault="00653233"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After a temporary improvement during the course of the Covid-19 pandemic due to increased government assistance, in 2022 people in female-led one-parent families were almost four times more likely (23.8%) to live below the poverty line than people in couple families with children (6.3%).</w:t>
      </w:r>
      <w:r w:rsidRPr="00121FBC">
        <w:rPr>
          <w:rStyle w:val="FootnoteReference"/>
          <w:rFonts w:ascii="Arial" w:hAnsi="Arial" w:cs="Arial"/>
          <w:sz w:val="24"/>
          <w:szCs w:val="24"/>
          <w:lang w:val="en-CA"/>
        </w:rPr>
        <w:footnoteReference w:id="53"/>
      </w:r>
      <w:r w:rsidRPr="00121FBC">
        <w:rPr>
          <w:rFonts w:ascii="Arial" w:hAnsi="Arial" w:cs="Arial"/>
          <w:sz w:val="24"/>
          <w:szCs w:val="24"/>
          <w:lang w:val="en-CA"/>
        </w:rPr>
        <w:t xml:space="preserve"> While the Canada Child Benefit (CCB), a program intended to keep children out of poverty, has made a considerable difference in the lives of single mothers and children, the rates of poverty remained higher than the national average for First Nations children living on reserve (37.4 per cent), First Nations children living off-reserve (24 per cent), Inuit children (19.4 per cent), Métis children (15.2 per cent), Black children (18.6 percent) and other racialized children (15.1 per cent) in 2020</w:t>
      </w:r>
      <w:r w:rsidRPr="00121FBC">
        <w:rPr>
          <w:rStyle w:val="FootnoteReference"/>
          <w:rFonts w:ascii="Arial" w:hAnsi="Arial" w:cs="Arial"/>
          <w:sz w:val="24"/>
          <w:szCs w:val="24"/>
          <w:lang w:val="en-CA"/>
        </w:rPr>
        <w:footnoteReference w:id="54"/>
      </w:r>
      <w:r w:rsidRPr="00121FBC">
        <w:rPr>
          <w:rFonts w:ascii="Arial" w:hAnsi="Arial" w:cs="Arial"/>
          <w:sz w:val="24"/>
          <w:szCs w:val="24"/>
          <w:lang w:val="en-CA"/>
        </w:rPr>
        <w:t xml:space="preserve">. </w:t>
      </w:r>
    </w:p>
    <w:p w14:paraId="571D4FEC" w14:textId="77777777" w:rsidR="00617FE6" w:rsidRPr="00121FBC" w:rsidRDefault="00617FE6" w:rsidP="00814D8E">
      <w:pPr>
        <w:pStyle w:val="ListParagraph"/>
        <w:tabs>
          <w:tab w:val="left" w:pos="460"/>
        </w:tabs>
        <w:spacing w:line="276" w:lineRule="auto"/>
        <w:ind w:firstLine="0"/>
        <w:contextualSpacing/>
        <w:jc w:val="both"/>
        <w:rPr>
          <w:rFonts w:ascii="Arial" w:hAnsi="Arial" w:cs="Arial"/>
          <w:sz w:val="24"/>
          <w:szCs w:val="24"/>
          <w:lang w:val="en-CA"/>
        </w:rPr>
      </w:pPr>
    </w:p>
    <w:p w14:paraId="7DF0285F" w14:textId="77777777" w:rsidR="00653233" w:rsidRPr="00121FBC" w:rsidRDefault="00653233" w:rsidP="00814D8E">
      <w:pPr>
        <w:pStyle w:val="ListParagraph"/>
        <w:numPr>
          <w:ilvl w:val="0"/>
          <w:numId w:val="10"/>
        </w:numPr>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Eligibility for the CCB program is based on the immigration status of parents/caregivers, among other criteria, and the program continues to exclude people with precarious or no immigration status, which means children, including Canadian-born children, remain affected. This eligibility criterion disproportionately affects racialized women with irregular immigration status even if they have children who are born in Canada. </w:t>
      </w:r>
    </w:p>
    <w:p w14:paraId="77035067" w14:textId="77777777" w:rsidR="00617FE6" w:rsidRPr="00121FBC" w:rsidRDefault="00617FE6" w:rsidP="00814D8E">
      <w:pPr>
        <w:pStyle w:val="ListParagraph"/>
        <w:spacing w:line="276" w:lineRule="auto"/>
        <w:rPr>
          <w:rFonts w:ascii="Arial" w:hAnsi="Arial" w:cs="Arial"/>
          <w:sz w:val="24"/>
          <w:szCs w:val="24"/>
          <w:lang w:val="en-CA"/>
        </w:rPr>
      </w:pPr>
    </w:p>
    <w:p w14:paraId="0149BBE0" w14:textId="77777777" w:rsidR="00653233" w:rsidRPr="00121FBC" w:rsidRDefault="00653233" w:rsidP="00814D8E">
      <w:pPr>
        <w:pStyle w:val="ListParagraph"/>
        <w:numPr>
          <w:ilvl w:val="0"/>
          <w:numId w:val="10"/>
        </w:numPr>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People who are non-status or on an irregular immigration pathway are particularly vulnerable as they are more likely to be low income, under-employed or living in poverty while having fewer connections and resources in Canada that they can rely </w:t>
      </w:r>
      <w:r w:rsidRPr="00121FBC">
        <w:rPr>
          <w:rFonts w:ascii="Arial" w:hAnsi="Arial" w:cs="Arial"/>
          <w:sz w:val="24"/>
          <w:szCs w:val="24"/>
          <w:lang w:val="en-CA"/>
        </w:rPr>
        <w:lastRenderedPageBreak/>
        <w:t xml:space="preserve">on. Thus, the CCB would be particularly helpful to racialized women without status and who are struggling to provide for their children while residing in Canada, given that they tend be more likely to live in poverty and are not eligible to receive any income supports nor access to any social and economic support programs. </w:t>
      </w:r>
    </w:p>
    <w:p w14:paraId="535B7F6B" w14:textId="77777777" w:rsidR="00617FE6" w:rsidRPr="00121FBC" w:rsidRDefault="00617FE6" w:rsidP="00814D8E">
      <w:pPr>
        <w:pStyle w:val="ListParagraph"/>
        <w:tabs>
          <w:tab w:val="left" w:pos="460"/>
        </w:tabs>
        <w:spacing w:line="276" w:lineRule="auto"/>
        <w:ind w:firstLine="0"/>
        <w:contextualSpacing/>
        <w:jc w:val="both"/>
        <w:rPr>
          <w:rFonts w:ascii="Arial" w:hAnsi="Arial" w:cs="Arial"/>
          <w:sz w:val="24"/>
          <w:szCs w:val="24"/>
          <w:lang w:val="en-CA"/>
        </w:rPr>
      </w:pPr>
    </w:p>
    <w:p w14:paraId="04B9417E" w14:textId="57D9A353" w:rsidR="00653233" w:rsidRPr="00121FBC" w:rsidRDefault="00653233" w:rsidP="00814D8E">
      <w:pPr>
        <w:pStyle w:val="ListParagraph"/>
        <w:numPr>
          <w:ilvl w:val="0"/>
          <w:numId w:val="10"/>
        </w:numPr>
        <w:tabs>
          <w:tab w:val="left" w:pos="460"/>
        </w:tabs>
        <w:spacing w:line="276" w:lineRule="auto"/>
        <w:contextualSpacing/>
        <w:jc w:val="both"/>
        <w:rPr>
          <w:rFonts w:ascii="Arial" w:hAnsi="Arial" w:cs="Arial"/>
          <w:sz w:val="24"/>
          <w:szCs w:val="24"/>
          <w:lang w:val="en-CA"/>
        </w:rPr>
      </w:pPr>
      <w:r w:rsidRPr="00121FBC">
        <w:rPr>
          <w:rFonts w:ascii="Arial" w:hAnsi="Arial" w:cs="Arial"/>
          <w:sz w:val="24"/>
          <w:szCs w:val="24"/>
          <w:lang w:val="en-CA"/>
        </w:rPr>
        <w:t xml:space="preserve">There may also be a multitude of reasons why women with irregular immigration status remain in Canada including having left situations of violence, migrant workers who have been let go from employment, or those waiting for permanent residence based on a refugee claim or an application on humanitarian and compassionate grounds.  Often, women without status, but who have lived in Canada for an extended period, are paying taxes despite the fact that they cannot benefit from the various tax benefits and credits such as the CCB. If the goal of the CCB is to eradicate child poverty in Canada, it should be made available to all families who are residing in Canada regardless of their immigration status. Given the ethno-racial demographics of these cohorts, the current eligibility requirements of the CCB disproportionately discriminates against racialized immigrant women and children.   </w:t>
      </w:r>
    </w:p>
    <w:p w14:paraId="0096BC1F" w14:textId="77777777" w:rsidR="00617FE6" w:rsidRPr="00121FBC" w:rsidRDefault="00617FE6" w:rsidP="00814D8E">
      <w:pPr>
        <w:pStyle w:val="ListParagraph"/>
        <w:spacing w:line="276" w:lineRule="auto"/>
        <w:rPr>
          <w:rFonts w:ascii="Arial" w:hAnsi="Arial" w:cs="Arial"/>
          <w:sz w:val="24"/>
          <w:szCs w:val="24"/>
          <w:lang w:val="en-CA"/>
        </w:rPr>
      </w:pPr>
    </w:p>
    <w:p w14:paraId="1E3B88A3" w14:textId="0DA3CAC2" w:rsidR="00653233" w:rsidRPr="00121FBC" w:rsidRDefault="00FC297D" w:rsidP="00814D8E">
      <w:pPr>
        <w:pStyle w:val="ListParagraph"/>
        <w:numPr>
          <w:ilvl w:val="0"/>
          <w:numId w:val="10"/>
        </w:numPr>
        <w:tabs>
          <w:tab w:val="left" w:pos="460"/>
        </w:tabs>
        <w:spacing w:line="276" w:lineRule="auto"/>
        <w:ind w:right="162"/>
        <w:contextualSpacing/>
        <w:jc w:val="both"/>
        <w:rPr>
          <w:rFonts w:ascii="Arial" w:hAnsi="Arial" w:cs="Arial"/>
          <w:b/>
          <w:sz w:val="24"/>
          <w:szCs w:val="24"/>
          <w:lang w:val="en-CA"/>
        </w:rPr>
      </w:pPr>
      <w:r w:rsidRPr="00121FBC">
        <w:rPr>
          <w:rFonts w:ascii="Arial" w:hAnsi="Arial" w:cs="Arial"/>
          <w:b/>
          <w:sz w:val="24"/>
          <w:szCs w:val="24"/>
          <w:lang w:val="en-CA"/>
        </w:rPr>
        <w:t xml:space="preserve">Recommendations: </w:t>
      </w:r>
      <w:r w:rsidR="00653233" w:rsidRPr="00121FBC">
        <w:rPr>
          <w:rFonts w:ascii="Arial" w:hAnsi="Arial" w:cs="Arial"/>
          <w:b/>
          <w:sz w:val="24"/>
          <w:szCs w:val="24"/>
          <w:lang w:val="en-CA"/>
        </w:rPr>
        <w:t>We recommend the Committee ask Canada to:</w:t>
      </w:r>
    </w:p>
    <w:p w14:paraId="6CF5A1F0" w14:textId="041B3008" w:rsidR="00653233" w:rsidRPr="00121FBC" w:rsidRDefault="00653233" w:rsidP="00814D8E">
      <w:pPr>
        <w:pStyle w:val="ListParagraph"/>
        <w:numPr>
          <w:ilvl w:val="0"/>
          <w:numId w:val="7"/>
        </w:numPr>
        <w:spacing w:line="276" w:lineRule="auto"/>
        <w:contextualSpacing/>
        <w:jc w:val="both"/>
        <w:rPr>
          <w:rFonts w:ascii="Arial" w:eastAsia="Arial" w:hAnsi="Arial" w:cs="Arial"/>
          <w:b/>
          <w:bCs/>
          <w:sz w:val="24"/>
          <w:szCs w:val="24"/>
          <w:lang w:val="en-CA"/>
        </w:rPr>
      </w:pPr>
      <w:r w:rsidRPr="00121FBC">
        <w:rPr>
          <w:rFonts w:ascii="Arial" w:eastAsia="Arial" w:hAnsi="Arial" w:cs="Arial"/>
          <w:b/>
          <w:bCs/>
          <w:sz w:val="24"/>
          <w:szCs w:val="24"/>
          <w:lang w:val="en-CA"/>
        </w:rPr>
        <w:t>Amend the Income Tax Act by repealing s.122.6(e) which ties eligibility for the Canada Child Benefit (CCB) to the immigration status of the applicant parent/caregiver. Every parent/caregiver in Canada who is considered a resident for tax purposes should be eligible for the CCB, regardless of immigration status</w:t>
      </w:r>
      <w:r w:rsidR="00FC297D" w:rsidRPr="00121FBC">
        <w:rPr>
          <w:rFonts w:ascii="Arial" w:eastAsia="Arial" w:hAnsi="Arial" w:cs="Arial"/>
          <w:b/>
          <w:bCs/>
          <w:sz w:val="24"/>
          <w:szCs w:val="24"/>
          <w:lang w:val="en-CA"/>
        </w:rPr>
        <w:t>.</w:t>
      </w:r>
      <w:r w:rsidRPr="00121FBC">
        <w:rPr>
          <w:rFonts w:ascii="Arial" w:eastAsia="Arial" w:hAnsi="Arial" w:cs="Arial"/>
          <w:b/>
          <w:bCs/>
          <w:sz w:val="24"/>
          <w:szCs w:val="24"/>
          <w:lang w:val="en-CA"/>
        </w:rPr>
        <w:t xml:space="preserve"> </w:t>
      </w:r>
    </w:p>
    <w:p w14:paraId="1C7C0F1C" w14:textId="77777777" w:rsidR="00FC297D" w:rsidRPr="00121FBC" w:rsidRDefault="00FC297D" w:rsidP="00814D8E">
      <w:pPr>
        <w:pStyle w:val="Heading1"/>
        <w:spacing w:before="0" w:line="276" w:lineRule="auto"/>
        <w:rPr>
          <w:rFonts w:ascii="Arial" w:hAnsi="Arial" w:cs="Arial"/>
          <w:sz w:val="24"/>
          <w:szCs w:val="24"/>
          <w:lang w:val="en-CA"/>
        </w:rPr>
      </w:pPr>
    </w:p>
    <w:p w14:paraId="31F8B4E5" w14:textId="77777777" w:rsidR="009542B1" w:rsidRDefault="009542B1">
      <w:pPr>
        <w:rPr>
          <w:rFonts w:ascii="Arial" w:eastAsiaTheme="majorEastAsia" w:hAnsi="Arial" w:cs="Arial"/>
          <w:b/>
          <w:bCs/>
          <w:sz w:val="32"/>
          <w:szCs w:val="32"/>
          <w:u w:val="single"/>
        </w:rPr>
      </w:pPr>
      <w:r>
        <w:rPr>
          <w:rFonts w:ascii="Arial" w:hAnsi="Arial" w:cs="Arial"/>
          <w:b/>
          <w:bCs/>
          <w:u w:val="single"/>
        </w:rPr>
        <w:br w:type="page"/>
      </w:r>
    </w:p>
    <w:p w14:paraId="5A5D563C" w14:textId="011C33B7" w:rsidR="00653233" w:rsidRPr="00734E28" w:rsidRDefault="00B758B4" w:rsidP="008B7B6D">
      <w:pPr>
        <w:pStyle w:val="Heading1"/>
        <w:jc w:val="center"/>
        <w:rPr>
          <w:rFonts w:ascii="Arial" w:hAnsi="Arial" w:cs="Arial"/>
          <w:b/>
          <w:bCs/>
          <w:u w:val="single"/>
        </w:rPr>
      </w:pPr>
      <w:bookmarkStart w:id="15" w:name="_Toc220920959"/>
      <w:r w:rsidRPr="00734E28">
        <w:rPr>
          <w:rFonts w:ascii="Arial" w:hAnsi="Arial" w:cs="Arial"/>
          <w:b/>
          <w:bCs/>
          <w:color w:val="auto"/>
          <w:u w:val="single"/>
        </w:rPr>
        <w:lastRenderedPageBreak/>
        <w:t>Freedom of religion or belief (Articles 2, 18, 25 and 26)</w:t>
      </w:r>
      <w:bookmarkEnd w:id="15"/>
    </w:p>
    <w:p w14:paraId="1AFAA4DD" w14:textId="77777777" w:rsidR="00FC297D" w:rsidRPr="00121FBC" w:rsidRDefault="00FC297D" w:rsidP="00814D8E">
      <w:pPr>
        <w:pStyle w:val="Heading2"/>
        <w:spacing w:before="0" w:line="276" w:lineRule="auto"/>
        <w:rPr>
          <w:rFonts w:ascii="Arial" w:hAnsi="Arial" w:cs="Arial"/>
          <w:b/>
          <w:bCs/>
          <w:sz w:val="24"/>
          <w:szCs w:val="24"/>
          <w:lang w:val="en-CA"/>
        </w:rPr>
      </w:pPr>
    </w:p>
    <w:p w14:paraId="1297E2BB" w14:textId="5E5C6E27" w:rsidR="00174EFC" w:rsidRPr="00734E28" w:rsidRDefault="00174EFC" w:rsidP="00814D8E">
      <w:pPr>
        <w:pStyle w:val="Heading2"/>
        <w:spacing w:before="0" w:line="276" w:lineRule="auto"/>
        <w:rPr>
          <w:rFonts w:ascii="Arial" w:hAnsi="Arial" w:cs="Arial"/>
          <w:b/>
          <w:bCs/>
          <w:color w:val="auto"/>
          <w:sz w:val="24"/>
          <w:szCs w:val="24"/>
          <w:u w:val="single"/>
          <w:lang w:val="en-CA"/>
        </w:rPr>
      </w:pPr>
      <w:bookmarkStart w:id="16" w:name="_Toc220920960"/>
      <w:r w:rsidRPr="00734E28">
        <w:rPr>
          <w:rFonts w:ascii="Arial" w:hAnsi="Arial" w:cs="Arial"/>
          <w:b/>
          <w:bCs/>
          <w:color w:val="auto"/>
          <w:sz w:val="24"/>
          <w:szCs w:val="24"/>
          <w:u w:val="single"/>
          <w:lang w:val="en-CA"/>
        </w:rPr>
        <w:t>Quebec’s Bill 21 – Disproportionate impact on racialized minorities</w:t>
      </w:r>
      <w:bookmarkEnd w:id="16"/>
    </w:p>
    <w:p w14:paraId="2F0B5BD9" w14:textId="77777777" w:rsidR="00174EFC" w:rsidRPr="00121FBC" w:rsidRDefault="00174EFC" w:rsidP="00814D8E">
      <w:pPr>
        <w:adjustRightInd w:val="0"/>
        <w:spacing w:line="276" w:lineRule="auto"/>
        <w:contextualSpacing/>
        <w:jc w:val="both"/>
        <w:rPr>
          <w:rFonts w:ascii="Arial" w:hAnsi="Arial" w:cs="Arial"/>
          <w:lang w:val="en-CA"/>
        </w:rPr>
      </w:pPr>
    </w:p>
    <w:p w14:paraId="7F78B554" w14:textId="5EB23550" w:rsidR="00174EFC" w:rsidRPr="00121FBC" w:rsidRDefault="00174EFC" w:rsidP="00814D8E">
      <w:pPr>
        <w:pStyle w:val="ListParagraph"/>
        <w:numPr>
          <w:ilvl w:val="0"/>
          <w:numId w:val="10"/>
        </w:numPr>
        <w:adjustRightInd w:val="0"/>
        <w:spacing w:line="276" w:lineRule="auto"/>
        <w:contextualSpacing/>
        <w:jc w:val="both"/>
        <w:rPr>
          <w:rFonts w:ascii="Arial" w:hAnsi="Arial" w:cs="Arial"/>
          <w:sz w:val="24"/>
          <w:szCs w:val="24"/>
        </w:rPr>
      </w:pPr>
      <w:r w:rsidRPr="00121FBC">
        <w:rPr>
          <w:rFonts w:ascii="Arial" w:hAnsi="Arial" w:cs="Arial"/>
          <w:sz w:val="24"/>
          <w:szCs w:val="24"/>
        </w:rPr>
        <w:t xml:space="preserve">Quebec’s Bill 21, the Act respecting the laicity of the State, prohibits many public employees in positions of authority—such as teachers, police officers, prosecutors and some civil servants—from wearing visible religious symbols while performing their functions, and also imposes face-uncovering requirements for certain public services. These restrictions disproportionately affect members of religious minorities, especially Muslim women who wear the </w:t>
      </w:r>
      <w:r w:rsidRPr="00121FBC">
        <w:rPr>
          <w:rFonts w:ascii="Arial" w:hAnsi="Arial" w:cs="Arial"/>
          <w:i/>
          <w:iCs/>
          <w:sz w:val="24"/>
          <w:szCs w:val="24"/>
        </w:rPr>
        <w:t>hijab</w:t>
      </w:r>
      <w:r w:rsidRPr="00121FBC">
        <w:rPr>
          <w:rFonts w:ascii="Arial" w:hAnsi="Arial" w:cs="Arial"/>
          <w:sz w:val="24"/>
          <w:szCs w:val="24"/>
        </w:rPr>
        <w:t xml:space="preserve"> or </w:t>
      </w:r>
      <w:r w:rsidRPr="00121FBC">
        <w:rPr>
          <w:rFonts w:ascii="Arial" w:hAnsi="Arial" w:cs="Arial"/>
          <w:i/>
          <w:iCs/>
          <w:sz w:val="24"/>
          <w:szCs w:val="24"/>
        </w:rPr>
        <w:t>niqab</w:t>
      </w:r>
      <w:r w:rsidRPr="00121FBC">
        <w:rPr>
          <w:rFonts w:ascii="Arial" w:hAnsi="Arial" w:cs="Arial"/>
          <w:sz w:val="24"/>
          <w:szCs w:val="24"/>
        </w:rPr>
        <w:t xml:space="preserve">, and other believers who wear turbans or kippot, and they have been widely criticized as discriminatory despite being shielded domestically by the use of Canada’s “notwithstanding clause.” </w:t>
      </w:r>
    </w:p>
    <w:p w14:paraId="7E4814D0" w14:textId="77777777" w:rsidR="00617FE6" w:rsidRPr="00121FBC" w:rsidRDefault="00617FE6" w:rsidP="00814D8E">
      <w:pPr>
        <w:pStyle w:val="ListParagraph"/>
        <w:adjustRightInd w:val="0"/>
        <w:spacing w:line="276" w:lineRule="auto"/>
        <w:ind w:firstLine="0"/>
        <w:contextualSpacing/>
        <w:jc w:val="both"/>
        <w:rPr>
          <w:rFonts w:ascii="Arial" w:hAnsi="Arial" w:cs="Arial"/>
          <w:sz w:val="24"/>
          <w:szCs w:val="24"/>
        </w:rPr>
      </w:pPr>
    </w:p>
    <w:p w14:paraId="1884706A" w14:textId="15191505" w:rsidR="00174EFC" w:rsidRPr="00121FBC" w:rsidRDefault="00EB09FF" w:rsidP="00814D8E">
      <w:pPr>
        <w:pStyle w:val="ListParagraph"/>
        <w:numPr>
          <w:ilvl w:val="0"/>
          <w:numId w:val="10"/>
        </w:numPr>
        <w:adjustRightInd w:val="0"/>
        <w:spacing w:line="276" w:lineRule="auto"/>
        <w:contextualSpacing/>
        <w:jc w:val="both"/>
        <w:rPr>
          <w:rFonts w:ascii="Arial" w:hAnsi="Arial" w:cs="Arial"/>
          <w:sz w:val="24"/>
          <w:szCs w:val="24"/>
        </w:rPr>
      </w:pPr>
      <w:r w:rsidRPr="00121FBC">
        <w:rPr>
          <w:rFonts w:ascii="Arial" w:hAnsi="Arial" w:cs="Arial"/>
          <w:sz w:val="24"/>
          <w:szCs w:val="24"/>
        </w:rPr>
        <w:t xml:space="preserve">Bill 21 harms immigrant and racialized communities in particular. </w:t>
      </w:r>
      <w:r w:rsidR="00174EFC" w:rsidRPr="00121FBC">
        <w:rPr>
          <w:rFonts w:ascii="Arial" w:hAnsi="Arial" w:cs="Arial"/>
          <w:sz w:val="24"/>
          <w:szCs w:val="24"/>
        </w:rPr>
        <w:t>During the debates for Bill 21, the Quebec National Assembly was advised that the legislation would have discriminatory effects on racialized persons</w:t>
      </w:r>
      <w:r w:rsidR="00CA0E95" w:rsidRPr="00121FBC">
        <w:rPr>
          <w:rFonts w:ascii="Arial" w:hAnsi="Arial" w:cs="Arial"/>
          <w:sz w:val="24"/>
          <w:szCs w:val="24"/>
        </w:rPr>
        <w:t>, including but not only Muslim women and Sikh men and women</w:t>
      </w:r>
      <w:r w:rsidR="00256A33" w:rsidRPr="00121FBC">
        <w:rPr>
          <w:rStyle w:val="FootnoteReference"/>
          <w:rFonts w:ascii="Arial" w:hAnsi="Arial" w:cs="Arial"/>
          <w:sz w:val="24"/>
          <w:szCs w:val="24"/>
        </w:rPr>
        <w:footnoteReference w:id="55"/>
      </w:r>
      <w:r w:rsidR="00CA0E95" w:rsidRPr="00121FBC">
        <w:rPr>
          <w:rFonts w:ascii="Arial" w:hAnsi="Arial" w:cs="Arial"/>
          <w:sz w:val="24"/>
          <w:szCs w:val="24"/>
        </w:rPr>
        <w:t>. As expected, these concerns became reality once Bill 21 became law</w:t>
      </w:r>
      <w:r w:rsidR="00256A33" w:rsidRPr="00121FBC">
        <w:rPr>
          <w:rStyle w:val="FootnoteReference"/>
          <w:rFonts w:ascii="Arial" w:hAnsi="Arial" w:cs="Arial"/>
          <w:sz w:val="24"/>
          <w:szCs w:val="24"/>
        </w:rPr>
        <w:footnoteReference w:id="56"/>
      </w:r>
      <w:r w:rsidR="00CA0E95" w:rsidRPr="00121FBC">
        <w:rPr>
          <w:rFonts w:ascii="Arial" w:hAnsi="Arial" w:cs="Arial"/>
          <w:sz w:val="24"/>
          <w:szCs w:val="24"/>
        </w:rPr>
        <w:t xml:space="preserve">. </w:t>
      </w:r>
    </w:p>
    <w:p w14:paraId="5249C012" w14:textId="77777777" w:rsidR="00617FE6" w:rsidRPr="00121FBC" w:rsidRDefault="00617FE6" w:rsidP="00814D8E">
      <w:pPr>
        <w:pStyle w:val="ListParagraph"/>
        <w:adjustRightInd w:val="0"/>
        <w:spacing w:line="276" w:lineRule="auto"/>
        <w:ind w:firstLine="0"/>
        <w:contextualSpacing/>
        <w:jc w:val="both"/>
        <w:rPr>
          <w:rFonts w:ascii="Arial" w:hAnsi="Arial" w:cs="Arial"/>
          <w:sz w:val="24"/>
          <w:szCs w:val="24"/>
        </w:rPr>
      </w:pPr>
    </w:p>
    <w:p w14:paraId="472B9D08" w14:textId="2E537204" w:rsidR="00CA0E95" w:rsidRPr="00121FBC" w:rsidRDefault="00CA0E95" w:rsidP="00814D8E">
      <w:pPr>
        <w:pStyle w:val="ListParagraph"/>
        <w:numPr>
          <w:ilvl w:val="0"/>
          <w:numId w:val="10"/>
        </w:numPr>
        <w:adjustRightInd w:val="0"/>
        <w:spacing w:line="276" w:lineRule="auto"/>
        <w:contextualSpacing/>
        <w:jc w:val="both"/>
        <w:rPr>
          <w:rFonts w:ascii="Arial" w:hAnsi="Arial" w:cs="Arial"/>
          <w:sz w:val="24"/>
          <w:szCs w:val="24"/>
        </w:rPr>
      </w:pPr>
      <w:r w:rsidRPr="00121FBC">
        <w:rPr>
          <w:rFonts w:ascii="Arial" w:hAnsi="Arial" w:cs="Arial"/>
          <w:sz w:val="24"/>
          <w:szCs w:val="24"/>
        </w:rPr>
        <w:t xml:space="preserve">The Quebec government is relying on s. 33 of the Canadian </w:t>
      </w:r>
      <w:r w:rsidRPr="00121FBC">
        <w:rPr>
          <w:rFonts w:ascii="Arial" w:hAnsi="Arial" w:cs="Arial"/>
          <w:i/>
          <w:iCs/>
          <w:sz w:val="24"/>
          <w:szCs w:val="24"/>
        </w:rPr>
        <w:t xml:space="preserve">Charter of Rights and </w:t>
      </w:r>
      <w:r w:rsidR="00256A33" w:rsidRPr="00121FBC">
        <w:rPr>
          <w:rFonts w:ascii="Arial" w:hAnsi="Arial" w:cs="Arial"/>
          <w:i/>
          <w:iCs/>
          <w:sz w:val="24"/>
          <w:szCs w:val="24"/>
        </w:rPr>
        <w:t>Freedoms</w:t>
      </w:r>
      <w:r w:rsidR="00256A33" w:rsidRPr="00121FBC">
        <w:rPr>
          <w:rFonts w:ascii="Arial" w:hAnsi="Arial" w:cs="Arial"/>
          <w:sz w:val="24"/>
          <w:szCs w:val="24"/>
        </w:rPr>
        <w:t xml:space="preserve"> (the ‘notwithstanding clause’)</w:t>
      </w:r>
      <w:r w:rsidR="00256A33" w:rsidRPr="00121FBC">
        <w:rPr>
          <w:rFonts w:ascii="Arial" w:hAnsi="Arial" w:cs="Arial"/>
          <w:i/>
          <w:iCs/>
          <w:sz w:val="24"/>
          <w:szCs w:val="24"/>
        </w:rPr>
        <w:t xml:space="preserve"> </w:t>
      </w:r>
      <w:r w:rsidR="00256A33" w:rsidRPr="00121FBC">
        <w:rPr>
          <w:rFonts w:ascii="Arial" w:hAnsi="Arial" w:cs="Arial"/>
          <w:sz w:val="24"/>
          <w:szCs w:val="24"/>
        </w:rPr>
        <w:t>to</w:t>
      </w:r>
      <w:r w:rsidRPr="00121FBC">
        <w:rPr>
          <w:rFonts w:ascii="Arial" w:hAnsi="Arial" w:cs="Arial"/>
          <w:sz w:val="24"/>
          <w:szCs w:val="24"/>
        </w:rPr>
        <w:t xml:space="preserve"> shield Bill 21</w:t>
      </w:r>
      <w:r w:rsidR="00256A33" w:rsidRPr="00121FBC">
        <w:rPr>
          <w:rFonts w:ascii="Arial" w:hAnsi="Arial" w:cs="Arial"/>
          <w:sz w:val="24"/>
          <w:szCs w:val="24"/>
        </w:rPr>
        <w:t xml:space="preserve"> from being struck down. However, the law contravenes Articles 18</w:t>
      </w:r>
      <w:r w:rsidR="00677584" w:rsidRPr="00121FBC">
        <w:rPr>
          <w:rFonts w:ascii="Arial" w:hAnsi="Arial" w:cs="Arial"/>
          <w:sz w:val="24"/>
          <w:szCs w:val="24"/>
        </w:rPr>
        <w:t xml:space="preserve"> (right to freedom of thought, conscience and religion)</w:t>
      </w:r>
      <w:r w:rsidR="00256A33" w:rsidRPr="00121FBC">
        <w:rPr>
          <w:rFonts w:ascii="Arial" w:hAnsi="Arial" w:cs="Arial"/>
          <w:sz w:val="24"/>
          <w:szCs w:val="24"/>
        </w:rPr>
        <w:t>, 19</w:t>
      </w:r>
      <w:r w:rsidR="00677584" w:rsidRPr="00121FBC">
        <w:rPr>
          <w:rFonts w:ascii="Arial" w:hAnsi="Arial" w:cs="Arial"/>
          <w:sz w:val="24"/>
          <w:szCs w:val="24"/>
        </w:rPr>
        <w:t xml:space="preserve"> (freedom of expression)</w:t>
      </w:r>
      <w:r w:rsidR="00EB09FF" w:rsidRPr="00121FBC">
        <w:rPr>
          <w:rFonts w:ascii="Arial" w:hAnsi="Arial" w:cs="Arial"/>
          <w:sz w:val="24"/>
          <w:szCs w:val="24"/>
        </w:rPr>
        <w:t>, 3 (equal rights of men and women)</w:t>
      </w:r>
      <w:r w:rsidR="00256A33" w:rsidRPr="00121FBC">
        <w:rPr>
          <w:rFonts w:ascii="Arial" w:hAnsi="Arial" w:cs="Arial"/>
          <w:sz w:val="24"/>
          <w:szCs w:val="24"/>
        </w:rPr>
        <w:t xml:space="preserve"> and 26</w:t>
      </w:r>
      <w:r w:rsidR="00677584" w:rsidRPr="00121FBC">
        <w:rPr>
          <w:rFonts w:ascii="Arial" w:hAnsi="Arial" w:cs="Arial"/>
          <w:sz w:val="24"/>
          <w:szCs w:val="24"/>
        </w:rPr>
        <w:t xml:space="preserve"> (equality before the law)</w:t>
      </w:r>
      <w:r w:rsidR="00256A33" w:rsidRPr="00121FBC">
        <w:rPr>
          <w:rFonts w:ascii="Arial" w:hAnsi="Arial" w:cs="Arial"/>
          <w:sz w:val="24"/>
          <w:szCs w:val="24"/>
        </w:rPr>
        <w:t xml:space="preserve"> of the ICCPR</w:t>
      </w:r>
      <w:r w:rsidR="00C3243A" w:rsidRPr="00121FBC">
        <w:rPr>
          <w:rStyle w:val="FootnoteReference"/>
          <w:rFonts w:ascii="Arial" w:hAnsi="Arial" w:cs="Arial"/>
          <w:sz w:val="24"/>
          <w:szCs w:val="24"/>
        </w:rPr>
        <w:footnoteReference w:id="57"/>
      </w:r>
      <w:r w:rsidR="00256A33" w:rsidRPr="00121FBC">
        <w:rPr>
          <w:rFonts w:ascii="Arial" w:hAnsi="Arial" w:cs="Arial"/>
          <w:sz w:val="24"/>
          <w:szCs w:val="24"/>
        </w:rPr>
        <w:t xml:space="preserve"> As a signatory to the Covenant, all levels of government in Canada are bound by the obligations therein. These are legally binding </w:t>
      </w:r>
      <w:r w:rsidR="00677584" w:rsidRPr="00121FBC">
        <w:rPr>
          <w:rFonts w:ascii="Arial" w:hAnsi="Arial" w:cs="Arial"/>
          <w:sz w:val="24"/>
          <w:szCs w:val="24"/>
        </w:rPr>
        <w:t>obligations,</w:t>
      </w:r>
      <w:r w:rsidR="00256A33" w:rsidRPr="00121FBC">
        <w:rPr>
          <w:rFonts w:ascii="Arial" w:hAnsi="Arial" w:cs="Arial"/>
          <w:sz w:val="24"/>
          <w:szCs w:val="24"/>
        </w:rPr>
        <w:t xml:space="preserve"> and it is not for Quebec to ‘opt out’. </w:t>
      </w:r>
    </w:p>
    <w:p w14:paraId="090FF711" w14:textId="77777777" w:rsidR="00617FE6" w:rsidRPr="00121FBC" w:rsidRDefault="00617FE6" w:rsidP="00814D8E">
      <w:pPr>
        <w:pStyle w:val="ListParagraph"/>
        <w:spacing w:line="276" w:lineRule="auto"/>
        <w:rPr>
          <w:rFonts w:ascii="Arial" w:hAnsi="Arial" w:cs="Arial"/>
          <w:sz w:val="24"/>
          <w:szCs w:val="24"/>
        </w:rPr>
      </w:pPr>
    </w:p>
    <w:p w14:paraId="310D15DD" w14:textId="0C7E30D7" w:rsidR="00EB09FF" w:rsidRPr="00121FBC" w:rsidRDefault="00EB09FF" w:rsidP="00814D8E">
      <w:pPr>
        <w:pStyle w:val="ListParagraph"/>
        <w:numPr>
          <w:ilvl w:val="0"/>
          <w:numId w:val="10"/>
        </w:numPr>
        <w:adjustRightInd w:val="0"/>
        <w:spacing w:line="276" w:lineRule="auto"/>
        <w:contextualSpacing/>
        <w:jc w:val="both"/>
        <w:rPr>
          <w:rFonts w:ascii="Arial" w:hAnsi="Arial" w:cs="Arial"/>
          <w:b/>
          <w:bCs/>
          <w:sz w:val="24"/>
          <w:szCs w:val="24"/>
        </w:rPr>
      </w:pPr>
      <w:r w:rsidRPr="00121FBC">
        <w:rPr>
          <w:rFonts w:ascii="Arial" w:hAnsi="Arial" w:cs="Arial"/>
          <w:b/>
          <w:bCs/>
          <w:sz w:val="24"/>
          <w:szCs w:val="24"/>
        </w:rPr>
        <w:t>We recommend that the Committee ask Canada and Quebec to:</w:t>
      </w:r>
    </w:p>
    <w:p w14:paraId="6BED365A" w14:textId="6CDF0660" w:rsidR="00EB09FF" w:rsidRPr="00121FBC" w:rsidRDefault="00EB09FF" w:rsidP="00814D8E">
      <w:pPr>
        <w:pStyle w:val="ListParagraph"/>
        <w:numPr>
          <w:ilvl w:val="0"/>
          <w:numId w:val="7"/>
        </w:numPr>
        <w:adjustRightInd w:val="0"/>
        <w:spacing w:line="276" w:lineRule="auto"/>
        <w:contextualSpacing/>
        <w:jc w:val="both"/>
        <w:rPr>
          <w:rFonts w:ascii="Arial" w:hAnsi="Arial" w:cs="Arial"/>
          <w:b/>
          <w:bCs/>
          <w:sz w:val="24"/>
          <w:szCs w:val="24"/>
        </w:rPr>
      </w:pPr>
      <w:r w:rsidRPr="00121FBC">
        <w:rPr>
          <w:rFonts w:ascii="Arial" w:hAnsi="Arial" w:cs="Arial"/>
          <w:b/>
          <w:bCs/>
          <w:sz w:val="24"/>
          <w:szCs w:val="24"/>
        </w:rPr>
        <w:t>Explain how Bill 21, an Act respecting the laicity of the State, complies with the Covenant and other legally binding obligations under international law</w:t>
      </w:r>
    </w:p>
    <w:p w14:paraId="6FB228DB" w14:textId="1407E5F0" w:rsidR="00EB09FF" w:rsidRPr="00121FBC" w:rsidRDefault="007E225D" w:rsidP="00814D8E">
      <w:pPr>
        <w:pStyle w:val="ListParagraph"/>
        <w:numPr>
          <w:ilvl w:val="0"/>
          <w:numId w:val="7"/>
        </w:numPr>
        <w:adjustRightInd w:val="0"/>
        <w:spacing w:line="276" w:lineRule="auto"/>
        <w:contextualSpacing/>
        <w:jc w:val="both"/>
        <w:rPr>
          <w:rFonts w:ascii="Arial" w:hAnsi="Arial" w:cs="Arial"/>
          <w:b/>
          <w:bCs/>
          <w:sz w:val="24"/>
          <w:szCs w:val="24"/>
        </w:rPr>
      </w:pPr>
      <w:r w:rsidRPr="00121FBC">
        <w:rPr>
          <w:rFonts w:ascii="Arial" w:hAnsi="Arial" w:cs="Arial"/>
          <w:b/>
          <w:bCs/>
          <w:sz w:val="24"/>
          <w:szCs w:val="24"/>
        </w:rPr>
        <w:t xml:space="preserve">Explain what measures they intend to take to protect religious minorities and other impacted communities from hate incidents and negative attitudes </w:t>
      </w:r>
      <w:r w:rsidRPr="00121FBC">
        <w:rPr>
          <w:rFonts w:ascii="Arial" w:hAnsi="Arial" w:cs="Arial"/>
          <w:b/>
          <w:bCs/>
          <w:sz w:val="24"/>
          <w:szCs w:val="24"/>
        </w:rPr>
        <w:lastRenderedPageBreak/>
        <w:t>arising as a result of this discriminatory legislation.</w:t>
      </w:r>
    </w:p>
    <w:p w14:paraId="5E9C9109" w14:textId="77777777" w:rsidR="00FC297D" w:rsidRPr="00121FBC" w:rsidRDefault="00FC297D" w:rsidP="00814D8E">
      <w:pPr>
        <w:adjustRightInd w:val="0"/>
        <w:spacing w:line="276" w:lineRule="auto"/>
        <w:contextualSpacing/>
        <w:jc w:val="both"/>
        <w:rPr>
          <w:rFonts w:ascii="Arial" w:hAnsi="Arial" w:cs="Arial"/>
          <w:b/>
          <w:bCs/>
          <w:color w:val="4472C4" w:themeColor="accent1"/>
        </w:rPr>
      </w:pPr>
    </w:p>
    <w:p w14:paraId="291B38C0" w14:textId="77777777" w:rsidR="001B54F8" w:rsidRDefault="001B54F8" w:rsidP="00814D8E">
      <w:pPr>
        <w:adjustRightInd w:val="0"/>
        <w:spacing w:line="276" w:lineRule="auto"/>
        <w:contextualSpacing/>
        <w:jc w:val="both"/>
        <w:rPr>
          <w:rFonts w:ascii="Arial" w:hAnsi="Arial" w:cs="Arial"/>
          <w:b/>
          <w:bCs/>
          <w:color w:val="4472C4" w:themeColor="accent1"/>
        </w:rPr>
      </w:pPr>
    </w:p>
    <w:p w14:paraId="49128163" w14:textId="77777777" w:rsidR="001B54F8" w:rsidRDefault="001B54F8" w:rsidP="00814D8E">
      <w:pPr>
        <w:adjustRightInd w:val="0"/>
        <w:spacing w:line="276" w:lineRule="auto"/>
        <w:contextualSpacing/>
        <w:jc w:val="both"/>
        <w:rPr>
          <w:rFonts w:ascii="Arial" w:hAnsi="Arial" w:cs="Arial"/>
          <w:b/>
          <w:bCs/>
          <w:color w:val="4472C4" w:themeColor="accent1"/>
        </w:rPr>
      </w:pPr>
    </w:p>
    <w:p w14:paraId="5857683D" w14:textId="77777777" w:rsidR="001B54F8" w:rsidRDefault="001B54F8" w:rsidP="00814D8E">
      <w:pPr>
        <w:adjustRightInd w:val="0"/>
        <w:spacing w:line="276" w:lineRule="auto"/>
        <w:contextualSpacing/>
        <w:jc w:val="both"/>
        <w:rPr>
          <w:rFonts w:ascii="Arial" w:hAnsi="Arial" w:cs="Arial"/>
          <w:b/>
          <w:bCs/>
          <w:color w:val="4472C4" w:themeColor="accent1"/>
        </w:rPr>
      </w:pPr>
    </w:p>
    <w:p w14:paraId="1E467F68" w14:textId="77777777" w:rsidR="009542B1" w:rsidRDefault="009542B1">
      <w:pPr>
        <w:rPr>
          <w:rFonts w:ascii="Arial" w:eastAsiaTheme="majorEastAsia" w:hAnsi="Arial" w:cs="Arial"/>
          <w:b/>
          <w:bCs/>
          <w:sz w:val="32"/>
          <w:szCs w:val="32"/>
          <w:u w:val="single"/>
        </w:rPr>
      </w:pPr>
      <w:r>
        <w:rPr>
          <w:rFonts w:ascii="Arial" w:hAnsi="Arial" w:cs="Arial"/>
          <w:b/>
          <w:bCs/>
          <w:u w:val="single"/>
        </w:rPr>
        <w:br w:type="page"/>
      </w:r>
    </w:p>
    <w:p w14:paraId="2F14BFE8" w14:textId="2D407EA0" w:rsidR="0038686D" w:rsidRPr="00734E28" w:rsidRDefault="0038686D" w:rsidP="008B7B6D">
      <w:pPr>
        <w:pStyle w:val="Heading1"/>
        <w:jc w:val="center"/>
        <w:rPr>
          <w:rFonts w:ascii="Arial" w:hAnsi="Arial" w:cs="Arial"/>
          <w:b/>
          <w:bCs/>
          <w:u w:val="single"/>
        </w:rPr>
      </w:pPr>
      <w:bookmarkStart w:id="17" w:name="_Toc220920961"/>
      <w:r w:rsidRPr="00734E28">
        <w:rPr>
          <w:rFonts w:ascii="Arial" w:hAnsi="Arial" w:cs="Arial"/>
          <w:b/>
          <w:bCs/>
          <w:color w:val="auto"/>
          <w:u w:val="single"/>
        </w:rPr>
        <w:lastRenderedPageBreak/>
        <w:t>Conclusion</w:t>
      </w:r>
      <w:bookmarkEnd w:id="17"/>
    </w:p>
    <w:p w14:paraId="4E46B72E" w14:textId="77777777" w:rsidR="0038686D" w:rsidRPr="00121FBC" w:rsidRDefault="0038686D" w:rsidP="00814D8E">
      <w:pPr>
        <w:pStyle w:val="ListParagraph"/>
        <w:widowControl/>
        <w:autoSpaceDE/>
        <w:autoSpaceDN/>
        <w:spacing w:line="276" w:lineRule="auto"/>
        <w:ind w:firstLine="0"/>
        <w:contextualSpacing/>
        <w:rPr>
          <w:rFonts w:ascii="Arial" w:hAnsi="Arial" w:cs="Arial"/>
          <w:sz w:val="24"/>
          <w:szCs w:val="24"/>
          <w:highlight w:val="yellow"/>
        </w:rPr>
      </w:pPr>
    </w:p>
    <w:bookmarkEnd w:id="0"/>
    <w:p w14:paraId="751693B5" w14:textId="23AE2F94" w:rsidR="00BC3DA3" w:rsidRPr="001B54F8" w:rsidRDefault="001B54F8" w:rsidP="001B54F8">
      <w:pPr>
        <w:pStyle w:val="ListParagraph"/>
        <w:numPr>
          <w:ilvl w:val="0"/>
          <w:numId w:val="10"/>
        </w:numPr>
        <w:adjustRightInd w:val="0"/>
        <w:spacing w:line="276" w:lineRule="auto"/>
        <w:contextualSpacing/>
        <w:jc w:val="both"/>
        <w:rPr>
          <w:rFonts w:ascii="Arial" w:hAnsi="Arial" w:cs="Arial"/>
          <w:sz w:val="24"/>
          <w:szCs w:val="24"/>
        </w:rPr>
      </w:pPr>
      <w:r w:rsidRPr="001B54F8">
        <w:rPr>
          <w:rFonts w:ascii="Arial" w:hAnsi="Arial" w:cs="Arial"/>
          <w:sz w:val="24"/>
          <w:szCs w:val="24"/>
          <w:lang w:val="en-GB"/>
        </w:rPr>
        <w:t>Canada’s obligations under the ICCPR require more than formal equality</w:t>
      </w:r>
      <w:r>
        <w:rPr>
          <w:rFonts w:ascii="Arial" w:hAnsi="Arial" w:cs="Arial"/>
          <w:sz w:val="24"/>
          <w:szCs w:val="24"/>
          <w:lang w:val="en-GB"/>
        </w:rPr>
        <w:t>.  T</w:t>
      </w:r>
      <w:r w:rsidRPr="001B54F8">
        <w:rPr>
          <w:rFonts w:ascii="Arial" w:hAnsi="Arial" w:cs="Arial"/>
          <w:sz w:val="24"/>
          <w:szCs w:val="24"/>
          <w:lang w:val="en-GB"/>
        </w:rPr>
        <w:t>hey require concrete, measurable action to prevent discrimination and to ensure effective access to rights and remedies for those most affected by systemic racism and discrimination. As this submission demonstrates, racialized communities</w:t>
      </w:r>
      <w:r>
        <w:rPr>
          <w:rFonts w:ascii="Arial" w:hAnsi="Arial" w:cs="Arial"/>
          <w:sz w:val="24"/>
          <w:szCs w:val="24"/>
          <w:lang w:val="en-GB"/>
        </w:rPr>
        <w:t xml:space="preserve">, </w:t>
      </w:r>
      <w:r w:rsidRPr="001B54F8">
        <w:rPr>
          <w:rFonts w:ascii="Arial" w:hAnsi="Arial" w:cs="Arial"/>
          <w:sz w:val="24"/>
          <w:szCs w:val="24"/>
          <w:lang w:val="en-GB"/>
        </w:rPr>
        <w:t>particularly Indigenous, Black, and racialized women, migrants, refugees, and people with precarious status</w:t>
      </w:r>
      <w:r>
        <w:rPr>
          <w:rFonts w:ascii="Arial" w:hAnsi="Arial" w:cs="Arial"/>
          <w:sz w:val="24"/>
          <w:szCs w:val="24"/>
          <w:lang w:val="en-GB"/>
        </w:rPr>
        <w:t xml:space="preserve">, </w:t>
      </w:r>
      <w:r w:rsidRPr="001B54F8">
        <w:rPr>
          <w:rFonts w:ascii="Arial" w:hAnsi="Arial" w:cs="Arial"/>
          <w:sz w:val="24"/>
          <w:szCs w:val="24"/>
          <w:lang w:val="en-GB"/>
        </w:rPr>
        <w:t>continue to face compounded harms through data gaps, unequal protection from gender-based violence, exclusionary income supports, discriminatory laws, and immigration measures that deepen precarity and heighten risk.</w:t>
      </w:r>
    </w:p>
    <w:p w14:paraId="26120E0C" w14:textId="77777777" w:rsidR="001B54F8" w:rsidRPr="001B54F8" w:rsidRDefault="001B54F8" w:rsidP="001B54F8">
      <w:pPr>
        <w:pStyle w:val="ListParagraph"/>
        <w:adjustRightInd w:val="0"/>
        <w:spacing w:line="276" w:lineRule="auto"/>
        <w:ind w:firstLine="0"/>
        <w:contextualSpacing/>
        <w:jc w:val="both"/>
        <w:rPr>
          <w:rFonts w:ascii="Arial" w:hAnsi="Arial" w:cs="Arial"/>
          <w:sz w:val="24"/>
          <w:szCs w:val="24"/>
        </w:rPr>
      </w:pPr>
    </w:p>
    <w:p w14:paraId="0FCAE435" w14:textId="07A3C1A4" w:rsidR="001B54F8" w:rsidRPr="001B54F8" w:rsidRDefault="001B54F8" w:rsidP="001B54F8">
      <w:pPr>
        <w:pStyle w:val="ListParagraph"/>
        <w:numPr>
          <w:ilvl w:val="0"/>
          <w:numId w:val="10"/>
        </w:numPr>
        <w:adjustRightInd w:val="0"/>
        <w:spacing w:line="276" w:lineRule="auto"/>
        <w:contextualSpacing/>
        <w:jc w:val="both"/>
        <w:rPr>
          <w:rFonts w:ascii="Arial" w:hAnsi="Arial" w:cs="Arial"/>
          <w:sz w:val="24"/>
          <w:szCs w:val="24"/>
          <w:lang w:val="en-CA"/>
        </w:rPr>
      </w:pPr>
      <w:r w:rsidRPr="001B54F8">
        <w:rPr>
          <w:rFonts w:ascii="Arial" w:hAnsi="Arial" w:cs="Arial"/>
          <w:sz w:val="24"/>
          <w:szCs w:val="24"/>
          <w:lang w:val="en-CA"/>
        </w:rPr>
        <w:t>We respectfully urge the Committee to recommend that Canada adopt the measures set out above with clear timelines, adequate resourcing, and independent oversight</w:t>
      </w:r>
      <w:r>
        <w:rPr>
          <w:rFonts w:ascii="Arial" w:hAnsi="Arial" w:cs="Arial"/>
          <w:sz w:val="24"/>
          <w:szCs w:val="24"/>
          <w:lang w:val="en-CA"/>
        </w:rPr>
        <w:t xml:space="preserve">, </w:t>
      </w:r>
      <w:r w:rsidRPr="001B54F8">
        <w:rPr>
          <w:rFonts w:ascii="Arial" w:hAnsi="Arial" w:cs="Arial"/>
          <w:sz w:val="24"/>
          <w:szCs w:val="24"/>
          <w:lang w:val="en-CA"/>
        </w:rPr>
        <w:t xml:space="preserve">particularly in relation to disaggregated data collection, accountability for the National Action Plan to End Gender-Based Violence, equitable and stable pathways to immigration status, meaningful limits and oversight in immigration detention, removal of immigration-status barriers to the Canada Child Benefit, and compliance with Covenant rights in the context of Quebec’s Bill 21. These steps are essential to ensure that the Covenant’s protections are real in practice for those who experience the sharpest edge of inequality in Canada. </w:t>
      </w:r>
    </w:p>
    <w:p w14:paraId="5501D923" w14:textId="77777777" w:rsidR="001B54F8" w:rsidRPr="001B54F8" w:rsidRDefault="001B54F8" w:rsidP="001B54F8">
      <w:pPr>
        <w:pStyle w:val="ListParagraph"/>
        <w:adjustRightInd w:val="0"/>
        <w:spacing w:line="276" w:lineRule="auto"/>
        <w:ind w:firstLine="0"/>
        <w:contextualSpacing/>
        <w:jc w:val="both"/>
        <w:rPr>
          <w:rFonts w:ascii="Arial" w:hAnsi="Arial" w:cs="Arial"/>
          <w:sz w:val="24"/>
          <w:szCs w:val="24"/>
        </w:rPr>
      </w:pPr>
    </w:p>
    <w:sectPr w:rsidR="001B54F8" w:rsidRPr="001B54F8" w:rsidSect="00814D8E">
      <w:headerReference w:type="even" r:id="rId17"/>
      <w:headerReference w:type="default" r:id="rId18"/>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510E7B" w14:textId="77777777" w:rsidR="0023526B" w:rsidRDefault="0023526B" w:rsidP="0071492F">
      <w:r>
        <w:separator/>
      </w:r>
    </w:p>
  </w:endnote>
  <w:endnote w:type="continuationSeparator" w:id="0">
    <w:p w14:paraId="63C16A8E" w14:textId="77777777" w:rsidR="0023526B" w:rsidRDefault="0023526B" w:rsidP="0071492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lgun Gothic">
    <w:altName w:val="맑은 고딕"/>
    <w:panose1 w:val="020B0503020000020004"/>
    <w:charset w:val="81"/>
    <w:family w:val="swiss"/>
    <w:pitch w:val="variable"/>
    <w:sig w:usb0="9000002F" w:usb1="29D77CFB" w:usb2="00000012" w:usb3="00000000" w:csb0="00080001"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0D11258" w14:textId="77777777" w:rsidR="0023526B" w:rsidRDefault="0023526B" w:rsidP="0071492F">
      <w:r>
        <w:separator/>
      </w:r>
    </w:p>
  </w:footnote>
  <w:footnote w:type="continuationSeparator" w:id="0">
    <w:p w14:paraId="5A4C01B1" w14:textId="77777777" w:rsidR="0023526B" w:rsidRDefault="0023526B" w:rsidP="0071492F">
      <w:r>
        <w:continuationSeparator/>
      </w:r>
    </w:p>
  </w:footnote>
  <w:footnote w:id="1">
    <w:p w14:paraId="6863E7D6" w14:textId="77777777" w:rsidR="00AE1A1D" w:rsidRPr="001473A6" w:rsidRDefault="00AE1A1D" w:rsidP="00AE1A1D">
      <w:pPr>
        <w:pStyle w:val="FootnoteText"/>
        <w:rPr>
          <w:lang w:val="en-CA"/>
        </w:rPr>
      </w:pPr>
      <w:r>
        <w:rPr>
          <w:rStyle w:val="FootnoteReference"/>
        </w:rPr>
        <w:footnoteRef/>
      </w:r>
      <w:r>
        <w:t xml:space="preserve"> </w:t>
      </w:r>
      <w:hyperlink r:id="rId1" w:history="1">
        <w:r w:rsidRPr="00556E69">
          <w:rPr>
            <w:rStyle w:val="Hyperlink"/>
          </w:rPr>
          <w:t>https://www150.statcan.gc.ca/n1/daily-quotidien/220908/dq220908a-eng.htm</w:t>
        </w:r>
      </w:hyperlink>
      <w:r>
        <w:t xml:space="preserve"> </w:t>
      </w:r>
    </w:p>
  </w:footnote>
  <w:footnote w:id="2">
    <w:p w14:paraId="5BC1F932" w14:textId="77777777" w:rsidR="00AE1A1D" w:rsidRPr="00D66DEE" w:rsidRDefault="00AE1A1D" w:rsidP="00AE1A1D">
      <w:pPr>
        <w:pStyle w:val="FootnoteText"/>
        <w:rPr>
          <w:lang w:val="en-CA"/>
        </w:rPr>
      </w:pPr>
      <w:r>
        <w:rPr>
          <w:rStyle w:val="FootnoteReference"/>
        </w:rPr>
        <w:footnoteRef/>
      </w:r>
      <w:r>
        <w:t xml:space="preserve"> </w:t>
      </w:r>
      <w:hyperlink r:id="rId2" w:history="1">
        <w:r w:rsidRPr="00556E69">
          <w:rPr>
            <w:rStyle w:val="Hyperlink"/>
          </w:rPr>
          <w:t>https://www.statcan.gc.ca/o1/en/plus/3920-canadas-indigenous-population</w:t>
        </w:r>
      </w:hyperlink>
      <w:r>
        <w:t xml:space="preserve"> </w:t>
      </w:r>
    </w:p>
  </w:footnote>
  <w:footnote w:id="3">
    <w:p w14:paraId="3B81E80E" w14:textId="77777777" w:rsidR="00AE1A1D" w:rsidRPr="00412181" w:rsidRDefault="00AE1A1D" w:rsidP="00AE1A1D">
      <w:pPr>
        <w:pStyle w:val="FootnoteText"/>
        <w:rPr>
          <w:lang w:val="en-CA"/>
        </w:rPr>
      </w:pPr>
      <w:r>
        <w:rPr>
          <w:rStyle w:val="FootnoteReference"/>
        </w:rPr>
        <w:footnoteRef/>
      </w:r>
      <w:r>
        <w:t xml:space="preserve"> </w:t>
      </w:r>
      <w:hyperlink r:id="rId3" w:history="1">
        <w:r w:rsidRPr="00556E69">
          <w:rPr>
            <w:rStyle w:val="Hyperlink"/>
          </w:rPr>
          <w:t>https://www150.statcan.gc.ca/n1/pub/12-581-x/2022001/sec7-eng.htm</w:t>
        </w:r>
      </w:hyperlink>
      <w:r>
        <w:t xml:space="preserve"> </w:t>
      </w:r>
    </w:p>
  </w:footnote>
  <w:footnote w:id="4">
    <w:p w14:paraId="01B0225A" w14:textId="77777777" w:rsidR="00AE1A1D" w:rsidRPr="009E4145" w:rsidRDefault="00AE1A1D" w:rsidP="00AE1A1D">
      <w:pPr>
        <w:pStyle w:val="FootnoteText"/>
        <w:rPr>
          <w:lang w:val="en-CA"/>
        </w:rPr>
      </w:pPr>
      <w:r>
        <w:rPr>
          <w:rStyle w:val="FootnoteReference"/>
        </w:rPr>
        <w:footnoteRef/>
      </w:r>
      <w:r>
        <w:t xml:space="preserve"> </w:t>
      </w:r>
      <w:hyperlink r:id="rId4" w:history="1">
        <w:r w:rsidRPr="00556E69">
          <w:rPr>
            <w:rStyle w:val="Hyperlink"/>
          </w:rPr>
          <w:t>https://www150.statcan.gc.ca/n1/daily-quotidien/221026/dq221026b-eng.htm</w:t>
        </w:r>
      </w:hyperlink>
      <w:r>
        <w:t xml:space="preserve"> </w:t>
      </w:r>
    </w:p>
  </w:footnote>
  <w:footnote w:id="5">
    <w:p w14:paraId="2738A21A" w14:textId="5D385C6B" w:rsidR="005C67B2" w:rsidRDefault="005C67B2">
      <w:pPr>
        <w:pStyle w:val="FootnoteText"/>
      </w:pPr>
      <w:r>
        <w:rPr>
          <w:rStyle w:val="FootnoteReference"/>
        </w:rPr>
        <w:footnoteRef/>
      </w:r>
      <w:r>
        <w:t xml:space="preserve"> </w:t>
      </w:r>
      <w:hyperlink r:id="rId5" w:history="1">
        <w:r w:rsidRPr="00EE6C64">
          <w:rPr>
            <w:rStyle w:val="Hyperlink"/>
          </w:rPr>
          <w:t>https://ocasi.org/budget-falls-short-canada%E2%80%99s-commitment-immigrants-and-refugees</w:t>
        </w:r>
      </w:hyperlink>
      <w:r>
        <w:t xml:space="preserve"> </w:t>
      </w:r>
    </w:p>
  </w:footnote>
  <w:footnote w:id="6">
    <w:p w14:paraId="5D229230" w14:textId="77777777" w:rsidR="00AE1A1D" w:rsidRPr="009E4145" w:rsidRDefault="00AE1A1D" w:rsidP="00AE1A1D">
      <w:pPr>
        <w:pStyle w:val="FootnoteText"/>
        <w:rPr>
          <w:lang w:val="en-CA"/>
        </w:rPr>
      </w:pPr>
      <w:r>
        <w:rPr>
          <w:rStyle w:val="FootnoteReference"/>
        </w:rPr>
        <w:footnoteRef/>
      </w:r>
      <w:r>
        <w:t xml:space="preserve"> </w:t>
      </w:r>
      <w:r>
        <w:rPr>
          <w:lang w:val="en-CA"/>
        </w:rPr>
        <w:t xml:space="preserve">First Nations Information Governance Centre “The First Nations Principles of OCAP” </w:t>
      </w:r>
      <w:hyperlink r:id="rId6" w:history="1">
        <w:r w:rsidRPr="00556E69">
          <w:rPr>
            <w:rStyle w:val="Hyperlink"/>
            <w:lang w:val="en-CA"/>
          </w:rPr>
          <w:t>https://fnigc.ca/wp-content/uploads/2022/10/OCAP_Brochure_20220927_web.pdf</w:t>
        </w:r>
      </w:hyperlink>
      <w:r>
        <w:rPr>
          <w:lang w:val="en-CA"/>
        </w:rPr>
        <w:t xml:space="preserve"> </w:t>
      </w:r>
    </w:p>
  </w:footnote>
  <w:footnote w:id="7">
    <w:p w14:paraId="124F1DD3" w14:textId="77777777" w:rsidR="00AE1A1D" w:rsidRPr="00037243" w:rsidRDefault="00AE1A1D" w:rsidP="00AE1A1D">
      <w:pPr>
        <w:pStyle w:val="FootnoteText"/>
        <w:rPr>
          <w:lang w:val="en-CA"/>
        </w:rPr>
      </w:pPr>
      <w:r>
        <w:rPr>
          <w:rStyle w:val="FootnoteReference"/>
        </w:rPr>
        <w:footnoteRef/>
      </w:r>
      <w:r w:rsidRPr="00037243">
        <w:rPr>
          <w:lang w:val="en-CA"/>
        </w:rPr>
        <w:t xml:space="preserve"> </w:t>
      </w:r>
      <w:hyperlink r:id="rId7" w:history="1">
        <w:r w:rsidRPr="00037243">
          <w:rPr>
            <w:rStyle w:val="Hyperlink"/>
            <w:lang w:val="en-CA"/>
          </w:rPr>
          <w:t>https://blackhealthequity.ca/</w:t>
        </w:r>
      </w:hyperlink>
      <w:r w:rsidRPr="00037243">
        <w:rPr>
          <w:lang w:val="en-CA"/>
        </w:rPr>
        <w:t xml:space="preserve"> </w:t>
      </w:r>
    </w:p>
  </w:footnote>
  <w:footnote w:id="8">
    <w:p w14:paraId="78272423" w14:textId="21F89580" w:rsidR="00A03310" w:rsidRDefault="00A03310">
      <w:pPr>
        <w:pStyle w:val="FootnoteText"/>
      </w:pPr>
      <w:r>
        <w:rPr>
          <w:rStyle w:val="FootnoteReference"/>
        </w:rPr>
        <w:footnoteRef/>
      </w:r>
      <w:r>
        <w:t xml:space="preserve"> </w:t>
      </w:r>
      <w:r w:rsidR="00B143EC">
        <w:t>“</w:t>
      </w:r>
      <w:r w:rsidRPr="00A03310">
        <w:t>Racialized group</w:t>
      </w:r>
      <w:r w:rsidR="00B143EC">
        <w:t>”</w:t>
      </w:r>
      <w:r w:rsidRPr="00A03310">
        <w:t xml:space="preserve"> refers to whether a person is a visible minority or not, as defined by the Employment Equity Act. This act defines visible minorities as "persons, other than Indigenous peoples, who are non-Caucasian in race or non-white in colour." The visible minority population consists mainly of the following groups: South Asian, Chinese, Black, Filipino, Arab, Latin American, Southeast Asian, West Asian, Korean and Japanese.</w:t>
      </w:r>
    </w:p>
  </w:footnote>
  <w:footnote w:id="9">
    <w:p w14:paraId="30EF5C9E" w14:textId="2BD01949" w:rsidR="0037459A" w:rsidRDefault="0037459A">
      <w:pPr>
        <w:pStyle w:val="FootnoteText"/>
      </w:pPr>
      <w:r>
        <w:rPr>
          <w:rStyle w:val="FootnoteReference"/>
        </w:rPr>
        <w:footnoteRef/>
      </w:r>
      <w:r>
        <w:t xml:space="preserve"> Schimmele, Hou and Stick “Poverty among racialized groups across generations”, August 23, 2023 </w:t>
      </w:r>
      <w:hyperlink r:id="rId8" w:history="1">
        <w:r w:rsidRPr="00E6535B">
          <w:rPr>
            <w:rStyle w:val="Hyperlink"/>
          </w:rPr>
          <w:t>https://www150.statcan.gc.ca/n1/pub/36-28-0001/2023008/article/00002-eng.htm</w:t>
        </w:r>
      </w:hyperlink>
      <w:r>
        <w:t xml:space="preserve"> </w:t>
      </w:r>
    </w:p>
  </w:footnote>
  <w:footnote w:id="10">
    <w:p w14:paraId="441483A8" w14:textId="4A9D0F7B" w:rsidR="00B143EC" w:rsidRDefault="00B143EC">
      <w:pPr>
        <w:pStyle w:val="FootnoteText"/>
      </w:pPr>
      <w:r>
        <w:rPr>
          <w:rStyle w:val="FootnoteReference"/>
        </w:rPr>
        <w:footnoteRef/>
      </w:r>
      <w:r>
        <w:t xml:space="preserve"> Data from the Canadian Income Survey, 2023 (most recent data available) </w:t>
      </w:r>
      <w:hyperlink r:id="rId9" w:history="1">
        <w:r w:rsidRPr="00E6535B">
          <w:rPr>
            <w:rStyle w:val="Hyperlink"/>
          </w:rPr>
          <w:t>https://www150.statcan.gc.ca/n1/daily-quotidien/250501/dq250501b-eng.htm</w:t>
        </w:r>
      </w:hyperlink>
      <w:r>
        <w:t xml:space="preserve"> </w:t>
      </w:r>
    </w:p>
  </w:footnote>
  <w:footnote w:id="11">
    <w:p w14:paraId="663663C0" w14:textId="1803800B" w:rsidR="007C197A" w:rsidRDefault="007C197A">
      <w:pPr>
        <w:pStyle w:val="FootnoteText"/>
      </w:pPr>
      <w:r>
        <w:rPr>
          <w:rStyle w:val="FootnoteReference"/>
        </w:rPr>
        <w:footnoteRef/>
      </w:r>
      <w:r>
        <w:t xml:space="preserve"> </w:t>
      </w:r>
      <w:r w:rsidRPr="007C197A">
        <w:t>Poverty Reduction Act (S.C. 2019, c. 29, s. 315)</w:t>
      </w:r>
      <w:r>
        <w:t xml:space="preserve"> </w:t>
      </w:r>
      <w:hyperlink r:id="rId10" w:history="1">
        <w:r w:rsidRPr="00E6535B">
          <w:rPr>
            <w:rStyle w:val="Hyperlink"/>
          </w:rPr>
          <w:t>https://laws-lois.justice.gc.ca/eng/acts/p-16.81/page-1.html</w:t>
        </w:r>
      </w:hyperlink>
      <w:r>
        <w:t xml:space="preserve"> </w:t>
      </w:r>
    </w:p>
  </w:footnote>
  <w:footnote w:id="12">
    <w:p w14:paraId="1EDB1A34" w14:textId="77777777" w:rsidR="0071492F" w:rsidRPr="00563424" w:rsidRDefault="0071492F" w:rsidP="0071492F">
      <w:pPr>
        <w:pStyle w:val="FootnoteText"/>
      </w:pPr>
      <w:r>
        <w:rPr>
          <w:rStyle w:val="FootnoteReference"/>
        </w:rPr>
        <w:footnoteRef/>
      </w:r>
      <w:r>
        <w:t xml:space="preserve"> Rupa Bannerjee, Jeffrey G Reitz, and Phil Oreopoulos, “Do Large Employers Treat Racial Minorities More Fairly? A New Analysis of Canadian Field Experiment Data” (2017), </w:t>
      </w:r>
      <w:hyperlink r:id="rId11" w:history="1">
        <w:r w:rsidRPr="00217C50">
          <w:rPr>
            <w:rStyle w:val="Hyperlink"/>
          </w:rPr>
          <w:t>http://www.hireimmigrants.ca/wpcontent/uploads/Final-Report-Which-employers-discriminate-Banerjee-Reitz-Oreopoulos-January-25-2017.pdf</w:t>
        </w:r>
      </w:hyperlink>
      <w:r>
        <w:t xml:space="preserve"> </w:t>
      </w:r>
    </w:p>
  </w:footnote>
  <w:footnote w:id="13">
    <w:p w14:paraId="5461380F" w14:textId="77777777" w:rsidR="0071492F" w:rsidRPr="00563424" w:rsidRDefault="0071492F" w:rsidP="0071492F">
      <w:pPr>
        <w:pStyle w:val="FootnoteText"/>
      </w:pPr>
      <w:r w:rsidRPr="007573E4">
        <w:rPr>
          <w:rStyle w:val="FootnoteReference"/>
          <w:rFonts w:cstheme="minorHAnsi"/>
        </w:rPr>
        <w:footnoteRef/>
      </w:r>
      <w:r w:rsidRPr="007573E4">
        <w:rPr>
          <w:rFonts w:cstheme="minorHAnsi"/>
        </w:rPr>
        <w:t xml:space="preserve"> The Poverty and Employment Precarity in Southern Ontario Research Group, “It’s More than Poverty: Employment Precarity and Household Wellbeing” (2013), https://pepsouwt.files.wordpress.com/2013/02/its-morethan-poverty-feb-2013.pdf; The Poverty and Employment Precarity in Southern Ontario Research Group, “The Precarity Penalty: The Impact of Employment Precarity on Individuals, Households, and Communities – And What To Do About It” (2015), </w:t>
      </w:r>
      <w:hyperlink r:id="rId12" w:history="1">
        <w:r w:rsidRPr="00556E69">
          <w:rPr>
            <w:rStyle w:val="Hyperlink"/>
            <w:rFonts w:cstheme="minorHAnsi"/>
          </w:rPr>
          <w:t>https://pepsouwt.files.wordpress.com/2012/12/precarity-penalty- report_finalhires_trimmed.pdf</w:t>
        </w:r>
      </w:hyperlink>
      <w:r w:rsidRPr="007573E4">
        <w:rPr>
          <w:rFonts w:cstheme="minorHAnsi"/>
        </w:rPr>
        <w:t>.</w:t>
      </w:r>
      <w:r>
        <w:rPr>
          <w:rFonts w:cstheme="minorHAnsi"/>
        </w:rPr>
        <w:t xml:space="preserve"> </w:t>
      </w:r>
    </w:p>
  </w:footnote>
  <w:footnote w:id="14">
    <w:p w14:paraId="6500D3FB" w14:textId="77777777" w:rsidR="0071492F" w:rsidRPr="00F16A1D" w:rsidRDefault="0071492F" w:rsidP="0071492F">
      <w:pPr>
        <w:pStyle w:val="FootnoteText"/>
        <w:rPr>
          <w:lang w:val="en-CA"/>
        </w:rPr>
      </w:pPr>
      <w:r>
        <w:rPr>
          <w:rStyle w:val="FootnoteReference"/>
        </w:rPr>
        <w:footnoteRef/>
      </w:r>
      <w:r>
        <w:t xml:space="preserve"> </w:t>
      </w:r>
      <w:hyperlink r:id="rId13" w:history="1">
        <w:r w:rsidRPr="00A13DC2">
          <w:rPr>
            <w:rStyle w:val="Hyperlink"/>
          </w:rPr>
          <w:t>https://www.ontario.ca/page/labour-market-report-october-2025</w:t>
        </w:r>
      </w:hyperlink>
      <w:r>
        <w:t xml:space="preserve">  </w:t>
      </w:r>
    </w:p>
  </w:footnote>
  <w:footnote w:id="15">
    <w:p w14:paraId="6BD12CDB" w14:textId="77777777" w:rsidR="0071492F" w:rsidRPr="00563424" w:rsidRDefault="0071492F" w:rsidP="0071492F">
      <w:pPr>
        <w:pStyle w:val="FootnoteText"/>
        <w:rPr>
          <w:lang w:val="en-CA"/>
        </w:rPr>
      </w:pPr>
      <w:r>
        <w:rPr>
          <w:rStyle w:val="FootnoteReference"/>
        </w:rPr>
        <w:footnoteRef/>
      </w:r>
      <w:r>
        <w:t xml:space="preserve"> </w:t>
      </w:r>
      <w:hyperlink r:id="rId14">
        <w:r>
          <w:rPr>
            <w:color w:val="0462C1"/>
            <w:spacing w:val="-2"/>
            <w:u w:val="single" w:color="0462C1"/>
          </w:rPr>
          <w:t>https://www150.statcan.gc.ca/t1/tbl1/en/tv.action?pid=1410037302</w:t>
        </w:r>
      </w:hyperlink>
    </w:p>
  </w:footnote>
  <w:footnote w:id="16">
    <w:p w14:paraId="6357E9D6" w14:textId="2FFBB1E9" w:rsidR="00817BDB" w:rsidRDefault="00817BDB">
      <w:pPr>
        <w:pStyle w:val="FootnoteText"/>
      </w:pPr>
      <w:r>
        <w:rPr>
          <w:rStyle w:val="FootnoteReference"/>
        </w:rPr>
        <w:footnoteRef/>
      </w:r>
      <w:r>
        <w:t xml:space="preserve"> Scott, Katherine, “</w:t>
      </w:r>
      <w:r w:rsidRPr="00817BDB">
        <w:t>The widening gap: Gender segregation and job polarization in the post-pandemic labour market</w:t>
      </w:r>
      <w:r>
        <w:t>” (January 13, 2026)</w:t>
      </w:r>
    </w:p>
  </w:footnote>
  <w:footnote w:id="17">
    <w:p w14:paraId="27CD7D4A" w14:textId="77777777" w:rsidR="0071492F" w:rsidRPr="007573E4" w:rsidRDefault="0071492F" w:rsidP="0071492F">
      <w:pPr>
        <w:pStyle w:val="FootnoteText"/>
        <w:rPr>
          <w:rFonts w:cstheme="minorHAnsi"/>
        </w:rPr>
      </w:pPr>
      <w:r>
        <w:rPr>
          <w:rStyle w:val="FootnoteReference"/>
        </w:rPr>
        <w:footnoteRef/>
      </w:r>
      <w:r>
        <w:t xml:space="preserve"> </w:t>
      </w:r>
      <w:hyperlink r:id="rId15" w:history="1">
        <w:r w:rsidRPr="007573E4">
          <w:rPr>
            <w:rStyle w:val="Hyperlink"/>
            <w:rFonts w:cstheme="minorHAnsi"/>
          </w:rPr>
          <w:t>https://lmic-cimt.ca/womens-economic-empowerment-and-the-canadian-labour-market/</w:t>
        </w:r>
      </w:hyperlink>
      <w:r w:rsidRPr="007573E4">
        <w:rPr>
          <w:rFonts w:cstheme="minorHAnsi"/>
        </w:rPr>
        <w:t xml:space="preserve"> </w:t>
      </w:r>
    </w:p>
  </w:footnote>
  <w:footnote w:id="18">
    <w:p w14:paraId="114C55FB" w14:textId="77777777" w:rsidR="0071492F" w:rsidRPr="007573E4" w:rsidRDefault="0071492F" w:rsidP="0071492F">
      <w:pPr>
        <w:pStyle w:val="FootnoteText"/>
        <w:rPr>
          <w:rFonts w:cstheme="minorHAnsi"/>
        </w:rPr>
      </w:pPr>
      <w:r w:rsidRPr="007573E4">
        <w:rPr>
          <w:rStyle w:val="FootnoteReference"/>
          <w:rFonts w:cstheme="minorHAnsi"/>
        </w:rPr>
        <w:footnoteRef/>
      </w:r>
      <w:r w:rsidRPr="007573E4">
        <w:rPr>
          <w:rFonts w:cstheme="minorHAnsi"/>
        </w:rPr>
        <w:t xml:space="preserve"> </w:t>
      </w:r>
      <w:r w:rsidRPr="00EE410A">
        <w:rPr>
          <w:rFonts w:cstheme="minorHAnsi"/>
          <w:shd w:val="clear" w:color="auto" w:fill="FFFFFF"/>
        </w:rPr>
        <w:t xml:space="preserve">Schirle, Tammy and Sogaolu, Moyosoreoluwa, A Work in </w:t>
      </w:r>
      <w:r w:rsidRPr="008A37EC">
        <w:rPr>
          <w:rFonts w:cstheme="minorHAnsi"/>
          <w:shd w:val="clear" w:color="auto" w:fill="FFFFFF"/>
        </w:rPr>
        <w:t>Progress</w:t>
      </w:r>
      <w:r w:rsidRPr="00EE410A">
        <w:rPr>
          <w:rFonts w:cstheme="minorHAnsi"/>
          <w:shd w:val="clear" w:color="auto" w:fill="FFFFFF"/>
        </w:rPr>
        <w:t>: Measuring Wage Gaps for Women and Minorities in the Canadian Labour Market (January 9, 2020). C.D. Howe Institute Commentary 561, January 2020, Available at SSRN: </w:t>
      </w:r>
      <w:hyperlink r:id="rId16" w:tgtFrame="_blank" w:history="1">
        <w:r w:rsidRPr="00EE410A">
          <w:rPr>
            <w:rStyle w:val="Hyperlink"/>
            <w:rFonts w:cstheme="minorHAnsi"/>
            <w:shd w:val="clear" w:color="auto" w:fill="FFFFFF"/>
          </w:rPr>
          <w:t>https://ssrn.com/abstract=3517443</w:t>
        </w:r>
      </w:hyperlink>
    </w:p>
  </w:footnote>
  <w:footnote w:id="19">
    <w:p w14:paraId="388B2659" w14:textId="77777777" w:rsidR="0071492F" w:rsidRPr="007573E4" w:rsidRDefault="0071492F" w:rsidP="0071492F">
      <w:pPr>
        <w:pStyle w:val="FootnoteText"/>
        <w:rPr>
          <w:rFonts w:cstheme="minorHAnsi"/>
          <w:lang w:val="en-CA"/>
        </w:rPr>
      </w:pPr>
      <w:r w:rsidRPr="007573E4">
        <w:rPr>
          <w:rStyle w:val="FootnoteReference"/>
          <w:rFonts w:cstheme="minorHAnsi"/>
        </w:rPr>
        <w:footnoteRef/>
      </w:r>
      <w:r w:rsidRPr="007573E4">
        <w:rPr>
          <w:rFonts w:cstheme="minorHAnsi"/>
        </w:rPr>
        <w:t xml:space="preserve"> </w:t>
      </w:r>
      <w:hyperlink r:id="rId17" w:history="1">
        <w:r w:rsidRPr="007573E4">
          <w:rPr>
            <w:rStyle w:val="Hyperlink"/>
            <w:rFonts w:cstheme="minorHAnsi"/>
          </w:rPr>
          <w:t>https://lmic-cimt.ca/womens-economic-empowerment-and-the-canadian-labour-market/</w:t>
        </w:r>
      </w:hyperlink>
      <w:r w:rsidRPr="007573E4">
        <w:rPr>
          <w:rFonts w:cstheme="minorHAnsi"/>
        </w:rPr>
        <w:t xml:space="preserve"> </w:t>
      </w:r>
    </w:p>
  </w:footnote>
  <w:footnote w:id="20">
    <w:p w14:paraId="4D4AE598" w14:textId="77777777" w:rsidR="0071492F" w:rsidRPr="007573E4" w:rsidRDefault="0071492F" w:rsidP="0071492F">
      <w:pPr>
        <w:pStyle w:val="FootnoteText"/>
        <w:rPr>
          <w:rFonts w:cstheme="minorHAnsi"/>
        </w:rPr>
      </w:pPr>
      <w:r w:rsidRPr="007573E4">
        <w:rPr>
          <w:rStyle w:val="FootnoteReference"/>
          <w:rFonts w:cstheme="minorHAnsi"/>
        </w:rPr>
        <w:footnoteRef/>
      </w:r>
      <w:r w:rsidRPr="007573E4">
        <w:rPr>
          <w:rFonts w:cstheme="minorHAnsi"/>
        </w:rPr>
        <w:t xml:space="preserve"> </w:t>
      </w:r>
      <w:hyperlink r:id="rId18" w:history="1">
        <w:r w:rsidRPr="007573E4">
          <w:rPr>
            <w:rStyle w:val="Hyperlink"/>
            <w:rFonts w:cstheme="minorHAnsi"/>
          </w:rPr>
          <w:t>https://www150.statcan.gc.ca/n1/pub/36-28-0001/2022002/article/00005-eng.htm</w:t>
        </w:r>
      </w:hyperlink>
      <w:r w:rsidRPr="007573E4">
        <w:rPr>
          <w:rFonts w:cstheme="minorHAnsi"/>
        </w:rPr>
        <w:t xml:space="preserve"> </w:t>
      </w:r>
    </w:p>
  </w:footnote>
  <w:footnote w:id="21">
    <w:p w14:paraId="4E32BF39" w14:textId="77777777" w:rsidR="0055010E" w:rsidRPr="00412181" w:rsidRDefault="0055010E" w:rsidP="0055010E">
      <w:pPr>
        <w:pStyle w:val="FootnoteText"/>
        <w:rPr>
          <w:lang w:val="en-CA"/>
        </w:rPr>
      </w:pPr>
      <w:r>
        <w:rPr>
          <w:rStyle w:val="FootnoteReference"/>
        </w:rPr>
        <w:footnoteRef/>
      </w:r>
      <w:r>
        <w:t xml:space="preserve"> </w:t>
      </w:r>
      <w:hyperlink r:id="rId19" w:history="1">
        <w:r w:rsidRPr="004514D1">
          <w:rPr>
            <w:rStyle w:val="Hyperlink"/>
          </w:rPr>
          <w:t>https://www150.statcan.gc.ca/n1/pub/85-002-x/2021001/article/00007-eng.htm</w:t>
        </w:r>
      </w:hyperlink>
      <w:r>
        <w:t xml:space="preserve"> </w:t>
      </w:r>
    </w:p>
  </w:footnote>
  <w:footnote w:id="22">
    <w:p w14:paraId="0BDECC1F" w14:textId="77777777" w:rsidR="0055010E" w:rsidRPr="00412181" w:rsidRDefault="0055010E" w:rsidP="0055010E">
      <w:pPr>
        <w:pStyle w:val="FootnoteText"/>
        <w:rPr>
          <w:lang w:val="en-CA"/>
        </w:rPr>
      </w:pPr>
      <w:r>
        <w:rPr>
          <w:rStyle w:val="FootnoteReference"/>
        </w:rPr>
        <w:footnoteRef/>
      </w:r>
      <w:r>
        <w:t xml:space="preserve"> </w:t>
      </w:r>
      <w:hyperlink r:id="rId20" w:history="1">
        <w:r w:rsidRPr="004514D1">
          <w:rPr>
            <w:rStyle w:val="Hyperlink"/>
          </w:rPr>
          <w:t>https://www150.statcan.gc.ca/n1/pub/85-002-x/2019001/article/00016/tbl/tbl06-eng.htm</w:t>
        </w:r>
      </w:hyperlink>
      <w:r>
        <w:t xml:space="preserve"> </w:t>
      </w:r>
    </w:p>
  </w:footnote>
  <w:footnote w:id="23">
    <w:p w14:paraId="7D496FA4" w14:textId="77777777" w:rsidR="0055010E" w:rsidRPr="00412181" w:rsidRDefault="0055010E" w:rsidP="0055010E">
      <w:pPr>
        <w:pStyle w:val="FootnoteText"/>
        <w:rPr>
          <w:lang w:val="en-CA"/>
        </w:rPr>
      </w:pPr>
      <w:r>
        <w:rPr>
          <w:rStyle w:val="FootnoteReference"/>
        </w:rPr>
        <w:footnoteRef/>
      </w:r>
      <w:r>
        <w:t xml:space="preserve"> </w:t>
      </w:r>
      <w:hyperlink r:id="rId21" w:history="1">
        <w:r w:rsidRPr="004514D1">
          <w:rPr>
            <w:rStyle w:val="Hyperlink"/>
          </w:rPr>
          <w:t>https://afn.bynder.com/m/2ea645db802ef4/original/Breathing-Life-into-the-Calls-for-Justice-A-CFJ-Progress-Report.pdf</w:t>
        </w:r>
      </w:hyperlink>
      <w:r>
        <w:t xml:space="preserve"> </w:t>
      </w:r>
    </w:p>
  </w:footnote>
  <w:footnote w:id="24">
    <w:p w14:paraId="7254E33D" w14:textId="5E504128" w:rsidR="00770F70" w:rsidRDefault="00770F70">
      <w:pPr>
        <w:pStyle w:val="FootnoteText"/>
      </w:pPr>
      <w:r>
        <w:rPr>
          <w:rStyle w:val="FootnoteReference"/>
        </w:rPr>
        <w:footnoteRef/>
      </w:r>
      <w:r>
        <w:t xml:space="preserve"> </w:t>
      </w:r>
      <w:r w:rsidRPr="00770F70">
        <w:t xml:space="preserve">Ontario Native Women’s Association. (2024). Beyond the Inquiry: ONWA’S Journey 5 Years After the National Inquiry Final Report. </w:t>
      </w:r>
      <w:hyperlink r:id="rId22" w:history="1">
        <w:r w:rsidRPr="00770F70">
          <w:rPr>
            <w:rStyle w:val="Hyperlink"/>
          </w:rPr>
          <w:t>https://www.onwa.ca/_files/ugd/274c9a_466b36b132cd4c5ca9ccdc0e2267742c.pdf</w:t>
        </w:r>
      </w:hyperlink>
      <w:r>
        <w:t xml:space="preserve">  </w:t>
      </w:r>
    </w:p>
  </w:footnote>
  <w:footnote w:id="25">
    <w:p w14:paraId="054CD121" w14:textId="49170D2A" w:rsidR="0055010E" w:rsidRPr="00857970" w:rsidRDefault="0055010E" w:rsidP="0055010E">
      <w:pPr>
        <w:pStyle w:val="FootnoteText"/>
        <w:rPr>
          <w:lang w:val="en-CA"/>
        </w:rPr>
      </w:pPr>
      <w:r>
        <w:rPr>
          <w:rStyle w:val="FootnoteReference"/>
        </w:rPr>
        <w:footnoteRef/>
      </w:r>
      <w:r>
        <w:t xml:space="preserve"> </w:t>
      </w:r>
      <w:hyperlink r:id="rId23" w:history="1">
        <w:r w:rsidR="00037243" w:rsidRPr="00A13DC2">
          <w:rPr>
            <w:rStyle w:val="Hyperlink"/>
          </w:rPr>
          <w:t>https://www150.statcan.gc.ca/n1/daily-quotidien/251028/dq251028a-eng.htm</w:t>
        </w:r>
      </w:hyperlink>
    </w:p>
  </w:footnote>
  <w:footnote w:id="26">
    <w:p w14:paraId="5C2D06B3" w14:textId="525316DC" w:rsidR="00037243" w:rsidRDefault="00037243">
      <w:pPr>
        <w:pStyle w:val="FootnoteText"/>
      </w:pPr>
      <w:r>
        <w:rPr>
          <w:rStyle w:val="FootnoteReference"/>
        </w:rPr>
        <w:footnoteRef/>
      </w:r>
      <w:r>
        <w:t xml:space="preserve"> </w:t>
      </w:r>
      <w:hyperlink r:id="rId24" w:history="1">
        <w:r w:rsidRPr="00A13DC2">
          <w:rPr>
            <w:rStyle w:val="Hyperlink"/>
          </w:rPr>
          <w:t>https://www.ola.org/sites/default/files/node-files/hansard/document/pdf/2025/2025-11/05-NOV-2025_L034A.pdf</w:t>
        </w:r>
      </w:hyperlink>
    </w:p>
  </w:footnote>
  <w:footnote w:id="27">
    <w:p w14:paraId="5F579D3E" w14:textId="77777777" w:rsidR="0055010E" w:rsidRPr="00213EAC" w:rsidRDefault="0055010E" w:rsidP="0055010E">
      <w:pPr>
        <w:pStyle w:val="FootnoteText"/>
        <w:rPr>
          <w:lang w:val="en-CA"/>
        </w:rPr>
      </w:pPr>
      <w:r>
        <w:rPr>
          <w:rStyle w:val="FootnoteReference"/>
        </w:rPr>
        <w:footnoteRef/>
      </w:r>
      <w:r>
        <w:t xml:space="preserve"> </w:t>
      </w:r>
      <w:hyperlink r:id="rId25" w:history="1">
        <w:r w:rsidRPr="00217C50">
          <w:rPr>
            <w:rStyle w:val="Hyperlink"/>
            <w:lang w:val="en-CA"/>
          </w:rPr>
          <w:t>https://nationalactionplan.ca/</w:t>
        </w:r>
      </w:hyperlink>
      <w:r>
        <w:rPr>
          <w:lang w:val="en-CA"/>
        </w:rPr>
        <w:t xml:space="preserve"> </w:t>
      </w:r>
    </w:p>
  </w:footnote>
  <w:footnote w:id="28">
    <w:p w14:paraId="3F3846D7" w14:textId="77777777" w:rsidR="0055010E" w:rsidRPr="00412181" w:rsidRDefault="0055010E" w:rsidP="0055010E">
      <w:pPr>
        <w:pStyle w:val="FootnoteText"/>
        <w:rPr>
          <w:lang w:val="en-CA"/>
        </w:rPr>
      </w:pPr>
      <w:r>
        <w:rPr>
          <w:rStyle w:val="FootnoteReference"/>
        </w:rPr>
        <w:footnoteRef/>
      </w:r>
      <w:r>
        <w:t xml:space="preserve"> </w:t>
      </w:r>
      <w:hyperlink r:id="rId26" w:history="1">
        <w:r w:rsidRPr="00556E69">
          <w:rPr>
            <w:rStyle w:val="Hyperlink"/>
          </w:rPr>
          <w:t>https://papers.ssrn.com/sol3/papers.cfm?abstract_id=2381582</w:t>
        </w:r>
      </w:hyperlink>
      <w:r>
        <w:t xml:space="preserve"> </w:t>
      </w:r>
    </w:p>
  </w:footnote>
  <w:footnote w:id="29">
    <w:p w14:paraId="36AB8B2F" w14:textId="1EB3DF12" w:rsidR="00B918D1" w:rsidRDefault="00B918D1">
      <w:pPr>
        <w:pStyle w:val="FootnoteText"/>
      </w:pPr>
      <w:r>
        <w:rPr>
          <w:rStyle w:val="FootnoteReference"/>
        </w:rPr>
        <w:footnoteRef/>
      </w:r>
      <w:r>
        <w:t xml:space="preserve"> </w:t>
      </w:r>
      <w:r w:rsidR="00F26722">
        <w:t xml:space="preserve">Women’s Shelters Canada, </w:t>
      </w:r>
      <w:r w:rsidR="00F26722" w:rsidRPr="00F26722">
        <w:t>Reflections on the First Year of the National Action Plan to End Gender-Based Violence</w:t>
      </w:r>
      <w:r w:rsidR="00F26722">
        <w:t xml:space="preserve">, November 9, 2023 </w:t>
      </w:r>
      <w:hyperlink r:id="rId27" w:history="1">
        <w:r w:rsidRPr="00F26722">
          <w:rPr>
            <w:rStyle w:val="Hyperlink"/>
          </w:rPr>
          <w:t>https://endvaw.ca/archives/news/first-year-nap/</w:t>
        </w:r>
      </w:hyperlink>
      <w:r w:rsidR="00F26722">
        <w:t xml:space="preserve"> </w:t>
      </w:r>
      <w:r>
        <w:t xml:space="preserve"> </w:t>
      </w:r>
    </w:p>
  </w:footnote>
  <w:footnote w:id="30">
    <w:p w14:paraId="6D026E7C" w14:textId="77777777" w:rsidR="0055010E" w:rsidRPr="00DD7C41" w:rsidRDefault="0055010E" w:rsidP="0055010E">
      <w:pPr>
        <w:pStyle w:val="FootnoteText"/>
      </w:pPr>
      <w:r>
        <w:rPr>
          <w:rStyle w:val="FootnoteReference"/>
        </w:rPr>
        <w:footnoteRef/>
      </w:r>
      <w:r>
        <w:t xml:space="preserve"> Joint Federal/Provincial Commission into the April 2020 Nova Scotia Mass Casualty </w:t>
      </w:r>
      <w:hyperlink r:id="rId28" w:history="1">
        <w:r w:rsidRPr="00217C50">
          <w:rPr>
            <w:rStyle w:val="Hyperlink"/>
          </w:rPr>
          <w:t>www.masscasualtycommission.ca</w:t>
        </w:r>
      </w:hyperlink>
      <w:r>
        <w:t xml:space="preserve"> </w:t>
      </w:r>
    </w:p>
  </w:footnote>
  <w:footnote w:id="31">
    <w:p w14:paraId="115576B9" w14:textId="77777777" w:rsidR="0055010E" w:rsidRPr="004C7E79" w:rsidRDefault="0055010E" w:rsidP="0055010E">
      <w:pPr>
        <w:pStyle w:val="FootnoteText"/>
      </w:pPr>
      <w:r>
        <w:rPr>
          <w:rStyle w:val="FootnoteReference"/>
        </w:rPr>
        <w:footnoteRef/>
      </w:r>
      <w:r>
        <w:t xml:space="preserve"> </w:t>
      </w:r>
      <w:hyperlink r:id="rId29" w:history="1">
        <w:r w:rsidRPr="00217C50">
          <w:rPr>
            <w:rStyle w:val="Hyperlink"/>
          </w:rPr>
          <w:t>https://masscasualtycommission.ca/files/documents/Turning-the-Tide-Together-List-of-Recommendations.pdf</w:t>
        </w:r>
      </w:hyperlink>
      <w:r>
        <w:t xml:space="preserve"> </w:t>
      </w:r>
    </w:p>
  </w:footnote>
  <w:footnote w:id="32">
    <w:p w14:paraId="2671C3E7" w14:textId="77A063C1" w:rsidR="00DF6133" w:rsidRPr="00DF6133" w:rsidRDefault="00DF6133">
      <w:pPr>
        <w:pStyle w:val="FootnoteText"/>
      </w:pPr>
      <w:r>
        <w:rPr>
          <w:rStyle w:val="FootnoteReference"/>
        </w:rPr>
        <w:footnoteRef/>
      </w:r>
      <w:r w:rsidRPr="00DF6133">
        <w:t xml:space="preserve"> Immigration options for victims o</w:t>
      </w:r>
      <w:r>
        <w:t xml:space="preserve">f family violence, </w:t>
      </w:r>
      <w:hyperlink r:id="rId30" w:history="1">
        <w:r w:rsidRPr="00DF6133">
          <w:rPr>
            <w:rStyle w:val="Hyperlink"/>
          </w:rPr>
          <w:t>https://www.canada.ca/en/immigration-refugees-citizenship/services/immigrate-canada/family-sponsorship/fees-permits-victims.html</w:t>
        </w:r>
      </w:hyperlink>
      <w:r>
        <w:t xml:space="preserve"> </w:t>
      </w:r>
    </w:p>
  </w:footnote>
  <w:footnote w:id="33">
    <w:p w14:paraId="630A8712" w14:textId="164E014D" w:rsidR="00DF6133" w:rsidRDefault="00DF6133">
      <w:pPr>
        <w:pStyle w:val="FootnoteText"/>
      </w:pPr>
      <w:r>
        <w:rPr>
          <w:rStyle w:val="FootnoteReference"/>
        </w:rPr>
        <w:footnoteRef/>
      </w:r>
      <w:r w:rsidRPr="00DF6133">
        <w:t>Ministerial Instructions (MI82): Ministerial Instructions pursuant to subsection 24(3) of the Immigration and Refugee Protection Act concerning foreign nationals who are victims of family violence</w:t>
      </w:r>
      <w:r>
        <w:t xml:space="preserve"> </w:t>
      </w:r>
      <w:hyperlink r:id="rId31" w:history="1">
        <w:r w:rsidRPr="00DF6133">
          <w:rPr>
            <w:rStyle w:val="Hyperlink"/>
          </w:rPr>
          <w:t>https://www.canada.ca/en/immigration-refugees-citizenship/corporate/mandate/policies-operational-instructions-agreements/ministerial-instructions/other-goals/mi82.html</w:t>
        </w:r>
      </w:hyperlink>
      <w:r>
        <w:t xml:space="preserve"> </w:t>
      </w:r>
    </w:p>
  </w:footnote>
  <w:footnote w:id="34">
    <w:p w14:paraId="6699AC91" w14:textId="131F14EB" w:rsidR="00DF6133" w:rsidRPr="00DF6133" w:rsidRDefault="00DF6133">
      <w:pPr>
        <w:pStyle w:val="FootnoteText"/>
        <w:rPr>
          <w:lang w:val="en-CA"/>
        </w:rPr>
      </w:pPr>
      <w:r>
        <w:rPr>
          <w:rStyle w:val="FootnoteReference"/>
        </w:rPr>
        <w:footnoteRef/>
      </w:r>
      <w:r>
        <w:t xml:space="preserve"> </w:t>
      </w:r>
      <w:r w:rsidRPr="00DF6133">
        <w:t>Ministerial Instructions 81 (MI81): Ministerial Instructions Regarding the Protection of Foreign National Victims of Human Trafficking in Canada via the Issuance of Temporary Resident Permits</w:t>
      </w:r>
      <w:r>
        <w:t xml:space="preserve"> </w:t>
      </w:r>
      <w:hyperlink r:id="rId32" w:history="1">
        <w:r w:rsidRPr="00DF6133">
          <w:rPr>
            <w:rStyle w:val="Hyperlink"/>
          </w:rPr>
          <w:t>https://www.canada.ca/en/immigration-refugees-citizenship/corporate/mandate/policies-operational-instructions-agreements/ministerial-instructions/other-goals/mi81.html</w:t>
        </w:r>
      </w:hyperlink>
      <w:r>
        <w:t xml:space="preserve"> </w:t>
      </w:r>
    </w:p>
  </w:footnote>
  <w:footnote w:id="35">
    <w:p w14:paraId="5ED4C930" w14:textId="595AD7B8" w:rsidR="005F1588" w:rsidRPr="00DF6133" w:rsidRDefault="005F1588">
      <w:pPr>
        <w:pStyle w:val="FootnoteText"/>
      </w:pPr>
      <w:r>
        <w:rPr>
          <w:rStyle w:val="FootnoteReference"/>
        </w:rPr>
        <w:footnoteRef/>
      </w:r>
      <w:r w:rsidRPr="00DF6133">
        <w:t xml:space="preserve"> </w:t>
      </w:r>
      <w:hyperlink r:id="rId33" w:history="1">
        <w:r w:rsidRPr="00DF6133">
          <w:rPr>
            <w:rStyle w:val="Hyperlink"/>
          </w:rPr>
          <w:t>https://www.canada.ca/en/immigration-refugees-citizenship/news/notices/pausing-home-care-worker-immigration-pilots-application-intake.html</w:t>
        </w:r>
      </w:hyperlink>
      <w:r w:rsidRPr="00DF6133">
        <w:t xml:space="preserve"> </w:t>
      </w:r>
    </w:p>
  </w:footnote>
  <w:footnote w:id="36">
    <w:p w14:paraId="1F448433" w14:textId="29C0636F" w:rsidR="005F1588" w:rsidRDefault="005F1588">
      <w:pPr>
        <w:pStyle w:val="FootnoteText"/>
      </w:pPr>
      <w:r>
        <w:rPr>
          <w:rStyle w:val="FootnoteReference"/>
        </w:rPr>
        <w:footnoteRef/>
      </w:r>
      <w:r>
        <w:t xml:space="preserve"> </w:t>
      </w:r>
      <w:hyperlink r:id="rId34" w:history="1">
        <w:r w:rsidRPr="00EE6C64">
          <w:rPr>
            <w:rStyle w:val="Hyperlink"/>
          </w:rPr>
          <w:t>https://www.canada.ca/en/immigration-refugees-citizenship/corporate/mandate/policies-operational-instructions-agreements/ministerial-instructions/other-goals/mi89.html</w:t>
        </w:r>
      </w:hyperlink>
      <w:r>
        <w:t xml:space="preserve"> </w:t>
      </w:r>
    </w:p>
  </w:footnote>
  <w:footnote w:id="37">
    <w:p w14:paraId="0CBB58A9" w14:textId="093886CD" w:rsidR="005F1588" w:rsidRDefault="005F1588">
      <w:pPr>
        <w:pStyle w:val="FootnoteText"/>
      </w:pPr>
      <w:r>
        <w:rPr>
          <w:rStyle w:val="FootnoteReference"/>
        </w:rPr>
        <w:footnoteRef/>
      </w:r>
      <w:r>
        <w:t xml:space="preserve"> </w:t>
      </w:r>
      <w:hyperlink r:id="rId35" w:history="1">
        <w:r w:rsidRPr="00EE6C64">
          <w:rPr>
            <w:rStyle w:val="Hyperlink"/>
          </w:rPr>
          <w:t>https://www.canada.ca/en/immigration-refugees-citizenship/news/notices/temporary-pause-extended-refugee-sponsorship-applications-groups-five.html</w:t>
        </w:r>
      </w:hyperlink>
      <w:r>
        <w:t xml:space="preserve"> </w:t>
      </w:r>
    </w:p>
  </w:footnote>
  <w:footnote w:id="38">
    <w:p w14:paraId="277BCD01" w14:textId="7A372F54" w:rsidR="00B16F3C" w:rsidRDefault="00B16F3C">
      <w:pPr>
        <w:pStyle w:val="FootnoteText"/>
      </w:pPr>
      <w:r>
        <w:rPr>
          <w:rStyle w:val="FootnoteReference"/>
        </w:rPr>
        <w:footnoteRef/>
      </w:r>
      <w:r>
        <w:t xml:space="preserve"> </w:t>
      </w:r>
      <w:hyperlink r:id="rId36" w:history="1">
        <w:r w:rsidRPr="00EE6C64">
          <w:rPr>
            <w:rStyle w:val="Hyperlink"/>
          </w:rPr>
          <w:t>https://www.cbc.ca/news/canada/ottawa/50-year-immigration-wait-stuns-lawyers-and-families-but-ircc-says-it-s-no-mistake-9.6939919</w:t>
        </w:r>
      </w:hyperlink>
      <w:r>
        <w:t xml:space="preserve"> </w:t>
      </w:r>
    </w:p>
  </w:footnote>
  <w:footnote w:id="39">
    <w:p w14:paraId="6A52A44A" w14:textId="60A185A5" w:rsidR="008A12C6" w:rsidRDefault="008A12C6">
      <w:pPr>
        <w:pStyle w:val="FootnoteText"/>
      </w:pPr>
      <w:r>
        <w:rPr>
          <w:rStyle w:val="FootnoteReference"/>
        </w:rPr>
        <w:footnoteRef/>
      </w:r>
      <w:r>
        <w:t xml:space="preserve"> </w:t>
      </w:r>
      <w:hyperlink r:id="rId37" w:history="1">
        <w:r w:rsidRPr="00EE6C64">
          <w:rPr>
            <w:rStyle w:val="Hyperlink"/>
          </w:rPr>
          <w:t>https://www.cbc.ca/news/canada/ottawa/ircc-migrant-caregivers-pause-applications-9.7031403</w:t>
        </w:r>
      </w:hyperlink>
      <w:r>
        <w:t xml:space="preserve"> </w:t>
      </w:r>
    </w:p>
  </w:footnote>
  <w:footnote w:id="40">
    <w:p w14:paraId="5C36DAF5" w14:textId="5A98AE55" w:rsidR="00D44A7F" w:rsidRDefault="00D44A7F">
      <w:pPr>
        <w:pStyle w:val="FootnoteText"/>
      </w:pPr>
      <w:r>
        <w:rPr>
          <w:rStyle w:val="FootnoteReference"/>
        </w:rPr>
        <w:footnoteRef/>
      </w:r>
      <w:r>
        <w:t xml:space="preserve"> </w:t>
      </w:r>
      <w:r w:rsidRPr="00D44A7F">
        <w:rPr>
          <w:lang w:val="en-GB"/>
        </w:rPr>
        <w:t>Singh v. Minister of Employment and Immigration, 1985 CanLII 65 (SCC), [1985] 1 SCR 177, &lt;</w:t>
      </w:r>
      <w:hyperlink r:id="rId38" w:history="1">
        <w:r w:rsidRPr="00D44A7F">
          <w:rPr>
            <w:rStyle w:val="Hyperlink"/>
            <w:lang w:val="en-GB"/>
          </w:rPr>
          <w:t>https://canlii.ca/t/1fv22</w:t>
        </w:r>
      </w:hyperlink>
      <w:r w:rsidRPr="00D44A7F">
        <w:rPr>
          <w:lang w:val="en-GB"/>
        </w:rPr>
        <w:t>&gt;, retrieved on 2026-02-02</w:t>
      </w:r>
    </w:p>
  </w:footnote>
  <w:footnote w:id="41">
    <w:p w14:paraId="25504B64" w14:textId="77777777" w:rsidR="005834B3" w:rsidRDefault="005834B3" w:rsidP="005834B3">
      <w:pPr>
        <w:pStyle w:val="FootnoteText"/>
      </w:pPr>
      <w:r>
        <w:rPr>
          <w:rStyle w:val="FootnoteReference"/>
        </w:rPr>
        <w:footnoteRef/>
      </w:r>
      <w:r>
        <w:t xml:space="preserve"> SOGEISC refers to individuals with, or who are perceived to have, sexual orientations, gender identities and</w:t>
      </w:r>
    </w:p>
    <w:p w14:paraId="14690536" w14:textId="77777777" w:rsidR="005834B3" w:rsidRDefault="005834B3" w:rsidP="005834B3">
      <w:pPr>
        <w:pStyle w:val="FootnoteText"/>
      </w:pPr>
      <w:r>
        <w:t>expressions and sex characteristics (SOGIESC) that do not conform to socially accepted norms in a particular</w:t>
      </w:r>
    </w:p>
    <w:p w14:paraId="1858B7D3" w14:textId="1BF99FD8" w:rsidR="005834B3" w:rsidRDefault="005834B3" w:rsidP="005834B3">
      <w:pPr>
        <w:pStyle w:val="FootnoteText"/>
      </w:pPr>
      <w:r>
        <w:t>cultural environment.</w:t>
      </w:r>
    </w:p>
  </w:footnote>
  <w:footnote w:id="42">
    <w:p w14:paraId="666A4848" w14:textId="51B1A13E" w:rsidR="003459FB" w:rsidRDefault="003459FB">
      <w:pPr>
        <w:pStyle w:val="FootnoteText"/>
      </w:pPr>
      <w:r>
        <w:rPr>
          <w:rStyle w:val="FootnoteReference"/>
        </w:rPr>
        <w:footnoteRef/>
      </w:r>
      <w:r>
        <w:t xml:space="preserve"> The Governor General acting on advice of the federal Cabinet. </w:t>
      </w:r>
    </w:p>
  </w:footnote>
  <w:footnote w:id="43">
    <w:p w14:paraId="6A956FC0" w14:textId="7916BF33" w:rsidR="004A024B" w:rsidRDefault="004A024B">
      <w:pPr>
        <w:pStyle w:val="FootnoteText"/>
      </w:pPr>
      <w:r>
        <w:rPr>
          <w:rStyle w:val="FootnoteReference"/>
        </w:rPr>
        <w:footnoteRef/>
      </w:r>
      <w:r>
        <w:t xml:space="preserve"> </w:t>
      </w:r>
      <w:r w:rsidR="007F7AA3">
        <w:t>CBC News, “</w:t>
      </w:r>
      <w:r w:rsidR="007F7AA3" w:rsidRPr="007F7AA3">
        <w:t>Ottawa seeking mass visa cancellation powers to deter fraud from India: internal documents</w:t>
      </w:r>
      <w:r w:rsidR="007F7AA3">
        <w:t xml:space="preserve">”, November 3, 2025 </w:t>
      </w:r>
      <w:hyperlink r:id="rId39" w:history="1">
        <w:r w:rsidR="007F7AA3" w:rsidRPr="00EE6C64">
          <w:rPr>
            <w:rStyle w:val="Hyperlink"/>
          </w:rPr>
          <w:t>https://www.cbc.ca/news/politics/mass-cancellation-power-visas-india-bangladesh-9.6956426</w:t>
        </w:r>
      </w:hyperlink>
      <w:r w:rsidR="007F7AA3">
        <w:t xml:space="preserve"> </w:t>
      </w:r>
    </w:p>
  </w:footnote>
  <w:footnote w:id="44">
    <w:p w14:paraId="145B677B" w14:textId="6389373E" w:rsidR="000A3CCF" w:rsidRPr="003E1A7E" w:rsidRDefault="000A3CCF">
      <w:pPr>
        <w:pStyle w:val="FootnoteText"/>
        <w:rPr>
          <w:rFonts w:cstheme="minorHAnsi"/>
        </w:rPr>
      </w:pPr>
      <w:r w:rsidRPr="003E1A7E">
        <w:rPr>
          <w:rStyle w:val="FootnoteReference"/>
          <w:rFonts w:cstheme="minorHAnsi"/>
        </w:rPr>
        <w:footnoteRef/>
      </w:r>
      <w:r w:rsidRPr="003E1A7E">
        <w:rPr>
          <w:rFonts w:cstheme="minorHAnsi"/>
        </w:rPr>
        <w:t xml:space="preserve"> CBC News, “50-year immigration wait stuns lawyers and families, but IRCC says it's no mistake”, Oct 20, 2025 </w:t>
      </w:r>
      <w:hyperlink r:id="rId40" w:history="1">
        <w:r w:rsidRPr="003E1A7E">
          <w:rPr>
            <w:rStyle w:val="Hyperlink"/>
            <w:rFonts w:cstheme="minorHAnsi"/>
          </w:rPr>
          <w:t>https://www.cbc.ca/news/canada/ottawa/50-year-immigration-wait-stuns-lawyers-and-families-but-ircc-says-it-s-no-mistake-9.6939919</w:t>
        </w:r>
      </w:hyperlink>
      <w:r w:rsidRPr="003E1A7E">
        <w:rPr>
          <w:rFonts w:cstheme="minorHAnsi"/>
        </w:rPr>
        <w:t xml:space="preserve"> </w:t>
      </w:r>
    </w:p>
  </w:footnote>
  <w:footnote w:id="45">
    <w:p w14:paraId="3488BD3F" w14:textId="1FE1BF9E" w:rsidR="00E8521A" w:rsidRPr="0063317F" w:rsidRDefault="00E8521A" w:rsidP="0063317F">
      <w:pPr>
        <w:rPr>
          <w:rFonts w:ascii="Arial" w:eastAsia="Times New Roman" w:hAnsi="Arial" w:cs="Arial"/>
          <w:sz w:val="20"/>
          <w:szCs w:val="20"/>
          <w:lang w:val="en-US"/>
        </w:rPr>
      </w:pPr>
      <w:r w:rsidRPr="003E1A7E">
        <w:rPr>
          <w:rStyle w:val="FootnoteReference"/>
          <w:rFonts w:cstheme="minorHAnsi"/>
          <w:sz w:val="20"/>
          <w:szCs w:val="20"/>
        </w:rPr>
        <w:footnoteRef/>
      </w:r>
      <w:r w:rsidRPr="003E1A7E">
        <w:rPr>
          <w:rFonts w:cstheme="minorHAnsi"/>
          <w:sz w:val="20"/>
          <w:szCs w:val="20"/>
        </w:rPr>
        <w:t xml:space="preserve"> Legal Aid Ontario, </w:t>
      </w:r>
      <w:r w:rsidRPr="003E1A7E">
        <w:rPr>
          <w:rFonts w:eastAsia="Times New Roman" w:cstheme="minorHAnsi"/>
          <w:sz w:val="20"/>
          <w:szCs w:val="20"/>
          <w:lang w:val="en-US"/>
        </w:rPr>
        <w:t xml:space="preserve">Submissions To the Standing Committee On Citizenship And Immigration Regarding Bill C-12 – Strengthening Canada’s Immigration System And Borders Act November 2025 </w:t>
      </w:r>
      <w:hyperlink r:id="rId41" w:history="1">
        <w:r w:rsidRPr="003E1A7E">
          <w:rPr>
            <w:rStyle w:val="Hyperlink"/>
            <w:rFonts w:eastAsia="Times New Roman" w:cstheme="minorHAnsi"/>
            <w:sz w:val="20"/>
            <w:szCs w:val="20"/>
            <w:lang w:val="en-US"/>
          </w:rPr>
          <w:t>https://www.ourcommons.ca/Content/Committee/451/CIMM/Brief/BR13730246/br-external/LegalAidOntario-e.pdf</w:t>
        </w:r>
      </w:hyperlink>
      <w:r w:rsidRPr="0063317F">
        <w:rPr>
          <w:rFonts w:ascii="Arial" w:eastAsia="Times New Roman" w:hAnsi="Arial" w:cs="Arial"/>
          <w:sz w:val="20"/>
          <w:szCs w:val="20"/>
          <w:lang w:val="en-US"/>
        </w:rPr>
        <w:t xml:space="preserve"> </w:t>
      </w:r>
    </w:p>
  </w:footnote>
  <w:footnote w:id="46">
    <w:p w14:paraId="6CBE9D7E" w14:textId="240F326E" w:rsidR="0009381C" w:rsidRPr="003E1A7E" w:rsidRDefault="0009381C">
      <w:pPr>
        <w:pStyle w:val="FootnoteText"/>
        <w:rPr>
          <w:rFonts w:cstheme="minorHAnsi"/>
        </w:rPr>
      </w:pPr>
      <w:r w:rsidRPr="0063317F">
        <w:rPr>
          <w:rStyle w:val="FootnoteReference"/>
          <w:rFonts w:ascii="Arial" w:hAnsi="Arial" w:cs="Arial"/>
        </w:rPr>
        <w:footnoteRef/>
      </w:r>
      <w:r w:rsidRPr="0063317F">
        <w:rPr>
          <w:rFonts w:ascii="Arial" w:hAnsi="Arial" w:cs="Arial"/>
        </w:rPr>
        <w:t xml:space="preserve"> </w:t>
      </w:r>
      <w:hyperlink r:id="rId42" w:history="1">
        <w:r w:rsidR="0063317F" w:rsidRPr="003E1A7E">
          <w:rPr>
            <w:rStyle w:val="Hyperlink"/>
            <w:rFonts w:cstheme="minorHAnsi"/>
          </w:rPr>
          <w:t>https://ccrweb.ca/en/release-rights-groups-issue-urgent-warning-ahead-critical-c-12-vote</w:t>
        </w:r>
      </w:hyperlink>
      <w:r w:rsidR="0063317F" w:rsidRPr="003E1A7E">
        <w:rPr>
          <w:rFonts w:cstheme="minorHAnsi"/>
        </w:rPr>
        <w:t xml:space="preserve"> </w:t>
      </w:r>
    </w:p>
  </w:footnote>
  <w:footnote w:id="47">
    <w:p w14:paraId="732BC0C5" w14:textId="77777777" w:rsidR="008F4AA5" w:rsidRPr="00DF6C38" w:rsidRDefault="008F4AA5" w:rsidP="008F4AA5">
      <w:pPr>
        <w:pStyle w:val="FootnoteText"/>
        <w:rPr>
          <w:lang w:val="en-CA"/>
        </w:rPr>
      </w:pPr>
      <w:r w:rsidRPr="003E1A7E">
        <w:rPr>
          <w:rStyle w:val="FootnoteReference"/>
          <w:rFonts w:cstheme="minorHAnsi"/>
        </w:rPr>
        <w:footnoteRef/>
      </w:r>
      <w:r w:rsidRPr="003E1A7E">
        <w:rPr>
          <w:rFonts w:cstheme="minorHAnsi"/>
        </w:rPr>
        <w:t xml:space="preserve"> </w:t>
      </w:r>
      <w:r w:rsidRPr="003E1A7E">
        <w:rPr>
          <w:rFonts w:cstheme="minorHAnsi"/>
          <w:lang w:val="en-CA"/>
        </w:rPr>
        <w:t xml:space="preserve">UN Working Group on Arbitrary Detention : Preliminary Findings from its visit to Canada (13 to 24 May 2024) </w:t>
      </w:r>
      <w:hyperlink r:id="rId43" w:history="1">
        <w:r w:rsidRPr="003E1A7E">
          <w:rPr>
            <w:rStyle w:val="Hyperlink"/>
            <w:rFonts w:cstheme="minorHAnsi"/>
            <w:lang w:val="en-CA"/>
          </w:rPr>
          <w:t>https://www.ohchr.org/sites/default/files/documents/issues/detention-wg/statements/20240524-wgad-eom-ca-pf.pdf</w:t>
        </w:r>
      </w:hyperlink>
      <w:r>
        <w:rPr>
          <w:lang w:val="en-CA"/>
        </w:rPr>
        <w:t xml:space="preserve"> </w:t>
      </w:r>
    </w:p>
  </w:footnote>
  <w:footnote w:id="48">
    <w:p w14:paraId="3A7CE4BD" w14:textId="10BE745E" w:rsidR="00AD2DEB" w:rsidRDefault="00AD2DEB">
      <w:pPr>
        <w:pStyle w:val="FootnoteText"/>
      </w:pPr>
      <w:r>
        <w:rPr>
          <w:rStyle w:val="FootnoteReference"/>
        </w:rPr>
        <w:footnoteRef/>
      </w:r>
      <w:r>
        <w:t xml:space="preserve"> </w:t>
      </w:r>
      <w:r w:rsidRPr="00AD2DEB">
        <w:t>Public Complaints and Review Commission Act (S.C. 2024, c. 25)</w:t>
      </w:r>
      <w:r>
        <w:t xml:space="preserve"> </w:t>
      </w:r>
      <w:r w:rsidRPr="00AD2DEB">
        <w:t>https://laws-lois.justice.gc.ca/eng/acts/P-27.5/</w:t>
      </w:r>
    </w:p>
  </w:footnote>
  <w:footnote w:id="49">
    <w:p w14:paraId="2D67D80A" w14:textId="38BC3D10" w:rsidR="00AD2DEB" w:rsidRDefault="00AD2DEB">
      <w:pPr>
        <w:pStyle w:val="FootnoteText"/>
      </w:pPr>
      <w:r>
        <w:rPr>
          <w:rStyle w:val="FootnoteReference"/>
        </w:rPr>
        <w:footnoteRef/>
      </w:r>
      <w:r>
        <w:t xml:space="preserve"> </w:t>
      </w:r>
      <w:hyperlink r:id="rId44" w:history="1">
        <w:r w:rsidRPr="00E6535B">
          <w:rPr>
            <w:rStyle w:val="Hyperlink"/>
          </w:rPr>
          <w:t>https://www.parl.ca/legisinfo/en/bill/44-1/c-20</w:t>
        </w:r>
      </w:hyperlink>
      <w:r>
        <w:t xml:space="preserve"> </w:t>
      </w:r>
    </w:p>
  </w:footnote>
  <w:footnote w:id="50">
    <w:p w14:paraId="411DC2DE" w14:textId="1D045A8F" w:rsidR="00B85AAA" w:rsidRDefault="00B85AAA">
      <w:pPr>
        <w:pStyle w:val="FootnoteText"/>
      </w:pPr>
      <w:r>
        <w:rPr>
          <w:rStyle w:val="FootnoteReference"/>
        </w:rPr>
        <w:footnoteRef/>
      </w:r>
      <w:r>
        <w:t xml:space="preserve"> “</w:t>
      </w:r>
      <w:r w:rsidRPr="00B85AAA">
        <w:rPr>
          <w:i/>
          <w:iCs/>
        </w:rPr>
        <w:t>CBSA complaints commission still not up and running”,</w:t>
      </w:r>
      <w:r>
        <w:t xml:space="preserve"> Brigitte Bureau, CBC News, Feb 19 2025, </w:t>
      </w:r>
      <w:hyperlink r:id="rId45" w:history="1">
        <w:r w:rsidRPr="00E6535B">
          <w:rPr>
            <w:rStyle w:val="Hyperlink"/>
          </w:rPr>
          <w:t>https://www.cbc.ca/news/canada/ottawa/cbsa-complaints-commission-still-not-up-and-running-1.7461882</w:t>
        </w:r>
      </w:hyperlink>
      <w:r>
        <w:t xml:space="preserve"> </w:t>
      </w:r>
    </w:p>
  </w:footnote>
  <w:footnote w:id="51">
    <w:p w14:paraId="0C7AE19C" w14:textId="554BC198" w:rsidR="00AD5434" w:rsidRDefault="00AD5434">
      <w:pPr>
        <w:pStyle w:val="FootnoteText"/>
      </w:pPr>
      <w:r>
        <w:rPr>
          <w:rStyle w:val="FootnoteReference"/>
        </w:rPr>
        <w:footnoteRef/>
      </w:r>
      <w:r>
        <w:t xml:space="preserve"> </w:t>
      </w:r>
      <w:r w:rsidRPr="00AD5434">
        <w:t>A/HRC/60/26/Add.1: Visit to Canada - Report of the Working Group on Arbitrary Detention</w:t>
      </w:r>
      <w:r>
        <w:t xml:space="preserve">, published Aug 04, 2025, </w:t>
      </w:r>
      <w:hyperlink r:id="rId46" w:history="1">
        <w:r w:rsidRPr="00E6535B">
          <w:rPr>
            <w:rStyle w:val="Hyperlink"/>
          </w:rPr>
          <w:t>https://www.ohchr.org/en/documents/country-reports/ahrc6026add1-visit-canada-report-working-group-arbitrary-detention</w:t>
        </w:r>
      </w:hyperlink>
      <w:r>
        <w:t xml:space="preserve"> </w:t>
      </w:r>
    </w:p>
  </w:footnote>
  <w:footnote w:id="52">
    <w:p w14:paraId="28145DA5" w14:textId="481C1C3D" w:rsidR="00AD5434" w:rsidRDefault="00AD5434">
      <w:pPr>
        <w:pStyle w:val="FootnoteText"/>
      </w:pPr>
      <w:r>
        <w:rPr>
          <w:rStyle w:val="FootnoteReference"/>
        </w:rPr>
        <w:footnoteRef/>
      </w:r>
      <w:r>
        <w:t xml:space="preserve"> </w:t>
      </w:r>
      <w:hyperlink r:id="rId47" w:history="1">
        <w:r w:rsidRPr="00E6535B">
          <w:rPr>
            <w:rStyle w:val="Hyperlink"/>
          </w:rPr>
          <w:t>https://docs.un.org/en/A/HRC/60/26/ADD.1</w:t>
        </w:r>
      </w:hyperlink>
      <w:r>
        <w:t xml:space="preserve"> </w:t>
      </w:r>
    </w:p>
  </w:footnote>
  <w:footnote w:id="53">
    <w:p w14:paraId="4447F213" w14:textId="77777777" w:rsidR="00653233" w:rsidRPr="00BB281F" w:rsidRDefault="00653233" w:rsidP="00653233">
      <w:pPr>
        <w:pStyle w:val="FootnoteText"/>
        <w:rPr>
          <w:lang w:val="en-CA"/>
        </w:rPr>
      </w:pPr>
      <w:r>
        <w:rPr>
          <w:rStyle w:val="FootnoteReference"/>
        </w:rPr>
        <w:footnoteRef/>
      </w:r>
      <w:r>
        <w:t xml:space="preserve"> </w:t>
      </w:r>
      <w:hyperlink r:id="rId48" w:history="1">
        <w:r w:rsidRPr="00AB307D">
          <w:rPr>
            <w:rStyle w:val="Hyperlink"/>
          </w:rPr>
          <w:t>https://www150.statcan.gc.ca/n1/daily-quotidien/240426/dq240426a-eng.htm</w:t>
        </w:r>
      </w:hyperlink>
      <w:r>
        <w:t xml:space="preserve"> </w:t>
      </w:r>
    </w:p>
  </w:footnote>
  <w:footnote w:id="54">
    <w:p w14:paraId="171EA343" w14:textId="77777777" w:rsidR="00653233" w:rsidRPr="00C46006" w:rsidRDefault="00653233" w:rsidP="00653233">
      <w:pPr>
        <w:pStyle w:val="FootnoteText"/>
      </w:pPr>
      <w:r>
        <w:rPr>
          <w:rStyle w:val="FootnoteReference"/>
        </w:rPr>
        <w:footnoteRef/>
      </w:r>
      <w:r>
        <w:t xml:space="preserve"> </w:t>
      </w:r>
      <w:hyperlink r:id="rId49" w:history="1">
        <w:r w:rsidRPr="00217C50">
          <w:rPr>
            <w:rStyle w:val="Hyperlink"/>
          </w:rPr>
          <w:t>https://www.unicef.ca/sites/default/files/2023-12/UNICEFReportCard18CanadianCompanion.pdf</w:t>
        </w:r>
      </w:hyperlink>
      <w:r>
        <w:t xml:space="preserve"> </w:t>
      </w:r>
    </w:p>
  </w:footnote>
  <w:footnote w:id="55">
    <w:p w14:paraId="54D2025A" w14:textId="24628854" w:rsidR="00256A33" w:rsidRDefault="00256A33">
      <w:pPr>
        <w:pStyle w:val="FootnoteText"/>
      </w:pPr>
      <w:r>
        <w:rPr>
          <w:rStyle w:val="FootnoteReference"/>
        </w:rPr>
        <w:footnoteRef/>
      </w:r>
      <w:r>
        <w:t xml:space="preserve"> CTV News, </w:t>
      </w:r>
      <w:hyperlink r:id="rId50" w:history="1">
        <w:r w:rsidRPr="00256A33">
          <w:rPr>
            <w:rStyle w:val="Hyperlink"/>
            <w:lang w:val="en-GB"/>
          </w:rPr>
          <w:t>Bill 21 hearings: Religious groups denied chance to speak</w:t>
        </w:r>
      </w:hyperlink>
      <w:r>
        <w:t>, May 07, 2019 &lt;</w:t>
      </w:r>
      <w:r w:rsidRPr="00256A33">
        <w:t xml:space="preserve"> https://www.ctvnews.ca/montreal/article/bill-21-hearings-religious-groups-denied-chance-to-speak/</w:t>
      </w:r>
      <w:r>
        <w:t>&gt;</w:t>
      </w:r>
    </w:p>
  </w:footnote>
  <w:footnote w:id="56">
    <w:p w14:paraId="7CE044BA" w14:textId="3BA9EA23" w:rsidR="00256A33" w:rsidRDefault="00256A33">
      <w:pPr>
        <w:pStyle w:val="FootnoteText"/>
      </w:pPr>
      <w:r>
        <w:rPr>
          <w:rStyle w:val="FootnoteReference"/>
        </w:rPr>
        <w:footnoteRef/>
      </w:r>
      <w:r>
        <w:t xml:space="preserve"> CBC News, </w:t>
      </w:r>
      <w:hyperlink r:id="rId51" w:history="1">
        <w:r w:rsidRPr="00256A33">
          <w:rPr>
            <w:rStyle w:val="Hyperlink"/>
            <w:lang w:val="en-GB"/>
          </w:rPr>
          <w:t>New research shows Bill 21 having 'devastating' impact on religious minorities in Quebec | CBC News</w:t>
        </w:r>
      </w:hyperlink>
      <w:r>
        <w:t>, August 04, 2022 &lt;</w:t>
      </w:r>
      <w:r w:rsidRPr="00256A33">
        <w:t xml:space="preserve"> https://www.cbc.ca/news/canada/montreal/bill-21-impact-religious-minorities-survey-1.6541241</w:t>
      </w:r>
      <w:r>
        <w:t>&gt;</w:t>
      </w:r>
    </w:p>
  </w:footnote>
  <w:footnote w:id="57">
    <w:p w14:paraId="7F9F4762" w14:textId="12C77D36" w:rsidR="00C3243A" w:rsidRDefault="00C3243A">
      <w:pPr>
        <w:pStyle w:val="FootnoteText"/>
      </w:pPr>
      <w:r>
        <w:rPr>
          <w:rStyle w:val="FootnoteReference"/>
        </w:rPr>
        <w:footnoteRef/>
      </w:r>
      <w:r>
        <w:t xml:space="preserve"> The law also lands afoul of obligations under other international instruments Canada is a party to namely the International Covenant on Economic, Social and Cultural Rights (ICESCR), the International Convention on the Elimination of All Forms of Racial Discrimination (CERD), and the Convention on the Elimination of All Forms of Discrimination against Women (CEDAW).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CD3E2EB" w14:textId="0E895114" w:rsidR="009B0595" w:rsidRDefault="003464CF">
    <w:pPr>
      <w:pStyle w:val="Header"/>
    </w:pPr>
    <w:r>
      <w:rPr>
        <w:noProof/>
      </w:rPr>
      <w:pict w14:anchorId="7AAE5F42">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margin-left:0;margin-top:0;width:507.6pt;height:152.25pt;rotation:315;z-index:-251658752;mso-position-horizontal:center;mso-position-horizontal-relative:margin;mso-position-vertical:center;mso-position-vertical-relative:margin" o:allowincell="f" fillcolor="silver" stroked="f">
          <v:fill opacity=".5"/>
          <v:textpath style="font-family:&quot;Calibri&quot;;font-size:1pt" string="SALCO Draft"/>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41365056"/>
      <w:docPartObj>
        <w:docPartGallery w:val="Page Numbers (Top of Page)"/>
        <w:docPartUnique/>
      </w:docPartObj>
    </w:sdtPr>
    <w:sdtEndPr>
      <w:rPr>
        <w:noProof/>
      </w:rPr>
    </w:sdtEndPr>
    <w:sdtContent>
      <w:p w14:paraId="653928D2" w14:textId="2C03003A" w:rsidR="00814D8E" w:rsidRDefault="00814D8E">
        <w:pPr>
          <w:pStyle w:val="Header"/>
          <w:jc w:val="right"/>
        </w:pPr>
        <w:r>
          <w:fldChar w:fldCharType="begin"/>
        </w:r>
        <w:r>
          <w:instrText xml:space="preserve"> PAGE   \* MERGEFORMAT </w:instrText>
        </w:r>
        <w:r>
          <w:fldChar w:fldCharType="separate"/>
        </w:r>
        <w:r>
          <w:rPr>
            <w:noProof/>
          </w:rPr>
          <w:t>2</w:t>
        </w:r>
        <w:r>
          <w:rPr>
            <w:noProof/>
          </w:rPr>
          <w:fldChar w:fldCharType="end"/>
        </w:r>
      </w:p>
    </w:sdtContent>
  </w:sdt>
  <w:p w14:paraId="3AEF6F9C" w14:textId="77777777" w:rsidR="00814D8E" w:rsidRDefault="00814D8E">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AF435C"/>
    <w:multiLevelType w:val="hybridMultilevel"/>
    <w:tmpl w:val="DEE209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94D719E"/>
    <w:multiLevelType w:val="hybridMultilevel"/>
    <w:tmpl w:val="225A607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18BF7DE7"/>
    <w:multiLevelType w:val="hybridMultilevel"/>
    <w:tmpl w:val="D78A469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3" w15:restartNumberingAfterBreak="0">
    <w:nsid w:val="28161CB7"/>
    <w:multiLevelType w:val="hybridMultilevel"/>
    <w:tmpl w:val="7CC29A94"/>
    <w:lvl w:ilvl="0" w:tplc="7C564D0E">
      <w:start w:val="1"/>
      <w:numFmt w:val="decimal"/>
      <w:lvlText w:val="%1."/>
      <w:lvlJc w:val="left"/>
      <w:pPr>
        <w:ind w:left="460" w:hanging="360"/>
      </w:pPr>
      <w:rPr>
        <w:b w:val="0"/>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C3241A2"/>
    <w:multiLevelType w:val="multilevel"/>
    <w:tmpl w:val="5692B11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F422781"/>
    <w:multiLevelType w:val="hybridMultilevel"/>
    <w:tmpl w:val="5F34CF9C"/>
    <w:lvl w:ilvl="0" w:tplc="3E000FB0">
      <w:start w:val="1"/>
      <w:numFmt w:val="bullet"/>
      <w:lvlText w:val=""/>
      <w:lvlJc w:val="left"/>
      <w:pPr>
        <w:ind w:left="720" w:hanging="360"/>
      </w:pPr>
      <w:rPr>
        <w:rFonts w:ascii="Symbol" w:hAnsi="Symbol" w:hint="default"/>
        <w:sz w:val="24"/>
        <w:szCs w:val="2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63D1324"/>
    <w:multiLevelType w:val="multilevel"/>
    <w:tmpl w:val="C2608FF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15:restartNumberingAfterBreak="0">
    <w:nsid w:val="407F7E71"/>
    <w:multiLevelType w:val="hybridMultilevel"/>
    <w:tmpl w:val="0168302E"/>
    <w:lvl w:ilvl="0" w:tplc="E35A76FE">
      <w:start w:val="1"/>
      <w:numFmt w:val="decimal"/>
      <w:lvlText w:val="%1."/>
      <w:lvlJc w:val="left"/>
      <w:pPr>
        <w:ind w:left="360" w:hanging="360"/>
      </w:pPr>
      <w:rPr>
        <w:rFonts w:hint="default"/>
        <w:b w:val="0"/>
      </w:rPr>
    </w:lvl>
    <w:lvl w:ilvl="1" w:tplc="10090019" w:tentative="1">
      <w:start w:val="1"/>
      <w:numFmt w:val="lowerLetter"/>
      <w:lvlText w:val="%2."/>
      <w:lvlJc w:val="left"/>
      <w:pPr>
        <w:ind w:left="1080" w:hanging="360"/>
      </w:pPr>
    </w:lvl>
    <w:lvl w:ilvl="2" w:tplc="1009001B" w:tentative="1">
      <w:start w:val="1"/>
      <w:numFmt w:val="lowerRoman"/>
      <w:lvlText w:val="%3."/>
      <w:lvlJc w:val="right"/>
      <w:pPr>
        <w:ind w:left="1800" w:hanging="180"/>
      </w:pPr>
    </w:lvl>
    <w:lvl w:ilvl="3" w:tplc="1009000F" w:tentative="1">
      <w:start w:val="1"/>
      <w:numFmt w:val="decimal"/>
      <w:lvlText w:val="%4."/>
      <w:lvlJc w:val="left"/>
      <w:pPr>
        <w:ind w:left="2520" w:hanging="360"/>
      </w:pPr>
    </w:lvl>
    <w:lvl w:ilvl="4" w:tplc="10090019" w:tentative="1">
      <w:start w:val="1"/>
      <w:numFmt w:val="lowerLetter"/>
      <w:lvlText w:val="%5."/>
      <w:lvlJc w:val="left"/>
      <w:pPr>
        <w:ind w:left="3240" w:hanging="360"/>
      </w:pPr>
    </w:lvl>
    <w:lvl w:ilvl="5" w:tplc="1009001B" w:tentative="1">
      <w:start w:val="1"/>
      <w:numFmt w:val="lowerRoman"/>
      <w:lvlText w:val="%6."/>
      <w:lvlJc w:val="right"/>
      <w:pPr>
        <w:ind w:left="3960" w:hanging="180"/>
      </w:pPr>
    </w:lvl>
    <w:lvl w:ilvl="6" w:tplc="1009000F" w:tentative="1">
      <w:start w:val="1"/>
      <w:numFmt w:val="decimal"/>
      <w:lvlText w:val="%7."/>
      <w:lvlJc w:val="left"/>
      <w:pPr>
        <w:ind w:left="4680" w:hanging="360"/>
      </w:pPr>
    </w:lvl>
    <w:lvl w:ilvl="7" w:tplc="10090019" w:tentative="1">
      <w:start w:val="1"/>
      <w:numFmt w:val="lowerLetter"/>
      <w:lvlText w:val="%8."/>
      <w:lvlJc w:val="left"/>
      <w:pPr>
        <w:ind w:left="5400" w:hanging="360"/>
      </w:pPr>
    </w:lvl>
    <w:lvl w:ilvl="8" w:tplc="1009001B" w:tentative="1">
      <w:start w:val="1"/>
      <w:numFmt w:val="lowerRoman"/>
      <w:lvlText w:val="%9."/>
      <w:lvlJc w:val="right"/>
      <w:pPr>
        <w:ind w:left="6120" w:hanging="180"/>
      </w:pPr>
    </w:lvl>
  </w:abstractNum>
  <w:abstractNum w:abstractNumId="8" w15:restartNumberingAfterBreak="0">
    <w:nsid w:val="46B83B2E"/>
    <w:multiLevelType w:val="hybridMultilevel"/>
    <w:tmpl w:val="AA505222"/>
    <w:lvl w:ilvl="0" w:tplc="7C564D0E">
      <w:start w:val="1"/>
      <w:numFmt w:val="decimal"/>
      <w:lvlText w:val="%1."/>
      <w:lvlJc w:val="left"/>
      <w:pPr>
        <w:ind w:left="460" w:hanging="360"/>
      </w:pPr>
      <w:rPr>
        <w:b w:val="0"/>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9" w15:restartNumberingAfterBreak="0">
    <w:nsid w:val="499D5DD4"/>
    <w:multiLevelType w:val="hybridMultilevel"/>
    <w:tmpl w:val="AA505222"/>
    <w:lvl w:ilvl="0" w:tplc="7C564D0E">
      <w:start w:val="1"/>
      <w:numFmt w:val="decimal"/>
      <w:lvlText w:val="%1."/>
      <w:lvlJc w:val="left"/>
      <w:pPr>
        <w:ind w:left="460" w:hanging="360"/>
      </w:pPr>
      <w:rPr>
        <w:b w:val="0"/>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10" w15:restartNumberingAfterBreak="0">
    <w:nsid w:val="4E474AB2"/>
    <w:multiLevelType w:val="hybridMultilevel"/>
    <w:tmpl w:val="2910CB32"/>
    <w:lvl w:ilvl="0" w:tplc="7C564D0E">
      <w:start w:val="1"/>
      <w:numFmt w:val="decimal"/>
      <w:lvlText w:val="%1."/>
      <w:lvlJc w:val="left"/>
      <w:pPr>
        <w:ind w:left="460" w:hanging="360"/>
      </w:pPr>
      <w:rPr>
        <w:b w:val="0"/>
        <w:spacing w:val="0"/>
        <w:w w:val="100"/>
        <w:lang w:val="en-US" w:eastAsia="en-US" w:bidi="ar-SA"/>
      </w:rPr>
    </w:lvl>
    <w:lvl w:ilvl="1" w:tplc="35FEC206">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F75E979E">
      <w:numFmt w:val="bullet"/>
      <w:lvlText w:val="•"/>
      <w:lvlJc w:val="left"/>
      <w:pPr>
        <w:ind w:left="820" w:hanging="360"/>
      </w:pPr>
      <w:rPr>
        <w:lang w:val="en-US" w:eastAsia="en-US" w:bidi="ar-SA"/>
      </w:rPr>
    </w:lvl>
    <w:lvl w:ilvl="3" w:tplc="3522B7E0">
      <w:numFmt w:val="bullet"/>
      <w:lvlText w:val="•"/>
      <w:lvlJc w:val="left"/>
      <w:pPr>
        <w:ind w:left="880" w:hanging="360"/>
      </w:pPr>
      <w:rPr>
        <w:lang w:val="en-US" w:eastAsia="en-US" w:bidi="ar-SA"/>
      </w:rPr>
    </w:lvl>
    <w:lvl w:ilvl="4" w:tplc="9FA6538A">
      <w:numFmt w:val="bullet"/>
      <w:lvlText w:val="•"/>
      <w:lvlJc w:val="left"/>
      <w:pPr>
        <w:ind w:left="2122" w:hanging="360"/>
      </w:pPr>
      <w:rPr>
        <w:lang w:val="en-US" w:eastAsia="en-US" w:bidi="ar-SA"/>
      </w:rPr>
    </w:lvl>
    <w:lvl w:ilvl="5" w:tplc="6316DB08">
      <w:numFmt w:val="bullet"/>
      <w:lvlText w:val="•"/>
      <w:lvlJc w:val="left"/>
      <w:pPr>
        <w:ind w:left="3365" w:hanging="360"/>
      </w:pPr>
      <w:rPr>
        <w:lang w:val="en-US" w:eastAsia="en-US" w:bidi="ar-SA"/>
      </w:rPr>
    </w:lvl>
    <w:lvl w:ilvl="6" w:tplc="8556C8CC">
      <w:numFmt w:val="bullet"/>
      <w:lvlText w:val="•"/>
      <w:lvlJc w:val="left"/>
      <w:pPr>
        <w:ind w:left="4608" w:hanging="360"/>
      </w:pPr>
      <w:rPr>
        <w:lang w:val="en-US" w:eastAsia="en-US" w:bidi="ar-SA"/>
      </w:rPr>
    </w:lvl>
    <w:lvl w:ilvl="7" w:tplc="CECC20C2">
      <w:numFmt w:val="bullet"/>
      <w:lvlText w:val="•"/>
      <w:lvlJc w:val="left"/>
      <w:pPr>
        <w:ind w:left="5851" w:hanging="360"/>
      </w:pPr>
      <w:rPr>
        <w:lang w:val="en-US" w:eastAsia="en-US" w:bidi="ar-SA"/>
      </w:rPr>
    </w:lvl>
    <w:lvl w:ilvl="8" w:tplc="F6105444">
      <w:numFmt w:val="bullet"/>
      <w:lvlText w:val="•"/>
      <w:lvlJc w:val="left"/>
      <w:pPr>
        <w:ind w:left="7094" w:hanging="360"/>
      </w:pPr>
      <w:rPr>
        <w:lang w:val="en-US" w:eastAsia="en-US" w:bidi="ar-SA"/>
      </w:rPr>
    </w:lvl>
  </w:abstractNum>
  <w:abstractNum w:abstractNumId="11" w15:restartNumberingAfterBreak="0">
    <w:nsid w:val="548C58A3"/>
    <w:multiLevelType w:val="hybridMultilevel"/>
    <w:tmpl w:val="DB98F138"/>
    <w:lvl w:ilvl="0" w:tplc="9AA05F08">
      <w:start w:val="1"/>
      <w:numFmt w:val="decimal"/>
      <w:lvlText w:val="%1."/>
      <w:lvlJc w:val="left"/>
      <w:pPr>
        <w:ind w:left="460" w:hanging="360"/>
      </w:pPr>
      <w:rPr>
        <w:spacing w:val="0"/>
        <w:w w:val="100"/>
        <w:lang w:val="en-US" w:eastAsia="en-US" w:bidi="ar-SA"/>
      </w:rPr>
    </w:lvl>
    <w:lvl w:ilvl="1" w:tplc="0A6AE184">
      <w:numFmt w:val="bullet"/>
      <w:lvlText w:val=""/>
      <w:lvlJc w:val="left"/>
      <w:pPr>
        <w:ind w:left="885" w:hanging="360"/>
      </w:pPr>
      <w:rPr>
        <w:rFonts w:ascii="Symbol" w:eastAsia="Symbol" w:hAnsi="Symbol" w:cs="Symbol" w:hint="default"/>
        <w:b w:val="0"/>
        <w:bCs w:val="0"/>
        <w:i w:val="0"/>
        <w:iCs w:val="0"/>
        <w:spacing w:val="0"/>
        <w:w w:val="100"/>
        <w:sz w:val="24"/>
        <w:szCs w:val="24"/>
        <w:lang w:val="en-US" w:eastAsia="en-US" w:bidi="ar-SA"/>
      </w:rPr>
    </w:lvl>
    <w:lvl w:ilvl="2" w:tplc="4448F318">
      <w:numFmt w:val="bullet"/>
      <w:lvlText w:val="•"/>
      <w:lvlJc w:val="left"/>
      <w:pPr>
        <w:ind w:left="820" w:hanging="360"/>
      </w:pPr>
      <w:rPr>
        <w:lang w:val="en-US" w:eastAsia="en-US" w:bidi="ar-SA"/>
      </w:rPr>
    </w:lvl>
    <w:lvl w:ilvl="3" w:tplc="8652996C">
      <w:numFmt w:val="bullet"/>
      <w:lvlText w:val="•"/>
      <w:lvlJc w:val="left"/>
      <w:pPr>
        <w:ind w:left="880" w:hanging="360"/>
      </w:pPr>
      <w:rPr>
        <w:lang w:val="en-US" w:eastAsia="en-US" w:bidi="ar-SA"/>
      </w:rPr>
    </w:lvl>
    <w:lvl w:ilvl="4" w:tplc="460C8840">
      <w:numFmt w:val="bullet"/>
      <w:lvlText w:val="•"/>
      <w:lvlJc w:val="left"/>
      <w:pPr>
        <w:ind w:left="2122" w:hanging="360"/>
      </w:pPr>
      <w:rPr>
        <w:lang w:val="en-US" w:eastAsia="en-US" w:bidi="ar-SA"/>
      </w:rPr>
    </w:lvl>
    <w:lvl w:ilvl="5" w:tplc="885CA7F2">
      <w:numFmt w:val="bullet"/>
      <w:lvlText w:val="•"/>
      <w:lvlJc w:val="left"/>
      <w:pPr>
        <w:ind w:left="3365" w:hanging="360"/>
      </w:pPr>
      <w:rPr>
        <w:lang w:val="en-US" w:eastAsia="en-US" w:bidi="ar-SA"/>
      </w:rPr>
    </w:lvl>
    <w:lvl w:ilvl="6" w:tplc="6554D2AA">
      <w:numFmt w:val="bullet"/>
      <w:lvlText w:val="•"/>
      <w:lvlJc w:val="left"/>
      <w:pPr>
        <w:ind w:left="4608" w:hanging="360"/>
      </w:pPr>
      <w:rPr>
        <w:lang w:val="en-US" w:eastAsia="en-US" w:bidi="ar-SA"/>
      </w:rPr>
    </w:lvl>
    <w:lvl w:ilvl="7" w:tplc="67A6DE14">
      <w:numFmt w:val="bullet"/>
      <w:lvlText w:val="•"/>
      <w:lvlJc w:val="left"/>
      <w:pPr>
        <w:ind w:left="5851" w:hanging="360"/>
      </w:pPr>
      <w:rPr>
        <w:lang w:val="en-US" w:eastAsia="en-US" w:bidi="ar-SA"/>
      </w:rPr>
    </w:lvl>
    <w:lvl w:ilvl="8" w:tplc="276268A4">
      <w:numFmt w:val="bullet"/>
      <w:lvlText w:val="•"/>
      <w:lvlJc w:val="left"/>
      <w:pPr>
        <w:ind w:left="7094" w:hanging="360"/>
      </w:pPr>
      <w:rPr>
        <w:lang w:val="en-US" w:eastAsia="en-US" w:bidi="ar-SA"/>
      </w:rPr>
    </w:lvl>
  </w:abstractNum>
  <w:abstractNum w:abstractNumId="12" w15:restartNumberingAfterBreak="0">
    <w:nsid w:val="552835C7"/>
    <w:multiLevelType w:val="hybridMultilevel"/>
    <w:tmpl w:val="B8760EB2"/>
    <w:lvl w:ilvl="0" w:tplc="3E000FB0">
      <w:start w:val="1"/>
      <w:numFmt w:val="bullet"/>
      <w:lvlText w:val=""/>
      <w:lvlJc w:val="left"/>
      <w:pPr>
        <w:ind w:left="720" w:hanging="360"/>
      </w:pPr>
      <w:rPr>
        <w:rFonts w:ascii="Symbol" w:hAnsi="Symbol" w:hint="default"/>
        <w:sz w:val="24"/>
        <w:szCs w:val="24"/>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595303FB"/>
    <w:multiLevelType w:val="hybridMultilevel"/>
    <w:tmpl w:val="6B309F00"/>
    <w:lvl w:ilvl="0" w:tplc="7C564D0E">
      <w:start w:val="1"/>
      <w:numFmt w:val="decimal"/>
      <w:lvlText w:val="%1."/>
      <w:lvlJc w:val="left"/>
      <w:pPr>
        <w:ind w:left="460" w:hanging="360"/>
      </w:pPr>
      <w:rPr>
        <w:b w:val="0"/>
        <w:spacing w:val="0"/>
        <w:w w:val="100"/>
        <w:lang w:val="en-US" w:eastAsia="en-US" w:bidi="ar-SA"/>
      </w:rPr>
    </w:lvl>
    <w:lvl w:ilvl="1" w:tplc="04090001">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8D6243B"/>
    <w:multiLevelType w:val="hybridMultilevel"/>
    <w:tmpl w:val="6B32BA14"/>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5" w15:restartNumberingAfterBreak="0">
    <w:nsid w:val="6A691B02"/>
    <w:multiLevelType w:val="multilevel"/>
    <w:tmpl w:val="B20ABFD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15:restartNumberingAfterBreak="0">
    <w:nsid w:val="6A7F6619"/>
    <w:multiLevelType w:val="hybridMultilevel"/>
    <w:tmpl w:val="2DCAF2C4"/>
    <w:lvl w:ilvl="0" w:tplc="7C564D0E">
      <w:start w:val="1"/>
      <w:numFmt w:val="decimal"/>
      <w:lvlText w:val="%1."/>
      <w:lvlJc w:val="left"/>
      <w:pPr>
        <w:ind w:left="460" w:hanging="360"/>
      </w:pPr>
      <w:rPr>
        <w:b w:val="0"/>
        <w:spacing w:val="0"/>
        <w:w w:val="100"/>
        <w:lang w:val="en-US" w:eastAsia="en-US" w:bidi="ar-SA"/>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6E946B6E"/>
    <w:multiLevelType w:val="multilevel"/>
    <w:tmpl w:val="C2608FFA"/>
    <w:lvl w:ilvl="0">
      <w:start w:val="1"/>
      <w:numFmt w:val="decimal"/>
      <w:lvlText w:val="%1."/>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8" w15:restartNumberingAfterBreak="0">
    <w:nsid w:val="76B549F2"/>
    <w:multiLevelType w:val="hybridMultilevel"/>
    <w:tmpl w:val="1B8634E6"/>
    <w:lvl w:ilvl="0" w:tplc="7C564D0E">
      <w:start w:val="1"/>
      <w:numFmt w:val="decimal"/>
      <w:lvlText w:val="%1."/>
      <w:lvlJc w:val="left"/>
      <w:pPr>
        <w:ind w:left="460" w:hanging="360"/>
      </w:pPr>
      <w:rPr>
        <w:b w:val="0"/>
        <w:spacing w:val="0"/>
        <w:w w:val="100"/>
        <w:lang w:val="en-US" w:eastAsia="en-US" w:bidi="ar-SA"/>
      </w:rPr>
    </w:lvl>
    <w:lvl w:ilvl="1" w:tplc="04090001">
      <w:start w:val="1"/>
      <w:numFmt w:val="bullet"/>
      <w:lvlText w:val=""/>
      <w:lvlJc w:val="left"/>
      <w:pPr>
        <w:ind w:left="785"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77984C61"/>
    <w:multiLevelType w:val="multilevel"/>
    <w:tmpl w:val="37587A18"/>
    <w:styleLink w:val="CurrentList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476655137">
    <w:abstractNumId w:val="9"/>
  </w:num>
  <w:num w:numId="2" w16cid:durableId="1279066895">
    <w:abstractNumId w:val="11"/>
  </w:num>
  <w:num w:numId="3" w16cid:durableId="792409932">
    <w:abstractNumId w:val="17"/>
  </w:num>
  <w:num w:numId="4" w16cid:durableId="100030849">
    <w:abstractNumId w:val="19"/>
  </w:num>
  <w:num w:numId="5" w16cid:durableId="1917782235">
    <w:abstractNumId w:val="6"/>
  </w:num>
  <w:num w:numId="6" w16cid:durableId="422916949">
    <w:abstractNumId w:val="10"/>
  </w:num>
  <w:num w:numId="7" w16cid:durableId="351418573">
    <w:abstractNumId w:val="2"/>
  </w:num>
  <w:num w:numId="8" w16cid:durableId="6444661">
    <w:abstractNumId w:val="8"/>
  </w:num>
  <w:num w:numId="9" w16cid:durableId="338235256">
    <w:abstractNumId w:val="13"/>
  </w:num>
  <w:num w:numId="10" w16cid:durableId="1367174395">
    <w:abstractNumId w:val="18"/>
  </w:num>
  <w:num w:numId="11" w16cid:durableId="2050370511">
    <w:abstractNumId w:val="12"/>
  </w:num>
  <w:num w:numId="12" w16cid:durableId="1790471654">
    <w:abstractNumId w:val="16"/>
  </w:num>
  <w:num w:numId="13" w16cid:durableId="186721461">
    <w:abstractNumId w:val="3"/>
  </w:num>
  <w:num w:numId="14" w16cid:durableId="2001424321">
    <w:abstractNumId w:val="0"/>
  </w:num>
  <w:num w:numId="15" w16cid:durableId="1480221756">
    <w:abstractNumId w:val="15"/>
  </w:num>
  <w:num w:numId="16" w16cid:durableId="519514337">
    <w:abstractNumId w:val="5"/>
  </w:num>
  <w:num w:numId="17" w16cid:durableId="1193231417">
    <w:abstractNumId w:val="1"/>
  </w:num>
  <w:num w:numId="18" w16cid:durableId="581792597">
    <w:abstractNumId w:val="7"/>
  </w:num>
  <w:num w:numId="19" w16cid:durableId="1423258093">
    <w:abstractNumId w:val="4"/>
  </w:num>
  <w:num w:numId="20" w16cid:durableId="87812676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2C9A"/>
    <w:rsid w:val="00025675"/>
    <w:rsid w:val="00037243"/>
    <w:rsid w:val="00044F84"/>
    <w:rsid w:val="0005271D"/>
    <w:rsid w:val="00060E74"/>
    <w:rsid w:val="00066E01"/>
    <w:rsid w:val="00080ED6"/>
    <w:rsid w:val="0009381C"/>
    <w:rsid w:val="000A3CCF"/>
    <w:rsid w:val="000C6310"/>
    <w:rsid w:val="000D79A4"/>
    <w:rsid w:val="000E23DF"/>
    <w:rsid w:val="000F5FD0"/>
    <w:rsid w:val="001004A5"/>
    <w:rsid w:val="00101F94"/>
    <w:rsid w:val="0011041D"/>
    <w:rsid w:val="00121EBF"/>
    <w:rsid w:val="00121FBC"/>
    <w:rsid w:val="001409AC"/>
    <w:rsid w:val="00174EFC"/>
    <w:rsid w:val="001772CD"/>
    <w:rsid w:val="00180CED"/>
    <w:rsid w:val="00190D24"/>
    <w:rsid w:val="00193047"/>
    <w:rsid w:val="00193DA2"/>
    <w:rsid w:val="001B54F8"/>
    <w:rsid w:val="001C1F98"/>
    <w:rsid w:val="001D41B9"/>
    <w:rsid w:val="002174BC"/>
    <w:rsid w:val="00226563"/>
    <w:rsid w:val="0023526B"/>
    <w:rsid w:val="00246285"/>
    <w:rsid w:val="0025174C"/>
    <w:rsid w:val="00254E59"/>
    <w:rsid w:val="00256A33"/>
    <w:rsid w:val="002622D2"/>
    <w:rsid w:val="002C4096"/>
    <w:rsid w:val="002D5BE4"/>
    <w:rsid w:val="00323B6F"/>
    <w:rsid w:val="00344062"/>
    <w:rsid w:val="003459FB"/>
    <w:rsid w:val="003464CF"/>
    <w:rsid w:val="003478B2"/>
    <w:rsid w:val="00350555"/>
    <w:rsid w:val="003620FA"/>
    <w:rsid w:val="0037459A"/>
    <w:rsid w:val="00385470"/>
    <w:rsid w:val="0038686D"/>
    <w:rsid w:val="003A1D26"/>
    <w:rsid w:val="003A6064"/>
    <w:rsid w:val="003E1A7E"/>
    <w:rsid w:val="004A024B"/>
    <w:rsid w:val="00510DE4"/>
    <w:rsid w:val="005156C8"/>
    <w:rsid w:val="00523B99"/>
    <w:rsid w:val="005311F0"/>
    <w:rsid w:val="00542730"/>
    <w:rsid w:val="0055010E"/>
    <w:rsid w:val="00561591"/>
    <w:rsid w:val="00561603"/>
    <w:rsid w:val="00570ABC"/>
    <w:rsid w:val="005834B3"/>
    <w:rsid w:val="005A39D1"/>
    <w:rsid w:val="005A5E6F"/>
    <w:rsid w:val="005A7544"/>
    <w:rsid w:val="005B0F66"/>
    <w:rsid w:val="005C5FF7"/>
    <w:rsid w:val="005C67B2"/>
    <w:rsid w:val="005F1588"/>
    <w:rsid w:val="00617FE6"/>
    <w:rsid w:val="006211B2"/>
    <w:rsid w:val="0063317F"/>
    <w:rsid w:val="00644EDE"/>
    <w:rsid w:val="00653233"/>
    <w:rsid w:val="00677584"/>
    <w:rsid w:val="00695618"/>
    <w:rsid w:val="007069C6"/>
    <w:rsid w:val="00712C28"/>
    <w:rsid w:val="0071492F"/>
    <w:rsid w:val="00734E28"/>
    <w:rsid w:val="00740DEF"/>
    <w:rsid w:val="00741755"/>
    <w:rsid w:val="0075637A"/>
    <w:rsid w:val="00770F70"/>
    <w:rsid w:val="00775AED"/>
    <w:rsid w:val="007778A3"/>
    <w:rsid w:val="007807D3"/>
    <w:rsid w:val="007845C5"/>
    <w:rsid w:val="00790FF2"/>
    <w:rsid w:val="007B6005"/>
    <w:rsid w:val="007B6D49"/>
    <w:rsid w:val="007C197A"/>
    <w:rsid w:val="007D01DA"/>
    <w:rsid w:val="007E225D"/>
    <w:rsid w:val="007F7AA3"/>
    <w:rsid w:val="00803A39"/>
    <w:rsid w:val="008133B2"/>
    <w:rsid w:val="00814D8E"/>
    <w:rsid w:val="00817BDB"/>
    <w:rsid w:val="00845681"/>
    <w:rsid w:val="00867156"/>
    <w:rsid w:val="00882E4B"/>
    <w:rsid w:val="008A12C6"/>
    <w:rsid w:val="008A3534"/>
    <w:rsid w:val="008B5611"/>
    <w:rsid w:val="008B7B6D"/>
    <w:rsid w:val="008C6B96"/>
    <w:rsid w:val="008E5639"/>
    <w:rsid w:val="008F4AA5"/>
    <w:rsid w:val="008F590E"/>
    <w:rsid w:val="009149C1"/>
    <w:rsid w:val="00937234"/>
    <w:rsid w:val="009542B1"/>
    <w:rsid w:val="00964FF7"/>
    <w:rsid w:val="0098147D"/>
    <w:rsid w:val="00997B5A"/>
    <w:rsid w:val="009A3850"/>
    <w:rsid w:val="009B0595"/>
    <w:rsid w:val="009B5942"/>
    <w:rsid w:val="009C04FB"/>
    <w:rsid w:val="009E15E2"/>
    <w:rsid w:val="009F4DAD"/>
    <w:rsid w:val="009F5807"/>
    <w:rsid w:val="00A00FCE"/>
    <w:rsid w:val="00A03310"/>
    <w:rsid w:val="00A03DDB"/>
    <w:rsid w:val="00A14D04"/>
    <w:rsid w:val="00A15875"/>
    <w:rsid w:val="00A22F9F"/>
    <w:rsid w:val="00A343C9"/>
    <w:rsid w:val="00A357E1"/>
    <w:rsid w:val="00A675B7"/>
    <w:rsid w:val="00AC1923"/>
    <w:rsid w:val="00AD2DEB"/>
    <w:rsid w:val="00AD5434"/>
    <w:rsid w:val="00AD6CE1"/>
    <w:rsid w:val="00AD7BC0"/>
    <w:rsid w:val="00AE1A1D"/>
    <w:rsid w:val="00B00011"/>
    <w:rsid w:val="00B110C5"/>
    <w:rsid w:val="00B143EC"/>
    <w:rsid w:val="00B16611"/>
    <w:rsid w:val="00B16F3C"/>
    <w:rsid w:val="00B20FD9"/>
    <w:rsid w:val="00B36964"/>
    <w:rsid w:val="00B758B4"/>
    <w:rsid w:val="00B85AAA"/>
    <w:rsid w:val="00B9076E"/>
    <w:rsid w:val="00B918D1"/>
    <w:rsid w:val="00B96229"/>
    <w:rsid w:val="00BB1561"/>
    <w:rsid w:val="00BB2C83"/>
    <w:rsid w:val="00BC3DA3"/>
    <w:rsid w:val="00BC4A55"/>
    <w:rsid w:val="00BD4051"/>
    <w:rsid w:val="00C05E97"/>
    <w:rsid w:val="00C125FD"/>
    <w:rsid w:val="00C21BD0"/>
    <w:rsid w:val="00C266F8"/>
    <w:rsid w:val="00C3243A"/>
    <w:rsid w:val="00C42662"/>
    <w:rsid w:val="00C518EF"/>
    <w:rsid w:val="00C53C60"/>
    <w:rsid w:val="00C62C9A"/>
    <w:rsid w:val="00C82055"/>
    <w:rsid w:val="00C85786"/>
    <w:rsid w:val="00CA0E95"/>
    <w:rsid w:val="00CB04DF"/>
    <w:rsid w:val="00CD36D7"/>
    <w:rsid w:val="00D44A7F"/>
    <w:rsid w:val="00D92CC7"/>
    <w:rsid w:val="00DF5117"/>
    <w:rsid w:val="00DF6133"/>
    <w:rsid w:val="00E024E3"/>
    <w:rsid w:val="00E108AF"/>
    <w:rsid w:val="00E522F7"/>
    <w:rsid w:val="00E53B0A"/>
    <w:rsid w:val="00E813B0"/>
    <w:rsid w:val="00E8472E"/>
    <w:rsid w:val="00E8521A"/>
    <w:rsid w:val="00E93A94"/>
    <w:rsid w:val="00EA52C4"/>
    <w:rsid w:val="00EB09FF"/>
    <w:rsid w:val="00EB7772"/>
    <w:rsid w:val="00F15941"/>
    <w:rsid w:val="00F26722"/>
    <w:rsid w:val="00F512A4"/>
    <w:rsid w:val="00F6676A"/>
    <w:rsid w:val="00FA76A8"/>
    <w:rsid w:val="00FB6B39"/>
    <w:rsid w:val="00FC297D"/>
    <w:rsid w:val="00FD0262"/>
    <w:rsid w:val="00FD61FB"/>
    <w:rsid w:val="00FF36DD"/>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D99F3B0"/>
  <w15:chartTrackingRefBased/>
  <w15:docId w15:val="{EC81CC77-4483-EB48-BD68-A4F01FE80B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ko-KR"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n-GB"/>
    </w:rPr>
  </w:style>
  <w:style w:type="paragraph" w:styleId="Heading1">
    <w:name w:val="heading 1"/>
    <w:basedOn w:val="Normal"/>
    <w:next w:val="Normal"/>
    <w:link w:val="Heading1Char"/>
    <w:uiPriority w:val="9"/>
    <w:qFormat/>
    <w:rsid w:val="00F6676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F6676A"/>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6676A"/>
    <w:rPr>
      <w:rFonts w:asciiTheme="majorHAnsi" w:eastAsiaTheme="majorEastAsia" w:hAnsiTheme="majorHAnsi" w:cstheme="majorBidi"/>
      <w:color w:val="2F5496" w:themeColor="accent1" w:themeShade="BF"/>
      <w:sz w:val="32"/>
      <w:szCs w:val="32"/>
      <w:lang w:val="en-GB"/>
    </w:rPr>
  </w:style>
  <w:style w:type="character" w:customStyle="1" w:styleId="Heading2Char">
    <w:name w:val="Heading 2 Char"/>
    <w:basedOn w:val="DefaultParagraphFont"/>
    <w:link w:val="Heading2"/>
    <w:uiPriority w:val="9"/>
    <w:rsid w:val="00F6676A"/>
    <w:rPr>
      <w:rFonts w:asciiTheme="majorHAnsi" w:eastAsiaTheme="majorEastAsia" w:hAnsiTheme="majorHAnsi" w:cstheme="majorBidi"/>
      <w:color w:val="2F5496" w:themeColor="accent1" w:themeShade="BF"/>
      <w:sz w:val="26"/>
      <w:szCs w:val="26"/>
      <w:lang w:val="en-GB"/>
    </w:rPr>
  </w:style>
  <w:style w:type="paragraph" w:styleId="TOCHeading">
    <w:name w:val="TOC Heading"/>
    <w:basedOn w:val="Heading1"/>
    <w:next w:val="Normal"/>
    <w:uiPriority w:val="39"/>
    <w:unhideWhenUsed/>
    <w:qFormat/>
    <w:rsid w:val="00F6676A"/>
    <w:pPr>
      <w:spacing w:before="480" w:line="276" w:lineRule="auto"/>
      <w:outlineLvl w:val="9"/>
    </w:pPr>
    <w:rPr>
      <w:b/>
      <w:bCs/>
      <w:sz w:val="28"/>
      <w:szCs w:val="28"/>
      <w:lang w:val="en-US" w:eastAsia="en-US"/>
    </w:rPr>
  </w:style>
  <w:style w:type="paragraph" w:styleId="TOC1">
    <w:name w:val="toc 1"/>
    <w:basedOn w:val="Normal"/>
    <w:next w:val="Normal"/>
    <w:autoRedefine/>
    <w:uiPriority w:val="39"/>
    <w:unhideWhenUsed/>
    <w:rsid w:val="00F6676A"/>
    <w:pPr>
      <w:spacing w:before="120"/>
    </w:pPr>
    <w:rPr>
      <w:b/>
      <w:bCs/>
      <w:i/>
      <w:iCs/>
    </w:rPr>
  </w:style>
  <w:style w:type="paragraph" w:styleId="TOC2">
    <w:name w:val="toc 2"/>
    <w:basedOn w:val="Normal"/>
    <w:next w:val="Normal"/>
    <w:autoRedefine/>
    <w:uiPriority w:val="39"/>
    <w:unhideWhenUsed/>
    <w:rsid w:val="008B7B6D"/>
    <w:pPr>
      <w:tabs>
        <w:tab w:val="right" w:leader="dot" w:pos="9350"/>
      </w:tabs>
      <w:spacing w:before="120" w:line="480" w:lineRule="auto"/>
      <w:ind w:left="240"/>
    </w:pPr>
    <w:rPr>
      <w:rFonts w:ascii="Arial" w:hAnsi="Arial" w:cs="Arial"/>
      <w:noProof/>
    </w:rPr>
  </w:style>
  <w:style w:type="character" w:styleId="Hyperlink">
    <w:name w:val="Hyperlink"/>
    <w:basedOn w:val="DefaultParagraphFont"/>
    <w:uiPriority w:val="99"/>
    <w:unhideWhenUsed/>
    <w:rsid w:val="00F6676A"/>
    <w:rPr>
      <w:color w:val="0563C1" w:themeColor="hyperlink"/>
      <w:u w:val="single"/>
    </w:rPr>
  </w:style>
  <w:style w:type="paragraph" w:styleId="TOC3">
    <w:name w:val="toc 3"/>
    <w:basedOn w:val="Normal"/>
    <w:next w:val="Normal"/>
    <w:autoRedefine/>
    <w:uiPriority w:val="39"/>
    <w:semiHidden/>
    <w:unhideWhenUsed/>
    <w:rsid w:val="00F6676A"/>
    <w:pPr>
      <w:ind w:left="480"/>
    </w:pPr>
    <w:rPr>
      <w:sz w:val="20"/>
      <w:szCs w:val="20"/>
    </w:rPr>
  </w:style>
  <w:style w:type="paragraph" w:styleId="TOC4">
    <w:name w:val="toc 4"/>
    <w:basedOn w:val="Normal"/>
    <w:next w:val="Normal"/>
    <w:autoRedefine/>
    <w:uiPriority w:val="39"/>
    <w:semiHidden/>
    <w:unhideWhenUsed/>
    <w:rsid w:val="00F6676A"/>
    <w:pPr>
      <w:ind w:left="720"/>
    </w:pPr>
    <w:rPr>
      <w:sz w:val="20"/>
      <w:szCs w:val="20"/>
    </w:rPr>
  </w:style>
  <w:style w:type="paragraph" w:styleId="TOC5">
    <w:name w:val="toc 5"/>
    <w:basedOn w:val="Normal"/>
    <w:next w:val="Normal"/>
    <w:autoRedefine/>
    <w:uiPriority w:val="39"/>
    <w:semiHidden/>
    <w:unhideWhenUsed/>
    <w:rsid w:val="00F6676A"/>
    <w:pPr>
      <w:ind w:left="960"/>
    </w:pPr>
    <w:rPr>
      <w:sz w:val="20"/>
      <w:szCs w:val="20"/>
    </w:rPr>
  </w:style>
  <w:style w:type="paragraph" w:styleId="TOC6">
    <w:name w:val="toc 6"/>
    <w:basedOn w:val="Normal"/>
    <w:next w:val="Normal"/>
    <w:autoRedefine/>
    <w:uiPriority w:val="39"/>
    <w:semiHidden/>
    <w:unhideWhenUsed/>
    <w:rsid w:val="00F6676A"/>
    <w:pPr>
      <w:ind w:left="1200"/>
    </w:pPr>
    <w:rPr>
      <w:sz w:val="20"/>
      <w:szCs w:val="20"/>
    </w:rPr>
  </w:style>
  <w:style w:type="paragraph" w:styleId="TOC7">
    <w:name w:val="toc 7"/>
    <w:basedOn w:val="Normal"/>
    <w:next w:val="Normal"/>
    <w:autoRedefine/>
    <w:uiPriority w:val="39"/>
    <w:semiHidden/>
    <w:unhideWhenUsed/>
    <w:rsid w:val="00F6676A"/>
    <w:pPr>
      <w:ind w:left="1440"/>
    </w:pPr>
    <w:rPr>
      <w:sz w:val="20"/>
      <w:szCs w:val="20"/>
    </w:rPr>
  </w:style>
  <w:style w:type="paragraph" w:styleId="TOC8">
    <w:name w:val="toc 8"/>
    <w:basedOn w:val="Normal"/>
    <w:next w:val="Normal"/>
    <w:autoRedefine/>
    <w:uiPriority w:val="39"/>
    <w:semiHidden/>
    <w:unhideWhenUsed/>
    <w:rsid w:val="00F6676A"/>
    <w:pPr>
      <w:ind w:left="1680"/>
    </w:pPr>
    <w:rPr>
      <w:sz w:val="20"/>
      <w:szCs w:val="20"/>
    </w:rPr>
  </w:style>
  <w:style w:type="paragraph" w:styleId="TOC9">
    <w:name w:val="toc 9"/>
    <w:basedOn w:val="Normal"/>
    <w:next w:val="Normal"/>
    <w:autoRedefine/>
    <w:uiPriority w:val="39"/>
    <w:semiHidden/>
    <w:unhideWhenUsed/>
    <w:rsid w:val="00F6676A"/>
    <w:pPr>
      <w:ind w:left="1920"/>
    </w:pPr>
    <w:rPr>
      <w:sz w:val="20"/>
      <w:szCs w:val="20"/>
    </w:rPr>
  </w:style>
  <w:style w:type="paragraph" w:styleId="ListParagraph">
    <w:name w:val="List Paragraph"/>
    <w:basedOn w:val="Normal"/>
    <w:uiPriority w:val="34"/>
    <w:qFormat/>
    <w:rsid w:val="0071492F"/>
    <w:pPr>
      <w:widowControl w:val="0"/>
      <w:autoSpaceDE w:val="0"/>
      <w:autoSpaceDN w:val="0"/>
      <w:ind w:left="460" w:hanging="360"/>
    </w:pPr>
    <w:rPr>
      <w:rFonts w:ascii="Times New Roman" w:eastAsia="Times New Roman" w:hAnsi="Times New Roman" w:cs="Times New Roman"/>
      <w:sz w:val="22"/>
      <w:szCs w:val="22"/>
      <w:lang w:val="en-US" w:eastAsia="en-US"/>
    </w:rPr>
  </w:style>
  <w:style w:type="paragraph" w:styleId="FootnoteText">
    <w:name w:val="footnote text"/>
    <w:basedOn w:val="Normal"/>
    <w:link w:val="FootnoteTextChar"/>
    <w:uiPriority w:val="99"/>
    <w:semiHidden/>
    <w:unhideWhenUsed/>
    <w:rsid w:val="0071492F"/>
    <w:rPr>
      <w:rFonts w:eastAsiaTheme="minorHAnsi"/>
      <w:sz w:val="20"/>
      <w:szCs w:val="20"/>
      <w:lang w:val="en-US" w:eastAsia="en-US"/>
    </w:rPr>
  </w:style>
  <w:style w:type="character" w:customStyle="1" w:styleId="FootnoteTextChar">
    <w:name w:val="Footnote Text Char"/>
    <w:basedOn w:val="DefaultParagraphFont"/>
    <w:link w:val="FootnoteText"/>
    <w:uiPriority w:val="99"/>
    <w:semiHidden/>
    <w:rsid w:val="0071492F"/>
    <w:rPr>
      <w:rFonts w:eastAsiaTheme="minorHAnsi"/>
      <w:sz w:val="20"/>
      <w:szCs w:val="20"/>
      <w:lang w:eastAsia="en-US"/>
    </w:rPr>
  </w:style>
  <w:style w:type="character" w:styleId="FootnoteReference">
    <w:name w:val="footnote reference"/>
    <w:basedOn w:val="DefaultParagraphFont"/>
    <w:uiPriority w:val="99"/>
    <w:semiHidden/>
    <w:unhideWhenUsed/>
    <w:rsid w:val="0071492F"/>
    <w:rPr>
      <w:vertAlign w:val="superscript"/>
    </w:rPr>
  </w:style>
  <w:style w:type="numbering" w:customStyle="1" w:styleId="CurrentList1">
    <w:name w:val="Current List1"/>
    <w:uiPriority w:val="99"/>
    <w:rsid w:val="005A5E6F"/>
    <w:pPr>
      <w:numPr>
        <w:numId w:val="4"/>
      </w:numPr>
    </w:pPr>
  </w:style>
  <w:style w:type="paragraph" w:customStyle="1" w:styleId="Default">
    <w:name w:val="Default"/>
    <w:rsid w:val="007807D3"/>
    <w:pPr>
      <w:autoSpaceDE w:val="0"/>
      <w:autoSpaceDN w:val="0"/>
      <w:adjustRightInd w:val="0"/>
    </w:pPr>
    <w:rPr>
      <w:rFonts w:ascii="Times New Roman" w:hAnsi="Times New Roman" w:cs="Times New Roman"/>
      <w:color w:val="000000"/>
    </w:rPr>
  </w:style>
  <w:style w:type="character" w:styleId="UnresolvedMention">
    <w:name w:val="Unresolved Mention"/>
    <w:basedOn w:val="DefaultParagraphFont"/>
    <w:uiPriority w:val="99"/>
    <w:semiHidden/>
    <w:unhideWhenUsed/>
    <w:rsid w:val="00AD2DEB"/>
    <w:rPr>
      <w:color w:val="605E5C"/>
      <w:shd w:val="clear" w:color="auto" w:fill="E1DFDD"/>
    </w:rPr>
  </w:style>
  <w:style w:type="character" w:styleId="FollowedHyperlink">
    <w:name w:val="FollowedHyperlink"/>
    <w:basedOn w:val="DefaultParagraphFont"/>
    <w:uiPriority w:val="99"/>
    <w:semiHidden/>
    <w:unhideWhenUsed/>
    <w:rsid w:val="00B85AAA"/>
    <w:rPr>
      <w:color w:val="954F72" w:themeColor="followedHyperlink"/>
      <w:u w:val="single"/>
    </w:rPr>
  </w:style>
  <w:style w:type="paragraph" w:styleId="Header">
    <w:name w:val="header"/>
    <w:basedOn w:val="Normal"/>
    <w:link w:val="HeaderChar"/>
    <w:uiPriority w:val="99"/>
    <w:unhideWhenUsed/>
    <w:rsid w:val="009B0595"/>
    <w:pPr>
      <w:tabs>
        <w:tab w:val="center" w:pos="4680"/>
        <w:tab w:val="right" w:pos="9360"/>
      </w:tabs>
    </w:pPr>
  </w:style>
  <w:style w:type="character" w:customStyle="1" w:styleId="HeaderChar">
    <w:name w:val="Header Char"/>
    <w:basedOn w:val="DefaultParagraphFont"/>
    <w:link w:val="Header"/>
    <w:uiPriority w:val="99"/>
    <w:rsid w:val="009B0595"/>
    <w:rPr>
      <w:lang w:val="en-GB"/>
    </w:rPr>
  </w:style>
  <w:style w:type="paragraph" w:styleId="Footer">
    <w:name w:val="footer"/>
    <w:basedOn w:val="Normal"/>
    <w:link w:val="FooterChar"/>
    <w:uiPriority w:val="99"/>
    <w:unhideWhenUsed/>
    <w:rsid w:val="009B0595"/>
    <w:pPr>
      <w:tabs>
        <w:tab w:val="center" w:pos="4680"/>
        <w:tab w:val="right" w:pos="9360"/>
      </w:tabs>
    </w:pPr>
  </w:style>
  <w:style w:type="character" w:customStyle="1" w:styleId="FooterChar">
    <w:name w:val="Footer Char"/>
    <w:basedOn w:val="DefaultParagraphFont"/>
    <w:link w:val="Footer"/>
    <w:uiPriority w:val="99"/>
    <w:rsid w:val="009B0595"/>
    <w:rPr>
      <w:lang w:val="en-GB"/>
    </w:rPr>
  </w:style>
  <w:style w:type="paragraph" w:styleId="Revision">
    <w:name w:val="Revision"/>
    <w:hidden/>
    <w:uiPriority w:val="99"/>
    <w:semiHidden/>
    <w:rsid w:val="00C21BD0"/>
    <w:rPr>
      <w:lang w:val="en-GB"/>
    </w:rPr>
  </w:style>
  <w:style w:type="character" w:styleId="CommentReference">
    <w:name w:val="annotation reference"/>
    <w:basedOn w:val="DefaultParagraphFont"/>
    <w:uiPriority w:val="99"/>
    <w:semiHidden/>
    <w:unhideWhenUsed/>
    <w:rsid w:val="00C21BD0"/>
    <w:rPr>
      <w:sz w:val="16"/>
      <w:szCs w:val="16"/>
    </w:rPr>
  </w:style>
  <w:style w:type="paragraph" w:styleId="CommentText">
    <w:name w:val="annotation text"/>
    <w:basedOn w:val="Normal"/>
    <w:link w:val="CommentTextChar"/>
    <w:uiPriority w:val="99"/>
    <w:unhideWhenUsed/>
    <w:rsid w:val="00C21BD0"/>
    <w:rPr>
      <w:sz w:val="20"/>
      <w:szCs w:val="20"/>
    </w:rPr>
  </w:style>
  <w:style w:type="character" w:customStyle="1" w:styleId="CommentTextChar">
    <w:name w:val="Comment Text Char"/>
    <w:basedOn w:val="DefaultParagraphFont"/>
    <w:link w:val="CommentText"/>
    <w:uiPriority w:val="99"/>
    <w:rsid w:val="00C21BD0"/>
    <w:rPr>
      <w:sz w:val="20"/>
      <w:szCs w:val="20"/>
      <w:lang w:val="en-GB"/>
    </w:rPr>
  </w:style>
  <w:style w:type="paragraph" w:styleId="CommentSubject">
    <w:name w:val="annotation subject"/>
    <w:basedOn w:val="CommentText"/>
    <w:next w:val="CommentText"/>
    <w:link w:val="CommentSubjectChar"/>
    <w:uiPriority w:val="99"/>
    <w:semiHidden/>
    <w:unhideWhenUsed/>
    <w:rsid w:val="00C21BD0"/>
    <w:rPr>
      <w:b/>
      <w:bCs/>
    </w:rPr>
  </w:style>
  <w:style w:type="character" w:customStyle="1" w:styleId="CommentSubjectChar">
    <w:name w:val="Comment Subject Char"/>
    <w:basedOn w:val="CommentTextChar"/>
    <w:link w:val="CommentSubject"/>
    <w:uiPriority w:val="99"/>
    <w:semiHidden/>
    <w:rsid w:val="00C21BD0"/>
    <w:rPr>
      <w:b/>
      <w:bCs/>
      <w:sz w:val="20"/>
      <w:szCs w:val="20"/>
      <w:lang w:val="en-GB"/>
    </w:rPr>
  </w:style>
  <w:style w:type="paragraph" w:styleId="NoSpacing">
    <w:name w:val="No Spacing"/>
    <w:uiPriority w:val="1"/>
    <w:qFormat/>
    <w:rsid w:val="00EA52C4"/>
    <w:rPr>
      <w:rFonts w:eastAsiaTheme="minorHAnsi"/>
      <w:kern w:val="2"/>
      <w:sz w:val="22"/>
      <w:szCs w:val="22"/>
      <w:lang w:val="en-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71259890">
      <w:bodyDiv w:val="1"/>
      <w:marLeft w:val="0"/>
      <w:marRight w:val="0"/>
      <w:marTop w:val="0"/>
      <w:marBottom w:val="0"/>
      <w:divBdr>
        <w:top w:val="none" w:sz="0" w:space="0" w:color="auto"/>
        <w:left w:val="none" w:sz="0" w:space="0" w:color="auto"/>
        <w:bottom w:val="none" w:sz="0" w:space="0" w:color="auto"/>
        <w:right w:val="none" w:sz="0" w:space="0" w:color="auto"/>
      </w:divBdr>
    </w:div>
    <w:div w:id="176969679">
      <w:bodyDiv w:val="1"/>
      <w:marLeft w:val="0"/>
      <w:marRight w:val="0"/>
      <w:marTop w:val="0"/>
      <w:marBottom w:val="0"/>
      <w:divBdr>
        <w:top w:val="none" w:sz="0" w:space="0" w:color="auto"/>
        <w:left w:val="none" w:sz="0" w:space="0" w:color="auto"/>
        <w:bottom w:val="none" w:sz="0" w:space="0" w:color="auto"/>
        <w:right w:val="none" w:sz="0" w:space="0" w:color="auto"/>
      </w:divBdr>
    </w:div>
    <w:div w:id="265387735">
      <w:bodyDiv w:val="1"/>
      <w:marLeft w:val="0"/>
      <w:marRight w:val="0"/>
      <w:marTop w:val="0"/>
      <w:marBottom w:val="0"/>
      <w:divBdr>
        <w:top w:val="none" w:sz="0" w:space="0" w:color="auto"/>
        <w:left w:val="none" w:sz="0" w:space="0" w:color="auto"/>
        <w:bottom w:val="none" w:sz="0" w:space="0" w:color="auto"/>
        <w:right w:val="none" w:sz="0" w:space="0" w:color="auto"/>
      </w:divBdr>
    </w:div>
    <w:div w:id="404765804">
      <w:bodyDiv w:val="1"/>
      <w:marLeft w:val="0"/>
      <w:marRight w:val="0"/>
      <w:marTop w:val="0"/>
      <w:marBottom w:val="0"/>
      <w:divBdr>
        <w:top w:val="none" w:sz="0" w:space="0" w:color="auto"/>
        <w:left w:val="none" w:sz="0" w:space="0" w:color="auto"/>
        <w:bottom w:val="none" w:sz="0" w:space="0" w:color="auto"/>
        <w:right w:val="none" w:sz="0" w:space="0" w:color="auto"/>
      </w:divBdr>
    </w:div>
    <w:div w:id="451946307">
      <w:bodyDiv w:val="1"/>
      <w:marLeft w:val="0"/>
      <w:marRight w:val="0"/>
      <w:marTop w:val="0"/>
      <w:marBottom w:val="0"/>
      <w:divBdr>
        <w:top w:val="none" w:sz="0" w:space="0" w:color="auto"/>
        <w:left w:val="none" w:sz="0" w:space="0" w:color="auto"/>
        <w:bottom w:val="none" w:sz="0" w:space="0" w:color="auto"/>
        <w:right w:val="none" w:sz="0" w:space="0" w:color="auto"/>
      </w:divBdr>
    </w:div>
    <w:div w:id="567885626">
      <w:bodyDiv w:val="1"/>
      <w:marLeft w:val="0"/>
      <w:marRight w:val="0"/>
      <w:marTop w:val="0"/>
      <w:marBottom w:val="0"/>
      <w:divBdr>
        <w:top w:val="none" w:sz="0" w:space="0" w:color="auto"/>
        <w:left w:val="none" w:sz="0" w:space="0" w:color="auto"/>
        <w:bottom w:val="none" w:sz="0" w:space="0" w:color="auto"/>
        <w:right w:val="none" w:sz="0" w:space="0" w:color="auto"/>
      </w:divBdr>
    </w:div>
    <w:div w:id="644166570">
      <w:bodyDiv w:val="1"/>
      <w:marLeft w:val="0"/>
      <w:marRight w:val="0"/>
      <w:marTop w:val="0"/>
      <w:marBottom w:val="0"/>
      <w:divBdr>
        <w:top w:val="none" w:sz="0" w:space="0" w:color="auto"/>
        <w:left w:val="none" w:sz="0" w:space="0" w:color="auto"/>
        <w:bottom w:val="none" w:sz="0" w:space="0" w:color="auto"/>
        <w:right w:val="none" w:sz="0" w:space="0" w:color="auto"/>
      </w:divBdr>
    </w:div>
    <w:div w:id="665672712">
      <w:bodyDiv w:val="1"/>
      <w:marLeft w:val="0"/>
      <w:marRight w:val="0"/>
      <w:marTop w:val="0"/>
      <w:marBottom w:val="0"/>
      <w:divBdr>
        <w:top w:val="none" w:sz="0" w:space="0" w:color="auto"/>
        <w:left w:val="none" w:sz="0" w:space="0" w:color="auto"/>
        <w:bottom w:val="none" w:sz="0" w:space="0" w:color="auto"/>
        <w:right w:val="none" w:sz="0" w:space="0" w:color="auto"/>
      </w:divBdr>
    </w:div>
    <w:div w:id="745152642">
      <w:bodyDiv w:val="1"/>
      <w:marLeft w:val="0"/>
      <w:marRight w:val="0"/>
      <w:marTop w:val="0"/>
      <w:marBottom w:val="0"/>
      <w:divBdr>
        <w:top w:val="none" w:sz="0" w:space="0" w:color="auto"/>
        <w:left w:val="none" w:sz="0" w:space="0" w:color="auto"/>
        <w:bottom w:val="none" w:sz="0" w:space="0" w:color="auto"/>
        <w:right w:val="none" w:sz="0" w:space="0" w:color="auto"/>
      </w:divBdr>
    </w:div>
    <w:div w:id="802043423">
      <w:bodyDiv w:val="1"/>
      <w:marLeft w:val="0"/>
      <w:marRight w:val="0"/>
      <w:marTop w:val="0"/>
      <w:marBottom w:val="0"/>
      <w:divBdr>
        <w:top w:val="none" w:sz="0" w:space="0" w:color="auto"/>
        <w:left w:val="none" w:sz="0" w:space="0" w:color="auto"/>
        <w:bottom w:val="none" w:sz="0" w:space="0" w:color="auto"/>
        <w:right w:val="none" w:sz="0" w:space="0" w:color="auto"/>
      </w:divBdr>
    </w:div>
    <w:div w:id="829827499">
      <w:bodyDiv w:val="1"/>
      <w:marLeft w:val="0"/>
      <w:marRight w:val="0"/>
      <w:marTop w:val="0"/>
      <w:marBottom w:val="0"/>
      <w:divBdr>
        <w:top w:val="none" w:sz="0" w:space="0" w:color="auto"/>
        <w:left w:val="none" w:sz="0" w:space="0" w:color="auto"/>
        <w:bottom w:val="none" w:sz="0" w:space="0" w:color="auto"/>
        <w:right w:val="none" w:sz="0" w:space="0" w:color="auto"/>
      </w:divBdr>
    </w:div>
    <w:div w:id="877814524">
      <w:bodyDiv w:val="1"/>
      <w:marLeft w:val="0"/>
      <w:marRight w:val="0"/>
      <w:marTop w:val="0"/>
      <w:marBottom w:val="0"/>
      <w:divBdr>
        <w:top w:val="none" w:sz="0" w:space="0" w:color="auto"/>
        <w:left w:val="none" w:sz="0" w:space="0" w:color="auto"/>
        <w:bottom w:val="none" w:sz="0" w:space="0" w:color="auto"/>
        <w:right w:val="none" w:sz="0" w:space="0" w:color="auto"/>
      </w:divBdr>
    </w:div>
    <w:div w:id="882399011">
      <w:bodyDiv w:val="1"/>
      <w:marLeft w:val="0"/>
      <w:marRight w:val="0"/>
      <w:marTop w:val="0"/>
      <w:marBottom w:val="0"/>
      <w:divBdr>
        <w:top w:val="none" w:sz="0" w:space="0" w:color="auto"/>
        <w:left w:val="none" w:sz="0" w:space="0" w:color="auto"/>
        <w:bottom w:val="none" w:sz="0" w:space="0" w:color="auto"/>
        <w:right w:val="none" w:sz="0" w:space="0" w:color="auto"/>
      </w:divBdr>
    </w:div>
    <w:div w:id="899636574">
      <w:bodyDiv w:val="1"/>
      <w:marLeft w:val="0"/>
      <w:marRight w:val="0"/>
      <w:marTop w:val="0"/>
      <w:marBottom w:val="0"/>
      <w:divBdr>
        <w:top w:val="none" w:sz="0" w:space="0" w:color="auto"/>
        <w:left w:val="none" w:sz="0" w:space="0" w:color="auto"/>
        <w:bottom w:val="none" w:sz="0" w:space="0" w:color="auto"/>
        <w:right w:val="none" w:sz="0" w:space="0" w:color="auto"/>
      </w:divBdr>
    </w:div>
    <w:div w:id="920524669">
      <w:bodyDiv w:val="1"/>
      <w:marLeft w:val="0"/>
      <w:marRight w:val="0"/>
      <w:marTop w:val="0"/>
      <w:marBottom w:val="0"/>
      <w:divBdr>
        <w:top w:val="none" w:sz="0" w:space="0" w:color="auto"/>
        <w:left w:val="none" w:sz="0" w:space="0" w:color="auto"/>
        <w:bottom w:val="none" w:sz="0" w:space="0" w:color="auto"/>
        <w:right w:val="none" w:sz="0" w:space="0" w:color="auto"/>
      </w:divBdr>
    </w:div>
    <w:div w:id="951472999">
      <w:bodyDiv w:val="1"/>
      <w:marLeft w:val="0"/>
      <w:marRight w:val="0"/>
      <w:marTop w:val="0"/>
      <w:marBottom w:val="0"/>
      <w:divBdr>
        <w:top w:val="none" w:sz="0" w:space="0" w:color="auto"/>
        <w:left w:val="none" w:sz="0" w:space="0" w:color="auto"/>
        <w:bottom w:val="none" w:sz="0" w:space="0" w:color="auto"/>
        <w:right w:val="none" w:sz="0" w:space="0" w:color="auto"/>
      </w:divBdr>
    </w:div>
    <w:div w:id="966203057">
      <w:bodyDiv w:val="1"/>
      <w:marLeft w:val="0"/>
      <w:marRight w:val="0"/>
      <w:marTop w:val="0"/>
      <w:marBottom w:val="0"/>
      <w:divBdr>
        <w:top w:val="none" w:sz="0" w:space="0" w:color="auto"/>
        <w:left w:val="none" w:sz="0" w:space="0" w:color="auto"/>
        <w:bottom w:val="none" w:sz="0" w:space="0" w:color="auto"/>
        <w:right w:val="none" w:sz="0" w:space="0" w:color="auto"/>
      </w:divBdr>
    </w:div>
    <w:div w:id="993605541">
      <w:bodyDiv w:val="1"/>
      <w:marLeft w:val="0"/>
      <w:marRight w:val="0"/>
      <w:marTop w:val="0"/>
      <w:marBottom w:val="0"/>
      <w:divBdr>
        <w:top w:val="none" w:sz="0" w:space="0" w:color="auto"/>
        <w:left w:val="none" w:sz="0" w:space="0" w:color="auto"/>
        <w:bottom w:val="none" w:sz="0" w:space="0" w:color="auto"/>
        <w:right w:val="none" w:sz="0" w:space="0" w:color="auto"/>
      </w:divBdr>
    </w:div>
    <w:div w:id="1061951515">
      <w:bodyDiv w:val="1"/>
      <w:marLeft w:val="0"/>
      <w:marRight w:val="0"/>
      <w:marTop w:val="0"/>
      <w:marBottom w:val="0"/>
      <w:divBdr>
        <w:top w:val="none" w:sz="0" w:space="0" w:color="auto"/>
        <w:left w:val="none" w:sz="0" w:space="0" w:color="auto"/>
        <w:bottom w:val="none" w:sz="0" w:space="0" w:color="auto"/>
        <w:right w:val="none" w:sz="0" w:space="0" w:color="auto"/>
      </w:divBdr>
    </w:div>
    <w:div w:id="1146051277">
      <w:bodyDiv w:val="1"/>
      <w:marLeft w:val="0"/>
      <w:marRight w:val="0"/>
      <w:marTop w:val="0"/>
      <w:marBottom w:val="0"/>
      <w:divBdr>
        <w:top w:val="none" w:sz="0" w:space="0" w:color="auto"/>
        <w:left w:val="none" w:sz="0" w:space="0" w:color="auto"/>
        <w:bottom w:val="none" w:sz="0" w:space="0" w:color="auto"/>
        <w:right w:val="none" w:sz="0" w:space="0" w:color="auto"/>
      </w:divBdr>
    </w:div>
    <w:div w:id="1162236640">
      <w:bodyDiv w:val="1"/>
      <w:marLeft w:val="0"/>
      <w:marRight w:val="0"/>
      <w:marTop w:val="0"/>
      <w:marBottom w:val="0"/>
      <w:divBdr>
        <w:top w:val="none" w:sz="0" w:space="0" w:color="auto"/>
        <w:left w:val="none" w:sz="0" w:space="0" w:color="auto"/>
        <w:bottom w:val="none" w:sz="0" w:space="0" w:color="auto"/>
        <w:right w:val="none" w:sz="0" w:space="0" w:color="auto"/>
      </w:divBdr>
    </w:div>
    <w:div w:id="1312758166">
      <w:bodyDiv w:val="1"/>
      <w:marLeft w:val="0"/>
      <w:marRight w:val="0"/>
      <w:marTop w:val="0"/>
      <w:marBottom w:val="0"/>
      <w:divBdr>
        <w:top w:val="none" w:sz="0" w:space="0" w:color="auto"/>
        <w:left w:val="none" w:sz="0" w:space="0" w:color="auto"/>
        <w:bottom w:val="none" w:sz="0" w:space="0" w:color="auto"/>
        <w:right w:val="none" w:sz="0" w:space="0" w:color="auto"/>
      </w:divBdr>
    </w:div>
    <w:div w:id="1320691267">
      <w:bodyDiv w:val="1"/>
      <w:marLeft w:val="0"/>
      <w:marRight w:val="0"/>
      <w:marTop w:val="0"/>
      <w:marBottom w:val="0"/>
      <w:divBdr>
        <w:top w:val="none" w:sz="0" w:space="0" w:color="auto"/>
        <w:left w:val="none" w:sz="0" w:space="0" w:color="auto"/>
        <w:bottom w:val="none" w:sz="0" w:space="0" w:color="auto"/>
        <w:right w:val="none" w:sz="0" w:space="0" w:color="auto"/>
      </w:divBdr>
    </w:div>
    <w:div w:id="1341082592">
      <w:bodyDiv w:val="1"/>
      <w:marLeft w:val="0"/>
      <w:marRight w:val="0"/>
      <w:marTop w:val="0"/>
      <w:marBottom w:val="0"/>
      <w:divBdr>
        <w:top w:val="none" w:sz="0" w:space="0" w:color="auto"/>
        <w:left w:val="none" w:sz="0" w:space="0" w:color="auto"/>
        <w:bottom w:val="none" w:sz="0" w:space="0" w:color="auto"/>
        <w:right w:val="none" w:sz="0" w:space="0" w:color="auto"/>
      </w:divBdr>
    </w:div>
    <w:div w:id="1783643193">
      <w:bodyDiv w:val="1"/>
      <w:marLeft w:val="0"/>
      <w:marRight w:val="0"/>
      <w:marTop w:val="0"/>
      <w:marBottom w:val="0"/>
      <w:divBdr>
        <w:top w:val="none" w:sz="0" w:space="0" w:color="auto"/>
        <w:left w:val="none" w:sz="0" w:space="0" w:color="auto"/>
        <w:bottom w:val="none" w:sz="0" w:space="0" w:color="auto"/>
        <w:right w:val="none" w:sz="0" w:space="0" w:color="auto"/>
      </w:divBdr>
    </w:div>
    <w:div w:id="1796290218">
      <w:bodyDiv w:val="1"/>
      <w:marLeft w:val="0"/>
      <w:marRight w:val="0"/>
      <w:marTop w:val="0"/>
      <w:marBottom w:val="0"/>
      <w:divBdr>
        <w:top w:val="none" w:sz="0" w:space="0" w:color="auto"/>
        <w:left w:val="none" w:sz="0" w:space="0" w:color="auto"/>
        <w:bottom w:val="none" w:sz="0" w:space="0" w:color="auto"/>
        <w:right w:val="none" w:sz="0" w:space="0" w:color="auto"/>
      </w:divBdr>
    </w:div>
    <w:div w:id="1820338340">
      <w:bodyDiv w:val="1"/>
      <w:marLeft w:val="0"/>
      <w:marRight w:val="0"/>
      <w:marTop w:val="0"/>
      <w:marBottom w:val="0"/>
      <w:divBdr>
        <w:top w:val="none" w:sz="0" w:space="0" w:color="auto"/>
        <w:left w:val="none" w:sz="0" w:space="0" w:color="auto"/>
        <w:bottom w:val="none" w:sz="0" w:space="0" w:color="auto"/>
        <w:right w:val="none" w:sz="0" w:space="0" w:color="auto"/>
      </w:divBdr>
    </w:div>
    <w:div w:id="1949046728">
      <w:bodyDiv w:val="1"/>
      <w:marLeft w:val="0"/>
      <w:marRight w:val="0"/>
      <w:marTop w:val="0"/>
      <w:marBottom w:val="0"/>
      <w:divBdr>
        <w:top w:val="none" w:sz="0" w:space="0" w:color="auto"/>
        <w:left w:val="none" w:sz="0" w:space="0" w:color="auto"/>
        <w:bottom w:val="none" w:sz="0" w:space="0" w:color="auto"/>
        <w:right w:val="none" w:sz="0" w:space="0" w:color="auto"/>
      </w:divBdr>
    </w:div>
    <w:div w:id="1979219864">
      <w:bodyDiv w:val="1"/>
      <w:marLeft w:val="0"/>
      <w:marRight w:val="0"/>
      <w:marTop w:val="0"/>
      <w:marBottom w:val="0"/>
      <w:divBdr>
        <w:top w:val="none" w:sz="0" w:space="0" w:color="auto"/>
        <w:left w:val="none" w:sz="0" w:space="0" w:color="auto"/>
        <w:bottom w:val="none" w:sz="0" w:space="0" w:color="auto"/>
        <w:right w:val="none" w:sz="0" w:space="0" w:color="auto"/>
      </w:divBdr>
    </w:div>
    <w:div w:id="1998530457">
      <w:bodyDiv w:val="1"/>
      <w:marLeft w:val="0"/>
      <w:marRight w:val="0"/>
      <w:marTop w:val="0"/>
      <w:marBottom w:val="0"/>
      <w:divBdr>
        <w:top w:val="none" w:sz="0" w:space="0" w:color="auto"/>
        <w:left w:val="none" w:sz="0" w:space="0" w:color="auto"/>
        <w:bottom w:val="none" w:sz="0" w:space="0" w:color="auto"/>
        <w:right w:val="none" w:sz="0" w:space="0" w:color="auto"/>
      </w:divBdr>
    </w:div>
    <w:div w:id="2012029696">
      <w:bodyDiv w:val="1"/>
      <w:marLeft w:val="0"/>
      <w:marRight w:val="0"/>
      <w:marTop w:val="0"/>
      <w:marBottom w:val="0"/>
      <w:divBdr>
        <w:top w:val="none" w:sz="0" w:space="0" w:color="auto"/>
        <w:left w:val="none" w:sz="0" w:space="0" w:color="auto"/>
        <w:bottom w:val="none" w:sz="0" w:space="0" w:color="auto"/>
        <w:right w:val="none" w:sz="0" w:space="0" w:color="auto"/>
      </w:divBdr>
    </w:div>
    <w:div w:id="20912680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hyperlink" Target="mailto:shalini.konanur@salco.clcj.ca"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hyperlink" Target="http://www.salc.on.ca" TargetMode="External"/><Relationship Id="rId10" Type="http://schemas.openxmlformats.org/officeDocument/2006/relationships/image" Target="media/image3.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s>
</file>

<file path=word/_rels/footnotes.xml.rels><?xml version="1.0" encoding="UTF-8" standalone="yes"?>
<Relationships xmlns="http://schemas.openxmlformats.org/package/2006/relationships"><Relationship Id="rId13" Type="http://schemas.openxmlformats.org/officeDocument/2006/relationships/hyperlink" Target="https://www.ontario.ca/page/labour-market-report-october-2025" TargetMode="External"/><Relationship Id="rId18" Type="http://schemas.openxmlformats.org/officeDocument/2006/relationships/hyperlink" Target="https://www150.statcan.gc.ca/n1/pub/36-28-0001/2022002/article/00005-eng.htm" TargetMode="External"/><Relationship Id="rId26" Type="http://schemas.openxmlformats.org/officeDocument/2006/relationships/hyperlink" Target="https://papers.ssrn.com/sol3/papers.cfm?abstract_id=2381582" TargetMode="External"/><Relationship Id="rId39" Type="http://schemas.openxmlformats.org/officeDocument/2006/relationships/hyperlink" Target="https://www.cbc.ca/news/politics/mass-cancellation-power-visas-india-bangladesh-9.6956426" TargetMode="External"/><Relationship Id="rId21" Type="http://schemas.openxmlformats.org/officeDocument/2006/relationships/hyperlink" Target="https://afn.bynder.com/m/2ea645db802ef4/original/Breathing-Life-into-the-Calls-for-Justice-A-CFJ-Progress-Report.pdf" TargetMode="External"/><Relationship Id="rId34" Type="http://schemas.openxmlformats.org/officeDocument/2006/relationships/hyperlink" Target="https://www.canada.ca/en/immigration-refugees-citizenship/corporate/mandate/policies-operational-instructions-agreements/ministerial-instructions/other-goals/mi89.html" TargetMode="External"/><Relationship Id="rId42" Type="http://schemas.openxmlformats.org/officeDocument/2006/relationships/hyperlink" Target="https://ccrweb.ca/en/release-rights-groups-issue-urgent-warning-ahead-critical-c-12-vote" TargetMode="External"/><Relationship Id="rId47" Type="http://schemas.openxmlformats.org/officeDocument/2006/relationships/hyperlink" Target="https://docs.un.org/en/A/HRC/60/26/ADD.1" TargetMode="External"/><Relationship Id="rId50" Type="http://schemas.openxmlformats.org/officeDocument/2006/relationships/hyperlink" Target="https://www.ctvnews.ca/montreal/article/bill-21-hearings-religious-groups-denied-chance-to-speak/" TargetMode="External"/><Relationship Id="rId7" Type="http://schemas.openxmlformats.org/officeDocument/2006/relationships/hyperlink" Target="https://blackhealthequity.ca/" TargetMode="External"/><Relationship Id="rId2" Type="http://schemas.openxmlformats.org/officeDocument/2006/relationships/hyperlink" Target="https://www.statcan.gc.ca/o1/en/plus/3920-canadas-indigenous-population" TargetMode="External"/><Relationship Id="rId16" Type="http://schemas.openxmlformats.org/officeDocument/2006/relationships/hyperlink" Target="https://ssrn.com/abstract=3517443" TargetMode="External"/><Relationship Id="rId29" Type="http://schemas.openxmlformats.org/officeDocument/2006/relationships/hyperlink" Target="https://masscasualtycommission.ca/files/documents/Turning-the-Tide-Together-List-of-Recommendations.pdf" TargetMode="External"/><Relationship Id="rId11" Type="http://schemas.openxmlformats.org/officeDocument/2006/relationships/hyperlink" Target="http://www.hireimmigrants.ca/wpcontent/uploads/Final-Report-Which-employers-discriminate-Banerjee-Reitz-Oreopoulos-January-25-2017.pdf" TargetMode="External"/><Relationship Id="rId24" Type="http://schemas.openxmlformats.org/officeDocument/2006/relationships/hyperlink" Target="https://www.ola.org/sites/default/files/node-files/hansard/document/pdf/2025/2025-11/05-NOV-2025_L034A.pdf" TargetMode="External"/><Relationship Id="rId32" Type="http://schemas.openxmlformats.org/officeDocument/2006/relationships/hyperlink" Target="https://www.canada.ca/en/immigration-refugees-citizenship/corporate/mandate/policies-operational-instructions-agreements/ministerial-instructions/other-goals/mi81.html%20" TargetMode="External"/><Relationship Id="rId37" Type="http://schemas.openxmlformats.org/officeDocument/2006/relationships/hyperlink" Target="https://www.cbc.ca/news/canada/ottawa/ircc-migrant-caregivers-pause-applications-9.7031403" TargetMode="External"/><Relationship Id="rId40" Type="http://schemas.openxmlformats.org/officeDocument/2006/relationships/hyperlink" Target="https://www.cbc.ca/news/canada/ottawa/50-year-immigration-wait-stuns-lawyers-and-families-but-ircc-says-it-s-no-mistake-9.6939919" TargetMode="External"/><Relationship Id="rId45" Type="http://schemas.openxmlformats.org/officeDocument/2006/relationships/hyperlink" Target="https://www.cbc.ca/news/canada/ottawa/cbsa-complaints-commission-still-not-up-and-running-1.7461882" TargetMode="External"/><Relationship Id="rId5" Type="http://schemas.openxmlformats.org/officeDocument/2006/relationships/hyperlink" Target="https://ocasi.org/budget-falls-short-canada%E2%80%99s-commitment-immigrants-and-refugees" TargetMode="External"/><Relationship Id="rId15" Type="http://schemas.openxmlformats.org/officeDocument/2006/relationships/hyperlink" Target="https://lmic-cimt.ca/womens-economic-empowerment-and-the-canadian-labour-market/" TargetMode="External"/><Relationship Id="rId23" Type="http://schemas.openxmlformats.org/officeDocument/2006/relationships/hyperlink" Target="https://www150.statcan.gc.ca/n1/daily-quotidien/251028/dq251028a-eng.htm" TargetMode="External"/><Relationship Id="rId28" Type="http://schemas.openxmlformats.org/officeDocument/2006/relationships/hyperlink" Target="http://www.masscasualtycommission.ca" TargetMode="External"/><Relationship Id="rId36" Type="http://schemas.openxmlformats.org/officeDocument/2006/relationships/hyperlink" Target="https://www.cbc.ca/news/canada/ottawa/50-year-immigration-wait-stuns-lawyers-and-families-but-ircc-says-it-s-no-mistake-9.6939919" TargetMode="External"/><Relationship Id="rId49" Type="http://schemas.openxmlformats.org/officeDocument/2006/relationships/hyperlink" Target="https://www.unicef.ca/sites/default/files/2023-12/UNICEFReportCard18CanadianCompanion.pdf" TargetMode="External"/><Relationship Id="rId10" Type="http://schemas.openxmlformats.org/officeDocument/2006/relationships/hyperlink" Target="https://laws-lois.justice.gc.ca/eng/acts/p-16.81/page-1.html" TargetMode="External"/><Relationship Id="rId19" Type="http://schemas.openxmlformats.org/officeDocument/2006/relationships/hyperlink" Target="https://www150.statcan.gc.ca/n1/pub/85-002-x/2021001/article/00007-eng.htm" TargetMode="External"/><Relationship Id="rId31" Type="http://schemas.openxmlformats.org/officeDocument/2006/relationships/hyperlink" Target="https://www.canada.ca/en/immigration-refugees-citizenship/corporate/mandate/policies-operational-instructions-agreements/ministerial-instructions/other-goals/mi82.html%20" TargetMode="External"/><Relationship Id="rId44" Type="http://schemas.openxmlformats.org/officeDocument/2006/relationships/hyperlink" Target="https://www.parl.ca/legisinfo/en/bill/44-1/c-20" TargetMode="External"/><Relationship Id="rId4" Type="http://schemas.openxmlformats.org/officeDocument/2006/relationships/hyperlink" Target="https://www150.statcan.gc.ca/n1/daily-quotidien/221026/dq221026b-eng.htm" TargetMode="External"/><Relationship Id="rId9" Type="http://schemas.openxmlformats.org/officeDocument/2006/relationships/hyperlink" Target="https://www150.statcan.gc.ca/n1/daily-quotidien/250501/dq250501b-eng.htm" TargetMode="External"/><Relationship Id="rId14" Type="http://schemas.openxmlformats.org/officeDocument/2006/relationships/hyperlink" Target="https://www150.statcan.gc.ca/t1/tbl1/en/tv.action?pid=1410037302" TargetMode="External"/><Relationship Id="rId22" Type="http://schemas.openxmlformats.org/officeDocument/2006/relationships/hyperlink" Target="https://www.onwa.ca/_files/ugd/274c9a_466b36b132cd4c5ca9ccdc0e2267742c.pdf" TargetMode="External"/><Relationship Id="rId27" Type="http://schemas.openxmlformats.org/officeDocument/2006/relationships/hyperlink" Target="https://endvaw.ca/archives/news/first-year-nap/" TargetMode="External"/><Relationship Id="rId30" Type="http://schemas.openxmlformats.org/officeDocument/2006/relationships/hyperlink" Target="https://www.canada.ca/en/immigration-refugees-citizenship/services/immigrate-canada/family-sponsorship/fees-permits-victims.html%20" TargetMode="External"/><Relationship Id="rId35" Type="http://schemas.openxmlformats.org/officeDocument/2006/relationships/hyperlink" Target="https://www.canada.ca/en/immigration-refugees-citizenship/news/notices/temporary-pause-extended-refugee-sponsorship-applications-groups-five.html" TargetMode="External"/><Relationship Id="rId43" Type="http://schemas.openxmlformats.org/officeDocument/2006/relationships/hyperlink" Target="https://www.ohchr.org/sites/default/files/documents/issues/detention-wg/statements/20240524-wgad-eom-ca-pf.pdf" TargetMode="External"/><Relationship Id="rId48" Type="http://schemas.openxmlformats.org/officeDocument/2006/relationships/hyperlink" Target="https://www150.statcan.gc.ca/n1/daily-quotidien/240426/dq240426a-eng.htm" TargetMode="External"/><Relationship Id="rId8" Type="http://schemas.openxmlformats.org/officeDocument/2006/relationships/hyperlink" Target="https://www150.statcan.gc.ca/n1/pub/36-28-0001/2023008/article/00002-eng.htm" TargetMode="External"/><Relationship Id="rId51" Type="http://schemas.openxmlformats.org/officeDocument/2006/relationships/hyperlink" Target="https://www.cbc.ca/news/canada/montreal/bill-21-impact-religious-minorities-survey-1.6541241" TargetMode="External"/><Relationship Id="rId3" Type="http://schemas.openxmlformats.org/officeDocument/2006/relationships/hyperlink" Target="https://www150.statcan.gc.ca/n1/pub/12-581-x/2022001/sec7-eng.htm" TargetMode="External"/><Relationship Id="rId12" Type="http://schemas.openxmlformats.org/officeDocument/2006/relationships/hyperlink" Target="https://pepsouwt.files.wordpress.com/2012/12/precarity-penalty-%20report_finalhires_trimmed.pdf" TargetMode="External"/><Relationship Id="rId17" Type="http://schemas.openxmlformats.org/officeDocument/2006/relationships/hyperlink" Target="https://lmic-cimt.ca/womens-economic-empowerment-and-the-canadian-labour-market/" TargetMode="External"/><Relationship Id="rId25" Type="http://schemas.openxmlformats.org/officeDocument/2006/relationships/hyperlink" Target="https://nationalactionplan.ca/" TargetMode="External"/><Relationship Id="rId33" Type="http://schemas.openxmlformats.org/officeDocument/2006/relationships/hyperlink" Target="https://www.canada.ca/en/immigration-refugees-citizenship/news/notices/pausing-home-care-worker-immigration-pilots-application-intake.html" TargetMode="External"/><Relationship Id="rId38" Type="http://schemas.openxmlformats.org/officeDocument/2006/relationships/hyperlink" Target="https://canlii.ca/t/1fv22" TargetMode="External"/><Relationship Id="rId46" Type="http://schemas.openxmlformats.org/officeDocument/2006/relationships/hyperlink" Target="https://www.ohchr.org/en/documents/country-reports/ahrc6026add1-visit-canada-report-working-group-arbitrary-detention" TargetMode="External"/><Relationship Id="rId20" Type="http://schemas.openxmlformats.org/officeDocument/2006/relationships/hyperlink" Target="https://www150.statcan.gc.ca/n1/pub/85-002-x/2019001/article/00016/tbl/tbl06-eng.htm" TargetMode="External"/><Relationship Id="rId41" Type="http://schemas.openxmlformats.org/officeDocument/2006/relationships/hyperlink" Target="https://www.ourcommons.ca/Content/Committee/451/CIMM/Brief/BR13730246/br-external/LegalAidOntario-e.pdf" TargetMode="External"/><Relationship Id="rId1" Type="http://schemas.openxmlformats.org/officeDocument/2006/relationships/hyperlink" Target="https://www150.statcan.gc.ca/n1/daily-quotidien/220908/dq220908a-eng.htm" TargetMode="External"/><Relationship Id="rId6" Type="http://schemas.openxmlformats.org/officeDocument/2006/relationships/hyperlink" Target="https://fnigc.ca/wp-content/uploads/2022/10/OCAP_Brochure_20220927_web.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ADA38CE-06F9-034B-B533-830DD84723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25</Pages>
  <Words>6909</Words>
  <Characters>39385</Characters>
  <Application>Microsoft Office Word</Application>
  <DocSecurity>0</DocSecurity>
  <Lines>328</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46202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gurmat.randhawa@gmail.com</dc:creator>
  <cp:keywords/>
  <dc:description/>
  <cp:lastModifiedBy>Gurmat Randhawa (SALCO)</cp:lastModifiedBy>
  <cp:revision>3</cp:revision>
  <dcterms:created xsi:type="dcterms:W3CDTF">2026-02-02T16:02:00Z</dcterms:created>
  <dcterms:modified xsi:type="dcterms:W3CDTF">2026-02-02T16:02:00Z</dcterms:modified>
</cp:coreProperties>
</file>