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14:paraId="7CFC86EC" w14:textId="77777777">
        <w:trPr>
          <w:cantSplit/>
          <w:trHeight w:hRule="exact" w:val="851"/>
        </w:trPr>
        <w:tc>
          <w:tcPr>
            <w:tcW w:w="1276" w:type="dxa"/>
            <w:tcBorders>
              <w:bottom w:val="single" w:sz="4" w:space="0" w:color="auto"/>
            </w:tcBorders>
            <w:vAlign w:val="bottom"/>
          </w:tcPr>
          <w:p w14:paraId="7CFC86E9" w14:textId="5E138AF4" w:rsidR="005446F2" w:rsidRDefault="005446F2">
            <w:pPr>
              <w:spacing w:after="80"/>
            </w:pPr>
          </w:p>
        </w:tc>
        <w:tc>
          <w:tcPr>
            <w:tcW w:w="2268" w:type="dxa"/>
            <w:tcBorders>
              <w:bottom w:val="single" w:sz="4" w:space="0" w:color="auto"/>
            </w:tcBorders>
            <w:vAlign w:val="bottom"/>
          </w:tcPr>
          <w:p w14:paraId="7CFC86EA" w14:textId="70BF9E55" w:rsidR="005446F2" w:rsidRDefault="005446F2">
            <w:pPr>
              <w:spacing w:after="80" w:line="300" w:lineRule="exact"/>
              <w:rPr>
                <w:b/>
                <w:sz w:val="24"/>
                <w:szCs w:val="24"/>
              </w:rPr>
            </w:pPr>
          </w:p>
        </w:tc>
        <w:tc>
          <w:tcPr>
            <w:tcW w:w="6095" w:type="dxa"/>
            <w:gridSpan w:val="2"/>
            <w:tcBorders>
              <w:bottom w:val="single" w:sz="4" w:space="0" w:color="auto"/>
            </w:tcBorders>
            <w:vAlign w:val="bottom"/>
          </w:tcPr>
          <w:p w14:paraId="7CFC86EB" w14:textId="68D2169D" w:rsidR="005446F2" w:rsidRDefault="0044331C">
            <w:pPr>
              <w:suppressAutoHyphens w:val="0"/>
              <w:spacing w:after="20"/>
              <w:jc w:val="right"/>
            </w:pPr>
            <w:r>
              <w:rPr>
                <w:sz w:val="40"/>
              </w:rPr>
              <w:t>CERD</w:t>
            </w:r>
            <w:r>
              <w:t>/</w:t>
            </w:r>
            <w:fldSimple w:instr=" DOCPROPERTY  sym1  \* MERGEFORMAT ">
              <w:r>
                <w:t>C/CMR/2</w:t>
              </w:r>
            </w:fldSimple>
            <w:r w:rsidR="005F54EC">
              <w:t>4-27</w:t>
            </w:r>
          </w:p>
        </w:tc>
      </w:tr>
      <w:tr w:rsidR="005446F2" w14:paraId="7CFC86F4" w14:textId="77777777">
        <w:trPr>
          <w:cantSplit/>
          <w:trHeight w:hRule="exact" w:val="2835"/>
        </w:trPr>
        <w:tc>
          <w:tcPr>
            <w:tcW w:w="1276" w:type="dxa"/>
            <w:tcBorders>
              <w:top w:val="single" w:sz="4" w:space="0" w:color="auto"/>
              <w:bottom w:val="single" w:sz="12" w:space="0" w:color="auto"/>
            </w:tcBorders>
          </w:tcPr>
          <w:p w14:paraId="7CFC86ED" w14:textId="06050AB6" w:rsidR="005446F2" w:rsidRDefault="005446F2">
            <w:pPr>
              <w:spacing w:before="120"/>
              <w:jc w:val="center"/>
            </w:pPr>
          </w:p>
        </w:tc>
        <w:tc>
          <w:tcPr>
            <w:tcW w:w="5528" w:type="dxa"/>
            <w:gridSpan w:val="2"/>
            <w:tcBorders>
              <w:top w:val="single" w:sz="4" w:space="0" w:color="auto"/>
              <w:bottom w:val="single" w:sz="12" w:space="0" w:color="auto"/>
            </w:tcBorders>
          </w:tcPr>
          <w:p w14:paraId="7CFC86EE" w14:textId="114DCA6B" w:rsidR="005446F2" w:rsidRPr="00661723" w:rsidRDefault="00661723">
            <w:pPr>
              <w:spacing w:before="120" w:line="380" w:lineRule="exact"/>
              <w:rPr>
                <w:b/>
                <w:bCs/>
                <w:sz w:val="28"/>
                <w:szCs w:val="28"/>
              </w:rPr>
            </w:pPr>
            <w:r w:rsidRPr="00661723">
              <w:rPr>
                <w:b/>
                <w:bCs/>
                <w:sz w:val="28"/>
                <w:szCs w:val="28"/>
              </w:rPr>
              <w:t xml:space="preserve">VERSION PRÉLIMINAIRE </w:t>
            </w:r>
            <w:r>
              <w:rPr>
                <w:b/>
                <w:bCs/>
                <w:sz w:val="28"/>
                <w:szCs w:val="28"/>
              </w:rPr>
              <w:br/>
            </w:r>
            <w:r w:rsidRPr="00661723">
              <w:rPr>
                <w:b/>
                <w:bCs/>
                <w:sz w:val="28"/>
                <w:szCs w:val="28"/>
              </w:rPr>
              <w:t>NON RÉVISÉE</w:t>
            </w:r>
          </w:p>
        </w:tc>
        <w:tc>
          <w:tcPr>
            <w:tcW w:w="2835" w:type="dxa"/>
            <w:tcBorders>
              <w:top w:val="single" w:sz="4" w:space="0" w:color="auto"/>
              <w:bottom w:val="single" w:sz="12" w:space="0" w:color="auto"/>
            </w:tcBorders>
          </w:tcPr>
          <w:p w14:paraId="7CFC86EF" w14:textId="77777777" w:rsidR="005446F2" w:rsidRDefault="0044331C">
            <w:pPr>
              <w:suppressAutoHyphens w:val="0"/>
              <w:spacing w:before="240" w:line="240" w:lineRule="exact"/>
            </w:pPr>
            <w:r>
              <w:t xml:space="preserve">Distr. </w:t>
            </w:r>
            <w:r w:rsidR="00BD51DF">
              <w:fldChar w:fldCharType="begin"/>
            </w:r>
            <w:r w:rsidR="00BD51DF">
              <w:instrText xml:space="preserve"> DOCPROPERTY  dist  \* MERGEFORMAT </w:instrText>
            </w:r>
            <w:r w:rsidR="00BD51DF">
              <w:fldChar w:fldCharType="separate"/>
            </w:r>
            <w:proofErr w:type="gramStart"/>
            <w:r>
              <w:t>générale</w:t>
            </w:r>
            <w:proofErr w:type="gramEnd"/>
            <w:r w:rsidR="00BD51DF">
              <w:fldChar w:fldCharType="end"/>
            </w:r>
          </w:p>
          <w:p w14:paraId="7CFC86F0" w14:textId="47382485" w:rsidR="005446F2" w:rsidRDefault="005F54EC">
            <w:pPr>
              <w:suppressAutoHyphens w:val="0"/>
            </w:pPr>
            <w:r>
              <w:t xml:space="preserve">7 </w:t>
            </w:r>
            <w:r w:rsidR="00674820">
              <w:t>janvier</w:t>
            </w:r>
            <w:r>
              <w:t xml:space="preserve"> 2026</w:t>
            </w:r>
          </w:p>
          <w:p w14:paraId="7CFC86F1" w14:textId="77777777" w:rsidR="00BA195E" w:rsidRDefault="00BA195E">
            <w:pPr>
              <w:suppressAutoHyphens w:val="0"/>
            </w:pPr>
          </w:p>
          <w:p w14:paraId="7CFC86F2" w14:textId="76B9E0D2" w:rsidR="005446F2" w:rsidRDefault="00674820">
            <w:pPr>
              <w:suppressAutoHyphens w:val="0"/>
            </w:pPr>
            <w:r>
              <w:t>Originale :</w:t>
            </w:r>
            <w:r w:rsidR="00BA195E">
              <w:t xml:space="preserve"> Anglais et français</w:t>
            </w:r>
            <w:fldSimple w:instr=" DOCPROPERTY  tlang  \* MERGEFORMAT "/>
          </w:p>
          <w:p w14:paraId="7CFC86F3" w14:textId="77777777" w:rsidR="005446F2" w:rsidRDefault="0044331C">
            <w:pPr>
              <w:suppressAutoHyphens w:val="0"/>
            </w:pPr>
            <w:fldSimple w:instr=" DOCPROPERTY  virs  \* MERGEFORMAT ">
              <w:r>
                <w:t>Anglais, espagnol et français seulement</w:t>
              </w:r>
            </w:fldSimple>
          </w:p>
        </w:tc>
      </w:tr>
    </w:tbl>
    <w:p w14:paraId="7CFC86F5" w14:textId="77777777"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7CFC86F6" w14:textId="70A8D156" w:rsidR="005446F2" w:rsidRPr="00C54F2D" w:rsidRDefault="0044331C">
      <w:pPr>
        <w:pStyle w:val="HMG"/>
      </w:pPr>
      <w:r>
        <w:tab/>
      </w:r>
      <w:r>
        <w:tab/>
      </w:r>
      <w:fldSimple w:instr=" DOCPROPERTY  prepwc  \* MERGEFORMAT ">
        <w:r>
          <w:t>Rapport valant vingt-</w:t>
        </w:r>
        <w:r w:rsidR="005F54EC">
          <w:t>quatr</w:t>
        </w:r>
        <w:r>
          <w:t xml:space="preserve">ième </w:t>
        </w:r>
        <w:r w:rsidR="001B11AB">
          <w:t>au</w:t>
        </w:r>
        <w:r>
          <w:t xml:space="preserve"> vingt-</w:t>
        </w:r>
        <w:r w:rsidR="00C2010F">
          <w:t>sept</w:t>
        </w:r>
        <w:r>
          <w:t>ième rapports périodiques</w:t>
        </w:r>
      </w:fldSimple>
      <w:r>
        <w:t xml:space="preserve"> soumis par </w:t>
      </w:r>
      <w:fldSimple w:instr=" DOCPROPERTY  countwd  \* MERGEFORMAT ">
        <w:r>
          <w:t xml:space="preserve">le Cameroun </w:t>
        </w:r>
      </w:fldSimple>
      <w:r>
        <w:t xml:space="preserve">en application de l’article 9 de la Convention, attendu en </w:t>
      </w:r>
      <w:r w:rsidR="00BA195E">
        <w:t>20</w:t>
      </w:r>
      <w:r w:rsidR="00C2010F">
        <w:t>25</w:t>
      </w:r>
      <w:r>
        <w:rPr>
          <w:rStyle w:val="FootnoteReference"/>
          <w:b w:val="0"/>
          <w:sz w:val="20"/>
          <w:vertAlign w:val="baseline"/>
        </w:rPr>
        <w:footnoteReference w:customMarkFollows="1" w:id="2"/>
        <w:t>*</w:t>
      </w:r>
    </w:p>
    <w:p w14:paraId="7CFC86F7" w14:textId="4D027B13" w:rsidR="005446F2" w:rsidRDefault="0044331C">
      <w:pPr>
        <w:pStyle w:val="SingleTxtG"/>
        <w:jc w:val="right"/>
      </w:pPr>
      <w:r>
        <w:t>[Date de réception :</w:t>
      </w:r>
      <w:r>
        <w:rPr>
          <w:color w:val="FF0000"/>
        </w:rPr>
        <w:t xml:space="preserve"> </w:t>
      </w:r>
      <w:r w:rsidR="00C2010F" w:rsidRPr="00C2010F">
        <w:t>19 décembre 2025</w:t>
      </w:r>
      <w:r w:rsidRPr="00BA195E">
        <w:t>]</w:t>
      </w:r>
    </w:p>
    <w:p w14:paraId="1388D979" w14:textId="06DEE4EF" w:rsidR="00733F18" w:rsidRDefault="00733F18">
      <w:pPr>
        <w:pStyle w:val="SingleTxtG"/>
        <w:jc w:val="right"/>
      </w:pPr>
      <w:r>
        <w:br/>
      </w:r>
    </w:p>
    <w:p w14:paraId="3001554E" w14:textId="77777777" w:rsidR="00733F18" w:rsidRDefault="00733F18">
      <w:pPr>
        <w:suppressAutoHyphens w:val="0"/>
        <w:kinsoku/>
        <w:overflowPunct/>
        <w:autoSpaceDE/>
        <w:autoSpaceDN/>
        <w:adjustRightInd/>
        <w:snapToGrid/>
        <w:spacing w:after="200" w:line="276" w:lineRule="auto"/>
      </w:pPr>
      <w:r>
        <w:br w:type="page"/>
      </w:r>
    </w:p>
    <w:p w14:paraId="7CFC86F9" w14:textId="318C7DEC" w:rsidR="00BA195E" w:rsidRPr="00404AA4" w:rsidRDefault="00BA195E" w:rsidP="00BA195E">
      <w:pPr>
        <w:pStyle w:val="HChG"/>
        <w:ind w:firstLine="0"/>
      </w:pPr>
      <w:r w:rsidRPr="00404AA4">
        <w:lastRenderedPageBreak/>
        <w:t>Abréviations et sigles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4"/>
        <w:gridCol w:w="5641"/>
      </w:tblGrid>
      <w:tr w:rsidR="0036492A" w:rsidRPr="0036492A" w14:paraId="5E063CCC" w14:textId="77777777" w:rsidTr="00446CD7">
        <w:tc>
          <w:tcPr>
            <w:tcW w:w="2405" w:type="dxa"/>
            <w:hideMark/>
          </w:tcPr>
          <w:p w14:paraId="3292AC8F" w14:textId="77777777" w:rsidR="0036492A" w:rsidRPr="0036492A" w:rsidRDefault="0036492A" w:rsidP="0036492A">
            <w:pPr>
              <w:pStyle w:val="SingleTxtG"/>
              <w:rPr>
                <w:lang w:val="en-US"/>
              </w:rPr>
            </w:pPr>
            <w:r w:rsidRPr="0036492A">
              <w:rPr>
                <w:b/>
                <w:lang w:val="fr-CM"/>
              </w:rPr>
              <w:t>BUCREP</w:t>
            </w:r>
            <w:r w:rsidRPr="0036492A">
              <w:rPr>
                <w:lang w:val="fr-CM"/>
              </w:rPr>
              <w:t xml:space="preserve">  </w:t>
            </w:r>
          </w:p>
        </w:tc>
        <w:tc>
          <w:tcPr>
            <w:tcW w:w="6657" w:type="dxa"/>
            <w:hideMark/>
          </w:tcPr>
          <w:p w14:paraId="3FF2BB3F" w14:textId="73E35765" w:rsidR="0036492A" w:rsidRPr="0036492A" w:rsidRDefault="0036492A" w:rsidP="0036492A">
            <w:pPr>
              <w:pStyle w:val="SingleTxtG"/>
              <w:rPr>
                <w:lang w:val="fr-FR"/>
              </w:rPr>
            </w:pPr>
            <w:r w:rsidRPr="0036492A">
              <w:rPr>
                <w:lang w:val="fr-CM"/>
              </w:rPr>
              <w:t xml:space="preserve">Bureau Central des Recensements et des </w:t>
            </w:r>
            <w:proofErr w:type="spellStart"/>
            <w:r w:rsidRPr="0036492A">
              <w:rPr>
                <w:lang w:val="fr-CM"/>
              </w:rPr>
              <w:t>Etudes</w:t>
            </w:r>
            <w:proofErr w:type="spellEnd"/>
            <w:r w:rsidRPr="0036492A">
              <w:rPr>
                <w:lang w:val="fr-CM"/>
              </w:rPr>
              <w:t xml:space="preserve"> de Population </w:t>
            </w:r>
          </w:p>
        </w:tc>
      </w:tr>
      <w:tr w:rsidR="0036492A" w:rsidRPr="0036492A" w14:paraId="5CEC848C" w14:textId="77777777" w:rsidTr="00446CD7">
        <w:tc>
          <w:tcPr>
            <w:tcW w:w="2405" w:type="dxa"/>
            <w:hideMark/>
          </w:tcPr>
          <w:p w14:paraId="305740F1" w14:textId="77777777" w:rsidR="0036492A" w:rsidRPr="0036492A" w:rsidRDefault="0036492A" w:rsidP="0036492A">
            <w:pPr>
              <w:pStyle w:val="SingleTxtG"/>
              <w:rPr>
                <w:lang w:val="en-US"/>
              </w:rPr>
            </w:pPr>
            <w:r w:rsidRPr="0036492A">
              <w:rPr>
                <w:b/>
                <w:lang w:val="fr-CM"/>
              </w:rPr>
              <w:t>CADHP</w:t>
            </w:r>
            <w:r w:rsidRPr="0036492A">
              <w:rPr>
                <w:lang w:val="fr-CM"/>
              </w:rPr>
              <w:t xml:space="preserve"> </w:t>
            </w:r>
          </w:p>
        </w:tc>
        <w:tc>
          <w:tcPr>
            <w:tcW w:w="6657" w:type="dxa"/>
            <w:hideMark/>
          </w:tcPr>
          <w:p w14:paraId="1E63276F" w14:textId="5FEE6359" w:rsidR="0036492A" w:rsidRPr="0036492A" w:rsidRDefault="0036492A" w:rsidP="0036492A">
            <w:pPr>
              <w:pStyle w:val="SingleTxtG"/>
              <w:rPr>
                <w:lang w:val="fr-FR"/>
              </w:rPr>
            </w:pPr>
            <w:r w:rsidRPr="0036492A">
              <w:rPr>
                <w:lang w:val="fr-CM"/>
              </w:rPr>
              <w:t>Commission Africaine des Droits de l’Homme et des Peuples</w:t>
            </w:r>
          </w:p>
        </w:tc>
      </w:tr>
      <w:tr w:rsidR="0036492A" w:rsidRPr="0036492A" w14:paraId="554A91D1" w14:textId="77777777" w:rsidTr="00446CD7">
        <w:tc>
          <w:tcPr>
            <w:tcW w:w="2405" w:type="dxa"/>
            <w:hideMark/>
          </w:tcPr>
          <w:p w14:paraId="78A5C3AD" w14:textId="77777777" w:rsidR="0036492A" w:rsidRPr="0036492A" w:rsidRDefault="0036492A" w:rsidP="0036492A">
            <w:pPr>
              <w:pStyle w:val="SingleTxtG"/>
              <w:rPr>
                <w:lang w:val="en-US"/>
              </w:rPr>
            </w:pPr>
            <w:r w:rsidRPr="0036492A">
              <w:rPr>
                <w:b/>
                <w:lang w:val="fr-CM"/>
              </w:rPr>
              <w:t>CADHP</w:t>
            </w:r>
            <w:r w:rsidRPr="0036492A">
              <w:rPr>
                <w:lang w:val="fr-CM"/>
              </w:rPr>
              <w:t xml:space="preserve"> </w:t>
            </w:r>
          </w:p>
        </w:tc>
        <w:tc>
          <w:tcPr>
            <w:tcW w:w="6657" w:type="dxa"/>
            <w:hideMark/>
          </w:tcPr>
          <w:p w14:paraId="0A50B55E" w14:textId="05DF8A50" w:rsidR="0036492A" w:rsidRPr="0036492A" w:rsidRDefault="0036492A" w:rsidP="0036492A">
            <w:pPr>
              <w:pStyle w:val="SingleTxtG"/>
              <w:rPr>
                <w:lang w:val="fr-FR"/>
              </w:rPr>
            </w:pPr>
            <w:r w:rsidRPr="0036492A">
              <w:rPr>
                <w:lang w:val="fr-CM"/>
              </w:rPr>
              <w:t xml:space="preserve">Protocole à la Charte Africaine des Droits de l’Homme et des Peuples </w:t>
            </w:r>
          </w:p>
        </w:tc>
      </w:tr>
      <w:tr w:rsidR="0036492A" w:rsidRPr="0036492A" w14:paraId="3B6D0431" w14:textId="77777777" w:rsidTr="00446CD7">
        <w:tc>
          <w:tcPr>
            <w:tcW w:w="2405" w:type="dxa"/>
            <w:hideMark/>
          </w:tcPr>
          <w:p w14:paraId="28C8E162" w14:textId="77777777" w:rsidR="0036492A" w:rsidRPr="0036492A" w:rsidRDefault="0036492A" w:rsidP="0036492A">
            <w:pPr>
              <w:pStyle w:val="SingleTxtG"/>
              <w:rPr>
                <w:lang w:val="en-US"/>
              </w:rPr>
            </w:pPr>
            <w:r w:rsidRPr="0036492A">
              <w:rPr>
                <w:b/>
                <w:lang w:val="fr-CM"/>
              </w:rPr>
              <w:t>CDHC</w:t>
            </w:r>
            <w:r w:rsidRPr="0036492A">
              <w:rPr>
                <w:lang w:val="fr-CM"/>
              </w:rPr>
              <w:t xml:space="preserve">  </w:t>
            </w:r>
          </w:p>
        </w:tc>
        <w:tc>
          <w:tcPr>
            <w:tcW w:w="6657" w:type="dxa"/>
            <w:hideMark/>
          </w:tcPr>
          <w:p w14:paraId="3D7B3A01" w14:textId="3AE36FAE" w:rsidR="0036492A" w:rsidRPr="0036492A" w:rsidRDefault="0036492A" w:rsidP="0036492A">
            <w:pPr>
              <w:pStyle w:val="SingleTxtG"/>
              <w:rPr>
                <w:lang w:val="fr-FR"/>
              </w:rPr>
            </w:pPr>
            <w:r w:rsidRPr="0036492A">
              <w:rPr>
                <w:lang w:val="fr-CM"/>
              </w:rPr>
              <w:t xml:space="preserve">Commission des Droits de l’Homme du Cameroun  </w:t>
            </w:r>
          </w:p>
        </w:tc>
      </w:tr>
      <w:tr w:rsidR="0036492A" w:rsidRPr="0036492A" w14:paraId="3DA4A0B3" w14:textId="77777777" w:rsidTr="00446CD7">
        <w:tc>
          <w:tcPr>
            <w:tcW w:w="2405" w:type="dxa"/>
            <w:hideMark/>
          </w:tcPr>
          <w:p w14:paraId="60469EBF" w14:textId="77777777" w:rsidR="0036492A" w:rsidRPr="0036492A" w:rsidRDefault="0036492A" w:rsidP="0036492A">
            <w:pPr>
              <w:pStyle w:val="SingleTxtG"/>
              <w:rPr>
                <w:lang w:val="en-US"/>
              </w:rPr>
            </w:pPr>
            <w:r w:rsidRPr="0036492A">
              <w:rPr>
                <w:b/>
                <w:lang w:val="fr-CM"/>
              </w:rPr>
              <w:t>CEP</w:t>
            </w:r>
            <w:r w:rsidRPr="0036492A">
              <w:rPr>
                <w:lang w:val="fr-CM"/>
              </w:rPr>
              <w:t> </w:t>
            </w:r>
          </w:p>
        </w:tc>
        <w:tc>
          <w:tcPr>
            <w:tcW w:w="6657" w:type="dxa"/>
            <w:hideMark/>
          </w:tcPr>
          <w:p w14:paraId="1044E227" w14:textId="39A1EDDE" w:rsidR="0036492A" w:rsidRPr="0036492A" w:rsidRDefault="0036492A" w:rsidP="0036492A">
            <w:pPr>
              <w:pStyle w:val="SingleTxtG"/>
              <w:rPr>
                <w:lang w:val="en-US"/>
              </w:rPr>
            </w:pPr>
            <w:r w:rsidRPr="0036492A">
              <w:rPr>
                <w:lang w:val="fr-CM"/>
              </w:rPr>
              <w:t>Certificat d’</w:t>
            </w:r>
            <w:proofErr w:type="spellStart"/>
            <w:r w:rsidRPr="0036492A">
              <w:rPr>
                <w:lang w:val="fr-CM"/>
              </w:rPr>
              <w:t>Etude</w:t>
            </w:r>
            <w:proofErr w:type="spellEnd"/>
            <w:r w:rsidRPr="0036492A">
              <w:rPr>
                <w:lang w:val="fr-CM"/>
              </w:rPr>
              <w:t xml:space="preserve"> Primaire</w:t>
            </w:r>
          </w:p>
        </w:tc>
      </w:tr>
      <w:tr w:rsidR="0036492A" w:rsidRPr="0036492A" w14:paraId="151FB285" w14:textId="77777777" w:rsidTr="00446CD7">
        <w:tc>
          <w:tcPr>
            <w:tcW w:w="2405" w:type="dxa"/>
            <w:hideMark/>
          </w:tcPr>
          <w:p w14:paraId="6FB5C525" w14:textId="77777777" w:rsidR="0036492A" w:rsidRPr="0036492A" w:rsidRDefault="0036492A" w:rsidP="0036492A">
            <w:pPr>
              <w:pStyle w:val="SingleTxtG"/>
              <w:rPr>
                <w:lang w:val="en-US"/>
              </w:rPr>
            </w:pPr>
            <w:r w:rsidRPr="0036492A">
              <w:rPr>
                <w:b/>
                <w:lang w:val="fr-FR"/>
              </w:rPr>
              <w:t>CERD</w:t>
            </w:r>
            <w:r w:rsidRPr="0036492A">
              <w:rPr>
                <w:lang w:val="fr-FR"/>
              </w:rPr>
              <w:t xml:space="preserve">  </w:t>
            </w:r>
          </w:p>
        </w:tc>
        <w:tc>
          <w:tcPr>
            <w:tcW w:w="6657" w:type="dxa"/>
            <w:hideMark/>
          </w:tcPr>
          <w:p w14:paraId="2B591FA4" w14:textId="5BB9EF39" w:rsidR="0036492A" w:rsidRPr="0036492A" w:rsidRDefault="0036492A" w:rsidP="0036492A">
            <w:pPr>
              <w:pStyle w:val="SingleTxtG"/>
              <w:rPr>
                <w:lang w:val="fr-FR"/>
              </w:rPr>
            </w:pPr>
            <w:r w:rsidRPr="0036492A">
              <w:rPr>
                <w:lang w:val="fr-FR"/>
              </w:rPr>
              <w:t>Convention Internationale sur l’</w:t>
            </w:r>
            <w:proofErr w:type="spellStart"/>
            <w:r w:rsidRPr="0036492A">
              <w:rPr>
                <w:lang w:val="fr-FR"/>
              </w:rPr>
              <w:t>Elimination</w:t>
            </w:r>
            <w:proofErr w:type="spellEnd"/>
            <w:r w:rsidRPr="0036492A">
              <w:rPr>
                <w:lang w:val="fr-FR"/>
              </w:rPr>
              <w:t xml:space="preserve"> de toutes les Formes de Discrimination Raciale </w:t>
            </w:r>
          </w:p>
        </w:tc>
      </w:tr>
      <w:tr w:rsidR="0036492A" w:rsidRPr="0036492A" w14:paraId="4A290B71" w14:textId="77777777" w:rsidTr="00446CD7">
        <w:tc>
          <w:tcPr>
            <w:tcW w:w="2405" w:type="dxa"/>
            <w:hideMark/>
          </w:tcPr>
          <w:p w14:paraId="7C1046EB" w14:textId="77777777" w:rsidR="0036492A" w:rsidRPr="0036492A" w:rsidRDefault="0036492A" w:rsidP="0036492A">
            <w:pPr>
              <w:pStyle w:val="SingleTxtG"/>
              <w:rPr>
                <w:lang w:val="en-US"/>
              </w:rPr>
            </w:pPr>
            <w:r w:rsidRPr="0036492A">
              <w:rPr>
                <w:b/>
                <w:lang w:val="fr-CM"/>
              </w:rPr>
              <w:t>CMPJ</w:t>
            </w:r>
            <w:r w:rsidRPr="0036492A">
              <w:rPr>
                <w:lang w:val="fr-CM"/>
              </w:rPr>
              <w:t xml:space="preserve">  </w:t>
            </w:r>
          </w:p>
        </w:tc>
        <w:tc>
          <w:tcPr>
            <w:tcW w:w="6657" w:type="dxa"/>
            <w:hideMark/>
          </w:tcPr>
          <w:p w14:paraId="177DA4D4" w14:textId="25E367CA" w:rsidR="0036492A" w:rsidRPr="0036492A" w:rsidRDefault="0036492A" w:rsidP="0036492A">
            <w:pPr>
              <w:pStyle w:val="SingleTxtG"/>
              <w:rPr>
                <w:lang w:val="fr-FR"/>
              </w:rPr>
            </w:pPr>
            <w:r w:rsidRPr="0036492A">
              <w:rPr>
                <w:lang w:val="fr-CM"/>
              </w:rPr>
              <w:t xml:space="preserve">Centres multifonctionnels de promotion des jeunes </w:t>
            </w:r>
          </w:p>
        </w:tc>
      </w:tr>
      <w:tr w:rsidR="0036492A" w:rsidRPr="0036492A" w14:paraId="606A8738" w14:textId="77777777" w:rsidTr="00446CD7">
        <w:tc>
          <w:tcPr>
            <w:tcW w:w="2405" w:type="dxa"/>
            <w:hideMark/>
          </w:tcPr>
          <w:p w14:paraId="23A8D142" w14:textId="77777777" w:rsidR="0036492A" w:rsidRPr="0036492A" w:rsidRDefault="0036492A" w:rsidP="0036492A">
            <w:pPr>
              <w:pStyle w:val="SingleTxtG"/>
              <w:rPr>
                <w:lang w:val="en-US"/>
              </w:rPr>
            </w:pPr>
            <w:r w:rsidRPr="0036492A">
              <w:rPr>
                <w:b/>
                <w:lang w:val="fr-CM"/>
              </w:rPr>
              <w:t>CNC</w:t>
            </w:r>
            <w:r w:rsidRPr="0036492A">
              <w:rPr>
                <w:lang w:val="fr-CM"/>
              </w:rPr>
              <w:t xml:space="preserve">  </w:t>
            </w:r>
          </w:p>
        </w:tc>
        <w:tc>
          <w:tcPr>
            <w:tcW w:w="6657" w:type="dxa"/>
            <w:hideMark/>
          </w:tcPr>
          <w:p w14:paraId="1E709756" w14:textId="378F7141" w:rsidR="0036492A" w:rsidRPr="0036492A" w:rsidRDefault="0036492A" w:rsidP="0036492A">
            <w:pPr>
              <w:pStyle w:val="SingleTxtG"/>
              <w:rPr>
                <w:lang w:val="fr-FR"/>
              </w:rPr>
            </w:pPr>
            <w:r w:rsidRPr="0036492A">
              <w:rPr>
                <w:lang w:val="fr-CM"/>
              </w:rPr>
              <w:t xml:space="preserve">Conseil National de la Communication </w:t>
            </w:r>
          </w:p>
        </w:tc>
      </w:tr>
      <w:tr w:rsidR="0036492A" w:rsidRPr="0036492A" w14:paraId="6E4F1E63" w14:textId="77777777" w:rsidTr="00446CD7">
        <w:tc>
          <w:tcPr>
            <w:tcW w:w="2405" w:type="dxa"/>
            <w:hideMark/>
          </w:tcPr>
          <w:p w14:paraId="71D26C65" w14:textId="77777777" w:rsidR="0036492A" w:rsidRPr="0036492A" w:rsidRDefault="0036492A" w:rsidP="0036492A">
            <w:pPr>
              <w:pStyle w:val="SingleTxtG"/>
              <w:rPr>
                <w:lang w:val="en-US"/>
              </w:rPr>
            </w:pPr>
            <w:r w:rsidRPr="0036492A">
              <w:rPr>
                <w:b/>
                <w:lang w:val="fr-CM"/>
              </w:rPr>
              <w:t>CNPBM</w:t>
            </w:r>
            <w:r w:rsidRPr="0036492A">
              <w:rPr>
                <w:lang w:val="fr-CM"/>
              </w:rPr>
              <w:t> </w:t>
            </w:r>
          </w:p>
        </w:tc>
        <w:tc>
          <w:tcPr>
            <w:tcW w:w="6657" w:type="dxa"/>
            <w:hideMark/>
          </w:tcPr>
          <w:p w14:paraId="309564F7" w14:textId="224E01DE" w:rsidR="0036492A" w:rsidRPr="0036492A" w:rsidRDefault="0036492A" w:rsidP="0036492A">
            <w:pPr>
              <w:pStyle w:val="SingleTxtG"/>
              <w:rPr>
                <w:lang w:val="fr-FR"/>
              </w:rPr>
            </w:pPr>
            <w:r w:rsidRPr="0036492A">
              <w:rPr>
                <w:lang w:val="fr-CM"/>
              </w:rPr>
              <w:t xml:space="preserve">Commission Nationale </w:t>
            </w:r>
            <w:proofErr w:type="spellStart"/>
            <w:r w:rsidRPr="0036492A">
              <w:rPr>
                <w:lang w:val="fr-CM"/>
              </w:rPr>
              <w:t>deP</w:t>
            </w:r>
            <w:proofErr w:type="spellEnd"/>
            <w:r w:rsidRPr="0036492A">
              <w:rPr>
                <w:lang w:val="fr-CM"/>
              </w:rPr>
              <w:t xml:space="preserve"> du Bilinguisme et du Multiculturalisme</w:t>
            </w:r>
          </w:p>
        </w:tc>
      </w:tr>
      <w:tr w:rsidR="0036492A" w:rsidRPr="0036492A" w14:paraId="437ECF5C" w14:textId="77777777" w:rsidTr="00446CD7">
        <w:tc>
          <w:tcPr>
            <w:tcW w:w="2405" w:type="dxa"/>
            <w:hideMark/>
          </w:tcPr>
          <w:p w14:paraId="6C4DA0D1" w14:textId="77777777" w:rsidR="0036492A" w:rsidRPr="0036492A" w:rsidRDefault="0036492A" w:rsidP="0036492A">
            <w:pPr>
              <w:pStyle w:val="SingleTxtG"/>
              <w:rPr>
                <w:lang w:val="en-US"/>
              </w:rPr>
            </w:pPr>
            <w:r w:rsidRPr="0036492A">
              <w:rPr>
                <w:b/>
                <w:bCs/>
                <w:lang w:val="fr-CM"/>
              </w:rPr>
              <w:t>COPIL</w:t>
            </w:r>
            <w:r w:rsidRPr="0036492A">
              <w:rPr>
                <w:bCs/>
                <w:lang w:val="fr-CM"/>
              </w:rPr>
              <w:t xml:space="preserve">  </w:t>
            </w:r>
          </w:p>
        </w:tc>
        <w:tc>
          <w:tcPr>
            <w:tcW w:w="6657" w:type="dxa"/>
            <w:hideMark/>
          </w:tcPr>
          <w:p w14:paraId="791F5EA5" w14:textId="12D57B32" w:rsidR="0036492A" w:rsidRPr="0036492A" w:rsidRDefault="0036492A" w:rsidP="0036492A">
            <w:pPr>
              <w:pStyle w:val="SingleTxtG"/>
              <w:rPr>
                <w:lang w:val="en-US"/>
              </w:rPr>
            </w:pPr>
            <w:r w:rsidRPr="0036492A">
              <w:rPr>
                <w:bCs/>
                <w:lang w:val="fr-CM"/>
              </w:rPr>
              <w:t xml:space="preserve">Comité de Pilotage </w:t>
            </w:r>
          </w:p>
        </w:tc>
      </w:tr>
      <w:tr w:rsidR="0036492A" w:rsidRPr="0036492A" w14:paraId="4CC3C0F1" w14:textId="77777777" w:rsidTr="00446CD7">
        <w:tc>
          <w:tcPr>
            <w:tcW w:w="2405" w:type="dxa"/>
            <w:hideMark/>
          </w:tcPr>
          <w:p w14:paraId="72E5DA28" w14:textId="77777777" w:rsidR="0036492A" w:rsidRPr="0036492A" w:rsidRDefault="0036492A" w:rsidP="0036492A">
            <w:pPr>
              <w:pStyle w:val="SingleTxtG"/>
              <w:rPr>
                <w:lang w:val="en-US"/>
              </w:rPr>
            </w:pPr>
            <w:r w:rsidRPr="0036492A">
              <w:rPr>
                <w:b/>
                <w:lang w:val="fr-CM"/>
              </w:rPr>
              <w:t>CPFF</w:t>
            </w:r>
            <w:r w:rsidRPr="0036492A">
              <w:rPr>
                <w:lang w:val="fr-CM"/>
              </w:rPr>
              <w:t> </w:t>
            </w:r>
          </w:p>
        </w:tc>
        <w:tc>
          <w:tcPr>
            <w:tcW w:w="6657" w:type="dxa"/>
            <w:hideMark/>
          </w:tcPr>
          <w:p w14:paraId="76EF1349" w14:textId="1D896A18" w:rsidR="0036492A" w:rsidRPr="0036492A" w:rsidRDefault="0036492A" w:rsidP="0036492A">
            <w:pPr>
              <w:pStyle w:val="SingleTxtG"/>
              <w:rPr>
                <w:lang w:val="fr-FR"/>
              </w:rPr>
            </w:pPr>
            <w:r w:rsidRPr="0036492A">
              <w:rPr>
                <w:lang w:val="fr-CM"/>
              </w:rPr>
              <w:t>Centre de Promotion de la Femme et de la Famille</w:t>
            </w:r>
          </w:p>
        </w:tc>
      </w:tr>
      <w:tr w:rsidR="0036492A" w:rsidRPr="0036492A" w14:paraId="53AB2676" w14:textId="77777777" w:rsidTr="00446CD7">
        <w:tc>
          <w:tcPr>
            <w:tcW w:w="2405" w:type="dxa"/>
            <w:hideMark/>
          </w:tcPr>
          <w:p w14:paraId="0CCDCD46" w14:textId="77777777" w:rsidR="0036492A" w:rsidRPr="0036492A" w:rsidRDefault="0036492A" w:rsidP="0036492A">
            <w:pPr>
              <w:pStyle w:val="SingleTxtG"/>
              <w:rPr>
                <w:lang w:val="en-US"/>
              </w:rPr>
            </w:pPr>
            <w:r w:rsidRPr="0036492A">
              <w:rPr>
                <w:b/>
                <w:lang w:val="fr-CM"/>
              </w:rPr>
              <w:t>CTD</w:t>
            </w:r>
            <w:r w:rsidRPr="0036492A">
              <w:rPr>
                <w:lang w:val="fr-CM"/>
              </w:rPr>
              <w:t> </w:t>
            </w:r>
          </w:p>
        </w:tc>
        <w:tc>
          <w:tcPr>
            <w:tcW w:w="6657" w:type="dxa"/>
            <w:hideMark/>
          </w:tcPr>
          <w:p w14:paraId="4E48A33C" w14:textId="17E68963" w:rsidR="0036492A" w:rsidRPr="0036492A" w:rsidRDefault="0036492A" w:rsidP="0036492A">
            <w:pPr>
              <w:pStyle w:val="SingleTxtG"/>
              <w:rPr>
                <w:lang w:val="en-US"/>
              </w:rPr>
            </w:pPr>
            <w:r w:rsidRPr="0036492A">
              <w:rPr>
                <w:lang w:val="fr-CM"/>
              </w:rPr>
              <w:t>Collectivités Territoriales Décentralisées</w:t>
            </w:r>
          </w:p>
        </w:tc>
      </w:tr>
      <w:tr w:rsidR="0036492A" w:rsidRPr="0036492A" w14:paraId="69187D43" w14:textId="77777777" w:rsidTr="00446CD7">
        <w:tc>
          <w:tcPr>
            <w:tcW w:w="2405" w:type="dxa"/>
            <w:hideMark/>
          </w:tcPr>
          <w:p w14:paraId="67EF6BC2" w14:textId="77777777" w:rsidR="0036492A" w:rsidRPr="0036492A" w:rsidRDefault="0036492A" w:rsidP="0036492A">
            <w:pPr>
              <w:pStyle w:val="SingleTxtG"/>
              <w:rPr>
                <w:lang w:val="en-US"/>
              </w:rPr>
            </w:pPr>
            <w:r w:rsidRPr="0036492A">
              <w:rPr>
                <w:b/>
                <w:lang w:val="fr-CM"/>
              </w:rPr>
              <w:t>DBC</w:t>
            </w:r>
            <w:r w:rsidRPr="0036492A">
              <w:rPr>
                <w:lang w:val="fr-CM"/>
              </w:rPr>
              <w:t xml:space="preserve"> </w:t>
            </w:r>
          </w:p>
        </w:tc>
        <w:tc>
          <w:tcPr>
            <w:tcW w:w="6657" w:type="dxa"/>
            <w:hideMark/>
          </w:tcPr>
          <w:p w14:paraId="6705EB15" w14:textId="3AA63F30" w:rsidR="0036492A" w:rsidRPr="0036492A" w:rsidRDefault="0036492A" w:rsidP="0036492A">
            <w:pPr>
              <w:pStyle w:val="SingleTxtG"/>
              <w:rPr>
                <w:lang w:val="en-US"/>
              </w:rPr>
            </w:pPr>
            <w:r w:rsidRPr="0036492A">
              <w:rPr>
                <w:lang w:val="fr-CM"/>
              </w:rPr>
              <w:t>Document de Base Commun</w:t>
            </w:r>
          </w:p>
        </w:tc>
      </w:tr>
      <w:tr w:rsidR="0036492A" w:rsidRPr="0036492A" w14:paraId="35E19748" w14:textId="77777777" w:rsidTr="00446CD7">
        <w:tc>
          <w:tcPr>
            <w:tcW w:w="2405" w:type="dxa"/>
            <w:hideMark/>
          </w:tcPr>
          <w:p w14:paraId="6B8A5E1C" w14:textId="77777777" w:rsidR="0036492A" w:rsidRPr="0036492A" w:rsidRDefault="0036492A" w:rsidP="0036492A">
            <w:pPr>
              <w:pStyle w:val="SingleTxtG"/>
              <w:rPr>
                <w:lang w:val="en-US"/>
              </w:rPr>
            </w:pPr>
            <w:r w:rsidRPr="0036492A">
              <w:rPr>
                <w:b/>
                <w:lang w:val="fr-CM"/>
              </w:rPr>
              <w:t>DPAD </w:t>
            </w:r>
          </w:p>
        </w:tc>
        <w:tc>
          <w:tcPr>
            <w:tcW w:w="6657" w:type="dxa"/>
            <w:hideMark/>
          </w:tcPr>
          <w:p w14:paraId="36495228" w14:textId="31D027B7" w:rsidR="0036492A" w:rsidRPr="0036492A" w:rsidRDefault="0036492A" w:rsidP="0036492A">
            <w:pPr>
              <w:pStyle w:val="SingleTxtG"/>
              <w:rPr>
                <w:lang w:val="fr-FR"/>
              </w:rPr>
            </w:pPr>
            <w:r w:rsidRPr="0036492A">
              <w:rPr>
                <w:lang w:val="fr-CM"/>
              </w:rPr>
              <w:t>Déclaration et du Programme d'action de Durban</w:t>
            </w:r>
          </w:p>
        </w:tc>
      </w:tr>
      <w:tr w:rsidR="0036492A" w:rsidRPr="0036492A" w14:paraId="0A9E4173" w14:textId="77777777" w:rsidTr="00446CD7">
        <w:tc>
          <w:tcPr>
            <w:tcW w:w="2405" w:type="dxa"/>
            <w:hideMark/>
          </w:tcPr>
          <w:p w14:paraId="2A757B53" w14:textId="77777777" w:rsidR="0036492A" w:rsidRPr="0036492A" w:rsidRDefault="0036492A" w:rsidP="0036492A">
            <w:pPr>
              <w:pStyle w:val="SingleTxtG"/>
              <w:rPr>
                <w:lang w:val="en-US"/>
              </w:rPr>
            </w:pPr>
            <w:r w:rsidRPr="0036492A">
              <w:rPr>
                <w:b/>
                <w:lang w:val="fr-CM"/>
              </w:rPr>
              <w:t>ENAM</w:t>
            </w:r>
            <w:r w:rsidRPr="0036492A">
              <w:rPr>
                <w:lang w:val="fr-CM"/>
              </w:rPr>
              <w:t xml:space="preserve">  </w:t>
            </w:r>
          </w:p>
        </w:tc>
        <w:tc>
          <w:tcPr>
            <w:tcW w:w="6657" w:type="dxa"/>
            <w:hideMark/>
          </w:tcPr>
          <w:p w14:paraId="7808F4A4" w14:textId="538F1D06" w:rsidR="0036492A" w:rsidRPr="0036492A" w:rsidRDefault="0036492A" w:rsidP="0036492A">
            <w:pPr>
              <w:pStyle w:val="SingleTxtG"/>
              <w:rPr>
                <w:lang w:val="fr-FR"/>
              </w:rPr>
            </w:pPr>
            <w:proofErr w:type="spellStart"/>
            <w:r w:rsidRPr="0036492A">
              <w:rPr>
                <w:lang w:val="fr-CM"/>
              </w:rPr>
              <w:t>Ecole</w:t>
            </w:r>
            <w:proofErr w:type="spellEnd"/>
            <w:r w:rsidRPr="0036492A">
              <w:rPr>
                <w:lang w:val="fr-CM"/>
              </w:rPr>
              <w:t xml:space="preserve"> Nationale d'Administration et de Magistrature </w:t>
            </w:r>
          </w:p>
        </w:tc>
      </w:tr>
      <w:tr w:rsidR="0036492A" w:rsidRPr="0036492A" w14:paraId="2A24FCD1" w14:textId="77777777" w:rsidTr="00446CD7">
        <w:tc>
          <w:tcPr>
            <w:tcW w:w="2405" w:type="dxa"/>
            <w:hideMark/>
          </w:tcPr>
          <w:p w14:paraId="744194A4" w14:textId="77777777" w:rsidR="0036492A" w:rsidRPr="0036492A" w:rsidRDefault="0036492A" w:rsidP="0036492A">
            <w:pPr>
              <w:pStyle w:val="SingleTxtG"/>
              <w:rPr>
                <w:lang w:val="en-US"/>
              </w:rPr>
            </w:pPr>
            <w:r w:rsidRPr="0036492A">
              <w:rPr>
                <w:b/>
                <w:lang w:val="fr-FR"/>
              </w:rPr>
              <w:t>FSLC</w:t>
            </w:r>
            <w:r w:rsidRPr="0036492A">
              <w:rPr>
                <w:lang w:val="fr-FR"/>
              </w:rPr>
              <w:t> </w:t>
            </w:r>
          </w:p>
        </w:tc>
        <w:tc>
          <w:tcPr>
            <w:tcW w:w="6657" w:type="dxa"/>
            <w:hideMark/>
          </w:tcPr>
          <w:p w14:paraId="12F05CCE" w14:textId="60B7B1F6" w:rsidR="0036492A" w:rsidRPr="0036492A" w:rsidRDefault="0036492A" w:rsidP="0036492A">
            <w:pPr>
              <w:pStyle w:val="SingleTxtG"/>
              <w:rPr>
                <w:lang w:val="en-US"/>
              </w:rPr>
            </w:pPr>
            <w:r w:rsidRPr="0036492A">
              <w:rPr>
                <w:lang w:val="fr-FR"/>
              </w:rPr>
              <w:t xml:space="preserve">First </w:t>
            </w:r>
            <w:proofErr w:type="spellStart"/>
            <w:r w:rsidRPr="0036492A">
              <w:rPr>
                <w:lang w:val="fr-FR"/>
              </w:rPr>
              <w:t>School</w:t>
            </w:r>
            <w:proofErr w:type="spellEnd"/>
            <w:r w:rsidRPr="0036492A">
              <w:rPr>
                <w:lang w:val="fr-FR"/>
              </w:rPr>
              <w:t xml:space="preserve"> Living </w:t>
            </w:r>
            <w:proofErr w:type="spellStart"/>
            <w:r w:rsidRPr="0036492A">
              <w:rPr>
                <w:lang w:val="fr-FR"/>
              </w:rPr>
              <w:t>Certificate</w:t>
            </w:r>
            <w:proofErr w:type="spellEnd"/>
          </w:p>
        </w:tc>
      </w:tr>
      <w:tr w:rsidR="0036492A" w:rsidRPr="0036492A" w14:paraId="298E6F1C" w14:textId="77777777" w:rsidTr="00446CD7">
        <w:tc>
          <w:tcPr>
            <w:tcW w:w="2405" w:type="dxa"/>
            <w:hideMark/>
          </w:tcPr>
          <w:p w14:paraId="68039752" w14:textId="77777777" w:rsidR="0036492A" w:rsidRPr="0036492A" w:rsidRDefault="0036492A" w:rsidP="0036492A">
            <w:pPr>
              <w:pStyle w:val="SingleTxtG"/>
              <w:rPr>
                <w:lang w:val="en-US"/>
              </w:rPr>
            </w:pPr>
            <w:r w:rsidRPr="0036492A">
              <w:rPr>
                <w:b/>
                <w:lang w:val="fr-CM"/>
              </w:rPr>
              <w:t>HCR</w:t>
            </w:r>
            <w:r w:rsidRPr="0036492A">
              <w:rPr>
                <w:lang w:val="fr-CM"/>
              </w:rPr>
              <w:t xml:space="preserve">  </w:t>
            </w:r>
          </w:p>
        </w:tc>
        <w:tc>
          <w:tcPr>
            <w:tcW w:w="6657" w:type="dxa"/>
            <w:hideMark/>
          </w:tcPr>
          <w:p w14:paraId="6CD103DF" w14:textId="7B8587CB" w:rsidR="0036492A" w:rsidRPr="0036492A" w:rsidRDefault="0036492A" w:rsidP="0036492A">
            <w:pPr>
              <w:pStyle w:val="SingleTxtG"/>
              <w:rPr>
                <w:lang w:val="fr-FR"/>
              </w:rPr>
            </w:pPr>
            <w:r w:rsidRPr="0036492A">
              <w:rPr>
                <w:lang w:val="fr-CM"/>
              </w:rPr>
              <w:t xml:space="preserve">Haut-Commissariat des Nations Unies pour les Réfugiés </w:t>
            </w:r>
          </w:p>
        </w:tc>
      </w:tr>
      <w:tr w:rsidR="0036492A" w:rsidRPr="0036492A" w14:paraId="1A01DAF9" w14:textId="77777777" w:rsidTr="00446CD7">
        <w:tc>
          <w:tcPr>
            <w:tcW w:w="2405" w:type="dxa"/>
            <w:hideMark/>
          </w:tcPr>
          <w:p w14:paraId="58494AA1" w14:textId="77777777" w:rsidR="0036492A" w:rsidRPr="0036492A" w:rsidRDefault="0036492A" w:rsidP="0036492A">
            <w:pPr>
              <w:pStyle w:val="SingleTxtG"/>
              <w:rPr>
                <w:lang w:val="en-US"/>
              </w:rPr>
            </w:pPr>
            <w:r w:rsidRPr="0036492A">
              <w:rPr>
                <w:b/>
                <w:lang w:val="fr-CM"/>
              </w:rPr>
              <w:t>INS</w:t>
            </w:r>
            <w:r w:rsidRPr="0036492A">
              <w:rPr>
                <w:lang w:val="fr-CM"/>
              </w:rPr>
              <w:t xml:space="preserve">  </w:t>
            </w:r>
          </w:p>
        </w:tc>
        <w:tc>
          <w:tcPr>
            <w:tcW w:w="6657" w:type="dxa"/>
            <w:hideMark/>
          </w:tcPr>
          <w:p w14:paraId="0EC0EAF1" w14:textId="32057770" w:rsidR="0036492A" w:rsidRPr="0036492A" w:rsidRDefault="0036492A" w:rsidP="0036492A">
            <w:pPr>
              <w:pStyle w:val="SingleTxtG"/>
              <w:rPr>
                <w:lang w:val="fr-FR"/>
              </w:rPr>
            </w:pPr>
            <w:r w:rsidRPr="0036492A">
              <w:rPr>
                <w:lang w:val="fr-CM"/>
              </w:rPr>
              <w:t xml:space="preserve">Institut National de la Statistique </w:t>
            </w:r>
          </w:p>
        </w:tc>
      </w:tr>
      <w:tr w:rsidR="0036492A" w:rsidRPr="0036492A" w14:paraId="6572083A" w14:textId="77777777" w:rsidTr="00446CD7">
        <w:tc>
          <w:tcPr>
            <w:tcW w:w="2405" w:type="dxa"/>
            <w:hideMark/>
          </w:tcPr>
          <w:p w14:paraId="543A3781" w14:textId="77777777" w:rsidR="0036492A" w:rsidRPr="0036492A" w:rsidRDefault="0036492A" w:rsidP="0036492A">
            <w:pPr>
              <w:pStyle w:val="SingleTxtG"/>
              <w:rPr>
                <w:lang w:val="en-US"/>
              </w:rPr>
            </w:pPr>
            <w:r w:rsidRPr="0036492A">
              <w:rPr>
                <w:b/>
                <w:lang w:val="en-US"/>
              </w:rPr>
              <w:t>JAPSSO</w:t>
            </w:r>
            <w:r w:rsidRPr="0036492A">
              <w:rPr>
                <w:lang w:val="en-US"/>
              </w:rPr>
              <w:t> </w:t>
            </w:r>
          </w:p>
        </w:tc>
        <w:tc>
          <w:tcPr>
            <w:tcW w:w="6657" w:type="dxa"/>
            <w:hideMark/>
          </w:tcPr>
          <w:p w14:paraId="587040C7" w14:textId="7227C072" w:rsidR="0036492A" w:rsidRPr="0036492A" w:rsidRDefault="0036492A" w:rsidP="0036492A">
            <w:pPr>
              <w:pStyle w:val="SingleTxtG"/>
              <w:rPr>
                <w:lang w:val="en-US"/>
              </w:rPr>
            </w:pPr>
            <w:r w:rsidRPr="0036492A">
              <w:rPr>
                <w:lang w:val="en-US"/>
              </w:rPr>
              <w:t>Joins</w:t>
            </w:r>
            <w:r w:rsidRPr="0036492A">
              <w:rPr>
                <w:i/>
                <w:iCs/>
                <w:lang w:val="en-US"/>
              </w:rPr>
              <w:t xml:space="preserve"> Acting Process for the Success of </w:t>
            </w:r>
            <w:proofErr w:type="spellStart"/>
            <w:r w:rsidRPr="0036492A">
              <w:rPr>
                <w:i/>
                <w:iCs/>
                <w:lang w:val="en-US"/>
              </w:rPr>
              <w:t>subtainable</w:t>
            </w:r>
            <w:proofErr w:type="spellEnd"/>
            <w:r w:rsidRPr="0036492A">
              <w:rPr>
                <w:i/>
                <w:iCs/>
                <w:lang w:val="en-US"/>
              </w:rPr>
              <w:t xml:space="preserve"> Objectives</w:t>
            </w:r>
          </w:p>
        </w:tc>
      </w:tr>
      <w:tr w:rsidR="0036492A" w:rsidRPr="0036492A" w14:paraId="5EB0E44D" w14:textId="77777777" w:rsidTr="00446CD7">
        <w:tc>
          <w:tcPr>
            <w:tcW w:w="2405" w:type="dxa"/>
            <w:hideMark/>
          </w:tcPr>
          <w:p w14:paraId="62B29586" w14:textId="77777777" w:rsidR="0036492A" w:rsidRPr="0036492A" w:rsidRDefault="0036492A" w:rsidP="0036492A">
            <w:pPr>
              <w:pStyle w:val="SingleTxtG"/>
              <w:rPr>
                <w:lang w:val="en-US"/>
              </w:rPr>
            </w:pPr>
            <w:r w:rsidRPr="0036492A">
              <w:rPr>
                <w:b/>
                <w:lang w:val="fr-CM"/>
              </w:rPr>
              <w:t>ME</w:t>
            </w:r>
            <w:r w:rsidRPr="0036492A">
              <w:rPr>
                <w:lang w:val="fr-CM"/>
              </w:rPr>
              <w:t> </w:t>
            </w:r>
          </w:p>
        </w:tc>
        <w:tc>
          <w:tcPr>
            <w:tcW w:w="6657" w:type="dxa"/>
            <w:hideMark/>
          </w:tcPr>
          <w:p w14:paraId="781F2A91" w14:textId="2599068F" w:rsidR="0036492A" w:rsidRPr="0036492A" w:rsidRDefault="0036492A" w:rsidP="0036492A">
            <w:pPr>
              <w:pStyle w:val="SingleTxtG"/>
              <w:rPr>
                <w:lang w:val="en-US"/>
              </w:rPr>
            </w:pPr>
            <w:r w:rsidRPr="0036492A">
              <w:rPr>
                <w:lang w:val="fr-CM"/>
              </w:rPr>
              <w:t>Mémorandum d’Entente</w:t>
            </w:r>
          </w:p>
        </w:tc>
      </w:tr>
      <w:tr w:rsidR="0036492A" w:rsidRPr="0036492A" w14:paraId="23249B61" w14:textId="77777777" w:rsidTr="00446CD7">
        <w:tc>
          <w:tcPr>
            <w:tcW w:w="2405" w:type="dxa"/>
            <w:hideMark/>
          </w:tcPr>
          <w:p w14:paraId="43333FE7" w14:textId="77777777" w:rsidR="0036492A" w:rsidRPr="0036492A" w:rsidRDefault="0036492A" w:rsidP="0036492A">
            <w:pPr>
              <w:pStyle w:val="SingleTxtG"/>
              <w:rPr>
                <w:lang w:val="en-US"/>
              </w:rPr>
            </w:pPr>
            <w:r w:rsidRPr="0036492A">
              <w:rPr>
                <w:b/>
                <w:bCs/>
                <w:lang w:val="fr-CM"/>
              </w:rPr>
              <w:t>MINAS</w:t>
            </w:r>
            <w:r w:rsidRPr="0036492A">
              <w:rPr>
                <w:bCs/>
                <w:lang w:val="fr-CM"/>
              </w:rPr>
              <w:t xml:space="preserve">  </w:t>
            </w:r>
          </w:p>
        </w:tc>
        <w:tc>
          <w:tcPr>
            <w:tcW w:w="6657" w:type="dxa"/>
            <w:hideMark/>
          </w:tcPr>
          <w:p w14:paraId="20276A45" w14:textId="03893168" w:rsidR="0036492A" w:rsidRPr="0036492A" w:rsidRDefault="0036492A" w:rsidP="0036492A">
            <w:pPr>
              <w:pStyle w:val="SingleTxtG"/>
              <w:rPr>
                <w:lang w:val="en-US"/>
              </w:rPr>
            </w:pPr>
            <w:r w:rsidRPr="0036492A">
              <w:rPr>
                <w:bCs/>
                <w:lang w:val="fr-CM"/>
              </w:rPr>
              <w:t xml:space="preserve">Ministère des Affaires Sociales </w:t>
            </w:r>
          </w:p>
        </w:tc>
      </w:tr>
      <w:tr w:rsidR="0036492A" w:rsidRPr="0036492A" w14:paraId="7B479A76" w14:textId="77777777" w:rsidTr="00446CD7">
        <w:tc>
          <w:tcPr>
            <w:tcW w:w="2405" w:type="dxa"/>
            <w:hideMark/>
          </w:tcPr>
          <w:p w14:paraId="4E69A890" w14:textId="77777777" w:rsidR="0036492A" w:rsidRPr="0036492A" w:rsidRDefault="0036492A" w:rsidP="0036492A">
            <w:pPr>
              <w:pStyle w:val="SingleTxtG"/>
              <w:rPr>
                <w:lang w:val="en-US"/>
              </w:rPr>
            </w:pPr>
            <w:r w:rsidRPr="0036492A">
              <w:rPr>
                <w:b/>
                <w:lang w:val="fr-CM"/>
              </w:rPr>
              <w:t>MINAT</w:t>
            </w:r>
            <w:r w:rsidRPr="0036492A">
              <w:rPr>
                <w:lang w:val="fr-CM"/>
              </w:rPr>
              <w:t> </w:t>
            </w:r>
          </w:p>
        </w:tc>
        <w:tc>
          <w:tcPr>
            <w:tcW w:w="6657" w:type="dxa"/>
            <w:hideMark/>
          </w:tcPr>
          <w:p w14:paraId="46746B5D" w14:textId="6CEDAE11" w:rsidR="0036492A" w:rsidRPr="0036492A" w:rsidRDefault="0036492A" w:rsidP="0036492A">
            <w:pPr>
              <w:pStyle w:val="SingleTxtG"/>
              <w:rPr>
                <w:lang w:val="fr-FR"/>
              </w:rPr>
            </w:pPr>
            <w:r w:rsidRPr="0036492A">
              <w:rPr>
                <w:lang w:val="fr-CM"/>
              </w:rPr>
              <w:t>Ministère de l’Administration Territoriale (MINAT</w:t>
            </w:r>
            <w:r>
              <w:rPr>
                <w:lang w:val="fr-CM"/>
              </w:rPr>
              <w:t>)</w:t>
            </w:r>
          </w:p>
        </w:tc>
      </w:tr>
      <w:tr w:rsidR="0036492A" w:rsidRPr="0036492A" w14:paraId="46DC3046" w14:textId="77777777" w:rsidTr="00446CD7">
        <w:tc>
          <w:tcPr>
            <w:tcW w:w="2405" w:type="dxa"/>
            <w:hideMark/>
          </w:tcPr>
          <w:p w14:paraId="04FD8C3E" w14:textId="77777777" w:rsidR="0036492A" w:rsidRPr="0036492A" w:rsidRDefault="0036492A" w:rsidP="0036492A">
            <w:pPr>
              <w:pStyle w:val="SingleTxtG"/>
              <w:rPr>
                <w:lang w:val="en-US"/>
              </w:rPr>
            </w:pPr>
            <w:r w:rsidRPr="0036492A">
              <w:rPr>
                <w:b/>
                <w:lang w:val="fr-CM"/>
              </w:rPr>
              <w:t>MINCOM</w:t>
            </w:r>
            <w:r w:rsidRPr="0036492A">
              <w:rPr>
                <w:lang w:val="fr-CM"/>
              </w:rPr>
              <w:t xml:space="preserve">  </w:t>
            </w:r>
          </w:p>
        </w:tc>
        <w:tc>
          <w:tcPr>
            <w:tcW w:w="6657" w:type="dxa"/>
            <w:hideMark/>
          </w:tcPr>
          <w:p w14:paraId="0DF9E53E" w14:textId="10383971" w:rsidR="0036492A" w:rsidRPr="0036492A" w:rsidRDefault="0036492A" w:rsidP="0036492A">
            <w:pPr>
              <w:pStyle w:val="SingleTxtG"/>
              <w:rPr>
                <w:lang w:val="en-US"/>
              </w:rPr>
            </w:pPr>
            <w:r w:rsidRPr="0036492A">
              <w:rPr>
                <w:lang w:val="fr-CM"/>
              </w:rPr>
              <w:t xml:space="preserve">Ministère de la Communication </w:t>
            </w:r>
          </w:p>
        </w:tc>
      </w:tr>
      <w:tr w:rsidR="0036492A" w:rsidRPr="0036492A" w14:paraId="32437A0C" w14:textId="77777777" w:rsidTr="00446CD7">
        <w:tc>
          <w:tcPr>
            <w:tcW w:w="2405" w:type="dxa"/>
            <w:hideMark/>
          </w:tcPr>
          <w:p w14:paraId="0834C27A" w14:textId="77777777" w:rsidR="0036492A" w:rsidRPr="0036492A" w:rsidRDefault="0036492A" w:rsidP="0036492A">
            <w:pPr>
              <w:pStyle w:val="SingleTxtG"/>
              <w:rPr>
                <w:lang w:val="en-US"/>
              </w:rPr>
            </w:pPr>
            <w:r w:rsidRPr="0036492A">
              <w:rPr>
                <w:b/>
                <w:lang w:val="fr-CM"/>
              </w:rPr>
              <w:t>MINDDEVEL</w:t>
            </w:r>
            <w:r w:rsidRPr="0036492A">
              <w:rPr>
                <w:lang w:val="fr-CM"/>
              </w:rPr>
              <w:t xml:space="preserve">  </w:t>
            </w:r>
          </w:p>
        </w:tc>
        <w:tc>
          <w:tcPr>
            <w:tcW w:w="6657" w:type="dxa"/>
            <w:hideMark/>
          </w:tcPr>
          <w:p w14:paraId="6B157C03" w14:textId="1EBAB845" w:rsidR="0036492A" w:rsidRPr="0036492A" w:rsidRDefault="0036492A" w:rsidP="0036492A">
            <w:pPr>
              <w:pStyle w:val="SingleTxtG"/>
              <w:rPr>
                <w:lang w:val="fr-FR"/>
              </w:rPr>
            </w:pPr>
            <w:r w:rsidRPr="0036492A">
              <w:rPr>
                <w:lang w:val="fr-CM"/>
              </w:rPr>
              <w:t xml:space="preserve">Ministère de la Décentralisation et du Développement local </w:t>
            </w:r>
          </w:p>
        </w:tc>
      </w:tr>
      <w:tr w:rsidR="0036492A" w:rsidRPr="0036492A" w14:paraId="032ACBC4" w14:textId="77777777" w:rsidTr="00446CD7">
        <w:tc>
          <w:tcPr>
            <w:tcW w:w="2405" w:type="dxa"/>
            <w:hideMark/>
          </w:tcPr>
          <w:p w14:paraId="61ADFB0B" w14:textId="77777777" w:rsidR="0036492A" w:rsidRPr="0036492A" w:rsidRDefault="0036492A" w:rsidP="0036492A">
            <w:pPr>
              <w:pStyle w:val="SingleTxtG"/>
              <w:rPr>
                <w:lang w:val="en-US"/>
              </w:rPr>
            </w:pPr>
            <w:r w:rsidRPr="0036492A">
              <w:rPr>
                <w:b/>
                <w:bCs/>
                <w:lang w:val="fr-CM"/>
              </w:rPr>
              <w:t>MINEFOP</w:t>
            </w:r>
            <w:r w:rsidRPr="0036492A">
              <w:rPr>
                <w:bCs/>
                <w:lang w:val="fr-CM"/>
              </w:rPr>
              <w:t xml:space="preserve">  </w:t>
            </w:r>
          </w:p>
        </w:tc>
        <w:tc>
          <w:tcPr>
            <w:tcW w:w="6657" w:type="dxa"/>
            <w:hideMark/>
          </w:tcPr>
          <w:p w14:paraId="6A84C948" w14:textId="24AD4F49" w:rsidR="0036492A" w:rsidRPr="0036492A" w:rsidRDefault="0036492A" w:rsidP="0036492A">
            <w:pPr>
              <w:pStyle w:val="SingleTxtG"/>
              <w:rPr>
                <w:lang w:val="fr-FR"/>
              </w:rPr>
            </w:pPr>
            <w:r w:rsidRPr="0036492A">
              <w:rPr>
                <w:bCs/>
                <w:lang w:val="fr-CM"/>
              </w:rPr>
              <w:t xml:space="preserve">Ministère de la Formation Professionnelle et de l’Emploi </w:t>
            </w:r>
          </w:p>
        </w:tc>
      </w:tr>
      <w:tr w:rsidR="0036492A" w:rsidRPr="0036492A" w14:paraId="728835AA" w14:textId="77777777" w:rsidTr="00446CD7">
        <w:tc>
          <w:tcPr>
            <w:tcW w:w="2405" w:type="dxa"/>
            <w:hideMark/>
          </w:tcPr>
          <w:p w14:paraId="1BD7D44E" w14:textId="77777777" w:rsidR="0036492A" w:rsidRPr="0036492A" w:rsidRDefault="0036492A" w:rsidP="0036492A">
            <w:pPr>
              <w:pStyle w:val="SingleTxtG"/>
              <w:rPr>
                <w:lang w:val="en-US"/>
              </w:rPr>
            </w:pPr>
            <w:r w:rsidRPr="0036492A">
              <w:rPr>
                <w:b/>
                <w:lang w:val="fr-CM"/>
              </w:rPr>
              <w:t>MINFI</w:t>
            </w:r>
            <w:r w:rsidRPr="0036492A">
              <w:rPr>
                <w:lang w:val="fr-CM"/>
              </w:rPr>
              <w:t> </w:t>
            </w:r>
          </w:p>
        </w:tc>
        <w:tc>
          <w:tcPr>
            <w:tcW w:w="6657" w:type="dxa"/>
            <w:hideMark/>
          </w:tcPr>
          <w:p w14:paraId="41F86D5C" w14:textId="2794ACF6" w:rsidR="0036492A" w:rsidRPr="0036492A" w:rsidRDefault="0036492A" w:rsidP="0036492A">
            <w:pPr>
              <w:pStyle w:val="SingleTxtG"/>
              <w:rPr>
                <w:lang w:val="en-US"/>
              </w:rPr>
            </w:pPr>
            <w:r w:rsidRPr="0036492A">
              <w:rPr>
                <w:lang w:val="fr-CM"/>
              </w:rPr>
              <w:t>Ministère des Finances</w:t>
            </w:r>
          </w:p>
        </w:tc>
      </w:tr>
      <w:tr w:rsidR="0036492A" w:rsidRPr="0036492A" w14:paraId="2EEDEEE2" w14:textId="77777777" w:rsidTr="00446CD7">
        <w:tc>
          <w:tcPr>
            <w:tcW w:w="2405" w:type="dxa"/>
            <w:hideMark/>
          </w:tcPr>
          <w:p w14:paraId="6E7FB364" w14:textId="77777777" w:rsidR="0036492A" w:rsidRPr="0036492A" w:rsidRDefault="0036492A" w:rsidP="0036492A">
            <w:pPr>
              <w:pStyle w:val="SingleTxtG"/>
              <w:rPr>
                <w:lang w:val="en-US"/>
              </w:rPr>
            </w:pPr>
            <w:r w:rsidRPr="0036492A">
              <w:rPr>
                <w:b/>
                <w:lang w:val="fr-CM"/>
              </w:rPr>
              <w:lastRenderedPageBreak/>
              <w:t>MINHDU</w:t>
            </w:r>
            <w:r w:rsidRPr="0036492A">
              <w:rPr>
                <w:lang w:val="fr-CM"/>
              </w:rPr>
              <w:t> </w:t>
            </w:r>
          </w:p>
        </w:tc>
        <w:tc>
          <w:tcPr>
            <w:tcW w:w="6657" w:type="dxa"/>
            <w:hideMark/>
          </w:tcPr>
          <w:p w14:paraId="3411EE40" w14:textId="07A38E54" w:rsidR="0036492A" w:rsidRPr="0036492A" w:rsidRDefault="0036492A" w:rsidP="0036492A">
            <w:pPr>
              <w:pStyle w:val="SingleTxtG"/>
              <w:rPr>
                <w:lang w:val="fr-FR"/>
              </w:rPr>
            </w:pPr>
            <w:r w:rsidRPr="0036492A">
              <w:rPr>
                <w:lang w:val="fr-CM"/>
              </w:rPr>
              <w:t>Ministère de l’Habitat et du développement Urbain</w:t>
            </w:r>
          </w:p>
        </w:tc>
      </w:tr>
      <w:tr w:rsidR="0036492A" w:rsidRPr="0036492A" w14:paraId="00524C37" w14:textId="77777777" w:rsidTr="00446CD7">
        <w:tc>
          <w:tcPr>
            <w:tcW w:w="2405" w:type="dxa"/>
            <w:hideMark/>
          </w:tcPr>
          <w:p w14:paraId="78F22193" w14:textId="77777777" w:rsidR="0036492A" w:rsidRPr="0036492A" w:rsidRDefault="0036492A" w:rsidP="0036492A">
            <w:pPr>
              <w:pStyle w:val="SingleTxtG"/>
              <w:rPr>
                <w:lang w:val="en-US"/>
              </w:rPr>
            </w:pPr>
            <w:r w:rsidRPr="0036492A">
              <w:rPr>
                <w:b/>
                <w:lang w:val="fr-CM"/>
              </w:rPr>
              <w:t>MINJUSTICE</w:t>
            </w:r>
            <w:r w:rsidRPr="0036492A">
              <w:rPr>
                <w:lang w:val="fr-CM"/>
              </w:rPr>
              <w:t> </w:t>
            </w:r>
          </w:p>
        </w:tc>
        <w:tc>
          <w:tcPr>
            <w:tcW w:w="6657" w:type="dxa"/>
            <w:hideMark/>
          </w:tcPr>
          <w:p w14:paraId="7BFEFD8F" w14:textId="6367FCBD" w:rsidR="0036492A" w:rsidRPr="0036492A" w:rsidRDefault="0036492A" w:rsidP="0036492A">
            <w:pPr>
              <w:pStyle w:val="SingleTxtG"/>
              <w:rPr>
                <w:lang w:val="en-US"/>
              </w:rPr>
            </w:pPr>
            <w:r w:rsidRPr="0036492A">
              <w:rPr>
                <w:lang w:val="fr-CM"/>
              </w:rPr>
              <w:t>Ministère de la Justice</w:t>
            </w:r>
          </w:p>
        </w:tc>
      </w:tr>
      <w:tr w:rsidR="0036492A" w:rsidRPr="0036492A" w14:paraId="61C52208" w14:textId="77777777" w:rsidTr="00446CD7">
        <w:tc>
          <w:tcPr>
            <w:tcW w:w="2405" w:type="dxa"/>
            <w:hideMark/>
          </w:tcPr>
          <w:p w14:paraId="704297CB" w14:textId="77777777" w:rsidR="0036492A" w:rsidRPr="0036492A" w:rsidRDefault="0036492A" w:rsidP="0036492A">
            <w:pPr>
              <w:pStyle w:val="SingleTxtG"/>
              <w:rPr>
                <w:lang w:val="en-US"/>
              </w:rPr>
            </w:pPr>
            <w:r w:rsidRPr="0036492A">
              <w:rPr>
                <w:b/>
                <w:lang w:val="fr-CM"/>
              </w:rPr>
              <w:t>MINPROFF</w:t>
            </w:r>
            <w:r w:rsidRPr="0036492A">
              <w:rPr>
                <w:lang w:val="fr-CM"/>
              </w:rPr>
              <w:t xml:space="preserve">  </w:t>
            </w:r>
          </w:p>
        </w:tc>
        <w:tc>
          <w:tcPr>
            <w:tcW w:w="6657" w:type="dxa"/>
            <w:hideMark/>
          </w:tcPr>
          <w:p w14:paraId="45C64155" w14:textId="6FA36640" w:rsidR="0036492A" w:rsidRPr="0036492A" w:rsidRDefault="0036492A" w:rsidP="0036492A">
            <w:pPr>
              <w:pStyle w:val="SingleTxtG"/>
              <w:rPr>
                <w:lang w:val="fr-FR"/>
              </w:rPr>
            </w:pPr>
            <w:r w:rsidRPr="0036492A">
              <w:rPr>
                <w:lang w:val="fr-CM"/>
              </w:rPr>
              <w:t xml:space="preserve">Ministère de la Promotion de la Femme et de la Famille </w:t>
            </w:r>
          </w:p>
        </w:tc>
      </w:tr>
      <w:tr w:rsidR="0036492A" w:rsidRPr="0036492A" w14:paraId="05BD0E58" w14:textId="77777777" w:rsidTr="00446CD7">
        <w:tc>
          <w:tcPr>
            <w:tcW w:w="2405" w:type="dxa"/>
            <w:hideMark/>
          </w:tcPr>
          <w:p w14:paraId="62B78A09" w14:textId="77777777" w:rsidR="0036492A" w:rsidRPr="0036492A" w:rsidRDefault="0036492A" w:rsidP="0036492A">
            <w:pPr>
              <w:pStyle w:val="SingleTxtG"/>
              <w:rPr>
                <w:lang w:val="en-US"/>
              </w:rPr>
            </w:pPr>
            <w:r w:rsidRPr="0036492A">
              <w:rPr>
                <w:b/>
                <w:lang w:val="fr-FR"/>
              </w:rPr>
              <w:t>OIM</w:t>
            </w:r>
            <w:r w:rsidRPr="0036492A">
              <w:rPr>
                <w:lang w:val="fr-FR"/>
              </w:rPr>
              <w:t xml:space="preserve">  </w:t>
            </w:r>
          </w:p>
        </w:tc>
        <w:tc>
          <w:tcPr>
            <w:tcW w:w="6657" w:type="dxa"/>
            <w:hideMark/>
          </w:tcPr>
          <w:p w14:paraId="36376226" w14:textId="2D98C472" w:rsidR="0036492A" w:rsidRPr="0036492A" w:rsidRDefault="0036492A" w:rsidP="0036492A">
            <w:pPr>
              <w:pStyle w:val="SingleTxtG"/>
              <w:rPr>
                <w:lang w:val="en-US"/>
              </w:rPr>
            </w:pPr>
            <w:r w:rsidRPr="0036492A">
              <w:rPr>
                <w:lang w:val="fr-FR"/>
              </w:rPr>
              <w:t xml:space="preserve">Organisation Internationale des Migrations </w:t>
            </w:r>
          </w:p>
        </w:tc>
      </w:tr>
      <w:tr w:rsidR="0036492A" w:rsidRPr="0036492A" w14:paraId="799170C2" w14:textId="77777777" w:rsidTr="00446CD7">
        <w:tc>
          <w:tcPr>
            <w:tcW w:w="2405" w:type="dxa"/>
            <w:hideMark/>
          </w:tcPr>
          <w:p w14:paraId="40DC04D5" w14:textId="77777777" w:rsidR="0036492A" w:rsidRPr="0036492A" w:rsidRDefault="0036492A" w:rsidP="0036492A">
            <w:pPr>
              <w:pStyle w:val="SingleTxtG"/>
              <w:rPr>
                <w:lang w:val="en-US"/>
              </w:rPr>
            </w:pPr>
            <w:r w:rsidRPr="0036492A">
              <w:rPr>
                <w:b/>
                <w:lang w:val="fr-CM"/>
              </w:rPr>
              <w:t>ONG</w:t>
            </w:r>
            <w:r w:rsidRPr="0036492A">
              <w:rPr>
                <w:lang w:val="fr-CM"/>
              </w:rPr>
              <w:t> </w:t>
            </w:r>
          </w:p>
        </w:tc>
        <w:tc>
          <w:tcPr>
            <w:tcW w:w="6657" w:type="dxa"/>
            <w:hideMark/>
          </w:tcPr>
          <w:p w14:paraId="53B2486D" w14:textId="34870F48" w:rsidR="0036492A" w:rsidRPr="0036492A" w:rsidRDefault="0036492A" w:rsidP="0036492A">
            <w:pPr>
              <w:pStyle w:val="SingleTxtG"/>
              <w:rPr>
                <w:lang w:val="en-US"/>
              </w:rPr>
            </w:pPr>
            <w:r w:rsidRPr="0036492A">
              <w:rPr>
                <w:lang w:val="fr-CM"/>
              </w:rPr>
              <w:t>Organisations Non Gouvernementales</w:t>
            </w:r>
          </w:p>
        </w:tc>
      </w:tr>
      <w:tr w:rsidR="0036492A" w:rsidRPr="0036492A" w14:paraId="6E655552" w14:textId="77777777" w:rsidTr="00446CD7">
        <w:tc>
          <w:tcPr>
            <w:tcW w:w="2405" w:type="dxa"/>
            <w:hideMark/>
          </w:tcPr>
          <w:p w14:paraId="5B9FC9A5" w14:textId="77777777" w:rsidR="0036492A" w:rsidRPr="0036492A" w:rsidRDefault="0036492A" w:rsidP="0036492A">
            <w:pPr>
              <w:pStyle w:val="SingleTxtG"/>
              <w:rPr>
                <w:lang w:val="en-US"/>
              </w:rPr>
            </w:pPr>
            <w:r w:rsidRPr="0036492A">
              <w:rPr>
                <w:b/>
                <w:lang w:val="fr-CM"/>
              </w:rPr>
              <w:t>OSC</w:t>
            </w:r>
            <w:r w:rsidRPr="0036492A">
              <w:rPr>
                <w:lang w:val="fr-CM"/>
              </w:rPr>
              <w:t> </w:t>
            </w:r>
          </w:p>
        </w:tc>
        <w:tc>
          <w:tcPr>
            <w:tcW w:w="6657" w:type="dxa"/>
            <w:hideMark/>
          </w:tcPr>
          <w:p w14:paraId="1C07B2DC" w14:textId="1A556398" w:rsidR="0036492A" w:rsidRPr="0036492A" w:rsidRDefault="0036492A" w:rsidP="0036492A">
            <w:pPr>
              <w:pStyle w:val="SingleTxtG"/>
              <w:rPr>
                <w:lang w:val="fr-FR"/>
              </w:rPr>
            </w:pPr>
            <w:r w:rsidRPr="0036492A">
              <w:rPr>
                <w:lang w:val="fr-CM"/>
              </w:rPr>
              <w:t>Organisation de la Société Civile</w:t>
            </w:r>
          </w:p>
        </w:tc>
      </w:tr>
      <w:tr w:rsidR="0036492A" w:rsidRPr="0036492A" w14:paraId="50A82642" w14:textId="77777777" w:rsidTr="00446CD7">
        <w:tc>
          <w:tcPr>
            <w:tcW w:w="2405" w:type="dxa"/>
            <w:hideMark/>
          </w:tcPr>
          <w:p w14:paraId="40871BDB" w14:textId="77777777" w:rsidR="0036492A" w:rsidRPr="0036492A" w:rsidRDefault="0036492A" w:rsidP="0036492A">
            <w:pPr>
              <w:pStyle w:val="SingleTxtG"/>
              <w:rPr>
                <w:lang w:val="en-US"/>
              </w:rPr>
            </w:pPr>
            <w:r w:rsidRPr="0036492A">
              <w:rPr>
                <w:b/>
                <w:bCs/>
                <w:lang w:val="fr-CM"/>
              </w:rPr>
              <w:t>PADECE</w:t>
            </w:r>
            <w:r w:rsidRPr="0036492A">
              <w:rPr>
                <w:bCs/>
                <w:lang w:val="fr-CM"/>
              </w:rPr>
              <w:t> </w:t>
            </w:r>
          </w:p>
        </w:tc>
        <w:tc>
          <w:tcPr>
            <w:tcW w:w="6657" w:type="dxa"/>
            <w:hideMark/>
          </w:tcPr>
          <w:p w14:paraId="1A447E26" w14:textId="537E7AD6" w:rsidR="0036492A" w:rsidRPr="0036492A" w:rsidRDefault="0036492A" w:rsidP="0036492A">
            <w:pPr>
              <w:pStyle w:val="SingleTxtG"/>
              <w:rPr>
                <w:lang w:val="fr-FR"/>
              </w:rPr>
            </w:pPr>
            <w:r w:rsidRPr="0036492A">
              <w:rPr>
                <w:bCs/>
                <w:lang w:val="fr-CM"/>
              </w:rPr>
              <w:t>Projet d’appui au développement pour la croissance et l’emploi au Cameroun</w:t>
            </w:r>
          </w:p>
        </w:tc>
      </w:tr>
      <w:tr w:rsidR="0036492A" w:rsidRPr="0036492A" w14:paraId="7AA5566B" w14:textId="77777777" w:rsidTr="00446CD7">
        <w:tc>
          <w:tcPr>
            <w:tcW w:w="2405" w:type="dxa"/>
            <w:hideMark/>
          </w:tcPr>
          <w:p w14:paraId="5DD0A37E" w14:textId="77777777" w:rsidR="0036492A" w:rsidRPr="0036492A" w:rsidRDefault="0036492A" w:rsidP="0036492A">
            <w:pPr>
              <w:pStyle w:val="SingleTxtG"/>
              <w:rPr>
                <w:lang w:val="en-US"/>
              </w:rPr>
            </w:pPr>
            <w:r w:rsidRPr="0036492A">
              <w:rPr>
                <w:b/>
                <w:lang w:val="fr-FR"/>
              </w:rPr>
              <w:t>PAM</w:t>
            </w:r>
            <w:r w:rsidRPr="0036492A">
              <w:rPr>
                <w:lang w:val="fr-FR"/>
              </w:rPr>
              <w:t xml:space="preserve">  </w:t>
            </w:r>
          </w:p>
        </w:tc>
        <w:tc>
          <w:tcPr>
            <w:tcW w:w="6657" w:type="dxa"/>
            <w:hideMark/>
          </w:tcPr>
          <w:p w14:paraId="281CF9BC" w14:textId="1DC4001E" w:rsidR="0036492A" w:rsidRPr="0036492A" w:rsidRDefault="0036492A" w:rsidP="0036492A">
            <w:pPr>
              <w:pStyle w:val="SingleTxtG"/>
              <w:rPr>
                <w:lang w:val="en-US"/>
              </w:rPr>
            </w:pPr>
            <w:r w:rsidRPr="0036492A">
              <w:rPr>
                <w:lang w:val="fr-FR"/>
              </w:rPr>
              <w:t xml:space="preserve">Programme Alimentaire Mondial </w:t>
            </w:r>
          </w:p>
        </w:tc>
      </w:tr>
      <w:tr w:rsidR="0036492A" w:rsidRPr="0036492A" w14:paraId="556377ED" w14:textId="77777777" w:rsidTr="00446CD7">
        <w:tc>
          <w:tcPr>
            <w:tcW w:w="2405" w:type="dxa"/>
            <w:hideMark/>
          </w:tcPr>
          <w:p w14:paraId="33F13EC2" w14:textId="77777777" w:rsidR="0036492A" w:rsidRPr="0036492A" w:rsidRDefault="0036492A" w:rsidP="0036492A">
            <w:pPr>
              <w:pStyle w:val="SingleTxtG"/>
              <w:rPr>
                <w:lang w:val="en-US"/>
              </w:rPr>
            </w:pPr>
            <w:r w:rsidRPr="0036492A">
              <w:rPr>
                <w:b/>
                <w:lang w:val="fr-CM"/>
              </w:rPr>
              <w:t>PDI</w:t>
            </w:r>
            <w:r w:rsidRPr="0036492A">
              <w:rPr>
                <w:lang w:val="fr-CM"/>
              </w:rPr>
              <w:t> </w:t>
            </w:r>
          </w:p>
        </w:tc>
        <w:tc>
          <w:tcPr>
            <w:tcW w:w="6657" w:type="dxa"/>
            <w:hideMark/>
          </w:tcPr>
          <w:p w14:paraId="490163EE" w14:textId="0A683C8E" w:rsidR="0036492A" w:rsidRPr="0036492A" w:rsidRDefault="0036492A" w:rsidP="0036492A">
            <w:pPr>
              <w:pStyle w:val="SingleTxtG"/>
              <w:rPr>
                <w:lang w:val="en-US"/>
              </w:rPr>
            </w:pPr>
            <w:proofErr w:type="spellStart"/>
            <w:proofErr w:type="gramStart"/>
            <w:r w:rsidRPr="0036492A">
              <w:rPr>
                <w:lang w:val="fr-CM"/>
              </w:rPr>
              <w:t>ersonnes</w:t>
            </w:r>
            <w:proofErr w:type="spellEnd"/>
            <w:proofErr w:type="gramEnd"/>
            <w:r w:rsidRPr="0036492A">
              <w:rPr>
                <w:lang w:val="fr-CM"/>
              </w:rPr>
              <w:t xml:space="preserve"> déplacées internes</w:t>
            </w:r>
          </w:p>
        </w:tc>
      </w:tr>
      <w:tr w:rsidR="0036492A" w:rsidRPr="0036492A" w14:paraId="617FB2FA" w14:textId="77777777" w:rsidTr="00446CD7">
        <w:tc>
          <w:tcPr>
            <w:tcW w:w="2405" w:type="dxa"/>
            <w:hideMark/>
          </w:tcPr>
          <w:p w14:paraId="63FCB076" w14:textId="77777777" w:rsidR="0036492A" w:rsidRPr="0036492A" w:rsidRDefault="0036492A" w:rsidP="0036492A">
            <w:pPr>
              <w:pStyle w:val="SingleTxtG"/>
              <w:rPr>
                <w:lang w:val="en-US"/>
              </w:rPr>
            </w:pPr>
            <w:r w:rsidRPr="0036492A">
              <w:rPr>
                <w:b/>
                <w:lang w:val="fr-CM"/>
              </w:rPr>
              <w:t>PIDCP</w:t>
            </w:r>
            <w:r w:rsidRPr="0036492A">
              <w:rPr>
                <w:lang w:val="fr-CM"/>
              </w:rPr>
              <w:t> </w:t>
            </w:r>
          </w:p>
        </w:tc>
        <w:tc>
          <w:tcPr>
            <w:tcW w:w="6657" w:type="dxa"/>
            <w:hideMark/>
          </w:tcPr>
          <w:p w14:paraId="700A9840" w14:textId="16D58C1C" w:rsidR="0036492A" w:rsidRPr="0036492A" w:rsidRDefault="0036492A" w:rsidP="0036492A">
            <w:pPr>
              <w:pStyle w:val="SingleTxtG"/>
              <w:rPr>
                <w:lang w:val="fr-FR"/>
              </w:rPr>
            </w:pPr>
            <w:r w:rsidRPr="0036492A">
              <w:rPr>
                <w:lang w:val="fr-CM"/>
              </w:rPr>
              <w:t>Pacte international relatif aux droits civils et politiques</w:t>
            </w:r>
          </w:p>
        </w:tc>
      </w:tr>
      <w:tr w:rsidR="0036492A" w:rsidRPr="0036492A" w14:paraId="0D5A45DC" w14:textId="77777777" w:rsidTr="00446CD7">
        <w:tc>
          <w:tcPr>
            <w:tcW w:w="2405" w:type="dxa"/>
            <w:hideMark/>
          </w:tcPr>
          <w:p w14:paraId="7B021807" w14:textId="77777777" w:rsidR="0036492A" w:rsidRPr="0036492A" w:rsidRDefault="0036492A" w:rsidP="0036492A">
            <w:pPr>
              <w:pStyle w:val="SingleTxtG"/>
              <w:rPr>
                <w:lang w:val="en-US"/>
              </w:rPr>
            </w:pPr>
            <w:r w:rsidRPr="0036492A">
              <w:rPr>
                <w:b/>
                <w:lang w:val="fr-CM"/>
              </w:rPr>
              <w:t>RGPH</w:t>
            </w:r>
            <w:r w:rsidRPr="0036492A">
              <w:rPr>
                <w:lang w:val="fr-CM"/>
              </w:rPr>
              <w:t xml:space="preserve">  </w:t>
            </w:r>
          </w:p>
        </w:tc>
        <w:tc>
          <w:tcPr>
            <w:tcW w:w="6657" w:type="dxa"/>
            <w:hideMark/>
          </w:tcPr>
          <w:p w14:paraId="1A60C460" w14:textId="7E41F878" w:rsidR="0036492A" w:rsidRPr="0036492A" w:rsidRDefault="0036492A" w:rsidP="0036492A">
            <w:pPr>
              <w:pStyle w:val="SingleTxtG"/>
              <w:rPr>
                <w:lang w:val="fr-FR"/>
              </w:rPr>
            </w:pPr>
            <w:r w:rsidRPr="0036492A">
              <w:rPr>
                <w:lang w:val="fr-CM"/>
              </w:rPr>
              <w:t xml:space="preserve">Recensement Général de la Population et de l’Habitat </w:t>
            </w:r>
          </w:p>
        </w:tc>
      </w:tr>
      <w:tr w:rsidR="0036492A" w:rsidRPr="0036492A" w14:paraId="5D523331" w14:textId="77777777" w:rsidTr="00446CD7">
        <w:tc>
          <w:tcPr>
            <w:tcW w:w="2405" w:type="dxa"/>
            <w:hideMark/>
          </w:tcPr>
          <w:p w14:paraId="5B36B820" w14:textId="77777777" w:rsidR="0036492A" w:rsidRPr="0036492A" w:rsidRDefault="0036492A" w:rsidP="0036492A">
            <w:pPr>
              <w:pStyle w:val="SingleTxtG"/>
              <w:rPr>
                <w:lang w:val="en-US"/>
              </w:rPr>
            </w:pPr>
            <w:r w:rsidRPr="0036492A">
              <w:rPr>
                <w:b/>
                <w:bCs/>
                <w:lang w:val="fr-CM"/>
              </w:rPr>
              <w:t>SND-30</w:t>
            </w:r>
            <w:r w:rsidRPr="0036492A">
              <w:rPr>
                <w:bCs/>
                <w:lang w:val="fr-CM"/>
              </w:rPr>
              <w:t xml:space="preserve">  </w:t>
            </w:r>
          </w:p>
        </w:tc>
        <w:tc>
          <w:tcPr>
            <w:tcW w:w="6657" w:type="dxa"/>
            <w:hideMark/>
          </w:tcPr>
          <w:p w14:paraId="5D428E19" w14:textId="77777777" w:rsidR="0036492A" w:rsidRPr="0036492A" w:rsidRDefault="0036492A" w:rsidP="0036492A">
            <w:pPr>
              <w:pStyle w:val="SingleTxtG"/>
              <w:rPr>
                <w:lang w:val="en-US"/>
              </w:rPr>
            </w:pPr>
            <w:r w:rsidRPr="0036492A">
              <w:rPr>
                <w:bCs/>
                <w:lang w:val="fr-CM"/>
              </w:rPr>
              <w:t xml:space="preserve">Stratégie Nationale de Développement 2020-2030 </w:t>
            </w:r>
          </w:p>
        </w:tc>
      </w:tr>
      <w:tr w:rsidR="0036492A" w:rsidRPr="0036492A" w14:paraId="55F261C4" w14:textId="77777777" w:rsidTr="00446CD7">
        <w:tc>
          <w:tcPr>
            <w:tcW w:w="2405" w:type="dxa"/>
            <w:hideMark/>
          </w:tcPr>
          <w:p w14:paraId="3582BE09" w14:textId="77777777" w:rsidR="0036492A" w:rsidRPr="0036492A" w:rsidRDefault="0036492A" w:rsidP="0036492A">
            <w:pPr>
              <w:pStyle w:val="SingleTxtG"/>
              <w:rPr>
                <w:lang w:val="en-US"/>
              </w:rPr>
            </w:pPr>
            <w:r w:rsidRPr="0036492A">
              <w:rPr>
                <w:b/>
                <w:lang w:val="en-US"/>
              </w:rPr>
              <w:t>UNFPA</w:t>
            </w:r>
            <w:r w:rsidRPr="0036492A">
              <w:rPr>
                <w:lang w:val="en-US"/>
              </w:rPr>
              <w:t> </w:t>
            </w:r>
          </w:p>
        </w:tc>
        <w:tc>
          <w:tcPr>
            <w:tcW w:w="6657" w:type="dxa"/>
            <w:hideMark/>
          </w:tcPr>
          <w:p w14:paraId="73C133F0" w14:textId="6E473732" w:rsidR="0036492A" w:rsidRPr="0036492A" w:rsidRDefault="0036492A" w:rsidP="0036492A">
            <w:pPr>
              <w:pStyle w:val="SingleTxtG"/>
              <w:rPr>
                <w:lang w:val="en-US"/>
              </w:rPr>
            </w:pPr>
            <w:r w:rsidRPr="0036492A">
              <w:rPr>
                <w:i/>
                <w:iCs/>
                <w:lang w:val="en-US"/>
              </w:rPr>
              <w:t>United Nations Population Fund of the UN’S Sexual and Reproductive Heath Agency</w:t>
            </w:r>
          </w:p>
        </w:tc>
      </w:tr>
      <w:tr w:rsidR="0036492A" w:rsidRPr="0036492A" w14:paraId="557A8FFC" w14:textId="77777777" w:rsidTr="00446CD7">
        <w:tc>
          <w:tcPr>
            <w:tcW w:w="2405" w:type="dxa"/>
            <w:hideMark/>
          </w:tcPr>
          <w:p w14:paraId="4E9D857A" w14:textId="77777777" w:rsidR="0036492A" w:rsidRPr="0036492A" w:rsidRDefault="0036492A" w:rsidP="0036492A">
            <w:pPr>
              <w:pStyle w:val="SingleTxtG"/>
              <w:rPr>
                <w:lang w:val="en-US"/>
              </w:rPr>
            </w:pPr>
            <w:r w:rsidRPr="0036492A">
              <w:rPr>
                <w:b/>
                <w:lang w:val="en-US"/>
              </w:rPr>
              <w:t>WWF</w:t>
            </w:r>
            <w:r w:rsidRPr="0036492A">
              <w:rPr>
                <w:lang w:val="en-US"/>
              </w:rPr>
              <w:t xml:space="preserve"> </w:t>
            </w:r>
          </w:p>
        </w:tc>
        <w:tc>
          <w:tcPr>
            <w:tcW w:w="6657" w:type="dxa"/>
            <w:hideMark/>
          </w:tcPr>
          <w:p w14:paraId="0C167B08" w14:textId="2DDD0772" w:rsidR="0036492A" w:rsidRPr="0036492A" w:rsidRDefault="0036492A" w:rsidP="0036492A">
            <w:pPr>
              <w:pStyle w:val="SingleTxtG"/>
              <w:rPr>
                <w:lang w:val="en-US"/>
              </w:rPr>
            </w:pPr>
            <w:proofErr w:type="gramStart"/>
            <w:r w:rsidRPr="0036492A">
              <w:rPr>
                <w:i/>
                <w:iCs/>
                <w:lang w:val="en-US"/>
              </w:rPr>
              <w:t>World Wide</w:t>
            </w:r>
            <w:proofErr w:type="gramEnd"/>
            <w:r w:rsidRPr="0036492A">
              <w:rPr>
                <w:i/>
                <w:iCs/>
                <w:lang w:val="en-US"/>
              </w:rPr>
              <w:t xml:space="preserve"> Fund for Nature</w:t>
            </w:r>
          </w:p>
        </w:tc>
      </w:tr>
    </w:tbl>
    <w:p w14:paraId="7CFC8721" w14:textId="3D77255E" w:rsidR="00BA195E" w:rsidRPr="00404AA4" w:rsidRDefault="00BA195E" w:rsidP="00BA195E">
      <w:pPr>
        <w:pStyle w:val="SingleTxtG"/>
        <w:rPr>
          <w:lang w:val="fr-FR"/>
        </w:rPr>
      </w:pPr>
    </w:p>
    <w:p w14:paraId="7CFC8722" w14:textId="77777777" w:rsidR="00BA195E" w:rsidRDefault="00BA195E">
      <w:pPr>
        <w:suppressAutoHyphens w:val="0"/>
        <w:kinsoku/>
        <w:overflowPunct/>
        <w:autoSpaceDE/>
        <w:autoSpaceDN/>
        <w:adjustRightInd/>
        <w:snapToGrid/>
        <w:spacing w:after="200" w:line="276" w:lineRule="auto"/>
      </w:pPr>
      <w:r>
        <w:br w:type="page"/>
      </w:r>
    </w:p>
    <w:p w14:paraId="7CFC8723" w14:textId="77777777" w:rsidR="00BA195E" w:rsidRDefault="00F41C45" w:rsidP="00F41C45">
      <w:pPr>
        <w:pStyle w:val="HChG"/>
        <w:rPr>
          <w:lang w:val="fr-FR"/>
        </w:rPr>
      </w:pPr>
      <w:r>
        <w:rPr>
          <w:lang w:val="fr-FR"/>
        </w:rPr>
        <w:lastRenderedPageBreak/>
        <w:tab/>
      </w:r>
      <w:r>
        <w:rPr>
          <w:lang w:val="fr-FR"/>
        </w:rPr>
        <w:tab/>
      </w:r>
      <w:r w:rsidR="00BA195E" w:rsidRPr="00404AA4">
        <w:rPr>
          <w:lang w:val="fr-FR"/>
        </w:rPr>
        <w:t>Introduction</w:t>
      </w:r>
    </w:p>
    <w:p w14:paraId="5F77CAA3" w14:textId="77777777"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Ayant en juin 1971 ratifié la Convention Internationale sur l’</w:t>
      </w:r>
      <w:proofErr w:type="spellStart"/>
      <w:r w:rsidRPr="00F15B2D">
        <w:rPr>
          <w:rFonts w:eastAsia="Times New Roman"/>
          <w:lang w:eastAsia="fr-FR"/>
        </w:rPr>
        <w:t>Elimination</w:t>
      </w:r>
      <w:proofErr w:type="spellEnd"/>
      <w:r w:rsidRPr="00F15B2D">
        <w:rPr>
          <w:rFonts w:eastAsia="Times New Roman"/>
          <w:lang w:eastAsia="fr-FR"/>
        </w:rPr>
        <w:t xml:space="preserve"> de toutes les Formes de Discrimination Raciale (CERD), le Cameroun a produit plusieurs Rapports périodiques. Soumis en juillet 2019, le Rapport valant 22</w:t>
      </w:r>
      <w:r w:rsidRPr="00F15B2D">
        <w:rPr>
          <w:rFonts w:eastAsia="Times New Roman"/>
          <w:vertAlign w:val="superscript"/>
          <w:lang w:eastAsia="fr-FR"/>
        </w:rPr>
        <w:t>ème</w:t>
      </w:r>
      <w:r w:rsidRPr="00F15B2D">
        <w:rPr>
          <w:rFonts w:eastAsia="Times New Roman"/>
          <w:lang w:eastAsia="fr-FR"/>
        </w:rPr>
        <w:t> et 23</w:t>
      </w:r>
      <w:r w:rsidRPr="00F15B2D">
        <w:rPr>
          <w:rFonts w:eastAsia="Times New Roman"/>
          <w:vertAlign w:val="superscript"/>
          <w:lang w:eastAsia="fr-FR"/>
        </w:rPr>
        <w:t>ème</w:t>
      </w:r>
      <w:r w:rsidRPr="00F15B2D">
        <w:rPr>
          <w:rFonts w:eastAsia="Times New Roman"/>
          <w:lang w:eastAsia="fr-FR"/>
        </w:rPr>
        <w:t> Rapports périodiques (CERD/C/CMR/22-23) a été examiné par le Comité pour l’élimination de la discrimination raciale (le Comité) à l’occasion de ses 2871</w:t>
      </w:r>
      <w:r w:rsidRPr="00F15B2D">
        <w:rPr>
          <w:rFonts w:eastAsia="Times New Roman"/>
          <w:vertAlign w:val="superscript"/>
          <w:lang w:eastAsia="fr-FR"/>
        </w:rPr>
        <w:t>ème</w:t>
      </w:r>
      <w:r w:rsidRPr="00F15B2D">
        <w:rPr>
          <w:rFonts w:eastAsia="Times New Roman"/>
          <w:lang w:eastAsia="fr-FR"/>
        </w:rPr>
        <w:t> et 2872</w:t>
      </w:r>
      <w:r w:rsidRPr="00F15B2D">
        <w:rPr>
          <w:rFonts w:eastAsia="Times New Roman"/>
          <w:vertAlign w:val="superscript"/>
          <w:lang w:eastAsia="fr-FR"/>
        </w:rPr>
        <w:t>ème</w:t>
      </w:r>
      <w:r w:rsidRPr="00F15B2D">
        <w:rPr>
          <w:rFonts w:eastAsia="Times New Roman"/>
          <w:lang w:eastAsia="fr-FR"/>
        </w:rPr>
        <w:t xml:space="preserve"> séances, tenues les 13 et 14 avril 2022. </w:t>
      </w:r>
    </w:p>
    <w:p w14:paraId="1E55AD1A" w14:textId="17A72E2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A sa 2885</w:t>
      </w:r>
      <w:r w:rsidRPr="00F15B2D">
        <w:rPr>
          <w:rFonts w:eastAsia="Times New Roman"/>
          <w:vertAlign w:val="superscript"/>
          <w:lang w:eastAsia="fr-FR"/>
        </w:rPr>
        <w:t>ème</w:t>
      </w:r>
      <w:r w:rsidRPr="00F15B2D">
        <w:rPr>
          <w:rFonts w:eastAsia="Times New Roman"/>
          <w:lang w:eastAsia="fr-FR"/>
        </w:rPr>
        <w:t> séance, intervenue le 26 avril 2022, le Comité a adopté des observations finales (CERD/C/CMR/CO/22-23), par lesquelles il a salué des points de satisfaction, relevé des sujets de préoccupation et formulé des recommandations. L’objet du présent Rapport, qui couvre la période allant de juillet 2019 à juillet 2025, est principalement de répondre auxdites recommandations, tout en présentant les évolutions du droit, de la pratique et des politiques internes et ce, en actualisant les informations précédemment transmises. Le présent Rapport renvoie en tant que de besoin aussi bien aux précédents Rapports qu’au Document de Base Commun (DBC) pour les informations qui demeurent pertinentes.</w:t>
      </w:r>
    </w:p>
    <w:p w14:paraId="0CEA6F38" w14:textId="3BA33014"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proofErr w:type="spellStart"/>
      <w:r w:rsidRPr="00F15B2D">
        <w:rPr>
          <w:rFonts w:eastAsia="Times New Roman"/>
          <w:lang w:eastAsia="fr-FR"/>
        </w:rPr>
        <w:t>Elaboré</w:t>
      </w:r>
      <w:proofErr w:type="spellEnd"/>
      <w:r w:rsidRPr="00F15B2D">
        <w:rPr>
          <w:rFonts w:eastAsia="Times New Roman"/>
          <w:lang w:eastAsia="fr-FR"/>
        </w:rPr>
        <w:t xml:space="preserve"> dans une démarche inclusive sous la coordination du Comité interministériel de suivi de la mise en œuvre des Recommandations et/ou Décisions issues des Mécanismes internationaux et régionaux de promotion et de protection des Droits de l’Homme (Comité interministériel de suivi), le présent Rapport est le fruit des contributions de l’ensemble des parties prenantes concernées qui l’ont validé lors d’un atelier tenu du 13 au 15 mai 2025 à Yaoundé. </w:t>
      </w:r>
    </w:p>
    <w:p w14:paraId="1C71C9E5" w14:textId="0D17BD1F"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La 1</w:t>
      </w:r>
      <w:r w:rsidRPr="00F15B2D">
        <w:rPr>
          <w:rFonts w:eastAsia="Times New Roman"/>
          <w:vertAlign w:val="superscript"/>
          <w:lang w:eastAsia="fr-FR"/>
        </w:rPr>
        <w:t>ère </w:t>
      </w:r>
      <w:r w:rsidRPr="00F15B2D">
        <w:rPr>
          <w:rFonts w:eastAsia="Times New Roman"/>
          <w:lang w:eastAsia="fr-FR"/>
        </w:rPr>
        <w:t>partie du Rapport porte sur les renseignements d’ordre général relatifs à l’application des articles 1 à 7 de la CERD, la 2</w:t>
      </w:r>
      <w:r w:rsidRPr="00F15B2D">
        <w:rPr>
          <w:rFonts w:eastAsia="Times New Roman"/>
          <w:vertAlign w:val="superscript"/>
          <w:lang w:eastAsia="fr-FR"/>
        </w:rPr>
        <w:t>ème</w:t>
      </w:r>
      <w:r w:rsidRPr="00F15B2D">
        <w:rPr>
          <w:rFonts w:eastAsia="Times New Roman"/>
          <w:lang w:eastAsia="fr-FR"/>
        </w:rPr>
        <w:t xml:space="preserve"> est afférente aux réponses aux recommandations formulées par le Comité et la 3</w:t>
      </w:r>
      <w:r w:rsidRPr="00F15B2D">
        <w:rPr>
          <w:rFonts w:eastAsia="Times New Roman"/>
          <w:vertAlign w:val="superscript"/>
          <w:lang w:eastAsia="fr-FR"/>
        </w:rPr>
        <w:t>ème</w:t>
      </w:r>
      <w:r w:rsidRPr="00F15B2D">
        <w:rPr>
          <w:rFonts w:eastAsia="Times New Roman"/>
          <w:lang w:eastAsia="fr-FR"/>
        </w:rPr>
        <w:t> est liée aux autres recommandations également formulées par cet organe. </w:t>
      </w:r>
    </w:p>
    <w:p w14:paraId="451B64F2" w14:textId="322AC444" w:rsidR="00EC7229" w:rsidRPr="00F15B2D" w:rsidRDefault="002F6171" w:rsidP="002F6171">
      <w:pPr>
        <w:pStyle w:val="HChG"/>
      </w:pPr>
      <w:bookmarkStart w:id="0" w:name="_Toc209182192"/>
      <w:bookmarkStart w:id="1" w:name="_Toc209194128"/>
      <w:bookmarkStart w:id="2" w:name="_Toc209435284"/>
      <w:r>
        <w:tab/>
      </w:r>
      <w:r>
        <w:tab/>
      </w:r>
      <w:r w:rsidRPr="00F15B2D">
        <w:t xml:space="preserve">Première Partie : </w:t>
      </w:r>
      <w:r>
        <w:t>R</w:t>
      </w:r>
      <w:r w:rsidRPr="00F15B2D">
        <w:t xml:space="preserve">enseignements d’ordre </w:t>
      </w:r>
      <w:proofErr w:type="spellStart"/>
      <w:r w:rsidRPr="00F15B2D">
        <w:t>general</w:t>
      </w:r>
      <w:proofErr w:type="spellEnd"/>
      <w:r w:rsidRPr="00F15B2D">
        <w:t xml:space="preserve"> sur l’application des </w:t>
      </w:r>
      <w:r>
        <w:t>A</w:t>
      </w:r>
      <w:r w:rsidRPr="00F15B2D">
        <w:t xml:space="preserve">rticles 1 </w:t>
      </w:r>
      <w:proofErr w:type="gramStart"/>
      <w:r w:rsidRPr="00F15B2D">
        <w:t>a</w:t>
      </w:r>
      <w:proofErr w:type="gramEnd"/>
      <w:r w:rsidRPr="00F15B2D">
        <w:t xml:space="preserve"> 7 de la</w:t>
      </w:r>
      <w:r w:rsidR="00EC7229" w:rsidRPr="00F15B2D">
        <w:t xml:space="preserve"> CERD</w:t>
      </w:r>
      <w:bookmarkEnd w:id="0"/>
      <w:bookmarkEnd w:id="1"/>
      <w:bookmarkEnd w:id="2"/>
      <w:r w:rsidR="00EC7229" w:rsidRPr="00F15B2D">
        <w:t xml:space="preserve"> </w:t>
      </w:r>
    </w:p>
    <w:p w14:paraId="5E963FEC" w14:textId="3DB0B444" w:rsidR="00EC7229" w:rsidRPr="003F179E" w:rsidRDefault="00EC7229" w:rsidP="00F46CD2">
      <w:pPr>
        <w:numPr>
          <w:ilvl w:val="0"/>
          <w:numId w:val="38"/>
        </w:numPr>
        <w:shd w:val="clear" w:color="auto" w:fill="FFFFFF"/>
        <w:spacing w:before="240" w:line="240" w:lineRule="auto"/>
        <w:ind w:left="1134" w:right="1134" w:firstLine="0"/>
        <w:jc w:val="both"/>
        <w:rPr>
          <w:rFonts w:eastAsia="Times New Roman"/>
          <w:b/>
          <w:bCs/>
          <w:i/>
          <w:iCs/>
          <w:lang w:eastAsia="fr-FR"/>
        </w:rPr>
      </w:pPr>
      <w:r w:rsidRPr="00F15B2D">
        <w:rPr>
          <w:bCs/>
        </w:rPr>
        <w:t>Au cours de la période sous revue, ont été adoptés des documents stratégiques comportant des articulations relatives à la lutte contre la discrimination liée au sexe, à la condition sociale, à l’autochtonie, à la langue, au niveau de fortune, à la situation de handicap ou à d’autres situations</w:t>
      </w:r>
      <w:r w:rsidR="00206161">
        <w:rPr>
          <w:rStyle w:val="FootnoteReference"/>
          <w:bCs/>
        </w:rPr>
        <w:footnoteReference w:id="3"/>
      </w:r>
      <w:r w:rsidRPr="00F15B2D">
        <w:rPr>
          <w:bCs/>
        </w:rPr>
        <w:t xml:space="preserve">. </w:t>
      </w:r>
      <w:r w:rsidRPr="003F179E">
        <w:rPr>
          <w:bCs/>
          <w:i/>
          <w:iCs/>
        </w:rPr>
        <w:t>C’est le cas d</w:t>
      </w:r>
      <w:r w:rsidRPr="003F179E">
        <w:rPr>
          <w:rStyle w:val="Emphasis"/>
          <w:bCs/>
          <w:i w:val="0"/>
          <w:iCs w:val="0"/>
          <w:shd w:val="clear" w:color="auto" w:fill="FFFFFF"/>
        </w:rPr>
        <w:t>e la Stratégie Nationale de Développement 2020-2030 (SND-30) qui promeut l’égalité, l’équité et la non-discrimination, y compris dans le jeu politique (</w:t>
      </w:r>
      <w:r w:rsidRPr="003F179E">
        <w:rPr>
          <w:bCs/>
          <w:i/>
          <w:iCs/>
        </w:rPr>
        <w:t xml:space="preserve">§ </w:t>
      </w:r>
      <w:r w:rsidRPr="003F179E">
        <w:rPr>
          <w:rStyle w:val="Emphasis"/>
          <w:bCs/>
          <w:i w:val="0"/>
          <w:iCs w:val="0"/>
          <w:shd w:val="clear" w:color="auto" w:fill="FFFFFF"/>
        </w:rPr>
        <w:t>381 et 383), en matière commerciale (</w:t>
      </w:r>
      <w:r w:rsidRPr="003F179E">
        <w:rPr>
          <w:bCs/>
          <w:i/>
          <w:iCs/>
        </w:rPr>
        <w:t xml:space="preserve">§ </w:t>
      </w:r>
      <w:r w:rsidRPr="003F179E">
        <w:rPr>
          <w:rStyle w:val="Emphasis"/>
          <w:bCs/>
          <w:i w:val="0"/>
          <w:iCs w:val="0"/>
          <w:shd w:val="clear" w:color="auto" w:fill="FFFFFF"/>
        </w:rPr>
        <w:t>450), dans l’aménagement du territoire (</w:t>
      </w:r>
      <w:r w:rsidRPr="003F179E">
        <w:rPr>
          <w:bCs/>
          <w:i/>
          <w:iCs/>
        </w:rPr>
        <w:t xml:space="preserve">§ </w:t>
      </w:r>
      <w:r w:rsidRPr="003F179E">
        <w:rPr>
          <w:rStyle w:val="Emphasis"/>
          <w:bCs/>
          <w:i w:val="0"/>
          <w:iCs w:val="0"/>
          <w:shd w:val="clear" w:color="auto" w:fill="FFFFFF"/>
        </w:rPr>
        <w:t>6.5), dans le secteur de l’éducation et de la formation professionnelle (</w:t>
      </w:r>
      <w:r w:rsidRPr="003F179E">
        <w:rPr>
          <w:bCs/>
          <w:i/>
          <w:iCs/>
        </w:rPr>
        <w:t>§</w:t>
      </w:r>
      <w:r w:rsidRPr="003F179E">
        <w:rPr>
          <w:rStyle w:val="Emphasis"/>
          <w:bCs/>
          <w:i w:val="0"/>
          <w:iCs w:val="0"/>
          <w:shd w:val="clear" w:color="auto" w:fill="FFFFFF"/>
        </w:rPr>
        <w:t>4.2.1 et 279), dans l’accessibilité aux médicaments (</w:t>
      </w:r>
      <w:r w:rsidRPr="003F179E">
        <w:rPr>
          <w:bCs/>
          <w:i/>
          <w:iCs/>
        </w:rPr>
        <w:t xml:space="preserve">§ </w:t>
      </w:r>
      <w:r w:rsidRPr="003F179E">
        <w:rPr>
          <w:rStyle w:val="Emphasis"/>
          <w:bCs/>
          <w:i w:val="0"/>
          <w:iCs w:val="0"/>
          <w:shd w:val="clear" w:color="auto" w:fill="FFFFFF"/>
        </w:rPr>
        <w:t>312) et dans la protection sociale (</w:t>
      </w:r>
      <w:r w:rsidRPr="003F179E">
        <w:rPr>
          <w:bCs/>
          <w:i/>
          <w:iCs/>
        </w:rPr>
        <w:t xml:space="preserve">§ </w:t>
      </w:r>
      <w:r w:rsidRPr="003F179E">
        <w:rPr>
          <w:rStyle w:val="Emphasis"/>
          <w:bCs/>
          <w:i w:val="0"/>
          <w:iCs w:val="0"/>
          <w:shd w:val="clear" w:color="auto" w:fill="FFFFFF"/>
        </w:rPr>
        <w:t>4.5), etc.</w:t>
      </w:r>
    </w:p>
    <w:p w14:paraId="451F193A" w14:textId="3296C470" w:rsidR="00EC7229" w:rsidRPr="00F15B2D" w:rsidRDefault="00D50ED9" w:rsidP="00D50ED9">
      <w:pPr>
        <w:pStyle w:val="H1G"/>
      </w:pPr>
      <w:bookmarkStart w:id="3" w:name="_Toc209182193"/>
      <w:bookmarkStart w:id="4" w:name="_Toc209194129"/>
      <w:bookmarkStart w:id="5" w:name="_Toc209435285"/>
      <w:r>
        <w:lastRenderedPageBreak/>
        <w:tab/>
      </w:r>
      <w:r>
        <w:tab/>
      </w:r>
      <w:r w:rsidR="00EC7229" w:rsidRPr="00F15B2D">
        <w:t>Article 1er</w:t>
      </w:r>
      <w:bookmarkEnd w:id="3"/>
      <w:bookmarkEnd w:id="4"/>
      <w:bookmarkEnd w:id="5"/>
      <w:r w:rsidR="00EC7229" w:rsidRPr="00F15B2D">
        <w:t xml:space="preserve"> </w:t>
      </w:r>
    </w:p>
    <w:p w14:paraId="55178D67" w14:textId="3203DDE3"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Pour répondre notamment à la montée de l’intolérance et des discours de haine, est intervenue la </w:t>
      </w:r>
      <w:r w:rsidRPr="00F15B2D">
        <w:rPr>
          <w:rStyle w:val="Emphasis"/>
          <w:shd w:val="clear" w:color="auto" w:fill="FFFFFF"/>
        </w:rPr>
        <w:t>Loi</w:t>
      </w:r>
      <w:r w:rsidRPr="00F15B2D">
        <w:rPr>
          <w:shd w:val="clear" w:color="auto" w:fill="FFFFFF"/>
        </w:rPr>
        <w:t> n°2019/020 du 24 décembre 2019</w:t>
      </w:r>
      <w:r w:rsidR="007C64B6">
        <w:rPr>
          <w:rStyle w:val="FootnoteReference"/>
          <w:shd w:val="clear" w:color="auto" w:fill="FFFFFF"/>
        </w:rPr>
        <w:footnoteReference w:id="4"/>
      </w:r>
      <w:r w:rsidRPr="00F15B2D">
        <w:rPr>
          <w:shd w:val="clear" w:color="auto" w:fill="FFFFFF"/>
        </w:rPr>
        <w:t> </w:t>
      </w:r>
      <w:r w:rsidRPr="00F15B2D">
        <w:t xml:space="preserve"> qui révise l’article 241 du Code pénal</w:t>
      </w:r>
      <w:r w:rsidRPr="00F15B2D">
        <w:rPr>
          <w:rStyle w:val="FootnoteReference"/>
          <w:sz w:val="24"/>
        </w:rPr>
        <w:footnoteReference w:id="5"/>
      </w:r>
      <w:r w:rsidRPr="00F15B2D">
        <w:t xml:space="preserve"> d’une part, en élargissant à la presse et à la radio la typologie des supports de commission de l’infraction «</w:t>
      </w:r>
      <w:r w:rsidRPr="00F15B2D">
        <w:rPr>
          <w:i/>
          <w:iCs/>
        </w:rPr>
        <w:t xml:space="preserve"> outrage aux races et aux religions </w:t>
      </w:r>
      <w:r w:rsidRPr="00F15B2D">
        <w:t xml:space="preserve">» et d’autre part, en durcissant les peines et en prévoyant qu’elles soient doublées lorsque l'infraction est commise dans le but de susciter la haine ou le mépris entre les citoyens. Par ailleurs, cette loi étend la valeur sociale protégée en incriminant l’outrage à tribu ou à l’ethnie (article 241-1). Pour s’assurer de l’efficacité de la répression, ladite loi encadre strictement le bénéfice des circonstances atténuantes ou du sursis et durcit les peines en ce qui concerne les fonctionnaires. </w:t>
      </w:r>
    </w:p>
    <w:p w14:paraId="03987F44" w14:textId="05E8AFBA"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46CD2">
        <w:rPr>
          <w:rFonts w:eastAsia="Times New Roman"/>
          <w:lang w:eastAsia="fr-FR"/>
        </w:rPr>
        <w:t xml:space="preserve">L’article 241-1 du Code pénal sur l’outrage à la tribu ou à l’ethnie est ainsi </w:t>
      </w:r>
      <w:proofErr w:type="gramStart"/>
      <w:r w:rsidRPr="00F46CD2">
        <w:rPr>
          <w:rFonts w:eastAsia="Times New Roman"/>
          <w:lang w:eastAsia="fr-FR"/>
        </w:rPr>
        <w:t>articulé:</w:t>
      </w:r>
      <w:proofErr w:type="gramEnd"/>
      <w:r w:rsidRPr="00F46CD2">
        <w:rPr>
          <w:rFonts w:eastAsia="Times New Roman"/>
          <w:lang w:eastAsia="fr-FR"/>
        </w:rPr>
        <w:t xml:space="preserve"> </w:t>
      </w:r>
    </w:p>
    <w:p w14:paraId="7EFB0110" w14:textId="77777777" w:rsidR="00EC7229" w:rsidRPr="00F15B2D" w:rsidRDefault="00EC7229" w:rsidP="00D50ED9">
      <w:pPr>
        <w:pStyle w:val="SingleTxtG"/>
        <w:ind w:left="1701"/>
      </w:pPr>
      <w:r w:rsidRPr="00F15B2D">
        <w:t xml:space="preserve">« (1) Est puni d’un emprisonnement </w:t>
      </w:r>
      <w:proofErr w:type="gramStart"/>
      <w:r w:rsidRPr="00F15B2D">
        <w:t>de un</w:t>
      </w:r>
      <w:proofErr w:type="gramEnd"/>
      <w:r w:rsidRPr="00F15B2D">
        <w:t xml:space="preserve"> (01) à deux (02) ans et d’une amende de trois cent mille (300 000) à trois millions (3 000 000) de francs, celui qui, par quelque moyen que ce soit, tient des discours de haine ou procède aux incitations à la violence contre des personnes en raison de leur appartenance tribale ou ethnique.</w:t>
      </w:r>
    </w:p>
    <w:p w14:paraId="1592C4A6" w14:textId="77777777" w:rsidR="009C7E7D" w:rsidRDefault="00EC7229" w:rsidP="00D50ED9">
      <w:pPr>
        <w:pStyle w:val="SingleTxtG"/>
        <w:ind w:left="1701"/>
      </w:pPr>
      <w:r w:rsidRPr="00F15B2D">
        <w:t>2)En cas d’admission des circonstances atténuantes, la peine d’emprisonnement prévue à l’alinéa 1 ci-dessus ne peut être inférieure à trois (03) mois et la peine d’amende à deux cent mille (200 000) francs. Le sursis ne peut être accordé, sauf en cas d’excuse atténuante de minorité.</w:t>
      </w:r>
    </w:p>
    <w:p w14:paraId="7C5D8DD1" w14:textId="17A44FB6" w:rsidR="00EC7229" w:rsidRPr="00F15B2D" w:rsidRDefault="00EC7229" w:rsidP="00D50ED9">
      <w:pPr>
        <w:pStyle w:val="SingleTxtG"/>
        <w:ind w:left="1701"/>
      </w:pPr>
      <w:r w:rsidRPr="00F15B2D">
        <w:t xml:space="preserve">(3) Lorsque l’auteur du discours de haine est un fonctionnaire au sens de l’article 131 du présent Code, un responsable de formation politique, de </w:t>
      </w:r>
      <w:proofErr w:type="spellStart"/>
      <w:r w:rsidRPr="00F15B2D">
        <w:t>média</w:t>
      </w:r>
      <w:proofErr w:type="spellEnd"/>
      <w:r w:rsidRPr="00F15B2D">
        <w:t>, d’une organisation non gouvernementale ou d’une institution religieuse, les peines prévues à l’alinéa 1 ci-dessus sont doublées et les circonstances atténuantes ne sont pas admises ».</w:t>
      </w:r>
    </w:p>
    <w:p w14:paraId="2C168FED" w14:textId="131D0F20" w:rsidR="00EC7229" w:rsidRPr="00F15B2D" w:rsidRDefault="00EC7229" w:rsidP="00F46CD2">
      <w:pPr>
        <w:numPr>
          <w:ilvl w:val="0"/>
          <w:numId w:val="38"/>
        </w:numPr>
        <w:shd w:val="clear" w:color="auto" w:fill="FFFFFF"/>
        <w:spacing w:before="240" w:line="240" w:lineRule="auto"/>
        <w:ind w:left="1134" w:right="1134" w:firstLine="0"/>
        <w:jc w:val="both"/>
      </w:pPr>
      <w:r w:rsidRPr="00F46CD2">
        <w:rPr>
          <w:rFonts w:eastAsia="Times New Roman"/>
          <w:lang w:eastAsia="fr-FR"/>
        </w:rPr>
        <w:t>Par</w:t>
      </w:r>
      <w:r w:rsidRPr="00F15B2D">
        <w:t xml:space="preserve"> ailleurs, la </w:t>
      </w:r>
      <w:r w:rsidRPr="009C7E7D">
        <w:rPr>
          <w:rStyle w:val="Emphasis"/>
          <w:i w:val="0"/>
          <w:iCs w:val="0"/>
          <w:shd w:val="clear" w:color="auto" w:fill="FFFFFF"/>
        </w:rPr>
        <w:t>Loi n</w:t>
      </w:r>
      <w:r w:rsidRPr="009C7E7D">
        <w:rPr>
          <w:i/>
          <w:iCs/>
          <w:shd w:val="clear" w:color="auto" w:fill="FFFFFF"/>
        </w:rPr>
        <w:t>°</w:t>
      </w:r>
      <w:r w:rsidRPr="009C7E7D">
        <w:rPr>
          <w:rStyle w:val="Emphasis"/>
          <w:i w:val="0"/>
          <w:iCs w:val="0"/>
          <w:shd w:val="clear" w:color="auto" w:fill="FFFFFF"/>
        </w:rPr>
        <w:t>2019/019 du 24 décembre 2019</w:t>
      </w:r>
      <w:r w:rsidRPr="009C7E7D">
        <w:rPr>
          <w:i/>
          <w:iCs/>
          <w:shd w:val="clear" w:color="auto" w:fill="FFFFFF"/>
        </w:rPr>
        <w:t> </w:t>
      </w:r>
      <w:r w:rsidRPr="009C7E7D">
        <w:rPr>
          <w:shd w:val="clear" w:color="auto" w:fill="FFFFFF"/>
        </w:rPr>
        <w:t xml:space="preserve">portant </w:t>
      </w:r>
      <w:r w:rsidRPr="00F15B2D">
        <w:rPr>
          <w:shd w:val="clear" w:color="auto" w:fill="FFFFFF"/>
        </w:rPr>
        <w:t xml:space="preserve">promotion des langues officielles au Cameroun a consacré un </w:t>
      </w:r>
      <w:r w:rsidRPr="00F15B2D">
        <w:t>usage égal du français et de l’anglais.</w:t>
      </w:r>
    </w:p>
    <w:p w14:paraId="789C3A74" w14:textId="61E63A5E"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46CD2">
        <w:rPr>
          <w:rFonts w:eastAsia="Times New Roman"/>
          <w:lang w:eastAsia="fr-FR"/>
        </w:rPr>
        <w:t>Renforçant son cadre normatif afférent à la promotion de l’équité et à la lutte contre la discrimination, outre l’Arrêté n°40/PM du 19 mai 2022 fixant les modalités d’octroi de la dispense d’âge aux personnes handicapées lors des concours et du recrutement dans la fonction publique, le Cameroun a ratifié</w:t>
      </w:r>
      <w:r w:rsidRPr="00F46CD2">
        <w:rPr>
          <w:rFonts w:eastAsia="Times New Roman"/>
          <w:lang w:eastAsia="fr-FR"/>
        </w:rPr>
        <w:footnoteReference w:id="6"/>
      </w:r>
      <w:r w:rsidRPr="00F46CD2">
        <w:rPr>
          <w:rFonts w:eastAsia="Times New Roman"/>
          <w:lang w:eastAsia="fr-FR"/>
        </w:rPr>
        <w:t xml:space="preserve"> le Traité de Marrakech visant à faciliter l’accès des aveugles, des déficients visuels et des personnes ayant d’autres difficultés de lecture des textes imprimés aux œuvres publiées, le Protocole à la Charte Africaine des Droits de l’Homme et des Peuples (CADHP) relatif aux droits des personnes handicapées, le Protocole à la CADHP relatif aux droits des personnes âgées en Afrique et la Convention des Nations Unies sur les droits des personnes handicapées. </w:t>
      </w:r>
    </w:p>
    <w:p w14:paraId="1C7B7FA9" w14:textId="41CFA32A" w:rsidR="00EC7229" w:rsidRPr="00F15B2D" w:rsidRDefault="00EC7229" w:rsidP="00F46CD2">
      <w:pPr>
        <w:numPr>
          <w:ilvl w:val="0"/>
          <w:numId w:val="38"/>
        </w:numPr>
        <w:shd w:val="clear" w:color="auto" w:fill="FFFFFF"/>
        <w:spacing w:before="240" w:line="240" w:lineRule="auto"/>
        <w:ind w:left="1134" w:right="1134" w:firstLine="0"/>
        <w:jc w:val="both"/>
        <w:rPr>
          <w:rStyle w:val="Strong"/>
          <w:b w:val="0"/>
          <w:bCs w:val="0"/>
        </w:rPr>
      </w:pPr>
      <w:r w:rsidRPr="00F46CD2">
        <w:rPr>
          <w:lang w:eastAsia="fr-FR"/>
        </w:rPr>
        <w:t xml:space="preserve">Davantage, la Circulaire n°00000023/C/MINFI du 2 août 2022 relative à l’intégration du genre et à l’évaluation de la </w:t>
      </w:r>
      <w:r w:rsidRPr="00F46CD2">
        <w:rPr>
          <w:rFonts w:eastAsia="Times New Roman"/>
          <w:lang w:eastAsia="fr-FR"/>
        </w:rPr>
        <w:t>budgétisation</w:t>
      </w:r>
      <w:r w:rsidRPr="00F46CD2">
        <w:rPr>
          <w:lang w:eastAsia="fr-FR"/>
        </w:rPr>
        <w:t xml:space="preserve"> sensible au genre dans le </w:t>
      </w:r>
      <w:r w:rsidRPr="00F46CD2">
        <w:rPr>
          <w:lang w:eastAsia="fr-FR"/>
        </w:rPr>
        <w:lastRenderedPageBreak/>
        <w:t>budget de l’</w:t>
      </w:r>
      <w:proofErr w:type="spellStart"/>
      <w:r w:rsidRPr="00F46CD2">
        <w:rPr>
          <w:lang w:eastAsia="fr-FR"/>
        </w:rPr>
        <w:t>Etat</w:t>
      </w:r>
      <w:proofErr w:type="spellEnd"/>
      <w:r w:rsidRPr="00F46CD2">
        <w:rPr>
          <w:lang w:eastAsia="fr-FR"/>
        </w:rPr>
        <w:t>, a consacré la prise en compte systématique de l’approche basée sur le genre dans la conception, la mise en œuvre et l’évaluation des politiques publiques.</w:t>
      </w:r>
    </w:p>
    <w:p w14:paraId="48DD3243" w14:textId="2BC8179D" w:rsidR="00EC7229" w:rsidRPr="0066797B" w:rsidRDefault="0066797B" w:rsidP="0066797B">
      <w:pPr>
        <w:pStyle w:val="H1G"/>
        <w:rPr>
          <w:rStyle w:val="Strong"/>
          <w:b/>
          <w:bCs w:val="0"/>
        </w:rPr>
      </w:pPr>
      <w:bookmarkStart w:id="6" w:name="_Toc209182194"/>
      <w:bookmarkStart w:id="7" w:name="_Toc209194130"/>
      <w:bookmarkStart w:id="8" w:name="_Toc209435286"/>
      <w:r>
        <w:rPr>
          <w:rStyle w:val="Strong"/>
          <w:szCs w:val="24"/>
        </w:rPr>
        <w:tab/>
      </w:r>
      <w:r>
        <w:rPr>
          <w:rStyle w:val="Strong"/>
          <w:szCs w:val="24"/>
        </w:rPr>
        <w:tab/>
      </w:r>
      <w:r w:rsidR="00EC7229" w:rsidRPr="0066797B">
        <w:rPr>
          <w:rStyle w:val="Strong"/>
          <w:b/>
          <w:bCs w:val="0"/>
        </w:rPr>
        <w:t>Article 2</w:t>
      </w:r>
      <w:bookmarkEnd w:id="6"/>
      <w:bookmarkEnd w:id="7"/>
      <w:bookmarkEnd w:id="8"/>
    </w:p>
    <w:p w14:paraId="2A9363B8" w14:textId="242C5A09"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46CD2">
        <w:rPr>
          <w:rFonts w:eastAsia="Times New Roman"/>
          <w:lang w:eastAsia="fr-FR"/>
        </w:rPr>
        <w:t>Le budget alloué à la Commission Nationale pour la Promotion du Bilinguisme et du Multiculturalisme (CNPBM) a été renforcé, passant de 3 350 000 000 FCFA</w:t>
      </w:r>
      <w:r w:rsidRPr="00F46CD2">
        <w:rPr>
          <w:rFonts w:eastAsia="Times New Roman"/>
          <w:lang w:eastAsia="fr-FR"/>
        </w:rPr>
        <w:footnoteReference w:id="7"/>
      </w:r>
      <w:r w:rsidRPr="00F46CD2">
        <w:rPr>
          <w:rFonts w:eastAsia="Times New Roman"/>
          <w:lang w:eastAsia="fr-FR"/>
        </w:rPr>
        <w:t xml:space="preserve"> en 2019 à 3 498 000 000 FCFA</w:t>
      </w:r>
      <w:r w:rsidRPr="00F46CD2">
        <w:rPr>
          <w:rFonts w:eastAsia="Times New Roman"/>
          <w:lang w:eastAsia="fr-FR"/>
        </w:rPr>
        <w:footnoteReference w:id="8"/>
      </w:r>
      <w:r w:rsidRPr="00F46CD2">
        <w:rPr>
          <w:rFonts w:eastAsia="Times New Roman"/>
          <w:lang w:eastAsia="fr-FR"/>
        </w:rPr>
        <w:t xml:space="preserve"> en 2025, toute chose qui lui a permis de poursuivre l’ancrage du bilinguisme, du multiculturalisme et du vivre-ensemble (voir aussi § 58). </w:t>
      </w:r>
    </w:p>
    <w:p w14:paraId="127A7016" w14:textId="0AB82F28"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46CD2">
        <w:rPr>
          <w:rFonts w:eastAsia="Times New Roman"/>
          <w:lang w:eastAsia="fr-FR"/>
        </w:rPr>
        <w:t xml:space="preserve">Outre le traitement des plaintes (voir aussi § 43), elle a, de 2020 à 2024, signé des accords de partenariat avec 14 OSC actives dans la sensibilisation contre les discours de haine et la xénophobie (juin 2023), ainsi qu’entrepris des visites pour discuter de la pratique du bilinguisme dans les Régions (Centre et Littoral, octobre 2022), dans les Collectivités Territoriales Décentralisées-CTD (octobre 2022), dans les entreprises privées et les organisations patronales (Douala, novembre 2021) et dans les administrations publiques et parapubliques (septembre 2023). Elle a aussi régulièrement pris part à divers </w:t>
      </w:r>
      <w:proofErr w:type="spellStart"/>
      <w:r w:rsidRPr="00F46CD2">
        <w:rPr>
          <w:rFonts w:eastAsia="Times New Roman"/>
          <w:lang w:eastAsia="fr-FR"/>
        </w:rPr>
        <w:t>évènements</w:t>
      </w:r>
      <w:proofErr w:type="spellEnd"/>
      <w:r w:rsidRPr="00F46CD2">
        <w:rPr>
          <w:rFonts w:eastAsia="Times New Roman"/>
          <w:lang w:eastAsia="fr-FR"/>
        </w:rPr>
        <w:t xml:space="preserve"> socio-culturels, tels que le Salon de l’Action Gouvernementale et le Village de l’Unité Nationale 2024, au cours desquels des centaines de personnes ont été sensibilisées.</w:t>
      </w:r>
    </w:p>
    <w:p w14:paraId="7E2AC20C" w14:textId="378737D0"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b/>
          <w:bCs/>
          <w:lang w:eastAsia="fr-FR"/>
        </w:rPr>
      </w:pPr>
      <w:r w:rsidRPr="00F46CD2">
        <w:rPr>
          <w:rFonts w:eastAsia="Times New Roman"/>
          <w:lang w:eastAsia="fr-FR"/>
        </w:rPr>
        <w:t>Pour garantir le développement dans les conditions d'égalité de certains groupes ou de certaines personnes vulnérables, l’une des pistes a été le renforcement du cadre normatif (voir § 6).</w:t>
      </w:r>
    </w:p>
    <w:p w14:paraId="49634031" w14:textId="65D91224" w:rsidR="00EC7229" w:rsidRPr="0066797B" w:rsidRDefault="0066797B" w:rsidP="0066797B">
      <w:pPr>
        <w:pStyle w:val="H1G"/>
        <w:rPr>
          <w:rStyle w:val="Strong"/>
          <w:b/>
          <w:bCs w:val="0"/>
        </w:rPr>
      </w:pPr>
      <w:bookmarkStart w:id="9" w:name="_Toc209182195"/>
      <w:bookmarkStart w:id="10" w:name="_Toc209194131"/>
      <w:bookmarkStart w:id="11" w:name="_Toc209435287"/>
      <w:r>
        <w:rPr>
          <w:rStyle w:val="Strong"/>
          <w:b/>
          <w:bCs w:val="0"/>
        </w:rPr>
        <w:tab/>
      </w:r>
      <w:r>
        <w:rPr>
          <w:rStyle w:val="Strong"/>
          <w:b/>
          <w:bCs w:val="0"/>
        </w:rPr>
        <w:tab/>
      </w:r>
      <w:r w:rsidR="00EC7229" w:rsidRPr="0066797B">
        <w:rPr>
          <w:rStyle w:val="Strong"/>
          <w:b/>
          <w:bCs w:val="0"/>
        </w:rPr>
        <w:t>Article 3</w:t>
      </w:r>
      <w:bookmarkEnd w:id="9"/>
      <w:bookmarkEnd w:id="10"/>
      <w:bookmarkEnd w:id="11"/>
    </w:p>
    <w:p w14:paraId="17F3DAF9" w14:textId="2911F7FE" w:rsidR="00EC7229" w:rsidRPr="0066797B" w:rsidRDefault="00EC7229" w:rsidP="00F46CD2">
      <w:pPr>
        <w:numPr>
          <w:ilvl w:val="0"/>
          <w:numId w:val="38"/>
        </w:numPr>
        <w:shd w:val="clear" w:color="auto" w:fill="FFFFFF"/>
        <w:spacing w:before="240" w:line="240" w:lineRule="auto"/>
        <w:ind w:left="1134" w:right="1134" w:firstLine="0"/>
        <w:jc w:val="both"/>
      </w:pPr>
      <w:r w:rsidRPr="00F15B2D">
        <w:t xml:space="preserve">A </w:t>
      </w:r>
      <w:r w:rsidRPr="00F46CD2">
        <w:rPr>
          <w:rFonts w:eastAsia="Times New Roman"/>
          <w:lang w:eastAsia="fr-FR"/>
        </w:rPr>
        <w:t>l’effet</w:t>
      </w:r>
      <w:r w:rsidRPr="00F15B2D">
        <w:t xml:space="preserve"> de mitiger les disparités de fait susceptibles de découler du lieu d’installation, le Cameroun a poursuivi l’ancrage de la décentralisation et développé des outils en lien avec </w:t>
      </w:r>
      <w:r w:rsidRPr="00F15B2D">
        <w:rPr>
          <w:shd w:val="clear" w:color="auto" w:fill="FFFFFF"/>
        </w:rPr>
        <w:t>la formulation des politiques d’aménagement du territoire</w:t>
      </w:r>
      <w:r w:rsidRPr="00F15B2D">
        <w:rPr>
          <w:rStyle w:val="FootnoteReference"/>
          <w:rFonts w:eastAsia="Times New Roman"/>
          <w:sz w:val="24"/>
          <w:lang w:eastAsia="fr-FR"/>
        </w:rPr>
        <w:footnoteReference w:id="9"/>
      </w:r>
      <w:r w:rsidRPr="00F15B2D">
        <w:rPr>
          <w:shd w:val="clear" w:color="auto" w:fill="FFFFFF"/>
        </w:rPr>
        <w:t xml:space="preserve">, à l’instar du </w:t>
      </w:r>
      <w:r w:rsidRPr="0066797B">
        <w:rPr>
          <w:rStyle w:val="Strong"/>
          <w:b w:val="0"/>
          <w:bCs w:val="0"/>
        </w:rPr>
        <w:t>Schéma national d’aménagement et de développement durable du territoire, du Cadre de politique de réinstallation et du</w:t>
      </w:r>
      <w:r w:rsidRPr="00F15B2D">
        <w:rPr>
          <w:rStyle w:val="Strong"/>
        </w:rPr>
        <w:t xml:space="preserve"> </w:t>
      </w:r>
      <w:r w:rsidRPr="00F15B2D">
        <w:t xml:space="preserve">Plan de zonage du territoire national. Répondant en plus à d’éventuelles inégalités de développement liées aux situations de crise, le Cameroun a mis en place un Plan présidentiel de reconstruction et de développement des Régions du Nord-Ouest et du Sud-Ouest en 2020 et un Programme spécial de reconstruction et de développement de la Région de l’Extrême-Nord en 2021 </w:t>
      </w:r>
      <w:r w:rsidRPr="0066797B">
        <w:t>(§ 54, § 55, § 56).</w:t>
      </w:r>
    </w:p>
    <w:p w14:paraId="68FBB80A" w14:textId="4C77BA29" w:rsidR="00EC7229" w:rsidRPr="00F15B2D" w:rsidRDefault="00EC7229" w:rsidP="00F46CD2">
      <w:pPr>
        <w:numPr>
          <w:ilvl w:val="0"/>
          <w:numId w:val="38"/>
        </w:numPr>
        <w:shd w:val="clear" w:color="auto" w:fill="FFFFFF"/>
        <w:spacing w:before="240" w:line="240" w:lineRule="auto"/>
        <w:ind w:left="1134" w:right="1134" w:firstLine="0"/>
        <w:jc w:val="both"/>
        <w:rPr>
          <w:rStyle w:val="Strong"/>
          <w:b w:val="0"/>
          <w:bCs w:val="0"/>
          <w:shd w:val="clear" w:color="auto" w:fill="FFFFFF"/>
        </w:rPr>
      </w:pPr>
      <w:bookmarkStart w:id="12" w:name="_Toc209182196"/>
      <w:bookmarkStart w:id="13" w:name="_Toc209194084"/>
      <w:bookmarkStart w:id="14" w:name="_Toc209194132"/>
      <w:bookmarkStart w:id="15" w:name="_Toc209194214"/>
      <w:bookmarkStart w:id="16" w:name="_Toc209194286"/>
      <w:bookmarkStart w:id="17" w:name="_Toc209435288"/>
      <w:r w:rsidRPr="00F15B2D">
        <w:t xml:space="preserve">S’agissant de la décentralisation qui a été consolidée, l’adoption de la </w:t>
      </w:r>
      <w:r w:rsidRPr="00F15B2D">
        <w:rPr>
          <w:shd w:val="clear" w:color="auto" w:fill="FFFFFF"/>
        </w:rPr>
        <w:t>Loi n°2019/024 du 24 décembre 2019 portant </w:t>
      </w:r>
      <w:r w:rsidRPr="00F15B2D">
        <w:rPr>
          <w:rStyle w:val="Emphasis"/>
          <w:shd w:val="clear" w:color="auto" w:fill="FFFFFF"/>
        </w:rPr>
        <w:t>Code</w:t>
      </w:r>
      <w:r w:rsidRPr="00F15B2D">
        <w:rPr>
          <w:shd w:val="clear" w:color="auto" w:fill="FFFFFF"/>
        </w:rPr>
        <w:t xml:space="preserve"> général des CTD a été suivie d’un train de mesures financières, normatives et institutionnelles, au rang desquelles la </w:t>
      </w:r>
      <w:r w:rsidRPr="00F15B2D">
        <w:rPr>
          <w:rStyle w:val="Emphasis"/>
          <w:shd w:val="clear" w:color="auto" w:fill="FFFFFF"/>
        </w:rPr>
        <w:t>Loi n°2024/020 du 23 décembre 2024 portant fiscalité locale,</w:t>
      </w:r>
      <w:r w:rsidRPr="00F15B2D">
        <w:rPr>
          <w:shd w:val="clear" w:color="auto" w:fill="FFFFFF"/>
        </w:rPr>
        <w:t xml:space="preserve"> l’opérationnalisation des Conseils régionaux, la création de la </w:t>
      </w:r>
      <w:r w:rsidRPr="00F15B2D">
        <w:rPr>
          <w:i/>
          <w:iCs/>
          <w:shd w:val="clear" w:color="auto" w:fill="FFFFFF"/>
        </w:rPr>
        <w:t xml:space="preserve">National </w:t>
      </w:r>
      <w:proofErr w:type="spellStart"/>
      <w:r w:rsidRPr="00F15B2D">
        <w:rPr>
          <w:i/>
          <w:iCs/>
          <w:shd w:val="clear" w:color="auto" w:fill="FFFFFF"/>
        </w:rPr>
        <w:t>School</w:t>
      </w:r>
      <w:proofErr w:type="spellEnd"/>
      <w:r w:rsidRPr="00F15B2D">
        <w:rPr>
          <w:i/>
          <w:iCs/>
          <w:shd w:val="clear" w:color="auto" w:fill="FFFFFF"/>
        </w:rPr>
        <w:t xml:space="preserve"> of Local Administration</w:t>
      </w:r>
      <w:r w:rsidRPr="00F15B2D">
        <w:rPr>
          <w:rStyle w:val="FootnoteReference"/>
          <w:sz w:val="24"/>
          <w:shd w:val="clear" w:color="auto" w:fill="FFFFFF"/>
        </w:rPr>
        <w:footnoteReference w:id="10"/>
      </w:r>
      <w:r w:rsidRPr="00F15B2D">
        <w:rPr>
          <w:shd w:val="clear" w:color="auto" w:fill="FFFFFF"/>
        </w:rPr>
        <w:t xml:space="preserve"> et du </w:t>
      </w:r>
      <w:r w:rsidRPr="00F15B2D">
        <w:rPr>
          <w:rStyle w:val="Emphasis"/>
          <w:shd w:val="clear" w:color="auto" w:fill="FFFFFF"/>
        </w:rPr>
        <w:t>Conseil National de la Décentralisation</w:t>
      </w:r>
      <w:r w:rsidRPr="00F15B2D">
        <w:rPr>
          <w:rStyle w:val="FootnoteReference"/>
          <w:sz w:val="24"/>
          <w:shd w:val="clear" w:color="auto" w:fill="FFFFFF"/>
        </w:rPr>
        <w:footnoteReference w:id="11"/>
      </w:r>
      <w:r w:rsidRPr="00F15B2D">
        <w:rPr>
          <w:shd w:val="clear" w:color="auto" w:fill="FFFFFF"/>
        </w:rPr>
        <w:t xml:space="preserve">. </w:t>
      </w:r>
      <w:r w:rsidRPr="00F15B2D">
        <w:rPr>
          <w:rStyle w:val="Emphasis"/>
          <w:shd w:val="clear" w:color="auto" w:fill="FFFFFF"/>
        </w:rPr>
        <w:t xml:space="preserve">Sur le plan financier, </w:t>
      </w:r>
      <w:r w:rsidRPr="00F15B2D">
        <w:t>la Dotation générale de la décentralisation est passée de 49 800 000 000 FCFA</w:t>
      </w:r>
      <w:r w:rsidRPr="00F15B2D">
        <w:rPr>
          <w:rStyle w:val="FootnoteReference"/>
          <w:sz w:val="24"/>
        </w:rPr>
        <w:footnoteReference w:id="12"/>
      </w:r>
      <w:r w:rsidRPr="00F15B2D">
        <w:t xml:space="preserve"> en 2019 à 292 500 000 000 FCFA</w:t>
      </w:r>
      <w:r w:rsidRPr="00F15B2D">
        <w:rPr>
          <w:rStyle w:val="FootnoteReference"/>
          <w:sz w:val="24"/>
        </w:rPr>
        <w:footnoteReference w:id="13"/>
      </w:r>
      <w:r w:rsidRPr="00F15B2D">
        <w:t xml:space="preserve"> en 2024, et le budget du </w:t>
      </w:r>
      <w:proofErr w:type="gramStart"/>
      <w:r w:rsidRPr="00F15B2D">
        <w:t>Ministère</w:t>
      </w:r>
      <w:proofErr w:type="gramEnd"/>
      <w:r w:rsidRPr="00F15B2D">
        <w:t xml:space="preserve"> de la Décentralisation et du Développement </w:t>
      </w:r>
      <w:r w:rsidRPr="00F15B2D">
        <w:lastRenderedPageBreak/>
        <w:t>local (MINDDEVEL) de 44 447 000 000 FCFA</w:t>
      </w:r>
      <w:r w:rsidRPr="00F15B2D">
        <w:rPr>
          <w:rStyle w:val="FootnoteReference"/>
          <w:sz w:val="24"/>
        </w:rPr>
        <w:footnoteReference w:id="14"/>
      </w:r>
      <w:r w:rsidRPr="00F15B2D">
        <w:t xml:space="preserve"> en 2019 à 126 165 000 000 FCFA en 2025</w:t>
      </w:r>
      <w:r w:rsidRPr="00F15B2D">
        <w:rPr>
          <w:rStyle w:val="FootnoteReference"/>
          <w:sz w:val="24"/>
        </w:rPr>
        <w:footnoteReference w:id="15"/>
      </w:r>
      <w:r w:rsidRPr="00F15B2D">
        <w:t>.</w:t>
      </w:r>
      <w:bookmarkEnd w:id="12"/>
      <w:bookmarkEnd w:id="13"/>
      <w:bookmarkEnd w:id="14"/>
      <w:bookmarkEnd w:id="15"/>
      <w:bookmarkEnd w:id="16"/>
      <w:bookmarkEnd w:id="17"/>
      <w:r w:rsidRPr="00F15B2D">
        <w:t xml:space="preserve"> </w:t>
      </w:r>
    </w:p>
    <w:p w14:paraId="1BD053CB" w14:textId="233FD912" w:rsidR="00EC7229" w:rsidRPr="007C64B6" w:rsidRDefault="007C64B6" w:rsidP="007C64B6">
      <w:pPr>
        <w:pStyle w:val="H1G"/>
        <w:rPr>
          <w:rStyle w:val="Strong"/>
          <w:b/>
          <w:bCs w:val="0"/>
        </w:rPr>
      </w:pPr>
      <w:bookmarkStart w:id="18" w:name="_Toc209182197"/>
      <w:bookmarkStart w:id="19" w:name="_Toc209194133"/>
      <w:bookmarkStart w:id="20" w:name="_Toc209435289"/>
      <w:r>
        <w:rPr>
          <w:rStyle w:val="Strong"/>
          <w:b/>
          <w:bCs w:val="0"/>
        </w:rPr>
        <w:tab/>
      </w:r>
      <w:r>
        <w:rPr>
          <w:rStyle w:val="Strong"/>
          <w:b/>
          <w:bCs w:val="0"/>
        </w:rPr>
        <w:tab/>
      </w:r>
      <w:r w:rsidR="00EC7229" w:rsidRPr="007C64B6">
        <w:rPr>
          <w:rStyle w:val="Strong"/>
          <w:b/>
          <w:bCs w:val="0"/>
        </w:rPr>
        <w:t>Article 4</w:t>
      </w:r>
      <w:bookmarkEnd w:id="18"/>
      <w:bookmarkEnd w:id="19"/>
      <w:bookmarkEnd w:id="20"/>
    </w:p>
    <w:p w14:paraId="72C9F803" w14:textId="1BDB2D4F" w:rsidR="00EC7229" w:rsidRPr="00862309" w:rsidRDefault="00EC7229" w:rsidP="00F46CD2">
      <w:pPr>
        <w:numPr>
          <w:ilvl w:val="0"/>
          <w:numId w:val="38"/>
        </w:numPr>
        <w:shd w:val="clear" w:color="auto" w:fill="FFFFFF"/>
        <w:spacing w:before="240" w:line="240" w:lineRule="auto"/>
        <w:ind w:left="1134" w:right="1134" w:firstLine="0"/>
        <w:jc w:val="both"/>
        <w:rPr>
          <w:b/>
          <w:bCs/>
        </w:rPr>
      </w:pPr>
      <w:r w:rsidRPr="00862309">
        <w:rPr>
          <w:rStyle w:val="Strong"/>
          <w:b w:val="0"/>
          <w:bCs w:val="0"/>
        </w:rPr>
        <w:t>L’</w:t>
      </w:r>
      <w:proofErr w:type="spellStart"/>
      <w:r w:rsidRPr="00862309">
        <w:rPr>
          <w:rStyle w:val="Strong"/>
          <w:b w:val="0"/>
          <w:bCs w:val="0"/>
        </w:rPr>
        <w:t>Etat</w:t>
      </w:r>
      <w:proofErr w:type="spellEnd"/>
      <w:r w:rsidRPr="00862309">
        <w:rPr>
          <w:rStyle w:val="Strong"/>
          <w:b w:val="0"/>
          <w:bCs w:val="0"/>
        </w:rPr>
        <w:t xml:space="preserve"> du Cameroun, à travers les juridictions et les entités administratives, telles que le Conseil National de la Communication (CNC), le </w:t>
      </w:r>
      <w:proofErr w:type="gramStart"/>
      <w:r w:rsidRPr="00862309">
        <w:rPr>
          <w:rStyle w:val="Strong"/>
          <w:b w:val="0"/>
          <w:bCs w:val="0"/>
        </w:rPr>
        <w:t>Ministère</w:t>
      </w:r>
      <w:proofErr w:type="gramEnd"/>
      <w:r w:rsidRPr="00862309">
        <w:rPr>
          <w:rStyle w:val="Strong"/>
          <w:b w:val="0"/>
          <w:bCs w:val="0"/>
        </w:rPr>
        <w:t xml:space="preserve"> de la Communication (MINCOM) et le </w:t>
      </w:r>
      <w:proofErr w:type="gramStart"/>
      <w:r w:rsidRPr="00862309">
        <w:rPr>
          <w:rStyle w:val="Strong"/>
          <w:b w:val="0"/>
          <w:bCs w:val="0"/>
        </w:rPr>
        <w:t>Ministère de l’Administration</w:t>
      </w:r>
      <w:proofErr w:type="gramEnd"/>
      <w:r w:rsidRPr="00862309">
        <w:rPr>
          <w:rStyle w:val="Strong"/>
          <w:b w:val="0"/>
          <w:bCs w:val="0"/>
        </w:rPr>
        <w:t xml:space="preserve"> Territoriale (MINAT), a continué à prendre des mesures contre les personnes et les organisations incitant à la haine et à la discrimination </w:t>
      </w:r>
      <w:r w:rsidRPr="00862309">
        <w:t>(voir aussi § 6 and §43</w:t>
      </w:r>
      <w:r w:rsidRPr="00862309">
        <w:rPr>
          <w:spacing w:val="2"/>
          <w:shd w:val="clear" w:color="auto" w:fill="FFFFFF"/>
        </w:rPr>
        <w:t>)</w:t>
      </w:r>
      <w:r w:rsidRPr="00862309">
        <w:t>.</w:t>
      </w:r>
    </w:p>
    <w:p w14:paraId="31319F95" w14:textId="7DBCA68C" w:rsidR="00EC7229" w:rsidRPr="007C64B6" w:rsidRDefault="007C64B6" w:rsidP="007C64B6">
      <w:pPr>
        <w:pStyle w:val="H1G"/>
      </w:pPr>
      <w:bookmarkStart w:id="21" w:name="_Toc209182198"/>
      <w:bookmarkStart w:id="22" w:name="_Toc209194134"/>
      <w:bookmarkStart w:id="23" w:name="_Toc209435290"/>
      <w:r>
        <w:rPr>
          <w:rStyle w:val="Strong"/>
          <w:szCs w:val="24"/>
        </w:rPr>
        <w:tab/>
      </w:r>
      <w:r>
        <w:rPr>
          <w:rStyle w:val="Strong"/>
          <w:szCs w:val="24"/>
        </w:rPr>
        <w:tab/>
      </w:r>
      <w:r w:rsidR="00EC7229" w:rsidRPr="007C64B6">
        <w:rPr>
          <w:rStyle w:val="Strong"/>
          <w:b/>
          <w:bCs w:val="0"/>
        </w:rPr>
        <w:t>Article 5</w:t>
      </w:r>
      <w:bookmarkEnd w:id="21"/>
      <w:bookmarkEnd w:id="22"/>
      <w:bookmarkEnd w:id="23"/>
    </w:p>
    <w:p w14:paraId="57C3E880" w14:textId="7A50EE6D" w:rsidR="00EC7229" w:rsidRPr="00862309" w:rsidRDefault="00EC7229" w:rsidP="00F46CD2">
      <w:pPr>
        <w:numPr>
          <w:ilvl w:val="0"/>
          <w:numId w:val="38"/>
        </w:numPr>
        <w:shd w:val="clear" w:color="auto" w:fill="FFFFFF"/>
        <w:spacing w:before="240" w:line="240" w:lineRule="auto"/>
        <w:ind w:left="1134" w:right="1134" w:firstLine="0"/>
        <w:jc w:val="both"/>
      </w:pPr>
      <w:r w:rsidRPr="00862309">
        <w:rPr>
          <w:b/>
          <w:bCs/>
        </w:rPr>
        <w:t>Sur le champ des droits civils et politiques</w:t>
      </w:r>
      <w:r w:rsidRPr="00862309">
        <w:t>, en vue de garantir le droit de tous ses ressortissants à la libre circulation, à une identité et à une nationalité, le Cameroun a d’une part, adhéré</w:t>
      </w:r>
      <w:r w:rsidRPr="00862309">
        <w:rPr>
          <w:rStyle w:val="FootnoteReference"/>
          <w:sz w:val="20"/>
        </w:rPr>
        <w:footnoteReference w:id="16"/>
      </w:r>
      <w:r w:rsidRPr="00862309">
        <w:t xml:space="preserve"> aux Conventions des Nations Unies relatives au statut des apatrides et à la réduction des cas d'apatridie et d’autre part, facilité et accéléré l’enregistrement des faits d’état civil ainsi que les modalités de délivrance de la carte nationale d’identité et du passeport, à travers la Loi n°2024/016 du 23 décembre 2024 portant organisation du système d’enregistrement des faits d’état civil au Cameroun, le Décret n°2025/059 du 28 février 2025 fixant les caractéristiques et les modalités d'établissement et de délivrance des titres identitaires et le </w:t>
      </w:r>
      <w:r w:rsidRPr="00862309">
        <w:rPr>
          <w:rStyle w:val="Emphasis"/>
          <w:shd w:val="clear" w:color="auto" w:fill="FFFFFF"/>
        </w:rPr>
        <w:t>Décret</w:t>
      </w:r>
      <w:r w:rsidRPr="00862309">
        <w:rPr>
          <w:shd w:val="clear" w:color="auto" w:fill="FFFFFF"/>
        </w:rPr>
        <w:t> n°2021/347 du 17 juin 2021 fixant les conditions d'établissement des </w:t>
      </w:r>
      <w:r w:rsidRPr="00862309">
        <w:rPr>
          <w:rStyle w:val="Emphasis"/>
          <w:shd w:val="clear" w:color="auto" w:fill="FFFFFF"/>
        </w:rPr>
        <w:t>passeports.</w:t>
      </w:r>
    </w:p>
    <w:p w14:paraId="11BB5A62" w14:textId="3DA05EB2"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En ce qui concerne l’égal accès aux tribunaux, les commissions d’assistance ont régulièrement fait droit à des demandes, soit à titre d’illustration un taux d’accord de 66,21% en 2023.  En vue de booster l’accès inclusif aux services juridiques, les lois et les actes </w:t>
      </w:r>
      <w:proofErr w:type="spellStart"/>
      <w:r w:rsidRPr="00F15B2D">
        <w:t>règlementaires</w:t>
      </w:r>
      <w:proofErr w:type="spellEnd"/>
      <w:r w:rsidRPr="00F15B2D">
        <w:t xml:space="preserve"> ont été publiés en français et en anglais. Bien plus, l’</w:t>
      </w:r>
      <w:proofErr w:type="spellStart"/>
      <w:r w:rsidRPr="00F15B2D">
        <w:t>Ecole</w:t>
      </w:r>
      <w:proofErr w:type="spellEnd"/>
      <w:r w:rsidRPr="00F15B2D">
        <w:t xml:space="preserve"> Nationale d'Administration et de Magistrature (ENAM) a poursuivi l’admission annuelle et spécifique des auditeurs de justice et des élèves greffiers d’expression anglaise, soit 430 élèves de 2019 à 2024. </w:t>
      </w:r>
    </w:p>
    <w:p w14:paraId="5B8719F2" w14:textId="5200E38C" w:rsidR="00EC7229" w:rsidRPr="00F15B2D" w:rsidRDefault="00EC7229" w:rsidP="00F46CD2">
      <w:pPr>
        <w:numPr>
          <w:ilvl w:val="0"/>
          <w:numId w:val="38"/>
        </w:numPr>
        <w:shd w:val="clear" w:color="auto" w:fill="FFFFFF"/>
        <w:spacing w:before="240" w:line="240" w:lineRule="auto"/>
        <w:ind w:left="1134" w:right="1134" w:firstLine="0"/>
        <w:jc w:val="both"/>
      </w:pPr>
      <w:r w:rsidRPr="00F15B2D">
        <w:t>En outre, les jeunes, les femmes, les personnes d’expression anglaise, les personnes handicapées, les personnes de la diaspora, entre autres, sont pris en compte dans les processus politiques et décisionnels. Ainsi, depuis 2023, le Sénat compte 33% de femmes contre 26% en 2018. En décembre 2020, 23,4% de femmes ont été élues conseillères régionales puis 20% membres des bureaux des conseils régionaux.  En 2020, 24% de femmes (contre 16% en 2012) ont été élues conseillères municipales et 10,83% (contre 6,94% en 2012) ont été élues maires. Dans la fonction publique, au nombre des recrues en 2024, l’on comptait 50% de femmes et 19% de personnes d’expression anglaise. Par ailleurs, en 2024, l’on dénombrait 27 femmes Sous-Préfets contre 21 en 2020, 16 femmes Colonels dans l’Armée de terre contre 2 en 2020, 4 femmes Colonels dans la Gendarmerie Nationale contre 0 en 2020, 44 femmes Commissaires Divisionnaires contre 18 en 2018, etc.</w:t>
      </w:r>
    </w:p>
    <w:p w14:paraId="68FB4987" w14:textId="06C70391" w:rsidR="00EC7229" w:rsidRPr="00F15B2D" w:rsidRDefault="00EC7229" w:rsidP="00F46CD2">
      <w:pPr>
        <w:numPr>
          <w:ilvl w:val="0"/>
          <w:numId w:val="38"/>
        </w:numPr>
        <w:shd w:val="clear" w:color="auto" w:fill="FFFFFF"/>
        <w:spacing w:before="240" w:line="240" w:lineRule="auto"/>
        <w:ind w:left="1134" w:right="1134" w:firstLine="0"/>
        <w:jc w:val="both"/>
      </w:pPr>
      <w:r w:rsidRPr="00F15B2D">
        <w:t>Pour ce qui est de l’inscription sur les listes électorales, au 31 août 2024, l’on a enregistré 1 254 438 nouveaux inscrits dont 41,30% de femmes, 64,88% de jeunes, 654 personnes handicapées et 8 830 électeurs de la diaspora.</w:t>
      </w:r>
    </w:p>
    <w:p w14:paraId="0B40C079" w14:textId="4FA30C18" w:rsidR="00EC7229" w:rsidRPr="00F15B2D" w:rsidRDefault="00EC7229" w:rsidP="00F46CD2">
      <w:pPr>
        <w:numPr>
          <w:ilvl w:val="0"/>
          <w:numId w:val="38"/>
        </w:numPr>
        <w:shd w:val="clear" w:color="auto" w:fill="FFFFFF"/>
        <w:spacing w:before="240" w:line="240" w:lineRule="auto"/>
        <w:ind w:left="1134" w:right="1134" w:firstLine="0"/>
        <w:jc w:val="both"/>
        <w:rPr>
          <w:b/>
          <w:bCs/>
        </w:rPr>
      </w:pPr>
      <w:r w:rsidRPr="00F15B2D">
        <w:rPr>
          <w:iCs/>
        </w:rPr>
        <w:t xml:space="preserve">Prenant en compte les besoins spécifiques de certaines organisations et de leurs membres, le Cameroun a adopté </w:t>
      </w:r>
      <w:r w:rsidRPr="00F15B2D">
        <w:t>la</w:t>
      </w:r>
      <w:r w:rsidRPr="00F15B2D">
        <w:rPr>
          <w:b/>
          <w:bCs/>
        </w:rPr>
        <w:t xml:space="preserve"> </w:t>
      </w:r>
      <w:r w:rsidRPr="00F15B2D">
        <w:t xml:space="preserve">Loi n°2020/011 du 20 juillet 2020 régissant les associations artistiques et culturelles au Cameroun,  ainsi  que </w:t>
      </w:r>
      <w:r w:rsidRPr="00F15B2D">
        <w:rPr>
          <w:iCs/>
        </w:rPr>
        <w:t xml:space="preserve">la </w:t>
      </w:r>
      <w:r w:rsidRPr="00F15B2D">
        <w:rPr>
          <w:rStyle w:val="Emphasis"/>
          <w:shd w:val="clear" w:color="auto" w:fill="FFFFFF"/>
        </w:rPr>
        <w:t>Loi n</w:t>
      </w:r>
      <w:r w:rsidRPr="00F15B2D">
        <w:rPr>
          <w:shd w:val="clear" w:color="auto" w:fill="FFFFFF"/>
        </w:rPr>
        <w:t>°</w:t>
      </w:r>
      <w:r w:rsidRPr="00F15B2D">
        <w:rPr>
          <w:rStyle w:val="Emphasis"/>
          <w:shd w:val="clear" w:color="auto" w:fill="FFFFFF"/>
        </w:rPr>
        <w:t>2021/022 du 16 décembre 2021</w:t>
      </w:r>
      <w:r w:rsidRPr="00F15B2D">
        <w:rPr>
          <w:shd w:val="clear" w:color="auto" w:fill="FFFFFF"/>
        </w:rPr>
        <w:t> modifiant certaines dispositions de la </w:t>
      </w:r>
      <w:r w:rsidRPr="00F15B2D">
        <w:rPr>
          <w:rStyle w:val="Emphasis"/>
          <w:shd w:val="clear" w:color="auto" w:fill="FFFFFF"/>
        </w:rPr>
        <w:t>Loi n</w:t>
      </w:r>
      <w:r w:rsidRPr="00F15B2D">
        <w:rPr>
          <w:shd w:val="clear" w:color="auto" w:fill="FFFFFF"/>
        </w:rPr>
        <w:t xml:space="preserve">°90/053 du 19 décembre 1990 relative à la liberté d'association, qui </w:t>
      </w:r>
      <w:r w:rsidRPr="00F15B2D">
        <w:t xml:space="preserve">soumet à un régime particulier les partis </w:t>
      </w:r>
      <w:r w:rsidRPr="00F15B2D">
        <w:lastRenderedPageBreak/>
        <w:t xml:space="preserve">politiques, les syndicats, les associations sportives, les ONG et les organisations interprofessionnelles. Dans cette veine, est intervenue la Loi n°2021/023 du 16 décembre 2021 régissant les organisations interprofessionnelles au Cameroun, laquelle vise le principe de la parité. </w:t>
      </w:r>
    </w:p>
    <w:p w14:paraId="4E24A22C" w14:textId="13BAEDFF"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Non discriminatoire, l’environnement favorable à l’exercice des liberté publiques a entraîné un foisonnement d’acteurs dans une pluralité de secteurs, soit en décembre 2024, 367 partis politiques, 104 ONG, 48 </w:t>
      </w:r>
      <w:r w:rsidRPr="00F15B2D">
        <w:rPr>
          <w:rStyle w:val="Strong"/>
          <w:spacing w:val="5"/>
          <w:shd w:val="clear" w:color="auto" w:fill="FFFFFF"/>
        </w:rPr>
        <w:t>églises autorisées</w:t>
      </w:r>
      <w:r w:rsidRPr="00F15B2D">
        <w:t xml:space="preserve">, 760 </w:t>
      </w:r>
      <w:proofErr w:type="spellStart"/>
      <w:r w:rsidRPr="00F15B2D">
        <w:t>médias</w:t>
      </w:r>
      <w:proofErr w:type="spellEnd"/>
      <w:r w:rsidRPr="00F15B2D">
        <w:t xml:space="preserve"> recensés dont 93 chaînes de télévision, 129 radios commerciales, 169 radios communautaires, 65 opérateurs de télédistribution, 232 organes de presse écrite, 72 organes de presse en ligne et 260 exploitants de télécommunication. </w:t>
      </w:r>
    </w:p>
    <w:p w14:paraId="6E6E3F02" w14:textId="3FA61C25" w:rsidR="00EC7229" w:rsidRPr="00F15B2D" w:rsidRDefault="00EC7229" w:rsidP="00F46CD2">
      <w:pPr>
        <w:numPr>
          <w:ilvl w:val="0"/>
          <w:numId w:val="38"/>
        </w:numPr>
        <w:shd w:val="clear" w:color="auto" w:fill="FFFFFF"/>
        <w:spacing w:before="240" w:line="240" w:lineRule="auto"/>
        <w:ind w:left="1134" w:right="1134" w:firstLine="0"/>
        <w:jc w:val="both"/>
      </w:pPr>
      <w:r w:rsidRPr="00F46CD2">
        <w:rPr>
          <w:rFonts w:eastAsia="Times New Roman"/>
          <w:lang w:eastAsia="fr-FR"/>
        </w:rPr>
        <w:t>S’agissant</w:t>
      </w:r>
      <w:r w:rsidRPr="00F15B2D">
        <w:t xml:space="preserve"> de la sûreté et de la protection de toutes les personnes et de leurs biens, le Cameroun a adopté, pour ce qui est des plans d’eau, la Loi n°2022/017 du 27 décembre 2022 portant répression de la piraterie maritime, du terrorisme et des atteintes contre la sécurité de la navigation maritime et des </w:t>
      </w:r>
      <w:proofErr w:type="spellStart"/>
      <w:r w:rsidRPr="00F15B2D">
        <w:t>plateformes</w:t>
      </w:r>
      <w:proofErr w:type="spellEnd"/>
      <w:r w:rsidRPr="00F15B2D">
        <w:t>. Dans le même registre, a été adoptée la Loi n°2024/015 du 23 décembre 2024 régissant la protection civile au Cameroun, qui précise qu’elle doit être mise en œuvre suivant des principes fondamentaux dont celui de l’équité.</w:t>
      </w:r>
    </w:p>
    <w:p w14:paraId="16742571" w14:textId="4E55A094" w:rsidR="00EC7229" w:rsidRPr="00F15B2D" w:rsidRDefault="00EC7229" w:rsidP="00F46CD2">
      <w:pPr>
        <w:numPr>
          <w:ilvl w:val="0"/>
          <w:numId w:val="38"/>
        </w:numPr>
        <w:shd w:val="clear" w:color="auto" w:fill="FFFFFF"/>
        <w:spacing w:before="240" w:line="240" w:lineRule="auto"/>
        <w:ind w:left="1134" w:right="1134" w:firstLine="0"/>
        <w:jc w:val="both"/>
      </w:pPr>
      <w:r w:rsidRPr="00F15B2D">
        <w:rPr>
          <w:b/>
          <w:bCs/>
        </w:rPr>
        <w:t>S’agissant des droits économiques, sociaux et culturels</w:t>
      </w:r>
      <w:r w:rsidRPr="00F15B2D">
        <w:t xml:space="preserve">, des réformes </w:t>
      </w:r>
      <w:proofErr w:type="spellStart"/>
      <w:r w:rsidRPr="00F15B2D">
        <w:t>règlementaires</w:t>
      </w:r>
      <w:proofErr w:type="spellEnd"/>
      <w:r w:rsidRPr="00F15B2D">
        <w:t xml:space="preserve"> sont intervenues d</w:t>
      </w:r>
      <w:r w:rsidRPr="00F15B2D">
        <w:rPr>
          <w:iCs/>
        </w:rPr>
        <w:t>ans le domaine du travail et de la sécurité sociale</w:t>
      </w:r>
      <w:r w:rsidRPr="00F15B2D">
        <w:t>, en réponse au renchérissement du coût de la vie, source de discrimination de fait liée au niveau de fortune. On peut noter à cet égard le Décret n°2020/376 du 8 juillet 2020 fixant le coefficient de revalorisation de certaines pensions de vieillesse, d’invalidité et de décès et des appuis au secteur productif, le Décret n°2020/802 du 30 décembre 2020 portant harmonisation de l’âge de départ à la retraite des fonctionnaires, ainsi que le Décret n°2023/00338/PM du 21 mars 2023 qui a relevé le Salaire Minimum Interprofessionnel Garanti</w:t>
      </w:r>
      <w:r w:rsidRPr="00F15B2D">
        <w:rPr>
          <w:rStyle w:val="FootnoteReference"/>
          <w:sz w:val="24"/>
        </w:rPr>
        <w:footnoteReference w:id="17"/>
      </w:r>
      <w:r w:rsidRPr="00F15B2D">
        <w:t>. Il en est de même du Décret n°2024/056 du 21 février 2024 portant revalorisation du montant des allocations familiales servies aux travailleurs.</w:t>
      </w:r>
    </w:p>
    <w:p w14:paraId="00CD2151" w14:textId="36AF7F21"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46CD2">
        <w:rPr>
          <w:rFonts w:eastAsia="Times New Roman"/>
          <w:lang w:eastAsia="fr-FR"/>
        </w:rPr>
        <w:t xml:space="preserve">Dans sa politique tendant à l’accès universel aux services préventifs, curatifs, palliatifs, de réadaptation et de promotion de la santé, le Cameroun a mis en place la Couverture Santé Universelle dont la 1ère phase a été lancée en avril 2023. En avril 2025, 3,926, 805 de personnes étaient déjà enrôlées. En sus du développement sur tout le territoire national des effectifs des personnels médicaux et des infrastructures de santé, des documents stratégiques sous-tendus par l’accès universel aux soins ont été adoptés relativement aux maladies telles que le VIH/Sida, la tuberculose, le paludisme, les hépatites virales, la filariose et l’onchocercose. </w:t>
      </w:r>
      <w:proofErr w:type="spellStart"/>
      <w:r w:rsidRPr="00F46CD2">
        <w:rPr>
          <w:rFonts w:eastAsia="Times New Roman"/>
          <w:lang w:eastAsia="fr-FR"/>
        </w:rPr>
        <w:t>Elargissant</w:t>
      </w:r>
      <w:proofErr w:type="spellEnd"/>
      <w:r w:rsidRPr="00F46CD2">
        <w:rPr>
          <w:rFonts w:eastAsia="Times New Roman"/>
          <w:lang w:eastAsia="fr-FR"/>
        </w:rPr>
        <w:t xml:space="preserve"> davantage le spectre de l’offre universelle de soin de santé, y compris de santé reproductive, le Cameroun a adopté la Loi n°2022/014 du 14 juillet 2022 relative à la procréation médicalement assistée et la Loi n°2024/018 du 23 décembre 2024 portant exercice et organisation de la médecine traditionnelle au Cameroun.</w:t>
      </w:r>
    </w:p>
    <w:p w14:paraId="5883DBEB" w14:textId="3A5DBC23" w:rsidR="00EC7229" w:rsidRPr="00F46CD2"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bookmarkStart w:id="24" w:name="_Toc209182199"/>
      <w:bookmarkStart w:id="25" w:name="_Toc209194087"/>
      <w:bookmarkStart w:id="26" w:name="_Toc209194135"/>
      <w:bookmarkStart w:id="27" w:name="_Toc209194217"/>
      <w:bookmarkStart w:id="28" w:name="_Toc209194289"/>
      <w:bookmarkStart w:id="29" w:name="_Toc209435291"/>
      <w:r w:rsidRPr="00862309">
        <w:rPr>
          <w:rFonts w:eastAsia="Times New Roman"/>
          <w:lang w:eastAsia="fr-FR"/>
        </w:rPr>
        <w:t>Dans le secteur de l’éducation et de la formation, la Loi n°2018/010 du 11 juillet 2018 régissant la formation professionnelle au Cameroun et la Loi n°2023/007 du 25 juillet 2023 portant orientation de l'enseignement supérieur au</w:t>
      </w:r>
      <w:r w:rsidRPr="00F46CD2">
        <w:rPr>
          <w:rFonts w:eastAsia="Times New Roman"/>
          <w:lang w:eastAsia="fr-FR"/>
        </w:rPr>
        <w:t xml:space="preserve"> Cameroun ont fixé le principe de l’égalité d’accès. Par ailleurs, les mesures prises pour renforcer l’offre en éducation ont permis la scolarisation d’un nombre important d’enfants vulnérables et de filles. Ainsi, au cours de l’année scolaire 2023/2024, au préscolaire, on comptabilisait 644 367 élèves dont 322 848 filles, au préscolaire anglophone 254 257 élèves dont 128 931 filles, au préscolaire francophone 390 110 élèves dont 193 917 filles, au cycle primaire 5 289 656 élèves dont 2 514 152 filles et dans les enseignements secondaires 2 047 079 élèves dont 977 988 filles. S’agissant des réfugiés, on comptait 5 070 élèves dont 2 504 filles, au primaire 78 399 élèves dont 35 258 filles et au secondaire 11 255 élèves dont 5 126 filles. Pour ce qui est des déplacés internes, on </w:t>
      </w:r>
      <w:r w:rsidRPr="00F46CD2">
        <w:rPr>
          <w:rFonts w:eastAsia="Times New Roman"/>
          <w:lang w:eastAsia="fr-FR"/>
        </w:rPr>
        <w:lastRenderedPageBreak/>
        <w:t>dénombrait dans le préscolaire 15 322 élèves dont 7 675 filles et au primaire 197 766 élèves dont 94 352 filles.</w:t>
      </w:r>
      <w:bookmarkEnd w:id="24"/>
      <w:bookmarkEnd w:id="25"/>
      <w:bookmarkEnd w:id="26"/>
      <w:bookmarkEnd w:id="27"/>
      <w:bookmarkEnd w:id="28"/>
      <w:bookmarkEnd w:id="29"/>
    </w:p>
    <w:p w14:paraId="5598A8C1" w14:textId="2B72CDCA" w:rsidR="00EC7229" w:rsidRPr="00F15B2D" w:rsidRDefault="00EC7229" w:rsidP="00F46CD2">
      <w:pPr>
        <w:numPr>
          <w:ilvl w:val="0"/>
          <w:numId w:val="38"/>
        </w:numPr>
        <w:shd w:val="clear" w:color="auto" w:fill="FFFFFF"/>
        <w:spacing w:before="240" w:line="240" w:lineRule="auto"/>
        <w:ind w:left="1134" w:right="1134" w:firstLine="0"/>
        <w:jc w:val="both"/>
      </w:pPr>
      <w:r w:rsidRPr="00F46CD2">
        <w:rPr>
          <w:rFonts w:eastAsia="Times New Roman"/>
          <w:lang w:eastAsia="fr-FR"/>
        </w:rPr>
        <w:t>Pour ce qui est de l’égal accès à tous les lieux et services destinés à l'usage du public, la Loi n°2023/010 du 25 juillet 2023 régissant le secteur ferroviaire au Cameroun a précisé que le transport ferroviaire à destination du public</w:t>
      </w:r>
      <w:r w:rsidRPr="00F15B2D">
        <w:t xml:space="preserve"> est guidé, entre autres, par le principe de l’égalité. Dans la même veine, la Loi n°2021/024 du 16 décembre 2021 portant organisation et promotion de la filière du livre a prescrit à l’</w:t>
      </w:r>
      <w:proofErr w:type="spellStart"/>
      <w:r w:rsidRPr="00F15B2D">
        <w:t>Etat</w:t>
      </w:r>
      <w:proofErr w:type="spellEnd"/>
      <w:r w:rsidRPr="00F15B2D">
        <w:t xml:space="preserve"> du Cameroun d’encourager l'édition du livre en langues nationales et sa traduction dans les 2 langues officielles.</w:t>
      </w:r>
    </w:p>
    <w:p w14:paraId="6C4F2905" w14:textId="010CBC42"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Bien plus, sans distinction, exclusion, restriction ou préférence, les activités culturelles organisées au cours de la période sous revue étaient ouvertes à tous, à l’instar des festivals </w:t>
      </w:r>
      <w:proofErr w:type="spellStart"/>
      <w:r w:rsidRPr="00F15B2D">
        <w:t>Gurna</w:t>
      </w:r>
      <w:proofErr w:type="spellEnd"/>
      <w:r w:rsidRPr="00F15B2D">
        <w:t xml:space="preserve">, </w:t>
      </w:r>
      <w:proofErr w:type="spellStart"/>
      <w:r w:rsidRPr="00F15B2D">
        <w:t>Chepan</w:t>
      </w:r>
      <w:proofErr w:type="spellEnd"/>
      <w:r w:rsidRPr="00F15B2D">
        <w:t xml:space="preserve">, </w:t>
      </w:r>
      <w:proofErr w:type="spellStart"/>
      <w:r w:rsidRPr="00F15B2D">
        <w:t>Nyang</w:t>
      </w:r>
      <w:proofErr w:type="spellEnd"/>
      <w:r w:rsidRPr="00F15B2D">
        <w:t xml:space="preserve"> </w:t>
      </w:r>
      <w:proofErr w:type="spellStart"/>
      <w:r w:rsidRPr="00F15B2D">
        <w:t>Nyang</w:t>
      </w:r>
      <w:proofErr w:type="spellEnd"/>
      <w:r w:rsidRPr="00F15B2D">
        <w:t xml:space="preserve">, </w:t>
      </w:r>
      <w:proofErr w:type="spellStart"/>
      <w:r w:rsidRPr="00F15B2D">
        <w:t>Afo</w:t>
      </w:r>
      <w:proofErr w:type="spellEnd"/>
      <w:r w:rsidRPr="00F15B2D">
        <w:t xml:space="preserve"> </w:t>
      </w:r>
      <w:proofErr w:type="spellStart"/>
      <w:r w:rsidRPr="00F15B2D">
        <w:t>Akom</w:t>
      </w:r>
      <w:proofErr w:type="spellEnd"/>
      <w:r w:rsidRPr="00F15B2D">
        <w:t xml:space="preserve">, </w:t>
      </w:r>
      <w:proofErr w:type="spellStart"/>
      <w:r w:rsidRPr="00F15B2D">
        <w:t>Ngou</w:t>
      </w:r>
      <w:proofErr w:type="spellEnd"/>
      <w:r w:rsidRPr="00F15B2D">
        <w:t xml:space="preserve"> </w:t>
      </w:r>
      <w:proofErr w:type="spellStart"/>
      <w:r w:rsidRPr="00F15B2D">
        <w:t>Nguong</w:t>
      </w:r>
      <w:proofErr w:type="spellEnd"/>
      <w:r w:rsidRPr="00F15B2D">
        <w:t xml:space="preserve">, </w:t>
      </w:r>
      <w:proofErr w:type="spellStart"/>
      <w:r w:rsidRPr="00F15B2D">
        <w:rPr>
          <w:lang w:eastAsia="fr-FR"/>
        </w:rPr>
        <w:t>Ngondo</w:t>
      </w:r>
      <w:proofErr w:type="spellEnd"/>
      <w:r w:rsidRPr="00F15B2D">
        <w:t xml:space="preserve">, </w:t>
      </w:r>
      <w:proofErr w:type="spellStart"/>
      <w:r w:rsidRPr="00F15B2D">
        <w:t>Nguon</w:t>
      </w:r>
      <w:proofErr w:type="spellEnd"/>
      <w:r w:rsidRPr="00F15B2D">
        <w:t xml:space="preserve">, Mayi, </w:t>
      </w:r>
      <w:proofErr w:type="spellStart"/>
      <w:r w:rsidRPr="00F15B2D">
        <w:t>Kebouh</w:t>
      </w:r>
      <w:proofErr w:type="spellEnd"/>
      <w:r w:rsidRPr="00F15B2D">
        <w:t xml:space="preserve"> </w:t>
      </w:r>
      <w:proofErr w:type="spellStart"/>
      <w:r w:rsidRPr="00F15B2D">
        <w:t>Pouanieup</w:t>
      </w:r>
      <w:proofErr w:type="spellEnd"/>
      <w:r w:rsidRPr="00F15B2D">
        <w:t xml:space="preserve">, </w:t>
      </w:r>
      <w:proofErr w:type="spellStart"/>
      <w:r w:rsidRPr="00F15B2D">
        <w:t>Lela</w:t>
      </w:r>
      <w:proofErr w:type="spellEnd"/>
      <w:r w:rsidRPr="00F15B2D">
        <w:t xml:space="preserve">, </w:t>
      </w:r>
      <w:proofErr w:type="spellStart"/>
      <w:r w:rsidRPr="00F15B2D">
        <w:t>Lemou</w:t>
      </w:r>
      <w:proofErr w:type="spellEnd"/>
      <w:r w:rsidRPr="00F15B2D">
        <w:t xml:space="preserve">, </w:t>
      </w:r>
      <w:proofErr w:type="spellStart"/>
      <w:r w:rsidRPr="00F15B2D">
        <w:t>kudumbar</w:t>
      </w:r>
      <w:proofErr w:type="spellEnd"/>
      <w:r w:rsidRPr="00F15B2D">
        <w:t xml:space="preserve">, Medumba, </w:t>
      </w:r>
      <w:proofErr w:type="spellStart"/>
      <w:r w:rsidRPr="00F15B2D">
        <w:t>Msem</w:t>
      </w:r>
      <w:proofErr w:type="spellEnd"/>
      <w:r w:rsidRPr="00F15B2D">
        <w:t xml:space="preserve"> </w:t>
      </w:r>
      <w:proofErr w:type="spellStart"/>
      <w:r w:rsidRPr="00F15B2D">
        <w:t>Todjom</w:t>
      </w:r>
      <w:proofErr w:type="spellEnd"/>
      <w:r w:rsidRPr="00F15B2D">
        <w:t xml:space="preserve">, </w:t>
      </w:r>
      <w:proofErr w:type="spellStart"/>
      <w:r w:rsidRPr="00F15B2D">
        <w:t>Nguma</w:t>
      </w:r>
      <w:proofErr w:type="spellEnd"/>
      <w:r w:rsidRPr="00F15B2D">
        <w:t xml:space="preserve"> </w:t>
      </w:r>
      <w:proofErr w:type="spellStart"/>
      <w:r w:rsidRPr="00F15B2D">
        <w:t>Mabi</w:t>
      </w:r>
      <w:proofErr w:type="spellEnd"/>
      <w:r w:rsidRPr="00F15B2D">
        <w:t>,</w:t>
      </w:r>
      <w:r w:rsidRPr="00F15B2D">
        <w:rPr>
          <w:b/>
          <w:bCs/>
        </w:rPr>
        <w:t xml:space="preserve"> </w:t>
      </w:r>
      <w:proofErr w:type="spellStart"/>
      <w:r w:rsidRPr="00F15B2D">
        <w:t>Nékou</w:t>
      </w:r>
      <w:proofErr w:type="spellEnd"/>
      <w:r w:rsidRPr="00F15B2D">
        <w:t xml:space="preserve">, </w:t>
      </w:r>
      <w:proofErr w:type="spellStart"/>
      <w:r w:rsidRPr="00F15B2D">
        <w:t>Gah’chou</w:t>
      </w:r>
      <w:proofErr w:type="spellEnd"/>
      <w:r w:rsidRPr="00F15B2D">
        <w:t xml:space="preserve">, </w:t>
      </w:r>
      <w:proofErr w:type="spellStart"/>
      <w:r w:rsidRPr="00F15B2D">
        <w:t>Ngonso</w:t>
      </w:r>
      <w:proofErr w:type="spellEnd"/>
      <w:r w:rsidRPr="00F15B2D">
        <w:t xml:space="preserve">, Sao, etc…Ces festivals, qui ont bénéficié de l’accompagnement du Gouvernement, étaient aussi une occasion de favoriser la compréhension interculturelle et </w:t>
      </w:r>
      <w:proofErr w:type="spellStart"/>
      <w:r w:rsidRPr="00F15B2D">
        <w:t>interethnique</w:t>
      </w:r>
      <w:proofErr w:type="spellEnd"/>
      <w:r w:rsidRPr="00F15B2D">
        <w:t>, et d’ancrer davantage le vivre-ensemble.</w:t>
      </w:r>
    </w:p>
    <w:p w14:paraId="33E58D0B" w14:textId="2D6213D5" w:rsidR="00EC7229" w:rsidRPr="00677442" w:rsidRDefault="00EC7229" w:rsidP="00F46CD2">
      <w:pPr>
        <w:numPr>
          <w:ilvl w:val="0"/>
          <w:numId w:val="38"/>
        </w:numPr>
        <w:shd w:val="clear" w:color="auto" w:fill="FFFFFF"/>
        <w:spacing w:before="240" w:line="240" w:lineRule="auto"/>
        <w:ind w:left="1134" w:right="1134" w:firstLine="0"/>
        <w:jc w:val="both"/>
        <w:rPr>
          <w:rStyle w:val="Strong"/>
          <w:b w:val="0"/>
          <w:bCs w:val="0"/>
        </w:rPr>
      </w:pPr>
      <w:r w:rsidRPr="00677442">
        <w:rPr>
          <w:rStyle w:val="Emphasis"/>
          <w:i w:val="0"/>
          <w:iCs w:val="0"/>
          <w:shd w:val="clear" w:color="auto" w:fill="FFFFFF"/>
        </w:rPr>
        <w:t>Pour ce qui est de l’accès équitable au logement,</w:t>
      </w:r>
      <w:r w:rsidRPr="00677442">
        <w:rPr>
          <w:rStyle w:val="Emphasis"/>
          <w:shd w:val="clear" w:color="auto" w:fill="FFFFFF"/>
        </w:rPr>
        <w:t xml:space="preserve"> </w:t>
      </w:r>
      <w:r w:rsidRPr="00677442">
        <w:rPr>
          <w:shd w:val="clear" w:color="auto" w:fill="FFFFFF"/>
        </w:rPr>
        <w:t>110 nouveaux </w:t>
      </w:r>
      <w:r w:rsidRPr="00677442">
        <w:rPr>
          <w:rStyle w:val="Emphasis"/>
          <w:i w:val="0"/>
          <w:iCs w:val="0"/>
          <w:shd w:val="clear" w:color="auto" w:fill="FFFFFF"/>
        </w:rPr>
        <w:t>logements</w:t>
      </w:r>
      <w:r w:rsidRPr="00677442">
        <w:rPr>
          <w:i/>
          <w:iCs/>
          <w:shd w:val="clear" w:color="auto" w:fill="FFFFFF"/>
        </w:rPr>
        <w:t> </w:t>
      </w:r>
      <w:r w:rsidRPr="00677442">
        <w:rPr>
          <w:shd w:val="clear" w:color="auto" w:fill="FFFFFF"/>
        </w:rPr>
        <w:t xml:space="preserve">sociaux ont été construits à Douala et Yaoundé en 2024. Par souci d’équité en faveur de certains groupes, </w:t>
      </w:r>
      <w:r w:rsidRPr="00677442">
        <w:t xml:space="preserve">l’Arrêté conjoint MINHDU/MINFI du 20 septembre 2024 relatif aux plafonds de revenus pour l'accès aux logements sociaux au Cameroun a prévu qu’en cas de concurrence, les logements sociaux doivent être attribués en priorité aux étudiants, aux jeunes, aux personnes handicapées, aux personnes déplacées, aux personnes victimes de catastrophes naturelles ou accidentelles, aux personnes d'astreinte, aux femmes en détresse et aux occupants antérieurs des lieux qui ont été expropriés à la suite de la réalisation du projet d'habitat social. </w:t>
      </w:r>
    </w:p>
    <w:p w14:paraId="0860ABF3" w14:textId="75F5D030" w:rsidR="00EC7229" w:rsidRPr="00677442" w:rsidRDefault="00677442" w:rsidP="00677442">
      <w:pPr>
        <w:pStyle w:val="H1G"/>
      </w:pPr>
      <w:bookmarkStart w:id="30" w:name="_Toc209182200"/>
      <w:bookmarkStart w:id="31" w:name="_Toc209194136"/>
      <w:bookmarkStart w:id="32" w:name="_Toc209435292"/>
      <w:r>
        <w:rPr>
          <w:rStyle w:val="Strong"/>
          <w:b/>
          <w:bCs w:val="0"/>
        </w:rPr>
        <w:tab/>
      </w:r>
      <w:r>
        <w:rPr>
          <w:rStyle w:val="Strong"/>
          <w:b/>
          <w:bCs w:val="0"/>
        </w:rPr>
        <w:tab/>
      </w:r>
      <w:r w:rsidR="00EC7229" w:rsidRPr="00677442">
        <w:rPr>
          <w:rStyle w:val="Strong"/>
          <w:b/>
          <w:bCs w:val="0"/>
        </w:rPr>
        <w:t>Article 6</w:t>
      </w:r>
      <w:bookmarkEnd w:id="30"/>
      <w:bookmarkEnd w:id="31"/>
      <w:bookmarkEnd w:id="32"/>
    </w:p>
    <w:p w14:paraId="7FB151A8" w14:textId="3CC9DE73" w:rsidR="00EC7229" w:rsidRPr="00F15B2D" w:rsidRDefault="00EC7229" w:rsidP="00F46CD2">
      <w:pPr>
        <w:numPr>
          <w:ilvl w:val="0"/>
          <w:numId w:val="38"/>
        </w:numPr>
        <w:shd w:val="clear" w:color="auto" w:fill="FFFFFF"/>
        <w:spacing w:before="240" w:line="240" w:lineRule="auto"/>
        <w:ind w:left="1134" w:right="1134" w:firstLine="0"/>
        <w:jc w:val="both"/>
        <w:rPr>
          <w:b/>
          <w:bCs/>
        </w:rPr>
      </w:pPr>
      <w:r w:rsidRPr="00F15B2D">
        <w:t xml:space="preserve">Des recours relatifs à des faits allégués de discrimination ont été soumis à la CDHC et à des entités administratives dont la CNPBM et aux juridictions </w:t>
      </w:r>
      <w:r w:rsidRPr="00F15B2D">
        <w:rPr>
          <w:b/>
          <w:bCs/>
        </w:rPr>
        <w:t>(voir § 43</w:t>
      </w:r>
      <w:r w:rsidRPr="00F15B2D">
        <w:t xml:space="preserve">).  A titre d’illustration, le Tribunal Administratif de Douala (Jugement n°011/QD/2020 du 16 janvier 2020, affaire </w:t>
      </w:r>
      <w:r w:rsidRPr="00F15B2D">
        <w:rPr>
          <w:b/>
          <w:bCs/>
        </w:rPr>
        <w:t>NTAMACK</w:t>
      </w:r>
      <w:r w:rsidRPr="00F15B2D">
        <w:t xml:space="preserve"> </w:t>
      </w:r>
      <w:r w:rsidRPr="00F15B2D">
        <w:rPr>
          <w:b/>
          <w:bCs/>
        </w:rPr>
        <w:t xml:space="preserve">INGOM Germain Dieudonné </w:t>
      </w:r>
      <w:r w:rsidRPr="00F15B2D">
        <w:t xml:space="preserve">contre </w:t>
      </w:r>
      <w:proofErr w:type="spellStart"/>
      <w:r w:rsidRPr="00F15B2D">
        <w:t>Etat</w:t>
      </w:r>
      <w:proofErr w:type="spellEnd"/>
      <w:r w:rsidRPr="00F15B2D">
        <w:t xml:space="preserve"> du Cameroun-MINESEC) a en matière d’accès à l’éducation sanctionné un cas de discrimination liée à une situation de handicap et en réparation a alloué à la victime une somme de 12 000 000 FCFA</w:t>
      </w:r>
      <w:r w:rsidRPr="00F15B2D">
        <w:rPr>
          <w:rStyle w:val="FootnoteReference"/>
          <w:sz w:val="24"/>
        </w:rPr>
        <w:footnoteReference w:id="18"/>
      </w:r>
      <w:r w:rsidRPr="00F15B2D">
        <w:t>.</w:t>
      </w:r>
    </w:p>
    <w:p w14:paraId="509685B4" w14:textId="2A64DEBE" w:rsidR="00EC7229" w:rsidRPr="00677442" w:rsidRDefault="00677442" w:rsidP="00677442">
      <w:pPr>
        <w:pStyle w:val="H1G"/>
        <w:rPr>
          <w:rStyle w:val="Strong"/>
          <w:b/>
          <w:bCs w:val="0"/>
        </w:rPr>
      </w:pPr>
      <w:bookmarkStart w:id="33" w:name="_Toc209182201"/>
      <w:bookmarkStart w:id="34" w:name="_Toc209194137"/>
      <w:bookmarkStart w:id="35" w:name="_Toc209435293"/>
      <w:r>
        <w:rPr>
          <w:rStyle w:val="Strong"/>
          <w:szCs w:val="24"/>
        </w:rPr>
        <w:tab/>
      </w:r>
      <w:r>
        <w:rPr>
          <w:rStyle w:val="Strong"/>
          <w:szCs w:val="24"/>
        </w:rPr>
        <w:tab/>
      </w:r>
      <w:r w:rsidR="00EC7229" w:rsidRPr="00677442">
        <w:rPr>
          <w:rStyle w:val="Strong"/>
          <w:b/>
          <w:bCs w:val="0"/>
        </w:rPr>
        <w:t>Article 7</w:t>
      </w:r>
      <w:bookmarkEnd w:id="33"/>
      <w:bookmarkEnd w:id="34"/>
      <w:bookmarkEnd w:id="35"/>
    </w:p>
    <w:p w14:paraId="399424FB" w14:textId="4ED4B73E" w:rsidR="00EC7229" w:rsidRPr="00F15B2D" w:rsidRDefault="00EC7229" w:rsidP="00F46CD2">
      <w:pPr>
        <w:numPr>
          <w:ilvl w:val="0"/>
          <w:numId w:val="38"/>
        </w:numPr>
        <w:shd w:val="clear" w:color="auto" w:fill="FFFFFF"/>
        <w:spacing w:before="240" w:line="240" w:lineRule="auto"/>
        <w:ind w:left="1134" w:right="1134" w:firstLine="0"/>
        <w:jc w:val="both"/>
        <w:rPr>
          <w:spacing w:val="4"/>
        </w:rPr>
      </w:pPr>
      <w:r w:rsidRPr="00F15B2D">
        <w:rPr>
          <w:spacing w:val="4"/>
        </w:rPr>
        <w:t xml:space="preserve">Pour combattre les préjugés et favoriser la compréhension, la tolérance et le vivre-ensemble, le Cameroun a axé sa politique essentiellement sur la promotion du bilinguisme et du multiculturalisme. Pour ce faire, il a dans le domaine de la culture encouragé et accompagné les </w:t>
      </w:r>
      <w:proofErr w:type="spellStart"/>
      <w:r w:rsidRPr="00F15B2D">
        <w:rPr>
          <w:spacing w:val="4"/>
        </w:rPr>
        <w:t>évènements</w:t>
      </w:r>
      <w:proofErr w:type="spellEnd"/>
      <w:r w:rsidRPr="00F15B2D">
        <w:rPr>
          <w:spacing w:val="4"/>
        </w:rPr>
        <w:t xml:space="preserve"> tels que les festivals </w:t>
      </w:r>
      <w:r w:rsidRPr="00F15B2D">
        <w:rPr>
          <w:b/>
          <w:bCs/>
          <w:spacing w:val="4"/>
        </w:rPr>
        <w:t xml:space="preserve">(voir </w:t>
      </w:r>
      <w:r w:rsidRPr="00F15B2D">
        <w:rPr>
          <w:b/>
          <w:bCs/>
        </w:rPr>
        <w:t xml:space="preserve">§ </w:t>
      </w:r>
      <w:r w:rsidRPr="00F15B2D">
        <w:rPr>
          <w:b/>
          <w:bCs/>
          <w:spacing w:val="4"/>
        </w:rPr>
        <w:t>28)</w:t>
      </w:r>
      <w:r w:rsidRPr="00F15B2D">
        <w:rPr>
          <w:spacing w:val="4"/>
        </w:rPr>
        <w:t>.</w:t>
      </w:r>
    </w:p>
    <w:p w14:paraId="035B7BD1" w14:textId="4F372211" w:rsidR="00EC7229" w:rsidRPr="00F15B2D" w:rsidRDefault="00EC7229" w:rsidP="00F46CD2">
      <w:pPr>
        <w:numPr>
          <w:ilvl w:val="0"/>
          <w:numId w:val="38"/>
        </w:numPr>
        <w:shd w:val="clear" w:color="auto" w:fill="FFFFFF"/>
        <w:spacing w:before="240" w:line="240" w:lineRule="auto"/>
        <w:ind w:left="1134" w:right="1134" w:firstLine="0"/>
        <w:jc w:val="both"/>
      </w:pPr>
      <w:r w:rsidRPr="00677442">
        <w:rPr>
          <w:rStyle w:val="Emphasis"/>
          <w:i w:val="0"/>
          <w:iCs w:val="0"/>
          <w:shd w:val="clear" w:color="auto" w:fill="FFFFFF"/>
        </w:rPr>
        <w:t>Dans le domaine de l’éducation, la Loi n</w:t>
      </w:r>
      <w:r w:rsidRPr="00677442">
        <w:rPr>
          <w:i/>
          <w:iCs/>
          <w:shd w:val="clear" w:color="auto" w:fill="FFFFFF"/>
        </w:rPr>
        <w:t>°</w:t>
      </w:r>
      <w:r w:rsidRPr="00677442">
        <w:rPr>
          <w:rStyle w:val="Emphasis"/>
          <w:i w:val="0"/>
          <w:iCs w:val="0"/>
          <w:shd w:val="clear" w:color="auto" w:fill="FFFFFF"/>
        </w:rPr>
        <w:t>2023</w:t>
      </w:r>
      <w:r w:rsidRPr="00677442">
        <w:rPr>
          <w:i/>
          <w:iCs/>
          <w:shd w:val="clear" w:color="auto" w:fill="FFFFFF"/>
        </w:rPr>
        <w:t>/007 du 25 juillet </w:t>
      </w:r>
      <w:r w:rsidRPr="00677442">
        <w:rPr>
          <w:rStyle w:val="Emphasis"/>
          <w:i w:val="0"/>
          <w:iCs w:val="0"/>
          <w:shd w:val="clear" w:color="auto" w:fill="FFFFFF"/>
        </w:rPr>
        <w:t>2023 portant orientation</w:t>
      </w:r>
      <w:r w:rsidRPr="00677442">
        <w:rPr>
          <w:i/>
          <w:iCs/>
          <w:shd w:val="clear" w:color="auto" w:fill="FFFFFF"/>
        </w:rPr>
        <w:t> de l'</w:t>
      </w:r>
      <w:r w:rsidRPr="00677442">
        <w:rPr>
          <w:rStyle w:val="Emphasis"/>
          <w:i w:val="0"/>
          <w:iCs w:val="0"/>
          <w:shd w:val="clear" w:color="auto" w:fill="FFFFFF"/>
        </w:rPr>
        <w:t>enseignement supérieur</w:t>
      </w:r>
      <w:r w:rsidRPr="00F15B2D">
        <w:rPr>
          <w:shd w:val="clear" w:color="auto" w:fill="FFFFFF"/>
        </w:rPr>
        <w:t> au Cameroun</w:t>
      </w:r>
      <w:r w:rsidRPr="00F15B2D">
        <w:t xml:space="preserve"> a précisé que l’</w:t>
      </w:r>
      <w:proofErr w:type="spellStart"/>
      <w:r w:rsidRPr="00F15B2D">
        <w:t>Etat</w:t>
      </w:r>
      <w:proofErr w:type="spellEnd"/>
      <w:r w:rsidRPr="00F15B2D">
        <w:t xml:space="preserve"> promeut le multiculturalisme dans l’enseignement supérieur comme facteur d’unité et d’intégration nationale, tout en ajoutant que le cycle d’enseignement vise la promotion du bilinguisme et du multiculturalisme.</w:t>
      </w:r>
    </w:p>
    <w:p w14:paraId="67A9B11A" w14:textId="1B1C90D9" w:rsidR="00EC7229" w:rsidRPr="00F15B2D" w:rsidRDefault="00A96F5C" w:rsidP="00677442">
      <w:pPr>
        <w:pStyle w:val="HChG"/>
      </w:pPr>
      <w:bookmarkStart w:id="36" w:name="_Toc209182202"/>
      <w:bookmarkStart w:id="37" w:name="_Toc209194138"/>
      <w:bookmarkStart w:id="38" w:name="_Toc209435294"/>
      <w:r>
        <w:lastRenderedPageBreak/>
        <w:tab/>
      </w:r>
      <w:r>
        <w:tab/>
      </w:r>
      <w:r w:rsidRPr="00F15B2D">
        <w:t xml:space="preserve">Deuxième </w:t>
      </w:r>
      <w:proofErr w:type="gramStart"/>
      <w:r w:rsidRPr="00F15B2D">
        <w:t>Partie:</w:t>
      </w:r>
      <w:proofErr w:type="gramEnd"/>
      <w:r w:rsidRPr="00F15B2D">
        <w:t xml:space="preserve"> </w:t>
      </w:r>
      <w:proofErr w:type="spellStart"/>
      <w:r w:rsidRPr="00F15B2D">
        <w:t>Reponses</w:t>
      </w:r>
      <w:proofErr w:type="spellEnd"/>
      <w:r w:rsidRPr="00F15B2D">
        <w:t xml:space="preserve"> </w:t>
      </w:r>
      <w:r>
        <w:t>a</w:t>
      </w:r>
      <w:r w:rsidRPr="00F15B2D">
        <w:t>ux Recommandations</w:t>
      </w:r>
      <w:bookmarkEnd w:id="36"/>
      <w:bookmarkEnd w:id="37"/>
      <w:bookmarkEnd w:id="38"/>
      <w:r w:rsidRPr="00F15B2D">
        <w:t xml:space="preserve"> </w:t>
      </w:r>
    </w:p>
    <w:p w14:paraId="2C02098F" w14:textId="7A10A395" w:rsidR="00EC7229" w:rsidRPr="00F15B2D" w:rsidRDefault="00616D35" w:rsidP="00616D35">
      <w:pPr>
        <w:pStyle w:val="H1G"/>
      </w:pPr>
      <w:bookmarkStart w:id="39" w:name="_Toc209182203"/>
      <w:bookmarkStart w:id="40" w:name="_Toc209194139"/>
      <w:bookmarkStart w:id="41" w:name="_Toc209435295"/>
      <w:r>
        <w:tab/>
      </w:r>
      <w:r w:rsidR="00EC7229" w:rsidRPr="00F15B2D">
        <w:t>I.</w:t>
      </w:r>
      <w:r>
        <w:tab/>
      </w:r>
      <w:r w:rsidR="00EC7229" w:rsidRPr="00F15B2D">
        <w:t>Statistiques (Rec. 5)</w:t>
      </w:r>
      <w:bookmarkEnd w:id="39"/>
      <w:bookmarkEnd w:id="40"/>
      <w:bookmarkEnd w:id="41"/>
    </w:p>
    <w:p w14:paraId="4E33E36C" w14:textId="49D0766D"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b/>
          <w:bCs/>
          <w:lang w:eastAsia="fr-FR"/>
        </w:rPr>
      </w:pPr>
      <w:r w:rsidRPr="00F15B2D">
        <w:rPr>
          <w:rFonts w:eastAsia="Times New Roman"/>
          <w:lang w:eastAsia="fr-FR"/>
        </w:rPr>
        <w:t xml:space="preserve">Le DBC révisé vise les données statistiques globales sur la composition démographique. Sous la conduite du Bureau Central des Recensements et des </w:t>
      </w:r>
      <w:proofErr w:type="spellStart"/>
      <w:r w:rsidRPr="00F15B2D">
        <w:rPr>
          <w:rFonts w:eastAsia="Times New Roman"/>
          <w:lang w:eastAsia="fr-FR"/>
        </w:rPr>
        <w:t>Etudes</w:t>
      </w:r>
      <w:proofErr w:type="spellEnd"/>
      <w:r w:rsidRPr="00F15B2D">
        <w:rPr>
          <w:rFonts w:eastAsia="Times New Roman"/>
          <w:lang w:eastAsia="fr-FR"/>
        </w:rPr>
        <w:t xml:space="preserve"> de Population (BUCREP), des diligences sont en cours en vue de la réalisation du 4</w:t>
      </w:r>
      <w:r w:rsidRPr="00F15B2D">
        <w:rPr>
          <w:rFonts w:eastAsia="Times New Roman"/>
          <w:vertAlign w:val="superscript"/>
          <w:lang w:eastAsia="fr-FR"/>
        </w:rPr>
        <w:t>ème</w:t>
      </w:r>
      <w:r w:rsidRPr="00F15B2D">
        <w:rPr>
          <w:rFonts w:eastAsia="Times New Roman"/>
          <w:lang w:eastAsia="fr-FR"/>
        </w:rPr>
        <w:t> Recensement Général de la Population et de l’Habitat (RGPH), couplé au recensement général de l'agriculture et de l'élevage.</w:t>
      </w:r>
    </w:p>
    <w:p w14:paraId="57379FB6" w14:textId="7A8D37B6"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S’agissant de certains groupes spécifiques,</w:t>
      </w:r>
      <w:r w:rsidRPr="00F46CD2">
        <w:rPr>
          <w:rFonts w:eastAsia="Times New Roman"/>
          <w:lang w:eastAsia="fr-FR"/>
        </w:rPr>
        <w:t xml:space="preserve"> </w:t>
      </w:r>
      <w:r w:rsidRPr="00F15B2D">
        <w:rPr>
          <w:rFonts w:eastAsia="Times New Roman"/>
          <w:lang w:eastAsia="fr-FR"/>
        </w:rPr>
        <w:t xml:space="preserve">au 31 décembre 2024, le Cameroun comptait 1 036 775 personnes déplacées internes (PDI) dont 61 % d’enfants, 410 211 réfugiés dont 53% de femmes et filles ensemble 55% enfants, ainsi que 16 050 demandeurs d’asile. </w:t>
      </w:r>
    </w:p>
    <w:p w14:paraId="1939E502" w14:textId="361A9CD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A l’effet collecter des données davantage précises sur les réfugiés, PDI et les retournées volontaires, le BUCREP et le Haut-Commissariat des Nations Unies pour les Réfugiés (HCR) ont, en mars 2023, signé un Protocole d’accord en vue de leur prise en compte lors du 4</w:t>
      </w:r>
      <w:r w:rsidRPr="00F46CD2">
        <w:rPr>
          <w:rFonts w:eastAsia="Times New Roman"/>
          <w:lang w:eastAsia="fr-FR"/>
        </w:rPr>
        <w:t>ème</w:t>
      </w:r>
      <w:r w:rsidRPr="00F15B2D">
        <w:rPr>
          <w:rFonts w:eastAsia="Times New Roman"/>
          <w:lang w:eastAsia="fr-FR"/>
        </w:rPr>
        <w:t> RGPH. En février 2024, le HCR et l’Institut National de la Statistique (INS) ont signé un Accord de partenariat portant sur la collecte de données relatives aux personnes déplacées de force au Cameroun. </w:t>
      </w:r>
    </w:p>
    <w:p w14:paraId="43E06EBC" w14:textId="4C5447BB" w:rsidR="00EC7229" w:rsidRPr="00F15B2D" w:rsidRDefault="00616D35" w:rsidP="00616D35">
      <w:pPr>
        <w:pStyle w:val="H1G"/>
      </w:pPr>
      <w:bookmarkStart w:id="42" w:name="_Toc209182204"/>
      <w:bookmarkStart w:id="43" w:name="_Toc209194140"/>
      <w:bookmarkStart w:id="44" w:name="_Toc209435296"/>
      <w:r>
        <w:tab/>
      </w:r>
      <w:r w:rsidR="00EC7229" w:rsidRPr="00F15B2D">
        <w:t>II.</w:t>
      </w:r>
      <w:r>
        <w:tab/>
      </w:r>
      <w:r w:rsidR="00EC7229" w:rsidRPr="00F15B2D">
        <w:t>Convention dans l’ordre juridique interne (Rec. 7)</w:t>
      </w:r>
      <w:bookmarkEnd w:id="42"/>
      <w:bookmarkEnd w:id="43"/>
      <w:bookmarkEnd w:id="44"/>
    </w:p>
    <w:p w14:paraId="1FED4982" w14:textId="4C714C2A" w:rsidR="00EC7229" w:rsidRPr="00F15B2D" w:rsidRDefault="00616D35" w:rsidP="00616D35">
      <w:pPr>
        <w:pStyle w:val="H23G"/>
        <w:rPr>
          <w:lang w:eastAsia="fr-FR"/>
        </w:rPr>
      </w:pPr>
      <w:r>
        <w:rPr>
          <w:lang w:eastAsia="fr-FR"/>
        </w:rPr>
        <w:tab/>
      </w:r>
      <w:r w:rsidR="00EC7229" w:rsidRPr="00F15B2D">
        <w:rPr>
          <w:lang w:eastAsia="fr-FR"/>
        </w:rPr>
        <w:t>A.</w:t>
      </w:r>
      <w:r>
        <w:rPr>
          <w:lang w:eastAsia="fr-FR"/>
        </w:rPr>
        <w:tab/>
      </w:r>
      <w:r w:rsidR="00EC7229" w:rsidRPr="00F15B2D">
        <w:rPr>
          <w:lang w:eastAsia="fr-FR"/>
        </w:rPr>
        <w:t>Formation </w:t>
      </w:r>
    </w:p>
    <w:p w14:paraId="75A03DE2" w14:textId="433F0C5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Pour faciliter l’invocation, l’interprétation et l’application optimales de tous les instruments sur les Droits de l’Homme, y compris la CERD, des modules de formation, abordant la question de l’égalité et de la non-discrimination, sont dispensés dans les écoles accueillant des personnes appelées à appliquer la loi. Ainsi, un module de 30 heures en « </w:t>
      </w:r>
      <w:r w:rsidRPr="00F46CD2">
        <w:rPr>
          <w:rFonts w:eastAsia="Times New Roman"/>
          <w:lang w:eastAsia="fr-FR"/>
        </w:rPr>
        <w:t>Droits de l’Homme et libertés publiques </w:t>
      </w:r>
      <w:r w:rsidRPr="00F15B2D">
        <w:rPr>
          <w:rFonts w:eastAsia="Times New Roman"/>
          <w:lang w:eastAsia="fr-FR"/>
        </w:rPr>
        <w:t>» est dispensé aux élèves Magistrats, Administrateurs Civils, des Affaires Foncières, du Travail et des Affaires Sociales de l’ENAM. A l’exception des auditeurs de justice des comptes, ces élèves bénéficient d’un enseignement de 30 heures sur le « </w:t>
      </w:r>
      <w:r w:rsidRPr="00F46CD2">
        <w:rPr>
          <w:rFonts w:eastAsia="Times New Roman"/>
          <w:lang w:eastAsia="fr-FR"/>
        </w:rPr>
        <w:t>contentieux des Droits de l’Homme</w:t>
      </w:r>
      <w:r w:rsidRPr="00F15B2D">
        <w:rPr>
          <w:rFonts w:eastAsia="Times New Roman"/>
          <w:lang w:eastAsia="fr-FR"/>
        </w:rPr>
        <w:t> ». </w:t>
      </w:r>
    </w:p>
    <w:p w14:paraId="1C44FD91" w14:textId="12C4957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Dans le même sillage, des formations continues en Droit de l’Homme sont organisées au profit des personnes chargées de l’application de la loi, des avocats, des parlementaires et autres. A titre d’illustration, en 2023 et 2025, environ 500</w:t>
      </w:r>
      <w:r w:rsidRPr="00F46CD2">
        <w:rPr>
          <w:rFonts w:eastAsia="Times New Roman"/>
          <w:lang w:eastAsia="fr-FR"/>
        </w:rPr>
        <w:t xml:space="preserve"> </w:t>
      </w:r>
      <w:r w:rsidRPr="00F15B2D">
        <w:rPr>
          <w:rFonts w:eastAsia="Times New Roman"/>
          <w:lang w:eastAsia="fr-FR"/>
        </w:rPr>
        <w:t>Magistrats, Greffiers et personnels de l’Administration Pénitentiaires ont pris part à des ateliers de formation sur les Droits de l’Homme en lien avec le VIH/Sida et la tuberculose, au cours desquels un module sur l’égalité et la non-discrimination a été abordé. En 2023 et 2024, 338 avocats ont participé à ces ateliers de formation.</w:t>
      </w:r>
    </w:p>
    <w:p w14:paraId="78775258" w14:textId="597488A6" w:rsidR="00EC7229" w:rsidRPr="00F15B2D" w:rsidRDefault="00616D35" w:rsidP="00616D35">
      <w:pPr>
        <w:pStyle w:val="H23G"/>
        <w:rPr>
          <w:lang w:eastAsia="fr-FR"/>
        </w:rPr>
      </w:pPr>
      <w:r>
        <w:rPr>
          <w:lang w:eastAsia="fr-FR"/>
        </w:rPr>
        <w:tab/>
      </w:r>
      <w:r w:rsidR="00EC7229" w:rsidRPr="00F15B2D">
        <w:rPr>
          <w:lang w:eastAsia="fr-FR"/>
        </w:rPr>
        <w:t>B.</w:t>
      </w:r>
      <w:r>
        <w:rPr>
          <w:lang w:eastAsia="fr-FR"/>
        </w:rPr>
        <w:tab/>
      </w:r>
      <w:r w:rsidR="00EC7229" w:rsidRPr="00F15B2D">
        <w:rPr>
          <w:lang w:eastAsia="fr-FR"/>
        </w:rPr>
        <w:t>Sensibilisation</w:t>
      </w:r>
    </w:p>
    <w:p w14:paraId="2FCB345C" w14:textId="1D3A7443"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 xml:space="preserve">Au cœur de la stratégie du Gouvernement en matière de sensibilisation sur la non-discrimination, le CNC et la CNPBM ont conduit diverses initiatives.  Ainsi, outre les éléments d’information ci-dessus </w:t>
      </w:r>
      <w:r w:rsidRPr="00F15B2D">
        <w:rPr>
          <w:rFonts w:eastAsia="Times New Roman"/>
          <w:b/>
          <w:bCs/>
          <w:lang w:eastAsia="fr-FR"/>
        </w:rPr>
        <w:t>(voir § 12)</w:t>
      </w:r>
      <w:r w:rsidRPr="00F15B2D">
        <w:rPr>
          <w:rFonts w:eastAsia="Times New Roman"/>
          <w:lang w:eastAsia="fr-FR"/>
        </w:rPr>
        <w:t>, la CNPBM a organisé en avril 2019, mai 2021 et septembre 2024 des colloques sur le vivre-ensemble, les discours de haine et les conflits inter/intracommunautaires, ensemble organisé en 2021 une énième campagne de sensibilisation sur les discours de haine et la xénophobie. Cette sensibilisation a touché des milliers de personnes.</w:t>
      </w:r>
    </w:p>
    <w:p w14:paraId="3D0EA7BB" w14:textId="2C7C7947"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 xml:space="preserve">Bien plus, en septembre 2020 à Yaoundé, octobre 2021 à Douala, mai 2023 à Yaoundé et novembre 2023 à Douala, le Cameroun a abrité un Atelier de sensibilisation des journalistes et des patrons de </w:t>
      </w:r>
      <w:proofErr w:type="spellStart"/>
      <w:r w:rsidRPr="00F15B2D">
        <w:rPr>
          <w:rFonts w:eastAsia="Times New Roman"/>
          <w:lang w:eastAsia="fr-FR"/>
        </w:rPr>
        <w:t>médias</w:t>
      </w:r>
      <w:proofErr w:type="spellEnd"/>
      <w:r w:rsidRPr="00F15B2D">
        <w:rPr>
          <w:rFonts w:eastAsia="Times New Roman"/>
          <w:lang w:eastAsia="fr-FR"/>
        </w:rPr>
        <w:t xml:space="preserve"> contre les discours de haine ; un Forum régional de sensibilisation et de renforcement des capacités des </w:t>
      </w:r>
      <w:proofErr w:type="spellStart"/>
      <w:r w:rsidRPr="00F15B2D">
        <w:rPr>
          <w:rFonts w:eastAsia="Times New Roman"/>
          <w:lang w:eastAsia="fr-FR"/>
        </w:rPr>
        <w:t>médias</w:t>
      </w:r>
      <w:proofErr w:type="spellEnd"/>
      <w:r w:rsidRPr="00F15B2D">
        <w:rPr>
          <w:rFonts w:eastAsia="Times New Roman"/>
          <w:lang w:eastAsia="fr-FR"/>
        </w:rPr>
        <w:t xml:space="preserve"> et des organes </w:t>
      </w:r>
      <w:r w:rsidRPr="00F15B2D">
        <w:rPr>
          <w:rFonts w:eastAsia="Times New Roman"/>
          <w:lang w:eastAsia="fr-FR"/>
        </w:rPr>
        <w:lastRenderedPageBreak/>
        <w:t xml:space="preserve">de régulation de la communication sur la prévention des conflits liés aux discours de haine et la lutte contre ce phénomène en Afrique Centrale ; un Colloque sur les « </w:t>
      </w:r>
      <w:r w:rsidRPr="00F15B2D">
        <w:rPr>
          <w:rFonts w:eastAsia="Times New Roman"/>
          <w:i/>
          <w:iCs/>
          <w:lang w:eastAsia="fr-FR"/>
        </w:rPr>
        <w:t>Discours de haine et violences au Cameroun : genèses sociales, formes émergentes et pistes de réponse</w:t>
      </w:r>
      <w:r w:rsidRPr="00F15B2D">
        <w:rPr>
          <w:rFonts w:eastAsia="Times New Roman"/>
          <w:lang w:eastAsia="fr-FR"/>
        </w:rPr>
        <w:t> » ; et une « </w:t>
      </w:r>
      <w:r w:rsidRPr="00F15B2D">
        <w:rPr>
          <w:rFonts w:eastAsia="Times New Roman"/>
          <w:i/>
          <w:iCs/>
          <w:lang w:eastAsia="fr-FR"/>
        </w:rPr>
        <w:t xml:space="preserve">Conférence régionale des journalistes et des professionnels des </w:t>
      </w:r>
      <w:proofErr w:type="spellStart"/>
      <w:r w:rsidRPr="00F15B2D">
        <w:rPr>
          <w:rFonts w:eastAsia="Times New Roman"/>
          <w:i/>
          <w:iCs/>
          <w:lang w:eastAsia="fr-FR"/>
        </w:rPr>
        <w:t>médias</w:t>
      </w:r>
      <w:proofErr w:type="spellEnd"/>
      <w:r w:rsidRPr="00F15B2D">
        <w:rPr>
          <w:rFonts w:eastAsia="Times New Roman"/>
          <w:i/>
          <w:iCs/>
          <w:lang w:eastAsia="fr-FR"/>
        </w:rPr>
        <w:t xml:space="preserve"> d’Afrique Centrale pour l’éradication et le plaidoyer en vue d’un soutien efficace à la stratégie régionale de lutte contre les discours de haine et l’incitation à la haine et à la violence</w:t>
      </w:r>
      <w:r w:rsidRPr="00F15B2D">
        <w:rPr>
          <w:rFonts w:eastAsia="Times New Roman"/>
          <w:lang w:eastAsia="fr-FR"/>
        </w:rPr>
        <w:t> ». (</w:t>
      </w:r>
      <w:r w:rsidRPr="00F15B2D">
        <w:rPr>
          <w:rFonts w:eastAsia="Times New Roman"/>
          <w:b/>
          <w:bCs/>
          <w:lang w:eastAsia="fr-FR"/>
        </w:rPr>
        <w:t>Voir aussi § 49)</w:t>
      </w:r>
    </w:p>
    <w:p w14:paraId="65DDF49B" w14:textId="2B9C73BF" w:rsidR="00EC7229" w:rsidRPr="00F15B2D" w:rsidRDefault="00616D35" w:rsidP="001E6B46">
      <w:pPr>
        <w:pStyle w:val="H1G"/>
      </w:pPr>
      <w:bookmarkStart w:id="45" w:name="_Toc209182205"/>
      <w:bookmarkStart w:id="46" w:name="_Toc209194141"/>
      <w:bookmarkStart w:id="47" w:name="_Toc209435297"/>
      <w:r>
        <w:tab/>
      </w:r>
      <w:r w:rsidR="00EC7229" w:rsidRPr="00F15B2D">
        <w:t>III.</w:t>
      </w:r>
      <w:r>
        <w:tab/>
      </w:r>
      <w:r w:rsidR="00EC7229" w:rsidRPr="00F15B2D">
        <w:t>Interdiction de la discrimination raciale (Rec. 9)</w:t>
      </w:r>
      <w:bookmarkEnd w:id="45"/>
      <w:bookmarkEnd w:id="46"/>
      <w:bookmarkEnd w:id="47"/>
    </w:p>
    <w:p w14:paraId="3B7F2293" w14:textId="0926D120"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 xml:space="preserve">La Constitution du Cameroun ayant posé le principe de l’égalité et interdit la discrimination pour des cas par elle limitativement énumérés, les actes législatifs et </w:t>
      </w:r>
      <w:proofErr w:type="spellStart"/>
      <w:r w:rsidRPr="00F15B2D">
        <w:rPr>
          <w:rFonts w:eastAsia="Times New Roman"/>
          <w:lang w:eastAsia="fr-FR"/>
        </w:rPr>
        <w:t>règlementaires</w:t>
      </w:r>
      <w:proofErr w:type="spellEnd"/>
      <w:r w:rsidRPr="00F15B2D">
        <w:rPr>
          <w:rFonts w:eastAsia="Times New Roman"/>
          <w:lang w:eastAsia="fr-FR"/>
        </w:rPr>
        <w:t xml:space="preserve"> ainsi que les politiques abondent progressivement et plus explicitement dans le même sens. Ainsi, le cadre normatif en la matière a été substantiellement renforcé (</w:t>
      </w:r>
      <w:r w:rsidRPr="00F15B2D">
        <w:rPr>
          <w:rFonts w:eastAsia="Times New Roman"/>
          <w:b/>
          <w:bCs/>
          <w:lang w:eastAsia="fr-FR"/>
        </w:rPr>
        <w:t>voir § 6 et suivants, article 1</w:t>
      </w:r>
      <w:r w:rsidRPr="00F15B2D">
        <w:rPr>
          <w:rFonts w:eastAsia="Times New Roman"/>
          <w:b/>
          <w:bCs/>
          <w:vertAlign w:val="superscript"/>
          <w:lang w:eastAsia="fr-FR"/>
        </w:rPr>
        <w:t>er</w:t>
      </w:r>
      <w:r w:rsidRPr="00F15B2D">
        <w:rPr>
          <w:rFonts w:eastAsia="Times New Roman"/>
          <w:b/>
          <w:bCs/>
          <w:lang w:eastAsia="fr-FR"/>
        </w:rPr>
        <w:t xml:space="preserve"> et § 17 et suivants article 5</w:t>
      </w:r>
      <w:r w:rsidRPr="00F15B2D">
        <w:rPr>
          <w:rFonts w:eastAsia="Times New Roman"/>
          <w:lang w:eastAsia="fr-FR"/>
        </w:rPr>
        <w:t>).</w:t>
      </w:r>
    </w:p>
    <w:p w14:paraId="137B5D90" w14:textId="4FC96607" w:rsidR="00EC7229" w:rsidRPr="00F15B2D" w:rsidRDefault="001E6B46" w:rsidP="001E6B46">
      <w:pPr>
        <w:pStyle w:val="H1G"/>
      </w:pPr>
      <w:bookmarkStart w:id="48" w:name="_Toc209182206"/>
      <w:bookmarkStart w:id="49" w:name="_Toc209194142"/>
      <w:bookmarkStart w:id="50" w:name="_Toc209435298"/>
      <w:r>
        <w:tab/>
      </w:r>
      <w:r w:rsidR="00EC7229" w:rsidRPr="00F15B2D">
        <w:t>IV.</w:t>
      </w:r>
      <w:r>
        <w:tab/>
      </w:r>
      <w:r w:rsidR="00EC7229" w:rsidRPr="00F15B2D">
        <w:t>Institutions nationales des Droits de l’Homme (Rec. 11)</w:t>
      </w:r>
      <w:bookmarkEnd w:id="48"/>
      <w:bookmarkEnd w:id="49"/>
      <w:bookmarkEnd w:id="50"/>
    </w:p>
    <w:p w14:paraId="51125704" w14:textId="32165D5B" w:rsidR="00EC7229" w:rsidRPr="00F15B2D" w:rsidRDefault="001E6B46" w:rsidP="001E6B46">
      <w:pPr>
        <w:pStyle w:val="H23G"/>
        <w:rPr>
          <w:lang w:val="fr-CM"/>
        </w:rPr>
      </w:pPr>
      <w:r>
        <w:rPr>
          <w:lang w:val="fr-CM"/>
        </w:rPr>
        <w:tab/>
      </w:r>
      <w:r w:rsidR="00EC7229" w:rsidRPr="00F15B2D">
        <w:rPr>
          <w:lang w:val="fr-CM"/>
        </w:rPr>
        <w:t>A.</w:t>
      </w:r>
      <w:r>
        <w:rPr>
          <w:lang w:val="fr-CM"/>
        </w:rPr>
        <w:tab/>
      </w:r>
      <w:r w:rsidR="00EC7229" w:rsidRPr="00F15B2D">
        <w:rPr>
          <w:lang w:val="fr-CM"/>
        </w:rPr>
        <w:t xml:space="preserve">Représentation à la Commission des Droits de l’Homme du Cameroun  </w:t>
      </w:r>
    </w:p>
    <w:p w14:paraId="0C8AF86F" w14:textId="2F39264C" w:rsidR="00EC7229" w:rsidRPr="00F15B2D" w:rsidRDefault="00EC7229" w:rsidP="00F46CD2">
      <w:pPr>
        <w:numPr>
          <w:ilvl w:val="0"/>
          <w:numId w:val="38"/>
        </w:numPr>
        <w:shd w:val="clear" w:color="auto" w:fill="FFFFFF"/>
        <w:spacing w:before="240" w:line="240" w:lineRule="auto"/>
        <w:ind w:left="1134" w:right="1134" w:firstLine="0"/>
        <w:jc w:val="both"/>
        <w:rPr>
          <w:rFonts w:eastAsia="Calibri"/>
          <w:bCs/>
          <w:lang w:val="fr-CM"/>
        </w:rPr>
      </w:pPr>
      <w:r w:rsidRPr="00F15B2D">
        <w:rPr>
          <w:rFonts w:eastAsia="Calibri"/>
          <w:bCs/>
          <w:lang w:val="fr-CM"/>
        </w:rPr>
        <w:t>La Commission des Droits de l’Homme du Cameroun (CDHC), entrée en activité en 2021, est composée d’un Président, d’un Vice-Président et de 13 autres membres, notamment 3 femmes issues de diverses régions du pays et de différentes aires linguistiques. Le Président et le Vice-Président qui ont été nommés respectivement par le Décret n° 2021/107 et le Décret n° 2021/108 du 19 février 2021, ainsi que les autres membres qui ont été nommés par le Décret n° 2021/110 du 19 février 2021 pour un mandat de 5 ans, exerçaient encore leurs mandats.</w:t>
      </w:r>
    </w:p>
    <w:p w14:paraId="49D9E0D1" w14:textId="4EC8F17B" w:rsidR="00EC7229" w:rsidRPr="00F15B2D" w:rsidRDefault="001E6B46" w:rsidP="001E6B46">
      <w:pPr>
        <w:pStyle w:val="H23G"/>
        <w:rPr>
          <w:lang w:val="fr-CM"/>
        </w:rPr>
      </w:pPr>
      <w:r>
        <w:rPr>
          <w:lang w:val="fr-CM"/>
        </w:rPr>
        <w:tab/>
      </w:r>
      <w:r w:rsidR="00EC7229" w:rsidRPr="00F15B2D">
        <w:rPr>
          <w:lang w:val="fr-CM"/>
        </w:rPr>
        <w:t>B.</w:t>
      </w:r>
      <w:r>
        <w:rPr>
          <w:lang w:val="fr-CM"/>
        </w:rPr>
        <w:tab/>
      </w:r>
      <w:r w:rsidR="00EC7229" w:rsidRPr="00F15B2D">
        <w:rPr>
          <w:lang w:val="fr-CM"/>
        </w:rPr>
        <w:t>Ressources humaines et financières</w:t>
      </w:r>
    </w:p>
    <w:p w14:paraId="7F592C40" w14:textId="27247B77"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val="fr-CM" w:eastAsia="fr-FR"/>
        </w:rPr>
      </w:pPr>
      <w:r w:rsidRPr="00F15B2D">
        <w:rPr>
          <w:rFonts w:eastAsia="Times New Roman"/>
          <w:lang w:val="fr-CM" w:eastAsia="fr-FR"/>
        </w:rPr>
        <w:t xml:space="preserve">Le budget de la CDHC a augmenté constamment année après année. En 2019, il s’élevait à </w:t>
      </w:r>
      <w:r w:rsidRPr="00F15B2D">
        <w:rPr>
          <w:rFonts w:eastAsia="Calibri"/>
          <w:bCs/>
          <w:lang w:val="fr-CM"/>
        </w:rPr>
        <w:t>867 928 304 F CFA</w:t>
      </w:r>
      <w:r w:rsidRPr="00F15B2D">
        <w:rPr>
          <w:rStyle w:val="FootnoteReference"/>
          <w:rFonts w:eastAsia="Times New Roman"/>
          <w:sz w:val="24"/>
          <w:lang w:eastAsia="fr-FR"/>
        </w:rPr>
        <w:footnoteReference w:id="19"/>
      </w:r>
      <w:r w:rsidRPr="00F15B2D">
        <w:rPr>
          <w:rFonts w:eastAsia="Times New Roman"/>
          <w:lang w:val="fr-CM" w:eastAsia="fr-FR"/>
        </w:rPr>
        <w:t xml:space="preserve"> et en 2025, il est </w:t>
      </w:r>
      <w:r w:rsidRPr="00F46CD2">
        <w:rPr>
          <w:rFonts w:eastAsia="Times New Roman"/>
          <w:lang w:eastAsia="fr-FR"/>
        </w:rPr>
        <w:t>passé</w:t>
      </w:r>
      <w:r w:rsidRPr="00F15B2D">
        <w:rPr>
          <w:rFonts w:eastAsia="Times New Roman"/>
          <w:lang w:val="fr-CM" w:eastAsia="fr-FR"/>
        </w:rPr>
        <w:t xml:space="preserve"> à 4 796 000 000 F CFA</w:t>
      </w:r>
      <w:r w:rsidRPr="00F15B2D">
        <w:rPr>
          <w:rStyle w:val="FootnoteReference"/>
          <w:rFonts w:eastAsia="Times New Roman"/>
          <w:sz w:val="24"/>
          <w:lang w:eastAsia="fr-FR"/>
        </w:rPr>
        <w:footnoteReference w:id="20"/>
      </w:r>
      <w:r w:rsidRPr="00F15B2D">
        <w:rPr>
          <w:rFonts w:eastAsia="Times New Roman"/>
          <w:lang w:val="fr-CM" w:eastAsia="fr-FR"/>
        </w:rPr>
        <w:t>. Elle reçoit également des financements des partenaires nationaux, régionaux et internationaux. En mai 2025, les effectifs de la CDHC s’élevaient à 194 personnes dont 81 femmes.</w:t>
      </w:r>
    </w:p>
    <w:p w14:paraId="731FDC2E" w14:textId="43B554DB" w:rsidR="00EC7229" w:rsidRPr="00F15B2D" w:rsidRDefault="001E6B46" w:rsidP="001E6B46">
      <w:pPr>
        <w:pStyle w:val="H1G"/>
      </w:pPr>
      <w:bookmarkStart w:id="51" w:name="_Toc209182207"/>
      <w:bookmarkStart w:id="52" w:name="_Toc209194143"/>
      <w:bookmarkStart w:id="53" w:name="_Toc209435299"/>
      <w:r>
        <w:tab/>
      </w:r>
      <w:r w:rsidR="00EC7229" w:rsidRPr="00F15B2D">
        <w:t>V.</w:t>
      </w:r>
      <w:r>
        <w:tab/>
      </w:r>
      <w:r w:rsidR="00EC7229" w:rsidRPr="00F15B2D">
        <w:t>Plaintes pour discrimination raciale (Rec. 13)</w:t>
      </w:r>
      <w:bookmarkEnd w:id="51"/>
      <w:bookmarkEnd w:id="52"/>
      <w:bookmarkEnd w:id="53"/>
    </w:p>
    <w:p w14:paraId="6E5904BA" w14:textId="70A80958" w:rsidR="00EC7229" w:rsidRPr="00F15B2D" w:rsidRDefault="001E6B46" w:rsidP="001E6B46">
      <w:pPr>
        <w:pStyle w:val="H23G"/>
        <w:rPr>
          <w:rFonts w:eastAsia="Calibri"/>
          <w:lang w:val="fr-CM"/>
        </w:rPr>
      </w:pPr>
      <w:r>
        <w:rPr>
          <w:rFonts w:eastAsia="Calibri"/>
          <w:lang w:val="fr-CM"/>
        </w:rPr>
        <w:tab/>
      </w:r>
      <w:r w:rsidR="00EC7229" w:rsidRPr="00F15B2D">
        <w:rPr>
          <w:rFonts w:eastAsia="Calibri"/>
          <w:lang w:val="fr-CM"/>
        </w:rPr>
        <w:t>A.</w:t>
      </w:r>
      <w:r>
        <w:rPr>
          <w:rFonts w:eastAsia="Calibri"/>
          <w:lang w:val="fr-CM"/>
        </w:rPr>
        <w:tab/>
      </w:r>
      <w:r w:rsidR="00EC7229" w:rsidRPr="00F15B2D">
        <w:rPr>
          <w:lang w:val="fr-CM" w:eastAsia="en-GB"/>
        </w:rPr>
        <w:t>Dépôt de plaintes pour discrimination raciale</w:t>
      </w:r>
    </w:p>
    <w:p w14:paraId="5F6EE1D9" w14:textId="6D5B1241" w:rsidR="00EC7229" w:rsidRPr="00F15B2D" w:rsidRDefault="00EC7229" w:rsidP="00F46CD2">
      <w:pPr>
        <w:numPr>
          <w:ilvl w:val="0"/>
          <w:numId w:val="38"/>
        </w:numPr>
        <w:shd w:val="clear" w:color="auto" w:fill="FFFFFF"/>
        <w:spacing w:before="240" w:line="240" w:lineRule="auto"/>
        <w:ind w:left="1134" w:right="1134" w:firstLine="0"/>
        <w:jc w:val="both"/>
        <w:rPr>
          <w:rFonts w:eastAsia="Calibri"/>
          <w:b/>
          <w:bCs/>
          <w:lang w:val="fr-CM"/>
        </w:rPr>
      </w:pPr>
      <w:r w:rsidRPr="00F15B2D">
        <w:rPr>
          <w:rFonts w:eastAsia="Calibri"/>
          <w:lang w:val="fr-CM"/>
        </w:rPr>
        <w:t xml:space="preserve">La CDHC et la Commission Nationale de Promotion du Bilinguisme et du Multiculturalisme (CNPBM), les tribunaux et les autres institutions sont compétents pour recevoir les plaintes pour discrimination raciale. C’est dans cette optique qu’en </w:t>
      </w:r>
      <w:r w:rsidRPr="00F46CD2">
        <w:rPr>
          <w:rFonts w:eastAsia="Times New Roman"/>
          <w:lang w:eastAsia="fr-FR"/>
        </w:rPr>
        <w:t>2023</w:t>
      </w:r>
      <w:r w:rsidRPr="00F15B2D">
        <w:rPr>
          <w:rFonts w:eastAsia="Calibri"/>
          <w:lang w:val="fr-CM"/>
        </w:rPr>
        <w:t xml:space="preserve">, la CNPBM a reçu et examine 95 plaintes fondées sur la discrimination sur la base de la langue et de la culture (dont 60 déposées à travers son numéro vert (1518) et 35 par écrit). </w:t>
      </w:r>
    </w:p>
    <w:p w14:paraId="62C0E4A0" w14:textId="10F50E03" w:rsidR="00EC7229" w:rsidRPr="00F15B2D" w:rsidRDefault="00636241" w:rsidP="00636241">
      <w:pPr>
        <w:pStyle w:val="H23G"/>
        <w:rPr>
          <w:lang w:val="fr-CM"/>
        </w:rPr>
      </w:pPr>
      <w:r>
        <w:rPr>
          <w:lang w:val="fr-CM"/>
        </w:rPr>
        <w:tab/>
      </w:r>
      <w:r w:rsidR="00EC7229" w:rsidRPr="00F15B2D">
        <w:rPr>
          <w:lang w:val="fr-CM"/>
        </w:rPr>
        <w:t>B.</w:t>
      </w:r>
      <w:r>
        <w:rPr>
          <w:lang w:val="fr-CM"/>
        </w:rPr>
        <w:tab/>
      </w:r>
      <w:r w:rsidR="00EC7229" w:rsidRPr="00F15B2D">
        <w:rPr>
          <w:lang w:val="fr-CM"/>
        </w:rPr>
        <w:t>Formation des agents de maintien de l’ordre</w:t>
      </w:r>
    </w:p>
    <w:p w14:paraId="7E6ECC18" w14:textId="2A167AC6" w:rsidR="00EC7229" w:rsidRPr="00F15B2D" w:rsidRDefault="00EC7229" w:rsidP="00F46CD2">
      <w:pPr>
        <w:numPr>
          <w:ilvl w:val="0"/>
          <w:numId w:val="38"/>
        </w:numPr>
        <w:shd w:val="clear" w:color="auto" w:fill="FFFFFF"/>
        <w:spacing w:before="240" w:line="240" w:lineRule="auto"/>
        <w:ind w:left="1134" w:right="1134" w:firstLine="0"/>
        <w:jc w:val="both"/>
        <w:rPr>
          <w:rFonts w:eastAsia="Calibri"/>
          <w:lang w:val="fr-CM"/>
        </w:rPr>
      </w:pPr>
      <w:r w:rsidRPr="00F15B2D">
        <w:rPr>
          <w:rFonts w:eastAsia="Calibri"/>
          <w:lang w:val="fr-CM"/>
        </w:rPr>
        <w:t xml:space="preserve">Des agents </w:t>
      </w:r>
      <w:r w:rsidRPr="00F46CD2">
        <w:rPr>
          <w:rFonts w:eastAsia="Times New Roman"/>
          <w:lang w:eastAsia="fr-FR"/>
        </w:rPr>
        <w:t>de</w:t>
      </w:r>
      <w:r w:rsidRPr="00F15B2D">
        <w:rPr>
          <w:rFonts w:eastAsia="Calibri"/>
          <w:lang w:val="fr-CM"/>
        </w:rPr>
        <w:t xml:space="preserve"> maintien de l’ordre ont reçu une formation sur la discrimination </w:t>
      </w:r>
      <w:r w:rsidRPr="00F15B2D">
        <w:rPr>
          <w:rFonts w:eastAsia="Calibri"/>
          <w:b/>
          <w:bCs/>
          <w:lang w:val="fr-CM"/>
        </w:rPr>
        <w:t xml:space="preserve">(voir </w:t>
      </w:r>
      <w:r w:rsidRPr="00F15B2D">
        <w:rPr>
          <w:rFonts w:eastAsia="Calibri"/>
          <w:b/>
          <w:bCs/>
        </w:rPr>
        <w:t>§ 36 and § 37</w:t>
      </w:r>
      <w:r w:rsidRPr="00F15B2D">
        <w:rPr>
          <w:rFonts w:eastAsia="Calibri"/>
          <w:b/>
          <w:bCs/>
          <w:lang w:val="fr-CM"/>
        </w:rPr>
        <w:t>)</w:t>
      </w:r>
      <w:r w:rsidR="007609FB">
        <w:rPr>
          <w:rFonts w:eastAsia="Calibri"/>
          <w:b/>
          <w:bCs/>
          <w:lang w:val="fr-CM"/>
        </w:rPr>
        <w:t>.</w:t>
      </w:r>
    </w:p>
    <w:p w14:paraId="7B98B9A3" w14:textId="2B06192F" w:rsidR="00EC7229" w:rsidRPr="00F15B2D" w:rsidRDefault="007609FB" w:rsidP="007609FB">
      <w:pPr>
        <w:pStyle w:val="H23G"/>
        <w:rPr>
          <w:lang w:val="fr-CM" w:eastAsia="en-GB"/>
        </w:rPr>
      </w:pPr>
      <w:r>
        <w:rPr>
          <w:lang w:val="fr-CM" w:eastAsia="en-GB"/>
        </w:rPr>
        <w:lastRenderedPageBreak/>
        <w:tab/>
      </w:r>
      <w:r w:rsidR="00EC7229" w:rsidRPr="00F15B2D">
        <w:rPr>
          <w:lang w:val="fr-CM" w:eastAsia="en-GB"/>
        </w:rPr>
        <w:t>C</w:t>
      </w:r>
      <w:r>
        <w:rPr>
          <w:lang w:val="fr-CM" w:eastAsia="en-GB"/>
        </w:rPr>
        <w:t>.</w:t>
      </w:r>
      <w:r>
        <w:rPr>
          <w:lang w:val="fr-CM" w:eastAsia="en-GB"/>
        </w:rPr>
        <w:tab/>
      </w:r>
      <w:r w:rsidR="00EC7229" w:rsidRPr="00F15B2D">
        <w:rPr>
          <w:lang w:val="fr-CM" w:eastAsia="en-GB"/>
        </w:rPr>
        <w:t>Campagnes de sensibilisation du public</w:t>
      </w:r>
    </w:p>
    <w:p w14:paraId="2D16AB69" w14:textId="6B2C6547" w:rsidR="00EC7229" w:rsidRPr="00F15B2D" w:rsidRDefault="00EC7229" w:rsidP="007609FB">
      <w:pPr>
        <w:numPr>
          <w:ilvl w:val="0"/>
          <w:numId w:val="38"/>
        </w:numPr>
        <w:shd w:val="clear" w:color="auto" w:fill="FFFFFF"/>
        <w:spacing w:before="240" w:line="240" w:lineRule="auto"/>
        <w:ind w:left="1134" w:right="1134" w:firstLine="0"/>
        <w:jc w:val="both"/>
        <w:rPr>
          <w:rFonts w:eastAsia="Calibri"/>
          <w:b/>
          <w:bCs/>
          <w:lang w:val="fr-CM"/>
        </w:rPr>
      </w:pPr>
      <w:r w:rsidRPr="00F15B2D">
        <w:rPr>
          <w:rFonts w:eastAsia="Calibri"/>
          <w:b/>
          <w:bCs/>
          <w:lang w:val="fr-CM"/>
        </w:rPr>
        <w:t>Voir § § 38 and § 39</w:t>
      </w:r>
    </w:p>
    <w:p w14:paraId="685C94A2" w14:textId="4DE35FBC" w:rsidR="00EC7229" w:rsidRPr="00F15B2D" w:rsidRDefault="007609FB" w:rsidP="007609FB">
      <w:pPr>
        <w:pStyle w:val="H23G"/>
        <w:rPr>
          <w:lang w:val="fr-CM" w:eastAsia="en-GB"/>
        </w:rPr>
      </w:pPr>
      <w:r>
        <w:rPr>
          <w:lang w:val="fr-CM" w:eastAsia="en-GB"/>
        </w:rPr>
        <w:tab/>
      </w:r>
      <w:r w:rsidR="00EC7229" w:rsidRPr="00F15B2D">
        <w:rPr>
          <w:lang w:val="fr-CM" w:eastAsia="en-GB"/>
        </w:rPr>
        <w:t>D</w:t>
      </w:r>
      <w:r>
        <w:rPr>
          <w:lang w:val="fr-CM" w:eastAsia="en-GB"/>
        </w:rPr>
        <w:t>.</w:t>
      </w:r>
      <w:r>
        <w:rPr>
          <w:lang w:val="fr-CM" w:eastAsia="en-GB"/>
        </w:rPr>
        <w:tab/>
      </w:r>
      <w:r w:rsidR="00EC7229" w:rsidRPr="00F15B2D">
        <w:rPr>
          <w:lang w:val="fr-CM" w:eastAsia="en-GB"/>
        </w:rPr>
        <w:t>Collecte de statistiques sur la discrimination raciale</w:t>
      </w:r>
    </w:p>
    <w:p w14:paraId="42BF01EA" w14:textId="5E312F83" w:rsidR="00EC7229" w:rsidRPr="00F15B2D" w:rsidRDefault="00EC7229" w:rsidP="00F46CD2">
      <w:pPr>
        <w:numPr>
          <w:ilvl w:val="0"/>
          <w:numId w:val="38"/>
        </w:numPr>
        <w:shd w:val="clear" w:color="auto" w:fill="FFFFFF"/>
        <w:spacing w:before="240" w:line="240" w:lineRule="auto"/>
        <w:ind w:left="1134" w:right="1134" w:firstLine="0"/>
        <w:jc w:val="both"/>
        <w:rPr>
          <w:rFonts w:eastAsia="Calibri"/>
          <w:bCs/>
          <w:lang w:val="fr-CM"/>
        </w:rPr>
      </w:pPr>
      <w:r w:rsidRPr="00F15B2D">
        <w:rPr>
          <w:bCs/>
          <w:lang w:val="fr-CM" w:eastAsia="en-GB"/>
        </w:rPr>
        <w:t>Cette recommandation est notée.</w:t>
      </w:r>
    </w:p>
    <w:p w14:paraId="40E11A35" w14:textId="427A5075" w:rsidR="00EC7229" w:rsidRPr="00F15B2D" w:rsidRDefault="007609FB" w:rsidP="007609FB">
      <w:pPr>
        <w:pStyle w:val="H1G"/>
      </w:pPr>
      <w:bookmarkStart w:id="54" w:name="_Toc209182208"/>
      <w:bookmarkStart w:id="55" w:name="_Toc209194144"/>
      <w:bookmarkStart w:id="56" w:name="_Toc209435300"/>
      <w:r>
        <w:tab/>
      </w:r>
      <w:r w:rsidR="00EC7229" w:rsidRPr="00F15B2D">
        <w:t>VI.</w:t>
      </w:r>
      <w:r>
        <w:tab/>
      </w:r>
      <w:r w:rsidR="00EC7229" w:rsidRPr="00F15B2D">
        <w:t>Discours et crimes de haine (Rec. 15)</w:t>
      </w:r>
      <w:bookmarkEnd w:id="54"/>
      <w:bookmarkEnd w:id="55"/>
      <w:bookmarkEnd w:id="56"/>
    </w:p>
    <w:p w14:paraId="0BD8541D" w14:textId="5EDD9A4A" w:rsidR="00EC7229" w:rsidRPr="00F15B2D" w:rsidRDefault="007609FB" w:rsidP="007609FB">
      <w:pPr>
        <w:pStyle w:val="H23G"/>
      </w:pPr>
      <w:r>
        <w:tab/>
      </w:r>
      <w:r w:rsidR="00EC7229" w:rsidRPr="00F15B2D">
        <w:t>A.</w:t>
      </w:r>
      <w:r>
        <w:tab/>
      </w:r>
      <w:r w:rsidR="00EC7229" w:rsidRPr="00F15B2D">
        <w:t>Amendement du Code pénal</w:t>
      </w:r>
    </w:p>
    <w:p w14:paraId="27D8E9C5" w14:textId="7E588417" w:rsidR="00EC7229" w:rsidRPr="00F15B2D" w:rsidRDefault="00EC7229" w:rsidP="007609FB">
      <w:pPr>
        <w:numPr>
          <w:ilvl w:val="0"/>
          <w:numId w:val="38"/>
        </w:numPr>
        <w:shd w:val="clear" w:color="auto" w:fill="FFFFFF"/>
        <w:spacing w:before="240" w:line="240" w:lineRule="auto"/>
        <w:ind w:left="1134" w:right="1134" w:firstLine="0"/>
        <w:jc w:val="both"/>
        <w:rPr>
          <w:rFonts w:eastAsia="Calibri"/>
          <w:b/>
          <w:bCs/>
        </w:rPr>
      </w:pPr>
      <w:r w:rsidRPr="007609FB">
        <w:rPr>
          <w:rFonts w:eastAsia="Calibri"/>
          <w:lang w:val="fr-CM"/>
        </w:rPr>
        <w:t>Voir</w:t>
      </w:r>
      <w:r w:rsidRPr="007609FB">
        <w:rPr>
          <w:rFonts w:eastAsia="Calibri"/>
        </w:rPr>
        <w:t xml:space="preserve"> § 6</w:t>
      </w:r>
      <w:r w:rsidRPr="00F15B2D">
        <w:rPr>
          <w:rFonts w:eastAsia="Calibri"/>
          <w:b/>
          <w:bCs/>
        </w:rPr>
        <w:t>.</w:t>
      </w:r>
    </w:p>
    <w:p w14:paraId="071D04E6" w14:textId="235B24B7" w:rsidR="00EC7229" w:rsidRPr="00F15B2D" w:rsidRDefault="007609FB" w:rsidP="007609FB">
      <w:pPr>
        <w:pStyle w:val="H23G"/>
      </w:pPr>
      <w:r>
        <w:tab/>
      </w:r>
      <w:r w:rsidR="00EC7229" w:rsidRPr="00F15B2D">
        <w:t>B.</w:t>
      </w:r>
      <w:r>
        <w:tab/>
      </w:r>
      <w:r w:rsidR="00EC7229" w:rsidRPr="00F15B2D">
        <w:t>Enquêtes et renforcement des capacités des personnels chargés de l’application de la loi</w:t>
      </w:r>
    </w:p>
    <w:p w14:paraId="645D55BE" w14:textId="51AC5C25" w:rsidR="00EC7229" w:rsidRPr="007609FB" w:rsidRDefault="00EC7229" w:rsidP="007609FB">
      <w:pPr>
        <w:numPr>
          <w:ilvl w:val="0"/>
          <w:numId w:val="38"/>
        </w:numPr>
        <w:shd w:val="clear" w:color="auto" w:fill="FFFFFF"/>
        <w:spacing w:before="240" w:line="240" w:lineRule="auto"/>
        <w:ind w:left="1134" w:right="1134" w:firstLine="0"/>
        <w:jc w:val="both"/>
      </w:pPr>
      <w:r w:rsidRPr="007609FB">
        <w:rPr>
          <w:rFonts w:eastAsia="Calibri"/>
        </w:rPr>
        <w:t>Voir § 36 et 37</w:t>
      </w:r>
      <w:r w:rsidR="007609FB">
        <w:rPr>
          <w:rFonts w:eastAsia="Calibri"/>
        </w:rPr>
        <w:t>.</w:t>
      </w:r>
    </w:p>
    <w:p w14:paraId="6BAF350F" w14:textId="619F287B" w:rsidR="00EC7229" w:rsidRPr="00F15B2D" w:rsidRDefault="007609FB" w:rsidP="007609FB">
      <w:pPr>
        <w:pStyle w:val="H23G"/>
      </w:pPr>
      <w:r>
        <w:tab/>
      </w:r>
      <w:r w:rsidR="00EC7229" w:rsidRPr="00F15B2D">
        <w:t>C.</w:t>
      </w:r>
      <w:r>
        <w:tab/>
      </w:r>
      <w:r w:rsidR="00EC7229" w:rsidRPr="00F15B2D">
        <w:t xml:space="preserve">Mesures de régulation </w:t>
      </w:r>
      <w:bookmarkStart w:id="57" w:name="_Hlk196387857"/>
      <w:r w:rsidR="00EC7229" w:rsidRPr="00F15B2D">
        <w:t>d’Internet et des réseaux sociaux</w:t>
      </w:r>
    </w:p>
    <w:bookmarkEnd w:id="57"/>
    <w:p w14:paraId="22F80CCC" w14:textId="24245E2A" w:rsidR="00EC7229" w:rsidRPr="00F15B2D" w:rsidRDefault="00EC7229" w:rsidP="00F46CD2">
      <w:pPr>
        <w:numPr>
          <w:ilvl w:val="0"/>
          <w:numId w:val="38"/>
        </w:numPr>
        <w:shd w:val="clear" w:color="auto" w:fill="FFFFFF"/>
        <w:spacing w:before="240" w:line="240" w:lineRule="auto"/>
        <w:ind w:left="1134" w:right="1134" w:firstLine="0"/>
        <w:jc w:val="both"/>
        <w:rPr>
          <w:b/>
          <w:bCs/>
        </w:rPr>
      </w:pPr>
      <w:r w:rsidRPr="00F15B2D">
        <w:t xml:space="preserve">Des institutions, à l’instar du CNC et la CNPBM, ont été mises sur pied pour adresser, entre autres, la </w:t>
      </w:r>
      <w:r w:rsidRPr="00F46CD2">
        <w:rPr>
          <w:rFonts w:eastAsia="Times New Roman"/>
          <w:lang w:eastAsia="fr-FR"/>
        </w:rPr>
        <w:t>problématique</w:t>
      </w:r>
      <w:r w:rsidRPr="00F15B2D">
        <w:t xml:space="preserve"> des discours de haine. Des rencontres sont constamment organisées pour évaluer, rendre compte de menace et appeler à la responsabilité des acteurs. Ainsi, le CNC a organisé à Yaoundé le 26 juin 2023 un Séminaire national portant sur les discours de haine sur le thème : « </w:t>
      </w:r>
      <w:r w:rsidRPr="00F15B2D">
        <w:rPr>
          <w:i/>
        </w:rPr>
        <w:t xml:space="preserve">Mécanisme d’éradication du discours de haine dans les </w:t>
      </w:r>
      <w:proofErr w:type="spellStart"/>
      <w:r w:rsidRPr="00F15B2D">
        <w:rPr>
          <w:i/>
        </w:rPr>
        <w:t>medias</w:t>
      </w:r>
      <w:proofErr w:type="spellEnd"/>
      <w:r w:rsidRPr="00F15B2D">
        <w:rPr>
          <w:i/>
        </w:rPr>
        <w:t xml:space="preserve"> au Cameroun </w:t>
      </w:r>
      <w:r w:rsidRPr="00F15B2D">
        <w:t xml:space="preserve">» ; un Forum international les 8 et 9 novembre 2023 à Yaoundé et sur le thème </w:t>
      </w:r>
      <w:r w:rsidRPr="00F15B2D">
        <w:rPr>
          <w:i/>
        </w:rPr>
        <w:t xml:space="preserve">« La problématique de la régulation des </w:t>
      </w:r>
      <w:proofErr w:type="spellStart"/>
      <w:r w:rsidRPr="00F15B2D">
        <w:rPr>
          <w:i/>
        </w:rPr>
        <w:t>médias</w:t>
      </w:r>
      <w:proofErr w:type="spellEnd"/>
      <w:r w:rsidRPr="00F15B2D">
        <w:rPr>
          <w:i/>
        </w:rPr>
        <w:t xml:space="preserve"> sociaux : les modalités d’une collaboration entre les régulateurs africains des </w:t>
      </w:r>
      <w:proofErr w:type="spellStart"/>
      <w:r w:rsidRPr="00F15B2D">
        <w:rPr>
          <w:i/>
        </w:rPr>
        <w:t>médias</w:t>
      </w:r>
      <w:proofErr w:type="spellEnd"/>
      <w:r w:rsidRPr="00F15B2D">
        <w:rPr>
          <w:i/>
        </w:rPr>
        <w:t xml:space="preserve"> et les </w:t>
      </w:r>
      <w:proofErr w:type="spellStart"/>
      <w:r w:rsidRPr="00F15B2D">
        <w:rPr>
          <w:i/>
        </w:rPr>
        <w:t>plateformes</w:t>
      </w:r>
      <w:proofErr w:type="spellEnd"/>
      <w:r w:rsidRPr="00F15B2D">
        <w:rPr>
          <w:i/>
        </w:rPr>
        <w:t xml:space="preserve"> numériques »</w:t>
      </w:r>
      <w:r w:rsidRPr="00F15B2D">
        <w:t xml:space="preserve">.  </w:t>
      </w:r>
      <w:r w:rsidRPr="00F15B2D">
        <w:rPr>
          <w:rFonts w:eastAsia="Times New Roman"/>
          <w:bCs/>
          <w:lang w:eastAsia="fr-FR"/>
        </w:rPr>
        <w:t>Le</w:t>
      </w:r>
      <w:r w:rsidRPr="00F15B2D">
        <w:rPr>
          <w:rFonts w:eastAsia="Times New Roman"/>
          <w:lang w:eastAsia="fr-FR"/>
        </w:rPr>
        <w:t xml:space="preserve"> 30 avril 2024, il a tenu à Yaoundé, une concertation-sensibilisation avec les créateurs de contenus des </w:t>
      </w:r>
      <w:proofErr w:type="spellStart"/>
      <w:r w:rsidRPr="00F15B2D">
        <w:rPr>
          <w:rFonts w:eastAsia="Times New Roman"/>
          <w:lang w:eastAsia="fr-FR"/>
        </w:rPr>
        <w:t>médias</w:t>
      </w:r>
      <w:proofErr w:type="spellEnd"/>
      <w:r w:rsidRPr="00F15B2D">
        <w:rPr>
          <w:rFonts w:eastAsia="Times New Roman"/>
          <w:lang w:eastAsia="fr-FR"/>
        </w:rPr>
        <w:t xml:space="preserve"> sociaux autour du thème : « Les mesures d’encadrement des contenus des </w:t>
      </w:r>
      <w:proofErr w:type="spellStart"/>
      <w:r w:rsidRPr="00F15B2D">
        <w:rPr>
          <w:rFonts w:eastAsia="Times New Roman"/>
          <w:lang w:eastAsia="fr-FR"/>
        </w:rPr>
        <w:t>médias</w:t>
      </w:r>
      <w:proofErr w:type="spellEnd"/>
      <w:r w:rsidRPr="00F15B2D">
        <w:rPr>
          <w:rFonts w:eastAsia="Times New Roman"/>
          <w:lang w:eastAsia="fr-FR"/>
        </w:rPr>
        <w:t xml:space="preserve"> sociaux dans une dynamique d’atténuation des effets de la désinformation et de la mésinformation ». Le 29 août 2024 à Yaoundé, et du 3 au 4 septembre 2024 à Douala, le CNC a sensibilisé les professionnels des </w:t>
      </w:r>
      <w:proofErr w:type="spellStart"/>
      <w:r w:rsidRPr="00F15B2D">
        <w:rPr>
          <w:rFonts w:eastAsia="Times New Roman"/>
          <w:lang w:eastAsia="fr-FR"/>
        </w:rPr>
        <w:t>médias</w:t>
      </w:r>
      <w:proofErr w:type="spellEnd"/>
      <w:r w:rsidRPr="00F15B2D">
        <w:rPr>
          <w:rFonts w:eastAsia="Times New Roman"/>
          <w:lang w:eastAsia="fr-FR"/>
        </w:rPr>
        <w:t xml:space="preserve"> sur diverses questions, notamment la gestion des programmes de débats, le traitement des informations provenant des réseaux sociaux et la responsabilité sociale du journaliste.   (</w:t>
      </w:r>
      <w:r w:rsidRPr="00F15B2D">
        <w:rPr>
          <w:rFonts w:eastAsia="Calibri"/>
          <w:b/>
          <w:bCs/>
        </w:rPr>
        <w:t>Voir 39</w:t>
      </w:r>
      <w:r w:rsidRPr="00F15B2D">
        <w:rPr>
          <w:b/>
          <w:bCs/>
        </w:rPr>
        <w:t>)</w:t>
      </w:r>
    </w:p>
    <w:p w14:paraId="70F5DACE" w14:textId="463540D9" w:rsidR="00EC7229" w:rsidRPr="00F15B2D" w:rsidRDefault="007609FB" w:rsidP="007609FB">
      <w:pPr>
        <w:pStyle w:val="H23G"/>
      </w:pPr>
      <w:r>
        <w:tab/>
      </w:r>
      <w:r w:rsidR="00EC7229" w:rsidRPr="00F15B2D">
        <w:t>D.</w:t>
      </w:r>
      <w:r>
        <w:tab/>
      </w:r>
      <w:r w:rsidR="00EC7229" w:rsidRPr="00F15B2D">
        <w:t>Condamnation publique des discours de haine par les personnalités publiques et politiques</w:t>
      </w:r>
    </w:p>
    <w:p w14:paraId="56715A09" w14:textId="7182CCA0" w:rsidR="00EC7229" w:rsidRPr="00F15B2D" w:rsidRDefault="00EC7229" w:rsidP="00F46CD2">
      <w:pPr>
        <w:numPr>
          <w:ilvl w:val="0"/>
          <w:numId w:val="38"/>
        </w:numPr>
        <w:shd w:val="clear" w:color="auto" w:fill="FFFFFF"/>
        <w:spacing w:before="240" w:line="240" w:lineRule="auto"/>
        <w:ind w:left="1134" w:right="1134" w:firstLine="0"/>
        <w:jc w:val="both"/>
        <w:rPr>
          <w:bCs/>
        </w:rPr>
      </w:pPr>
      <w:r w:rsidRPr="00F15B2D">
        <w:t xml:space="preserve">Les personnalités publiques et politiques condamnent régulièrement les discours de haine. Il en est ainsi du Président de la </w:t>
      </w:r>
      <w:r w:rsidRPr="00F46CD2">
        <w:rPr>
          <w:rFonts w:eastAsia="Times New Roman"/>
          <w:lang w:eastAsia="fr-FR"/>
        </w:rPr>
        <w:t>République</w:t>
      </w:r>
      <w:r w:rsidRPr="00F15B2D">
        <w:t xml:space="preserve"> lors de ses adresses à la Nation ; des Présidents des 2 Chambres du Parlement, le 11 mars 2024, lors de l’ouverture de la session parlementaire ; du Ministre chargé de la jeunesse lors du lancement des manifestations civiles des fêtes de la Jeunesse et de l’Unité ; de la Conférence </w:t>
      </w:r>
      <w:proofErr w:type="spellStart"/>
      <w:r w:rsidRPr="00F15B2D">
        <w:t>Episcopale</w:t>
      </w:r>
      <w:proofErr w:type="spellEnd"/>
      <w:r w:rsidRPr="00F15B2D">
        <w:t xml:space="preserve"> Nationale lors de la 49</w:t>
      </w:r>
      <w:r w:rsidRPr="00F15B2D">
        <w:rPr>
          <w:vertAlign w:val="superscript"/>
        </w:rPr>
        <w:t>ème</w:t>
      </w:r>
      <w:r w:rsidRPr="00F15B2D">
        <w:t xml:space="preserve"> Assemblée plénière, en avril 2024; du Conseil des </w:t>
      </w:r>
      <w:proofErr w:type="spellStart"/>
      <w:r w:rsidRPr="00F15B2D">
        <w:t>Eglises</w:t>
      </w:r>
      <w:proofErr w:type="spellEnd"/>
      <w:r w:rsidRPr="00F15B2D">
        <w:t xml:space="preserve"> Protestantes du Cameroun ; du Conseil des Imams et Dignitaires Musulmans du Cameroun ; et des patrons de presse, en mars 2025, dans un communiqué intitulé « </w:t>
      </w:r>
      <w:r w:rsidRPr="00F15B2D">
        <w:rPr>
          <w:i/>
          <w:iCs/>
        </w:rPr>
        <w:t>face aux discours haineux, la presse doit se ressaisir, l’</w:t>
      </w:r>
      <w:proofErr w:type="spellStart"/>
      <w:r w:rsidRPr="00F15B2D">
        <w:rPr>
          <w:i/>
          <w:iCs/>
        </w:rPr>
        <w:t>Etat</w:t>
      </w:r>
      <w:proofErr w:type="spellEnd"/>
      <w:r w:rsidRPr="00F15B2D">
        <w:rPr>
          <w:i/>
          <w:iCs/>
        </w:rPr>
        <w:t xml:space="preserve"> doit prendre ses responsabilités</w:t>
      </w:r>
      <w:r w:rsidRPr="00F15B2D">
        <w:t xml:space="preserve">». </w:t>
      </w:r>
      <w:r w:rsidRPr="00F15B2D">
        <w:rPr>
          <w:bCs/>
        </w:rPr>
        <w:t xml:space="preserve">En outre, la CDHC a commis un communiqué, le 22 avril 2023, sur des propos haineux tenus par un paneliste au cours d’un débat télévisé. Les mêmes réprobations publiques ont également </w:t>
      </w:r>
      <w:proofErr w:type="gramStart"/>
      <w:r w:rsidRPr="00F15B2D">
        <w:rPr>
          <w:bCs/>
        </w:rPr>
        <w:t>faites</w:t>
      </w:r>
      <w:proofErr w:type="gramEnd"/>
      <w:r w:rsidRPr="00F15B2D">
        <w:rPr>
          <w:bCs/>
        </w:rPr>
        <w:t xml:space="preserve"> par la CNPBM. </w:t>
      </w:r>
    </w:p>
    <w:p w14:paraId="41C9B77D" w14:textId="358EB77D" w:rsidR="00EC7229" w:rsidRPr="00F15B2D" w:rsidRDefault="007609FB" w:rsidP="007609FB">
      <w:pPr>
        <w:pStyle w:val="H1G"/>
      </w:pPr>
      <w:bookmarkStart w:id="58" w:name="_Toc209182209"/>
      <w:bookmarkStart w:id="59" w:name="_Toc209194145"/>
      <w:bookmarkStart w:id="60" w:name="_Toc209435301"/>
      <w:r>
        <w:lastRenderedPageBreak/>
        <w:tab/>
      </w:r>
      <w:r w:rsidR="00EC7229" w:rsidRPr="00F15B2D">
        <w:t>VII.</w:t>
      </w:r>
      <w:r>
        <w:tab/>
      </w:r>
      <w:r w:rsidR="00EC7229" w:rsidRPr="00F15B2D">
        <w:t>Défenseurs des Droits de l’Homme, journalistes et membres des OSC (Rec. 17)</w:t>
      </w:r>
      <w:bookmarkEnd w:id="58"/>
      <w:bookmarkEnd w:id="59"/>
      <w:bookmarkEnd w:id="60"/>
    </w:p>
    <w:p w14:paraId="3FE1B32D" w14:textId="156CB065" w:rsidR="00EC7229" w:rsidRPr="00F15B2D" w:rsidRDefault="007609FB" w:rsidP="007609FB">
      <w:pPr>
        <w:pStyle w:val="H23G"/>
        <w:rPr>
          <w:lang w:eastAsia="fr-FR"/>
        </w:rPr>
      </w:pPr>
      <w:r>
        <w:rPr>
          <w:lang w:eastAsia="fr-FR"/>
        </w:rPr>
        <w:tab/>
      </w:r>
      <w:r w:rsidR="00EC7229" w:rsidRPr="00F15B2D">
        <w:rPr>
          <w:lang w:eastAsia="fr-FR"/>
        </w:rPr>
        <w:t>A.</w:t>
      </w:r>
      <w:r>
        <w:rPr>
          <w:lang w:eastAsia="fr-FR"/>
        </w:rPr>
        <w:tab/>
      </w:r>
      <w:r w:rsidR="00EC7229" w:rsidRPr="00F15B2D">
        <w:rPr>
          <w:lang w:eastAsia="fr-FR"/>
        </w:rPr>
        <w:t>Environnement favorable</w:t>
      </w:r>
    </w:p>
    <w:p w14:paraId="2EF3D390" w14:textId="053971B9"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b/>
          <w:bCs/>
          <w:lang w:eastAsia="fr-FR"/>
        </w:rPr>
      </w:pPr>
      <w:r w:rsidRPr="00F15B2D">
        <w:rPr>
          <w:rFonts w:eastAsia="Times New Roman"/>
          <w:lang w:eastAsia="fr-FR"/>
        </w:rPr>
        <w:t>A la faveur des lois sur les libertés publiques, les défenseurs des Droits de l’Homme, les membres des OSC et les journalistes, y compris ceux qui travaillent sur les droits des minorités ethniques et des peuples autochtones, exercent leurs activités librement, sans crainte de représailles. Par ailleurs, les instruments sur la sûreté et la sécurité leur sont applicables. Il reste impératif qu’iceux agissent dans le cadre de la loi. Cet environnement favorable à l’exercice des libertés publiques explique le foisonnement des organisations de la société civile.</w:t>
      </w:r>
    </w:p>
    <w:p w14:paraId="5B4C4273" w14:textId="1E856EB1" w:rsidR="00EC7229" w:rsidRPr="00F15B2D" w:rsidRDefault="007609FB" w:rsidP="007609FB">
      <w:pPr>
        <w:pStyle w:val="H23G"/>
        <w:rPr>
          <w:lang w:eastAsia="fr-FR"/>
        </w:rPr>
      </w:pPr>
      <w:r>
        <w:rPr>
          <w:lang w:eastAsia="fr-FR"/>
        </w:rPr>
        <w:tab/>
      </w:r>
      <w:r w:rsidR="00EC7229" w:rsidRPr="00F15B2D">
        <w:rPr>
          <w:lang w:eastAsia="fr-FR"/>
        </w:rPr>
        <w:t>B.</w:t>
      </w:r>
      <w:r>
        <w:rPr>
          <w:lang w:eastAsia="fr-FR"/>
        </w:rPr>
        <w:tab/>
      </w:r>
      <w:r w:rsidR="00EC7229" w:rsidRPr="00F15B2D">
        <w:rPr>
          <w:lang w:eastAsia="fr-FR"/>
        </w:rPr>
        <w:t>Enquête en cas d’allégations d’atteinte aux droits </w:t>
      </w:r>
    </w:p>
    <w:p w14:paraId="26D2662D" w14:textId="69A9C3C6"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Les allégations d’atteinte aux droits les défenseurs des Droits de l’Homme et autres donnent lieu à l’ouverture d’une enquête judiciaire et le cas échéant, à des poursuites et des condamnations, assorties de mesures de réparation, sans préjudice d’éventuelles sanctions administratives. Ainsi, à la suite de la mort suspecte du journaliste </w:t>
      </w:r>
      <w:r w:rsidRPr="00F15B2D">
        <w:rPr>
          <w:rFonts w:eastAsia="Times New Roman"/>
          <w:b/>
          <w:bCs/>
          <w:lang w:eastAsia="fr-FR"/>
        </w:rPr>
        <w:t>Martinez ZOGO</w:t>
      </w:r>
      <w:r w:rsidRPr="00F15B2D">
        <w:rPr>
          <w:rFonts w:eastAsia="Times New Roman"/>
          <w:lang w:eastAsia="fr-FR"/>
        </w:rPr>
        <w:t xml:space="preserve"> en 2023, l’enquête judiciaire ouverte a permis d’interpeller des suspects, lesquels, placés en détention, sont en cours de jugement.  </w:t>
      </w:r>
    </w:p>
    <w:p w14:paraId="3F1DCC57" w14:textId="73F6B06C" w:rsidR="00EC7229" w:rsidRPr="00F15B2D" w:rsidRDefault="007609FB" w:rsidP="007609FB">
      <w:pPr>
        <w:pStyle w:val="H1G"/>
      </w:pPr>
      <w:bookmarkStart w:id="61" w:name="_Toc209182210"/>
      <w:bookmarkStart w:id="62" w:name="_Toc209194146"/>
      <w:bookmarkStart w:id="63" w:name="_Toc209435302"/>
      <w:r>
        <w:tab/>
      </w:r>
      <w:r w:rsidR="00EC7229" w:rsidRPr="00F15B2D">
        <w:t>VIII.</w:t>
      </w:r>
      <w:r>
        <w:tab/>
      </w:r>
      <w:r w:rsidR="00EC7229" w:rsidRPr="00F15B2D">
        <w:t>Situation des minorités et des peuples autochtones (Rec. 19)</w:t>
      </w:r>
      <w:bookmarkEnd w:id="61"/>
      <w:bookmarkEnd w:id="62"/>
      <w:bookmarkEnd w:id="63"/>
    </w:p>
    <w:p w14:paraId="0E4C7DAD" w14:textId="34805E06"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Tout en précisant que sa Constitution protège les minorités et les populations autochtones, l’</w:t>
      </w:r>
      <w:proofErr w:type="spellStart"/>
      <w:r w:rsidRPr="00F15B2D">
        <w:rPr>
          <w:rFonts w:eastAsia="Times New Roman"/>
          <w:lang w:eastAsia="fr-FR"/>
        </w:rPr>
        <w:t>Etat</w:t>
      </w:r>
      <w:proofErr w:type="spellEnd"/>
      <w:r w:rsidRPr="00F15B2D">
        <w:rPr>
          <w:rFonts w:eastAsia="Times New Roman"/>
          <w:lang w:eastAsia="fr-FR"/>
        </w:rPr>
        <w:t xml:space="preserve"> du Cameroun prend note de la recommandation sur l’adoption d’un cadre juridique complet à leur profit.  </w:t>
      </w:r>
    </w:p>
    <w:p w14:paraId="27611C09" w14:textId="2D9BFD5F" w:rsidR="00EC7229" w:rsidRPr="00F15B2D" w:rsidRDefault="007E1F50" w:rsidP="007E1F50">
      <w:pPr>
        <w:pStyle w:val="H1G"/>
      </w:pPr>
      <w:bookmarkStart w:id="64" w:name="_Toc209182211"/>
      <w:bookmarkStart w:id="65" w:name="_Toc209194147"/>
      <w:bookmarkStart w:id="66" w:name="_Toc209435303"/>
      <w:r>
        <w:tab/>
      </w:r>
      <w:r w:rsidR="00EC7229" w:rsidRPr="00F15B2D">
        <w:t>IX.</w:t>
      </w:r>
      <w:r>
        <w:tab/>
      </w:r>
      <w:r w:rsidR="00EC7229" w:rsidRPr="00F15B2D">
        <w:t>Mesures particulières pour lutter contre les inégalités dans les Régions du Nord-Ouest et Sud-Ouest. (Rec. 21)</w:t>
      </w:r>
      <w:bookmarkEnd w:id="64"/>
      <w:bookmarkEnd w:id="65"/>
      <w:bookmarkEnd w:id="66"/>
    </w:p>
    <w:p w14:paraId="0971E0F9" w14:textId="0C0A7FE7" w:rsidR="00EC7229" w:rsidRPr="00F15B2D" w:rsidRDefault="007E1F50" w:rsidP="007E1F50">
      <w:pPr>
        <w:pStyle w:val="H23G"/>
      </w:pPr>
      <w:r>
        <w:tab/>
      </w:r>
      <w:r w:rsidR="00EC7229" w:rsidRPr="00F15B2D">
        <w:t>A.</w:t>
      </w:r>
      <w:r>
        <w:tab/>
      </w:r>
      <w:r w:rsidR="00EC7229" w:rsidRPr="00F15B2D">
        <w:t>Réduction des inégalités et le renforcement de l’accès des populations aux services publics et leur représentation dans le secteur public</w:t>
      </w:r>
    </w:p>
    <w:p w14:paraId="03CAAE31" w14:textId="00655F71"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L’adoption de la Loi n°2019/024 du 24 décembre 2019 portant </w:t>
      </w:r>
      <w:r w:rsidRPr="00F15B2D">
        <w:rPr>
          <w:rStyle w:val="Emphasis"/>
          <w:rFonts w:eastAsiaTheme="majorEastAsia"/>
        </w:rPr>
        <w:t>Code général</w:t>
      </w:r>
      <w:r w:rsidRPr="00F15B2D">
        <w:t xml:space="preserve"> des CTD a permis de prendre en compte la spécificité des Régions du Nord-Ouest et du Sud-Ouest par l’octroi d’un statut particulier auxdites Régions avec, entre autres, l’institution des </w:t>
      </w:r>
      <w:r w:rsidRPr="00F15B2D">
        <w:rPr>
          <w:i/>
          <w:iCs/>
        </w:rPr>
        <w:t xml:space="preserve">Public Independent </w:t>
      </w:r>
      <w:proofErr w:type="spellStart"/>
      <w:r w:rsidRPr="00F15B2D">
        <w:rPr>
          <w:i/>
          <w:iCs/>
        </w:rPr>
        <w:t>Counciliators</w:t>
      </w:r>
      <w:proofErr w:type="spellEnd"/>
      <w:r w:rsidRPr="00F15B2D">
        <w:rPr>
          <w:rStyle w:val="FootnoteReference"/>
          <w:sz w:val="24"/>
        </w:rPr>
        <w:footnoteReference w:id="21"/>
      </w:r>
      <w:r w:rsidRPr="00F15B2D">
        <w:rPr>
          <w:i/>
          <w:iCs/>
        </w:rPr>
        <w:t xml:space="preserve"> </w:t>
      </w:r>
      <w:r w:rsidRPr="00F15B2D">
        <w:t xml:space="preserve">chargés, notamment de régler les litiges entre les usagers et l'administration régionale et communale, et de la </w:t>
      </w:r>
      <w:r w:rsidRPr="00F15B2D">
        <w:rPr>
          <w:i/>
          <w:iCs/>
        </w:rPr>
        <w:t>House of Chiefs.</w:t>
      </w:r>
      <w:r w:rsidRPr="00F15B2D">
        <w:t xml:space="preserve"> Cette dernière émet un avis conforme sur les questions liées au statut de la chefferie traditionnelle, à la gestion et la conservation des sites, aux monuments et vestiges historiques, à l’organisation des manifestations culturelles et traditionnelles dans la région et à la collecte et la traduction des éléments de la tradition orale, etc. </w:t>
      </w:r>
    </w:p>
    <w:p w14:paraId="5AA28691" w14:textId="5E3EDD85" w:rsidR="00EC7229" w:rsidRPr="00F15B2D" w:rsidRDefault="00EC7229" w:rsidP="00F46CD2">
      <w:pPr>
        <w:numPr>
          <w:ilvl w:val="0"/>
          <w:numId w:val="38"/>
        </w:numPr>
        <w:shd w:val="clear" w:color="auto" w:fill="FFFFFF"/>
        <w:spacing w:before="240" w:line="240" w:lineRule="auto"/>
        <w:ind w:left="1134" w:right="1134" w:firstLine="0"/>
        <w:jc w:val="both"/>
      </w:pPr>
      <w:r w:rsidRPr="00F15B2D">
        <w:rPr>
          <w:bCs/>
        </w:rPr>
        <w:t>Le 17 septembre 2024 à Bamenda, le Comité de pilotage (COPIL) du Plan Présidentiel pour la Reconstruction et le Développement des Régions du</w:t>
      </w:r>
      <w:r w:rsidRPr="00F15B2D">
        <w:t xml:space="preserve"> Nord-Ouest et du Sud-Ouest, mis en place par Arrêté n° 031/CAB/PM du 3 avril 2020</w:t>
      </w:r>
      <w:r w:rsidR="00B51BF4">
        <w:rPr>
          <w:rStyle w:val="FootnoteReference"/>
        </w:rPr>
        <w:footnoteReference w:id="22"/>
      </w:r>
      <w:r w:rsidRPr="00F15B2D">
        <w:t>, a dressé le bilan des 4 ans de mise en œuvre. Il en est ressorti que 258 projets ont été réalisés. A titre d’illustration, pour l’exercice 2024, en raison de la perte ou destruction des documents officiels, des appuis spécifiques ont été octroyés en faveur de la reconstitution</w:t>
      </w:r>
      <w:r w:rsidRPr="00F15B2D">
        <w:rPr>
          <w:vertAlign w:val="superscript"/>
        </w:rPr>
        <w:footnoteReference w:id="23"/>
      </w:r>
      <w:r w:rsidRPr="00F15B2D">
        <w:t xml:space="preserve"> desdits documents dans plusieurs Communes du Nord-Ouest et du Sud-</w:t>
      </w:r>
      <w:r w:rsidRPr="00F15B2D">
        <w:lastRenderedPageBreak/>
        <w:t xml:space="preserve">Ouest à 800 personnes (NO : 400, </w:t>
      </w:r>
      <w:proofErr w:type="gramStart"/>
      <w:r w:rsidRPr="00F15B2D">
        <w:t>SO:</w:t>
      </w:r>
      <w:proofErr w:type="gramEnd"/>
      <w:r w:rsidRPr="00F15B2D">
        <w:t xml:space="preserve"> 400) ; 57 </w:t>
      </w:r>
      <w:proofErr w:type="spellStart"/>
      <w:r w:rsidRPr="00F15B2D">
        <w:t>évènements</w:t>
      </w:r>
      <w:proofErr w:type="spellEnd"/>
      <w:r w:rsidRPr="00F15B2D">
        <w:t xml:space="preserve"> culturels (NO : 49, </w:t>
      </w:r>
      <w:proofErr w:type="gramStart"/>
      <w:r w:rsidRPr="00F15B2D">
        <w:t>SO:</w:t>
      </w:r>
      <w:proofErr w:type="gramEnd"/>
      <w:r w:rsidRPr="00F15B2D">
        <w:t xml:space="preserve"> 8) et 6 ateliers ont été organisés pour la prévention des crises et une habitation paisible (</w:t>
      </w:r>
      <w:proofErr w:type="gramStart"/>
      <w:r w:rsidRPr="00F15B2D">
        <w:t>NO:</w:t>
      </w:r>
      <w:proofErr w:type="gramEnd"/>
      <w:r w:rsidRPr="00F15B2D">
        <w:t xml:space="preserve"> 1, </w:t>
      </w:r>
      <w:proofErr w:type="gramStart"/>
      <w:r w:rsidRPr="00F15B2D">
        <w:t>SO:</w:t>
      </w:r>
      <w:proofErr w:type="gramEnd"/>
      <w:r w:rsidRPr="00F15B2D">
        <w:t xml:space="preserve"> 5) ; et 3 cellules d’alerte ont été établies (</w:t>
      </w:r>
      <w:proofErr w:type="gramStart"/>
      <w:r w:rsidRPr="00F15B2D">
        <w:t>NO:</w:t>
      </w:r>
      <w:proofErr w:type="gramEnd"/>
      <w:r w:rsidRPr="00F15B2D">
        <w:t xml:space="preserve"> 0, </w:t>
      </w:r>
      <w:proofErr w:type="gramStart"/>
      <w:r w:rsidRPr="00F15B2D">
        <w:t>SO:</w:t>
      </w:r>
      <w:proofErr w:type="gramEnd"/>
      <w:r w:rsidRPr="00F15B2D">
        <w:t xml:space="preserve"> 3). En outre, 15 centres communautaires pour femmes (</w:t>
      </w:r>
      <w:proofErr w:type="gramStart"/>
      <w:r w:rsidRPr="00F15B2D">
        <w:t>NO:</w:t>
      </w:r>
      <w:proofErr w:type="gramEnd"/>
      <w:r w:rsidRPr="00F15B2D">
        <w:t xml:space="preserve"> 4, </w:t>
      </w:r>
      <w:proofErr w:type="gramStart"/>
      <w:r w:rsidRPr="00F15B2D">
        <w:t>SO:</w:t>
      </w:r>
      <w:proofErr w:type="gramEnd"/>
      <w:r w:rsidRPr="00F15B2D">
        <w:t xml:space="preserve"> 11) ; 72 écoles (</w:t>
      </w:r>
      <w:proofErr w:type="gramStart"/>
      <w:r w:rsidRPr="00F15B2D">
        <w:t>NO:</w:t>
      </w:r>
      <w:proofErr w:type="gramEnd"/>
      <w:r w:rsidRPr="00F15B2D">
        <w:t xml:space="preserve"> 50, </w:t>
      </w:r>
      <w:proofErr w:type="gramStart"/>
      <w:r w:rsidRPr="00F15B2D">
        <w:t>SO:</w:t>
      </w:r>
      <w:proofErr w:type="gramEnd"/>
      <w:r w:rsidRPr="00F15B2D">
        <w:t xml:space="preserve"> 22) ; 25 centres de santé (</w:t>
      </w:r>
      <w:proofErr w:type="gramStart"/>
      <w:r w:rsidRPr="00F15B2D">
        <w:t>NO:</w:t>
      </w:r>
      <w:proofErr w:type="gramEnd"/>
      <w:r w:rsidRPr="00F15B2D">
        <w:t xml:space="preserve"> 7, </w:t>
      </w:r>
      <w:proofErr w:type="gramStart"/>
      <w:r w:rsidRPr="00F15B2D">
        <w:t>SO:</w:t>
      </w:r>
      <w:proofErr w:type="gramEnd"/>
      <w:r w:rsidRPr="00F15B2D">
        <w:t xml:space="preserve"> 18) ; 37 points d’eau (</w:t>
      </w:r>
      <w:proofErr w:type="gramStart"/>
      <w:r w:rsidRPr="00F15B2D">
        <w:t>NO:</w:t>
      </w:r>
      <w:proofErr w:type="gramEnd"/>
      <w:r w:rsidRPr="00F15B2D">
        <w:t xml:space="preserve"> 8, </w:t>
      </w:r>
      <w:proofErr w:type="gramStart"/>
      <w:r w:rsidRPr="00F15B2D">
        <w:t>SO:</w:t>
      </w:r>
      <w:proofErr w:type="gramEnd"/>
      <w:r w:rsidRPr="00F15B2D">
        <w:t xml:space="preserve"> 29) ; ainsi que 770 hectares de champ ont été réhabilités (</w:t>
      </w:r>
      <w:proofErr w:type="gramStart"/>
      <w:r w:rsidRPr="00F15B2D">
        <w:t>NO:</w:t>
      </w:r>
      <w:proofErr w:type="gramEnd"/>
      <w:r w:rsidRPr="00F15B2D">
        <w:t xml:space="preserve"> 770) ont été </w:t>
      </w:r>
      <w:proofErr w:type="gramStart"/>
      <w:r w:rsidRPr="00F15B2D">
        <w:t>réhabilités;</w:t>
      </w:r>
      <w:proofErr w:type="gramEnd"/>
      <w:r w:rsidRPr="00F15B2D">
        <w:t xml:space="preserve"> 4 ponts ont été construits (</w:t>
      </w:r>
      <w:proofErr w:type="gramStart"/>
      <w:r w:rsidRPr="00F15B2D">
        <w:t>NO:</w:t>
      </w:r>
      <w:proofErr w:type="gramEnd"/>
      <w:r w:rsidRPr="00F15B2D">
        <w:t xml:space="preserve">4). En outre, 2261 fermiers ont bénéficié de divers équipements et autres </w:t>
      </w:r>
      <w:proofErr w:type="gramStart"/>
      <w:r w:rsidRPr="00F15B2D">
        <w:t>matériels;</w:t>
      </w:r>
      <w:proofErr w:type="gramEnd"/>
      <w:r w:rsidRPr="00F15B2D">
        <w:t xml:space="preserve"> 31 unités de production ont été mises sur pied (</w:t>
      </w:r>
      <w:proofErr w:type="gramStart"/>
      <w:r w:rsidRPr="00F15B2D">
        <w:t>NO:</w:t>
      </w:r>
      <w:proofErr w:type="gramEnd"/>
      <w:r w:rsidRPr="00F15B2D">
        <w:t xml:space="preserve"> 21, </w:t>
      </w:r>
      <w:proofErr w:type="gramStart"/>
      <w:r w:rsidRPr="00F15B2D">
        <w:t>SO:</w:t>
      </w:r>
      <w:proofErr w:type="gramEnd"/>
      <w:r w:rsidRPr="00F15B2D">
        <w:t xml:space="preserve"> 10) ; 7 marchés ont été construits (</w:t>
      </w:r>
      <w:proofErr w:type="gramStart"/>
      <w:r w:rsidRPr="00F15B2D">
        <w:t>NO:</w:t>
      </w:r>
      <w:proofErr w:type="gramEnd"/>
      <w:r w:rsidRPr="00F15B2D">
        <w:t xml:space="preserve"> 1, </w:t>
      </w:r>
      <w:proofErr w:type="gramStart"/>
      <w:r w:rsidRPr="00F15B2D">
        <w:t>SO:</w:t>
      </w:r>
      <w:proofErr w:type="gramEnd"/>
      <w:r w:rsidRPr="00F15B2D">
        <w:t xml:space="preserve"> 6) ; 71 groupes d’</w:t>
      </w:r>
      <w:proofErr w:type="spellStart"/>
      <w:r w:rsidRPr="00F15B2D">
        <w:t>agropasteurs</w:t>
      </w:r>
      <w:proofErr w:type="spellEnd"/>
      <w:r w:rsidRPr="00F15B2D">
        <w:t xml:space="preserve"> ont reçu divers appuis (</w:t>
      </w:r>
      <w:proofErr w:type="gramStart"/>
      <w:r w:rsidRPr="00F15B2D">
        <w:t>NO:</w:t>
      </w:r>
      <w:proofErr w:type="gramEnd"/>
      <w:r w:rsidRPr="00F15B2D">
        <w:t xml:space="preserve"> 45, </w:t>
      </w:r>
      <w:proofErr w:type="gramStart"/>
      <w:r w:rsidRPr="00F15B2D">
        <w:t>SO:</w:t>
      </w:r>
      <w:proofErr w:type="gramEnd"/>
      <w:r w:rsidRPr="00F15B2D">
        <w:t xml:space="preserve"> 26) tandis que 241 jeunes </w:t>
      </w:r>
      <w:proofErr w:type="spellStart"/>
      <w:r w:rsidRPr="00F15B2D">
        <w:rPr>
          <w:i/>
          <w:iCs/>
        </w:rPr>
        <w:t>starts-up</w:t>
      </w:r>
      <w:proofErr w:type="spellEnd"/>
      <w:r w:rsidRPr="00F15B2D">
        <w:t xml:space="preserve"> ont été établies (</w:t>
      </w:r>
      <w:proofErr w:type="gramStart"/>
      <w:r w:rsidRPr="00F15B2D">
        <w:t>NO:</w:t>
      </w:r>
      <w:proofErr w:type="gramEnd"/>
      <w:r w:rsidRPr="00F15B2D">
        <w:t xml:space="preserve"> 170, </w:t>
      </w:r>
      <w:proofErr w:type="gramStart"/>
      <w:r w:rsidRPr="00F15B2D">
        <w:t>SO:</w:t>
      </w:r>
      <w:proofErr w:type="gramEnd"/>
      <w:r w:rsidRPr="00F15B2D">
        <w:t xml:space="preserve"> 71).</w:t>
      </w:r>
    </w:p>
    <w:p w14:paraId="39CCCCA4" w14:textId="53B3AA55" w:rsidR="00EC7229" w:rsidRPr="00B51BF4" w:rsidRDefault="00EC7229" w:rsidP="00F46CD2">
      <w:pPr>
        <w:numPr>
          <w:ilvl w:val="0"/>
          <w:numId w:val="38"/>
        </w:numPr>
        <w:shd w:val="clear" w:color="auto" w:fill="FFFFFF"/>
        <w:spacing w:before="240" w:line="240" w:lineRule="auto"/>
        <w:ind w:left="1134" w:right="1134" w:firstLine="0"/>
        <w:jc w:val="both"/>
      </w:pPr>
      <w:r w:rsidRPr="00F15B2D">
        <w:t xml:space="preserve">S’agissant de l’accès </w:t>
      </w:r>
      <w:r w:rsidRPr="00F46CD2">
        <w:rPr>
          <w:rFonts w:eastAsia="Times New Roman"/>
          <w:lang w:eastAsia="fr-FR"/>
        </w:rPr>
        <w:t>aux</w:t>
      </w:r>
      <w:r w:rsidRPr="00F15B2D">
        <w:t xml:space="preserve"> services publics, des recrutements spéciaux ont été organisés afin de renforcer les effectifs d’expression anglaise (</w:t>
      </w:r>
      <w:r w:rsidRPr="00B51BF4">
        <w:t>voir § 18), notamment dans le secteur de la justice où les premières promotions de magistrats et greffiers, issus des concours spéciaux pour les cours d’appel du Nord-Ouest et du Sud-Ouest, sont en activité depuis 2020. Il importe aussi de relever les mesures prises pour mitiger les disparités liées au lieu d’installation et pour consolider la décentralisation (voir § 14 et 15)</w:t>
      </w:r>
    </w:p>
    <w:p w14:paraId="4F5F9321" w14:textId="5BCE8295" w:rsidR="00EC7229" w:rsidRPr="00F15B2D" w:rsidRDefault="00B51BF4" w:rsidP="00B51BF4">
      <w:pPr>
        <w:pStyle w:val="H23G"/>
      </w:pPr>
      <w:r>
        <w:tab/>
      </w:r>
      <w:r w:rsidR="00EC7229" w:rsidRPr="00F15B2D">
        <w:t>B</w:t>
      </w:r>
      <w:r w:rsidR="00D55E7C">
        <w:t>.</w:t>
      </w:r>
      <w:r w:rsidR="00D55E7C">
        <w:tab/>
      </w:r>
      <w:r w:rsidR="00EC7229" w:rsidRPr="00F15B2D">
        <w:t xml:space="preserve">Allocations à la CNPBM des ressources suffisantes (humaines et financières), et informations détaillées sur ses activités </w:t>
      </w:r>
    </w:p>
    <w:p w14:paraId="2179A19F" w14:textId="3560DA2D" w:rsidR="00EC7229" w:rsidRPr="00D55E7C" w:rsidRDefault="00EC7229" w:rsidP="00F46CD2">
      <w:pPr>
        <w:numPr>
          <w:ilvl w:val="0"/>
          <w:numId w:val="38"/>
        </w:numPr>
        <w:shd w:val="clear" w:color="auto" w:fill="FFFFFF"/>
        <w:spacing w:before="240" w:line="240" w:lineRule="auto"/>
        <w:ind w:left="1134" w:right="1134" w:firstLine="0"/>
        <w:jc w:val="both"/>
      </w:pPr>
      <w:r w:rsidRPr="00F15B2D">
        <w:t>Le document ci-</w:t>
      </w:r>
      <w:r w:rsidRPr="00D55E7C">
        <w:t>joint (</w:t>
      </w:r>
      <w:r w:rsidRPr="00D55E7C">
        <w:rPr>
          <w:rFonts w:eastAsia="Times New Roman"/>
          <w:lang w:eastAsia="fr-FR"/>
        </w:rPr>
        <w:t>annexe</w:t>
      </w:r>
      <w:r w:rsidRPr="00D55E7C">
        <w:t xml:space="preserve"> 1) contient des informations détaillées sur les activités de la commission. Pour ce qui est des ressources financières, (voir § 11). S’agissant des ressources humaines, les effectifs de cette commission de 85 en 2019 à 107 en 2024.</w:t>
      </w:r>
    </w:p>
    <w:p w14:paraId="1A45215B" w14:textId="7B9AE998" w:rsidR="00EC7229" w:rsidRPr="00F15B2D" w:rsidRDefault="00D55E7C" w:rsidP="00D55E7C">
      <w:pPr>
        <w:pStyle w:val="H23G"/>
      </w:pPr>
      <w:r>
        <w:tab/>
      </w:r>
      <w:r w:rsidR="00EC7229" w:rsidRPr="00F15B2D">
        <w:t>C</w:t>
      </w:r>
      <w:r>
        <w:t>.</w:t>
      </w:r>
      <w:r>
        <w:tab/>
      </w:r>
      <w:proofErr w:type="spellStart"/>
      <w:r w:rsidR="00EC7229" w:rsidRPr="00F15B2D">
        <w:t>Evaluations</w:t>
      </w:r>
      <w:proofErr w:type="spellEnd"/>
      <w:r w:rsidR="00EC7229" w:rsidRPr="00F15B2D">
        <w:t xml:space="preserve"> des mesures prises pour lutter contre les inégalités </w:t>
      </w:r>
    </w:p>
    <w:p w14:paraId="27340842" w14:textId="225B367F" w:rsidR="00EC7229" w:rsidRPr="00F15B2D" w:rsidRDefault="00EC7229" w:rsidP="00F46CD2">
      <w:pPr>
        <w:numPr>
          <w:ilvl w:val="0"/>
          <w:numId w:val="38"/>
        </w:numPr>
        <w:shd w:val="clear" w:color="auto" w:fill="FFFFFF"/>
        <w:spacing w:before="240" w:line="240" w:lineRule="auto"/>
        <w:ind w:left="1134" w:right="1134" w:firstLine="0"/>
        <w:jc w:val="both"/>
        <w:rPr>
          <w:bCs/>
        </w:rPr>
      </w:pPr>
      <w:r w:rsidRPr="00F15B2D">
        <w:rPr>
          <w:bCs/>
        </w:rPr>
        <w:t xml:space="preserve">Depuis sa création, la CNPBM effectue des descentes sur le terrain et des missions en vue d’évaluer l’implémentation de la pratique du bilinguisme et la réalité du vivre ensemble </w:t>
      </w:r>
      <w:r w:rsidRPr="00F15B2D">
        <w:rPr>
          <w:b/>
        </w:rPr>
        <w:t>(voir § 12,</w:t>
      </w:r>
      <w:r w:rsidRPr="00F15B2D">
        <w:rPr>
          <w:bCs/>
        </w:rPr>
        <w:t xml:space="preserve">). A ces activités, sont généralement associés les OSC faisant partie de sa </w:t>
      </w:r>
      <w:proofErr w:type="spellStart"/>
      <w:r w:rsidRPr="00F15B2D">
        <w:rPr>
          <w:bCs/>
        </w:rPr>
        <w:t>plateforme</w:t>
      </w:r>
      <w:proofErr w:type="spellEnd"/>
      <w:r w:rsidRPr="00F15B2D">
        <w:rPr>
          <w:rStyle w:val="FootnoteReference"/>
          <w:bCs/>
          <w:sz w:val="24"/>
        </w:rPr>
        <w:footnoteReference w:id="24"/>
      </w:r>
      <w:r w:rsidRPr="00F15B2D">
        <w:rPr>
          <w:bCs/>
        </w:rPr>
        <w:t xml:space="preserve"> et les représentants des communautés.</w:t>
      </w:r>
    </w:p>
    <w:p w14:paraId="7BAC7B31" w14:textId="417FF82D" w:rsidR="00EC7229" w:rsidRPr="00F15B2D" w:rsidRDefault="00D55E7C" w:rsidP="00D55E7C">
      <w:pPr>
        <w:pStyle w:val="H1G"/>
      </w:pPr>
      <w:bookmarkStart w:id="67" w:name="_Toc209182212"/>
      <w:bookmarkStart w:id="68" w:name="_Toc209194148"/>
      <w:bookmarkStart w:id="69" w:name="_Toc209435304"/>
      <w:r>
        <w:tab/>
      </w:r>
      <w:r w:rsidR="00EC7229" w:rsidRPr="00F15B2D">
        <w:t>X.</w:t>
      </w:r>
      <w:r>
        <w:tab/>
      </w:r>
      <w:r w:rsidR="00EC7229" w:rsidRPr="00F15B2D">
        <w:t xml:space="preserve">Situation des groupes ethniques, ethnolinguistiques et </w:t>
      </w:r>
      <w:proofErr w:type="spellStart"/>
      <w:r w:rsidR="00EC7229" w:rsidRPr="00F15B2D">
        <w:t>ethno-religieux</w:t>
      </w:r>
      <w:proofErr w:type="spellEnd"/>
      <w:r w:rsidR="00EC7229" w:rsidRPr="00F15B2D">
        <w:t xml:space="preserve"> et des peuples autochtones dans le contexte de crise et de situation sécuritaires (Rec. 23)</w:t>
      </w:r>
      <w:bookmarkEnd w:id="67"/>
      <w:bookmarkEnd w:id="68"/>
      <w:bookmarkEnd w:id="69"/>
    </w:p>
    <w:p w14:paraId="29ABC67E" w14:textId="06D87BEC" w:rsidR="00EC7229" w:rsidRPr="00F15B2D" w:rsidRDefault="00D55E7C" w:rsidP="00D55E7C">
      <w:pPr>
        <w:pStyle w:val="H23G"/>
      </w:pPr>
      <w:r>
        <w:tab/>
      </w:r>
      <w:r w:rsidR="00EC7229" w:rsidRPr="00F15B2D">
        <w:t>A</w:t>
      </w:r>
      <w:r>
        <w:t>.</w:t>
      </w:r>
      <w:r>
        <w:tab/>
      </w:r>
      <w:r w:rsidR="00EC7229" w:rsidRPr="00F15B2D">
        <w:t>Dialogue inclusif</w:t>
      </w:r>
    </w:p>
    <w:p w14:paraId="6C9F730B" w14:textId="3878A801" w:rsidR="00EC7229" w:rsidRPr="00F15B2D" w:rsidRDefault="00EC7229" w:rsidP="00F46CD2">
      <w:pPr>
        <w:numPr>
          <w:ilvl w:val="0"/>
          <w:numId w:val="38"/>
        </w:numPr>
        <w:shd w:val="clear" w:color="auto" w:fill="FFFFFF"/>
        <w:spacing w:before="240" w:line="240" w:lineRule="auto"/>
        <w:ind w:left="1134" w:right="1134" w:firstLine="0"/>
        <w:jc w:val="both"/>
      </w:pPr>
      <w:r w:rsidRPr="00F15B2D">
        <w:t>Dans un message à la Nation le 10 septembre 2019, le Chef de l’</w:t>
      </w:r>
      <w:proofErr w:type="spellStart"/>
      <w:r w:rsidRPr="00F15B2D">
        <w:t>Etat</w:t>
      </w:r>
      <w:proofErr w:type="spellEnd"/>
      <w:r w:rsidRPr="00F15B2D">
        <w:t xml:space="preserve"> a annoncé un Grand Dialogue National. Ce dialogue visait à répondre aux préoccupations des populations </w:t>
      </w:r>
      <w:proofErr w:type="gramStart"/>
      <w:r w:rsidRPr="00F15B2D">
        <w:t>camerounaises,  parmi</w:t>
      </w:r>
      <w:proofErr w:type="gramEnd"/>
      <w:r w:rsidRPr="00F15B2D">
        <w:t xml:space="preserve"> lesquelles celles des Régions du Nord-Ouest, Sud-Ouest et de l’Extrême-Nord. Les représentants de toutes les couches des populations, de la diaspora et des OSC y ont pris part, de même que la CDHC. A l’issue, des recommandations ont été formulées et des instances de suivi mises en place.  </w:t>
      </w:r>
    </w:p>
    <w:p w14:paraId="687C8235" w14:textId="70C00289" w:rsidR="00EC7229" w:rsidRPr="00F15B2D" w:rsidRDefault="00D55E7C" w:rsidP="00D55E7C">
      <w:pPr>
        <w:pStyle w:val="H23G"/>
      </w:pPr>
      <w:r>
        <w:tab/>
      </w:r>
      <w:r w:rsidR="00EC7229" w:rsidRPr="00F15B2D">
        <w:t>B</w:t>
      </w:r>
      <w:r>
        <w:t>.</w:t>
      </w:r>
      <w:r>
        <w:tab/>
      </w:r>
      <w:r w:rsidR="00EC7229" w:rsidRPr="00F15B2D">
        <w:t xml:space="preserve">Lutte contre l’impunité </w:t>
      </w:r>
    </w:p>
    <w:p w14:paraId="7FF727C9" w14:textId="53E0F3CA"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 xml:space="preserve">Des poursuites disciplinaires et pénales ont été engagées sur les cas d’allégations de violation du droit à la vie, à l’intégrité physique, et des sanctions prononcées contre les personnels en charge de l’application de la loi lorsque les faits étaient avérés. Ainsi, au cours de la période de référence, 213 sanctions administratives ont été prononcées contre les personnels de la Police. </w:t>
      </w:r>
    </w:p>
    <w:p w14:paraId="6AED15F8" w14:textId="09B3A37E"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lastRenderedPageBreak/>
        <w:t xml:space="preserve">S’agissant de la réponse pénale, des allégations d’atteintes aux droits ont donné lieu à des enquêtes et le cas échéant à des poursuites. A titre d’illustration, </w:t>
      </w:r>
      <w:r w:rsidRPr="00F15B2D">
        <w:rPr>
          <w:rFonts w:eastAsia="Times New Roman"/>
          <w:bCs/>
          <w:lang w:val="fr-CM" w:eastAsia="fr-FR"/>
        </w:rPr>
        <w:t xml:space="preserve">le Tribunal Militaire de Yaoundé a vidé sa saisine dans la procédure suivie contre le Lieutenant de Vaisseau </w:t>
      </w:r>
      <w:r w:rsidRPr="00F15B2D">
        <w:rPr>
          <w:rFonts w:eastAsia="Times New Roman"/>
          <w:b/>
          <w:bCs/>
          <w:lang w:val="fr-CM" w:eastAsia="fr-FR"/>
        </w:rPr>
        <w:t>F.E</w:t>
      </w:r>
      <w:r w:rsidRPr="00F15B2D">
        <w:rPr>
          <w:rFonts w:eastAsia="Times New Roman"/>
          <w:bCs/>
          <w:lang w:val="fr-CM" w:eastAsia="fr-FR"/>
        </w:rPr>
        <w:t xml:space="preserve">., le Sergent </w:t>
      </w:r>
      <w:r w:rsidRPr="00F15B2D">
        <w:rPr>
          <w:rFonts w:eastAsia="Times New Roman"/>
          <w:b/>
          <w:bCs/>
          <w:lang w:val="fr-CM" w:eastAsia="fr-FR"/>
        </w:rPr>
        <w:t>B.C.H.</w:t>
      </w:r>
      <w:r w:rsidRPr="00F15B2D">
        <w:rPr>
          <w:rFonts w:eastAsia="Times New Roman"/>
          <w:bCs/>
          <w:lang w:val="fr-CM" w:eastAsia="fr-FR"/>
        </w:rPr>
        <w:t xml:space="preserve"> et les Soldats de 1</w:t>
      </w:r>
      <w:r w:rsidRPr="00F15B2D">
        <w:rPr>
          <w:rFonts w:eastAsia="Times New Roman"/>
          <w:bCs/>
          <w:vertAlign w:val="superscript"/>
          <w:lang w:val="fr-CM" w:eastAsia="fr-FR"/>
        </w:rPr>
        <w:t>ère</w:t>
      </w:r>
      <w:r w:rsidRPr="00F15B2D">
        <w:rPr>
          <w:rFonts w:eastAsia="Times New Roman"/>
          <w:bCs/>
          <w:lang w:val="fr-CM" w:eastAsia="fr-FR"/>
        </w:rPr>
        <w:t xml:space="preserve"> classe </w:t>
      </w:r>
      <w:r w:rsidRPr="00F15B2D">
        <w:rPr>
          <w:rFonts w:eastAsia="Times New Roman"/>
          <w:b/>
          <w:bCs/>
          <w:lang w:val="fr-CM" w:eastAsia="fr-FR"/>
        </w:rPr>
        <w:t>D.G.B.</w:t>
      </w:r>
      <w:r w:rsidRPr="00F15B2D">
        <w:rPr>
          <w:rFonts w:eastAsia="Times New Roman"/>
          <w:bCs/>
          <w:lang w:val="fr-CM" w:eastAsia="fr-FR"/>
        </w:rPr>
        <w:t xml:space="preserve">, </w:t>
      </w:r>
      <w:r w:rsidRPr="00F15B2D">
        <w:rPr>
          <w:rFonts w:eastAsia="Times New Roman"/>
          <w:b/>
          <w:bCs/>
          <w:lang w:val="fr-CM" w:eastAsia="fr-FR"/>
        </w:rPr>
        <w:t>T.C.J.B.</w:t>
      </w:r>
      <w:r w:rsidRPr="00F15B2D">
        <w:rPr>
          <w:rFonts w:eastAsia="Times New Roman"/>
          <w:bCs/>
          <w:lang w:val="fr-CM" w:eastAsia="fr-FR"/>
        </w:rPr>
        <w:t xml:space="preserve"> et </w:t>
      </w:r>
      <w:r w:rsidRPr="00F15B2D">
        <w:rPr>
          <w:rFonts w:eastAsia="Times New Roman"/>
          <w:b/>
          <w:bCs/>
          <w:lang w:val="fr-CM" w:eastAsia="fr-FR"/>
        </w:rPr>
        <w:t>N.F.G.L</w:t>
      </w:r>
      <w:r w:rsidRPr="00F15B2D">
        <w:rPr>
          <w:rFonts w:eastAsia="Times New Roman"/>
          <w:bCs/>
          <w:lang w:val="fr-CM" w:eastAsia="fr-FR"/>
        </w:rPr>
        <w:t xml:space="preserve">., qui étaient impliqués dans l’assassinat de 2 femmes et 2 enfants à </w:t>
      </w:r>
      <w:proofErr w:type="spellStart"/>
      <w:r w:rsidRPr="00F15B2D">
        <w:rPr>
          <w:rFonts w:eastAsia="Times New Roman"/>
          <w:bCs/>
          <w:lang w:val="fr-CM" w:eastAsia="fr-FR"/>
        </w:rPr>
        <w:t>Zeleved</w:t>
      </w:r>
      <w:proofErr w:type="spellEnd"/>
      <w:r w:rsidRPr="00F15B2D">
        <w:rPr>
          <w:rFonts w:eastAsia="Times New Roman"/>
          <w:bCs/>
          <w:lang w:val="fr-CM" w:eastAsia="fr-FR"/>
        </w:rPr>
        <w:t xml:space="preserve"> courant 2015. Les 4 premiers cités ont été condamnés à 10 ans d’emprisonnement pour les faits de violation de consigne, assassinat et complicité, tandis que </w:t>
      </w:r>
      <w:proofErr w:type="gramStart"/>
      <w:r w:rsidRPr="00F15B2D">
        <w:rPr>
          <w:rFonts w:eastAsia="Times New Roman"/>
          <w:bCs/>
          <w:lang w:val="fr-CM" w:eastAsia="fr-FR"/>
        </w:rPr>
        <w:t>le dernier cité</w:t>
      </w:r>
      <w:proofErr w:type="gramEnd"/>
      <w:r w:rsidRPr="00F15B2D">
        <w:rPr>
          <w:rFonts w:eastAsia="Times New Roman"/>
          <w:bCs/>
          <w:lang w:val="fr-CM" w:eastAsia="fr-FR"/>
        </w:rPr>
        <w:t xml:space="preserve"> a été condamné à 2 ans d’emprisonnement, pour les faits de violation de consigne. La décision a fait l’objet d’appel du Ministère public. </w:t>
      </w:r>
    </w:p>
    <w:p w14:paraId="163C940C" w14:textId="2609285B"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Pour ce qui est de l’affaire de la tuerie survenue 24 octobre 2020 à la </w:t>
      </w:r>
      <w:r w:rsidRPr="00F15B2D">
        <w:rPr>
          <w:i/>
        </w:rPr>
        <w:t xml:space="preserve">Mother </w:t>
      </w:r>
      <w:proofErr w:type="spellStart"/>
      <w:r w:rsidRPr="00F15B2D">
        <w:rPr>
          <w:i/>
        </w:rPr>
        <w:t>Francisca</w:t>
      </w:r>
      <w:proofErr w:type="spellEnd"/>
      <w:r w:rsidRPr="00F15B2D">
        <w:rPr>
          <w:i/>
        </w:rPr>
        <w:t xml:space="preserve"> International </w:t>
      </w:r>
      <w:proofErr w:type="spellStart"/>
      <w:r w:rsidRPr="00F15B2D">
        <w:rPr>
          <w:i/>
        </w:rPr>
        <w:t>Academy</w:t>
      </w:r>
      <w:proofErr w:type="spellEnd"/>
      <w:r w:rsidRPr="00F15B2D">
        <w:rPr>
          <w:i/>
        </w:rPr>
        <w:t xml:space="preserve"> </w:t>
      </w:r>
      <w:r w:rsidRPr="00F15B2D">
        <w:t xml:space="preserve">de Kumba, le 7 septembre 2021, </w:t>
      </w:r>
      <w:r w:rsidRPr="00D55E7C">
        <w:t>les nommés K.P.T, R.L.M., Y.L. et E.K.E., combattants séparatistes, ont été reconnus c</w:t>
      </w:r>
      <w:r w:rsidRPr="00F15B2D">
        <w:t xml:space="preserve">oupables des faits d’hostilité envers la patrie, sécession, actes de terrorisme, assassinat, et possession illégale d’armes à feu et de munitions de </w:t>
      </w:r>
      <w:proofErr w:type="gramStart"/>
      <w:r w:rsidRPr="00F15B2D">
        <w:t>défense  et</w:t>
      </w:r>
      <w:proofErr w:type="gramEnd"/>
      <w:r w:rsidRPr="00F15B2D">
        <w:t xml:space="preserve"> condamnés à la peine de mort par fusillade sur la place publique par le Tribunal Militaire de Buea. </w:t>
      </w:r>
    </w:p>
    <w:p w14:paraId="0C310243" w14:textId="6E10F6F5" w:rsidR="00EC7229" w:rsidRPr="00D55E7C" w:rsidRDefault="00D55E7C" w:rsidP="00D55E7C">
      <w:pPr>
        <w:pStyle w:val="H23G"/>
        <w:rPr>
          <w:lang w:eastAsia="fr-FR"/>
        </w:rPr>
      </w:pPr>
      <w:r>
        <w:rPr>
          <w:lang w:eastAsia="fr-FR"/>
        </w:rPr>
        <w:tab/>
      </w:r>
      <w:r w:rsidR="00EC7229" w:rsidRPr="00F15B2D">
        <w:rPr>
          <w:lang w:eastAsia="fr-FR"/>
        </w:rPr>
        <w:t>C</w:t>
      </w:r>
      <w:r>
        <w:rPr>
          <w:lang w:eastAsia="fr-FR"/>
        </w:rPr>
        <w:t>.</w:t>
      </w:r>
      <w:r>
        <w:rPr>
          <w:lang w:eastAsia="fr-FR"/>
        </w:rPr>
        <w:tab/>
      </w:r>
      <w:r w:rsidR="00EC7229" w:rsidRPr="00F15B2D">
        <w:rPr>
          <w:lang w:eastAsia="fr-FR"/>
        </w:rPr>
        <w:t xml:space="preserve">Prise en charge médicale et sociale des victimes </w:t>
      </w:r>
    </w:p>
    <w:p w14:paraId="4F3071D2" w14:textId="7E48AA98" w:rsidR="00EC7229" w:rsidRPr="00F15B2D" w:rsidRDefault="00EC7229" w:rsidP="00F46CD2">
      <w:pPr>
        <w:numPr>
          <w:ilvl w:val="0"/>
          <w:numId w:val="38"/>
        </w:numPr>
        <w:shd w:val="clear" w:color="auto" w:fill="FFFFFF"/>
        <w:spacing w:before="240" w:line="240" w:lineRule="auto"/>
        <w:ind w:left="1134" w:right="1134" w:firstLine="0"/>
        <w:jc w:val="both"/>
        <w:rPr>
          <w:rFonts w:eastAsia="Franklin Gothic Book"/>
          <w:lang w:val="fr-CM" w:eastAsia="fr-FR"/>
        </w:rPr>
      </w:pPr>
      <w:r w:rsidRPr="00F15B2D">
        <w:rPr>
          <w:rFonts w:eastAsia="Times New Roman"/>
          <w:bCs/>
          <w:lang w:eastAsia="fr-FR"/>
        </w:rPr>
        <w:t>L’</w:t>
      </w:r>
      <w:proofErr w:type="spellStart"/>
      <w:r w:rsidRPr="00F15B2D">
        <w:rPr>
          <w:rFonts w:eastAsia="Times New Roman"/>
          <w:bCs/>
          <w:lang w:eastAsia="fr-FR"/>
        </w:rPr>
        <w:t>Etat</w:t>
      </w:r>
      <w:proofErr w:type="spellEnd"/>
      <w:r w:rsidRPr="00F15B2D">
        <w:rPr>
          <w:rFonts w:eastAsia="Times New Roman"/>
          <w:bCs/>
          <w:lang w:eastAsia="fr-FR"/>
        </w:rPr>
        <w:t xml:space="preserve"> assure à tous, sans discrimination, l’accès aux soins de santé et à un soutien psychologique. De manière spécifique, </w:t>
      </w:r>
      <w:r w:rsidRPr="00F15B2D">
        <w:rPr>
          <w:rFonts w:eastAsia="Franklin Gothic Book"/>
          <w:lang w:val="fr-CM" w:eastAsia="fr-FR"/>
        </w:rPr>
        <w:t>pour répondre aux besoins des survivantes de VBG, l’</w:t>
      </w:r>
      <w:proofErr w:type="spellStart"/>
      <w:r w:rsidRPr="00F15B2D">
        <w:rPr>
          <w:rFonts w:eastAsia="Franklin Gothic Book"/>
          <w:lang w:val="fr-CM" w:eastAsia="fr-FR"/>
        </w:rPr>
        <w:t>Etat</w:t>
      </w:r>
      <w:proofErr w:type="spellEnd"/>
      <w:r w:rsidRPr="00F15B2D">
        <w:rPr>
          <w:rFonts w:eastAsia="Franklin Gothic Book"/>
          <w:lang w:val="fr-CM" w:eastAsia="fr-FR"/>
        </w:rPr>
        <w:t xml:space="preserve"> a mis en place des services de prise en charge. Ainsi, </w:t>
      </w:r>
      <w:proofErr w:type="gramStart"/>
      <w:r w:rsidRPr="00F15B2D">
        <w:rPr>
          <w:rFonts w:eastAsia="Franklin Gothic Book"/>
          <w:lang w:val="fr-CM" w:eastAsia="fr-FR"/>
        </w:rPr>
        <w:t>l’</w:t>
      </w:r>
      <w:proofErr w:type="spellStart"/>
      <w:r w:rsidRPr="00F15B2D">
        <w:rPr>
          <w:rFonts w:eastAsia="Franklin Gothic Book"/>
          <w:lang w:val="fr-CM" w:eastAsia="fr-FR"/>
        </w:rPr>
        <w:t>Etat</w:t>
      </w:r>
      <w:proofErr w:type="spellEnd"/>
      <w:r w:rsidRPr="00F15B2D">
        <w:rPr>
          <w:rFonts w:eastAsia="Franklin Gothic Book"/>
          <w:lang w:val="fr-CM" w:eastAsia="fr-FR"/>
        </w:rPr>
        <w:t xml:space="preserve">  du</w:t>
      </w:r>
      <w:proofErr w:type="gramEnd"/>
      <w:r w:rsidRPr="00F15B2D">
        <w:rPr>
          <w:rFonts w:eastAsia="Franklin Gothic Book"/>
          <w:lang w:val="fr-CM" w:eastAsia="fr-FR"/>
        </w:rPr>
        <w:t xml:space="preserve"> Cameroun a continué à s’investir dans la création et la gestion des Centres de promotion de la femme et de la famille (CPFF) qui offrent aux survivantes des compétences générales dans la création et la gestion d’activités génératrices de revenus. En fin d’année 2024, le </w:t>
      </w:r>
      <w:proofErr w:type="gramStart"/>
      <w:r w:rsidRPr="00F15B2D">
        <w:rPr>
          <w:rFonts w:eastAsia="Franklin Gothic Book"/>
          <w:lang w:val="fr-CM" w:eastAsia="fr-FR"/>
        </w:rPr>
        <w:t>Ministère</w:t>
      </w:r>
      <w:proofErr w:type="gramEnd"/>
      <w:r w:rsidRPr="00F15B2D">
        <w:rPr>
          <w:rFonts w:eastAsia="Franklin Gothic Book"/>
          <w:lang w:val="fr-CM" w:eastAsia="fr-FR"/>
        </w:rPr>
        <w:t xml:space="preserve"> de la Promotion de la Femme et de la Famille (MINPROFF) disposait de 122 CPFF dans lesquels plus de 206 000 femmes et filles ont été formées, y compris des survivantes. </w:t>
      </w:r>
    </w:p>
    <w:p w14:paraId="4F45D5B8" w14:textId="3A8539EB" w:rsidR="00EC7229" w:rsidRPr="00F15B2D" w:rsidRDefault="00EC7229" w:rsidP="00F46CD2">
      <w:pPr>
        <w:numPr>
          <w:ilvl w:val="0"/>
          <w:numId w:val="38"/>
        </w:numPr>
        <w:shd w:val="clear" w:color="auto" w:fill="FFFFFF"/>
        <w:spacing w:before="240" w:line="240" w:lineRule="auto"/>
        <w:ind w:left="1134" w:right="1134" w:firstLine="0"/>
        <w:jc w:val="both"/>
        <w:rPr>
          <w:rFonts w:eastAsia="Franklin Gothic Book"/>
          <w:lang w:val="fr-CM" w:eastAsia="fr-FR"/>
        </w:rPr>
      </w:pPr>
      <w:r w:rsidRPr="00F15B2D">
        <w:rPr>
          <w:rFonts w:eastAsia="Franklin Gothic Book"/>
          <w:lang w:val="fr-CM" w:eastAsia="fr-FR"/>
        </w:rPr>
        <w:t>Par ailleurs, l’</w:t>
      </w:r>
      <w:proofErr w:type="spellStart"/>
      <w:r w:rsidRPr="00F15B2D">
        <w:rPr>
          <w:rFonts w:eastAsia="Franklin Gothic Book"/>
          <w:lang w:val="fr-CM" w:eastAsia="fr-FR"/>
        </w:rPr>
        <w:t>Etat</w:t>
      </w:r>
      <w:proofErr w:type="spellEnd"/>
      <w:r w:rsidRPr="00F15B2D">
        <w:rPr>
          <w:rFonts w:eastAsia="Franklin Gothic Book"/>
          <w:lang w:val="fr-CM" w:eastAsia="fr-FR"/>
        </w:rPr>
        <w:t xml:space="preserve"> du Cameroun a mis en place des </w:t>
      </w:r>
      <w:proofErr w:type="spellStart"/>
      <w:r w:rsidRPr="00F15B2D">
        <w:rPr>
          <w:rFonts w:eastAsia="Franklin Gothic Book"/>
          <w:i/>
          <w:iCs/>
          <w:lang w:val="fr-CM" w:eastAsia="fr-FR"/>
        </w:rPr>
        <w:t>Gender</w:t>
      </w:r>
      <w:proofErr w:type="spellEnd"/>
      <w:r w:rsidRPr="00F15B2D">
        <w:rPr>
          <w:rFonts w:eastAsia="Franklin Gothic Book"/>
          <w:lang w:val="fr-CM" w:eastAsia="fr-FR"/>
        </w:rPr>
        <w:t xml:space="preserve"> et </w:t>
      </w:r>
      <w:r w:rsidRPr="00F15B2D">
        <w:rPr>
          <w:rFonts w:eastAsia="Franklin Gothic Book"/>
          <w:i/>
          <w:iCs/>
          <w:lang w:val="fr-CM" w:eastAsia="fr-FR"/>
        </w:rPr>
        <w:t>Child</w:t>
      </w:r>
      <w:r w:rsidRPr="00F15B2D">
        <w:rPr>
          <w:rFonts w:eastAsia="Franklin Gothic Book"/>
          <w:lang w:val="fr-CM" w:eastAsia="fr-FR"/>
        </w:rPr>
        <w:t xml:space="preserve"> </w:t>
      </w:r>
      <w:r w:rsidRPr="00F15B2D">
        <w:rPr>
          <w:rFonts w:eastAsia="Franklin Gothic Book"/>
          <w:i/>
          <w:iCs/>
          <w:lang w:val="fr-CM" w:eastAsia="fr-FR"/>
        </w:rPr>
        <w:t>Desk</w:t>
      </w:r>
      <w:r w:rsidR="00EA05C6">
        <w:rPr>
          <w:rStyle w:val="FootnoteReference"/>
          <w:rFonts w:eastAsia="Franklin Gothic Book"/>
          <w:i/>
          <w:iCs/>
          <w:lang w:eastAsia="fr-FR"/>
        </w:rPr>
        <w:footnoteReference w:id="25"/>
      </w:r>
      <w:r w:rsidRPr="00F15B2D">
        <w:rPr>
          <w:rFonts w:eastAsia="Franklin Gothic Book"/>
          <w:lang w:val="fr-CM" w:eastAsia="fr-FR"/>
        </w:rPr>
        <w:t xml:space="preserve"> dans les commissariats de police (20) et </w:t>
      </w:r>
      <w:proofErr w:type="spellStart"/>
      <w:r w:rsidRPr="00F15B2D">
        <w:rPr>
          <w:rFonts w:eastAsia="Franklin Gothic Book"/>
          <w:lang w:val="fr-CM" w:eastAsia="fr-FR"/>
        </w:rPr>
        <w:t>unités</w:t>
      </w:r>
      <w:proofErr w:type="spellEnd"/>
      <w:r w:rsidRPr="00F15B2D">
        <w:rPr>
          <w:rFonts w:eastAsia="Franklin Gothic Book"/>
          <w:lang w:val="fr-CM" w:eastAsia="fr-FR"/>
        </w:rPr>
        <w:t xml:space="preserve"> de gendarmerie (8). Plus de 2 500 gendarmes et </w:t>
      </w:r>
      <w:proofErr w:type="gramStart"/>
      <w:r w:rsidRPr="00F15B2D">
        <w:rPr>
          <w:rFonts w:eastAsia="Franklin Gothic Book"/>
          <w:lang w:val="fr-CM" w:eastAsia="fr-FR"/>
        </w:rPr>
        <w:t>fonctionnaires  de</w:t>
      </w:r>
      <w:proofErr w:type="gramEnd"/>
      <w:r w:rsidRPr="00F15B2D">
        <w:rPr>
          <w:rFonts w:eastAsia="Franklin Gothic Book"/>
          <w:lang w:val="fr-CM" w:eastAsia="fr-FR"/>
        </w:rPr>
        <w:t xml:space="preserve"> police ont déjà̀ </w:t>
      </w:r>
      <w:proofErr w:type="spellStart"/>
      <w:r w:rsidRPr="00F15B2D">
        <w:rPr>
          <w:rFonts w:eastAsia="Franklin Gothic Book"/>
          <w:lang w:val="fr-CM" w:eastAsia="fr-FR"/>
        </w:rPr>
        <w:t>éte</w:t>
      </w:r>
      <w:proofErr w:type="spellEnd"/>
      <w:r w:rsidRPr="00F15B2D">
        <w:rPr>
          <w:rFonts w:eastAsia="Franklin Gothic Book"/>
          <w:lang w:val="fr-CM" w:eastAsia="fr-FR"/>
        </w:rPr>
        <w:t xml:space="preserve">́ formés à l’effet d’accueillir </w:t>
      </w:r>
      <w:proofErr w:type="gramStart"/>
      <w:r w:rsidRPr="00F15B2D">
        <w:rPr>
          <w:rFonts w:eastAsia="Franklin Gothic Book"/>
          <w:lang w:val="fr-CM" w:eastAsia="fr-FR"/>
        </w:rPr>
        <w:t>et  de</w:t>
      </w:r>
      <w:proofErr w:type="gramEnd"/>
      <w:r w:rsidRPr="00F15B2D">
        <w:rPr>
          <w:rFonts w:eastAsia="Franklin Gothic Book"/>
          <w:lang w:val="fr-CM" w:eastAsia="fr-FR"/>
        </w:rPr>
        <w:t xml:space="preserve"> prendre en charge les victimes de VBG suivant les standards incluant la confidentialité́ et l’</w:t>
      </w:r>
      <w:proofErr w:type="spellStart"/>
      <w:r w:rsidRPr="00F15B2D">
        <w:rPr>
          <w:rFonts w:eastAsia="Franklin Gothic Book"/>
          <w:lang w:val="fr-CM" w:eastAsia="fr-FR"/>
        </w:rPr>
        <w:t>écoute</w:t>
      </w:r>
      <w:proofErr w:type="spellEnd"/>
      <w:r w:rsidRPr="00F15B2D">
        <w:rPr>
          <w:rFonts w:eastAsia="Franklin Gothic Book"/>
          <w:lang w:val="fr-CM" w:eastAsia="fr-FR"/>
        </w:rPr>
        <w:t xml:space="preserve"> active. </w:t>
      </w:r>
    </w:p>
    <w:p w14:paraId="265174FB" w14:textId="0C06EC6C" w:rsidR="00EC7229" w:rsidRPr="00D55E7C" w:rsidRDefault="00EC7229" w:rsidP="00EC7229">
      <w:pPr>
        <w:numPr>
          <w:ilvl w:val="0"/>
          <w:numId w:val="38"/>
        </w:numPr>
        <w:shd w:val="clear" w:color="auto" w:fill="FFFFFF"/>
        <w:spacing w:before="240" w:after="48" w:line="238" w:lineRule="auto"/>
        <w:ind w:left="1134" w:right="1134" w:firstLine="0"/>
        <w:jc w:val="both"/>
        <w:rPr>
          <w:rFonts w:eastAsia="Franklin Gothic Book"/>
          <w:lang w:val="fr-CM" w:eastAsia="fr-FR"/>
        </w:rPr>
      </w:pPr>
      <w:r w:rsidRPr="00D55E7C">
        <w:rPr>
          <w:rFonts w:eastAsia="Franklin Gothic Book"/>
          <w:lang w:val="fr-CM" w:eastAsia="fr-FR"/>
        </w:rPr>
        <w:t xml:space="preserve">Bien plus, grâce à la mise en </w:t>
      </w:r>
      <w:r w:rsidRPr="00D55E7C">
        <w:rPr>
          <w:rFonts w:eastAsia="Times New Roman"/>
          <w:lang w:eastAsia="fr-FR"/>
        </w:rPr>
        <w:t>œuvre</w:t>
      </w:r>
      <w:r w:rsidRPr="00D55E7C">
        <w:rPr>
          <w:rFonts w:eastAsia="Franklin Gothic Book"/>
          <w:lang w:val="fr-CM" w:eastAsia="fr-FR"/>
        </w:rPr>
        <w:t xml:space="preserve"> du Projet d’autonomisation des femmes et dividende démographique au sahel (SWEDD2), l’</w:t>
      </w:r>
      <w:proofErr w:type="spellStart"/>
      <w:r w:rsidRPr="00D55E7C">
        <w:rPr>
          <w:rFonts w:eastAsia="Franklin Gothic Book"/>
          <w:lang w:val="fr-CM" w:eastAsia="fr-FR"/>
        </w:rPr>
        <w:t>Etat</w:t>
      </w:r>
      <w:proofErr w:type="spellEnd"/>
      <w:r w:rsidRPr="00D55E7C">
        <w:rPr>
          <w:rFonts w:eastAsia="Franklin Gothic Book"/>
          <w:lang w:val="fr-CM" w:eastAsia="fr-FR"/>
        </w:rPr>
        <w:t xml:space="preserve"> a procédé à la formation de 90 mentores et 9 superviseures pour la mise en place de 45 espaces sûrs au sein des CPFF et des Centres multifonctionnels de promotion des jeunes (CMPJ) repartis dans les 3 Régions cibles du projet (Adamaoua, </w:t>
      </w:r>
      <w:proofErr w:type="spellStart"/>
      <w:r w:rsidRPr="00D55E7C">
        <w:rPr>
          <w:rFonts w:eastAsia="Franklin Gothic Book"/>
          <w:lang w:val="fr-CM" w:eastAsia="fr-FR"/>
        </w:rPr>
        <w:t>Extrême-Nord</w:t>
      </w:r>
      <w:proofErr w:type="spellEnd"/>
      <w:r w:rsidRPr="00D55E7C">
        <w:rPr>
          <w:rFonts w:eastAsia="Franklin Gothic Book"/>
          <w:lang w:val="fr-CM" w:eastAsia="fr-FR"/>
        </w:rPr>
        <w:t xml:space="preserve"> et Nord). </w:t>
      </w:r>
    </w:p>
    <w:p w14:paraId="1E017F4D" w14:textId="2248A4F3" w:rsidR="00EC7229" w:rsidRPr="00F15B2D" w:rsidRDefault="00EC7229" w:rsidP="00F46CD2">
      <w:pPr>
        <w:numPr>
          <w:ilvl w:val="0"/>
          <w:numId w:val="38"/>
        </w:numPr>
        <w:shd w:val="clear" w:color="auto" w:fill="FFFFFF"/>
        <w:spacing w:before="240" w:line="240" w:lineRule="auto"/>
        <w:ind w:left="1134" w:right="1134" w:firstLine="0"/>
        <w:jc w:val="both"/>
        <w:rPr>
          <w:rFonts w:eastAsia="Franklin Gothic Book"/>
          <w:lang w:val="fr-CM" w:eastAsia="fr-FR"/>
        </w:rPr>
      </w:pPr>
      <w:r w:rsidRPr="00F15B2D">
        <w:rPr>
          <w:rFonts w:eastAsia="Franklin Gothic Book"/>
          <w:lang w:val="fr-CM" w:eastAsia="fr-FR"/>
        </w:rPr>
        <w:t>Davantage, l’</w:t>
      </w:r>
      <w:proofErr w:type="spellStart"/>
      <w:r w:rsidRPr="00F15B2D">
        <w:rPr>
          <w:rFonts w:eastAsia="Franklin Gothic Book"/>
          <w:lang w:val="fr-CM" w:eastAsia="fr-FR"/>
        </w:rPr>
        <w:t>Etat</w:t>
      </w:r>
      <w:proofErr w:type="spellEnd"/>
      <w:r w:rsidRPr="00F15B2D">
        <w:rPr>
          <w:rFonts w:eastAsia="Franklin Gothic Book"/>
          <w:lang w:val="fr-CM" w:eastAsia="fr-FR"/>
        </w:rPr>
        <w:t xml:space="preserve"> du </w:t>
      </w:r>
      <w:r w:rsidRPr="00F46CD2">
        <w:rPr>
          <w:rFonts w:eastAsia="Times New Roman"/>
          <w:lang w:eastAsia="fr-FR"/>
        </w:rPr>
        <w:t>Cameroun</w:t>
      </w:r>
      <w:r w:rsidRPr="00F15B2D">
        <w:rPr>
          <w:rFonts w:eastAsia="Franklin Gothic Book"/>
          <w:lang w:val="fr-CM" w:eastAsia="fr-FR"/>
        </w:rPr>
        <w:t xml:space="preserve"> a également élaboré la cartographie des espaces sûrs qui sont passées de 10 en 2020 à 47 en 2024</w:t>
      </w:r>
      <w:r w:rsidRPr="00F15B2D">
        <w:rPr>
          <w:rFonts w:eastAsia="Franklin Gothic Book"/>
          <w:strike/>
          <w:lang w:val="fr-CM" w:eastAsia="fr-FR"/>
        </w:rPr>
        <w:t>,</w:t>
      </w:r>
      <w:r w:rsidRPr="00F15B2D">
        <w:rPr>
          <w:rFonts w:eastAsia="Franklin Gothic Book"/>
          <w:lang w:val="fr-CM" w:eastAsia="fr-FR"/>
        </w:rPr>
        <w:t xml:space="preserve"> ainsi que la </w:t>
      </w:r>
      <w:proofErr w:type="gramStart"/>
      <w:r w:rsidRPr="00F15B2D">
        <w:rPr>
          <w:rFonts w:eastAsia="Franklin Gothic Book"/>
          <w:lang w:val="fr-CM" w:eastAsia="fr-FR"/>
        </w:rPr>
        <w:t>cartographie  nationale</w:t>
      </w:r>
      <w:proofErr w:type="gramEnd"/>
      <w:r w:rsidRPr="00F15B2D">
        <w:rPr>
          <w:rFonts w:eastAsia="Franklin Gothic Book"/>
          <w:lang w:val="fr-CM" w:eastAsia="fr-FR"/>
        </w:rPr>
        <w:t xml:space="preserve"> des acteurs œuvrant dans la prise en charge et la prévention des VBG, à la gestion des cas de violence sexiste et à la coordination humanitaire, soit 242 acteurs. </w:t>
      </w:r>
    </w:p>
    <w:p w14:paraId="7A3FA709" w14:textId="0F4593C6" w:rsidR="00EC7229" w:rsidRPr="00F15B2D" w:rsidRDefault="00EA05C6" w:rsidP="00EA05C6">
      <w:pPr>
        <w:pStyle w:val="H23G"/>
      </w:pPr>
      <w:r>
        <w:tab/>
      </w:r>
      <w:r w:rsidR="00EC7229" w:rsidRPr="00F15B2D">
        <w:t>D</w:t>
      </w:r>
      <w:r>
        <w:t>.</w:t>
      </w:r>
      <w:r>
        <w:tab/>
      </w:r>
      <w:r w:rsidR="00EC7229" w:rsidRPr="00F15B2D">
        <w:t xml:space="preserve">Garanties de la non-discrimination dans la lutte contre le terrorisme, du procès équitable et de contester une détention </w:t>
      </w:r>
    </w:p>
    <w:p w14:paraId="244C0238" w14:textId="3BF19C31"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Les actions contre le terrorisme visent, sans particularisme communautaire, le rétablissement de l’ordre public. Toutes les personnes éventuellement poursuivies dans ce cadre, jouissent de tous les droits procéduraux, y compris le droit d’exercer les voies de recours, tels que consacrés par la loi et les conventions internationales ratifiées par le Cameroun. Toute personne qui estime que sa détention est illégale peut faire un </w:t>
      </w:r>
      <w:r w:rsidRPr="00F15B2D">
        <w:lastRenderedPageBreak/>
        <w:t xml:space="preserve">recours en habeas corpus et même saisir la Commission d'indemnisation des personnes victimes de garde à vue et de détention abusive. </w:t>
      </w:r>
    </w:p>
    <w:p w14:paraId="32A00656" w14:textId="77E68685" w:rsidR="00EC7229" w:rsidRPr="00F15B2D" w:rsidRDefault="00434B59" w:rsidP="00434B59">
      <w:pPr>
        <w:pStyle w:val="H23G"/>
      </w:pPr>
      <w:r>
        <w:tab/>
      </w:r>
      <w:r w:rsidR="00EC7229" w:rsidRPr="00F15B2D">
        <w:t>E</w:t>
      </w:r>
      <w:r>
        <w:t>.</w:t>
      </w:r>
      <w:r>
        <w:tab/>
      </w:r>
      <w:r w:rsidR="00EC7229" w:rsidRPr="00F15B2D">
        <w:t xml:space="preserve">Abolition de la peine de mort </w:t>
      </w:r>
    </w:p>
    <w:p w14:paraId="213A30F2" w14:textId="221FA473"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Le Cameroun étant un </w:t>
      </w:r>
      <w:proofErr w:type="spellStart"/>
      <w:r w:rsidRPr="00F15B2D">
        <w:t>Etat</w:t>
      </w:r>
      <w:proofErr w:type="spellEnd"/>
      <w:r w:rsidRPr="00F15B2D">
        <w:t xml:space="preserve"> abolitionniste de facto depuis 1989, le maintien de la peine de mort dans sa législation participe davantage de la dissuasion. Peu nombreuses (une quinzaine), les infractions passibles de la peine de mort sont celles d’une gravité </w:t>
      </w:r>
      <w:r w:rsidRPr="00F46CD2">
        <w:rPr>
          <w:rFonts w:eastAsia="Times New Roman"/>
          <w:lang w:eastAsia="fr-FR"/>
        </w:rPr>
        <w:t>particulière</w:t>
      </w:r>
      <w:r w:rsidRPr="00F15B2D">
        <w:t>, à l’instar des actes de terrorisme. Tel qu’il l’a fait par Décret n°2020/193 du 15 avril 2020, le Chef de l’</w:t>
      </w:r>
      <w:proofErr w:type="spellStart"/>
      <w:r w:rsidRPr="00F15B2D">
        <w:t>Etat</w:t>
      </w:r>
      <w:proofErr w:type="spellEnd"/>
      <w:r w:rsidRPr="00F15B2D">
        <w:t xml:space="preserve"> peut décider de commuer des peines de mort en emprisonnement à vie.</w:t>
      </w:r>
    </w:p>
    <w:p w14:paraId="1D5BB13E" w14:textId="54014D57" w:rsidR="00EC7229" w:rsidRPr="00F15B2D" w:rsidRDefault="00434B59" w:rsidP="00434B59">
      <w:pPr>
        <w:pStyle w:val="H1G"/>
      </w:pPr>
      <w:bookmarkStart w:id="70" w:name="_Toc209182213"/>
      <w:bookmarkStart w:id="71" w:name="_Toc209194149"/>
      <w:bookmarkStart w:id="72" w:name="_Toc209435305"/>
      <w:r>
        <w:tab/>
      </w:r>
      <w:r w:rsidR="00EC7229" w:rsidRPr="00F15B2D">
        <w:t>XI.</w:t>
      </w:r>
      <w:r>
        <w:tab/>
      </w:r>
      <w:r w:rsidR="00EC7229" w:rsidRPr="00F15B2D">
        <w:t xml:space="preserve">Situation des groupes ethniques, ethnolinguistiques et </w:t>
      </w:r>
      <w:proofErr w:type="spellStart"/>
      <w:r w:rsidR="00EC7229" w:rsidRPr="00F15B2D">
        <w:t>ethno-religieux</w:t>
      </w:r>
      <w:proofErr w:type="spellEnd"/>
      <w:r w:rsidR="00EC7229" w:rsidRPr="00F15B2D">
        <w:t xml:space="preserve"> et des peuples autochtones (Rec. 25).</w:t>
      </w:r>
      <w:bookmarkEnd w:id="70"/>
      <w:bookmarkEnd w:id="71"/>
      <w:bookmarkEnd w:id="72"/>
    </w:p>
    <w:p w14:paraId="06882CB9" w14:textId="43D165A3" w:rsidR="00EC7229" w:rsidRPr="00F15B2D" w:rsidRDefault="00434B59" w:rsidP="00434B59">
      <w:pPr>
        <w:pStyle w:val="H23G"/>
      </w:pPr>
      <w:r>
        <w:tab/>
      </w:r>
      <w:r w:rsidR="00EC7229" w:rsidRPr="00F15B2D">
        <w:t>A.</w:t>
      </w:r>
      <w:r>
        <w:tab/>
      </w:r>
      <w:r w:rsidR="00EC7229" w:rsidRPr="00F15B2D">
        <w:t xml:space="preserve">Participation à la gestion des affaires publiques </w:t>
      </w:r>
    </w:p>
    <w:p w14:paraId="76FCCAF7" w14:textId="5AC5785D" w:rsidR="00EC7229" w:rsidRPr="00F15B2D" w:rsidRDefault="00EC7229" w:rsidP="00F46CD2">
      <w:pPr>
        <w:numPr>
          <w:ilvl w:val="0"/>
          <w:numId w:val="38"/>
        </w:numPr>
        <w:shd w:val="clear" w:color="auto" w:fill="FFFFFF"/>
        <w:spacing w:before="240" w:line="240" w:lineRule="auto"/>
        <w:ind w:left="1134" w:right="1134" w:firstLine="0"/>
        <w:jc w:val="both"/>
      </w:pPr>
      <w:r w:rsidRPr="00F15B2D">
        <w:t>L’</w:t>
      </w:r>
      <w:proofErr w:type="spellStart"/>
      <w:r w:rsidRPr="00F15B2D">
        <w:t>Etat</w:t>
      </w:r>
      <w:proofErr w:type="spellEnd"/>
      <w:r w:rsidRPr="00F15B2D">
        <w:t xml:space="preserve"> du Cameroun applique une politique inclusive pour l’accès aux emplois publics des peuples autochtones. Ainsi, dans la communauté </w:t>
      </w:r>
      <w:proofErr w:type="spellStart"/>
      <w:r w:rsidRPr="00F15B2D">
        <w:t>Mbororo</w:t>
      </w:r>
      <w:proofErr w:type="spellEnd"/>
      <w:r w:rsidRPr="00F15B2D">
        <w:t xml:space="preserve">, on a par exemple enregistré entre 2022 et 2023, au recrutement de </w:t>
      </w:r>
      <w:r w:rsidRPr="00F15B2D">
        <w:rPr>
          <w:bCs/>
        </w:rPr>
        <w:t xml:space="preserve">4 élèves issus des populations autochtones (Baka) à l’ENAM, </w:t>
      </w:r>
      <w:r w:rsidRPr="00F15B2D">
        <w:t>9 Gendarmes, 11 Militaires, un Infirmier diplômé d’</w:t>
      </w:r>
      <w:proofErr w:type="spellStart"/>
      <w:r w:rsidRPr="00F15B2D">
        <w:t>Etat</w:t>
      </w:r>
      <w:proofErr w:type="spellEnd"/>
      <w:r w:rsidRPr="00F15B2D">
        <w:t>, ainsi qu’une admission à l’</w:t>
      </w:r>
      <w:proofErr w:type="spellStart"/>
      <w:r w:rsidRPr="00F15B2D">
        <w:t>Ecole</w:t>
      </w:r>
      <w:proofErr w:type="spellEnd"/>
      <w:r w:rsidRPr="00F15B2D">
        <w:t xml:space="preserve"> Militaire Inter-Armée. En outre, des </w:t>
      </w:r>
      <w:proofErr w:type="spellStart"/>
      <w:r w:rsidRPr="00F15B2D">
        <w:t>Mbororo</w:t>
      </w:r>
      <w:proofErr w:type="spellEnd"/>
      <w:r w:rsidRPr="00F15B2D">
        <w:t xml:space="preserve"> ont été promus à des postes de responsabilités, dont un Chef de secrétariat particulier dans les Services du Premier Ministre, un Délégué régional au </w:t>
      </w:r>
      <w:proofErr w:type="gramStart"/>
      <w:r w:rsidRPr="00F15B2D">
        <w:t>Ministère</w:t>
      </w:r>
      <w:proofErr w:type="gramEnd"/>
      <w:r w:rsidRPr="00F15B2D">
        <w:t xml:space="preserve"> de la Fonction Publique et de la Réforme Administrative et un Directeur au Sénat. </w:t>
      </w:r>
    </w:p>
    <w:p w14:paraId="2D110C12" w14:textId="3D24E86E"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Bien plus, </w:t>
      </w:r>
      <w:proofErr w:type="gramStart"/>
      <w:r w:rsidRPr="00F15B2D">
        <w:t>suite aux</w:t>
      </w:r>
      <w:proofErr w:type="gramEnd"/>
      <w:r w:rsidRPr="00F15B2D">
        <w:t xml:space="preserve"> </w:t>
      </w:r>
      <w:r w:rsidRPr="00F46CD2">
        <w:rPr>
          <w:rFonts w:eastAsia="Times New Roman"/>
          <w:lang w:eastAsia="fr-FR"/>
        </w:rPr>
        <w:t>élections</w:t>
      </w:r>
      <w:r w:rsidRPr="00F15B2D">
        <w:t xml:space="preserve"> législatives et municipales de 9 février 2020, 45 </w:t>
      </w:r>
      <w:proofErr w:type="spellStart"/>
      <w:r w:rsidRPr="00F15B2D">
        <w:t>Mbororos</w:t>
      </w:r>
      <w:proofErr w:type="spellEnd"/>
      <w:r w:rsidRPr="00F15B2D">
        <w:t xml:space="preserve"> et 12 représentants des peuples de la forêt issus des 4B (Baka, </w:t>
      </w:r>
      <w:proofErr w:type="spellStart"/>
      <w:r w:rsidRPr="00F15B2D">
        <w:t>Bakola</w:t>
      </w:r>
      <w:proofErr w:type="spellEnd"/>
      <w:r w:rsidRPr="00F15B2D">
        <w:t xml:space="preserve">, </w:t>
      </w:r>
      <w:proofErr w:type="spellStart"/>
      <w:proofErr w:type="gramStart"/>
      <w:r w:rsidRPr="00F15B2D">
        <w:t>Bagyéli</w:t>
      </w:r>
      <w:proofErr w:type="spellEnd"/>
      <w:r w:rsidRPr="00F15B2D">
        <w:t xml:space="preserve">  et</w:t>
      </w:r>
      <w:proofErr w:type="gramEnd"/>
      <w:r w:rsidRPr="00F15B2D">
        <w:t xml:space="preserve"> </w:t>
      </w:r>
      <w:proofErr w:type="spellStart"/>
      <w:r w:rsidRPr="00F15B2D">
        <w:t>Bedzang</w:t>
      </w:r>
      <w:proofErr w:type="spellEnd"/>
      <w:r w:rsidRPr="00F15B2D">
        <w:t xml:space="preserve">) ont été élus conseillers municipaux ; de même qu’un Député suppléant dans la Région de l’Est et un </w:t>
      </w:r>
      <w:proofErr w:type="spellStart"/>
      <w:r w:rsidRPr="00F15B2D">
        <w:t>Mbororo</w:t>
      </w:r>
      <w:proofErr w:type="spellEnd"/>
      <w:r w:rsidRPr="00F15B2D">
        <w:t xml:space="preserve"> Sénateur suppléant dans celle du Nord-Ouest.</w:t>
      </w:r>
    </w:p>
    <w:p w14:paraId="2A6E86EC" w14:textId="1A79FC43" w:rsidR="00EC7229" w:rsidRPr="00F15B2D" w:rsidRDefault="00EC7229" w:rsidP="00F46CD2">
      <w:pPr>
        <w:numPr>
          <w:ilvl w:val="0"/>
          <w:numId w:val="38"/>
        </w:numPr>
        <w:shd w:val="clear" w:color="auto" w:fill="FFFFFF"/>
        <w:spacing w:before="240" w:line="240" w:lineRule="auto"/>
        <w:ind w:left="1134" w:right="1134" w:firstLine="0"/>
        <w:jc w:val="both"/>
        <w:rPr>
          <w:b/>
          <w:bCs/>
        </w:rPr>
      </w:pPr>
      <w:r w:rsidRPr="00F15B2D">
        <w:rPr>
          <w:bCs/>
        </w:rPr>
        <w:t xml:space="preserve">Plus globalement sur la </w:t>
      </w:r>
      <w:r w:rsidRPr="00F46CD2">
        <w:rPr>
          <w:rFonts w:eastAsia="Times New Roman"/>
          <w:lang w:eastAsia="fr-FR"/>
        </w:rPr>
        <w:t>participation</w:t>
      </w:r>
      <w:r w:rsidRPr="00F15B2D">
        <w:rPr>
          <w:bCs/>
        </w:rPr>
        <w:t xml:space="preserve"> inclusive à la direction des affaires publiques, (</w:t>
      </w:r>
      <w:r w:rsidRPr="00434B59">
        <w:rPr>
          <w:bCs/>
        </w:rPr>
        <w:t>voir § 19 and § 20)</w:t>
      </w:r>
      <w:r w:rsidR="00434B59">
        <w:rPr>
          <w:bCs/>
        </w:rPr>
        <w:t>.</w:t>
      </w:r>
    </w:p>
    <w:p w14:paraId="039AEE37" w14:textId="767FA8C1" w:rsidR="00EC7229" w:rsidRPr="00F15B2D" w:rsidRDefault="00434B59" w:rsidP="00434B59">
      <w:pPr>
        <w:pStyle w:val="H23G"/>
      </w:pPr>
      <w:r>
        <w:tab/>
      </w:r>
      <w:r w:rsidR="00EC7229" w:rsidRPr="00F15B2D">
        <w:t>B.</w:t>
      </w:r>
      <w:r>
        <w:tab/>
      </w:r>
      <w:r w:rsidR="00EC7229" w:rsidRPr="00F15B2D">
        <w:t>Révision du Code du travail et lutte contre la discrimination et le travail forcé</w:t>
      </w:r>
    </w:p>
    <w:p w14:paraId="573F3523" w14:textId="76BC1652"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rPr>
      </w:pPr>
      <w:r w:rsidRPr="00F15B2D">
        <w:rPr>
          <w:rFonts w:eastAsiaTheme="majorEastAsia"/>
        </w:rPr>
        <w:t xml:space="preserve">Le processus de révision du </w:t>
      </w:r>
      <w:r w:rsidRPr="00F46CD2">
        <w:rPr>
          <w:rFonts w:eastAsia="Times New Roman"/>
          <w:lang w:eastAsia="fr-FR"/>
        </w:rPr>
        <w:t>Code</w:t>
      </w:r>
      <w:r w:rsidRPr="00F15B2D">
        <w:rPr>
          <w:rFonts w:eastAsiaTheme="majorEastAsia"/>
        </w:rPr>
        <w:t xml:space="preserve"> du Travail est en cours. </w:t>
      </w:r>
    </w:p>
    <w:p w14:paraId="59DD8207" w14:textId="04012E5B"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bCs/>
        </w:rPr>
      </w:pPr>
      <w:r w:rsidRPr="00F15B2D">
        <w:rPr>
          <w:rFonts w:eastAsiaTheme="majorEastAsia"/>
          <w:bCs/>
        </w:rPr>
        <w:t>Le Plan National de Développement des Peuples Autochtones prévoit, dans son axe stratégique 3</w:t>
      </w:r>
      <w:r w:rsidRPr="00F15B2D">
        <w:rPr>
          <w:rStyle w:val="FootnoteReference"/>
          <w:bCs/>
          <w:sz w:val="24"/>
        </w:rPr>
        <w:footnoteReference w:id="26"/>
      </w:r>
      <w:r w:rsidRPr="00F15B2D">
        <w:rPr>
          <w:rFonts w:eastAsiaTheme="majorEastAsia"/>
          <w:bCs/>
        </w:rPr>
        <w:t xml:space="preserve">, des actions pour soutenir l’insertion professionnelle des peuples autochtones bénéficiant d’une formation professionnelle, à travers l’emploi salarié, l’appui financier à la formation professionnelle et à la création des micros entreprises. En outre une convention cadre de collaboration entre le </w:t>
      </w:r>
      <w:proofErr w:type="gramStart"/>
      <w:r w:rsidRPr="00F15B2D">
        <w:rPr>
          <w:rFonts w:eastAsiaTheme="majorEastAsia"/>
          <w:bCs/>
        </w:rPr>
        <w:t>Ministère</w:t>
      </w:r>
      <w:proofErr w:type="gramEnd"/>
      <w:r w:rsidRPr="00F15B2D">
        <w:rPr>
          <w:rFonts w:eastAsiaTheme="majorEastAsia"/>
          <w:bCs/>
        </w:rPr>
        <w:t xml:space="preserve"> des Affaires Sociales (MINAS) et le </w:t>
      </w:r>
      <w:proofErr w:type="gramStart"/>
      <w:r w:rsidRPr="00F15B2D">
        <w:rPr>
          <w:rFonts w:eastAsiaTheme="majorEastAsia"/>
          <w:bCs/>
        </w:rPr>
        <w:t>Ministère</w:t>
      </w:r>
      <w:proofErr w:type="gramEnd"/>
      <w:r w:rsidRPr="00F15B2D">
        <w:rPr>
          <w:rFonts w:eastAsiaTheme="majorEastAsia"/>
          <w:bCs/>
        </w:rPr>
        <w:t xml:space="preserve"> de la Formation Professionnelle et de l’Emploi (MINEFOP a été signée pour la facilitation de leur insertion professionnelle à travers la formation professionnelle, ainsi que le renforcement de leurs capacités dans les domaines de l’élevage caprin, l’apiculture, de la production de pêches, de l’aquaculture et de l’aviculture traditionnelle. </w:t>
      </w:r>
    </w:p>
    <w:p w14:paraId="16A110B9" w14:textId="4F7D27EC"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bCs/>
        </w:rPr>
      </w:pPr>
      <w:r w:rsidRPr="00F15B2D">
        <w:rPr>
          <w:rFonts w:eastAsiaTheme="majorEastAsia"/>
          <w:bCs/>
        </w:rPr>
        <w:t xml:space="preserve">Par ailleurs, le Cadre de </w:t>
      </w:r>
      <w:r w:rsidRPr="00F46CD2">
        <w:rPr>
          <w:rFonts w:eastAsia="Times New Roman"/>
          <w:lang w:eastAsia="fr-FR"/>
        </w:rPr>
        <w:t>planification</w:t>
      </w:r>
      <w:r w:rsidRPr="00F15B2D">
        <w:rPr>
          <w:rFonts w:eastAsiaTheme="majorEastAsia"/>
          <w:bCs/>
        </w:rPr>
        <w:t xml:space="preserve"> des peuples autochtones, adopté en 2018 dans le cadre du Projet d’appui au développement pour la croissance et l’emploi au Cameroun (PADECE), prévoit le développement des compétences pour les filles dans le secteur de la couture, de la santé et de l’art ménager ; et de la maçonnerie, la menuiserie et l’électricité, pour ce qui est des garçons.</w:t>
      </w:r>
    </w:p>
    <w:p w14:paraId="17828779" w14:textId="77777777"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bCs/>
        </w:rPr>
      </w:pPr>
      <w:r w:rsidRPr="00F15B2D">
        <w:rPr>
          <w:rFonts w:eastAsiaTheme="majorEastAsia"/>
          <w:b/>
          <w:bCs/>
        </w:rPr>
        <w:lastRenderedPageBreak/>
        <w:t>75-</w:t>
      </w:r>
      <w:r w:rsidRPr="00F15B2D">
        <w:rPr>
          <w:rFonts w:eastAsiaTheme="majorEastAsia"/>
          <w:bCs/>
        </w:rPr>
        <w:t xml:space="preserve">Les éventuelles allégations de travail forcé, y compris des peuples autochtones, font l’objet d’enquête et sanctions contre les auteurs. </w:t>
      </w:r>
    </w:p>
    <w:p w14:paraId="14695BC2" w14:textId="235D3456" w:rsidR="00EC7229" w:rsidRPr="00F15B2D" w:rsidRDefault="00434B59" w:rsidP="00434B59">
      <w:pPr>
        <w:pStyle w:val="H23G"/>
        <w:rPr>
          <w:rFonts w:eastAsiaTheme="majorEastAsia"/>
          <w:bCs/>
        </w:rPr>
      </w:pPr>
      <w:r>
        <w:tab/>
      </w:r>
      <w:r w:rsidR="00EC7229" w:rsidRPr="00F15B2D">
        <w:t>C.</w:t>
      </w:r>
      <w:r>
        <w:tab/>
      </w:r>
      <w:r w:rsidR="00EC7229" w:rsidRPr="00F15B2D">
        <w:t xml:space="preserve">Disponibilité et accessibilité </w:t>
      </w:r>
    </w:p>
    <w:p w14:paraId="6301899A" w14:textId="675EA818"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bCs/>
        </w:rPr>
      </w:pPr>
      <w:r w:rsidRPr="00F15B2D">
        <w:t xml:space="preserve">Au cours de l’année scolaire 2023/2024, 720 écoles maternelles et primaires ont été transformées en écoles inclusives, y compris dans les localités habitées par les peuples autochtones. Environ 400 enfants issus des peuples autochtones étaient inscrits dans les écoles primaires de </w:t>
      </w:r>
      <w:proofErr w:type="spellStart"/>
      <w:r w:rsidRPr="00F15B2D">
        <w:t>Lolodorf</w:t>
      </w:r>
      <w:proofErr w:type="spellEnd"/>
      <w:r w:rsidRPr="00F15B2D">
        <w:t xml:space="preserve"> et Kribi, 65 dans les établissements secondaires et 6 étudiants dans les institutions de l’enseignement supérieur.</w:t>
      </w:r>
    </w:p>
    <w:p w14:paraId="628E9161" w14:textId="3FBAA35B"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S’agissant de l’accès à la santé, l’on dénombrait 110 centres de santé fréquentés par </w:t>
      </w:r>
      <w:proofErr w:type="gramStart"/>
      <w:r w:rsidRPr="00F15B2D">
        <w:t>les populations issus</w:t>
      </w:r>
      <w:proofErr w:type="gramEnd"/>
      <w:r w:rsidRPr="00F15B2D">
        <w:t xml:space="preserve"> des 4</w:t>
      </w:r>
      <w:proofErr w:type="gramStart"/>
      <w:r w:rsidRPr="00F15B2D">
        <w:t>B  et</w:t>
      </w:r>
      <w:proofErr w:type="gramEnd"/>
      <w:r w:rsidRPr="00F15B2D">
        <w:t xml:space="preserve"> approvisionnés en </w:t>
      </w:r>
      <w:r w:rsidRPr="00F46CD2">
        <w:rPr>
          <w:rFonts w:eastAsia="Times New Roman"/>
          <w:lang w:eastAsia="fr-FR"/>
        </w:rPr>
        <w:t>médicaments</w:t>
      </w:r>
      <w:r w:rsidRPr="00F15B2D">
        <w:t xml:space="preserve"> essentiels. Par ailleurs, 391 </w:t>
      </w:r>
      <w:proofErr w:type="spellStart"/>
      <w:r w:rsidRPr="00F15B2D">
        <w:t>sages-femmes</w:t>
      </w:r>
      <w:proofErr w:type="spellEnd"/>
      <w:r w:rsidRPr="00F15B2D">
        <w:t xml:space="preserve"> traditionnelles ont été formées ou recyclées. En outre, des dizaines de leaders communautaires ont été formés aux soins élémentaires, plus de 3 000 enfants vaccinés et des centaines de ménage sensibilisés. </w:t>
      </w:r>
    </w:p>
    <w:p w14:paraId="58275020" w14:textId="55FE00C1" w:rsidR="00EC7229" w:rsidRPr="00F15B2D" w:rsidRDefault="00434B59" w:rsidP="00434B59">
      <w:pPr>
        <w:pStyle w:val="H23G"/>
        <w:rPr>
          <w:rFonts w:eastAsiaTheme="majorEastAsia"/>
          <w:bCs/>
        </w:rPr>
      </w:pPr>
      <w:r>
        <w:rPr>
          <w:lang w:eastAsia="fr-FR"/>
        </w:rPr>
        <w:tab/>
      </w:r>
      <w:r w:rsidR="00EC7229" w:rsidRPr="00F15B2D">
        <w:rPr>
          <w:lang w:eastAsia="fr-FR"/>
        </w:rPr>
        <w:t>D</w:t>
      </w:r>
      <w:r>
        <w:rPr>
          <w:lang w:eastAsia="fr-FR"/>
        </w:rPr>
        <w:t>.</w:t>
      </w:r>
      <w:r>
        <w:rPr>
          <w:lang w:eastAsia="fr-FR"/>
        </w:rPr>
        <w:tab/>
      </w:r>
      <w:proofErr w:type="spellStart"/>
      <w:r w:rsidR="00EC7229" w:rsidRPr="00F15B2D">
        <w:rPr>
          <w:lang w:eastAsia="fr-FR"/>
        </w:rPr>
        <w:t>Education</w:t>
      </w:r>
      <w:proofErr w:type="spellEnd"/>
      <w:r w:rsidR="00EC7229" w:rsidRPr="00F15B2D">
        <w:rPr>
          <w:lang w:eastAsia="fr-FR"/>
        </w:rPr>
        <w:t xml:space="preserve"> inclusive</w:t>
      </w:r>
    </w:p>
    <w:p w14:paraId="7C15E659" w14:textId="69450172"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Une stratégie nationale et un plan d’action national visant à garantir aux minorités un accès aux programmes scolaires appropriés respectant leur mode de vie et leur culture sont mis en place depuis 2013 à travers un programme d’éducation prenant en compte les us et coutumes du peuple </w:t>
      </w:r>
      <w:r w:rsidRPr="00F15B2D">
        <w:rPr>
          <w:iCs/>
        </w:rPr>
        <w:t>Baka</w:t>
      </w:r>
      <w:r w:rsidRPr="00F15B2D">
        <w:t xml:space="preserve"> dénommé </w:t>
      </w:r>
      <w:r w:rsidRPr="00F15B2D">
        <w:rPr>
          <w:i/>
        </w:rPr>
        <w:t xml:space="preserve">Baka Rights and </w:t>
      </w:r>
      <w:proofErr w:type="spellStart"/>
      <w:r w:rsidRPr="00F15B2D">
        <w:rPr>
          <w:i/>
        </w:rPr>
        <w:t>Dignity</w:t>
      </w:r>
      <w:proofErr w:type="spellEnd"/>
      <w:r w:rsidRPr="00F15B2D">
        <w:t xml:space="preserve"> qui consiste à prodiguer des enseignements en </w:t>
      </w:r>
      <w:r w:rsidRPr="00F46CD2">
        <w:rPr>
          <w:rFonts w:eastAsia="Times New Roman"/>
          <w:lang w:eastAsia="fr-FR"/>
        </w:rPr>
        <w:t>langue</w:t>
      </w:r>
      <w:r w:rsidRPr="00F15B2D">
        <w:t xml:space="preserve"> </w:t>
      </w:r>
      <w:r w:rsidRPr="00F15B2D">
        <w:rPr>
          <w:i/>
        </w:rPr>
        <w:t>Baka</w:t>
      </w:r>
      <w:r w:rsidRPr="00F15B2D">
        <w:t xml:space="preserve"> à des jeunes enfants issus de cette communauté dès les 2 premières années de la maternelle. Pour soutenir ces enseignements, des syllabaires en langue </w:t>
      </w:r>
      <w:r w:rsidRPr="00F15B2D">
        <w:rPr>
          <w:iCs/>
        </w:rPr>
        <w:t>Baka</w:t>
      </w:r>
      <w:r w:rsidRPr="00F15B2D">
        <w:t xml:space="preserve"> ont été conçus en collaboration avec la Société Internationale de Linguistique (SIL).</w:t>
      </w:r>
    </w:p>
    <w:p w14:paraId="0CC1412D" w14:textId="44E9A785" w:rsidR="00EC7229" w:rsidRPr="00F15B2D" w:rsidRDefault="00EC7229" w:rsidP="00F46CD2">
      <w:pPr>
        <w:numPr>
          <w:ilvl w:val="0"/>
          <w:numId w:val="38"/>
        </w:numPr>
        <w:shd w:val="clear" w:color="auto" w:fill="FFFFFF"/>
        <w:spacing w:before="240" w:line="240" w:lineRule="auto"/>
        <w:ind w:left="1134" w:right="1134" w:firstLine="0"/>
        <w:jc w:val="both"/>
        <w:rPr>
          <w:rFonts w:eastAsiaTheme="majorEastAsia"/>
          <w:bCs/>
        </w:rPr>
      </w:pPr>
      <w:r w:rsidRPr="00F15B2D">
        <w:rPr>
          <w:rFonts w:eastAsia="Times New Roman"/>
        </w:rPr>
        <w:t xml:space="preserve">Par ailleurs, depuis 2014, des </w:t>
      </w:r>
      <w:r w:rsidRPr="00F15B2D">
        <w:rPr>
          <w:rFonts w:eastAsia="Times New Roman"/>
          <w:lang w:eastAsia="fr-FR"/>
        </w:rPr>
        <w:t>enseignants</w:t>
      </w:r>
      <w:r w:rsidRPr="00F15B2D">
        <w:rPr>
          <w:rFonts w:eastAsia="Times New Roman"/>
        </w:rPr>
        <w:t xml:space="preserve"> de langues et cultures nationales formés à l’</w:t>
      </w:r>
      <w:proofErr w:type="spellStart"/>
      <w:r w:rsidRPr="00F15B2D">
        <w:rPr>
          <w:rFonts w:eastAsia="Times New Roman"/>
        </w:rPr>
        <w:t>Ecole</w:t>
      </w:r>
      <w:proofErr w:type="spellEnd"/>
      <w:r w:rsidRPr="00F15B2D">
        <w:rPr>
          <w:rFonts w:eastAsia="Times New Roman"/>
        </w:rPr>
        <w:t xml:space="preserve"> Normale Supérieure de Yaoundé sont mis à disposition des établissements. Ainsi, des enseignements de langues </w:t>
      </w:r>
      <w:proofErr w:type="spellStart"/>
      <w:r w:rsidRPr="00F15B2D">
        <w:rPr>
          <w:rFonts w:eastAsia="Times New Roman"/>
        </w:rPr>
        <w:t>Dii</w:t>
      </w:r>
      <w:proofErr w:type="spellEnd"/>
      <w:r w:rsidRPr="00F15B2D">
        <w:rPr>
          <w:rFonts w:eastAsia="Times New Roman"/>
        </w:rPr>
        <w:t xml:space="preserve">, </w:t>
      </w:r>
      <w:proofErr w:type="spellStart"/>
      <w:r w:rsidRPr="00F15B2D">
        <w:rPr>
          <w:rFonts w:eastAsia="Times New Roman"/>
        </w:rPr>
        <w:t>Ewondo</w:t>
      </w:r>
      <w:proofErr w:type="spellEnd"/>
      <w:r w:rsidRPr="00F15B2D">
        <w:rPr>
          <w:rFonts w:eastAsia="Times New Roman"/>
        </w:rPr>
        <w:t xml:space="preserve"> et Bassa, </w:t>
      </w:r>
      <w:proofErr w:type="spellStart"/>
      <w:r w:rsidRPr="00F15B2D">
        <w:rPr>
          <w:rFonts w:eastAsia="Times New Roman"/>
        </w:rPr>
        <w:t>Duala</w:t>
      </w:r>
      <w:proofErr w:type="spellEnd"/>
      <w:r w:rsidRPr="00F15B2D">
        <w:rPr>
          <w:rFonts w:eastAsia="Times New Roman"/>
        </w:rPr>
        <w:t xml:space="preserve">, </w:t>
      </w:r>
      <w:proofErr w:type="spellStart"/>
      <w:r w:rsidRPr="00F15B2D">
        <w:rPr>
          <w:rFonts w:eastAsia="Times New Roman"/>
        </w:rPr>
        <w:t>Fufulde</w:t>
      </w:r>
      <w:proofErr w:type="spellEnd"/>
      <w:r w:rsidRPr="00F15B2D">
        <w:rPr>
          <w:rFonts w:eastAsia="Times New Roman"/>
        </w:rPr>
        <w:t xml:space="preserve">, </w:t>
      </w:r>
      <w:proofErr w:type="spellStart"/>
      <w:r w:rsidRPr="00F15B2D">
        <w:rPr>
          <w:rFonts w:eastAsia="Times New Roman"/>
        </w:rPr>
        <w:t>Kom</w:t>
      </w:r>
      <w:proofErr w:type="spellEnd"/>
      <w:r w:rsidRPr="00F15B2D">
        <w:rPr>
          <w:rFonts w:eastAsia="Times New Roman"/>
        </w:rPr>
        <w:t xml:space="preserve">, </w:t>
      </w:r>
      <w:proofErr w:type="spellStart"/>
      <w:r w:rsidRPr="00F15B2D">
        <w:rPr>
          <w:rFonts w:eastAsia="Times New Roman"/>
        </w:rPr>
        <w:t>Bulu</w:t>
      </w:r>
      <w:proofErr w:type="spellEnd"/>
      <w:r w:rsidRPr="00F15B2D">
        <w:rPr>
          <w:rFonts w:eastAsia="Times New Roman"/>
        </w:rPr>
        <w:t xml:space="preserve"> et </w:t>
      </w:r>
      <w:proofErr w:type="spellStart"/>
      <w:r w:rsidRPr="00F15B2D">
        <w:rPr>
          <w:rFonts w:eastAsia="Times New Roman"/>
        </w:rPr>
        <w:t>Fe’efe</w:t>
      </w:r>
      <w:proofErr w:type="spellEnd"/>
      <w:r w:rsidRPr="00F15B2D">
        <w:rPr>
          <w:rFonts w:eastAsia="Times New Roman"/>
        </w:rPr>
        <w:t xml:space="preserve"> étaient respectivement dispensées au Lycée Classique et Moderne de Ngaoundéré, au Lycée Général Leclerc de Yaoundé, au Lycée Classique et Moderne de Garoua, au </w:t>
      </w:r>
      <w:r w:rsidRPr="00F15B2D">
        <w:rPr>
          <w:rFonts w:eastAsia="Times New Roman"/>
          <w:i/>
          <w:iCs/>
        </w:rPr>
        <w:t xml:space="preserve">Gouvernement High </w:t>
      </w:r>
      <w:proofErr w:type="spellStart"/>
      <w:r w:rsidRPr="00F15B2D">
        <w:rPr>
          <w:rFonts w:eastAsia="Times New Roman"/>
          <w:i/>
          <w:iCs/>
        </w:rPr>
        <w:t>School</w:t>
      </w:r>
      <w:proofErr w:type="spellEnd"/>
      <w:r w:rsidRPr="00F15B2D">
        <w:rPr>
          <w:rFonts w:eastAsia="Times New Roman"/>
          <w:i/>
          <w:iCs/>
        </w:rPr>
        <w:t xml:space="preserve"> de </w:t>
      </w:r>
      <w:proofErr w:type="spellStart"/>
      <w:r w:rsidRPr="00F15B2D">
        <w:rPr>
          <w:rFonts w:eastAsia="Times New Roman"/>
          <w:i/>
          <w:iCs/>
        </w:rPr>
        <w:t>Njinkom</w:t>
      </w:r>
      <w:proofErr w:type="spellEnd"/>
      <w:r w:rsidRPr="00F15B2D">
        <w:rPr>
          <w:rFonts w:eastAsia="Times New Roman"/>
        </w:rPr>
        <w:t>, au Lycée Classique d’Ebolowa et au Lycée Classique de Bafang. L’on relève également, entre 2019 et 2024, la poursuite de la formation des enseignants, la production des manuels composés des syllabaires et des livres de mathématiques intégrant les valeurs culturelles des</w:t>
      </w:r>
      <w:r w:rsidRPr="00F15B2D">
        <w:rPr>
          <w:rFonts w:eastAsia="Times New Roman"/>
          <w:i/>
        </w:rPr>
        <w:t xml:space="preserve"> </w:t>
      </w:r>
      <w:r w:rsidRPr="00F15B2D">
        <w:rPr>
          <w:rFonts w:eastAsia="Times New Roman"/>
          <w:iCs/>
        </w:rPr>
        <w:t>Baka</w:t>
      </w:r>
      <w:r w:rsidRPr="00F15B2D">
        <w:rPr>
          <w:rFonts w:eastAsia="Times New Roman"/>
          <w:i/>
        </w:rPr>
        <w:t xml:space="preserve">, </w:t>
      </w:r>
      <w:r w:rsidRPr="00F15B2D">
        <w:rPr>
          <w:rFonts w:eastAsia="Times New Roman"/>
        </w:rPr>
        <w:t>ainsi que des ardoises avec l’alphabet</w:t>
      </w:r>
      <w:r w:rsidRPr="00F15B2D">
        <w:rPr>
          <w:rFonts w:eastAsia="Times New Roman"/>
          <w:i/>
        </w:rPr>
        <w:t xml:space="preserve"> </w:t>
      </w:r>
      <w:proofErr w:type="spellStart"/>
      <w:r w:rsidRPr="00F15B2D">
        <w:rPr>
          <w:rFonts w:eastAsia="Times New Roman"/>
          <w:i/>
        </w:rPr>
        <w:t>baka</w:t>
      </w:r>
      <w:proofErr w:type="spellEnd"/>
      <w:r w:rsidRPr="00F15B2D">
        <w:rPr>
          <w:rFonts w:eastAsia="Times New Roman"/>
          <w:i/>
        </w:rPr>
        <w:t xml:space="preserve"> </w:t>
      </w:r>
      <w:r w:rsidRPr="00F15B2D">
        <w:rPr>
          <w:rFonts w:eastAsia="Times New Roman"/>
        </w:rPr>
        <w:t>au verso. La construction et l’équipement des écoles, l’octroi des bourses scolaires, la formation et la sensibilisation des membres des communautés autochtones et des membres des Associations des Parents d’</w:t>
      </w:r>
      <w:proofErr w:type="spellStart"/>
      <w:r w:rsidRPr="00F15B2D">
        <w:rPr>
          <w:rFonts w:eastAsia="Times New Roman"/>
        </w:rPr>
        <w:t>Elèves</w:t>
      </w:r>
      <w:proofErr w:type="spellEnd"/>
      <w:r w:rsidRPr="00F15B2D">
        <w:rPr>
          <w:rFonts w:eastAsia="Times New Roman"/>
        </w:rPr>
        <w:t xml:space="preserve"> desdites communautés sur la nécessité d’envoyer leurs progénitures à l’école.</w:t>
      </w:r>
    </w:p>
    <w:p w14:paraId="069B6538" w14:textId="47C77AEA" w:rsidR="00EC7229" w:rsidRPr="00F15B2D" w:rsidRDefault="00434B59" w:rsidP="00434B59">
      <w:pPr>
        <w:pStyle w:val="H1G"/>
      </w:pPr>
      <w:bookmarkStart w:id="73" w:name="_Toc209182214"/>
      <w:bookmarkStart w:id="74" w:name="_Toc209194150"/>
      <w:bookmarkStart w:id="75" w:name="_Toc209435306"/>
      <w:r>
        <w:tab/>
      </w:r>
      <w:r w:rsidR="00EC7229" w:rsidRPr="00F15B2D">
        <w:t>XII.</w:t>
      </w:r>
      <w:r>
        <w:tab/>
      </w:r>
      <w:r w:rsidR="00EC7229" w:rsidRPr="00F15B2D">
        <w:t>Droits fonciers (Rec. 27)</w:t>
      </w:r>
      <w:bookmarkEnd w:id="73"/>
      <w:bookmarkEnd w:id="74"/>
      <w:bookmarkEnd w:id="75"/>
      <w:r w:rsidR="00EC7229" w:rsidRPr="00F15B2D">
        <w:t xml:space="preserve"> </w:t>
      </w:r>
    </w:p>
    <w:p w14:paraId="5AA7515F" w14:textId="715D6BD2" w:rsidR="00EC7229" w:rsidRPr="00F15B2D" w:rsidRDefault="00434B59" w:rsidP="00434B59">
      <w:pPr>
        <w:pStyle w:val="H23G"/>
      </w:pPr>
      <w:r>
        <w:tab/>
      </w:r>
      <w:r w:rsidR="00EC7229" w:rsidRPr="00F15B2D">
        <w:t>A.</w:t>
      </w:r>
      <w:r>
        <w:tab/>
      </w:r>
      <w:r w:rsidR="00EC7229" w:rsidRPr="00F15B2D">
        <w:t>Révision du cadre normatif sur la propriété foncière, la forêt et le secteur minier</w:t>
      </w:r>
    </w:p>
    <w:p w14:paraId="1BE82ACD" w14:textId="3F6AEBA5"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rPr>
          <w:rFonts w:eastAsia="Calibri"/>
        </w:rPr>
        <w:t xml:space="preserve">La Loi n°2024/008 du 24 juillet 2024 portant régime des forêts et de la faune a été adoptée. Elle régit la conservation, la protection, l'exploitation, la surveillance du couvert forestier, la restauration des paysages forestiers, la mise en valeur et le renouvellement des ressources forestières et fauniques des domaines forestiers, la lutte contre la déforestation et la dégradation des forêts, la sécurisation des domaines forestiers, la légalité, la traçabilité des produits forestiers/fauniques, et intègre les droits coutumiers et droits d'usage des communautés riveraines, y compris les </w:t>
      </w:r>
      <w:r w:rsidRPr="00F46CD2">
        <w:rPr>
          <w:rFonts w:eastAsia="Times New Roman"/>
          <w:lang w:eastAsia="fr-FR"/>
        </w:rPr>
        <w:t>autochtones</w:t>
      </w:r>
      <w:r w:rsidRPr="00F15B2D">
        <w:rPr>
          <w:rFonts w:eastAsia="Calibri"/>
        </w:rPr>
        <w:t xml:space="preserve">. </w:t>
      </w:r>
    </w:p>
    <w:p w14:paraId="1503F3D8" w14:textId="583861C9"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rPr>
          <w:rFonts w:eastAsia="Calibri"/>
        </w:rPr>
        <w:t>Le Code Minier du Cameroun de 2016</w:t>
      </w:r>
      <w:r w:rsidRPr="00F15B2D">
        <w:rPr>
          <w:rFonts w:eastAsia="Calibri"/>
          <w:b/>
        </w:rPr>
        <w:t xml:space="preserve"> </w:t>
      </w:r>
      <w:r w:rsidRPr="00F15B2D">
        <w:rPr>
          <w:rFonts w:eastAsia="Calibri"/>
        </w:rPr>
        <w:t xml:space="preserve">a été révisé par la Loi n°2023/014 du 19 décembre 2023. Ce Code indique, entre autres, que : les </w:t>
      </w:r>
      <w:r w:rsidRPr="00F46CD2">
        <w:rPr>
          <w:rFonts w:eastAsia="Times New Roman"/>
          <w:lang w:eastAsia="fr-FR"/>
        </w:rPr>
        <w:t>travaux</w:t>
      </w:r>
      <w:r w:rsidRPr="00F15B2D">
        <w:rPr>
          <w:rFonts w:eastAsia="Calibri"/>
        </w:rPr>
        <w:t xml:space="preserve"> de prospection, de recherche ou d'exploitation ne peuvent être entrepris à moins de 500 mètres des limites des propriétés bâties, des villages, des groupes d'habitations, des puits, des lieux culturels ou cultuels, des voies et réseaux divers, de toute aire protégée au sens des lois </w:t>
      </w:r>
      <w:r w:rsidRPr="00F15B2D">
        <w:rPr>
          <w:rFonts w:eastAsia="Calibri"/>
        </w:rPr>
        <w:lastRenderedPageBreak/>
        <w:t xml:space="preserve">forestière et environnementale et sous convention internationale. En outre, l'octroi de certains titres miniers, des autorisations et permis d'exploitation de carrières est subordonné à la conduite préalable d'une </w:t>
      </w:r>
      <w:proofErr w:type="spellStart"/>
      <w:r w:rsidRPr="00F15B2D">
        <w:rPr>
          <w:rFonts w:eastAsia="Calibri"/>
        </w:rPr>
        <w:t>Etude</w:t>
      </w:r>
      <w:proofErr w:type="spellEnd"/>
      <w:r w:rsidRPr="00F15B2D">
        <w:rPr>
          <w:rFonts w:eastAsia="Calibri"/>
        </w:rPr>
        <w:t xml:space="preserve"> d'Impact Environnemental et Social, à la production d'une étude des dangers et des risques, à la fourniture d'un plan de gestion environnemental et d'un plan d'urgence. </w:t>
      </w:r>
    </w:p>
    <w:p w14:paraId="6565AD41" w14:textId="28384AE7" w:rsidR="00EC7229" w:rsidRPr="00F15B2D" w:rsidRDefault="00EC7229" w:rsidP="00F46CD2">
      <w:pPr>
        <w:numPr>
          <w:ilvl w:val="0"/>
          <w:numId w:val="38"/>
        </w:numPr>
        <w:shd w:val="clear" w:color="auto" w:fill="FFFFFF"/>
        <w:spacing w:before="240" w:line="240" w:lineRule="auto"/>
        <w:ind w:left="1134" w:right="1134" w:firstLine="0"/>
        <w:jc w:val="both"/>
      </w:pPr>
      <w:r w:rsidRPr="00F15B2D">
        <w:rPr>
          <w:rFonts w:eastAsia="Calibri"/>
        </w:rPr>
        <w:t>Par ailleurs, l’</w:t>
      </w:r>
      <w:proofErr w:type="spellStart"/>
      <w:r w:rsidRPr="00F15B2D">
        <w:rPr>
          <w:rFonts w:eastAsia="Calibri"/>
        </w:rPr>
        <w:t>Etat</w:t>
      </w:r>
      <w:proofErr w:type="spellEnd"/>
      <w:r w:rsidRPr="00F15B2D">
        <w:rPr>
          <w:rFonts w:eastAsia="Calibri"/>
        </w:rPr>
        <w:t xml:space="preserve"> continue à prendre des mesures visant à garantir la protection des droits fonciers coutumiers, y compris ceux des peuples autochtones comme en atteste à la Lettre Circulaire</w:t>
      </w:r>
      <w:r w:rsidRPr="00F15B2D">
        <w:rPr>
          <w:rFonts w:eastAsia="Times New Roman"/>
          <w:lang w:eastAsia="fr-FR"/>
        </w:rPr>
        <w:t xml:space="preserve"> n°0002/MINDCAF/CAB/LC du 9 février 2024 instituant un certificat de Possession des Droits Fonciers Coutumiers Administrativement reconnus dans le cadre de la procédure de traitement des demandes d’immatriculation directe des dépendances du domaine national occupées et/ou exploitées en vue de l’obtention d’un titre foncier. </w:t>
      </w:r>
      <w:r w:rsidRPr="00F15B2D">
        <w:t>L’octroi de ce certificat a l’avantage pour les peuples autochtones d’ancrer leur système foncier dans leurs us et coutumes. Ce document tient lieu de preuve administrative tangible de leurs droits.</w:t>
      </w:r>
    </w:p>
    <w:p w14:paraId="0E0E5B06" w14:textId="42321667"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rPr>
          <w:rFonts w:eastAsia="Calibri"/>
        </w:rPr>
        <w:t xml:space="preserve">Bien plus, le 10 avril 2019, le MINAS et le </w:t>
      </w:r>
      <w:r w:rsidRPr="00F15B2D">
        <w:rPr>
          <w:rFonts w:eastAsia="Calibri"/>
          <w:i/>
          <w:iCs/>
        </w:rPr>
        <w:t xml:space="preserve">World Wide </w:t>
      </w:r>
      <w:proofErr w:type="spellStart"/>
      <w:r w:rsidRPr="00F15B2D">
        <w:rPr>
          <w:rFonts w:eastAsia="Calibri"/>
          <w:i/>
          <w:iCs/>
        </w:rPr>
        <w:t>Fund</w:t>
      </w:r>
      <w:proofErr w:type="spellEnd"/>
      <w:r w:rsidRPr="00F15B2D">
        <w:rPr>
          <w:rFonts w:eastAsia="Calibri"/>
          <w:i/>
          <w:iCs/>
        </w:rPr>
        <w:t xml:space="preserve"> for Nature (WWF)</w:t>
      </w:r>
      <w:r w:rsidRPr="00F15B2D">
        <w:rPr>
          <w:rFonts w:eastAsia="Calibri"/>
        </w:rPr>
        <w:t xml:space="preserve"> ont signé un accord de partenariat relatif à la promotion et à la protection des droits des peuples autochtones pour la conservation de la biodiversité au Cameroun</w:t>
      </w:r>
      <w:r w:rsidR="00A1549C">
        <w:rPr>
          <w:rStyle w:val="FootnoteReference"/>
          <w:rFonts w:eastAsia="Calibri"/>
        </w:rPr>
        <w:footnoteReference w:id="27"/>
      </w:r>
      <w:r w:rsidRPr="00F15B2D">
        <w:rPr>
          <w:rFonts w:eastAsia="Calibri"/>
        </w:rPr>
        <w:t>.</w:t>
      </w:r>
    </w:p>
    <w:p w14:paraId="796F5BA7" w14:textId="3361201E"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rPr>
          <w:rFonts w:eastAsia="Calibri"/>
        </w:rPr>
        <w:t xml:space="preserve">Dans la même veine, le 26 février 2019 à Bertoua, le </w:t>
      </w:r>
      <w:proofErr w:type="gramStart"/>
      <w:r w:rsidRPr="00F15B2D">
        <w:rPr>
          <w:rFonts w:eastAsia="Calibri"/>
        </w:rPr>
        <w:t>Ministère</w:t>
      </w:r>
      <w:proofErr w:type="gramEnd"/>
      <w:r w:rsidRPr="00F15B2D">
        <w:rPr>
          <w:rFonts w:eastAsia="Calibri"/>
        </w:rPr>
        <w:t xml:space="preserve"> des Forêts et de la Faune a signé un Mémorandum d’Entente (ME) avec l’Association </w:t>
      </w:r>
      <w:proofErr w:type="spellStart"/>
      <w:r w:rsidRPr="00F46CD2">
        <w:rPr>
          <w:rFonts w:eastAsia="Times New Roman"/>
          <w:lang w:eastAsia="fr-FR"/>
        </w:rPr>
        <w:t>Sanguia</w:t>
      </w:r>
      <w:proofErr w:type="spellEnd"/>
      <w:r w:rsidRPr="00F15B2D">
        <w:rPr>
          <w:rFonts w:eastAsia="Calibri"/>
        </w:rPr>
        <w:t xml:space="preserve"> Baka </w:t>
      </w:r>
      <w:proofErr w:type="spellStart"/>
      <w:r w:rsidRPr="00F15B2D">
        <w:rPr>
          <w:rFonts w:eastAsia="Calibri"/>
        </w:rPr>
        <w:t>Buma’a</w:t>
      </w:r>
      <w:proofErr w:type="spellEnd"/>
      <w:r w:rsidRPr="00F15B2D">
        <w:rPr>
          <w:rFonts w:eastAsia="Calibri"/>
        </w:rPr>
        <w:t xml:space="preserve"> </w:t>
      </w:r>
      <w:proofErr w:type="spellStart"/>
      <w:r w:rsidRPr="00F15B2D">
        <w:rPr>
          <w:rFonts w:eastAsia="Calibri"/>
        </w:rPr>
        <w:t>Kpode</w:t>
      </w:r>
      <w:proofErr w:type="spellEnd"/>
      <w:r w:rsidRPr="00F15B2D">
        <w:rPr>
          <w:rFonts w:eastAsia="Calibri"/>
          <w:vertAlign w:val="superscript"/>
        </w:rPr>
        <w:footnoteReference w:id="28"/>
      </w:r>
      <w:r w:rsidRPr="00F15B2D">
        <w:rPr>
          <w:rFonts w:eastAsia="Calibri"/>
        </w:rPr>
        <w:t xml:space="preserve">. Ce ME permettra à ces peuples autochtones d’avoir accès à la terre, d’améliorer leur niveau de vie, d’accroître leurs droits de chasse, de cueillette des fruits et de continuer à accomplir leurs rites ancestraux. </w:t>
      </w:r>
    </w:p>
    <w:p w14:paraId="0CFF061D" w14:textId="38308124" w:rsidR="00EC7229" w:rsidRPr="00F15B2D" w:rsidRDefault="00492DC6" w:rsidP="00492DC6">
      <w:pPr>
        <w:pStyle w:val="H23G"/>
      </w:pPr>
      <w:r>
        <w:tab/>
      </w:r>
      <w:r w:rsidR="00EC7229" w:rsidRPr="00F15B2D">
        <w:t>B.</w:t>
      </w:r>
      <w:r>
        <w:tab/>
      </w:r>
      <w:r w:rsidR="00EC7229" w:rsidRPr="00F15B2D">
        <w:t xml:space="preserve">Inclusion des populations autochtones dans les projets </w:t>
      </w:r>
    </w:p>
    <w:p w14:paraId="6BE18B95" w14:textId="3CF753E1"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rPr>
      </w:pPr>
      <w:r w:rsidRPr="00F15B2D">
        <w:rPr>
          <w:rFonts w:eastAsia="Calibri"/>
        </w:rPr>
        <w:t>Le Décret n°2022/5074/PM du 4 juillet 2022 fixant les modalités de contrôle de la conformité sociale des projets</w:t>
      </w:r>
      <w:r w:rsidRPr="00F15B2D">
        <w:rPr>
          <w:rFonts w:eastAsia="Calibri"/>
          <w:vertAlign w:val="superscript"/>
        </w:rPr>
        <w:footnoteReference w:id="29"/>
      </w:r>
      <w:r w:rsidRPr="00F15B2D">
        <w:rPr>
          <w:rFonts w:eastAsia="Calibri"/>
        </w:rPr>
        <w:t xml:space="preserve"> a été adopté. Ce décret a pour </w:t>
      </w:r>
      <w:r w:rsidRPr="00F46CD2">
        <w:rPr>
          <w:rFonts w:eastAsia="Times New Roman"/>
          <w:lang w:eastAsia="fr-FR"/>
        </w:rPr>
        <w:t>objectif</w:t>
      </w:r>
      <w:r w:rsidRPr="00F15B2D">
        <w:rPr>
          <w:rFonts w:eastAsia="Calibri"/>
        </w:rPr>
        <w:t xml:space="preserve"> de protéger les populations, y compris les peuples autochtones contre les conséquences humaines et sociales néfastes générées, directement ou indirectement, par des projets publics ou privés.</w:t>
      </w:r>
    </w:p>
    <w:p w14:paraId="1DFD4504" w14:textId="157B10E5" w:rsidR="00EC7229" w:rsidRPr="00F15B2D" w:rsidRDefault="00EC7229" w:rsidP="00F46CD2">
      <w:pPr>
        <w:numPr>
          <w:ilvl w:val="0"/>
          <w:numId w:val="38"/>
        </w:numPr>
        <w:shd w:val="clear" w:color="auto" w:fill="FFFFFF"/>
        <w:spacing w:before="240" w:line="240" w:lineRule="auto"/>
        <w:ind w:left="1134" w:right="1134" w:firstLine="0"/>
        <w:jc w:val="both"/>
      </w:pPr>
      <w:r w:rsidRPr="00F15B2D">
        <w:rPr>
          <w:rFonts w:eastAsia="Calibri"/>
        </w:rPr>
        <w:t xml:space="preserve">En outre, </w:t>
      </w:r>
      <w:r w:rsidRPr="00F15B2D">
        <w:t xml:space="preserve">les populations autochtones de Lobe ont </w:t>
      </w:r>
      <w:bookmarkStart w:id="76" w:name="_Hlk197108326"/>
      <w:r w:rsidRPr="00F15B2D">
        <w:t xml:space="preserve">été consultées et leurs consentements libres et éclairés </w:t>
      </w:r>
      <w:bookmarkStart w:id="77" w:name="_Hlk197108591"/>
      <w:bookmarkEnd w:id="76"/>
      <w:r w:rsidRPr="00F15B2D">
        <w:t>consolidés,</w:t>
      </w:r>
      <w:r w:rsidRPr="00F15B2D">
        <w:rPr>
          <w:b/>
          <w:bCs/>
          <w:i/>
          <w:iCs/>
        </w:rPr>
        <w:t xml:space="preserve"> </w:t>
      </w:r>
      <w:r w:rsidRPr="00F15B2D">
        <w:t>dans</w:t>
      </w:r>
      <w:r w:rsidRPr="00F15B2D">
        <w:rPr>
          <w:rFonts w:eastAsia="Calibri"/>
        </w:rPr>
        <w:t xml:space="preserve"> le préambule de la convention minière </w:t>
      </w:r>
      <w:bookmarkEnd w:id="77"/>
      <w:r w:rsidRPr="00F15B2D">
        <w:rPr>
          <w:rFonts w:eastAsia="Calibri"/>
        </w:rPr>
        <w:t>entre le Cameroun et SINOSTEEL CAM S.A. du 21 avril 2022, par la mention « </w:t>
      </w:r>
      <w:r w:rsidRPr="00F15B2D">
        <w:rPr>
          <w:i/>
          <w:iCs/>
        </w:rPr>
        <w:t>reconnaissant les droits des peuples autochtones et des populations riveraines de Lobe, considérant le consentement préalable, libre et informé des peuples autochtones et des populations locales pour la mise en œuvre du projet d’exploitation du fer de Lobe</w:t>
      </w:r>
      <w:r w:rsidRPr="00F15B2D">
        <w:t>… »</w:t>
      </w:r>
    </w:p>
    <w:p w14:paraId="6D77C9D8" w14:textId="04CF9BE3" w:rsidR="00EC7229" w:rsidRPr="00492DC6" w:rsidRDefault="00EC7229" w:rsidP="00F46CD2">
      <w:pPr>
        <w:numPr>
          <w:ilvl w:val="0"/>
          <w:numId w:val="38"/>
        </w:numPr>
        <w:shd w:val="clear" w:color="auto" w:fill="FFFFFF"/>
        <w:spacing w:before="240" w:line="240" w:lineRule="auto"/>
        <w:ind w:left="1134" w:right="1134" w:firstLine="0"/>
        <w:jc w:val="both"/>
      </w:pPr>
      <w:r w:rsidRPr="00F15B2D">
        <w:t xml:space="preserve">De même, les peuples autochtones de  </w:t>
      </w:r>
      <w:proofErr w:type="spellStart"/>
      <w:r w:rsidRPr="00F15B2D">
        <w:t>Bidzar</w:t>
      </w:r>
      <w:proofErr w:type="spellEnd"/>
      <w:r w:rsidRPr="00F15B2D">
        <w:t xml:space="preserve"> ont été consultés et leurs consentements libres et éclairés consignés </w:t>
      </w:r>
      <w:r w:rsidRPr="00F15B2D">
        <w:rPr>
          <w:rFonts w:eastAsia="Calibri"/>
        </w:rPr>
        <w:t xml:space="preserve">dans le préambule de la convention minière entre le Cameroun et Cimenteries du Cameroun S.A. par la mention suivante : </w:t>
      </w:r>
      <w:r w:rsidRPr="00492DC6">
        <w:t xml:space="preserve">« reconnaissant les droits des peuples autochtones et des populations riveraines de </w:t>
      </w:r>
      <w:proofErr w:type="spellStart"/>
      <w:r w:rsidRPr="00492DC6">
        <w:t>Bidzar</w:t>
      </w:r>
      <w:proofErr w:type="spellEnd"/>
      <w:r w:rsidRPr="00492DC6">
        <w:t xml:space="preserve">, considérant le consentement </w:t>
      </w:r>
      <w:r w:rsidRPr="00492DC6">
        <w:rPr>
          <w:rFonts w:eastAsia="Times New Roman"/>
          <w:lang w:eastAsia="fr-FR"/>
        </w:rPr>
        <w:t>préalable</w:t>
      </w:r>
      <w:r w:rsidRPr="00492DC6">
        <w:t xml:space="preserve">, libre et informé des peuples autochtones et des populations locales pour la mise en œuvre du projet d’exploitation du marbre de </w:t>
      </w:r>
      <w:proofErr w:type="spellStart"/>
      <w:r w:rsidRPr="00492DC6">
        <w:t>Bidzar</w:t>
      </w:r>
      <w:proofErr w:type="spellEnd"/>
      <w:r w:rsidRPr="00492DC6">
        <w:t xml:space="preserve"> tel qu’il ressort du procès-verbal de consultation du 2 août 2021 ».  </w:t>
      </w:r>
    </w:p>
    <w:p w14:paraId="0C221C09" w14:textId="3720A326" w:rsidR="00EC7229" w:rsidRPr="00F15B2D" w:rsidRDefault="00492DC6" w:rsidP="00492DC6">
      <w:pPr>
        <w:pStyle w:val="H23G"/>
        <w:rPr>
          <w:lang w:eastAsia="fr-CM"/>
        </w:rPr>
      </w:pPr>
      <w:r>
        <w:rPr>
          <w:lang w:eastAsia="fr-CM"/>
        </w:rPr>
        <w:lastRenderedPageBreak/>
        <w:tab/>
      </w:r>
      <w:r w:rsidR="00EC7229" w:rsidRPr="00F15B2D">
        <w:rPr>
          <w:lang w:eastAsia="fr-CM"/>
        </w:rPr>
        <w:t>C</w:t>
      </w:r>
      <w:r>
        <w:rPr>
          <w:lang w:eastAsia="fr-CM"/>
        </w:rPr>
        <w:tab/>
      </w:r>
      <w:bookmarkStart w:id="78" w:name="_Hlk197109146"/>
      <w:r w:rsidR="00EC7229" w:rsidRPr="00F15B2D">
        <w:rPr>
          <w:lang w:eastAsia="fr-CM"/>
        </w:rPr>
        <w:t xml:space="preserve">Accès des </w:t>
      </w:r>
      <w:r w:rsidR="00EC7229" w:rsidRPr="00F15B2D">
        <w:t>peuples autochtones à des voies de recours</w:t>
      </w:r>
      <w:r w:rsidR="00EC7229" w:rsidRPr="00F15B2D">
        <w:rPr>
          <w:lang w:eastAsia="fr-CM"/>
        </w:rPr>
        <w:t xml:space="preserve"> en matière foncière</w:t>
      </w:r>
      <w:bookmarkEnd w:id="78"/>
    </w:p>
    <w:p w14:paraId="2003D79A" w14:textId="0979B85E"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rPr>
          <w:rFonts w:eastAsia="Calibri"/>
        </w:rPr>
        <w:t xml:space="preserve">Pour la protection de leurs droits fonciers, les peuples autochtones disposent, au même titre que toutes les personnes vivant au </w:t>
      </w:r>
      <w:r w:rsidRPr="00F46CD2">
        <w:rPr>
          <w:rFonts w:eastAsia="Times New Roman"/>
          <w:lang w:eastAsia="fr-FR"/>
        </w:rPr>
        <w:t>Cameroun</w:t>
      </w:r>
      <w:r w:rsidRPr="00F15B2D">
        <w:rPr>
          <w:rFonts w:eastAsia="Calibri"/>
        </w:rPr>
        <w:t>, de plusieurs recours. Ils peuvent ainsi par voie d’assignation, (article 5 du Code de Procédure Civile) saisir le juge civil d’une action en réparation du préjudice subi (article 1382 du Code Civil). En cas d’infraction, ils peuvent au moyen d’une plainte, d’une citation directe ou d’une plainte avec constitution de partie civile, susciter une action publique, à l’occasion de laquelle le préjudice souffert sera soumis à l’appréciation du juge pour une éventuelle réparation. Les peuples autochtones ont également la faculté d’exercer un recours devant la juridiction administrative compétente, notamment aux fins d’annulation, d’indemnisation ou de sursis à exécution (articles 2-3 et 30 de la Loi n°2006/022 du 29 décembre 2006 fixant l’organisation et le fonctionnement des tribunaux administratifs.</w:t>
      </w:r>
    </w:p>
    <w:p w14:paraId="2B30DAB5" w14:textId="6E465E83" w:rsidR="00EC7229" w:rsidRPr="00F15B2D" w:rsidRDefault="0091019E" w:rsidP="0091019E">
      <w:pPr>
        <w:pStyle w:val="H23G"/>
      </w:pPr>
      <w:r>
        <w:tab/>
      </w:r>
      <w:r w:rsidR="00EC7229" w:rsidRPr="00F15B2D">
        <w:t>D.</w:t>
      </w:r>
      <w:r>
        <w:tab/>
      </w:r>
      <w:r w:rsidR="00EC7229" w:rsidRPr="00F15B2D">
        <w:t xml:space="preserve">Disponibilité et accessibilité de l’administration et des procédures </w:t>
      </w:r>
      <w:bookmarkStart w:id="79" w:name="_Hlk195882868"/>
      <w:r w:rsidR="00EC7229" w:rsidRPr="00F15B2D">
        <w:t xml:space="preserve">foncières  </w:t>
      </w:r>
    </w:p>
    <w:bookmarkEnd w:id="79"/>
    <w:p w14:paraId="038E0A34" w14:textId="42CA3297" w:rsidR="00EC7229" w:rsidRPr="00F15B2D" w:rsidRDefault="00EC7229" w:rsidP="00F46CD2">
      <w:pPr>
        <w:numPr>
          <w:ilvl w:val="0"/>
          <w:numId w:val="38"/>
        </w:numPr>
        <w:shd w:val="clear" w:color="auto" w:fill="FFFFFF"/>
        <w:spacing w:before="240" w:line="240" w:lineRule="auto"/>
        <w:ind w:left="1134" w:right="1134" w:firstLine="0"/>
        <w:jc w:val="both"/>
        <w:rPr>
          <w:rFonts w:eastAsia="Calibri"/>
          <w:b/>
          <w:bCs/>
        </w:rPr>
      </w:pPr>
      <w:r w:rsidRPr="00F15B2D">
        <w:rPr>
          <w:rFonts w:eastAsia="Calibri"/>
        </w:rPr>
        <w:t>L’accès aux services publics est libre au Cameroun et tous les services publics, y compris ceux des domaines, du cadastre et des affaires foncières, est assujetti au respect des principes d’égalité des usagers, d’impartialité, d’équité et de respect de la légalité dans les prestations de service, d’adaptation du service aux besoins des usagers, de la promotion de la protection des droits des usagers et la prohibition de toutes formes de discrimination. Ainsi, les populations autochtones, ont la latitude d’accéder pendant les jours et heures ouvrables dans les unités de travail de l’administration foncière pour solliciter des services en matière domaniale, cadastrale et foncière.</w:t>
      </w:r>
      <w:r w:rsidRPr="00F15B2D">
        <w:rPr>
          <w:rFonts w:eastAsia="Calibri"/>
          <w:b/>
          <w:bCs/>
        </w:rPr>
        <w:t xml:space="preserve">  </w:t>
      </w:r>
    </w:p>
    <w:p w14:paraId="18DDF6B2" w14:textId="41B64AB4" w:rsidR="00EC7229" w:rsidRPr="00F15B2D" w:rsidRDefault="00E43416" w:rsidP="00E43416">
      <w:pPr>
        <w:pStyle w:val="H23G"/>
        <w:rPr>
          <w:rFonts w:eastAsia="Calibri"/>
          <w:i/>
          <w:iCs/>
        </w:rPr>
      </w:pPr>
      <w:r>
        <w:tab/>
      </w:r>
      <w:r w:rsidR="00EC7229" w:rsidRPr="00F15B2D">
        <w:t>E.</w:t>
      </w:r>
      <w:r>
        <w:tab/>
      </w:r>
      <w:r w:rsidR="00EC7229" w:rsidRPr="00F15B2D">
        <w:t xml:space="preserve">Protection contre le changement climatique </w:t>
      </w:r>
    </w:p>
    <w:p w14:paraId="417E25FD" w14:textId="67F2982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rPr>
      </w:pPr>
      <w:r w:rsidRPr="00F15B2D">
        <w:rPr>
          <w:rFonts w:eastAsia="Times New Roman"/>
        </w:rPr>
        <w:t>Dans l’optique  d’</w:t>
      </w:r>
      <w:r w:rsidRPr="00F15B2D">
        <w:rPr>
          <w:rFonts w:eastAsia="Calibri"/>
        </w:rPr>
        <w:t xml:space="preserve">atténuer </w:t>
      </w:r>
      <w:r w:rsidRPr="00F46CD2">
        <w:rPr>
          <w:rFonts w:eastAsia="Times New Roman"/>
          <w:lang w:eastAsia="fr-FR"/>
        </w:rPr>
        <w:t>l’impact</w:t>
      </w:r>
      <w:r w:rsidRPr="00F15B2D">
        <w:rPr>
          <w:rFonts w:eastAsia="Calibri"/>
        </w:rPr>
        <w:t xml:space="preserve"> du changement climatique sur les terres, les territoires et les ressources des peuples autochtones et  protéger leurs coutumes et leurs modes de vie traditionnels tout en prévenant les conflits intercommunautaires, l</w:t>
      </w:r>
      <w:r w:rsidRPr="00F15B2D">
        <w:rPr>
          <w:rFonts w:eastAsia="Times New Roman"/>
        </w:rPr>
        <w:t xml:space="preserve">a Commission des Forêts d’Afrique Centrale dont le Cameroun est membre a procédé à : la création des outils permettant  aux personnes autochtones vulnérables d’assurer la gestion durable de leurs forêts ; et la  facilitation et l’utilisation durable des ressources de la biodiversité. </w:t>
      </w:r>
    </w:p>
    <w:p w14:paraId="2E6135FE" w14:textId="3CCF3BE1" w:rsidR="00EC7229" w:rsidRPr="00F15B2D" w:rsidRDefault="00E43416" w:rsidP="00E43416">
      <w:pPr>
        <w:pStyle w:val="H1G"/>
      </w:pPr>
      <w:bookmarkStart w:id="80" w:name="_Toc209182215"/>
      <w:bookmarkStart w:id="81" w:name="_Toc209194151"/>
      <w:bookmarkStart w:id="82" w:name="_Toc209435307"/>
      <w:r>
        <w:tab/>
      </w:r>
      <w:r w:rsidR="00EC7229" w:rsidRPr="00F15B2D">
        <w:t>XIII.</w:t>
      </w:r>
      <w:r>
        <w:tab/>
      </w:r>
      <w:r w:rsidR="00EC7229" w:rsidRPr="00F15B2D">
        <w:t>Déplacés internes (Rec. 29)</w:t>
      </w:r>
      <w:bookmarkEnd w:id="80"/>
      <w:bookmarkEnd w:id="81"/>
      <w:bookmarkEnd w:id="82"/>
      <w:r w:rsidR="00EC7229" w:rsidRPr="00F15B2D">
        <w:t xml:space="preserve"> </w:t>
      </w:r>
    </w:p>
    <w:p w14:paraId="41BD6BDE" w14:textId="749785B7" w:rsidR="00EC7229" w:rsidRPr="00F15B2D" w:rsidRDefault="00E43416" w:rsidP="00E43416">
      <w:pPr>
        <w:pStyle w:val="H23G"/>
      </w:pPr>
      <w:r>
        <w:tab/>
      </w:r>
      <w:r w:rsidR="00EC7229" w:rsidRPr="00F15B2D">
        <w:t>A.</w:t>
      </w:r>
      <w:r>
        <w:tab/>
      </w:r>
      <w:r w:rsidR="00EC7229" w:rsidRPr="00F15B2D">
        <w:t>Renforcement du cadre légal et stratégique de protection des droits des PDI</w:t>
      </w:r>
    </w:p>
    <w:p w14:paraId="1CC4C4D4" w14:textId="6B11DA69" w:rsidR="00EC7229" w:rsidRPr="00F15B2D" w:rsidRDefault="00EC7229" w:rsidP="00F46CD2">
      <w:pPr>
        <w:numPr>
          <w:ilvl w:val="0"/>
          <w:numId w:val="38"/>
        </w:numPr>
        <w:shd w:val="clear" w:color="auto" w:fill="FFFFFF"/>
        <w:spacing w:before="240" w:line="240" w:lineRule="auto"/>
        <w:ind w:left="1134" w:right="1134" w:firstLine="0"/>
        <w:jc w:val="both"/>
        <w:rPr>
          <w:rFonts w:eastAsiaTheme="minorEastAsia"/>
          <w:lang w:eastAsia="fr-FR"/>
        </w:rPr>
      </w:pPr>
      <w:r w:rsidRPr="00F15B2D">
        <w:rPr>
          <w:rFonts w:eastAsiaTheme="minorEastAsia"/>
          <w:lang w:eastAsia="fr-FR"/>
        </w:rPr>
        <w:t xml:space="preserve">La </w:t>
      </w:r>
      <w:r w:rsidRPr="00F15B2D">
        <w:rPr>
          <w:rFonts w:eastAsia="Franklin Gothic Book"/>
        </w:rPr>
        <w:t>Loi n°2024/015 du 23 décembre 2024 régissant la protection civile au Cameroun</w:t>
      </w:r>
      <w:r w:rsidRPr="00F15B2D">
        <w:rPr>
          <w:rStyle w:val="FootnoteReference"/>
          <w:rFonts w:eastAsia="Franklin Gothic Book"/>
          <w:sz w:val="24"/>
        </w:rPr>
        <w:footnoteReference w:id="30"/>
      </w:r>
      <w:r w:rsidRPr="00F15B2D">
        <w:rPr>
          <w:rFonts w:eastAsiaTheme="minorEastAsia"/>
          <w:lang w:eastAsia="fr-FR"/>
        </w:rPr>
        <w:t xml:space="preserve"> a internalisé certaines dispositions de la Convention de </w:t>
      </w:r>
      <w:r w:rsidRPr="00F46CD2">
        <w:rPr>
          <w:rFonts w:eastAsia="Times New Roman"/>
          <w:lang w:eastAsia="fr-FR"/>
        </w:rPr>
        <w:t>Kampala</w:t>
      </w:r>
      <w:r w:rsidRPr="00F15B2D">
        <w:rPr>
          <w:rFonts w:eastAsiaTheme="minorEastAsia"/>
          <w:lang w:eastAsia="fr-FR"/>
        </w:rPr>
        <w:t>, à travers notamment les articles 9 sur la prévention des catastrophes, 10 et 11 sur la réponse aux catastrophes, ou 12 sur les mesures de relèvement pour un retour à la normale.</w:t>
      </w:r>
    </w:p>
    <w:p w14:paraId="2CA21FED" w14:textId="3034F580"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En réponse à certaines recommandations issues du Grand Dialogue National, un Plan Présidentiel de Reconstruction et de </w:t>
      </w:r>
      <w:r w:rsidRPr="00F46CD2">
        <w:rPr>
          <w:rFonts w:eastAsia="Times New Roman"/>
          <w:lang w:eastAsia="fr-FR"/>
        </w:rPr>
        <w:t>Développement</w:t>
      </w:r>
      <w:r w:rsidRPr="00F15B2D">
        <w:t xml:space="preserve"> des Régions du Nord-Ouest et du Sud-Ouest a été mis sur pied en </w:t>
      </w:r>
      <w:r w:rsidRPr="005A0BAA">
        <w:t>2020 (voir § 14 and § 55),</w:t>
      </w:r>
      <w:r w:rsidRPr="00F15B2D">
        <w:t xml:space="preserve"> ainsi qu’un Programme Spécial de Reconstruction de la Région de l’Extrême-Nord en 2021</w:t>
      </w:r>
      <w:r w:rsidRPr="00F15B2D">
        <w:rPr>
          <w:rStyle w:val="FootnoteReference"/>
          <w:sz w:val="24"/>
        </w:rPr>
        <w:footnoteReference w:id="31"/>
      </w:r>
      <w:r w:rsidRPr="00F15B2D">
        <w:t xml:space="preserve">. </w:t>
      </w:r>
    </w:p>
    <w:p w14:paraId="074DA266" w14:textId="7CAA10E6"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Par ailleurs, pour répondre aux besoins d’assistance des réfugiés, des déplacés internes et des populations hôtes des Régions de l’Adamaoua, de </w:t>
      </w:r>
      <w:r w:rsidRPr="00F46CD2">
        <w:rPr>
          <w:rFonts w:eastAsia="Times New Roman"/>
          <w:lang w:eastAsia="fr-FR"/>
        </w:rPr>
        <w:t>l’Est</w:t>
      </w:r>
      <w:r w:rsidRPr="00F15B2D">
        <w:t xml:space="preserve"> et de l’Extrême-Nord, un Plan de Réponse Humanitaire 2017-2020 a été élaboré. Pour les Régions du </w:t>
      </w:r>
      <w:r w:rsidRPr="00F15B2D">
        <w:lastRenderedPageBreak/>
        <w:t xml:space="preserve">Nord-Ouest et du Sud-Ouest, un Plan d’Assistance Humanitaire d’Urgence a été mis en place pour la période 2018-2019, prorogé jusqu’en décembre 2022.  </w:t>
      </w:r>
    </w:p>
    <w:p w14:paraId="040E8A6E" w14:textId="2345B91D" w:rsidR="00EC7229" w:rsidRPr="00F15B2D" w:rsidRDefault="00EC7229" w:rsidP="00F46CD2">
      <w:pPr>
        <w:numPr>
          <w:ilvl w:val="0"/>
          <w:numId w:val="38"/>
        </w:numPr>
        <w:shd w:val="clear" w:color="auto" w:fill="FFFFFF"/>
        <w:spacing w:before="240" w:line="240" w:lineRule="auto"/>
        <w:ind w:left="1134" w:right="1134" w:firstLine="0"/>
        <w:jc w:val="both"/>
      </w:pPr>
      <w:r w:rsidRPr="00F15B2D">
        <w:t>L’</w:t>
      </w:r>
      <w:proofErr w:type="spellStart"/>
      <w:r w:rsidRPr="00F15B2D">
        <w:t>Etat</w:t>
      </w:r>
      <w:proofErr w:type="spellEnd"/>
      <w:r w:rsidRPr="00F15B2D">
        <w:t xml:space="preserve"> a également signé divers accords de coopération avec des partenaires au profit des PDI, à l’instar du </w:t>
      </w:r>
      <w:r w:rsidRPr="00F15B2D">
        <w:rPr>
          <w:rFonts w:eastAsia="Calibri"/>
        </w:rPr>
        <w:t>Protocole d’accord signé avec le HCR le 7 mars 2024, pour l’inclusion socio-économique des personnes déplacées de force dans les plans locaux et régionaux de développement.</w:t>
      </w:r>
      <w:r w:rsidRPr="00F15B2D">
        <w:t xml:space="preserve"> </w:t>
      </w:r>
    </w:p>
    <w:p w14:paraId="2B3D4484" w14:textId="3C08C3CC" w:rsidR="00EC7229" w:rsidRPr="00F15B2D" w:rsidRDefault="00ED4218" w:rsidP="00ED4218">
      <w:pPr>
        <w:pStyle w:val="H23G"/>
      </w:pPr>
      <w:r>
        <w:tab/>
      </w:r>
      <w:r w:rsidR="00EC7229" w:rsidRPr="00F15B2D">
        <w:t>B.</w:t>
      </w:r>
      <w:r>
        <w:tab/>
      </w:r>
      <w:r w:rsidR="00EC7229" w:rsidRPr="00F15B2D">
        <w:t xml:space="preserve">Accès des PDI à la documentation </w:t>
      </w:r>
    </w:p>
    <w:p w14:paraId="36123740" w14:textId="79BF780C"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La Loi n°2024/016 du 23 décembre 2024 portant organisation du système d’enregistrement des faits d’état civil au Cameroun a été adoptée pour améliorer l’enregistrement des faits d’état civil et l’accès aux documents d’état civil.   A titre </w:t>
      </w:r>
      <w:r w:rsidRPr="00F46CD2">
        <w:rPr>
          <w:rFonts w:eastAsia="Times New Roman"/>
          <w:lang w:eastAsia="fr-FR"/>
        </w:rPr>
        <w:t>d’innovation</w:t>
      </w:r>
      <w:r w:rsidRPr="00F15B2D">
        <w:t>, l’article 57 de cette loi permet aux PDI de faire enregistrer, hors délais et en cas de situation d’urgence</w:t>
      </w:r>
      <w:r w:rsidRPr="00F15B2D">
        <w:rPr>
          <w:rStyle w:val="FootnoteReference"/>
          <w:sz w:val="24"/>
        </w:rPr>
        <w:footnoteReference w:id="32"/>
      </w:r>
      <w:r w:rsidRPr="00F15B2D">
        <w:t xml:space="preserve">,  les faits d’état civil les concernant ou de reconstituer leurs actes d’état civil perdus ou détériorés. Leur demande, adressée au Procureur de la République territorialement compétent du nouveau lieu de résidence, doit être accompagnée de pièces justificatives ou attestée par 2 témoins dûment identifiés.  </w:t>
      </w:r>
    </w:p>
    <w:p w14:paraId="34AC59A3" w14:textId="6F70F14E" w:rsidR="00EC7229" w:rsidRPr="00F15B2D" w:rsidRDefault="00EC7229" w:rsidP="00F46CD2">
      <w:pPr>
        <w:numPr>
          <w:ilvl w:val="0"/>
          <w:numId w:val="38"/>
        </w:numPr>
        <w:shd w:val="clear" w:color="auto" w:fill="FFFFFF"/>
        <w:spacing w:before="240" w:line="240" w:lineRule="auto"/>
        <w:ind w:left="1134" w:right="1134" w:firstLine="0"/>
        <w:jc w:val="both"/>
        <w:rPr>
          <w:rFonts w:eastAsia="Calibri"/>
        </w:rPr>
      </w:pPr>
      <w:r w:rsidRPr="00F15B2D">
        <w:t>Dans la même optique, le Gouvernement et la Banque Mondiale mènent depuis 2023, des activités de consultation du diagnostic de l’écosystème de l’état civil et d’identification au Cameroun</w:t>
      </w:r>
      <w:r w:rsidRPr="00F15B2D">
        <w:rPr>
          <w:rStyle w:val="FootnoteReference"/>
          <w:sz w:val="24"/>
        </w:rPr>
        <w:footnoteReference w:id="33"/>
      </w:r>
      <w:r w:rsidRPr="00F15B2D">
        <w:t xml:space="preserve">.  Le </w:t>
      </w:r>
      <w:r w:rsidRPr="00F15B2D">
        <w:rPr>
          <w:rFonts w:eastAsia="Calibri"/>
        </w:rPr>
        <w:t>recensement par digitalisation concernera pour un premier temps 420 centres d’état civil principaux lorsqu’il sera effectif. En mars 2025, 45 centres d’état civil avait déjà débuté la délivrance d’actes de naissance digitalisés. Par ailleurs, la collaboration entre des partenaires et les juridictions a permis la délivrance de plusieurs jugements supplétifs d’actes de naissance au cours d’audiences foraines. Cela a été le cas notamment dans le cadre de l’opération d’enregistrement hors délai des naissances d’élèves en fin de cycle primaire concernés par des examens et concours officiels lancée par le Ministère de l’</w:t>
      </w:r>
      <w:proofErr w:type="spellStart"/>
      <w:r w:rsidRPr="00F15B2D">
        <w:rPr>
          <w:rFonts w:eastAsia="Calibri"/>
        </w:rPr>
        <w:t>Education</w:t>
      </w:r>
      <w:proofErr w:type="spellEnd"/>
      <w:r w:rsidRPr="00F15B2D">
        <w:rPr>
          <w:rFonts w:eastAsia="Calibri"/>
        </w:rPr>
        <w:t xml:space="preserve"> de Base, à travers le Programme d’Appui à la Réforme de l’</w:t>
      </w:r>
      <w:proofErr w:type="spellStart"/>
      <w:r w:rsidRPr="00F15B2D">
        <w:rPr>
          <w:rFonts w:eastAsia="Calibri"/>
        </w:rPr>
        <w:t>Education</w:t>
      </w:r>
      <w:proofErr w:type="spellEnd"/>
      <w:r w:rsidRPr="00F15B2D">
        <w:rPr>
          <w:rFonts w:eastAsia="Calibri"/>
        </w:rPr>
        <w:t xml:space="preserve"> au Cameroun, bénéficiaire d’un appui de la Banque Mondiale. Dans ce cadre, les juridictions ont procédé en 2024 à la délivrance de 48 232 jugements (sur 49 311 dossiers enrôlés) supplétifs d’actes de naissance lors de la tenue de 544 audiences foraines spécialisées.</w:t>
      </w:r>
    </w:p>
    <w:p w14:paraId="7BE647E6" w14:textId="608C3A50"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Davantage, </w:t>
      </w:r>
      <w:r w:rsidRPr="00F46CD2">
        <w:rPr>
          <w:rFonts w:eastAsia="Times New Roman"/>
          <w:lang w:eastAsia="fr-FR"/>
        </w:rPr>
        <w:t>afin</w:t>
      </w:r>
      <w:r w:rsidRPr="00F15B2D">
        <w:t xml:space="preserve"> de faciliter l’établissement des actes d’état civil, le Gouverneur de la Région de l’Extrême-Nord a pris la Lettre-Circulaire n°000382/LC/K/IGSR du 4 mai 2024 relative à la reconstitution/établissement par voie administrative des actes d’état civil dans les localités touchées par la guerre contre Boko Haram ou des inondations dans ladite Région.</w:t>
      </w:r>
    </w:p>
    <w:p w14:paraId="49312AE6" w14:textId="3DA203AA" w:rsidR="00EC7229" w:rsidRPr="00F15B2D" w:rsidRDefault="00ED4218" w:rsidP="00ED4218">
      <w:pPr>
        <w:pStyle w:val="H23G"/>
      </w:pPr>
      <w:r>
        <w:tab/>
      </w:r>
      <w:r w:rsidR="00EC7229" w:rsidRPr="00F15B2D">
        <w:t>C.</w:t>
      </w:r>
      <w:r>
        <w:tab/>
      </w:r>
      <w:r w:rsidR="00EC7229" w:rsidRPr="00F15B2D">
        <w:t>Inscription des PDI à l’école sans exigence de l’acte de naissance.</w:t>
      </w:r>
    </w:p>
    <w:p w14:paraId="1930CF69" w14:textId="0BA49699"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Dans la pratique, la présentation de l’acte de naissance n’est pas un frein à l’inscription des PDI dans les écoles. D’où le nombre des PDI scolarisés. A titre d’illustration, pour l’année scolaire 2021/2022, 156 211 enfants PDI étaient inscrits dans des établissements scolaires publics, privés et communautaires des niveaux préscolaire et primaire, tandis que dans les niveaux secondaires général et technique, 28 469 élèves PDI ont été enregistrés. Courant 2023-2024, 1 688 élèves </w:t>
      </w:r>
      <w:r w:rsidRPr="00F46CD2">
        <w:rPr>
          <w:rFonts w:eastAsia="Times New Roman"/>
          <w:lang w:eastAsia="fr-FR"/>
        </w:rPr>
        <w:t>étaient</w:t>
      </w:r>
      <w:r w:rsidRPr="00F15B2D">
        <w:t xml:space="preserve"> inscrits au CEP et 1 192 ont été admis (70% de réussite), tandis que 10 031 ont été enregistrés au FSLC, avec 9 965 admis (95%). </w:t>
      </w:r>
    </w:p>
    <w:p w14:paraId="71C75503" w14:textId="02E6F6A7" w:rsidR="00EC7229" w:rsidRPr="00F15B2D" w:rsidRDefault="00ED4218" w:rsidP="00ED4218">
      <w:pPr>
        <w:pStyle w:val="H1G"/>
      </w:pPr>
      <w:bookmarkStart w:id="83" w:name="_Toc209182216"/>
      <w:bookmarkStart w:id="84" w:name="_Toc209194152"/>
      <w:bookmarkStart w:id="85" w:name="_Toc209435308"/>
      <w:r>
        <w:lastRenderedPageBreak/>
        <w:tab/>
      </w:r>
      <w:r w:rsidR="00EC7229" w:rsidRPr="00F15B2D">
        <w:t>XIV.</w:t>
      </w:r>
      <w:r>
        <w:tab/>
      </w:r>
      <w:r w:rsidR="00EC7229" w:rsidRPr="00F15B2D">
        <w:t>Enregistrement des naissances et documents d’identité (Rec. 31)</w:t>
      </w:r>
      <w:bookmarkEnd w:id="83"/>
      <w:bookmarkEnd w:id="84"/>
      <w:bookmarkEnd w:id="85"/>
      <w:r w:rsidR="00EC7229" w:rsidRPr="00F15B2D">
        <w:t xml:space="preserve"> </w:t>
      </w:r>
    </w:p>
    <w:p w14:paraId="56E56ED3" w14:textId="1515FB43" w:rsidR="00EC7229" w:rsidRPr="00F15B2D" w:rsidRDefault="00122465" w:rsidP="00ED4218">
      <w:pPr>
        <w:pStyle w:val="H23G"/>
      </w:pPr>
      <w:r>
        <w:tab/>
      </w:r>
      <w:r w:rsidR="00EC7229" w:rsidRPr="00F15B2D">
        <w:t>A.</w:t>
      </w:r>
      <w:r>
        <w:tab/>
      </w:r>
      <w:r w:rsidR="00EC7229" w:rsidRPr="00F15B2D">
        <w:t xml:space="preserve">Réformes du système d’état civil </w:t>
      </w:r>
    </w:p>
    <w:p w14:paraId="46561C92" w14:textId="71F357AE"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Le 23 décembre 2024, le Cameroun a adopté la Loi n°2024/016 portant organisation du système d’enregistrement des faits d’état civil. Cette loi vise à rendre le processus d'enregistrement des faits d'état civil plus efficace. L’une des principales innovations de </w:t>
      </w:r>
      <w:r w:rsidRPr="00F46CD2">
        <w:rPr>
          <w:rFonts w:eastAsia="Times New Roman"/>
          <w:lang w:eastAsia="fr-FR"/>
        </w:rPr>
        <w:t>cette</w:t>
      </w:r>
      <w:r w:rsidRPr="00F15B2D">
        <w:t xml:space="preserve"> loi est l’allongement des délais de déclaration des faits d’état civil, notamment en ce qui concerne la naissance et le décès. </w:t>
      </w:r>
    </w:p>
    <w:p w14:paraId="4D098A6C" w14:textId="3986EC08" w:rsidR="00EC7229" w:rsidRPr="00F15B2D" w:rsidRDefault="00EC7229" w:rsidP="00F46CD2">
      <w:pPr>
        <w:numPr>
          <w:ilvl w:val="0"/>
          <w:numId w:val="38"/>
        </w:numPr>
        <w:shd w:val="clear" w:color="auto" w:fill="FFFFFF"/>
        <w:spacing w:before="240" w:line="240" w:lineRule="auto"/>
        <w:ind w:left="1134" w:right="1134" w:firstLine="0"/>
        <w:jc w:val="both"/>
      </w:pPr>
      <w:r w:rsidRPr="00F15B2D">
        <w:t>Relativement aux naissances, l’article 10 alinéa 1</w:t>
      </w:r>
      <w:r w:rsidRPr="00F15B2D">
        <w:rPr>
          <w:vertAlign w:val="superscript"/>
        </w:rPr>
        <w:t>er</w:t>
      </w:r>
      <w:r w:rsidRPr="00F15B2D">
        <w:t xml:space="preserve"> porte le délai légal de déclaration à l’officier d’état civil à 90 jours contre 30 jours précédemment. </w:t>
      </w:r>
      <w:r w:rsidRPr="00F46CD2">
        <w:rPr>
          <w:rFonts w:eastAsia="Times New Roman"/>
          <w:lang w:eastAsia="fr-FR"/>
        </w:rPr>
        <w:t>L’article</w:t>
      </w:r>
      <w:r w:rsidRPr="00F15B2D">
        <w:t xml:space="preserve"> 11 précise la répartition de ce délai comme suit : la déclaration par la formation sanitaire ou toute personne ayant assisté à l’accouchement est faite dans un délai de 30 jours contre 15 jours auparavant ; la déclaration par les parents est faite dans un délai de 60 jours contre 15 précédemment. </w:t>
      </w:r>
    </w:p>
    <w:p w14:paraId="400F580F" w14:textId="578A357A"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A l’expiration du délai de 90 jours, la déclaration obéit aux règles suivantes : entre 90 jours et 12 mois, la déclaration ne peut être effectuée </w:t>
      </w:r>
      <w:r w:rsidRPr="00F46CD2">
        <w:rPr>
          <w:rFonts w:eastAsia="Times New Roman"/>
          <w:lang w:eastAsia="fr-FR"/>
        </w:rPr>
        <w:t>que</w:t>
      </w:r>
      <w:r w:rsidRPr="00F15B2D">
        <w:t xml:space="preserve"> sur réquisition du Procureur de la République et ce, dans un délai porté à 12 mois (article 12 alinéa 1</w:t>
      </w:r>
      <w:r w:rsidRPr="00F15B2D">
        <w:rPr>
          <w:vertAlign w:val="superscript"/>
        </w:rPr>
        <w:t>er</w:t>
      </w:r>
      <w:r w:rsidRPr="00F15B2D">
        <w:t>), contre 3 mois auparavant; lorsque le lieu de naissance est éloigné du siège de la juridiction compétente, la déclaration peut être faite sur réquisition du Sous-Préfet territorialement compétent ; au-delà de 12 mois, la déclaration ne peut être réalisée que par jugement déclaratif d’état civil rendu par la juridiction compétente dans un délai n’excédant pas 6 mois à compter de sa saisine.</w:t>
      </w:r>
    </w:p>
    <w:p w14:paraId="756AEB43" w14:textId="5FEEA18D"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Pour ce qui est des décès, en vertu de l’article 21, la déclaration doit être faite dans les 90 jours de leur survenance. Les précédentes dispositions prévoyaient un délai d’un mois. </w:t>
      </w:r>
    </w:p>
    <w:p w14:paraId="519380A8" w14:textId="42F10B2A" w:rsidR="00EC7229" w:rsidRPr="00F15B2D" w:rsidRDefault="00122465" w:rsidP="00122465">
      <w:pPr>
        <w:pStyle w:val="H23G"/>
      </w:pPr>
      <w:r>
        <w:tab/>
      </w:r>
      <w:r w:rsidR="00EC7229" w:rsidRPr="00F15B2D">
        <w:t>B.</w:t>
      </w:r>
      <w:r>
        <w:tab/>
      </w:r>
      <w:r w:rsidR="00EC7229" w:rsidRPr="00F15B2D">
        <w:t xml:space="preserve">Accessibilité de l’enregistrement des naissances et des documents d’identité </w:t>
      </w:r>
    </w:p>
    <w:p w14:paraId="0FA205A5" w14:textId="6567FA3B"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S’agissant de l’enregistrement des </w:t>
      </w:r>
      <w:r w:rsidRPr="00F46CD2">
        <w:rPr>
          <w:rFonts w:eastAsia="Times New Roman"/>
          <w:lang w:eastAsia="fr-FR"/>
        </w:rPr>
        <w:t>naissances</w:t>
      </w:r>
      <w:r w:rsidRPr="00F15B2D">
        <w:t xml:space="preserve"> y compris des PDI, et des documents d’identité, </w:t>
      </w:r>
      <w:r w:rsidRPr="00122465">
        <w:t>(voir § 95 to §99).</w:t>
      </w:r>
      <w:r w:rsidRPr="00F15B2D">
        <w:t xml:space="preserve"> </w:t>
      </w:r>
    </w:p>
    <w:p w14:paraId="23A24DDE" w14:textId="143CE652"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Sur un plan opérationnel et à titre </w:t>
      </w:r>
      <w:r w:rsidRPr="00F46CD2">
        <w:rPr>
          <w:rFonts w:eastAsia="Times New Roman"/>
          <w:lang w:eastAsia="fr-FR"/>
        </w:rPr>
        <w:t>d’exemple</w:t>
      </w:r>
      <w:r w:rsidRPr="00F15B2D">
        <w:t xml:space="preserve">, le 24 avril 2024 à Bertoua, le Gouvernement a, outre les mesures sus-évoquées </w:t>
      </w:r>
      <w:r w:rsidRPr="00F15B2D">
        <w:rPr>
          <w:b/>
          <w:bCs/>
        </w:rPr>
        <w:t>(§</w:t>
      </w:r>
      <w:proofErr w:type="spellStart"/>
      <w:r w:rsidRPr="00F15B2D">
        <w:rPr>
          <w:b/>
          <w:bCs/>
        </w:rPr>
        <w:t>see</w:t>
      </w:r>
      <w:proofErr w:type="spellEnd"/>
      <w:r w:rsidRPr="00F15B2D">
        <w:rPr>
          <w:b/>
          <w:bCs/>
        </w:rPr>
        <w:t xml:space="preserve"> § 95</w:t>
      </w:r>
      <w:r w:rsidRPr="00F15B2D">
        <w:t>), accompagné par l’Organisation Internationale des Migration (OIM), a remis des documents d’état civil aux personnes déplacées internes victimes des conflits dans les régions du Nord-Ouest et du Sud-Ouest (400 actes de naissance), et aux populations vulnérables (107 actes de naissance). Toujours au mois d’avril, le Gouvernement a mis à disposition 683 documents d’identification légale pour les PDI et populations vulnérables dans les communes de Yaoundé 3 et Yaoundé 6. Il en a été de même pour les Communes de Douala 4</w:t>
      </w:r>
      <w:r w:rsidRPr="00F15B2D">
        <w:rPr>
          <w:vertAlign w:val="superscript"/>
        </w:rPr>
        <w:t>ème</w:t>
      </w:r>
      <w:r w:rsidRPr="00F15B2D">
        <w:t xml:space="preserve">, </w:t>
      </w:r>
      <w:proofErr w:type="spellStart"/>
      <w:r w:rsidRPr="00F15B2D">
        <w:t>Manjo</w:t>
      </w:r>
      <w:proofErr w:type="spellEnd"/>
      <w:r w:rsidRPr="00F15B2D">
        <w:t>, Nkongsamba 1</w:t>
      </w:r>
      <w:r w:rsidRPr="00F15B2D">
        <w:rPr>
          <w:vertAlign w:val="superscript"/>
        </w:rPr>
        <w:t>er</w:t>
      </w:r>
      <w:r w:rsidRPr="00F15B2D">
        <w:t xml:space="preserve"> et </w:t>
      </w:r>
      <w:proofErr w:type="spellStart"/>
      <w:r w:rsidRPr="00F15B2D">
        <w:t>Melong</w:t>
      </w:r>
      <w:proofErr w:type="spellEnd"/>
      <w:r w:rsidRPr="00F15B2D">
        <w:t xml:space="preserve"> dans la Région du Littoral, où 100 actes de naissance et 50 cartes nationales d’identité (CNI) ont été produits. </w:t>
      </w:r>
    </w:p>
    <w:p w14:paraId="0E29C6CF" w14:textId="63F02532" w:rsidR="00EC7229" w:rsidRPr="00F15B2D" w:rsidRDefault="00122465" w:rsidP="00122465">
      <w:pPr>
        <w:pStyle w:val="H23G"/>
      </w:pPr>
      <w:r>
        <w:tab/>
      </w:r>
      <w:r w:rsidR="00EC7229" w:rsidRPr="00F15B2D">
        <w:t>C.</w:t>
      </w:r>
      <w:r>
        <w:tab/>
      </w:r>
      <w:r w:rsidR="00EC7229" w:rsidRPr="00F15B2D">
        <w:t>Adhésion aux conventions sur l’apatridie</w:t>
      </w:r>
    </w:p>
    <w:p w14:paraId="27D466B4" w14:textId="4B6392D0" w:rsidR="00EC7229" w:rsidRPr="00F15B2D" w:rsidRDefault="00EC7229" w:rsidP="00F46CD2">
      <w:pPr>
        <w:numPr>
          <w:ilvl w:val="0"/>
          <w:numId w:val="38"/>
        </w:numPr>
        <w:shd w:val="clear" w:color="auto" w:fill="FFFFFF"/>
        <w:spacing w:before="240" w:line="240" w:lineRule="auto"/>
        <w:ind w:left="1134" w:right="1134" w:firstLine="0"/>
        <w:jc w:val="both"/>
        <w:rPr>
          <w:rFonts w:eastAsia="Calibri"/>
          <w:bCs/>
        </w:rPr>
      </w:pPr>
      <w:r w:rsidRPr="00F15B2D">
        <w:rPr>
          <w:rFonts w:eastAsia="Calibri"/>
          <w:bCs/>
        </w:rPr>
        <w:t xml:space="preserve">Le Cameroun a, suivant Décret n° 2024/333 du 24 juillet 2024, adhéré aux Conventions des Nations Unies relatives au statut des apatrides et à la </w:t>
      </w:r>
      <w:r w:rsidRPr="00F46CD2">
        <w:rPr>
          <w:rFonts w:eastAsia="Times New Roman"/>
          <w:lang w:eastAsia="fr-FR"/>
        </w:rPr>
        <w:t>réduction</w:t>
      </w:r>
      <w:r w:rsidRPr="00F15B2D">
        <w:rPr>
          <w:rFonts w:eastAsia="Calibri"/>
          <w:bCs/>
        </w:rPr>
        <w:t xml:space="preserve"> des cas d'apatridie. </w:t>
      </w:r>
    </w:p>
    <w:p w14:paraId="0C179DFA" w14:textId="18066ED4" w:rsidR="00EC7229" w:rsidRPr="00F15B2D" w:rsidRDefault="00122465" w:rsidP="00122465">
      <w:pPr>
        <w:pStyle w:val="H1G"/>
      </w:pPr>
      <w:bookmarkStart w:id="86" w:name="_Toc209182217"/>
      <w:bookmarkStart w:id="87" w:name="_Toc209194153"/>
      <w:bookmarkStart w:id="88" w:name="_Toc209435309"/>
      <w:r>
        <w:lastRenderedPageBreak/>
        <w:tab/>
      </w:r>
      <w:r w:rsidR="00EC7229" w:rsidRPr="00F15B2D">
        <w:t>XV.</w:t>
      </w:r>
      <w:r>
        <w:tab/>
      </w:r>
      <w:r w:rsidR="00EC7229" w:rsidRPr="00F15B2D">
        <w:t>Réfugiés et demandeurs d’asile (Rec. 33)</w:t>
      </w:r>
      <w:bookmarkEnd w:id="86"/>
      <w:bookmarkEnd w:id="87"/>
      <w:bookmarkEnd w:id="88"/>
    </w:p>
    <w:p w14:paraId="01456229" w14:textId="184FCC0A" w:rsidR="00EC7229" w:rsidRPr="00F15B2D" w:rsidRDefault="00122465" w:rsidP="00122465">
      <w:pPr>
        <w:pStyle w:val="H23G"/>
      </w:pPr>
      <w:r>
        <w:tab/>
      </w:r>
      <w:r w:rsidR="00EC7229" w:rsidRPr="00F15B2D">
        <w:t>A.</w:t>
      </w:r>
      <w:r>
        <w:tab/>
      </w:r>
      <w:r w:rsidR="00EC7229" w:rsidRPr="00F15B2D">
        <w:t xml:space="preserve">Cadre normatif et </w:t>
      </w:r>
      <w:proofErr w:type="spellStart"/>
      <w:r w:rsidR="00EC7229" w:rsidRPr="00F15B2D">
        <w:t>règlementaire</w:t>
      </w:r>
      <w:proofErr w:type="spellEnd"/>
      <w:r w:rsidR="00EC7229" w:rsidRPr="00F15B2D">
        <w:t xml:space="preserve"> de protection des réfugiés et des demandeurs d’asile</w:t>
      </w:r>
    </w:p>
    <w:p w14:paraId="1580F08C" w14:textId="3AC0B7E3" w:rsidR="00EC7229" w:rsidRPr="00F15B2D" w:rsidRDefault="00EC7229" w:rsidP="00F46CD2">
      <w:pPr>
        <w:numPr>
          <w:ilvl w:val="0"/>
          <w:numId w:val="38"/>
        </w:numPr>
        <w:shd w:val="clear" w:color="auto" w:fill="FFFFFF"/>
        <w:spacing w:before="240" w:line="240" w:lineRule="auto"/>
        <w:ind w:left="1134" w:right="1134" w:firstLine="0"/>
        <w:jc w:val="both"/>
        <w:rPr>
          <w:rFonts w:eastAsiaTheme="minorEastAsia"/>
          <w:lang w:eastAsia="fr-FR"/>
        </w:rPr>
      </w:pPr>
      <w:bookmarkStart w:id="89" w:name="_Hlk199333146"/>
      <w:r w:rsidRPr="00F15B2D">
        <w:t>Outre l’adhésion aux conventions sur l’apatridie</w:t>
      </w:r>
      <w:r w:rsidRPr="00F15B2D">
        <w:rPr>
          <w:b/>
          <w:bCs/>
        </w:rPr>
        <w:t xml:space="preserve"> (voir § 105</w:t>
      </w:r>
      <w:r w:rsidRPr="00F15B2D">
        <w:t>), l’Arrêté ministériel n° 0521/DIPL/CAB constatant la composition des commissions d’éligibilité des organes de gestion du statut des réfugiés au Cameroun a été signé le 7 août 2019.</w:t>
      </w:r>
    </w:p>
    <w:bookmarkEnd w:id="89"/>
    <w:p w14:paraId="18DB8353" w14:textId="495990EC" w:rsidR="00EC7229" w:rsidRPr="00F15B2D" w:rsidRDefault="00122465" w:rsidP="00122465">
      <w:pPr>
        <w:pStyle w:val="H23G"/>
      </w:pPr>
      <w:r>
        <w:tab/>
      </w:r>
      <w:r w:rsidR="00EC7229" w:rsidRPr="00F15B2D">
        <w:t>B.</w:t>
      </w:r>
      <w:r>
        <w:tab/>
      </w:r>
      <w:r w:rsidR="00EC7229" w:rsidRPr="00F15B2D">
        <w:t>Respect du principe de non-refoulement</w:t>
      </w:r>
    </w:p>
    <w:p w14:paraId="7F5E6619" w14:textId="22AE14B0" w:rsidR="00EC7229" w:rsidRPr="00F15B2D" w:rsidRDefault="00EC7229" w:rsidP="00F46CD2">
      <w:pPr>
        <w:numPr>
          <w:ilvl w:val="0"/>
          <w:numId w:val="38"/>
        </w:numPr>
        <w:shd w:val="clear" w:color="auto" w:fill="FFFFFF"/>
        <w:spacing w:before="240" w:line="240" w:lineRule="auto"/>
        <w:ind w:left="1134" w:right="1134" w:firstLine="0"/>
        <w:jc w:val="both"/>
      </w:pPr>
      <w:r w:rsidRPr="00F15B2D">
        <w:t>Au titre des solutions durables, l’</w:t>
      </w:r>
      <w:proofErr w:type="spellStart"/>
      <w:r w:rsidRPr="00F15B2D">
        <w:t>Etat</w:t>
      </w:r>
      <w:proofErr w:type="spellEnd"/>
      <w:r w:rsidRPr="00F15B2D">
        <w:t xml:space="preserve"> a facilité, dans les conditions de sécurité et de dignité, le rapatriement volontaire des réfugiés vers leurs pays d’origine et la réinstallation dans un autre pays comme suit : en 2023, </w:t>
      </w:r>
      <w:r w:rsidRPr="00F15B2D">
        <w:rPr>
          <w:rFonts w:eastAsia="Calibri"/>
        </w:rPr>
        <w:t>2 396 réfugiés ont été rapatriés vers leurs pays, notamment 1 319 réfugiés nigérians, 997 centrafricains, 80 réfugiés de différentes nationalités vivant en zone urbaine ; e</w:t>
      </w:r>
      <w:r w:rsidRPr="00F15B2D">
        <w:t xml:space="preserve">n 2024, 242 réfugiés nigérians et environ 600 réfugiés centrafricains ont été rapatriés. Par ailleurs, en novembre 2023, il a facilité la réinstallation de 878 réfugiés soit 364 en France, 274 aux Etats-Unis, 215 au Canada, 22 en Australie et 3 en Finlande, ainsi que celle de 1 080 réfugiés en </w:t>
      </w:r>
      <w:r w:rsidRPr="00F15B2D">
        <w:rPr>
          <w:rFonts w:eastAsia="Calibri"/>
        </w:rPr>
        <w:t>Australie, au Canada, en France et aux Etats-Unis</w:t>
      </w:r>
      <w:r w:rsidRPr="00F15B2D">
        <w:t xml:space="preserve"> en 2024</w:t>
      </w:r>
      <w:r w:rsidRPr="00F15B2D">
        <w:rPr>
          <w:rFonts w:eastAsia="Calibri"/>
        </w:rPr>
        <w:t xml:space="preserve">. </w:t>
      </w:r>
    </w:p>
    <w:p w14:paraId="36A5F5DB" w14:textId="36CA1685" w:rsidR="00EC7229" w:rsidRPr="00F15B2D" w:rsidRDefault="00122465" w:rsidP="00122465">
      <w:pPr>
        <w:pStyle w:val="H23G"/>
      </w:pPr>
      <w:r>
        <w:tab/>
      </w:r>
      <w:r w:rsidR="00EC7229" w:rsidRPr="00F15B2D">
        <w:t>C.</w:t>
      </w:r>
      <w:r>
        <w:tab/>
      </w:r>
      <w:r w:rsidR="00EC7229" w:rsidRPr="00F15B2D">
        <w:t>Accès aux services sociaux de base</w:t>
      </w:r>
    </w:p>
    <w:p w14:paraId="77A8E03D" w14:textId="375FA32B" w:rsidR="00EC7229" w:rsidRPr="00F15B2D" w:rsidRDefault="00122465" w:rsidP="00122465">
      <w:pPr>
        <w:pStyle w:val="H4G"/>
      </w:pPr>
      <w:r>
        <w:tab/>
      </w:r>
      <w:r w:rsidR="00EC7229" w:rsidRPr="00F15B2D">
        <w:t>1.</w:t>
      </w:r>
      <w:r>
        <w:tab/>
      </w:r>
      <w:r w:rsidR="00EC7229" w:rsidRPr="00F15B2D">
        <w:t xml:space="preserve">Logement </w:t>
      </w:r>
    </w:p>
    <w:p w14:paraId="796AB880" w14:textId="524B15A2"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En dehors des appuis financiers, en matériaux de construction et produits de couchage, des sites aménagés accueillent des réfugiés dans les régions de l’Extrême-Nord et de l’Est, tandis que d’autres réfugiés et les demandeurs d’asile vivent dans les villages ou en zone urbaine. A titre d’illustration, en 2024, 41 247 réfugiés centrafricains vivaient dans les sites de </w:t>
      </w:r>
      <w:proofErr w:type="spellStart"/>
      <w:r w:rsidRPr="00F15B2D">
        <w:t>Gado</w:t>
      </w:r>
      <w:proofErr w:type="spellEnd"/>
      <w:r w:rsidRPr="00F15B2D">
        <w:t xml:space="preserve"> </w:t>
      </w:r>
      <w:proofErr w:type="spellStart"/>
      <w:r w:rsidRPr="00F15B2D">
        <w:t>badzere</w:t>
      </w:r>
      <w:proofErr w:type="spellEnd"/>
      <w:r w:rsidRPr="00F15B2D">
        <w:t xml:space="preserve">, Lolo, </w:t>
      </w:r>
      <w:proofErr w:type="spellStart"/>
      <w:r w:rsidRPr="00F15B2D">
        <w:t>Borgop</w:t>
      </w:r>
      <w:proofErr w:type="spellEnd"/>
      <w:r w:rsidRPr="00F15B2D">
        <w:t xml:space="preserve">, </w:t>
      </w:r>
      <w:proofErr w:type="spellStart"/>
      <w:r w:rsidRPr="00F15B2D">
        <w:t>Mbile</w:t>
      </w:r>
      <w:proofErr w:type="spellEnd"/>
      <w:r w:rsidRPr="00F15B2D">
        <w:t xml:space="preserve">, </w:t>
      </w:r>
      <w:proofErr w:type="spellStart"/>
      <w:r w:rsidRPr="00F15B2D">
        <w:t>Ngam</w:t>
      </w:r>
      <w:proofErr w:type="spellEnd"/>
      <w:r w:rsidRPr="00F15B2D">
        <w:t xml:space="preserve">, </w:t>
      </w:r>
      <w:proofErr w:type="spellStart"/>
      <w:r w:rsidRPr="00F15B2D">
        <w:t>Timangolo</w:t>
      </w:r>
      <w:proofErr w:type="spellEnd"/>
      <w:r w:rsidRPr="00F15B2D">
        <w:t xml:space="preserve"> et </w:t>
      </w:r>
      <w:proofErr w:type="spellStart"/>
      <w:r w:rsidRPr="00F15B2D">
        <w:t>Ngarissingo</w:t>
      </w:r>
      <w:proofErr w:type="spellEnd"/>
      <w:r w:rsidRPr="00F15B2D">
        <w:t xml:space="preserve"> dans la Région de l’Est. De plus, 255 899 réfugiés vivaient en communauté dans les Régions de l’Est, du Nord et de l’Adamaoua. Le site de </w:t>
      </w:r>
      <w:proofErr w:type="spellStart"/>
      <w:r w:rsidRPr="00F15B2D">
        <w:t>Minawao</w:t>
      </w:r>
      <w:proofErr w:type="spellEnd"/>
      <w:r w:rsidRPr="00F15B2D">
        <w:t xml:space="preserve"> dans l’Extrême-Nord abritait 80 339 réfugiés nigérians et 43 487 autres étaient en communauté. En zone urbaine, l’on comptait 27 192 réfugiés centrafricains et nigérians, 3 294 d’autres nationalités et 16 050 demandeurs d’asile.</w:t>
      </w:r>
    </w:p>
    <w:p w14:paraId="23E1929E" w14:textId="338326AB" w:rsidR="00EC7229" w:rsidRPr="00F15B2D" w:rsidRDefault="00122465" w:rsidP="00122465">
      <w:pPr>
        <w:pStyle w:val="H4G"/>
      </w:pPr>
      <w:r>
        <w:tab/>
      </w:r>
      <w:r w:rsidR="00EC7229" w:rsidRPr="00F15B2D">
        <w:t>2.</w:t>
      </w:r>
      <w:r>
        <w:tab/>
      </w:r>
      <w:r w:rsidR="00EC7229" w:rsidRPr="00F15B2D">
        <w:t xml:space="preserve">Santé </w:t>
      </w:r>
    </w:p>
    <w:p w14:paraId="058FCB3E" w14:textId="03230217"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Les réfugiés ont bénéficié de soins préventifs et curatifs. A titre d’illustration, ils ont été inclus en 2021 dans le Programme élargi de vaccination et ont bénéficié de campagnes de vaccination notamment contre la rougeole et la poliomyélite. En 2022, 1 967 enfants réfugiés nigérians du site de </w:t>
      </w:r>
      <w:proofErr w:type="spellStart"/>
      <w:r w:rsidRPr="00F15B2D">
        <w:t>Minawao</w:t>
      </w:r>
      <w:proofErr w:type="spellEnd"/>
      <w:r w:rsidRPr="00F15B2D">
        <w:t xml:space="preserve"> âgés de moins d’un an ont été vaccinés contre la rougeole avec un taux de </w:t>
      </w:r>
      <w:r w:rsidRPr="00F46CD2">
        <w:rPr>
          <w:rFonts w:eastAsia="Times New Roman"/>
          <w:lang w:eastAsia="fr-FR"/>
        </w:rPr>
        <w:t>couverture</w:t>
      </w:r>
      <w:r w:rsidRPr="00F15B2D">
        <w:t xml:space="preserve"> vaccinale de 98,4% contre 94,60% dans les sites accueillant les réfugiés centrafricains.</w:t>
      </w:r>
    </w:p>
    <w:p w14:paraId="31585C9D" w14:textId="584230BA" w:rsidR="00EC7229" w:rsidRPr="00F15B2D" w:rsidRDefault="00122465" w:rsidP="00122465">
      <w:pPr>
        <w:pStyle w:val="H4G"/>
      </w:pPr>
      <w:r>
        <w:tab/>
      </w:r>
      <w:r w:rsidR="00EC7229" w:rsidRPr="00F15B2D">
        <w:t>3.</w:t>
      </w:r>
      <w:r>
        <w:tab/>
      </w:r>
      <w:proofErr w:type="spellStart"/>
      <w:r w:rsidR="00EC7229" w:rsidRPr="00F15B2D">
        <w:t>Education</w:t>
      </w:r>
      <w:proofErr w:type="spellEnd"/>
      <w:r w:rsidR="00EC7229" w:rsidRPr="00F15B2D">
        <w:t xml:space="preserve"> </w:t>
      </w:r>
    </w:p>
    <w:p w14:paraId="79A7196D" w14:textId="1FC48B45" w:rsidR="00EC7229" w:rsidRPr="00F15B2D" w:rsidRDefault="00EC7229" w:rsidP="00F46CD2">
      <w:pPr>
        <w:numPr>
          <w:ilvl w:val="0"/>
          <w:numId w:val="38"/>
        </w:numPr>
        <w:shd w:val="clear" w:color="auto" w:fill="FFFFFF"/>
        <w:spacing w:before="240" w:line="240" w:lineRule="auto"/>
        <w:ind w:left="1134" w:right="1134" w:firstLine="0"/>
        <w:jc w:val="both"/>
      </w:pPr>
      <w:r w:rsidRPr="00F15B2D">
        <w:t>Diverses mesures incitatives (telles que l’introduction en 2019 des composantes d’éducation en situation d’urgence dans les programmes de formation initiale des enseignants du primaire et de la maternelle, ou le recrutement et l’appui de 150 maîtres des parents en 2022</w:t>
      </w:r>
      <w:r w:rsidRPr="00F15B2D">
        <w:rPr>
          <w:rStyle w:val="FootnoteReference"/>
          <w:sz w:val="24"/>
        </w:rPr>
        <w:footnoteReference w:id="34"/>
      </w:r>
      <w:r w:rsidRPr="00F15B2D">
        <w:t xml:space="preserve"> dans le cadre de la collaboration Ministère de l’</w:t>
      </w:r>
      <w:proofErr w:type="spellStart"/>
      <w:r w:rsidRPr="00F15B2D">
        <w:t>Education</w:t>
      </w:r>
      <w:proofErr w:type="spellEnd"/>
      <w:r w:rsidRPr="00F15B2D">
        <w:t xml:space="preserve"> de Base-HCR, etc.) ont permis d’enregistrer, notamment au cours de l’année scolaire 2022/2023, 5 425 inscriptions à la prématernelle, 76 514 au primaire, 424 dans les centres d’alphabétisation fonctionnelle, 520 dans les centres d’alphabétisation et d’éducation de base non formelle, 4 257 au secondaire. Au niveau supérieur, 132 réfugiés ont bénéficié du programme de bourse allemande d’études supérieures (DAFI) et 7 autres en niveau master ont été admis dans des universités en France. Concernant </w:t>
      </w:r>
      <w:r w:rsidRPr="00F15B2D">
        <w:lastRenderedPageBreak/>
        <w:t>les examens, l’on a enregistré la même année 1 923 inscriptions au Certificat d’</w:t>
      </w:r>
      <w:proofErr w:type="spellStart"/>
      <w:r w:rsidRPr="00F15B2D">
        <w:t>Etudes</w:t>
      </w:r>
      <w:proofErr w:type="spellEnd"/>
      <w:r w:rsidRPr="00F15B2D">
        <w:t xml:space="preserve"> Primaires avec 627 admis et 1 529 inscrits au </w:t>
      </w:r>
      <w:r w:rsidRPr="00F15B2D">
        <w:rPr>
          <w:i/>
          <w:iCs/>
        </w:rPr>
        <w:t xml:space="preserve">First </w:t>
      </w:r>
      <w:proofErr w:type="spellStart"/>
      <w:r w:rsidRPr="00F15B2D">
        <w:rPr>
          <w:i/>
          <w:iCs/>
        </w:rPr>
        <w:t>School</w:t>
      </w:r>
      <w:proofErr w:type="spellEnd"/>
      <w:r w:rsidRPr="00F15B2D">
        <w:rPr>
          <w:i/>
          <w:iCs/>
        </w:rPr>
        <w:t xml:space="preserve"> </w:t>
      </w:r>
      <w:proofErr w:type="spellStart"/>
      <w:r w:rsidRPr="00F15B2D">
        <w:rPr>
          <w:i/>
          <w:iCs/>
        </w:rPr>
        <w:t>Leaving</w:t>
      </w:r>
      <w:proofErr w:type="spellEnd"/>
      <w:r w:rsidRPr="00F15B2D">
        <w:rPr>
          <w:i/>
          <w:iCs/>
        </w:rPr>
        <w:t xml:space="preserve"> </w:t>
      </w:r>
      <w:proofErr w:type="spellStart"/>
      <w:r w:rsidRPr="00F15B2D">
        <w:rPr>
          <w:i/>
          <w:iCs/>
        </w:rPr>
        <w:t>Certificate</w:t>
      </w:r>
      <w:proofErr w:type="spellEnd"/>
      <w:r w:rsidRPr="00F15B2D">
        <w:t>,</w:t>
      </w:r>
      <w:r w:rsidRPr="00F15B2D">
        <w:rPr>
          <w:i/>
          <w:iCs/>
        </w:rPr>
        <w:t xml:space="preserve"> </w:t>
      </w:r>
      <w:r w:rsidRPr="00F15B2D">
        <w:t>avec 1 279 admis.</w:t>
      </w:r>
    </w:p>
    <w:p w14:paraId="578952AF" w14:textId="44459FC3" w:rsidR="00EC7229" w:rsidRPr="00F15B2D" w:rsidRDefault="00122465" w:rsidP="00122465">
      <w:pPr>
        <w:pStyle w:val="H4G"/>
      </w:pPr>
      <w:r>
        <w:tab/>
      </w:r>
      <w:r w:rsidR="00EC7229" w:rsidRPr="00F15B2D">
        <w:t>4.</w:t>
      </w:r>
      <w:r>
        <w:tab/>
      </w:r>
      <w:r w:rsidR="00EC7229" w:rsidRPr="00F15B2D">
        <w:t>Alimentation</w:t>
      </w:r>
    </w:p>
    <w:p w14:paraId="1298395C" w14:textId="11BB987F"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Une assistance alimentaire en nature ou en numéraire a été apportée aux réfugiés et demandeurs d’asile, notamment avec l’appui du Programme Alimentaire Mondial (PAM). Ainsi, en 2019, près de 45,14% de réfugiés centrafricains ont bénéficié de cette aide ainsi que 90 % des réfugiés nigérians du site de </w:t>
      </w:r>
      <w:proofErr w:type="spellStart"/>
      <w:r w:rsidRPr="00F15B2D">
        <w:t>Minawao</w:t>
      </w:r>
      <w:proofErr w:type="spellEnd"/>
      <w:r w:rsidRPr="00F15B2D">
        <w:t xml:space="preserve">. En 2021, 740 834 réfugiés en ont bénéficié avec une </w:t>
      </w:r>
      <w:r w:rsidRPr="00F46CD2">
        <w:rPr>
          <w:rFonts w:eastAsia="Times New Roman"/>
          <w:lang w:eastAsia="fr-FR"/>
        </w:rPr>
        <w:t>moyenne</w:t>
      </w:r>
      <w:r w:rsidRPr="00F15B2D">
        <w:t xml:space="preserve"> de 67 348 personnes/mois. Avec la baisse drastique de la distribution de vivres par le PAM en 2024, </w:t>
      </w:r>
      <w:r w:rsidRPr="00F15B2D">
        <w:rPr>
          <w:rFonts w:eastAsia="Calibri"/>
          <w:bCs/>
        </w:rPr>
        <w:t>un don présidentiel de denrées alimentaires et de produits de première nécessité évalué à 100 000 000 FCFA</w:t>
      </w:r>
      <w:r w:rsidRPr="00F15B2D">
        <w:rPr>
          <w:rStyle w:val="FootnoteReference"/>
          <w:rFonts w:eastAsia="Calibri"/>
          <w:bCs/>
          <w:sz w:val="24"/>
        </w:rPr>
        <w:footnoteReference w:id="35"/>
      </w:r>
      <w:r w:rsidRPr="00F15B2D">
        <w:rPr>
          <w:rFonts w:eastAsia="Calibri"/>
          <w:bCs/>
        </w:rPr>
        <w:t xml:space="preserve"> a été octroyé aux réfugiés à l’Extrême-Nord.</w:t>
      </w:r>
    </w:p>
    <w:p w14:paraId="662626D6" w14:textId="2D1C6F63" w:rsidR="00EC7229" w:rsidRPr="00F15B2D" w:rsidRDefault="00122465" w:rsidP="00122465">
      <w:pPr>
        <w:pStyle w:val="H4G"/>
      </w:pPr>
      <w:r>
        <w:tab/>
      </w:r>
      <w:r w:rsidR="00EC7229" w:rsidRPr="00F15B2D">
        <w:t>5.</w:t>
      </w:r>
      <w:r>
        <w:tab/>
      </w:r>
      <w:r w:rsidR="00EC7229" w:rsidRPr="00F15B2D">
        <w:t xml:space="preserve">Documentation </w:t>
      </w:r>
    </w:p>
    <w:p w14:paraId="5E890D17" w14:textId="57A8D7C4" w:rsidR="00EC7229" w:rsidRPr="00F15B2D" w:rsidRDefault="00EC7229" w:rsidP="00F46CD2">
      <w:pPr>
        <w:numPr>
          <w:ilvl w:val="0"/>
          <w:numId w:val="38"/>
        </w:numPr>
        <w:shd w:val="clear" w:color="auto" w:fill="FFFFFF"/>
        <w:spacing w:before="240" w:line="240" w:lineRule="auto"/>
        <w:ind w:left="1134" w:right="1134" w:firstLine="0"/>
        <w:jc w:val="both"/>
        <w:rPr>
          <w:strike/>
        </w:rPr>
      </w:pPr>
      <w:r w:rsidRPr="00F15B2D">
        <w:t xml:space="preserve">Les réfugiés et demandeurs d’asile ont reçu des documents d’identification. En appui, le HCR a facilité, notamment en 2022, dans la </w:t>
      </w:r>
      <w:r w:rsidRPr="00F46CD2">
        <w:rPr>
          <w:rFonts w:eastAsia="Times New Roman"/>
          <w:lang w:eastAsia="fr-FR"/>
        </w:rPr>
        <w:t>Région</w:t>
      </w:r>
      <w:r w:rsidRPr="00F15B2D">
        <w:t xml:space="preserve"> de l’Extrême-Nord, la délivrance de 19 000 actes de naissance et 1 800 cartes nationales d’identité pour les réfugiés camerounais retournés et les PDI. </w:t>
      </w:r>
    </w:p>
    <w:p w14:paraId="79F17900" w14:textId="4F10CC0A" w:rsidR="00EC7229" w:rsidRPr="00F15B2D" w:rsidRDefault="00EC7229" w:rsidP="00F46CD2">
      <w:pPr>
        <w:numPr>
          <w:ilvl w:val="0"/>
          <w:numId w:val="38"/>
        </w:numPr>
        <w:shd w:val="clear" w:color="auto" w:fill="FFFFFF"/>
        <w:spacing w:before="240" w:line="240" w:lineRule="auto"/>
        <w:ind w:left="1134" w:right="1134" w:firstLine="0"/>
        <w:jc w:val="both"/>
      </w:pPr>
      <w:r w:rsidRPr="00F15B2D">
        <w:t xml:space="preserve">La Délégation Générale à la </w:t>
      </w:r>
      <w:proofErr w:type="spellStart"/>
      <w:r w:rsidRPr="00F15B2D">
        <w:t>Sureté</w:t>
      </w:r>
      <w:proofErr w:type="spellEnd"/>
      <w:r w:rsidRPr="00F15B2D">
        <w:t xml:space="preserve"> Nationale a délivré, en juin 2022 et en 2023, 10 350 cartes biométriques au profit des réfugiés </w:t>
      </w:r>
      <w:r w:rsidRPr="00F46CD2">
        <w:rPr>
          <w:rFonts w:eastAsia="Times New Roman"/>
          <w:lang w:eastAsia="fr-FR"/>
        </w:rPr>
        <w:t>centrafricains</w:t>
      </w:r>
      <w:r w:rsidRPr="00F15B2D">
        <w:t>. Le HCR a également délivré en 2020 des cartes de réfugié conventionnelles et des certificats de composition familiale à 134 354 réfugiés centrafricains et nigérians âgés de 18 ans et plus, ainsi que 80 190 cartes aux réfugiés des nationalités susvisées en 2022.</w:t>
      </w:r>
    </w:p>
    <w:p w14:paraId="282AE41B" w14:textId="63A399BD" w:rsidR="00EC7229" w:rsidRPr="00F15B2D" w:rsidRDefault="00B90C3E" w:rsidP="00122465">
      <w:pPr>
        <w:pStyle w:val="H4G"/>
      </w:pPr>
      <w:r>
        <w:tab/>
      </w:r>
      <w:r w:rsidR="00EC7229" w:rsidRPr="00F15B2D">
        <w:t>6.</w:t>
      </w:r>
      <w:r>
        <w:tab/>
      </w:r>
      <w:r w:rsidR="00EC7229" w:rsidRPr="00F15B2D">
        <w:t>Autonomisation</w:t>
      </w:r>
    </w:p>
    <w:p w14:paraId="3FA4655E" w14:textId="3B8EB241" w:rsidR="00EC7229" w:rsidRPr="00F15B2D" w:rsidRDefault="00EC7229" w:rsidP="00F46CD2">
      <w:pPr>
        <w:numPr>
          <w:ilvl w:val="0"/>
          <w:numId w:val="38"/>
        </w:numPr>
        <w:shd w:val="clear" w:color="auto" w:fill="FFFFFF"/>
        <w:spacing w:before="240" w:line="240" w:lineRule="auto"/>
        <w:ind w:left="1134" w:right="1134" w:firstLine="0"/>
        <w:jc w:val="both"/>
        <w:rPr>
          <w:b/>
          <w:bCs/>
        </w:rPr>
      </w:pPr>
      <w:r w:rsidRPr="00F15B2D">
        <w:t>Des formations sont offertes aux réfugiés et demandeurs d’asile dans divers domaines comme l’élevage, la pâtisserie, la conduite automobile, l’agriculture, le commerce, l’entrepreneuriat agricole, l’</w:t>
      </w:r>
      <w:r w:rsidRPr="00F15B2D">
        <w:rPr>
          <w:i/>
          <w:iCs/>
        </w:rPr>
        <w:t xml:space="preserve">e-commerce, </w:t>
      </w:r>
      <w:r w:rsidRPr="00F15B2D">
        <w:t xml:space="preserve">la pêche, etc. A titre d’illustration, en 2022, l’ONG JAPSSO a, dans le cadre d’un projet conjoint avec l’UNFPA, inséré 196 jeunes réfugiés dans différentes filières pour leur insertion socio-professionnelle et </w:t>
      </w:r>
      <w:proofErr w:type="spellStart"/>
      <w:r w:rsidRPr="00F15B2D">
        <w:rPr>
          <w:i/>
          <w:iCs/>
        </w:rPr>
        <w:t>Education</w:t>
      </w:r>
      <w:proofErr w:type="spellEnd"/>
      <w:r w:rsidRPr="00F15B2D">
        <w:rPr>
          <w:i/>
          <w:iCs/>
        </w:rPr>
        <w:t xml:space="preserve"> For All</w:t>
      </w:r>
      <w:r w:rsidRPr="00F15B2D">
        <w:t xml:space="preserve"> en a inséré 50 à l’Extrême-Nord après </w:t>
      </w:r>
      <w:r w:rsidRPr="00F46CD2">
        <w:rPr>
          <w:rFonts w:eastAsia="Times New Roman"/>
          <w:lang w:eastAsia="fr-FR"/>
        </w:rPr>
        <w:t>une</w:t>
      </w:r>
      <w:r w:rsidRPr="00F15B2D">
        <w:t xml:space="preserve"> formation de 6 mois en mécanique auto.</w:t>
      </w:r>
      <w:r w:rsidRPr="00F15B2D">
        <w:rPr>
          <w:b/>
          <w:bCs/>
        </w:rPr>
        <w:t xml:space="preserve">  </w:t>
      </w:r>
    </w:p>
    <w:p w14:paraId="266FEC32" w14:textId="17DD0716" w:rsidR="00EC7229" w:rsidRPr="00F15B2D" w:rsidRDefault="00EC7229" w:rsidP="00F46CD2">
      <w:pPr>
        <w:numPr>
          <w:ilvl w:val="0"/>
          <w:numId w:val="38"/>
        </w:numPr>
        <w:shd w:val="clear" w:color="auto" w:fill="FFFFFF"/>
        <w:spacing w:before="240" w:line="240" w:lineRule="auto"/>
        <w:ind w:left="1134" w:right="1134" w:firstLine="0"/>
        <w:jc w:val="both"/>
      </w:pPr>
      <w:r w:rsidRPr="00F15B2D">
        <w:t>Des projets ont également été mis sur pied, au rang desquels le « Projet d’autonomisation des femmes pour des économies résilientes et des communautés pacifiques dans les Régions de l’Est et de l’Adamaoua</w:t>
      </w:r>
      <w:r w:rsidRPr="00F15B2D">
        <w:rPr>
          <w:b/>
          <w:bCs/>
        </w:rPr>
        <w:t xml:space="preserve"> </w:t>
      </w:r>
      <w:r w:rsidRPr="00F15B2D">
        <w:t xml:space="preserve">», lancé en 2021 avec l’appui de l’Organisation Internationale du Travail et de l’Agence Coréenne de Coopération Internationale. A travers ce Projet, 3 500 femmes dont des réfugiées ont été, en 2024, formées sur les outils d’entrepreneuriat individuel et collectif, les techniques d’agriculture écologique et de transformation </w:t>
      </w:r>
      <w:proofErr w:type="spellStart"/>
      <w:r w:rsidRPr="00F15B2D">
        <w:t>agropastorale</w:t>
      </w:r>
      <w:proofErr w:type="spellEnd"/>
      <w:r w:rsidRPr="00F15B2D">
        <w:t xml:space="preserve"> du manioc et du maïs. </w:t>
      </w:r>
    </w:p>
    <w:p w14:paraId="550B50AB" w14:textId="34EEF50C" w:rsidR="00EC7229" w:rsidRPr="00F15B2D" w:rsidRDefault="00EC7229" w:rsidP="00F46CD2">
      <w:pPr>
        <w:numPr>
          <w:ilvl w:val="0"/>
          <w:numId w:val="38"/>
        </w:numPr>
        <w:shd w:val="clear" w:color="auto" w:fill="FFFFFF"/>
        <w:spacing w:before="240" w:line="240" w:lineRule="auto"/>
        <w:ind w:left="1134" w:right="1134" w:firstLine="0"/>
        <w:jc w:val="both"/>
        <w:rPr>
          <w:b/>
        </w:rPr>
      </w:pPr>
      <w:r w:rsidRPr="00F15B2D">
        <w:t xml:space="preserve">En plus des aides et accompagnements multiformes, des parcelles de terrain ont été temporairement mises à la disposition des réfugiés par des autorités administratives ou traditionnelles pour des activités génératrices de revenus. A titre d’illustration, 15 groupements d’intérêts communs de réfugiés des villes de Yaoundé et Douala ont reçu des crédits en 2019, tandis qu’en 2021, les populations riveraines dans l’Adamaoua, l’Est et le Nord ont temporairement mis à </w:t>
      </w:r>
      <w:r w:rsidRPr="00F46CD2">
        <w:rPr>
          <w:rFonts w:eastAsia="Times New Roman"/>
          <w:lang w:eastAsia="fr-FR"/>
        </w:rPr>
        <w:t>disposition</w:t>
      </w:r>
      <w:r w:rsidRPr="00F15B2D">
        <w:t xml:space="preserve"> 1 060 ha des terres arables au profit de 2 265 personnes parmi lesquels 1 586 réfugiés. La culture de ces terres a permis de produire la même année 3 014 tonnes de vivres. </w:t>
      </w:r>
    </w:p>
    <w:p w14:paraId="0226E519" w14:textId="3C72D759" w:rsidR="00EC7229" w:rsidRPr="00F15B2D" w:rsidRDefault="00B90C3E" w:rsidP="00B90C3E">
      <w:pPr>
        <w:pStyle w:val="H1G"/>
      </w:pPr>
      <w:bookmarkStart w:id="90" w:name="_Toc209182218"/>
      <w:bookmarkStart w:id="91" w:name="_Toc209194154"/>
      <w:bookmarkStart w:id="92" w:name="_Toc209435310"/>
      <w:r>
        <w:lastRenderedPageBreak/>
        <w:tab/>
      </w:r>
      <w:r w:rsidR="00EC7229" w:rsidRPr="00F15B2D">
        <w:t>XVI.</w:t>
      </w:r>
      <w:r>
        <w:tab/>
      </w:r>
      <w:r w:rsidR="00EC7229" w:rsidRPr="00F15B2D">
        <w:t>Formation, éducation et autres mesures pour lutter contre la discrimination et l’intolérance (Rec. 35)</w:t>
      </w:r>
      <w:bookmarkEnd w:id="90"/>
      <w:bookmarkEnd w:id="91"/>
      <w:bookmarkEnd w:id="92"/>
    </w:p>
    <w:p w14:paraId="2399D703" w14:textId="150957F4" w:rsidR="00EC7229" w:rsidRPr="00B90C3E" w:rsidRDefault="00EC7229" w:rsidP="00F46CD2">
      <w:pPr>
        <w:numPr>
          <w:ilvl w:val="0"/>
          <w:numId w:val="38"/>
        </w:numPr>
        <w:shd w:val="clear" w:color="auto" w:fill="FFFFFF"/>
        <w:spacing w:before="240" w:line="240" w:lineRule="auto"/>
        <w:ind w:left="1134" w:right="1134" w:firstLine="0"/>
        <w:jc w:val="both"/>
        <w:rPr>
          <w:lang w:val="fr-CM"/>
        </w:rPr>
      </w:pPr>
      <w:r w:rsidRPr="00B90C3E">
        <w:rPr>
          <w:lang w:val="fr-CM"/>
        </w:rPr>
        <w:t xml:space="preserve">Les mesures </w:t>
      </w:r>
      <w:r w:rsidRPr="00B90C3E">
        <w:rPr>
          <w:rFonts w:eastAsia="Times New Roman"/>
          <w:lang w:eastAsia="fr-FR"/>
        </w:rPr>
        <w:t>prises</w:t>
      </w:r>
      <w:r w:rsidRPr="00B90C3E">
        <w:rPr>
          <w:lang w:val="fr-CM"/>
        </w:rPr>
        <w:t xml:space="preserve"> pour lutter contre l’intolérance et promouvoir le vivre-ensemble sont la sensibilisation et la formation. Les cours des Droits de l’homme y compris le droit à la non-discrimination ont été dispensés dans les écoles de formation comme l’</w:t>
      </w:r>
      <w:proofErr w:type="spellStart"/>
      <w:r w:rsidRPr="00B90C3E">
        <w:rPr>
          <w:lang w:val="fr-CM"/>
        </w:rPr>
        <w:t>Ecole</w:t>
      </w:r>
      <w:proofErr w:type="spellEnd"/>
      <w:r w:rsidRPr="00B90C3E">
        <w:rPr>
          <w:lang w:val="fr-CM"/>
        </w:rPr>
        <w:t xml:space="preserve"> Nationale d’Administration et de Magistrature, l’</w:t>
      </w:r>
      <w:proofErr w:type="spellStart"/>
      <w:r w:rsidRPr="00B90C3E">
        <w:rPr>
          <w:lang w:val="fr-CM"/>
        </w:rPr>
        <w:t>Ecole</w:t>
      </w:r>
      <w:proofErr w:type="spellEnd"/>
      <w:r w:rsidRPr="00B90C3E">
        <w:rPr>
          <w:lang w:val="fr-CM"/>
        </w:rPr>
        <w:t xml:space="preserve"> Nationale de l’Administration Pénitentiaire, ainsi que dans les écoles de police et de gendarmerie.  </w:t>
      </w:r>
    </w:p>
    <w:p w14:paraId="584DAD15" w14:textId="33A02A54" w:rsidR="00EC7229" w:rsidRPr="00F15B2D" w:rsidRDefault="00EC7229" w:rsidP="00F46CD2">
      <w:pPr>
        <w:numPr>
          <w:ilvl w:val="0"/>
          <w:numId w:val="38"/>
        </w:numPr>
        <w:shd w:val="clear" w:color="auto" w:fill="FFFFFF"/>
        <w:spacing w:before="240" w:line="240" w:lineRule="auto"/>
        <w:ind w:left="1134" w:right="1134" w:firstLine="0"/>
        <w:jc w:val="both"/>
        <w:rPr>
          <w:rStyle w:val="chapeau"/>
          <w:lang w:val="fr-CM"/>
        </w:rPr>
      </w:pPr>
      <w:r w:rsidRPr="00F15B2D">
        <w:rPr>
          <w:rStyle w:val="chapeau"/>
          <w:lang w:val="fr-CM"/>
        </w:rPr>
        <w:t xml:space="preserve">La CNPBM a participé à la lutte contre les discours de haine, la xénophobie et à la promotion du vivre-ensemble. Dans cette optique, elle a par exemple organisé à Yaoundé les 5 et 6 mai 2021 un colloque sur les discours de haine et la xénophobie, et le 24 mai 2022 lancé la « Coalition pour la lutte contre les discours de haine et la </w:t>
      </w:r>
      <w:proofErr w:type="spellStart"/>
      <w:r w:rsidRPr="00F15B2D">
        <w:rPr>
          <w:rStyle w:val="chapeau"/>
          <w:lang w:val="fr-CM"/>
        </w:rPr>
        <w:t>plateforme</w:t>
      </w:r>
      <w:proofErr w:type="spellEnd"/>
      <w:r w:rsidRPr="00F15B2D">
        <w:rPr>
          <w:rStyle w:val="chapeau"/>
          <w:lang w:val="fr-CM"/>
        </w:rPr>
        <w:t xml:space="preserve"> contre la xénophobie » en signant un mémorandum d’entente avec 14 organisations de la société civile. Elle a aussi organisé à Yaoundé, du 26 au 28 septembre 2024, un symposium sur les conflits intercommunautaires et la promotion du vivre-ensemble au Cameroun.</w:t>
      </w:r>
    </w:p>
    <w:p w14:paraId="1016C9ED" w14:textId="57ABD7D0" w:rsidR="00EC7229" w:rsidRPr="00F15B2D" w:rsidRDefault="00EC7229" w:rsidP="00F46CD2">
      <w:pPr>
        <w:numPr>
          <w:ilvl w:val="0"/>
          <w:numId w:val="38"/>
        </w:numPr>
        <w:shd w:val="clear" w:color="auto" w:fill="FFFFFF"/>
        <w:spacing w:before="240" w:line="240" w:lineRule="auto"/>
        <w:ind w:left="1134" w:right="1134" w:firstLine="0"/>
        <w:jc w:val="both"/>
        <w:rPr>
          <w:lang w:val="fr-CM"/>
        </w:rPr>
      </w:pPr>
      <w:r w:rsidRPr="00F15B2D">
        <w:rPr>
          <w:lang w:val="fr-CM"/>
        </w:rPr>
        <w:t xml:space="preserve">En 2022, les initiatives d’éducation civique ont touché au total 6 285 618 jeunes, parmi lesquels 1 083 270 ont eu des échanges directs avec les structures du </w:t>
      </w:r>
      <w:proofErr w:type="gramStart"/>
      <w:r w:rsidRPr="00F15B2D">
        <w:rPr>
          <w:lang w:val="fr-CM"/>
        </w:rPr>
        <w:t>Ministère</w:t>
      </w:r>
      <w:proofErr w:type="gramEnd"/>
      <w:r w:rsidRPr="00F15B2D">
        <w:rPr>
          <w:lang w:val="fr-CM"/>
        </w:rPr>
        <w:t xml:space="preserve"> de la Jeunesse et de l’</w:t>
      </w:r>
      <w:proofErr w:type="spellStart"/>
      <w:r w:rsidRPr="00F15B2D">
        <w:rPr>
          <w:lang w:val="fr-CM"/>
        </w:rPr>
        <w:t>Education</w:t>
      </w:r>
      <w:proofErr w:type="spellEnd"/>
      <w:r w:rsidRPr="00F15B2D">
        <w:rPr>
          <w:lang w:val="fr-CM"/>
        </w:rPr>
        <w:t xml:space="preserve"> Civique</w:t>
      </w:r>
      <w:r w:rsidR="00B961F0">
        <w:rPr>
          <w:rStyle w:val="FootnoteReference"/>
        </w:rPr>
        <w:footnoteReference w:id="36"/>
      </w:r>
      <w:r w:rsidRPr="00F15B2D">
        <w:rPr>
          <w:lang w:val="fr-CM"/>
        </w:rPr>
        <w:t>. Ces initiatives comprenaient des activités de sensibilisation et des formations pour promouvoir la responsabilité civique, l’unité nationale, le volontarisme et les valeurs essentielles pour une coexistence harmonieuse.</w:t>
      </w:r>
    </w:p>
    <w:p w14:paraId="0E44EEA6" w14:textId="73DB589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b/>
          <w:bCs/>
          <w:lang w:eastAsia="fr-FR"/>
        </w:rPr>
      </w:pPr>
      <w:r w:rsidRPr="00F15B2D">
        <w:rPr>
          <w:rFonts w:eastAsia="Times New Roman"/>
          <w:lang w:val="fr-CM" w:eastAsia="fr-FR"/>
        </w:rPr>
        <w:t>Par ailleurs, dans le cadre du projet intitulé « Renforcement du rôle des jeunes dans la promotion du vivre ensemble et du multiculturalisme à travers l’éducation secondaire et les centres d’apprentissage non formel et informel au Cameroun »</w:t>
      </w:r>
      <w:r w:rsidRPr="00F15B2D">
        <w:rPr>
          <w:rFonts w:eastAsia="Times New Roman"/>
          <w:i/>
          <w:lang w:val="fr-CM" w:eastAsia="fr-FR"/>
        </w:rPr>
        <w:t xml:space="preserve"> </w:t>
      </w:r>
      <w:r w:rsidRPr="00F15B2D">
        <w:rPr>
          <w:rFonts w:eastAsia="Times New Roman"/>
          <w:lang w:val="fr-CM" w:eastAsia="fr-FR"/>
        </w:rPr>
        <w:t xml:space="preserve">(financé par le Fonds pour la consolidation de la paix de l’ONU), un concours visant à promouvoir les initiatives </w:t>
      </w:r>
      <w:r w:rsidRPr="00F46CD2">
        <w:rPr>
          <w:rFonts w:eastAsia="Times New Roman"/>
          <w:lang w:eastAsia="fr-FR"/>
        </w:rPr>
        <w:t>culturelles</w:t>
      </w:r>
      <w:r w:rsidRPr="00F15B2D">
        <w:rPr>
          <w:rFonts w:eastAsia="Times New Roman"/>
          <w:lang w:val="fr-CM" w:eastAsia="fr-FR"/>
        </w:rPr>
        <w:t xml:space="preserve"> et artistiques des jeunes pour la consolidation de la paix a été organisé et la cérémonie de remise des prix s’est tenue les 9 et 10 septembre 2024 à Yaoundé.</w:t>
      </w:r>
      <w:r w:rsidRPr="00F15B2D">
        <w:rPr>
          <w:rFonts w:eastAsia="Times New Roman"/>
          <w:b/>
          <w:bCs/>
          <w:lang w:val="fr-CM" w:eastAsia="fr-FR"/>
        </w:rPr>
        <w:t xml:space="preserve"> </w:t>
      </w:r>
    </w:p>
    <w:p w14:paraId="351C1378" w14:textId="6A5AC6DA" w:rsidR="00EC7229" w:rsidRPr="00F15B2D" w:rsidRDefault="00B90C3E" w:rsidP="00B90C3E">
      <w:pPr>
        <w:pStyle w:val="HChG"/>
      </w:pPr>
      <w:bookmarkStart w:id="93" w:name="_Toc209182219"/>
      <w:bookmarkStart w:id="94" w:name="_Toc209194155"/>
      <w:bookmarkStart w:id="95" w:name="_Toc209435311"/>
      <w:r>
        <w:tab/>
      </w:r>
      <w:r>
        <w:tab/>
      </w:r>
      <w:r w:rsidRPr="00F15B2D">
        <w:t xml:space="preserve">Troisième </w:t>
      </w:r>
      <w:proofErr w:type="gramStart"/>
      <w:r w:rsidRPr="00F15B2D">
        <w:t>Partie:</w:t>
      </w:r>
      <w:proofErr w:type="gramEnd"/>
      <w:r w:rsidRPr="00F15B2D">
        <w:t xml:space="preserve"> Réponses </w:t>
      </w:r>
      <w:r w:rsidR="00101B30">
        <w:t>a</w:t>
      </w:r>
      <w:r w:rsidRPr="00F15B2D">
        <w:t xml:space="preserve">ux </w:t>
      </w:r>
      <w:r w:rsidR="007C5F06">
        <w:t>a</w:t>
      </w:r>
      <w:r w:rsidRPr="00F15B2D">
        <w:t>utres Recommandations</w:t>
      </w:r>
      <w:bookmarkEnd w:id="93"/>
      <w:bookmarkEnd w:id="94"/>
      <w:bookmarkEnd w:id="95"/>
    </w:p>
    <w:p w14:paraId="1FB3A605" w14:textId="2EA0FD9C" w:rsidR="00EC7229" w:rsidRPr="00F15B2D" w:rsidRDefault="00C317FC" w:rsidP="00C317FC">
      <w:pPr>
        <w:pStyle w:val="H1G"/>
        <w:rPr>
          <w:i/>
        </w:rPr>
      </w:pPr>
      <w:bookmarkStart w:id="96" w:name="_Toc209182220"/>
      <w:bookmarkStart w:id="97" w:name="_Toc209194156"/>
      <w:bookmarkStart w:id="98" w:name="_Toc209435312"/>
      <w:r>
        <w:tab/>
      </w:r>
      <w:r w:rsidR="00EC7229" w:rsidRPr="00F15B2D">
        <w:t>I.</w:t>
      </w:r>
      <w:r>
        <w:tab/>
      </w:r>
      <w:r w:rsidR="00EC7229" w:rsidRPr="00F15B2D">
        <w:t>Ratification des traités (Rec. 36 et 37)</w:t>
      </w:r>
      <w:bookmarkEnd w:id="96"/>
      <w:bookmarkEnd w:id="97"/>
      <w:bookmarkEnd w:id="98"/>
    </w:p>
    <w:p w14:paraId="50EF8627" w14:textId="094E26EF"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w:t>
      </w:r>
      <w:proofErr w:type="spellStart"/>
      <w:r w:rsidRPr="00F15B2D">
        <w:rPr>
          <w:rFonts w:eastAsia="Times New Roman"/>
          <w:lang w:eastAsia="fr-FR"/>
        </w:rPr>
        <w:t>Etat</w:t>
      </w:r>
      <w:proofErr w:type="spellEnd"/>
      <w:r w:rsidRPr="00F15B2D">
        <w:rPr>
          <w:rFonts w:eastAsia="Times New Roman"/>
          <w:lang w:eastAsia="fr-FR"/>
        </w:rPr>
        <w:t xml:space="preserve"> du Cameroun examine au cas par cas l’opportunité de ratifier les traités relatifs aux Droits de l’Homme. Depuis 2019, il a ratifié, entre autres, la Convention relative aux droits des personnes handicapées (Décret n° 2021/751 du 28 décembre 2021), les Conventions des Nations Unies relatives au statut des apatrides et à la réduction des cas d'apatridie (Décret n°2024/333 du 24 juillet 2024),  le Protocole à la CADHP relatif aux droits des personnes handicapées (Décret n° 2021/753 du 28 décembre 2021) et le Protocole à la CADHP relatifs aux droits des personnes âgées en Afrique (Décret n°2021/752 du 28 décembre  2021). L’amendement à l'article 8 de la CEDR a été accepté par le Cameroun par Décret n° 2018/458 du 03 août 2018.</w:t>
      </w:r>
    </w:p>
    <w:p w14:paraId="16D41547" w14:textId="1AE549A9"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Le Cameroun entend d’une part, ratifier la Convention internationale pour la protection de toutes les personnes contre les disparitions forcées et d’autre part, de déposer les instruments de ratification du Protocole facultatif à la Convention contre la torture et autres peines ou traitements cruels, inhumains ou dégradants. </w:t>
      </w:r>
    </w:p>
    <w:p w14:paraId="556905AC" w14:textId="0B8E3AF8" w:rsidR="00EC7229" w:rsidRPr="00B961F0" w:rsidRDefault="00EC7229" w:rsidP="00EC7229">
      <w:pPr>
        <w:numPr>
          <w:ilvl w:val="0"/>
          <w:numId w:val="38"/>
        </w:numPr>
        <w:shd w:val="clear" w:color="auto" w:fill="FFFFFF"/>
        <w:spacing w:before="240" w:line="276" w:lineRule="auto"/>
        <w:ind w:left="1134" w:right="1134" w:firstLine="0"/>
        <w:jc w:val="both"/>
        <w:rPr>
          <w:rFonts w:eastAsia="Times New Roman"/>
          <w:lang w:eastAsia="fr-FR"/>
        </w:rPr>
      </w:pPr>
      <w:r w:rsidRPr="00B961F0">
        <w:rPr>
          <w:rFonts w:eastAsia="Times New Roman"/>
          <w:lang w:eastAsia="fr-FR"/>
        </w:rPr>
        <w:t>S’agissant du 2</w:t>
      </w:r>
      <w:r w:rsidRPr="00B961F0">
        <w:rPr>
          <w:rFonts w:eastAsia="Times New Roman"/>
          <w:vertAlign w:val="superscript"/>
          <w:lang w:eastAsia="fr-FR"/>
        </w:rPr>
        <w:t>ème</w:t>
      </w:r>
      <w:r w:rsidRPr="00B961F0">
        <w:rPr>
          <w:rFonts w:eastAsia="Times New Roman"/>
          <w:lang w:eastAsia="fr-FR"/>
        </w:rPr>
        <w:t xml:space="preserve"> Protocole facultatif au PIDCP, le Cameroun entend, en l’état, demeurer un </w:t>
      </w:r>
      <w:proofErr w:type="spellStart"/>
      <w:r w:rsidRPr="00B961F0">
        <w:rPr>
          <w:rFonts w:eastAsia="Times New Roman"/>
          <w:lang w:eastAsia="fr-FR"/>
        </w:rPr>
        <w:t>Etat</w:t>
      </w:r>
      <w:proofErr w:type="spellEnd"/>
      <w:r w:rsidRPr="00B961F0">
        <w:rPr>
          <w:rFonts w:eastAsia="Times New Roman"/>
          <w:lang w:eastAsia="fr-FR"/>
        </w:rPr>
        <w:t xml:space="preserve"> abolitionniste de fait. </w:t>
      </w:r>
    </w:p>
    <w:p w14:paraId="390B6B1B" w14:textId="18A9C61C" w:rsidR="00EC7229" w:rsidRPr="00F15B2D" w:rsidRDefault="00B961F0" w:rsidP="00B961F0">
      <w:pPr>
        <w:pStyle w:val="H1G"/>
        <w:rPr>
          <w:i/>
        </w:rPr>
      </w:pPr>
      <w:bookmarkStart w:id="99" w:name="_Toc209182221"/>
      <w:bookmarkStart w:id="100" w:name="_Toc209194157"/>
      <w:bookmarkStart w:id="101" w:name="_Toc209435313"/>
      <w:r>
        <w:lastRenderedPageBreak/>
        <w:tab/>
      </w:r>
      <w:r w:rsidR="00EC7229" w:rsidRPr="00F15B2D">
        <w:t>II.</w:t>
      </w:r>
      <w:r>
        <w:tab/>
      </w:r>
      <w:r w:rsidR="00EC7229" w:rsidRPr="00F15B2D">
        <w:t>Déclaration en vertu de l'article 14 de la CERD (Rec. 38)</w:t>
      </w:r>
      <w:bookmarkEnd w:id="99"/>
      <w:bookmarkEnd w:id="100"/>
      <w:bookmarkEnd w:id="101"/>
    </w:p>
    <w:p w14:paraId="7D93791D" w14:textId="1D380CF2"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w:t>
      </w:r>
      <w:proofErr w:type="spellStart"/>
      <w:r w:rsidRPr="00F15B2D">
        <w:rPr>
          <w:rFonts w:eastAsia="Times New Roman"/>
          <w:lang w:eastAsia="fr-FR"/>
        </w:rPr>
        <w:t>Etat</w:t>
      </w:r>
      <w:proofErr w:type="spellEnd"/>
      <w:r w:rsidRPr="00F15B2D">
        <w:rPr>
          <w:rFonts w:eastAsia="Times New Roman"/>
          <w:lang w:eastAsia="fr-FR"/>
        </w:rPr>
        <w:t xml:space="preserve"> prend note de la recommandation dont la mise en œuvre reste en examen.</w:t>
      </w:r>
    </w:p>
    <w:p w14:paraId="42FE64E8" w14:textId="3E5E0710" w:rsidR="00EC7229" w:rsidRPr="00F15B2D" w:rsidRDefault="00B961F0" w:rsidP="00B961F0">
      <w:pPr>
        <w:pStyle w:val="H1G"/>
        <w:rPr>
          <w:i/>
        </w:rPr>
      </w:pPr>
      <w:bookmarkStart w:id="102" w:name="_Toc209182222"/>
      <w:bookmarkStart w:id="103" w:name="_Toc209194158"/>
      <w:bookmarkStart w:id="104" w:name="_Toc209435314"/>
      <w:r>
        <w:tab/>
      </w:r>
      <w:r w:rsidR="00EC7229" w:rsidRPr="00F15B2D">
        <w:t>III.</w:t>
      </w:r>
      <w:r>
        <w:tab/>
      </w:r>
      <w:r w:rsidR="00EC7229" w:rsidRPr="00F15B2D">
        <w:t>Suivi de la Déclaration et du Programme d'action de Durban-DPAD (Rec. 39)</w:t>
      </w:r>
      <w:bookmarkEnd w:id="102"/>
      <w:bookmarkEnd w:id="103"/>
      <w:bookmarkEnd w:id="104"/>
    </w:p>
    <w:p w14:paraId="14AFA66D" w14:textId="5A77E0DE"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S’inscrivant globalement dans la lettre et l’esprit de la DPAD, les mesures stratégiques, normatives, institutionnelles, opérationnelles et autres de lutte contre la discrimination raciale relevées dans le présent et les précédents Rapports, incarnent l'engagement ferme de l’</w:t>
      </w:r>
      <w:proofErr w:type="spellStart"/>
      <w:r w:rsidRPr="00F15B2D">
        <w:rPr>
          <w:rFonts w:eastAsia="Times New Roman"/>
          <w:lang w:eastAsia="fr-FR"/>
        </w:rPr>
        <w:t>Etat</w:t>
      </w:r>
      <w:proofErr w:type="spellEnd"/>
      <w:r w:rsidRPr="00F15B2D">
        <w:rPr>
          <w:rFonts w:eastAsia="Times New Roman"/>
          <w:lang w:eastAsia="fr-FR"/>
        </w:rPr>
        <w:t xml:space="preserve"> du Cameroun de prévenir et de lutter contre le racisme, la discrimination raciale, la xénophobie et l'intolérance qui y est associée. Outre la réparation, une attention particulière est accordée à la disponibilité et à l’efficacité des recours en cas d’allégation d’abus. </w:t>
      </w:r>
    </w:p>
    <w:p w14:paraId="093867C7" w14:textId="03AC0FE3" w:rsidR="00EC7229" w:rsidRPr="00F15B2D" w:rsidRDefault="00B961F0" w:rsidP="00B961F0">
      <w:pPr>
        <w:pStyle w:val="H1G"/>
        <w:rPr>
          <w:i/>
        </w:rPr>
      </w:pPr>
      <w:bookmarkStart w:id="105" w:name="_Toc209182223"/>
      <w:bookmarkStart w:id="106" w:name="_Toc209194159"/>
      <w:bookmarkStart w:id="107" w:name="_Toc209435315"/>
      <w:r>
        <w:tab/>
      </w:r>
      <w:r w:rsidR="00EC7229" w:rsidRPr="00F15B2D">
        <w:t>IV.</w:t>
      </w:r>
      <w:r>
        <w:tab/>
      </w:r>
      <w:r w:rsidR="00EC7229" w:rsidRPr="00F15B2D">
        <w:t>Décennie internationale des personnes d'ascendance africaine </w:t>
      </w:r>
      <w:r>
        <w:br/>
      </w:r>
      <w:r w:rsidR="00EC7229" w:rsidRPr="00F15B2D">
        <w:t>(Rec. 40)</w:t>
      </w:r>
      <w:bookmarkEnd w:id="105"/>
      <w:bookmarkEnd w:id="106"/>
      <w:bookmarkEnd w:id="107"/>
    </w:p>
    <w:p w14:paraId="029D7387" w14:textId="30B6AFC4"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Au cours de cette Décennie, les mesures de garantie des Droits de l’Homme au Cameroun étaient applicables, sans discrimination, aux personnes d'ascendance africaine. Les facilités consulaires offertes ont permis à nombre d’entre elles de se rendre au Cameroun. A l’occasion de la 79</w:t>
      </w:r>
      <w:r w:rsidRPr="00F15B2D">
        <w:rPr>
          <w:rFonts w:eastAsia="Times New Roman"/>
          <w:vertAlign w:val="superscript"/>
          <w:lang w:eastAsia="fr-FR"/>
        </w:rPr>
        <w:t>ème</w:t>
      </w:r>
      <w:r w:rsidRPr="00F15B2D">
        <w:rPr>
          <w:rFonts w:eastAsia="Times New Roman"/>
          <w:lang w:eastAsia="fr-FR"/>
        </w:rPr>
        <w:t> Session de l’Assemblée Générale des Nations Unies, en septembre 2024, le Cameroun a soutenu la proclamation d'une 2</w:t>
      </w:r>
      <w:r w:rsidRPr="00F15B2D">
        <w:rPr>
          <w:rFonts w:eastAsia="Times New Roman"/>
          <w:vertAlign w:val="superscript"/>
          <w:lang w:eastAsia="fr-FR"/>
        </w:rPr>
        <w:t>ème</w:t>
      </w:r>
      <w:r w:rsidRPr="00F15B2D">
        <w:rPr>
          <w:rFonts w:eastAsia="Times New Roman"/>
          <w:lang w:eastAsia="fr-FR"/>
        </w:rPr>
        <w:t> Décennie.</w:t>
      </w:r>
    </w:p>
    <w:p w14:paraId="730E142F" w14:textId="05BEB0A7" w:rsidR="00EC7229" w:rsidRPr="00F15B2D" w:rsidRDefault="00B961F0" w:rsidP="00B961F0">
      <w:pPr>
        <w:pStyle w:val="H1G"/>
        <w:rPr>
          <w:i/>
        </w:rPr>
      </w:pPr>
      <w:bookmarkStart w:id="108" w:name="_Toc209182224"/>
      <w:bookmarkStart w:id="109" w:name="_Toc209194160"/>
      <w:bookmarkStart w:id="110" w:name="_Toc209435316"/>
      <w:r>
        <w:tab/>
      </w:r>
      <w:r w:rsidR="00EC7229" w:rsidRPr="00F15B2D">
        <w:t>V.</w:t>
      </w:r>
      <w:r>
        <w:tab/>
      </w:r>
      <w:r w:rsidR="00EC7229" w:rsidRPr="00F15B2D">
        <w:t>Consultations avec la société civile (Rec. 41)</w:t>
      </w:r>
      <w:bookmarkEnd w:id="108"/>
      <w:bookmarkEnd w:id="109"/>
      <w:bookmarkEnd w:id="110"/>
    </w:p>
    <w:p w14:paraId="118E2BA6" w14:textId="30BAB695"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Les organisations de la société civile ont participé à la validation de ce rapport qui a eu lieu à Yaoundé les 13 et 14 mai 2025.</w:t>
      </w:r>
    </w:p>
    <w:p w14:paraId="5D9204E1" w14:textId="61DDD048" w:rsidR="00EC7229" w:rsidRPr="00F15B2D" w:rsidRDefault="00B961F0" w:rsidP="00B961F0">
      <w:pPr>
        <w:pStyle w:val="H1G"/>
        <w:rPr>
          <w:i/>
        </w:rPr>
      </w:pPr>
      <w:bookmarkStart w:id="111" w:name="_Toc209182225"/>
      <w:bookmarkStart w:id="112" w:name="_Toc209194161"/>
      <w:bookmarkStart w:id="113" w:name="_Toc209435317"/>
      <w:r>
        <w:tab/>
      </w:r>
      <w:r w:rsidR="00EC7229" w:rsidRPr="00F15B2D">
        <w:t>VI.</w:t>
      </w:r>
      <w:r>
        <w:tab/>
      </w:r>
      <w:r w:rsidR="00EC7229" w:rsidRPr="00F15B2D">
        <w:t>Diffusion (Rec. 42)</w:t>
      </w:r>
      <w:bookmarkEnd w:id="111"/>
      <w:bookmarkEnd w:id="112"/>
      <w:bookmarkEnd w:id="113"/>
    </w:p>
    <w:p w14:paraId="296B5F8E" w14:textId="7A41BF6D" w:rsidR="00EC7229" w:rsidRPr="00F15B2D" w:rsidRDefault="00EC7229" w:rsidP="00F46CD2">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 xml:space="preserve">Le MINJUSTICE diffuse les Rapports périodiques au titre de la CERD après leur soumission. </w:t>
      </w:r>
      <w:r w:rsidRPr="00F15B2D">
        <w:t xml:space="preserve">A travers son Rapport annuel sur l’état des </w:t>
      </w:r>
      <w:r w:rsidRPr="00F46CD2">
        <w:rPr>
          <w:rFonts w:eastAsia="Times New Roman"/>
          <w:lang w:eastAsia="fr-FR"/>
        </w:rPr>
        <w:t>Droits</w:t>
      </w:r>
      <w:r w:rsidRPr="00F15B2D">
        <w:t xml:space="preserve"> de l’Homme au Cameroun et par la saisine des différentes administrations et des diverses parties prenantes</w:t>
      </w:r>
      <w:r w:rsidRPr="00F15B2D">
        <w:rPr>
          <w:rFonts w:eastAsia="Times New Roman"/>
          <w:lang w:eastAsia="fr-FR"/>
        </w:rPr>
        <w:t xml:space="preserve">, il relaie aussi, en français et en anglais, les observations finales du Comité, y compris en direction des CTD. La CDHC et les OSC procèdent également à cette diffusion. </w:t>
      </w:r>
    </w:p>
    <w:p w14:paraId="2F4D6423" w14:textId="4486D71E" w:rsidR="00EC7229" w:rsidRPr="00F15B2D" w:rsidRDefault="00013C0A" w:rsidP="00013C0A">
      <w:pPr>
        <w:pStyle w:val="H1G"/>
        <w:rPr>
          <w:i/>
        </w:rPr>
      </w:pPr>
      <w:bookmarkStart w:id="114" w:name="_Toc209182226"/>
      <w:bookmarkStart w:id="115" w:name="_Toc209194162"/>
      <w:bookmarkStart w:id="116" w:name="_Toc209435318"/>
      <w:r>
        <w:tab/>
      </w:r>
      <w:r w:rsidR="00EC7229" w:rsidRPr="00F15B2D">
        <w:t>VII.</w:t>
      </w:r>
      <w:r>
        <w:tab/>
      </w:r>
      <w:r w:rsidR="00EC7229" w:rsidRPr="00F15B2D">
        <w:t>Mise à jour du DBC (Rec. 43)</w:t>
      </w:r>
      <w:bookmarkEnd w:id="114"/>
      <w:bookmarkEnd w:id="115"/>
      <w:bookmarkEnd w:id="116"/>
    </w:p>
    <w:p w14:paraId="027A99A9" w14:textId="3706ED16" w:rsidR="00EC7229" w:rsidRPr="00F15B2D" w:rsidRDefault="00EC7229" w:rsidP="00013C0A">
      <w:pPr>
        <w:numPr>
          <w:ilvl w:val="0"/>
          <w:numId w:val="38"/>
        </w:numPr>
        <w:shd w:val="clear" w:color="auto" w:fill="FFFFFF"/>
        <w:spacing w:before="240" w:line="240" w:lineRule="auto"/>
        <w:ind w:left="1134" w:right="1134" w:firstLine="0"/>
        <w:jc w:val="both"/>
        <w:rPr>
          <w:rFonts w:eastAsia="Times New Roman"/>
          <w:lang w:eastAsia="fr-FR"/>
        </w:rPr>
      </w:pPr>
      <w:r w:rsidRPr="00F15B2D">
        <w:rPr>
          <w:rFonts w:eastAsia="Times New Roman"/>
          <w:lang w:eastAsia="fr-FR"/>
        </w:rPr>
        <w:t>Le DBC a été révisé.</w:t>
      </w:r>
    </w:p>
    <w:p w14:paraId="34658E16" w14:textId="5206CDB3" w:rsidR="00EC7229" w:rsidRPr="00F46CD2" w:rsidRDefault="00F46CD2" w:rsidP="00F46CD2">
      <w:pPr>
        <w:shd w:val="clear" w:color="auto" w:fill="FFFFFF"/>
        <w:spacing w:before="240"/>
        <w:jc w:val="center"/>
        <w:rPr>
          <w:rFonts w:eastAsia="Times New Roman"/>
          <w:u w:val="single"/>
          <w:lang w:eastAsia="fr-FR"/>
        </w:rPr>
      </w:pPr>
      <w:r>
        <w:rPr>
          <w:rFonts w:eastAsia="Times New Roman"/>
          <w:u w:val="single"/>
          <w:lang w:eastAsia="fr-FR"/>
        </w:rPr>
        <w:tab/>
      </w:r>
      <w:r>
        <w:rPr>
          <w:rFonts w:eastAsia="Times New Roman"/>
          <w:u w:val="single"/>
          <w:lang w:eastAsia="fr-FR"/>
        </w:rPr>
        <w:tab/>
      </w:r>
      <w:r>
        <w:rPr>
          <w:rFonts w:eastAsia="Times New Roman"/>
          <w:u w:val="single"/>
          <w:lang w:eastAsia="fr-FR"/>
        </w:rPr>
        <w:tab/>
      </w:r>
    </w:p>
    <w:p w14:paraId="3708A37C" w14:textId="4759B80D" w:rsidR="00013C0A" w:rsidRDefault="00013C0A">
      <w:pPr>
        <w:suppressAutoHyphens w:val="0"/>
        <w:kinsoku/>
        <w:overflowPunct/>
        <w:autoSpaceDE/>
        <w:autoSpaceDN/>
        <w:adjustRightInd/>
        <w:snapToGrid/>
        <w:spacing w:after="200" w:line="276" w:lineRule="auto"/>
        <w:rPr>
          <w:rFonts w:eastAsia="Times New Roman"/>
          <w:lang w:eastAsia="fr-FR"/>
        </w:rPr>
      </w:pPr>
      <w:r>
        <w:rPr>
          <w:rFonts w:eastAsia="Times New Roman"/>
          <w:lang w:eastAsia="fr-FR"/>
        </w:rPr>
        <w:br w:type="page"/>
      </w:r>
    </w:p>
    <w:p w14:paraId="6327B963" w14:textId="3135C4A1" w:rsidR="00EC7229" w:rsidRPr="003C16AC" w:rsidRDefault="00013C0A" w:rsidP="00013C0A">
      <w:pPr>
        <w:pStyle w:val="HChG"/>
      </w:pPr>
      <w:r>
        <w:lastRenderedPageBreak/>
        <w:tab/>
      </w:r>
      <w:r>
        <w:tab/>
      </w:r>
      <w:r w:rsidR="00EC7229" w:rsidRPr="003C16AC">
        <w:t>ANNEXE</w:t>
      </w:r>
    </w:p>
    <w:p w14:paraId="05FFFD76" w14:textId="60A09D34" w:rsidR="00EC7229" w:rsidRPr="003C16AC" w:rsidRDefault="00013C0A" w:rsidP="00013C0A">
      <w:pPr>
        <w:pStyle w:val="H1G"/>
      </w:pPr>
      <w:r>
        <w:tab/>
      </w:r>
      <w:r>
        <w:tab/>
      </w:r>
      <w:r w:rsidR="00206161" w:rsidRPr="00F15B2D">
        <w:t xml:space="preserve">Les Activités </w:t>
      </w:r>
      <w:r w:rsidR="00206161">
        <w:t>d</w:t>
      </w:r>
      <w:r w:rsidR="00206161" w:rsidRPr="00F15B2D">
        <w:t xml:space="preserve">e </w:t>
      </w:r>
      <w:r w:rsidR="00206161">
        <w:t>l</w:t>
      </w:r>
      <w:r w:rsidR="00206161" w:rsidRPr="00F15B2D">
        <w:t xml:space="preserve">a Commission Nationale </w:t>
      </w:r>
      <w:r w:rsidR="00206161">
        <w:t>p</w:t>
      </w:r>
      <w:r w:rsidR="00206161" w:rsidRPr="00F15B2D">
        <w:t xml:space="preserve">our </w:t>
      </w:r>
      <w:r w:rsidR="00206161">
        <w:t>l</w:t>
      </w:r>
      <w:r w:rsidR="00206161" w:rsidRPr="00F15B2D">
        <w:t xml:space="preserve">a Promotion </w:t>
      </w:r>
      <w:r w:rsidR="00206161">
        <w:t>d</w:t>
      </w:r>
      <w:r w:rsidR="00206161" w:rsidRPr="00F15B2D">
        <w:t xml:space="preserve">u Bilinguisme </w:t>
      </w:r>
      <w:r w:rsidR="00206161">
        <w:t>e</w:t>
      </w:r>
      <w:r w:rsidR="00206161" w:rsidRPr="00F15B2D">
        <w:t xml:space="preserve">t </w:t>
      </w:r>
      <w:r w:rsidR="00206161">
        <w:t>d</w:t>
      </w:r>
      <w:r w:rsidR="00206161" w:rsidRPr="00F15B2D">
        <w:t>u Multiculturalisme</w:t>
      </w:r>
      <w:r w:rsidR="00EC7229" w:rsidRPr="00F15B2D">
        <w:t xml:space="preserve"> (CNPBM)</w:t>
      </w:r>
    </w:p>
    <w:p w14:paraId="48AB39F6" w14:textId="3626067C" w:rsidR="00EC7229" w:rsidRPr="003C16AC" w:rsidRDefault="00013C0A" w:rsidP="00013C0A">
      <w:pPr>
        <w:pStyle w:val="H23G"/>
      </w:pPr>
      <w:r>
        <w:tab/>
      </w:r>
      <w:r>
        <w:tab/>
      </w:r>
      <w:r w:rsidR="00EC7229" w:rsidRPr="003C16AC">
        <w:t>Les activités de 2019 :</w:t>
      </w:r>
    </w:p>
    <w:p w14:paraId="6BDB5EA4" w14:textId="77777777" w:rsidR="00EC7229" w:rsidRPr="003C16AC" w:rsidRDefault="00EC7229" w:rsidP="00013C0A">
      <w:pPr>
        <w:pStyle w:val="SingleTxtG"/>
      </w:pPr>
      <w:r w:rsidRPr="003C16AC">
        <w:t>La publication trimestrielle du magazine « le compatriote » de la CNPBM a pour objectif d’éduquer et d’informer le grand public sur ses missions et se activités en matière de la promotion du bilinguisme, du multiculturalisme et du vivre ensemble</w:t>
      </w:r>
    </w:p>
    <w:p w14:paraId="50C1C55A" w14:textId="77777777" w:rsidR="00EC7229" w:rsidRPr="003C16AC" w:rsidRDefault="00EC7229" w:rsidP="00013C0A">
      <w:pPr>
        <w:pStyle w:val="Bullet1G"/>
        <w:rPr>
          <w:lang w:val="fr-CM"/>
        </w:rPr>
      </w:pPr>
      <w:r w:rsidRPr="003C16AC">
        <w:rPr>
          <w:lang w:val="fr-CM"/>
        </w:rPr>
        <w:t>Organisation d’un colloque de réflexion sur le vivre ensemble avec pour thématique «   journée de réflexion sur le vivre-ensemble », le 11 avril 2019 à Yaoundé ;</w:t>
      </w:r>
    </w:p>
    <w:p w14:paraId="4EAF1D12" w14:textId="77777777" w:rsidR="00EC7229" w:rsidRPr="003C16AC" w:rsidRDefault="00EC7229" w:rsidP="00013C0A">
      <w:pPr>
        <w:pStyle w:val="Bullet1G"/>
        <w:rPr>
          <w:lang w:val="fr-CM"/>
        </w:rPr>
      </w:pPr>
      <w:r w:rsidRPr="003C16AC">
        <w:rPr>
          <w:lang w:val="fr-CM"/>
        </w:rPr>
        <w:t>Organisation d’un colloque de réflexion sur le multiculturalisme sur la thématique « le multiculturalisme camerounais à la croisée des chemins : entre traditions et modernité » du 24 au 25 avril 2019, à Yaoundé ;</w:t>
      </w:r>
    </w:p>
    <w:p w14:paraId="70A9A4D5" w14:textId="6F1D3CD8" w:rsidR="00EC7229" w:rsidRPr="003C16AC" w:rsidRDefault="00EC7229" w:rsidP="00013C0A">
      <w:pPr>
        <w:pStyle w:val="Bullet1G"/>
        <w:rPr>
          <w:lang w:val="fr-CM"/>
        </w:rPr>
      </w:pPr>
      <w:r w:rsidRPr="003C16AC">
        <w:rPr>
          <w:lang w:val="fr-CM"/>
        </w:rPr>
        <w:t>Mise en place au sein de la CNPBM d’un Comité AD HOC de lutte contre le discours de la haine le 03 mai 2019, par décision n° 005/D/PR/CBPBM du Président de la Commission ;</w:t>
      </w:r>
    </w:p>
    <w:p w14:paraId="3129D081" w14:textId="77777777" w:rsidR="00EC7229" w:rsidRPr="003C16AC" w:rsidRDefault="00EC7229" w:rsidP="00013C0A">
      <w:pPr>
        <w:pStyle w:val="Bullet1G"/>
        <w:rPr>
          <w:lang w:val="fr-CM"/>
        </w:rPr>
      </w:pPr>
      <w:r w:rsidRPr="003C16AC">
        <w:rPr>
          <w:lang w:val="fr-CM"/>
        </w:rPr>
        <w:t xml:space="preserve">Mission de </w:t>
      </w:r>
      <w:r w:rsidRPr="003C16AC">
        <w:rPr>
          <w:i/>
          <w:lang w:val="fr-CM"/>
        </w:rPr>
        <w:t>benchmarking</w:t>
      </w:r>
      <w:r w:rsidRPr="003C16AC">
        <w:rPr>
          <w:lang w:val="fr-CM"/>
        </w:rPr>
        <w:t xml:space="preserve"> au Canada, du 23 juin au 02 juillet 2019 ;</w:t>
      </w:r>
    </w:p>
    <w:p w14:paraId="64DFF342" w14:textId="77777777" w:rsidR="00EC7229" w:rsidRPr="003C16AC" w:rsidRDefault="00EC7229" w:rsidP="00013C0A">
      <w:pPr>
        <w:pStyle w:val="Bullet1G"/>
        <w:rPr>
          <w:lang w:val="fr-CM"/>
        </w:rPr>
      </w:pPr>
      <w:r w:rsidRPr="003C16AC">
        <w:rPr>
          <w:lang w:val="fr-CM"/>
        </w:rPr>
        <w:t>Participation active de la commission aux travaux de la deuxième phase de la vision 2035, organisés du 17 au 25 septembre 2019 ;</w:t>
      </w:r>
    </w:p>
    <w:p w14:paraId="2E6841AC" w14:textId="77777777" w:rsidR="00EC7229" w:rsidRPr="003C16AC" w:rsidRDefault="00EC7229" w:rsidP="00013C0A">
      <w:pPr>
        <w:pStyle w:val="Bullet1G"/>
        <w:rPr>
          <w:lang w:val="fr-CM"/>
        </w:rPr>
      </w:pPr>
      <w:r w:rsidRPr="003C16AC">
        <w:rPr>
          <w:lang w:val="fr-CM"/>
        </w:rPr>
        <w:t>Participation au Grand Dialogue National qui s’est tenu du 30 septembre au 04 octobre 2019 ; (voir tableau ci-dessous) ;</w:t>
      </w:r>
    </w:p>
    <w:p w14:paraId="1619201C" w14:textId="77777777" w:rsidR="00EC7229" w:rsidRPr="003C16AC" w:rsidRDefault="00EC7229" w:rsidP="00013C0A">
      <w:pPr>
        <w:pStyle w:val="Bullet1G"/>
        <w:rPr>
          <w:lang w:val="fr-CM"/>
        </w:rPr>
      </w:pPr>
      <w:r w:rsidRPr="003C16AC">
        <w:rPr>
          <w:lang w:val="fr-CM"/>
        </w:rPr>
        <w:t>Organisation d’un séminaire de renforcement des capacités en matière de discrimination et de droits de l’Homme à l’attention des membres de la Commission, les 08 et 09 août 2019 ;</w:t>
      </w:r>
    </w:p>
    <w:p w14:paraId="3A10F26C" w14:textId="3966B8EC" w:rsidR="00EC7229" w:rsidRPr="003C16AC" w:rsidRDefault="00EC7229" w:rsidP="00013C0A">
      <w:pPr>
        <w:pStyle w:val="Bullet1G"/>
        <w:rPr>
          <w:lang w:val="fr-CM"/>
        </w:rPr>
      </w:pPr>
      <w:proofErr w:type="spellStart"/>
      <w:r w:rsidRPr="003C16AC">
        <w:rPr>
          <w:lang w:val="fr-CM"/>
        </w:rPr>
        <w:t>Elaboration</w:t>
      </w:r>
      <w:proofErr w:type="spellEnd"/>
      <w:r w:rsidRPr="003C16AC">
        <w:rPr>
          <w:lang w:val="fr-CM"/>
        </w:rPr>
        <w:t xml:space="preserve"> d’un avant-projet de texte qui a abouti à la promulgation de la loi n° 2019/019 du 24 décembre 2019 portant promotion des langues officielles ;</w:t>
      </w:r>
    </w:p>
    <w:p w14:paraId="6D48A1CB" w14:textId="77777777" w:rsidR="00EC7229" w:rsidRPr="003C16AC" w:rsidRDefault="00EC7229" w:rsidP="00013C0A">
      <w:pPr>
        <w:pStyle w:val="Bullet1G"/>
        <w:rPr>
          <w:lang w:val="fr-CM"/>
        </w:rPr>
      </w:pPr>
      <w:r w:rsidRPr="003C16AC">
        <w:rPr>
          <w:lang w:val="fr-CM"/>
        </w:rPr>
        <w:t>Activités de sensibilisation au discours de haine auprès des populations. Celles-ci ont abouti à la promulgation de la loi n° 2019/020 du 24 décembre 2019, modifiant et complétant la loi n° 2016/007 du 12 juillet, qui pénalise le discours de la haine.</w:t>
      </w:r>
    </w:p>
    <w:p w14:paraId="3DA0E919" w14:textId="77777777" w:rsidR="00EC7229" w:rsidRPr="003C16AC" w:rsidRDefault="00EC7229" w:rsidP="00013C0A">
      <w:pPr>
        <w:pStyle w:val="Bullet1G"/>
        <w:rPr>
          <w:lang w:val="fr-CM"/>
        </w:rPr>
      </w:pPr>
      <w:r w:rsidRPr="003C16AC">
        <w:rPr>
          <w:lang w:val="fr-CM"/>
        </w:rPr>
        <w:t>Mission d’évaluation de la mise en application effective de la politique de promotion des langues officielles dans les 38 (trente-huit) départements ministériels du pays, 24-28 août 2020 ;</w:t>
      </w:r>
    </w:p>
    <w:p w14:paraId="6D2ED7E3" w14:textId="77777777" w:rsidR="00EC7229" w:rsidRPr="003C16AC" w:rsidRDefault="00EC7229" w:rsidP="00013C0A">
      <w:pPr>
        <w:pStyle w:val="Bullet1G"/>
        <w:rPr>
          <w:lang w:val="fr-CM"/>
        </w:rPr>
      </w:pPr>
      <w:r w:rsidRPr="003C16AC">
        <w:rPr>
          <w:lang w:val="fr-CM"/>
        </w:rPr>
        <w:t>Mission d’écoute des populations à Garoua et à Maroua (novembre 202) dont les points forts consistaient à expliquer le bien-fondé de la loi sur les langues officielles, et à sensibiliser les populations contre le discours de haine.</w:t>
      </w:r>
    </w:p>
    <w:p w14:paraId="4B820DB7" w14:textId="0F195052" w:rsidR="00EC7229" w:rsidRPr="003C16AC" w:rsidRDefault="00013C0A" w:rsidP="00013C0A">
      <w:pPr>
        <w:pStyle w:val="H23G"/>
      </w:pPr>
      <w:r>
        <w:tab/>
      </w:r>
      <w:r>
        <w:tab/>
      </w:r>
      <w:r w:rsidR="00EC7229" w:rsidRPr="003C16AC">
        <w:t>Les activités de 2021</w:t>
      </w:r>
    </w:p>
    <w:p w14:paraId="7507251C" w14:textId="18AA011F" w:rsidR="00EC7229" w:rsidRPr="003C16AC" w:rsidRDefault="00013C0A" w:rsidP="00013C0A">
      <w:pPr>
        <w:pStyle w:val="H4G"/>
      </w:pPr>
      <w:r>
        <w:tab/>
      </w:r>
      <w:r>
        <w:tab/>
      </w:r>
      <w:r w:rsidR="00EC7229" w:rsidRPr="003C16AC">
        <w:t>L’institution d’une journée du multiculturalisme :</w:t>
      </w:r>
    </w:p>
    <w:p w14:paraId="4151B005" w14:textId="77777777" w:rsidR="00EC7229" w:rsidRPr="003C16AC" w:rsidRDefault="00EC7229" w:rsidP="00013C0A">
      <w:pPr>
        <w:pStyle w:val="Bullet1G"/>
      </w:pPr>
      <w:r w:rsidRPr="003C16AC">
        <w:t xml:space="preserve">Le 2 </w:t>
      </w:r>
      <w:proofErr w:type="gramStart"/>
      <w:r w:rsidRPr="003C16AC">
        <w:t>Février</w:t>
      </w:r>
      <w:proofErr w:type="gramEnd"/>
      <w:r w:rsidRPr="003C16AC">
        <w:t xml:space="preserve"> 2021, par note de service N° 0005/NC/PR/CNPBM/SG, le Président de la CNPBM a institué la célébration de la journée du Multiculturalisme qui est observée chaque dernier vendredi du mois.</w:t>
      </w:r>
    </w:p>
    <w:p w14:paraId="7F5C05CD" w14:textId="171931FF" w:rsidR="00EC7229" w:rsidRPr="003C16AC" w:rsidRDefault="00EC7229" w:rsidP="00EC7229">
      <w:pPr>
        <w:pStyle w:val="Bullet1G"/>
      </w:pPr>
      <w:r w:rsidRPr="003C16AC">
        <w:t>Le lancement a eu lieu le 26 février 2021 au siège de la Commission à Yaoundé.</w:t>
      </w:r>
    </w:p>
    <w:p w14:paraId="0857894E" w14:textId="62AF6593" w:rsidR="00EC7229" w:rsidRPr="003C16AC" w:rsidRDefault="00013C0A" w:rsidP="00013C0A">
      <w:pPr>
        <w:pStyle w:val="H4G"/>
      </w:pPr>
      <w:r>
        <w:lastRenderedPageBreak/>
        <w:tab/>
      </w:r>
      <w:r>
        <w:tab/>
      </w:r>
      <w:r w:rsidR="00EC7229" w:rsidRPr="003C16AC">
        <w:t>Nouvelle campagne nationale de communication contre le discours de haine et la xénophobie au Cameroun, prescrite par le Président de la République.</w:t>
      </w:r>
    </w:p>
    <w:p w14:paraId="74ED0CFE" w14:textId="77777777" w:rsidR="00EC7229" w:rsidRPr="003C16AC" w:rsidRDefault="00EC7229" w:rsidP="00013C0A">
      <w:pPr>
        <w:pStyle w:val="Bullet1G"/>
        <w:rPr>
          <w:lang w:val="fr-CM"/>
        </w:rPr>
      </w:pPr>
      <w:r w:rsidRPr="003C16AC">
        <w:rPr>
          <w:lang w:val="fr-CM"/>
        </w:rPr>
        <w:t>Lancement de la campagne par une conférence de presse par le Président de la Commission ;</w:t>
      </w:r>
    </w:p>
    <w:p w14:paraId="51C4BB92" w14:textId="5D5C4A3C" w:rsidR="00EC7229" w:rsidRPr="003C16AC" w:rsidRDefault="00EC7229" w:rsidP="00013C0A">
      <w:pPr>
        <w:pStyle w:val="Bullet1G"/>
        <w:rPr>
          <w:lang w:val="fr-CM"/>
        </w:rPr>
      </w:pPr>
      <w:r w:rsidRPr="003C16AC">
        <w:rPr>
          <w:lang w:val="fr-CM"/>
        </w:rPr>
        <w:t xml:space="preserve">Organisation des concertations avec un grand nombre des parties prenantes (départements ministériels, opérateurs de téléphonie mobile, promoteurs de chaîne de télévisions, directeurs de publication des journaux conventionnels ou cybernétiques, OSC, association des jeunes et de femmes, associations estudiantines, </w:t>
      </w:r>
      <w:proofErr w:type="spellStart"/>
      <w:r w:rsidRPr="003C16AC">
        <w:rPr>
          <w:lang w:val="fr-CM"/>
        </w:rPr>
        <w:t>etc</w:t>
      </w:r>
      <w:proofErr w:type="spellEnd"/>
      <w:r w:rsidRPr="003C16AC">
        <w:rPr>
          <w:lang w:val="fr-CM"/>
        </w:rPr>
        <w:t>) ; (mars 2021)</w:t>
      </w:r>
      <w:r w:rsidR="00013C0A">
        <w:rPr>
          <w:lang w:val="fr-CM"/>
        </w:rPr>
        <w:t> ;</w:t>
      </w:r>
    </w:p>
    <w:p w14:paraId="16C83913" w14:textId="77777777" w:rsidR="00EC7229" w:rsidRPr="003C16AC" w:rsidRDefault="00EC7229" w:rsidP="00013C0A">
      <w:pPr>
        <w:pStyle w:val="Bullet1G"/>
        <w:rPr>
          <w:lang w:val="fr-CM"/>
        </w:rPr>
      </w:pPr>
      <w:r w:rsidRPr="003C16AC">
        <w:rPr>
          <w:lang w:val="fr-CM"/>
        </w:rPr>
        <w:t>Organisation d’un colloque sur le discours de haine rassemblant la crème des universitaires camerounais (mai 2021) ;</w:t>
      </w:r>
    </w:p>
    <w:p w14:paraId="7C570673" w14:textId="5B26974E" w:rsidR="00EC7229" w:rsidRPr="003C16AC" w:rsidRDefault="00EC7229" w:rsidP="00013C0A">
      <w:pPr>
        <w:pStyle w:val="Bullet1G"/>
        <w:rPr>
          <w:lang w:val="fr-CM"/>
        </w:rPr>
      </w:pPr>
      <w:r w:rsidRPr="003C16AC">
        <w:rPr>
          <w:lang w:val="fr-CM"/>
        </w:rPr>
        <w:t>Descentes dans huit régions pour sensibiliser aux dangers du discours de haine et à la xénophobie du Cameroun (juin 2021)</w:t>
      </w:r>
      <w:r w:rsidR="00013C0A">
        <w:rPr>
          <w:lang w:val="fr-CM"/>
        </w:rPr>
        <w:t>.</w:t>
      </w:r>
    </w:p>
    <w:p w14:paraId="48BD95DE" w14:textId="77777777" w:rsidR="00EC7229" w:rsidRPr="003C16AC" w:rsidRDefault="00EC7229" w:rsidP="00013C0A">
      <w:pPr>
        <w:pStyle w:val="SingleTxtG"/>
      </w:pPr>
      <w:r w:rsidRPr="003C16AC">
        <w:t>Rapports transmis à la Très Haute Hiérarchie.</w:t>
      </w:r>
    </w:p>
    <w:p w14:paraId="1391002E" w14:textId="1B5D8F06" w:rsidR="00EC7229" w:rsidRPr="003C16AC" w:rsidRDefault="00013C0A" w:rsidP="00013C0A">
      <w:pPr>
        <w:pStyle w:val="H23G"/>
      </w:pPr>
      <w:r>
        <w:tab/>
      </w:r>
      <w:r>
        <w:tab/>
      </w:r>
      <w:r w:rsidR="00EC7229" w:rsidRPr="003C16AC">
        <w:t>Les activités de novembre 2021</w:t>
      </w:r>
    </w:p>
    <w:p w14:paraId="4250A9FB" w14:textId="77777777" w:rsidR="00EC7229" w:rsidRPr="003C16AC" w:rsidRDefault="00EC7229" w:rsidP="00013C0A">
      <w:pPr>
        <w:pStyle w:val="SingleTxtG"/>
      </w:pPr>
      <w:r w:rsidRPr="003C16AC">
        <w:t>Mission de suivi et d’évaluation de la mise en œuvre de politique nationale des langues officielles dans les Organisations Patronales et les Entreprises Privées installées à Douala.</w:t>
      </w:r>
    </w:p>
    <w:p w14:paraId="311DAD39" w14:textId="77777777" w:rsidR="00EC7229" w:rsidRPr="003C16AC" w:rsidRDefault="00EC7229" w:rsidP="00013C0A">
      <w:pPr>
        <w:pStyle w:val="SingleTxtG"/>
      </w:pPr>
      <w:r w:rsidRPr="003C16AC">
        <w:t>Dans le cadre du suivi et de l’évaluation de la mise en œuvre de la politique nationale des langues officielles du Cameroun, prévus par l’article 27 de la loi n° 2019/019 du 24 décembre 2019 portant promotion des langues officielles au Cameroun, la Commission Nationale pour la Promotion du Bilinguisme et du Multiculturalisme (CNPBM) a effectué, du 1</w:t>
      </w:r>
      <w:r w:rsidRPr="003C16AC">
        <w:rPr>
          <w:vertAlign w:val="superscript"/>
        </w:rPr>
        <w:t>er</w:t>
      </w:r>
      <w:r w:rsidRPr="003C16AC">
        <w:t xml:space="preserve"> au 5 novembre 2021, une mission à Douala (Région du Littoral).</w:t>
      </w:r>
    </w:p>
    <w:p w14:paraId="261C0B34" w14:textId="77777777" w:rsidR="00EC7229" w:rsidRPr="003C16AC" w:rsidRDefault="00EC7229" w:rsidP="00013C0A">
      <w:pPr>
        <w:pStyle w:val="SingleTxtG"/>
      </w:pPr>
      <w:r w:rsidRPr="003C16AC">
        <w:t>La mission avait pour triple objectif :</w:t>
      </w:r>
    </w:p>
    <w:p w14:paraId="54A8CB2F" w14:textId="77777777" w:rsidR="00EC7229" w:rsidRPr="003C16AC" w:rsidRDefault="00EC7229" w:rsidP="00013C0A">
      <w:pPr>
        <w:pStyle w:val="Bullet1G"/>
        <w:rPr>
          <w:b/>
          <w:lang w:val="fr-CM"/>
        </w:rPr>
      </w:pPr>
      <w:proofErr w:type="gramStart"/>
      <w:r w:rsidRPr="003C16AC">
        <w:rPr>
          <w:lang w:val="fr-CM"/>
        </w:rPr>
        <w:t>de</w:t>
      </w:r>
      <w:proofErr w:type="gramEnd"/>
      <w:r w:rsidRPr="003C16AC">
        <w:rPr>
          <w:lang w:val="fr-CM"/>
        </w:rPr>
        <w:t xml:space="preserve"> mieux faire connaître la loi du 24 décembre 2019 ;</w:t>
      </w:r>
    </w:p>
    <w:p w14:paraId="74D84970" w14:textId="77777777" w:rsidR="00EC7229" w:rsidRPr="003C16AC" w:rsidRDefault="00EC7229" w:rsidP="00013C0A">
      <w:pPr>
        <w:pStyle w:val="Bullet1G"/>
        <w:rPr>
          <w:b/>
          <w:lang w:val="fr-CM"/>
        </w:rPr>
      </w:pPr>
      <w:proofErr w:type="gramStart"/>
      <w:r w:rsidRPr="003C16AC">
        <w:rPr>
          <w:lang w:val="fr-CM"/>
        </w:rPr>
        <w:t>d’encourager</w:t>
      </w:r>
      <w:proofErr w:type="gramEnd"/>
      <w:r w:rsidRPr="003C16AC">
        <w:rPr>
          <w:lang w:val="fr-CM"/>
        </w:rPr>
        <w:t xml:space="preserve"> la promotion des langues officielles dans les entités du Secteur Privé dont les sièges sociaux sont établis à Douala ; et</w:t>
      </w:r>
    </w:p>
    <w:p w14:paraId="28864AD2" w14:textId="77777777" w:rsidR="00EC7229" w:rsidRPr="003C16AC" w:rsidRDefault="00EC7229" w:rsidP="00013C0A">
      <w:pPr>
        <w:pStyle w:val="Bullet1G"/>
        <w:rPr>
          <w:b/>
          <w:lang w:val="fr-CM"/>
        </w:rPr>
      </w:pPr>
      <w:proofErr w:type="gramStart"/>
      <w:r w:rsidRPr="003C16AC">
        <w:rPr>
          <w:lang w:val="fr-CM"/>
        </w:rPr>
        <w:t>de</w:t>
      </w:r>
      <w:proofErr w:type="gramEnd"/>
      <w:r w:rsidRPr="003C16AC">
        <w:rPr>
          <w:lang w:val="fr-CM"/>
        </w:rPr>
        <w:t xml:space="preserve"> sensibiliser le Secteur Privé aux dangers du discours de haine et de la xénophobie au Cameroun.</w:t>
      </w:r>
    </w:p>
    <w:p w14:paraId="36A3D31D" w14:textId="77777777" w:rsidR="00EC7229" w:rsidRPr="003C16AC" w:rsidRDefault="00EC7229" w:rsidP="00013C0A">
      <w:pPr>
        <w:pStyle w:val="SingleTxtG"/>
      </w:pPr>
      <w:r w:rsidRPr="003C16AC">
        <w:t>Organisations Patronales, et Organisations Patronales Spécialisées rencontrées :</w:t>
      </w:r>
    </w:p>
    <w:p w14:paraId="44A6C41D" w14:textId="77777777" w:rsidR="00EC7229" w:rsidRPr="003C16AC" w:rsidRDefault="00EC7229" w:rsidP="00013C0A">
      <w:pPr>
        <w:pStyle w:val="Bullet1G"/>
        <w:rPr>
          <w:lang w:val="fr-CM"/>
        </w:rPr>
      </w:pPr>
      <w:r w:rsidRPr="003C16AC">
        <w:rPr>
          <w:lang w:val="fr-CM"/>
        </w:rPr>
        <w:t>Chambre de Commerce, de l’industrie, des mines et de l’Artisanat (CCIMA) ;</w:t>
      </w:r>
    </w:p>
    <w:p w14:paraId="4227A2FE" w14:textId="77777777" w:rsidR="00EC7229" w:rsidRPr="003C16AC" w:rsidRDefault="00EC7229" w:rsidP="00013C0A">
      <w:pPr>
        <w:pStyle w:val="Bullet1G"/>
        <w:rPr>
          <w:lang w:val="fr-CM"/>
        </w:rPr>
      </w:pPr>
      <w:r w:rsidRPr="003C16AC">
        <w:rPr>
          <w:lang w:val="fr-CM"/>
        </w:rPr>
        <w:t>Groupement Inter-patronal du Cameroun (GICAM) ;</w:t>
      </w:r>
    </w:p>
    <w:p w14:paraId="05A4BB93" w14:textId="77777777" w:rsidR="00EC7229" w:rsidRPr="003C16AC" w:rsidRDefault="00EC7229" w:rsidP="00013C0A">
      <w:pPr>
        <w:pStyle w:val="Bullet1G"/>
        <w:rPr>
          <w:lang w:val="fr-CM"/>
        </w:rPr>
      </w:pPr>
      <w:r w:rsidRPr="003C16AC">
        <w:rPr>
          <w:lang w:val="fr-CM"/>
        </w:rPr>
        <w:t>Association des Sociétés d’Assurance du Cameroun (ASAC) ;</w:t>
      </w:r>
    </w:p>
    <w:p w14:paraId="1BBCACF4" w14:textId="77777777" w:rsidR="00EC7229" w:rsidRPr="003C16AC" w:rsidRDefault="00EC7229" w:rsidP="00013C0A">
      <w:pPr>
        <w:pStyle w:val="Bullet1G"/>
        <w:rPr>
          <w:lang w:val="fr-CM"/>
        </w:rPr>
      </w:pPr>
      <w:r w:rsidRPr="003C16AC">
        <w:rPr>
          <w:lang w:val="fr-CM"/>
        </w:rPr>
        <w:t xml:space="preserve"> L’Association Professionnelle de Crédit du Cameroun (APECCAM) ;</w:t>
      </w:r>
    </w:p>
    <w:p w14:paraId="3043C91C" w14:textId="77777777" w:rsidR="00EC7229" w:rsidRPr="003C16AC" w:rsidRDefault="00EC7229" w:rsidP="00013C0A">
      <w:pPr>
        <w:pStyle w:val="Bullet1G"/>
        <w:rPr>
          <w:lang w:val="fr-CM"/>
        </w:rPr>
      </w:pPr>
      <w:r w:rsidRPr="003C16AC">
        <w:rPr>
          <w:lang w:val="fr-CM"/>
        </w:rPr>
        <w:t>Entreprises du Cameroun (ECAM) ;</w:t>
      </w:r>
    </w:p>
    <w:p w14:paraId="3387010D" w14:textId="77777777" w:rsidR="00EC7229" w:rsidRPr="003C16AC" w:rsidRDefault="00EC7229" w:rsidP="00013C0A">
      <w:pPr>
        <w:pStyle w:val="Bullet1G"/>
        <w:rPr>
          <w:lang w:val="fr-CM"/>
        </w:rPr>
      </w:pPr>
      <w:r w:rsidRPr="003C16AC">
        <w:rPr>
          <w:lang w:val="fr-CM"/>
        </w:rPr>
        <w:t>Syndicat Patronal des Industries de l’Hôtellerie et du Tourisme (SPHIT) ;</w:t>
      </w:r>
    </w:p>
    <w:p w14:paraId="5D402D4E" w14:textId="77777777" w:rsidR="00EC7229" w:rsidRPr="003C16AC" w:rsidRDefault="00EC7229" w:rsidP="00013C0A">
      <w:pPr>
        <w:pStyle w:val="Bullet1G"/>
        <w:rPr>
          <w:lang w:val="fr-CM"/>
        </w:rPr>
      </w:pPr>
      <w:r w:rsidRPr="003C16AC">
        <w:rPr>
          <w:lang w:val="fr-CM"/>
        </w:rPr>
        <w:t>Syndicat des Industries du Cameroun (SYNDUSTRICAM).</w:t>
      </w:r>
    </w:p>
    <w:p w14:paraId="48152D78" w14:textId="29E43941" w:rsidR="00EC7229" w:rsidRPr="003C16AC" w:rsidRDefault="00013C0A" w:rsidP="00013C0A">
      <w:pPr>
        <w:pStyle w:val="H23G"/>
      </w:pPr>
      <w:r>
        <w:tab/>
      </w:r>
      <w:r>
        <w:tab/>
      </w:r>
      <w:proofErr w:type="gramStart"/>
      <w:r w:rsidR="00EC7229" w:rsidRPr="003C16AC">
        <w:t>Les activité</w:t>
      </w:r>
      <w:proofErr w:type="gramEnd"/>
      <w:r w:rsidR="00EC7229" w:rsidRPr="003C16AC">
        <w:t xml:space="preserve"> de décembre 2021</w:t>
      </w:r>
    </w:p>
    <w:p w14:paraId="57D954B6" w14:textId="77777777" w:rsidR="00EC7229" w:rsidRPr="003C16AC" w:rsidRDefault="00EC7229" w:rsidP="00013C0A">
      <w:pPr>
        <w:pStyle w:val="Bullet1G"/>
        <w:rPr>
          <w:lang w:val="fr-CM"/>
        </w:rPr>
      </w:pPr>
      <w:proofErr w:type="spellStart"/>
      <w:r w:rsidRPr="003C16AC">
        <w:rPr>
          <w:lang w:val="fr-CM"/>
        </w:rPr>
        <w:t>Elaboration</w:t>
      </w:r>
      <w:proofErr w:type="spellEnd"/>
      <w:r w:rsidRPr="003C16AC">
        <w:rPr>
          <w:lang w:val="fr-CM"/>
        </w:rPr>
        <w:t xml:space="preserve"> d’un Rapport sur les actions réalisées par la CNPBM sur la Promotion du Bilinguisme et du Multiculturalisme au cours de la période allant du 06 novembre 2018 au 06 novembre 2021, et transmis à la Présidence de la République ;</w:t>
      </w:r>
    </w:p>
    <w:p w14:paraId="092A9B78" w14:textId="77777777" w:rsidR="00EC7229" w:rsidRPr="003C16AC" w:rsidRDefault="00EC7229" w:rsidP="00013C0A">
      <w:pPr>
        <w:pStyle w:val="Bullet1G"/>
        <w:rPr>
          <w:lang w:val="fr-CM"/>
        </w:rPr>
      </w:pPr>
      <w:r w:rsidRPr="003C16AC">
        <w:rPr>
          <w:lang w:val="fr-CM"/>
        </w:rPr>
        <w:t>Tenue d la 11</w:t>
      </w:r>
      <w:r w:rsidRPr="003C16AC">
        <w:rPr>
          <w:vertAlign w:val="superscript"/>
          <w:lang w:val="fr-CM"/>
        </w:rPr>
        <w:t>ème</w:t>
      </w:r>
      <w:r w:rsidRPr="003C16AC">
        <w:rPr>
          <w:lang w:val="fr-CM"/>
        </w:rPr>
        <w:t xml:space="preserve"> Session Semestrielle de la CNPBM le jeudi 20 décembre 2021.</w:t>
      </w:r>
    </w:p>
    <w:p w14:paraId="4E8D9029" w14:textId="67464A23" w:rsidR="00EC7229" w:rsidRPr="003C16AC" w:rsidRDefault="00013C0A" w:rsidP="00013C0A">
      <w:pPr>
        <w:pStyle w:val="H23G"/>
      </w:pPr>
      <w:r>
        <w:lastRenderedPageBreak/>
        <w:tab/>
      </w:r>
      <w:r>
        <w:tab/>
      </w:r>
      <w:r w:rsidR="00EC7229" w:rsidRPr="003C16AC">
        <w:t>Les activités de 2022</w:t>
      </w:r>
    </w:p>
    <w:p w14:paraId="62D1D89F" w14:textId="77777777" w:rsidR="00EC7229" w:rsidRPr="003C16AC" w:rsidRDefault="00EC7229" w:rsidP="00206161">
      <w:pPr>
        <w:pStyle w:val="Bullet1G"/>
        <w:rPr>
          <w:lang w:val="fr-CM"/>
        </w:rPr>
      </w:pPr>
      <w:r w:rsidRPr="003C16AC">
        <w:rPr>
          <w:lang w:val="fr-CM"/>
        </w:rPr>
        <w:t>Tenue de la 12</w:t>
      </w:r>
      <w:proofErr w:type="gramStart"/>
      <w:r w:rsidRPr="003C16AC">
        <w:rPr>
          <w:vertAlign w:val="superscript"/>
          <w:lang w:val="fr-CM"/>
        </w:rPr>
        <w:t>ème</w:t>
      </w:r>
      <w:r w:rsidRPr="003C16AC">
        <w:rPr>
          <w:lang w:val="fr-CM"/>
        </w:rPr>
        <w:t xml:space="preserve">  Session</w:t>
      </w:r>
      <w:proofErr w:type="gramEnd"/>
      <w:r w:rsidRPr="003C16AC">
        <w:rPr>
          <w:lang w:val="fr-CM"/>
        </w:rPr>
        <w:t xml:space="preserve"> Semestrielle de la CNPBM le jeudi 21 janvier 2022 ;</w:t>
      </w:r>
    </w:p>
    <w:p w14:paraId="194A5DFA" w14:textId="77777777" w:rsidR="00EC7229" w:rsidRPr="003C16AC" w:rsidRDefault="00EC7229" w:rsidP="00206161">
      <w:pPr>
        <w:pStyle w:val="Bullet1G"/>
        <w:rPr>
          <w:lang w:val="fr-CM"/>
        </w:rPr>
      </w:pPr>
      <w:r w:rsidRPr="003C16AC">
        <w:rPr>
          <w:lang w:val="fr-CM"/>
        </w:rPr>
        <w:t>Mission de Suivi et d’</w:t>
      </w:r>
      <w:proofErr w:type="spellStart"/>
      <w:r w:rsidRPr="003C16AC">
        <w:rPr>
          <w:lang w:val="fr-CM"/>
        </w:rPr>
        <w:t>Evaluation</w:t>
      </w:r>
      <w:proofErr w:type="spellEnd"/>
      <w:r w:rsidRPr="003C16AC">
        <w:rPr>
          <w:lang w:val="fr-CM"/>
        </w:rPr>
        <w:t xml:space="preserve"> de la mise en œuvre de la Politique Nationale de Promotion de langues officielles dans 70 (soixante-dix) </w:t>
      </w:r>
      <w:proofErr w:type="spellStart"/>
      <w:r w:rsidRPr="003C16AC">
        <w:rPr>
          <w:lang w:val="fr-CM"/>
        </w:rPr>
        <w:t>Etablissements</w:t>
      </w:r>
      <w:proofErr w:type="spellEnd"/>
      <w:r w:rsidRPr="003C16AC">
        <w:rPr>
          <w:lang w:val="fr-CM"/>
        </w:rPr>
        <w:t xml:space="preserve"> et Entreprises du secteur Public et Privé basés à Yaoundé du 14 au 18 mars 2022 ;</w:t>
      </w:r>
    </w:p>
    <w:p w14:paraId="133D806C" w14:textId="5CF9BA4E" w:rsidR="00EC7229" w:rsidRPr="003C16AC" w:rsidRDefault="00206161" w:rsidP="00206161">
      <w:pPr>
        <w:pStyle w:val="Bullet1G"/>
        <w:rPr>
          <w:lang w:val="fr-CM"/>
        </w:rPr>
      </w:pPr>
      <w:r>
        <w:rPr>
          <w:lang w:val="fr-CM"/>
        </w:rPr>
        <w:t>L</w:t>
      </w:r>
      <w:r w:rsidR="00EC7229" w:rsidRPr="003C16AC">
        <w:rPr>
          <w:lang w:val="fr-CM"/>
        </w:rPr>
        <w:t>’élaboration d’un avant-projet de décret sur les modalités d’application de la loi n° 2019/019 du 24 décembre 2019 portant promotion des langues officielles au Cameroun ;</w:t>
      </w:r>
    </w:p>
    <w:p w14:paraId="436E5599" w14:textId="3CD03128" w:rsidR="00EC7229" w:rsidRPr="003C16AC" w:rsidRDefault="00206161" w:rsidP="00206161">
      <w:pPr>
        <w:pStyle w:val="Bullet1G"/>
        <w:rPr>
          <w:lang w:val="fr-CM"/>
        </w:rPr>
      </w:pPr>
      <w:r>
        <w:rPr>
          <w:lang w:val="fr-CM"/>
        </w:rPr>
        <w:t>L</w:t>
      </w:r>
      <w:r w:rsidR="00EC7229" w:rsidRPr="003C16AC">
        <w:rPr>
          <w:lang w:val="fr-CM"/>
        </w:rPr>
        <w:t xml:space="preserve">a mise en place d’une </w:t>
      </w:r>
      <w:proofErr w:type="spellStart"/>
      <w:r w:rsidR="00EC7229" w:rsidRPr="003C16AC">
        <w:rPr>
          <w:lang w:val="fr-CM"/>
        </w:rPr>
        <w:t>plateforme</w:t>
      </w:r>
      <w:proofErr w:type="spellEnd"/>
      <w:r w:rsidR="00EC7229" w:rsidRPr="003C16AC">
        <w:rPr>
          <w:lang w:val="fr-CM"/>
        </w:rPr>
        <w:t xml:space="preserve"> de collaboration avec certaines Organisations de la Société Civile pour la lutte contre le discours de haine et la xénophobie au Cameroun ;</w:t>
      </w:r>
    </w:p>
    <w:p w14:paraId="158FA55C" w14:textId="77777777" w:rsidR="00EC7229" w:rsidRPr="003C16AC" w:rsidRDefault="00EC7229" w:rsidP="00206161">
      <w:pPr>
        <w:pStyle w:val="Bullet1G"/>
        <w:rPr>
          <w:lang w:val="fr-CM"/>
        </w:rPr>
      </w:pPr>
      <w:r w:rsidRPr="003C16AC">
        <w:rPr>
          <w:lang w:val="fr-CM"/>
        </w:rPr>
        <w:t>Participation à la onzième édition du salon de l’Action Gouvernementale (SAGO 2022) 22 juin – 1 juillet 2022, Palais des Sports de Yaoundé ;</w:t>
      </w:r>
    </w:p>
    <w:p w14:paraId="7B67B8D7" w14:textId="77777777" w:rsidR="00EC7229" w:rsidRPr="003C16AC" w:rsidRDefault="00EC7229" w:rsidP="00206161">
      <w:pPr>
        <w:pStyle w:val="Bullet1G"/>
        <w:rPr>
          <w:lang w:val="fr-CM"/>
        </w:rPr>
      </w:pPr>
      <w:r w:rsidRPr="003C16AC">
        <w:rPr>
          <w:lang w:val="fr-CM"/>
        </w:rPr>
        <w:t>Participation à la première édition de la Journée Nationale des Chefs Traditionnels du Cameroun à Bertoua (27 au 28 août 2022) ;</w:t>
      </w:r>
    </w:p>
    <w:p w14:paraId="6DE4520D" w14:textId="77777777" w:rsidR="00EC7229" w:rsidRPr="003C16AC" w:rsidRDefault="00EC7229" w:rsidP="00206161">
      <w:pPr>
        <w:pStyle w:val="Bullet1G"/>
        <w:rPr>
          <w:lang w:val="fr-CM"/>
        </w:rPr>
      </w:pPr>
      <w:r w:rsidRPr="003C16AC">
        <w:rPr>
          <w:lang w:val="fr-CM"/>
        </w:rPr>
        <w:t>Mission de suivi et l’évaluation de la mise en œuvre de la Politique Nationale de Promotion des Langues Officielles dans les collectivités territoriales décentralisées dans les 10 régions.</w:t>
      </w:r>
    </w:p>
    <w:p w14:paraId="2B1FA6E3" w14:textId="1125D45B" w:rsidR="00EC7229" w:rsidRPr="003C16AC" w:rsidRDefault="00206161" w:rsidP="00206161">
      <w:pPr>
        <w:pStyle w:val="H23G"/>
      </w:pPr>
      <w:r>
        <w:tab/>
      </w:r>
      <w:r>
        <w:tab/>
      </w:r>
      <w:r w:rsidR="00EC7229" w:rsidRPr="003C16AC">
        <w:t>Les activités de 2023</w:t>
      </w:r>
    </w:p>
    <w:p w14:paraId="027209E9"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(1-10 février 2023) ;</w:t>
      </w:r>
    </w:p>
    <w:p w14:paraId="5F47F636" w14:textId="77777777" w:rsidR="00EC7229" w:rsidRPr="003C16AC" w:rsidRDefault="00EC7229" w:rsidP="00206161">
      <w:pPr>
        <w:pStyle w:val="Bullet1G"/>
        <w:rPr>
          <w:lang w:val="fr-CM"/>
        </w:rPr>
      </w:pPr>
      <w:r w:rsidRPr="003C16AC">
        <w:rPr>
          <w:lang w:val="fr-CM"/>
        </w:rPr>
        <w:t>Participation au village Commonwealth marquant les célébrations de la journée du Commonwealth. (9-10 mars 2023) ;</w:t>
      </w:r>
    </w:p>
    <w:p w14:paraId="0A4A2E66" w14:textId="77777777" w:rsidR="00EC7229" w:rsidRPr="003C16AC" w:rsidRDefault="00EC7229" w:rsidP="00206161">
      <w:pPr>
        <w:pStyle w:val="Bullet1G"/>
        <w:rPr>
          <w:lang w:val="fr-CM"/>
        </w:rPr>
      </w:pPr>
      <w:r w:rsidRPr="003C16AC">
        <w:rPr>
          <w:lang w:val="fr-CM"/>
        </w:rPr>
        <w:t>Participation au village de l’unité marquant les célébrations de la fête nationale. (15-17 mai 2023) ;</w:t>
      </w:r>
    </w:p>
    <w:p w14:paraId="4854C125" w14:textId="77777777" w:rsidR="00EC7229" w:rsidRPr="003C16AC" w:rsidRDefault="00EC7229" w:rsidP="00206161">
      <w:pPr>
        <w:pStyle w:val="Bullet1G"/>
        <w:rPr>
          <w:lang w:val="fr-CM"/>
        </w:rPr>
      </w:pPr>
      <w:r w:rsidRPr="003C16AC">
        <w:rPr>
          <w:lang w:val="fr-CM"/>
        </w:rPr>
        <w:t>Séminaire de renforcement des capacités des membres de la CNPBM sur le budget program (9 au 11 mai 2023) ;</w:t>
      </w:r>
    </w:p>
    <w:p w14:paraId="0690A40F" w14:textId="77777777" w:rsidR="00EC7229" w:rsidRPr="003C16AC" w:rsidRDefault="00EC7229" w:rsidP="00206161">
      <w:pPr>
        <w:pStyle w:val="Bullet1G"/>
        <w:rPr>
          <w:lang w:val="fr-CM"/>
        </w:rPr>
      </w:pPr>
      <w:r w:rsidRPr="003C16AC">
        <w:rPr>
          <w:lang w:val="fr-CM"/>
        </w:rPr>
        <w:t>Séminaire de renforcement des capacités des membres de la CNPBM sur la stratégie Nationale de Développement 2020-2030. (7 au 9 juin 2023, Ebolowa) ;</w:t>
      </w:r>
    </w:p>
    <w:p w14:paraId="730F90B3" w14:textId="77777777" w:rsidR="00EC7229" w:rsidRPr="003C16AC" w:rsidRDefault="00EC7229" w:rsidP="00206161">
      <w:pPr>
        <w:pStyle w:val="Bullet1G"/>
        <w:rPr>
          <w:lang w:val="fr-CM"/>
        </w:rPr>
      </w:pPr>
      <w:r w:rsidRPr="003C16AC">
        <w:rPr>
          <w:lang w:val="fr-CM"/>
        </w:rPr>
        <w:t>Installation des responsables nommés à la CNPBM le 16 juin 2023, marquant l’opérationnalisation des antennes régionales ;</w:t>
      </w:r>
    </w:p>
    <w:p w14:paraId="24E071C5" w14:textId="77777777" w:rsidR="00EC7229" w:rsidRPr="003C16AC" w:rsidRDefault="00EC7229" w:rsidP="00206161">
      <w:pPr>
        <w:pStyle w:val="Bullet1G"/>
        <w:rPr>
          <w:lang w:val="fr-CM"/>
        </w:rPr>
      </w:pPr>
      <w:r w:rsidRPr="003C16AC">
        <w:rPr>
          <w:lang w:val="fr-CM"/>
        </w:rPr>
        <w:t>Participation au salon de l’Action Gouvernementale (SAGO 2023). (22-29 juillet 2023) ;</w:t>
      </w:r>
    </w:p>
    <w:p w14:paraId="38FBD211" w14:textId="22422B56" w:rsidR="00EC7229" w:rsidRPr="003C16AC" w:rsidRDefault="00EC7229" w:rsidP="00206161">
      <w:pPr>
        <w:pStyle w:val="Bullet1G"/>
        <w:rPr>
          <w:lang w:val="fr-CM"/>
        </w:rPr>
      </w:pPr>
      <w:r w:rsidRPr="003C16AC">
        <w:rPr>
          <w:lang w:val="fr-CM"/>
        </w:rPr>
        <w:t>La CNPBM a reçu le trophée du meilleur exposé (portant sur les discours de haine) de l’édition 2023 du Salon de l’Action Gouvernemental (SAGO 2023) ;</w:t>
      </w:r>
    </w:p>
    <w:p w14:paraId="0F4632B9" w14:textId="77777777" w:rsidR="00EC7229" w:rsidRPr="003C16AC" w:rsidRDefault="00EC7229" w:rsidP="00206161">
      <w:pPr>
        <w:pStyle w:val="Bullet1G"/>
        <w:rPr>
          <w:lang w:val="fr-CM"/>
        </w:rPr>
      </w:pPr>
      <w:r w:rsidRPr="003C16AC">
        <w:rPr>
          <w:lang w:val="fr-CM"/>
        </w:rPr>
        <w:t>Mission d’évaluation de l’usage des langues officielles dans certains grands hôpitaux publics, les universités d’état et des écoles de formation du personnel des forces de défense et de sécurité. (25 septembre au 04 octobre 2023 ;</w:t>
      </w:r>
    </w:p>
    <w:p w14:paraId="17EE28DC" w14:textId="459317EC" w:rsidR="00EC7229" w:rsidRPr="003C16AC" w:rsidRDefault="00EC7229" w:rsidP="00206161">
      <w:pPr>
        <w:pStyle w:val="Bullet1G"/>
        <w:rPr>
          <w:lang w:val="fr-CM"/>
        </w:rPr>
      </w:pPr>
      <w:r w:rsidRPr="003C16AC">
        <w:rPr>
          <w:lang w:val="fr-CM"/>
        </w:rPr>
        <w:t>Mission de suivi et d’évaluation de la mise en œuvre de la politique nationale de promotion des langues officielles auprès de représentations diplomatiques camerounais à Lagos, Pretoria, Berlin, Bruxelles, Londres, Paris et Washington (novembre 2023)</w:t>
      </w:r>
      <w:r w:rsidR="00206161">
        <w:rPr>
          <w:lang w:val="fr-CM"/>
        </w:rPr>
        <w:t>.</w:t>
      </w:r>
    </w:p>
    <w:p w14:paraId="3B6ED5A1" w14:textId="711DEA61" w:rsidR="00EC7229" w:rsidRPr="003C16AC" w:rsidRDefault="00206161" w:rsidP="00206161">
      <w:pPr>
        <w:pStyle w:val="H23G"/>
      </w:pPr>
      <w:r>
        <w:tab/>
      </w:r>
      <w:r>
        <w:tab/>
      </w:r>
      <w:r w:rsidR="00EC7229" w:rsidRPr="003C16AC">
        <w:t>Les activités de 2024</w:t>
      </w:r>
    </w:p>
    <w:p w14:paraId="5938C1BC"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(7-10 février 2024) ;</w:t>
      </w:r>
    </w:p>
    <w:p w14:paraId="04CF9189" w14:textId="77777777" w:rsidR="00EC7229" w:rsidRPr="003C16AC" w:rsidRDefault="00EC7229" w:rsidP="00206161">
      <w:pPr>
        <w:pStyle w:val="Bullet1G"/>
        <w:rPr>
          <w:lang w:val="fr-CM"/>
        </w:rPr>
      </w:pPr>
      <w:r w:rsidRPr="003C16AC">
        <w:rPr>
          <w:lang w:val="fr-CM"/>
        </w:rPr>
        <w:lastRenderedPageBreak/>
        <w:t>Participation aux activités organisées dans le cadre de la célébration de la semaine du Commonwealth (5-11 mars 2024) ;</w:t>
      </w:r>
    </w:p>
    <w:p w14:paraId="17FF156D" w14:textId="77777777" w:rsidR="00EC7229" w:rsidRPr="003C16AC" w:rsidRDefault="00EC7229" w:rsidP="00206161">
      <w:pPr>
        <w:pStyle w:val="Bullet1G"/>
        <w:rPr>
          <w:lang w:val="fr-CM"/>
        </w:rPr>
      </w:pPr>
      <w:r w:rsidRPr="003C16AC">
        <w:rPr>
          <w:lang w:val="fr-CM"/>
        </w:rPr>
        <w:t>Participation à la foire du Village de l’Unité dans le cadre des activités organisées en vue de la célébration de la fête de l’Unité (13-18 mai 2024) ;</w:t>
      </w:r>
    </w:p>
    <w:p w14:paraId="18CBABCD" w14:textId="77777777" w:rsidR="00EC7229" w:rsidRPr="003C16AC" w:rsidRDefault="00EC7229" w:rsidP="00206161">
      <w:pPr>
        <w:pStyle w:val="Bullet1G"/>
        <w:rPr>
          <w:lang w:val="fr-CM"/>
        </w:rPr>
      </w:pPr>
      <w:r w:rsidRPr="003C16AC">
        <w:rPr>
          <w:lang w:val="fr-CM"/>
        </w:rPr>
        <w:t>Missions de suivi et d’évaluation de la pratique du bilinguisme dans les aéroports internationaux de Yaoundé-</w:t>
      </w:r>
      <w:proofErr w:type="spellStart"/>
      <w:r w:rsidRPr="003C16AC">
        <w:rPr>
          <w:lang w:val="fr-CM"/>
        </w:rPr>
        <w:t>Nsimalen</w:t>
      </w:r>
      <w:proofErr w:type="spellEnd"/>
      <w:r w:rsidRPr="003C16AC">
        <w:rPr>
          <w:lang w:val="fr-CM"/>
        </w:rPr>
        <w:t>, Douala et Garoua, ainsi que dans les ports autonomes de Douala, Kribi et Limbe (23-29 juin 2024) ;</w:t>
      </w:r>
    </w:p>
    <w:p w14:paraId="57FB4730" w14:textId="77777777" w:rsidR="00EC7229" w:rsidRPr="003C16AC" w:rsidRDefault="00EC7229" w:rsidP="00206161">
      <w:pPr>
        <w:pStyle w:val="Bullet1G"/>
        <w:rPr>
          <w:lang w:val="fr-CM"/>
        </w:rPr>
      </w:pPr>
      <w:r w:rsidRPr="003C16AC">
        <w:rPr>
          <w:lang w:val="fr-CM"/>
        </w:rPr>
        <w:t>Participation au Salon de l’Action Gouvernementale-SAGO (20-27 juillet 2024) ;</w:t>
      </w:r>
    </w:p>
    <w:p w14:paraId="7C2FEE08" w14:textId="77777777" w:rsidR="00EC7229" w:rsidRPr="003C16AC" w:rsidRDefault="00EC7229" w:rsidP="00206161">
      <w:pPr>
        <w:pStyle w:val="Bullet1G"/>
        <w:rPr>
          <w:lang w:val="fr-CM"/>
        </w:rPr>
      </w:pPr>
      <w:r w:rsidRPr="003C16AC">
        <w:rPr>
          <w:lang w:val="fr-CM"/>
        </w:rPr>
        <w:t>Organisation du colloque sur les conflits intercommunautaires et la promotion du vivre ensemble au Cameroun (26 au 28 septembre 2024) ;</w:t>
      </w:r>
    </w:p>
    <w:p w14:paraId="7E210B93" w14:textId="77777777" w:rsidR="00EC7229" w:rsidRPr="003C16AC" w:rsidRDefault="00EC7229" w:rsidP="00206161">
      <w:pPr>
        <w:pStyle w:val="Bullet1G"/>
        <w:rPr>
          <w:lang w:val="fr-CM"/>
        </w:rPr>
      </w:pPr>
      <w:r w:rsidRPr="003C16AC">
        <w:rPr>
          <w:lang w:val="fr-CM"/>
        </w:rPr>
        <w:t>Mission d’évaluation de la mise en œuvre de la politique nationale de promotion des langues officielles dans certaines missions diplomatiques au Cameroun à l’étranger (23 au 29 Novembre 2024.</w:t>
      </w:r>
    </w:p>
    <w:p w14:paraId="4BBBDCD9" w14:textId="6F701934" w:rsidR="00EC7229" w:rsidRPr="003C16AC" w:rsidRDefault="00206161" w:rsidP="00206161">
      <w:pPr>
        <w:pStyle w:val="H23G"/>
      </w:pPr>
      <w:r>
        <w:tab/>
      </w:r>
      <w:r>
        <w:tab/>
      </w:r>
      <w:r w:rsidR="00EC7229" w:rsidRPr="003C16AC">
        <w:t>Les activités de janvier à juin 2025</w:t>
      </w:r>
    </w:p>
    <w:p w14:paraId="003FB428"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(1-10 février 2025) ;</w:t>
      </w:r>
    </w:p>
    <w:p w14:paraId="3AC223B4" w14:textId="77777777" w:rsidR="00EC7229" w:rsidRPr="003C16AC" w:rsidRDefault="00EC7229" w:rsidP="00206161">
      <w:pPr>
        <w:pStyle w:val="Bullet1G"/>
        <w:rPr>
          <w:lang w:val="fr-CM"/>
        </w:rPr>
      </w:pPr>
      <w:r w:rsidRPr="003C16AC">
        <w:rPr>
          <w:lang w:val="fr-CM"/>
        </w:rPr>
        <w:t>Participation à la deuxième édition du « Diaspora Kitchen3 520-23 février 2025) ;</w:t>
      </w:r>
    </w:p>
    <w:p w14:paraId="74CD8EFB" w14:textId="77777777" w:rsidR="00EC7229" w:rsidRPr="003C16AC" w:rsidRDefault="00EC7229" w:rsidP="00206161">
      <w:pPr>
        <w:pStyle w:val="Bullet1G"/>
        <w:rPr>
          <w:lang w:val="fr-CM"/>
        </w:rPr>
      </w:pPr>
      <w:r w:rsidRPr="003C16AC">
        <w:rPr>
          <w:lang w:val="fr-CM"/>
        </w:rPr>
        <w:t>Participation aux activités organisées dans le cadre de la célébration de la semaine du Commonwealth (4-5 mars 2025) ;</w:t>
      </w:r>
    </w:p>
    <w:p w14:paraId="6A3DA0BE" w14:textId="77777777" w:rsidR="00EC7229" w:rsidRPr="003C16AC" w:rsidRDefault="00EC7229" w:rsidP="00206161">
      <w:pPr>
        <w:pStyle w:val="Bullet1G"/>
        <w:rPr>
          <w:lang w:val="fr-CM"/>
        </w:rPr>
      </w:pPr>
      <w:r w:rsidRPr="003C16AC">
        <w:rPr>
          <w:lang w:val="fr-CM"/>
        </w:rPr>
        <w:t>Participation à la troisième édition du Royal Cultural Limbe Festival- ROCULLF (21-22 mars 2025) ;</w:t>
      </w:r>
    </w:p>
    <w:p w14:paraId="6823D452" w14:textId="77777777" w:rsidR="00EC7229" w:rsidRPr="003C16AC" w:rsidRDefault="00EC7229" w:rsidP="00206161">
      <w:pPr>
        <w:pStyle w:val="Bullet1G"/>
        <w:rPr>
          <w:lang w:val="fr-CM"/>
        </w:rPr>
      </w:pPr>
      <w:r w:rsidRPr="003C16AC">
        <w:rPr>
          <w:lang w:val="fr-CM"/>
        </w:rPr>
        <w:t xml:space="preserve">Mission de suivi de la promotion de la politique nationale des langues officielles dans certains établissement d’enseignements secondaire, primaire et maternelle de Yaoundé, Douala et </w:t>
      </w:r>
      <w:proofErr w:type="spellStart"/>
      <w:r w:rsidRPr="003C16AC">
        <w:rPr>
          <w:lang w:val="fr-CM"/>
        </w:rPr>
        <w:t>Buéa</w:t>
      </w:r>
      <w:proofErr w:type="spellEnd"/>
      <w:r w:rsidRPr="003C16AC">
        <w:rPr>
          <w:lang w:val="fr-CM"/>
        </w:rPr>
        <w:t xml:space="preserve"> (27 avril – 3 mai 2025) ;</w:t>
      </w:r>
    </w:p>
    <w:p w14:paraId="164E4CED" w14:textId="77777777" w:rsidR="00EC7229" w:rsidRPr="003C16AC" w:rsidRDefault="00EC7229" w:rsidP="00206161">
      <w:pPr>
        <w:pStyle w:val="Bullet1G"/>
        <w:rPr>
          <w:lang w:val="fr-CM"/>
        </w:rPr>
      </w:pPr>
      <w:r w:rsidRPr="003C16AC">
        <w:rPr>
          <w:lang w:val="fr-CM"/>
        </w:rPr>
        <w:t>Participation au village Unité dans le cadre des activités organisées en vue de la célébration de la fête de l’Unité (13-19 mai 2025) ;</w:t>
      </w:r>
    </w:p>
    <w:p w14:paraId="28F0A561" w14:textId="2824EB79" w:rsidR="00EC7229" w:rsidRPr="003C16AC" w:rsidRDefault="00EC7229" w:rsidP="00206161">
      <w:pPr>
        <w:pStyle w:val="Bullet1G"/>
        <w:rPr>
          <w:lang w:val="fr-CM"/>
        </w:rPr>
      </w:pPr>
      <w:proofErr w:type="spellStart"/>
      <w:r w:rsidRPr="003C16AC">
        <w:rPr>
          <w:lang w:val="fr-CM"/>
        </w:rPr>
        <w:t>Renouvèlement</w:t>
      </w:r>
      <w:proofErr w:type="spellEnd"/>
      <w:r w:rsidRPr="003C16AC">
        <w:rPr>
          <w:lang w:val="fr-CM"/>
        </w:rPr>
        <w:t xml:space="preserve"> de l’accord de collaboration entre le CNPBM et certaines Organisations de la Société Civile dans le cadre de la lutte contre les discours de haine et la xénophobie au Cameroun (14 mai 2025) ;</w:t>
      </w:r>
    </w:p>
    <w:p w14:paraId="6AF95D28" w14:textId="77777777" w:rsidR="00EC7229" w:rsidRPr="003C16AC" w:rsidRDefault="00EC7229" w:rsidP="00206161">
      <w:pPr>
        <w:pStyle w:val="Bullet1G"/>
        <w:rPr>
          <w:lang w:val="fr-CM"/>
        </w:rPr>
      </w:pPr>
      <w:r w:rsidRPr="003C16AC">
        <w:rPr>
          <w:lang w:val="fr-CM"/>
        </w:rPr>
        <w:t>Mission d’évaluation de la mise en œuvre de la politique nationale de promotion des langues officielles dans certaines missions diplomatiques du Cameroun à l’étranger (22-28 juin 2025).</w:t>
      </w:r>
    </w:p>
    <w:p w14:paraId="5C485F2B" w14:textId="125C69CA" w:rsidR="00EC7229" w:rsidRPr="00206161" w:rsidRDefault="00206161" w:rsidP="00206161">
      <w:pPr>
        <w:spacing w:before="240"/>
        <w:jc w:val="center"/>
        <w:rPr>
          <w:u w:val="single"/>
          <w:lang w:val="fr-FR"/>
        </w:rPr>
      </w:pPr>
      <w:r>
        <w:rPr>
          <w:u w:val="single"/>
          <w:lang w:val="fr-FR"/>
        </w:rPr>
        <w:tab/>
      </w:r>
      <w:r>
        <w:rPr>
          <w:u w:val="single"/>
          <w:lang w:val="fr-FR"/>
        </w:rPr>
        <w:tab/>
      </w:r>
      <w:r>
        <w:rPr>
          <w:u w:val="single"/>
          <w:lang w:val="fr-FR"/>
        </w:rPr>
        <w:tab/>
      </w:r>
    </w:p>
    <w:sectPr w:rsidR="00EC7229" w:rsidRPr="00206161" w:rsidSect="00B907E2">
      <w:headerReference w:type="even" r:id="rId11"/>
      <w:headerReference w:type="default" r:id="rId12"/>
      <w:footerReference w:type="even" r:id="rId13"/>
      <w:footerReference w:type="default" r:id="rId14"/>
      <w:footerReference w:type="first" r:id="rId15"/>
      <w:pgSz w:w="11906" w:h="16838"/>
      <w:pgMar w:top="1417" w:right="1274"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61016" w14:textId="77777777" w:rsidR="002E6441" w:rsidRDefault="002E6441">
      <w:pPr>
        <w:spacing w:line="240" w:lineRule="auto"/>
      </w:pPr>
    </w:p>
  </w:endnote>
  <w:endnote w:type="continuationSeparator" w:id="0">
    <w:p w14:paraId="07A8A72E" w14:textId="77777777" w:rsidR="002E6441" w:rsidRDefault="002E6441">
      <w:pPr>
        <w:pStyle w:val="Footer"/>
      </w:pPr>
    </w:p>
  </w:endnote>
  <w:endnote w:type="continuationNotice" w:id="1">
    <w:p w14:paraId="7A52D047" w14:textId="77777777" w:rsidR="002E6441" w:rsidRDefault="002E64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7" w14:textId="77777777" w:rsidR="00AB4C8F" w:rsidRDefault="00AB4C8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D51DF">
      <w:rPr>
        <w:b/>
        <w:noProof/>
        <w:sz w:val="18"/>
      </w:rPr>
      <w:t>50</w:t>
    </w:r>
    <w:r>
      <w:rPr>
        <w:b/>
        <w:sz w:val="18"/>
      </w:rPr>
      <w:fldChar w:fldCharType="end"/>
    </w:r>
    <w:r>
      <w:tab/>
    </w:r>
    <w:fldSimple w:instr=" DOCPROPERTY  gdocf  \* MERGEFORMAT "/>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8" w14:textId="77777777" w:rsidR="00AB4C8F" w:rsidRDefault="00AB4C8F">
    <w:pPr>
      <w:pStyle w:val="Footer"/>
      <w:tabs>
        <w:tab w:val="right" w:pos="9639"/>
      </w:tabs>
      <w:rPr>
        <w:sz w:val="20"/>
      </w:rPr>
    </w:pPr>
    <w:fldSimple w:instr=" DOCPROPERTY  gdocf  \* MERGEFORMAT "/>
    <w:r>
      <w:tab/>
    </w:r>
    <w:r>
      <w:rPr>
        <w:b/>
        <w:sz w:val="18"/>
      </w:rPr>
      <w:fldChar w:fldCharType="begin"/>
    </w:r>
    <w:r>
      <w:rPr>
        <w:b/>
        <w:sz w:val="18"/>
      </w:rPr>
      <w:instrText xml:space="preserve"> PAGE  \* MERGEFORMAT </w:instrText>
    </w:r>
    <w:r>
      <w:rPr>
        <w:b/>
        <w:sz w:val="18"/>
      </w:rPr>
      <w:fldChar w:fldCharType="separate"/>
    </w:r>
    <w:r w:rsidR="00BD51DF">
      <w:rPr>
        <w:b/>
        <w:noProof/>
        <w:sz w:val="18"/>
      </w:rPr>
      <w:t>51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9" w14:textId="77777777" w:rsidR="00AB4C8F" w:rsidRDefault="00AB4C8F">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7CFC8BAE" wp14:editId="7CFC8BA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fldChar w:fldCharType="begin"/>
    </w:r>
    <w:r>
      <w:rPr>
        <w:sz w:val="20"/>
      </w:rPr>
      <w:instrText xml:space="preserve"> DOCPROPERTY  gdoc  \* MERGEFORMAT </w:instrText>
    </w:r>
    <w:r>
      <w:rPr>
        <w:sz w:val="20"/>
      </w:rPr>
      <w:fldChar w:fldCharType="end"/>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B4C8F" w14:paraId="7CFC8BAC" w14:textId="77777777">
      <w:tc>
        <w:tcPr>
          <w:tcW w:w="1848" w:type="dxa"/>
          <w:vAlign w:val="bottom"/>
        </w:tcPr>
        <w:p w14:paraId="7CFC8BAA" w14:textId="77777777" w:rsidR="00AB4C8F" w:rsidRDefault="00AB4C8F">
          <w:pPr>
            <w:spacing w:before="120" w:after="120" w:line="240" w:lineRule="auto"/>
            <w:jc w:val="right"/>
            <w:rPr>
              <w:sz w:val="16"/>
            </w:rPr>
          </w:pPr>
          <w:r>
            <w:rPr>
              <w:noProof/>
              <w:lang w:val="en-GB" w:eastAsia="en-GB"/>
            </w:rPr>
            <w:drawing>
              <wp:inline distT="0" distB="0" distL="0" distR="0" wp14:anchorId="7CFC8BB0" wp14:editId="7CFC8BB1">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7CFC8BAB" w14:textId="77777777" w:rsidR="00AB4C8F" w:rsidRDefault="00AB4C8F">
          <w:pPr>
            <w:spacing w:line="240" w:lineRule="auto"/>
            <w:jc w:val="right"/>
            <w:rPr>
              <w:sz w:val="16"/>
            </w:rPr>
          </w:pPr>
          <w:r>
            <w:rPr>
              <w:noProof/>
              <w:lang w:val="en-GB" w:eastAsia="en-GB"/>
            </w:rPr>
            <w:drawing>
              <wp:inline distT="0" distB="0" distL="0" distR="0" wp14:anchorId="7CFC8BB2" wp14:editId="7CFC8BB3">
                <wp:extent cx="562034" cy="5620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562034" cy="562034"/>
                        </a:xfrm>
                        <a:prstGeom prst="rect">
                          <a:avLst/>
                        </a:prstGeom>
                      </pic:spPr>
                    </pic:pic>
                  </a:graphicData>
                </a:graphic>
              </wp:inline>
            </w:drawing>
          </w:r>
        </w:p>
      </w:tc>
    </w:tr>
  </w:tbl>
  <w:p w14:paraId="7CFC8BAD" w14:textId="77777777" w:rsidR="00AB4C8F" w:rsidRDefault="00AB4C8F">
    <w:pPr>
      <w:pStyle w:val="Footer"/>
    </w:pPr>
    <w:r>
      <w:rPr>
        <w:rFonts w:ascii="C39T30Lfz" w:hAnsi="C39T30Lfz"/>
        <w:noProof/>
        <w:sz w:val="56"/>
        <w:szCs w:val="56"/>
        <w:lang w:eastAsia="fr-FR"/>
      </w:rPr>
      <w:fldChar w:fldCharType="begin"/>
    </w:r>
    <w:r>
      <w:rPr>
        <w:rFonts w:ascii="C39T30Lfz" w:hAnsi="C39T30Lfz"/>
        <w:noProof/>
        <w:sz w:val="56"/>
        <w:szCs w:val="56"/>
        <w:lang w:eastAsia="fr-FR"/>
      </w:rPr>
      <w:instrText xml:space="preserve"> DOCPROPERTY  bar  \* MERGEFORMAT </w:instrText>
    </w:r>
    <w:r>
      <w:rPr>
        <w:rFonts w:ascii="C39T30Lfz" w:hAnsi="C39T30Lfz"/>
        <w:noProof/>
        <w:sz w:val="56"/>
        <w:szCs w:val="56"/>
        <w:lang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84309" w14:textId="77777777" w:rsidR="002E6441" w:rsidRDefault="002E6441">
      <w:pPr>
        <w:pStyle w:val="Footer"/>
        <w:tabs>
          <w:tab w:val="right" w:pos="2155"/>
        </w:tabs>
        <w:spacing w:after="80" w:line="240" w:lineRule="atLeast"/>
        <w:ind w:left="680"/>
        <w:rPr>
          <w:u w:val="single"/>
        </w:rPr>
      </w:pPr>
      <w:r>
        <w:rPr>
          <w:u w:val="single"/>
        </w:rPr>
        <w:tab/>
      </w:r>
    </w:p>
  </w:footnote>
  <w:footnote w:type="continuationSeparator" w:id="0">
    <w:p w14:paraId="0AF4DF70" w14:textId="77777777" w:rsidR="002E6441" w:rsidRDefault="002E6441">
      <w:pPr>
        <w:pStyle w:val="Footer"/>
        <w:tabs>
          <w:tab w:val="right" w:pos="2155"/>
        </w:tabs>
        <w:spacing w:after="80" w:line="240" w:lineRule="atLeast"/>
        <w:ind w:left="680"/>
        <w:rPr>
          <w:u w:val="single"/>
        </w:rPr>
      </w:pPr>
      <w:r>
        <w:rPr>
          <w:u w:val="single"/>
        </w:rPr>
        <w:tab/>
      </w:r>
    </w:p>
  </w:footnote>
  <w:footnote w:type="continuationNotice" w:id="1">
    <w:p w14:paraId="1995BA3E" w14:textId="77777777" w:rsidR="002E6441" w:rsidRDefault="002E6441">
      <w:pPr>
        <w:spacing w:line="240" w:lineRule="auto"/>
        <w:rPr>
          <w:sz w:val="2"/>
          <w:szCs w:val="2"/>
        </w:rPr>
      </w:pPr>
    </w:p>
  </w:footnote>
  <w:footnote w:id="2">
    <w:p w14:paraId="7CFC8BB4" w14:textId="77777777" w:rsidR="00AB4C8F" w:rsidRDefault="00AB4C8F">
      <w:pPr>
        <w:pStyle w:val="FootnoteText"/>
      </w:pPr>
      <w:r>
        <w:tab/>
      </w:r>
      <w:r>
        <w:rPr>
          <w:rStyle w:val="FootnoteReference"/>
          <w:sz w:val="20"/>
          <w:vertAlign w:val="baseline"/>
        </w:rPr>
        <w:t>*</w:t>
      </w:r>
      <w:r>
        <w:rPr>
          <w:sz w:val="20"/>
        </w:rPr>
        <w:tab/>
      </w:r>
      <w:r>
        <w:t>La version originale du présent document n’a pas été revue par les services d’édition.</w:t>
      </w:r>
    </w:p>
  </w:footnote>
  <w:footnote w:id="3">
    <w:p w14:paraId="3F0064F4" w14:textId="1F4664B8" w:rsidR="00206161" w:rsidRPr="00206161" w:rsidRDefault="00312A1C" w:rsidP="00312A1C">
      <w:pPr>
        <w:pStyle w:val="FootnoteText"/>
        <w:rPr>
          <w:lang w:val="en-CH"/>
        </w:rPr>
      </w:pPr>
      <w:r>
        <w:tab/>
      </w:r>
      <w:r w:rsidR="00206161">
        <w:rPr>
          <w:rStyle w:val="FootnoteReference"/>
        </w:rPr>
        <w:footnoteRef/>
      </w:r>
      <w:r>
        <w:tab/>
      </w:r>
      <w:r w:rsidRPr="00312A1C">
        <w:rPr>
          <w:bCs/>
        </w:rPr>
        <w:t>A l’instar de la Politique nationale de protection sociale (2020-2030), de la Stratégie Nationale de la Lutte contre les Violences Basées sur le Genre (2022-2026), du Programme Pays pour le Travail décent (2023-2026), du Plan National de Développement des Peuples Autochtones (2021-2025), du Plan d’Action National pour l’</w:t>
      </w:r>
      <w:proofErr w:type="spellStart"/>
      <w:r w:rsidRPr="00312A1C">
        <w:rPr>
          <w:bCs/>
        </w:rPr>
        <w:t>Elimination</w:t>
      </w:r>
      <w:proofErr w:type="spellEnd"/>
      <w:r w:rsidRPr="00312A1C">
        <w:rPr>
          <w:bCs/>
        </w:rPr>
        <w:t xml:space="preserve"> des Mutilations Génitales Féminines (2020-2026), du Document de Stratégie Nationale de Réadaptation à Base Communautaire pour le Développement Inclusif </w:t>
      </w:r>
      <w:r w:rsidRPr="00312A1C">
        <w:rPr>
          <w:b/>
          <w:bCs/>
        </w:rPr>
        <w:t>(</w:t>
      </w:r>
      <w:r w:rsidRPr="00312A1C">
        <w:rPr>
          <w:bCs/>
        </w:rPr>
        <w:t>2024-2029), de la Stratégie Sectorielle de la Gouvernance (2020-2030), de la Stratégie de Développement du Secteur de l’Industrie et des Services (2020-2030), de la Stratégie Sectorielle de Développement des Infrastructures (2020-2030), de la Stratégie du Secteur de l’</w:t>
      </w:r>
      <w:proofErr w:type="spellStart"/>
      <w:r w:rsidRPr="00312A1C">
        <w:t>E</w:t>
      </w:r>
      <w:r w:rsidRPr="00312A1C">
        <w:rPr>
          <w:bCs/>
        </w:rPr>
        <w:t>ducation</w:t>
      </w:r>
      <w:proofErr w:type="spellEnd"/>
      <w:r w:rsidRPr="00312A1C">
        <w:rPr>
          <w:bCs/>
        </w:rPr>
        <w:t xml:space="preserve"> et de la Formation 2023-2030, etc</w:t>
      </w:r>
      <w:r>
        <w:rPr>
          <w:bCs/>
        </w:rPr>
        <w:t>.</w:t>
      </w:r>
    </w:p>
  </w:footnote>
  <w:footnote w:id="4">
    <w:p w14:paraId="59640B34" w14:textId="55892AEA" w:rsidR="007C64B6" w:rsidRPr="007C64B6" w:rsidRDefault="007C64B6" w:rsidP="007C64B6">
      <w:pPr>
        <w:pStyle w:val="FootnoteText"/>
        <w:rPr>
          <w:lang w:val="en-CH"/>
        </w:rPr>
      </w:pPr>
      <w:r>
        <w:tab/>
      </w:r>
      <w:r>
        <w:rPr>
          <w:rStyle w:val="FootnoteReference"/>
        </w:rPr>
        <w:footnoteRef/>
      </w:r>
      <w:r>
        <w:tab/>
      </w:r>
      <w:r w:rsidRPr="002D6A70">
        <w:t>Modifiant</w:t>
      </w:r>
      <w:r w:rsidRPr="007C64B6">
        <w:t> et complétant certaines dispositions de la </w:t>
      </w:r>
      <w:r w:rsidRPr="007C64B6">
        <w:rPr>
          <w:i/>
          <w:iCs/>
        </w:rPr>
        <w:t>Loi</w:t>
      </w:r>
      <w:r w:rsidRPr="007C64B6">
        <w:t> n°2016/007 du 12 juillet 2016 portant </w:t>
      </w:r>
      <w:r w:rsidRPr="007C64B6">
        <w:rPr>
          <w:i/>
          <w:iCs/>
        </w:rPr>
        <w:t>Code pénal.</w:t>
      </w:r>
    </w:p>
  </w:footnote>
  <w:footnote w:id="5">
    <w:p w14:paraId="4BA21B16" w14:textId="456DDBD0" w:rsidR="00EC7229" w:rsidRPr="00734231" w:rsidRDefault="007C64B6" w:rsidP="007C64B6">
      <w:pPr>
        <w:pStyle w:val="FootnoteText"/>
        <w:rPr>
          <w:color w:val="333333"/>
          <w:sz w:val="20"/>
        </w:rPr>
      </w:pPr>
      <w:r>
        <w:rPr>
          <w:rStyle w:val="num-art"/>
          <w:color w:val="333333"/>
          <w:sz w:val="20"/>
        </w:rPr>
        <w:tab/>
      </w:r>
      <w:r w:rsidR="00EC7229" w:rsidRPr="00734231">
        <w:rPr>
          <w:rStyle w:val="FootnoteReference"/>
          <w:sz w:val="20"/>
        </w:rPr>
        <w:footnoteRef/>
      </w:r>
      <w:r w:rsidR="002D6A70">
        <w:rPr>
          <w:rStyle w:val="num-art"/>
          <w:color w:val="333333"/>
          <w:sz w:val="20"/>
        </w:rPr>
        <w:tab/>
      </w:r>
      <w:r w:rsidR="002D6A70" w:rsidRPr="002D6A70">
        <w:rPr>
          <w:rStyle w:val="num-art"/>
          <w:color w:val="333333"/>
          <w:szCs w:val="18"/>
        </w:rPr>
        <w:t>A</w:t>
      </w:r>
      <w:r w:rsidR="00EC7229" w:rsidRPr="002D6A70">
        <w:rPr>
          <w:rStyle w:val="num-art"/>
          <w:color w:val="333333"/>
          <w:szCs w:val="18"/>
        </w:rPr>
        <w:t>rt. 241. Outrage aux races et aux religions</w:t>
      </w:r>
    </w:p>
    <w:p w14:paraId="24F5E745" w14:textId="77777777" w:rsidR="00EC7229" w:rsidRPr="002D6A70" w:rsidRDefault="00EC7229" w:rsidP="002D6A70">
      <w:pPr>
        <w:pStyle w:val="al"/>
        <w:shd w:val="clear" w:color="auto" w:fill="FEFEFE"/>
        <w:spacing w:before="0" w:beforeAutospacing="0" w:after="0" w:afterAutospacing="0"/>
        <w:ind w:left="1134"/>
        <w:jc w:val="both"/>
        <w:rPr>
          <w:color w:val="333333"/>
          <w:sz w:val="18"/>
          <w:szCs w:val="18"/>
        </w:rPr>
      </w:pPr>
      <w:r w:rsidRPr="002D6A70">
        <w:rPr>
          <w:color w:val="333333"/>
          <w:sz w:val="18"/>
          <w:szCs w:val="18"/>
        </w:rPr>
        <w:t xml:space="preserve">(1) Est puni d'un emprisonnement de six (06) jours à six (06) mois et d'une amende de cinq mille (5 000) à cinq cent mille (500 000) francs, celui qui commet un outrage, tel que défini </w:t>
      </w:r>
      <w:r w:rsidRPr="002D6A70">
        <w:rPr>
          <w:color w:val="000000" w:themeColor="text1"/>
          <w:sz w:val="18"/>
          <w:szCs w:val="18"/>
        </w:rPr>
        <w:t>à l'</w:t>
      </w:r>
      <w:r w:rsidRPr="002D6A70">
        <w:rPr>
          <w:rStyle w:val="zrenv"/>
          <w:color w:val="000000" w:themeColor="text1"/>
          <w:sz w:val="18"/>
          <w:szCs w:val="18"/>
        </w:rPr>
        <w:t>article 152</w:t>
      </w:r>
      <w:r w:rsidRPr="002D6A70">
        <w:rPr>
          <w:color w:val="000000" w:themeColor="text1"/>
          <w:sz w:val="18"/>
          <w:szCs w:val="18"/>
        </w:rPr>
        <w:t xml:space="preserve"> du présent </w:t>
      </w:r>
      <w:r w:rsidRPr="002D6A70">
        <w:rPr>
          <w:color w:val="333333"/>
          <w:sz w:val="18"/>
          <w:szCs w:val="18"/>
        </w:rPr>
        <w:t>Code, à l'encontre d'une race ou d'une religion à laquelle appartiennent plusieurs citoyens ou résidents.</w:t>
      </w:r>
    </w:p>
    <w:p w14:paraId="08B61876" w14:textId="77777777" w:rsidR="00EC7229" w:rsidRPr="002D6A70" w:rsidRDefault="00EC7229" w:rsidP="0066797B">
      <w:pPr>
        <w:pStyle w:val="al"/>
        <w:shd w:val="clear" w:color="auto" w:fill="FEFEFE"/>
        <w:spacing w:before="0" w:beforeAutospacing="0" w:after="0" w:afterAutospacing="0"/>
        <w:ind w:left="1134"/>
        <w:jc w:val="both"/>
        <w:rPr>
          <w:color w:val="333333"/>
          <w:sz w:val="18"/>
          <w:szCs w:val="18"/>
        </w:rPr>
      </w:pPr>
      <w:r w:rsidRPr="002D6A70">
        <w:rPr>
          <w:color w:val="333333"/>
          <w:sz w:val="18"/>
          <w:szCs w:val="18"/>
        </w:rPr>
        <w:t>(2) Si l'infraction est commise par la voie de la presse ou de la radio, le maximum de l'amende est porté à vingt millions (20 000 000) de francs.</w:t>
      </w:r>
    </w:p>
    <w:p w14:paraId="4CD52AE7" w14:textId="77777777" w:rsidR="00EC7229" w:rsidRPr="002D6A70" w:rsidRDefault="00EC7229" w:rsidP="0066797B">
      <w:pPr>
        <w:pStyle w:val="al"/>
        <w:shd w:val="clear" w:color="auto" w:fill="FEFEFE"/>
        <w:spacing w:before="0" w:beforeAutospacing="0" w:after="0" w:afterAutospacing="0"/>
        <w:ind w:left="1134"/>
        <w:jc w:val="both"/>
        <w:rPr>
          <w:color w:val="333333"/>
          <w:sz w:val="18"/>
          <w:szCs w:val="18"/>
        </w:rPr>
      </w:pPr>
      <w:r w:rsidRPr="002D6A70">
        <w:rPr>
          <w:color w:val="333333"/>
          <w:sz w:val="18"/>
          <w:szCs w:val="18"/>
        </w:rPr>
        <w:t>(3) Les peines prévues aux alinéas 1 et 2 ci-dessus sont doublées lorsque l'infraction est commise dans le but de susciter la haine ou le mépris entre les citoyens.</w:t>
      </w:r>
    </w:p>
  </w:footnote>
  <w:footnote w:id="6">
    <w:p w14:paraId="28DBB710" w14:textId="1848F6D3" w:rsidR="00EC7229" w:rsidRPr="00734231" w:rsidRDefault="0066797B" w:rsidP="007C64B6">
      <w:pPr>
        <w:pStyle w:val="FootnoteText"/>
        <w:rPr>
          <w:b/>
          <w:bCs/>
          <w:color w:val="000000" w:themeColor="text1"/>
          <w:sz w:val="20"/>
        </w:rPr>
      </w:pPr>
      <w:r>
        <w:rPr>
          <w:color w:val="000000" w:themeColor="text1"/>
          <w:sz w:val="20"/>
        </w:rPr>
        <w:tab/>
      </w:r>
      <w:r w:rsidR="00EC7229" w:rsidRPr="00734231">
        <w:rPr>
          <w:rStyle w:val="FootnoteReference"/>
          <w:color w:val="000000" w:themeColor="text1"/>
          <w:sz w:val="20"/>
        </w:rPr>
        <w:footnoteRef/>
      </w:r>
      <w:r>
        <w:rPr>
          <w:color w:val="000000" w:themeColor="text1"/>
          <w:sz w:val="20"/>
        </w:rPr>
        <w:tab/>
      </w:r>
      <w:r w:rsidR="00EC7229" w:rsidRPr="0066797B">
        <w:rPr>
          <w:color w:val="000000" w:themeColor="text1"/>
          <w:szCs w:val="18"/>
        </w:rPr>
        <w:t>Respectivement par Décret n° 2021/250 du 27 avril 2021, Décret n° 2021/753, n° 2021/752 du 28 décembre 2021.</w:t>
      </w:r>
      <w:r w:rsidR="00EC7229" w:rsidRPr="0066797B">
        <w:rPr>
          <w:color w:val="000000" w:themeColor="text1"/>
          <w:szCs w:val="18"/>
          <w:shd w:val="clear" w:color="auto" w:fill="FFFFFF"/>
        </w:rPr>
        <w:t xml:space="preserve"> </w:t>
      </w:r>
      <w:proofErr w:type="gramStart"/>
      <w:r w:rsidR="00EC7229" w:rsidRPr="0066797B">
        <w:rPr>
          <w:color w:val="000000" w:themeColor="text1"/>
          <w:szCs w:val="18"/>
          <w:shd w:val="clear" w:color="auto" w:fill="FFFFFF"/>
        </w:rPr>
        <w:t>n</w:t>
      </w:r>
      <w:proofErr w:type="gramEnd"/>
      <w:r w:rsidR="00EC7229" w:rsidRPr="0066797B">
        <w:rPr>
          <w:color w:val="000000" w:themeColor="text1"/>
          <w:szCs w:val="18"/>
          <w:shd w:val="clear" w:color="auto" w:fill="FFFFFF"/>
        </w:rPr>
        <w:t>°2021/751 du 28 décembre 2021.</w:t>
      </w:r>
    </w:p>
  </w:footnote>
  <w:footnote w:id="7">
    <w:p w14:paraId="100A9DCF" w14:textId="1D54A0CA" w:rsidR="00EC7229" w:rsidRPr="00312A1C" w:rsidRDefault="00862309" w:rsidP="00EC7229">
      <w:pPr>
        <w:pStyle w:val="FootnoteText"/>
        <w:rPr>
          <w:szCs w:val="18"/>
        </w:rPr>
      </w:pPr>
      <w:r w:rsidRPr="00312A1C">
        <w:rPr>
          <w:szCs w:val="18"/>
        </w:rPr>
        <w:tab/>
      </w:r>
      <w:r w:rsidR="00EC7229" w:rsidRPr="00312A1C">
        <w:rPr>
          <w:rStyle w:val="FootnoteReference"/>
          <w:szCs w:val="18"/>
        </w:rPr>
        <w:footnoteRef/>
      </w:r>
      <w:r w:rsidRPr="00312A1C">
        <w:rPr>
          <w:szCs w:val="18"/>
        </w:rPr>
        <w:tab/>
      </w:r>
      <w:r w:rsidR="00EC7229" w:rsidRPr="00312A1C">
        <w:rPr>
          <w:szCs w:val="18"/>
        </w:rPr>
        <w:t>Soit 5 107 042,07 euros.</w:t>
      </w:r>
    </w:p>
  </w:footnote>
  <w:footnote w:id="8">
    <w:p w14:paraId="0254BC22" w14:textId="66D65FB0" w:rsidR="00EC7229" w:rsidRPr="00312A1C" w:rsidRDefault="00862309"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Soit de 5 107 042,07 à 5 332 666,61 euros.</w:t>
      </w:r>
    </w:p>
  </w:footnote>
  <w:footnote w:id="9">
    <w:p w14:paraId="07C22518" w14:textId="7EBD10B2" w:rsidR="00EC7229" w:rsidRPr="00312A1C" w:rsidRDefault="00862309" w:rsidP="007C64B6">
      <w:pPr>
        <w:pStyle w:val="FootnoteText"/>
        <w:rPr>
          <w:color w:val="000000" w:themeColor="text1"/>
          <w:szCs w:val="18"/>
          <w:lang w:val="fr-FR"/>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hyperlink r:id="rId1" w:history="1">
        <w:r w:rsidR="00EC7229" w:rsidRPr="00312A1C">
          <w:rPr>
            <w:rStyle w:val="Hyperlink"/>
            <w:color w:val="000000" w:themeColor="text1"/>
            <w:szCs w:val="18"/>
          </w:rPr>
          <w:t>https://minepat.gov.cm/fr/outils-amenagement-territoire/</w:t>
        </w:r>
      </w:hyperlink>
    </w:p>
  </w:footnote>
  <w:footnote w:id="10">
    <w:p w14:paraId="3E15BACD" w14:textId="5BB022E3" w:rsidR="00EC7229" w:rsidRPr="00312A1C" w:rsidRDefault="00862309"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 xml:space="preserve">Décret n°2020/111 du 02 mars 2020 portant création, organisation et fonctionnement de la National </w:t>
      </w:r>
      <w:proofErr w:type="spellStart"/>
      <w:r w:rsidR="00EC7229" w:rsidRPr="00312A1C">
        <w:rPr>
          <w:color w:val="000000" w:themeColor="text1"/>
          <w:szCs w:val="18"/>
        </w:rPr>
        <w:t>School</w:t>
      </w:r>
      <w:proofErr w:type="spellEnd"/>
      <w:r w:rsidR="00EC7229" w:rsidRPr="00312A1C">
        <w:rPr>
          <w:color w:val="000000" w:themeColor="text1"/>
          <w:szCs w:val="18"/>
        </w:rPr>
        <w:t xml:space="preserve"> of Local Administration.</w:t>
      </w:r>
    </w:p>
  </w:footnote>
  <w:footnote w:id="11">
    <w:p w14:paraId="62AC13F7" w14:textId="6111E851" w:rsidR="00EC7229" w:rsidRPr="00312A1C" w:rsidRDefault="00862309"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rStyle w:val="Emphasis"/>
          <w:color w:val="000000" w:themeColor="text1"/>
          <w:szCs w:val="18"/>
          <w:shd w:val="clear" w:color="auto" w:fill="FFFFFF"/>
        </w:rPr>
        <w:t>Décret n</w:t>
      </w:r>
      <w:r w:rsidR="00EC7229" w:rsidRPr="00312A1C">
        <w:rPr>
          <w:color w:val="000000" w:themeColor="text1"/>
          <w:szCs w:val="18"/>
          <w:shd w:val="clear" w:color="auto" w:fill="FFFFFF"/>
        </w:rPr>
        <w:t>°</w:t>
      </w:r>
      <w:r w:rsidR="00EC7229" w:rsidRPr="00312A1C">
        <w:rPr>
          <w:rStyle w:val="Emphasis"/>
          <w:color w:val="000000" w:themeColor="text1"/>
          <w:szCs w:val="18"/>
          <w:shd w:val="clear" w:color="auto" w:fill="FFFFFF"/>
        </w:rPr>
        <w:t>2020/676 du 03 novembre 2020</w:t>
      </w:r>
      <w:r w:rsidR="00EC7229" w:rsidRPr="00312A1C">
        <w:rPr>
          <w:color w:val="000000" w:themeColor="text1"/>
          <w:szCs w:val="18"/>
          <w:shd w:val="clear" w:color="auto" w:fill="FFFFFF"/>
        </w:rPr>
        <w:t> portant organisation et fonctionnement du Conseil National de la Décentralisation.</w:t>
      </w:r>
    </w:p>
  </w:footnote>
  <w:footnote w:id="12">
    <w:p w14:paraId="7E86E2E9" w14:textId="2B06D376" w:rsidR="00EC7229" w:rsidRPr="00312A1C" w:rsidRDefault="007C64B6" w:rsidP="007C64B6">
      <w:pPr>
        <w:pStyle w:val="FootnoteText"/>
        <w:rPr>
          <w:szCs w:val="18"/>
          <w:lang w:val="fr-CM"/>
        </w:rPr>
      </w:pPr>
      <w:r w:rsidRPr="00312A1C">
        <w:rPr>
          <w:szCs w:val="18"/>
        </w:rPr>
        <w:tab/>
      </w:r>
      <w:r w:rsidR="00EC7229" w:rsidRPr="00312A1C">
        <w:rPr>
          <w:rStyle w:val="FootnoteReference"/>
          <w:szCs w:val="18"/>
        </w:rPr>
        <w:footnoteRef/>
      </w:r>
      <w:r w:rsidRPr="00312A1C">
        <w:rPr>
          <w:szCs w:val="18"/>
        </w:rPr>
        <w:tab/>
      </w:r>
      <w:r w:rsidR="00EC7229" w:rsidRPr="00312A1C">
        <w:rPr>
          <w:szCs w:val="18"/>
        </w:rPr>
        <w:t>Soit 75 919 610,47 euros.</w:t>
      </w:r>
    </w:p>
  </w:footnote>
  <w:footnote w:id="13">
    <w:p w14:paraId="17BC1256" w14:textId="24214159" w:rsidR="00EC7229" w:rsidRPr="00312A1C" w:rsidRDefault="007C64B6"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Soit 445 913 374,72 euros.</w:t>
      </w:r>
    </w:p>
  </w:footnote>
  <w:footnote w:id="14">
    <w:p w14:paraId="2518334D" w14:textId="39C73B3E" w:rsidR="00EC7229" w:rsidRPr="00312A1C" w:rsidRDefault="007C64B6" w:rsidP="00EC7229">
      <w:pPr>
        <w:pStyle w:val="FootnoteText"/>
        <w:rPr>
          <w:szCs w:val="18"/>
          <w:lang w:val="fr-CM"/>
        </w:rPr>
      </w:pPr>
      <w:r w:rsidRPr="00312A1C">
        <w:rPr>
          <w:szCs w:val="18"/>
        </w:rPr>
        <w:tab/>
      </w:r>
      <w:r w:rsidR="00EC7229" w:rsidRPr="00312A1C">
        <w:rPr>
          <w:rStyle w:val="FootnoteReference"/>
          <w:szCs w:val="18"/>
        </w:rPr>
        <w:footnoteRef/>
      </w:r>
      <w:r w:rsidRPr="00312A1C">
        <w:rPr>
          <w:szCs w:val="18"/>
        </w:rPr>
        <w:tab/>
      </w:r>
      <w:r w:rsidR="00EC7229" w:rsidRPr="00312A1C">
        <w:rPr>
          <w:szCs w:val="18"/>
        </w:rPr>
        <w:t>Soit 67 759 014,59 euros</w:t>
      </w:r>
    </w:p>
  </w:footnote>
  <w:footnote w:id="15">
    <w:p w14:paraId="2C74E472" w14:textId="3844E2FA" w:rsidR="00EC7229" w:rsidRPr="00312A1C" w:rsidRDefault="007C64B6"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 xml:space="preserve">Soit 192 337 302,30 euros. </w:t>
      </w:r>
    </w:p>
  </w:footnote>
  <w:footnote w:id="16">
    <w:p w14:paraId="1B6CAA3B" w14:textId="78E928FC" w:rsidR="00EC7229" w:rsidRPr="00312A1C" w:rsidRDefault="007C64B6"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Par décret n° 2024/333 du 24 juillet 2024. </w:t>
      </w:r>
    </w:p>
  </w:footnote>
  <w:footnote w:id="17">
    <w:p w14:paraId="32CB517B" w14:textId="4F47C3D3" w:rsidR="00EC7229" w:rsidRPr="00312A1C" w:rsidRDefault="007C64B6" w:rsidP="007C64B6">
      <w:pPr>
        <w:pStyle w:val="FootnoteText"/>
        <w:rPr>
          <w:color w:val="000000" w:themeColor="text1"/>
          <w:szCs w:val="18"/>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rPr>
        <w:t>De 13,38% pour les agents de l'</w:t>
      </w:r>
      <w:proofErr w:type="spellStart"/>
      <w:r w:rsidR="00EC7229" w:rsidRPr="00312A1C">
        <w:rPr>
          <w:color w:val="000000" w:themeColor="text1"/>
          <w:szCs w:val="18"/>
        </w:rPr>
        <w:t>Etat</w:t>
      </w:r>
      <w:proofErr w:type="spellEnd"/>
      <w:r w:rsidR="00EC7229" w:rsidRPr="00312A1C">
        <w:rPr>
          <w:color w:val="000000" w:themeColor="text1"/>
          <w:szCs w:val="18"/>
        </w:rPr>
        <w:t xml:space="preserve"> relevant du Code du Travail, 19,4% pour le secteur agricole et assimilé, 36% pour les autres secteurs d'activité.</w:t>
      </w:r>
    </w:p>
  </w:footnote>
  <w:footnote w:id="18">
    <w:p w14:paraId="3D01B06E" w14:textId="61CF5597" w:rsidR="00EC7229" w:rsidRPr="00312A1C" w:rsidRDefault="00A96F5C" w:rsidP="00EC7229">
      <w:pPr>
        <w:pStyle w:val="FootnoteText"/>
        <w:spacing w:line="240" w:lineRule="auto"/>
        <w:ind w:left="0" w:right="0" w:firstLine="0"/>
        <w:rPr>
          <w:color w:val="000000" w:themeColor="text1"/>
          <w:szCs w:val="18"/>
          <w:lang w:val="fr-FR"/>
        </w:rPr>
      </w:pPr>
      <w:r w:rsidRPr="00312A1C">
        <w:rPr>
          <w:color w:val="000000" w:themeColor="text1"/>
          <w:szCs w:val="18"/>
        </w:rPr>
        <w:tab/>
      </w:r>
      <w:r w:rsidR="00EC7229" w:rsidRPr="00312A1C">
        <w:rPr>
          <w:rStyle w:val="FootnoteReference"/>
          <w:color w:val="000000" w:themeColor="text1"/>
          <w:szCs w:val="18"/>
        </w:rPr>
        <w:footnoteRef/>
      </w:r>
      <w:r w:rsidRPr="00312A1C">
        <w:rPr>
          <w:color w:val="000000" w:themeColor="text1"/>
          <w:szCs w:val="18"/>
        </w:rPr>
        <w:tab/>
      </w:r>
      <w:r w:rsidR="00EC7229" w:rsidRPr="00312A1C">
        <w:rPr>
          <w:color w:val="000000" w:themeColor="text1"/>
          <w:szCs w:val="18"/>
          <w:lang w:val="fr-FR"/>
        </w:rPr>
        <w:t xml:space="preserve">Soit 18 293,88 euros. </w:t>
      </w:r>
    </w:p>
  </w:footnote>
  <w:footnote w:id="19">
    <w:p w14:paraId="04DA3026" w14:textId="495CE406" w:rsidR="00EC7229" w:rsidRPr="00312A1C" w:rsidRDefault="007609FB" w:rsidP="00EC7229">
      <w:pPr>
        <w:pStyle w:val="FootnoteText"/>
        <w:spacing w:line="240" w:lineRule="auto"/>
        <w:ind w:left="0" w:right="0" w:firstLine="0"/>
        <w:jc w:val="both"/>
        <w:rPr>
          <w:color w:val="000000" w:themeColor="text1"/>
          <w:szCs w:val="18"/>
          <w:lang w:val="fr-CM"/>
        </w:rPr>
      </w:pPr>
      <w:r w:rsidRPr="00312A1C">
        <w:rPr>
          <w:color w:val="000000" w:themeColor="text1"/>
          <w:szCs w:val="18"/>
          <w:lang w:val="fr-CM"/>
        </w:rPr>
        <w:tab/>
      </w:r>
      <w:r w:rsidR="00EC7229" w:rsidRPr="00312A1C">
        <w:rPr>
          <w:rStyle w:val="FootnoteReference"/>
          <w:color w:val="000000" w:themeColor="text1"/>
          <w:szCs w:val="18"/>
        </w:rPr>
        <w:footnoteRef/>
      </w:r>
      <w:r w:rsidRPr="00312A1C">
        <w:rPr>
          <w:color w:val="000000" w:themeColor="text1"/>
          <w:szCs w:val="18"/>
          <w:lang w:val="fr-CM"/>
        </w:rPr>
        <w:tab/>
      </w:r>
      <w:r w:rsidR="00EC7229" w:rsidRPr="00312A1C">
        <w:rPr>
          <w:color w:val="000000" w:themeColor="text1"/>
          <w:szCs w:val="18"/>
          <w:lang w:val="fr-CM"/>
        </w:rPr>
        <w:t>Environ 1 323 148,17 euros.</w:t>
      </w:r>
    </w:p>
  </w:footnote>
  <w:footnote w:id="20">
    <w:p w14:paraId="4175E085" w14:textId="6631D8AA" w:rsidR="00EC7229" w:rsidRPr="00312A1C" w:rsidRDefault="007609FB" w:rsidP="00EC7229">
      <w:pPr>
        <w:pStyle w:val="FootnoteText"/>
        <w:spacing w:line="240" w:lineRule="auto"/>
        <w:ind w:left="0" w:right="0" w:firstLine="0"/>
        <w:jc w:val="both"/>
        <w:rPr>
          <w:szCs w:val="18"/>
          <w:lang w:val="fr-CM"/>
        </w:rPr>
      </w:pPr>
      <w:r w:rsidRPr="00312A1C">
        <w:rPr>
          <w:color w:val="000000" w:themeColor="text1"/>
          <w:szCs w:val="18"/>
          <w:lang w:val="fr-CM"/>
        </w:rPr>
        <w:tab/>
      </w:r>
      <w:r w:rsidR="00EC7229" w:rsidRPr="00312A1C">
        <w:rPr>
          <w:rStyle w:val="FootnoteReference"/>
          <w:color w:val="000000" w:themeColor="text1"/>
          <w:szCs w:val="18"/>
        </w:rPr>
        <w:footnoteRef/>
      </w:r>
      <w:r w:rsidRPr="00312A1C">
        <w:rPr>
          <w:color w:val="000000" w:themeColor="text1"/>
          <w:szCs w:val="18"/>
          <w:lang w:val="fr-CM"/>
        </w:rPr>
        <w:tab/>
      </w:r>
      <w:r w:rsidR="00EC7229" w:rsidRPr="00312A1C">
        <w:rPr>
          <w:color w:val="000000" w:themeColor="text1"/>
          <w:szCs w:val="18"/>
          <w:lang w:val="fr-CM"/>
        </w:rPr>
        <w:t>Environ 7 311 454,86 euros.</w:t>
      </w:r>
    </w:p>
  </w:footnote>
  <w:footnote w:id="21">
    <w:p w14:paraId="6233296D" w14:textId="6EC34D1D" w:rsidR="00EC7229" w:rsidRPr="00734231" w:rsidRDefault="007E1F50" w:rsidP="00EC7229">
      <w:pPr>
        <w:pStyle w:val="FootnoteText"/>
        <w:spacing w:line="240" w:lineRule="auto"/>
        <w:ind w:left="0" w:right="0" w:firstLine="0"/>
        <w:rPr>
          <w:sz w:val="20"/>
        </w:rPr>
      </w:pPr>
      <w:r>
        <w:rPr>
          <w:sz w:val="20"/>
        </w:rPr>
        <w:tab/>
      </w:r>
      <w:r w:rsidR="00EC7229" w:rsidRPr="007E1F50">
        <w:rPr>
          <w:rStyle w:val="FootnoteReference"/>
          <w:szCs w:val="18"/>
        </w:rPr>
        <w:footnoteRef/>
      </w:r>
      <w:r>
        <w:rPr>
          <w:sz w:val="20"/>
        </w:rPr>
        <w:tab/>
      </w:r>
      <w:r w:rsidR="00EC7229" w:rsidRPr="007E1F50">
        <w:rPr>
          <w:color w:val="000000" w:themeColor="text1"/>
          <w:szCs w:val="18"/>
        </w:rPr>
        <w:t xml:space="preserve">Nommés par </w:t>
      </w:r>
      <w:r w:rsidR="00EC7229" w:rsidRPr="007E1F50">
        <w:rPr>
          <w:color w:val="000000" w:themeColor="text1"/>
          <w:szCs w:val="18"/>
          <w:shd w:val="clear" w:color="auto" w:fill="FFFFFF"/>
        </w:rPr>
        <w:t>Décret n°2021/342 du 10 juin 2021.</w:t>
      </w:r>
      <w:r w:rsidR="00EC7229" w:rsidRPr="00734231">
        <w:rPr>
          <w:color w:val="000000" w:themeColor="text1"/>
          <w:sz w:val="20"/>
        </w:rPr>
        <w:t> </w:t>
      </w:r>
    </w:p>
  </w:footnote>
  <w:footnote w:id="22">
    <w:p w14:paraId="4AA59341" w14:textId="3F98FE9A" w:rsidR="00B51BF4" w:rsidRPr="00B51BF4" w:rsidRDefault="00B51BF4" w:rsidP="00B51BF4">
      <w:pPr>
        <w:pStyle w:val="FootnoteText"/>
        <w:rPr>
          <w:lang w:val="en-CH"/>
        </w:rPr>
      </w:pPr>
      <w:r>
        <w:tab/>
      </w:r>
      <w:r>
        <w:rPr>
          <w:rStyle w:val="FootnoteReference"/>
        </w:rPr>
        <w:footnoteRef/>
      </w:r>
      <w:r>
        <w:tab/>
      </w:r>
      <w:r w:rsidRPr="00B51BF4">
        <w:t xml:space="preserve">Ce Plan vise 3 objectifs à savoir la consolidation de l’unité nationale et de la cohésion sociale ; </w:t>
      </w:r>
      <w:r w:rsidRPr="00B51BF4">
        <w:br/>
        <w:t>la réhabilitation des infrastructures de base et la relance de l’économie locale ; l’amélioration des conditions de vie des populations des régions concernées.</w:t>
      </w:r>
    </w:p>
  </w:footnote>
  <w:footnote w:id="23">
    <w:p w14:paraId="4529A46C" w14:textId="68A9BA28" w:rsidR="00EC7229" w:rsidRPr="00734231" w:rsidRDefault="00B51BF4" w:rsidP="00EC7229">
      <w:pPr>
        <w:pStyle w:val="FootnoteText"/>
        <w:ind w:left="0" w:right="0" w:firstLine="0"/>
        <w:jc w:val="both"/>
        <w:rPr>
          <w:sz w:val="20"/>
        </w:rPr>
      </w:pPr>
      <w:r>
        <w:rPr>
          <w:sz w:val="20"/>
        </w:rPr>
        <w:tab/>
      </w:r>
      <w:r w:rsidR="00EC7229" w:rsidRPr="00B51BF4">
        <w:rPr>
          <w:rStyle w:val="FootnoteReference"/>
          <w:szCs w:val="18"/>
        </w:rPr>
        <w:footnoteRef/>
      </w:r>
      <w:r>
        <w:rPr>
          <w:sz w:val="20"/>
        </w:rPr>
        <w:tab/>
      </w:r>
      <w:r w:rsidR="00EC7229" w:rsidRPr="00B51BF4">
        <w:rPr>
          <w:szCs w:val="18"/>
        </w:rPr>
        <w:t>En raison de la perte, abandon ou destruction des documents officiels tels que des actes de naissance.</w:t>
      </w:r>
      <w:r w:rsidR="00EC7229" w:rsidRPr="00734231">
        <w:rPr>
          <w:sz w:val="20"/>
        </w:rPr>
        <w:t xml:space="preserve"> </w:t>
      </w:r>
    </w:p>
  </w:footnote>
  <w:footnote w:id="24">
    <w:p w14:paraId="699597D4" w14:textId="190610B4" w:rsidR="00EC7229" w:rsidRPr="00D55E7C" w:rsidRDefault="00D55E7C" w:rsidP="00EC7229">
      <w:pPr>
        <w:pStyle w:val="FootnoteText"/>
        <w:ind w:left="0" w:right="0" w:firstLine="0"/>
        <w:rPr>
          <w:szCs w:val="18"/>
          <w:lang w:val="fr-FR"/>
        </w:rPr>
      </w:pPr>
      <w:r>
        <w:rPr>
          <w:szCs w:val="18"/>
        </w:rPr>
        <w:tab/>
      </w:r>
      <w:r w:rsidR="00EC7229" w:rsidRPr="00D55E7C">
        <w:rPr>
          <w:rStyle w:val="FootnoteReference"/>
          <w:szCs w:val="18"/>
        </w:rPr>
        <w:footnoteRef/>
      </w:r>
      <w:r>
        <w:rPr>
          <w:szCs w:val="18"/>
        </w:rPr>
        <w:tab/>
      </w:r>
      <w:r w:rsidR="00EC7229" w:rsidRPr="00D55E7C">
        <w:rPr>
          <w:szCs w:val="18"/>
          <w:lang w:val="fr-FR"/>
        </w:rPr>
        <w:t>Elle a signé, le 1</w:t>
      </w:r>
      <w:r w:rsidR="00EC7229" w:rsidRPr="00D55E7C">
        <w:rPr>
          <w:szCs w:val="18"/>
          <w:vertAlign w:val="superscript"/>
          <w:lang w:val="fr-FR"/>
        </w:rPr>
        <w:t>er</w:t>
      </w:r>
      <w:r w:rsidR="00EC7229" w:rsidRPr="00D55E7C">
        <w:rPr>
          <w:szCs w:val="18"/>
          <w:lang w:val="fr-FR"/>
        </w:rPr>
        <w:t xml:space="preserve"> juin 2023, un Protocole d’accord avec 14 OSC, pour lutter contre les discours de haine.</w:t>
      </w:r>
    </w:p>
  </w:footnote>
  <w:footnote w:id="25">
    <w:p w14:paraId="0C942DAB" w14:textId="77777777" w:rsidR="00434B59" w:rsidRPr="00434B59" w:rsidRDefault="00EA05C6" w:rsidP="00434B59">
      <w:pPr>
        <w:pStyle w:val="FootnoteText"/>
      </w:pPr>
      <w:r>
        <w:tab/>
      </w:r>
      <w:r>
        <w:rPr>
          <w:rStyle w:val="FootnoteReference"/>
        </w:rPr>
        <w:footnoteRef/>
      </w:r>
      <w:r w:rsidR="00434B59">
        <w:tab/>
      </w:r>
      <w:r w:rsidR="00434B59" w:rsidRPr="00434B59">
        <w:t xml:space="preserve">Le </w:t>
      </w:r>
      <w:proofErr w:type="spellStart"/>
      <w:r w:rsidR="00434B59" w:rsidRPr="00434B59">
        <w:rPr>
          <w:i/>
        </w:rPr>
        <w:t>Gender</w:t>
      </w:r>
      <w:proofErr w:type="spellEnd"/>
      <w:r w:rsidR="00434B59" w:rsidRPr="00434B59">
        <w:rPr>
          <w:i/>
        </w:rPr>
        <w:t xml:space="preserve"> ou </w:t>
      </w:r>
      <w:proofErr w:type="spellStart"/>
      <w:r w:rsidR="00434B59" w:rsidRPr="00434B59">
        <w:rPr>
          <w:i/>
        </w:rPr>
        <w:t>child</w:t>
      </w:r>
      <w:proofErr w:type="spellEnd"/>
      <w:r w:rsidR="00434B59" w:rsidRPr="00434B59">
        <w:rPr>
          <w:i/>
        </w:rPr>
        <w:t xml:space="preserve"> desk</w:t>
      </w:r>
      <w:r w:rsidR="00434B59" w:rsidRPr="00434B59">
        <w:t xml:space="preserve"> est un bureau </w:t>
      </w:r>
      <w:proofErr w:type="spellStart"/>
      <w:r w:rsidR="00434B59" w:rsidRPr="00434B59">
        <w:t>spécial</w:t>
      </w:r>
      <w:proofErr w:type="spellEnd"/>
      <w:r w:rsidR="00434B59" w:rsidRPr="00434B59">
        <w:t xml:space="preserve"> </w:t>
      </w:r>
      <w:proofErr w:type="spellStart"/>
      <w:r w:rsidR="00434B59" w:rsidRPr="00434B59">
        <w:t>crée</w:t>
      </w:r>
      <w:proofErr w:type="spellEnd"/>
      <w:r w:rsidR="00434B59" w:rsidRPr="00434B59">
        <w:t xml:space="preserve">́ </w:t>
      </w:r>
      <w:proofErr w:type="spellStart"/>
      <w:r w:rsidR="00434B59" w:rsidRPr="00434B59">
        <w:t>auprès</w:t>
      </w:r>
      <w:proofErr w:type="spellEnd"/>
      <w:r w:rsidR="00434B59" w:rsidRPr="00434B59">
        <w:t xml:space="preserve"> des services de Police et de </w:t>
      </w:r>
      <w:r w:rsidR="00434B59" w:rsidRPr="00434B59">
        <w:br/>
        <w:t xml:space="preserve">Gendarmerie et </w:t>
      </w:r>
      <w:proofErr w:type="spellStart"/>
      <w:r w:rsidR="00434B59" w:rsidRPr="00434B59">
        <w:t>dédie</w:t>
      </w:r>
      <w:proofErr w:type="spellEnd"/>
      <w:r w:rsidR="00434B59" w:rsidRPr="00434B59">
        <w:t xml:space="preserve">́ </w:t>
      </w:r>
      <w:proofErr w:type="spellStart"/>
      <w:r w:rsidR="00434B59" w:rsidRPr="00434B59">
        <w:t>àla</w:t>
      </w:r>
      <w:proofErr w:type="spellEnd"/>
      <w:r w:rsidR="00434B59" w:rsidRPr="00434B59">
        <w:t xml:space="preserve"> prise en charge des VBG. Il s’agit d’une porte d’</w:t>
      </w:r>
      <w:proofErr w:type="spellStart"/>
      <w:r w:rsidR="00434B59" w:rsidRPr="00434B59">
        <w:t>entrée</w:t>
      </w:r>
      <w:proofErr w:type="spellEnd"/>
      <w:r w:rsidR="00434B59" w:rsidRPr="00434B59">
        <w:t xml:space="preserve"> des survivantes de VBG qui sollicitent une prise en charge </w:t>
      </w:r>
      <w:proofErr w:type="spellStart"/>
      <w:r w:rsidR="00434B59" w:rsidRPr="00434B59">
        <w:t>légale</w:t>
      </w:r>
      <w:proofErr w:type="spellEnd"/>
      <w:r w:rsidR="00434B59" w:rsidRPr="00434B59">
        <w:t xml:space="preserve"> et sont des lieux </w:t>
      </w:r>
      <w:proofErr w:type="spellStart"/>
      <w:r w:rsidR="00434B59" w:rsidRPr="00434B59">
        <w:t>sûrs</w:t>
      </w:r>
      <w:proofErr w:type="spellEnd"/>
      <w:r w:rsidR="00434B59" w:rsidRPr="00434B59">
        <w:t xml:space="preserve"> où elles peuvent </w:t>
      </w:r>
      <w:proofErr w:type="spellStart"/>
      <w:r w:rsidR="00434B59" w:rsidRPr="00434B59">
        <w:t>être</w:t>
      </w:r>
      <w:proofErr w:type="spellEnd"/>
      <w:r w:rsidR="00434B59" w:rsidRPr="00434B59">
        <w:t xml:space="preserve"> </w:t>
      </w:r>
      <w:proofErr w:type="spellStart"/>
      <w:r w:rsidR="00434B59" w:rsidRPr="00434B59">
        <w:t>reçues</w:t>
      </w:r>
      <w:proofErr w:type="spellEnd"/>
      <w:r w:rsidR="00434B59" w:rsidRPr="00434B59">
        <w:t>.</w:t>
      </w:r>
    </w:p>
    <w:p w14:paraId="240BAF5C" w14:textId="2BA8A9FA" w:rsidR="00EA05C6" w:rsidRPr="00EA05C6" w:rsidRDefault="00EA05C6">
      <w:pPr>
        <w:pStyle w:val="FootnoteText"/>
        <w:rPr>
          <w:lang w:val="en-CH"/>
        </w:rPr>
      </w:pPr>
    </w:p>
  </w:footnote>
  <w:footnote w:id="26">
    <w:p w14:paraId="1A2FF373" w14:textId="5297C5D1" w:rsidR="00EC7229" w:rsidRPr="00434B59" w:rsidRDefault="00434B59" w:rsidP="00EC7229">
      <w:pPr>
        <w:pStyle w:val="FootnoteText"/>
        <w:rPr>
          <w:szCs w:val="18"/>
        </w:rPr>
      </w:pPr>
      <w:r>
        <w:rPr>
          <w:sz w:val="20"/>
        </w:rPr>
        <w:tab/>
      </w:r>
      <w:r w:rsidR="00EC7229" w:rsidRPr="00434B59">
        <w:rPr>
          <w:rStyle w:val="FootnoteReference"/>
          <w:szCs w:val="18"/>
        </w:rPr>
        <w:footnoteRef/>
      </w:r>
      <w:r w:rsidRPr="00434B59">
        <w:rPr>
          <w:szCs w:val="18"/>
        </w:rPr>
        <w:tab/>
      </w:r>
      <w:r w:rsidR="00EC7229" w:rsidRPr="00434B59">
        <w:rPr>
          <w:szCs w:val="18"/>
        </w:rPr>
        <w:t xml:space="preserve">Formation et insertion </w:t>
      </w:r>
      <w:proofErr w:type="spellStart"/>
      <w:r w:rsidR="00EC7229" w:rsidRPr="00434B59">
        <w:rPr>
          <w:szCs w:val="18"/>
        </w:rPr>
        <w:t>socioprofessionnelle</w:t>
      </w:r>
      <w:proofErr w:type="spellEnd"/>
      <w:r w:rsidR="00EC7229" w:rsidRPr="00434B59">
        <w:rPr>
          <w:szCs w:val="18"/>
        </w:rPr>
        <w:t xml:space="preserve"> des peuples autochtones</w:t>
      </w:r>
      <w:r w:rsidRPr="00434B59">
        <w:rPr>
          <w:szCs w:val="18"/>
        </w:rPr>
        <w:t>.</w:t>
      </w:r>
    </w:p>
  </w:footnote>
  <w:footnote w:id="27">
    <w:p w14:paraId="16924E74" w14:textId="3A54DA74" w:rsidR="00A1549C" w:rsidRPr="00B31AE2" w:rsidRDefault="00A1549C" w:rsidP="00A1549C">
      <w:pPr>
        <w:pStyle w:val="FootnoteText"/>
        <w:rPr>
          <w:szCs w:val="18"/>
          <w:lang w:val="en-CH"/>
        </w:rPr>
      </w:pPr>
      <w:r>
        <w:tab/>
      </w:r>
      <w:r w:rsidRPr="00B31AE2">
        <w:rPr>
          <w:rStyle w:val="FootnoteReference"/>
          <w:szCs w:val="18"/>
        </w:rPr>
        <w:footnoteRef/>
      </w:r>
      <w:r w:rsidRPr="00B31AE2">
        <w:rPr>
          <w:szCs w:val="18"/>
        </w:rPr>
        <w:tab/>
        <w:t xml:space="preserve">Le </w:t>
      </w:r>
      <w:r w:rsidRPr="00B31AE2">
        <w:rPr>
          <w:i/>
          <w:iCs/>
          <w:szCs w:val="18"/>
        </w:rPr>
        <w:t>WWF</w:t>
      </w:r>
      <w:r w:rsidRPr="00B31AE2">
        <w:rPr>
          <w:szCs w:val="18"/>
        </w:rPr>
        <w:t xml:space="preserve"> a accepté de protéger les droits des peuples autochtones en matière de </w:t>
      </w:r>
      <w:r w:rsidRPr="00B31AE2">
        <w:rPr>
          <w:szCs w:val="18"/>
        </w:rPr>
        <w:br/>
        <w:t>programmes de biodiversité et de financer entièrement l’aspect économique de l’accord de partenariat.</w:t>
      </w:r>
    </w:p>
  </w:footnote>
  <w:footnote w:id="28">
    <w:p w14:paraId="29914C62" w14:textId="3214596B" w:rsidR="00EC7229" w:rsidRPr="00B31AE2" w:rsidRDefault="00B31AE2" w:rsidP="00A1549C">
      <w:pPr>
        <w:pStyle w:val="FootnoteText"/>
        <w:rPr>
          <w:szCs w:val="18"/>
        </w:rPr>
      </w:pPr>
      <w:r w:rsidRPr="00B31AE2">
        <w:rPr>
          <w:szCs w:val="18"/>
        </w:rPr>
        <w:tab/>
      </w:r>
      <w:r w:rsidR="00EC7229" w:rsidRPr="00B31AE2">
        <w:rPr>
          <w:rStyle w:val="FootnoteReference"/>
          <w:szCs w:val="18"/>
        </w:rPr>
        <w:footnoteRef/>
      </w:r>
      <w:r w:rsidRPr="00B31AE2">
        <w:rPr>
          <w:szCs w:val="18"/>
        </w:rPr>
        <w:tab/>
      </w:r>
      <w:r w:rsidR="00EC7229" w:rsidRPr="00B31AE2">
        <w:rPr>
          <w:szCs w:val="18"/>
        </w:rPr>
        <w:t xml:space="preserve">Association des habitants des localités de </w:t>
      </w:r>
      <w:proofErr w:type="spellStart"/>
      <w:r w:rsidR="00EC7229" w:rsidRPr="00B31AE2">
        <w:rPr>
          <w:szCs w:val="18"/>
        </w:rPr>
        <w:t>Boumba-Bek</w:t>
      </w:r>
      <w:proofErr w:type="spellEnd"/>
      <w:r w:rsidR="00EC7229" w:rsidRPr="00B31AE2">
        <w:rPr>
          <w:szCs w:val="18"/>
        </w:rPr>
        <w:t xml:space="preserve">, </w:t>
      </w:r>
      <w:proofErr w:type="spellStart"/>
      <w:r w:rsidR="00EC7229" w:rsidRPr="00B31AE2">
        <w:rPr>
          <w:szCs w:val="18"/>
        </w:rPr>
        <w:t>Lobeke</w:t>
      </w:r>
      <w:proofErr w:type="spellEnd"/>
      <w:r w:rsidR="00EC7229" w:rsidRPr="00B31AE2">
        <w:rPr>
          <w:szCs w:val="18"/>
        </w:rPr>
        <w:t xml:space="preserve"> et une partie de la réserve forestière de </w:t>
      </w:r>
      <w:proofErr w:type="spellStart"/>
      <w:r w:rsidR="00EC7229" w:rsidRPr="00B31AE2">
        <w:rPr>
          <w:szCs w:val="18"/>
        </w:rPr>
        <w:t>Nki</w:t>
      </w:r>
      <w:proofErr w:type="spellEnd"/>
      <w:r w:rsidR="00EC7229" w:rsidRPr="00B31AE2">
        <w:rPr>
          <w:szCs w:val="18"/>
        </w:rPr>
        <w:t xml:space="preserve"> dans la Région de l’Est.</w:t>
      </w:r>
    </w:p>
  </w:footnote>
  <w:footnote w:id="29">
    <w:p w14:paraId="462C0825" w14:textId="10B56797" w:rsidR="00EC7229" w:rsidRPr="00B31AE2" w:rsidRDefault="00B31AE2" w:rsidP="00A1549C">
      <w:pPr>
        <w:pStyle w:val="FootnoteText"/>
        <w:rPr>
          <w:szCs w:val="18"/>
        </w:rPr>
      </w:pPr>
      <w:r w:rsidRPr="00B31AE2">
        <w:rPr>
          <w:szCs w:val="18"/>
        </w:rPr>
        <w:tab/>
      </w:r>
      <w:r w:rsidR="00EC7229" w:rsidRPr="00B31AE2">
        <w:rPr>
          <w:rStyle w:val="FootnoteReference"/>
          <w:szCs w:val="18"/>
        </w:rPr>
        <w:footnoteRef/>
      </w:r>
      <w:r w:rsidRPr="00B31AE2">
        <w:rPr>
          <w:szCs w:val="18"/>
        </w:rPr>
        <w:tab/>
      </w:r>
      <w:r w:rsidR="00EC7229" w:rsidRPr="00B31AE2">
        <w:rPr>
          <w:szCs w:val="18"/>
        </w:rPr>
        <w:t>Les objectifs de ce décret sont de protéger la population en général et les personnes socialement vulnérables en particulier (y compris les populations autochtones) contre les risques humains et sociaux néfastes générés directement ou indirectement par les projets publics et privés.</w:t>
      </w:r>
    </w:p>
  </w:footnote>
  <w:footnote w:id="30">
    <w:p w14:paraId="2241444B" w14:textId="76D57E17" w:rsidR="00EC7229" w:rsidRPr="005A0BAA" w:rsidRDefault="005A0BAA" w:rsidP="00A1549C">
      <w:pPr>
        <w:pStyle w:val="FootnoteText"/>
        <w:rPr>
          <w:szCs w:val="18"/>
        </w:rPr>
      </w:pPr>
      <w:r w:rsidRPr="005A0BAA">
        <w:rPr>
          <w:szCs w:val="18"/>
        </w:rPr>
        <w:tab/>
      </w:r>
      <w:r w:rsidR="00EC7229" w:rsidRPr="005A0BAA">
        <w:rPr>
          <w:rStyle w:val="FootnoteReference"/>
          <w:szCs w:val="18"/>
        </w:rPr>
        <w:footnoteRef/>
      </w:r>
      <w:r w:rsidRPr="005A0BAA">
        <w:rPr>
          <w:szCs w:val="18"/>
        </w:rPr>
        <w:tab/>
      </w:r>
      <w:r w:rsidR="00EC7229" w:rsidRPr="005A0BAA">
        <w:rPr>
          <w:szCs w:val="18"/>
        </w:rPr>
        <w:t>L</w:t>
      </w:r>
      <w:r w:rsidR="00EC7229" w:rsidRPr="005A0BAA">
        <w:rPr>
          <w:color w:val="000000" w:themeColor="text1"/>
          <w:szCs w:val="18"/>
        </w:rPr>
        <w:t>e</w:t>
      </w:r>
      <w:r w:rsidR="00EC7229" w:rsidRPr="005A0BAA">
        <w:rPr>
          <w:rFonts w:eastAsia="Franklin Gothic Book"/>
          <w:color w:val="000000" w:themeColor="text1"/>
          <w:szCs w:val="18"/>
        </w:rPr>
        <w:t xml:space="preserve"> but de cette Loi est d’encadrer la prévention des risques, la gestion des catastrophes et des crises humanitaires, tout en garantissant la sécurité et la protection des personnes, des biens et de l’environnement, avant, pendant et après une catastrophe.</w:t>
      </w:r>
      <w:r w:rsidR="00EC7229" w:rsidRPr="005A0BAA">
        <w:rPr>
          <w:szCs w:val="18"/>
        </w:rPr>
        <w:t xml:space="preserve"> </w:t>
      </w:r>
    </w:p>
  </w:footnote>
  <w:footnote w:id="31">
    <w:p w14:paraId="3CE5A459" w14:textId="4E291B07" w:rsidR="00EC7229" w:rsidRPr="005A0BAA" w:rsidRDefault="005A0BAA" w:rsidP="00A1549C">
      <w:pPr>
        <w:pStyle w:val="FootnoteText"/>
        <w:rPr>
          <w:szCs w:val="18"/>
        </w:rPr>
      </w:pPr>
      <w:r w:rsidRPr="005A0BAA">
        <w:rPr>
          <w:szCs w:val="18"/>
        </w:rPr>
        <w:tab/>
      </w:r>
      <w:r w:rsidR="00EC7229" w:rsidRPr="005A0BAA">
        <w:rPr>
          <w:rStyle w:val="FootnoteReference"/>
          <w:szCs w:val="18"/>
        </w:rPr>
        <w:footnoteRef/>
      </w:r>
      <w:r w:rsidRPr="005A0BAA">
        <w:rPr>
          <w:szCs w:val="18"/>
        </w:rPr>
        <w:tab/>
      </w:r>
      <w:r w:rsidR="00EC7229" w:rsidRPr="005A0BAA">
        <w:rPr>
          <w:szCs w:val="18"/>
        </w:rPr>
        <w:t xml:space="preserve">Il vise entre autres, la réparation des dégâts causés par </w:t>
      </w:r>
      <w:r w:rsidR="00EC7229" w:rsidRPr="005A0BAA">
        <w:rPr>
          <w:i/>
          <w:szCs w:val="18"/>
        </w:rPr>
        <w:t>Boko Haram</w:t>
      </w:r>
      <w:r w:rsidR="00EC7229" w:rsidRPr="005A0BAA">
        <w:rPr>
          <w:szCs w:val="18"/>
        </w:rPr>
        <w:t xml:space="preserve"> et les inondations, la réduction de la vulnérabilité sociale, le renforcement de la résilience des populations aux changements climatiques, la gouvernance</w:t>
      </w:r>
      <w:r w:rsidRPr="005A0BAA">
        <w:rPr>
          <w:szCs w:val="18"/>
        </w:rPr>
        <w:t>.</w:t>
      </w:r>
    </w:p>
  </w:footnote>
  <w:footnote w:id="32">
    <w:p w14:paraId="50DEBF86" w14:textId="4493A968" w:rsidR="00EC7229" w:rsidRPr="00122465" w:rsidRDefault="00122465" w:rsidP="00A1549C">
      <w:pPr>
        <w:pStyle w:val="FootnoteText"/>
        <w:rPr>
          <w:szCs w:val="18"/>
          <w:lang w:val="fr-CM"/>
        </w:rPr>
      </w:pPr>
      <w:r w:rsidRPr="00122465">
        <w:rPr>
          <w:color w:val="7030A0"/>
          <w:szCs w:val="18"/>
        </w:rPr>
        <w:tab/>
      </w:r>
      <w:r w:rsidR="00EC7229" w:rsidRPr="00122465">
        <w:rPr>
          <w:rStyle w:val="FootnoteReference"/>
          <w:color w:val="7030A0"/>
          <w:szCs w:val="18"/>
        </w:rPr>
        <w:footnoteRef/>
      </w:r>
      <w:r w:rsidRPr="00122465">
        <w:rPr>
          <w:color w:val="7030A0"/>
          <w:szCs w:val="18"/>
        </w:rPr>
        <w:tab/>
      </w:r>
      <w:r w:rsidR="00EC7229" w:rsidRPr="00122465">
        <w:rPr>
          <w:szCs w:val="18"/>
          <w:lang w:val="fr-CM"/>
        </w:rPr>
        <w:t>Il s’agit notamment des déplacements internes du fait des guerres, des conflits armés, des calamités naturelles, etc.</w:t>
      </w:r>
    </w:p>
  </w:footnote>
  <w:footnote w:id="33">
    <w:p w14:paraId="0C6665AE" w14:textId="50C8E8EE" w:rsidR="00EC7229" w:rsidRPr="00122465" w:rsidRDefault="00122465" w:rsidP="00A1549C">
      <w:pPr>
        <w:pStyle w:val="FootnoteText"/>
        <w:rPr>
          <w:szCs w:val="18"/>
          <w:lang w:val="fr-CM"/>
        </w:rPr>
      </w:pPr>
      <w:r w:rsidRPr="00122465">
        <w:rPr>
          <w:szCs w:val="18"/>
        </w:rPr>
        <w:tab/>
      </w:r>
      <w:r w:rsidR="00EC7229" w:rsidRPr="00122465">
        <w:rPr>
          <w:rStyle w:val="FootnoteReference"/>
          <w:szCs w:val="18"/>
        </w:rPr>
        <w:footnoteRef/>
      </w:r>
      <w:r w:rsidRPr="00122465">
        <w:rPr>
          <w:szCs w:val="18"/>
        </w:rPr>
        <w:tab/>
      </w:r>
      <w:r w:rsidR="00EC7229" w:rsidRPr="00122465">
        <w:rPr>
          <w:szCs w:val="18"/>
        </w:rPr>
        <w:t>Le but recherché est de moderniser l’état civil et les réflexions y relatives se poursuivent.</w:t>
      </w:r>
    </w:p>
  </w:footnote>
  <w:footnote w:id="34">
    <w:p w14:paraId="4F576A33" w14:textId="790DDA9C" w:rsidR="00EC7229" w:rsidRPr="00B31AE2" w:rsidRDefault="00B31AE2" w:rsidP="00EC7229">
      <w:pPr>
        <w:pStyle w:val="FootnoteText"/>
        <w:rPr>
          <w:szCs w:val="18"/>
          <w:lang w:val="fr-CM"/>
        </w:rPr>
      </w:pPr>
      <w:r>
        <w:rPr>
          <w:sz w:val="20"/>
        </w:rPr>
        <w:tab/>
      </w:r>
      <w:r w:rsidR="00EC7229" w:rsidRPr="00B31AE2">
        <w:rPr>
          <w:rStyle w:val="FootnoteReference"/>
          <w:szCs w:val="18"/>
        </w:rPr>
        <w:footnoteRef/>
      </w:r>
      <w:r w:rsidRPr="00B31AE2">
        <w:rPr>
          <w:szCs w:val="18"/>
        </w:rPr>
        <w:tab/>
      </w:r>
      <w:r w:rsidR="00EC7229" w:rsidRPr="00B31AE2">
        <w:rPr>
          <w:szCs w:val="18"/>
          <w:lang w:val="fr-CM"/>
        </w:rPr>
        <w:t>Affectés dans les établissements scolaires accueillant, entre autres, les réfugiés.</w:t>
      </w:r>
    </w:p>
  </w:footnote>
  <w:footnote w:id="35">
    <w:p w14:paraId="679203E3" w14:textId="0E82AAA0" w:rsidR="00EC7229" w:rsidRPr="00B93497" w:rsidRDefault="00B31AE2" w:rsidP="00EC7229">
      <w:pPr>
        <w:pStyle w:val="FootnoteText"/>
        <w:rPr>
          <w:color w:val="000000" w:themeColor="text1"/>
          <w:sz w:val="20"/>
          <w:lang w:val="fr-FR"/>
        </w:rPr>
      </w:pPr>
      <w:r w:rsidRPr="00B31AE2">
        <w:rPr>
          <w:color w:val="000000" w:themeColor="text1"/>
          <w:szCs w:val="18"/>
          <w:lang w:val="fr-FR"/>
        </w:rPr>
        <w:tab/>
      </w:r>
      <w:r w:rsidR="00EC7229" w:rsidRPr="00B31AE2">
        <w:rPr>
          <w:rStyle w:val="FootnoteReference"/>
          <w:color w:val="000000" w:themeColor="text1"/>
          <w:szCs w:val="18"/>
        </w:rPr>
        <w:footnoteRef/>
      </w:r>
      <w:r w:rsidRPr="00B31AE2">
        <w:rPr>
          <w:color w:val="000000" w:themeColor="text1"/>
          <w:szCs w:val="18"/>
          <w:lang w:val="fr-FR"/>
        </w:rPr>
        <w:tab/>
      </w:r>
      <w:r w:rsidR="00EC7229" w:rsidRPr="00B31AE2">
        <w:rPr>
          <w:color w:val="000000" w:themeColor="text1"/>
          <w:szCs w:val="18"/>
          <w:lang w:val="fr-FR"/>
        </w:rPr>
        <w:t>Soit 152 671,75 euros.</w:t>
      </w:r>
    </w:p>
  </w:footnote>
  <w:footnote w:id="36">
    <w:p w14:paraId="76831DA0" w14:textId="6F18F3F5" w:rsidR="00B961F0" w:rsidRPr="00B961F0" w:rsidRDefault="00B961F0">
      <w:pPr>
        <w:pStyle w:val="FootnoteText"/>
        <w:rPr>
          <w:szCs w:val="18"/>
          <w:lang w:val="en-CH"/>
        </w:rPr>
      </w:pPr>
      <w:r w:rsidRPr="00B961F0">
        <w:rPr>
          <w:szCs w:val="18"/>
        </w:rPr>
        <w:tab/>
      </w:r>
      <w:r w:rsidRPr="00B961F0">
        <w:rPr>
          <w:rStyle w:val="FootnoteReference"/>
          <w:szCs w:val="18"/>
        </w:rPr>
        <w:footnoteRef/>
      </w:r>
      <w:r w:rsidRPr="00B961F0">
        <w:rPr>
          <w:szCs w:val="18"/>
        </w:rPr>
        <w:tab/>
      </w:r>
      <w:r w:rsidRPr="00B961F0">
        <w:rPr>
          <w:szCs w:val="18"/>
          <w:lang w:val="fr-CM"/>
        </w:rPr>
        <w:t xml:space="preserve">L’Agence du service civique national de participation au développement et le </w:t>
      </w:r>
      <w:r w:rsidRPr="00B961F0">
        <w:rPr>
          <w:color w:val="000000" w:themeColor="text1"/>
          <w:szCs w:val="18"/>
          <w:lang w:val="fr-CM"/>
        </w:rPr>
        <w:t>Programme national d’éducation civique pour le réarmement moral, civique et entrepreneurial (PRONEC-REAMORCE) (lancé en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671F6" w14:textId="036FCFB5" w:rsidR="00677442" w:rsidRPr="008A3F90" w:rsidRDefault="008A3F90" w:rsidP="00B907E2">
    <w:pPr>
      <w:pStyle w:val="Header"/>
      <w:jc w:val="right"/>
      <w:rPr>
        <w:lang w:val="en-CH"/>
      </w:rPr>
    </w:pPr>
    <w:r>
      <w:rPr>
        <w:lang w:val="en-CH"/>
      </w:rPr>
      <w:t>CERD/C/CMR/24-27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6" w14:textId="2EB57E59" w:rsidR="00AB4C8F" w:rsidRPr="00CF6BCA" w:rsidRDefault="00CF6BCA" w:rsidP="00B907E2">
    <w:pPr>
      <w:pStyle w:val="Header"/>
      <w:rPr>
        <w:lang w:val="en-CH"/>
      </w:rPr>
    </w:pPr>
    <w:r>
      <w:rPr>
        <w:lang w:val="en-CH"/>
      </w:rPr>
      <w:t>CERD/C/CMR/24-27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258"/>
    <w:multiLevelType w:val="hybridMultilevel"/>
    <w:tmpl w:val="4A4840BE"/>
    <w:lvl w:ilvl="0" w:tplc="9EDA8776">
      <w:start w:val="1"/>
      <w:numFmt w:val="decimal"/>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 w15:restartNumberingAfterBreak="0">
    <w:nsid w:val="01E2661D"/>
    <w:multiLevelType w:val="hybridMultilevel"/>
    <w:tmpl w:val="E9EC8D72"/>
    <w:lvl w:ilvl="0" w:tplc="07405CA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15:restartNumberingAfterBreak="0">
    <w:nsid w:val="0CD166CB"/>
    <w:multiLevelType w:val="hybridMultilevel"/>
    <w:tmpl w:val="F17A57F6"/>
    <w:lvl w:ilvl="0" w:tplc="DD0A4106">
      <w:start w:val="1"/>
      <w:numFmt w:val="decimal"/>
      <w:lvlText w:val="%1."/>
      <w:lvlJc w:val="left"/>
      <w:pPr>
        <w:ind w:left="2912" w:hanging="360"/>
      </w:pPr>
      <w:rPr>
        <w:b w:val="0"/>
        <w:bCs w:val="0"/>
        <w:strike w:val="0"/>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2447F0"/>
    <w:multiLevelType w:val="hybridMultilevel"/>
    <w:tmpl w:val="06C06ECC"/>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1CC726F"/>
    <w:multiLevelType w:val="hybridMultilevel"/>
    <w:tmpl w:val="B160373E"/>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2F5BEE"/>
    <w:multiLevelType w:val="hybridMultilevel"/>
    <w:tmpl w:val="00506C8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7" w15:restartNumberingAfterBreak="0">
    <w:nsid w:val="16BC55BB"/>
    <w:multiLevelType w:val="hybridMultilevel"/>
    <w:tmpl w:val="83E46428"/>
    <w:lvl w:ilvl="0" w:tplc="49B878B0">
      <w:numFmt w:val="bullet"/>
      <w:lvlText w:val="-"/>
      <w:lvlJc w:val="left"/>
      <w:pPr>
        <w:ind w:left="108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B775818"/>
    <w:multiLevelType w:val="hybridMultilevel"/>
    <w:tmpl w:val="10666602"/>
    <w:lvl w:ilvl="0" w:tplc="F1B2F2F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DC66482"/>
    <w:multiLevelType w:val="hybridMultilevel"/>
    <w:tmpl w:val="19C61796"/>
    <w:lvl w:ilvl="0" w:tplc="2C0C0015">
      <w:start w:val="1"/>
      <w:numFmt w:val="upperLetter"/>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0" w15:restartNumberingAfterBreak="0">
    <w:nsid w:val="1F79153B"/>
    <w:multiLevelType w:val="hybridMultilevel"/>
    <w:tmpl w:val="C9C88762"/>
    <w:lvl w:ilvl="0" w:tplc="CE4E3842">
      <w:start w:val="2"/>
      <w:numFmt w:val="bullet"/>
      <w:lvlText w:val="-"/>
      <w:lvlJc w:val="left"/>
      <w:pPr>
        <w:ind w:left="1440" w:hanging="360"/>
      </w:pPr>
      <w:rPr>
        <w:rFonts w:ascii="Arial Narrow" w:eastAsia="Calibri" w:hAnsi="Arial Narrow"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23135ADE"/>
    <w:multiLevelType w:val="hybridMultilevel"/>
    <w:tmpl w:val="96E6767E"/>
    <w:lvl w:ilvl="0" w:tplc="A31E56E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27286705"/>
    <w:multiLevelType w:val="hybridMultilevel"/>
    <w:tmpl w:val="01A6BD1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B517833"/>
    <w:multiLevelType w:val="hybridMultilevel"/>
    <w:tmpl w:val="14823B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CFD297B"/>
    <w:multiLevelType w:val="hybridMultilevel"/>
    <w:tmpl w:val="08B205B0"/>
    <w:lvl w:ilvl="0" w:tplc="B64E3EB4">
      <w:start w:val="2"/>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1A671EF"/>
    <w:multiLevelType w:val="hybridMultilevel"/>
    <w:tmpl w:val="4B7EAB4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56E6952"/>
    <w:multiLevelType w:val="hybridMultilevel"/>
    <w:tmpl w:val="6306653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0F438F"/>
    <w:multiLevelType w:val="hybridMultilevel"/>
    <w:tmpl w:val="1C56679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51717E"/>
    <w:multiLevelType w:val="hybridMultilevel"/>
    <w:tmpl w:val="A2D06D50"/>
    <w:lvl w:ilvl="0" w:tplc="49B878B0">
      <w:numFmt w:val="bullet"/>
      <w:lvlText w:val="-"/>
      <w:lvlJc w:val="left"/>
      <w:pPr>
        <w:ind w:left="144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480D5904"/>
    <w:multiLevelType w:val="hybridMultilevel"/>
    <w:tmpl w:val="B616029E"/>
    <w:lvl w:ilvl="0" w:tplc="81D89996">
      <w:start w:val="224"/>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F9B3C25"/>
    <w:multiLevelType w:val="hybridMultilevel"/>
    <w:tmpl w:val="28F48398"/>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0354419"/>
    <w:multiLevelType w:val="hybridMultilevel"/>
    <w:tmpl w:val="31086B86"/>
    <w:lvl w:ilvl="0" w:tplc="930003C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2280115"/>
    <w:multiLevelType w:val="hybridMultilevel"/>
    <w:tmpl w:val="30BE6654"/>
    <w:lvl w:ilvl="0" w:tplc="3D94E642">
      <w:start w:val="1"/>
      <w:numFmt w:val="decimal"/>
      <w:lvlText w:val="%1."/>
      <w:lvlJc w:val="left"/>
      <w:pPr>
        <w:ind w:left="1626" w:firstLine="76"/>
      </w:pPr>
      <w:rPr>
        <w:rFonts w:hint="default"/>
        <w:b/>
        <w:i w:val="0"/>
      </w:rPr>
    </w:lvl>
    <w:lvl w:ilvl="1" w:tplc="040C0019" w:tentative="1">
      <w:start w:val="1"/>
      <w:numFmt w:val="lowerLetter"/>
      <w:lvlText w:val="%2."/>
      <w:lvlJc w:val="left"/>
      <w:pPr>
        <w:ind w:left="2782" w:hanging="360"/>
      </w:pPr>
    </w:lvl>
    <w:lvl w:ilvl="2" w:tplc="040C001B" w:tentative="1">
      <w:start w:val="1"/>
      <w:numFmt w:val="lowerRoman"/>
      <w:lvlText w:val="%3."/>
      <w:lvlJc w:val="right"/>
      <w:pPr>
        <w:ind w:left="3502" w:hanging="180"/>
      </w:pPr>
    </w:lvl>
    <w:lvl w:ilvl="3" w:tplc="040C000F" w:tentative="1">
      <w:start w:val="1"/>
      <w:numFmt w:val="decimal"/>
      <w:lvlText w:val="%4."/>
      <w:lvlJc w:val="left"/>
      <w:pPr>
        <w:ind w:left="4222" w:hanging="360"/>
      </w:pPr>
    </w:lvl>
    <w:lvl w:ilvl="4" w:tplc="040C0019" w:tentative="1">
      <w:start w:val="1"/>
      <w:numFmt w:val="lowerLetter"/>
      <w:lvlText w:val="%5."/>
      <w:lvlJc w:val="left"/>
      <w:pPr>
        <w:ind w:left="4942" w:hanging="360"/>
      </w:pPr>
    </w:lvl>
    <w:lvl w:ilvl="5" w:tplc="040C001B" w:tentative="1">
      <w:start w:val="1"/>
      <w:numFmt w:val="lowerRoman"/>
      <w:lvlText w:val="%6."/>
      <w:lvlJc w:val="right"/>
      <w:pPr>
        <w:ind w:left="5662" w:hanging="180"/>
      </w:pPr>
    </w:lvl>
    <w:lvl w:ilvl="6" w:tplc="040C000F" w:tentative="1">
      <w:start w:val="1"/>
      <w:numFmt w:val="decimal"/>
      <w:lvlText w:val="%7."/>
      <w:lvlJc w:val="left"/>
      <w:pPr>
        <w:ind w:left="6382" w:hanging="360"/>
      </w:pPr>
    </w:lvl>
    <w:lvl w:ilvl="7" w:tplc="040C0019" w:tentative="1">
      <w:start w:val="1"/>
      <w:numFmt w:val="lowerLetter"/>
      <w:lvlText w:val="%8."/>
      <w:lvlJc w:val="left"/>
      <w:pPr>
        <w:ind w:left="7102" w:hanging="360"/>
      </w:pPr>
    </w:lvl>
    <w:lvl w:ilvl="8" w:tplc="040C001B" w:tentative="1">
      <w:start w:val="1"/>
      <w:numFmt w:val="lowerRoman"/>
      <w:lvlText w:val="%9."/>
      <w:lvlJc w:val="right"/>
      <w:pPr>
        <w:ind w:left="7822" w:hanging="180"/>
      </w:pPr>
    </w:lvl>
  </w:abstractNum>
  <w:abstractNum w:abstractNumId="24" w15:restartNumberingAfterBreak="0">
    <w:nsid w:val="54CF45A1"/>
    <w:multiLevelType w:val="hybridMultilevel"/>
    <w:tmpl w:val="C4F2F0D4"/>
    <w:lvl w:ilvl="0" w:tplc="49B878B0">
      <w:numFmt w:val="bullet"/>
      <w:lvlText w:val="-"/>
      <w:lvlJc w:val="left"/>
      <w:pPr>
        <w:ind w:left="72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A37E79"/>
    <w:multiLevelType w:val="hybridMultilevel"/>
    <w:tmpl w:val="1E10B38C"/>
    <w:lvl w:ilvl="0" w:tplc="67106A5E">
      <w:start w:val="2"/>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B4118E7"/>
    <w:multiLevelType w:val="hybridMultilevel"/>
    <w:tmpl w:val="17FA1042"/>
    <w:lvl w:ilvl="0" w:tplc="F1AE572C">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8D02BB"/>
    <w:multiLevelType w:val="hybridMultilevel"/>
    <w:tmpl w:val="C884117E"/>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DA2786"/>
    <w:multiLevelType w:val="hybridMultilevel"/>
    <w:tmpl w:val="EB1C2B2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F546168"/>
    <w:multiLevelType w:val="hybridMultilevel"/>
    <w:tmpl w:val="B7A48D56"/>
    <w:lvl w:ilvl="0" w:tplc="1D2C9B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19E2FD3"/>
    <w:multiLevelType w:val="hybridMultilevel"/>
    <w:tmpl w:val="EEF000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BE03C84"/>
    <w:multiLevelType w:val="hybridMultilevel"/>
    <w:tmpl w:val="3B3CF992"/>
    <w:lvl w:ilvl="0" w:tplc="BEF40C24">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3" w15:restartNumberingAfterBreak="0">
    <w:nsid w:val="76C8161A"/>
    <w:multiLevelType w:val="hybridMultilevel"/>
    <w:tmpl w:val="8D429814"/>
    <w:lvl w:ilvl="0" w:tplc="3944724E">
      <w:start w:val="120"/>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99467EC"/>
    <w:multiLevelType w:val="hybridMultilevel"/>
    <w:tmpl w:val="5BE4A2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A46220D"/>
    <w:multiLevelType w:val="hybridMultilevel"/>
    <w:tmpl w:val="16E0FD68"/>
    <w:lvl w:ilvl="0" w:tplc="9400442E">
      <w:start w:val="1"/>
      <w:numFmt w:val="decimal"/>
      <w:lvlText w:val="%1)"/>
      <w:lvlJc w:val="left"/>
      <w:pPr>
        <w:ind w:left="-66" w:hanging="360"/>
      </w:pPr>
      <w:rPr>
        <w:rFonts w:hint="default"/>
      </w:rPr>
    </w:lvl>
    <w:lvl w:ilvl="1" w:tplc="040C0019" w:tentative="1">
      <w:start w:val="1"/>
      <w:numFmt w:val="lowerLetter"/>
      <w:lvlText w:val="%2."/>
      <w:lvlJc w:val="left"/>
      <w:pPr>
        <w:ind w:left="654" w:hanging="360"/>
      </w:pPr>
    </w:lvl>
    <w:lvl w:ilvl="2" w:tplc="040C001B" w:tentative="1">
      <w:start w:val="1"/>
      <w:numFmt w:val="lowerRoman"/>
      <w:lvlText w:val="%3."/>
      <w:lvlJc w:val="right"/>
      <w:pPr>
        <w:ind w:left="1374" w:hanging="180"/>
      </w:pPr>
    </w:lvl>
    <w:lvl w:ilvl="3" w:tplc="040C000F" w:tentative="1">
      <w:start w:val="1"/>
      <w:numFmt w:val="decimal"/>
      <w:lvlText w:val="%4."/>
      <w:lvlJc w:val="left"/>
      <w:pPr>
        <w:ind w:left="2094" w:hanging="360"/>
      </w:pPr>
    </w:lvl>
    <w:lvl w:ilvl="4" w:tplc="040C0019" w:tentative="1">
      <w:start w:val="1"/>
      <w:numFmt w:val="lowerLetter"/>
      <w:lvlText w:val="%5."/>
      <w:lvlJc w:val="left"/>
      <w:pPr>
        <w:ind w:left="2814" w:hanging="360"/>
      </w:pPr>
    </w:lvl>
    <w:lvl w:ilvl="5" w:tplc="040C001B" w:tentative="1">
      <w:start w:val="1"/>
      <w:numFmt w:val="lowerRoman"/>
      <w:lvlText w:val="%6."/>
      <w:lvlJc w:val="right"/>
      <w:pPr>
        <w:ind w:left="3534" w:hanging="180"/>
      </w:pPr>
    </w:lvl>
    <w:lvl w:ilvl="6" w:tplc="040C000F" w:tentative="1">
      <w:start w:val="1"/>
      <w:numFmt w:val="decimal"/>
      <w:lvlText w:val="%7."/>
      <w:lvlJc w:val="left"/>
      <w:pPr>
        <w:ind w:left="4254" w:hanging="360"/>
      </w:pPr>
    </w:lvl>
    <w:lvl w:ilvl="7" w:tplc="040C0019" w:tentative="1">
      <w:start w:val="1"/>
      <w:numFmt w:val="lowerLetter"/>
      <w:lvlText w:val="%8."/>
      <w:lvlJc w:val="left"/>
      <w:pPr>
        <w:ind w:left="4974" w:hanging="360"/>
      </w:pPr>
    </w:lvl>
    <w:lvl w:ilvl="8" w:tplc="040C001B" w:tentative="1">
      <w:start w:val="1"/>
      <w:numFmt w:val="lowerRoman"/>
      <w:lvlText w:val="%9."/>
      <w:lvlJc w:val="right"/>
      <w:pPr>
        <w:ind w:left="5694" w:hanging="180"/>
      </w:pPr>
    </w:lvl>
  </w:abstractNum>
  <w:abstractNum w:abstractNumId="36" w15:restartNumberingAfterBreak="0">
    <w:nsid w:val="7AC40E6C"/>
    <w:multiLevelType w:val="hybridMultilevel"/>
    <w:tmpl w:val="01D0E5D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BA9614B"/>
    <w:multiLevelType w:val="hybridMultilevel"/>
    <w:tmpl w:val="6832B194"/>
    <w:lvl w:ilvl="0" w:tplc="040C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16cid:durableId="1083600101">
    <w:abstractNumId w:val="31"/>
  </w:num>
  <w:num w:numId="2" w16cid:durableId="1961448479">
    <w:abstractNumId w:val="18"/>
  </w:num>
  <w:num w:numId="3" w16cid:durableId="823937407">
    <w:abstractNumId w:val="4"/>
  </w:num>
  <w:num w:numId="4" w16cid:durableId="215433461">
    <w:abstractNumId w:val="29"/>
  </w:num>
  <w:num w:numId="5" w16cid:durableId="1773739929">
    <w:abstractNumId w:val="35"/>
  </w:num>
  <w:num w:numId="6" w16cid:durableId="1524591202">
    <w:abstractNumId w:val="22"/>
  </w:num>
  <w:num w:numId="7" w16cid:durableId="551961405">
    <w:abstractNumId w:val="34"/>
  </w:num>
  <w:num w:numId="8" w16cid:durableId="1275362315">
    <w:abstractNumId w:val="10"/>
  </w:num>
  <w:num w:numId="9" w16cid:durableId="853037936">
    <w:abstractNumId w:val="6"/>
  </w:num>
  <w:num w:numId="10" w16cid:durableId="470824666">
    <w:abstractNumId w:val="11"/>
  </w:num>
  <w:num w:numId="11" w16cid:durableId="1608540244">
    <w:abstractNumId w:val="37"/>
  </w:num>
  <w:num w:numId="12" w16cid:durableId="968701610">
    <w:abstractNumId w:val="14"/>
  </w:num>
  <w:num w:numId="13" w16cid:durableId="2070836562">
    <w:abstractNumId w:val="25"/>
  </w:num>
  <w:num w:numId="14" w16cid:durableId="1106073317">
    <w:abstractNumId w:val="32"/>
  </w:num>
  <w:num w:numId="15" w16cid:durableId="527763815">
    <w:abstractNumId w:val="1"/>
  </w:num>
  <w:num w:numId="16" w16cid:durableId="1345981231">
    <w:abstractNumId w:val="8"/>
  </w:num>
  <w:num w:numId="17" w16cid:durableId="485324435">
    <w:abstractNumId w:val="13"/>
  </w:num>
  <w:num w:numId="18" w16cid:durableId="1132475946">
    <w:abstractNumId w:val="23"/>
  </w:num>
  <w:num w:numId="19" w16cid:durableId="1529441583">
    <w:abstractNumId w:val="19"/>
  </w:num>
  <w:num w:numId="20" w16cid:durableId="250820861">
    <w:abstractNumId w:val="24"/>
  </w:num>
  <w:num w:numId="21" w16cid:durableId="223108843">
    <w:abstractNumId w:val="7"/>
  </w:num>
  <w:num w:numId="22" w16cid:durableId="1709909851">
    <w:abstractNumId w:val="33"/>
  </w:num>
  <w:num w:numId="23" w16cid:durableId="725376233">
    <w:abstractNumId w:val="20"/>
  </w:num>
  <w:num w:numId="24" w16cid:durableId="833647517">
    <w:abstractNumId w:val="26"/>
  </w:num>
  <w:num w:numId="25" w16cid:durableId="779648697">
    <w:abstractNumId w:val="21"/>
  </w:num>
  <w:num w:numId="26" w16cid:durableId="565341594">
    <w:abstractNumId w:val="30"/>
  </w:num>
  <w:num w:numId="27" w16cid:durableId="722406990">
    <w:abstractNumId w:val="9"/>
  </w:num>
  <w:num w:numId="28" w16cid:durableId="254217507">
    <w:abstractNumId w:val="0"/>
  </w:num>
  <w:num w:numId="29" w16cid:durableId="303780395">
    <w:abstractNumId w:val="28"/>
  </w:num>
  <w:num w:numId="30" w16cid:durableId="1943174877">
    <w:abstractNumId w:val="12"/>
  </w:num>
  <w:num w:numId="31" w16cid:durableId="438767424">
    <w:abstractNumId w:val="5"/>
  </w:num>
  <w:num w:numId="32" w16cid:durableId="2015957569">
    <w:abstractNumId w:val="36"/>
  </w:num>
  <w:num w:numId="33" w16cid:durableId="2061125871">
    <w:abstractNumId w:val="17"/>
  </w:num>
  <w:num w:numId="34" w16cid:durableId="1094131434">
    <w:abstractNumId w:val="3"/>
  </w:num>
  <w:num w:numId="35" w16cid:durableId="1797941889">
    <w:abstractNumId w:val="15"/>
  </w:num>
  <w:num w:numId="36" w16cid:durableId="61612029">
    <w:abstractNumId w:val="27"/>
  </w:num>
  <w:num w:numId="37" w16cid:durableId="1574044850">
    <w:abstractNumId w:val="16"/>
  </w:num>
  <w:num w:numId="38" w16cid:durableId="1605846617">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13C0A"/>
    <w:rsid w:val="00077DEC"/>
    <w:rsid w:val="00101B30"/>
    <w:rsid w:val="00122465"/>
    <w:rsid w:val="001A7A96"/>
    <w:rsid w:val="001B11AB"/>
    <w:rsid w:val="001E6B46"/>
    <w:rsid w:val="00206161"/>
    <w:rsid w:val="002D6A70"/>
    <w:rsid w:val="002E6441"/>
    <w:rsid w:val="002F6171"/>
    <w:rsid w:val="00312A1C"/>
    <w:rsid w:val="00361D7D"/>
    <w:rsid w:val="0036492A"/>
    <w:rsid w:val="00371B07"/>
    <w:rsid w:val="003F179E"/>
    <w:rsid w:val="00434B59"/>
    <w:rsid w:val="0044331C"/>
    <w:rsid w:val="004449E8"/>
    <w:rsid w:val="00492DC6"/>
    <w:rsid w:val="005446F2"/>
    <w:rsid w:val="005A0BAA"/>
    <w:rsid w:val="005C4CF3"/>
    <w:rsid w:val="005F0DED"/>
    <w:rsid w:val="005F54EC"/>
    <w:rsid w:val="00616D35"/>
    <w:rsid w:val="00636241"/>
    <w:rsid w:val="00661723"/>
    <w:rsid w:val="0066797B"/>
    <w:rsid w:val="00674820"/>
    <w:rsid w:val="00677442"/>
    <w:rsid w:val="00677C88"/>
    <w:rsid w:val="00685359"/>
    <w:rsid w:val="006D19F7"/>
    <w:rsid w:val="00727B7A"/>
    <w:rsid w:val="00733F18"/>
    <w:rsid w:val="007609FB"/>
    <w:rsid w:val="00780F4B"/>
    <w:rsid w:val="007C5F06"/>
    <w:rsid w:val="007C64B6"/>
    <w:rsid w:val="007E1F50"/>
    <w:rsid w:val="007E60D6"/>
    <w:rsid w:val="00862309"/>
    <w:rsid w:val="00887796"/>
    <w:rsid w:val="008A3F90"/>
    <w:rsid w:val="008C6660"/>
    <w:rsid w:val="0091019E"/>
    <w:rsid w:val="0093236E"/>
    <w:rsid w:val="009621DB"/>
    <w:rsid w:val="009C7E7D"/>
    <w:rsid w:val="00A12BC2"/>
    <w:rsid w:val="00A1549C"/>
    <w:rsid w:val="00A96F5C"/>
    <w:rsid w:val="00AB4C8F"/>
    <w:rsid w:val="00B31AE2"/>
    <w:rsid w:val="00B51BF4"/>
    <w:rsid w:val="00B8084C"/>
    <w:rsid w:val="00B907E2"/>
    <w:rsid w:val="00B90C3E"/>
    <w:rsid w:val="00B961F0"/>
    <w:rsid w:val="00BA195E"/>
    <w:rsid w:val="00BD51DF"/>
    <w:rsid w:val="00BE055B"/>
    <w:rsid w:val="00C2010F"/>
    <w:rsid w:val="00C317FC"/>
    <w:rsid w:val="00C54F2D"/>
    <w:rsid w:val="00C63736"/>
    <w:rsid w:val="00CB68ED"/>
    <w:rsid w:val="00CD4D82"/>
    <w:rsid w:val="00CE2153"/>
    <w:rsid w:val="00CF6BCA"/>
    <w:rsid w:val="00D50ED9"/>
    <w:rsid w:val="00D55E7C"/>
    <w:rsid w:val="00DC0318"/>
    <w:rsid w:val="00DC06AD"/>
    <w:rsid w:val="00E41D73"/>
    <w:rsid w:val="00E43416"/>
    <w:rsid w:val="00E471D8"/>
    <w:rsid w:val="00EA05C6"/>
    <w:rsid w:val="00EC7229"/>
    <w:rsid w:val="00ED4218"/>
    <w:rsid w:val="00F41C45"/>
    <w:rsid w:val="00F46CD2"/>
    <w:rsid w:val="00F70368"/>
    <w:rsid w:val="00FE7E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C86E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uiPriority w:val="99"/>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Default">
    <w:name w:val="Default"/>
    <w:uiPriority w:val="99"/>
    <w:rsid w:val="00BA195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References,Grille claire - Accent 31,Liste couleur - Accent 111,Liste couleur - Accent 11,Liste couleur - Accent 112,List Paragraph1,3 partie"/>
    <w:basedOn w:val="Normal"/>
    <w:link w:val="ListParagraphChar"/>
    <w:uiPriority w:val="34"/>
    <w:qFormat/>
    <w:rsid w:val="00BA195E"/>
    <w:pPr>
      <w:suppressAutoHyphens w:val="0"/>
      <w:kinsoku/>
      <w:overflowPunct/>
      <w:autoSpaceDE/>
      <w:autoSpaceDN/>
      <w:adjustRightInd/>
      <w:snapToGrid/>
      <w:spacing w:after="200" w:line="276" w:lineRule="auto"/>
      <w:ind w:left="720"/>
      <w:contextualSpacing/>
    </w:pPr>
    <w:rPr>
      <w:rFonts w:ascii="Calibri" w:eastAsia="SimSun" w:hAnsi="Calibri"/>
      <w:lang w:val="x-none" w:eastAsia="x-none"/>
    </w:rPr>
  </w:style>
  <w:style w:type="character" w:customStyle="1" w:styleId="ListParagraphChar">
    <w:name w:val="List Paragraph Char"/>
    <w:aliases w:val="References Char,Grille claire - Accent 31 Char,Liste couleur - Accent 111 Char,Liste couleur - Accent 11 Char,Liste couleur - Accent 112 Char,List Paragraph1 Char,3 partie Char"/>
    <w:link w:val="ListParagraph"/>
    <w:uiPriority w:val="34"/>
    <w:locked/>
    <w:rsid w:val="00BA195E"/>
    <w:rPr>
      <w:rFonts w:ascii="Calibri" w:eastAsia="SimSun" w:hAnsi="Calibri" w:cs="Times New Roman"/>
      <w:sz w:val="20"/>
      <w:szCs w:val="20"/>
      <w:lang w:val="x-none" w:eastAsia="x-none"/>
    </w:rPr>
  </w:style>
  <w:style w:type="paragraph" w:customStyle="1" w:styleId="twunmatched">
    <w:name w:val="twunmatched"/>
    <w:basedOn w:val="Normal"/>
    <w:uiPriority w:val="99"/>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CommentReference">
    <w:name w:val="annotation reference"/>
    <w:uiPriority w:val="99"/>
    <w:semiHidden/>
    <w:unhideWhenUsed/>
    <w:rsid w:val="00BA195E"/>
    <w:rPr>
      <w:sz w:val="16"/>
      <w:szCs w:val="16"/>
    </w:rPr>
  </w:style>
  <w:style w:type="paragraph" w:styleId="CommentText">
    <w:name w:val="annotation text"/>
    <w:basedOn w:val="Normal"/>
    <w:link w:val="CommentTextChar"/>
    <w:uiPriority w:val="99"/>
    <w:semiHidden/>
    <w:unhideWhenUsed/>
    <w:rsid w:val="00BA195E"/>
    <w:pPr>
      <w:suppressAutoHyphens w:val="0"/>
      <w:kinsoku/>
      <w:overflowPunct/>
      <w:autoSpaceDE/>
      <w:autoSpaceDN/>
      <w:adjustRightInd/>
      <w:snapToGrid/>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semiHidden/>
    <w:rsid w:val="00BA195E"/>
    <w:rPr>
      <w:rFonts w:ascii="Calibri" w:eastAsia="Calibri" w:hAnsi="Calibri" w:cs="Times New Roman"/>
      <w:sz w:val="20"/>
      <w:szCs w:val="20"/>
      <w:lang w:val="x-none"/>
    </w:rPr>
  </w:style>
  <w:style w:type="character" w:styleId="Emphasis">
    <w:name w:val="Emphasis"/>
    <w:uiPriority w:val="20"/>
    <w:qFormat/>
    <w:rsid w:val="00BA195E"/>
    <w:rPr>
      <w:i/>
      <w:iCs/>
    </w:rPr>
  </w:style>
  <w:style w:type="character" w:customStyle="1" w:styleId="st">
    <w:name w:val="st"/>
    <w:basedOn w:val="DefaultParagraphFont"/>
    <w:rsid w:val="00BA195E"/>
  </w:style>
  <w:style w:type="paragraph" w:styleId="NormalWeb">
    <w:name w:val="Normal (Web)"/>
    <w:basedOn w:val="Normal"/>
    <w:uiPriority w:val="99"/>
    <w:unhideWhenUsed/>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NoSpacing">
    <w:name w:val="No Spacing"/>
    <w:uiPriority w:val="1"/>
    <w:qFormat/>
    <w:rsid w:val="00BA195E"/>
    <w:pPr>
      <w:spacing w:after="0" w:line="240" w:lineRule="auto"/>
    </w:pPr>
    <w:rPr>
      <w:rFonts w:ascii="Calibri" w:eastAsia="SimSun" w:hAnsi="Calibri" w:cs="Times New Roman"/>
      <w:lang w:val="fr-FR"/>
    </w:rPr>
  </w:style>
  <w:style w:type="character" w:customStyle="1" w:styleId="shorttext">
    <w:name w:val="short_text"/>
    <w:basedOn w:val="DefaultParagraphFont"/>
    <w:rsid w:val="00BA195E"/>
  </w:style>
  <w:style w:type="character" w:customStyle="1" w:styleId="uccresultamount">
    <w:name w:val="uccresultamount"/>
    <w:basedOn w:val="DefaultParagraphFont"/>
    <w:rsid w:val="00BA195E"/>
  </w:style>
  <w:style w:type="character" w:customStyle="1" w:styleId="Entete">
    <w:name w:val="Entete"/>
    <w:uiPriority w:val="1"/>
    <w:rsid w:val="00BA195E"/>
    <w:rPr>
      <w:rFonts w:ascii="Arial Narrow" w:hAnsi="Arial Narrow"/>
      <w:caps/>
      <w:dstrike w:val="0"/>
      <w:sz w:val="20"/>
      <w:vertAlign w:val="baseline"/>
    </w:rPr>
  </w:style>
  <w:style w:type="character" w:customStyle="1" w:styleId="SDestinataire">
    <w:name w:val="SDestinataire"/>
    <w:uiPriority w:val="1"/>
    <w:rsid w:val="00BA195E"/>
    <w:rPr>
      <w:rFonts w:ascii="Arial Narrow" w:hAnsi="Arial Narrow"/>
      <w:sz w:val="28"/>
    </w:rPr>
  </w:style>
  <w:style w:type="character" w:styleId="Strong">
    <w:name w:val="Strong"/>
    <w:basedOn w:val="DefaultParagraphFont"/>
    <w:uiPriority w:val="22"/>
    <w:qFormat/>
    <w:rsid w:val="00EC7229"/>
    <w:rPr>
      <w:b/>
      <w:bCs/>
    </w:rPr>
  </w:style>
  <w:style w:type="paragraph" w:customStyle="1" w:styleId="al">
    <w:name w:val="al"/>
    <w:basedOn w:val="Normal"/>
    <w:rsid w:val="00EC722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um-art">
    <w:name w:val="num-art"/>
    <w:basedOn w:val="DefaultParagraphFont"/>
    <w:rsid w:val="00EC7229"/>
  </w:style>
  <w:style w:type="character" w:customStyle="1" w:styleId="zrenv">
    <w:name w:val="zrenv"/>
    <w:basedOn w:val="DefaultParagraphFont"/>
    <w:rsid w:val="00EC7229"/>
  </w:style>
  <w:style w:type="paragraph" w:styleId="Revision">
    <w:name w:val="Revision"/>
    <w:hidden/>
    <w:uiPriority w:val="99"/>
    <w:semiHidden/>
    <w:rsid w:val="00EC7229"/>
    <w:pPr>
      <w:spacing w:after="0" w:line="240" w:lineRule="auto"/>
    </w:pPr>
    <w:rPr>
      <w:kern w:val="2"/>
      <w:sz w:val="24"/>
      <w:szCs w:val="24"/>
      <w:lang w:val="fr-FR"/>
      <w14:ligatures w14:val="standardContextual"/>
    </w:rPr>
  </w:style>
  <w:style w:type="character" w:customStyle="1" w:styleId="y2iqfc">
    <w:name w:val="y2iqfc"/>
    <w:basedOn w:val="DefaultParagraphFont"/>
    <w:rsid w:val="00EC7229"/>
  </w:style>
  <w:style w:type="character" w:customStyle="1" w:styleId="chapeau">
    <w:name w:val="chapeau"/>
    <w:basedOn w:val="DefaultParagraphFont"/>
    <w:rsid w:val="00EC7229"/>
  </w:style>
  <w:style w:type="paragraph" w:styleId="TOC1">
    <w:name w:val="toc 1"/>
    <w:basedOn w:val="Normal"/>
    <w:next w:val="Normal"/>
    <w:autoRedefine/>
    <w:uiPriority w:val="39"/>
    <w:unhideWhenUsed/>
    <w:rsid w:val="00EC7229"/>
    <w:pPr>
      <w:suppressAutoHyphens w:val="0"/>
      <w:kinsoku/>
      <w:overflowPunct/>
      <w:autoSpaceDE/>
      <w:autoSpaceDN/>
      <w:adjustRightInd/>
      <w:snapToGrid/>
      <w:spacing w:after="100" w:line="240" w:lineRule="auto"/>
    </w:pPr>
    <w:rPr>
      <w:rFonts w:asciiTheme="minorHAnsi" w:hAnsiTheme="minorHAnsi" w:cstheme="minorBidi"/>
      <w:kern w:val="2"/>
      <w:sz w:val="24"/>
      <w:szCs w:val="24"/>
      <w:lang w:val="fr-FR"/>
      <w14:ligatures w14:val="standardContextual"/>
    </w:rPr>
  </w:style>
  <w:style w:type="paragraph" w:styleId="TOC2">
    <w:name w:val="toc 2"/>
    <w:basedOn w:val="Normal"/>
    <w:next w:val="Normal"/>
    <w:autoRedefine/>
    <w:uiPriority w:val="39"/>
    <w:unhideWhenUsed/>
    <w:rsid w:val="00EC7229"/>
    <w:pPr>
      <w:suppressAutoHyphens w:val="0"/>
      <w:kinsoku/>
      <w:overflowPunct/>
      <w:autoSpaceDE/>
      <w:autoSpaceDN/>
      <w:adjustRightInd/>
      <w:snapToGrid/>
      <w:spacing w:after="100" w:line="240" w:lineRule="auto"/>
      <w:ind w:left="240"/>
    </w:pPr>
    <w:rPr>
      <w:rFonts w:ascii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EC7229"/>
    <w:pPr>
      <w:suppressAutoHyphens w:val="0"/>
      <w:kinsoku/>
      <w:overflowPunct/>
      <w:autoSpaceDE/>
      <w:autoSpaceDN/>
      <w:adjustRightInd/>
      <w:snapToGrid/>
      <w:spacing w:after="100" w:line="240" w:lineRule="auto"/>
      <w:ind w:left="480"/>
    </w:pPr>
    <w:rPr>
      <w:rFonts w:ascii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EC7229"/>
    <w:pPr>
      <w:suppressAutoHyphens w:val="0"/>
      <w:kinsoku/>
      <w:overflowPunct/>
      <w:autoSpaceDE/>
      <w:autoSpaceDN/>
      <w:adjustRightInd/>
      <w:snapToGrid/>
      <w:spacing w:after="100" w:line="240" w:lineRule="auto"/>
      <w:ind w:left="720"/>
    </w:pPr>
    <w:rPr>
      <w:rFonts w:asciiTheme="minorHAnsi" w:hAnsiTheme="minorHAnsi" w:cstheme="minorBidi"/>
      <w:kern w:val="2"/>
      <w:sz w:val="24"/>
      <w:szCs w:val="24"/>
      <w:lang w:val="fr-FR"/>
      <w14:ligatures w14:val="standardContextual"/>
    </w:rPr>
  </w:style>
  <w:style w:type="paragraph" w:styleId="TOCHeading">
    <w:name w:val="TOC Heading"/>
    <w:basedOn w:val="Heading1"/>
    <w:next w:val="Normal"/>
    <w:uiPriority w:val="39"/>
    <w:unhideWhenUsed/>
    <w:qFormat/>
    <w:rsid w:val="00EC7229"/>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sz w:val="32"/>
      <w:szCs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minepat.gov.cm/fr/outils-amenagement-territo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2024-05-06T19:34:42+00:00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287CB-4CE4-46FC-B81C-6C2A99EC87A5}">
  <ds:schemaRefs>
    <ds:schemaRef ds:uri="http://schemas.microsoft.com/sharepoint/v3/contenttype/forms"/>
  </ds:schemaRefs>
</ds:datastoreItem>
</file>

<file path=customXml/itemProps2.xml><?xml version="1.0" encoding="utf-8"?>
<ds:datastoreItem xmlns:ds="http://schemas.openxmlformats.org/officeDocument/2006/customXml" ds:itemID="{4A5A25F0-A548-4277-9B8E-B30C809EE7F6}">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A395B390-4790-46B6-AAF2-6AA4B1D47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2DAB05-E201-4297-914B-1B52C00D1DA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8</TotalTime>
  <Pages>29</Pages>
  <Words>12440</Words>
  <Characters>70910</Characters>
  <Application>Microsoft Office Word</Application>
  <DocSecurity>0</DocSecurity>
  <Lines>590</Lines>
  <Paragraphs>166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CERD/C/CMR/22-23</vt:lpstr>
      <vt:lpstr>a/hthhhh</vt:lpstr>
      <vt:lpstr>a/hthhhh</vt:lpstr>
    </vt:vector>
  </TitlesOfParts>
  <Company>DCM</Company>
  <LinksUpToDate>false</LinksUpToDate>
  <CharactersWithSpaces>83184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
  <dc:creator>Kalpana Singh</dc:creator>
  <cp:keywords/>
  <dc:description/>
  <cp:lastModifiedBy>Kalpana Singh</cp:lastModifiedBy>
  <cp:revision>8</cp:revision>
  <cp:lastPrinted>2017-02-27T14:31:00Z</cp:lastPrinted>
  <dcterms:created xsi:type="dcterms:W3CDTF">2026-01-07T14:54:00Z</dcterms:created>
  <dcterms:modified xsi:type="dcterms:W3CDTF">2026-01-07T15:02:00Z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C/CMR/22-23</vt:lpwstr>
  </property>
  <property fmtid="{D5CDD505-2E9C-101B-9397-08002B2CF9AE}" pid="3" name="symh">
    <vt:lpwstr>CERD/C/CMR/22-23</vt:lpwstr>
  </property>
  <property fmtid="{D5CDD505-2E9C-101B-9397-08002B2CF9AE}" pid="4" name="dist">
    <vt:lpwstr>générale</vt:lpwstr>
  </property>
  <property fmtid="{D5CDD505-2E9C-101B-9397-08002B2CF9AE}" pid="5" name="date">
    <vt:lpwstr>22 juillet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le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Cameroun  valant vingt-deuxième et vingt-troisième rapports périodiques</vt:lpwstr>
  </property>
  <property fmtid="{D5CDD505-2E9C-101B-9397-08002B2CF9AE}" pid="19" name="preps">
    <vt:lpwstr>rapport du Cameroun  valant vingt-deuxième et vingt-troisième rapports périodiques</vt:lpwstr>
  </property>
  <property fmtid="{D5CDD505-2E9C-101B-9397-08002B2CF9AE}" pid="20" name="prepw">
    <vt:lpwstr>rapport valant vingt-deuxième et vingt-troisième rapports périodiques</vt:lpwstr>
  </property>
  <property fmtid="{D5CDD505-2E9C-101B-9397-08002B2CF9AE}" pid="21" name="prepws">
    <vt:lpwstr>rapport valant vingt-deuxième et vingt-troisième rapports périodiques</vt:lpwstr>
  </property>
  <property fmtid="{D5CDD505-2E9C-101B-9397-08002B2CF9AE}" pid="22" name="prepwc">
    <vt:lpwstr>Rapport valant vingt-deuxième et vingt-troisième rapports périodiques</vt:lpwstr>
  </property>
  <property fmtid="{D5CDD505-2E9C-101B-9397-08002B2CF9AE}" pid="23" name="olang">
    <vt:lpwstr>français</vt:lpwstr>
  </property>
  <property fmtid="{D5CDD505-2E9C-101B-9397-08002B2CF9AE}" pid="24" name="Date-Generated">
    <vt:filetime>2019-07-22T15:39:12Z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