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76CF6E" w14:textId="77777777" w:rsidR="00B64EA4" w:rsidRDefault="00B64EA4"/>
    <w:p w14:paraId="4B189ABC" w14:textId="15A36F05" w:rsidR="00B64EA4" w:rsidRDefault="00B64EA4" w:rsidP="00B64EA4">
      <w:pPr>
        <w:jc w:val="center"/>
      </w:pPr>
      <w:r>
        <w:t>ANEXO I.</w:t>
      </w:r>
    </w:p>
    <w:p w14:paraId="643DF84E" w14:textId="77777777" w:rsidR="00B64EA4" w:rsidRPr="00364B42" w:rsidRDefault="00B64EA4" w:rsidP="00B64EA4">
      <w:pPr>
        <w:jc w:val="center"/>
        <w:rPr>
          <w:b/>
          <w:bCs/>
        </w:rPr>
      </w:pPr>
    </w:p>
    <w:p w14:paraId="4B0186B6" w14:textId="454DD889" w:rsidR="00B64EA4" w:rsidRPr="00364B42" w:rsidRDefault="00601CFE" w:rsidP="00364B42">
      <w:pPr>
        <w:jc w:val="center"/>
        <w:rPr>
          <w:rFonts w:ascii="Arial" w:hAnsi="Arial" w:cs="Arial"/>
          <w:b/>
          <w:bCs/>
          <w:sz w:val="22"/>
          <w:szCs w:val="22"/>
        </w:rPr>
      </w:pPr>
      <w:r>
        <w:rPr>
          <w:rFonts w:ascii="Arial" w:hAnsi="Arial" w:cs="Arial"/>
          <w:b/>
          <w:bCs/>
          <w:sz w:val="22"/>
          <w:szCs w:val="22"/>
        </w:rPr>
        <w:t xml:space="preserve">Pregunta 14 inciso (a). </w:t>
      </w:r>
      <w:r w:rsidR="00B64EA4" w:rsidRPr="00364B42">
        <w:rPr>
          <w:rFonts w:ascii="Arial" w:hAnsi="Arial" w:cs="Arial"/>
          <w:b/>
          <w:bCs/>
          <w:sz w:val="22"/>
          <w:szCs w:val="22"/>
        </w:rPr>
        <w:t>Nuevos proyectos de ley o nuevas leyes, y sus respectivos reglamentos.</w:t>
      </w:r>
    </w:p>
    <w:p w14:paraId="4F766C9A" w14:textId="77777777" w:rsidR="00B64EA4" w:rsidRDefault="00B64EA4"/>
    <w:p w14:paraId="1E3A14CF" w14:textId="77777777" w:rsidR="00F10BB3" w:rsidRDefault="00F10BB3">
      <w:bookmarkStart w:id="0" w:name="_GoBack"/>
      <w:bookmarkEnd w:id="0"/>
    </w:p>
    <w:tbl>
      <w:tblPr>
        <w:tblStyle w:val="Tablaconcuadrcula"/>
        <w:tblW w:w="9918" w:type="dxa"/>
        <w:tblInd w:w="-856" w:type="dxa"/>
        <w:tblLayout w:type="fixed"/>
        <w:tblLook w:val="04A0" w:firstRow="1" w:lastRow="0" w:firstColumn="1" w:lastColumn="0" w:noHBand="0" w:noVBand="1"/>
      </w:tblPr>
      <w:tblGrid>
        <w:gridCol w:w="1413"/>
        <w:gridCol w:w="1701"/>
        <w:gridCol w:w="6804"/>
      </w:tblGrid>
      <w:tr w:rsidR="007E2260" w:rsidRPr="00625DA9" w14:paraId="0317FA56" w14:textId="77777777" w:rsidTr="003A3EB9">
        <w:tc>
          <w:tcPr>
            <w:tcW w:w="1413" w:type="dxa"/>
            <w:shd w:val="clear" w:color="auto" w:fill="C00000"/>
            <w:vAlign w:val="center"/>
          </w:tcPr>
          <w:p w14:paraId="750E6AE6" w14:textId="18C7749B" w:rsidR="007E2260" w:rsidRPr="00625DA9" w:rsidRDefault="00532A61" w:rsidP="00364B42">
            <w:pPr>
              <w:jc w:val="center"/>
              <w:rPr>
                <w:rFonts w:ascii="Arial" w:hAnsi="Arial" w:cs="Arial"/>
                <w:color w:val="FFFFFF" w:themeColor="background1"/>
                <w:sz w:val="20"/>
                <w:szCs w:val="20"/>
              </w:rPr>
            </w:pPr>
            <w:r w:rsidRPr="00625DA9">
              <w:rPr>
                <w:rFonts w:ascii="Arial" w:hAnsi="Arial" w:cs="Arial"/>
                <w:color w:val="FFFFFF" w:themeColor="background1"/>
                <w:sz w:val="20"/>
                <w:szCs w:val="20"/>
              </w:rPr>
              <w:t>Ley o reglamento</w:t>
            </w:r>
          </w:p>
        </w:tc>
        <w:tc>
          <w:tcPr>
            <w:tcW w:w="1701" w:type="dxa"/>
            <w:shd w:val="clear" w:color="auto" w:fill="C00000"/>
            <w:vAlign w:val="center"/>
          </w:tcPr>
          <w:p w14:paraId="4527DF88" w14:textId="36D11FA6" w:rsidR="007E2260" w:rsidRPr="00625DA9" w:rsidRDefault="00532A61" w:rsidP="00364B42">
            <w:pPr>
              <w:jc w:val="center"/>
              <w:rPr>
                <w:rFonts w:ascii="Arial" w:hAnsi="Arial" w:cs="Arial"/>
                <w:color w:val="FFFFFF" w:themeColor="background1"/>
                <w:sz w:val="20"/>
                <w:szCs w:val="20"/>
              </w:rPr>
            </w:pPr>
            <w:r w:rsidRPr="00625DA9">
              <w:rPr>
                <w:rFonts w:ascii="Arial" w:hAnsi="Arial" w:cs="Arial"/>
                <w:color w:val="FFFFFF" w:themeColor="background1"/>
                <w:sz w:val="20"/>
                <w:szCs w:val="20"/>
              </w:rPr>
              <w:t>Aplicación</w:t>
            </w:r>
          </w:p>
        </w:tc>
        <w:tc>
          <w:tcPr>
            <w:tcW w:w="6804" w:type="dxa"/>
            <w:shd w:val="clear" w:color="auto" w:fill="C00000"/>
            <w:vAlign w:val="center"/>
          </w:tcPr>
          <w:p w14:paraId="25B7467D" w14:textId="0FB7E5C5" w:rsidR="007E2260" w:rsidRPr="00625DA9" w:rsidRDefault="00532A61" w:rsidP="00364B42">
            <w:pPr>
              <w:jc w:val="center"/>
              <w:rPr>
                <w:rFonts w:ascii="Arial" w:hAnsi="Arial" w:cs="Arial"/>
                <w:color w:val="FFFFFF" w:themeColor="background1"/>
                <w:sz w:val="20"/>
                <w:szCs w:val="20"/>
              </w:rPr>
            </w:pPr>
            <w:r w:rsidRPr="00625DA9">
              <w:rPr>
                <w:rFonts w:ascii="Arial" w:hAnsi="Arial" w:cs="Arial"/>
                <w:color w:val="FFFFFF" w:themeColor="background1"/>
                <w:sz w:val="20"/>
                <w:szCs w:val="20"/>
              </w:rPr>
              <w:t>Reformas o proyectos de ley</w:t>
            </w:r>
          </w:p>
        </w:tc>
      </w:tr>
      <w:tr w:rsidR="007E2260" w:rsidRPr="00625DA9" w14:paraId="46EC1156" w14:textId="77777777" w:rsidTr="008F6A67">
        <w:tc>
          <w:tcPr>
            <w:tcW w:w="1413" w:type="dxa"/>
          </w:tcPr>
          <w:p w14:paraId="49EB6F50" w14:textId="1CF66E77" w:rsidR="007E2260" w:rsidRPr="00625DA9" w:rsidRDefault="007E2260" w:rsidP="00C710D5">
            <w:pPr>
              <w:jc w:val="both"/>
              <w:rPr>
                <w:rFonts w:ascii="Arial" w:hAnsi="Arial" w:cs="Arial"/>
                <w:sz w:val="22"/>
                <w:szCs w:val="22"/>
              </w:rPr>
            </w:pPr>
            <w:r w:rsidRPr="00625DA9">
              <w:rPr>
                <w:rFonts w:ascii="Arial" w:hAnsi="Arial" w:cs="Arial"/>
                <w:sz w:val="22"/>
                <w:szCs w:val="22"/>
              </w:rPr>
              <w:t>Ley General de Educación</w:t>
            </w:r>
          </w:p>
        </w:tc>
        <w:tc>
          <w:tcPr>
            <w:tcW w:w="1701" w:type="dxa"/>
          </w:tcPr>
          <w:p w14:paraId="681A2123" w14:textId="4A4C6483" w:rsidR="007E2260" w:rsidRPr="00625DA9" w:rsidRDefault="00EA29A9" w:rsidP="00C710D5">
            <w:pPr>
              <w:numPr>
                <w:ilvl w:val="0"/>
                <w:numId w:val="1"/>
              </w:numPr>
              <w:spacing w:after="200" w:line="276" w:lineRule="auto"/>
              <w:ind w:left="0" w:firstLine="0"/>
              <w:jc w:val="both"/>
              <w:rPr>
                <w:rFonts w:ascii="Arial" w:hAnsi="Arial" w:cs="Arial"/>
                <w:sz w:val="22"/>
                <w:szCs w:val="22"/>
              </w:rPr>
            </w:pPr>
            <w:r w:rsidRPr="00625DA9">
              <w:rPr>
                <w:rFonts w:ascii="Arial" w:hAnsi="Arial" w:cs="Arial"/>
                <w:sz w:val="22"/>
                <w:szCs w:val="22"/>
              </w:rPr>
              <w:t>Entre los avances legislativos que atienden las recomendaciones del Comité,</w:t>
            </w:r>
            <w:r w:rsidR="00EE42F4" w:rsidRPr="00625DA9">
              <w:rPr>
                <w:rFonts w:ascii="Arial" w:hAnsi="Arial" w:cs="Arial"/>
                <w:sz w:val="22"/>
                <w:szCs w:val="22"/>
              </w:rPr>
              <w:t xml:space="preserve"> </w:t>
            </w:r>
            <w:r w:rsidRPr="00625DA9">
              <w:rPr>
                <w:rFonts w:ascii="Arial" w:hAnsi="Arial" w:cs="Arial"/>
                <w:sz w:val="22"/>
                <w:szCs w:val="22"/>
              </w:rPr>
              <w:t>destaca la reforma constitucional a los artículos 3o., 31 y 73, de mayo de 2019 que reconoce a la educación inicial como parte de la educación básica, obligó a elaborar e instrumentar la Estrategia Nacional de Atención a la Primera Infancia (ENAPI), así como la Estrategia Nacional de Educación Inclusiva (ENEI)</w:t>
            </w:r>
            <w:r w:rsidR="00F10BB3" w:rsidRPr="00625DA9">
              <w:rPr>
                <w:rFonts w:ascii="Arial" w:hAnsi="Arial" w:cs="Arial"/>
                <w:sz w:val="22"/>
                <w:szCs w:val="22"/>
              </w:rPr>
              <w:t>.</w:t>
            </w:r>
          </w:p>
        </w:tc>
        <w:tc>
          <w:tcPr>
            <w:tcW w:w="6804" w:type="dxa"/>
          </w:tcPr>
          <w:p w14:paraId="67807999" w14:textId="6ECAA3F7" w:rsidR="00EA29A9" w:rsidRPr="00625DA9" w:rsidRDefault="00EA29A9" w:rsidP="00C710D5">
            <w:pPr>
              <w:jc w:val="both"/>
              <w:rPr>
                <w:rFonts w:ascii="Arial" w:hAnsi="Arial" w:cs="Arial"/>
                <w:sz w:val="22"/>
                <w:szCs w:val="22"/>
              </w:rPr>
            </w:pPr>
            <w:r w:rsidRPr="00625DA9">
              <w:rPr>
                <w:rFonts w:ascii="Arial" w:hAnsi="Arial" w:cs="Arial"/>
                <w:sz w:val="22"/>
                <w:szCs w:val="22"/>
              </w:rPr>
              <w:t>Con relación a esta Ley General de Educación cabe destacar que e</w:t>
            </w:r>
            <w:r w:rsidR="00791BB8" w:rsidRPr="00625DA9">
              <w:rPr>
                <w:rFonts w:ascii="Arial" w:hAnsi="Arial" w:cs="Arial"/>
                <w:sz w:val="22"/>
                <w:szCs w:val="22"/>
              </w:rPr>
              <w:t>n fecha 30 de septiembre de 2019, Se público en el DOF el Decreto por el que se expide la Ley General de Educación y se abroga la Ley General de Infraestructura Física Educativa.</w:t>
            </w:r>
          </w:p>
          <w:p w14:paraId="2E2D26A1" w14:textId="77777777" w:rsidR="00EA29A9" w:rsidRPr="00625DA9" w:rsidRDefault="00EA29A9" w:rsidP="00C710D5">
            <w:pPr>
              <w:jc w:val="both"/>
              <w:rPr>
                <w:rFonts w:ascii="Arial" w:hAnsi="Arial" w:cs="Arial"/>
                <w:sz w:val="22"/>
                <w:szCs w:val="22"/>
              </w:rPr>
            </w:pPr>
          </w:p>
          <w:p w14:paraId="798E56A6" w14:textId="38D61566" w:rsidR="007E2260" w:rsidRPr="00625DA9" w:rsidRDefault="0066455E" w:rsidP="00C710D5">
            <w:pPr>
              <w:jc w:val="both"/>
              <w:rPr>
                <w:rFonts w:ascii="Arial" w:hAnsi="Arial" w:cs="Arial"/>
                <w:sz w:val="22"/>
                <w:szCs w:val="22"/>
              </w:rPr>
            </w:pPr>
            <w:hyperlink r:id="rId7" w:history="1">
              <w:r w:rsidR="00EA29A9" w:rsidRPr="00625DA9">
                <w:rPr>
                  <w:rStyle w:val="Hipervnculo"/>
                  <w:rFonts w:ascii="Arial" w:hAnsi="Arial" w:cs="Arial"/>
                  <w:sz w:val="22"/>
                  <w:szCs w:val="22"/>
                </w:rPr>
                <w:t>https://www.diputados.gob.mx/LeyesBiblio/ref/lge/LGE_orig_30sep19.pdf</w:t>
              </w:r>
            </w:hyperlink>
            <w:r w:rsidR="00BD2616" w:rsidRPr="00625DA9">
              <w:rPr>
                <w:rFonts w:ascii="Arial" w:hAnsi="Arial" w:cs="Arial"/>
                <w:sz w:val="22"/>
                <w:szCs w:val="22"/>
              </w:rPr>
              <w:t>.</w:t>
            </w:r>
          </w:p>
          <w:p w14:paraId="4D6C93B2" w14:textId="77777777" w:rsidR="00EA29A9" w:rsidRPr="00625DA9" w:rsidRDefault="00EA29A9" w:rsidP="00C710D5">
            <w:pPr>
              <w:jc w:val="both"/>
              <w:rPr>
                <w:rFonts w:ascii="Arial" w:hAnsi="Arial" w:cs="Arial"/>
                <w:sz w:val="22"/>
                <w:szCs w:val="22"/>
              </w:rPr>
            </w:pPr>
          </w:p>
          <w:p w14:paraId="54509E00" w14:textId="70BD3E9A" w:rsidR="00EA29A9" w:rsidRPr="00625DA9" w:rsidRDefault="00EA29A9" w:rsidP="00C710D5">
            <w:pPr>
              <w:jc w:val="both"/>
              <w:rPr>
                <w:rFonts w:ascii="Arial" w:hAnsi="Arial" w:cs="Arial"/>
                <w:sz w:val="22"/>
                <w:szCs w:val="22"/>
              </w:rPr>
            </w:pPr>
            <w:r w:rsidRPr="00625DA9">
              <w:rPr>
                <w:rFonts w:ascii="Arial" w:hAnsi="Arial" w:cs="Arial"/>
                <w:sz w:val="22"/>
                <w:szCs w:val="22"/>
              </w:rPr>
              <w:t>De ahí que la Ley General de Educación; ha sufrido dos reformas importantes:</w:t>
            </w:r>
          </w:p>
          <w:p w14:paraId="7C28DED0" w14:textId="77777777" w:rsidR="00EA29A9" w:rsidRPr="00625DA9" w:rsidRDefault="00EA29A9" w:rsidP="00C710D5">
            <w:pPr>
              <w:jc w:val="both"/>
              <w:rPr>
                <w:rFonts w:ascii="Arial" w:hAnsi="Arial" w:cs="Arial"/>
                <w:sz w:val="22"/>
                <w:szCs w:val="22"/>
              </w:rPr>
            </w:pPr>
          </w:p>
          <w:tbl>
            <w:tblPr>
              <w:tblW w:w="4750" w:type="pct"/>
              <w:jc w:val="center"/>
              <w:tblLayout w:type="fixed"/>
              <w:tblCellMar>
                <w:top w:w="15" w:type="dxa"/>
                <w:left w:w="15" w:type="dxa"/>
                <w:bottom w:w="15" w:type="dxa"/>
                <w:right w:w="15" w:type="dxa"/>
              </w:tblCellMar>
              <w:tblLook w:val="04A0" w:firstRow="1" w:lastRow="0" w:firstColumn="1" w:lastColumn="0" w:noHBand="0" w:noVBand="1"/>
            </w:tblPr>
            <w:tblGrid>
              <w:gridCol w:w="6259"/>
            </w:tblGrid>
            <w:tr w:rsidR="00EA29A9" w:rsidRPr="00625DA9" w14:paraId="477D7512" w14:textId="77777777" w:rsidTr="00EA29A9">
              <w:trPr>
                <w:jc w:val="center"/>
              </w:trPr>
              <w:tc>
                <w:tcPr>
                  <w:tcW w:w="8396" w:type="dxa"/>
                  <w:vAlign w:val="center"/>
                  <w:hideMark/>
                </w:tcPr>
                <w:p w14:paraId="7A8E7DCF" w14:textId="77777777" w:rsidR="00EA29A9" w:rsidRPr="00625DA9" w:rsidRDefault="00EA29A9" w:rsidP="00EA29A9">
                  <w:pPr>
                    <w:spacing w:line="255" w:lineRule="atLeast"/>
                    <w:jc w:val="both"/>
                    <w:rPr>
                      <w:rFonts w:ascii="Arial" w:hAnsi="Arial" w:cs="Arial"/>
                      <w:sz w:val="22"/>
                      <w:szCs w:val="22"/>
                      <w:lang w:val="es-MX"/>
                    </w:rPr>
                  </w:pPr>
                  <w:r w:rsidRPr="00625DA9">
                    <w:rPr>
                      <w:rFonts w:ascii="Arial" w:hAnsi="Arial" w:cs="Arial"/>
                      <w:b/>
                      <w:bCs/>
                      <w:color w:val="595843"/>
                      <w:sz w:val="22"/>
                      <w:szCs w:val="22"/>
                    </w:rPr>
                    <w:t>Decretos de Reforma:</w:t>
                  </w:r>
                </w:p>
              </w:tc>
            </w:tr>
          </w:tbl>
          <w:p w14:paraId="33010B95" w14:textId="77777777" w:rsidR="00EA29A9" w:rsidRPr="00625DA9" w:rsidRDefault="00EA29A9" w:rsidP="00EA29A9">
            <w:pPr>
              <w:jc w:val="center"/>
              <w:rPr>
                <w:rFonts w:ascii="Arial" w:hAnsi="Arial" w:cs="Arial"/>
                <w:vanish/>
                <w:color w:val="000000"/>
                <w:sz w:val="22"/>
                <w:szCs w:val="22"/>
                <w:shd w:val="clear" w:color="auto" w:fill="FFFFFF"/>
              </w:rPr>
            </w:pPr>
          </w:p>
          <w:tbl>
            <w:tblPr>
              <w:tblW w:w="4750" w:type="pct"/>
              <w:jc w:val="center"/>
              <w:tblLayout w:type="fixed"/>
              <w:tblCellMar>
                <w:top w:w="15" w:type="dxa"/>
                <w:left w:w="15" w:type="dxa"/>
                <w:bottom w:w="15" w:type="dxa"/>
                <w:right w:w="15" w:type="dxa"/>
              </w:tblCellMar>
              <w:tblLook w:val="04A0" w:firstRow="1" w:lastRow="0" w:firstColumn="1" w:lastColumn="0" w:noHBand="0" w:noVBand="1"/>
            </w:tblPr>
            <w:tblGrid>
              <w:gridCol w:w="275"/>
              <w:gridCol w:w="5984"/>
            </w:tblGrid>
            <w:tr w:rsidR="00EA29A9" w:rsidRPr="00625DA9" w14:paraId="2BF2C562" w14:textId="77777777" w:rsidTr="00EE42F4">
              <w:trPr>
                <w:jc w:val="center"/>
              </w:trPr>
              <w:tc>
                <w:tcPr>
                  <w:tcW w:w="275" w:type="dxa"/>
                  <w:tcMar>
                    <w:top w:w="0" w:type="dxa"/>
                    <w:left w:w="70" w:type="dxa"/>
                    <w:bottom w:w="0" w:type="dxa"/>
                    <w:right w:w="70" w:type="dxa"/>
                  </w:tcMar>
                  <w:hideMark/>
                </w:tcPr>
                <w:p w14:paraId="374202E2" w14:textId="6AE9530E" w:rsidR="00EA29A9" w:rsidRPr="00625DA9" w:rsidRDefault="00EA29A9" w:rsidP="00EA29A9">
                  <w:pPr>
                    <w:spacing w:line="255" w:lineRule="atLeast"/>
                    <w:jc w:val="right"/>
                    <w:rPr>
                      <w:rFonts w:ascii="Arial" w:hAnsi="Arial" w:cs="Arial"/>
                      <w:sz w:val="22"/>
                      <w:szCs w:val="22"/>
                    </w:rPr>
                  </w:pPr>
                </w:p>
              </w:tc>
              <w:tc>
                <w:tcPr>
                  <w:tcW w:w="5984" w:type="dxa"/>
                  <w:tcMar>
                    <w:top w:w="0" w:type="dxa"/>
                    <w:left w:w="70" w:type="dxa"/>
                    <w:bottom w:w="0" w:type="dxa"/>
                    <w:right w:w="70" w:type="dxa"/>
                  </w:tcMar>
                  <w:hideMark/>
                </w:tcPr>
                <w:p w14:paraId="2049E33E" w14:textId="77777777" w:rsidR="00085EA1" w:rsidRPr="00625DA9" w:rsidRDefault="00085EA1" w:rsidP="00085EA1">
                  <w:pPr>
                    <w:pStyle w:val="Prrafodelista"/>
                    <w:spacing w:after="45" w:line="255" w:lineRule="atLeast"/>
                    <w:jc w:val="both"/>
                    <w:rPr>
                      <w:rFonts w:ascii="Arial" w:hAnsi="Arial" w:cs="Arial"/>
                      <w:sz w:val="22"/>
                      <w:szCs w:val="22"/>
                    </w:rPr>
                  </w:pPr>
                </w:p>
                <w:p w14:paraId="054DCB7D" w14:textId="51C7F468" w:rsidR="00EA29A9" w:rsidRPr="00625DA9" w:rsidRDefault="00EA29A9" w:rsidP="00EE42F4">
                  <w:pPr>
                    <w:pStyle w:val="Prrafodelista"/>
                    <w:numPr>
                      <w:ilvl w:val="0"/>
                      <w:numId w:val="2"/>
                    </w:numPr>
                    <w:spacing w:after="45" w:line="255" w:lineRule="atLeast"/>
                    <w:ind w:left="239" w:hanging="239"/>
                    <w:jc w:val="both"/>
                    <w:rPr>
                      <w:rFonts w:ascii="Arial" w:hAnsi="Arial" w:cs="Arial"/>
                      <w:sz w:val="22"/>
                      <w:szCs w:val="22"/>
                    </w:rPr>
                  </w:pPr>
                  <w:r w:rsidRPr="00625DA9">
                    <w:rPr>
                      <w:rFonts w:ascii="Arial" w:hAnsi="Arial" w:cs="Arial"/>
                      <w:b/>
                      <w:bCs/>
                      <w:sz w:val="22"/>
                      <w:szCs w:val="22"/>
                      <w:lang w:val="es-ES"/>
                    </w:rPr>
                    <w:t>DECRETO</w:t>
                  </w:r>
                  <w:r w:rsidRPr="00625DA9">
                    <w:rPr>
                      <w:rFonts w:ascii="Arial" w:hAnsi="Arial" w:cs="Arial"/>
                      <w:sz w:val="22"/>
                      <w:szCs w:val="22"/>
                      <w:lang w:val="es-ES"/>
                    </w:rPr>
                    <w:t xml:space="preserve"> por el que se reforman, adicionan y derogan diversas disposiciones de la Ley General de Educación, </w:t>
                  </w:r>
                  <w:r w:rsidRPr="00625DA9">
                    <w:rPr>
                      <w:rFonts w:ascii="Arial" w:hAnsi="Arial" w:cs="Arial"/>
                      <w:b/>
                      <w:bCs/>
                      <w:sz w:val="22"/>
                      <w:szCs w:val="22"/>
                      <w:lang w:val="es-ES"/>
                    </w:rPr>
                    <w:t>en materia de Salud Alimentaria en las escuelas</w:t>
                  </w:r>
                  <w:r w:rsidRPr="00625DA9">
                    <w:rPr>
                      <w:rFonts w:ascii="Arial" w:hAnsi="Arial" w:cs="Arial"/>
                      <w:sz w:val="22"/>
                      <w:szCs w:val="22"/>
                      <w:lang w:val="es-ES"/>
                    </w:rPr>
                    <w:t>.</w:t>
                  </w:r>
                  <w:hyperlink r:id="rId8" w:tgtFrame="_blank" w:history="1">
                    <w:r w:rsidRPr="00625DA9">
                      <w:rPr>
                        <w:rStyle w:val="Hipervnculo"/>
                        <w:rFonts w:ascii="Arial" w:eastAsiaTheme="majorEastAsia" w:hAnsi="Arial" w:cs="Arial"/>
                        <w:color w:val="000000"/>
                        <w:sz w:val="22"/>
                        <w:szCs w:val="22"/>
                      </w:rPr>
                      <w:t>DOF 20-12-2023</w:t>
                    </w:r>
                  </w:hyperlink>
                  <w:r w:rsidR="00085EA1" w:rsidRPr="00625DA9">
                    <w:rPr>
                      <w:rFonts w:ascii="Arial" w:hAnsi="Arial" w:cs="Arial"/>
                      <w:sz w:val="22"/>
                      <w:szCs w:val="22"/>
                    </w:rPr>
                    <w:t xml:space="preserve"> </w:t>
                  </w:r>
                </w:p>
                <w:p w14:paraId="14842100" w14:textId="3FC4B5E6" w:rsidR="00EA29A9" w:rsidRPr="00625DA9" w:rsidRDefault="00EA29A9" w:rsidP="00EA29A9">
                  <w:pPr>
                    <w:spacing w:after="45" w:line="255" w:lineRule="atLeast"/>
                    <w:ind w:firstLine="60"/>
                    <w:jc w:val="both"/>
                    <w:rPr>
                      <w:rFonts w:ascii="Arial" w:hAnsi="Arial" w:cs="Arial"/>
                      <w:sz w:val="22"/>
                      <w:szCs w:val="22"/>
                    </w:rPr>
                  </w:pPr>
                </w:p>
              </w:tc>
            </w:tr>
            <w:tr w:rsidR="00EA29A9" w:rsidRPr="00625DA9" w14:paraId="1B01D8D9" w14:textId="77777777" w:rsidTr="00EE42F4">
              <w:trPr>
                <w:jc w:val="center"/>
              </w:trPr>
              <w:tc>
                <w:tcPr>
                  <w:tcW w:w="275" w:type="dxa"/>
                  <w:tcMar>
                    <w:top w:w="0" w:type="dxa"/>
                    <w:left w:w="70" w:type="dxa"/>
                    <w:bottom w:w="0" w:type="dxa"/>
                    <w:right w:w="70" w:type="dxa"/>
                  </w:tcMar>
                  <w:hideMark/>
                </w:tcPr>
                <w:p w14:paraId="1B8B05EA" w14:textId="77777777" w:rsidR="00EA29A9" w:rsidRPr="00625DA9" w:rsidRDefault="00EA29A9" w:rsidP="00EA29A9">
                  <w:pPr>
                    <w:pStyle w:val="NormalWeb"/>
                    <w:spacing w:before="0" w:beforeAutospacing="0" w:after="0" w:afterAutospacing="0" w:line="255" w:lineRule="atLeast"/>
                    <w:jc w:val="right"/>
                    <w:rPr>
                      <w:rFonts w:ascii="Arial" w:hAnsi="Arial" w:cs="Arial"/>
                      <w:sz w:val="22"/>
                      <w:szCs w:val="22"/>
                    </w:rPr>
                  </w:pPr>
                  <w:r w:rsidRPr="00625DA9">
                    <w:rPr>
                      <w:rFonts w:ascii="Arial" w:hAnsi="Arial" w:cs="Arial"/>
                      <w:sz w:val="22"/>
                      <w:szCs w:val="22"/>
                    </w:rPr>
                    <w:t> </w:t>
                  </w:r>
                </w:p>
              </w:tc>
              <w:tc>
                <w:tcPr>
                  <w:tcW w:w="5984" w:type="dxa"/>
                  <w:tcMar>
                    <w:top w:w="0" w:type="dxa"/>
                    <w:left w:w="70" w:type="dxa"/>
                    <w:bottom w:w="0" w:type="dxa"/>
                    <w:right w:w="70" w:type="dxa"/>
                  </w:tcMar>
                  <w:hideMark/>
                </w:tcPr>
                <w:p w14:paraId="1A5915F1" w14:textId="77777777" w:rsidR="003A3EB9" w:rsidRPr="00625DA9" w:rsidRDefault="003A3EB9" w:rsidP="00EA29A9">
                  <w:pPr>
                    <w:spacing w:after="45" w:line="255" w:lineRule="atLeast"/>
                    <w:jc w:val="both"/>
                    <w:rPr>
                      <w:rFonts w:ascii="Arial" w:hAnsi="Arial" w:cs="Arial"/>
                      <w:sz w:val="22"/>
                      <w:szCs w:val="22"/>
                      <w:lang w:val="es-ES"/>
                    </w:rPr>
                  </w:pPr>
                </w:p>
                <w:p w14:paraId="56DB2C58" w14:textId="77777777" w:rsidR="00EE42F4" w:rsidRPr="00625DA9" w:rsidRDefault="00EE42F4" w:rsidP="00EA29A9">
                  <w:pPr>
                    <w:spacing w:after="45" w:line="255" w:lineRule="atLeast"/>
                    <w:jc w:val="both"/>
                    <w:rPr>
                      <w:rFonts w:ascii="Arial" w:hAnsi="Arial" w:cs="Arial"/>
                      <w:sz w:val="22"/>
                      <w:szCs w:val="22"/>
                      <w:lang w:val="es-ES"/>
                    </w:rPr>
                  </w:pPr>
                </w:p>
                <w:p w14:paraId="3C8B85BE" w14:textId="15B0C953" w:rsidR="00EA29A9" w:rsidRPr="00625DA9" w:rsidRDefault="00EE42F4" w:rsidP="00EE42F4">
                  <w:pPr>
                    <w:pStyle w:val="Prrafodelista"/>
                    <w:numPr>
                      <w:ilvl w:val="0"/>
                      <w:numId w:val="2"/>
                    </w:numPr>
                    <w:spacing w:after="45" w:line="255" w:lineRule="atLeast"/>
                    <w:ind w:left="239" w:hanging="284"/>
                    <w:jc w:val="both"/>
                    <w:rPr>
                      <w:rFonts w:ascii="Arial" w:hAnsi="Arial" w:cs="Arial"/>
                      <w:sz w:val="22"/>
                      <w:szCs w:val="22"/>
                      <w:lang w:val="es-ES"/>
                    </w:rPr>
                  </w:pPr>
                  <w:r w:rsidRPr="00625DA9">
                    <w:rPr>
                      <w:rFonts w:ascii="Arial" w:hAnsi="Arial" w:cs="Arial"/>
                      <w:b/>
                      <w:bCs/>
                      <w:sz w:val="22"/>
                      <w:szCs w:val="22"/>
                      <w:lang w:val="es-ES"/>
                    </w:rPr>
                    <w:t>DECRETO</w:t>
                  </w:r>
                  <w:r w:rsidRPr="00625DA9">
                    <w:rPr>
                      <w:rFonts w:ascii="Arial" w:hAnsi="Arial" w:cs="Arial"/>
                      <w:sz w:val="22"/>
                      <w:szCs w:val="22"/>
                      <w:lang w:val="es-ES"/>
                    </w:rPr>
                    <w:t xml:space="preserve"> por el que se reforman diversos ordenamientos </w:t>
                  </w:r>
                  <w:r w:rsidRPr="00625DA9">
                    <w:rPr>
                      <w:rFonts w:ascii="Arial" w:hAnsi="Arial" w:cs="Arial"/>
                      <w:b/>
                      <w:bCs/>
                      <w:sz w:val="22"/>
                      <w:szCs w:val="22"/>
                      <w:lang w:val="es-ES"/>
                    </w:rPr>
                    <w:t>en materia de pueblos y comunidades indígenas y afromexicanas</w:t>
                  </w:r>
                  <w:r w:rsidRPr="00625DA9">
                    <w:rPr>
                      <w:rFonts w:ascii="Arial" w:hAnsi="Arial" w:cs="Arial"/>
                      <w:sz w:val="22"/>
                      <w:szCs w:val="22"/>
                      <w:lang w:val="es-ES"/>
                    </w:rPr>
                    <w:t xml:space="preserve">. </w:t>
                  </w:r>
                  <w:hyperlink r:id="rId9" w:tgtFrame="_blank" w:history="1">
                    <w:r w:rsidRPr="00625DA9">
                      <w:rPr>
                        <w:rStyle w:val="Hipervnculo"/>
                        <w:rFonts w:ascii="Arial" w:eastAsiaTheme="majorEastAsia" w:hAnsi="Arial" w:cs="Arial"/>
                        <w:color w:val="000000"/>
                        <w:sz w:val="22"/>
                        <w:szCs w:val="22"/>
                      </w:rPr>
                      <w:t>DOF 01-04-2024</w:t>
                    </w:r>
                  </w:hyperlink>
                  <w:r w:rsidRPr="00625DA9">
                    <w:rPr>
                      <w:rFonts w:ascii="Arial" w:hAnsi="Arial" w:cs="Arial"/>
                      <w:sz w:val="22"/>
                      <w:szCs w:val="22"/>
                    </w:rPr>
                    <w:t> </w:t>
                  </w:r>
                </w:p>
                <w:p w14:paraId="7FE70E79" w14:textId="77777777" w:rsidR="00B63340" w:rsidRPr="00625DA9" w:rsidRDefault="00B63340" w:rsidP="00B63340">
                  <w:pPr>
                    <w:pStyle w:val="Prrafodelista"/>
                    <w:spacing w:after="45" w:line="255" w:lineRule="atLeast"/>
                    <w:ind w:left="239"/>
                    <w:jc w:val="both"/>
                    <w:rPr>
                      <w:rFonts w:ascii="Arial" w:hAnsi="Arial" w:cs="Arial"/>
                      <w:sz w:val="22"/>
                      <w:szCs w:val="22"/>
                      <w:lang w:val="es-ES"/>
                    </w:rPr>
                  </w:pPr>
                </w:p>
                <w:p w14:paraId="1C023040" w14:textId="301CFC9F" w:rsidR="008F6A67" w:rsidRPr="00625DA9" w:rsidRDefault="008F6A67" w:rsidP="00B63340">
                  <w:pPr>
                    <w:pStyle w:val="NormalWeb"/>
                    <w:spacing w:before="0" w:beforeAutospacing="0" w:after="45" w:afterAutospacing="0" w:line="255" w:lineRule="atLeast"/>
                    <w:rPr>
                      <w:rFonts w:ascii="Arial" w:hAnsi="Arial" w:cs="Arial"/>
                      <w:sz w:val="22"/>
                      <w:szCs w:val="22"/>
                    </w:rPr>
                  </w:pPr>
                </w:p>
              </w:tc>
            </w:tr>
            <w:tr w:rsidR="00045C7A" w:rsidRPr="00625DA9" w14:paraId="6343B151" w14:textId="77777777" w:rsidTr="00EE42F4">
              <w:trPr>
                <w:jc w:val="center"/>
              </w:trPr>
              <w:tc>
                <w:tcPr>
                  <w:tcW w:w="275" w:type="dxa"/>
                  <w:tcMar>
                    <w:top w:w="0" w:type="dxa"/>
                    <w:left w:w="70" w:type="dxa"/>
                    <w:bottom w:w="0" w:type="dxa"/>
                    <w:right w:w="70" w:type="dxa"/>
                  </w:tcMar>
                </w:tcPr>
                <w:p w14:paraId="0C362607" w14:textId="77777777" w:rsidR="00045C7A" w:rsidRPr="00625DA9" w:rsidRDefault="00045C7A" w:rsidP="00EA29A9">
                  <w:pPr>
                    <w:pStyle w:val="NormalWeb"/>
                    <w:spacing w:before="0" w:beforeAutospacing="0" w:after="0" w:afterAutospacing="0" w:line="255" w:lineRule="atLeast"/>
                    <w:jc w:val="right"/>
                    <w:rPr>
                      <w:rFonts w:ascii="Arial" w:hAnsi="Arial" w:cs="Arial"/>
                      <w:sz w:val="22"/>
                      <w:szCs w:val="22"/>
                    </w:rPr>
                  </w:pPr>
                </w:p>
              </w:tc>
              <w:tc>
                <w:tcPr>
                  <w:tcW w:w="5984" w:type="dxa"/>
                  <w:tcMar>
                    <w:top w:w="0" w:type="dxa"/>
                    <w:left w:w="70" w:type="dxa"/>
                    <w:bottom w:w="0" w:type="dxa"/>
                    <w:right w:w="70" w:type="dxa"/>
                  </w:tcMar>
                </w:tcPr>
                <w:p w14:paraId="145D8854" w14:textId="77777777" w:rsidR="00045C7A" w:rsidRPr="00625DA9" w:rsidRDefault="00045C7A" w:rsidP="00EA29A9">
                  <w:pPr>
                    <w:spacing w:after="45" w:line="255" w:lineRule="atLeast"/>
                    <w:jc w:val="both"/>
                    <w:rPr>
                      <w:rFonts w:ascii="Arial" w:hAnsi="Arial" w:cs="Arial"/>
                      <w:sz w:val="22"/>
                      <w:szCs w:val="22"/>
                      <w:lang w:val="es-ES"/>
                    </w:rPr>
                  </w:pPr>
                </w:p>
              </w:tc>
            </w:tr>
          </w:tbl>
          <w:p w14:paraId="537173EA" w14:textId="77777777" w:rsidR="00EA29A9" w:rsidRPr="00625DA9" w:rsidRDefault="00EA29A9" w:rsidP="00C710D5">
            <w:pPr>
              <w:jc w:val="both"/>
              <w:rPr>
                <w:rFonts w:ascii="Arial" w:hAnsi="Arial" w:cs="Arial"/>
                <w:sz w:val="22"/>
                <w:szCs w:val="22"/>
              </w:rPr>
            </w:pPr>
          </w:p>
          <w:p w14:paraId="4D761AB9" w14:textId="102D161B" w:rsidR="00EA29A9" w:rsidRPr="00625DA9" w:rsidRDefault="00EA29A9" w:rsidP="00C710D5">
            <w:pPr>
              <w:jc w:val="both"/>
              <w:rPr>
                <w:rFonts w:ascii="Arial" w:hAnsi="Arial" w:cs="Arial"/>
                <w:sz w:val="22"/>
                <w:szCs w:val="22"/>
              </w:rPr>
            </w:pPr>
          </w:p>
        </w:tc>
      </w:tr>
      <w:tr w:rsidR="008F6A67" w:rsidRPr="00625DA9" w14:paraId="03963A04" w14:textId="77777777" w:rsidTr="008F6A67">
        <w:tc>
          <w:tcPr>
            <w:tcW w:w="1413" w:type="dxa"/>
          </w:tcPr>
          <w:p w14:paraId="6961D9D2" w14:textId="66AB6DAE" w:rsidR="007E2260" w:rsidRPr="00625DA9" w:rsidRDefault="00322E6F" w:rsidP="00C710D5">
            <w:pPr>
              <w:jc w:val="both"/>
              <w:rPr>
                <w:rFonts w:ascii="Arial" w:hAnsi="Arial" w:cs="Arial"/>
                <w:sz w:val="22"/>
                <w:szCs w:val="22"/>
              </w:rPr>
            </w:pPr>
            <w:r w:rsidRPr="00625DA9">
              <w:rPr>
                <w:rFonts w:ascii="Arial" w:hAnsi="Arial" w:cs="Arial"/>
                <w:sz w:val="22"/>
                <w:szCs w:val="22"/>
              </w:rPr>
              <w:lastRenderedPageBreak/>
              <w:t>Ley del Sistema Nacional de Cuidados</w:t>
            </w:r>
          </w:p>
        </w:tc>
        <w:tc>
          <w:tcPr>
            <w:tcW w:w="1701" w:type="dxa"/>
          </w:tcPr>
          <w:p w14:paraId="69EE355D" w14:textId="258B96E7" w:rsidR="007E2260" w:rsidRPr="00625DA9" w:rsidRDefault="00FB1ED9" w:rsidP="00C710D5">
            <w:pPr>
              <w:jc w:val="both"/>
              <w:rPr>
                <w:rFonts w:ascii="Arial" w:hAnsi="Arial" w:cs="Arial"/>
                <w:sz w:val="22"/>
                <w:szCs w:val="22"/>
              </w:rPr>
            </w:pPr>
            <w:r w:rsidRPr="00625DA9">
              <w:rPr>
                <w:rFonts w:ascii="Arial" w:hAnsi="Arial" w:cs="Arial"/>
                <w:sz w:val="22"/>
                <w:szCs w:val="22"/>
              </w:rPr>
              <w:t>R</w:t>
            </w:r>
            <w:r w:rsidR="00322E6F" w:rsidRPr="00625DA9">
              <w:rPr>
                <w:rFonts w:ascii="Arial" w:hAnsi="Arial" w:cs="Arial"/>
                <w:sz w:val="22"/>
                <w:szCs w:val="22"/>
              </w:rPr>
              <w:t>eforma constitucional a los artículos 4o. y 73, que establece la obligación de crear un Sistema Nacional de Cuidados</w:t>
            </w:r>
          </w:p>
        </w:tc>
        <w:tc>
          <w:tcPr>
            <w:tcW w:w="6804" w:type="dxa"/>
          </w:tcPr>
          <w:p w14:paraId="0497D03F" w14:textId="78975501" w:rsidR="00791BB8" w:rsidRPr="00625DA9" w:rsidRDefault="008F6A67" w:rsidP="003A3EB9">
            <w:pPr>
              <w:jc w:val="both"/>
              <w:rPr>
                <w:rFonts w:ascii="Arial" w:hAnsi="Arial" w:cs="Arial"/>
                <w:sz w:val="22"/>
                <w:szCs w:val="22"/>
              </w:rPr>
            </w:pPr>
            <w:r w:rsidRPr="00625DA9">
              <w:rPr>
                <w:rFonts w:ascii="Arial" w:hAnsi="Arial" w:cs="Arial"/>
                <w:sz w:val="22"/>
                <w:szCs w:val="22"/>
              </w:rPr>
              <w:t>Respecto de</w:t>
            </w:r>
            <w:r w:rsidR="00EA29A9" w:rsidRPr="00625DA9">
              <w:rPr>
                <w:rFonts w:ascii="Arial" w:hAnsi="Arial" w:cs="Arial"/>
                <w:sz w:val="22"/>
                <w:szCs w:val="22"/>
              </w:rPr>
              <w:t xml:space="preserve"> l</w:t>
            </w:r>
            <w:r w:rsidRPr="00625DA9">
              <w:rPr>
                <w:rFonts w:ascii="Arial" w:hAnsi="Arial" w:cs="Arial"/>
                <w:sz w:val="22"/>
                <w:szCs w:val="22"/>
              </w:rPr>
              <w:t>a cre</w:t>
            </w:r>
            <w:r w:rsidR="00EA29A9" w:rsidRPr="00625DA9">
              <w:rPr>
                <w:rFonts w:ascii="Arial" w:hAnsi="Arial" w:cs="Arial"/>
                <w:sz w:val="22"/>
                <w:szCs w:val="22"/>
              </w:rPr>
              <w:t xml:space="preserve">ación del </w:t>
            </w:r>
            <w:r w:rsidRPr="00625DA9">
              <w:rPr>
                <w:rFonts w:ascii="Arial" w:hAnsi="Arial" w:cs="Arial"/>
                <w:sz w:val="22"/>
                <w:szCs w:val="22"/>
              </w:rPr>
              <w:t>S</w:t>
            </w:r>
            <w:r w:rsidR="00EA29A9" w:rsidRPr="00625DA9">
              <w:rPr>
                <w:rFonts w:ascii="Arial" w:hAnsi="Arial" w:cs="Arial"/>
                <w:sz w:val="22"/>
                <w:szCs w:val="22"/>
              </w:rPr>
              <w:t xml:space="preserve">istema </w:t>
            </w:r>
            <w:r w:rsidRPr="00625DA9">
              <w:rPr>
                <w:rFonts w:ascii="Arial" w:hAnsi="Arial" w:cs="Arial"/>
                <w:sz w:val="22"/>
                <w:szCs w:val="22"/>
              </w:rPr>
              <w:t>N</w:t>
            </w:r>
            <w:r w:rsidR="00EA29A9" w:rsidRPr="00625DA9">
              <w:rPr>
                <w:rFonts w:ascii="Arial" w:hAnsi="Arial" w:cs="Arial"/>
                <w:sz w:val="22"/>
                <w:szCs w:val="22"/>
              </w:rPr>
              <w:t xml:space="preserve">acional de </w:t>
            </w:r>
            <w:r w:rsidRPr="00625DA9">
              <w:rPr>
                <w:rFonts w:ascii="Arial" w:hAnsi="Arial" w:cs="Arial"/>
                <w:sz w:val="22"/>
                <w:szCs w:val="22"/>
              </w:rPr>
              <w:t>C</w:t>
            </w:r>
            <w:r w:rsidR="00EA29A9" w:rsidRPr="00625DA9">
              <w:rPr>
                <w:rFonts w:ascii="Arial" w:hAnsi="Arial" w:cs="Arial"/>
                <w:sz w:val="22"/>
                <w:szCs w:val="22"/>
              </w:rPr>
              <w:t>uidados</w:t>
            </w:r>
            <w:r w:rsidR="003A3EB9" w:rsidRPr="00625DA9">
              <w:rPr>
                <w:rFonts w:ascii="Arial" w:hAnsi="Arial" w:cs="Arial"/>
                <w:sz w:val="22"/>
                <w:szCs w:val="22"/>
              </w:rPr>
              <w:t xml:space="preserve"> hay 4</w:t>
            </w:r>
            <w:r w:rsidR="00EA29A9" w:rsidRPr="00625DA9">
              <w:rPr>
                <w:rFonts w:ascii="Arial" w:hAnsi="Arial" w:cs="Arial"/>
                <w:sz w:val="22"/>
                <w:szCs w:val="22"/>
              </w:rPr>
              <w:t xml:space="preserve"> iniciativas </w:t>
            </w:r>
            <w:r w:rsidRPr="00625DA9">
              <w:rPr>
                <w:rFonts w:ascii="Arial" w:hAnsi="Arial" w:cs="Arial"/>
                <w:sz w:val="22"/>
                <w:szCs w:val="22"/>
              </w:rPr>
              <w:t xml:space="preserve">presentadas y analizadas por diversos legisladores y que </w:t>
            </w:r>
            <w:r w:rsidR="00EA29A9" w:rsidRPr="00625DA9">
              <w:rPr>
                <w:rFonts w:ascii="Arial" w:hAnsi="Arial" w:cs="Arial"/>
                <w:sz w:val="22"/>
                <w:szCs w:val="22"/>
              </w:rPr>
              <w:t xml:space="preserve">inciden en </w:t>
            </w:r>
            <w:r w:rsidR="00F7124C" w:rsidRPr="00625DA9">
              <w:rPr>
                <w:rFonts w:ascii="Arial" w:hAnsi="Arial" w:cs="Arial"/>
                <w:sz w:val="22"/>
                <w:szCs w:val="22"/>
              </w:rPr>
              <w:t>la forma de operativizar el Sistema de Cuidados en México.</w:t>
            </w:r>
          </w:p>
          <w:p w14:paraId="11019450" w14:textId="77777777" w:rsidR="00085EA1" w:rsidRPr="00625DA9" w:rsidRDefault="00085EA1" w:rsidP="008F6A67">
            <w:pPr>
              <w:jc w:val="both"/>
              <w:rPr>
                <w:rFonts w:ascii="Arial" w:hAnsi="Arial" w:cs="Arial"/>
                <w:sz w:val="22"/>
                <w:szCs w:val="22"/>
              </w:rPr>
            </w:pPr>
          </w:p>
          <w:p w14:paraId="72821616" w14:textId="03B0CDE9" w:rsidR="00BD2616" w:rsidRPr="00625DA9" w:rsidRDefault="00BD2616" w:rsidP="008F6A67">
            <w:pPr>
              <w:jc w:val="both"/>
              <w:rPr>
                <w:rFonts w:ascii="Arial" w:hAnsi="Arial" w:cs="Arial"/>
                <w:sz w:val="22"/>
                <w:szCs w:val="22"/>
              </w:rPr>
            </w:pPr>
          </w:p>
        </w:tc>
      </w:tr>
      <w:tr w:rsidR="008F6A67" w:rsidRPr="00625DA9" w14:paraId="00B79806" w14:textId="77777777" w:rsidTr="008F6A67">
        <w:tc>
          <w:tcPr>
            <w:tcW w:w="1413" w:type="dxa"/>
          </w:tcPr>
          <w:p w14:paraId="353C4DD9" w14:textId="00340620" w:rsidR="007E2260" w:rsidRPr="00625DA9" w:rsidRDefault="00085EA1" w:rsidP="00C710D5">
            <w:pPr>
              <w:jc w:val="both"/>
              <w:rPr>
                <w:rFonts w:ascii="Arial" w:hAnsi="Arial" w:cs="Arial"/>
                <w:sz w:val="22"/>
                <w:szCs w:val="22"/>
              </w:rPr>
            </w:pPr>
            <w:r w:rsidRPr="00625DA9">
              <w:rPr>
                <w:rFonts w:ascii="Arial" w:hAnsi="Arial" w:cs="Arial"/>
                <w:sz w:val="22"/>
                <w:szCs w:val="22"/>
              </w:rPr>
              <w:t>Ley Nacional del Sistema Integral de Justicia Penal de Adolescentes (LNSIJPA)</w:t>
            </w:r>
          </w:p>
        </w:tc>
        <w:tc>
          <w:tcPr>
            <w:tcW w:w="1701" w:type="dxa"/>
          </w:tcPr>
          <w:p w14:paraId="65833F9E" w14:textId="5BACB013" w:rsidR="007E2260" w:rsidRPr="00625DA9" w:rsidRDefault="00085EA1" w:rsidP="003A3EB9">
            <w:pPr>
              <w:spacing w:after="200" w:line="276" w:lineRule="auto"/>
              <w:jc w:val="both"/>
              <w:rPr>
                <w:rFonts w:ascii="Arial" w:hAnsi="Arial" w:cs="Arial"/>
                <w:sz w:val="22"/>
                <w:szCs w:val="22"/>
              </w:rPr>
            </w:pPr>
            <w:r w:rsidRPr="00625DA9">
              <w:rPr>
                <w:rFonts w:ascii="Arial" w:hAnsi="Arial" w:cs="Arial"/>
                <w:sz w:val="22"/>
                <w:szCs w:val="22"/>
              </w:rPr>
              <w:t xml:space="preserve">En materia penal, en junio de 2016 se publicó la Ley Nacional del Sistema Integral de Justicia Penal de Adolescentes (LNSIJPA) que sustituye el sistema tutelar y persecutorio, por uno acusatorio y protector de los derechos de NNA. </w:t>
            </w:r>
          </w:p>
        </w:tc>
        <w:tc>
          <w:tcPr>
            <w:tcW w:w="6804" w:type="dxa"/>
          </w:tcPr>
          <w:p w14:paraId="14C42A03" w14:textId="24CD66EE" w:rsidR="00085EA1" w:rsidRPr="00625DA9" w:rsidRDefault="003A3EB9" w:rsidP="00085EA1">
            <w:pPr>
              <w:jc w:val="both"/>
              <w:rPr>
                <w:rFonts w:ascii="Arial" w:hAnsi="Arial" w:cs="Arial"/>
                <w:sz w:val="22"/>
                <w:szCs w:val="22"/>
              </w:rPr>
            </w:pPr>
            <w:r w:rsidRPr="00625DA9">
              <w:rPr>
                <w:rFonts w:ascii="Arial" w:hAnsi="Arial" w:cs="Arial"/>
                <w:sz w:val="22"/>
                <w:szCs w:val="22"/>
              </w:rPr>
              <w:t>E</w:t>
            </w:r>
            <w:r w:rsidR="00085EA1" w:rsidRPr="00625DA9">
              <w:rPr>
                <w:rFonts w:ascii="Arial" w:hAnsi="Arial" w:cs="Arial"/>
                <w:sz w:val="22"/>
                <w:szCs w:val="22"/>
              </w:rPr>
              <w:t>sta Ley</w:t>
            </w:r>
            <w:r w:rsidRPr="00625DA9">
              <w:rPr>
                <w:rFonts w:ascii="Arial" w:hAnsi="Arial" w:cs="Arial"/>
                <w:sz w:val="22"/>
                <w:szCs w:val="22"/>
              </w:rPr>
              <w:t xml:space="preserve"> </w:t>
            </w:r>
            <w:r w:rsidR="00085EA1" w:rsidRPr="00625DA9">
              <w:rPr>
                <w:rFonts w:ascii="Arial" w:hAnsi="Arial" w:cs="Arial"/>
                <w:sz w:val="22"/>
                <w:szCs w:val="22"/>
              </w:rPr>
              <w:t>ha sufrido dos reformas importantes:</w:t>
            </w:r>
          </w:p>
          <w:p w14:paraId="4D93C2D1" w14:textId="77777777" w:rsidR="003A3EB9" w:rsidRPr="00625DA9" w:rsidRDefault="003A3EB9" w:rsidP="00085EA1">
            <w:pPr>
              <w:jc w:val="both"/>
              <w:rPr>
                <w:rFonts w:ascii="Arial" w:hAnsi="Arial" w:cs="Arial"/>
                <w:sz w:val="22"/>
                <w:szCs w:val="22"/>
              </w:rPr>
            </w:pPr>
          </w:p>
          <w:tbl>
            <w:tblPr>
              <w:tblW w:w="4750" w:type="pct"/>
              <w:jc w:val="center"/>
              <w:tblLayout w:type="fixed"/>
              <w:tblCellMar>
                <w:top w:w="15" w:type="dxa"/>
                <w:left w:w="15" w:type="dxa"/>
                <w:bottom w:w="15" w:type="dxa"/>
                <w:right w:w="15" w:type="dxa"/>
              </w:tblCellMar>
              <w:tblLook w:val="04A0" w:firstRow="1" w:lastRow="0" w:firstColumn="1" w:lastColumn="0" w:noHBand="0" w:noVBand="1"/>
            </w:tblPr>
            <w:tblGrid>
              <w:gridCol w:w="6259"/>
            </w:tblGrid>
            <w:tr w:rsidR="00085EA1" w:rsidRPr="00625DA9" w14:paraId="0B3A16D8" w14:textId="77777777" w:rsidTr="00085EA1">
              <w:trPr>
                <w:jc w:val="center"/>
              </w:trPr>
              <w:tc>
                <w:tcPr>
                  <w:tcW w:w="6259" w:type="dxa"/>
                  <w:vAlign w:val="center"/>
                  <w:hideMark/>
                </w:tcPr>
                <w:p w14:paraId="7935AA86" w14:textId="77777777" w:rsidR="00085EA1" w:rsidRPr="00625DA9" w:rsidRDefault="00085EA1" w:rsidP="00085EA1">
                  <w:pPr>
                    <w:spacing w:line="255" w:lineRule="atLeast"/>
                    <w:jc w:val="both"/>
                    <w:rPr>
                      <w:rFonts w:ascii="Arial" w:hAnsi="Arial" w:cs="Arial"/>
                      <w:b/>
                      <w:bCs/>
                      <w:color w:val="595843"/>
                      <w:sz w:val="22"/>
                      <w:szCs w:val="22"/>
                    </w:rPr>
                  </w:pPr>
                  <w:r w:rsidRPr="00625DA9">
                    <w:rPr>
                      <w:rFonts w:ascii="Arial" w:hAnsi="Arial" w:cs="Arial"/>
                      <w:b/>
                      <w:bCs/>
                      <w:color w:val="595843"/>
                      <w:sz w:val="22"/>
                      <w:szCs w:val="22"/>
                    </w:rPr>
                    <w:t>Decretos de Reforma:</w:t>
                  </w:r>
                </w:p>
                <w:p w14:paraId="329B4F33" w14:textId="77777777" w:rsidR="00B63340" w:rsidRPr="00625DA9" w:rsidRDefault="00B63340" w:rsidP="00085EA1">
                  <w:pPr>
                    <w:spacing w:line="255" w:lineRule="atLeast"/>
                    <w:jc w:val="both"/>
                    <w:rPr>
                      <w:rFonts w:ascii="Arial" w:hAnsi="Arial" w:cs="Arial"/>
                      <w:sz w:val="22"/>
                      <w:szCs w:val="22"/>
                      <w:lang w:val="es-MX"/>
                    </w:rPr>
                  </w:pPr>
                </w:p>
              </w:tc>
            </w:tr>
          </w:tbl>
          <w:p w14:paraId="4E8B229A" w14:textId="77777777" w:rsidR="00085EA1" w:rsidRPr="00625DA9" w:rsidRDefault="00085EA1" w:rsidP="00085EA1">
            <w:pPr>
              <w:shd w:val="clear" w:color="auto" w:fill="FFFFFF"/>
              <w:jc w:val="center"/>
              <w:rPr>
                <w:rFonts w:ascii="Arial" w:hAnsi="Arial" w:cs="Arial"/>
                <w:vanish/>
                <w:color w:val="000000"/>
                <w:sz w:val="22"/>
                <w:szCs w:val="22"/>
              </w:rPr>
            </w:pPr>
          </w:p>
          <w:tbl>
            <w:tblPr>
              <w:tblW w:w="4750" w:type="pct"/>
              <w:jc w:val="center"/>
              <w:tblLayout w:type="fixed"/>
              <w:tblCellMar>
                <w:top w:w="15" w:type="dxa"/>
                <w:left w:w="15" w:type="dxa"/>
                <w:bottom w:w="15" w:type="dxa"/>
                <w:right w:w="15" w:type="dxa"/>
              </w:tblCellMar>
              <w:tblLook w:val="04A0" w:firstRow="1" w:lastRow="0" w:firstColumn="1" w:lastColumn="0" w:noHBand="0" w:noVBand="1"/>
            </w:tblPr>
            <w:tblGrid>
              <w:gridCol w:w="279"/>
              <w:gridCol w:w="5980"/>
            </w:tblGrid>
            <w:tr w:rsidR="00085EA1" w:rsidRPr="00625DA9" w14:paraId="67C283BF" w14:textId="77777777" w:rsidTr="00085EA1">
              <w:trPr>
                <w:jc w:val="center"/>
              </w:trPr>
              <w:tc>
                <w:tcPr>
                  <w:tcW w:w="600" w:type="dxa"/>
                  <w:tcMar>
                    <w:top w:w="0" w:type="dxa"/>
                    <w:left w:w="70" w:type="dxa"/>
                    <w:bottom w:w="0" w:type="dxa"/>
                    <w:right w:w="70" w:type="dxa"/>
                  </w:tcMar>
                  <w:hideMark/>
                </w:tcPr>
                <w:p w14:paraId="4ABB4862" w14:textId="73A5FCA6" w:rsidR="00085EA1" w:rsidRPr="00625DA9" w:rsidRDefault="00085EA1" w:rsidP="00085EA1">
                  <w:pPr>
                    <w:spacing w:line="255" w:lineRule="atLeast"/>
                    <w:jc w:val="right"/>
                    <w:rPr>
                      <w:rFonts w:ascii="Arial" w:hAnsi="Arial" w:cs="Arial"/>
                      <w:sz w:val="22"/>
                      <w:szCs w:val="22"/>
                    </w:rPr>
                  </w:pPr>
                </w:p>
              </w:tc>
              <w:tc>
                <w:tcPr>
                  <w:tcW w:w="21600" w:type="dxa"/>
                  <w:tcMar>
                    <w:top w:w="0" w:type="dxa"/>
                    <w:left w:w="70" w:type="dxa"/>
                    <w:bottom w:w="0" w:type="dxa"/>
                    <w:right w:w="70" w:type="dxa"/>
                  </w:tcMar>
                  <w:hideMark/>
                </w:tcPr>
                <w:p w14:paraId="1F2BB4A5" w14:textId="43C7DD83" w:rsidR="00EE42F4" w:rsidRPr="00625DA9" w:rsidRDefault="00EE42F4" w:rsidP="0066628F">
                  <w:pPr>
                    <w:pStyle w:val="Textoindependiente"/>
                    <w:numPr>
                      <w:ilvl w:val="0"/>
                      <w:numId w:val="7"/>
                    </w:numPr>
                    <w:spacing w:before="0" w:beforeAutospacing="0" w:after="0" w:afterAutospacing="0" w:line="255" w:lineRule="atLeast"/>
                    <w:rPr>
                      <w:rFonts w:ascii="Arial" w:hAnsi="Arial" w:cs="Arial"/>
                      <w:sz w:val="22"/>
                      <w:szCs w:val="22"/>
                    </w:rPr>
                  </w:pPr>
                  <w:r w:rsidRPr="00625DA9">
                    <w:rPr>
                      <w:rFonts w:ascii="Arial" w:hAnsi="Arial" w:cs="Arial"/>
                      <w:b/>
                      <w:bCs/>
                      <w:sz w:val="22"/>
                      <w:szCs w:val="22"/>
                      <w:lang w:val="es-ES"/>
                    </w:rPr>
                    <w:t>DECRETO</w:t>
                  </w:r>
                  <w:r w:rsidRPr="00625DA9">
                    <w:rPr>
                      <w:rFonts w:ascii="Arial" w:hAnsi="Arial" w:cs="Arial"/>
                      <w:sz w:val="22"/>
                      <w:szCs w:val="22"/>
                      <w:lang w:val="es-ES"/>
                    </w:rPr>
                    <w:t> por el que se reforma la fracción V del artículo 102 de la Ley Nacional del Sistema Integral de Justicia Penal para Adolescentes</w:t>
                  </w:r>
                  <w:r w:rsidR="00B63340" w:rsidRPr="00625DA9">
                    <w:rPr>
                      <w:rFonts w:ascii="Arial" w:hAnsi="Arial" w:cs="Arial"/>
                      <w:sz w:val="22"/>
                      <w:szCs w:val="22"/>
                      <w:lang w:val="es-ES"/>
                    </w:rPr>
                    <w:t xml:space="preserve"> </w:t>
                  </w:r>
                  <w:r w:rsidR="00B63340" w:rsidRPr="00625DA9">
                    <w:rPr>
                      <w:rFonts w:ascii="Arial" w:hAnsi="Arial" w:cs="Arial"/>
                      <w:b/>
                      <w:bCs/>
                      <w:sz w:val="22"/>
                      <w:szCs w:val="22"/>
                      <w:lang w:val="es-ES"/>
                    </w:rPr>
                    <w:t>en materia de prevención del consumo de drogas, estupefacientes y bebidas alcohólicas</w:t>
                  </w:r>
                  <w:r w:rsidRPr="00625DA9">
                    <w:rPr>
                      <w:rFonts w:ascii="Arial" w:hAnsi="Arial" w:cs="Arial"/>
                      <w:sz w:val="22"/>
                      <w:szCs w:val="22"/>
                    </w:rPr>
                    <w:t>.</w:t>
                  </w:r>
                </w:p>
                <w:p w14:paraId="54E62AD9" w14:textId="77777777" w:rsidR="00EE42F4" w:rsidRPr="00625DA9" w:rsidRDefault="0066455E" w:rsidP="0066628F">
                  <w:pPr>
                    <w:pStyle w:val="Textoindependiente"/>
                    <w:spacing w:before="0" w:beforeAutospacing="0" w:after="0" w:afterAutospacing="0" w:line="255" w:lineRule="atLeast"/>
                    <w:ind w:left="720"/>
                    <w:rPr>
                      <w:rFonts w:ascii="Arial" w:hAnsi="Arial" w:cs="Arial"/>
                      <w:sz w:val="22"/>
                      <w:szCs w:val="22"/>
                    </w:rPr>
                  </w:pPr>
                  <w:hyperlink r:id="rId10" w:history="1">
                    <w:r w:rsidR="00EE42F4" w:rsidRPr="00625DA9">
                      <w:rPr>
                        <w:rStyle w:val="Hipervnculo"/>
                        <w:rFonts w:ascii="Arial" w:eastAsiaTheme="majorEastAsia" w:hAnsi="Arial" w:cs="Arial"/>
                        <w:color w:val="000000"/>
                        <w:sz w:val="22"/>
                        <w:szCs w:val="22"/>
                      </w:rPr>
                      <w:t>DOF 01-12-2020</w:t>
                    </w:r>
                  </w:hyperlink>
                  <w:r w:rsidR="00EE42F4" w:rsidRPr="00625DA9">
                    <w:rPr>
                      <w:rFonts w:ascii="Arial" w:hAnsi="Arial" w:cs="Arial"/>
                      <w:sz w:val="22"/>
                      <w:szCs w:val="22"/>
                    </w:rPr>
                    <w:t> </w:t>
                  </w:r>
                </w:p>
                <w:p w14:paraId="2584D32C" w14:textId="77777777" w:rsidR="00EE42F4" w:rsidRPr="00625DA9" w:rsidRDefault="00EE42F4" w:rsidP="00EE42F4">
                  <w:pPr>
                    <w:pStyle w:val="Textoindependiente"/>
                    <w:spacing w:before="0" w:beforeAutospacing="0" w:after="0" w:afterAutospacing="0" w:line="255" w:lineRule="atLeast"/>
                    <w:rPr>
                      <w:rFonts w:ascii="Arial" w:hAnsi="Arial" w:cs="Arial"/>
                      <w:sz w:val="22"/>
                      <w:szCs w:val="22"/>
                    </w:rPr>
                  </w:pPr>
                </w:p>
                <w:p w14:paraId="0DD4BAA9" w14:textId="2C968565" w:rsidR="00085EA1" w:rsidRPr="00625DA9" w:rsidRDefault="00085EA1" w:rsidP="0066628F">
                  <w:pPr>
                    <w:pStyle w:val="Textoindependiente"/>
                    <w:numPr>
                      <w:ilvl w:val="0"/>
                      <w:numId w:val="7"/>
                    </w:numPr>
                    <w:spacing w:before="0" w:beforeAutospacing="0" w:after="0" w:afterAutospacing="0" w:line="255" w:lineRule="atLeast"/>
                    <w:rPr>
                      <w:rFonts w:ascii="Arial" w:hAnsi="Arial" w:cs="Arial"/>
                      <w:sz w:val="22"/>
                      <w:szCs w:val="22"/>
                    </w:rPr>
                  </w:pPr>
                  <w:r w:rsidRPr="00625DA9">
                    <w:rPr>
                      <w:rFonts w:ascii="Arial" w:hAnsi="Arial" w:cs="Arial"/>
                      <w:b/>
                      <w:bCs/>
                      <w:sz w:val="22"/>
                      <w:szCs w:val="22"/>
                      <w:lang w:val="es-ES"/>
                    </w:rPr>
                    <w:t>DECRETO</w:t>
                  </w:r>
                  <w:r w:rsidRPr="00625DA9">
                    <w:rPr>
                      <w:rFonts w:ascii="Arial" w:hAnsi="Arial" w:cs="Arial"/>
                      <w:sz w:val="22"/>
                      <w:szCs w:val="22"/>
                      <w:lang w:val="es-ES"/>
                    </w:rPr>
                    <w:t> por el que se reforman diversas disposiciones de la Ley Nacional del Sistema Integral de Justicia Penal para Adolescentes</w:t>
                  </w:r>
                  <w:r w:rsidR="00B63340" w:rsidRPr="00625DA9">
                    <w:rPr>
                      <w:rFonts w:ascii="Arial" w:hAnsi="Arial" w:cs="Arial"/>
                      <w:sz w:val="22"/>
                      <w:szCs w:val="22"/>
                      <w:lang w:val="es-ES"/>
                    </w:rPr>
                    <w:t xml:space="preserve"> </w:t>
                  </w:r>
                  <w:r w:rsidR="00B63340" w:rsidRPr="00625DA9">
                    <w:rPr>
                      <w:rFonts w:ascii="Arial" w:hAnsi="Arial" w:cs="Arial"/>
                      <w:b/>
                      <w:bCs/>
                      <w:sz w:val="22"/>
                      <w:szCs w:val="22"/>
                      <w:lang w:val="es-ES"/>
                    </w:rPr>
                    <w:t>sobre derechos de las personas adolescentes sujetas a medidas cautelares o de sanción privativa de la libertad</w:t>
                  </w:r>
                  <w:r w:rsidRPr="00625DA9">
                    <w:rPr>
                      <w:rFonts w:ascii="Arial" w:hAnsi="Arial" w:cs="Arial"/>
                      <w:sz w:val="22"/>
                      <w:szCs w:val="22"/>
                    </w:rPr>
                    <w:t>.</w:t>
                  </w:r>
                </w:p>
                <w:p w14:paraId="35099DD1" w14:textId="31D0EBDD" w:rsidR="00085EA1" w:rsidRPr="00625DA9" w:rsidRDefault="0066455E" w:rsidP="0066628F">
                  <w:pPr>
                    <w:pStyle w:val="Prrafodelista"/>
                    <w:spacing w:line="255" w:lineRule="atLeast"/>
                    <w:jc w:val="both"/>
                    <w:rPr>
                      <w:rFonts w:ascii="Arial" w:hAnsi="Arial" w:cs="Arial"/>
                      <w:sz w:val="22"/>
                      <w:szCs w:val="22"/>
                    </w:rPr>
                  </w:pPr>
                  <w:hyperlink r:id="rId11" w:tgtFrame="_blank" w:history="1">
                    <w:r w:rsidR="00085EA1" w:rsidRPr="00625DA9">
                      <w:rPr>
                        <w:rStyle w:val="Hipervnculo"/>
                        <w:rFonts w:ascii="Arial" w:eastAsiaTheme="majorEastAsia" w:hAnsi="Arial" w:cs="Arial"/>
                        <w:color w:val="000000"/>
                        <w:sz w:val="22"/>
                        <w:szCs w:val="22"/>
                      </w:rPr>
                      <w:t>DOF 20-12-2022</w:t>
                    </w:r>
                  </w:hyperlink>
                  <w:r w:rsidR="00085EA1" w:rsidRPr="00625DA9">
                    <w:rPr>
                      <w:rFonts w:ascii="Arial" w:hAnsi="Arial" w:cs="Arial"/>
                      <w:sz w:val="22"/>
                      <w:szCs w:val="22"/>
                    </w:rPr>
                    <w:t> </w:t>
                  </w:r>
                </w:p>
                <w:p w14:paraId="4CF82C26" w14:textId="5B1AA948" w:rsidR="00085EA1" w:rsidRPr="00625DA9" w:rsidRDefault="00085EA1" w:rsidP="0066628F">
                  <w:pPr>
                    <w:pStyle w:val="Prrafodelista"/>
                    <w:spacing w:line="255" w:lineRule="atLeast"/>
                    <w:jc w:val="both"/>
                    <w:rPr>
                      <w:rFonts w:ascii="Arial" w:hAnsi="Arial" w:cs="Arial"/>
                      <w:sz w:val="22"/>
                      <w:szCs w:val="22"/>
                    </w:rPr>
                  </w:pPr>
                </w:p>
              </w:tc>
            </w:tr>
            <w:tr w:rsidR="00085EA1" w:rsidRPr="00625DA9" w14:paraId="2A711DA0" w14:textId="77777777" w:rsidTr="00EE42F4">
              <w:trPr>
                <w:jc w:val="center"/>
              </w:trPr>
              <w:tc>
                <w:tcPr>
                  <w:tcW w:w="600" w:type="dxa"/>
                  <w:tcMar>
                    <w:top w:w="0" w:type="dxa"/>
                    <w:left w:w="70" w:type="dxa"/>
                    <w:bottom w:w="0" w:type="dxa"/>
                    <w:right w:w="70" w:type="dxa"/>
                  </w:tcMar>
                </w:tcPr>
                <w:p w14:paraId="2C451D57" w14:textId="70934ACD" w:rsidR="00085EA1" w:rsidRPr="00625DA9" w:rsidRDefault="00085EA1" w:rsidP="00085EA1">
                  <w:pPr>
                    <w:spacing w:line="255" w:lineRule="atLeast"/>
                    <w:jc w:val="right"/>
                    <w:rPr>
                      <w:rFonts w:ascii="Arial" w:hAnsi="Arial" w:cs="Arial"/>
                      <w:sz w:val="22"/>
                      <w:szCs w:val="22"/>
                    </w:rPr>
                  </w:pPr>
                </w:p>
              </w:tc>
              <w:tc>
                <w:tcPr>
                  <w:tcW w:w="21600" w:type="dxa"/>
                  <w:tcMar>
                    <w:top w:w="0" w:type="dxa"/>
                    <w:left w:w="70" w:type="dxa"/>
                    <w:bottom w:w="0" w:type="dxa"/>
                    <w:right w:w="70" w:type="dxa"/>
                  </w:tcMar>
                </w:tcPr>
                <w:p w14:paraId="012CB039" w14:textId="41DA58F3" w:rsidR="00085EA1" w:rsidRPr="00625DA9" w:rsidRDefault="00085EA1" w:rsidP="00085EA1">
                  <w:pPr>
                    <w:spacing w:line="255" w:lineRule="atLeast"/>
                    <w:jc w:val="both"/>
                    <w:rPr>
                      <w:rFonts w:ascii="Arial" w:hAnsi="Arial" w:cs="Arial"/>
                      <w:sz w:val="22"/>
                      <w:szCs w:val="22"/>
                    </w:rPr>
                  </w:pPr>
                </w:p>
              </w:tc>
            </w:tr>
            <w:tr w:rsidR="00085EA1" w:rsidRPr="00625DA9" w14:paraId="7C0D0DCD" w14:textId="77777777" w:rsidTr="00085EA1">
              <w:trPr>
                <w:jc w:val="center"/>
              </w:trPr>
              <w:tc>
                <w:tcPr>
                  <w:tcW w:w="600" w:type="dxa"/>
                  <w:tcMar>
                    <w:top w:w="0" w:type="dxa"/>
                    <w:left w:w="70" w:type="dxa"/>
                    <w:bottom w:w="0" w:type="dxa"/>
                    <w:right w:w="70" w:type="dxa"/>
                  </w:tcMar>
                  <w:hideMark/>
                </w:tcPr>
                <w:p w14:paraId="508A4F54" w14:textId="52B1A952" w:rsidR="00085EA1" w:rsidRPr="00625DA9" w:rsidRDefault="00085EA1" w:rsidP="00085EA1">
                  <w:pPr>
                    <w:spacing w:line="255" w:lineRule="atLeast"/>
                    <w:jc w:val="right"/>
                    <w:rPr>
                      <w:rFonts w:ascii="Arial" w:hAnsi="Arial" w:cs="Arial"/>
                      <w:sz w:val="22"/>
                      <w:szCs w:val="22"/>
                    </w:rPr>
                  </w:pPr>
                </w:p>
              </w:tc>
              <w:tc>
                <w:tcPr>
                  <w:tcW w:w="21600" w:type="dxa"/>
                  <w:tcMar>
                    <w:top w:w="0" w:type="dxa"/>
                    <w:left w:w="70" w:type="dxa"/>
                    <w:bottom w:w="0" w:type="dxa"/>
                    <w:right w:w="70" w:type="dxa"/>
                  </w:tcMar>
                  <w:hideMark/>
                </w:tcPr>
                <w:p w14:paraId="040CD9D2" w14:textId="04B97EE4" w:rsidR="00085EA1" w:rsidRPr="00625DA9" w:rsidRDefault="00085EA1" w:rsidP="00085EA1">
                  <w:pPr>
                    <w:spacing w:line="255" w:lineRule="atLeast"/>
                    <w:jc w:val="both"/>
                    <w:rPr>
                      <w:rFonts w:ascii="Arial" w:hAnsi="Arial" w:cs="Arial"/>
                      <w:sz w:val="22"/>
                      <w:szCs w:val="22"/>
                    </w:rPr>
                  </w:pPr>
                </w:p>
              </w:tc>
            </w:tr>
          </w:tbl>
          <w:p w14:paraId="772C7CAB" w14:textId="77777777" w:rsidR="007E2260" w:rsidRPr="00625DA9" w:rsidRDefault="007E2260" w:rsidP="008F6A67">
            <w:pPr>
              <w:jc w:val="both"/>
              <w:rPr>
                <w:rFonts w:ascii="Arial" w:hAnsi="Arial" w:cs="Arial"/>
                <w:sz w:val="22"/>
                <w:szCs w:val="22"/>
              </w:rPr>
            </w:pPr>
          </w:p>
        </w:tc>
      </w:tr>
      <w:tr w:rsidR="00142F2F" w:rsidRPr="00625DA9" w14:paraId="2DBD27FF" w14:textId="77777777" w:rsidTr="008F6A67">
        <w:tc>
          <w:tcPr>
            <w:tcW w:w="1413" w:type="dxa"/>
          </w:tcPr>
          <w:p w14:paraId="2B79B9F9" w14:textId="49A2E795" w:rsidR="00142F2F" w:rsidRPr="00625DA9" w:rsidRDefault="00953569" w:rsidP="00C710D5">
            <w:pPr>
              <w:jc w:val="both"/>
              <w:rPr>
                <w:rFonts w:ascii="Arial" w:hAnsi="Arial" w:cs="Arial"/>
                <w:sz w:val="22"/>
                <w:szCs w:val="22"/>
              </w:rPr>
            </w:pPr>
            <w:r w:rsidRPr="00625DA9">
              <w:rPr>
                <w:rFonts w:ascii="Arial" w:hAnsi="Arial" w:cs="Arial"/>
                <w:sz w:val="22"/>
                <w:szCs w:val="22"/>
              </w:rPr>
              <w:t>P</w:t>
            </w:r>
            <w:r w:rsidR="00056645" w:rsidRPr="00625DA9">
              <w:rPr>
                <w:rFonts w:ascii="Arial" w:hAnsi="Arial" w:cs="Arial"/>
                <w:sz w:val="22"/>
                <w:szCs w:val="22"/>
              </w:rPr>
              <w:t>rotocolo específico para la búsqueda de NNA</w:t>
            </w:r>
            <w:r w:rsidRPr="00625DA9">
              <w:rPr>
                <w:rFonts w:ascii="Arial" w:hAnsi="Arial" w:cs="Arial"/>
                <w:sz w:val="22"/>
                <w:szCs w:val="22"/>
              </w:rPr>
              <w:t xml:space="preserve"> </w:t>
            </w:r>
            <w:r w:rsidR="00056645" w:rsidRPr="00625DA9">
              <w:rPr>
                <w:rFonts w:ascii="Arial" w:hAnsi="Arial" w:cs="Arial"/>
                <w:sz w:val="22"/>
                <w:szCs w:val="22"/>
              </w:rPr>
              <w:t xml:space="preserve"> </w:t>
            </w:r>
          </w:p>
        </w:tc>
        <w:tc>
          <w:tcPr>
            <w:tcW w:w="1701" w:type="dxa"/>
          </w:tcPr>
          <w:p w14:paraId="6109675E" w14:textId="77777777" w:rsidR="00E107CB" w:rsidRPr="00625DA9" w:rsidRDefault="00E107CB" w:rsidP="00E107CB">
            <w:pPr>
              <w:jc w:val="both"/>
              <w:rPr>
                <w:rFonts w:ascii="Arial" w:hAnsi="Arial" w:cs="Arial"/>
                <w:sz w:val="22"/>
                <w:szCs w:val="22"/>
              </w:rPr>
            </w:pPr>
            <w:r w:rsidRPr="00625DA9">
              <w:rPr>
                <w:rFonts w:ascii="Arial" w:hAnsi="Arial" w:cs="Arial"/>
                <w:sz w:val="22"/>
                <w:szCs w:val="22"/>
              </w:rPr>
              <w:t xml:space="preserve">En octubre de 2020, se publicó el Protocolo Homologado para la Búsqueda de Personas Desaparecidas y No Localizadas, que señala un enfoque diferenciado para NNA; además </w:t>
            </w:r>
            <w:r w:rsidRPr="00625DA9">
              <w:rPr>
                <w:rFonts w:ascii="Arial" w:hAnsi="Arial" w:cs="Arial"/>
                <w:sz w:val="22"/>
                <w:szCs w:val="22"/>
              </w:rPr>
              <w:lastRenderedPageBreak/>
              <w:t xml:space="preserve">recientemente se comenzó a elaborar el protocolo específico para la búsqueda de NNA que mandata la Ley General, mismo que deberá homologarse con el Protocolo Alba y la Alerta AMBER. </w:t>
            </w:r>
          </w:p>
          <w:p w14:paraId="77E0466B" w14:textId="77777777" w:rsidR="00142F2F" w:rsidRPr="00625DA9" w:rsidRDefault="00142F2F" w:rsidP="00C710D5">
            <w:pPr>
              <w:jc w:val="both"/>
              <w:rPr>
                <w:rFonts w:ascii="Arial" w:hAnsi="Arial" w:cs="Arial"/>
                <w:sz w:val="22"/>
                <w:szCs w:val="22"/>
              </w:rPr>
            </w:pPr>
          </w:p>
        </w:tc>
        <w:tc>
          <w:tcPr>
            <w:tcW w:w="6804" w:type="dxa"/>
          </w:tcPr>
          <w:p w14:paraId="193496FC" w14:textId="5B0F1C0D" w:rsidR="008A1278" w:rsidRPr="00625DA9" w:rsidRDefault="00846DE7" w:rsidP="008A1278">
            <w:pPr>
              <w:shd w:val="clear" w:color="auto" w:fill="FFFFFF"/>
              <w:jc w:val="both"/>
              <w:rPr>
                <w:rFonts w:ascii="Arial" w:hAnsi="Arial" w:cs="Arial"/>
                <w:sz w:val="22"/>
                <w:szCs w:val="22"/>
              </w:rPr>
            </w:pPr>
            <w:r w:rsidRPr="00625DA9">
              <w:rPr>
                <w:rFonts w:ascii="Arial" w:hAnsi="Arial" w:cs="Arial"/>
                <w:sz w:val="22"/>
                <w:szCs w:val="22"/>
              </w:rPr>
              <w:lastRenderedPageBreak/>
              <w:t xml:space="preserve">Con relación al Protocolo Homologado para la Búsqueda de Personas Desparecidas y No Localizadas, publicado el pasado 6 de octubre de 2020 en el Diario Oficial de la Federación, la Comisión Nacional de Búsqueda de Personas </w:t>
            </w:r>
            <w:r w:rsidRPr="00625DA9">
              <w:rPr>
                <w:rFonts w:ascii="Arial" w:hAnsi="Arial" w:cs="Arial"/>
                <w:sz w:val="22"/>
                <w:szCs w:val="22"/>
                <w:shd w:val="clear" w:color="auto" w:fill="FFFFFF"/>
              </w:rPr>
              <w:t>ha realizado acciones para la creación del Protocolo Adicional para la Búsqueda de Niñas, Niños y Adolescentes, como parte del Protocolo Homologado para la Búsqueda </w:t>
            </w:r>
            <w:r w:rsidR="008A1278" w:rsidRPr="00625DA9">
              <w:rPr>
                <w:rFonts w:ascii="Arial" w:hAnsi="Arial" w:cs="Arial"/>
                <w:sz w:val="22"/>
                <w:szCs w:val="22"/>
                <w:shd w:val="clear" w:color="auto" w:fill="FFFFFF"/>
              </w:rPr>
              <w:t xml:space="preserve"> </w:t>
            </w:r>
            <w:r w:rsidRPr="00625DA9">
              <w:rPr>
                <w:rFonts w:ascii="Arial" w:hAnsi="Arial" w:cs="Arial"/>
                <w:sz w:val="22"/>
                <w:szCs w:val="22"/>
                <w:shd w:val="clear" w:color="auto" w:fill="FFFFFF"/>
              </w:rPr>
              <w:t>de Personas Desparecidas y No Localizadas, </w:t>
            </w:r>
            <w:r w:rsidR="008A1278" w:rsidRPr="00625DA9">
              <w:rPr>
                <w:rFonts w:ascii="Arial" w:hAnsi="Arial" w:cs="Arial"/>
                <w:sz w:val="22"/>
                <w:szCs w:val="22"/>
                <w:shd w:val="clear" w:color="auto" w:fill="FFFFFF"/>
              </w:rPr>
              <w:t>l</w:t>
            </w:r>
            <w:r w:rsidR="008A1278" w:rsidRPr="00625DA9">
              <w:rPr>
                <w:rFonts w:ascii="Arial" w:hAnsi="Arial" w:cs="Arial"/>
                <w:sz w:val="22"/>
                <w:szCs w:val="22"/>
              </w:rPr>
              <w:t xml:space="preserve">os cuales pretenden ser herramientas que las autoridades deben aplicar conjuntamente para hacer más eficiente y eficaz la búsqueda de las niñas, niños y adolescentes. </w:t>
            </w:r>
          </w:p>
          <w:p w14:paraId="3F803CE7" w14:textId="77777777" w:rsidR="008A1278" w:rsidRPr="00625DA9" w:rsidRDefault="008A1278" w:rsidP="008A1278">
            <w:pPr>
              <w:shd w:val="clear" w:color="auto" w:fill="FFFFFF"/>
              <w:jc w:val="both"/>
              <w:rPr>
                <w:rFonts w:ascii="Arial" w:hAnsi="Arial" w:cs="Arial"/>
                <w:sz w:val="22"/>
                <w:szCs w:val="22"/>
                <w:lang w:val="es-MX"/>
              </w:rPr>
            </w:pPr>
          </w:p>
          <w:p w14:paraId="6E989EE2" w14:textId="3030252E" w:rsidR="008A1278" w:rsidRPr="00625DA9" w:rsidRDefault="00953569" w:rsidP="008A1278">
            <w:pPr>
              <w:shd w:val="clear" w:color="auto" w:fill="FFFFFF"/>
              <w:jc w:val="both"/>
              <w:rPr>
                <w:rFonts w:ascii="Arial" w:hAnsi="Arial" w:cs="Arial"/>
                <w:sz w:val="22"/>
                <w:szCs w:val="22"/>
              </w:rPr>
            </w:pPr>
            <w:r w:rsidRPr="00625DA9">
              <w:rPr>
                <w:rFonts w:ascii="Arial" w:hAnsi="Arial" w:cs="Arial"/>
                <w:sz w:val="22"/>
                <w:szCs w:val="22"/>
              </w:rPr>
              <w:t xml:space="preserve">Como resultado </w:t>
            </w:r>
            <w:r w:rsidR="008A1278" w:rsidRPr="00625DA9">
              <w:rPr>
                <w:rFonts w:ascii="Arial" w:hAnsi="Arial" w:cs="Arial"/>
                <w:sz w:val="22"/>
                <w:szCs w:val="22"/>
              </w:rPr>
              <w:t xml:space="preserve">del desarrollo del Protocolo Homologado de Búsqueda de Personas Desparecidas y No Localizadas, se desarrolló de manera paralela el Protocolo Adicional para la Búsqueda de Niñas, Niños y Adolescentes, a través de acciones para su conformación, definidas en 3 etapas: 1) de investigación; 2) </w:t>
            </w:r>
            <w:r w:rsidR="008A1278" w:rsidRPr="00625DA9">
              <w:rPr>
                <w:rFonts w:ascii="Arial" w:hAnsi="Arial" w:cs="Arial"/>
                <w:sz w:val="22"/>
                <w:szCs w:val="22"/>
              </w:rPr>
              <w:lastRenderedPageBreak/>
              <w:t xml:space="preserve">de conceptualización de acciones de búsqueda y 3) de redacción del Protocolo; las cuales se desarrollaron </w:t>
            </w:r>
            <w:r w:rsidR="00AB50D7" w:rsidRPr="00625DA9">
              <w:rPr>
                <w:rFonts w:ascii="Arial" w:hAnsi="Arial" w:cs="Arial"/>
                <w:sz w:val="22"/>
                <w:szCs w:val="22"/>
              </w:rPr>
              <w:t xml:space="preserve">en tres etapas: </w:t>
            </w:r>
          </w:p>
          <w:p w14:paraId="13377D3A" w14:textId="77777777" w:rsidR="008A1278" w:rsidRPr="00625DA9" w:rsidRDefault="008A1278" w:rsidP="008A1278">
            <w:pPr>
              <w:shd w:val="clear" w:color="auto" w:fill="FFFFFF"/>
              <w:jc w:val="both"/>
              <w:rPr>
                <w:rFonts w:ascii="Arial" w:hAnsi="Arial" w:cs="Arial"/>
                <w:sz w:val="22"/>
                <w:szCs w:val="22"/>
              </w:rPr>
            </w:pPr>
          </w:p>
          <w:p w14:paraId="70143970" w14:textId="5A269C80" w:rsidR="008A1278" w:rsidRPr="00625DA9" w:rsidRDefault="008A1278" w:rsidP="008A1278">
            <w:pPr>
              <w:shd w:val="clear" w:color="auto" w:fill="FFFFFF"/>
              <w:ind w:firstLine="288"/>
              <w:jc w:val="both"/>
              <w:rPr>
                <w:rFonts w:ascii="Arial" w:hAnsi="Arial" w:cs="Arial"/>
                <w:sz w:val="22"/>
                <w:szCs w:val="22"/>
              </w:rPr>
            </w:pPr>
            <w:r w:rsidRPr="00625DA9">
              <w:rPr>
                <w:rFonts w:ascii="Arial" w:hAnsi="Arial" w:cs="Arial"/>
                <w:sz w:val="22"/>
                <w:szCs w:val="22"/>
              </w:rPr>
              <w:t xml:space="preserve">Primer Etapa: La investigación sobre los contextos de desaparición de niñas, niños y adolescentes a fin de conceptualizar las formas de búsqueda y establecer así, acciones de búsqueda tendientes a la localización de estos. </w:t>
            </w:r>
          </w:p>
          <w:p w14:paraId="52EC68E9" w14:textId="77777777" w:rsidR="008A1278" w:rsidRPr="00625DA9" w:rsidRDefault="008A1278" w:rsidP="008A1278">
            <w:pPr>
              <w:shd w:val="clear" w:color="auto" w:fill="FFFFFF"/>
              <w:ind w:firstLine="288"/>
              <w:jc w:val="both"/>
              <w:rPr>
                <w:rFonts w:ascii="Arial" w:hAnsi="Arial" w:cs="Arial"/>
                <w:sz w:val="22"/>
                <w:szCs w:val="22"/>
              </w:rPr>
            </w:pPr>
            <w:r w:rsidRPr="00625DA9">
              <w:rPr>
                <w:rFonts w:ascii="Arial" w:hAnsi="Arial" w:cs="Arial"/>
                <w:sz w:val="22"/>
                <w:szCs w:val="22"/>
              </w:rPr>
              <w:t> </w:t>
            </w:r>
          </w:p>
          <w:p w14:paraId="528189C9" w14:textId="3B1F314E" w:rsidR="008A1278" w:rsidRPr="00625DA9" w:rsidRDefault="008A1278" w:rsidP="008A1278">
            <w:pPr>
              <w:shd w:val="clear" w:color="auto" w:fill="FFFFFF"/>
              <w:ind w:firstLine="288"/>
              <w:jc w:val="both"/>
              <w:rPr>
                <w:rFonts w:ascii="Arial" w:hAnsi="Arial" w:cs="Arial"/>
                <w:sz w:val="22"/>
                <w:szCs w:val="22"/>
              </w:rPr>
            </w:pPr>
            <w:r w:rsidRPr="00625DA9">
              <w:rPr>
                <w:rFonts w:ascii="Arial" w:hAnsi="Arial" w:cs="Arial"/>
                <w:sz w:val="22"/>
                <w:szCs w:val="22"/>
              </w:rPr>
              <w:t>Segunda Etapa: La conceptualización de acciones de búsqueda a partir de los contextos identificados. </w:t>
            </w:r>
          </w:p>
          <w:p w14:paraId="72A4427B" w14:textId="77777777" w:rsidR="008A1278" w:rsidRPr="00625DA9" w:rsidRDefault="008A1278" w:rsidP="008A1278">
            <w:pPr>
              <w:shd w:val="clear" w:color="auto" w:fill="FFFFFF"/>
              <w:ind w:firstLine="288"/>
              <w:jc w:val="both"/>
              <w:rPr>
                <w:rFonts w:ascii="Arial" w:hAnsi="Arial" w:cs="Arial"/>
                <w:sz w:val="22"/>
                <w:szCs w:val="22"/>
              </w:rPr>
            </w:pPr>
          </w:p>
          <w:p w14:paraId="51B7CFB3" w14:textId="2D536B79" w:rsidR="00846DE7" w:rsidRPr="00625DA9" w:rsidRDefault="008A1278" w:rsidP="003A3EB9">
            <w:pPr>
              <w:shd w:val="clear" w:color="auto" w:fill="FFFFFF"/>
              <w:ind w:firstLine="288"/>
              <w:jc w:val="both"/>
              <w:rPr>
                <w:rFonts w:ascii="Arial" w:hAnsi="Arial" w:cs="Arial"/>
                <w:sz w:val="22"/>
                <w:szCs w:val="22"/>
              </w:rPr>
            </w:pPr>
            <w:r w:rsidRPr="00625DA9">
              <w:rPr>
                <w:rFonts w:ascii="Arial" w:hAnsi="Arial" w:cs="Arial"/>
                <w:sz w:val="22"/>
                <w:szCs w:val="22"/>
              </w:rPr>
              <w:t xml:space="preserve">Tercera Etapa: Redacción del primer borrador del Protocolo Adicional para la Búsqueda de Niñas, Niños y Adolescentes. </w:t>
            </w:r>
          </w:p>
          <w:p w14:paraId="51195EAC" w14:textId="77777777" w:rsidR="008A1278" w:rsidRPr="00625DA9" w:rsidRDefault="008A1278" w:rsidP="00C710D5">
            <w:pPr>
              <w:jc w:val="both"/>
              <w:rPr>
                <w:rFonts w:ascii="Arial" w:hAnsi="Arial" w:cs="Arial"/>
                <w:sz w:val="22"/>
                <w:szCs w:val="22"/>
              </w:rPr>
            </w:pPr>
          </w:p>
          <w:p w14:paraId="7AF92867" w14:textId="6D7485F4" w:rsidR="008A1278" w:rsidRPr="00625DA9" w:rsidRDefault="00AB50D7" w:rsidP="008A1278">
            <w:pPr>
              <w:shd w:val="clear" w:color="auto" w:fill="FFFFFF"/>
              <w:jc w:val="both"/>
              <w:rPr>
                <w:rFonts w:ascii="Arial" w:hAnsi="Arial" w:cs="Arial"/>
                <w:sz w:val="22"/>
                <w:szCs w:val="22"/>
              </w:rPr>
            </w:pPr>
            <w:r w:rsidRPr="00625DA9">
              <w:rPr>
                <w:rFonts w:ascii="Arial" w:hAnsi="Arial" w:cs="Arial"/>
                <w:sz w:val="22"/>
                <w:szCs w:val="22"/>
              </w:rPr>
              <w:t>El</w:t>
            </w:r>
            <w:r w:rsidR="008A1278" w:rsidRPr="00625DA9">
              <w:rPr>
                <w:rFonts w:ascii="Arial" w:hAnsi="Arial" w:cs="Arial"/>
                <w:sz w:val="22"/>
                <w:szCs w:val="22"/>
              </w:rPr>
              <w:t xml:space="preserve">15 de julio de 2021, se </w:t>
            </w:r>
            <w:r w:rsidRPr="00625DA9">
              <w:rPr>
                <w:rFonts w:ascii="Arial" w:hAnsi="Arial" w:cs="Arial"/>
                <w:sz w:val="22"/>
                <w:szCs w:val="22"/>
              </w:rPr>
              <w:t>publicó</w:t>
            </w:r>
            <w:r w:rsidR="008A1278" w:rsidRPr="00625DA9">
              <w:rPr>
                <w:rFonts w:ascii="Arial" w:hAnsi="Arial" w:cs="Arial"/>
                <w:sz w:val="22"/>
                <w:szCs w:val="22"/>
              </w:rPr>
              <w:t xml:space="preserve"> en el DOF el </w:t>
            </w:r>
            <w:r w:rsidR="00045C7A" w:rsidRPr="00625DA9">
              <w:rPr>
                <w:rFonts w:ascii="Arial" w:hAnsi="Arial" w:cs="Arial"/>
                <w:sz w:val="22"/>
                <w:szCs w:val="22"/>
              </w:rPr>
              <w:t>Acuerdo SNBP</w:t>
            </w:r>
            <w:r w:rsidR="008A1278" w:rsidRPr="00625DA9">
              <w:rPr>
                <w:rFonts w:ascii="Arial" w:hAnsi="Arial" w:cs="Arial"/>
                <w:sz w:val="22"/>
                <w:szCs w:val="22"/>
              </w:rPr>
              <w:t>/002/2021 por el que el Sistema Nacional de Búsqueda de Personas aprueba el Protocolo Adicional para la Búsqueda de Niñas, Niños y Adolescentes.</w:t>
            </w:r>
          </w:p>
          <w:p w14:paraId="3145089A" w14:textId="77777777" w:rsidR="008A1278" w:rsidRPr="00625DA9" w:rsidRDefault="008A1278" w:rsidP="008A1278">
            <w:pPr>
              <w:shd w:val="clear" w:color="auto" w:fill="FFFFFF"/>
              <w:jc w:val="both"/>
              <w:rPr>
                <w:rFonts w:ascii="Arial" w:hAnsi="Arial" w:cs="Arial"/>
                <w:b/>
                <w:bCs/>
                <w:color w:val="2F2F2F"/>
                <w:sz w:val="22"/>
                <w:szCs w:val="22"/>
              </w:rPr>
            </w:pPr>
          </w:p>
          <w:p w14:paraId="686AC0BF" w14:textId="43C32FE6" w:rsidR="008A1278" w:rsidRPr="00625DA9" w:rsidRDefault="0066455E" w:rsidP="008A1278">
            <w:pPr>
              <w:shd w:val="clear" w:color="auto" w:fill="FFFFFF"/>
              <w:jc w:val="both"/>
              <w:rPr>
                <w:rFonts w:ascii="Arial" w:hAnsi="Arial" w:cs="Arial"/>
                <w:b/>
                <w:bCs/>
                <w:color w:val="2F2F2F"/>
                <w:sz w:val="22"/>
                <w:szCs w:val="22"/>
              </w:rPr>
            </w:pPr>
            <w:hyperlink r:id="rId12" w:history="1">
              <w:r w:rsidR="008A1278" w:rsidRPr="00625DA9">
                <w:rPr>
                  <w:rStyle w:val="Hipervnculo"/>
                  <w:rFonts w:ascii="Arial" w:hAnsi="Arial" w:cs="Arial"/>
                  <w:b/>
                  <w:bCs/>
                  <w:sz w:val="22"/>
                  <w:szCs w:val="22"/>
                </w:rPr>
                <w:t>https://dof.gob.mx/nota_detalle.php?codigo=5623969&amp;fecha=15/07/2021#</w:t>
              </w:r>
            </w:hyperlink>
            <w:r w:rsidR="008A1278" w:rsidRPr="00625DA9">
              <w:rPr>
                <w:rFonts w:ascii="Arial" w:hAnsi="Arial" w:cs="Arial"/>
                <w:b/>
                <w:bCs/>
                <w:color w:val="2F2F2F"/>
                <w:sz w:val="22"/>
                <w:szCs w:val="22"/>
              </w:rPr>
              <w:t>.</w:t>
            </w:r>
          </w:p>
          <w:p w14:paraId="71FA6337" w14:textId="36260D56" w:rsidR="00142F2F" w:rsidRPr="00625DA9" w:rsidRDefault="00142F2F" w:rsidP="00C710D5">
            <w:pPr>
              <w:jc w:val="both"/>
              <w:rPr>
                <w:rFonts w:ascii="Arial" w:hAnsi="Arial" w:cs="Arial"/>
                <w:sz w:val="22"/>
                <w:szCs w:val="22"/>
              </w:rPr>
            </w:pPr>
          </w:p>
        </w:tc>
      </w:tr>
      <w:tr w:rsidR="00142F2F" w:rsidRPr="00625DA9" w14:paraId="2E1C64C1" w14:textId="77777777" w:rsidTr="008F6A67">
        <w:tc>
          <w:tcPr>
            <w:tcW w:w="1413" w:type="dxa"/>
          </w:tcPr>
          <w:p w14:paraId="253C7AEF" w14:textId="2534104C" w:rsidR="00142F2F" w:rsidRPr="00625DA9" w:rsidRDefault="00C929A3" w:rsidP="00C710D5">
            <w:pPr>
              <w:jc w:val="both"/>
              <w:rPr>
                <w:rFonts w:ascii="Arial" w:hAnsi="Arial" w:cs="Arial"/>
                <w:sz w:val="22"/>
                <w:szCs w:val="22"/>
              </w:rPr>
            </w:pPr>
            <w:r w:rsidRPr="00625DA9">
              <w:rPr>
                <w:rFonts w:ascii="Arial" w:hAnsi="Arial" w:cs="Arial"/>
                <w:sz w:val="22"/>
                <w:szCs w:val="22"/>
              </w:rPr>
              <w:lastRenderedPageBreak/>
              <w:t>Ley Nacional de Adopciones</w:t>
            </w:r>
          </w:p>
        </w:tc>
        <w:tc>
          <w:tcPr>
            <w:tcW w:w="1701" w:type="dxa"/>
          </w:tcPr>
          <w:p w14:paraId="1C44F16D" w14:textId="1E05AEC9" w:rsidR="00142F2F" w:rsidRPr="00625DA9" w:rsidRDefault="00E107CB" w:rsidP="00C710D5">
            <w:pPr>
              <w:jc w:val="both"/>
              <w:rPr>
                <w:rFonts w:ascii="Arial" w:hAnsi="Arial" w:cs="Arial"/>
                <w:sz w:val="22"/>
                <w:szCs w:val="22"/>
              </w:rPr>
            </w:pPr>
            <w:r w:rsidRPr="00625DA9">
              <w:rPr>
                <w:rFonts w:ascii="Arial" w:hAnsi="Arial" w:cs="Arial"/>
                <w:sz w:val="22"/>
                <w:szCs w:val="22"/>
              </w:rPr>
              <w:t>Por medio de la Comisión de Protección Especial de NNA del SIPINNA, se trabaja en el anteproyecto de reforma al artículo 73 constitucional par que el Congreso de la Unión pueda expedir una Ley Nacional de Adopciones.</w:t>
            </w:r>
          </w:p>
        </w:tc>
        <w:tc>
          <w:tcPr>
            <w:tcW w:w="6804" w:type="dxa"/>
          </w:tcPr>
          <w:p w14:paraId="21B84BBA" w14:textId="4567110B" w:rsidR="00142F2F" w:rsidRPr="00625DA9" w:rsidRDefault="004676A9" w:rsidP="00C710D5">
            <w:pPr>
              <w:jc w:val="both"/>
              <w:rPr>
                <w:rFonts w:ascii="Arial" w:hAnsi="Arial" w:cs="Arial"/>
                <w:sz w:val="22"/>
                <w:szCs w:val="22"/>
              </w:rPr>
            </w:pPr>
            <w:r w:rsidRPr="00625DA9">
              <w:rPr>
                <w:rFonts w:ascii="Arial" w:hAnsi="Arial" w:cs="Arial"/>
                <w:sz w:val="22"/>
                <w:szCs w:val="22"/>
              </w:rPr>
              <w:t>Con relación a la Ley Nacional de Adopcione</w:t>
            </w:r>
            <w:r w:rsidR="00F7124C" w:rsidRPr="00625DA9">
              <w:rPr>
                <w:rFonts w:ascii="Arial" w:hAnsi="Arial" w:cs="Arial"/>
                <w:sz w:val="22"/>
                <w:szCs w:val="22"/>
              </w:rPr>
              <w:t>s</w:t>
            </w:r>
            <w:r w:rsidRPr="00625DA9">
              <w:rPr>
                <w:rFonts w:ascii="Arial" w:hAnsi="Arial" w:cs="Arial"/>
                <w:sz w:val="22"/>
                <w:szCs w:val="22"/>
              </w:rPr>
              <w:t xml:space="preserve"> se encuentra</w:t>
            </w:r>
            <w:r w:rsidR="00F7124C" w:rsidRPr="00625DA9">
              <w:rPr>
                <w:rFonts w:ascii="Arial" w:hAnsi="Arial" w:cs="Arial"/>
                <w:sz w:val="22"/>
                <w:szCs w:val="22"/>
              </w:rPr>
              <w:t xml:space="preserve"> una</w:t>
            </w:r>
            <w:r w:rsidRPr="00625DA9">
              <w:rPr>
                <w:rFonts w:ascii="Arial" w:hAnsi="Arial" w:cs="Arial"/>
                <w:sz w:val="22"/>
                <w:szCs w:val="22"/>
              </w:rPr>
              <w:t xml:space="preserve"> inactiva desde el año 2019, por causas externas a la Secretaría Ejecutiva, sin </w:t>
            </w:r>
            <w:r w:rsidR="00F7124C" w:rsidRPr="00625DA9">
              <w:rPr>
                <w:rFonts w:ascii="Arial" w:hAnsi="Arial" w:cs="Arial"/>
                <w:sz w:val="22"/>
                <w:szCs w:val="22"/>
              </w:rPr>
              <w:t>embargo,</w:t>
            </w:r>
            <w:r w:rsidRPr="00625DA9">
              <w:rPr>
                <w:rFonts w:ascii="Arial" w:hAnsi="Arial" w:cs="Arial"/>
                <w:sz w:val="22"/>
                <w:szCs w:val="22"/>
              </w:rPr>
              <w:t xml:space="preserve"> a través de la opinión a iniciativas se ha tratado de impulsar las reformas de la Ley Nacional de Adopciones tal es el caso de la siguiente iniciativa que se encuentra en proceso legislativo.</w:t>
            </w:r>
          </w:p>
          <w:p w14:paraId="00A97A41" w14:textId="77777777" w:rsidR="004676A9" w:rsidRPr="00625DA9" w:rsidRDefault="004676A9" w:rsidP="00C710D5">
            <w:pPr>
              <w:jc w:val="both"/>
              <w:rPr>
                <w:rFonts w:ascii="Arial" w:hAnsi="Arial" w:cs="Arial"/>
                <w:sz w:val="22"/>
                <w:szCs w:val="22"/>
              </w:rPr>
            </w:pPr>
          </w:p>
          <w:p w14:paraId="3CC4DA8C" w14:textId="46635782" w:rsidR="004676A9" w:rsidRPr="00625DA9" w:rsidRDefault="00BC1D27" w:rsidP="00C710D5">
            <w:pPr>
              <w:jc w:val="both"/>
              <w:rPr>
                <w:rFonts w:ascii="Arial" w:hAnsi="Arial" w:cs="Arial"/>
                <w:color w:val="515151"/>
                <w:sz w:val="22"/>
                <w:szCs w:val="22"/>
              </w:rPr>
            </w:pPr>
            <w:r w:rsidRPr="00625DA9">
              <w:rPr>
                <w:rFonts w:ascii="Arial" w:hAnsi="Arial" w:cs="Arial"/>
                <w:sz w:val="22"/>
                <w:szCs w:val="22"/>
              </w:rPr>
              <w:t>Iniciativa</w:t>
            </w:r>
            <w:r w:rsidR="004676A9" w:rsidRPr="00625DA9">
              <w:rPr>
                <w:rFonts w:ascii="Arial" w:hAnsi="Arial" w:cs="Arial"/>
                <w:sz w:val="22"/>
                <w:szCs w:val="22"/>
              </w:rPr>
              <w:t xml:space="preserve"> que expide la </w:t>
            </w:r>
            <w:r w:rsidR="004676A9" w:rsidRPr="00625DA9">
              <w:rPr>
                <w:rFonts w:ascii="Arial" w:hAnsi="Arial" w:cs="Arial"/>
                <w:color w:val="515151"/>
                <w:sz w:val="22"/>
                <w:szCs w:val="22"/>
              </w:rPr>
              <w:t>Ley Nacional de Adopciones.</w:t>
            </w:r>
          </w:p>
          <w:p w14:paraId="69CAAC2D" w14:textId="77777777" w:rsidR="00F7124C" w:rsidRPr="00625DA9" w:rsidRDefault="00F7124C" w:rsidP="00C710D5">
            <w:pPr>
              <w:jc w:val="both"/>
              <w:rPr>
                <w:rFonts w:ascii="Arial" w:hAnsi="Arial" w:cs="Arial"/>
                <w:color w:val="515151"/>
                <w:sz w:val="22"/>
                <w:szCs w:val="22"/>
              </w:rPr>
            </w:pPr>
          </w:p>
          <w:p w14:paraId="1C4DEF8E" w14:textId="61A82709" w:rsidR="004676A9" w:rsidRPr="00625DA9" w:rsidRDefault="004676A9" w:rsidP="00C710D5">
            <w:pPr>
              <w:jc w:val="both"/>
              <w:rPr>
                <w:rFonts w:ascii="Arial" w:hAnsi="Arial" w:cs="Arial"/>
                <w:color w:val="515151"/>
                <w:sz w:val="22"/>
                <w:szCs w:val="22"/>
              </w:rPr>
            </w:pPr>
            <w:r w:rsidRPr="00625DA9">
              <w:rPr>
                <w:rFonts w:ascii="Arial" w:hAnsi="Arial" w:cs="Arial"/>
                <w:color w:val="515151"/>
                <w:sz w:val="22"/>
                <w:szCs w:val="22"/>
              </w:rPr>
              <w:t>Estatus: PENDIENTE EN COMISIONES DE ORIGEN</w:t>
            </w:r>
            <w:r w:rsidRPr="00625DA9">
              <w:rPr>
                <w:rFonts w:ascii="Arial" w:hAnsi="Arial" w:cs="Arial"/>
                <w:color w:val="515151"/>
                <w:sz w:val="22"/>
                <w:szCs w:val="22"/>
              </w:rPr>
              <w:br/>
              <w:t>Pendiente 29/04/2021</w:t>
            </w:r>
          </w:p>
          <w:p w14:paraId="2D72F10E" w14:textId="77777777" w:rsidR="00F7124C" w:rsidRPr="00625DA9" w:rsidRDefault="00F7124C" w:rsidP="00C710D5">
            <w:pPr>
              <w:jc w:val="both"/>
              <w:rPr>
                <w:rFonts w:ascii="Arial" w:hAnsi="Arial" w:cs="Arial"/>
                <w:color w:val="515151"/>
                <w:sz w:val="22"/>
                <w:szCs w:val="22"/>
              </w:rPr>
            </w:pPr>
          </w:p>
          <w:p w14:paraId="33E4C528" w14:textId="068AE372" w:rsidR="004676A9" w:rsidRPr="00625DA9" w:rsidRDefault="0066455E" w:rsidP="00C710D5">
            <w:pPr>
              <w:jc w:val="both"/>
              <w:rPr>
                <w:rFonts w:ascii="Arial" w:hAnsi="Arial" w:cs="Arial"/>
                <w:color w:val="515151"/>
                <w:sz w:val="22"/>
                <w:szCs w:val="22"/>
              </w:rPr>
            </w:pPr>
            <w:hyperlink r:id="rId13" w:history="1">
              <w:r w:rsidR="00F7124C" w:rsidRPr="00625DA9">
                <w:rPr>
                  <w:rStyle w:val="Hipervnculo"/>
                  <w:rFonts w:ascii="Arial" w:hAnsi="Arial" w:cs="Arial"/>
                  <w:sz w:val="22"/>
                  <w:szCs w:val="22"/>
                </w:rPr>
                <w:t>http://sil.gobernacion.gob.mx/Librerias/pp_ReporteSeguimiento.php?SID=&amp;Seguimiento=4184772&amp;Asunto=4180467</w:t>
              </w:r>
            </w:hyperlink>
            <w:r w:rsidR="00045C7A" w:rsidRPr="00625DA9">
              <w:rPr>
                <w:rFonts w:ascii="Arial" w:hAnsi="Arial" w:cs="Arial"/>
                <w:color w:val="515151"/>
                <w:sz w:val="22"/>
                <w:szCs w:val="22"/>
              </w:rPr>
              <w:t xml:space="preserve"> </w:t>
            </w:r>
          </w:p>
          <w:p w14:paraId="1BEEAAD5" w14:textId="5A555DDB" w:rsidR="004676A9" w:rsidRPr="00625DA9" w:rsidRDefault="004676A9" w:rsidP="00C710D5">
            <w:pPr>
              <w:jc w:val="both"/>
              <w:rPr>
                <w:rFonts w:ascii="Arial" w:hAnsi="Arial" w:cs="Arial"/>
                <w:sz w:val="22"/>
                <w:szCs w:val="22"/>
              </w:rPr>
            </w:pPr>
          </w:p>
        </w:tc>
      </w:tr>
    </w:tbl>
    <w:p w14:paraId="1DE94359" w14:textId="77777777" w:rsidR="0013793D" w:rsidRPr="003A3EB9" w:rsidRDefault="0013793D">
      <w:pPr>
        <w:rPr>
          <w:rFonts w:ascii="Arial" w:hAnsi="Arial" w:cs="Arial"/>
          <w:sz w:val="22"/>
          <w:szCs w:val="22"/>
        </w:rPr>
      </w:pPr>
    </w:p>
    <w:sectPr w:rsidR="0013793D" w:rsidRPr="003A3EB9" w:rsidSect="008F6A67">
      <w:headerReference w:type="default" r:id="rId14"/>
      <w:footerReference w:type="default" r:id="rId15"/>
      <w:pgSz w:w="12240" w:h="15840"/>
      <w:pgMar w:top="709"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4C2056" w14:textId="77777777" w:rsidR="0066455E" w:rsidRDefault="0066455E" w:rsidP="00EA29A9">
      <w:r>
        <w:separator/>
      </w:r>
    </w:p>
  </w:endnote>
  <w:endnote w:type="continuationSeparator" w:id="0">
    <w:p w14:paraId="5649CFE0" w14:textId="77777777" w:rsidR="0066455E" w:rsidRDefault="0066455E" w:rsidP="00EA2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5063010"/>
      <w:docPartObj>
        <w:docPartGallery w:val="Page Numbers (Bottom of Page)"/>
        <w:docPartUnique/>
      </w:docPartObj>
    </w:sdtPr>
    <w:sdtEndPr/>
    <w:sdtContent>
      <w:p w14:paraId="18AB8531" w14:textId="76A3205B" w:rsidR="00F10BB3" w:rsidRDefault="00F10BB3">
        <w:pPr>
          <w:pStyle w:val="Piedepgina"/>
          <w:jc w:val="center"/>
        </w:pPr>
        <w:r>
          <w:fldChar w:fldCharType="begin"/>
        </w:r>
        <w:r>
          <w:instrText>PAGE   \* MERGEFORMAT</w:instrText>
        </w:r>
        <w:r>
          <w:fldChar w:fldCharType="separate"/>
        </w:r>
        <w:r w:rsidR="00625DA9" w:rsidRPr="00625DA9">
          <w:rPr>
            <w:noProof/>
            <w:lang w:val="es-ES"/>
          </w:rPr>
          <w:t>3</w:t>
        </w:r>
        <w:r>
          <w:fldChar w:fldCharType="end"/>
        </w:r>
      </w:p>
    </w:sdtContent>
  </w:sdt>
  <w:p w14:paraId="03CE5FDF" w14:textId="77777777" w:rsidR="00F10BB3" w:rsidRDefault="00F10BB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5C97CA" w14:textId="77777777" w:rsidR="0066455E" w:rsidRDefault="0066455E" w:rsidP="00EA29A9">
      <w:r>
        <w:separator/>
      </w:r>
    </w:p>
  </w:footnote>
  <w:footnote w:type="continuationSeparator" w:id="0">
    <w:p w14:paraId="7CF15E15" w14:textId="77777777" w:rsidR="0066455E" w:rsidRDefault="0066455E" w:rsidP="00EA29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153DA" w14:textId="35BE38D5" w:rsidR="00B64EA4" w:rsidRPr="003A3EB9" w:rsidRDefault="00B64EA4" w:rsidP="00B64EA4">
    <w:pPr>
      <w:spacing w:line="276" w:lineRule="auto"/>
      <w:jc w:val="right"/>
      <w:rPr>
        <w:i/>
      </w:rPr>
    </w:pPr>
    <w:r w:rsidRPr="00B64EA4">
      <w:rPr>
        <w:rFonts w:ascii="Arial" w:eastAsia="Arial" w:hAnsi="Arial" w:cs="Arial"/>
        <w:i/>
      </w:rPr>
      <w:t>Anexo I de la respuesta del Estado mexicano a la lista de cuestiones enviada por el Comité de los Derechos del Niño de Naciones Unidas para su atención.</w:t>
    </w:r>
  </w:p>
  <w:p w14:paraId="6DDC8A13" w14:textId="22A7D750" w:rsidR="00B64EA4" w:rsidRPr="003A3EB9" w:rsidRDefault="00B64EA4" w:rsidP="003A3EB9">
    <w:pPr>
      <w:pStyle w:val="Encabezado"/>
      <w:jc w:val="right"/>
      <w:rPr>
        <w:i/>
      </w:rPr>
    </w:pPr>
  </w:p>
  <w:p w14:paraId="15460296" w14:textId="77777777" w:rsidR="00E46A48" w:rsidRDefault="00E46A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BE2604"/>
    <w:multiLevelType w:val="hybridMultilevel"/>
    <w:tmpl w:val="045803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58561246"/>
    <w:multiLevelType w:val="multilevel"/>
    <w:tmpl w:val="8A6CCA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8626A6E"/>
    <w:multiLevelType w:val="hybridMultilevel"/>
    <w:tmpl w:val="4B7403A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635B6857"/>
    <w:multiLevelType w:val="hybridMultilevel"/>
    <w:tmpl w:val="30F6A6F4"/>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73524EC0"/>
    <w:multiLevelType w:val="hybridMultilevel"/>
    <w:tmpl w:val="9D703CD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79492C5A"/>
    <w:multiLevelType w:val="hybridMultilevel"/>
    <w:tmpl w:val="F148E11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798B094C"/>
    <w:multiLevelType w:val="hybridMultilevel"/>
    <w:tmpl w:val="3974831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260"/>
    <w:rsid w:val="00045C7A"/>
    <w:rsid w:val="00056645"/>
    <w:rsid w:val="00085EA1"/>
    <w:rsid w:val="000E6AD8"/>
    <w:rsid w:val="0013793D"/>
    <w:rsid w:val="00142F2F"/>
    <w:rsid w:val="00173C8D"/>
    <w:rsid w:val="001C687D"/>
    <w:rsid w:val="002E278E"/>
    <w:rsid w:val="00322E6F"/>
    <w:rsid w:val="00364B42"/>
    <w:rsid w:val="00374674"/>
    <w:rsid w:val="00394430"/>
    <w:rsid w:val="003A3EB9"/>
    <w:rsid w:val="004152B9"/>
    <w:rsid w:val="00465AD3"/>
    <w:rsid w:val="004676A9"/>
    <w:rsid w:val="00480074"/>
    <w:rsid w:val="00514D0E"/>
    <w:rsid w:val="00532A61"/>
    <w:rsid w:val="00544FF3"/>
    <w:rsid w:val="00566FD7"/>
    <w:rsid w:val="005719B4"/>
    <w:rsid w:val="005D47E4"/>
    <w:rsid w:val="00601CFE"/>
    <w:rsid w:val="00625DA9"/>
    <w:rsid w:val="0066455E"/>
    <w:rsid w:val="0066628F"/>
    <w:rsid w:val="00685167"/>
    <w:rsid w:val="006A1811"/>
    <w:rsid w:val="00716ED2"/>
    <w:rsid w:val="00737735"/>
    <w:rsid w:val="00755C15"/>
    <w:rsid w:val="007607FC"/>
    <w:rsid w:val="007861E6"/>
    <w:rsid w:val="0079186D"/>
    <w:rsid w:val="00791BB8"/>
    <w:rsid w:val="007E2260"/>
    <w:rsid w:val="00846DE7"/>
    <w:rsid w:val="00894729"/>
    <w:rsid w:val="008A1278"/>
    <w:rsid w:val="008C2605"/>
    <w:rsid w:val="008F6A67"/>
    <w:rsid w:val="00953569"/>
    <w:rsid w:val="00967FA8"/>
    <w:rsid w:val="00976A84"/>
    <w:rsid w:val="00996984"/>
    <w:rsid w:val="009F1220"/>
    <w:rsid w:val="00AA3A94"/>
    <w:rsid w:val="00AB50D7"/>
    <w:rsid w:val="00B3119D"/>
    <w:rsid w:val="00B4205F"/>
    <w:rsid w:val="00B63340"/>
    <w:rsid w:val="00B64EA4"/>
    <w:rsid w:val="00BC1D27"/>
    <w:rsid w:val="00BD2616"/>
    <w:rsid w:val="00C35E73"/>
    <w:rsid w:val="00C630FF"/>
    <w:rsid w:val="00C71780"/>
    <w:rsid w:val="00C929A3"/>
    <w:rsid w:val="00CD07A6"/>
    <w:rsid w:val="00CD231C"/>
    <w:rsid w:val="00D358CA"/>
    <w:rsid w:val="00D65079"/>
    <w:rsid w:val="00D70F5C"/>
    <w:rsid w:val="00DC774C"/>
    <w:rsid w:val="00E107CB"/>
    <w:rsid w:val="00E46A48"/>
    <w:rsid w:val="00EA29A9"/>
    <w:rsid w:val="00EB510F"/>
    <w:rsid w:val="00ED0B85"/>
    <w:rsid w:val="00ED6C2D"/>
    <w:rsid w:val="00ED7643"/>
    <w:rsid w:val="00EE42F4"/>
    <w:rsid w:val="00F10BB3"/>
    <w:rsid w:val="00F239F8"/>
    <w:rsid w:val="00F471B6"/>
    <w:rsid w:val="00F7124C"/>
    <w:rsid w:val="00F74877"/>
    <w:rsid w:val="00FB1ED9"/>
    <w:rsid w:val="00FB2D4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4CC3C"/>
  <w15:chartTrackingRefBased/>
  <w15:docId w15:val="{1F39AC38-9DF9-4267-889D-BA4A3B237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260"/>
    <w:pPr>
      <w:spacing w:after="0" w:line="240" w:lineRule="auto"/>
    </w:pPr>
    <w:rPr>
      <w:rFonts w:ascii="Times New Roman" w:eastAsia="Times New Roman" w:hAnsi="Times New Roman" w:cs="Times New Roman"/>
      <w:kern w:val="0"/>
      <w:sz w:val="24"/>
      <w:szCs w:val="24"/>
      <w:lang w:val="es-ES_tradnl" w:eastAsia="es-MX"/>
      <w14:ligatures w14:val="none"/>
    </w:rPr>
  </w:style>
  <w:style w:type="paragraph" w:styleId="Ttulo1">
    <w:name w:val="heading 1"/>
    <w:basedOn w:val="Normal"/>
    <w:next w:val="Normal"/>
    <w:link w:val="Ttulo1Car"/>
    <w:uiPriority w:val="9"/>
    <w:qFormat/>
    <w:rsid w:val="007E22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E22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E226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E226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E226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E226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E226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E226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E226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E226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E226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E226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E226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E226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E226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E226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E226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E2260"/>
    <w:rPr>
      <w:rFonts w:eastAsiaTheme="majorEastAsia" w:cstheme="majorBidi"/>
      <w:color w:val="272727" w:themeColor="text1" w:themeTint="D8"/>
    </w:rPr>
  </w:style>
  <w:style w:type="paragraph" w:styleId="Puesto">
    <w:name w:val="Title"/>
    <w:basedOn w:val="Normal"/>
    <w:next w:val="Normal"/>
    <w:link w:val="PuestoCar"/>
    <w:uiPriority w:val="10"/>
    <w:qFormat/>
    <w:rsid w:val="007E2260"/>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E226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E226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E226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E2260"/>
    <w:pPr>
      <w:spacing w:before="160"/>
      <w:jc w:val="center"/>
    </w:pPr>
    <w:rPr>
      <w:i/>
      <w:iCs/>
      <w:color w:val="404040" w:themeColor="text1" w:themeTint="BF"/>
    </w:rPr>
  </w:style>
  <w:style w:type="character" w:customStyle="1" w:styleId="CitaCar">
    <w:name w:val="Cita Car"/>
    <w:basedOn w:val="Fuentedeprrafopredeter"/>
    <w:link w:val="Cita"/>
    <w:uiPriority w:val="29"/>
    <w:rsid w:val="007E2260"/>
    <w:rPr>
      <w:i/>
      <w:iCs/>
      <w:color w:val="404040" w:themeColor="text1" w:themeTint="BF"/>
    </w:rPr>
  </w:style>
  <w:style w:type="paragraph" w:styleId="Prrafodelista">
    <w:name w:val="List Paragraph"/>
    <w:basedOn w:val="Normal"/>
    <w:uiPriority w:val="34"/>
    <w:qFormat/>
    <w:rsid w:val="007E2260"/>
    <w:pPr>
      <w:ind w:left="720"/>
      <w:contextualSpacing/>
    </w:pPr>
  </w:style>
  <w:style w:type="character" w:styleId="nfasisintenso">
    <w:name w:val="Intense Emphasis"/>
    <w:basedOn w:val="Fuentedeprrafopredeter"/>
    <w:uiPriority w:val="21"/>
    <w:qFormat/>
    <w:rsid w:val="007E2260"/>
    <w:rPr>
      <w:i/>
      <w:iCs/>
      <w:color w:val="0F4761" w:themeColor="accent1" w:themeShade="BF"/>
    </w:rPr>
  </w:style>
  <w:style w:type="paragraph" w:styleId="Citadestacada">
    <w:name w:val="Intense Quote"/>
    <w:basedOn w:val="Normal"/>
    <w:next w:val="Normal"/>
    <w:link w:val="CitadestacadaCar"/>
    <w:uiPriority w:val="30"/>
    <w:qFormat/>
    <w:rsid w:val="007E22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E2260"/>
    <w:rPr>
      <w:i/>
      <w:iCs/>
      <w:color w:val="0F4761" w:themeColor="accent1" w:themeShade="BF"/>
    </w:rPr>
  </w:style>
  <w:style w:type="character" w:styleId="Referenciaintensa">
    <w:name w:val="Intense Reference"/>
    <w:basedOn w:val="Fuentedeprrafopredeter"/>
    <w:uiPriority w:val="32"/>
    <w:qFormat/>
    <w:rsid w:val="007E2260"/>
    <w:rPr>
      <w:b/>
      <w:bCs/>
      <w:smallCaps/>
      <w:color w:val="0F4761" w:themeColor="accent1" w:themeShade="BF"/>
      <w:spacing w:val="5"/>
    </w:rPr>
  </w:style>
  <w:style w:type="table" w:styleId="Tablaconcuadrcula">
    <w:name w:val="Table Grid"/>
    <w:basedOn w:val="Tablanormal"/>
    <w:uiPriority w:val="39"/>
    <w:rsid w:val="007E22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D2616"/>
    <w:rPr>
      <w:color w:val="467886" w:themeColor="hyperlink"/>
      <w:u w:val="single"/>
    </w:rPr>
  </w:style>
  <w:style w:type="character" w:customStyle="1" w:styleId="UnresolvedMention">
    <w:name w:val="Unresolved Mention"/>
    <w:basedOn w:val="Fuentedeprrafopredeter"/>
    <w:uiPriority w:val="99"/>
    <w:semiHidden/>
    <w:unhideWhenUsed/>
    <w:rsid w:val="00BD2616"/>
    <w:rPr>
      <w:color w:val="605E5C"/>
      <w:shd w:val="clear" w:color="auto" w:fill="E1DFDD"/>
    </w:rPr>
  </w:style>
  <w:style w:type="paragraph" w:styleId="NormalWeb">
    <w:name w:val="Normal (Web)"/>
    <w:basedOn w:val="Normal"/>
    <w:uiPriority w:val="99"/>
    <w:semiHidden/>
    <w:unhideWhenUsed/>
    <w:rsid w:val="00EA29A9"/>
    <w:pPr>
      <w:spacing w:before="100" w:beforeAutospacing="1" w:after="100" w:afterAutospacing="1"/>
    </w:pPr>
    <w:rPr>
      <w:lang w:val="es-MX"/>
    </w:rPr>
  </w:style>
  <w:style w:type="paragraph" w:styleId="Textoindependiente">
    <w:name w:val="Body Text"/>
    <w:basedOn w:val="Normal"/>
    <w:link w:val="TextoindependienteCar"/>
    <w:uiPriority w:val="99"/>
    <w:semiHidden/>
    <w:unhideWhenUsed/>
    <w:rsid w:val="00085EA1"/>
    <w:pPr>
      <w:spacing w:before="100" w:beforeAutospacing="1" w:after="100" w:afterAutospacing="1"/>
    </w:pPr>
    <w:rPr>
      <w:lang w:val="es-MX"/>
    </w:rPr>
  </w:style>
  <w:style w:type="character" w:customStyle="1" w:styleId="TextoindependienteCar">
    <w:name w:val="Texto independiente Car"/>
    <w:basedOn w:val="Fuentedeprrafopredeter"/>
    <w:link w:val="Textoindependiente"/>
    <w:uiPriority w:val="99"/>
    <w:semiHidden/>
    <w:rsid w:val="00085EA1"/>
    <w:rPr>
      <w:rFonts w:ascii="Times New Roman" w:eastAsia="Times New Roman" w:hAnsi="Times New Roman" w:cs="Times New Roman"/>
      <w:kern w:val="0"/>
      <w:sz w:val="24"/>
      <w:szCs w:val="24"/>
      <w:lang w:eastAsia="es-MX"/>
      <w14:ligatures w14:val="none"/>
    </w:rPr>
  </w:style>
  <w:style w:type="character" w:customStyle="1" w:styleId="mylink">
    <w:name w:val="mylink"/>
    <w:basedOn w:val="Fuentedeprrafopredeter"/>
    <w:rsid w:val="009F1220"/>
  </w:style>
  <w:style w:type="paragraph" w:styleId="Revisin">
    <w:name w:val="Revision"/>
    <w:hidden/>
    <w:uiPriority w:val="99"/>
    <w:semiHidden/>
    <w:rsid w:val="00894729"/>
    <w:pPr>
      <w:spacing w:after="0" w:line="240" w:lineRule="auto"/>
    </w:pPr>
    <w:rPr>
      <w:rFonts w:ascii="Times New Roman" w:eastAsia="Times New Roman" w:hAnsi="Times New Roman" w:cs="Times New Roman"/>
      <w:kern w:val="0"/>
      <w:sz w:val="24"/>
      <w:szCs w:val="24"/>
      <w:lang w:val="es-ES_tradnl" w:eastAsia="es-MX"/>
      <w14:ligatures w14:val="none"/>
    </w:rPr>
  </w:style>
  <w:style w:type="character" w:styleId="Refdecomentario">
    <w:name w:val="annotation reference"/>
    <w:basedOn w:val="Fuentedeprrafopredeter"/>
    <w:uiPriority w:val="99"/>
    <w:semiHidden/>
    <w:unhideWhenUsed/>
    <w:rsid w:val="00894729"/>
    <w:rPr>
      <w:sz w:val="16"/>
      <w:szCs w:val="16"/>
    </w:rPr>
  </w:style>
  <w:style w:type="paragraph" w:styleId="Textocomentario">
    <w:name w:val="annotation text"/>
    <w:basedOn w:val="Normal"/>
    <w:link w:val="TextocomentarioCar"/>
    <w:uiPriority w:val="99"/>
    <w:unhideWhenUsed/>
    <w:rsid w:val="00894729"/>
    <w:rPr>
      <w:sz w:val="20"/>
      <w:szCs w:val="20"/>
    </w:rPr>
  </w:style>
  <w:style w:type="character" w:customStyle="1" w:styleId="TextocomentarioCar">
    <w:name w:val="Texto comentario Car"/>
    <w:basedOn w:val="Fuentedeprrafopredeter"/>
    <w:link w:val="Textocomentario"/>
    <w:uiPriority w:val="99"/>
    <w:rsid w:val="00894729"/>
    <w:rPr>
      <w:rFonts w:ascii="Times New Roman" w:eastAsia="Times New Roman" w:hAnsi="Times New Roman" w:cs="Times New Roman"/>
      <w:kern w:val="0"/>
      <w:sz w:val="2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894729"/>
    <w:rPr>
      <w:b/>
      <w:bCs/>
    </w:rPr>
  </w:style>
  <w:style w:type="character" w:customStyle="1" w:styleId="AsuntodelcomentarioCar">
    <w:name w:val="Asunto del comentario Car"/>
    <w:basedOn w:val="TextocomentarioCar"/>
    <w:link w:val="Asuntodelcomentario"/>
    <w:uiPriority w:val="99"/>
    <w:semiHidden/>
    <w:rsid w:val="00894729"/>
    <w:rPr>
      <w:rFonts w:ascii="Times New Roman" w:eastAsia="Times New Roman" w:hAnsi="Times New Roman" w:cs="Times New Roman"/>
      <w:b/>
      <w:bCs/>
      <w:kern w:val="0"/>
      <w:sz w:val="20"/>
      <w:szCs w:val="20"/>
      <w:lang w:val="es-ES_tradnl" w:eastAsia="es-MX"/>
      <w14:ligatures w14:val="none"/>
    </w:rPr>
  </w:style>
  <w:style w:type="paragraph" w:styleId="Encabezado">
    <w:name w:val="header"/>
    <w:basedOn w:val="Normal"/>
    <w:link w:val="EncabezadoCar"/>
    <w:uiPriority w:val="99"/>
    <w:unhideWhenUsed/>
    <w:rsid w:val="00B64EA4"/>
    <w:pPr>
      <w:tabs>
        <w:tab w:val="center" w:pos="4419"/>
        <w:tab w:val="right" w:pos="8838"/>
      </w:tabs>
    </w:pPr>
  </w:style>
  <w:style w:type="character" w:customStyle="1" w:styleId="EncabezadoCar">
    <w:name w:val="Encabezado Car"/>
    <w:basedOn w:val="Fuentedeprrafopredeter"/>
    <w:link w:val="Encabezado"/>
    <w:uiPriority w:val="99"/>
    <w:rsid w:val="00B64EA4"/>
    <w:rPr>
      <w:rFonts w:ascii="Times New Roman" w:eastAsia="Times New Roman" w:hAnsi="Times New Roman" w:cs="Times New Roman"/>
      <w:kern w:val="0"/>
      <w:sz w:val="24"/>
      <w:szCs w:val="24"/>
      <w:lang w:val="es-ES_tradnl" w:eastAsia="es-MX"/>
      <w14:ligatures w14:val="none"/>
    </w:rPr>
  </w:style>
  <w:style w:type="paragraph" w:styleId="Piedepgina">
    <w:name w:val="footer"/>
    <w:basedOn w:val="Normal"/>
    <w:link w:val="PiedepginaCar"/>
    <w:uiPriority w:val="99"/>
    <w:unhideWhenUsed/>
    <w:rsid w:val="00B64EA4"/>
    <w:pPr>
      <w:tabs>
        <w:tab w:val="center" w:pos="4419"/>
        <w:tab w:val="right" w:pos="8838"/>
      </w:tabs>
    </w:pPr>
  </w:style>
  <w:style w:type="character" w:customStyle="1" w:styleId="PiedepginaCar">
    <w:name w:val="Pie de página Car"/>
    <w:basedOn w:val="Fuentedeprrafopredeter"/>
    <w:link w:val="Piedepgina"/>
    <w:uiPriority w:val="99"/>
    <w:rsid w:val="00B64EA4"/>
    <w:rPr>
      <w:rFonts w:ascii="Times New Roman" w:eastAsia="Times New Roman" w:hAnsi="Times New Roman" w:cs="Times New Roman"/>
      <w:kern w:val="0"/>
      <w:sz w:val="24"/>
      <w:szCs w:val="24"/>
      <w:lang w:val="es-ES_tradnl" w:eastAsia="es-MX"/>
      <w14:ligatures w14:val="none"/>
    </w:rPr>
  </w:style>
  <w:style w:type="character" w:styleId="Hipervnculovisitado">
    <w:name w:val="FollowedHyperlink"/>
    <w:basedOn w:val="Fuentedeprrafopredeter"/>
    <w:uiPriority w:val="99"/>
    <w:semiHidden/>
    <w:unhideWhenUsed/>
    <w:rsid w:val="00F7487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134626">
      <w:bodyDiv w:val="1"/>
      <w:marLeft w:val="0"/>
      <w:marRight w:val="0"/>
      <w:marTop w:val="0"/>
      <w:marBottom w:val="0"/>
      <w:divBdr>
        <w:top w:val="none" w:sz="0" w:space="0" w:color="auto"/>
        <w:left w:val="none" w:sz="0" w:space="0" w:color="auto"/>
        <w:bottom w:val="none" w:sz="0" w:space="0" w:color="auto"/>
        <w:right w:val="none" w:sz="0" w:space="0" w:color="auto"/>
      </w:divBdr>
    </w:div>
    <w:div w:id="118181911">
      <w:bodyDiv w:val="1"/>
      <w:marLeft w:val="0"/>
      <w:marRight w:val="0"/>
      <w:marTop w:val="0"/>
      <w:marBottom w:val="0"/>
      <w:divBdr>
        <w:top w:val="none" w:sz="0" w:space="0" w:color="auto"/>
        <w:left w:val="none" w:sz="0" w:space="0" w:color="auto"/>
        <w:bottom w:val="none" w:sz="0" w:space="0" w:color="auto"/>
        <w:right w:val="none" w:sz="0" w:space="0" w:color="auto"/>
      </w:divBdr>
    </w:div>
    <w:div w:id="126091604">
      <w:bodyDiv w:val="1"/>
      <w:marLeft w:val="0"/>
      <w:marRight w:val="0"/>
      <w:marTop w:val="0"/>
      <w:marBottom w:val="0"/>
      <w:divBdr>
        <w:top w:val="none" w:sz="0" w:space="0" w:color="auto"/>
        <w:left w:val="none" w:sz="0" w:space="0" w:color="auto"/>
        <w:bottom w:val="none" w:sz="0" w:space="0" w:color="auto"/>
        <w:right w:val="none" w:sz="0" w:space="0" w:color="auto"/>
      </w:divBdr>
    </w:div>
    <w:div w:id="128137613">
      <w:bodyDiv w:val="1"/>
      <w:marLeft w:val="0"/>
      <w:marRight w:val="0"/>
      <w:marTop w:val="0"/>
      <w:marBottom w:val="0"/>
      <w:divBdr>
        <w:top w:val="none" w:sz="0" w:space="0" w:color="auto"/>
        <w:left w:val="none" w:sz="0" w:space="0" w:color="auto"/>
        <w:bottom w:val="none" w:sz="0" w:space="0" w:color="auto"/>
        <w:right w:val="none" w:sz="0" w:space="0" w:color="auto"/>
      </w:divBdr>
    </w:div>
    <w:div w:id="165369527">
      <w:bodyDiv w:val="1"/>
      <w:marLeft w:val="0"/>
      <w:marRight w:val="0"/>
      <w:marTop w:val="0"/>
      <w:marBottom w:val="0"/>
      <w:divBdr>
        <w:top w:val="none" w:sz="0" w:space="0" w:color="auto"/>
        <w:left w:val="none" w:sz="0" w:space="0" w:color="auto"/>
        <w:bottom w:val="none" w:sz="0" w:space="0" w:color="auto"/>
        <w:right w:val="none" w:sz="0" w:space="0" w:color="auto"/>
      </w:divBdr>
    </w:div>
    <w:div w:id="214396104">
      <w:bodyDiv w:val="1"/>
      <w:marLeft w:val="0"/>
      <w:marRight w:val="0"/>
      <w:marTop w:val="0"/>
      <w:marBottom w:val="0"/>
      <w:divBdr>
        <w:top w:val="none" w:sz="0" w:space="0" w:color="auto"/>
        <w:left w:val="none" w:sz="0" w:space="0" w:color="auto"/>
        <w:bottom w:val="none" w:sz="0" w:space="0" w:color="auto"/>
        <w:right w:val="none" w:sz="0" w:space="0" w:color="auto"/>
      </w:divBdr>
    </w:div>
    <w:div w:id="305864048">
      <w:bodyDiv w:val="1"/>
      <w:marLeft w:val="0"/>
      <w:marRight w:val="0"/>
      <w:marTop w:val="0"/>
      <w:marBottom w:val="0"/>
      <w:divBdr>
        <w:top w:val="none" w:sz="0" w:space="0" w:color="auto"/>
        <w:left w:val="none" w:sz="0" w:space="0" w:color="auto"/>
        <w:bottom w:val="none" w:sz="0" w:space="0" w:color="auto"/>
        <w:right w:val="none" w:sz="0" w:space="0" w:color="auto"/>
      </w:divBdr>
    </w:div>
    <w:div w:id="409279392">
      <w:bodyDiv w:val="1"/>
      <w:marLeft w:val="0"/>
      <w:marRight w:val="0"/>
      <w:marTop w:val="0"/>
      <w:marBottom w:val="0"/>
      <w:divBdr>
        <w:top w:val="none" w:sz="0" w:space="0" w:color="auto"/>
        <w:left w:val="none" w:sz="0" w:space="0" w:color="auto"/>
        <w:bottom w:val="none" w:sz="0" w:space="0" w:color="auto"/>
        <w:right w:val="none" w:sz="0" w:space="0" w:color="auto"/>
      </w:divBdr>
    </w:div>
    <w:div w:id="698891617">
      <w:bodyDiv w:val="1"/>
      <w:marLeft w:val="0"/>
      <w:marRight w:val="0"/>
      <w:marTop w:val="0"/>
      <w:marBottom w:val="0"/>
      <w:divBdr>
        <w:top w:val="none" w:sz="0" w:space="0" w:color="auto"/>
        <w:left w:val="none" w:sz="0" w:space="0" w:color="auto"/>
        <w:bottom w:val="none" w:sz="0" w:space="0" w:color="auto"/>
        <w:right w:val="none" w:sz="0" w:space="0" w:color="auto"/>
      </w:divBdr>
      <w:divsChild>
        <w:div w:id="1412240485">
          <w:marLeft w:val="0"/>
          <w:marRight w:val="0"/>
          <w:marTop w:val="0"/>
          <w:marBottom w:val="101"/>
          <w:divBdr>
            <w:top w:val="none" w:sz="0" w:space="0" w:color="auto"/>
            <w:left w:val="none" w:sz="0" w:space="0" w:color="auto"/>
            <w:bottom w:val="none" w:sz="0" w:space="0" w:color="auto"/>
            <w:right w:val="none" w:sz="0" w:space="0" w:color="auto"/>
          </w:divBdr>
        </w:div>
        <w:div w:id="2104373422">
          <w:marLeft w:val="0"/>
          <w:marRight w:val="0"/>
          <w:marTop w:val="101"/>
          <w:marBottom w:val="101"/>
          <w:divBdr>
            <w:top w:val="none" w:sz="0" w:space="0" w:color="auto"/>
            <w:left w:val="none" w:sz="0" w:space="0" w:color="auto"/>
            <w:bottom w:val="none" w:sz="0" w:space="0" w:color="auto"/>
            <w:right w:val="none" w:sz="0" w:space="0" w:color="auto"/>
          </w:divBdr>
        </w:div>
      </w:divsChild>
    </w:div>
    <w:div w:id="725295131">
      <w:bodyDiv w:val="1"/>
      <w:marLeft w:val="0"/>
      <w:marRight w:val="0"/>
      <w:marTop w:val="0"/>
      <w:marBottom w:val="0"/>
      <w:divBdr>
        <w:top w:val="none" w:sz="0" w:space="0" w:color="auto"/>
        <w:left w:val="none" w:sz="0" w:space="0" w:color="auto"/>
        <w:bottom w:val="none" w:sz="0" w:space="0" w:color="auto"/>
        <w:right w:val="none" w:sz="0" w:space="0" w:color="auto"/>
      </w:divBdr>
    </w:div>
    <w:div w:id="786005779">
      <w:bodyDiv w:val="1"/>
      <w:marLeft w:val="0"/>
      <w:marRight w:val="0"/>
      <w:marTop w:val="0"/>
      <w:marBottom w:val="0"/>
      <w:divBdr>
        <w:top w:val="none" w:sz="0" w:space="0" w:color="auto"/>
        <w:left w:val="none" w:sz="0" w:space="0" w:color="auto"/>
        <w:bottom w:val="none" w:sz="0" w:space="0" w:color="auto"/>
        <w:right w:val="none" w:sz="0" w:space="0" w:color="auto"/>
      </w:divBdr>
    </w:div>
    <w:div w:id="791871931">
      <w:bodyDiv w:val="1"/>
      <w:marLeft w:val="0"/>
      <w:marRight w:val="0"/>
      <w:marTop w:val="0"/>
      <w:marBottom w:val="0"/>
      <w:divBdr>
        <w:top w:val="none" w:sz="0" w:space="0" w:color="auto"/>
        <w:left w:val="none" w:sz="0" w:space="0" w:color="auto"/>
        <w:bottom w:val="none" w:sz="0" w:space="0" w:color="auto"/>
        <w:right w:val="none" w:sz="0" w:space="0" w:color="auto"/>
      </w:divBdr>
    </w:div>
    <w:div w:id="802967648">
      <w:bodyDiv w:val="1"/>
      <w:marLeft w:val="0"/>
      <w:marRight w:val="0"/>
      <w:marTop w:val="0"/>
      <w:marBottom w:val="0"/>
      <w:divBdr>
        <w:top w:val="none" w:sz="0" w:space="0" w:color="auto"/>
        <w:left w:val="none" w:sz="0" w:space="0" w:color="auto"/>
        <w:bottom w:val="none" w:sz="0" w:space="0" w:color="auto"/>
        <w:right w:val="none" w:sz="0" w:space="0" w:color="auto"/>
      </w:divBdr>
      <w:divsChild>
        <w:div w:id="722601577">
          <w:marLeft w:val="0"/>
          <w:marRight w:val="0"/>
          <w:marTop w:val="0"/>
          <w:marBottom w:val="60"/>
          <w:divBdr>
            <w:top w:val="none" w:sz="0" w:space="0" w:color="auto"/>
            <w:left w:val="none" w:sz="0" w:space="0" w:color="auto"/>
            <w:bottom w:val="none" w:sz="0" w:space="0" w:color="auto"/>
            <w:right w:val="none" w:sz="0" w:space="0" w:color="auto"/>
          </w:divBdr>
        </w:div>
        <w:div w:id="1752580098">
          <w:marLeft w:val="0"/>
          <w:marRight w:val="0"/>
          <w:marTop w:val="0"/>
          <w:marBottom w:val="60"/>
          <w:divBdr>
            <w:top w:val="none" w:sz="0" w:space="0" w:color="auto"/>
            <w:left w:val="none" w:sz="0" w:space="0" w:color="auto"/>
            <w:bottom w:val="none" w:sz="0" w:space="0" w:color="auto"/>
            <w:right w:val="none" w:sz="0" w:space="0" w:color="auto"/>
          </w:divBdr>
        </w:div>
      </w:divsChild>
    </w:div>
    <w:div w:id="934020314">
      <w:bodyDiv w:val="1"/>
      <w:marLeft w:val="0"/>
      <w:marRight w:val="0"/>
      <w:marTop w:val="0"/>
      <w:marBottom w:val="0"/>
      <w:divBdr>
        <w:top w:val="none" w:sz="0" w:space="0" w:color="auto"/>
        <w:left w:val="none" w:sz="0" w:space="0" w:color="auto"/>
        <w:bottom w:val="none" w:sz="0" w:space="0" w:color="auto"/>
        <w:right w:val="none" w:sz="0" w:space="0" w:color="auto"/>
      </w:divBdr>
    </w:div>
    <w:div w:id="1201628273">
      <w:bodyDiv w:val="1"/>
      <w:marLeft w:val="0"/>
      <w:marRight w:val="0"/>
      <w:marTop w:val="0"/>
      <w:marBottom w:val="0"/>
      <w:divBdr>
        <w:top w:val="none" w:sz="0" w:space="0" w:color="auto"/>
        <w:left w:val="none" w:sz="0" w:space="0" w:color="auto"/>
        <w:bottom w:val="none" w:sz="0" w:space="0" w:color="auto"/>
        <w:right w:val="none" w:sz="0" w:space="0" w:color="auto"/>
      </w:divBdr>
    </w:div>
    <w:div w:id="1427192824">
      <w:bodyDiv w:val="1"/>
      <w:marLeft w:val="0"/>
      <w:marRight w:val="0"/>
      <w:marTop w:val="0"/>
      <w:marBottom w:val="0"/>
      <w:divBdr>
        <w:top w:val="none" w:sz="0" w:space="0" w:color="auto"/>
        <w:left w:val="none" w:sz="0" w:space="0" w:color="auto"/>
        <w:bottom w:val="none" w:sz="0" w:space="0" w:color="auto"/>
        <w:right w:val="none" w:sz="0" w:space="0" w:color="auto"/>
      </w:divBdr>
    </w:div>
    <w:div w:id="1457679106">
      <w:bodyDiv w:val="1"/>
      <w:marLeft w:val="0"/>
      <w:marRight w:val="0"/>
      <w:marTop w:val="0"/>
      <w:marBottom w:val="0"/>
      <w:divBdr>
        <w:top w:val="none" w:sz="0" w:space="0" w:color="auto"/>
        <w:left w:val="none" w:sz="0" w:space="0" w:color="auto"/>
        <w:bottom w:val="none" w:sz="0" w:space="0" w:color="auto"/>
        <w:right w:val="none" w:sz="0" w:space="0" w:color="auto"/>
      </w:divBdr>
    </w:div>
    <w:div w:id="1616716432">
      <w:bodyDiv w:val="1"/>
      <w:marLeft w:val="0"/>
      <w:marRight w:val="0"/>
      <w:marTop w:val="0"/>
      <w:marBottom w:val="0"/>
      <w:divBdr>
        <w:top w:val="none" w:sz="0" w:space="0" w:color="auto"/>
        <w:left w:val="none" w:sz="0" w:space="0" w:color="auto"/>
        <w:bottom w:val="none" w:sz="0" w:space="0" w:color="auto"/>
        <w:right w:val="none" w:sz="0" w:space="0" w:color="auto"/>
      </w:divBdr>
    </w:div>
    <w:div w:id="1621063885">
      <w:bodyDiv w:val="1"/>
      <w:marLeft w:val="0"/>
      <w:marRight w:val="0"/>
      <w:marTop w:val="0"/>
      <w:marBottom w:val="0"/>
      <w:divBdr>
        <w:top w:val="none" w:sz="0" w:space="0" w:color="auto"/>
        <w:left w:val="none" w:sz="0" w:space="0" w:color="auto"/>
        <w:bottom w:val="none" w:sz="0" w:space="0" w:color="auto"/>
        <w:right w:val="none" w:sz="0" w:space="0" w:color="auto"/>
      </w:divBdr>
    </w:div>
    <w:div w:id="1774935433">
      <w:bodyDiv w:val="1"/>
      <w:marLeft w:val="0"/>
      <w:marRight w:val="0"/>
      <w:marTop w:val="0"/>
      <w:marBottom w:val="0"/>
      <w:divBdr>
        <w:top w:val="none" w:sz="0" w:space="0" w:color="auto"/>
        <w:left w:val="none" w:sz="0" w:space="0" w:color="auto"/>
        <w:bottom w:val="none" w:sz="0" w:space="0" w:color="auto"/>
        <w:right w:val="none" w:sz="0" w:space="0" w:color="auto"/>
      </w:divBdr>
    </w:div>
    <w:div w:id="1779792344">
      <w:bodyDiv w:val="1"/>
      <w:marLeft w:val="0"/>
      <w:marRight w:val="0"/>
      <w:marTop w:val="0"/>
      <w:marBottom w:val="0"/>
      <w:divBdr>
        <w:top w:val="none" w:sz="0" w:space="0" w:color="auto"/>
        <w:left w:val="none" w:sz="0" w:space="0" w:color="auto"/>
        <w:bottom w:val="none" w:sz="0" w:space="0" w:color="auto"/>
        <w:right w:val="none" w:sz="0" w:space="0" w:color="auto"/>
      </w:divBdr>
    </w:div>
    <w:div w:id="1810786284">
      <w:bodyDiv w:val="1"/>
      <w:marLeft w:val="0"/>
      <w:marRight w:val="0"/>
      <w:marTop w:val="0"/>
      <w:marBottom w:val="0"/>
      <w:divBdr>
        <w:top w:val="none" w:sz="0" w:space="0" w:color="auto"/>
        <w:left w:val="none" w:sz="0" w:space="0" w:color="auto"/>
        <w:bottom w:val="none" w:sz="0" w:space="0" w:color="auto"/>
        <w:right w:val="none" w:sz="0" w:space="0" w:color="auto"/>
      </w:divBdr>
    </w:div>
    <w:div w:id="1874078020">
      <w:bodyDiv w:val="1"/>
      <w:marLeft w:val="0"/>
      <w:marRight w:val="0"/>
      <w:marTop w:val="0"/>
      <w:marBottom w:val="0"/>
      <w:divBdr>
        <w:top w:val="none" w:sz="0" w:space="0" w:color="auto"/>
        <w:left w:val="none" w:sz="0" w:space="0" w:color="auto"/>
        <w:bottom w:val="none" w:sz="0" w:space="0" w:color="auto"/>
        <w:right w:val="none" w:sz="0" w:space="0" w:color="auto"/>
      </w:divBdr>
    </w:div>
    <w:div w:id="1971394647">
      <w:bodyDiv w:val="1"/>
      <w:marLeft w:val="0"/>
      <w:marRight w:val="0"/>
      <w:marTop w:val="0"/>
      <w:marBottom w:val="0"/>
      <w:divBdr>
        <w:top w:val="none" w:sz="0" w:space="0" w:color="auto"/>
        <w:left w:val="none" w:sz="0" w:space="0" w:color="auto"/>
        <w:bottom w:val="none" w:sz="0" w:space="0" w:color="auto"/>
        <w:right w:val="none" w:sz="0" w:space="0" w:color="auto"/>
      </w:divBdr>
    </w:div>
    <w:div w:id="1980569305">
      <w:bodyDiv w:val="1"/>
      <w:marLeft w:val="0"/>
      <w:marRight w:val="0"/>
      <w:marTop w:val="0"/>
      <w:marBottom w:val="0"/>
      <w:divBdr>
        <w:top w:val="none" w:sz="0" w:space="0" w:color="auto"/>
        <w:left w:val="none" w:sz="0" w:space="0" w:color="auto"/>
        <w:bottom w:val="none" w:sz="0" w:space="0" w:color="auto"/>
        <w:right w:val="none" w:sz="0" w:space="0" w:color="auto"/>
      </w:divBdr>
    </w:div>
    <w:div w:id="2054423265">
      <w:bodyDiv w:val="1"/>
      <w:marLeft w:val="0"/>
      <w:marRight w:val="0"/>
      <w:marTop w:val="0"/>
      <w:marBottom w:val="0"/>
      <w:divBdr>
        <w:top w:val="none" w:sz="0" w:space="0" w:color="auto"/>
        <w:left w:val="none" w:sz="0" w:space="0" w:color="auto"/>
        <w:bottom w:val="none" w:sz="0" w:space="0" w:color="auto"/>
        <w:right w:val="none" w:sz="0" w:space="0" w:color="auto"/>
      </w:divBdr>
      <w:divsChild>
        <w:div w:id="90249551">
          <w:marLeft w:val="0"/>
          <w:marRight w:val="0"/>
          <w:marTop w:val="0"/>
          <w:marBottom w:val="101"/>
          <w:divBdr>
            <w:top w:val="none" w:sz="0" w:space="0" w:color="auto"/>
            <w:left w:val="none" w:sz="0" w:space="0" w:color="auto"/>
            <w:bottom w:val="none" w:sz="0" w:space="0" w:color="auto"/>
            <w:right w:val="none" w:sz="0" w:space="0" w:color="auto"/>
          </w:divBdr>
        </w:div>
        <w:div w:id="1902133622">
          <w:marLeft w:val="0"/>
          <w:marRight w:val="0"/>
          <w:marTop w:val="0"/>
          <w:marBottom w:val="101"/>
          <w:divBdr>
            <w:top w:val="none" w:sz="0" w:space="0" w:color="auto"/>
            <w:left w:val="none" w:sz="0" w:space="0" w:color="auto"/>
            <w:bottom w:val="none" w:sz="0" w:space="0" w:color="auto"/>
            <w:right w:val="none" w:sz="0" w:space="0" w:color="auto"/>
          </w:divBdr>
        </w:div>
        <w:div w:id="1521091079">
          <w:marLeft w:val="0"/>
          <w:marRight w:val="0"/>
          <w:marTop w:val="0"/>
          <w:marBottom w:val="101"/>
          <w:divBdr>
            <w:top w:val="none" w:sz="0" w:space="0" w:color="auto"/>
            <w:left w:val="none" w:sz="0" w:space="0" w:color="auto"/>
            <w:bottom w:val="none" w:sz="0" w:space="0" w:color="auto"/>
            <w:right w:val="none" w:sz="0" w:space="0" w:color="auto"/>
          </w:divBdr>
        </w:div>
        <w:div w:id="1570337131">
          <w:marLeft w:val="0"/>
          <w:marRight w:val="0"/>
          <w:marTop w:val="0"/>
          <w:marBottom w:val="101"/>
          <w:divBdr>
            <w:top w:val="none" w:sz="0" w:space="0" w:color="auto"/>
            <w:left w:val="none" w:sz="0" w:space="0" w:color="auto"/>
            <w:bottom w:val="none" w:sz="0" w:space="0" w:color="auto"/>
            <w:right w:val="none" w:sz="0" w:space="0" w:color="auto"/>
          </w:divBdr>
        </w:div>
        <w:div w:id="901868565">
          <w:marLeft w:val="0"/>
          <w:marRight w:val="0"/>
          <w:marTop w:val="0"/>
          <w:marBottom w:val="101"/>
          <w:divBdr>
            <w:top w:val="none" w:sz="0" w:space="0" w:color="auto"/>
            <w:left w:val="none" w:sz="0" w:space="0" w:color="auto"/>
            <w:bottom w:val="none" w:sz="0" w:space="0" w:color="auto"/>
            <w:right w:val="none" w:sz="0" w:space="0" w:color="auto"/>
          </w:divBdr>
        </w:div>
        <w:div w:id="308675958">
          <w:marLeft w:val="0"/>
          <w:marRight w:val="0"/>
          <w:marTop w:val="0"/>
          <w:marBottom w:val="101"/>
          <w:divBdr>
            <w:top w:val="none" w:sz="0" w:space="0" w:color="auto"/>
            <w:left w:val="none" w:sz="0" w:space="0" w:color="auto"/>
            <w:bottom w:val="none" w:sz="0" w:space="0" w:color="auto"/>
            <w:right w:val="none" w:sz="0" w:space="0" w:color="auto"/>
          </w:divBdr>
        </w:div>
      </w:divsChild>
    </w:div>
    <w:div w:id="212391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putados.gob.mx/LeyesBiblio/ref/lge/LGE_ref01_20dic23.pdf" TargetMode="External"/><Relationship Id="rId13" Type="http://schemas.openxmlformats.org/officeDocument/2006/relationships/hyperlink" Target="http://sil.gobernacion.gob.mx/Librerias/pp_ReporteSeguimiento.php?SID=&amp;Seguimiento=4184772&amp;Asunto=4180467" TargetMode="External"/><Relationship Id="rId3" Type="http://schemas.openxmlformats.org/officeDocument/2006/relationships/settings" Target="settings.xml"/><Relationship Id="rId7" Type="http://schemas.openxmlformats.org/officeDocument/2006/relationships/hyperlink" Target="https://www.diputados.gob.mx/LeyesBiblio/ref/lge/LGE_orig_30sep19.pdf" TargetMode="External"/><Relationship Id="rId12" Type="http://schemas.openxmlformats.org/officeDocument/2006/relationships/hyperlink" Target="https://dof.gob.mx/nota_detalle.php?codigo=5623969&amp;fecha=15/07/202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putados.gob.mx/LeyesBiblio/ref/lnsijpa/LNSIJPA_ref02_20dic22.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diputados.gob.mx/LeyesBiblio/ref/lnsijpa/LNSIJPA_ref01_01dic20.pdf" TargetMode="External"/><Relationship Id="rId4" Type="http://schemas.openxmlformats.org/officeDocument/2006/relationships/webSettings" Target="webSettings.xml"/><Relationship Id="rId9" Type="http://schemas.openxmlformats.org/officeDocument/2006/relationships/hyperlink" Target="https://www.diputados.gob.mx/LeyesBiblio/ref/lge/LGE_ref02_01abr24.pdf"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958</Words>
  <Characters>5273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Saldaña Rebollar Cyntia Karina</dc:creator>
  <cp:keywords/>
  <dc:description/>
  <cp:lastModifiedBy>Alcazar Ylizaliturri, Jessica</cp:lastModifiedBy>
  <cp:revision>10</cp:revision>
  <dcterms:created xsi:type="dcterms:W3CDTF">2024-06-12T23:59:00Z</dcterms:created>
  <dcterms:modified xsi:type="dcterms:W3CDTF">2024-07-15T20:05:00Z</dcterms:modified>
</cp:coreProperties>
</file>