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9AAADB" w14:textId="77777777" w:rsidR="00092F12" w:rsidRPr="00BA225C" w:rsidRDefault="00092F12" w:rsidP="0096627F">
      <w:pPr>
        <w:tabs>
          <w:tab w:val="left" w:pos="3411"/>
        </w:tabs>
        <w:spacing w:line="240" w:lineRule="auto"/>
      </w:pPr>
      <w:bookmarkStart w:id="0" w:name="_GoBack"/>
      <w:bookmarkEnd w:id="0"/>
      <w:r>
        <w:tab/>
      </w:r>
    </w:p>
    <w:p w14:paraId="1A9988AD" w14:textId="77777777" w:rsidR="00092F12" w:rsidRPr="00452515" w:rsidRDefault="005E1472" w:rsidP="0096627F">
      <w:pPr>
        <w:spacing w:line="240" w:lineRule="auto"/>
      </w:pPr>
      <w:r>
        <w:rPr>
          <w:noProof/>
          <w:szCs w:val="20"/>
          <w:lang w:val="en-GB" w:eastAsia="en-GB"/>
        </w:rPr>
        <mc:AlternateContent>
          <mc:Choice Requires="wps">
            <w:drawing>
              <wp:anchor distT="0" distB="0" distL="114300" distR="114300" simplePos="0" relativeHeight="251657728" behindDoc="0" locked="0" layoutInCell="1" allowOverlap="1" wp14:anchorId="151F7CBF" wp14:editId="740179FC">
                <wp:simplePos x="0" y="0"/>
                <wp:positionH relativeFrom="page">
                  <wp:posOffset>3200400</wp:posOffset>
                </wp:positionH>
                <wp:positionV relativeFrom="page">
                  <wp:posOffset>4343400</wp:posOffset>
                </wp:positionV>
                <wp:extent cx="4457700" cy="4914900"/>
                <wp:effectExtent l="0" t="0" r="1270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4914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06A2B3" w14:textId="4E48DBEA" w:rsidR="003C4B78" w:rsidRPr="005E1472" w:rsidRDefault="003B74E6" w:rsidP="005E1472">
                            <w:pPr>
                              <w:pStyle w:val="Coversubtitle"/>
                              <w:spacing w:before="0"/>
                              <w:rPr>
                                <w:b/>
                                <w:sz w:val="44"/>
                                <w:szCs w:val="44"/>
                              </w:rPr>
                            </w:pPr>
                            <w:r>
                              <w:rPr>
                                <w:b/>
                                <w:sz w:val="44"/>
                                <w:szCs w:val="44"/>
                              </w:rPr>
                              <w:t>Shadow Report </w:t>
                            </w:r>
                            <w:r w:rsidR="003C4B78" w:rsidRPr="005E1472">
                              <w:rPr>
                                <w:b/>
                                <w:sz w:val="44"/>
                                <w:szCs w:val="44"/>
                              </w:rPr>
                              <w:t xml:space="preserve">of  </w:t>
                            </w:r>
                            <w:r w:rsidR="006E5F81">
                              <w:rPr>
                                <w:b/>
                                <w:sz w:val="44"/>
                                <w:szCs w:val="44"/>
                              </w:rPr>
                              <w:t xml:space="preserve">            </w:t>
                            </w:r>
                            <w:r w:rsidR="0044556B">
                              <w:rPr>
                                <w:b/>
                                <w:sz w:val="44"/>
                                <w:szCs w:val="44"/>
                              </w:rPr>
                              <w:t xml:space="preserve"> </w:t>
                            </w:r>
                            <w:r w:rsidR="006E5F81">
                              <w:rPr>
                                <w:b/>
                                <w:sz w:val="44"/>
                                <w:szCs w:val="44"/>
                              </w:rPr>
                              <w:t xml:space="preserve"> </w:t>
                            </w:r>
                            <w:r w:rsidR="00E377C4">
                              <w:rPr>
                                <w:b/>
                                <w:sz w:val="44"/>
                                <w:szCs w:val="44"/>
                              </w:rPr>
                              <w:t xml:space="preserve">   </w:t>
                            </w:r>
                            <w:r>
                              <w:rPr>
                                <w:b/>
                                <w:sz w:val="44"/>
                                <w:szCs w:val="44"/>
                              </w:rPr>
                              <w:t>The Sentencing </w:t>
                            </w:r>
                            <w:r w:rsidR="003C4B78" w:rsidRPr="005E1472">
                              <w:rPr>
                                <w:b/>
                                <w:sz w:val="44"/>
                                <w:szCs w:val="44"/>
                              </w:rPr>
                              <w:t>Project</w:t>
                            </w:r>
                          </w:p>
                          <w:p w14:paraId="5C9C64B3" w14:textId="2BF3A39B" w:rsidR="003C4B78" w:rsidRPr="005E1472" w:rsidRDefault="003B74E6" w:rsidP="00947B2D">
                            <w:pPr>
                              <w:pStyle w:val="Coversubtitle"/>
                              <w:spacing w:before="0"/>
                              <w:rPr>
                                <w:b/>
                                <w:sz w:val="44"/>
                                <w:szCs w:val="44"/>
                              </w:rPr>
                            </w:pPr>
                            <w:proofErr w:type="gramStart"/>
                            <w:r>
                              <w:rPr>
                                <w:b/>
                                <w:sz w:val="44"/>
                                <w:szCs w:val="44"/>
                              </w:rPr>
                              <w:t>to</w:t>
                            </w:r>
                            <w:proofErr w:type="gramEnd"/>
                            <w:r>
                              <w:rPr>
                                <w:b/>
                                <w:sz w:val="44"/>
                                <w:szCs w:val="44"/>
                              </w:rPr>
                              <w:t> the Committee on the Elimination of </w:t>
                            </w:r>
                            <w:r w:rsidR="00947B2D">
                              <w:rPr>
                                <w:b/>
                                <w:sz w:val="44"/>
                                <w:szCs w:val="44"/>
                              </w:rPr>
                              <w:t>Racial Discrimination</w:t>
                            </w:r>
                          </w:p>
                          <w:p w14:paraId="76CFFF4A" w14:textId="77777777" w:rsidR="0083619B" w:rsidRDefault="003C4B78" w:rsidP="00627BCF">
                            <w:pPr>
                              <w:pStyle w:val="Coversubtitle"/>
                            </w:pPr>
                            <w:r w:rsidRPr="00627BCF">
                              <w:t>Regarding Racial Disparities in the United States Criminal Justice System</w:t>
                            </w:r>
                          </w:p>
                          <w:p w14:paraId="2481B90A" w14:textId="77777777" w:rsidR="002773ED" w:rsidRDefault="002773ED" w:rsidP="00627BCF">
                            <w:pPr>
                              <w:pStyle w:val="Coversubtitle"/>
                            </w:pPr>
                          </w:p>
                          <w:p w14:paraId="1FA4718D" w14:textId="77777777" w:rsidR="002773ED" w:rsidRDefault="002773ED" w:rsidP="00627BCF">
                            <w:pPr>
                              <w:pStyle w:val="Coversubtitle"/>
                            </w:pPr>
                            <w:r>
                              <w:t>July 2014</w:t>
                            </w:r>
                          </w:p>
                          <w:p w14:paraId="02A4FB8D" w14:textId="77777777" w:rsidR="0083619B" w:rsidRDefault="0083619B" w:rsidP="00627BCF">
                            <w:pPr>
                              <w:pStyle w:val="Coversubtitle"/>
                            </w:pPr>
                          </w:p>
                          <w:p w14:paraId="0E531516" w14:textId="77777777" w:rsidR="0083619B" w:rsidRPr="002773ED" w:rsidRDefault="0083619B" w:rsidP="00627BCF">
                            <w:pPr>
                              <w:pStyle w:val="Coversubtitle"/>
                              <w:contextualSpacing/>
                              <w:rPr>
                                <w:sz w:val="24"/>
                                <w:szCs w:val="24"/>
                                <w:u w:val="single"/>
                              </w:rPr>
                            </w:pPr>
                            <w:r w:rsidRPr="002773ED">
                              <w:rPr>
                                <w:sz w:val="24"/>
                                <w:szCs w:val="24"/>
                                <w:u w:val="single"/>
                              </w:rPr>
                              <w:t>In Collaboration With</w:t>
                            </w:r>
                            <w:r w:rsidRPr="002773ED">
                              <w:rPr>
                                <w:sz w:val="24"/>
                                <w:szCs w:val="24"/>
                              </w:rPr>
                              <w:t>:</w:t>
                            </w:r>
                          </w:p>
                          <w:p w14:paraId="245C9DB3" w14:textId="77777777" w:rsidR="002773ED" w:rsidRPr="0083619B" w:rsidRDefault="002773ED" w:rsidP="00627BCF">
                            <w:pPr>
                              <w:pStyle w:val="Coversubtitle"/>
                              <w:contextualSpacing/>
                              <w:rPr>
                                <w:rFonts w:ascii="AGaramond" w:hAnsi="AGaramond"/>
                                <w:sz w:val="24"/>
                                <w:szCs w:val="24"/>
                              </w:rPr>
                            </w:pPr>
                            <w:r w:rsidRPr="0083619B">
                              <w:rPr>
                                <w:rFonts w:ascii="AGaramond" w:hAnsi="AGaramond"/>
                                <w:sz w:val="24"/>
                                <w:szCs w:val="24"/>
                              </w:rPr>
                              <w:t>Corre</w:t>
                            </w:r>
                            <w:r>
                              <w:rPr>
                                <w:rFonts w:ascii="AGaramond" w:hAnsi="AGaramond"/>
                                <w:sz w:val="24"/>
                                <w:szCs w:val="24"/>
                              </w:rPr>
                              <w:t>ctional Association of New York</w:t>
                            </w:r>
                          </w:p>
                          <w:p w14:paraId="101AA90F" w14:textId="77777777" w:rsidR="0083619B" w:rsidRPr="0083619B" w:rsidRDefault="0083619B" w:rsidP="00627BCF">
                            <w:pPr>
                              <w:pStyle w:val="Coversubtitle"/>
                              <w:contextualSpacing/>
                              <w:rPr>
                                <w:rFonts w:ascii="AGaramond" w:hAnsi="AGaramond"/>
                                <w:sz w:val="24"/>
                                <w:szCs w:val="24"/>
                              </w:rPr>
                            </w:pPr>
                            <w:r w:rsidRPr="0083619B">
                              <w:rPr>
                                <w:rFonts w:ascii="AGaramond" w:hAnsi="AGaramond"/>
                                <w:sz w:val="24"/>
                                <w:szCs w:val="24"/>
                              </w:rPr>
                              <w:t>Drug Policy Alliance</w:t>
                            </w:r>
                          </w:p>
                          <w:p w14:paraId="69D44D6F" w14:textId="77777777" w:rsidR="0083619B" w:rsidRDefault="0083619B" w:rsidP="00627BCF">
                            <w:pPr>
                              <w:pStyle w:val="Coversubtitle"/>
                              <w:contextualSpacing/>
                              <w:rPr>
                                <w:rFonts w:ascii="AGaramond" w:hAnsi="AGaramond"/>
                                <w:sz w:val="24"/>
                                <w:szCs w:val="24"/>
                              </w:rPr>
                            </w:pPr>
                            <w:r w:rsidRPr="0083619B">
                              <w:rPr>
                                <w:rFonts w:ascii="AGaramond" w:hAnsi="AGaramond"/>
                                <w:sz w:val="24"/>
                                <w:szCs w:val="24"/>
                              </w:rPr>
                              <w:t>Grassroots Leadership</w:t>
                            </w:r>
                          </w:p>
                          <w:p w14:paraId="1CE4B79B" w14:textId="0D6470F4" w:rsidR="001E3122" w:rsidRDefault="001E3122" w:rsidP="00627BCF">
                            <w:pPr>
                              <w:pStyle w:val="Coversubtitle"/>
                              <w:contextualSpacing/>
                              <w:rPr>
                                <w:rFonts w:ascii="AGaramond" w:hAnsi="AGaramond"/>
                                <w:sz w:val="24"/>
                                <w:szCs w:val="24"/>
                              </w:rPr>
                            </w:pPr>
                            <w:r>
                              <w:rPr>
                                <w:rFonts w:ascii="AGaramond" w:hAnsi="AGaramond"/>
                                <w:sz w:val="24"/>
                                <w:szCs w:val="24"/>
                              </w:rPr>
                              <w:t>Justice Strategies</w:t>
                            </w:r>
                          </w:p>
                          <w:p w14:paraId="7C0FAD08" w14:textId="37BB8895" w:rsidR="00D663F6" w:rsidRDefault="00D663F6" w:rsidP="00627BCF">
                            <w:pPr>
                              <w:pStyle w:val="Coversubtitle"/>
                              <w:contextualSpacing/>
                              <w:rPr>
                                <w:rFonts w:ascii="AGaramond" w:hAnsi="AGaramond"/>
                                <w:sz w:val="24"/>
                                <w:szCs w:val="24"/>
                              </w:rPr>
                            </w:pPr>
                            <w:r>
                              <w:rPr>
                                <w:rFonts w:ascii="AGaramond" w:hAnsi="AGaramond"/>
                                <w:sz w:val="24"/>
                                <w:szCs w:val="24"/>
                              </w:rPr>
                              <w:t xml:space="preserve">Lawyers’ Committee for Civil Rights </w:t>
                            </w:r>
                            <w:proofErr w:type="gramStart"/>
                            <w:r>
                              <w:rPr>
                                <w:rFonts w:ascii="AGaramond" w:hAnsi="AGaramond"/>
                                <w:sz w:val="24"/>
                                <w:szCs w:val="24"/>
                              </w:rPr>
                              <w:t>Under</w:t>
                            </w:r>
                            <w:proofErr w:type="gramEnd"/>
                            <w:r>
                              <w:rPr>
                                <w:rFonts w:ascii="AGaramond" w:hAnsi="AGaramond"/>
                                <w:sz w:val="24"/>
                                <w:szCs w:val="24"/>
                              </w:rPr>
                              <w:t xml:space="preserve"> Law</w:t>
                            </w:r>
                          </w:p>
                          <w:p w14:paraId="1F9660AB" w14:textId="67074BF2" w:rsidR="00ED78C0" w:rsidRPr="0083619B" w:rsidRDefault="00ED78C0" w:rsidP="00627BCF">
                            <w:pPr>
                              <w:pStyle w:val="Coversubtitle"/>
                              <w:contextualSpacing/>
                              <w:rPr>
                                <w:rFonts w:ascii="AGaramond" w:hAnsi="AGaramond"/>
                                <w:sz w:val="24"/>
                                <w:szCs w:val="24"/>
                              </w:rPr>
                            </w:pPr>
                            <w:r>
                              <w:rPr>
                                <w:rFonts w:ascii="AGaramond" w:hAnsi="AGaramond"/>
                                <w:sz w:val="24"/>
                                <w:szCs w:val="24"/>
                              </w:rPr>
                              <w:t>The Leadership Conference on Civil and Human Rights</w:t>
                            </w:r>
                          </w:p>
                          <w:p w14:paraId="1EC8A644" w14:textId="77777777" w:rsidR="0044556B" w:rsidRDefault="0044556B" w:rsidP="00627BCF">
                            <w:pPr>
                              <w:pStyle w:val="Coversubtitle"/>
                              <w:contextualSpacing/>
                              <w:rPr>
                                <w:rFonts w:ascii="AGaramond" w:hAnsi="AGaramond"/>
                                <w:sz w:val="24"/>
                                <w:szCs w:val="24"/>
                              </w:rPr>
                            </w:pPr>
                            <w:r>
                              <w:rPr>
                                <w:rFonts w:ascii="AGaramond" w:hAnsi="AGaramond"/>
                                <w:sz w:val="24"/>
                                <w:szCs w:val="24"/>
                              </w:rPr>
                              <w:t>National Association for the Advancement of Colored People (NAACP)</w:t>
                            </w:r>
                          </w:p>
                          <w:p w14:paraId="4A6169A9" w14:textId="4B29B364" w:rsidR="00D663F6" w:rsidRDefault="00D663F6" w:rsidP="00627BCF">
                            <w:pPr>
                              <w:pStyle w:val="Coversubtitle"/>
                              <w:contextualSpacing/>
                              <w:rPr>
                                <w:rFonts w:ascii="AGaramond" w:hAnsi="AGaramond"/>
                                <w:sz w:val="24"/>
                                <w:szCs w:val="24"/>
                              </w:rPr>
                            </w:pPr>
                            <w:r w:rsidRPr="0083619B">
                              <w:rPr>
                                <w:rFonts w:ascii="AGaramond" w:hAnsi="AGaramond"/>
                                <w:sz w:val="24"/>
                                <w:szCs w:val="24"/>
                              </w:rPr>
                              <w:t>National Law Center on Homelessness &amp; Poverty</w:t>
                            </w:r>
                          </w:p>
                          <w:p w14:paraId="129F3ED8" w14:textId="77777777" w:rsidR="0083619B" w:rsidRPr="0083619B" w:rsidRDefault="0083619B" w:rsidP="00627BCF">
                            <w:pPr>
                              <w:pStyle w:val="Coversubtitle"/>
                              <w:contextualSpacing/>
                              <w:rPr>
                                <w:rFonts w:ascii="AGaramond" w:hAnsi="AGaramond"/>
                                <w:sz w:val="24"/>
                                <w:szCs w:val="24"/>
                              </w:rPr>
                            </w:pPr>
                            <w:r w:rsidRPr="0083619B">
                              <w:rPr>
                                <w:rFonts w:ascii="AGaramond" w:hAnsi="AGaramond"/>
                                <w:sz w:val="24"/>
                                <w:szCs w:val="24"/>
                              </w:rPr>
                              <w:t>New Jim Crow Action Group – Atlanta</w:t>
                            </w:r>
                          </w:p>
                          <w:p w14:paraId="023AAA88" w14:textId="77777777" w:rsidR="002773ED" w:rsidRDefault="002773ED" w:rsidP="00627BCF">
                            <w:pPr>
                              <w:pStyle w:val="Coversubtitle"/>
                              <w:contextualSpacing/>
                              <w:rPr>
                                <w:rFonts w:ascii="AGaramond" w:hAnsi="AGaramond"/>
                                <w:sz w:val="24"/>
                                <w:szCs w:val="24"/>
                              </w:rPr>
                            </w:pPr>
                            <w:r w:rsidRPr="0083619B">
                              <w:rPr>
                                <w:rFonts w:ascii="AGaramond" w:hAnsi="AGaramond"/>
                                <w:sz w:val="24"/>
                                <w:szCs w:val="24"/>
                              </w:rPr>
                              <w:t>Southern Center for Human Rights</w:t>
                            </w:r>
                          </w:p>
                          <w:p w14:paraId="1FACD084" w14:textId="77777777" w:rsidR="002773ED" w:rsidRPr="0083619B" w:rsidRDefault="002773ED" w:rsidP="002773ED">
                            <w:pPr>
                              <w:pStyle w:val="Coversubtitle"/>
                              <w:contextualSpacing/>
                              <w:rPr>
                                <w:rFonts w:ascii="AGaramond" w:hAnsi="AGaramond"/>
                                <w:sz w:val="24"/>
                                <w:szCs w:val="24"/>
                              </w:rPr>
                            </w:pPr>
                            <w:r w:rsidRPr="0083619B">
                              <w:rPr>
                                <w:rFonts w:ascii="AGaramond" w:hAnsi="AGaramond"/>
                                <w:sz w:val="24"/>
                                <w:szCs w:val="24"/>
                              </w:rPr>
                              <w:t>United Methodist Church, General Board of Church and Society</w:t>
                            </w:r>
                          </w:p>
                          <w:p w14:paraId="43C818C5" w14:textId="77777777" w:rsidR="002773ED" w:rsidRPr="0083619B" w:rsidRDefault="002773ED" w:rsidP="00627BCF">
                            <w:pPr>
                              <w:pStyle w:val="Coversubtitle"/>
                              <w:contextualSpacing/>
                              <w:rPr>
                                <w:rFonts w:ascii="AGaramond" w:hAnsi="AGaramond"/>
                                <w:sz w:val="24"/>
                                <w:szCs w:val="24"/>
                              </w:rPr>
                            </w:pPr>
                          </w:p>
                          <w:p w14:paraId="6E6B0C9D" w14:textId="77777777" w:rsidR="003C4B78" w:rsidRPr="00627BCF" w:rsidRDefault="003C4B78" w:rsidP="00627BCF">
                            <w:pPr>
                              <w:pStyle w:val="Coversubtitle"/>
                            </w:pPr>
                            <w:r w:rsidRPr="00627BCF">
                              <w:br/>
                            </w:r>
                          </w:p>
                          <w:p w14:paraId="1BCFD514" w14:textId="77777777" w:rsidR="003C4B78" w:rsidRPr="00A42842" w:rsidRDefault="003C4B78" w:rsidP="00627BCF">
                            <w:pPr>
                              <w:pStyle w:val="Coversubtitle"/>
                            </w:pPr>
                            <w:r w:rsidRPr="002E5A2B">
                              <w:rPr>
                                <w:sz w:val="16"/>
                                <w:szCs w:val="16"/>
                              </w:rPr>
                              <w:br/>
                            </w:r>
                          </w:p>
                          <w:p w14:paraId="0F2E256E" w14:textId="77777777" w:rsidR="003C4B78" w:rsidRDefault="003C4B78" w:rsidP="00092F12">
                            <w:pPr>
                              <w:pStyle w:val="coverauthorandda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2pt;margin-top:342pt;width:351pt;height:38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" stroked="f">
                <v:textbox inset="0,0,0,0">
                  <w:txbxContent>
                    <w:p w14:paraId="1F06A2B3" w14:textId="4E48DBEA" w:rsidR="003C4B78" w:rsidRPr="005E1472" w:rsidRDefault="003B74E6" w:rsidP="005E1472">
                      <w:pPr>
                        <w:pStyle w:val="Coversubtitle"/>
                        <w:spacing w:before="0"/>
                        <w:rPr>
                          <w:b/>
                          <w:sz w:val="44"/>
                          <w:szCs w:val="44"/>
                        </w:rPr>
                      </w:pPr>
                      <w:r>
                        <w:rPr>
                          <w:b/>
                          <w:sz w:val="44"/>
                          <w:szCs w:val="44"/>
                        </w:rPr>
                        <w:t>Shadow Report </w:t>
                      </w:r>
                      <w:r w:rsidR="003C4B78" w:rsidRPr="005E1472">
                        <w:rPr>
                          <w:b/>
                          <w:sz w:val="44"/>
                          <w:szCs w:val="44"/>
                        </w:rPr>
                        <w:t xml:space="preserve">of  </w:t>
                      </w:r>
                      <w:r w:rsidR="006E5F81">
                        <w:rPr>
                          <w:b/>
                          <w:sz w:val="44"/>
                          <w:szCs w:val="44"/>
                        </w:rPr>
                        <w:t xml:space="preserve">            </w:t>
                      </w:r>
                      <w:r w:rsidR="0044556B">
                        <w:rPr>
                          <w:b/>
                          <w:sz w:val="44"/>
                          <w:szCs w:val="44"/>
                        </w:rPr>
                        <w:t xml:space="preserve"> </w:t>
                      </w:r>
                      <w:r w:rsidR="006E5F81">
                        <w:rPr>
                          <w:b/>
                          <w:sz w:val="44"/>
                          <w:szCs w:val="44"/>
                        </w:rPr>
                        <w:t xml:space="preserve"> </w:t>
                      </w:r>
                      <w:r w:rsidR="00E377C4">
                        <w:rPr>
                          <w:b/>
                          <w:sz w:val="44"/>
                          <w:szCs w:val="44"/>
                        </w:rPr>
                        <w:t xml:space="preserve">   </w:t>
                      </w:r>
                      <w:r>
                        <w:rPr>
                          <w:b/>
                          <w:sz w:val="44"/>
                          <w:szCs w:val="44"/>
                        </w:rPr>
                        <w:t>The Sentencing </w:t>
                      </w:r>
                      <w:r w:rsidR="003C4B78" w:rsidRPr="005E1472">
                        <w:rPr>
                          <w:b/>
                          <w:sz w:val="44"/>
                          <w:szCs w:val="44"/>
                        </w:rPr>
                        <w:t>Project</w:t>
                      </w:r>
                    </w:p>
                    <w:p w14:paraId="5C9C64B3" w14:textId="2BF3A39B" w:rsidR="003C4B78" w:rsidRPr="005E1472" w:rsidRDefault="003B74E6" w:rsidP="00947B2D">
                      <w:pPr>
                        <w:pStyle w:val="Coversubtitle"/>
                        <w:spacing w:before="0"/>
                        <w:rPr>
                          <w:b/>
                          <w:sz w:val="44"/>
                          <w:szCs w:val="44"/>
                        </w:rPr>
                      </w:pPr>
                      <w:proofErr w:type="gramStart"/>
                      <w:r>
                        <w:rPr>
                          <w:b/>
                          <w:sz w:val="44"/>
                          <w:szCs w:val="44"/>
                        </w:rPr>
                        <w:t>to</w:t>
                      </w:r>
                      <w:proofErr w:type="gramEnd"/>
                      <w:r>
                        <w:rPr>
                          <w:b/>
                          <w:sz w:val="44"/>
                          <w:szCs w:val="44"/>
                        </w:rPr>
                        <w:t> the Committee on the Elimination of </w:t>
                      </w:r>
                      <w:r w:rsidR="00947B2D">
                        <w:rPr>
                          <w:b/>
                          <w:sz w:val="44"/>
                          <w:szCs w:val="44"/>
                        </w:rPr>
                        <w:t>Racial Discrimination</w:t>
                      </w:r>
                    </w:p>
                    <w:p w14:paraId="76CFFF4A" w14:textId="77777777" w:rsidR="0083619B" w:rsidRDefault="003C4B78" w:rsidP="00627BCF">
                      <w:pPr>
                        <w:pStyle w:val="Coversubtitle"/>
                      </w:pPr>
                      <w:r w:rsidRPr="00627BCF">
                        <w:t>Regarding Racial Disparities in the United States Criminal Justice System</w:t>
                      </w:r>
                    </w:p>
                    <w:p w14:paraId="2481B90A" w14:textId="77777777" w:rsidR="002773ED" w:rsidRDefault="002773ED" w:rsidP="00627BCF">
                      <w:pPr>
                        <w:pStyle w:val="Coversubtitle"/>
                      </w:pPr>
                    </w:p>
                    <w:p w14:paraId="1FA4718D" w14:textId="77777777" w:rsidR="002773ED" w:rsidRDefault="002773ED" w:rsidP="00627BCF">
                      <w:pPr>
                        <w:pStyle w:val="Coversubtitle"/>
                      </w:pPr>
                      <w:r>
                        <w:t>July 2014</w:t>
                      </w:r>
                    </w:p>
                    <w:p w14:paraId="02A4FB8D" w14:textId="77777777" w:rsidR="0083619B" w:rsidRDefault="0083619B" w:rsidP="00627BCF">
                      <w:pPr>
                        <w:pStyle w:val="Coversubtitle"/>
                      </w:pPr>
                    </w:p>
                    <w:p w14:paraId="0E531516" w14:textId="77777777" w:rsidR="0083619B" w:rsidRPr="002773ED" w:rsidRDefault="0083619B" w:rsidP="00627BCF">
                      <w:pPr>
                        <w:pStyle w:val="Coversubtitle"/>
                        <w:contextualSpacing/>
                        <w:rPr>
                          <w:sz w:val="24"/>
                          <w:szCs w:val="24"/>
                          <w:u w:val="single"/>
                        </w:rPr>
                      </w:pPr>
                      <w:r w:rsidRPr="002773ED">
                        <w:rPr>
                          <w:sz w:val="24"/>
                          <w:szCs w:val="24"/>
                          <w:u w:val="single"/>
                        </w:rPr>
                        <w:t>In Collaboration With</w:t>
                      </w:r>
                      <w:r w:rsidRPr="002773ED">
                        <w:rPr>
                          <w:sz w:val="24"/>
                          <w:szCs w:val="24"/>
                        </w:rPr>
                        <w:t>:</w:t>
                      </w:r>
                    </w:p>
                    <w:p w14:paraId="245C9DB3" w14:textId="77777777" w:rsidR="002773ED" w:rsidRPr="0083619B" w:rsidRDefault="002773ED" w:rsidP="00627BCF">
                      <w:pPr>
                        <w:pStyle w:val="Coversubtitle"/>
                        <w:contextualSpacing/>
                        <w:rPr>
                          <w:rFonts w:ascii="AGaramond" w:hAnsi="AGaramond"/>
                          <w:sz w:val="24"/>
                          <w:szCs w:val="24"/>
                        </w:rPr>
                      </w:pPr>
                      <w:r w:rsidRPr="0083619B">
                        <w:rPr>
                          <w:rFonts w:ascii="AGaramond" w:hAnsi="AGaramond"/>
                          <w:sz w:val="24"/>
                          <w:szCs w:val="24"/>
                        </w:rPr>
                        <w:t>Corre</w:t>
                      </w:r>
                      <w:r>
                        <w:rPr>
                          <w:rFonts w:ascii="AGaramond" w:hAnsi="AGaramond"/>
                          <w:sz w:val="24"/>
                          <w:szCs w:val="24"/>
                        </w:rPr>
                        <w:t>ctional Association of New York</w:t>
                      </w:r>
                    </w:p>
                    <w:p w14:paraId="101AA90F" w14:textId="77777777" w:rsidR="0083619B" w:rsidRPr="0083619B" w:rsidRDefault="0083619B" w:rsidP="00627BCF">
                      <w:pPr>
                        <w:pStyle w:val="Coversubtitle"/>
                        <w:contextualSpacing/>
                        <w:rPr>
                          <w:rFonts w:ascii="AGaramond" w:hAnsi="AGaramond"/>
                          <w:sz w:val="24"/>
                          <w:szCs w:val="24"/>
                        </w:rPr>
                      </w:pPr>
                      <w:r w:rsidRPr="0083619B">
                        <w:rPr>
                          <w:rFonts w:ascii="AGaramond" w:hAnsi="AGaramond"/>
                          <w:sz w:val="24"/>
                          <w:szCs w:val="24"/>
                        </w:rPr>
                        <w:t>Drug Policy Alliance</w:t>
                      </w:r>
                    </w:p>
                    <w:p w14:paraId="69D44D6F" w14:textId="77777777" w:rsidR="0083619B" w:rsidRDefault="0083619B" w:rsidP="00627BCF">
                      <w:pPr>
                        <w:pStyle w:val="Coversubtitle"/>
                        <w:contextualSpacing/>
                        <w:rPr>
                          <w:rFonts w:ascii="AGaramond" w:hAnsi="AGaramond"/>
                          <w:sz w:val="24"/>
                          <w:szCs w:val="24"/>
                        </w:rPr>
                      </w:pPr>
                      <w:r w:rsidRPr="0083619B">
                        <w:rPr>
                          <w:rFonts w:ascii="AGaramond" w:hAnsi="AGaramond"/>
                          <w:sz w:val="24"/>
                          <w:szCs w:val="24"/>
                        </w:rPr>
                        <w:t>Grassroots Leadership</w:t>
                      </w:r>
                    </w:p>
                    <w:p w14:paraId="1CE4B79B" w14:textId="0D6470F4" w:rsidR="001E3122" w:rsidRDefault="001E3122" w:rsidP="00627BCF">
                      <w:pPr>
                        <w:pStyle w:val="Coversubtitle"/>
                        <w:contextualSpacing/>
                        <w:rPr>
                          <w:rFonts w:ascii="AGaramond" w:hAnsi="AGaramond"/>
                          <w:sz w:val="24"/>
                          <w:szCs w:val="24"/>
                        </w:rPr>
                      </w:pPr>
                      <w:r>
                        <w:rPr>
                          <w:rFonts w:ascii="AGaramond" w:hAnsi="AGaramond"/>
                          <w:sz w:val="24"/>
                          <w:szCs w:val="24"/>
                        </w:rPr>
                        <w:t>Justice Strategies</w:t>
                      </w:r>
                    </w:p>
                    <w:p w14:paraId="7C0FAD08" w14:textId="37BB8895" w:rsidR="00D663F6" w:rsidRDefault="00D663F6" w:rsidP="00627BCF">
                      <w:pPr>
                        <w:pStyle w:val="Coversubtitle"/>
                        <w:contextualSpacing/>
                        <w:rPr>
                          <w:rFonts w:ascii="AGaramond" w:hAnsi="AGaramond"/>
                          <w:sz w:val="24"/>
                          <w:szCs w:val="24"/>
                        </w:rPr>
                      </w:pPr>
                      <w:r>
                        <w:rPr>
                          <w:rFonts w:ascii="AGaramond" w:hAnsi="AGaramond"/>
                          <w:sz w:val="24"/>
                          <w:szCs w:val="24"/>
                        </w:rPr>
                        <w:t xml:space="preserve">Lawyers’ Committee for Civil Rights </w:t>
                      </w:r>
                      <w:proofErr w:type="gramStart"/>
                      <w:r>
                        <w:rPr>
                          <w:rFonts w:ascii="AGaramond" w:hAnsi="AGaramond"/>
                          <w:sz w:val="24"/>
                          <w:szCs w:val="24"/>
                        </w:rPr>
                        <w:t>Under</w:t>
                      </w:r>
                      <w:proofErr w:type="gramEnd"/>
                      <w:r>
                        <w:rPr>
                          <w:rFonts w:ascii="AGaramond" w:hAnsi="AGaramond"/>
                          <w:sz w:val="24"/>
                          <w:szCs w:val="24"/>
                        </w:rPr>
                        <w:t xml:space="preserve"> Law</w:t>
                      </w:r>
                    </w:p>
                    <w:p w14:paraId="1F9660AB" w14:textId="67074BF2" w:rsidR="00ED78C0" w:rsidRPr="0083619B" w:rsidRDefault="00ED78C0" w:rsidP="00627BCF">
                      <w:pPr>
                        <w:pStyle w:val="Coversubtitle"/>
                        <w:contextualSpacing/>
                        <w:rPr>
                          <w:rFonts w:ascii="AGaramond" w:hAnsi="AGaramond"/>
                          <w:sz w:val="24"/>
                          <w:szCs w:val="24"/>
                        </w:rPr>
                      </w:pPr>
                      <w:r>
                        <w:rPr>
                          <w:rFonts w:ascii="AGaramond" w:hAnsi="AGaramond"/>
                          <w:sz w:val="24"/>
                          <w:szCs w:val="24"/>
                        </w:rPr>
                        <w:t>The Leadership Conference on Civil and Human Rights</w:t>
                      </w:r>
                    </w:p>
                    <w:p w14:paraId="1EC8A644" w14:textId="77777777" w:rsidR="0044556B" w:rsidRDefault="0044556B" w:rsidP="00627BCF">
                      <w:pPr>
                        <w:pStyle w:val="Coversubtitle"/>
                        <w:contextualSpacing/>
                        <w:rPr>
                          <w:rFonts w:ascii="AGaramond" w:hAnsi="AGaramond"/>
                          <w:sz w:val="24"/>
                          <w:szCs w:val="24"/>
                        </w:rPr>
                      </w:pPr>
                      <w:r>
                        <w:rPr>
                          <w:rFonts w:ascii="AGaramond" w:hAnsi="AGaramond"/>
                          <w:sz w:val="24"/>
                          <w:szCs w:val="24"/>
                        </w:rPr>
                        <w:t>National Association for the Advancement of Colored People (NAACP)</w:t>
                      </w:r>
                    </w:p>
                    <w:p w14:paraId="4A6169A9" w14:textId="4B29B364" w:rsidR="00D663F6" w:rsidRDefault="00D663F6" w:rsidP="00627BCF">
                      <w:pPr>
                        <w:pStyle w:val="Coversubtitle"/>
                        <w:contextualSpacing/>
                        <w:rPr>
                          <w:rFonts w:ascii="AGaramond" w:hAnsi="AGaramond"/>
                          <w:sz w:val="24"/>
                          <w:szCs w:val="24"/>
                        </w:rPr>
                      </w:pPr>
                      <w:r w:rsidRPr="0083619B">
                        <w:rPr>
                          <w:rFonts w:ascii="AGaramond" w:hAnsi="AGaramond"/>
                          <w:sz w:val="24"/>
                          <w:szCs w:val="24"/>
                        </w:rPr>
                        <w:t>National Law Center on Homelessness &amp; Poverty</w:t>
                      </w:r>
                      <w:bookmarkStart w:id="1" w:name="_GoBack"/>
                      <w:bookmarkEnd w:id="1"/>
                    </w:p>
                    <w:p w14:paraId="129F3ED8" w14:textId="77777777" w:rsidR="0083619B" w:rsidRPr="0083619B" w:rsidRDefault="0083619B" w:rsidP="00627BCF">
                      <w:pPr>
                        <w:pStyle w:val="Coversubtitle"/>
                        <w:contextualSpacing/>
                        <w:rPr>
                          <w:rFonts w:ascii="AGaramond" w:hAnsi="AGaramond"/>
                          <w:sz w:val="24"/>
                          <w:szCs w:val="24"/>
                        </w:rPr>
                      </w:pPr>
                      <w:r w:rsidRPr="0083619B">
                        <w:rPr>
                          <w:rFonts w:ascii="AGaramond" w:hAnsi="AGaramond"/>
                          <w:sz w:val="24"/>
                          <w:szCs w:val="24"/>
                        </w:rPr>
                        <w:t>New Jim Crow Action Group – Atlanta</w:t>
                      </w:r>
                    </w:p>
                    <w:p w14:paraId="023AAA88" w14:textId="77777777" w:rsidR="002773ED" w:rsidRDefault="002773ED" w:rsidP="00627BCF">
                      <w:pPr>
                        <w:pStyle w:val="Coversubtitle"/>
                        <w:contextualSpacing/>
                        <w:rPr>
                          <w:rFonts w:ascii="AGaramond" w:hAnsi="AGaramond"/>
                          <w:sz w:val="24"/>
                          <w:szCs w:val="24"/>
                        </w:rPr>
                      </w:pPr>
                      <w:r w:rsidRPr="0083619B">
                        <w:rPr>
                          <w:rFonts w:ascii="AGaramond" w:hAnsi="AGaramond"/>
                          <w:sz w:val="24"/>
                          <w:szCs w:val="24"/>
                        </w:rPr>
                        <w:t>Southern Center for Human Rights</w:t>
                      </w:r>
                    </w:p>
                    <w:p w14:paraId="1FACD084" w14:textId="77777777" w:rsidR="002773ED" w:rsidRPr="0083619B" w:rsidRDefault="002773ED" w:rsidP="002773ED">
                      <w:pPr>
                        <w:pStyle w:val="Coversubtitle"/>
                        <w:contextualSpacing/>
                        <w:rPr>
                          <w:rFonts w:ascii="AGaramond" w:hAnsi="AGaramond"/>
                          <w:sz w:val="24"/>
                          <w:szCs w:val="24"/>
                        </w:rPr>
                      </w:pPr>
                      <w:r w:rsidRPr="0083619B">
                        <w:rPr>
                          <w:rFonts w:ascii="AGaramond" w:hAnsi="AGaramond"/>
                          <w:sz w:val="24"/>
                          <w:szCs w:val="24"/>
                        </w:rPr>
                        <w:t>United Methodist Church, General Board of Church and Society</w:t>
                      </w:r>
                    </w:p>
                    <w:p w14:paraId="43C818C5" w14:textId="77777777" w:rsidR="002773ED" w:rsidRPr="0083619B" w:rsidRDefault="002773ED" w:rsidP="00627BCF">
                      <w:pPr>
                        <w:pStyle w:val="Coversubtitle"/>
                        <w:contextualSpacing/>
                        <w:rPr>
                          <w:rFonts w:ascii="AGaramond" w:hAnsi="AGaramond"/>
                          <w:sz w:val="24"/>
                          <w:szCs w:val="24"/>
                        </w:rPr>
                      </w:pPr>
                    </w:p>
                    <w:p w14:paraId="6E6B0C9D" w14:textId="77777777" w:rsidR="003C4B78" w:rsidRPr="00627BCF" w:rsidRDefault="003C4B78" w:rsidP="00627BCF">
                      <w:pPr>
                        <w:pStyle w:val="Coversubtitle"/>
                      </w:pPr>
                      <w:r w:rsidRPr="00627BCF">
                        <w:br/>
                      </w:r>
                    </w:p>
                    <w:p w14:paraId="1BCFD514" w14:textId="77777777" w:rsidR="003C4B78" w:rsidRPr="00A42842" w:rsidRDefault="003C4B78" w:rsidP="00627BCF">
                      <w:pPr>
                        <w:pStyle w:val="Coversubtitle"/>
                      </w:pPr>
                      <w:r w:rsidRPr="002E5A2B">
                        <w:rPr>
                          <w:sz w:val="16"/>
                          <w:szCs w:val="16"/>
                        </w:rPr>
                        <w:br/>
                      </w:r>
                    </w:p>
                    <w:p w14:paraId="0F2E256E" w14:textId="77777777" w:rsidR="003C4B78" w:rsidRDefault="003C4B78" w:rsidP="00092F12">
                      <w:pPr>
                        <w:pStyle w:val="coverauthoranddate"/>
                      </w:pPr>
                    </w:p>
                  </w:txbxContent>
                </v:textbox>
                <w10:wrap anchorx="page" anchory="page"/>
              </v:shape>
            </w:pict>
          </mc:Fallback>
        </mc:AlternateContent>
      </w:r>
    </w:p>
    <w:p w14:paraId="0F1D04BB" w14:textId="77777777" w:rsidR="00092F12" w:rsidRPr="00452515" w:rsidRDefault="00092F12" w:rsidP="0096627F">
      <w:pPr>
        <w:spacing w:line="240" w:lineRule="auto"/>
      </w:pPr>
    </w:p>
    <w:p w14:paraId="674B3008" w14:textId="77777777" w:rsidR="00092F12" w:rsidRPr="00452515" w:rsidRDefault="00092F12" w:rsidP="0096627F">
      <w:pPr>
        <w:spacing w:line="240" w:lineRule="auto"/>
      </w:pPr>
    </w:p>
    <w:p w14:paraId="4A7E824A" w14:textId="77777777" w:rsidR="00510955" w:rsidRDefault="00092F12" w:rsidP="0096627F">
      <w:pPr>
        <w:tabs>
          <w:tab w:val="left" w:pos="2620"/>
        </w:tabs>
        <w:spacing w:line="240" w:lineRule="auto"/>
      </w:pPr>
      <w:r>
        <w:tab/>
      </w:r>
    </w:p>
    <w:p w14:paraId="7259337C" w14:textId="77777777" w:rsidR="00510955" w:rsidRDefault="00510955" w:rsidP="0096627F">
      <w:pPr>
        <w:spacing w:line="240" w:lineRule="auto"/>
      </w:pPr>
    </w:p>
    <w:p w14:paraId="63191DBF" w14:textId="77777777" w:rsidR="00546A33" w:rsidRDefault="00546A33" w:rsidP="0096627F">
      <w:pPr>
        <w:spacing w:line="240" w:lineRule="auto"/>
        <w:jc w:val="right"/>
      </w:pPr>
    </w:p>
    <w:p w14:paraId="55971269" w14:textId="77777777" w:rsidR="00546A33" w:rsidRPr="00546A33" w:rsidRDefault="00546A33" w:rsidP="0096627F">
      <w:pPr>
        <w:spacing w:line="240" w:lineRule="auto"/>
      </w:pPr>
    </w:p>
    <w:p w14:paraId="1FAA20CF" w14:textId="77777777" w:rsidR="00546A33" w:rsidRPr="00546A33" w:rsidRDefault="00546A33" w:rsidP="0096627F">
      <w:pPr>
        <w:spacing w:line="240" w:lineRule="auto"/>
      </w:pPr>
    </w:p>
    <w:p w14:paraId="5CB976CB" w14:textId="77777777" w:rsidR="00546A33" w:rsidRPr="00546A33" w:rsidRDefault="00546A33" w:rsidP="0096627F">
      <w:pPr>
        <w:spacing w:line="240" w:lineRule="auto"/>
      </w:pPr>
    </w:p>
    <w:p w14:paraId="520F4288" w14:textId="77777777" w:rsidR="00546A33" w:rsidRPr="00546A33" w:rsidRDefault="00546A33" w:rsidP="0096627F">
      <w:pPr>
        <w:spacing w:line="240" w:lineRule="auto"/>
      </w:pPr>
    </w:p>
    <w:p w14:paraId="2E782DC1" w14:textId="77777777" w:rsidR="00546A33" w:rsidRPr="00546A33" w:rsidRDefault="00546A33" w:rsidP="0096627F">
      <w:pPr>
        <w:spacing w:line="240" w:lineRule="auto"/>
      </w:pPr>
    </w:p>
    <w:p w14:paraId="5380107E" w14:textId="77777777" w:rsidR="00546A33" w:rsidRPr="00546A33" w:rsidRDefault="00546A33" w:rsidP="0096627F">
      <w:pPr>
        <w:spacing w:line="240" w:lineRule="auto"/>
      </w:pPr>
    </w:p>
    <w:p w14:paraId="73058145" w14:textId="77777777" w:rsidR="00546A33" w:rsidRDefault="00546A33" w:rsidP="0096627F">
      <w:pPr>
        <w:spacing w:line="240" w:lineRule="auto"/>
      </w:pPr>
    </w:p>
    <w:p w14:paraId="353D298E" w14:textId="77777777" w:rsidR="00546A33" w:rsidRDefault="00546A33" w:rsidP="0096627F">
      <w:pPr>
        <w:spacing w:line="240" w:lineRule="auto"/>
      </w:pPr>
    </w:p>
    <w:p w14:paraId="066FFF3C" w14:textId="77777777" w:rsidR="00141301" w:rsidRDefault="00141301" w:rsidP="0096627F">
      <w:pPr>
        <w:tabs>
          <w:tab w:val="left" w:pos="3750"/>
        </w:tabs>
        <w:spacing w:line="240" w:lineRule="auto"/>
        <w:sectPr w:rsidR="00141301" w:rsidSect="00092F12">
          <w:headerReference w:type="default" r:id="rId9"/>
          <w:pgSz w:w="12240" w:h="15840" w:code="1"/>
          <w:pgMar w:top="6480" w:right="0" w:bottom="1440" w:left="0" w:header="0" w:footer="720" w:gutter="0"/>
          <w:cols w:space="720"/>
          <w:docGrid w:linePitch="360"/>
        </w:sectPr>
      </w:pPr>
    </w:p>
    <w:p w14:paraId="119F61B0" w14:textId="77777777" w:rsidR="006E5F81" w:rsidRDefault="006E5F81" w:rsidP="0065185C">
      <w:pPr>
        <w:pStyle w:val="ListParagraph"/>
        <w:numPr>
          <w:ilvl w:val="0"/>
          <w:numId w:val="17"/>
        </w:numPr>
        <w:spacing w:line="240" w:lineRule="auto"/>
      </w:pPr>
      <w:r w:rsidRPr="009329E9">
        <w:lastRenderedPageBreak/>
        <w:t>Established in 1986, The Sentencing Project works for a fair and effective U.S. criminal justice system by promoting reforms in sentencing policy, addressing unjust racial disparities and practices, and advocating for alternatives to incarceration.</w:t>
      </w:r>
      <w:r>
        <w:t xml:space="preserve"> In this report we will address racial disparities in the criminal justice system</w:t>
      </w:r>
      <w:r w:rsidR="00123876">
        <w:t>,</w:t>
      </w:r>
      <w:r w:rsidR="005E7AB3">
        <w:rPr>
          <w:rStyle w:val="FootnoteReference"/>
        </w:rPr>
        <w:footnoteReference w:id="1"/>
      </w:r>
      <w:r>
        <w:t xml:space="preserve"> juvenile life without parole,</w:t>
      </w:r>
      <w:r>
        <w:rPr>
          <w:rStyle w:val="FootnoteReference"/>
        </w:rPr>
        <w:footnoteReference w:id="2"/>
      </w:r>
      <w:r>
        <w:t xml:space="preserve"> the death penalty and its racial implications,</w:t>
      </w:r>
      <w:r>
        <w:rPr>
          <w:rStyle w:val="FootnoteReference"/>
        </w:rPr>
        <w:footnoteReference w:id="3"/>
      </w:r>
      <w:r>
        <w:t xml:space="preserve"> and finally, felony disenfranchisement.</w:t>
      </w:r>
      <w:r>
        <w:rPr>
          <w:rStyle w:val="FootnoteReference"/>
        </w:rPr>
        <w:footnoteReference w:id="4"/>
      </w:r>
      <w:r>
        <w:t xml:space="preserve"> All of these issues fall under the purview of Article 5 of the I</w:t>
      </w:r>
      <w:r w:rsidR="00123876">
        <w:t>nternational Convention on the Elimination of All Forms of Racial Discrimination (ICERD)</w:t>
      </w:r>
      <w:r w:rsidR="005E7AB3">
        <w:t>.</w:t>
      </w:r>
    </w:p>
    <w:p w14:paraId="2A735BF4" w14:textId="77777777" w:rsidR="006E5F81" w:rsidRDefault="006E5F81" w:rsidP="0065185C">
      <w:pPr>
        <w:spacing w:line="240" w:lineRule="auto"/>
        <w:ind w:left="360" w:hanging="360"/>
      </w:pPr>
    </w:p>
    <w:p w14:paraId="269B7044" w14:textId="77777777" w:rsidR="003C4B78" w:rsidRDefault="0096627F" w:rsidP="0065185C">
      <w:pPr>
        <w:pStyle w:val="ListParagraph"/>
        <w:numPr>
          <w:ilvl w:val="0"/>
          <w:numId w:val="17"/>
        </w:numPr>
        <w:spacing w:line="240" w:lineRule="auto"/>
      </w:pPr>
      <w:r>
        <w:t>Th</w:t>
      </w:r>
      <w:r w:rsidR="003C4B78">
        <w:t>e United States</w:t>
      </w:r>
      <w:r w:rsidR="00D5369B">
        <w:t xml:space="preserve"> emphasizes in paragraph 17 of its report that “[r]acial discrimination by the government is prohibited at all levels.”</w:t>
      </w:r>
      <w:r w:rsidR="00D5369B">
        <w:rPr>
          <w:rStyle w:val="FootnoteReference"/>
        </w:rPr>
        <w:footnoteReference w:id="5"/>
      </w:r>
      <w:r w:rsidR="00D5369B">
        <w:t xml:space="preserve"> </w:t>
      </w:r>
      <w:r w:rsidR="003C4B78">
        <w:t xml:space="preserve"> </w:t>
      </w:r>
      <w:r w:rsidR="00D5369B">
        <w:t>Through its laws and polici</w:t>
      </w:r>
      <w:r w:rsidR="00C71C88">
        <w:t>es, the government suggests</w:t>
      </w:r>
      <w:r w:rsidR="00D5369B">
        <w:t xml:space="preserve"> strides have been made in securing the government’s compliance with the </w:t>
      </w:r>
      <w:r w:rsidR="00123876">
        <w:t>ICERD</w:t>
      </w:r>
      <w:r w:rsidR="00D5369B">
        <w:t>. While there has been change in U</w:t>
      </w:r>
      <w:r w:rsidR="00781D3E">
        <w:t xml:space="preserve">.S. laws and policies to </w:t>
      </w:r>
      <w:r w:rsidR="00181A6B">
        <w:t>address racial discrimination, disparities in the justice system remain profound with disturbing consequences for participation in society.</w:t>
      </w:r>
    </w:p>
    <w:p w14:paraId="342EA543" w14:textId="77777777" w:rsidR="00D92C80" w:rsidRDefault="00D92C80" w:rsidP="0096627F">
      <w:pPr>
        <w:spacing w:line="240" w:lineRule="auto"/>
      </w:pPr>
    </w:p>
    <w:p w14:paraId="7C86DCE5" w14:textId="77777777" w:rsidR="00D92C80" w:rsidRPr="00D92C80" w:rsidRDefault="003A5A72" w:rsidP="00234117">
      <w:pPr>
        <w:pStyle w:val="Heading1"/>
      </w:pPr>
      <w:r>
        <w:t>Article 5(I) (a): the right to Equal treatment before tribunals and other organs administering justice</w:t>
      </w:r>
    </w:p>
    <w:p w14:paraId="5CD52A10" w14:textId="77777777" w:rsidR="001B6E2D" w:rsidRPr="00B15B00" w:rsidRDefault="00A75713" w:rsidP="0065185C">
      <w:pPr>
        <w:pStyle w:val="ListParagraph"/>
        <w:numPr>
          <w:ilvl w:val="0"/>
          <w:numId w:val="17"/>
        </w:numPr>
        <w:tabs>
          <w:tab w:val="left" w:pos="630"/>
          <w:tab w:val="left" w:pos="810"/>
        </w:tabs>
        <w:spacing w:line="240" w:lineRule="auto"/>
        <w:rPr>
          <w:b/>
        </w:rPr>
      </w:pPr>
      <w:r>
        <w:t xml:space="preserve">Regarding </w:t>
      </w:r>
      <w:r w:rsidRPr="0065185C">
        <w:rPr>
          <w:b/>
        </w:rPr>
        <w:t>paragraph 20 of the Committee’s Concluding Observations</w:t>
      </w:r>
      <w:r w:rsidR="00D92C48">
        <w:t>, general recommendation No. 31(2005)</w:t>
      </w:r>
      <w:r w:rsidR="00D92C80">
        <w:t>,</w:t>
      </w:r>
      <w:r>
        <w:t xml:space="preserve"> and the </w:t>
      </w:r>
      <w:r w:rsidRPr="0065185C">
        <w:rPr>
          <w:b/>
        </w:rPr>
        <w:t>United States’</w:t>
      </w:r>
      <w:r w:rsidR="000A5BF2" w:rsidRPr="0065185C">
        <w:rPr>
          <w:b/>
        </w:rPr>
        <w:t xml:space="preserve"> response in paragraphs 66-68</w:t>
      </w:r>
      <w:r w:rsidR="001B6E2D" w:rsidRPr="00B15B00">
        <w:rPr>
          <w:b/>
        </w:rPr>
        <w:t xml:space="preserve">, the </w:t>
      </w:r>
      <w:r w:rsidR="000A5BF2" w:rsidRPr="00B15B00">
        <w:rPr>
          <w:b/>
        </w:rPr>
        <w:t>racial disparities in the administration and functioning of the criminal justice system</w:t>
      </w:r>
      <w:r w:rsidR="001B6E2D" w:rsidRPr="00B15B00">
        <w:rPr>
          <w:b/>
        </w:rPr>
        <w:t xml:space="preserve"> </w:t>
      </w:r>
      <w:r w:rsidR="005A3645" w:rsidRPr="00B15B00">
        <w:rPr>
          <w:b/>
        </w:rPr>
        <w:t>continue</w:t>
      </w:r>
      <w:r w:rsidR="00D92C80" w:rsidRPr="00B15B00">
        <w:rPr>
          <w:b/>
        </w:rPr>
        <w:t xml:space="preserve"> to prove problematic</w:t>
      </w:r>
      <w:r w:rsidR="000A5BF2" w:rsidRPr="00B15B00">
        <w:rPr>
          <w:b/>
        </w:rPr>
        <w:t>.</w:t>
      </w:r>
    </w:p>
    <w:p w14:paraId="78BB7ECD" w14:textId="77777777" w:rsidR="001F4E51" w:rsidRDefault="001F4E51" w:rsidP="0065185C">
      <w:pPr>
        <w:spacing w:line="240" w:lineRule="auto"/>
        <w:ind w:left="360"/>
      </w:pPr>
    </w:p>
    <w:p w14:paraId="4BFC7A41" w14:textId="77777777" w:rsidR="00D07ECD" w:rsidRPr="0065185C" w:rsidRDefault="00D72186" w:rsidP="0065185C">
      <w:pPr>
        <w:pStyle w:val="ListParagraph"/>
        <w:numPr>
          <w:ilvl w:val="0"/>
          <w:numId w:val="17"/>
        </w:numPr>
        <w:spacing w:line="240" w:lineRule="auto"/>
        <w:rPr>
          <w:rFonts w:ascii="Times New Roman" w:hAnsi="Times New Roman"/>
          <w:szCs w:val="24"/>
        </w:rPr>
      </w:pPr>
      <w:r>
        <w:t>R</w:t>
      </w:r>
      <w:r w:rsidR="001F4E51">
        <w:t>acial disparity</w:t>
      </w:r>
      <w:r>
        <w:t xml:space="preserve"> pervades the U.S. criminal justice system. African-American males are six times more likely to be incarcerated than white males and </w:t>
      </w:r>
      <w:r w:rsidR="006E5F81">
        <w:t xml:space="preserve">Hispanic males are </w:t>
      </w:r>
      <w:r>
        <w:t>2.5 times more likely.</w:t>
      </w:r>
      <w:r>
        <w:rPr>
          <w:rStyle w:val="FootnoteReference"/>
          <w:rFonts w:ascii="Times New Roman" w:hAnsi="Times New Roman"/>
        </w:rPr>
        <w:footnoteReference w:id="6"/>
      </w:r>
      <w:r>
        <w:t xml:space="preserve"> </w:t>
      </w:r>
      <w:r w:rsidR="00A64435">
        <w:t xml:space="preserve">Not only are racial minorities incarcerated </w:t>
      </w:r>
      <w:r w:rsidR="001F4E51">
        <w:t>disproportionately</w:t>
      </w:r>
      <w:r w:rsidR="00181A6B">
        <w:t xml:space="preserve">, </w:t>
      </w:r>
      <w:r w:rsidR="00A64435">
        <w:t>they are also likely to be sentenced more harshly than white defendants for similar crimes.</w:t>
      </w:r>
      <w:r w:rsidR="00A64435">
        <w:rPr>
          <w:rStyle w:val="FootnoteReference"/>
        </w:rPr>
        <w:footnoteReference w:id="7"/>
      </w:r>
      <w:r w:rsidR="001F4E51">
        <w:t xml:space="preserve"> </w:t>
      </w:r>
    </w:p>
    <w:p w14:paraId="2FEAEC27" w14:textId="77777777" w:rsidR="00D07ECD" w:rsidRDefault="00D07ECD" w:rsidP="0065185C">
      <w:pPr>
        <w:spacing w:line="240" w:lineRule="auto"/>
        <w:ind w:left="360"/>
      </w:pPr>
    </w:p>
    <w:p w14:paraId="62725428" w14:textId="77777777" w:rsidR="00D07ECD" w:rsidRDefault="00AC3DDB" w:rsidP="0065185C">
      <w:pPr>
        <w:pStyle w:val="ListParagraph"/>
        <w:numPr>
          <w:ilvl w:val="0"/>
          <w:numId w:val="17"/>
        </w:numPr>
        <w:spacing w:line="240" w:lineRule="auto"/>
      </w:pPr>
      <w:r>
        <w:t>The U.S. government cites a report by The Sentenc</w:t>
      </w:r>
      <w:r w:rsidR="00D24485">
        <w:t>ing Project to suggest that</w:t>
      </w:r>
      <w:r>
        <w:t xml:space="preserve"> disparities in the prison population may be </w:t>
      </w:r>
      <w:r w:rsidR="00D24485">
        <w:t>diminishing</w:t>
      </w:r>
      <w:r>
        <w:t>. However, this reduced ra</w:t>
      </w:r>
      <w:r w:rsidR="00EA015B">
        <w:t>cial disparity largely pertains</w:t>
      </w:r>
      <w:r>
        <w:t xml:space="preserve"> to women and in significant part is a function of more white women </w:t>
      </w:r>
      <w:r w:rsidR="006E5F81">
        <w:t xml:space="preserve">being sentenced </w:t>
      </w:r>
      <w:r>
        <w:t xml:space="preserve">to prison, rather than action by the government to reduce </w:t>
      </w:r>
      <w:r w:rsidR="00D92C80">
        <w:t>current disparities</w:t>
      </w:r>
      <w:r>
        <w:t>.</w:t>
      </w:r>
      <w:r>
        <w:rPr>
          <w:rStyle w:val="FootnoteReference"/>
        </w:rPr>
        <w:footnoteReference w:id="8"/>
      </w:r>
      <w:r w:rsidR="004F2E6E">
        <w:t xml:space="preserve"> </w:t>
      </w:r>
      <w:r w:rsidR="006E5F81">
        <w:t>R</w:t>
      </w:r>
      <w:r w:rsidR="004F2E6E">
        <w:t xml:space="preserve">acial and ethnic disparities among women </w:t>
      </w:r>
      <w:r w:rsidR="006E5F81">
        <w:t xml:space="preserve">remain </w:t>
      </w:r>
      <w:r w:rsidR="004F2E6E">
        <w:t xml:space="preserve">prevalent, </w:t>
      </w:r>
      <w:r w:rsidR="00EA015B">
        <w:t>although</w:t>
      </w:r>
      <w:r w:rsidR="00123876">
        <w:t xml:space="preserve"> </w:t>
      </w:r>
      <w:r w:rsidR="004F2E6E">
        <w:t>less substantial than</w:t>
      </w:r>
      <w:r w:rsidR="00123876">
        <w:t xml:space="preserve"> disparities</w:t>
      </w:r>
      <w:r w:rsidR="004F2E6E">
        <w:t xml:space="preserve"> among men.</w:t>
      </w:r>
      <w:r w:rsidR="004F2E6E">
        <w:rPr>
          <w:rStyle w:val="FootnoteReference"/>
          <w:rFonts w:ascii="Times New Roman" w:hAnsi="Times New Roman"/>
        </w:rPr>
        <w:footnoteReference w:id="9"/>
      </w:r>
    </w:p>
    <w:p w14:paraId="57136104" w14:textId="77777777" w:rsidR="00AC3DDB" w:rsidRDefault="00AC3DDB" w:rsidP="0065185C">
      <w:pPr>
        <w:spacing w:line="240" w:lineRule="auto"/>
        <w:ind w:left="360"/>
      </w:pPr>
    </w:p>
    <w:p w14:paraId="1D7DB22B" w14:textId="77777777" w:rsidR="00280E26" w:rsidRDefault="001F4E51" w:rsidP="0065185C">
      <w:pPr>
        <w:pStyle w:val="ListParagraph"/>
        <w:numPr>
          <w:ilvl w:val="0"/>
          <w:numId w:val="17"/>
        </w:numPr>
        <w:spacing w:line="240" w:lineRule="auto"/>
      </w:pPr>
      <w:r>
        <w:t>The War on Drugs</w:t>
      </w:r>
      <w:r w:rsidR="00A64435">
        <w:t xml:space="preserve"> </w:t>
      </w:r>
      <w:r w:rsidR="00D24485">
        <w:t>has exacerbated</w:t>
      </w:r>
      <w:r>
        <w:t xml:space="preserve"> racial </w:t>
      </w:r>
      <w:r w:rsidR="00D92C80">
        <w:t>inequalities</w:t>
      </w:r>
      <w:r>
        <w:t xml:space="preserve"> in the criminal justice system through </w:t>
      </w:r>
      <w:r w:rsidR="00D24485">
        <w:t xml:space="preserve">discriminatory law enforcement practices and </w:t>
      </w:r>
      <w:r>
        <w:t>disparities in sentencing laws</w:t>
      </w:r>
      <w:r w:rsidR="00D24485">
        <w:t>, including the application of harsh mandatory minimum sentences</w:t>
      </w:r>
      <w:r>
        <w:t>.</w:t>
      </w:r>
      <w:r w:rsidR="00D07ECD">
        <w:t xml:space="preserve"> </w:t>
      </w:r>
      <w:r w:rsidR="003C4B78">
        <w:t xml:space="preserve">While the </w:t>
      </w:r>
      <w:r w:rsidR="006E5F81">
        <w:t xml:space="preserve">federal </w:t>
      </w:r>
      <w:r w:rsidR="003C4B78">
        <w:t>Fair Sentencing Act</w:t>
      </w:r>
      <w:r w:rsidR="00D24485">
        <w:t xml:space="preserve"> (FSA)</w:t>
      </w:r>
      <w:r w:rsidR="003C4B78">
        <w:t xml:space="preserve"> of 2010 reduced the crack/cocaine sentencing quantit</w:t>
      </w:r>
      <w:r>
        <w:t xml:space="preserve">y disparity </w:t>
      </w:r>
      <w:r w:rsidR="006E5F81">
        <w:t xml:space="preserve">triggering mandatory minimum penalties </w:t>
      </w:r>
      <w:r>
        <w:t>from 100:1 to</w:t>
      </w:r>
      <w:r w:rsidR="003C4B78">
        <w:t xml:space="preserve"> 18:1, </w:t>
      </w:r>
      <w:r>
        <w:t xml:space="preserve">there is still disparate treatment in the sentencing of </w:t>
      </w:r>
      <w:r w:rsidR="006E5F81">
        <w:t xml:space="preserve">individuals convicted of offenses involving </w:t>
      </w:r>
      <w:r>
        <w:t xml:space="preserve">these two </w:t>
      </w:r>
      <w:r w:rsidR="00905F17">
        <w:t xml:space="preserve">pharmacologically identical </w:t>
      </w:r>
      <w:r>
        <w:t>drugs.</w:t>
      </w:r>
      <w:r>
        <w:rPr>
          <w:rStyle w:val="FootnoteReference"/>
          <w:rFonts w:ascii="Times New Roman" w:hAnsi="Times New Roman"/>
        </w:rPr>
        <w:footnoteReference w:id="10"/>
      </w:r>
      <w:r w:rsidRPr="0065185C">
        <w:rPr>
          <w:vertAlign w:val="superscript"/>
        </w:rPr>
        <w:t xml:space="preserve"> </w:t>
      </w:r>
      <w:r w:rsidR="00D24485">
        <w:t>Because African</w:t>
      </w:r>
      <w:r w:rsidR="00905F17">
        <w:t xml:space="preserve"> Americans constitute 80% of those sentenced u</w:t>
      </w:r>
      <w:r w:rsidR="00123876">
        <w:t>nder federal crack cocaine laws</w:t>
      </w:r>
      <w:r w:rsidR="00905F17">
        <w:t>,</w:t>
      </w:r>
      <w:r w:rsidR="00123876">
        <w:t xml:space="preserve"> the disparity in sentencing laws leads to harsher sentences for black defendants for committing similar offenses to those of their white or Latino counterparts convicted of powder cocaine offenses. </w:t>
      </w:r>
      <w:r w:rsidR="00905F17">
        <w:rPr>
          <w:rStyle w:val="FootnoteReference"/>
          <w:rFonts w:ascii="Times New Roman" w:hAnsi="Times New Roman"/>
        </w:rPr>
        <w:footnoteReference w:id="11"/>
      </w:r>
      <w:r w:rsidR="00905F17">
        <w:t xml:space="preserve"> </w:t>
      </w:r>
    </w:p>
    <w:p w14:paraId="7A28DBAE" w14:textId="77777777" w:rsidR="00280E26" w:rsidRDefault="00280E26" w:rsidP="0065185C">
      <w:pPr>
        <w:spacing w:line="240" w:lineRule="auto"/>
        <w:ind w:left="360"/>
      </w:pPr>
    </w:p>
    <w:p w14:paraId="0C80AE08" w14:textId="77777777" w:rsidR="003C4B78" w:rsidRDefault="003C4B78" w:rsidP="0065185C">
      <w:pPr>
        <w:pStyle w:val="ListParagraph"/>
        <w:numPr>
          <w:ilvl w:val="0"/>
          <w:numId w:val="17"/>
        </w:numPr>
        <w:spacing w:line="240" w:lineRule="auto"/>
      </w:pPr>
      <w:r>
        <w:t xml:space="preserve">Furthermore, the </w:t>
      </w:r>
      <w:r w:rsidR="00233715">
        <w:t>FSA</w:t>
      </w:r>
      <w:r>
        <w:t xml:space="preserve"> did </w:t>
      </w:r>
      <w:r w:rsidR="00D24485">
        <w:t>not</w:t>
      </w:r>
      <w:r>
        <w:t xml:space="preserve"> alter the harsh federal mandatory minimum sentences imposed for </w:t>
      </w:r>
      <w:r w:rsidR="00D24485">
        <w:t>a majority of</w:t>
      </w:r>
      <w:r>
        <w:t xml:space="preserve"> drug offenses</w:t>
      </w:r>
      <w:r w:rsidR="00905F17">
        <w:t xml:space="preserve">. </w:t>
      </w:r>
      <w:r>
        <w:t xml:space="preserve">In 2010, the number of black male offenders convicted of a federal offense subject to a mandatory minimum sentence was </w:t>
      </w:r>
      <w:r w:rsidR="006E5F81">
        <w:t xml:space="preserve">nearly double </w:t>
      </w:r>
      <w:r>
        <w:t>that of convicted white males.</w:t>
      </w:r>
      <w:r>
        <w:rPr>
          <w:rStyle w:val="FootnoteReference"/>
          <w:rFonts w:ascii="Times New Roman" w:hAnsi="Times New Roman"/>
        </w:rPr>
        <w:footnoteReference w:id="12"/>
      </w:r>
      <w:r>
        <w:t xml:space="preserve"> </w:t>
      </w:r>
      <w:r w:rsidR="00280E26">
        <w:t>E</w:t>
      </w:r>
      <w:r w:rsidR="00905F17">
        <w:t xml:space="preserve">ven though the U.S. Sentencing Commission voted to apply </w:t>
      </w:r>
      <w:r w:rsidR="008058B7">
        <w:t xml:space="preserve">the </w:t>
      </w:r>
      <w:r w:rsidR="006E5F81">
        <w:t xml:space="preserve">guidelines changes associated with the </w:t>
      </w:r>
      <w:r w:rsidR="008058B7">
        <w:t>FSA</w:t>
      </w:r>
      <w:r w:rsidR="00905F17">
        <w:t xml:space="preserve"> retroactively, those </w:t>
      </w:r>
      <w:r w:rsidR="006E5F81">
        <w:t xml:space="preserve">persons </w:t>
      </w:r>
      <w:r w:rsidR="00905F17">
        <w:t xml:space="preserve">sentenced </w:t>
      </w:r>
      <w:r w:rsidR="006E5F81">
        <w:t xml:space="preserve">prior to adoption of the law </w:t>
      </w:r>
      <w:r w:rsidR="0077298A">
        <w:t>are still subject</w:t>
      </w:r>
      <w:r w:rsidR="00905F17">
        <w:t xml:space="preserve"> to the </w:t>
      </w:r>
      <w:r w:rsidR="00915702">
        <w:t xml:space="preserve">previous </w:t>
      </w:r>
      <w:r w:rsidR="008058B7">
        <w:t>mandatory minimum</w:t>
      </w:r>
      <w:r w:rsidR="00915702">
        <w:t xml:space="preserve"> level</w:t>
      </w:r>
      <w:r w:rsidR="008058B7">
        <w:t>s</w:t>
      </w:r>
      <w:r w:rsidR="00905F17">
        <w:t>.</w:t>
      </w:r>
      <w:r w:rsidR="00905F17">
        <w:rPr>
          <w:rStyle w:val="FootnoteReference"/>
        </w:rPr>
        <w:footnoteReference w:id="13"/>
      </w:r>
    </w:p>
    <w:p w14:paraId="3FA11A49" w14:textId="195FAA92" w:rsidR="003C4B78" w:rsidRDefault="003C4B78" w:rsidP="0065185C">
      <w:pPr>
        <w:spacing w:line="240" w:lineRule="auto"/>
        <w:ind w:left="360" w:firstLine="720"/>
      </w:pPr>
    </w:p>
    <w:p w14:paraId="227A30E6" w14:textId="77777777" w:rsidR="00C748B2" w:rsidRDefault="001B6E2D" w:rsidP="0065185C">
      <w:pPr>
        <w:pStyle w:val="ListParagraph"/>
        <w:numPr>
          <w:ilvl w:val="0"/>
          <w:numId w:val="17"/>
        </w:numPr>
        <w:spacing w:line="240" w:lineRule="auto"/>
      </w:pPr>
      <w:r w:rsidRPr="00927773">
        <w:t xml:space="preserve">Regarding </w:t>
      </w:r>
      <w:r w:rsidRPr="0065185C">
        <w:rPr>
          <w:b/>
        </w:rPr>
        <w:t>paragraph 21 of the Committee’s Concluding Observations</w:t>
      </w:r>
      <w:r w:rsidRPr="00927773">
        <w:t xml:space="preserve"> and the </w:t>
      </w:r>
      <w:r w:rsidRPr="0065185C">
        <w:rPr>
          <w:b/>
        </w:rPr>
        <w:t>United States’ response in paragraphs 71-74</w:t>
      </w:r>
      <w:r w:rsidR="00927773" w:rsidRPr="00B15B00">
        <w:rPr>
          <w:b/>
        </w:rPr>
        <w:t xml:space="preserve">, while the Supreme Court in </w:t>
      </w:r>
      <w:r w:rsidR="00927773" w:rsidRPr="00B15B00">
        <w:rPr>
          <w:b/>
          <w:i/>
        </w:rPr>
        <w:t>Miller v. Alabama</w:t>
      </w:r>
      <w:r w:rsidR="00927773" w:rsidRPr="00B15B00">
        <w:rPr>
          <w:b/>
        </w:rPr>
        <w:t xml:space="preserve">, 132 </w:t>
      </w:r>
      <w:r w:rsidR="005D557B" w:rsidRPr="00B15B00">
        <w:rPr>
          <w:b/>
        </w:rPr>
        <w:t>S. Ct. 2455 (2012)</w:t>
      </w:r>
      <w:r w:rsidR="00C748B2" w:rsidRPr="00B15B00">
        <w:rPr>
          <w:b/>
        </w:rPr>
        <w:t xml:space="preserve"> held</w:t>
      </w:r>
      <w:r w:rsidR="005D557B" w:rsidRPr="00B15B00">
        <w:rPr>
          <w:b/>
        </w:rPr>
        <w:t xml:space="preserve"> </w:t>
      </w:r>
      <w:r w:rsidR="00915702" w:rsidRPr="00B15B00">
        <w:rPr>
          <w:b/>
        </w:rPr>
        <w:t xml:space="preserve">mandatory </w:t>
      </w:r>
      <w:r w:rsidR="005D557B" w:rsidRPr="00B15B00">
        <w:rPr>
          <w:b/>
        </w:rPr>
        <w:t>juvenile</w:t>
      </w:r>
      <w:r w:rsidR="00927773" w:rsidRPr="00B15B00">
        <w:rPr>
          <w:b/>
        </w:rPr>
        <w:t xml:space="preserve"> life without parole (</w:t>
      </w:r>
      <w:r w:rsidR="005D557B" w:rsidRPr="00B15B00">
        <w:rPr>
          <w:b/>
        </w:rPr>
        <w:t>J</w:t>
      </w:r>
      <w:r w:rsidR="00927773" w:rsidRPr="00B15B00">
        <w:rPr>
          <w:b/>
        </w:rPr>
        <w:t xml:space="preserve">LWOP) sentences </w:t>
      </w:r>
      <w:r w:rsidR="00C748B2" w:rsidRPr="00B15B00">
        <w:rPr>
          <w:b/>
        </w:rPr>
        <w:t>to be in violation of the Eighth Amendment</w:t>
      </w:r>
      <w:r w:rsidR="00927773" w:rsidRPr="00B15B00">
        <w:rPr>
          <w:b/>
        </w:rPr>
        <w:t xml:space="preserve">, there are still </w:t>
      </w:r>
      <w:r w:rsidR="008058B7" w:rsidRPr="00B15B00">
        <w:rPr>
          <w:b/>
        </w:rPr>
        <w:t>about</w:t>
      </w:r>
      <w:r w:rsidR="005D557B" w:rsidRPr="00B15B00">
        <w:rPr>
          <w:b/>
        </w:rPr>
        <w:t xml:space="preserve"> </w:t>
      </w:r>
      <w:r w:rsidR="00927773" w:rsidRPr="00B15B00">
        <w:rPr>
          <w:b/>
        </w:rPr>
        <w:t xml:space="preserve">2,500 individuals in the United States serving </w:t>
      </w:r>
      <w:r w:rsidR="00915702" w:rsidRPr="00B15B00">
        <w:rPr>
          <w:b/>
        </w:rPr>
        <w:t xml:space="preserve">such </w:t>
      </w:r>
      <w:r w:rsidR="008058B7" w:rsidRPr="00B15B00">
        <w:rPr>
          <w:b/>
        </w:rPr>
        <w:t>sentence</w:t>
      </w:r>
      <w:r w:rsidR="00915702" w:rsidRPr="00B15B00">
        <w:rPr>
          <w:b/>
        </w:rPr>
        <w:t>s</w:t>
      </w:r>
      <w:r w:rsidR="008058B7" w:rsidRPr="00B15B00">
        <w:rPr>
          <w:b/>
        </w:rPr>
        <w:t xml:space="preserve"> </w:t>
      </w:r>
      <w:r w:rsidR="00927773" w:rsidRPr="00B15B00">
        <w:rPr>
          <w:b/>
        </w:rPr>
        <w:t>f</w:t>
      </w:r>
      <w:r w:rsidR="008058B7" w:rsidRPr="00B15B00">
        <w:rPr>
          <w:b/>
        </w:rPr>
        <w:t>or crimes</w:t>
      </w:r>
      <w:r w:rsidR="00935398" w:rsidRPr="00B15B00">
        <w:rPr>
          <w:b/>
        </w:rPr>
        <w:t xml:space="preserve"> committed before the age of eighteen</w:t>
      </w:r>
      <w:r w:rsidR="00927773" w:rsidRPr="00B15B00">
        <w:rPr>
          <w:b/>
        </w:rPr>
        <w:t>.</w:t>
      </w:r>
      <w:r w:rsidR="00927773" w:rsidRPr="00B15B00">
        <w:rPr>
          <w:rStyle w:val="FootnoteReference"/>
          <w:b/>
        </w:rPr>
        <w:footnoteReference w:id="14"/>
      </w:r>
      <w:r w:rsidR="008058B7">
        <w:t xml:space="preserve"> </w:t>
      </w:r>
    </w:p>
    <w:p w14:paraId="44B29AE1" w14:textId="77777777" w:rsidR="00116F9A" w:rsidRDefault="00116F9A" w:rsidP="0065185C">
      <w:pPr>
        <w:spacing w:line="240" w:lineRule="auto"/>
        <w:ind w:left="360"/>
      </w:pPr>
    </w:p>
    <w:p w14:paraId="12EC93D7" w14:textId="77777777" w:rsidR="00927773" w:rsidRDefault="002775A4" w:rsidP="0065185C">
      <w:pPr>
        <w:pStyle w:val="ListParagraph"/>
        <w:numPr>
          <w:ilvl w:val="0"/>
          <w:numId w:val="17"/>
        </w:numPr>
        <w:spacing w:line="240" w:lineRule="auto"/>
      </w:pPr>
      <w:r>
        <w:t>The United States stands a</w:t>
      </w:r>
      <w:r w:rsidR="00686C23">
        <w:t>lone in the imposition of such</w:t>
      </w:r>
      <w:r>
        <w:t xml:space="preserve"> severe sentence</w:t>
      </w:r>
      <w:r w:rsidR="00686C23">
        <w:t>s; currently no other country</w:t>
      </w:r>
      <w:r>
        <w:t xml:space="preserve"> impose</w:t>
      </w:r>
      <w:r w:rsidR="00686C23">
        <w:t>s</w:t>
      </w:r>
      <w:r>
        <w:t xml:space="preserve"> </w:t>
      </w:r>
      <w:r w:rsidR="00686C23">
        <w:t>J</w:t>
      </w:r>
      <w:r>
        <w:t>LWOP sentences.</w:t>
      </w:r>
      <w:r>
        <w:rPr>
          <w:rStyle w:val="FootnoteReference"/>
        </w:rPr>
        <w:footnoteReference w:id="15"/>
      </w:r>
      <w:r w:rsidR="00123876">
        <w:t xml:space="preserve"> </w:t>
      </w:r>
      <w:r w:rsidR="00C748B2">
        <w:t xml:space="preserve">At the time of the </w:t>
      </w:r>
      <w:r w:rsidR="00C748B2" w:rsidRPr="0065185C">
        <w:rPr>
          <w:i/>
        </w:rPr>
        <w:t>Miller</w:t>
      </w:r>
      <w:r w:rsidR="00C748B2">
        <w:t xml:space="preserve"> ruling, seven states plus the District of Columbia had banned </w:t>
      </w:r>
      <w:r w:rsidR="005D557B">
        <w:t>J</w:t>
      </w:r>
      <w:r w:rsidR="00C748B2">
        <w:t>LWOP</w:t>
      </w:r>
      <w:r w:rsidR="005D557B">
        <w:t xml:space="preserve"> and</w:t>
      </w:r>
      <w:r w:rsidR="00C748B2">
        <w:t xml:space="preserve"> only </w:t>
      </w:r>
      <w:r w:rsidR="00686C23">
        <w:t>four</w:t>
      </w:r>
      <w:r w:rsidR="00C748B2">
        <w:t xml:space="preserve"> states have joined their ranks in the two years since</w:t>
      </w:r>
      <w:r w:rsidR="005D557B">
        <w:t>.</w:t>
      </w:r>
      <w:r w:rsidR="00123876">
        <w:rPr>
          <w:rStyle w:val="FootnoteReference"/>
        </w:rPr>
        <w:footnoteReference w:id="16"/>
      </w:r>
      <w:r w:rsidR="005D557B">
        <w:t xml:space="preserve"> </w:t>
      </w:r>
      <w:r>
        <w:t xml:space="preserve">Thus, </w:t>
      </w:r>
      <w:r w:rsidR="005D557B">
        <w:t xml:space="preserve">in </w:t>
      </w:r>
      <w:r w:rsidR="00686C23">
        <w:t>most states</w:t>
      </w:r>
      <w:r w:rsidR="00781324">
        <w:t xml:space="preserve">, </w:t>
      </w:r>
      <w:r w:rsidR="005D557B">
        <w:t xml:space="preserve">juveniles may </w:t>
      </w:r>
      <w:r w:rsidR="00781324">
        <w:t xml:space="preserve">still </w:t>
      </w:r>
      <w:r w:rsidR="005D557B">
        <w:t>be sentenced to LWOP</w:t>
      </w:r>
      <w:r w:rsidR="00915702">
        <w:t xml:space="preserve"> as long as it is not </w:t>
      </w:r>
      <w:r w:rsidR="008071F9">
        <w:t xml:space="preserve">imposed </w:t>
      </w:r>
      <w:r w:rsidR="00915702">
        <w:t>as a mandatory penalty</w:t>
      </w:r>
      <w:r w:rsidR="00C748B2">
        <w:t xml:space="preserve">. </w:t>
      </w:r>
      <w:r w:rsidR="00C748B2">
        <w:rPr>
          <w:rStyle w:val="FootnoteReference"/>
        </w:rPr>
        <w:footnoteReference w:id="17"/>
      </w:r>
      <w:r w:rsidR="005D557B">
        <w:t xml:space="preserve"> Additionally troublesome is</w:t>
      </w:r>
      <w:r w:rsidR="00116F9A">
        <w:t xml:space="preserve"> </w:t>
      </w:r>
      <w:r w:rsidR="00686C23">
        <w:t xml:space="preserve">that </w:t>
      </w:r>
      <w:r w:rsidR="00116F9A">
        <w:t>o</w:t>
      </w:r>
      <w:r w:rsidR="00927773">
        <w:t xml:space="preserve">nly six state Supreme Courts have interpreted </w:t>
      </w:r>
      <w:r w:rsidR="00927773" w:rsidRPr="0065185C">
        <w:rPr>
          <w:i/>
        </w:rPr>
        <w:t xml:space="preserve">Miller </w:t>
      </w:r>
      <w:r w:rsidR="00927773">
        <w:t xml:space="preserve">to apply retroactively, and at least three </w:t>
      </w:r>
      <w:r w:rsidR="0067798D">
        <w:t xml:space="preserve">state Supreme </w:t>
      </w:r>
      <w:r w:rsidR="00686C23">
        <w:t>Court</w:t>
      </w:r>
      <w:r w:rsidR="0067798D" w:rsidRPr="00637B34">
        <w:t>s</w:t>
      </w:r>
      <w:r w:rsidR="00686C23">
        <w:t>’</w:t>
      </w:r>
      <w:r w:rsidR="00927773" w:rsidRPr="00637B34">
        <w:t xml:space="preserve"> including Pennsylvania</w:t>
      </w:r>
      <w:r w:rsidR="00935398" w:rsidRPr="00637B34">
        <w:t>,</w:t>
      </w:r>
      <w:r w:rsidR="00927773" w:rsidRPr="00637B34">
        <w:t xml:space="preserve"> which has the most individuals</w:t>
      </w:r>
      <w:r w:rsidR="004F2E6E">
        <w:t xml:space="preserve"> (472)</w:t>
      </w:r>
      <w:r w:rsidR="00927773" w:rsidRPr="00637B34">
        <w:t xml:space="preserve"> serving </w:t>
      </w:r>
      <w:r w:rsidR="004F2E6E">
        <w:t>JLWOP sentences</w:t>
      </w:r>
      <w:r w:rsidR="00927773" w:rsidRPr="00637B34">
        <w:t>, have</w:t>
      </w:r>
      <w:r w:rsidR="0067798D" w:rsidRPr="00637B34">
        <w:t xml:space="preserve"> ruled that </w:t>
      </w:r>
      <w:r w:rsidR="0067798D" w:rsidRPr="0065185C">
        <w:rPr>
          <w:i/>
        </w:rPr>
        <w:t>Miller</w:t>
      </w:r>
      <w:r w:rsidR="0067798D" w:rsidRPr="00637B34">
        <w:t xml:space="preserve"> is not retroactive.</w:t>
      </w:r>
      <w:r w:rsidR="0067798D" w:rsidRPr="00637B34">
        <w:rPr>
          <w:rStyle w:val="FootnoteReference"/>
        </w:rPr>
        <w:footnoteReference w:id="18"/>
      </w:r>
      <w:r w:rsidR="00781324">
        <w:t xml:space="preserve"> </w:t>
      </w:r>
    </w:p>
    <w:p w14:paraId="18F05A60" w14:textId="77777777" w:rsidR="002E6052" w:rsidRDefault="002E6052" w:rsidP="0065185C">
      <w:pPr>
        <w:spacing w:line="240" w:lineRule="auto"/>
        <w:ind w:left="360"/>
      </w:pPr>
    </w:p>
    <w:p w14:paraId="57C7E25A" w14:textId="77777777" w:rsidR="004F2E6E" w:rsidRDefault="00915702" w:rsidP="0065185C">
      <w:pPr>
        <w:pStyle w:val="ListParagraph"/>
        <w:numPr>
          <w:ilvl w:val="0"/>
          <w:numId w:val="17"/>
        </w:numPr>
        <w:spacing w:line="240" w:lineRule="auto"/>
      </w:pPr>
      <w:r>
        <w:t xml:space="preserve">The </w:t>
      </w:r>
      <w:r w:rsidR="002775A4">
        <w:t xml:space="preserve">racial </w:t>
      </w:r>
      <w:r>
        <w:t xml:space="preserve">disparities among those persons subject to </w:t>
      </w:r>
      <w:r w:rsidR="002775A4">
        <w:t xml:space="preserve">these </w:t>
      </w:r>
      <w:r>
        <w:t xml:space="preserve">penalties </w:t>
      </w:r>
      <w:r w:rsidR="002775A4">
        <w:t>make their use even more problematic</w:t>
      </w:r>
      <w:r w:rsidR="007038A2">
        <w:t>.</w:t>
      </w:r>
      <w:r w:rsidR="00FB1CE1">
        <w:t xml:space="preserve"> Of the 2</w:t>
      </w:r>
      <w:r w:rsidR="00EA015B">
        <w:t>,500</w:t>
      </w:r>
      <w:r w:rsidR="00FB1CE1">
        <w:t xml:space="preserve"> individuals currently serving JLWOP sentences 61% are African </w:t>
      </w:r>
      <w:r w:rsidR="003A5A72">
        <w:t>American,</w:t>
      </w:r>
      <w:r w:rsidR="00123876">
        <w:t xml:space="preserve"> </w:t>
      </w:r>
      <w:r w:rsidR="00FB1CE1">
        <w:t>27% are white</w:t>
      </w:r>
      <w:r w:rsidR="00123876">
        <w:t>,</w:t>
      </w:r>
      <w:r w:rsidR="00FB1CE1">
        <w:t xml:space="preserve"> and 12% </w:t>
      </w:r>
      <w:r w:rsidR="00123876">
        <w:t xml:space="preserve">are </w:t>
      </w:r>
      <w:r w:rsidR="00FB1CE1">
        <w:t>“other.”</w:t>
      </w:r>
      <w:r w:rsidR="00AF4A53" w:rsidRPr="00AF6873">
        <w:t xml:space="preserve"> </w:t>
      </w:r>
      <w:r w:rsidR="007038A2">
        <w:t>“</w:t>
      </w:r>
      <w:r w:rsidR="00376E8C">
        <w:t>The proportion of African Americans serving JLWOP sentences for the killing of a white person (43.4%) is nearly twice the rate at which African American juveniles are arrested for taking a white person’s life (23.2%). Conversely, white juvenile offenders with black victims are only about half as likely (3.6%) to receive a JLWOP sentence as their proportion of arrests for killing blacks (6.4%).”</w:t>
      </w:r>
      <w:r w:rsidR="005D557B">
        <w:rPr>
          <w:rStyle w:val="FootnoteReference"/>
        </w:rPr>
        <w:footnoteReference w:id="19"/>
      </w:r>
      <w:r w:rsidR="005D557B">
        <w:t xml:space="preserve"> </w:t>
      </w:r>
    </w:p>
    <w:p w14:paraId="2A43697E" w14:textId="77777777" w:rsidR="00FB1CE1" w:rsidRDefault="00FB1CE1" w:rsidP="0065185C">
      <w:pPr>
        <w:spacing w:line="240" w:lineRule="auto"/>
        <w:ind w:left="360"/>
      </w:pPr>
    </w:p>
    <w:p w14:paraId="7732D598" w14:textId="77777777" w:rsidR="00FB1CE1" w:rsidRPr="0065185C" w:rsidRDefault="00FB1CE1" w:rsidP="0065185C">
      <w:pPr>
        <w:pStyle w:val="ListParagraph"/>
        <w:numPr>
          <w:ilvl w:val="0"/>
          <w:numId w:val="17"/>
        </w:numPr>
        <w:spacing w:line="240" w:lineRule="auto"/>
        <w:rPr>
          <w:szCs w:val="24"/>
        </w:rPr>
      </w:pPr>
      <w:r w:rsidRPr="0065185C">
        <w:rPr>
          <w:rFonts w:cs="Arial"/>
          <w:color w:val="222222"/>
          <w:szCs w:val="24"/>
          <w:shd w:val="clear" w:color="auto" w:fill="FFFFFF"/>
        </w:rPr>
        <w:t>Additionally, the Juvenile Justice and Delinquency Prevention Act, the nation's only federal policy specifically designed to handle the nation's juvenile justice systems, has</w:t>
      </w:r>
      <w:r w:rsidR="00EA015B" w:rsidRPr="0065185C">
        <w:rPr>
          <w:rFonts w:cs="Arial"/>
          <w:color w:val="222222"/>
          <w:szCs w:val="24"/>
          <w:shd w:val="clear" w:color="auto" w:fill="FFFFFF"/>
        </w:rPr>
        <w:t xml:space="preserve"> not been reauthorized in over five</w:t>
      </w:r>
      <w:r w:rsidRPr="0065185C">
        <w:rPr>
          <w:rFonts w:cs="Arial"/>
          <w:color w:val="222222"/>
          <w:szCs w:val="24"/>
          <w:shd w:val="clear" w:color="auto" w:fill="FFFFFF"/>
        </w:rPr>
        <w:t xml:space="preserve"> years. A reauthorized Act could significantly strengthen the Act's mandate to address the severe racial and ethnic disparities which plague juvenile justice systems nationwide </w:t>
      </w:r>
      <w:r w:rsidR="00AF6873" w:rsidRPr="0065185C">
        <w:rPr>
          <w:rFonts w:cs="Arial"/>
          <w:color w:val="222222"/>
          <w:szCs w:val="24"/>
          <w:shd w:val="clear" w:color="auto" w:fill="FFFFFF"/>
        </w:rPr>
        <w:t>by</w:t>
      </w:r>
      <w:r w:rsidRPr="0065185C">
        <w:rPr>
          <w:rFonts w:cs="Arial"/>
          <w:color w:val="222222"/>
          <w:szCs w:val="24"/>
          <w:shd w:val="clear" w:color="auto" w:fill="FFFFFF"/>
        </w:rPr>
        <w:t xml:space="preserve"> requiring states to take concrete steps to reduce and monitor disparities.</w:t>
      </w:r>
    </w:p>
    <w:p w14:paraId="74392BB7" w14:textId="77777777" w:rsidR="001B6E2D" w:rsidRPr="00155E7A" w:rsidRDefault="001B6E2D" w:rsidP="0065185C">
      <w:pPr>
        <w:spacing w:line="240" w:lineRule="auto"/>
        <w:ind w:left="360"/>
      </w:pPr>
    </w:p>
    <w:p w14:paraId="504F034A" w14:textId="77777777" w:rsidR="00CA3D20" w:rsidRPr="00B15B00" w:rsidRDefault="001B6E2D" w:rsidP="0065185C">
      <w:pPr>
        <w:pStyle w:val="ListParagraph"/>
        <w:numPr>
          <w:ilvl w:val="0"/>
          <w:numId w:val="17"/>
        </w:numPr>
        <w:spacing w:line="240" w:lineRule="auto"/>
        <w:rPr>
          <w:b/>
        </w:rPr>
      </w:pPr>
      <w:r w:rsidRPr="00155E7A">
        <w:t xml:space="preserve">Regarding </w:t>
      </w:r>
      <w:r w:rsidRPr="0065185C">
        <w:rPr>
          <w:b/>
        </w:rPr>
        <w:t>paragraph 23 of the Committee’s Concluding Observations</w:t>
      </w:r>
      <w:r w:rsidRPr="00155E7A">
        <w:t xml:space="preserve"> and the </w:t>
      </w:r>
      <w:r w:rsidRPr="0065185C">
        <w:rPr>
          <w:b/>
        </w:rPr>
        <w:t>United States’ response in paragraphs 69-70</w:t>
      </w:r>
      <w:r w:rsidR="00AF4A53" w:rsidRPr="00B15B00">
        <w:rPr>
          <w:b/>
        </w:rPr>
        <w:t xml:space="preserve">, while </w:t>
      </w:r>
      <w:r w:rsidR="00915702" w:rsidRPr="00B15B00">
        <w:rPr>
          <w:b/>
        </w:rPr>
        <w:t xml:space="preserve">six states have repealed the death penalty </w:t>
      </w:r>
      <w:r w:rsidR="00B05675" w:rsidRPr="00B15B00">
        <w:rPr>
          <w:b/>
        </w:rPr>
        <w:t>in the past seven years</w:t>
      </w:r>
      <w:r w:rsidR="00AF4A53" w:rsidRPr="00B15B00">
        <w:rPr>
          <w:b/>
        </w:rPr>
        <w:t>, more than 3,000 people remain on death row.</w:t>
      </w:r>
      <w:r w:rsidR="00AF4A53" w:rsidRPr="00B15B00">
        <w:rPr>
          <w:rStyle w:val="FootnoteReference"/>
          <w:b/>
        </w:rPr>
        <w:footnoteReference w:id="20"/>
      </w:r>
      <w:r w:rsidR="000026AE" w:rsidRPr="00B15B00">
        <w:rPr>
          <w:b/>
        </w:rPr>
        <w:t xml:space="preserve"> In the past ten</w:t>
      </w:r>
      <w:r w:rsidR="00AF4A53" w:rsidRPr="00B15B00">
        <w:rPr>
          <w:b/>
        </w:rPr>
        <w:t xml:space="preserve"> years </w:t>
      </w:r>
      <w:r w:rsidR="00915702" w:rsidRPr="00B15B00">
        <w:rPr>
          <w:b/>
        </w:rPr>
        <w:t>42</w:t>
      </w:r>
      <w:r w:rsidR="000026AE" w:rsidRPr="00B15B00">
        <w:rPr>
          <w:b/>
        </w:rPr>
        <w:t xml:space="preserve"> </w:t>
      </w:r>
      <w:r w:rsidR="00AF4A53" w:rsidRPr="00B15B00">
        <w:rPr>
          <w:b/>
        </w:rPr>
        <w:t>peop</w:t>
      </w:r>
      <w:r w:rsidR="000026AE" w:rsidRPr="00B15B00">
        <w:rPr>
          <w:b/>
        </w:rPr>
        <w:t xml:space="preserve">le </w:t>
      </w:r>
      <w:r w:rsidR="001F5A8C" w:rsidRPr="00B15B00">
        <w:rPr>
          <w:b/>
        </w:rPr>
        <w:t xml:space="preserve">on average </w:t>
      </w:r>
      <w:r w:rsidR="000026AE" w:rsidRPr="00B15B00">
        <w:rPr>
          <w:b/>
        </w:rPr>
        <w:t xml:space="preserve">have been executed each year and </w:t>
      </w:r>
      <w:r w:rsidR="00915702" w:rsidRPr="00B15B00">
        <w:rPr>
          <w:b/>
        </w:rPr>
        <w:t xml:space="preserve">20 </w:t>
      </w:r>
      <w:r w:rsidR="000026AE" w:rsidRPr="00B15B00">
        <w:rPr>
          <w:b/>
        </w:rPr>
        <w:t>people have</w:t>
      </w:r>
      <w:r w:rsidR="00AF4A53" w:rsidRPr="00B15B00">
        <w:rPr>
          <w:b/>
        </w:rPr>
        <w:t xml:space="preserve"> already been executed in 2014.</w:t>
      </w:r>
      <w:r w:rsidR="00AF4A53" w:rsidRPr="00B15B00">
        <w:rPr>
          <w:rStyle w:val="FootnoteReference"/>
          <w:b/>
        </w:rPr>
        <w:footnoteReference w:id="21"/>
      </w:r>
    </w:p>
    <w:p w14:paraId="023E18CF" w14:textId="77777777" w:rsidR="00CA3D20" w:rsidRDefault="00CA3D20" w:rsidP="0065185C">
      <w:pPr>
        <w:spacing w:line="240" w:lineRule="auto"/>
        <w:ind w:left="360"/>
      </w:pPr>
    </w:p>
    <w:p w14:paraId="234A7865" w14:textId="77777777" w:rsidR="00A64435" w:rsidRDefault="000026AE" w:rsidP="0065185C">
      <w:pPr>
        <w:pStyle w:val="ListParagraph"/>
        <w:numPr>
          <w:ilvl w:val="0"/>
          <w:numId w:val="17"/>
        </w:numPr>
        <w:spacing w:line="240" w:lineRule="auto"/>
      </w:pPr>
      <w:r>
        <w:t xml:space="preserve">It is also important to note the </w:t>
      </w:r>
      <w:r w:rsidR="00CA3D20">
        <w:t xml:space="preserve">pronounced </w:t>
      </w:r>
      <w:r w:rsidR="00652EA5">
        <w:t xml:space="preserve">racial disparity </w:t>
      </w:r>
      <w:r w:rsidR="00CA3D20">
        <w:t xml:space="preserve">in death penalty cases. </w:t>
      </w:r>
      <w:r w:rsidR="00155E7A">
        <w:t xml:space="preserve">This disparity manifests itself in two forms. First, </w:t>
      </w:r>
      <w:r w:rsidR="00EA015B">
        <w:t>those convicted of killin</w:t>
      </w:r>
      <w:r w:rsidR="00A64435">
        <w:t>g white</w:t>
      </w:r>
      <w:r w:rsidR="00686C23">
        <w:t>s are</w:t>
      </w:r>
      <w:r w:rsidR="00A64435">
        <w:t xml:space="preserve"> more likely to be sentenced to deat</w:t>
      </w:r>
      <w:r w:rsidR="00EA015B">
        <w:t>h than those convicted of kill</w:t>
      </w:r>
      <w:r w:rsidR="00A64435">
        <w:t>ing black</w:t>
      </w:r>
      <w:r w:rsidR="00686C23">
        <w:t>s</w:t>
      </w:r>
      <w:r w:rsidR="00A64435">
        <w:t xml:space="preserve"> even when </w:t>
      </w:r>
      <w:r w:rsidR="00686C23">
        <w:t>controlling</w:t>
      </w:r>
      <w:r w:rsidR="00A64435">
        <w:t xml:space="preserve"> for crime-specific variables.</w:t>
      </w:r>
      <w:r w:rsidR="00A64435">
        <w:rPr>
          <w:rStyle w:val="FootnoteReference"/>
          <w:rFonts w:ascii="Times New Roman" w:hAnsi="Times New Roman"/>
        </w:rPr>
        <w:footnoteReference w:id="22"/>
      </w:r>
      <w:r w:rsidR="00155E7A">
        <w:t xml:space="preserve"> </w:t>
      </w:r>
      <w:r w:rsidR="00A64435">
        <w:t>Second, black defendants are more likely to be sentenced to death regardless of the race of their victims.</w:t>
      </w:r>
      <w:r w:rsidR="00652EA5">
        <w:t xml:space="preserve"> </w:t>
      </w:r>
      <w:r w:rsidR="00A64435">
        <w:rPr>
          <w:rStyle w:val="FootnoteReference"/>
          <w:rFonts w:ascii="Times New Roman" w:hAnsi="Times New Roman"/>
        </w:rPr>
        <w:footnoteReference w:id="23"/>
      </w:r>
      <w:r w:rsidR="006F7DD4" w:rsidRPr="0065185C">
        <w:rPr>
          <w:vertAlign w:val="superscript"/>
        </w:rPr>
        <w:t xml:space="preserve"> </w:t>
      </w:r>
      <w:r w:rsidR="00A64435">
        <w:t xml:space="preserve">When these two factors are taken together, the impact of race on capital sentencing is staggering. </w:t>
      </w:r>
      <w:r w:rsidR="00D40544">
        <w:t>As far back as 1990, the U.S. General Accounting Office found that “[i]n 82% of the studies [reviewed], race of the victim was found to influence the likelihood of being charged with capital murder or receiving the death penalty, i.e., those who murdered whites were found more likely to be sentenced to death than those who murdered blacks.”</w:t>
      </w:r>
      <w:r w:rsidR="00D40544">
        <w:rPr>
          <w:rStyle w:val="FootnoteReference"/>
        </w:rPr>
        <w:footnoteReference w:id="24"/>
      </w:r>
      <w:r w:rsidR="00A64435">
        <w:t xml:space="preserve"> Such statistical disparities have led many of the most respected American jurists to call for the abolition of the death penalty because of its racially disparate impact, among other factors.</w:t>
      </w:r>
      <w:r w:rsidR="00A64435">
        <w:rPr>
          <w:rStyle w:val="FootnoteReference"/>
          <w:rFonts w:ascii="Times New Roman" w:hAnsi="Times New Roman"/>
        </w:rPr>
        <w:footnoteReference w:id="25"/>
      </w:r>
    </w:p>
    <w:p w14:paraId="50DE6F72" w14:textId="77777777" w:rsidR="001B6E2D" w:rsidRPr="001B6E2D" w:rsidRDefault="001B6E2D" w:rsidP="0065185C">
      <w:pPr>
        <w:spacing w:line="240" w:lineRule="auto"/>
        <w:ind w:left="360"/>
        <w:rPr>
          <w:highlight w:val="yellow"/>
        </w:rPr>
      </w:pPr>
    </w:p>
    <w:p w14:paraId="0066543D" w14:textId="77777777" w:rsidR="001B6E2D" w:rsidRPr="00B15B00" w:rsidRDefault="001B6E2D" w:rsidP="0065185C">
      <w:pPr>
        <w:pStyle w:val="ListParagraph"/>
        <w:numPr>
          <w:ilvl w:val="0"/>
          <w:numId w:val="17"/>
        </w:numPr>
        <w:spacing w:line="240" w:lineRule="auto"/>
        <w:rPr>
          <w:b/>
        </w:rPr>
      </w:pPr>
      <w:r w:rsidRPr="00F06DB7">
        <w:t xml:space="preserve">Regarding </w:t>
      </w:r>
      <w:r w:rsidRPr="0065185C">
        <w:rPr>
          <w:b/>
        </w:rPr>
        <w:t>paragraph 27 of the Committee’s Concluding Observations</w:t>
      </w:r>
      <w:r w:rsidRPr="00F06DB7">
        <w:t xml:space="preserve"> and the </w:t>
      </w:r>
      <w:r w:rsidRPr="0065185C">
        <w:rPr>
          <w:b/>
        </w:rPr>
        <w:t xml:space="preserve">United </w:t>
      </w:r>
      <w:r w:rsidR="00F06DB7" w:rsidRPr="0065185C">
        <w:rPr>
          <w:b/>
        </w:rPr>
        <w:t>States’ response in paragraph 102</w:t>
      </w:r>
      <w:r w:rsidR="00F06DB7" w:rsidRPr="00B15B00">
        <w:rPr>
          <w:b/>
        </w:rPr>
        <w:t>,</w:t>
      </w:r>
      <w:r w:rsidR="0086333A" w:rsidRPr="00B15B00">
        <w:rPr>
          <w:b/>
        </w:rPr>
        <w:t xml:space="preserve"> f</w:t>
      </w:r>
      <w:r w:rsidR="00B924D3" w:rsidRPr="00B15B00">
        <w:rPr>
          <w:b/>
        </w:rPr>
        <w:t xml:space="preserve">elony disenfranchisement </w:t>
      </w:r>
      <w:r w:rsidR="00376E8C" w:rsidRPr="00B15B00">
        <w:rPr>
          <w:b/>
        </w:rPr>
        <w:t>remains a significant</w:t>
      </w:r>
      <w:r w:rsidR="0086333A" w:rsidRPr="00B15B00">
        <w:rPr>
          <w:b/>
        </w:rPr>
        <w:t xml:space="preserve"> </w:t>
      </w:r>
      <w:r w:rsidR="007317E4" w:rsidRPr="00B15B00">
        <w:rPr>
          <w:b/>
        </w:rPr>
        <w:t xml:space="preserve">consequence of </w:t>
      </w:r>
      <w:r w:rsidR="0086333A" w:rsidRPr="00B15B00">
        <w:rPr>
          <w:b/>
        </w:rPr>
        <w:t xml:space="preserve">criminal justice </w:t>
      </w:r>
      <w:r w:rsidR="007317E4" w:rsidRPr="00B15B00">
        <w:rPr>
          <w:b/>
        </w:rPr>
        <w:t xml:space="preserve">policy </w:t>
      </w:r>
      <w:r w:rsidR="0086333A" w:rsidRPr="00B15B00">
        <w:rPr>
          <w:b/>
        </w:rPr>
        <w:t>in the United States as</w:t>
      </w:r>
      <w:r w:rsidR="002220C8" w:rsidRPr="00B15B00">
        <w:rPr>
          <w:b/>
        </w:rPr>
        <w:t xml:space="preserve"> </w:t>
      </w:r>
      <w:r w:rsidR="007317E4" w:rsidRPr="00B15B00">
        <w:rPr>
          <w:b/>
        </w:rPr>
        <w:t xml:space="preserve">an estimated </w:t>
      </w:r>
      <w:r w:rsidR="002220C8" w:rsidRPr="00B15B00">
        <w:rPr>
          <w:b/>
        </w:rPr>
        <w:t>5.85</w:t>
      </w:r>
      <w:r w:rsidR="00B924D3" w:rsidRPr="00B15B00">
        <w:rPr>
          <w:b/>
        </w:rPr>
        <w:t xml:space="preserve"> million persons are ineligible to vote as a result of a current or previous felony conviction.</w:t>
      </w:r>
      <w:r w:rsidR="00B924D3" w:rsidRPr="00B15B00">
        <w:rPr>
          <w:rStyle w:val="FootnoteReference"/>
          <w:b/>
        </w:rPr>
        <w:footnoteReference w:id="26"/>
      </w:r>
      <w:r w:rsidR="00281464" w:rsidRPr="00B15B00">
        <w:rPr>
          <w:b/>
        </w:rPr>
        <w:t xml:space="preserve"> </w:t>
      </w:r>
      <w:r w:rsidR="00E54945" w:rsidRPr="00B15B00">
        <w:rPr>
          <w:b/>
        </w:rPr>
        <w:t>Over two million of the currently disenfranchised are African Americans as the racial disparities which pervade the criminal justice system are paralleled in the disenfranchised population.</w:t>
      </w:r>
      <w:r w:rsidR="00E54945" w:rsidRPr="00B15B00">
        <w:rPr>
          <w:rStyle w:val="FootnoteReference"/>
          <w:b/>
        </w:rPr>
        <w:footnoteReference w:id="27"/>
      </w:r>
      <w:r w:rsidR="00E54945" w:rsidRPr="00B15B00">
        <w:rPr>
          <w:b/>
        </w:rPr>
        <w:t xml:space="preserve"> </w:t>
      </w:r>
      <w:r w:rsidR="00281464" w:rsidRPr="00B15B00">
        <w:rPr>
          <w:b/>
        </w:rPr>
        <w:t>One of every thirteen African Americans of voting age is disenfranchised, a rate more than four times greater than non-African Americans.</w:t>
      </w:r>
      <w:r w:rsidR="00281464" w:rsidRPr="00B15B00">
        <w:rPr>
          <w:rStyle w:val="FootnoteReference"/>
          <w:b/>
        </w:rPr>
        <w:footnoteReference w:id="28"/>
      </w:r>
      <w:r w:rsidR="00B924D3" w:rsidRPr="00B15B00">
        <w:rPr>
          <w:b/>
        </w:rPr>
        <w:t xml:space="preserve"> </w:t>
      </w:r>
    </w:p>
    <w:p w14:paraId="70BA6A3F" w14:textId="77777777" w:rsidR="00F06DB7" w:rsidRDefault="00F06DB7" w:rsidP="0065185C">
      <w:pPr>
        <w:spacing w:line="240" w:lineRule="auto"/>
        <w:ind w:left="360"/>
      </w:pPr>
    </w:p>
    <w:p w14:paraId="3A8AD4AC" w14:textId="77777777" w:rsidR="003C4B78" w:rsidRDefault="00E54945" w:rsidP="0065185C">
      <w:pPr>
        <w:pStyle w:val="ListParagraph"/>
        <w:numPr>
          <w:ilvl w:val="0"/>
          <w:numId w:val="17"/>
        </w:numPr>
        <w:spacing w:line="240" w:lineRule="auto"/>
      </w:pPr>
      <w:r>
        <w:t>In the United States, thirty-five of the fifty states impose post-sentence restrictions on individuals</w:t>
      </w:r>
      <w:r w:rsidR="009517B9">
        <w:t>’</w:t>
      </w:r>
      <w:r>
        <w:t xml:space="preserve"> voting rights.</w:t>
      </w:r>
      <w:r>
        <w:rPr>
          <w:rStyle w:val="FootnoteReference"/>
        </w:rPr>
        <w:footnoteReference w:id="29"/>
      </w:r>
      <w:r>
        <w:t xml:space="preserve"> </w:t>
      </w:r>
      <w:r w:rsidR="009517B9">
        <w:t xml:space="preserve">Further, twelve </w:t>
      </w:r>
      <w:r>
        <w:t>states</w:t>
      </w:r>
      <w:r w:rsidR="009517B9">
        <w:t xml:space="preserve"> </w:t>
      </w:r>
      <w:r>
        <w:t>deny voting rights even to those who have successfully fulfilled their prison, parole, or probation sentences.</w:t>
      </w:r>
      <w:r>
        <w:rPr>
          <w:rStyle w:val="FootnoteReference"/>
        </w:rPr>
        <w:footnoteReference w:id="30"/>
      </w:r>
      <w:r>
        <w:t xml:space="preserve"> </w:t>
      </w:r>
      <w:r w:rsidR="0096627F">
        <w:t xml:space="preserve">While </w:t>
      </w:r>
      <w:r w:rsidR="00780493">
        <w:t>the Democracy Restoration</w:t>
      </w:r>
      <w:r w:rsidR="00122F23">
        <w:t xml:space="preserve"> Act,</w:t>
      </w:r>
      <w:r w:rsidR="0096627F">
        <w:t xml:space="preserve"> </w:t>
      </w:r>
      <w:r w:rsidR="00AB3E9D">
        <w:t xml:space="preserve">a </w:t>
      </w:r>
      <w:r w:rsidR="0096627F">
        <w:t xml:space="preserve">proposed </w:t>
      </w:r>
      <w:r w:rsidR="00122F23">
        <w:t xml:space="preserve">bill </w:t>
      </w:r>
      <w:r w:rsidR="0096627F">
        <w:t xml:space="preserve">that would </w:t>
      </w:r>
      <w:r w:rsidR="00122F23">
        <w:t xml:space="preserve">restore voting rights in federal elections to those who have been released from prison, would be a way for the government to make inroads even with very restrictive policies in many states, there has been little support </w:t>
      </w:r>
      <w:r w:rsidR="009517B9">
        <w:t xml:space="preserve">in Congress </w:t>
      </w:r>
      <w:r w:rsidR="00122F23">
        <w:t>for advancing this legislation.</w:t>
      </w:r>
      <w:r w:rsidR="00122F23">
        <w:rPr>
          <w:rStyle w:val="FootnoteReference"/>
        </w:rPr>
        <w:footnoteReference w:id="31"/>
      </w:r>
      <w:r w:rsidR="00122F23">
        <w:t xml:space="preserve"> </w:t>
      </w:r>
      <w:r w:rsidR="00F06DB7">
        <w:t xml:space="preserve">The </w:t>
      </w:r>
      <w:r>
        <w:t xml:space="preserve">scope and </w:t>
      </w:r>
      <w:r w:rsidR="00F06DB7">
        <w:t>severity of disenfranchisement policies in the United States make</w:t>
      </w:r>
      <w:r w:rsidR="009517B9">
        <w:t>s</w:t>
      </w:r>
      <w:r w:rsidR="00F06DB7">
        <w:t xml:space="preserve"> it unique in regard to comparable nations.</w:t>
      </w:r>
      <w:r w:rsidR="00B924D3">
        <w:rPr>
          <w:rStyle w:val="FootnoteReference"/>
        </w:rPr>
        <w:footnoteReference w:id="32"/>
      </w:r>
      <w:r w:rsidR="00F06DB7">
        <w:t xml:space="preserve"> </w:t>
      </w:r>
      <w:r w:rsidR="009517B9">
        <w:t xml:space="preserve">Many industrialized nations impose no restrictions on voting and of those that do they are generally limited only to persons in prison. Several major court decisions have also upheld the right to vote for incarcerated persons. In 2005 </w:t>
      </w:r>
      <w:r w:rsidR="00B924D3">
        <w:t>t</w:t>
      </w:r>
      <w:r w:rsidR="00F06DB7">
        <w:t xml:space="preserve">he European Court of Human Rights determined </w:t>
      </w:r>
      <w:r w:rsidR="00642EE8">
        <w:t>“</w:t>
      </w:r>
      <w:r w:rsidR="00F06DB7">
        <w:t>that a blanket ban on voting from prison violates the European Convention on Human Rights, which guarantees the right to free and fair elections.</w:t>
      </w:r>
      <w:r w:rsidR="00F06DB7">
        <w:rPr>
          <w:rStyle w:val="FootnoteReference"/>
        </w:rPr>
        <w:footnoteReference w:id="33"/>
      </w:r>
      <w:r w:rsidR="00B924D3">
        <w:t xml:space="preserve"> The</w:t>
      </w:r>
      <w:r w:rsidR="00642EE8">
        <w:t xml:space="preserve"> Constitutional Court of South Africa and</w:t>
      </w:r>
      <w:r w:rsidR="00B924D3">
        <w:t xml:space="preserve"> Supreme Court</w:t>
      </w:r>
      <w:r w:rsidR="009517B9">
        <w:t>s</w:t>
      </w:r>
      <w:r w:rsidR="00B05675">
        <w:t xml:space="preserve"> of Canada</w:t>
      </w:r>
      <w:r w:rsidR="00B924D3">
        <w:t xml:space="preserve"> and Israel have similarly uph</w:t>
      </w:r>
      <w:r>
        <w:t>eld the right to vote for people with felony convictions</w:t>
      </w:r>
      <w:r w:rsidR="00B924D3">
        <w:t xml:space="preserve">, </w:t>
      </w:r>
      <w:r w:rsidR="009517B9">
        <w:t xml:space="preserve">with </w:t>
      </w:r>
      <w:r w:rsidR="00B924D3">
        <w:t>the Israeli court recognizing the importance of separating “‘contempt for this act’ from ‘respect for [the prisoner’s] right.’”</w:t>
      </w:r>
      <w:r w:rsidR="00B924D3">
        <w:rPr>
          <w:rStyle w:val="FootnoteReference"/>
        </w:rPr>
        <w:footnoteReference w:id="34"/>
      </w:r>
      <w:r w:rsidR="004A40BF">
        <w:t xml:space="preserve"> </w:t>
      </w:r>
    </w:p>
    <w:p w14:paraId="7B0D8DFE" w14:textId="77777777" w:rsidR="001B461D" w:rsidRPr="001B461D" w:rsidRDefault="001B461D" w:rsidP="0096627F">
      <w:pPr>
        <w:spacing w:line="240" w:lineRule="auto"/>
      </w:pPr>
    </w:p>
    <w:p w14:paraId="520D3C5D" w14:textId="77777777" w:rsidR="00DE6281" w:rsidRDefault="00DE6281" w:rsidP="00DE6281">
      <w:pPr>
        <w:pStyle w:val="Heading1"/>
      </w:pPr>
      <w:r>
        <w:t>RECOMMENDed questions</w:t>
      </w:r>
    </w:p>
    <w:p w14:paraId="60D1959F" w14:textId="77777777" w:rsidR="003870B6" w:rsidRPr="00376E8C" w:rsidRDefault="003870B6" w:rsidP="008765DB">
      <w:pPr>
        <w:pStyle w:val="ListParagraph"/>
        <w:numPr>
          <w:ilvl w:val="0"/>
          <w:numId w:val="13"/>
        </w:numPr>
        <w:spacing w:after="200" w:line="240" w:lineRule="auto"/>
        <w:ind w:left="360"/>
        <w:rPr>
          <w:szCs w:val="24"/>
        </w:rPr>
      </w:pPr>
      <w:r w:rsidRPr="00376E8C">
        <w:rPr>
          <w:szCs w:val="24"/>
        </w:rPr>
        <w:t xml:space="preserve">The 2014 comprehensive report of the National  Research Council, </w:t>
      </w:r>
      <w:r w:rsidRPr="00376E8C">
        <w:rPr>
          <w:i/>
          <w:szCs w:val="24"/>
        </w:rPr>
        <w:t>The Growth of Incarceration in the United States,</w:t>
      </w:r>
      <w:r w:rsidRPr="00376E8C">
        <w:rPr>
          <w:szCs w:val="24"/>
        </w:rPr>
        <w:t xml:space="preserve"> finds that:</w:t>
      </w:r>
    </w:p>
    <w:p w14:paraId="6365ECCC" w14:textId="77777777" w:rsidR="003870B6" w:rsidRPr="00376E8C" w:rsidRDefault="003870B6" w:rsidP="008765DB">
      <w:pPr>
        <w:spacing w:after="200" w:line="240" w:lineRule="auto"/>
        <w:ind w:left="360"/>
        <w:rPr>
          <w:rFonts w:cs="Times New Roman"/>
          <w:szCs w:val="24"/>
        </w:rPr>
      </w:pPr>
      <w:r w:rsidRPr="00376E8C">
        <w:rPr>
          <w:rFonts w:cs="Times New Roman"/>
          <w:szCs w:val="24"/>
        </w:rPr>
        <w:t xml:space="preserve">“The incremental deterrent effect of increases in lengthy prison sentences is modest at best. Because recidivism rates decline markedly with age, lengthy prison sentences, unless they specifically target very high-rate or extremely dangerous offenders, are an inefficient approach to preventing crime by incapacitation.” </w:t>
      </w:r>
      <w:r w:rsidR="00AF6873" w:rsidRPr="00376E8C">
        <w:rPr>
          <w:rStyle w:val="FootnoteReference"/>
          <w:rFonts w:cs="Times New Roman"/>
          <w:szCs w:val="24"/>
        </w:rPr>
        <w:footnoteReference w:id="35"/>
      </w:r>
    </w:p>
    <w:p w14:paraId="583A277F" w14:textId="77777777" w:rsidR="003870B6" w:rsidRDefault="003870B6" w:rsidP="00DE6281">
      <w:pPr>
        <w:spacing w:after="200" w:line="240" w:lineRule="auto"/>
        <w:ind w:left="360"/>
        <w:rPr>
          <w:rFonts w:cs="Times New Roman"/>
          <w:szCs w:val="24"/>
        </w:rPr>
      </w:pPr>
      <w:r w:rsidRPr="00376E8C">
        <w:rPr>
          <w:rFonts w:cs="Times New Roman"/>
          <w:szCs w:val="24"/>
        </w:rPr>
        <w:t>Given these findings, and the disproportionate effect of lengthy prison terms on people of color, what measures is the government undertaking to try to reduce the use of such sentences?</w:t>
      </w:r>
    </w:p>
    <w:p w14:paraId="4A0A27BA" w14:textId="77777777" w:rsidR="00AF25C7" w:rsidRPr="00376E8C" w:rsidRDefault="00AF25C7" w:rsidP="00DE6281">
      <w:pPr>
        <w:spacing w:after="200" w:line="240" w:lineRule="auto"/>
        <w:ind w:left="360"/>
        <w:rPr>
          <w:rFonts w:cs="Times New Roman"/>
          <w:szCs w:val="24"/>
        </w:rPr>
      </w:pPr>
    </w:p>
    <w:p w14:paraId="02A2D654" w14:textId="77777777" w:rsidR="007A14CB" w:rsidRPr="00376E8C" w:rsidRDefault="003870B6" w:rsidP="0096627F">
      <w:pPr>
        <w:pStyle w:val="ListParagraph"/>
        <w:numPr>
          <w:ilvl w:val="0"/>
          <w:numId w:val="13"/>
        </w:numPr>
        <w:spacing w:after="200" w:line="240" w:lineRule="auto"/>
        <w:ind w:left="360"/>
        <w:rPr>
          <w:szCs w:val="24"/>
        </w:rPr>
      </w:pPr>
      <w:r w:rsidRPr="00376E8C">
        <w:rPr>
          <w:szCs w:val="24"/>
        </w:rPr>
        <w:t>In 2013 the U.S. Attorney General directed federal prosecutors to avoid charging defendants with charges that would lead to imposition of a mandatory minimum penalty in cases where the individual does not have a significant role in the drug trade or significant criminal history, and other factors. What has been the impact of this policy to date and has it had an effect on reducing racial disparities in prosecution?</w:t>
      </w:r>
    </w:p>
    <w:p w14:paraId="3C04FA21" w14:textId="77777777" w:rsidR="007A14CB" w:rsidRPr="00D40544" w:rsidRDefault="001B461D" w:rsidP="00DE6281">
      <w:pPr>
        <w:pStyle w:val="Heading1"/>
      </w:pPr>
      <w:r w:rsidRPr="00D40544">
        <w:t>suggested RECOMMENDATIONS</w:t>
      </w:r>
    </w:p>
    <w:p w14:paraId="25FCA4E0" w14:textId="77777777" w:rsidR="003870B6" w:rsidRPr="004C0560" w:rsidRDefault="004C7BA0" w:rsidP="004C0560">
      <w:pPr>
        <w:pStyle w:val="ListParagraph"/>
        <w:numPr>
          <w:ilvl w:val="0"/>
          <w:numId w:val="16"/>
        </w:numPr>
        <w:spacing w:line="240" w:lineRule="auto"/>
        <w:ind w:left="360"/>
        <w:rPr>
          <w:szCs w:val="24"/>
        </w:rPr>
      </w:pPr>
      <w:r w:rsidRPr="004C0560">
        <w:rPr>
          <w:szCs w:val="24"/>
        </w:rPr>
        <w:t>Given the injustices and unfairness produced by mandatory sentencing policies, the government should strive to see such policies either repealed or substantially scaled back in scope. In addition, policies such as the Fair Sentencing Act which have corrected injustices in the system should be applied retroactively to persons convicted of relevant sentences prior to adoption of the legislation.</w:t>
      </w:r>
    </w:p>
    <w:p w14:paraId="684DEA88" w14:textId="77777777" w:rsidR="004C7BA0" w:rsidRPr="00376E8C" w:rsidRDefault="004C7BA0" w:rsidP="004C7BA0">
      <w:pPr>
        <w:spacing w:line="240" w:lineRule="auto"/>
        <w:rPr>
          <w:szCs w:val="24"/>
        </w:rPr>
      </w:pPr>
    </w:p>
    <w:p w14:paraId="102B5659" w14:textId="77777777" w:rsidR="004C7BA0" w:rsidRPr="004C0560" w:rsidRDefault="002E09D0" w:rsidP="004C0560">
      <w:pPr>
        <w:pStyle w:val="ListParagraph"/>
        <w:numPr>
          <w:ilvl w:val="0"/>
          <w:numId w:val="16"/>
        </w:numPr>
        <w:spacing w:line="240" w:lineRule="auto"/>
        <w:ind w:left="360"/>
        <w:rPr>
          <w:szCs w:val="24"/>
        </w:rPr>
      </w:pPr>
      <w:r w:rsidRPr="004C0560">
        <w:rPr>
          <w:szCs w:val="24"/>
        </w:rPr>
        <w:t xml:space="preserve">As a result of the 2012 U.S. Supreme Court ruling in </w:t>
      </w:r>
      <w:r w:rsidRPr="004C0560">
        <w:rPr>
          <w:i/>
          <w:szCs w:val="24"/>
        </w:rPr>
        <w:t>Miller v. Alabama</w:t>
      </w:r>
      <w:r w:rsidRPr="004C0560">
        <w:rPr>
          <w:szCs w:val="24"/>
        </w:rPr>
        <w:t xml:space="preserve"> persons under the age of 18 may no longer be sentenced to life without parole without judicial consideration of less punitive options. As the states come into compliance with this ruling they should establish a minimum term before parole consideration of no longer than 15 years in prison, based on young people’s capacity to change and to take advantage of rehabilitation opportunities in prison. </w:t>
      </w:r>
    </w:p>
    <w:p w14:paraId="699C603B" w14:textId="77777777" w:rsidR="002E09D0" w:rsidRPr="00376E8C" w:rsidRDefault="002E09D0" w:rsidP="002E09D0">
      <w:pPr>
        <w:spacing w:line="240" w:lineRule="auto"/>
        <w:rPr>
          <w:szCs w:val="24"/>
        </w:rPr>
      </w:pPr>
    </w:p>
    <w:p w14:paraId="2F24B7B6" w14:textId="77777777" w:rsidR="004C7BA0" w:rsidRPr="007A14CB" w:rsidRDefault="004C7BA0" w:rsidP="004C7BA0">
      <w:pPr>
        <w:spacing w:line="240" w:lineRule="auto"/>
      </w:pPr>
    </w:p>
    <w:p w14:paraId="2EA899C2" w14:textId="77777777" w:rsidR="003C4B78" w:rsidRPr="00546A33" w:rsidRDefault="003C4B78" w:rsidP="004C7BA0">
      <w:pPr>
        <w:spacing w:line="240" w:lineRule="auto"/>
      </w:pPr>
    </w:p>
    <w:sectPr w:rsidR="003C4B78" w:rsidRPr="00546A33" w:rsidSect="0096627F">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270E82" w14:textId="77777777" w:rsidR="00B518E5" w:rsidRDefault="00B518E5">
      <w:r>
        <w:separator/>
      </w:r>
    </w:p>
  </w:endnote>
  <w:endnote w:type="continuationSeparator" w:id="0">
    <w:p w14:paraId="09DEE0A9" w14:textId="77777777" w:rsidR="00B518E5" w:rsidRDefault="00B51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aramond">
    <w:altName w:val="Bell MT"/>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CF2B4" w14:textId="77777777" w:rsidR="003C4B78" w:rsidRDefault="003C4B78" w:rsidP="003C4B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47B1EB" w14:textId="77777777" w:rsidR="003C4B78" w:rsidRDefault="003C4B78" w:rsidP="003C4B7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939B5" w14:textId="77777777" w:rsidR="003C4B78" w:rsidRDefault="003C4B78" w:rsidP="003C4B7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3FD05F" w14:textId="77777777" w:rsidR="00B518E5" w:rsidRDefault="00B518E5">
      <w:r>
        <w:separator/>
      </w:r>
    </w:p>
  </w:footnote>
  <w:footnote w:type="continuationSeparator" w:id="0">
    <w:p w14:paraId="489E2D62" w14:textId="77777777" w:rsidR="00B518E5" w:rsidRDefault="00B518E5">
      <w:r>
        <w:continuationSeparator/>
      </w:r>
    </w:p>
  </w:footnote>
  <w:footnote w:id="1">
    <w:p w14:paraId="2375D3E5" w14:textId="77777777" w:rsidR="005E7AB3" w:rsidRDefault="005E7AB3">
      <w:pPr>
        <w:pStyle w:val="FootnoteText"/>
      </w:pPr>
      <w:r>
        <w:rPr>
          <w:rStyle w:val="FootnoteReference"/>
        </w:rPr>
        <w:footnoteRef/>
      </w:r>
      <w:r>
        <w:t xml:space="preserve"> International Convention On the Elimination of All Forms of Racial Discrimination, Feb. 18 – March 7, 2008, </w:t>
      </w:r>
      <w:r>
        <w:rPr>
          <w:i/>
        </w:rPr>
        <w:t>Concluding Observations of the Committee on the Elimination of Racial Discrimination</w:t>
      </w:r>
      <w:r>
        <w:t xml:space="preserve">, ¶ 20, U.N. Doc. CERD/C/USA/CO/6 (Feb. 2008) [hereinafter </w:t>
      </w:r>
      <w:r>
        <w:rPr>
          <w:i/>
        </w:rPr>
        <w:t>Observations</w:t>
      </w:r>
      <w:r>
        <w:t xml:space="preserve">]; </w:t>
      </w:r>
      <w:r w:rsidRPr="00777D93">
        <w:rPr>
          <w:smallCaps/>
        </w:rPr>
        <w:t>U.S. Committee Report to the United Nations Committee on the Elimination of Racial Discrimination</w:t>
      </w:r>
      <w:r>
        <w:rPr>
          <w:smallCaps/>
        </w:rPr>
        <w:t xml:space="preserve"> </w:t>
      </w:r>
      <w:r>
        <w:t xml:space="preserve">¶¶ 66-68 (Jun. 12, 2013) [hereinafter </w:t>
      </w:r>
      <w:r w:rsidRPr="007542AA">
        <w:rPr>
          <w:smallCaps/>
        </w:rPr>
        <w:t>U.S. Report</w:t>
      </w:r>
      <w:r>
        <w:t xml:space="preserve">], </w:t>
      </w:r>
      <w:r w:rsidRPr="00777D93">
        <w:rPr>
          <w:i/>
        </w:rPr>
        <w:t xml:space="preserve">available </w:t>
      </w:r>
      <w:r w:rsidR="003A5A72" w:rsidRPr="00777D93">
        <w:rPr>
          <w:i/>
        </w:rPr>
        <w:t>at</w:t>
      </w:r>
      <w:r w:rsidR="003A5A72">
        <w:t xml:space="preserve"> http</w:t>
      </w:r>
      <w:r w:rsidRPr="00C93467">
        <w:t>://www.state.gov/documents/organization/</w:t>
      </w:r>
      <w:r w:rsidR="003A5A72" w:rsidRPr="00C93467">
        <w:t>210817.pdf</w:t>
      </w:r>
      <w:r w:rsidR="003A5A72">
        <w:t>.</w:t>
      </w:r>
    </w:p>
  </w:footnote>
  <w:footnote w:id="2">
    <w:p w14:paraId="7A4EC8E3" w14:textId="77777777" w:rsidR="006E5F81" w:rsidRPr="005E7AB3" w:rsidRDefault="006E5F81" w:rsidP="006E5F81">
      <w:pPr>
        <w:pStyle w:val="FootnoteText"/>
        <w:contextualSpacing/>
        <w:rPr>
          <w:i/>
        </w:rPr>
      </w:pPr>
      <w:r>
        <w:rPr>
          <w:rStyle w:val="FootnoteReference"/>
        </w:rPr>
        <w:footnoteRef/>
      </w:r>
      <w:r w:rsidR="00780493">
        <w:rPr>
          <w:i/>
        </w:rPr>
        <w:t xml:space="preserve"> </w:t>
      </w:r>
      <w:r w:rsidR="005E7AB3">
        <w:rPr>
          <w:i/>
        </w:rPr>
        <w:t>Observations</w:t>
      </w:r>
      <w:r w:rsidR="005E7AB3">
        <w:t xml:space="preserve">, </w:t>
      </w:r>
      <w:r w:rsidR="003A5A72">
        <w:rPr>
          <w:i/>
        </w:rPr>
        <w:t xml:space="preserve">supra </w:t>
      </w:r>
      <w:r w:rsidR="003A5A72">
        <w:t>note</w:t>
      </w:r>
      <w:r w:rsidR="005E7AB3">
        <w:t xml:space="preserve"> 1, </w:t>
      </w:r>
      <w:r w:rsidR="003A5A72">
        <w:t>at ¶</w:t>
      </w:r>
      <w:r w:rsidR="005E7AB3">
        <w:t xml:space="preserve"> 21; </w:t>
      </w:r>
      <w:r w:rsidR="005E7AB3" w:rsidRPr="007542AA">
        <w:rPr>
          <w:smallCaps/>
        </w:rPr>
        <w:t>U.S. Report</w:t>
      </w:r>
      <w:r w:rsidR="005E7AB3">
        <w:t xml:space="preserve">, </w:t>
      </w:r>
      <w:r w:rsidR="005E7AB3">
        <w:rPr>
          <w:i/>
        </w:rPr>
        <w:t xml:space="preserve">supra </w:t>
      </w:r>
      <w:r w:rsidR="005E7AB3">
        <w:t>note 1, at ¶¶ 71-74.</w:t>
      </w:r>
    </w:p>
  </w:footnote>
  <w:footnote w:id="3">
    <w:p w14:paraId="3B7D9E5B" w14:textId="77777777" w:rsidR="006E5F81" w:rsidRDefault="006E5F81" w:rsidP="006E5F81">
      <w:pPr>
        <w:pStyle w:val="FootnoteText"/>
        <w:contextualSpacing/>
      </w:pPr>
      <w:r>
        <w:rPr>
          <w:rStyle w:val="FootnoteReference"/>
        </w:rPr>
        <w:footnoteRef/>
      </w:r>
      <w:r>
        <w:rPr>
          <w:i/>
        </w:rPr>
        <w:t xml:space="preserve"> </w:t>
      </w:r>
      <w:r w:rsidR="00777D93">
        <w:rPr>
          <w:i/>
        </w:rPr>
        <w:t>Observations</w:t>
      </w:r>
      <w:r w:rsidR="00777D93">
        <w:t xml:space="preserve">, </w:t>
      </w:r>
      <w:r w:rsidR="003A5A72">
        <w:rPr>
          <w:i/>
        </w:rPr>
        <w:t xml:space="preserve">supra </w:t>
      </w:r>
      <w:r w:rsidR="003A5A72">
        <w:t>note</w:t>
      </w:r>
      <w:r w:rsidR="00777D93">
        <w:t xml:space="preserve"> 1, </w:t>
      </w:r>
      <w:r w:rsidR="003A5A72">
        <w:t>at ¶</w:t>
      </w:r>
      <w:r w:rsidR="00777D93">
        <w:t xml:space="preserve"> 23; </w:t>
      </w:r>
      <w:r w:rsidR="00777D93" w:rsidRPr="007542AA">
        <w:rPr>
          <w:smallCaps/>
        </w:rPr>
        <w:t>U.S. Report</w:t>
      </w:r>
      <w:r w:rsidR="00777D93">
        <w:t xml:space="preserve">, </w:t>
      </w:r>
      <w:r w:rsidR="00777D93">
        <w:rPr>
          <w:i/>
        </w:rPr>
        <w:t xml:space="preserve">supra </w:t>
      </w:r>
      <w:r w:rsidR="00777D93">
        <w:t xml:space="preserve">note 1, at ¶¶ </w:t>
      </w:r>
      <w:r>
        <w:t>40-41.</w:t>
      </w:r>
    </w:p>
  </w:footnote>
  <w:footnote w:id="4">
    <w:p w14:paraId="5D30E67E" w14:textId="77777777" w:rsidR="006E5F81" w:rsidRDefault="006E5F81" w:rsidP="006E5F81">
      <w:pPr>
        <w:pStyle w:val="FootnoteText"/>
        <w:contextualSpacing/>
      </w:pPr>
      <w:r>
        <w:rPr>
          <w:rStyle w:val="FootnoteReference"/>
        </w:rPr>
        <w:footnoteRef/>
      </w:r>
      <w:r>
        <w:t xml:space="preserve"> </w:t>
      </w:r>
      <w:r w:rsidR="00777D93">
        <w:rPr>
          <w:i/>
        </w:rPr>
        <w:t>Observations</w:t>
      </w:r>
      <w:r w:rsidR="00777D93">
        <w:t xml:space="preserve">, </w:t>
      </w:r>
      <w:r w:rsidR="003A5A72">
        <w:rPr>
          <w:i/>
        </w:rPr>
        <w:t xml:space="preserve">supra </w:t>
      </w:r>
      <w:r w:rsidR="003A5A72">
        <w:t>note</w:t>
      </w:r>
      <w:r w:rsidR="00777D93">
        <w:t xml:space="preserve"> 1, </w:t>
      </w:r>
      <w:r w:rsidR="003A5A72">
        <w:t>at ¶</w:t>
      </w:r>
      <w:r w:rsidR="00777D93">
        <w:t xml:space="preserve"> 27; </w:t>
      </w:r>
      <w:r w:rsidR="00777D93" w:rsidRPr="00E94DF3">
        <w:rPr>
          <w:smallCaps/>
        </w:rPr>
        <w:t>U.S. Report</w:t>
      </w:r>
      <w:r w:rsidR="00777D93">
        <w:t xml:space="preserve">, </w:t>
      </w:r>
      <w:r w:rsidR="00777D93">
        <w:rPr>
          <w:i/>
        </w:rPr>
        <w:t xml:space="preserve">supra </w:t>
      </w:r>
      <w:r w:rsidR="00777D93">
        <w:t>note 1, at ¶ 54.</w:t>
      </w:r>
      <w:r>
        <w:t xml:space="preserve"> </w:t>
      </w:r>
    </w:p>
  </w:footnote>
  <w:footnote w:id="5">
    <w:p w14:paraId="38075D05" w14:textId="77777777" w:rsidR="00D5369B" w:rsidRDefault="00D5369B">
      <w:pPr>
        <w:pStyle w:val="FootnoteText"/>
        <w:contextualSpacing/>
      </w:pPr>
      <w:r>
        <w:rPr>
          <w:rStyle w:val="FootnoteReference"/>
        </w:rPr>
        <w:footnoteRef/>
      </w:r>
      <w:r>
        <w:t xml:space="preserve"> </w:t>
      </w:r>
      <w:r w:rsidR="00777D93" w:rsidRPr="00E94DF3">
        <w:rPr>
          <w:smallCaps/>
        </w:rPr>
        <w:t>U.S. Report</w:t>
      </w:r>
      <w:r w:rsidR="00777D93">
        <w:t xml:space="preserve">, </w:t>
      </w:r>
      <w:r w:rsidR="00777D93">
        <w:rPr>
          <w:i/>
        </w:rPr>
        <w:t xml:space="preserve">supra </w:t>
      </w:r>
      <w:r w:rsidR="00777D93">
        <w:t xml:space="preserve">note 1, at ¶ </w:t>
      </w:r>
      <w:r>
        <w:t>17</w:t>
      </w:r>
      <w:r w:rsidR="00476027">
        <w:t>.</w:t>
      </w:r>
    </w:p>
  </w:footnote>
  <w:footnote w:id="6">
    <w:p w14:paraId="0D885C37" w14:textId="77777777" w:rsidR="00D72186" w:rsidRPr="00756A78" w:rsidRDefault="00D72186" w:rsidP="00D72186">
      <w:pPr>
        <w:pStyle w:val="FootnoteText"/>
        <w:contextualSpacing/>
        <w:rPr>
          <w:rFonts w:cs="Times New Roman"/>
          <w:szCs w:val="18"/>
        </w:rPr>
      </w:pPr>
      <w:r w:rsidRPr="00756A78">
        <w:rPr>
          <w:rStyle w:val="FootnoteReference"/>
          <w:rFonts w:cs="Times New Roman"/>
          <w:szCs w:val="18"/>
        </w:rPr>
        <w:footnoteRef/>
      </w:r>
      <w:r w:rsidRPr="00756A78">
        <w:rPr>
          <w:rFonts w:cs="Times New Roman"/>
          <w:szCs w:val="18"/>
        </w:rPr>
        <w:t xml:space="preserve"> </w:t>
      </w:r>
      <w:r w:rsidR="00644497" w:rsidRPr="00644497">
        <w:rPr>
          <w:rFonts w:cs="Times New Roman"/>
          <w:smallCaps/>
          <w:szCs w:val="18"/>
        </w:rPr>
        <w:t xml:space="preserve">E. Ann Carson &amp; William J. Sabol, </w:t>
      </w:r>
      <w:r w:rsidRPr="00644497">
        <w:rPr>
          <w:rFonts w:cs="Times New Roman"/>
          <w:smallCaps/>
          <w:szCs w:val="18"/>
        </w:rPr>
        <w:t>U.S. Bureau of Justice Statistics, Prisoners in 2011</w:t>
      </w:r>
      <w:r w:rsidR="00644497">
        <w:rPr>
          <w:rFonts w:cs="Times New Roman"/>
          <w:szCs w:val="18"/>
        </w:rPr>
        <w:t xml:space="preserve"> 8 tbl.8 (</w:t>
      </w:r>
      <w:r w:rsidRPr="00756A78">
        <w:rPr>
          <w:rFonts w:cs="Times New Roman"/>
          <w:szCs w:val="18"/>
        </w:rPr>
        <w:t>2012)</w:t>
      </w:r>
      <w:r w:rsidR="005B5B4C">
        <w:rPr>
          <w:rFonts w:cs="Times New Roman"/>
          <w:szCs w:val="18"/>
        </w:rPr>
        <w:t xml:space="preserve">, available at </w:t>
      </w:r>
      <w:r w:rsidR="005B5B4C" w:rsidRPr="005B5B4C">
        <w:rPr>
          <w:rFonts w:cs="Times New Roman"/>
          <w:szCs w:val="18"/>
        </w:rPr>
        <w:t>http://www.bjs.gov/content/pub/pdf/p11.pdf</w:t>
      </w:r>
      <w:r w:rsidRPr="00756A78">
        <w:rPr>
          <w:rFonts w:cs="Times New Roman"/>
          <w:szCs w:val="18"/>
        </w:rPr>
        <w:t>.</w:t>
      </w:r>
    </w:p>
  </w:footnote>
  <w:footnote w:id="7">
    <w:p w14:paraId="434663D3" w14:textId="77777777" w:rsidR="00A64435" w:rsidRPr="00A64435" w:rsidRDefault="00A64435" w:rsidP="00EE5CF8">
      <w:pPr>
        <w:pStyle w:val="FootnoteText"/>
        <w:spacing w:before="240"/>
        <w:contextualSpacing/>
      </w:pPr>
      <w:r>
        <w:rPr>
          <w:rStyle w:val="FootnoteReference"/>
        </w:rPr>
        <w:footnoteRef/>
      </w:r>
      <w:r>
        <w:t xml:space="preserve"> </w:t>
      </w:r>
      <w:r>
        <w:rPr>
          <w:i/>
        </w:rPr>
        <w:t>See</w:t>
      </w:r>
      <w:r>
        <w:t xml:space="preserve">, </w:t>
      </w:r>
      <w:r w:rsidRPr="00756A78">
        <w:rPr>
          <w:rFonts w:cs="Times New Roman"/>
          <w:szCs w:val="18"/>
        </w:rPr>
        <w:t xml:space="preserve">Cassia Spohn, </w:t>
      </w:r>
      <w:r w:rsidRPr="00756A78">
        <w:rPr>
          <w:rFonts w:cs="Times New Roman"/>
          <w:i/>
          <w:szCs w:val="18"/>
        </w:rPr>
        <w:t>Thirty Years of Sentencing Reform: The Quest for a Racially Neutral Sentencing Process</w:t>
      </w:r>
      <w:r w:rsidR="00F039E9">
        <w:rPr>
          <w:rFonts w:cs="Times New Roman"/>
          <w:szCs w:val="18"/>
        </w:rPr>
        <w:t xml:space="preserve">, </w:t>
      </w:r>
      <w:r w:rsidR="00EE5CF8">
        <w:rPr>
          <w:rFonts w:cs="Times New Roman"/>
          <w:i/>
          <w:szCs w:val="18"/>
        </w:rPr>
        <w:t xml:space="preserve">in </w:t>
      </w:r>
      <w:r w:rsidR="00EE5CF8">
        <w:rPr>
          <w:rFonts w:cs="Times New Roman"/>
          <w:szCs w:val="18"/>
        </w:rPr>
        <w:t>3</w:t>
      </w:r>
      <w:r w:rsidR="00EE5CF8">
        <w:rPr>
          <w:rFonts w:cs="Times New Roman"/>
          <w:i/>
          <w:szCs w:val="18"/>
        </w:rPr>
        <w:t xml:space="preserve"> </w:t>
      </w:r>
      <w:r w:rsidR="00EE5CF8" w:rsidRPr="00EE5CF8">
        <w:rPr>
          <w:rFonts w:cs="Times New Roman"/>
          <w:smallCaps/>
          <w:szCs w:val="18"/>
        </w:rPr>
        <w:t>Policies, Processes, and Decisions of the Criminal Justice System</w:t>
      </w:r>
      <w:r w:rsidR="00EE5CF8">
        <w:rPr>
          <w:rFonts w:cs="Times New Roman"/>
          <w:smallCaps/>
          <w:szCs w:val="18"/>
        </w:rPr>
        <w:t xml:space="preserve"> 427,</w:t>
      </w:r>
      <w:r w:rsidR="00EE5CF8">
        <w:rPr>
          <w:rFonts w:cs="Times New Roman"/>
          <w:szCs w:val="18"/>
        </w:rPr>
        <w:t xml:space="preserve"> </w:t>
      </w:r>
      <w:r w:rsidR="00F039E9">
        <w:rPr>
          <w:rFonts w:cs="Times New Roman"/>
          <w:szCs w:val="18"/>
        </w:rPr>
        <w:t>481-82</w:t>
      </w:r>
      <w:r w:rsidR="00EE5CF8">
        <w:rPr>
          <w:rFonts w:cs="Times New Roman"/>
          <w:szCs w:val="18"/>
        </w:rPr>
        <w:t xml:space="preserve"> (2000)</w:t>
      </w:r>
      <w:r w:rsidRPr="00756A78">
        <w:rPr>
          <w:rFonts w:cs="Times New Roman"/>
          <w:szCs w:val="18"/>
        </w:rPr>
        <w:t xml:space="preserve">, </w:t>
      </w:r>
      <w:r w:rsidRPr="00EE5CF8">
        <w:rPr>
          <w:rFonts w:cs="Times New Roman"/>
          <w:i/>
          <w:szCs w:val="18"/>
        </w:rPr>
        <w:t xml:space="preserve">available at </w:t>
      </w:r>
      <w:r w:rsidRPr="00F60074">
        <w:rPr>
          <w:rFonts w:cs="Times New Roman"/>
          <w:szCs w:val="18"/>
        </w:rPr>
        <w:t>http://www.justicestudies.com/pubs/livelink3-1.pdf</w:t>
      </w:r>
      <w:r>
        <w:rPr>
          <w:rFonts w:cs="Times New Roman"/>
          <w:szCs w:val="18"/>
        </w:rPr>
        <w:t xml:space="preserve"> (concluding th</w:t>
      </w:r>
      <w:r w:rsidR="00D24485">
        <w:rPr>
          <w:rFonts w:cs="Times New Roman"/>
          <w:szCs w:val="18"/>
        </w:rPr>
        <w:t>a</w:t>
      </w:r>
      <w:r>
        <w:rPr>
          <w:rFonts w:cs="Times New Roman"/>
          <w:szCs w:val="18"/>
        </w:rPr>
        <w:t xml:space="preserve">t race and ethnicity play a role in sentencing decisions </w:t>
      </w:r>
      <w:r w:rsidR="00D24485">
        <w:rPr>
          <w:rFonts w:cs="Times New Roman"/>
          <w:szCs w:val="18"/>
        </w:rPr>
        <w:t>accounting for</w:t>
      </w:r>
      <w:r>
        <w:rPr>
          <w:rFonts w:cs="Times New Roman"/>
          <w:szCs w:val="18"/>
        </w:rPr>
        <w:t xml:space="preserve"> the seriousness of the offense and the offender’s prior criminal record).</w:t>
      </w:r>
    </w:p>
  </w:footnote>
  <w:footnote w:id="8">
    <w:p w14:paraId="7E70782E" w14:textId="77777777" w:rsidR="00AC3DDB" w:rsidRPr="00AC3DDB" w:rsidRDefault="00AC3DDB">
      <w:pPr>
        <w:pStyle w:val="FootnoteText"/>
      </w:pPr>
      <w:r>
        <w:rPr>
          <w:rStyle w:val="FootnoteReference"/>
        </w:rPr>
        <w:footnoteRef/>
      </w:r>
      <w:r>
        <w:t xml:space="preserve"> </w:t>
      </w:r>
      <w:r w:rsidRPr="0011302E">
        <w:rPr>
          <w:smallCaps/>
        </w:rPr>
        <w:t xml:space="preserve">Marc Mauer, </w:t>
      </w:r>
      <w:r w:rsidR="005D64E4" w:rsidRPr="0011302E">
        <w:rPr>
          <w:smallCaps/>
        </w:rPr>
        <w:t xml:space="preserve">The Sentencing Project, </w:t>
      </w:r>
      <w:r w:rsidRPr="0011302E">
        <w:rPr>
          <w:smallCaps/>
        </w:rPr>
        <w:t>The Changing Racial Dynamics of Women’s Incarceration</w:t>
      </w:r>
      <w:r w:rsidR="0011302E">
        <w:t xml:space="preserve"> </w:t>
      </w:r>
      <w:r w:rsidR="005D64E4">
        <w:t>(</w:t>
      </w:r>
      <w:r>
        <w:t>2013</w:t>
      </w:r>
      <w:r w:rsidR="005D64E4">
        <w:t>)</w:t>
      </w:r>
      <w:r>
        <w:t xml:space="preserve"> </w:t>
      </w:r>
      <w:r w:rsidRPr="00EE5CF8">
        <w:rPr>
          <w:i/>
        </w:rPr>
        <w:t>available at</w:t>
      </w:r>
      <w:r>
        <w:t xml:space="preserve"> </w:t>
      </w:r>
      <w:r w:rsidRPr="00AC3DDB">
        <w:t>http://sentencingproject.org/doc/publications/rd_Changing%20Racial%20Dynamics%202013.pdf</w:t>
      </w:r>
      <w:r w:rsidR="0011302E">
        <w:t>.</w:t>
      </w:r>
    </w:p>
  </w:footnote>
  <w:footnote w:id="9">
    <w:p w14:paraId="3BBF7772" w14:textId="77777777" w:rsidR="004F2E6E" w:rsidRDefault="004F2E6E" w:rsidP="004F2E6E">
      <w:pPr>
        <w:pStyle w:val="FootnoteText"/>
        <w:rPr>
          <w:rFonts w:cs="Times New Roman"/>
          <w:szCs w:val="18"/>
        </w:rPr>
      </w:pPr>
      <w:r>
        <w:rPr>
          <w:rStyle w:val="FootnoteReference"/>
          <w:rFonts w:cs="Times New Roman"/>
          <w:szCs w:val="18"/>
        </w:rPr>
        <w:footnoteRef/>
      </w:r>
      <w:r>
        <w:rPr>
          <w:rFonts w:cs="Times New Roman"/>
          <w:szCs w:val="18"/>
        </w:rPr>
        <w:t xml:space="preserve"> </w:t>
      </w:r>
      <w:r>
        <w:rPr>
          <w:rFonts w:cs="Times New Roman"/>
          <w:i/>
          <w:szCs w:val="18"/>
        </w:rPr>
        <w:t>Id.</w:t>
      </w:r>
    </w:p>
  </w:footnote>
  <w:footnote w:id="10">
    <w:p w14:paraId="3B561845" w14:textId="77777777" w:rsidR="001F4E51" w:rsidRPr="00756A78" w:rsidRDefault="001F4E51" w:rsidP="001F4E51">
      <w:pPr>
        <w:pStyle w:val="FootnoteText"/>
        <w:rPr>
          <w:rFonts w:cs="Times New Roman"/>
          <w:szCs w:val="18"/>
        </w:rPr>
      </w:pPr>
      <w:r w:rsidRPr="00756A78">
        <w:rPr>
          <w:rStyle w:val="FootnoteReference"/>
          <w:rFonts w:cs="Times New Roman"/>
          <w:szCs w:val="18"/>
        </w:rPr>
        <w:footnoteRef/>
      </w:r>
      <w:r w:rsidRPr="00756A78">
        <w:rPr>
          <w:rFonts w:cs="Times New Roman"/>
          <w:szCs w:val="18"/>
        </w:rPr>
        <w:t xml:space="preserve"> </w:t>
      </w:r>
      <w:r w:rsidR="00234117" w:rsidRPr="00234117">
        <w:rPr>
          <w:rFonts w:cs="Times New Roman"/>
          <w:smallCaps/>
          <w:szCs w:val="18"/>
        </w:rPr>
        <w:t xml:space="preserve">Michelle </w:t>
      </w:r>
      <w:r w:rsidR="00834D97" w:rsidRPr="00234117">
        <w:rPr>
          <w:rFonts w:cs="Times New Roman"/>
          <w:smallCaps/>
          <w:szCs w:val="18"/>
        </w:rPr>
        <w:t>Alexander</w:t>
      </w:r>
      <w:r w:rsidR="00234117" w:rsidRPr="00234117">
        <w:rPr>
          <w:rFonts w:cs="Times New Roman"/>
          <w:smallCaps/>
          <w:szCs w:val="18"/>
        </w:rPr>
        <w:t xml:space="preserve">, The New Jim Crow: Mass Incarceration in the Age of Colorblindness </w:t>
      </w:r>
      <w:r w:rsidR="00234117" w:rsidRPr="00234117">
        <w:rPr>
          <w:rFonts w:cs="Times New Roman"/>
          <w:szCs w:val="18"/>
        </w:rPr>
        <w:t>51 (The New Press 2012)</w:t>
      </w:r>
      <w:r w:rsidR="00834D97" w:rsidRPr="00234117">
        <w:rPr>
          <w:rFonts w:cs="Times New Roman"/>
          <w:szCs w:val="18"/>
        </w:rPr>
        <w:t>;</w:t>
      </w:r>
      <w:r w:rsidR="00834D97">
        <w:rPr>
          <w:rFonts w:cs="Times New Roman"/>
          <w:szCs w:val="18"/>
        </w:rPr>
        <w:t xml:space="preserve"> </w:t>
      </w:r>
      <w:r w:rsidR="00834D97" w:rsidRPr="0011302E">
        <w:rPr>
          <w:rFonts w:cs="Times New Roman"/>
          <w:smallCaps/>
          <w:szCs w:val="18"/>
        </w:rPr>
        <w:t xml:space="preserve">Kara Gotsch, </w:t>
      </w:r>
      <w:r w:rsidR="00834D97">
        <w:rPr>
          <w:rFonts w:cs="Times New Roman"/>
          <w:smallCaps/>
          <w:szCs w:val="18"/>
        </w:rPr>
        <w:t xml:space="preserve">The Sentencing Project, </w:t>
      </w:r>
      <w:r w:rsidR="00834D97" w:rsidRPr="0011302E">
        <w:rPr>
          <w:rFonts w:cs="Times New Roman"/>
          <w:smallCaps/>
          <w:szCs w:val="18"/>
        </w:rPr>
        <w:t>Breakthrough in U.S. Drug Sentencing Reform: The Fair Sentencing Act and the Unfinished Reform Agenda</w:t>
      </w:r>
      <w:r w:rsidR="00834D97" w:rsidRPr="0011302E">
        <w:rPr>
          <w:rFonts w:cs="Times New Roman"/>
          <w:szCs w:val="18"/>
        </w:rPr>
        <w:t xml:space="preserve"> </w:t>
      </w:r>
      <w:r w:rsidR="00834D97">
        <w:rPr>
          <w:rFonts w:cs="Times New Roman"/>
          <w:szCs w:val="18"/>
        </w:rPr>
        <w:t>9 (</w:t>
      </w:r>
      <w:r w:rsidR="00834D97" w:rsidRPr="0011302E">
        <w:rPr>
          <w:rFonts w:cs="Times New Roman"/>
          <w:szCs w:val="18"/>
        </w:rPr>
        <w:t>Washington Office on Latin America</w:t>
      </w:r>
      <w:r w:rsidR="00834D97" w:rsidRPr="0011302E">
        <w:rPr>
          <w:rFonts w:cs="Times New Roman"/>
          <w:smallCaps/>
          <w:szCs w:val="18"/>
        </w:rPr>
        <w:t xml:space="preserve">, </w:t>
      </w:r>
      <w:r w:rsidR="00834D97">
        <w:rPr>
          <w:rFonts w:cs="Times New Roman"/>
          <w:szCs w:val="18"/>
        </w:rPr>
        <w:t xml:space="preserve">2011), </w:t>
      </w:r>
      <w:r w:rsidR="00834D97">
        <w:rPr>
          <w:rFonts w:cs="Times New Roman"/>
          <w:i/>
          <w:szCs w:val="18"/>
        </w:rPr>
        <w:t xml:space="preserve">available at </w:t>
      </w:r>
      <w:r w:rsidR="00834D97" w:rsidRPr="0011302E">
        <w:rPr>
          <w:rFonts w:cs="Times New Roman"/>
          <w:szCs w:val="18"/>
        </w:rPr>
        <w:t>http://sentencingproject.org/doc/dp_WOLA_Article.pdf</w:t>
      </w:r>
      <w:r w:rsidR="00834D97">
        <w:rPr>
          <w:rFonts w:cs="Times New Roman"/>
          <w:szCs w:val="18"/>
        </w:rPr>
        <w:t>.</w:t>
      </w:r>
    </w:p>
  </w:footnote>
  <w:footnote w:id="11">
    <w:p w14:paraId="70EDF052" w14:textId="77777777" w:rsidR="00905F17" w:rsidRPr="00A66A61" w:rsidRDefault="00905F17" w:rsidP="00905F17">
      <w:pPr>
        <w:pStyle w:val="FootnoteText"/>
        <w:rPr>
          <w:rFonts w:cs="Times New Roman"/>
          <w:szCs w:val="18"/>
        </w:rPr>
      </w:pPr>
      <w:r w:rsidRPr="00A66A61">
        <w:rPr>
          <w:rStyle w:val="FootnoteReference"/>
          <w:rFonts w:cs="Times New Roman"/>
          <w:szCs w:val="18"/>
        </w:rPr>
        <w:footnoteRef/>
      </w:r>
      <w:r w:rsidRPr="00A66A61">
        <w:rPr>
          <w:rFonts w:cs="Times New Roman"/>
          <w:szCs w:val="18"/>
        </w:rPr>
        <w:t xml:space="preserve"> </w:t>
      </w:r>
      <w:r w:rsidR="001F740C" w:rsidRPr="00A66A61">
        <w:rPr>
          <w:rFonts w:cs="Times New Roman"/>
          <w:smallCaps/>
          <w:szCs w:val="18"/>
        </w:rPr>
        <w:t>U.S. Sentencing Comm’n</w:t>
      </w:r>
      <w:r w:rsidRPr="00A66A61">
        <w:rPr>
          <w:rFonts w:cs="Times New Roman"/>
          <w:smallCaps/>
          <w:szCs w:val="18"/>
        </w:rPr>
        <w:t>, 2012 Sourcebook of Federal Sentencing Statistics</w:t>
      </w:r>
      <w:r w:rsidRPr="00A66A61">
        <w:rPr>
          <w:rFonts w:cs="Times New Roman"/>
          <w:szCs w:val="18"/>
        </w:rPr>
        <w:t>, tbl.34 (2012).</w:t>
      </w:r>
    </w:p>
  </w:footnote>
  <w:footnote w:id="12">
    <w:p w14:paraId="73297126" w14:textId="77777777" w:rsidR="003C4B78" w:rsidRPr="00756A78" w:rsidRDefault="003C4B78" w:rsidP="003C4B78">
      <w:pPr>
        <w:pStyle w:val="FootnoteText"/>
        <w:rPr>
          <w:rFonts w:cs="Times New Roman"/>
          <w:szCs w:val="18"/>
        </w:rPr>
      </w:pPr>
      <w:r w:rsidRPr="00A66A61">
        <w:rPr>
          <w:rStyle w:val="FootnoteReference"/>
          <w:rFonts w:cs="Times New Roman"/>
          <w:szCs w:val="18"/>
        </w:rPr>
        <w:footnoteRef/>
      </w:r>
      <w:r w:rsidRPr="00A66A61">
        <w:rPr>
          <w:rFonts w:cs="Times New Roman"/>
          <w:szCs w:val="18"/>
        </w:rPr>
        <w:t xml:space="preserve"> </w:t>
      </w:r>
      <w:r w:rsidR="001F740C" w:rsidRPr="00A66A61">
        <w:rPr>
          <w:rFonts w:cs="Times New Roman"/>
          <w:smallCaps/>
          <w:szCs w:val="18"/>
        </w:rPr>
        <w:t>U.S. Sentencing Comm’n</w:t>
      </w:r>
      <w:r w:rsidRPr="00A66A61">
        <w:rPr>
          <w:rFonts w:cs="Times New Roman"/>
          <w:smallCaps/>
          <w:szCs w:val="18"/>
        </w:rPr>
        <w:t>, Report to the Congress: Mandatory Minimum Penalties in the Federal Criminal Justice System</w:t>
      </w:r>
      <w:r w:rsidR="003A5A72" w:rsidRPr="00A66A61">
        <w:rPr>
          <w:rFonts w:cs="Times New Roman"/>
          <w:i/>
          <w:szCs w:val="18"/>
        </w:rPr>
        <w:t>,</w:t>
      </w:r>
      <w:r w:rsidR="003A5A72" w:rsidRPr="00A66A61">
        <w:rPr>
          <w:rFonts w:cs="Times New Roman"/>
          <w:szCs w:val="18"/>
        </w:rPr>
        <w:t xml:space="preserve"> 142</w:t>
      </w:r>
      <w:r w:rsidRPr="00A66A61">
        <w:rPr>
          <w:rFonts w:cs="Times New Roman"/>
          <w:szCs w:val="18"/>
        </w:rPr>
        <w:t xml:space="preserve"> fig.7-15 (Oct. 2011).</w:t>
      </w:r>
    </w:p>
  </w:footnote>
  <w:footnote w:id="13">
    <w:p w14:paraId="17E6A649" w14:textId="77777777" w:rsidR="00905F17" w:rsidRDefault="00905F17">
      <w:pPr>
        <w:pStyle w:val="FootnoteText"/>
      </w:pPr>
      <w:r>
        <w:rPr>
          <w:rStyle w:val="FootnoteReference"/>
        </w:rPr>
        <w:footnoteRef/>
      </w:r>
      <w:r w:rsidR="0011302E">
        <w:t xml:space="preserve"> </w:t>
      </w:r>
      <w:r w:rsidR="0011302E" w:rsidRPr="00F60074">
        <w:rPr>
          <w:i/>
        </w:rPr>
        <w:t>Fair Sentencing Act</w:t>
      </w:r>
      <w:r w:rsidR="0011302E">
        <w:rPr>
          <w:smallCaps/>
        </w:rPr>
        <w:t>,</w:t>
      </w:r>
      <w:r w:rsidR="00F60074">
        <w:rPr>
          <w:smallCaps/>
        </w:rPr>
        <w:t xml:space="preserve"> </w:t>
      </w:r>
      <w:r w:rsidR="00F60074" w:rsidRPr="0011302E">
        <w:rPr>
          <w:smallCaps/>
        </w:rPr>
        <w:t>ACLU,</w:t>
      </w:r>
      <w:r>
        <w:t xml:space="preserve"> </w:t>
      </w:r>
      <w:r w:rsidRPr="00234117">
        <w:t>https://www.aclu.org/fair-sentencing-act</w:t>
      </w:r>
      <w:r>
        <w:t xml:space="preserve"> (</w:t>
      </w:r>
      <w:r w:rsidR="0011302E">
        <w:t xml:space="preserve">last visited </w:t>
      </w:r>
      <w:r w:rsidR="00F60074">
        <w:t>June</w:t>
      </w:r>
      <w:r>
        <w:t xml:space="preserve"> </w:t>
      </w:r>
      <w:r w:rsidR="0011302E">
        <w:t xml:space="preserve">16, </w:t>
      </w:r>
      <w:r>
        <w:t>2014).</w:t>
      </w:r>
    </w:p>
  </w:footnote>
  <w:footnote w:id="14">
    <w:p w14:paraId="0685EC28" w14:textId="77777777" w:rsidR="00927773" w:rsidRPr="00927773" w:rsidRDefault="00927773">
      <w:pPr>
        <w:pStyle w:val="FootnoteText"/>
      </w:pPr>
      <w:r>
        <w:rPr>
          <w:rStyle w:val="FootnoteReference"/>
        </w:rPr>
        <w:footnoteRef/>
      </w:r>
      <w:r>
        <w:t xml:space="preserve"> </w:t>
      </w:r>
      <w:r w:rsidRPr="0011302E">
        <w:rPr>
          <w:smallCaps/>
        </w:rPr>
        <w:t>Joshua Rov</w:t>
      </w:r>
      <w:r w:rsidR="00C748B2" w:rsidRPr="0011302E">
        <w:rPr>
          <w:smallCaps/>
        </w:rPr>
        <w:t>n</w:t>
      </w:r>
      <w:r w:rsidRPr="0011302E">
        <w:rPr>
          <w:smallCaps/>
        </w:rPr>
        <w:t xml:space="preserve">er, </w:t>
      </w:r>
      <w:r w:rsidR="0011302E" w:rsidRPr="0011302E">
        <w:rPr>
          <w:smallCaps/>
        </w:rPr>
        <w:t xml:space="preserve">The Sentencing Project, </w:t>
      </w:r>
      <w:r w:rsidR="0011302E">
        <w:rPr>
          <w:smallCaps/>
        </w:rPr>
        <w:t xml:space="preserve">Policy Brief: </w:t>
      </w:r>
      <w:r w:rsidRPr="0011302E">
        <w:rPr>
          <w:smallCaps/>
        </w:rPr>
        <w:t>Juvenile Life Without Parole</w:t>
      </w:r>
      <w:r w:rsidR="0011302E">
        <w:t xml:space="preserve"> </w:t>
      </w:r>
      <w:r w:rsidR="0067798D">
        <w:t>1</w:t>
      </w:r>
      <w:r w:rsidR="0011302E">
        <w:t>(2014)</w:t>
      </w:r>
      <w:r>
        <w:t xml:space="preserve"> </w:t>
      </w:r>
      <w:r w:rsidRPr="0011302E">
        <w:rPr>
          <w:i/>
        </w:rPr>
        <w:t xml:space="preserve">available at </w:t>
      </w:r>
      <w:r w:rsidRPr="00657C83">
        <w:t>http://sentencingproject.org/doc/publications/jj_Juvenile%20Life%20Without%20Parole.pdf</w:t>
      </w:r>
      <w:r>
        <w:t>.</w:t>
      </w:r>
    </w:p>
  </w:footnote>
  <w:footnote w:id="15">
    <w:p w14:paraId="5AC15F65" w14:textId="77777777" w:rsidR="002775A4" w:rsidRDefault="002775A4" w:rsidP="002775A4">
      <w:pPr>
        <w:pStyle w:val="FootnoteText"/>
      </w:pPr>
      <w:r>
        <w:rPr>
          <w:rStyle w:val="FootnoteReference"/>
        </w:rPr>
        <w:footnoteRef/>
      </w:r>
      <w:r>
        <w:t xml:space="preserve"> </w:t>
      </w:r>
      <w:r w:rsidR="0011302E">
        <w:rPr>
          <w:i/>
        </w:rPr>
        <w:t xml:space="preserve">Id. </w:t>
      </w:r>
      <w:r>
        <w:t>at 1.</w:t>
      </w:r>
    </w:p>
  </w:footnote>
  <w:footnote w:id="16">
    <w:p w14:paraId="47758D9E" w14:textId="77777777" w:rsidR="00123876" w:rsidRDefault="00123876">
      <w:pPr>
        <w:pStyle w:val="FootnoteText"/>
      </w:pPr>
      <w:r>
        <w:rPr>
          <w:rStyle w:val="FootnoteReference"/>
        </w:rPr>
        <w:footnoteRef/>
      </w:r>
      <w:r>
        <w:t xml:space="preserve"> </w:t>
      </w:r>
      <w:r w:rsidRPr="00834D97">
        <w:rPr>
          <w:smallCaps/>
        </w:rPr>
        <w:t>Joshua Rovner,</w:t>
      </w:r>
      <w:r>
        <w:t xml:space="preserve"> </w:t>
      </w:r>
      <w:r w:rsidRPr="0011302E">
        <w:rPr>
          <w:smallCaps/>
        </w:rPr>
        <w:t xml:space="preserve">The Sentencing Project, Two Years Later, States Resist Supreme Court Mandate on Juvenile Life Without Parole </w:t>
      </w:r>
      <w:r w:rsidRPr="00AF25C7">
        <w:t>3 (</w:t>
      </w:r>
      <w:r w:rsidR="00EA015B" w:rsidRPr="00AF25C7">
        <w:t>June</w:t>
      </w:r>
      <w:r w:rsidRPr="00AF25C7">
        <w:t xml:space="preserve"> 2014</w:t>
      </w:r>
      <w:r>
        <w:t>).</w:t>
      </w:r>
    </w:p>
  </w:footnote>
  <w:footnote w:id="17">
    <w:p w14:paraId="03C6BDC5" w14:textId="77777777" w:rsidR="00C748B2" w:rsidRPr="00123876" w:rsidRDefault="00C748B2">
      <w:pPr>
        <w:pStyle w:val="FootnoteText"/>
        <w:rPr>
          <w:i/>
        </w:rPr>
      </w:pPr>
      <w:r>
        <w:rPr>
          <w:rStyle w:val="FootnoteReference"/>
        </w:rPr>
        <w:footnoteRef/>
      </w:r>
      <w:r>
        <w:t xml:space="preserve"> </w:t>
      </w:r>
      <w:r w:rsidR="00123876" w:rsidRPr="00123876">
        <w:rPr>
          <w:i/>
        </w:rPr>
        <w:t>Id.</w:t>
      </w:r>
    </w:p>
  </w:footnote>
  <w:footnote w:id="18">
    <w:p w14:paraId="7A6ADA19" w14:textId="77777777" w:rsidR="0067798D" w:rsidRPr="0067798D" w:rsidRDefault="0067798D">
      <w:pPr>
        <w:pStyle w:val="FootnoteText"/>
      </w:pPr>
      <w:r>
        <w:rPr>
          <w:rStyle w:val="FootnoteReference"/>
        </w:rPr>
        <w:footnoteRef/>
      </w:r>
      <w:r>
        <w:t xml:space="preserve"> </w:t>
      </w:r>
      <w:r>
        <w:rPr>
          <w:i/>
        </w:rPr>
        <w:t>Id.</w:t>
      </w:r>
      <w:r>
        <w:t xml:space="preserve"> at 1-2.</w:t>
      </w:r>
    </w:p>
  </w:footnote>
  <w:footnote w:id="19">
    <w:p w14:paraId="703DDF60" w14:textId="77777777" w:rsidR="005D557B" w:rsidRDefault="005D557B">
      <w:pPr>
        <w:pStyle w:val="FootnoteText"/>
      </w:pPr>
      <w:r>
        <w:rPr>
          <w:rStyle w:val="FootnoteReference"/>
        </w:rPr>
        <w:footnoteRef/>
      </w:r>
      <w:r>
        <w:t xml:space="preserve"> </w:t>
      </w:r>
      <w:r w:rsidR="00376E8C">
        <w:rPr>
          <w:smallCaps/>
        </w:rPr>
        <w:t>Ashley Nellis</w:t>
      </w:r>
      <w:r w:rsidR="00834D97" w:rsidRPr="00834D97">
        <w:rPr>
          <w:smallCaps/>
        </w:rPr>
        <w:t>,</w:t>
      </w:r>
      <w:r w:rsidR="00834D97">
        <w:t xml:space="preserve"> </w:t>
      </w:r>
      <w:r w:rsidR="00834D97" w:rsidRPr="0011302E">
        <w:rPr>
          <w:smallCaps/>
        </w:rPr>
        <w:t>The Sentencing Project</w:t>
      </w:r>
      <w:r>
        <w:t xml:space="preserve">, </w:t>
      </w:r>
      <w:r w:rsidR="00376E8C">
        <w:rPr>
          <w:smallCaps/>
        </w:rPr>
        <w:t>The Lives of Juveniles Lifers: Findings from a National Survey</w:t>
      </w:r>
      <w:r w:rsidR="00834D97" w:rsidRPr="00834D97">
        <w:rPr>
          <w:smallCaps/>
        </w:rPr>
        <w:t xml:space="preserve"> </w:t>
      </w:r>
      <w:r w:rsidR="00376E8C">
        <w:t>3</w:t>
      </w:r>
      <w:r w:rsidR="00EA015B">
        <w:t xml:space="preserve"> </w:t>
      </w:r>
      <w:r w:rsidR="0011302E">
        <w:t xml:space="preserve">(2014) </w:t>
      </w:r>
      <w:r>
        <w:t xml:space="preserve"> </w:t>
      </w:r>
      <w:r w:rsidRPr="0011302E">
        <w:rPr>
          <w:i/>
        </w:rPr>
        <w:t>available at</w:t>
      </w:r>
      <w:r>
        <w:t xml:space="preserve"> </w:t>
      </w:r>
      <w:r w:rsidR="00376E8C" w:rsidRPr="00376E8C">
        <w:t>http://www.sentencingproject.org/doc/publications/jj_The_Lives_of_Juvenile_Lifers.pdf</w:t>
      </w:r>
    </w:p>
  </w:footnote>
  <w:footnote w:id="20">
    <w:p w14:paraId="10AF4E1A" w14:textId="77777777" w:rsidR="00AF4A53" w:rsidRDefault="00AF4A53">
      <w:pPr>
        <w:pStyle w:val="FootnoteText"/>
      </w:pPr>
      <w:r>
        <w:rPr>
          <w:rStyle w:val="FootnoteReference"/>
        </w:rPr>
        <w:footnoteRef/>
      </w:r>
      <w:r w:rsidR="00CE6BA2" w:rsidRPr="00366F5B">
        <w:rPr>
          <w:i/>
        </w:rPr>
        <w:t>States With and Without the Death Penalty</w:t>
      </w:r>
      <w:r w:rsidR="00CE6BA2">
        <w:t>,</w:t>
      </w:r>
      <w:r w:rsidR="00657C83">
        <w:t xml:space="preserve"> </w:t>
      </w:r>
      <w:r w:rsidR="00657C83" w:rsidRPr="00657C83">
        <w:rPr>
          <w:smallCaps/>
        </w:rPr>
        <w:t>Death Penalty Information Center</w:t>
      </w:r>
      <w:r w:rsidR="00AF0DBB">
        <w:t>,</w:t>
      </w:r>
      <w:r w:rsidR="00CE6BA2">
        <w:t xml:space="preserve"> </w:t>
      </w:r>
      <w:r w:rsidR="00657C83" w:rsidRPr="00657C83">
        <w:t>http://www.deathpenaltyinfo.org/states-and-without-death-penalty(last</w:t>
      </w:r>
      <w:r w:rsidR="00657C83">
        <w:t xml:space="preserve"> visited June 17, 2014)</w:t>
      </w:r>
      <w:r w:rsidR="00CE6BA2">
        <w:t>;</w:t>
      </w:r>
      <w:r>
        <w:t xml:space="preserve"> </w:t>
      </w:r>
      <w:r w:rsidRPr="00657C83">
        <w:rPr>
          <w:i/>
        </w:rPr>
        <w:t xml:space="preserve">Death Row Inmates By </w:t>
      </w:r>
      <w:r w:rsidR="00657C83" w:rsidRPr="00657C83">
        <w:rPr>
          <w:i/>
        </w:rPr>
        <w:t>State and Size of Death Row by Y</w:t>
      </w:r>
      <w:r w:rsidRPr="00657C83">
        <w:rPr>
          <w:i/>
        </w:rPr>
        <w:t>ear</w:t>
      </w:r>
      <w:r>
        <w:t xml:space="preserve">, </w:t>
      </w:r>
      <w:r w:rsidRPr="00657C83">
        <w:rPr>
          <w:smallCaps/>
        </w:rPr>
        <w:t>Death Penalty Information Center</w:t>
      </w:r>
      <w:r>
        <w:t xml:space="preserve">, </w:t>
      </w:r>
      <w:r w:rsidRPr="00657C83">
        <w:t>http://www.deathpenaltyinfo.org/death-row-inmates-state-and-size-death-row-year?scid=9&amp;did=188#year</w:t>
      </w:r>
      <w:r>
        <w:t xml:space="preserve"> </w:t>
      </w:r>
      <w:r w:rsidR="00657C83">
        <w:t>(last visited June 17, 2014).</w:t>
      </w:r>
    </w:p>
  </w:footnote>
  <w:footnote w:id="21">
    <w:p w14:paraId="30540866" w14:textId="77777777" w:rsidR="00AF4A53" w:rsidRDefault="00AF4A53">
      <w:pPr>
        <w:pStyle w:val="FootnoteText"/>
      </w:pPr>
      <w:r>
        <w:rPr>
          <w:rStyle w:val="FootnoteReference"/>
        </w:rPr>
        <w:footnoteRef/>
      </w:r>
      <w:r>
        <w:t xml:space="preserve"> </w:t>
      </w:r>
      <w:r w:rsidRPr="00657C83">
        <w:rPr>
          <w:i/>
        </w:rPr>
        <w:t>Executions by Year Since 1976</w:t>
      </w:r>
      <w:r>
        <w:t xml:space="preserve">, </w:t>
      </w:r>
      <w:r w:rsidRPr="00657C83">
        <w:rPr>
          <w:smallCaps/>
        </w:rPr>
        <w:t>Death Penalty Information Center</w:t>
      </w:r>
      <w:r w:rsidR="00657C83">
        <w:rPr>
          <w:smallCaps/>
        </w:rPr>
        <w:t>,</w:t>
      </w:r>
      <w:r>
        <w:t xml:space="preserve"> </w:t>
      </w:r>
      <w:r w:rsidR="00657C83" w:rsidRPr="00657C83">
        <w:t>http://www.deathpenaltyinfo.org/executions-year</w:t>
      </w:r>
      <w:r w:rsidR="00657C83">
        <w:t xml:space="preserve"> (last visited June 17, 2014).</w:t>
      </w:r>
    </w:p>
  </w:footnote>
  <w:footnote w:id="22">
    <w:p w14:paraId="22D2F970" w14:textId="77777777" w:rsidR="00A64435" w:rsidRPr="00756A78" w:rsidRDefault="00A64435" w:rsidP="00A64435">
      <w:pPr>
        <w:pStyle w:val="FootnoteText"/>
        <w:rPr>
          <w:rFonts w:cs="Times New Roman"/>
          <w:szCs w:val="18"/>
        </w:rPr>
      </w:pPr>
      <w:r w:rsidRPr="00756A78">
        <w:rPr>
          <w:rStyle w:val="FootnoteReference"/>
          <w:rFonts w:cs="Times New Roman"/>
          <w:szCs w:val="18"/>
        </w:rPr>
        <w:footnoteRef/>
      </w:r>
      <w:r w:rsidRPr="00756A78">
        <w:rPr>
          <w:rFonts w:cs="Times New Roman"/>
          <w:szCs w:val="18"/>
        </w:rPr>
        <w:t xml:space="preserve"> </w:t>
      </w:r>
      <w:r w:rsidRPr="00657C83">
        <w:rPr>
          <w:rFonts w:cs="Times New Roman"/>
          <w:smallCaps/>
          <w:szCs w:val="18"/>
        </w:rPr>
        <w:t>U.S. Gov’t Accountability Office</w:t>
      </w:r>
      <w:r w:rsidRPr="00756A78">
        <w:rPr>
          <w:rFonts w:cs="Times New Roman"/>
          <w:szCs w:val="18"/>
        </w:rPr>
        <w:t xml:space="preserve">, GAO GGD-90-557, </w:t>
      </w:r>
      <w:bookmarkStart w:id="1" w:name="OLE_LINK15"/>
      <w:bookmarkStart w:id="2" w:name="OLE_LINK16"/>
      <w:r w:rsidRPr="00657C83">
        <w:rPr>
          <w:rFonts w:cs="Times New Roman"/>
          <w:smallCaps/>
          <w:szCs w:val="18"/>
        </w:rPr>
        <w:t>Death Penalty Sentencing: Research Indicates Pattern of Racial Disparities</w:t>
      </w:r>
      <w:bookmarkEnd w:id="1"/>
      <w:bookmarkEnd w:id="2"/>
      <w:r w:rsidRPr="00657C83">
        <w:rPr>
          <w:rFonts w:cs="Times New Roman"/>
          <w:smallCaps/>
          <w:szCs w:val="18"/>
        </w:rPr>
        <w:t>,</w:t>
      </w:r>
      <w:r w:rsidR="00AF0DBB">
        <w:rPr>
          <w:rFonts w:cs="Times New Roman"/>
          <w:szCs w:val="18"/>
        </w:rPr>
        <w:t xml:space="preserve"> 5 (Feb. 1990) [hereinafter GAO GGD-90-557]</w:t>
      </w:r>
      <w:r w:rsidRPr="00756A78">
        <w:rPr>
          <w:rFonts w:cs="Times New Roman"/>
          <w:szCs w:val="18"/>
        </w:rPr>
        <w:t>.</w:t>
      </w:r>
    </w:p>
  </w:footnote>
  <w:footnote w:id="23">
    <w:p w14:paraId="12B80300" w14:textId="77777777" w:rsidR="00A64435" w:rsidRPr="00756A78" w:rsidRDefault="00A64435" w:rsidP="00A64435">
      <w:pPr>
        <w:pStyle w:val="FootnoteText"/>
        <w:rPr>
          <w:rFonts w:cs="Times New Roman"/>
          <w:szCs w:val="18"/>
        </w:rPr>
      </w:pPr>
      <w:r w:rsidRPr="00756A78">
        <w:rPr>
          <w:rStyle w:val="FootnoteReference"/>
          <w:rFonts w:cs="Times New Roman"/>
          <w:szCs w:val="18"/>
        </w:rPr>
        <w:footnoteRef/>
      </w:r>
      <w:r w:rsidRPr="00756A78">
        <w:rPr>
          <w:rFonts w:cs="Times New Roman"/>
          <w:szCs w:val="18"/>
        </w:rPr>
        <w:t xml:space="preserve"> David Baldus et al., </w:t>
      </w:r>
      <w:r w:rsidRPr="00756A78">
        <w:rPr>
          <w:rFonts w:cs="Times New Roman"/>
          <w:i/>
          <w:szCs w:val="18"/>
        </w:rPr>
        <w:t>Racial Discrimination and the Death Penalty in the Post-</w:t>
      </w:r>
      <w:r w:rsidRPr="00756A78">
        <w:rPr>
          <w:rFonts w:cs="Times New Roman"/>
          <w:szCs w:val="18"/>
        </w:rPr>
        <w:t xml:space="preserve">Furman </w:t>
      </w:r>
      <w:r w:rsidRPr="00756A78">
        <w:rPr>
          <w:rFonts w:cs="Times New Roman"/>
          <w:i/>
          <w:szCs w:val="18"/>
        </w:rPr>
        <w:t>Era: An</w:t>
      </w:r>
      <w:r w:rsidR="00AF0DBB">
        <w:rPr>
          <w:rFonts w:cs="Times New Roman"/>
          <w:i/>
          <w:szCs w:val="18"/>
        </w:rPr>
        <w:t xml:space="preserve"> Empirical and Legal Overview, With Recent Findings f</w:t>
      </w:r>
      <w:r w:rsidRPr="00756A78">
        <w:rPr>
          <w:rFonts w:cs="Times New Roman"/>
          <w:i/>
          <w:szCs w:val="18"/>
        </w:rPr>
        <w:t>rom Philadelphia</w:t>
      </w:r>
      <w:r w:rsidRPr="00756A78">
        <w:rPr>
          <w:rFonts w:cs="Times New Roman"/>
          <w:szCs w:val="18"/>
        </w:rPr>
        <w:t xml:space="preserve">, 83 </w:t>
      </w:r>
      <w:r w:rsidRPr="00AF0DBB">
        <w:rPr>
          <w:rFonts w:cs="Times New Roman"/>
          <w:smallCaps/>
          <w:szCs w:val="18"/>
        </w:rPr>
        <w:t>Cornell L. Rev.</w:t>
      </w:r>
      <w:r w:rsidR="006F7DD4">
        <w:rPr>
          <w:rFonts w:cs="Times New Roman"/>
          <w:szCs w:val="18"/>
        </w:rPr>
        <w:t xml:space="preserve"> 1638 (1998); </w:t>
      </w:r>
      <w:r w:rsidR="006F7DD4" w:rsidRPr="00756A78">
        <w:rPr>
          <w:rFonts w:cs="Times New Roman"/>
          <w:szCs w:val="18"/>
        </w:rPr>
        <w:t>GAO GGD-90-557</w:t>
      </w:r>
      <w:r w:rsidR="006F7DD4">
        <w:rPr>
          <w:rFonts w:cs="Times New Roman"/>
          <w:szCs w:val="18"/>
        </w:rPr>
        <w:t xml:space="preserve">, </w:t>
      </w:r>
      <w:r w:rsidR="006F7DD4">
        <w:rPr>
          <w:rFonts w:cs="Times New Roman"/>
          <w:i/>
          <w:szCs w:val="18"/>
        </w:rPr>
        <w:t xml:space="preserve">supra </w:t>
      </w:r>
      <w:r w:rsidR="006F7DD4">
        <w:rPr>
          <w:rFonts w:cs="Times New Roman"/>
          <w:szCs w:val="18"/>
        </w:rPr>
        <w:t>note 23,</w:t>
      </w:r>
      <w:r w:rsidR="006F7DD4" w:rsidRPr="00756A78">
        <w:rPr>
          <w:rFonts w:cs="Times New Roman"/>
          <w:szCs w:val="18"/>
        </w:rPr>
        <w:t xml:space="preserve"> at 6.</w:t>
      </w:r>
    </w:p>
  </w:footnote>
  <w:footnote w:id="24">
    <w:p w14:paraId="3857CB27" w14:textId="77777777" w:rsidR="00D40544" w:rsidRPr="00D40544" w:rsidRDefault="00D40544">
      <w:pPr>
        <w:pStyle w:val="FootnoteText"/>
      </w:pPr>
      <w:r>
        <w:rPr>
          <w:rStyle w:val="FootnoteReference"/>
        </w:rPr>
        <w:footnoteRef/>
      </w:r>
      <w:r>
        <w:t xml:space="preserve"> </w:t>
      </w:r>
      <w:r>
        <w:rPr>
          <w:i/>
        </w:rPr>
        <w:t>National Statistics on Death Penalty and Race</w:t>
      </w:r>
      <w:r>
        <w:t xml:space="preserve">, </w:t>
      </w:r>
      <w:r w:rsidRPr="00657C83">
        <w:rPr>
          <w:smallCaps/>
        </w:rPr>
        <w:t>Death Penalty Information Center</w:t>
      </w:r>
      <w:r>
        <w:rPr>
          <w:smallCaps/>
        </w:rPr>
        <w:t xml:space="preserve">, </w:t>
      </w:r>
      <w:r w:rsidRPr="00D40544">
        <w:t>http://www.deathpenaltyinfo.org/race-death-row-inmates-executed-1976 (last visited June 17, 2014).</w:t>
      </w:r>
    </w:p>
  </w:footnote>
  <w:footnote w:id="25">
    <w:p w14:paraId="1B195AD5" w14:textId="77777777" w:rsidR="00A64435" w:rsidRPr="00756A78" w:rsidRDefault="00A64435" w:rsidP="00A64435">
      <w:pPr>
        <w:pStyle w:val="FootnoteText"/>
        <w:rPr>
          <w:rFonts w:cs="Times New Roman"/>
          <w:szCs w:val="18"/>
        </w:rPr>
      </w:pPr>
      <w:r w:rsidRPr="00756A78">
        <w:rPr>
          <w:rStyle w:val="FootnoteReference"/>
          <w:rFonts w:cs="Times New Roman"/>
          <w:szCs w:val="18"/>
        </w:rPr>
        <w:footnoteRef/>
      </w:r>
      <w:r w:rsidRPr="00756A78">
        <w:rPr>
          <w:rFonts w:cs="Times New Roman"/>
          <w:szCs w:val="18"/>
        </w:rPr>
        <w:t xml:space="preserve"> </w:t>
      </w:r>
      <w:r w:rsidRPr="00756A78">
        <w:rPr>
          <w:rFonts w:cs="Times New Roman"/>
          <w:i/>
          <w:szCs w:val="18"/>
        </w:rPr>
        <w:t>See, e.g.</w:t>
      </w:r>
      <w:r w:rsidRPr="006F7DD4">
        <w:rPr>
          <w:rFonts w:cs="Times New Roman"/>
          <w:szCs w:val="18"/>
        </w:rPr>
        <w:t>,</w:t>
      </w:r>
      <w:r w:rsidRPr="00756A78">
        <w:rPr>
          <w:rFonts w:cs="Times New Roman"/>
          <w:szCs w:val="18"/>
        </w:rPr>
        <w:t xml:space="preserve"> William Brennan, Jr., </w:t>
      </w:r>
      <w:r w:rsidRPr="00756A78">
        <w:rPr>
          <w:rFonts w:cs="Times New Roman"/>
          <w:i/>
          <w:szCs w:val="18"/>
        </w:rPr>
        <w:t>Neither Victims Nor Executioners</w:t>
      </w:r>
      <w:r w:rsidRPr="00756A78">
        <w:rPr>
          <w:rFonts w:cs="Times New Roman"/>
          <w:szCs w:val="18"/>
        </w:rPr>
        <w:t xml:space="preserve">, 8 </w:t>
      </w:r>
      <w:r w:rsidRPr="006F7DD4">
        <w:rPr>
          <w:rFonts w:cs="Times New Roman"/>
          <w:smallCaps/>
          <w:szCs w:val="18"/>
        </w:rPr>
        <w:t>Notre Dame J.L. Ethics &amp; Pub. Pol’y</w:t>
      </w:r>
      <w:r w:rsidRPr="00756A78">
        <w:rPr>
          <w:rFonts w:cs="Times New Roman"/>
          <w:szCs w:val="18"/>
        </w:rPr>
        <w:t xml:space="preserve"> 1, 4 (1994).</w:t>
      </w:r>
    </w:p>
  </w:footnote>
  <w:footnote w:id="26">
    <w:p w14:paraId="36BE51AE" w14:textId="77777777" w:rsidR="00B924D3" w:rsidRDefault="00B924D3">
      <w:pPr>
        <w:pStyle w:val="FootnoteText"/>
      </w:pPr>
      <w:r>
        <w:rPr>
          <w:rStyle w:val="FootnoteReference"/>
        </w:rPr>
        <w:footnoteRef/>
      </w:r>
      <w:r w:rsidR="006F7DD4">
        <w:t xml:space="preserve"> Christopher Uggen,</w:t>
      </w:r>
      <w:r w:rsidR="002220C8">
        <w:t xml:space="preserve"> Sarah Shannon &amp; Jeff Manza, </w:t>
      </w:r>
      <w:r w:rsidR="002220C8" w:rsidRPr="006F7DD4">
        <w:rPr>
          <w:smallCaps/>
        </w:rPr>
        <w:t>State-Level Estimates of Disenfranchisement in the United States</w:t>
      </w:r>
      <w:r w:rsidR="006F7DD4">
        <w:t>, 2010 1</w:t>
      </w:r>
      <w:r w:rsidR="002220C8">
        <w:t xml:space="preserve"> </w:t>
      </w:r>
      <w:r w:rsidR="006F7DD4">
        <w:t>(</w:t>
      </w:r>
      <w:r w:rsidR="002220C8">
        <w:t>T</w:t>
      </w:r>
      <w:r w:rsidR="00FD3764">
        <w:t>he Sentencing Project</w:t>
      </w:r>
      <w:r w:rsidR="006F7DD4">
        <w:t xml:space="preserve"> 2012)</w:t>
      </w:r>
      <w:r w:rsidR="002220C8">
        <w:t>.</w:t>
      </w:r>
    </w:p>
  </w:footnote>
  <w:footnote w:id="27">
    <w:p w14:paraId="3E5051CF" w14:textId="77777777" w:rsidR="00E54945" w:rsidRPr="00376E8C" w:rsidRDefault="00E54945" w:rsidP="00E54945">
      <w:pPr>
        <w:pStyle w:val="FootnoteText"/>
      </w:pPr>
      <w:r>
        <w:rPr>
          <w:rStyle w:val="FootnoteReference"/>
        </w:rPr>
        <w:footnoteRef/>
      </w:r>
      <w:r w:rsidR="00FD3764">
        <w:t xml:space="preserve"> </w:t>
      </w:r>
      <w:r w:rsidR="00376E8C">
        <w:rPr>
          <w:i/>
        </w:rPr>
        <w:t>Id.</w:t>
      </w:r>
      <w:r w:rsidR="00376E8C">
        <w:t xml:space="preserve"> at 15.</w:t>
      </w:r>
    </w:p>
  </w:footnote>
  <w:footnote w:id="28">
    <w:p w14:paraId="2A5F449F" w14:textId="77777777" w:rsidR="00281464" w:rsidRDefault="00281464">
      <w:pPr>
        <w:pStyle w:val="FootnoteText"/>
      </w:pPr>
      <w:r>
        <w:rPr>
          <w:rStyle w:val="FootnoteReference"/>
        </w:rPr>
        <w:footnoteRef/>
      </w:r>
      <w:r>
        <w:t xml:space="preserve"> </w:t>
      </w:r>
      <w:r w:rsidR="00376E8C">
        <w:rPr>
          <w:i/>
        </w:rPr>
        <w:t>Id.</w:t>
      </w:r>
      <w:r>
        <w:t xml:space="preserve"> at 1-2.</w:t>
      </w:r>
    </w:p>
  </w:footnote>
  <w:footnote w:id="29">
    <w:p w14:paraId="23D85A1C" w14:textId="77777777" w:rsidR="00E54945" w:rsidRDefault="00E54945" w:rsidP="00E54945">
      <w:pPr>
        <w:pStyle w:val="FootnoteText"/>
      </w:pPr>
      <w:r>
        <w:rPr>
          <w:rStyle w:val="FootnoteReference"/>
        </w:rPr>
        <w:footnoteRef/>
      </w:r>
      <w:r>
        <w:t xml:space="preserve"> </w:t>
      </w:r>
      <w:r w:rsidR="00FD3764">
        <w:rPr>
          <w:i/>
        </w:rPr>
        <w:t>Id.</w:t>
      </w:r>
      <w:r w:rsidR="00FD3764">
        <w:t xml:space="preserve"> at</w:t>
      </w:r>
      <w:r>
        <w:t xml:space="preserve"> 2.</w:t>
      </w:r>
    </w:p>
  </w:footnote>
  <w:footnote w:id="30">
    <w:p w14:paraId="3E05AF8D" w14:textId="77777777" w:rsidR="00E54945" w:rsidRDefault="00E54945" w:rsidP="00E54945">
      <w:pPr>
        <w:pStyle w:val="FootnoteText"/>
      </w:pPr>
      <w:r>
        <w:rPr>
          <w:rStyle w:val="FootnoteReference"/>
        </w:rPr>
        <w:footnoteRef/>
      </w:r>
      <w:r>
        <w:t xml:space="preserve"> </w:t>
      </w:r>
      <w:r w:rsidR="00642EE8" w:rsidRPr="00F60074">
        <w:rPr>
          <w:smallCaps/>
        </w:rPr>
        <w:t>Jean Chung</w:t>
      </w:r>
      <w:r w:rsidR="00F60074" w:rsidRPr="00F60074">
        <w:rPr>
          <w:smallCaps/>
        </w:rPr>
        <w:t>, The Sentencing Project,</w:t>
      </w:r>
      <w:r w:rsidR="00642EE8" w:rsidRPr="00F60074">
        <w:rPr>
          <w:smallCaps/>
        </w:rPr>
        <w:t xml:space="preserve"> Felony Disenfranchisement:</w:t>
      </w:r>
      <w:r w:rsidR="00F60074">
        <w:rPr>
          <w:smallCaps/>
        </w:rPr>
        <w:t xml:space="preserve"> </w:t>
      </w:r>
      <w:r w:rsidR="00642EE8" w:rsidRPr="00F60074">
        <w:rPr>
          <w:smallCaps/>
        </w:rPr>
        <w:t>A Primer</w:t>
      </w:r>
      <w:r w:rsidR="00F60074">
        <w:t xml:space="preserve"> </w:t>
      </w:r>
      <w:r w:rsidR="00642EE8">
        <w:t>1</w:t>
      </w:r>
      <w:r w:rsidR="00F60074">
        <w:t xml:space="preserve"> (2014) </w:t>
      </w:r>
      <w:r w:rsidR="00F60074">
        <w:rPr>
          <w:i/>
        </w:rPr>
        <w:t xml:space="preserve">available at </w:t>
      </w:r>
      <w:r w:rsidR="00F60074" w:rsidRPr="00F60074">
        <w:t>http://www.sentencingproject.org/doc/publications/fd_Felony%20Disenfranchisement%20Primer.pdf</w:t>
      </w:r>
      <w:r w:rsidR="00F60074">
        <w:t>.</w:t>
      </w:r>
      <w:r w:rsidR="00642EE8">
        <w:t xml:space="preserve"> </w:t>
      </w:r>
    </w:p>
  </w:footnote>
  <w:footnote w:id="31">
    <w:p w14:paraId="7B2C83B8" w14:textId="77777777" w:rsidR="00122F23" w:rsidRDefault="00122F23">
      <w:pPr>
        <w:pStyle w:val="FootnoteText"/>
      </w:pPr>
      <w:r>
        <w:rPr>
          <w:rStyle w:val="FootnoteReference"/>
        </w:rPr>
        <w:footnoteRef/>
      </w:r>
      <w:r w:rsidR="00F60074">
        <w:t xml:space="preserve"> </w:t>
      </w:r>
      <w:r w:rsidR="00F60074" w:rsidRPr="00F60074">
        <w:rPr>
          <w:i/>
        </w:rPr>
        <w:t>Democracy Restoration Act</w:t>
      </w:r>
      <w:r w:rsidR="00F60074">
        <w:t>,</w:t>
      </w:r>
      <w:r>
        <w:t xml:space="preserve"> </w:t>
      </w:r>
      <w:r w:rsidRPr="00F60074">
        <w:rPr>
          <w:smallCaps/>
        </w:rPr>
        <w:t>Brennan Center For Justice</w:t>
      </w:r>
      <w:r>
        <w:t xml:space="preserve"> </w:t>
      </w:r>
      <w:r w:rsidR="00F60074">
        <w:t>(May 16, 2014),</w:t>
      </w:r>
      <w:r>
        <w:t xml:space="preserve"> </w:t>
      </w:r>
      <w:r w:rsidRPr="002E6052">
        <w:t>http://www.brennancenter.org/legislation/democracy-restoration-act#Support</w:t>
      </w:r>
      <w:r w:rsidR="002E6052">
        <w:t>.</w:t>
      </w:r>
    </w:p>
  </w:footnote>
  <w:footnote w:id="32">
    <w:p w14:paraId="75C61F54" w14:textId="77777777" w:rsidR="00B924D3" w:rsidRDefault="00B924D3">
      <w:pPr>
        <w:pStyle w:val="FootnoteText"/>
      </w:pPr>
      <w:r>
        <w:rPr>
          <w:rStyle w:val="FootnoteReference"/>
        </w:rPr>
        <w:footnoteRef/>
      </w:r>
      <w:r>
        <w:t xml:space="preserve"> </w:t>
      </w:r>
      <w:r w:rsidR="00F60074">
        <w:t xml:space="preserve">Marc Mauer, </w:t>
      </w:r>
      <w:r w:rsidR="00F60074">
        <w:rPr>
          <w:i/>
        </w:rPr>
        <w:t>Voting Behind Bars: An Argument for Voting by Prisoners</w:t>
      </w:r>
      <w:r w:rsidR="00F60074">
        <w:t xml:space="preserve">, 54 </w:t>
      </w:r>
      <w:r w:rsidR="00F60074" w:rsidRPr="00F60074">
        <w:rPr>
          <w:smallCaps/>
        </w:rPr>
        <w:t>How. L. J</w:t>
      </w:r>
      <w:r w:rsidR="00F60074">
        <w:t>. 549, 563</w:t>
      </w:r>
      <w:r>
        <w:t xml:space="preserve"> </w:t>
      </w:r>
      <w:r w:rsidR="00F60074">
        <w:t>(</w:t>
      </w:r>
      <w:r>
        <w:t>2011</w:t>
      </w:r>
      <w:r w:rsidR="00F60074">
        <w:t>)</w:t>
      </w:r>
      <w:r>
        <w:t>.</w:t>
      </w:r>
    </w:p>
  </w:footnote>
  <w:footnote w:id="33">
    <w:p w14:paraId="4CACD286" w14:textId="77777777" w:rsidR="00F06DB7" w:rsidRDefault="00F06DB7">
      <w:pPr>
        <w:pStyle w:val="FootnoteText"/>
      </w:pPr>
      <w:r>
        <w:rPr>
          <w:rStyle w:val="FootnoteReference"/>
        </w:rPr>
        <w:footnoteRef/>
      </w:r>
      <w:r w:rsidR="00F60074">
        <w:t xml:space="preserve"> </w:t>
      </w:r>
      <w:r w:rsidRPr="00F60074">
        <w:rPr>
          <w:smallCaps/>
        </w:rPr>
        <w:t>Chung</w:t>
      </w:r>
      <w:r>
        <w:t xml:space="preserve">, </w:t>
      </w:r>
      <w:r w:rsidR="00F60074">
        <w:rPr>
          <w:i/>
        </w:rPr>
        <w:t xml:space="preserve">supra </w:t>
      </w:r>
      <w:r w:rsidR="00F60074">
        <w:t>note 31, at 5.</w:t>
      </w:r>
    </w:p>
  </w:footnote>
  <w:footnote w:id="34">
    <w:p w14:paraId="1D154602" w14:textId="77777777" w:rsidR="00B924D3" w:rsidRDefault="00B924D3">
      <w:pPr>
        <w:pStyle w:val="FootnoteText"/>
      </w:pPr>
      <w:r>
        <w:rPr>
          <w:rStyle w:val="FootnoteReference"/>
        </w:rPr>
        <w:footnoteRef/>
      </w:r>
      <w:r>
        <w:t xml:space="preserve"> </w:t>
      </w:r>
      <w:r w:rsidR="00F60074">
        <w:t xml:space="preserve">Marc Mauer, </w:t>
      </w:r>
      <w:r w:rsidR="00F60074">
        <w:rPr>
          <w:i/>
        </w:rPr>
        <w:t>Voting Behind Bars: An Argument for Voting by Prisoners</w:t>
      </w:r>
      <w:r w:rsidR="00F60074">
        <w:t xml:space="preserve">, 54 </w:t>
      </w:r>
      <w:r w:rsidR="00F60074" w:rsidRPr="00F60074">
        <w:rPr>
          <w:smallCaps/>
        </w:rPr>
        <w:t>How. L. J</w:t>
      </w:r>
      <w:r w:rsidR="00F60074">
        <w:t>. 549, 564 (2011)</w:t>
      </w:r>
      <w:r>
        <w:t>.</w:t>
      </w:r>
    </w:p>
  </w:footnote>
  <w:footnote w:id="35">
    <w:p w14:paraId="542B80B5" w14:textId="77777777" w:rsidR="00AF6873" w:rsidRDefault="00AF6873">
      <w:pPr>
        <w:pStyle w:val="FootnoteText"/>
      </w:pPr>
      <w:r>
        <w:rPr>
          <w:rStyle w:val="FootnoteReference"/>
        </w:rPr>
        <w:footnoteRef/>
      </w:r>
      <w:r w:rsidR="004C0560">
        <w:t xml:space="preserve"> </w:t>
      </w:r>
      <w:r w:rsidR="004C0560" w:rsidRPr="004C0560">
        <w:rPr>
          <w:smallCaps/>
        </w:rPr>
        <w:t xml:space="preserve">National Research Council, The Growth of Incarceration in the United States: Exploring Causes and Consequences </w:t>
      </w:r>
      <w:r w:rsidR="004C0560">
        <w:t>5 (The National Academies Press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605C0" w14:textId="77777777" w:rsidR="003C4B78" w:rsidRDefault="003C4B78" w:rsidP="00092F12">
    <w:pPr>
      <w:pStyle w:val="Header"/>
      <w:spacing w:after="240"/>
    </w:pPr>
    <w:r>
      <w:rPr>
        <w:noProof/>
        <w:szCs w:val="20"/>
        <w:lang w:val="en-GB" w:eastAsia="en-GB"/>
      </w:rPr>
      <mc:AlternateContent>
        <mc:Choice Requires="wps">
          <w:drawing>
            <wp:anchor distT="0" distB="0" distL="114300" distR="114300" simplePos="0" relativeHeight="251657728" behindDoc="1" locked="0" layoutInCell="1" allowOverlap="1" wp14:anchorId="29C53910" wp14:editId="0E2ADA6E">
              <wp:simplePos x="0" y="0"/>
              <wp:positionH relativeFrom="page">
                <wp:posOffset>3200400</wp:posOffset>
              </wp:positionH>
              <wp:positionV relativeFrom="page">
                <wp:posOffset>3200400</wp:posOffset>
              </wp:positionV>
              <wp:extent cx="0" cy="5029200"/>
              <wp:effectExtent l="9525" t="9525" r="9525" b="952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29200"/>
                      </a:xfrm>
                      <a:prstGeom prst="line">
                        <a:avLst/>
                      </a:prstGeom>
                      <a:noFill/>
                      <a:ln w="12700">
                        <a:solidFill>
                          <a:srgbClr val="DE9F1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3"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252pt" to="252pt,9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" strokecolor="#de9f1f" strokeweight="1pt">
              <w10:wrap anchorx="page" anchory="page"/>
            </v:line>
          </w:pict>
        </mc:Fallback>
      </mc:AlternateContent>
    </w:r>
    <w:r>
      <w:rPr>
        <w:noProof/>
        <w:szCs w:val="20"/>
        <w:lang w:val="en-GB" w:eastAsia="en-GB"/>
      </w:rPr>
      <w:drawing>
        <wp:inline distT="0" distB="0" distL="0" distR="0" wp14:anchorId="1D0A699B" wp14:editId="33822944">
          <wp:extent cx="7753350" cy="3419475"/>
          <wp:effectExtent l="0" t="0" r="0" b="9525"/>
          <wp:docPr id="1" name="Picture 1" descr="10025_sp_header_d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25_sp_header_dark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0" cy="34194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9811155"/>
      <w:docPartObj>
        <w:docPartGallery w:val="Page Numbers (Top of Page)"/>
        <w:docPartUnique/>
      </w:docPartObj>
    </w:sdtPr>
    <w:sdtEndPr>
      <w:rPr>
        <w:rFonts w:ascii="Franklin Gothic Book" w:hAnsi="Franklin Gothic Book"/>
        <w:noProof/>
        <w:sz w:val="16"/>
      </w:rPr>
    </w:sdtEndPr>
    <w:sdtContent>
      <w:p w14:paraId="00302FDE" w14:textId="77777777" w:rsidR="003C4B78" w:rsidRPr="004749C0" w:rsidRDefault="003C4B78" w:rsidP="003C4B78">
        <w:pPr>
          <w:pStyle w:val="Header"/>
          <w:tabs>
            <w:tab w:val="clear" w:pos="4320"/>
            <w:tab w:val="clear" w:pos="8640"/>
            <w:tab w:val="right" w:pos="8190"/>
          </w:tabs>
          <w:rPr>
            <w:rFonts w:ascii="Franklin Gothic Book" w:hAnsi="Franklin Gothic Book"/>
            <w:sz w:val="16"/>
          </w:rPr>
        </w:pPr>
        <w:r w:rsidRPr="004749C0">
          <w:rPr>
            <w:rFonts w:ascii="Franklin Gothic Book" w:hAnsi="Franklin Gothic Book"/>
            <w:sz w:val="16"/>
          </w:rPr>
          <w:fldChar w:fldCharType="begin"/>
        </w:r>
        <w:r w:rsidRPr="004749C0">
          <w:rPr>
            <w:rFonts w:ascii="Franklin Gothic Book" w:hAnsi="Franklin Gothic Book"/>
            <w:sz w:val="16"/>
          </w:rPr>
          <w:instrText xml:space="preserve"> PAGE   \* MERGEFORMAT </w:instrText>
        </w:r>
        <w:r w:rsidRPr="004749C0">
          <w:rPr>
            <w:rFonts w:ascii="Franklin Gothic Book" w:hAnsi="Franklin Gothic Book"/>
            <w:sz w:val="16"/>
          </w:rPr>
          <w:fldChar w:fldCharType="separate"/>
        </w:r>
        <w:r w:rsidR="00A43134">
          <w:rPr>
            <w:rFonts w:ascii="Franklin Gothic Book" w:hAnsi="Franklin Gothic Book"/>
            <w:noProof/>
            <w:sz w:val="16"/>
          </w:rPr>
          <w:t>5</w:t>
        </w:r>
        <w:r w:rsidRPr="004749C0">
          <w:rPr>
            <w:rFonts w:ascii="Franklin Gothic Book" w:hAnsi="Franklin Gothic Book"/>
            <w:noProof/>
            <w:sz w:val="16"/>
          </w:rPr>
          <w:fldChar w:fldCharType="end"/>
        </w:r>
        <w:r>
          <w:rPr>
            <w:rFonts w:ascii="Franklin Gothic Book" w:hAnsi="Franklin Gothic Book"/>
            <w:noProof/>
            <w:sz w:val="16"/>
          </w:rPr>
          <w:tab/>
        </w:r>
        <w:r w:rsidRPr="00463F1B">
          <w:rPr>
            <w:rFonts w:ascii="Franklin Gothic Book" w:hAnsi="Franklin Gothic Book"/>
            <w:caps/>
            <w:sz w:val="16"/>
          </w:rPr>
          <w:t>Race and the Criminal Justice System in the United States</w:t>
        </w:r>
      </w:p>
    </w:sdtContent>
  </w:sdt>
  <w:p w14:paraId="53A913D1" w14:textId="77777777" w:rsidR="003C4B78" w:rsidRPr="004749C0" w:rsidRDefault="003C4B78" w:rsidP="003C4B78">
    <w:pPr>
      <w:pStyle w:val="Header"/>
      <w:tabs>
        <w:tab w:val="right" w:pos="8190"/>
      </w:tabs>
      <w:rPr>
        <w:rFonts w:ascii="Franklin Gothic Book" w:hAnsi="Franklin Gothic Book"/>
        <w:caps/>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98038" w14:textId="77777777" w:rsidR="003C4B78" w:rsidRPr="00BE6A5C" w:rsidRDefault="003C4B78" w:rsidP="003C4B78">
    <w:pPr>
      <w:pStyle w:val="Header"/>
      <w:tabs>
        <w:tab w:val="clear" w:pos="4320"/>
        <w:tab w:val="clear" w:pos="8640"/>
        <w:tab w:val="right" w:pos="8190"/>
      </w:tabs>
      <w:rPr>
        <w:rFonts w:ascii="Franklin Gothic Book" w:hAnsi="Franklin Gothic Book"/>
        <w:caps/>
        <w:sz w:val="16"/>
      </w:rPr>
    </w:pPr>
    <w:r>
      <w:rPr>
        <w:rFonts w:ascii="Franklin Gothic Book" w:hAnsi="Franklin Gothic Book"/>
        <w:caps/>
        <w:sz w:val="16"/>
      </w:rPr>
      <w:tab/>
    </w:r>
    <w:r w:rsidRPr="00463F1B">
      <w:rPr>
        <w:rFonts w:ascii="Franklin Gothic Book" w:hAnsi="Franklin Gothic Book"/>
        <w:caps/>
        <w:sz w:val="16"/>
      </w:rPr>
      <w:t>Race and the Criminal Justice System in the United States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AA5BA2"/>
    <w:lvl w:ilvl="0">
      <w:start w:val="1"/>
      <w:numFmt w:val="decimal"/>
      <w:lvlText w:val="%1."/>
      <w:lvlJc w:val="left"/>
      <w:pPr>
        <w:tabs>
          <w:tab w:val="num" w:pos="1800"/>
        </w:tabs>
        <w:ind w:left="1800" w:hanging="360"/>
      </w:pPr>
    </w:lvl>
  </w:abstractNum>
  <w:abstractNum w:abstractNumId="1">
    <w:nsid w:val="FFFFFF7D"/>
    <w:multiLevelType w:val="singleLevel"/>
    <w:tmpl w:val="D9622608"/>
    <w:lvl w:ilvl="0">
      <w:start w:val="1"/>
      <w:numFmt w:val="decimal"/>
      <w:lvlText w:val="%1."/>
      <w:lvlJc w:val="left"/>
      <w:pPr>
        <w:tabs>
          <w:tab w:val="num" w:pos="1440"/>
        </w:tabs>
        <w:ind w:left="1440" w:hanging="360"/>
      </w:pPr>
    </w:lvl>
  </w:abstractNum>
  <w:abstractNum w:abstractNumId="2">
    <w:nsid w:val="FFFFFF7E"/>
    <w:multiLevelType w:val="singleLevel"/>
    <w:tmpl w:val="B9F6C1CA"/>
    <w:lvl w:ilvl="0">
      <w:start w:val="1"/>
      <w:numFmt w:val="decimal"/>
      <w:lvlText w:val="%1."/>
      <w:lvlJc w:val="left"/>
      <w:pPr>
        <w:tabs>
          <w:tab w:val="num" w:pos="1080"/>
        </w:tabs>
        <w:ind w:left="1080" w:hanging="360"/>
      </w:pPr>
    </w:lvl>
  </w:abstractNum>
  <w:abstractNum w:abstractNumId="3">
    <w:nsid w:val="FFFFFF7F"/>
    <w:multiLevelType w:val="singleLevel"/>
    <w:tmpl w:val="5BBA7A62"/>
    <w:lvl w:ilvl="0">
      <w:start w:val="1"/>
      <w:numFmt w:val="decimal"/>
      <w:lvlText w:val="%1."/>
      <w:lvlJc w:val="left"/>
      <w:pPr>
        <w:tabs>
          <w:tab w:val="num" w:pos="720"/>
        </w:tabs>
        <w:ind w:left="720" w:hanging="360"/>
      </w:pPr>
    </w:lvl>
  </w:abstractNum>
  <w:abstractNum w:abstractNumId="4">
    <w:nsid w:val="FFFFFF80"/>
    <w:multiLevelType w:val="singleLevel"/>
    <w:tmpl w:val="545CA62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CF252B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0B22E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8E0EB7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07AF410"/>
    <w:lvl w:ilvl="0">
      <w:start w:val="1"/>
      <w:numFmt w:val="decimal"/>
      <w:lvlText w:val="%1."/>
      <w:lvlJc w:val="left"/>
      <w:pPr>
        <w:tabs>
          <w:tab w:val="num" w:pos="360"/>
        </w:tabs>
        <w:ind w:left="360" w:hanging="360"/>
      </w:pPr>
    </w:lvl>
  </w:abstractNum>
  <w:abstractNum w:abstractNumId="9">
    <w:nsid w:val="FFFFFF89"/>
    <w:multiLevelType w:val="singleLevel"/>
    <w:tmpl w:val="F22874D6"/>
    <w:lvl w:ilvl="0">
      <w:start w:val="1"/>
      <w:numFmt w:val="bullet"/>
      <w:lvlText w:val=""/>
      <w:lvlJc w:val="left"/>
      <w:pPr>
        <w:tabs>
          <w:tab w:val="num" w:pos="360"/>
        </w:tabs>
        <w:ind w:left="360" w:hanging="360"/>
      </w:pPr>
      <w:rPr>
        <w:rFonts w:ascii="Symbol" w:hAnsi="Symbol" w:hint="default"/>
      </w:rPr>
    </w:lvl>
  </w:abstractNum>
  <w:abstractNum w:abstractNumId="10">
    <w:nsid w:val="0D913116"/>
    <w:multiLevelType w:val="hybridMultilevel"/>
    <w:tmpl w:val="4B7C3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B6800"/>
    <w:multiLevelType w:val="hybridMultilevel"/>
    <w:tmpl w:val="15E2C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967C59"/>
    <w:multiLevelType w:val="hybridMultilevel"/>
    <w:tmpl w:val="C5F292E2"/>
    <w:lvl w:ilvl="0" w:tplc="E8D609E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0CB7267"/>
    <w:multiLevelType w:val="hybridMultilevel"/>
    <w:tmpl w:val="EC449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0F40CB"/>
    <w:multiLevelType w:val="hybridMultilevel"/>
    <w:tmpl w:val="33A6EAA4"/>
    <w:lvl w:ilvl="0" w:tplc="04090013">
      <w:start w:val="1"/>
      <w:numFmt w:val="upperRoman"/>
      <w:lvlText w:val="%1."/>
      <w:lvlJc w:val="right"/>
      <w:pPr>
        <w:ind w:left="720" w:hanging="360"/>
      </w:pPr>
      <w:rPr>
        <w:b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C035914"/>
    <w:multiLevelType w:val="hybridMultilevel"/>
    <w:tmpl w:val="205CB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DA411D"/>
    <w:multiLevelType w:val="multilevel"/>
    <w:tmpl w:val="D5F499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7D8244F0"/>
    <w:multiLevelType w:val="multilevel"/>
    <w:tmpl w:val="D5F499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0"/>
  </w:num>
  <w:num w:numId="15">
    <w:abstractNumId w:val="14"/>
  </w:num>
  <w:num w:numId="16">
    <w:abstractNumId w:val="15"/>
  </w:num>
  <w:num w:numId="17">
    <w:abstractNumId w:val="12"/>
  </w:num>
  <w:num w:numId="18">
    <w:abstractNumId w:val="11"/>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097">
      <o:colormru v:ext="edit" colors="#de9f1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86B"/>
    <w:rsid w:val="000026AE"/>
    <w:rsid w:val="00092F12"/>
    <w:rsid w:val="000A5BF2"/>
    <w:rsid w:val="0011302E"/>
    <w:rsid w:val="00116F9A"/>
    <w:rsid w:val="00121E60"/>
    <w:rsid w:val="00122F23"/>
    <w:rsid w:val="00123876"/>
    <w:rsid w:val="00141301"/>
    <w:rsid w:val="00155E7A"/>
    <w:rsid w:val="001721CD"/>
    <w:rsid w:val="00181A6B"/>
    <w:rsid w:val="001B461D"/>
    <w:rsid w:val="001B6E2D"/>
    <w:rsid w:val="001E3122"/>
    <w:rsid w:val="001F2A24"/>
    <w:rsid w:val="001F4E51"/>
    <w:rsid w:val="001F5A8C"/>
    <w:rsid w:val="001F740C"/>
    <w:rsid w:val="002220C8"/>
    <w:rsid w:val="00233715"/>
    <w:rsid w:val="00234117"/>
    <w:rsid w:val="002773ED"/>
    <w:rsid w:val="002775A4"/>
    <w:rsid w:val="00280E26"/>
    <w:rsid w:val="00281464"/>
    <w:rsid w:val="002E09D0"/>
    <w:rsid w:val="002E6052"/>
    <w:rsid w:val="00333B80"/>
    <w:rsid w:val="00345C98"/>
    <w:rsid w:val="00351697"/>
    <w:rsid w:val="00366F5B"/>
    <w:rsid w:val="00367473"/>
    <w:rsid w:val="00375399"/>
    <w:rsid w:val="00376E8C"/>
    <w:rsid w:val="00384B3E"/>
    <w:rsid w:val="003870B6"/>
    <w:rsid w:val="003A5A72"/>
    <w:rsid w:val="003B2B63"/>
    <w:rsid w:val="003B74E6"/>
    <w:rsid w:val="003C4B78"/>
    <w:rsid w:val="003D26B3"/>
    <w:rsid w:val="003D7C68"/>
    <w:rsid w:val="003F683B"/>
    <w:rsid w:val="00414A4C"/>
    <w:rsid w:val="0044556B"/>
    <w:rsid w:val="00476027"/>
    <w:rsid w:val="004A40BF"/>
    <w:rsid w:val="004C0560"/>
    <w:rsid w:val="004C7BA0"/>
    <w:rsid w:val="004F2E6E"/>
    <w:rsid w:val="00510955"/>
    <w:rsid w:val="0054253D"/>
    <w:rsid w:val="00545B9C"/>
    <w:rsid w:val="00546A33"/>
    <w:rsid w:val="00562D49"/>
    <w:rsid w:val="00564282"/>
    <w:rsid w:val="00577E9C"/>
    <w:rsid w:val="00587117"/>
    <w:rsid w:val="005A3645"/>
    <w:rsid w:val="005A3CCB"/>
    <w:rsid w:val="005B5B4C"/>
    <w:rsid w:val="005D557B"/>
    <w:rsid w:val="005D5DCF"/>
    <w:rsid w:val="005D64E4"/>
    <w:rsid w:val="005E1472"/>
    <w:rsid w:val="005E7AB3"/>
    <w:rsid w:val="005F5012"/>
    <w:rsid w:val="00627BCF"/>
    <w:rsid w:val="00637B34"/>
    <w:rsid w:val="00642EE8"/>
    <w:rsid w:val="00644497"/>
    <w:rsid w:val="0065185C"/>
    <w:rsid w:val="00652EA5"/>
    <w:rsid w:val="00657C83"/>
    <w:rsid w:val="0067798D"/>
    <w:rsid w:val="00686C23"/>
    <w:rsid w:val="00692B85"/>
    <w:rsid w:val="006A401F"/>
    <w:rsid w:val="006E5F81"/>
    <w:rsid w:val="006F7DD4"/>
    <w:rsid w:val="007038A2"/>
    <w:rsid w:val="007215C0"/>
    <w:rsid w:val="007317E4"/>
    <w:rsid w:val="007542AA"/>
    <w:rsid w:val="0077298A"/>
    <w:rsid w:val="00775F13"/>
    <w:rsid w:val="00777D93"/>
    <w:rsid w:val="00780493"/>
    <w:rsid w:val="00781324"/>
    <w:rsid w:val="00781D3E"/>
    <w:rsid w:val="00783AF5"/>
    <w:rsid w:val="007A14CB"/>
    <w:rsid w:val="007E6209"/>
    <w:rsid w:val="008058B7"/>
    <w:rsid w:val="008071F9"/>
    <w:rsid w:val="00813E53"/>
    <w:rsid w:val="00834D97"/>
    <w:rsid w:val="0083619B"/>
    <w:rsid w:val="0084390A"/>
    <w:rsid w:val="0086333A"/>
    <w:rsid w:val="008765DB"/>
    <w:rsid w:val="008E3B65"/>
    <w:rsid w:val="00905F17"/>
    <w:rsid w:val="00915702"/>
    <w:rsid w:val="009253D3"/>
    <w:rsid w:val="00927773"/>
    <w:rsid w:val="0093386B"/>
    <w:rsid w:val="00935398"/>
    <w:rsid w:val="00947054"/>
    <w:rsid w:val="00947B2D"/>
    <w:rsid w:val="009517B9"/>
    <w:rsid w:val="0096627F"/>
    <w:rsid w:val="0099592A"/>
    <w:rsid w:val="00A05676"/>
    <w:rsid w:val="00A30BC6"/>
    <w:rsid w:val="00A42842"/>
    <w:rsid w:val="00A43134"/>
    <w:rsid w:val="00A56F2C"/>
    <w:rsid w:val="00A64435"/>
    <w:rsid w:val="00A66A61"/>
    <w:rsid w:val="00A75713"/>
    <w:rsid w:val="00AB3E9D"/>
    <w:rsid w:val="00AC3DDB"/>
    <w:rsid w:val="00AF0DBB"/>
    <w:rsid w:val="00AF25C7"/>
    <w:rsid w:val="00AF4A53"/>
    <w:rsid w:val="00AF6873"/>
    <w:rsid w:val="00B0072A"/>
    <w:rsid w:val="00B05675"/>
    <w:rsid w:val="00B10363"/>
    <w:rsid w:val="00B10BF6"/>
    <w:rsid w:val="00B15B00"/>
    <w:rsid w:val="00B42B70"/>
    <w:rsid w:val="00B518E5"/>
    <w:rsid w:val="00B60594"/>
    <w:rsid w:val="00B715AE"/>
    <w:rsid w:val="00B74230"/>
    <w:rsid w:val="00B8262B"/>
    <w:rsid w:val="00B83089"/>
    <w:rsid w:val="00B924D3"/>
    <w:rsid w:val="00BE426A"/>
    <w:rsid w:val="00BF2F8E"/>
    <w:rsid w:val="00C04B0D"/>
    <w:rsid w:val="00C531B4"/>
    <w:rsid w:val="00C71C88"/>
    <w:rsid w:val="00C748B2"/>
    <w:rsid w:val="00C80682"/>
    <w:rsid w:val="00C90DF9"/>
    <w:rsid w:val="00C93467"/>
    <w:rsid w:val="00C970E5"/>
    <w:rsid w:val="00CA3D20"/>
    <w:rsid w:val="00CE6BA2"/>
    <w:rsid w:val="00CF0DD2"/>
    <w:rsid w:val="00D07ECD"/>
    <w:rsid w:val="00D24485"/>
    <w:rsid w:val="00D370B2"/>
    <w:rsid w:val="00D40544"/>
    <w:rsid w:val="00D5369B"/>
    <w:rsid w:val="00D5736F"/>
    <w:rsid w:val="00D663F6"/>
    <w:rsid w:val="00D72186"/>
    <w:rsid w:val="00D9243C"/>
    <w:rsid w:val="00D92C48"/>
    <w:rsid w:val="00D92C80"/>
    <w:rsid w:val="00DA2DBE"/>
    <w:rsid w:val="00DB3843"/>
    <w:rsid w:val="00DE6281"/>
    <w:rsid w:val="00E144F7"/>
    <w:rsid w:val="00E377C4"/>
    <w:rsid w:val="00E417A7"/>
    <w:rsid w:val="00E54945"/>
    <w:rsid w:val="00E552B6"/>
    <w:rsid w:val="00E73AD6"/>
    <w:rsid w:val="00E91F69"/>
    <w:rsid w:val="00E94DF3"/>
    <w:rsid w:val="00EA015B"/>
    <w:rsid w:val="00EA6A03"/>
    <w:rsid w:val="00EB5085"/>
    <w:rsid w:val="00ED78C0"/>
    <w:rsid w:val="00EE5CF8"/>
    <w:rsid w:val="00F039E9"/>
    <w:rsid w:val="00F06DB7"/>
    <w:rsid w:val="00F223E2"/>
    <w:rsid w:val="00F26A2A"/>
    <w:rsid w:val="00F36D4B"/>
    <w:rsid w:val="00F60074"/>
    <w:rsid w:val="00F722F7"/>
    <w:rsid w:val="00FB1CE1"/>
    <w:rsid w:val="00FD3764"/>
    <w:rsid w:val="00FE3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colormru v:ext="edit" colors="#de9f1f"/>
    </o:shapedefaults>
    <o:shapelayout v:ext="edit">
      <o:idmap v:ext="edit" data="1"/>
    </o:shapelayout>
  </w:shapeDefaults>
  <w:decimalSymbol w:val="."/>
  <w:listSeparator w:val=","/>
  <w14:docId w14:val="51ED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page number" w:uiPriority="99"/>
    <w:lsdException w:name="Title" w:uiPriority="10" w:qFormat="1"/>
    <w:lsdException w:name="Subtitle" w:uiPriority="11" w:qFormat="1"/>
    <w:lsdException w:name="Hyperlink" w:uiPriority="99"/>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4B78"/>
    <w:pPr>
      <w:spacing w:after="0" w:line="319" w:lineRule="auto"/>
    </w:pPr>
    <w:rPr>
      <w:rFonts w:ascii="Garamond" w:hAnsi="Garamond"/>
      <w:sz w:val="24"/>
    </w:rPr>
  </w:style>
  <w:style w:type="paragraph" w:styleId="Heading1">
    <w:name w:val="heading 1"/>
    <w:basedOn w:val="Normal"/>
    <w:next w:val="Normal"/>
    <w:link w:val="Heading1Char"/>
    <w:uiPriority w:val="9"/>
    <w:qFormat/>
    <w:rsid w:val="00DB3843"/>
    <w:pPr>
      <w:keepNext/>
      <w:keepLines/>
      <w:spacing w:after="120" w:line="240" w:lineRule="auto"/>
      <w:outlineLvl w:val="0"/>
    </w:pPr>
    <w:rPr>
      <w:rFonts w:ascii="Franklin Gothic Medium" w:eastAsiaTheme="majorEastAsia" w:hAnsi="Franklin Gothic Medium" w:cstheme="majorBidi"/>
      <w:b/>
      <w:bCs/>
      <w:caps/>
      <w:sz w:val="28"/>
      <w:szCs w:val="28"/>
    </w:rPr>
  </w:style>
  <w:style w:type="paragraph" w:styleId="Heading2">
    <w:name w:val="heading 2"/>
    <w:basedOn w:val="Normal"/>
    <w:next w:val="Normal"/>
    <w:link w:val="Heading2Char"/>
    <w:uiPriority w:val="9"/>
    <w:unhideWhenUsed/>
    <w:qFormat/>
    <w:rsid w:val="00DB3843"/>
    <w:pPr>
      <w:keepNext/>
      <w:keepLines/>
      <w:spacing w:before="200"/>
      <w:outlineLvl w:val="1"/>
    </w:pPr>
    <w:rPr>
      <w:rFonts w:ascii="Franklin Gothic Medium" w:eastAsiaTheme="majorEastAsia" w:hAnsi="Franklin Gothic Medium" w:cstheme="majorBidi"/>
      <w:bCs/>
      <w:szCs w:val="26"/>
    </w:rPr>
  </w:style>
  <w:style w:type="paragraph" w:styleId="Heading3">
    <w:name w:val="heading 3"/>
    <w:basedOn w:val="Normal"/>
    <w:next w:val="Normal"/>
    <w:uiPriority w:val="9"/>
    <w:semiHidden/>
    <w:unhideWhenUsed/>
    <w:qFormat/>
    <w:rsid w:val="00FF50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idefrontcover">
    <w:name w:val="inside front cover"/>
    <w:rsid w:val="00572592"/>
    <w:rPr>
      <w:rFonts w:ascii="Franklin Gothic Book" w:hAnsi="Franklin Gothic Book"/>
    </w:rPr>
  </w:style>
  <w:style w:type="paragraph" w:customStyle="1" w:styleId="Covertitle">
    <w:name w:val="Cover title"/>
    <w:basedOn w:val="Normal"/>
    <w:rsid w:val="00BA225C"/>
    <w:pPr>
      <w:spacing w:line="480" w:lineRule="exact"/>
    </w:pPr>
    <w:rPr>
      <w:rFonts w:ascii="Arial Black" w:hAnsi="Arial Black"/>
      <w:sz w:val="44"/>
      <w:szCs w:val="20"/>
    </w:rPr>
  </w:style>
  <w:style w:type="paragraph" w:customStyle="1" w:styleId="coverauthoranddate">
    <w:name w:val="cover author and date"/>
    <w:basedOn w:val="Normal"/>
    <w:rsid w:val="00BA225C"/>
    <w:pPr>
      <w:spacing w:before="480" w:line="360" w:lineRule="exact"/>
    </w:pPr>
    <w:rPr>
      <w:rFonts w:ascii="Arial" w:hAnsi="Arial"/>
      <w:sz w:val="32"/>
      <w:szCs w:val="20"/>
    </w:rPr>
  </w:style>
  <w:style w:type="paragraph" w:customStyle="1" w:styleId="Coversubtitle">
    <w:name w:val="Cover subtitle"/>
    <w:basedOn w:val="Covertitle"/>
    <w:autoRedefine/>
    <w:rsid w:val="00627BCF"/>
    <w:pPr>
      <w:spacing w:before="120" w:line="240" w:lineRule="auto"/>
    </w:pPr>
    <w:rPr>
      <w:rFonts w:ascii="Franklin Gothic Medium" w:hAnsi="Franklin Gothic Medium"/>
      <w:sz w:val="32"/>
      <w:szCs w:val="32"/>
    </w:rPr>
  </w:style>
  <w:style w:type="paragraph" w:styleId="Header">
    <w:name w:val="header"/>
    <w:basedOn w:val="Normal"/>
    <w:link w:val="HeaderChar"/>
    <w:uiPriority w:val="99"/>
    <w:rsid w:val="00BA225C"/>
    <w:pPr>
      <w:tabs>
        <w:tab w:val="center" w:pos="4320"/>
        <w:tab w:val="right" w:pos="8640"/>
      </w:tabs>
    </w:pPr>
  </w:style>
  <w:style w:type="paragraph" w:styleId="Footer">
    <w:name w:val="footer"/>
    <w:basedOn w:val="Normal"/>
    <w:link w:val="FooterChar"/>
    <w:uiPriority w:val="99"/>
    <w:rsid w:val="00BA225C"/>
    <w:pPr>
      <w:tabs>
        <w:tab w:val="center" w:pos="4320"/>
        <w:tab w:val="right" w:pos="8640"/>
      </w:tabs>
    </w:pPr>
  </w:style>
  <w:style w:type="paragraph" w:styleId="BalloonText">
    <w:name w:val="Balloon Text"/>
    <w:basedOn w:val="Normal"/>
    <w:link w:val="BalloonTextChar"/>
    <w:rsid w:val="00C80682"/>
    <w:rPr>
      <w:rFonts w:ascii="Tahoma" w:hAnsi="Tahoma" w:cs="Tahoma"/>
      <w:sz w:val="16"/>
      <w:szCs w:val="16"/>
    </w:rPr>
  </w:style>
  <w:style w:type="character" w:customStyle="1" w:styleId="BalloonTextChar">
    <w:name w:val="Balloon Text Char"/>
    <w:basedOn w:val="DefaultParagraphFont"/>
    <w:link w:val="BalloonText"/>
    <w:rsid w:val="00C80682"/>
    <w:rPr>
      <w:rFonts w:ascii="Tahoma" w:hAnsi="Tahoma" w:cs="Tahoma"/>
      <w:sz w:val="16"/>
      <w:szCs w:val="16"/>
    </w:rPr>
  </w:style>
  <w:style w:type="paragraph" w:customStyle="1" w:styleId="Tabletitle">
    <w:name w:val="Table title"/>
    <w:basedOn w:val="Normal"/>
    <w:qFormat/>
    <w:rsid w:val="003C4B78"/>
    <w:rPr>
      <w:rFonts w:cs="Times New Roman"/>
      <w:b/>
      <w:sz w:val="20"/>
    </w:rPr>
  </w:style>
  <w:style w:type="character" w:customStyle="1" w:styleId="Heading1Char">
    <w:name w:val="Heading 1 Char"/>
    <w:basedOn w:val="DefaultParagraphFont"/>
    <w:link w:val="Heading1"/>
    <w:uiPriority w:val="9"/>
    <w:rsid w:val="00DB3843"/>
    <w:rPr>
      <w:rFonts w:ascii="Franklin Gothic Medium" w:eastAsiaTheme="majorEastAsia" w:hAnsi="Franklin Gothic Medium" w:cstheme="majorBidi"/>
      <w:b/>
      <w:bCs/>
      <w:caps/>
      <w:sz w:val="28"/>
      <w:szCs w:val="28"/>
    </w:rPr>
  </w:style>
  <w:style w:type="paragraph" w:styleId="ListParagraph">
    <w:name w:val="List Paragraph"/>
    <w:basedOn w:val="Normal"/>
    <w:uiPriority w:val="34"/>
    <w:qFormat/>
    <w:rsid w:val="003C4B78"/>
    <w:pPr>
      <w:ind w:left="720"/>
      <w:contextualSpacing/>
    </w:pPr>
    <w:rPr>
      <w:rFonts w:cs="Times New Roman"/>
    </w:rPr>
  </w:style>
  <w:style w:type="character" w:customStyle="1" w:styleId="Heading2Char">
    <w:name w:val="Heading 2 Char"/>
    <w:basedOn w:val="DefaultParagraphFont"/>
    <w:link w:val="Heading2"/>
    <w:uiPriority w:val="9"/>
    <w:rsid w:val="00DB3843"/>
    <w:rPr>
      <w:rFonts w:ascii="Franklin Gothic Medium" w:eastAsiaTheme="majorEastAsia" w:hAnsi="Franklin Gothic Medium" w:cstheme="majorBidi"/>
      <w:bCs/>
      <w:sz w:val="24"/>
      <w:szCs w:val="26"/>
    </w:rPr>
  </w:style>
  <w:style w:type="paragraph" w:styleId="FootnoteText">
    <w:name w:val="footnote text"/>
    <w:basedOn w:val="Normal"/>
    <w:link w:val="FootnoteTextChar"/>
    <w:uiPriority w:val="99"/>
    <w:unhideWhenUsed/>
    <w:rsid w:val="003C4B78"/>
    <w:pPr>
      <w:spacing w:line="240" w:lineRule="auto"/>
    </w:pPr>
    <w:rPr>
      <w:rFonts w:ascii="Times New Roman" w:hAnsi="Times New Roman"/>
      <w:sz w:val="18"/>
    </w:rPr>
  </w:style>
  <w:style w:type="character" w:customStyle="1" w:styleId="FootnoteTextChar">
    <w:name w:val="Footnote Text Char"/>
    <w:basedOn w:val="DefaultParagraphFont"/>
    <w:link w:val="FootnoteText"/>
    <w:uiPriority w:val="99"/>
    <w:rsid w:val="003C4B78"/>
    <w:rPr>
      <w:rFonts w:ascii="Times New Roman" w:hAnsi="Times New Roman"/>
      <w:sz w:val="18"/>
    </w:rPr>
  </w:style>
  <w:style w:type="character" w:styleId="FootnoteReference">
    <w:name w:val="footnote reference"/>
    <w:basedOn w:val="DefaultParagraphFont"/>
    <w:uiPriority w:val="99"/>
    <w:unhideWhenUsed/>
    <w:rsid w:val="003C4B78"/>
    <w:rPr>
      <w:vertAlign w:val="superscript"/>
    </w:rPr>
  </w:style>
  <w:style w:type="character" w:styleId="Hyperlink">
    <w:name w:val="Hyperlink"/>
    <w:basedOn w:val="DefaultParagraphFont"/>
    <w:uiPriority w:val="99"/>
    <w:unhideWhenUsed/>
    <w:rsid w:val="003C4B78"/>
    <w:rPr>
      <w:color w:val="0000FF" w:themeColor="hyperlink"/>
      <w:u w:val="single"/>
    </w:rPr>
  </w:style>
  <w:style w:type="character" w:customStyle="1" w:styleId="FooterChar">
    <w:name w:val="Footer Char"/>
    <w:basedOn w:val="DefaultParagraphFont"/>
    <w:link w:val="Footer"/>
    <w:uiPriority w:val="99"/>
    <w:rsid w:val="003C4B78"/>
    <w:rPr>
      <w:rFonts w:ascii="Garamond" w:hAnsi="Garamond"/>
      <w:sz w:val="24"/>
    </w:rPr>
  </w:style>
  <w:style w:type="character" w:styleId="PageNumber">
    <w:name w:val="page number"/>
    <w:basedOn w:val="DefaultParagraphFont"/>
    <w:uiPriority w:val="99"/>
    <w:unhideWhenUsed/>
    <w:rsid w:val="003C4B78"/>
  </w:style>
  <w:style w:type="character" w:customStyle="1" w:styleId="HeaderChar">
    <w:name w:val="Header Char"/>
    <w:basedOn w:val="DefaultParagraphFont"/>
    <w:link w:val="Header"/>
    <w:uiPriority w:val="99"/>
    <w:rsid w:val="003C4B78"/>
    <w:rPr>
      <w:rFonts w:ascii="Garamond" w:hAnsi="Garamond"/>
      <w:sz w:val="24"/>
    </w:rPr>
  </w:style>
  <w:style w:type="character" w:styleId="CommentReference">
    <w:name w:val="annotation reference"/>
    <w:basedOn w:val="DefaultParagraphFont"/>
    <w:rsid w:val="00927773"/>
    <w:rPr>
      <w:sz w:val="16"/>
      <w:szCs w:val="16"/>
    </w:rPr>
  </w:style>
  <w:style w:type="paragraph" w:styleId="CommentText">
    <w:name w:val="annotation text"/>
    <w:basedOn w:val="Normal"/>
    <w:link w:val="CommentTextChar"/>
    <w:rsid w:val="00927773"/>
    <w:pPr>
      <w:spacing w:line="240" w:lineRule="auto"/>
    </w:pPr>
    <w:rPr>
      <w:sz w:val="20"/>
      <w:szCs w:val="20"/>
    </w:rPr>
  </w:style>
  <w:style w:type="character" w:customStyle="1" w:styleId="CommentTextChar">
    <w:name w:val="Comment Text Char"/>
    <w:basedOn w:val="DefaultParagraphFont"/>
    <w:link w:val="CommentText"/>
    <w:rsid w:val="00927773"/>
    <w:rPr>
      <w:rFonts w:ascii="Garamond" w:hAnsi="Garamond"/>
      <w:sz w:val="20"/>
      <w:szCs w:val="20"/>
    </w:rPr>
  </w:style>
  <w:style w:type="paragraph" w:styleId="CommentSubject">
    <w:name w:val="annotation subject"/>
    <w:basedOn w:val="CommentText"/>
    <w:next w:val="CommentText"/>
    <w:link w:val="CommentSubjectChar"/>
    <w:rsid w:val="00927773"/>
    <w:rPr>
      <w:b/>
      <w:bCs/>
    </w:rPr>
  </w:style>
  <w:style w:type="character" w:customStyle="1" w:styleId="CommentSubjectChar">
    <w:name w:val="Comment Subject Char"/>
    <w:basedOn w:val="CommentTextChar"/>
    <w:link w:val="CommentSubject"/>
    <w:rsid w:val="00927773"/>
    <w:rPr>
      <w:rFonts w:ascii="Garamond" w:hAnsi="Garamond"/>
      <w:b/>
      <w:bCs/>
      <w:sz w:val="20"/>
      <w:szCs w:val="20"/>
    </w:rPr>
  </w:style>
  <w:style w:type="character" w:styleId="FollowedHyperlink">
    <w:name w:val="FollowedHyperlink"/>
    <w:basedOn w:val="DefaultParagraphFont"/>
    <w:rsid w:val="00CE6BA2"/>
    <w:rPr>
      <w:color w:val="800080" w:themeColor="followedHyperlink"/>
      <w:u w:val="single"/>
    </w:rPr>
  </w:style>
  <w:style w:type="character" w:customStyle="1" w:styleId="apple-converted-space">
    <w:name w:val="apple-converted-space"/>
    <w:basedOn w:val="DefaultParagraphFont"/>
    <w:rsid w:val="00AF6873"/>
  </w:style>
  <w:style w:type="character" w:styleId="Emphasis">
    <w:name w:val="Emphasis"/>
    <w:basedOn w:val="DefaultParagraphFont"/>
    <w:uiPriority w:val="20"/>
    <w:qFormat/>
    <w:rsid w:val="00AF687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page number" w:uiPriority="99"/>
    <w:lsdException w:name="Title" w:uiPriority="10" w:qFormat="1"/>
    <w:lsdException w:name="Subtitle" w:uiPriority="11" w:qFormat="1"/>
    <w:lsdException w:name="Hyperlink" w:uiPriority="99"/>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4B78"/>
    <w:pPr>
      <w:spacing w:after="0" w:line="319" w:lineRule="auto"/>
    </w:pPr>
    <w:rPr>
      <w:rFonts w:ascii="Garamond" w:hAnsi="Garamond"/>
      <w:sz w:val="24"/>
    </w:rPr>
  </w:style>
  <w:style w:type="paragraph" w:styleId="Heading1">
    <w:name w:val="heading 1"/>
    <w:basedOn w:val="Normal"/>
    <w:next w:val="Normal"/>
    <w:link w:val="Heading1Char"/>
    <w:uiPriority w:val="9"/>
    <w:qFormat/>
    <w:rsid w:val="00DB3843"/>
    <w:pPr>
      <w:keepNext/>
      <w:keepLines/>
      <w:spacing w:after="120" w:line="240" w:lineRule="auto"/>
      <w:outlineLvl w:val="0"/>
    </w:pPr>
    <w:rPr>
      <w:rFonts w:ascii="Franklin Gothic Medium" w:eastAsiaTheme="majorEastAsia" w:hAnsi="Franklin Gothic Medium" w:cstheme="majorBidi"/>
      <w:b/>
      <w:bCs/>
      <w:caps/>
      <w:sz w:val="28"/>
      <w:szCs w:val="28"/>
    </w:rPr>
  </w:style>
  <w:style w:type="paragraph" w:styleId="Heading2">
    <w:name w:val="heading 2"/>
    <w:basedOn w:val="Normal"/>
    <w:next w:val="Normal"/>
    <w:link w:val="Heading2Char"/>
    <w:uiPriority w:val="9"/>
    <w:unhideWhenUsed/>
    <w:qFormat/>
    <w:rsid w:val="00DB3843"/>
    <w:pPr>
      <w:keepNext/>
      <w:keepLines/>
      <w:spacing w:before="200"/>
      <w:outlineLvl w:val="1"/>
    </w:pPr>
    <w:rPr>
      <w:rFonts w:ascii="Franklin Gothic Medium" w:eastAsiaTheme="majorEastAsia" w:hAnsi="Franklin Gothic Medium" w:cstheme="majorBidi"/>
      <w:bCs/>
      <w:szCs w:val="26"/>
    </w:rPr>
  </w:style>
  <w:style w:type="paragraph" w:styleId="Heading3">
    <w:name w:val="heading 3"/>
    <w:basedOn w:val="Normal"/>
    <w:next w:val="Normal"/>
    <w:uiPriority w:val="9"/>
    <w:semiHidden/>
    <w:unhideWhenUsed/>
    <w:qFormat/>
    <w:rsid w:val="00FF50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idefrontcover">
    <w:name w:val="inside front cover"/>
    <w:rsid w:val="00572592"/>
    <w:rPr>
      <w:rFonts w:ascii="Franklin Gothic Book" w:hAnsi="Franklin Gothic Book"/>
    </w:rPr>
  </w:style>
  <w:style w:type="paragraph" w:customStyle="1" w:styleId="Covertitle">
    <w:name w:val="Cover title"/>
    <w:basedOn w:val="Normal"/>
    <w:rsid w:val="00BA225C"/>
    <w:pPr>
      <w:spacing w:line="480" w:lineRule="exact"/>
    </w:pPr>
    <w:rPr>
      <w:rFonts w:ascii="Arial Black" w:hAnsi="Arial Black"/>
      <w:sz w:val="44"/>
      <w:szCs w:val="20"/>
    </w:rPr>
  </w:style>
  <w:style w:type="paragraph" w:customStyle="1" w:styleId="coverauthoranddate">
    <w:name w:val="cover author and date"/>
    <w:basedOn w:val="Normal"/>
    <w:rsid w:val="00BA225C"/>
    <w:pPr>
      <w:spacing w:before="480" w:line="360" w:lineRule="exact"/>
    </w:pPr>
    <w:rPr>
      <w:rFonts w:ascii="Arial" w:hAnsi="Arial"/>
      <w:sz w:val="32"/>
      <w:szCs w:val="20"/>
    </w:rPr>
  </w:style>
  <w:style w:type="paragraph" w:customStyle="1" w:styleId="Coversubtitle">
    <w:name w:val="Cover subtitle"/>
    <w:basedOn w:val="Covertitle"/>
    <w:autoRedefine/>
    <w:rsid w:val="00627BCF"/>
    <w:pPr>
      <w:spacing w:before="120" w:line="240" w:lineRule="auto"/>
    </w:pPr>
    <w:rPr>
      <w:rFonts w:ascii="Franklin Gothic Medium" w:hAnsi="Franklin Gothic Medium"/>
      <w:sz w:val="32"/>
      <w:szCs w:val="32"/>
    </w:rPr>
  </w:style>
  <w:style w:type="paragraph" w:styleId="Header">
    <w:name w:val="header"/>
    <w:basedOn w:val="Normal"/>
    <w:link w:val="HeaderChar"/>
    <w:uiPriority w:val="99"/>
    <w:rsid w:val="00BA225C"/>
    <w:pPr>
      <w:tabs>
        <w:tab w:val="center" w:pos="4320"/>
        <w:tab w:val="right" w:pos="8640"/>
      </w:tabs>
    </w:pPr>
  </w:style>
  <w:style w:type="paragraph" w:styleId="Footer">
    <w:name w:val="footer"/>
    <w:basedOn w:val="Normal"/>
    <w:link w:val="FooterChar"/>
    <w:uiPriority w:val="99"/>
    <w:rsid w:val="00BA225C"/>
    <w:pPr>
      <w:tabs>
        <w:tab w:val="center" w:pos="4320"/>
        <w:tab w:val="right" w:pos="8640"/>
      </w:tabs>
    </w:pPr>
  </w:style>
  <w:style w:type="paragraph" w:styleId="BalloonText">
    <w:name w:val="Balloon Text"/>
    <w:basedOn w:val="Normal"/>
    <w:link w:val="BalloonTextChar"/>
    <w:rsid w:val="00C80682"/>
    <w:rPr>
      <w:rFonts w:ascii="Tahoma" w:hAnsi="Tahoma" w:cs="Tahoma"/>
      <w:sz w:val="16"/>
      <w:szCs w:val="16"/>
    </w:rPr>
  </w:style>
  <w:style w:type="character" w:customStyle="1" w:styleId="BalloonTextChar">
    <w:name w:val="Balloon Text Char"/>
    <w:basedOn w:val="DefaultParagraphFont"/>
    <w:link w:val="BalloonText"/>
    <w:rsid w:val="00C80682"/>
    <w:rPr>
      <w:rFonts w:ascii="Tahoma" w:hAnsi="Tahoma" w:cs="Tahoma"/>
      <w:sz w:val="16"/>
      <w:szCs w:val="16"/>
    </w:rPr>
  </w:style>
  <w:style w:type="paragraph" w:customStyle="1" w:styleId="Tabletitle">
    <w:name w:val="Table title"/>
    <w:basedOn w:val="Normal"/>
    <w:qFormat/>
    <w:rsid w:val="003C4B78"/>
    <w:rPr>
      <w:rFonts w:cs="Times New Roman"/>
      <w:b/>
      <w:sz w:val="20"/>
    </w:rPr>
  </w:style>
  <w:style w:type="character" w:customStyle="1" w:styleId="Heading1Char">
    <w:name w:val="Heading 1 Char"/>
    <w:basedOn w:val="DefaultParagraphFont"/>
    <w:link w:val="Heading1"/>
    <w:uiPriority w:val="9"/>
    <w:rsid w:val="00DB3843"/>
    <w:rPr>
      <w:rFonts w:ascii="Franklin Gothic Medium" w:eastAsiaTheme="majorEastAsia" w:hAnsi="Franklin Gothic Medium" w:cstheme="majorBidi"/>
      <w:b/>
      <w:bCs/>
      <w:caps/>
      <w:sz w:val="28"/>
      <w:szCs w:val="28"/>
    </w:rPr>
  </w:style>
  <w:style w:type="paragraph" w:styleId="ListParagraph">
    <w:name w:val="List Paragraph"/>
    <w:basedOn w:val="Normal"/>
    <w:uiPriority w:val="34"/>
    <w:qFormat/>
    <w:rsid w:val="003C4B78"/>
    <w:pPr>
      <w:ind w:left="720"/>
      <w:contextualSpacing/>
    </w:pPr>
    <w:rPr>
      <w:rFonts w:cs="Times New Roman"/>
    </w:rPr>
  </w:style>
  <w:style w:type="character" w:customStyle="1" w:styleId="Heading2Char">
    <w:name w:val="Heading 2 Char"/>
    <w:basedOn w:val="DefaultParagraphFont"/>
    <w:link w:val="Heading2"/>
    <w:uiPriority w:val="9"/>
    <w:rsid w:val="00DB3843"/>
    <w:rPr>
      <w:rFonts w:ascii="Franklin Gothic Medium" w:eastAsiaTheme="majorEastAsia" w:hAnsi="Franklin Gothic Medium" w:cstheme="majorBidi"/>
      <w:bCs/>
      <w:sz w:val="24"/>
      <w:szCs w:val="26"/>
    </w:rPr>
  </w:style>
  <w:style w:type="paragraph" w:styleId="FootnoteText">
    <w:name w:val="footnote text"/>
    <w:basedOn w:val="Normal"/>
    <w:link w:val="FootnoteTextChar"/>
    <w:uiPriority w:val="99"/>
    <w:unhideWhenUsed/>
    <w:rsid w:val="003C4B78"/>
    <w:pPr>
      <w:spacing w:line="240" w:lineRule="auto"/>
    </w:pPr>
    <w:rPr>
      <w:rFonts w:ascii="Times New Roman" w:hAnsi="Times New Roman"/>
      <w:sz w:val="18"/>
    </w:rPr>
  </w:style>
  <w:style w:type="character" w:customStyle="1" w:styleId="FootnoteTextChar">
    <w:name w:val="Footnote Text Char"/>
    <w:basedOn w:val="DefaultParagraphFont"/>
    <w:link w:val="FootnoteText"/>
    <w:uiPriority w:val="99"/>
    <w:rsid w:val="003C4B78"/>
    <w:rPr>
      <w:rFonts w:ascii="Times New Roman" w:hAnsi="Times New Roman"/>
      <w:sz w:val="18"/>
    </w:rPr>
  </w:style>
  <w:style w:type="character" w:styleId="FootnoteReference">
    <w:name w:val="footnote reference"/>
    <w:basedOn w:val="DefaultParagraphFont"/>
    <w:uiPriority w:val="99"/>
    <w:unhideWhenUsed/>
    <w:rsid w:val="003C4B78"/>
    <w:rPr>
      <w:vertAlign w:val="superscript"/>
    </w:rPr>
  </w:style>
  <w:style w:type="character" w:styleId="Hyperlink">
    <w:name w:val="Hyperlink"/>
    <w:basedOn w:val="DefaultParagraphFont"/>
    <w:uiPriority w:val="99"/>
    <w:unhideWhenUsed/>
    <w:rsid w:val="003C4B78"/>
    <w:rPr>
      <w:color w:val="0000FF" w:themeColor="hyperlink"/>
      <w:u w:val="single"/>
    </w:rPr>
  </w:style>
  <w:style w:type="character" w:customStyle="1" w:styleId="FooterChar">
    <w:name w:val="Footer Char"/>
    <w:basedOn w:val="DefaultParagraphFont"/>
    <w:link w:val="Footer"/>
    <w:uiPriority w:val="99"/>
    <w:rsid w:val="003C4B78"/>
    <w:rPr>
      <w:rFonts w:ascii="Garamond" w:hAnsi="Garamond"/>
      <w:sz w:val="24"/>
    </w:rPr>
  </w:style>
  <w:style w:type="character" w:styleId="PageNumber">
    <w:name w:val="page number"/>
    <w:basedOn w:val="DefaultParagraphFont"/>
    <w:uiPriority w:val="99"/>
    <w:unhideWhenUsed/>
    <w:rsid w:val="003C4B78"/>
  </w:style>
  <w:style w:type="character" w:customStyle="1" w:styleId="HeaderChar">
    <w:name w:val="Header Char"/>
    <w:basedOn w:val="DefaultParagraphFont"/>
    <w:link w:val="Header"/>
    <w:uiPriority w:val="99"/>
    <w:rsid w:val="003C4B78"/>
    <w:rPr>
      <w:rFonts w:ascii="Garamond" w:hAnsi="Garamond"/>
      <w:sz w:val="24"/>
    </w:rPr>
  </w:style>
  <w:style w:type="character" w:styleId="CommentReference">
    <w:name w:val="annotation reference"/>
    <w:basedOn w:val="DefaultParagraphFont"/>
    <w:rsid w:val="00927773"/>
    <w:rPr>
      <w:sz w:val="16"/>
      <w:szCs w:val="16"/>
    </w:rPr>
  </w:style>
  <w:style w:type="paragraph" w:styleId="CommentText">
    <w:name w:val="annotation text"/>
    <w:basedOn w:val="Normal"/>
    <w:link w:val="CommentTextChar"/>
    <w:rsid w:val="00927773"/>
    <w:pPr>
      <w:spacing w:line="240" w:lineRule="auto"/>
    </w:pPr>
    <w:rPr>
      <w:sz w:val="20"/>
      <w:szCs w:val="20"/>
    </w:rPr>
  </w:style>
  <w:style w:type="character" w:customStyle="1" w:styleId="CommentTextChar">
    <w:name w:val="Comment Text Char"/>
    <w:basedOn w:val="DefaultParagraphFont"/>
    <w:link w:val="CommentText"/>
    <w:rsid w:val="00927773"/>
    <w:rPr>
      <w:rFonts w:ascii="Garamond" w:hAnsi="Garamond"/>
      <w:sz w:val="20"/>
      <w:szCs w:val="20"/>
    </w:rPr>
  </w:style>
  <w:style w:type="paragraph" w:styleId="CommentSubject">
    <w:name w:val="annotation subject"/>
    <w:basedOn w:val="CommentText"/>
    <w:next w:val="CommentText"/>
    <w:link w:val="CommentSubjectChar"/>
    <w:rsid w:val="00927773"/>
    <w:rPr>
      <w:b/>
      <w:bCs/>
    </w:rPr>
  </w:style>
  <w:style w:type="character" w:customStyle="1" w:styleId="CommentSubjectChar">
    <w:name w:val="Comment Subject Char"/>
    <w:basedOn w:val="CommentTextChar"/>
    <w:link w:val="CommentSubject"/>
    <w:rsid w:val="00927773"/>
    <w:rPr>
      <w:rFonts w:ascii="Garamond" w:hAnsi="Garamond"/>
      <w:b/>
      <w:bCs/>
      <w:sz w:val="20"/>
      <w:szCs w:val="20"/>
    </w:rPr>
  </w:style>
  <w:style w:type="character" w:styleId="FollowedHyperlink">
    <w:name w:val="FollowedHyperlink"/>
    <w:basedOn w:val="DefaultParagraphFont"/>
    <w:rsid w:val="00CE6BA2"/>
    <w:rPr>
      <w:color w:val="800080" w:themeColor="followedHyperlink"/>
      <w:u w:val="single"/>
    </w:rPr>
  </w:style>
  <w:style w:type="character" w:customStyle="1" w:styleId="apple-converted-space">
    <w:name w:val="apple-converted-space"/>
    <w:basedOn w:val="DefaultParagraphFont"/>
    <w:rsid w:val="00AF6873"/>
  </w:style>
  <w:style w:type="character" w:styleId="Emphasis">
    <w:name w:val="Emphasis"/>
    <w:basedOn w:val="DefaultParagraphFont"/>
    <w:uiPriority w:val="20"/>
    <w:qFormat/>
    <w:rsid w:val="00AF68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08795">
      <w:bodyDiv w:val="1"/>
      <w:marLeft w:val="0"/>
      <w:marRight w:val="0"/>
      <w:marTop w:val="0"/>
      <w:marBottom w:val="0"/>
      <w:divBdr>
        <w:top w:val="none" w:sz="0" w:space="0" w:color="auto"/>
        <w:left w:val="none" w:sz="0" w:space="0" w:color="auto"/>
        <w:bottom w:val="none" w:sz="0" w:space="0" w:color="auto"/>
        <w:right w:val="none" w:sz="0" w:space="0" w:color="auto"/>
      </w:divBdr>
    </w:div>
    <w:div w:id="1663729421">
      <w:bodyDiv w:val="1"/>
      <w:marLeft w:val="0"/>
      <w:marRight w:val="0"/>
      <w:marTop w:val="0"/>
      <w:marBottom w:val="0"/>
      <w:divBdr>
        <w:top w:val="none" w:sz="0" w:space="0" w:color="auto"/>
        <w:left w:val="none" w:sz="0" w:space="0" w:color="auto"/>
        <w:bottom w:val="none" w:sz="0" w:space="0" w:color="auto"/>
        <w:right w:val="none" w:sz="0" w:space="0" w:color="auto"/>
      </w:divBdr>
    </w:div>
    <w:div w:id="1710108137">
      <w:bodyDiv w:val="1"/>
      <w:marLeft w:val="0"/>
      <w:marRight w:val="0"/>
      <w:marTop w:val="0"/>
      <w:marBottom w:val="0"/>
      <w:divBdr>
        <w:top w:val="none" w:sz="0" w:space="0" w:color="auto"/>
        <w:left w:val="none" w:sz="0" w:space="0" w:color="auto"/>
        <w:bottom w:val="none" w:sz="0" w:space="0" w:color="auto"/>
        <w:right w:val="none" w:sz="0" w:space="0" w:color="auto"/>
      </w:divBdr>
    </w:div>
    <w:div w:id="179648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899BBA-06CE-47F2-9EB7-4C40621E64C0}"/>
</file>

<file path=customXml/itemProps2.xml><?xml version="1.0" encoding="utf-8"?>
<ds:datastoreItem xmlns:ds="http://schemas.openxmlformats.org/officeDocument/2006/customXml" ds:itemID="{35FB202A-D04E-490B-9C6F-915E335853FF}"/>
</file>

<file path=customXml/itemProps3.xml><?xml version="1.0" encoding="utf-8"?>
<ds:datastoreItem xmlns:ds="http://schemas.openxmlformats.org/officeDocument/2006/customXml" ds:itemID="{5282F603-E269-4DC8-B093-67F1CB350CCC}"/>
</file>

<file path=customXml/itemProps4.xml><?xml version="1.0" encoding="utf-8"?>
<ds:datastoreItem xmlns:ds="http://schemas.openxmlformats.org/officeDocument/2006/customXml" ds:itemID="{8CAD7B76-6866-48EA-8D10-AD9A82764382}"/>
</file>

<file path=docProps/app.xml><?xml version="1.0" encoding="utf-8"?>
<Properties xmlns="http://schemas.openxmlformats.org/officeDocument/2006/extended-properties" xmlns:vt="http://schemas.openxmlformats.org/officeDocument/2006/docPropsVTypes">
  <Template>Normal.dotm</Template>
  <TotalTime>1</TotalTime>
  <Pages>6</Pages>
  <Words>1731</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Sentencing Project Paper Series Front Page Title Text goes Here</vt:lpstr>
    </vt:vector>
  </TitlesOfParts>
  <Company>User Organization</Company>
  <LinksUpToDate>false</LinksUpToDate>
  <CharactersWithSpaces>11355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Sentencing Project Paper Series Front Page Title Text goes Here</dc:title>
  <dc:creator>User Name</dc:creator>
  <cp:lastModifiedBy>Kalpana Singh</cp:lastModifiedBy>
  <cp:revision>2</cp:revision>
  <cp:lastPrinted>2014-06-30T13:09:00Z</cp:lastPrinted>
  <dcterms:created xsi:type="dcterms:W3CDTF">2014-07-25T12:55:00Z</dcterms:created>
  <dcterms:modified xsi:type="dcterms:W3CDTF">2014-07-25T12:55:00Z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