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69D" w:rsidRPr="00986E45" w:rsidRDefault="00DB1D67" w:rsidP="00C6469D">
      <w:pPr>
        <w:jc w:val="center"/>
        <w:rPr>
          <w:rFonts w:ascii="Times New Roman" w:hAnsi="Times New Roman" w:cs="Times New Roman"/>
          <w:b/>
          <w:sz w:val="24"/>
          <w:szCs w:val="24"/>
        </w:rPr>
      </w:pPr>
      <w:r w:rsidRPr="00986E45">
        <w:rPr>
          <w:rFonts w:ascii="Times New Roman" w:hAnsi="Times New Roman" w:cs="Times New Roman"/>
          <w:b/>
          <w:sz w:val="24"/>
          <w:szCs w:val="24"/>
        </w:rPr>
        <w:t>Tabla de anexos</w:t>
      </w:r>
    </w:p>
    <w:tbl>
      <w:tblPr>
        <w:tblStyle w:val="Tablaconcuadrcula"/>
        <w:tblW w:w="985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2"/>
        <w:gridCol w:w="598"/>
        <w:gridCol w:w="7977"/>
      </w:tblGrid>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1</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Ley 1 de 13 de enero de 2011, que adiciona artículos al Código Penal de la República de Panamá, relacionados con los delitos de desaparición forzada y tortura.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2</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Sentencia de </w:t>
            </w:r>
            <w:r w:rsidRPr="00986E45">
              <w:rPr>
                <w:rFonts w:ascii="Times New Roman" w:hAnsi="Times New Roman" w:cs="Times New Roman"/>
                <w:color w:val="000000"/>
                <w:sz w:val="24"/>
                <w:szCs w:val="24"/>
              </w:rPr>
              <w:t xml:space="preserve">11 de enero de 2016 el Segundo Tribunal Superior de Justicia del Primer Distrito Judicial de Panamá, relacionada con los hechos ocurridos el 11 de enero de 2011 en el Centro de Cumplimiento de </w:t>
            </w:r>
            <w:proofErr w:type="spellStart"/>
            <w:r w:rsidRPr="00986E45">
              <w:rPr>
                <w:rFonts w:ascii="Times New Roman" w:hAnsi="Times New Roman" w:cs="Times New Roman"/>
                <w:color w:val="000000"/>
                <w:sz w:val="24"/>
                <w:szCs w:val="24"/>
              </w:rPr>
              <w:t>Tocumen</w:t>
            </w:r>
            <w:proofErr w:type="spellEnd"/>
            <w:r w:rsidRPr="00986E45">
              <w:rPr>
                <w:rFonts w:ascii="Times New Roman" w:hAnsi="Times New Roman" w:cs="Times New Roman"/>
                <w:color w:val="000000"/>
                <w:sz w:val="24"/>
                <w:szCs w:val="24"/>
              </w:rPr>
              <w:t xml:space="preserve">.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3</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Artículos 17, 44, 45, 46, 48, 80, 82, 175, 441 del Código Penal, referentes a la responsabilidad penal en grado de tentativa y complicidad.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4</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Artículos 10, 93, 12,  237, 238, 291 y 502 del Código Procesal Penal.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5</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Artículo 61, 62, 63 y 65 de la Ley 40 de 1999.</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6</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Artículo</w:t>
            </w:r>
            <w:r>
              <w:rPr>
                <w:rFonts w:ascii="Times New Roman" w:hAnsi="Times New Roman" w:cs="Times New Roman"/>
                <w:sz w:val="24"/>
                <w:szCs w:val="24"/>
              </w:rPr>
              <w:t>s</w:t>
            </w:r>
            <w:r w:rsidRPr="00986E45">
              <w:rPr>
                <w:rFonts w:ascii="Times New Roman" w:hAnsi="Times New Roman" w:cs="Times New Roman"/>
                <w:sz w:val="24"/>
                <w:szCs w:val="24"/>
              </w:rPr>
              <w:t xml:space="preserve"> 2090 y 2091 del Código Judicial. </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874BB8">
              <w:rPr>
                <w:rFonts w:ascii="Times New Roman" w:hAnsi="Times New Roman" w:cs="Times New Roman"/>
                <w:sz w:val="24"/>
                <w:szCs w:val="24"/>
              </w:rPr>
              <w:t>7</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Manual del Primer Interviniente Penitenciario.</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color w:val="000000" w:themeColor="text1"/>
                <w:sz w:val="24"/>
                <w:szCs w:val="24"/>
              </w:rPr>
            </w:pPr>
            <w:r w:rsidRPr="00986E45">
              <w:rPr>
                <w:rFonts w:ascii="Times New Roman" w:hAnsi="Times New Roman" w:cs="Times New Roman"/>
                <w:color w:val="000000" w:themeColor="text1"/>
                <w:sz w:val="24"/>
                <w:szCs w:val="24"/>
              </w:rPr>
              <w:t xml:space="preserve">Anexo </w:t>
            </w:r>
            <w:r w:rsidR="00874BB8">
              <w:rPr>
                <w:rFonts w:ascii="Times New Roman" w:hAnsi="Times New Roman" w:cs="Times New Roman"/>
                <w:color w:val="000000" w:themeColor="text1"/>
                <w:sz w:val="24"/>
                <w:szCs w:val="24"/>
              </w:rPr>
              <w:t>8</w:t>
            </w:r>
          </w:p>
        </w:tc>
        <w:tc>
          <w:tcPr>
            <w:tcW w:w="598" w:type="dxa"/>
          </w:tcPr>
          <w:p w:rsidR="00986E45" w:rsidRPr="00986E45" w:rsidRDefault="00986E45" w:rsidP="00986E45">
            <w:pPr>
              <w:spacing w:before="120" w:after="120"/>
              <w:jc w:val="both"/>
              <w:rPr>
                <w:rFonts w:ascii="Times New Roman" w:hAnsi="Times New Roman" w:cs="Times New Roman"/>
                <w:color w:val="000000" w:themeColor="text1"/>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color w:val="000000" w:themeColor="text1"/>
                <w:sz w:val="24"/>
                <w:szCs w:val="24"/>
              </w:rPr>
              <w:t xml:space="preserve">Fotografías de los banner con los derechos de las personas privadas de libertad colocados en los distintos centros penitenciarios del país. </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color w:val="000000" w:themeColor="text1"/>
                <w:sz w:val="24"/>
                <w:szCs w:val="24"/>
              </w:rPr>
            </w:pPr>
            <w:r w:rsidRPr="00986E45">
              <w:rPr>
                <w:rFonts w:ascii="Times New Roman" w:hAnsi="Times New Roman" w:cs="Times New Roman"/>
                <w:color w:val="000000" w:themeColor="text1"/>
                <w:sz w:val="24"/>
                <w:szCs w:val="24"/>
              </w:rPr>
              <w:t xml:space="preserve">Anexo </w:t>
            </w:r>
            <w:r w:rsidR="00874BB8">
              <w:rPr>
                <w:rFonts w:ascii="Times New Roman" w:hAnsi="Times New Roman" w:cs="Times New Roman"/>
                <w:color w:val="000000" w:themeColor="text1"/>
                <w:sz w:val="24"/>
                <w:szCs w:val="24"/>
              </w:rPr>
              <w:t>9</w:t>
            </w:r>
          </w:p>
        </w:tc>
        <w:tc>
          <w:tcPr>
            <w:tcW w:w="598" w:type="dxa"/>
          </w:tcPr>
          <w:p w:rsidR="00986E45" w:rsidRPr="00986E45" w:rsidRDefault="00986E45" w:rsidP="00986E45">
            <w:pPr>
              <w:spacing w:before="120" w:after="120"/>
              <w:jc w:val="both"/>
              <w:rPr>
                <w:rFonts w:ascii="Times New Roman" w:hAnsi="Times New Roman" w:cs="Times New Roman"/>
                <w:color w:val="000000" w:themeColor="text1"/>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color w:val="000000" w:themeColor="text1"/>
                <w:sz w:val="24"/>
                <w:szCs w:val="24"/>
              </w:rPr>
              <w:t xml:space="preserve">Ley 55 de 2003.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0</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bCs/>
                <w:sz w:val="24"/>
                <w:szCs w:val="24"/>
              </w:rPr>
            </w:pPr>
            <w:r w:rsidRPr="00986E45">
              <w:rPr>
                <w:rFonts w:ascii="Times New Roman" w:hAnsi="Times New Roman" w:cs="Times New Roman"/>
                <w:bCs/>
                <w:sz w:val="24"/>
                <w:szCs w:val="24"/>
              </w:rPr>
              <w:t>Fallo de 29 de noviembre de 2011 de la Corte Suprema de Justicia, que declaró que era inconstitucional el artículo 1º de la Ley N° 74 de 29 de octubre de 2010, “Que modifica la Ley N° 18 de 1997, Orgánica de la Policía Nacional y dicta otra disposición”</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1</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La Ley 18 de 1997, “Ley Orgánica de la Policía Nacional.</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2</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Listado de capacitaciones sobre uso de la fuerza impartidas a miembros de la Policía.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3</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Ley de No. 42 de 2016, que desarrolla la Carrera Penitenciaria y adopta otras disposiciones.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4</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Proyecto de Ley que Crea el Mecanismo Nacional de Prevención contra la Tortura aprobado por el Consejo de Gabinete.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1</w:t>
            </w:r>
            <w:r>
              <w:rPr>
                <w:rFonts w:ascii="Times New Roman" w:hAnsi="Times New Roman" w:cs="Times New Roman"/>
                <w:sz w:val="24"/>
                <w:szCs w:val="24"/>
              </w:rPr>
              <w:t>5</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Ley 38 de 2001, sobre violencia doméstica.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1</w:t>
            </w:r>
            <w:r>
              <w:rPr>
                <w:rFonts w:ascii="Times New Roman" w:hAnsi="Times New Roman" w:cs="Times New Roman"/>
                <w:color w:val="000000"/>
                <w:sz w:val="24"/>
                <w:szCs w:val="24"/>
              </w:rPr>
              <w:t>6</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Ley No. 71 de 2008, que crea el Instituto Nacional de la Mujer.</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1</w:t>
            </w:r>
            <w:r>
              <w:rPr>
                <w:rFonts w:ascii="Times New Roman" w:hAnsi="Times New Roman" w:cs="Times New Roman"/>
                <w:color w:val="000000"/>
                <w:sz w:val="24"/>
                <w:szCs w:val="24"/>
              </w:rPr>
              <w:t>7</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No. 82 de 2013, que adopta medidas sobre prevención de la Violencia contra la Mujer.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lastRenderedPageBreak/>
              <w:t xml:space="preserve">Anexo </w:t>
            </w:r>
            <w:r>
              <w:rPr>
                <w:rFonts w:ascii="Times New Roman" w:hAnsi="Times New Roman" w:cs="Times New Roman"/>
                <w:color w:val="000000"/>
                <w:sz w:val="24"/>
                <w:szCs w:val="24"/>
              </w:rPr>
              <w:t>18</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Listado de campañas sobre temas relacionados con violencia contra la mujer.</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Pr>
                <w:rFonts w:ascii="Times New Roman" w:hAnsi="Times New Roman" w:cs="Times New Roman"/>
                <w:color w:val="000000"/>
                <w:sz w:val="24"/>
                <w:szCs w:val="24"/>
              </w:rPr>
              <w:t>19</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Artículos 501, 502, 503 del Código de la Familia y el Menor.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sz w:val="24"/>
                <w:szCs w:val="24"/>
              </w:rPr>
            </w:pPr>
            <w:bookmarkStart w:id="0" w:name="_GoBack"/>
            <w:r w:rsidRPr="00986E45">
              <w:rPr>
                <w:rFonts w:ascii="Times New Roman" w:hAnsi="Times New Roman" w:cs="Times New Roman"/>
                <w:sz w:val="24"/>
                <w:szCs w:val="24"/>
              </w:rPr>
              <w:t xml:space="preserve">Anexo </w:t>
            </w:r>
            <w:r>
              <w:rPr>
                <w:rFonts w:ascii="Times New Roman" w:hAnsi="Times New Roman" w:cs="Times New Roman"/>
                <w:sz w:val="24"/>
                <w:szCs w:val="24"/>
              </w:rPr>
              <w:t>20</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AE6EC2">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Ley 14 de 2009, que crea la SENNIAF.</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1</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Ley 79 de 2011, sobre Trata de Personas.</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2</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Decreto Ejecutivo 462 de 2012, por el cual se aprueba el plan nacional contra la trata de personas. </w:t>
            </w:r>
          </w:p>
        </w:tc>
      </w:tr>
      <w:bookmarkEnd w:id="0"/>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3</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Listado de capacitaciones </w:t>
            </w:r>
            <w:proofErr w:type="gramStart"/>
            <w:r w:rsidRPr="00986E45">
              <w:rPr>
                <w:rFonts w:ascii="Times New Roman" w:hAnsi="Times New Roman" w:cs="Times New Roman"/>
                <w:color w:val="000000"/>
                <w:sz w:val="24"/>
                <w:szCs w:val="24"/>
              </w:rPr>
              <w:t>impartidas</w:t>
            </w:r>
            <w:proofErr w:type="gramEnd"/>
            <w:r w:rsidRPr="00986E45">
              <w:rPr>
                <w:rFonts w:ascii="Times New Roman" w:hAnsi="Times New Roman" w:cs="Times New Roman"/>
                <w:color w:val="000000"/>
                <w:sz w:val="24"/>
                <w:szCs w:val="24"/>
              </w:rPr>
              <w:t xml:space="preserve"> sobre trata de personas.</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4</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16 de 2004 sobre explotación sexual. </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5</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14 de 2007 que adopta el Código Penal.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26</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26 de 2008, que adiciona artículos al Código Penal.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27</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Guía Informativa para las personas refugiadas y solicitantes de la condición de refugio en Panamá.</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28</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Decreto Ejecutivo 320 de 2008 que reglamenta el Decreto Ley 3.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29</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81 de 2011 sobre </w:t>
            </w:r>
            <w:proofErr w:type="spellStart"/>
            <w:r w:rsidRPr="00986E45">
              <w:rPr>
                <w:rFonts w:ascii="Times New Roman" w:hAnsi="Times New Roman" w:cs="Times New Roman"/>
                <w:color w:val="000000"/>
                <w:sz w:val="24"/>
                <w:szCs w:val="24"/>
              </w:rPr>
              <w:t>PTHs</w:t>
            </w:r>
            <w:proofErr w:type="spellEnd"/>
            <w:r w:rsidRPr="00986E45">
              <w:rPr>
                <w:rFonts w:ascii="Times New Roman" w:hAnsi="Times New Roman" w:cs="Times New Roman"/>
                <w:color w:val="000000"/>
                <w:sz w:val="24"/>
                <w:szCs w:val="24"/>
              </w:rPr>
              <w:t xml:space="preserve">.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30</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74 de 2013 que establece los requisitos para la residencia permanente.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31</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Capacitaciones acerca de temas relacionados con Derechos Humanos.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32</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Capacitaciones para policías en temas penitenciarios.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33</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Capacitaciones en técnicas de entrevistas.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34</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Cuadro de casos de la dictadura.</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35</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Estadísticas. </w:t>
            </w:r>
          </w:p>
        </w:tc>
      </w:tr>
    </w:tbl>
    <w:p w:rsidR="005C7A5B" w:rsidRPr="00986E45" w:rsidRDefault="005C7A5B" w:rsidP="00986E45">
      <w:pPr>
        <w:jc w:val="right"/>
        <w:rPr>
          <w:rFonts w:ascii="Times New Roman" w:hAnsi="Times New Roman" w:cs="Times New Roman"/>
          <w:sz w:val="24"/>
          <w:szCs w:val="24"/>
        </w:rPr>
      </w:pPr>
    </w:p>
    <w:sectPr w:rsidR="005C7A5B" w:rsidRPr="00986E45" w:rsidSect="00986E45">
      <w:pgSz w:w="12240" w:h="15840"/>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52C70"/>
    <w:multiLevelType w:val="hybridMultilevel"/>
    <w:tmpl w:val="D478C18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69D"/>
    <w:rsid w:val="00012AFC"/>
    <w:rsid w:val="000A659B"/>
    <w:rsid w:val="000D03E5"/>
    <w:rsid w:val="001F4AD3"/>
    <w:rsid w:val="00202028"/>
    <w:rsid w:val="00396298"/>
    <w:rsid w:val="00410DAC"/>
    <w:rsid w:val="004632F9"/>
    <w:rsid w:val="0046537F"/>
    <w:rsid w:val="004B591C"/>
    <w:rsid w:val="00503545"/>
    <w:rsid w:val="005C7A5B"/>
    <w:rsid w:val="005E4F42"/>
    <w:rsid w:val="007D554C"/>
    <w:rsid w:val="00874BB8"/>
    <w:rsid w:val="00986E45"/>
    <w:rsid w:val="009A4E55"/>
    <w:rsid w:val="00AB2CF7"/>
    <w:rsid w:val="00AE6EC2"/>
    <w:rsid w:val="00B30868"/>
    <w:rsid w:val="00B31019"/>
    <w:rsid w:val="00B43D56"/>
    <w:rsid w:val="00C6469D"/>
    <w:rsid w:val="00CB63A7"/>
    <w:rsid w:val="00CB7385"/>
    <w:rsid w:val="00D06360"/>
    <w:rsid w:val="00D505A2"/>
    <w:rsid w:val="00DB1D67"/>
    <w:rsid w:val="00E3263D"/>
    <w:rsid w:val="00E651FA"/>
    <w:rsid w:val="00F56B95"/>
    <w:rsid w:val="00F60A58"/>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75B42-9CFF-482E-A38F-09C60DFFD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69D"/>
    <w:pPr>
      <w:ind w:left="720"/>
      <w:contextualSpacing/>
    </w:pPr>
  </w:style>
  <w:style w:type="character" w:styleId="Hipervnculo">
    <w:name w:val="Hyperlink"/>
    <w:basedOn w:val="Fuentedeprrafopredeter"/>
    <w:uiPriority w:val="99"/>
    <w:unhideWhenUsed/>
    <w:rsid w:val="00C6469D"/>
    <w:rPr>
      <w:color w:val="0563C1" w:themeColor="hyperlink"/>
      <w:u w:val="single"/>
    </w:rPr>
  </w:style>
  <w:style w:type="paragraph" w:styleId="Textodeglobo">
    <w:name w:val="Balloon Text"/>
    <w:basedOn w:val="Normal"/>
    <w:link w:val="TextodegloboCar"/>
    <w:uiPriority w:val="99"/>
    <w:semiHidden/>
    <w:unhideWhenUsed/>
    <w:rsid w:val="00DB1D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1D67"/>
    <w:rPr>
      <w:rFonts w:ascii="Segoe UI" w:hAnsi="Segoe UI" w:cs="Segoe UI"/>
      <w:sz w:val="18"/>
      <w:szCs w:val="18"/>
    </w:rPr>
  </w:style>
  <w:style w:type="table" w:styleId="Tablaconcuadrcula">
    <w:name w:val="Table Grid"/>
    <w:basedOn w:val="Tablanormal"/>
    <w:uiPriority w:val="39"/>
    <w:rsid w:val="00DB1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8FD3D2-9F11-48E2-AC44-FAA731C58D44}"/>
</file>

<file path=customXml/itemProps2.xml><?xml version="1.0" encoding="utf-8"?>
<ds:datastoreItem xmlns:ds="http://schemas.openxmlformats.org/officeDocument/2006/customXml" ds:itemID="{C2E72F36-9385-4BE5-A954-AE1BC24C2B21}"/>
</file>

<file path=customXml/itemProps3.xml><?xml version="1.0" encoding="utf-8"?>
<ds:datastoreItem xmlns:ds="http://schemas.openxmlformats.org/officeDocument/2006/customXml" ds:itemID="{37079A37-5AB9-486C-AD65-CC6F8C24902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2611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De Leon</dc:creator>
  <cp:keywords/>
  <dc:description/>
  <cp:lastModifiedBy>Guadalupe Rudy</cp:lastModifiedBy>
  <cp:revision>2</cp:revision>
  <cp:lastPrinted>2016-09-27T00:31:00Z</cp:lastPrinted>
  <dcterms:created xsi:type="dcterms:W3CDTF">2016-09-27T00:54:00Z</dcterms:created>
  <dcterms:modified xsi:type="dcterms:W3CDTF">2016-09-27T00:54:00Z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