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D59B5" w14:textId="77777777" w:rsidR="00243A63" w:rsidRDefault="00243A63">
      <w:pPr>
        <w:pStyle w:val="Heading1"/>
        <w:jc w:val="center"/>
        <w:rPr>
          <w:rFonts w:ascii="Calibri" w:eastAsia="Calibri" w:hAnsi="Calibri" w:cs="Calibri"/>
          <w:color w:val="000000"/>
          <w:sz w:val="28"/>
          <w:szCs w:val="28"/>
        </w:rPr>
      </w:pPr>
    </w:p>
    <w:p w14:paraId="40D728FB" w14:textId="77777777" w:rsidR="00243A63" w:rsidRDefault="00243A63">
      <w:pPr>
        <w:pStyle w:val="Heading1"/>
        <w:jc w:val="center"/>
        <w:rPr>
          <w:rFonts w:ascii="Calibri" w:eastAsia="Calibri" w:hAnsi="Calibri" w:cs="Calibri"/>
          <w:color w:val="000000"/>
          <w:sz w:val="28"/>
          <w:szCs w:val="28"/>
        </w:rPr>
      </w:pPr>
    </w:p>
    <w:p w14:paraId="194BEFD1" w14:textId="77777777" w:rsidR="00243A63" w:rsidRDefault="00243A63">
      <w:pPr>
        <w:pStyle w:val="Heading1"/>
        <w:jc w:val="center"/>
        <w:rPr>
          <w:rFonts w:ascii="Calibri" w:eastAsia="Calibri" w:hAnsi="Calibri" w:cs="Calibri"/>
          <w:color w:val="000000"/>
          <w:sz w:val="28"/>
          <w:szCs w:val="28"/>
        </w:rPr>
      </w:pPr>
    </w:p>
    <w:p w14:paraId="113BD51C" w14:textId="77777777" w:rsidR="00243A63" w:rsidRDefault="00243A63">
      <w:pPr>
        <w:pStyle w:val="Heading1"/>
        <w:spacing w:before="0"/>
        <w:jc w:val="center"/>
        <w:rPr>
          <w:rFonts w:ascii="Calibri" w:eastAsia="Calibri" w:hAnsi="Calibri" w:cs="Calibri"/>
          <w:color w:val="000000"/>
          <w:sz w:val="28"/>
          <w:szCs w:val="28"/>
        </w:rPr>
      </w:pPr>
    </w:p>
    <w:p w14:paraId="3F6B3EC8" w14:textId="77777777" w:rsidR="00243A63" w:rsidRDefault="00243A63">
      <w:pPr>
        <w:pStyle w:val="Heading1"/>
        <w:spacing w:before="0"/>
        <w:jc w:val="center"/>
        <w:rPr>
          <w:rFonts w:ascii="Calibri" w:eastAsia="Calibri" w:hAnsi="Calibri" w:cs="Calibri"/>
          <w:color w:val="000000"/>
          <w:sz w:val="28"/>
          <w:szCs w:val="28"/>
        </w:rPr>
      </w:pPr>
    </w:p>
    <w:p w14:paraId="10544D8F" w14:textId="77777777" w:rsidR="00243A63" w:rsidRDefault="00771BBF">
      <w:pPr>
        <w:pStyle w:val="Heading1"/>
        <w:spacing w:before="0"/>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People’s Republic of China </w:t>
      </w:r>
    </w:p>
    <w:p w14:paraId="0D3024B2" w14:textId="77777777" w:rsidR="00243A63" w:rsidRDefault="00243A63">
      <w:pPr>
        <w:rPr>
          <w:b/>
          <w:color w:val="000000"/>
          <w:sz w:val="28"/>
          <w:szCs w:val="28"/>
        </w:rPr>
      </w:pPr>
    </w:p>
    <w:p w14:paraId="0AFC678E" w14:textId="77777777" w:rsidR="00243A63" w:rsidRDefault="00771BBF">
      <w:pPr>
        <w:pStyle w:val="Heading1"/>
        <w:spacing w:before="0"/>
        <w:jc w:val="center"/>
        <w:rPr>
          <w:rFonts w:ascii="Calibri" w:eastAsia="Calibri" w:hAnsi="Calibri" w:cs="Calibri"/>
          <w:b/>
          <w:color w:val="000000"/>
          <w:sz w:val="28"/>
          <w:szCs w:val="28"/>
        </w:rPr>
      </w:pPr>
      <w:r>
        <w:rPr>
          <w:rFonts w:ascii="Calibri" w:eastAsia="Calibri" w:hAnsi="Calibri" w:cs="Calibri"/>
          <w:b/>
          <w:color w:val="000000"/>
          <w:sz w:val="28"/>
          <w:szCs w:val="28"/>
        </w:rPr>
        <w:t>Submission to the United Nations Committee on Economic, Social, and Cultural Rights, 73</w:t>
      </w:r>
      <w:r>
        <w:rPr>
          <w:rFonts w:ascii="Calibri" w:eastAsia="Calibri" w:hAnsi="Calibri" w:cs="Calibri"/>
          <w:b/>
          <w:color w:val="000000"/>
          <w:sz w:val="28"/>
          <w:szCs w:val="28"/>
          <w:vertAlign w:val="superscript"/>
        </w:rPr>
        <w:t>rd</w:t>
      </w:r>
      <w:r>
        <w:rPr>
          <w:rFonts w:ascii="Calibri" w:eastAsia="Calibri" w:hAnsi="Calibri" w:cs="Calibri"/>
          <w:b/>
          <w:color w:val="000000"/>
          <w:sz w:val="28"/>
          <w:szCs w:val="28"/>
        </w:rPr>
        <w:t xml:space="preserve"> Session (February 2023) </w:t>
      </w:r>
    </w:p>
    <w:p w14:paraId="101D707B" w14:textId="77777777" w:rsidR="00243A63" w:rsidRDefault="00243A63">
      <w:pPr>
        <w:rPr>
          <w:b/>
          <w:color w:val="000000"/>
          <w:sz w:val="28"/>
          <w:szCs w:val="28"/>
        </w:rPr>
      </w:pPr>
    </w:p>
    <w:p w14:paraId="5470D382" w14:textId="77777777" w:rsidR="00243A63" w:rsidRDefault="00771BBF">
      <w:pPr>
        <w:pStyle w:val="Heading1"/>
        <w:spacing w:before="0"/>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China’s Extraterritorial Obligations in the Area of </w:t>
      </w:r>
    </w:p>
    <w:p w14:paraId="076EFE3E" w14:textId="77777777" w:rsidR="00243A63" w:rsidRDefault="00771BBF">
      <w:pPr>
        <w:pStyle w:val="Heading1"/>
        <w:spacing w:before="0"/>
        <w:jc w:val="center"/>
        <w:rPr>
          <w:rFonts w:ascii="Calibri" w:eastAsia="Calibri" w:hAnsi="Calibri" w:cs="Calibri"/>
          <w:b/>
          <w:color w:val="000000"/>
          <w:sz w:val="28"/>
          <w:szCs w:val="28"/>
        </w:rPr>
      </w:pPr>
      <w:r>
        <w:rPr>
          <w:rFonts w:ascii="Calibri" w:eastAsia="Calibri" w:hAnsi="Calibri" w:cs="Calibri"/>
          <w:b/>
          <w:color w:val="000000"/>
          <w:sz w:val="28"/>
          <w:szCs w:val="28"/>
        </w:rPr>
        <w:t>Economic, Social, and Cultural Rights in Serbia</w:t>
      </w:r>
    </w:p>
    <w:p w14:paraId="481C4619" w14:textId="77777777" w:rsidR="00243A63" w:rsidRDefault="006B138E">
      <w:pPr>
        <w:pStyle w:val="Heading1"/>
        <w:spacing w:before="0"/>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 </w:t>
      </w:r>
      <w:r w:rsidR="00771BBF">
        <w:rPr>
          <w:rFonts w:ascii="Calibri" w:eastAsia="Calibri" w:hAnsi="Calibri" w:cs="Calibri"/>
          <w:b/>
          <w:color w:val="000000"/>
          <w:sz w:val="28"/>
          <w:szCs w:val="28"/>
        </w:rPr>
        <w:t>Cases of Bor and Linglong</w:t>
      </w:r>
      <w:r>
        <w:rPr>
          <w:rFonts w:ascii="Calibri" w:eastAsia="Calibri" w:hAnsi="Calibri" w:cs="Calibri"/>
          <w:b/>
          <w:color w:val="000000"/>
          <w:sz w:val="28"/>
          <w:szCs w:val="28"/>
        </w:rPr>
        <w:t xml:space="preserve"> -</w:t>
      </w:r>
    </w:p>
    <w:p w14:paraId="7FBA020C" w14:textId="77777777" w:rsidR="00243A63" w:rsidRDefault="00243A63"/>
    <w:p w14:paraId="1DED85D1" w14:textId="77777777" w:rsidR="00243A63" w:rsidRDefault="00243A63"/>
    <w:p w14:paraId="3C33555A" w14:textId="77777777" w:rsidR="00243A63" w:rsidRDefault="00243A63"/>
    <w:p w14:paraId="185E40E7" w14:textId="77777777" w:rsidR="00243A63" w:rsidRDefault="00243A63"/>
    <w:p w14:paraId="72ECA446" w14:textId="77777777" w:rsidR="00243A63" w:rsidRDefault="00771BBF">
      <w:pPr>
        <w:jc w:val="both"/>
      </w:pPr>
      <w:r>
        <w:rPr>
          <w:color w:val="000000"/>
        </w:rPr>
        <w:t>Joint Submission by Renewables and Environment Regulatory Institute (RERI), FIAN International, A11 – Initiative for Economic and Social Righ</w:t>
      </w:r>
      <w:r>
        <w:t>ts and Association of Young Researchers Bor (AYR Bor) </w:t>
      </w:r>
    </w:p>
    <w:p w14:paraId="7B6700C5" w14:textId="77777777" w:rsidR="00243A63" w:rsidRDefault="00243A63">
      <w:pPr>
        <w:jc w:val="center"/>
        <w:rPr>
          <w:color w:val="000000"/>
        </w:rPr>
      </w:pPr>
    </w:p>
    <w:p w14:paraId="399582C6" w14:textId="77777777" w:rsidR="00243A63" w:rsidRDefault="00243A63">
      <w:pPr>
        <w:jc w:val="center"/>
        <w:rPr>
          <w:color w:val="000000"/>
        </w:rPr>
      </w:pPr>
    </w:p>
    <w:p w14:paraId="37C6AD7D" w14:textId="77777777" w:rsidR="00243A63" w:rsidRDefault="00243A63">
      <w:pPr>
        <w:jc w:val="center"/>
        <w:rPr>
          <w:color w:val="000000"/>
        </w:rPr>
      </w:pPr>
    </w:p>
    <w:p w14:paraId="5BFA59CB" w14:textId="77777777" w:rsidR="00243A63" w:rsidRDefault="00243A63">
      <w:pPr>
        <w:jc w:val="center"/>
        <w:rPr>
          <w:color w:val="000000"/>
        </w:rPr>
      </w:pPr>
    </w:p>
    <w:p w14:paraId="2E53A23B" w14:textId="77777777" w:rsidR="00243A63" w:rsidRDefault="00243A63">
      <w:pPr>
        <w:jc w:val="center"/>
        <w:rPr>
          <w:color w:val="000000"/>
        </w:rPr>
      </w:pPr>
    </w:p>
    <w:p w14:paraId="598370F9" w14:textId="77777777" w:rsidR="006B138E" w:rsidRDefault="006B138E">
      <w:pPr>
        <w:jc w:val="center"/>
        <w:rPr>
          <w:color w:val="000000"/>
        </w:rPr>
      </w:pPr>
    </w:p>
    <w:p w14:paraId="2291DB7F" w14:textId="77777777" w:rsidR="006B138E" w:rsidRDefault="006B138E">
      <w:pPr>
        <w:jc w:val="center"/>
        <w:rPr>
          <w:color w:val="000000"/>
        </w:rPr>
      </w:pPr>
    </w:p>
    <w:p w14:paraId="509E6536" w14:textId="77777777" w:rsidR="006B138E" w:rsidRDefault="006B138E">
      <w:pPr>
        <w:jc w:val="center"/>
        <w:rPr>
          <w:color w:val="000000"/>
        </w:rPr>
      </w:pPr>
    </w:p>
    <w:p w14:paraId="679DACCB" w14:textId="77777777" w:rsidR="00243A63" w:rsidRDefault="00243A63">
      <w:pPr>
        <w:jc w:val="center"/>
        <w:rPr>
          <w:color w:val="000000"/>
        </w:rPr>
      </w:pPr>
    </w:p>
    <w:p w14:paraId="26FAE255" w14:textId="77777777" w:rsidR="00243A63" w:rsidRDefault="00243A63">
      <w:pPr>
        <w:jc w:val="center"/>
        <w:rPr>
          <w:color w:val="000000"/>
        </w:rPr>
      </w:pPr>
    </w:p>
    <w:p w14:paraId="01C990A7" w14:textId="77777777" w:rsidR="00243A63" w:rsidRDefault="00243A63">
      <w:pPr>
        <w:jc w:val="center"/>
        <w:rPr>
          <w:color w:val="000000"/>
        </w:rPr>
      </w:pPr>
    </w:p>
    <w:p w14:paraId="2CBF0BDE" w14:textId="77777777" w:rsidR="00243A63" w:rsidRDefault="00243A63">
      <w:pPr>
        <w:jc w:val="center"/>
        <w:rPr>
          <w:color w:val="000000"/>
        </w:rPr>
      </w:pPr>
    </w:p>
    <w:p w14:paraId="38371C24" w14:textId="77777777" w:rsidR="00243A63" w:rsidRDefault="00243A63">
      <w:pPr>
        <w:jc w:val="center"/>
        <w:rPr>
          <w:color w:val="000000"/>
        </w:rPr>
      </w:pPr>
    </w:p>
    <w:p w14:paraId="353F6F6A" w14:textId="77777777" w:rsidR="00243A63" w:rsidRDefault="00771BBF">
      <w:pPr>
        <w:jc w:val="center"/>
        <w:rPr>
          <w:color w:val="000000"/>
        </w:rPr>
      </w:pPr>
      <w:r>
        <w:rPr>
          <w:noProof/>
          <w:lang w:eastAsia="ja-JP"/>
        </w:rPr>
        <w:drawing>
          <wp:inline distT="0" distB="0" distL="0" distR="0" wp14:anchorId="0537B391" wp14:editId="44F0864F">
            <wp:extent cx="5760720" cy="995680"/>
            <wp:effectExtent l="0" t="0" r="0" b="0"/>
            <wp:docPr id="2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60720" cy="995680"/>
                    </a:xfrm>
                    <a:prstGeom prst="rect">
                      <a:avLst/>
                    </a:prstGeom>
                    <a:ln/>
                  </pic:spPr>
                </pic:pic>
              </a:graphicData>
            </a:graphic>
          </wp:inline>
        </w:drawing>
      </w:r>
    </w:p>
    <w:p w14:paraId="5DA20348" w14:textId="77777777" w:rsidR="00243A63" w:rsidRDefault="00243A63">
      <w:pPr>
        <w:jc w:val="center"/>
        <w:rPr>
          <w:color w:val="000000"/>
        </w:rPr>
      </w:pPr>
    </w:p>
    <w:p w14:paraId="2B64CFD4" w14:textId="77777777" w:rsidR="00243A63" w:rsidRDefault="00243A63">
      <w:pPr>
        <w:jc w:val="center"/>
        <w:rPr>
          <w:color w:val="000000"/>
        </w:rPr>
      </w:pPr>
    </w:p>
    <w:p w14:paraId="5585B65B" w14:textId="77777777" w:rsidR="00243A63" w:rsidRDefault="00771BBF">
      <w:pPr>
        <w:jc w:val="center"/>
        <w:rPr>
          <w:color w:val="000000"/>
        </w:rPr>
      </w:pPr>
      <w:r>
        <w:rPr>
          <w:noProof/>
          <w:lang w:eastAsia="ja-JP"/>
        </w:rPr>
        <mc:AlternateContent>
          <mc:Choice Requires="wps">
            <w:drawing>
              <wp:anchor distT="45720" distB="45720" distL="114300" distR="114300" simplePos="0" relativeHeight="251658240" behindDoc="0" locked="0" layoutInCell="1" hidden="0" allowOverlap="1" wp14:anchorId="5A5D6D39" wp14:editId="4D340C75">
                <wp:simplePos x="0" y="0"/>
                <wp:positionH relativeFrom="column">
                  <wp:posOffset>-215899</wp:posOffset>
                </wp:positionH>
                <wp:positionV relativeFrom="paragraph">
                  <wp:posOffset>236220</wp:posOffset>
                </wp:positionV>
                <wp:extent cx="1626235" cy="769620"/>
                <wp:effectExtent l="0" t="0" r="0" b="0"/>
                <wp:wrapSquare wrapText="bothSides" distT="45720" distB="45720" distL="114300" distR="114300"/>
                <wp:docPr id="219" name="Rechteck 219"/>
                <wp:cNvGraphicFramePr/>
                <a:graphic xmlns:a="http://schemas.openxmlformats.org/drawingml/2006/main">
                  <a:graphicData uri="http://schemas.microsoft.com/office/word/2010/wordprocessingShape">
                    <wps:wsp>
                      <wps:cNvSpPr/>
                      <wps:spPr>
                        <a:xfrm>
                          <a:off x="4537645" y="3399953"/>
                          <a:ext cx="1616710" cy="760095"/>
                        </a:xfrm>
                        <a:prstGeom prst="rect">
                          <a:avLst/>
                        </a:prstGeom>
                        <a:solidFill>
                          <a:srgbClr val="FFFFFF"/>
                        </a:solidFill>
                        <a:ln>
                          <a:noFill/>
                        </a:ln>
                      </wps:spPr>
                      <wps:txbx>
                        <w:txbxContent>
                          <w:p w14:paraId="63170713" w14:textId="77777777" w:rsidR="00243A63" w:rsidRDefault="00243A63">
                            <w:pPr>
                              <w:textDirection w:val="btLr"/>
                            </w:pPr>
                          </w:p>
                        </w:txbxContent>
                      </wps:txbx>
                      <wps:bodyPr spcFirstLastPara="1" wrap="square" lIns="91425" tIns="45700" rIns="91425" bIns="45700" anchor="t" anchorCtr="0">
                        <a:noAutofit/>
                      </wps:bodyPr>
                    </wps:wsp>
                  </a:graphicData>
                </a:graphic>
              </wp:anchor>
            </w:drawing>
          </mc:Choice>
          <mc:Fallback>
            <w:pict>
              <v:rect id="Rechteck 219" o:spid="_x0000_s1026" style="position:absolute;left:0;text-align:left;margin-left:-17pt;margin-top:18.6pt;width:128.05pt;height:60.6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" stroked="f">
                <v:textbox inset="2.53958mm,1.2694mm,2.53958mm,1.2694mm">
                  <w:txbxContent>
                    <w:p w14:paraId="47941E2B" w14:textId="77777777" w:rsidR="00243A63" w:rsidRDefault="00243A63">
                      <w:pPr>
                        <w:textDirection w:val="btLr"/>
                      </w:pPr>
                    </w:p>
                  </w:txbxContent>
                </v:textbox>
                <w10:wrap type="square"/>
              </v:rect>
            </w:pict>
          </mc:Fallback>
        </mc:AlternateContent>
      </w:r>
    </w:p>
    <w:p w14:paraId="05B19FB2" w14:textId="77777777" w:rsidR="00243A63" w:rsidRDefault="00771BBF">
      <w:pPr>
        <w:rPr>
          <w:color w:val="000000"/>
        </w:rPr>
        <w:sectPr w:rsidR="00243A63">
          <w:pgSz w:w="11906" w:h="16838"/>
          <w:pgMar w:top="1417" w:right="1417" w:bottom="945" w:left="1417" w:header="708" w:footer="708" w:gutter="0"/>
          <w:pgNumType w:start="1"/>
          <w:cols w:space="720"/>
          <w:titlePg/>
        </w:sectPr>
      </w:pPr>
      <w:r>
        <w:rPr>
          <w:noProof/>
          <w:lang w:eastAsia="ja-JP"/>
        </w:rPr>
        <mc:AlternateContent>
          <mc:Choice Requires="wps">
            <w:drawing>
              <wp:anchor distT="45720" distB="45720" distL="114300" distR="114300" simplePos="0" relativeHeight="251659264" behindDoc="0" locked="0" layoutInCell="1" hidden="0" allowOverlap="1" wp14:anchorId="60CEBBCB" wp14:editId="76074C09">
                <wp:simplePos x="0" y="0"/>
                <wp:positionH relativeFrom="column">
                  <wp:posOffset>5257800</wp:posOffset>
                </wp:positionH>
                <wp:positionV relativeFrom="paragraph">
                  <wp:posOffset>109220</wp:posOffset>
                </wp:positionV>
                <wp:extent cx="962025" cy="903605"/>
                <wp:effectExtent l="0" t="0" r="0" b="0"/>
                <wp:wrapSquare wrapText="bothSides" distT="45720" distB="45720" distL="114300" distR="114300"/>
                <wp:docPr id="218" name="Rechteck 218"/>
                <wp:cNvGraphicFramePr/>
                <a:graphic xmlns:a="http://schemas.openxmlformats.org/drawingml/2006/main">
                  <a:graphicData uri="http://schemas.microsoft.com/office/word/2010/wordprocessingShape">
                    <wps:wsp>
                      <wps:cNvSpPr/>
                      <wps:spPr>
                        <a:xfrm>
                          <a:off x="4869750" y="3332960"/>
                          <a:ext cx="952500" cy="894080"/>
                        </a:xfrm>
                        <a:prstGeom prst="rect">
                          <a:avLst/>
                        </a:prstGeom>
                        <a:solidFill>
                          <a:srgbClr val="FFFFFF"/>
                        </a:solidFill>
                        <a:ln>
                          <a:noFill/>
                        </a:ln>
                      </wps:spPr>
                      <wps:txbx>
                        <w:txbxContent>
                          <w:p w14:paraId="4FB877F2" w14:textId="77777777" w:rsidR="00243A63" w:rsidRDefault="00243A63">
                            <w:pPr>
                              <w:textDirection w:val="btLr"/>
                            </w:pPr>
                          </w:p>
                        </w:txbxContent>
                      </wps:txbx>
                      <wps:bodyPr spcFirstLastPara="1" wrap="square" lIns="91425" tIns="45700" rIns="91425" bIns="45700" anchor="t" anchorCtr="0">
                        <a:noAutofit/>
                      </wps:bodyPr>
                    </wps:wsp>
                  </a:graphicData>
                </a:graphic>
              </wp:anchor>
            </w:drawing>
          </mc:Choice>
          <mc:Fallback>
            <w:pict>
              <v:rect id="Rechteck 218" o:spid="_x0000_s1027" style="position:absolute;margin-left:414pt;margin-top:8.6pt;width:75.75pt;height:71.1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" stroked="f">
                <v:textbox inset="2.53958mm,1.2694mm,2.53958mm,1.2694mm">
                  <w:txbxContent>
                    <w:p w14:paraId="29C773C1" w14:textId="77777777" w:rsidR="00243A63" w:rsidRDefault="00243A63">
                      <w:pPr>
                        <w:textDirection w:val="btLr"/>
                      </w:pPr>
                    </w:p>
                  </w:txbxContent>
                </v:textbox>
                <w10:wrap type="square"/>
              </v:rect>
            </w:pict>
          </mc:Fallback>
        </mc:AlternateContent>
      </w:r>
    </w:p>
    <w:p w14:paraId="0A4832F4" w14:textId="77777777" w:rsidR="00243A63" w:rsidRDefault="00771BBF">
      <w:pPr>
        <w:pStyle w:val="Heading1"/>
        <w:rPr>
          <w:rFonts w:ascii="Calibri" w:eastAsia="Calibri" w:hAnsi="Calibri" w:cs="Calibri"/>
          <w:b/>
          <w:color w:val="000000"/>
        </w:rPr>
      </w:pPr>
      <w:r>
        <w:rPr>
          <w:rFonts w:ascii="Calibri" w:eastAsia="Calibri" w:hAnsi="Calibri" w:cs="Calibri"/>
          <w:b/>
          <w:color w:val="000000"/>
        </w:rPr>
        <w:lastRenderedPageBreak/>
        <w:t>Introduction</w:t>
      </w:r>
    </w:p>
    <w:p w14:paraId="0ED77277" w14:textId="77777777" w:rsidR="00243A63" w:rsidRDefault="00243A63"/>
    <w:p w14:paraId="7A4EFF11" w14:textId="77777777" w:rsidR="0052397E" w:rsidRDefault="00771BBF">
      <w:pPr>
        <w:numPr>
          <w:ilvl w:val="0"/>
          <w:numId w:val="2"/>
        </w:numPr>
        <w:pBdr>
          <w:top w:val="nil"/>
          <w:left w:val="nil"/>
          <w:bottom w:val="nil"/>
          <w:right w:val="nil"/>
          <w:between w:val="nil"/>
        </w:pBdr>
        <w:jc w:val="both"/>
        <w:rPr>
          <w:color w:val="000000"/>
        </w:rPr>
      </w:pPr>
      <w:bookmarkStart w:id="0" w:name="_heading=h.30j0zll" w:colFirst="0" w:colLast="0"/>
      <w:bookmarkEnd w:id="0"/>
      <w:r>
        <w:rPr>
          <w:color w:val="000000"/>
        </w:rPr>
        <w:t>This joint submission</w:t>
      </w:r>
      <w:r w:rsidR="0052397E">
        <w:rPr>
          <w:color w:val="000000"/>
          <w:vertAlign w:val="superscript"/>
        </w:rPr>
        <w:endnoteReference w:id="1"/>
      </w:r>
      <w:r w:rsidR="0052397E">
        <w:rPr>
          <w:color w:val="000000"/>
        </w:rPr>
        <w:t xml:space="preserve"> to the Committee on Economic, Social, and Cultural Rights (CESCR) highlights </w:t>
      </w:r>
      <w:r w:rsidR="0052397E">
        <w:rPr>
          <w:b/>
          <w:color w:val="000000"/>
        </w:rPr>
        <w:t>China’s breaches of its extraterritorial obligations</w:t>
      </w:r>
      <w:r w:rsidR="0052397E">
        <w:rPr>
          <w:color w:val="000000"/>
        </w:rPr>
        <w:t xml:space="preserve"> (hereafter ETOs) in the area of economic, social, and cultural rights (ESC rights), in particular, the right to health, the right to food and nutrition, as well as the right to work of the communities in Bor and the Vietnamese migrant workers at Linglong Tire Factory in Zrenjanin, Serbia. The submission also highlights the right to a safe, clean and sustainable environment, which is a key </w:t>
      </w:r>
      <w:r w:rsidR="0052397E">
        <w:rPr>
          <w:color w:val="000000"/>
          <w:sz w:val="21"/>
          <w:szCs w:val="21"/>
          <w:highlight w:val="white"/>
        </w:rPr>
        <w:t xml:space="preserve">to the </w:t>
      </w:r>
      <w:r w:rsidR="0052397E">
        <w:rPr>
          <w:sz w:val="21"/>
          <w:szCs w:val="21"/>
          <w:highlight w:val="white"/>
        </w:rPr>
        <w:t>realisation</w:t>
      </w:r>
      <w:r w:rsidR="0052397E">
        <w:rPr>
          <w:color w:val="000000"/>
          <w:sz w:val="21"/>
          <w:szCs w:val="21"/>
          <w:highlight w:val="white"/>
        </w:rPr>
        <w:t xml:space="preserve"> of many of the ESC rights</w:t>
      </w:r>
      <w:r w:rsidR="0052397E">
        <w:rPr>
          <w:color w:val="000000"/>
        </w:rPr>
        <w:t xml:space="preserve"> of the communities in Bor. </w:t>
      </w:r>
    </w:p>
    <w:p w14:paraId="439C2616" w14:textId="77777777" w:rsidR="0052397E" w:rsidRDefault="0052397E">
      <w:pPr>
        <w:numPr>
          <w:ilvl w:val="0"/>
          <w:numId w:val="2"/>
        </w:numPr>
        <w:pBdr>
          <w:top w:val="nil"/>
          <w:left w:val="nil"/>
          <w:bottom w:val="nil"/>
          <w:right w:val="nil"/>
          <w:between w:val="nil"/>
        </w:pBdr>
        <w:jc w:val="both"/>
        <w:rPr>
          <w:color w:val="000000"/>
        </w:rPr>
      </w:pPr>
      <w:r>
        <w:rPr>
          <w:color w:val="000000"/>
        </w:rPr>
        <w:t>The human rights obligations of a State do not stop at its national borders. The principle of the universality of human rights obliges States to respect, protect, and fulfil human rights beyond their borders in certain situations as specified in Principle 9 of the Maastricht Principles on Extraterritorial Obligations of States in the Area of Economic, Social and Cultural Rights (hereafter Maastricht Principles), which states that ETOs arise when a State exercises control, power, or authority over people or situations located outside its sovereign territory in a way that could have an impact on the enjoyment of human rights by those people or in such situations.</w:t>
      </w:r>
      <w:r>
        <w:rPr>
          <w:color w:val="000000"/>
          <w:vertAlign w:val="superscript"/>
        </w:rPr>
        <w:endnoteReference w:id="2"/>
      </w:r>
      <w:r>
        <w:rPr>
          <w:color w:val="000000"/>
        </w:rPr>
        <w:t xml:space="preserve"> </w:t>
      </w:r>
    </w:p>
    <w:p w14:paraId="586DFE05" w14:textId="77777777" w:rsidR="0052397E" w:rsidRDefault="0052397E">
      <w:pPr>
        <w:numPr>
          <w:ilvl w:val="0"/>
          <w:numId w:val="2"/>
        </w:numPr>
        <w:pBdr>
          <w:top w:val="nil"/>
          <w:left w:val="nil"/>
          <w:bottom w:val="nil"/>
          <w:right w:val="nil"/>
          <w:between w:val="nil"/>
        </w:pBdr>
        <w:jc w:val="both"/>
        <w:rPr>
          <w:color w:val="000000"/>
        </w:rPr>
      </w:pPr>
      <w:bookmarkStart w:id="1" w:name="_heading=h.1fob9te" w:colFirst="0" w:colLast="0"/>
      <w:bookmarkEnd w:id="1"/>
      <w:r>
        <w:rPr>
          <w:color w:val="000000"/>
        </w:rPr>
        <w:t>ETOs are grounded in various sources of international human rights law and are strongly recognized and anchored in the work of UN treaty bodies (through, inter alia, their General Comments and periodic States' reviews) and UN special procedures.</w:t>
      </w:r>
    </w:p>
    <w:p w14:paraId="0EB6F277" w14:textId="77777777" w:rsidR="0052397E" w:rsidRDefault="0052397E">
      <w:pPr>
        <w:numPr>
          <w:ilvl w:val="0"/>
          <w:numId w:val="2"/>
        </w:numPr>
        <w:pBdr>
          <w:top w:val="nil"/>
          <w:left w:val="nil"/>
          <w:bottom w:val="nil"/>
          <w:right w:val="nil"/>
          <w:between w:val="nil"/>
        </w:pBdr>
        <w:jc w:val="both"/>
        <w:rPr>
          <w:color w:val="000000"/>
        </w:rPr>
      </w:pPr>
      <w:bookmarkStart w:id="2" w:name="_heading=h.3znysh7" w:colFirst="0" w:colLast="0"/>
      <w:bookmarkEnd w:id="2"/>
      <w:r>
        <w:rPr>
          <w:color w:val="000000"/>
        </w:rPr>
        <w:t>In its Concluding Observations issued to China in 2014,</w:t>
      </w:r>
      <w:r>
        <w:rPr>
          <w:color w:val="000000"/>
          <w:vertAlign w:val="superscript"/>
        </w:rPr>
        <w:endnoteReference w:id="3"/>
      </w:r>
      <w:r>
        <w:rPr>
          <w:color w:val="000000"/>
        </w:rPr>
        <w:t xml:space="preserve"> the CESCR highlighted its concern that projects supported economically and technically abroad by China have reportedly resulted in violations of the ESC rights in the host States. The Committee also raised the issue of the lack of adequate and effective measures by China to ensure that Chinese companies, both State-owned and private, respect ESC rights, also when operating abroad.</w:t>
      </w:r>
    </w:p>
    <w:p w14:paraId="1B80813F" w14:textId="77777777" w:rsidR="0052397E" w:rsidRDefault="0052397E">
      <w:pPr>
        <w:numPr>
          <w:ilvl w:val="0"/>
          <w:numId w:val="2"/>
        </w:numPr>
        <w:pBdr>
          <w:top w:val="nil"/>
          <w:left w:val="nil"/>
          <w:bottom w:val="nil"/>
          <w:right w:val="nil"/>
          <w:between w:val="nil"/>
        </w:pBdr>
        <w:jc w:val="both"/>
        <w:rPr>
          <w:color w:val="000000"/>
        </w:rPr>
      </w:pPr>
      <w:r>
        <w:rPr>
          <w:color w:val="000000"/>
        </w:rPr>
        <w:t>The CESCR thus called upon China to “adopt a human rights-based approach to its policies of international cooperation,” among others, by undertaking a human rights impact assessment prior to making funding decisions; establishing a monitoring mechanism to regularly assess the human rights impact of its policies and projects and taking remedial measures when required; and ensuring a complaint mechanism for violations of ESC rights in the receiving countries. Regarding business and ESC rights, the CESCR urged China to establish a regulatory framework for companies operating in China to ensure that their activities promote and do not negatively affect the enjoyment of ESC rights and adopt appropriate legislative and administrative measures to ensure the legal liability of companies and their subsidiaries regarding violations of ESC rights in the context of their projects abroad.</w:t>
      </w:r>
      <w:r>
        <w:rPr>
          <w:color w:val="000000"/>
          <w:vertAlign w:val="superscript"/>
        </w:rPr>
        <w:endnoteReference w:id="4"/>
      </w:r>
    </w:p>
    <w:p w14:paraId="2BEB0257" w14:textId="77777777" w:rsidR="0052397E" w:rsidRDefault="0052397E">
      <w:pPr>
        <w:numPr>
          <w:ilvl w:val="0"/>
          <w:numId w:val="2"/>
        </w:numPr>
        <w:pBdr>
          <w:top w:val="nil"/>
          <w:left w:val="nil"/>
          <w:bottom w:val="nil"/>
          <w:right w:val="nil"/>
          <w:between w:val="nil"/>
        </w:pBdr>
        <w:jc w:val="both"/>
        <w:rPr>
          <w:color w:val="000000"/>
        </w:rPr>
      </w:pPr>
      <w:r>
        <w:rPr>
          <w:color w:val="000000"/>
        </w:rPr>
        <w:t>While China refers to its effort in implementing recommendations addressed by the CESCR (both in its state report</w:t>
      </w:r>
      <w:r>
        <w:rPr>
          <w:color w:val="000000"/>
          <w:vertAlign w:val="superscript"/>
        </w:rPr>
        <w:endnoteReference w:id="5"/>
      </w:r>
      <w:r>
        <w:rPr>
          <w:color w:val="000000"/>
          <w:sz w:val="20"/>
          <w:szCs w:val="20"/>
        </w:rPr>
        <w:t xml:space="preserve"> </w:t>
      </w:r>
      <w:r>
        <w:rPr>
          <w:color w:val="000000"/>
        </w:rPr>
        <w:t>and its reply to the list of issues</w:t>
      </w:r>
      <w:r>
        <w:rPr>
          <w:color w:val="000000"/>
          <w:vertAlign w:val="superscript"/>
        </w:rPr>
        <w:endnoteReference w:id="6"/>
      </w:r>
      <w:r>
        <w:rPr>
          <w:color w:val="000000"/>
        </w:rPr>
        <w:t xml:space="preserve">), we would like to bring to the attention of the CESCR that </w:t>
      </w:r>
      <w:r>
        <w:rPr>
          <w:b/>
          <w:color w:val="000000"/>
        </w:rPr>
        <w:t>such measures are not yet applied by China in Serbia at present</w:t>
      </w:r>
      <w:r>
        <w:rPr>
          <w:color w:val="000000"/>
        </w:rPr>
        <w:t>.</w:t>
      </w:r>
    </w:p>
    <w:p w14:paraId="71C57CC6" w14:textId="77777777" w:rsidR="0052397E" w:rsidRDefault="0052397E">
      <w:pPr>
        <w:numPr>
          <w:ilvl w:val="0"/>
          <w:numId w:val="2"/>
        </w:numPr>
        <w:jc w:val="both"/>
        <w:rPr>
          <w:color w:val="000000"/>
        </w:rPr>
      </w:pPr>
      <w:r>
        <w:rPr>
          <w:color w:val="000000"/>
        </w:rPr>
        <w:t xml:space="preserve">The joint submission is based on the testimonies collected on the ground from the communities, complemented by </w:t>
      </w:r>
      <w:r>
        <w:rPr>
          <w:color w:val="000000"/>
          <w:highlight w:val="white"/>
        </w:rPr>
        <w:t>official (legal) documents and desk research.</w:t>
      </w:r>
      <w:r>
        <w:rPr>
          <w:color w:val="000000"/>
        </w:rPr>
        <w:t xml:space="preserve"> The </w:t>
      </w:r>
      <w:r>
        <w:t>finalisation</w:t>
      </w:r>
      <w:r>
        <w:rPr>
          <w:color w:val="000000"/>
        </w:rPr>
        <w:t xml:space="preserve"> of the report as well as the elaboration of the recommendations involved the local communities mentioned in the report.</w:t>
      </w:r>
    </w:p>
    <w:p w14:paraId="4050A879" w14:textId="77777777" w:rsidR="0052397E" w:rsidRDefault="0052397E">
      <w:pPr>
        <w:pStyle w:val="Heading1"/>
        <w:rPr>
          <w:rFonts w:ascii="Calibri" w:eastAsia="Calibri" w:hAnsi="Calibri" w:cs="Calibri"/>
          <w:b/>
          <w:color w:val="000000"/>
        </w:rPr>
      </w:pPr>
      <w:bookmarkStart w:id="3" w:name="_heading=h.opnozs2fjizb" w:colFirst="0" w:colLast="0"/>
      <w:bookmarkEnd w:id="3"/>
      <w:r>
        <w:rPr>
          <w:rFonts w:ascii="Calibri" w:eastAsia="Calibri" w:hAnsi="Calibri" w:cs="Calibri"/>
          <w:b/>
          <w:color w:val="000000"/>
        </w:rPr>
        <w:t>Sino-Serbian Relationship and Chinese Loans and Investment in Serbia</w:t>
      </w:r>
    </w:p>
    <w:p w14:paraId="715BFD33" w14:textId="77777777" w:rsidR="0052397E" w:rsidRDefault="0052397E">
      <w:pPr>
        <w:ind w:left="720"/>
        <w:jc w:val="both"/>
        <w:rPr>
          <w:b/>
          <w:color w:val="000000"/>
        </w:rPr>
      </w:pPr>
    </w:p>
    <w:p w14:paraId="710D8629" w14:textId="77777777" w:rsidR="0052397E" w:rsidRDefault="0052397E">
      <w:pPr>
        <w:numPr>
          <w:ilvl w:val="0"/>
          <w:numId w:val="2"/>
        </w:numPr>
        <w:pBdr>
          <w:top w:val="nil"/>
          <w:left w:val="nil"/>
          <w:bottom w:val="nil"/>
          <w:right w:val="nil"/>
          <w:between w:val="nil"/>
        </w:pBdr>
        <w:jc w:val="both"/>
        <w:rPr>
          <w:color w:val="000000"/>
        </w:rPr>
      </w:pPr>
      <w:bookmarkStart w:id="4" w:name="_heading=h.gjdgxs" w:colFirst="0" w:colLast="0"/>
      <w:bookmarkEnd w:id="4"/>
      <w:r>
        <w:rPr>
          <w:color w:val="000000"/>
        </w:rPr>
        <w:t>Strategic cooperation between China and Serbia in the areas of infrastructure, economy, and technology began in 2009,</w:t>
      </w:r>
      <w:r>
        <w:rPr>
          <w:color w:val="000000"/>
          <w:vertAlign w:val="superscript"/>
        </w:rPr>
        <w:endnoteReference w:id="7"/>
      </w:r>
      <w:r>
        <w:rPr>
          <w:color w:val="000000"/>
        </w:rPr>
        <w:t xml:space="preserve"> and raised to the level of a comprehensive strategic </w:t>
      </w:r>
      <w:r>
        <w:rPr>
          <w:color w:val="000000"/>
          <w:sz w:val="24"/>
          <w:szCs w:val="24"/>
        </w:rPr>
        <w:t>partnership w</w:t>
      </w:r>
      <w:r>
        <w:rPr>
          <w:color w:val="000000"/>
        </w:rPr>
        <w:t>ith the signing of the Serbia-China Joint Statement on the Establishment of Comprehensive Strategic Partnership by two Presidents of the countries in 2016, which paved the way for today’s strong development of Sino-Serbian relations.</w:t>
      </w:r>
      <w:r>
        <w:rPr>
          <w:color w:val="000000"/>
          <w:vertAlign w:val="superscript"/>
        </w:rPr>
        <w:endnoteReference w:id="8"/>
      </w:r>
    </w:p>
    <w:p w14:paraId="2EE0BDD2" w14:textId="77777777" w:rsidR="0052397E" w:rsidRDefault="0052397E">
      <w:pPr>
        <w:numPr>
          <w:ilvl w:val="0"/>
          <w:numId w:val="2"/>
        </w:numPr>
        <w:pBdr>
          <w:top w:val="nil"/>
          <w:left w:val="nil"/>
          <w:bottom w:val="nil"/>
          <w:right w:val="nil"/>
          <w:between w:val="nil"/>
        </w:pBdr>
        <w:jc w:val="both"/>
        <w:rPr>
          <w:color w:val="000000"/>
        </w:rPr>
      </w:pPr>
      <w:bookmarkStart w:id="5" w:name="_heading=h.1fhqsodkp0wi" w:colFirst="0" w:colLast="0"/>
      <w:bookmarkEnd w:id="5"/>
      <w:r>
        <w:rPr>
          <w:color w:val="000000"/>
        </w:rPr>
        <w:t>Since 2009, Serbia and China have agreed on infrastructure projects worth more than €7 billion, funded by preferential loans from Chinese banks.</w:t>
      </w:r>
      <w:r>
        <w:rPr>
          <w:color w:val="000000"/>
          <w:vertAlign w:val="superscript"/>
        </w:rPr>
        <w:endnoteReference w:id="9"/>
      </w:r>
      <w:r>
        <w:rPr>
          <w:color w:val="000000"/>
        </w:rPr>
        <w:t xml:space="preserve"> In addition to these loans, China has significantly increased its investment in Serbia over the past decade, exceeding €10.3 billion in 2021.</w:t>
      </w:r>
      <w:r>
        <w:rPr>
          <w:color w:val="000000"/>
          <w:vertAlign w:val="superscript"/>
        </w:rPr>
        <w:endnoteReference w:id="10"/>
      </w:r>
      <w:r>
        <w:rPr>
          <w:color w:val="000000"/>
        </w:rPr>
        <w:t xml:space="preserve"> Between 2012 and 2021, China’s companies have invested or allocated more than €2 billion in just 16 projects in Serbia, and the Chinese Export-Import Bank has granted loans for projects worth at least €5.7 billion.</w:t>
      </w:r>
      <w:r>
        <w:rPr>
          <w:color w:val="000000"/>
          <w:vertAlign w:val="superscript"/>
        </w:rPr>
        <w:endnoteReference w:id="11"/>
      </w:r>
      <w:r>
        <w:rPr>
          <w:color w:val="000000"/>
          <w:vertAlign w:val="superscript"/>
        </w:rPr>
        <w:t xml:space="preserve"> </w:t>
      </w:r>
    </w:p>
    <w:p w14:paraId="7EDEDC8E" w14:textId="77777777" w:rsidR="0052397E" w:rsidRDefault="0052397E">
      <w:pPr>
        <w:numPr>
          <w:ilvl w:val="0"/>
          <w:numId w:val="2"/>
        </w:numPr>
        <w:pBdr>
          <w:top w:val="nil"/>
          <w:left w:val="nil"/>
          <w:bottom w:val="nil"/>
          <w:right w:val="nil"/>
          <w:between w:val="nil"/>
        </w:pBdr>
        <w:jc w:val="both"/>
        <w:rPr>
          <w:color w:val="000000"/>
        </w:rPr>
      </w:pPr>
      <w:bookmarkStart w:id="6" w:name="_heading=h.7xmm1xsumr6d" w:colFirst="0" w:colLast="0"/>
      <w:bookmarkEnd w:id="6"/>
      <w:r>
        <w:rPr>
          <w:color w:val="000000"/>
        </w:rPr>
        <w:t>The risks of corruption, due to the low level of transparency</w:t>
      </w:r>
      <w:r>
        <w:rPr>
          <w:color w:val="000000"/>
          <w:vertAlign w:val="superscript"/>
        </w:rPr>
        <w:endnoteReference w:id="12"/>
      </w:r>
      <w:r>
        <w:rPr>
          <w:color w:val="000000"/>
        </w:rPr>
        <w:t xml:space="preserve"> and direct agreements concluded with Chinese companies, are embedded in projects proclaimed to be of national interest,</w:t>
      </w:r>
      <w:r>
        <w:rPr>
          <w:color w:val="000000"/>
          <w:vertAlign w:val="superscript"/>
        </w:rPr>
        <w:endnoteReference w:id="13"/>
      </w:r>
      <w:r>
        <w:rPr>
          <w:color w:val="000000"/>
        </w:rPr>
        <w:t xml:space="preserve"> and sped up by special procedure laws providing advantages to Chinese investors.</w:t>
      </w:r>
      <w:r>
        <w:rPr>
          <w:color w:val="000000"/>
          <w:vertAlign w:val="superscript"/>
        </w:rPr>
        <w:endnoteReference w:id="14"/>
      </w:r>
      <w:r>
        <w:rPr>
          <w:color w:val="000000"/>
        </w:rPr>
        <w:t xml:space="preserve"> In many cases, by avoiding proper environmental impact assessment (EIA) and permitting procedures which are key to transparent and participative decision-making, projects potentially harmful to the environment have been allowed to be carried out without obstacles.</w:t>
      </w:r>
      <w:r>
        <w:rPr>
          <w:color w:val="000000"/>
          <w:vertAlign w:val="superscript"/>
        </w:rPr>
        <w:endnoteReference w:id="15"/>
      </w:r>
      <w:r>
        <w:rPr>
          <w:color w:val="000000"/>
        </w:rPr>
        <w:t xml:space="preserve"> Chinese </w:t>
      </w:r>
      <w:r>
        <w:rPr>
          <w:color w:val="000000"/>
          <w:highlight w:val="white"/>
        </w:rPr>
        <w:t xml:space="preserve">investors commonly </w:t>
      </w:r>
      <w:r>
        <w:rPr>
          <w:highlight w:val="white"/>
        </w:rPr>
        <w:t>practise</w:t>
      </w:r>
      <w:r>
        <w:rPr>
          <w:color w:val="000000"/>
          <w:highlight w:val="white"/>
        </w:rPr>
        <w:t xml:space="preserve"> the so-called </w:t>
      </w:r>
      <w:r>
        <w:rPr>
          <w:i/>
          <w:color w:val="000000"/>
          <w:highlight w:val="white"/>
        </w:rPr>
        <w:t>salami-slicing</w:t>
      </w:r>
      <w:r>
        <w:rPr>
          <w:color w:val="000000"/>
          <w:highlight w:val="white"/>
        </w:rPr>
        <w:t xml:space="preserve"> method</w:t>
      </w:r>
      <w:r>
        <w:rPr>
          <w:color w:val="000000"/>
          <w:highlight w:val="white"/>
          <w:vertAlign w:val="superscript"/>
        </w:rPr>
        <w:endnoteReference w:id="16"/>
      </w:r>
      <w:r>
        <w:rPr>
          <w:color w:val="000000"/>
          <w:highlight w:val="white"/>
        </w:rPr>
        <w:t xml:space="preserve">, while impact assessment procedures are extremely poorly conducted and studies are lacking the mandatory elements, not assessing real impacts on the environment and human health, thus endangering the well-being of local communities. Although the </w:t>
      </w:r>
      <w:r>
        <w:rPr>
          <w:color w:val="000000"/>
        </w:rPr>
        <w:t>investment environment in Serbia accommodates the interests of foreign entities, public authorities have proven to be particularly lenient when the projects are implemented by Chinese investors, tolerating, and even supporting illegal activities.</w:t>
      </w:r>
      <w:r>
        <w:rPr>
          <w:color w:val="000000"/>
          <w:vertAlign w:val="superscript"/>
        </w:rPr>
        <w:endnoteReference w:id="17"/>
      </w:r>
      <w:r>
        <w:rPr>
          <w:color w:val="000000"/>
        </w:rPr>
        <w:t xml:space="preserve"> </w:t>
      </w:r>
    </w:p>
    <w:p w14:paraId="46C0276D" w14:textId="77777777" w:rsidR="0052397E" w:rsidRDefault="0052397E">
      <w:pPr>
        <w:numPr>
          <w:ilvl w:val="0"/>
          <w:numId w:val="2"/>
        </w:numPr>
        <w:pBdr>
          <w:top w:val="nil"/>
          <w:left w:val="nil"/>
          <w:bottom w:val="nil"/>
          <w:right w:val="nil"/>
          <w:between w:val="nil"/>
        </w:pBdr>
        <w:jc w:val="both"/>
        <w:rPr>
          <w:color w:val="000000"/>
        </w:rPr>
      </w:pPr>
      <w:bookmarkStart w:id="7" w:name="_heading=h.q0id8jg3wfs3" w:colFirst="0" w:colLast="0"/>
      <w:bookmarkEnd w:id="7"/>
      <w:r>
        <w:rPr>
          <w:color w:val="000000"/>
        </w:rPr>
        <w:t xml:space="preserve">Nonetheless, the seriousness of abuses and crimes committed by the Chinese corporations in Serbia has led to several cases of persecution against Chinese business actors (to be further detailed below) and efforts are made by civil society </w:t>
      </w:r>
      <w:r>
        <w:t>organisations</w:t>
      </w:r>
      <w:r>
        <w:rPr>
          <w:color w:val="000000"/>
        </w:rPr>
        <w:t xml:space="preserve"> to hold the Governments of Serbia and China accountable to their territorial and extraterritorial human rights obligations.</w:t>
      </w:r>
    </w:p>
    <w:p w14:paraId="54B5538B" w14:textId="77777777" w:rsidR="0052397E" w:rsidRDefault="0052397E">
      <w:pPr>
        <w:pStyle w:val="Heading1"/>
        <w:rPr>
          <w:rFonts w:ascii="Calibri" w:eastAsia="Calibri" w:hAnsi="Calibri" w:cs="Calibri"/>
          <w:b/>
          <w:color w:val="000000"/>
        </w:rPr>
      </w:pPr>
      <w:bookmarkStart w:id="8" w:name="_heading=h.xl0gr1ua2lqx" w:colFirst="0" w:colLast="0"/>
      <w:bookmarkEnd w:id="8"/>
      <w:r>
        <w:rPr>
          <w:rFonts w:ascii="Calibri" w:eastAsia="Calibri" w:hAnsi="Calibri" w:cs="Calibri"/>
          <w:b/>
          <w:color w:val="000000"/>
        </w:rPr>
        <w:t>Cases of Violations of the ESC Rights</w:t>
      </w:r>
    </w:p>
    <w:p w14:paraId="4B52D842" w14:textId="77777777" w:rsidR="0052397E" w:rsidRDefault="0052397E">
      <w:pPr>
        <w:keepNext/>
        <w:keepLines/>
        <w:pBdr>
          <w:top w:val="nil"/>
          <w:left w:val="nil"/>
          <w:bottom w:val="nil"/>
          <w:right w:val="nil"/>
          <w:between w:val="nil"/>
        </w:pBdr>
        <w:spacing w:before="40"/>
        <w:rPr>
          <w:i/>
          <w:color w:val="1E4D78"/>
          <w:sz w:val="28"/>
          <w:szCs w:val="28"/>
        </w:rPr>
      </w:pPr>
      <w:bookmarkStart w:id="9" w:name="_heading=h.1n4j1g7vadhg" w:colFirst="0" w:colLast="0"/>
      <w:bookmarkEnd w:id="9"/>
      <w:r>
        <w:rPr>
          <w:i/>
          <w:color w:val="1E4D78"/>
        </w:rPr>
        <w:t xml:space="preserve">  </w:t>
      </w:r>
      <w:r>
        <w:rPr>
          <w:i/>
          <w:color w:val="1E4D78"/>
          <w:sz w:val="28"/>
          <w:szCs w:val="28"/>
        </w:rPr>
        <w:t xml:space="preserve">Case 1: Copper Mining in Bor  </w:t>
      </w:r>
    </w:p>
    <w:p w14:paraId="443F30DF" w14:textId="77777777" w:rsidR="0052397E" w:rsidRDefault="0052397E"/>
    <w:p w14:paraId="4742AD22" w14:textId="77777777" w:rsidR="0052397E" w:rsidRDefault="0052397E">
      <w:pPr>
        <w:numPr>
          <w:ilvl w:val="0"/>
          <w:numId w:val="2"/>
        </w:numPr>
        <w:pBdr>
          <w:top w:val="nil"/>
          <w:left w:val="nil"/>
          <w:bottom w:val="nil"/>
          <w:right w:val="nil"/>
          <w:between w:val="nil"/>
        </w:pBdr>
        <w:jc w:val="both"/>
        <w:rPr>
          <w:color w:val="000000"/>
        </w:rPr>
      </w:pPr>
      <w:r>
        <w:rPr>
          <w:color w:val="000000"/>
          <w:highlight w:val="white"/>
        </w:rPr>
        <w:t xml:space="preserve">Situated in eastern </w:t>
      </w:r>
      <w:r>
        <w:rPr>
          <w:color w:val="000000"/>
        </w:rPr>
        <w:t xml:space="preserve">Serbia, the city of Bor (856 km²) has more than 48,000 inhabitants. Bor and its surrounding territory mainly </w:t>
      </w:r>
      <w:r>
        <w:t>consist</w:t>
      </w:r>
      <w:r>
        <w:rPr>
          <w:color w:val="000000"/>
        </w:rPr>
        <w:t xml:space="preserve"> of agricultural land, forests, hills, and mountains. More than 100 km² of the administrative border of the City of Bor extends into Kučaj-Beljanica, an area which is under the highest degree of environmental protection.</w:t>
      </w:r>
      <w:r>
        <w:rPr>
          <w:color w:val="000000"/>
          <w:vertAlign w:val="superscript"/>
        </w:rPr>
        <w:endnoteReference w:id="18"/>
      </w:r>
      <w:r>
        <w:rPr>
          <w:color w:val="000000"/>
        </w:rPr>
        <w:t xml:space="preserve"> Kučaj-Beljanica, in addition to its unique geomorphological features, is also the habitat of a considerable number of endangered species and natural habitats</w:t>
      </w:r>
      <w:r w:rsidR="00D63FC3">
        <w:rPr>
          <w:color w:val="000000"/>
        </w:rPr>
        <w:t xml:space="preserve">. The region is a candidate </w:t>
      </w:r>
      <w:r>
        <w:t>for</w:t>
      </w:r>
      <w:r>
        <w:rPr>
          <w:color w:val="000000"/>
        </w:rPr>
        <w:t xml:space="preserve"> an EMERALD site important for birds (Important Bird Areas) and butterflies (Prime Butterfly Areas).</w:t>
      </w:r>
      <w:r>
        <w:rPr>
          <w:color w:val="000000"/>
          <w:vertAlign w:val="superscript"/>
        </w:rPr>
        <w:endnoteReference w:id="19"/>
      </w:r>
    </w:p>
    <w:p w14:paraId="63F8CE30" w14:textId="77777777" w:rsidR="0052397E" w:rsidRDefault="0052397E">
      <w:pPr>
        <w:numPr>
          <w:ilvl w:val="0"/>
          <w:numId w:val="2"/>
        </w:numPr>
        <w:pBdr>
          <w:top w:val="nil"/>
          <w:left w:val="nil"/>
          <w:bottom w:val="nil"/>
          <w:right w:val="nil"/>
          <w:between w:val="nil"/>
        </w:pBdr>
        <w:jc w:val="both"/>
        <w:rPr>
          <w:color w:val="000000"/>
          <w:highlight w:val="white"/>
        </w:rPr>
      </w:pPr>
      <w:r>
        <w:rPr>
          <w:color w:val="000000"/>
        </w:rPr>
        <w:t xml:space="preserve">Nonetheless, Bor is also the city known for a copper mining and smelting complex, formerly known as Mining Smelter Basin Bor (RTB Bor). </w:t>
      </w:r>
      <w:r>
        <w:rPr>
          <w:color w:val="000000"/>
          <w:highlight w:val="white"/>
        </w:rPr>
        <w:t xml:space="preserve">In August 2018, </w:t>
      </w:r>
      <w:r>
        <w:rPr>
          <w:color w:val="000000"/>
        </w:rPr>
        <w:t xml:space="preserve">Zijin Mining Group Co., </w:t>
      </w:r>
      <w:r>
        <w:rPr>
          <w:color w:val="000000"/>
          <w:highlight w:val="white"/>
        </w:rPr>
        <w:t>a Chinese multinational mining company with state agencies as its institutional shareholders,</w:t>
      </w:r>
      <w:r>
        <w:rPr>
          <w:color w:val="000000"/>
          <w:highlight w:val="white"/>
          <w:vertAlign w:val="superscript"/>
        </w:rPr>
        <w:endnoteReference w:id="20"/>
      </w:r>
      <w:r>
        <w:rPr>
          <w:color w:val="000000"/>
          <w:highlight w:val="white"/>
        </w:rPr>
        <w:t xml:space="preserve"> became the largest shareholder in RTB Bor, a state-owned debt-ridden company.</w:t>
      </w:r>
      <w:r>
        <w:rPr>
          <w:color w:val="000000"/>
          <w:highlight w:val="white"/>
          <w:vertAlign w:val="superscript"/>
        </w:rPr>
        <w:endnoteReference w:id="21"/>
      </w:r>
      <w:r>
        <w:rPr>
          <w:color w:val="000000"/>
          <w:highlight w:val="white"/>
        </w:rPr>
        <w:t xml:space="preserve"> It became Zijin’s first Company in Serbia and the Balkans when it finally took over the company in 2018 (63% of </w:t>
      </w:r>
      <w:r>
        <w:rPr>
          <w:color w:val="000000"/>
        </w:rPr>
        <w:t>Mining Smelter Basin</w:t>
      </w:r>
      <w:r>
        <w:rPr>
          <w:color w:val="000000"/>
          <w:highlight w:val="white"/>
        </w:rPr>
        <w:t xml:space="preserve"> Bor’s shares), as part of the Belt and Road Initiative,</w:t>
      </w:r>
      <w:r>
        <w:rPr>
          <w:color w:val="000000"/>
          <w:highlight w:val="white"/>
          <w:vertAlign w:val="superscript"/>
        </w:rPr>
        <w:endnoteReference w:id="22"/>
      </w:r>
      <w:r>
        <w:rPr>
          <w:color w:val="000000"/>
          <w:highlight w:val="white"/>
        </w:rPr>
        <w:t xml:space="preserve"> and renamed it to Serbia Zijin Bor Copper.</w:t>
      </w:r>
      <w:r>
        <w:rPr>
          <w:color w:val="000000"/>
          <w:highlight w:val="white"/>
          <w:vertAlign w:val="superscript"/>
        </w:rPr>
        <w:endnoteReference w:id="23"/>
      </w:r>
      <w:r>
        <w:rPr>
          <w:color w:val="000000"/>
          <w:highlight w:val="white"/>
        </w:rPr>
        <w:t xml:space="preserve"> Most of the extracted copper, both mineral and refined, is being exported to China.</w:t>
      </w:r>
      <w:r>
        <w:rPr>
          <w:color w:val="000000"/>
          <w:highlight w:val="white"/>
          <w:vertAlign w:val="superscript"/>
        </w:rPr>
        <w:endnoteReference w:id="24"/>
      </w:r>
    </w:p>
    <w:p w14:paraId="5B0AE34C" w14:textId="77777777" w:rsidR="0052397E" w:rsidRDefault="0052397E">
      <w:pPr>
        <w:keepNext/>
        <w:keepLines/>
        <w:pBdr>
          <w:top w:val="nil"/>
          <w:left w:val="nil"/>
          <w:bottom w:val="nil"/>
          <w:right w:val="nil"/>
          <w:between w:val="nil"/>
        </w:pBdr>
        <w:spacing w:before="40"/>
        <w:rPr>
          <w:i/>
          <w:color w:val="272727"/>
          <w:sz w:val="24"/>
          <w:szCs w:val="24"/>
        </w:rPr>
      </w:pPr>
      <w:bookmarkStart w:id="10" w:name="_heading=h.2xxdnd2s38nv" w:colFirst="0" w:colLast="0"/>
      <w:bookmarkEnd w:id="10"/>
      <w:r>
        <w:rPr>
          <w:i/>
          <w:color w:val="272727"/>
          <w:sz w:val="24"/>
          <w:szCs w:val="24"/>
        </w:rPr>
        <w:t>Air Pollution</w:t>
      </w:r>
    </w:p>
    <w:p w14:paraId="4BBECEF9" w14:textId="77777777" w:rsidR="0052397E" w:rsidRDefault="0052397E">
      <w:pPr>
        <w:numPr>
          <w:ilvl w:val="0"/>
          <w:numId w:val="2"/>
        </w:numPr>
        <w:spacing w:before="120"/>
        <w:jc w:val="both"/>
        <w:rPr>
          <w:color w:val="000000"/>
        </w:rPr>
      </w:pPr>
      <w:r>
        <w:rPr>
          <w:color w:val="000000"/>
        </w:rPr>
        <w:t>Due to the intensification of industrial mining activities which started in 2019,</w:t>
      </w:r>
      <w:r>
        <w:rPr>
          <w:color w:val="000000"/>
          <w:vertAlign w:val="superscript"/>
        </w:rPr>
        <w:endnoteReference w:id="25"/>
      </w:r>
      <w:r>
        <w:rPr>
          <w:color w:val="000000"/>
        </w:rPr>
        <w:t xml:space="preserve"> </w:t>
      </w:r>
      <w:r>
        <w:rPr>
          <w:b/>
          <w:color w:val="000000"/>
        </w:rPr>
        <w:t>high concentrations of sulphur dioxide (SO2) and heavy metals</w:t>
      </w:r>
      <w:r>
        <w:rPr>
          <w:color w:val="000000"/>
        </w:rPr>
        <w:t xml:space="preserve"> are released into the air, excessively polluting the air in Bor (classified as the third category of air quality)</w:t>
      </w:r>
      <w:r>
        <w:rPr>
          <w:color w:val="000000"/>
          <w:vertAlign w:val="superscript"/>
        </w:rPr>
        <w:endnoteReference w:id="26"/>
      </w:r>
      <w:r>
        <w:rPr>
          <w:color w:val="000000"/>
        </w:rPr>
        <w:t xml:space="preserve"> and directly endangering the lives and health of people in Bor.</w:t>
      </w:r>
      <w:r>
        <w:rPr>
          <w:color w:val="000000"/>
          <w:vertAlign w:val="superscript"/>
        </w:rPr>
        <w:endnoteReference w:id="27"/>
      </w:r>
      <w:r>
        <w:rPr>
          <w:color w:val="000000"/>
        </w:rPr>
        <w:t xml:space="preserve"> High concentrations of SO2, dangerous for human health, were recorded as many as 13 times during 2019 and almost twice as often in 2020 (25 times).</w:t>
      </w:r>
      <w:r>
        <w:rPr>
          <w:color w:val="000000"/>
          <w:vertAlign w:val="superscript"/>
        </w:rPr>
        <w:endnoteReference w:id="28"/>
      </w:r>
      <w:r>
        <w:rPr>
          <w:color w:val="000000"/>
        </w:rPr>
        <w:t xml:space="preserve"> The exceedances continued in 2021 (7 times).</w:t>
      </w:r>
      <w:r>
        <w:rPr>
          <w:color w:val="000000"/>
          <w:vertAlign w:val="superscript"/>
        </w:rPr>
        <w:endnoteReference w:id="29"/>
      </w:r>
      <w:r>
        <w:rPr>
          <w:color w:val="000000"/>
        </w:rPr>
        <w:t xml:space="preserve"> </w:t>
      </w:r>
    </w:p>
    <w:p w14:paraId="721703AA" w14:textId="77777777" w:rsidR="0052397E" w:rsidRDefault="0052397E">
      <w:pPr>
        <w:numPr>
          <w:ilvl w:val="0"/>
          <w:numId w:val="2"/>
        </w:numPr>
        <w:spacing w:after="60"/>
        <w:jc w:val="both"/>
        <w:rPr>
          <w:color w:val="000000"/>
        </w:rPr>
      </w:pPr>
      <w:r>
        <w:rPr>
          <w:color w:val="000000"/>
        </w:rPr>
        <w:t xml:space="preserve">In addition, the smelting procedure is causing </w:t>
      </w:r>
      <w:r>
        <w:rPr>
          <w:b/>
          <w:color w:val="000000"/>
        </w:rPr>
        <w:t>high pollution of arsenic, lead, nickel and cadmium in the air in recent years</w:t>
      </w:r>
      <w:r>
        <w:rPr>
          <w:color w:val="000000"/>
        </w:rPr>
        <w:t>.</w:t>
      </w:r>
      <w:r>
        <w:rPr>
          <w:color w:val="000000"/>
          <w:vertAlign w:val="superscript"/>
        </w:rPr>
        <w:endnoteReference w:id="30"/>
      </w:r>
      <w:r>
        <w:rPr>
          <w:color w:val="000000"/>
        </w:rPr>
        <w:t xml:space="preserve"> The average annual value of arsenic concentration at one measuring station was 554 ng⁄m</w:t>
      </w:r>
      <w:r>
        <w:rPr>
          <w:color w:val="000000"/>
          <w:vertAlign w:val="superscript"/>
        </w:rPr>
        <w:t>3</w:t>
      </w:r>
      <w:r>
        <w:rPr>
          <w:color w:val="000000"/>
        </w:rPr>
        <w:t xml:space="preserve"> in 2019 and 277 ng⁄m</w:t>
      </w:r>
      <w:r>
        <w:rPr>
          <w:color w:val="000000"/>
          <w:vertAlign w:val="superscript"/>
        </w:rPr>
        <w:t>3</w:t>
      </w:r>
      <w:r>
        <w:rPr>
          <w:color w:val="000000"/>
        </w:rPr>
        <w:t xml:space="preserve"> in 2020.</w:t>
      </w:r>
      <w:r>
        <w:rPr>
          <w:color w:val="000000"/>
          <w:vertAlign w:val="superscript"/>
        </w:rPr>
        <w:endnoteReference w:id="31"/>
      </w:r>
      <w:r>
        <w:rPr>
          <w:color w:val="000000"/>
          <w:vertAlign w:val="superscript"/>
        </w:rPr>
        <w:t xml:space="preserve"> </w:t>
      </w:r>
      <w:r>
        <w:rPr>
          <w:color w:val="000000"/>
        </w:rPr>
        <w:t>These values are almost 93 and 38 times higher than the value determined to avoid, prevent or reduce harmful effects on human health and/or the environment as a whole, respectively.</w:t>
      </w:r>
      <w:r>
        <w:rPr>
          <w:color w:val="000000"/>
          <w:vertAlign w:val="superscript"/>
        </w:rPr>
        <w:endnoteReference w:id="32"/>
      </w:r>
      <w:r>
        <w:rPr>
          <w:color w:val="000000"/>
        </w:rPr>
        <w:t xml:space="preserve"> This trend continued in 2021 in which the permitted target value of arsenic at every measuring station in Bor exceeded multiple times.</w:t>
      </w:r>
      <w:r>
        <w:rPr>
          <w:color w:val="000000"/>
          <w:vertAlign w:val="superscript"/>
        </w:rPr>
        <w:endnoteReference w:id="33"/>
      </w:r>
      <w:r>
        <w:rPr>
          <w:color w:val="000000"/>
        </w:rPr>
        <w:t xml:space="preserve"> The </w:t>
      </w:r>
      <w:r>
        <w:rPr>
          <w:b/>
          <w:color w:val="000000"/>
        </w:rPr>
        <w:t>highest lead content</w:t>
      </w:r>
      <w:r>
        <w:rPr>
          <w:color w:val="000000"/>
        </w:rPr>
        <w:t xml:space="preserve"> in Serbia during 2021 was also recorded in Bor.</w:t>
      </w:r>
      <w:r>
        <w:rPr>
          <w:color w:val="000000"/>
          <w:vertAlign w:val="superscript"/>
        </w:rPr>
        <w:endnoteReference w:id="34"/>
      </w:r>
    </w:p>
    <w:p w14:paraId="77F48F75" w14:textId="77777777" w:rsidR="0052397E" w:rsidRDefault="0052397E">
      <w:pPr>
        <w:spacing w:after="60"/>
        <w:ind w:left="720"/>
        <w:jc w:val="both"/>
        <w:rPr>
          <w:color w:val="000000"/>
        </w:rPr>
      </w:pPr>
    </w:p>
    <w:p w14:paraId="7C3081B2" w14:textId="77777777" w:rsidR="0052397E" w:rsidRDefault="0052397E">
      <w:pPr>
        <w:keepNext/>
        <w:keepLines/>
        <w:pBdr>
          <w:top w:val="nil"/>
          <w:left w:val="nil"/>
          <w:bottom w:val="nil"/>
          <w:right w:val="nil"/>
          <w:between w:val="nil"/>
        </w:pBdr>
        <w:spacing w:before="40"/>
        <w:rPr>
          <w:i/>
          <w:color w:val="272727"/>
          <w:sz w:val="24"/>
          <w:szCs w:val="24"/>
        </w:rPr>
      </w:pPr>
      <w:bookmarkStart w:id="11" w:name="_heading=h.ojn0t8cewm0a" w:colFirst="0" w:colLast="0"/>
      <w:bookmarkEnd w:id="11"/>
      <w:r>
        <w:rPr>
          <w:i/>
          <w:color w:val="272727"/>
          <w:sz w:val="24"/>
          <w:szCs w:val="24"/>
        </w:rPr>
        <w:t xml:space="preserve">Water Pollution </w:t>
      </w:r>
    </w:p>
    <w:p w14:paraId="6BEC9627" w14:textId="77777777" w:rsidR="0052397E" w:rsidRDefault="0052397E">
      <w:pPr>
        <w:numPr>
          <w:ilvl w:val="0"/>
          <w:numId w:val="2"/>
        </w:numPr>
        <w:jc w:val="both"/>
        <w:rPr>
          <w:color w:val="000000"/>
        </w:rPr>
      </w:pPr>
      <w:r>
        <w:rPr>
          <w:color w:val="000000"/>
        </w:rPr>
        <w:t>The activities of Serbia Zijin Bor Copper affect the water quality of several rivers – the Borska River, Veliki Timok, Danube River, Krivelj River, Pek River, Mali</w:t>
      </w:r>
      <w:r>
        <w:t xml:space="preserve"> </w:t>
      </w:r>
      <w:r>
        <w:rPr>
          <w:color w:val="000000"/>
        </w:rPr>
        <w:t>Pek River, Brestovačka River, and Black Timok River, some of which are of ecological importance for the region.</w:t>
      </w:r>
    </w:p>
    <w:p w14:paraId="6E49462F" w14:textId="77777777" w:rsidR="0052397E" w:rsidRDefault="0052397E">
      <w:pPr>
        <w:numPr>
          <w:ilvl w:val="0"/>
          <w:numId w:val="2"/>
        </w:numPr>
        <w:jc w:val="both"/>
        <w:rPr>
          <w:color w:val="000000"/>
        </w:rPr>
      </w:pPr>
      <w:r>
        <w:rPr>
          <w:color w:val="000000"/>
        </w:rPr>
        <w:t xml:space="preserve">The Borska River, found in the immediate vicinity of the mining and smelting complex for the exploitation of copper ore, is probably </w:t>
      </w:r>
      <w:r>
        <w:rPr>
          <w:b/>
          <w:color w:val="000000"/>
        </w:rPr>
        <w:t xml:space="preserve">one of the most heavily polluted watercourses in Serbia. </w:t>
      </w:r>
      <w:r>
        <w:rPr>
          <w:color w:val="000000"/>
        </w:rPr>
        <w:t xml:space="preserve">Its brown-yellow surface water from Bor to its confluence with Veliki Timok is </w:t>
      </w:r>
      <w:r>
        <w:t>categorised</w:t>
      </w:r>
      <w:r>
        <w:rPr>
          <w:color w:val="000000"/>
        </w:rPr>
        <w:t xml:space="preserve"> as class IV according to the Regulation on water classification </w:t>
      </w:r>
      <w:r>
        <w:rPr>
          <w:i/>
          <w:color w:val="000000"/>
        </w:rPr>
        <w:t xml:space="preserve">i.e., </w:t>
      </w:r>
      <w:r>
        <w:rPr>
          <w:color w:val="000000"/>
        </w:rPr>
        <w:t>water that can only be used or exploited after special treatment.</w:t>
      </w:r>
      <w:r>
        <w:rPr>
          <w:color w:val="000000"/>
          <w:vertAlign w:val="superscript"/>
        </w:rPr>
        <w:endnoteReference w:id="35"/>
      </w:r>
      <w:r>
        <w:rPr>
          <w:color w:val="000000"/>
        </w:rPr>
        <w:t xml:space="preserve"> The Borska River flows through three settlements to the mouth of the Veliki Timok, a</w:t>
      </w:r>
      <w:r>
        <w:rPr>
          <w:color w:val="000000"/>
          <w:highlight w:val="white"/>
        </w:rPr>
        <w:t xml:space="preserve"> border river with Bulgaria, influencing its poor water quality</w:t>
      </w:r>
      <w:r>
        <w:rPr>
          <w:color w:val="000000"/>
          <w:highlight w:val="white"/>
          <w:vertAlign w:val="superscript"/>
        </w:rPr>
        <w:endnoteReference w:id="36"/>
      </w:r>
      <w:r>
        <w:rPr>
          <w:color w:val="000000"/>
          <w:highlight w:val="white"/>
        </w:rPr>
        <w:t xml:space="preserve"> and further contaminating the flora and fauna.</w:t>
      </w:r>
      <w:r>
        <w:rPr>
          <w:color w:val="000000"/>
          <w:vertAlign w:val="superscript"/>
        </w:rPr>
        <w:endnoteReference w:id="37"/>
      </w:r>
      <w:r>
        <w:rPr>
          <w:color w:val="000000"/>
        </w:rPr>
        <w:t xml:space="preserve"> Veliki Timok further influences the water quality of the Danube River, which is an ecological</w:t>
      </w:r>
      <w:r>
        <w:rPr>
          <w:color w:val="000000"/>
          <w:shd w:val="clear" w:color="auto" w:fill="F8FAFC"/>
        </w:rPr>
        <w:t xml:space="preserve"> corridor</w:t>
      </w:r>
      <w:r>
        <w:rPr>
          <w:color w:val="000000"/>
        </w:rPr>
        <w:t xml:space="preserve"> of European importance and</w:t>
      </w:r>
      <w:r>
        <w:rPr>
          <w:color w:val="000000"/>
          <w:shd w:val="clear" w:color="auto" w:fill="F8FAFC"/>
        </w:rPr>
        <w:t xml:space="preserve"> a hotspot for biodiversity.</w:t>
      </w:r>
      <w:r>
        <w:rPr>
          <w:color w:val="000000"/>
          <w:vertAlign w:val="superscript"/>
        </w:rPr>
        <w:endnoteReference w:id="38"/>
      </w:r>
    </w:p>
    <w:p w14:paraId="0C166832" w14:textId="77777777" w:rsidR="0052397E" w:rsidRDefault="0052397E">
      <w:pPr>
        <w:numPr>
          <w:ilvl w:val="0"/>
          <w:numId w:val="2"/>
        </w:numPr>
        <w:jc w:val="both"/>
        <w:rPr>
          <w:color w:val="000000"/>
        </w:rPr>
      </w:pPr>
      <w:r>
        <w:rPr>
          <w:color w:val="000000"/>
        </w:rPr>
        <w:t>In March 2021, the public was disturbed by the pollution of the Pek River, which took on a cloudy, red, copper, and green colour due to the illegal discharge of waste and mining waters by Serbia Zijin Bor Copper.</w:t>
      </w:r>
      <w:r>
        <w:rPr>
          <w:color w:val="000000"/>
          <w:vertAlign w:val="superscript"/>
        </w:rPr>
        <w:endnoteReference w:id="39"/>
      </w:r>
      <w:r>
        <w:rPr>
          <w:color w:val="000000"/>
        </w:rPr>
        <w:t xml:space="preserve"> The Pek River </w:t>
      </w:r>
      <w:r>
        <w:rPr>
          <w:color w:val="000000"/>
          <w:highlight w:val="white"/>
        </w:rPr>
        <w:t xml:space="preserve">originates from two major headwaters, Veliki Pek and Mali Pek, and is a </w:t>
      </w:r>
      <w:r>
        <w:rPr>
          <w:color w:val="000000"/>
        </w:rPr>
        <w:t>129-km-long right tributary of the Danube River. According to the Institute for Public Health report, from March 2021, the values of the sampled water in the Pek River for copper, manganese, iron, and sulphates multiply exceeded the reference values.</w:t>
      </w:r>
      <w:r>
        <w:rPr>
          <w:color w:val="000000"/>
          <w:vertAlign w:val="superscript"/>
        </w:rPr>
        <w:endnoteReference w:id="40"/>
      </w:r>
      <w:r>
        <w:rPr>
          <w:color w:val="000000"/>
        </w:rPr>
        <w:t xml:space="preserve"> In addition, the sampling results from the Mali Pek River</w:t>
      </w:r>
      <w:r>
        <w:rPr>
          <w:color w:val="000000"/>
          <w:vertAlign w:val="superscript"/>
        </w:rPr>
        <w:endnoteReference w:id="41"/>
      </w:r>
      <w:r>
        <w:rPr>
          <w:color w:val="000000"/>
        </w:rPr>
        <w:t xml:space="preserve"> showed that the sludge was extremely polluted due to high concentrations of pollutants, namely: copper in values </w:t>
      </w:r>
      <w:r>
        <w:rPr>
          <w:b/>
          <w:color w:val="000000"/>
        </w:rPr>
        <w:t>17 times</w:t>
      </w:r>
      <w:r>
        <w:rPr>
          <w:color w:val="000000"/>
        </w:rPr>
        <w:t xml:space="preserve"> higher than prescribed, arsenic in values </w:t>
      </w:r>
      <w:r>
        <w:rPr>
          <w:b/>
          <w:color w:val="000000"/>
        </w:rPr>
        <w:t>3.5 times</w:t>
      </w:r>
      <w:r>
        <w:rPr>
          <w:color w:val="000000"/>
        </w:rPr>
        <w:t xml:space="preserve"> higher than prescribed, as well as lead in values almost </w:t>
      </w:r>
      <w:r>
        <w:rPr>
          <w:b/>
          <w:color w:val="000000"/>
        </w:rPr>
        <w:t xml:space="preserve">twice </w:t>
      </w:r>
      <w:r>
        <w:rPr>
          <w:color w:val="000000"/>
        </w:rPr>
        <w:t>higher in relation to the prescribed.</w:t>
      </w:r>
      <w:r>
        <w:rPr>
          <w:color w:val="000000"/>
          <w:vertAlign w:val="superscript"/>
        </w:rPr>
        <w:endnoteReference w:id="42"/>
      </w:r>
    </w:p>
    <w:p w14:paraId="52A80806" w14:textId="77777777" w:rsidR="0052397E" w:rsidRDefault="0052397E">
      <w:pPr>
        <w:numPr>
          <w:ilvl w:val="0"/>
          <w:numId w:val="2"/>
        </w:numPr>
        <w:jc w:val="both"/>
        <w:rPr>
          <w:color w:val="000000"/>
        </w:rPr>
      </w:pPr>
      <w:r>
        <w:rPr>
          <w:color w:val="000000"/>
        </w:rPr>
        <w:t xml:space="preserve">The pollution of the Mali Pek River was undoubtedly caused by the activities of Serbia Zijin Bor Copper. The results of the water samples taken from surface waters and wastewater downstream from the mine showed multiple exceedances of the limit values of pollutants (iron in an amount </w:t>
      </w:r>
      <w:r>
        <w:rPr>
          <w:b/>
          <w:color w:val="000000"/>
        </w:rPr>
        <w:t>five times</w:t>
      </w:r>
      <w:r>
        <w:rPr>
          <w:color w:val="000000"/>
        </w:rPr>
        <w:t xml:space="preserve"> higher than the prescribed value and manganese in an amount </w:t>
      </w:r>
      <w:r>
        <w:rPr>
          <w:b/>
          <w:color w:val="000000"/>
        </w:rPr>
        <w:t>twice as high</w:t>
      </w:r>
      <w:r>
        <w:rPr>
          <w:color w:val="000000"/>
        </w:rPr>
        <w:t xml:space="preserve"> as the prescribed value). The values of these pollutants upstream from the mine were within the permitted values.</w:t>
      </w:r>
      <w:r>
        <w:rPr>
          <w:color w:val="000000"/>
          <w:vertAlign w:val="superscript"/>
        </w:rPr>
        <w:endnoteReference w:id="43"/>
      </w:r>
      <w:r>
        <w:rPr>
          <w:color w:val="000000"/>
          <w:vertAlign w:val="superscript"/>
        </w:rPr>
        <w:t xml:space="preserve"> </w:t>
      </w:r>
      <w:r>
        <w:rPr>
          <w:color w:val="000000"/>
        </w:rPr>
        <w:t xml:space="preserve">The Mali Pek River was consequently classified as a </w:t>
      </w:r>
      <w:r>
        <w:rPr>
          <w:b/>
          <w:color w:val="000000"/>
        </w:rPr>
        <w:t>fifth class of surface waters</w:t>
      </w:r>
      <w:r>
        <w:rPr>
          <w:color w:val="000000"/>
        </w:rPr>
        <w:t xml:space="preserve"> (i.e., surface waters cannot be used for any purpose). </w:t>
      </w:r>
    </w:p>
    <w:p w14:paraId="1348C16C" w14:textId="77777777" w:rsidR="0052397E" w:rsidRDefault="0052397E">
      <w:pPr>
        <w:numPr>
          <w:ilvl w:val="0"/>
          <w:numId w:val="2"/>
        </w:numPr>
        <w:jc w:val="both"/>
        <w:rPr>
          <w:color w:val="000000"/>
        </w:rPr>
      </w:pPr>
      <w:r>
        <w:rPr>
          <w:color w:val="000000"/>
        </w:rPr>
        <w:t>The analysis of sediment samples at the location of the waste canal from the Čukaru Peki mine, the Brestovačka River (in which wastewater from the mine is discharged), and the Black Timok River (into which Brestovačka River flows) showed a high concentration of copper above the remediation value, whereas the sediment from the waste canal sample showed a concentration of arsenic above the target value.</w:t>
      </w:r>
      <w:r>
        <w:rPr>
          <w:color w:val="000000"/>
          <w:vertAlign w:val="superscript"/>
        </w:rPr>
        <w:endnoteReference w:id="44"/>
      </w:r>
    </w:p>
    <w:p w14:paraId="69310DA5" w14:textId="77777777" w:rsidR="0052397E" w:rsidRDefault="0052397E">
      <w:pPr>
        <w:ind w:left="720"/>
        <w:jc w:val="both"/>
        <w:rPr>
          <w:color w:val="000000"/>
        </w:rPr>
      </w:pPr>
    </w:p>
    <w:p w14:paraId="19E562BD" w14:textId="77777777" w:rsidR="0052397E" w:rsidRDefault="0052397E">
      <w:pPr>
        <w:keepNext/>
        <w:keepLines/>
        <w:pBdr>
          <w:top w:val="nil"/>
          <w:left w:val="nil"/>
          <w:bottom w:val="nil"/>
          <w:right w:val="nil"/>
          <w:between w:val="nil"/>
        </w:pBdr>
        <w:spacing w:before="40"/>
        <w:rPr>
          <w:i/>
          <w:color w:val="272727"/>
          <w:sz w:val="24"/>
          <w:szCs w:val="24"/>
        </w:rPr>
      </w:pPr>
      <w:bookmarkStart w:id="12" w:name="_heading=h.j9u6atexqt11" w:colFirst="0" w:colLast="0"/>
      <w:bookmarkEnd w:id="12"/>
      <w:r>
        <w:rPr>
          <w:i/>
          <w:color w:val="272727"/>
          <w:sz w:val="24"/>
          <w:szCs w:val="24"/>
        </w:rPr>
        <w:t>Health consequences attributed to air and water pollution</w:t>
      </w:r>
    </w:p>
    <w:p w14:paraId="1009A070" w14:textId="77777777" w:rsidR="0052397E" w:rsidRDefault="0052397E">
      <w:pPr>
        <w:numPr>
          <w:ilvl w:val="0"/>
          <w:numId w:val="2"/>
        </w:numPr>
        <w:jc w:val="both"/>
        <w:rPr>
          <w:color w:val="000000"/>
        </w:rPr>
      </w:pPr>
      <w:bookmarkStart w:id="13" w:name="_heading=h.2et92p0" w:colFirst="0" w:colLast="0"/>
      <w:bookmarkEnd w:id="13"/>
      <w:r>
        <w:rPr>
          <w:color w:val="000000"/>
        </w:rPr>
        <w:t xml:space="preserve">The official study conducted by the Ministry of Health, the Ministry of Environmental Protection, and the Institute for Public Health of Serbia concludes that </w:t>
      </w:r>
      <w:r>
        <w:rPr>
          <w:b/>
          <w:color w:val="000000"/>
        </w:rPr>
        <w:t>there is a significantly higher risk for all malignant tumours (except skin tumours), illness and death among men and women due to the pollution in Bor</w:t>
      </w:r>
      <w:r>
        <w:rPr>
          <w:color w:val="000000"/>
        </w:rPr>
        <w:t>. This pattern is observed for cancer of the bronchus and lungs, cancer of the liver, pancreas, kidney, bladder, colon and rectum, thyroid gland, lymphopoietic tissue, Hodgkin's and non-Hodgkin's lymphoma, myeloid leukaemia, and mesothelioma. The same pattern was observed in deaths from cervical and ovarian cancer in women, as well as prostate and testicular cancer in men. Concerning mortality for all causes of death, i.e., death due to diseases of the circulatory system, respiratory, digestive, and urogenital diseases, it was observed that there is a higher risk of mortality in almost all groups in both men and women in Bor. A higher risk of death in both sexes was registered for all diseases and disorders, including diabetes mellitus, diseases of the circulatory system, diseases of the respiratory system, as well as congenital deformities, malformations, and chromosomal aberrations.</w:t>
      </w:r>
      <w:r>
        <w:rPr>
          <w:color w:val="000000"/>
          <w:vertAlign w:val="superscript"/>
        </w:rPr>
        <w:endnoteReference w:id="45"/>
      </w:r>
    </w:p>
    <w:p w14:paraId="5C5CAFDE" w14:textId="77777777" w:rsidR="0052397E" w:rsidRDefault="0052397E">
      <w:pPr>
        <w:numPr>
          <w:ilvl w:val="0"/>
          <w:numId w:val="2"/>
        </w:numPr>
        <w:jc w:val="both"/>
        <w:rPr>
          <w:color w:val="000000"/>
        </w:rPr>
      </w:pPr>
      <w:r>
        <w:rPr>
          <w:color w:val="000000"/>
        </w:rPr>
        <w:t>Sulphur dioxide, the toxic gas released during the copper smelting process, contributes to the formation of acid rain and is a major cause of biodiversity loss.</w:t>
      </w:r>
      <w:r>
        <w:rPr>
          <w:color w:val="000000"/>
          <w:vertAlign w:val="superscript"/>
        </w:rPr>
        <w:endnoteReference w:id="46"/>
      </w:r>
      <w:r>
        <w:rPr>
          <w:color w:val="000000"/>
        </w:rPr>
        <w:t xml:space="preserve"> Emission of health-harming pollutants causes a wide range of health effects including respiratory illness and infections, heart disease, stroke, lung cancer, and adverse negative birth outcomes (e.g., preterm birth and low birth weight).</w:t>
      </w:r>
      <w:r>
        <w:rPr>
          <w:color w:val="000000"/>
          <w:vertAlign w:val="superscript"/>
        </w:rPr>
        <w:endnoteReference w:id="47"/>
      </w:r>
      <w:r>
        <w:rPr>
          <w:color w:val="000000"/>
        </w:rPr>
        <w:t xml:space="preserve"> A growing body of evidence links air pollution to other health problems including cataracts, ear infections, the onset of asthma in children, chronic deficits in lung function, stunting, diabetes, childhood obesity, developmental delays, reduced intelligence, and neurological disorders affecting both children and adults.</w:t>
      </w:r>
      <w:r>
        <w:rPr>
          <w:color w:val="000000"/>
          <w:vertAlign w:val="superscript"/>
        </w:rPr>
        <w:endnoteReference w:id="48"/>
      </w:r>
    </w:p>
    <w:p w14:paraId="6AD3C6EA" w14:textId="77777777" w:rsidR="0052397E" w:rsidRDefault="0052397E">
      <w:pPr>
        <w:numPr>
          <w:ilvl w:val="0"/>
          <w:numId w:val="2"/>
        </w:numPr>
        <w:jc w:val="both"/>
        <w:rPr>
          <w:color w:val="000000"/>
        </w:rPr>
      </w:pPr>
      <w:r>
        <w:rPr>
          <w:color w:val="000000"/>
        </w:rPr>
        <w:t>Arsenic can cause acute, sub-acute, or chronic effects, with lung cancer as the critical health effect of long-term exposure to high concentrations of arsenic in ambient air.</w:t>
      </w:r>
      <w:r>
        <w:rPr>
          <w:color w:val="000000"/>
          <w:vertAlign w:val="superscript"/>
        </w:rPr>
        <w:endnoteReference w:id="49"/>
      </w:r>
      <w:r>
        <w:rPr>
          <w:color w:val="000000"/>
        </w:rPr>
        <w:t xml:space="preserve"> Exposure to arsenic via ingestion may result in nonmelanoma skin cancer and bladder, kidney, liver, and lung cancers.</w:t>
      </w:r>
      <w:r>
        <w:rPr>
          <w:color w:val="000000"/>
          <w:vertAlign w:val="superscript"/>
        </w:rPr>
        <w:endnoteReference w:id="50"/>
      </w:r>
      <w:r>
        <w:rPr>
          <w:color w:val="000000"/>
        </w:rPr>
        <w:t xml:space="preserve"> Children are particularly vulnerable, given that arsenic exposure has been linked to decreased intellectual function and neurocognitive and behavioural issues. The reproductive and developmental effects of arsenic exposure amount to notably low birth weights, neonatal death, and increased infant mortality.</w:t>
      </w:r>
      <w:r>
        <w:rPr>
          <w:color w:val="000000"/>
          <w:vertAlign w:val="superscript"/>
        </w:rPr>
        <w:endnoteReference w:id="51"/>
      </w:r>
      <w:r>
        <w:rPr>
          <w:color w:val="000000"/>
        </w:rPr>
        <w:t xml:space="preserve"> Exposure to lead, even at very low levels, has been associated with a range of negative health effects, causing damage to the kidneys, liver, nervous system, and other organs, and no level of ex</w:t>
      </w:r>
      <w:r>
        <w:t xml:space="preserve">posure </w:t>
      </w:r>
      <w:r>
        <w:rPr>
          <w:color w:val="000000"/>
        </w:rPr>
        <w:t xml:space="preserve">without deleterious effects </w:t>
      </w:r>
      <w:r>
        <w:t>has</w:t>
      </w:r>
      <w:r>
        <w:rPr>
          <w:color w:val="000000"/>
        </w:rPr>
        <w:t xml:space="preserve"> been identified.</w:t>
      </w:r>
      <w:r>
        <w:rPr>
          <w:color w:val="000000"/>
          <w:vertAlign w:val="superscript"/>
        </w:rPr>
        <w:endnoteReference w:id="52"/>
      </w:r>
      <w:r>
        <w:rPr>
          <w:color w:val="000000"/>
        </w:rPr>
        <w:t xml:space="preserve"> Children are particularly vulnerable to the neurotoxic effects of lead, which include impaired cognitive and behavioural development that can have life-long impacts.</w:t>
      </w:r>
      <w:r>
        <w:rPr>
          <w:color w:val="000000"/>
          <w:vertAlign w:val="superscript"/>
        </w:rPr>
        <w:endnoteReference w:id="53"/>
      </w:r>
      <w:r>
        <w:rPr>
          <w:color w:val="000000"/>
        </w:rPr>
        <w:t xml:space="preserve"> Lead stored in the bones may be released into the blood during pregnancy, which even in small doses can expose the </w:t>
      </w:r>
      <w:r>
        <w:t>foetus</w:t>
      </w:r>
      <w:r>
        <w:rPr>
          <w:color w:val="000000"/>
        </w:rPr>
        <w:t xml:space="preserve"> to damage and affect the nervous system and brain development, resulting in reduced IQ and learning problems.</w:t>
      </w:r>
      <w:r>
        <w:rPr>
          <w:color w:val="000000"/>
          <w:vertAlign w:val="superscript"/>
        </w:rPr>
        <w:endnoteReference w:id="54"/>
      </w:r>
      <w:r>
        <w:rPr>
          <w:color w:val="000000"/>
        </w:rPr>
        <w:t xml:space="preserve"> The neurological and behavioural effects of lead are believed to be irreversible.</w:t>
      </w:r>
      <w:r>
        <w:rPr>
          <w:color w:val="000000"/>
          <w:vertAlign w:val="superscript"/>
        </w:rPr>
        <w:endnoteReference w:id="55"/>
      </w:r>
      <w:r>
        <w:rPr>
          <w:color w:val="000000"/>
        </w:rPr>
        <w:t xml:space="preserve"> Cadmium is considered a cancer-causing agent,</w:t>
      </w:r>
      <w:r>
        <w:rPr>
          <w:color w:val="000000"/>
          <w:vertAlign w:val="superscript"/>
        </w:rPr>
        <w:endnoteReference w:id="56"/>
      </w:r>
      <w:r>
        <w:rPr>
          <w:color w:val="000000"/>
        </w:rPr>
        <w:t xml:space="preserve"> while exposure to various nickel compounds increases the risks of lung cancer and nasal cancer.</w:t>
      </w:r>
      <w:r>
        <w:rPr>
          <w:color w:val="000000"/>
          <w:vertAlign w:val="superscript"/>
        </w:rPr>
        <w:endnoteReference w:id="57"/>
      </w:r>
    </w:p>
    <w:p w14:paraId="5982F518" w14:textId="77777777" w:rsidR="0052397E" w:rsidRDefault="0052397E">
      <w:pPr>
        <w:numPr>
          <w:ilvl w:val="0"/>
          <w:numId w:val="2"/>
        </w:numPr>
        <w:jc w:val="both"/>
        <w:rPr>
          <w:color w:val="000000"/>
        </w:rPr>
      </w:pPr>
      <w:r>
        <w:rPr>
          <w:color w:val="000000"/>
        </w:rPr>
        <w:t xml:space="preserve">An increase in the production and mining activities unaccompanied by adequate investments in environmental protection and without </w:t>
      </w:r>
      <w:r>
        <w:t xml:space="preserve">the </w:t>
      </w:r>
      <w:r>
        <w:rPr>
          <w:color w:val="000000"/>
        </w:rPr>
        <w:t xml:space="preserve">application of environmental protection measures impacted the water quality and quantity, causing rivers flowing through Bor to be one of the most polluted regions in Serbia. </w:t>
      </w:r>
      <w:r>
        <w:t xml:space="preserve">The </w:t>
      </w:r>
      <w:r>
        <w:rPr>
          <w:color w:val="000000"/>
        </w:rPr>
        <w:t>Bor region has lost half of its water resources in 2019.</w:t>
      </w:r>
      <w:r>
        <w:rPr>
          <w:color w:val="000000"/>
          <w:vertAlign w:val="superscript"/>
        </w:rPr>
        <w:endnoteReference w:id="58"/>
      </w:r>
      <w:r>
        <w:rPr>
          <w:color w:val="000000"/>
        </w:rPr>
        <w:t xml:space="preserve"> </w:t>
      </w:r>
    </w:p>
    <w:p w14:paraId="10017DC0" w14:textId="77777777" w:rsidR="0052397E" w:rsidRDefault="0052397E">
      <w:pPr>
        <w:numPr>
          <w:ilvl w:val="0"/>
          <w:numId w:val="2"/>
        </w:numPr>
        <w:jc w:val="both"/>
        <w:rPr>
          <w:color w:val="000000"/>
        </w:rPr>
      </w:pPr>
      <w:r>
        <w:rPr>
          <w:color w:val="000000"/>
        </w:rPr>
        <w:t>While the specific impact of water pollution on human health in Bor has not been studied, villagers who live on land on which the rivers of Krivelj, Borska and Brestovačka flow complain about the difficult and limited access to water. The villagers have noticed that their livestock no longer drink water from the rivers. Since the polluted water from the rivers reaches the underground water and wells, villagers are compelled to use water provided through the city water supply for their livestock and home gardens, adding enormous pressure on their livelihood.</w:t>
      </w:r>
      <w:r>
        <w:rPr>
          <w:color w:val="000000"/>
          <w:vertAlign w:val="superscript"/>
        </w:rPr>
        <w:endnoteReference w:id="59"/>
      </w:r>
      <w:r>
        <w:rPr>
          <w:color w:val="000000"/>
        </w:rPr>
        <w:t xml:space="preserve"> </w:t>
      </w:r>
    </w:p>
    <w:p w14:paraId="2441F509" w14:textId="77777777" w:rsidR="0052397E" w:rsidRDefault="0052397E">
      <w:pPr>
        <w:numPr>
          <w:ilvl w:val="0"/>
          <w:numId w:val="2"/>
        </w:numPr>
        <w:jc w:val="both"/>
        <w:rPr>
          <w:color w:val="000000"/>
        </w:rPr>
      </w:pPr>
      <w:r>
        <w:rPr>
          <w:color w:val="000000"/>
          <w:highlight w:val="white"/>
        </w:rPr>
        <w:t xml:space="preserve">Moreover, the valleys of the Borska and Veliki Timok rivers, which represent over 2000 hectares of the most fertile land, are unusable due to pyrite dumping. In accordance with a </w:t>
      </w:r>
      <w:r>
        <w:rPr>
          <w:color w:val="000000"/>
        </w:rPr>
        <w:t>decision issued by the Republic Inspectorate for Environmental Protection, RTB Bor was obliged to create and implement a recultivation and remediation program, which it did not implement, and therefore Serbia Zijin Bor Copper should have taken over this task. Farmers from these villages were left without the most fertile land, which is very scarce in this region, and without income from arable farming, vegetable farming and livestock farming.</w:t>
      </w:r>
      <w:r>
        <w:rPr>
          <w:color w:val="000000"/>
          <w:vertAlign w:val="superscript"/>
        </w:rPr>
        <w:endnoteReference w:id="60"/>
      </w:r>
    </w:p>
    <w:p w14:paraId="11621C49" w14:textId="77777777" w:rsidR="0052397E" w:rsidRDefault="0052397E">
      <w:pPr>
        <w:numPr>
          <w:ilvl w:val="0"/>
          <w:numId w:val="2"/>
        </w:numPr>
        <w:spacing w:after="60"/>
        <w:jc w:val="both"/>
        <w:rPr>
          <w:color w:val="000000"/>
        </w:rPr>
      </w:pPr>
      <w:r>
        <w:rPr>
          <w:color w:val="000000"/>
          <w:highlight w:val="white"/>
        </w:rPr>
        <w:t>Due to Zijin’s mining activities, over 20 hectares of land have been degraded by excavation, whereas over 58 hectares of land have suffered degradation caused by tailings disposal.</w:t>
      </w:r>
      <w:r>
        <w:rPr>
          <w:color w:val="000000"/>
          <w:highlight w:val="white"/>
          <w:vertAlign w:val="superscript"/>
        </w:rPr>
        <w:endnoteReference w:id="61"/>
      </w:r>
    </w:p>
    <w:p w14:paraId="7BE3D0F7" w14:textId="77777777" w:rsidR="0052397E" w:rsidRDefault="0052397E">
      <w:pPr>
        <w:spacing w:after="60"/>
        <w:ind w:left="720"/>
        <w:jc w:val="both"/>
        <w:rPr>
          <w:color w:val="000000"/>
        </w:rPr>
      </w:pPr>
    </w:p>
    <w:p w14:paraId="6DD499A0" w14:textId="77777777" w:rsidR="0052397E" w:rsidRDefault="0052397E">
      <w:pPr>
        <w:keepNext/>
        <w:keepLines/>
        <w:pBdr>
          <w:top w:val="nil"/>
          <w:left w:val="nil"/>
          <w:bottom w:val="nil"/>
          <w:right w:val="nil"/>
          <w:between w:val="nil"/>
        </w:pBdr>
        <w:spacing w:before="40"/>
        <w:rPr>
          <w:i/>
          <w:color w:val="272727"/>
          <w:sz w:val="24"/>
          <w:szCs w:val="24"/>
        </w:rPr>
      </w:pPr>
      <w:bookmarkStart w:id="16" w:name="_heading=h.gnmrjgvfh7og" w:colFirst="0" w:colLast="0"/>
      <w:bookmarkEnd w:id="16"/>
      <w:r>
        <w:rPr>
          <w:i/>
          <w:color w:val="272727"/>
          <w:sz w:val="24"/>
          <w:szCs w:val="24"/>
        </w:rPr>
        <w:t>Land Expropriation</w:t>
      </w:r>
    </w:p>
    <w:p w14:paraId="10167FBF" w14:textId="77777777" w:rsidR="0052397E" w:rsidRDefault="0052397E">
      <w:pPr>
        <w:numPr>
          <w:ilvl w:val="0"/>
          <w:numId w:val="2"/>
        </w:numPr>
        <w:spacing w:before="120"/>
        <w:jc w:val="both"/>
        <w:rPr>
          <w:color w:val="000000"/>
        </w:rPr>
      </w:pPr>
      <w:r>
        <w:rPr>
          <w:color w:val="000000"/>
          <w:highlight w:val="white"/>
        </w:rPr>
        <w:t>The Serbian legal framework does not only allow public expropriation, but expropriation is possible for private purposes for companies to make a profit.</w:t>
      </w:r>
      <w:r>
        <w:rPr>
          <w:color w:val="000000"/>
          <w:highlight w:val="white"/>
          <w:vertAlign w:val="superscript"/>
        </w:rPr>
        <w:endnoteReference w:id="62"/>
      </w:r>
      <w:r>
        <w:rPr>
          <w:color w:val="000000"/>
          <w:highlight w:val="white"/>
        </w:rPr>
        <w:t xml:space="preserve"> Serbia Zijin Mining llc Bor, another subsidiary of Zijin Mining Group Co. but contrary to Serbia Zijin Copper Bor </w:t>
      </w:r>
      <w:r>
        <w:rPr>
          <w:color w:val="000000"/>
        </w:rPr>
        <w:t>wholly owned by it,</w:t>
      </w:r>
      <w:r>
        <w:rPr>
          <w:color w:val="000000"/>
          <w:vertAlign w:val="superscript"/>
        </w:rPr>
        <w:endnoteReference w:id="63"/>
      </w:r>
      <w:r>
        <w:rPr>
          <w:color w:val="000000"/>
        </w:rPr>
        <w:t xml:space="preserve"> is heavily benefiting from the unconstitutional and unlawful provisions of the Law on Mining and Geological Research which are unfavourable to the local communities,</w:t>
      </w:r>
      <w:r>
        <w:rPr>
          <w:color w:val="000000"/>
          <w:vertAlign w:val="superscript"/>
        </w:rPr>
        <w:endnoteReference w:id="64"/>
      </w:r>
      <w:r>
        <w:rPr>
          <w:color w:val="000000"/>
        </w:rPr>
        <w:t xml:space="preserve"> and is continuously abusing legal provisions in the proceedings of expropriation, </w:t>
      </w:r>
      <w:r>
        <w:t>jeopardising</w:t>
      </w:r>
      <w:r>
        <w:rPr>
          <w:color w:val="000000"/>
        </w:rPr>
        <w:t xml:space="preserve"> the full enjoyment of the right to property, right to housing, right to private and family life, as well as the right to food and nutrition of the local communities. </w:t>
      </w:r>
    </w:p>
    <w:p w14:paraId="4A2F7629" w14:textId="77777777" w:rsidR="0052397E" w:rsidRDefault="0052397E">
      <w:pPr>
        <w:numPr>
          <w:ilvl w:val="0"/>
          <w:numId w:val="2"/>
        </w:numPr>
        <w:jc w:val="both"/>
        <w:rPr>
          <w:color w:val="000000"/>
        </w:rPr>
      </w:pPr>
      <w:r>
        <w:rPr>
          <w:color w:val="000000"/>
        </w:rPr>
        <w:t>Due to the expansion of the Zijin mines, massive population movements and multiple displacements are already taking place. Currently, the village of Krivelj (around 400 households), must be relocated to a new location due to the expansion of the Veliki Krivelj mine. However, with the new decision on the development of the Spatial Plan for the Spatial Purposes for the Čukaru Peki mine, the question is whether the new relocation site can also be affected by the expansion of the Čukaru Peki mine.</w:t>
      </w:r>
      <w:r>
        <w:rPr>
          <w:color w:val="000000"/>
          <w:vertAlign w:val="superscript"/>
        </w:rPr>
        <w:endnoteReference w:id="65"/>
      </w:r>
      <w:r>
        <w:rPr>
          <w:color w:val="000000"/>
        </w:rPr>
        <w:t xml:space="preserve"> In addition, the expansion of the Čukaru Peki mine will impact the villages of Oštrelj and Slatina and the suburban settlements of Malazija and Suvaja which will all have to be relocated.</w:t>
      </w:r>
      <w:r>
        <w:rPr>
          <w:color w:val="000000"/>
          <w:vertAlign w:val="superscript"/>
        </w:rPr>
        <w:endnoteReference w:id="66"/>
      </w:r>
      <w:r>
        <w:rPr>
          <w:color w:val="000000"/>
        </w:rPr>
        <w:t xml:space="preserve"> </w:t>
      </w:r>
      <w:r>
        <w:t>A</w:t>
      </w:r>
      <w:r>
        <w:rPr>
          <w:color w:val="000000"/>
        </w:rPr>
        <w:t>ccording to the draft Spatial Plan of the Republic of Serbia from 2021 until 2035, the most dramatic loss of population by 2035 is predicted in the Bor district where the population is expected to be reduced by almost half, signalling a massive relocation ahead.</w:t>
      </w:r>
      <w:r>
        <w:rPr>
          <w:color w:val="000000"/>
          <w:vertAlign w:val="superscript"/>
        </w:rPr>
        <w:endnoteReference w:id="67"/>
      </w:r>
    </w:p>
    <w:p w14:paraId="19D4F071" w14:textId="77777777" w:rsidR="0052397E" w:rsidRDefault="0052397E">
      <w:pPr>
        <w:numPr>
          <w:ilvl w:val="0"/>
          <w:numId w:val="2"/>
        </w:numPr>
        <w:jc w:val="both"/>
        <w:rPr>
          <w:color w:val="000000"/>
        </w:rPr>
      </w:pPr>
      <w:r>
        <w:rPr>
          <w:color w:val="000000"/>
        </w:rPr>
        <w:t xml:space="preserve">In practice, Serbia Zijin Mining offers a significantly lower price than the market value to the property owner for the purchase of </w:t>
      </w:r>
      <w:r>
        <w:t>thei</w:t>
      </w:r>
      <w:r>
        <w:rPr>
          <w:color w:val="000000"/>
        </w:rPr>
        <w:t>r land. If the owner of the property refuses the offer, then the competent administrative authority</w:t>
      </w:r>
      <w:r>
        <w:rPr>
          <w:color w:val="000000"/>
          <w:vertAlign w:val="superscript"/>
        </w:rPr>
        <w:endnoteReference w:id="68"/>
      </w:r>
      <w:r>
        <w:rPr>
          <w:color w:val="000000"/>
        </w:rPr>
        <w:t xml:space="preserve"> issues a decision on the expropriation of </w:t>
      </w:r>
      <w:r>
        <w:t>their</w:t>
      </w:r>
      <w:r>
        <w:rPr>
          <w:color w:val="000000"/>
        </w:rPr>
        <w:t xml:space="preserve"> property for the benefit of the company, forcing the owner to conduct court proceedings to determine lawful and fair compensation for the expropriated real property.</w:t>
      </w:r>
      <w:r>
        <w:rPr>
          <w:color w:val="000000"/>
          <w:vertAlign w:val="superscript"/>
        </w:rPr>
        <w:endnoteReference w:id="69"/>
      </w:r>
      <w:r>
        <w:rPr>
          <w:color w:val="000000"/>
        </w:rPr>
        <w:t xml:space="preserve"> All court proceeding costs are to be shouldered by the villagers who owned the land.</w:t>
      </w:r>
    </w:p>
    <w:p w14:paraId="1918E7F5" w14:textId="77777777" w:rsidR="0052397E" w:rsidRDefault="0052397E">
      <w:pPr>
        <w:numPr>
          <w:ilvl w:val="0"/>
          <w:numId w:val="2"/>
        </w:numPr>
        <w:jc w:val="both"/>
        <w:rPr>
          <w:i/>
          <w:color w:val="000000"/>
        </w:rPr>
      </w:pPr>
      <w:r>
        <w:rPr>
          <w:color w:val="000000"/>
        </w:rPr>
        <w:t xml:space="preserve">There are no effective dispute-resolution mechanisms in the event of disputes in violations of tenure rights. It is particularly worrisome that the court proceedings usually take an unreasonably long time, during which the owner is deprived of  property and evicted from the family house and </w:t>
      </w:r>
      <w:r>
        <w:t xml:space="preserve">cultivated </w:t>
      </w:r>
      <w:r>
        <w:rPr>
          <w:color w:val="000000"/>
        </w:rPr>
        <w:t xml:space="preserve">land. According to M.Ž., a villager who was evicted to make way for the Zijin mine, </w:t>
      </w:r>
      <w:r>
        <w:rPr>
          <w:i/>
          <w:color w:val="000000"/>
        </w:rPr>
        <w:t>“The Court</w:t>
      </w:r>
      <w:r>
        <w:rPr>
          <w:i/>
          <w:color w:val="000000"/>
          <w:sz w:val="24"/>
          <w:szCs w:val="24"/>
        </w:rPr>
        <w:t xml:space="preserve"> </w:t>
      </w:r>
      <w:r>
        <w:rPr>
          <w:i/>
          <w:color w:val="000000"/>
        </w:rPr>
        <w:t>proceedings for determining the compensation for their expropriated property are lasting more than two years. The end of the process is not expected in the near future”.</w:t>
      </w:r>
      <w:r>
        <w:rPr>
          <w:color w:val="000000"/>
          <w:vertAlign w:val="superscript"/>
        </w:rPr>
        <w:endnoteReference w:id="70"/>
      </w:r>
      <w:r>
        <w:rPr>
          <w:i/>
          <w:color w:val="000000"/>
        </w:rPr>
        <w:t xml:space="preserve"> </w:t>
      </w:r>
    </w:p>
    <w:p w14:paraId="6B8771BA" w14:textId="77777777" w:rsidR="0052397E" w:rsidRDefault="0052397E">
      <w:pPr>
        <w:numPr>
          <w:ilvl w:val="0"/>
          <w:numId w:val="2"/>
        </w:numPr>
        <w:jc w:val="both"/>
        <w:rPr>
          <w:i/>
          <w:color w:val="000000"/>
        </w:rPr>
      </w:pPr>
      <w:r>
        <w:rPr>
          <w:color w:val="000000"/>
        </w:rPr>
        <w:t>Villagers whose land has been expropriated cultivate what is left to provide for their families' basic existential conditions. For some villagers, the object of expropriation is the forest. Losing forests means people are left without firewood during winter seasons.</w:t>
      </w:r>
      <w:r>
        <w:rPr>
          <w:color w:val="000000"/>
          <w:vertAlign w:val="superscript"/>
        </w:rPr>
        <w:endnoteReference w:id="71"/>
      </w:r>
      <w:r>
        <w:rPr>
          <w:color w:val="000000"/>
        </w:rPr>
        <w:t xml:space="preserve"> </w:t>
      </w:r>
    </w:p>
    <w:p w14:paraId="4622D099" w14:textId="77777777" w:rsidR="0052397E" w:rsidRDefault="0052397E">
      <w:pPr>
        <w:numPr>
          <w:ilvl w:val="0"/>
          <w:numId w:val="2"/>
        </w:numPr>
        <w:spacing w:after="240"/>
        <w:jc w:val="both"/>
        <w:rPr>
          <w:color w:val="000000"/>
        </w:rPr>
      </w:pPr>
      <w:r>
        <w:rPr>
          <w:color w:val="000000"/>
        </w:rPr>
        <w:t xml:space="preserve">The Law on Expropriation only allows in urgent cases (e.g., construction of hospitals in time of war) for the property to be handed over before the decision on compensation becomes final, not qualifying the construction of mines for private company’s profit as urgent. However, eviction with </w:t>
      </w:r>
      <w:r>
        <w:t xml:space="preserve">an </w:t>
      </w:r>
      <w:r>
        <w:rPr>
          <w:color w:val="000000"/>
        </w:rPr>
        <w:t xml:space="preserve">extremely short eviction notice before compensation </w:t>
      </w:r>
      <w:r>
        <w:t xml:space="preserve">is </w:t>
      </w:r>
      <w:r>
        <w:rPr>
          <w:color w:val="000000"/>
        </w:rPr>
        <w:t xml:space="preserve">determined has become </w:t>
      </w:r>
      <w:r>
        <w:t xml:space="preserve">a </w:t>
      </w:r>
      <w:r>
        <w:rPr>
          <w:color w:val="000000"/>
        </w:rPr>
        <w:t>practice rather than an exception.</w:t>
      </w:r>
      <w:r>
        <w:rPr>
          <w:color w:val="000000"/>
          <w:vertAlign w:val="superscript"/>
        </w:rPr>
        <w:endnoteReference w:id="72"/>
      </w:r>
    </w:p>
    <w:p w14:paraId="40A96A4E" w14:textId="77777777" w:rsidR="0052397E" w:rsidRDefault="0052397E">
      <w:pPr>
        <w:pBdr>
          <w:top w:val="single" w:sz="4" w:space="1" w:color="000000"/>
          <w:left w:val="single" w:sz="4" w:space="4" w:color="000000"/>
          <w:bottom w:val="single" w:sz="4" w:space="1" w:color="000000"/>
          <w:right w:val="single" w:sz="4" w:space="4" w:color="000000"/>
        </w:pBdr>
        <w:spacing w:before="240" w:after="240"/>
        <w:ind w:left="720"/>
        <w:jc w:val="both"/>
        <w:rPr>
          <w:b/>
          <w:color w:val="000000"/>
        </w:rPr>
      </w:pPr>
      <w:r>
        <w:rPr>
          <w:b/>
          <w:color w:val="000000"/>
        </w:rPr>
        <w:t>A Testimony of a Villager from Slatina, in the Vicinity of Bor</w:t>
      </w:r>
    </w:p>
    <w:p w14:paraId="3E5FFB51" w14:textId="77777777" w:rsidR="0052397E" w:rsidRDefault="0052397E">
      <w:pPr>
        <w:pBdr>
          <w:top w:val="single" w:sz="4" w:space="1" w:color="000000"/>
          <w:left w:val="single" w:sz="4" w:space="4" w:color="000000"/>
          <w:bottom w:val="single" w:sz="4" w:space="1" w:color="000000"/>
          <w:right w:val="single" w:sz="4" w:space="4" w:color="000000"/>
        </w:pBdr>
        <w:spacing w:before="240" w:after="240"/>
        <w:ind w:left="720"/>
        <w:jc w:val="both"/>
        <w:rPr>
          <w:color w:val="000000"/>
        </w:rPr>
      </w:pPr>
      <w:r>
        <w:rPr>
          <w:color w:val="000000"/>
        </w:rPr>
        <w:t>“</w:t>
      </w:r>
      <w:r>
        <w:rPr>
          <w:i/>
          <w:color w:val="000000"/>
        </w:rPr>
        <w:t xml:space="preserve">My family was initially offered an unacceptably low price for the purchase of our immovable property. When we rejected the offer, we were expressly deprived of the land we cultivated, and our property was given to Zijin Mining. There is an atmosphere of fear in society. People accept the company's lowest offers for expropriation of their property because they are aware that their property will be confiscated anyway, and that they will not have basic existential conditions, houses in which they live, </w:t>
      </w:r>
      <w:r>
        <w:rPr>
          <w:i/>
        </w:rPr>
        <w:t>or</w:t>
      </w:r>
      <w:r>
        <w:rPr>
          <w:i/>
          <w:color w:val="000000"/>
        </w:rPr>
        <w:t xml:space="preserve"> the land they cultivate. We are not the only ones expelled from our properties and land.</w:t>
      </w:r>
      <w:r>
        <w:rPr>
          <w:i/>
          <w:color w:val="000000"/>
          <w:vertAlign w:val="superscript"/>
        </w:rPr>
        <w:endnoteReference w:id="73"/>
      </w:r>
      <w:r>
        <w:rPr>
          <w:i/>
          <w:color w:val="000000"/>
        </w:rPr>
        <w:t xml:space="preserve"> Without land, we cannot earn from agriculture anymore, and we are not yet paid for the expropriated property.</w:t>
      </w:r>
      <w:r>
        <w:rPr>
          <w:color w:val="000000"/>
        </w:rPr>
        <w:t>”</w:t>
      </w:r>
    </w:p>
    <w:p w14:paraId="0339291F" w14:textId="77777777" w:rsidR="0052397E" w:rsidRDefault="0052397E">
      <w:pPr>
        <w:keepNext/>
        <w:keepLines/>
        <w:pBdr>
          <w:top w:val="nil"/>
          <w:left w:val="nil"/>
          <w:bottom w:val="nil"/>
          <w:right w:val="nil"/>
          <w:between w:val="nil"/>
        </w:pBdr>
        <w:spacing w:before="40"/>
        <w:rPr>
          <w:color w:val="000000"/>
          <w:highlight w:val="yellow"/>
        </w:rPr>
      </w:pPr>
      <w:bookmarkStart w:id="17" w:name="_heading=h.wobf4uvw0id9" w:colFirst="0" w:colLast="0"/>
      <w:bookmarkEnd w:id="17"/>
      <w:r>
        <w:rPr>
          <w:i/>
          <w:color w:val="272727"/>
          <w:sz w:val="24"/>
          <w:szCs w:val="24"/>
        </w:rPr>
        <w:t>Other Social Impact</w:t>
      </w:r>
    </w:p>
    <w:p w14:paraId="42EB43CF" w14:textId="77777777" w:rsidR="0052397E" w:rsidRDefault="0052397E">
      <w:pPr>
        <w:keepNext/>
        <w:numPr>
          <w:ilvl w:val="0"/>
          <w:numId w:val="2"/>
        </w:numPr>
        <w:jc w:val="both"/>
        <w:rPr>
          <w:color w:val="000000"/>
        </w:rPr>
      </w:pPr>
      <w:r>
        <w:rPr>
          <w:color w:val="000000"/>
        </w:rPr>
        <w:t xml:space="preserve">Serbia Zijin </w:t>
      </w:r>
      <w:r>
        <w:t>Mining</w:t>
      </w:r>
      <w:r>
        <w:rPr>
          <w:color w:val="000000"/>
        </w:rPr>
        <w:t xml:space="preserve"> controls goods and searches vehicles, which pass by near </w:t>
      </w:r>
      <w:r>
        <w:t>Čukaru Peki mine</w:t>
      </w:r>
      <w:r>
        <w:rPr>
          <w:color w:val="000000"/>
        </w:rPr>
        <w:t>. It has also installed a ramp on a public road.</w:t>
      </w:r>
      <w:r>
        <w:rPr>
          <w:color w:val="000000"/>
          <w:vertAlign w:val="superscript"/>
        </w:rPr>
        <w:endnoteReference w:id="74"/>
      </w:r>
      <w:r>
        <w:rPr>
          <w:color w:val="000000"/>
        </w:rPr>
        <w:t xml:space="preserve"> These actions cause road blockades and road occupations, making transportation difficult for the local population.</w:t>
      </w:r>
      <w:r>
        <w:rPr>
          <w:color w:val="000000"/>
          <w:vertAlign w:val="superscript"/>
        </w:rPr>
        <w:endnoteReference w:id="75"/>
      </w:r>
      <w:r>
        <w:rPr>
          <w:color w:val="000000"/>
        </w:rPr>
        <w:t xml:space="preserve"> According to the testimony of a local community member T. M.:“</w:t>
      </w:r>
      <w:r>
        <w:rPr>
          <w:i/>
          <w:color w:val="000000"/>
        </w:rPr>
        <w:t>Zijin uses the local infrastructure only for its own needs, denying the rights of the local population</w:t>
      </w:r>
      <w:r>
        <w:rPr>
          <w:color w:val="000000"/>
        </w:rPr>
        <w:t>”.</w:t>
      </w:r>
      <w:r>
        <w:rPr>
          <w:color w:val="000000"/>
          <w:vertAlign w:val="superscript"/>
        </w:rPr>
        <w:endnoteReference w:id="76"/>
      </w:r>
    </w:p>
    <w:p w14:paraId="569522DC" w14:textId="77777777" w:rsidR="0052397E" w:rsidRDefault="0052397E">
      <w:pPr>
        <w:keepNext/>
        <w:numPr>
          <w:ilvl w:val="0"/>
          <w:numId w:val="2"/>
        </w:numPr>
        <w:spacing w:after="240"/>
        <w:jc w:val="both"/>
        <w:rPr>
          <w:color w:val="000000"/>
        </w:rPr>
      </w:pPr>
      <w:bookmarkStart w:id="18" w:name="_heading=h.tyjcwt" w:colFirst="0" w:colLast="0"/>
      <w:bookmarkEnd w:id="18"/>
      <w:r>
        <w:rPr>
          <w:color w:val="000000"/>
        </w:rPr>
        <w:t>The working conditions within the Serbia Zijin Bor Copper are close to unknown, and very little information has been disclosed. However, fatal injuries and accidents at work are increasingly being reported,</w:t>
      </w:r>
      <w:r>
        <w:rPr>
          <w:color w:val="000000"/>
          <w:vertAlign w:val="superscript"/>
        </w:rPr>
        <w:endnoteReference w:id="77"/>
      </w:r>
      <w:r>
        <w:rPr>
          <w:color w:val="000000"/>
        </w:rPr>
        <w:t xml:space="preserve"> as well as fights on the construction sites of temporary settlements.</w:t>
      </w:r>
      <w:r>
        <w:rPr>
          <w:color w:val="000000"/>
          <w:vertAlign w:val="superscript"/>
        </w:rPr>
        <w:endnoteReference w:id="78"/>
      </w:r>
      <w:r>
        <w:rPr>
          <w:color w:val="000000"/>
        </w:rPr>
        <w:t xml:space="preserve"> Serbian Zijin Bor Cop</w:t>
      </w:r>
      <w:r>
        <w:t>per</w:t>
      </w:r>
      <w:r>
        <w:rPr>
          <w:color w:val="000000"/>
        </w:rPr>
        <w:t xml:space="preserve"> is lowering the rights of Serbian workers guaranteed by the collective agreement (for example, wage growth not proportionate with the level of inflation, reduction of remuneration for work on weekends, national holidays and in the second and third shifts, reduction of the number of days of paid leave in cases of death of family members and childbirth) resulting in strikes among the workers.</w:t>
      </w:r>
      <w:r>
        <w:rPr>
          <w:color w:val="000000"/>
          <w:vertAlign w:val="superscript"/>
        </w:rPr>
        <w:endnoteReference w:id="79"/>
      </w:r>
    </w:p>
    <w:p w14:paraId="3267276B" w14:textId="77777777" w:rsidR="0052397E" w:rsidRDefault="0052397E">
      <w:pPr>
        <w:keepNext/>
        <w:keepLines/>
        <w:pBdr>
          <w:top w:val="nil"/>
          <w:left w:val="nil"/>
          <w:bottom w:val="nil"/>
          <w:right w:val="nil"/>
          <w:between w:val="nil"/>
        </w:pBdr>
        <w:spacing w:before="40"/>
        <w:rPr>
          <w:i/>
          <w:color w:val="1E4D78"/>
          <w:sz w:val="28"/>
          <w:szCs w:val="28"/>
        </w:rPr>
      </w:pPr>
      <w:bookmarkStart w:id="19" w:name="_heading=h.j264pv3qk1a4" w:colFirst="0" w:colLast="0"/>
      <w:bookmarkEnd w:id="19"/>
      <w:r>
        <w:rPr>
          <w:i/>
          <w:color w:val="1E4D78"/>
          <w:sz w:val="28"/>
          <w:szCs w:val="28"/>
        </w:rPr>
        <w:t xml:space="preserve">Case 2 - Linglong Tire Factory - Labour Exploitation and Human Trafficking </w:t>
      </w:r>
    </w:p>
    <w:p w14:paraId="3A5FF103" w14:textId="77777777" w:rsidR="0052397E" w:rsidRDefault="0052397E">
      <w:pPr>
        <w:numPr>
          <w:ilvl w:val="0"/>
          <w:numId w:val="2"/>
        </w:numPr>
        <w:spacing w:before="240"/>
        <w:jc w:val="both"/>
        <w:rPr>
          <w:color w:val="000000"/>
        </w:rPr>
      </w:pPr>
      <w:r>
        <w:rPr>
          <w:color w:val="000000"/>
        </w:rPr>
        <w:t>In 2019, Linglong International Europe started the construction of a tire factory in Zrenjanin, with a capacity of 13 million tires a year.</w:t>
      </w:r>
      <w:r>
        <w:rPr>
          <w:color w:val="000000"/>
          <w:vertAlign w:val="superscript"/>
        </w:rPr>
        <w:endnoteReference w:id="80"/>
      </w:r>
      <w:r>
        <w:rPr>
          <w:color w:val="000000"/>
        </w:rPr>
        <w:t xml:space="preserve"> This factory was the second overseas factory, and the first European facility of Shandong Linglong Tyre Co., Ltd.</w:t>
      </w:r>
      <w:r>
        <w:rPr>
          <w:color w:val="000000"/>
          <w:vertAlign w:val="superscript"/>
        </w:rPr>
        <w:endnoteReference w:id="81"/>
      </w:r>
      <w:r>
        <w:rPr>
          <w:color w:val="000000"/>
        </w:rPr>
        <w:t xml:space="preserve"> Before the completion of the factory construction, in June 2020, the Serbian Commission for the State Aid Control approved </w:t>
      </w:r>
      <w:r>
        <w:rPr>
          <w:b/>
          <w:color w:val="000000"/>
        </w:rPr>
        <w:t>State Aid of over € 83 million to Linglong International Europe</w:t>
      </w:r>
      <w:r>
        <w:rPr>
          <w:color w:val="000000"/>
        </w:rPr>
        <w:t>. This was done through two components:  transfer of grants as high as € 76 million, granted by the Ministry of Economy, and alienation of 95 hectares of land owned by the City of Zrenjanin without market compensation with a value estimated at € 7.6 million, granted by the Republic Property Directorate of the Republic of Serbia.</w:t>
      </w:r>
      <w:r>
        <w:rPr>
          <w:color w:val="000000"/>
          <w:vertAlign w:val="superscript"/>
        </w:rPr>
        <w:endnoteReference w:id="82"/>
      </w:r>
    </w:p>
    <w:p w14:paraId="0DADE253" w14:textId="77777777" w:rsidR="0052397E" w:rsidRDefault="0052397E">
      <w:pPr>
        <w:numPr>
          <w:ilvl w:val="0"/>
          <w:numId w:val="2"/>
        </w:numPr>
        <w:spacing w:after="240"/>
        <w:jc w:val="both"/>
        <w:rPr>
          <w:color w:val="000000"/>
        </w:rPr>
      </w:pPr>
      <w:r>
        <w:rPr>
          <w:color w:val="000000"/>
        </w:rPr>
        <w:t xml:space="preserve">The State Aid was provided without Linglong International Europe </w:t>
      </w:r>
      <w:r>
        <w:rPr>
          <w:b/>
          <w:color w:val="000000"/>
        </w:rPr>
        <w:t>providing the authorities with the assurances that it would comply with the environmental regulations</w:t>
      </w:r>
      <w:r>
        <w:rPr>
          <w:color w:val="000000"/>
        </w:rPr>
        <w:t>. Moreover, from the very beginning of the project implementation, Linglong International Europe resorted to salami-slicing (see paragraph 10), violating the regulations governing EIA. In addition, the investor did not provide the conditions of the competent Institute for Nature Conservation, without which it was not possible to determine the impact of the project on the environment, especially the impact on flora and fauna.</w:t>
      </w:r>
      <w:r>
        <w:rPr>
          <w:color w:val="000000"/>
          <w:vertAlign w:val="superscript"/>
        </w:rPr>
        <w:endnoteReference w:id="83"/>
      </w:r>
      <w:r>
        <w:rPr>
          <w:color w:val="000000"/>
        </w:rPr>
        <w:t xml:space="preserve"> In addition, the public was prevented from participating in the public debate on the EIA study of this project.</w:t>
      </w:r>
      <w:r>
        <w:rPr>
          <w:color w:val="000000"/>
          <w:vertAlign w:val="superscript"/>
        </w:rPr>
        <w:endnoteReference w:id="84"/>
      </w:r>
      <w:r>
        <w:rPr>
          <w:color w:val="000000"/>
        </w:rPr>
        <w:t xml:space="preserve"> Linglong International Europe constructed its facilities without construction permits and EIA approval.</w:t>
      </w:r>
      <w:r>
        <w:rPr>
          <w:color w:val="000000"/>
          <w:vertAlign w:val="superscript"/>
        </w:rPr>
        <w:endnoteReference w:id="85"/>
      </w:r>
      <w:r>
        <w:rPr>
          <w:color w:val="000000"/>
        </w:rPr>
        <w:t xml:space="preserve">  </w:t>
      </w:r>
    </w:p>
    <w:p w14:paraId="62D042A5" w14:textId="77777777" w:rsidR="0052397E" w:rsidRDefault="0052397E">
      <w:pPr>
        <w:keepNext/>
        <w:keepLines/>
        <w:pBdr>
          <w:top w:val="nil"/>
          <w:left w:val="nil"/>
          <w:bottom w:val="nil"/>
          <w:right w:val="nil"/>
          <w:between w:val="nil"/>
        </w:pBdr>
        <w:spacing w:before="40"/>
        <w:rPr>
          <w:i/>
          <w:color w:val="272727"/>
          <w:sz w:val="24"/>
          <w:szCs w:val="24"/>
        </w:rPr>
      </w:pPr>
      <w:bookmarkStart w:id="20" w:name="_heading=h.4ptu0ndz0czz" w:colFirst="0" w:colLast="0"/>
      <w:bookmarkEnd w:id="20"/>
      <w:r>
        <w:rPr>
          <w:i/>
          <w:color w:val="272727"/>
          <w:sz w:val="24"/>
          <w:szCs w:val="24"/>
        </w:rPr>
        <w:t xml:space="preserve">Labour exploitation of Vietnamese workers </w:t>
      </w:r>
      <w:r>
        <w:rPr>
          <w:i/>
          <w:color w:val="272727"/>
          <w:sz w:val="24"/>
          <w:szCs w:val="24"/>
        </w:rPr>
        <w:tab/>
      </w:r>
    </w:p>
    <w:p w14:paraId="6A99B27E" w14:textId="77777777" w:rsidR="0052397E" w:rsidRDefault="0052397E">
      <w:pPr>
        <w:numPr>
          <w:ilvl w:val="0"/>
          <w:numId w:val="2"/>
        </w:numPr>
        <w:spacing w:before="240"/>
        <w:jc w:val="both"/>
        <w:rPr>
          <w:color w:val="000000"/>
        </w:rPr>
      </w:pPr>
      <w:r>
        <w:rPr>
          <w:color w:val="000000"/>
        </w:rPr>
        <w:t xml:space="preserve">However, the most severe violations of domestic and international laws and regulations took place at the end of 2021, when the case of </w:t>
      </w:r>
      <w:r>
        <w:rPr>
          <w:b/>
          <w:color w:val="000000"/>
        </w:rPr>
        <w:t>labour exploitation and human trafficking of more than 400 workers from Vietnam</w:t>
      </w:r>
      <w:r>
        <w:rPr>
          <w:color w:val="000000"/>
        </w:rPr>
        <w:t xml:space="preserve"> </w:t>
      </w:r>
      <w:r>
        <w:t>were</w:t>
      </w:r>
      <w:r>
        <w:rPr>
          <w:color w:val="000000"/>
        </w:rPr>
        <w:t xml:space="preserve"> revealed by the media</w:t>
      </w:r>
      <w:r>
        <w:rPr>
          <w:color w:val="000000"/>
          <w:vertAlign w:val="superscript"/>
        </w:rPr>
        <w:endnoteReference w:id="86"/>
      </w:r>
      <w:r>
        <w:rPr>
          <w:color w:val="000000"/>
        </w:rPr>
        <w:t xml:space="preserve"> and civil society </w:t>
      </w:r>
      <w:r>
        <w:t>organisations</w:t>
      </w:r>
      <w:r>
        <w:rPr>
          <w:color w:val="000000"/>
        </w:rPr>
        <w:t>.</w:t>
      </w:r>
      <w:r>
        <w:rPr>
          <w:color w:val="000000"/>
          <w:vertAlign w:val="superscript"/>
        </w:rPr>
        <w:endnoteReference w:id="87"/>
      </w:r>
    </w:p>
    <w:p w14:paraId="256183F6" w14:textId="77777777" w:rsidR="0052397E" w:rsidRDefault="0052397E">
      <w:pPr>
        <w:numPr>
          <w:ilvl w:val="0"/>
          <w:numId w:val="2"/>
        </w:numPr>
        <w:jc w:val="both"/>
        <w:rPr>
          <w:b/>
          <w:color w:val="000000"/>
        </w:rPr>
      </w:pPr>
      <w:r>
        <w:rPr>
          <w:color w:val="000000"/>
        </w:rPr>
        <w:t xml:space="preserve">The A 11 – Initiative for Economic and Social Rights, together with other activists visited the workers on 14 November 2021, and documented their living conditions and indicators for human trafficking. At the time of the visit, </w:t>
      </w:r>
      <w:r>
        <w:rPr>
          <w:b/>
          <w:color w:val="000000"/>
        </w:rPr>
        <w:t>none of the workers had their passports with them,</w:t>
      </w:r>
      <w:r>
        <w:rPr>
          <w:color w:val="000000"/>
        </w:rPr>
        <w:t xml:space="preserve"> as the company "kept" them on their premises. </w:t>
      </w:r>
      <w:r>
        <w:t>An</w:t>
      </w:r>
      <w:r>
        <w:rPr>
          <w:color w:val="000000"/>
        </w:rPr>
        <w:t xml:space="preserve"> estimated 402 workers were recruited through three Vietnamese labour export recruitment agencies, and the workers were hired by China Energy Engineering Group Tianjin Electric Power Construction Co., Ltd, Belgrade Branch, and Sichuan Dinglong Electric Power Engineering, two Chinese construction companies registered as foreign companies in Serbia, which were hired as subcontractors for the construction of the Linglong tire factory by Linglong International Europe. </w:t>
      </w:r>
      <w:r>
        <w:rPr>
          <w:b/>
          <w:color w:val="000000"/>
        </w:rPr>
        <w:t>The workers paid between $2000 and $4000 to the recruitment companies in their home country.</w:t>
      </w:r>
    </w:p>
    <w:p w14:paraId="29103555" w14:textId="77777777" w:rsidR="0052397E" w:rsidRDefault="0052397E">
      <w:pPr>
        <w:numPr>
          <w:ilvl w:val="0"/>
          <w:numId w:val="2"/>
        </w:numPr>
        <w:spacing w:after="240"/>
        <w:jc w:val="both"/>
        <w:rPr>
          <w:color w:val="000000"/>
        </w:rPr>
      </w:pPr>
      <w:r>
        <w:rPr>
          <w:color w:val="000000"/>
        </w:rPr>
        <w:t xml:space="preserve">However, only when they arrived in Serbia, they </w:t>
      </w:r>
      <w:r>
        <w:t>realised</w:t>
      </w:r>
      <w:r>
        <w:rPr>
          <w:color w:val="000000"/>
        </w:rPr>
        <w:t xml:space="preserve"> that they would not work for a German company in Serbia, but for Linglong International Europe. Their employment status was not in line with the Law on Employment of Foreign Citizens,</w:t>
      </w:r>
      <w:r>
        <w:rPr>
          <w:color w:val="000000"/>
          <w:vertAlign w:val="superscript"/>
        </w:rPr>
        <w:endnoteReference w:id="88"/>
      </w:r>
      <w:r>
        <w:rPr>
          <w:color w:val="000000"/>
        </w:rPr>
        <w:t xml:space="preserve"> as they were </w:t>
      </w:r>
      <w:r>
        <w:rPr>
          <w:b/>
          <w:color w:val="000000"/>
        </w:rPr>
        <w:t>not provided with work permits</w:t>
      </w:r>
      <w:r>
        <w:rPr>
          <w:color w:val="000000"/>
        </w:rPr>
        <w:t>, and the contract itself was not in compliance with the provisions of the Labour Law.</w:t>
      </w:r>
      <w:r>
        <w:rPr>
          <w:color w:val="000000"/>
          <w:vertAlign w:val="superscript"/>
        </w:rPr>
        <w:endnoteReference w:id="89"/>
      </w:r>
    </w:p>
    <w:p w14:paraId="6DDAC3DC" w14:textId="77777777" w:rsidR="0052397E" w:rsidRDefault="0052397E">
      <w:pPr>
        <w:keepNext/>
        <w:keepLines/>
        <w:pBdr>
          <w:top w:val="nil"/>
          <w:left w:val="nil"/>
          <w:bottom w:val="nil"/>
          <w:right w:val="nil"/>
          <w:between w:val="nil"/>
        </w:pBdr>
        <w:spacing w:before="40"/>
        <w:rPr>
          <w:i/>
          <w:color w:val="272727"/>
          <w:sz w:val="24"/>
          <w:szCs w:val="24"/>
        </w:rPr>
      </w:pPr>
      <w:bookmarkStart w:id="21" w:name="_heading=h.3jser990b64" w:colFirst="0" w:colLast="0"/>
      <w:bookmarkEnd w:id="21"/>
      <w:r>
        <w:rPr>
          <w:i/>
          <w:color w:val="272727"/>
          <w:sz w:val="24"/>
          <w:szCs w:val="24"/>
        </w:rPr>
        <w:t xml:space="preserve">Employment Status of the Vietnamese Workers </w:t>
      </w:r>
    </w:p>
    <w:p w14:paraId="7C98C1C9" w14:textId="77777777" w:rsidR="0052397E" w:rsidRDefault="0052397E">
      <w:pPr>
        <w:numPr>
          <w:ilvl w:val="0"/>
          <w:numId w:val="2"/>
        </w:numPr>
        <w:spacing w:before="240" w:after="240"/>
        <w:jc w:val="both"/>
        <w:rPr>
          <w:color w:val="000000"/>
        </w:rPr>
      </w:pPr>
      <w:r>
        <w:rPr>
          <w:color w:val="000000"/>
        </w:rPr>
        <w:t xml:space="preserve">The workers were forced to work in 9-hour shifts with a one-hour lunch break for 26 days a month, which was </w:t>
      </w:r>
      <w:r>
        <w:rPr>
          <w:b/>
          <w:color w:val="000000"/>
        </w:rPr>
        <w:t xml:space="preserve">against the minimum protection requirements set up in the provisions governing overtime in the Labour Law, </w:t>
      </w:r>
      <w:r>
        <w:rPr>
          <w:color w:val="000000"/>
        </w:rPr>
        <w:t>as the maximum overtime in Serbia cannot exceed 8 hours a week.</w:t>
      </w:r>
      <w:r>
        <w:rPr>
          <w:color w:val="000000"/>
          <w:vertAlign w:val="superscript"/>
        </w:rPr>
        <w:endnoteReference w:id="90"/>
      </w:r>
      <w:r>
        <w:rPr>
          <w:color w:val="000000"/>
        </w:rPr>
        <w:t xml:space="preserve"> In addition to that, the workers were </w:t>
      </w:r>
      <w:r>
        <w:rPr>
          <w:b/>
          <w:color w:val="000000"/>
        </w:rPr>
        <w:t>not paid for this “overtime” and their salaries were delayed</w:t>
      </w:r>
      <w:r>
        <w:rPr>
          <w:color w:val="000000"/>
        </w:rPr>
        <w:t>. Their contracts also stipulated that they are not allowed to engage in trade union activities and that in case their contracts are cancelled due to their liability, they will have to pay for their flights back to Vietnam.</w:t>
      </w:r>
      <w:r>
        <w:rPr>
          <w:color w:val="000000"/>
          <w:vertAlign w:val="superscript"/>
        </w:rPr>
        <w:endnoteReference w:id="91"/>
      </w:r>
      <w:r>
        <w:rPr>
          <w:color w:val="000000"/>
        </w:rPr>
        <w:t xml:space="preserve"> Moreover, </w:t>
      </w:r>
      <w:r>
        <w:rPr>
          <w:b/>
          <w:color w:val="000000"/>
        </w:rPr>
        <w:t>in case of attrition, the workers' relatives and friends will have to pay compensation to labour export recruitment companies.</w:t>
      </w:r>
      <w:r>
        <w:rPr>
          <w:color w:val="000000"/>
          <w:vertAlign w:val="superscript"/>
        </w:rPr>
        <w:endnoteReference w:id="92"/>
      </w:r>
    </w:p>
    <w:p w14:paraId="0B4F2765" w14:textId="77777777" w:rsidR="0052397E" w:rsidRDefault="0052397E">
      <w:pPr>
        <w:keepNext/>
        <w:keepLines/>
        <w:pBdr>
          <w:top w:val="nil"/>
          <w:left w:val="nil"/>
          <w:bottom w:val="nil"/>
          <w:right w:val="nil"/>
          <w:between w:val="nil"/>
        </w:pBdr>
        <w:spacing w:before="40"/>
        <w:rPr>
          <w:i/>
          <w:color w:val="272727"/>
          <w:sz w:val="24"/>
          <w:szCs w:val="24"/>
        </w:rPr>
      </w:pPr>
      <w:bookmarkStart w:id="22" w:name="_heading=h.uxfony91jklb" w:colFirst="0" w:colLast="0"/>
      <w:bookmarkEnd w:id="22"/>
      <w:r>
        <w:rPr>
          <w:i/>
          <w:color w:val="272727"/>
          <w:sz w:val="24"/>
          <w:szCs w:val="24"/>
        </w:rPr>
        <w:t xml:space="preserve">Accommodation of the Vietnamese Workers </w:t>
      </w:r>
    </w:p>
    <w:p w14:paraId="76A70C67" w14:textId="77777777" w:rsidR="0052397E" w:rsidRDefault="0052397E">
      <w:pPr>
        <w:numPr>
          <w:ilvl w:val="0"/>
          <w:numId w:val="2"/>
        </w:numPr>
        <w:spacing w:before="240"/>
        <w:jc w:val="both"/>
        <w:rPr>
          <w:color w:val="000000"/>
        </w:rPr>
      </w:pPr>
      <w:r>
        <w:rPr>
          <w:color w:val="000000"/>
        </w:rPr>
        <w:t xml:space="preserve">The </w:t>
      </w:r>
      <w:r>
        <w:rPr>
          <w:b/>
          <w:color w:val="000000"/>
        </w:rPr>
        <w:t xml:space="preserve">accommodation provided was overcrowded, without sufficient air circulation, natural light, and drinking water. There were only two toilets and two water heaters (120 l) for the entire accommodation. </w:t>
      </w:r>
      <w:r>
        <w:rPr>
          <w:color w:val="000000"/>
        </w:rPr>
        <w:t xml:space="preserve">No washing machines were provided and there were no safe electronic sockets </w:t>
      </w:r>
      <w:r>
        <w:t>or</w:t>
      </w:r>
      <w:r>
        <w:rPr>
          <w:color w:val="000000"/>
        </w:rPr>
        <w:t xml:space="preserve"> steady electricity. During the interviews, workers also reported that they did not have </w:t>
      </w:r>
      <w:r>
        <w:rPr>
          <w:b/>
        </w:rPr>
        <w:t>a</w:t>
      </w:r>
      <w:r>
        <w:rPr>
          <w:b/>
          <w:color w:val="000000"/>
        </w:rPr>
        <w:t>ccess to healthcare or COVID-19 prevention measures</w:t>
      </w:r>
      <w:r>
        <w:rPr>
          <w:color w:val="000000"/>
        </w:rPr>
        <w:t>, and they used one improvised metal container as a “sick room”, where they put those who were not feeling good and showed the symptoms of COVID-19.</w:t>
      </w:r>
    </w:p>
    <w:p w14:paraId="0193CCE6" w14:textId="77777777" w:rsidR="0052397E" w:rsidRDefault="0052397E">
      <w:pPr>
        <w:numPr>
          <w:ilvl w:val="0"/>
          <w:numId w:val="2"/>
        </w:numPr>
        <w:jc w:val="both"/>
        <w:rPr>
          <w:color w:val="000000"/>
        </w:rPr>
      </w:pPr>
      <w:r>
        <w:rPr>
          <w:color w:val="000000"/>
        </w:rPr>
        <w:t xml:space="preserve">After the case was revealed, the Emergency Management Sector of the Ministry of Interior issued an order declaring the workers' barracks a life hazard due to gas leaks. Consequently, most of the workers were relocated to different accommodations. Once relocated, the workers were </w:t>
      </w:r>
      <w:r>
        <w:rPr>
          <w:b/>
          <w:color w:val="000000"/>
        </w:rPr>
        <w:t xml:space="preserve">under constant surveillance by private security, threatened by the managers of Linglong, and prevented from getting in touch with the media and human-rights </w:t>
      </w:r>
      <w:r>
        <w:rPr>
          <w:b/>
        </w:rPr>
        <w:t>organisations</w:t>
      </w:r>
      <w:r>
        <w:rPr>
          <w:color w:val="000000"/>
        </w:rPr>
        <w:t>.</w:t>
      </w:r>
      <w:r>
        <w:rPr>
          <w:color w:val="000000"/>
          <w:vertAlign w:val="superscript"/>
        </w:rPr>
        <w:endnoteReference w:id="93"/>
      </w:r>
    </w:p>
    <w:p w14:paraId="1E28423D" w14:textId="77777777" w:rsidR="0052397E" w:rsidRDefault="0052397E">
      <w:pPr>
        <w:numPr>
          <w:ilvl w:val="0"/>
          <w:numId w:val="2"/>
        </w:numPr>
        <w:jc w:val="both"/>
        <w:rPr>
          <w:color w:val="000000"/>
        </w:rPr>
      </w:pPr>
      <w:r>
        <w:rPr>
          <w:color w:val="000000"/>
        </w:rPr>
        <w:t xml:space="preserve">Due to the importance of this investment to Sino-Serbian relations, the high-level officials of Serbia stated that Linglong International Europe is one of the largest investors in the country and made efforts to portray the violations of workers’ rights as irrelevant. Most likely because of this, no official investigation was initiated, and </w:t>
      </w:r>
      <w:r>
        <w:rPr>
          <w:b/>
          <w:color w:val="000000"/>
        </w:rPr>
        <w:t xml:space="preserve">the Centre for the Protection of Victims of Trafficking never informed the public of the number of workers it interviewed and the measures it implemented for their protection. </w:t>
      </w:r>
      <w:r>
        <w:rPr>
          <w:color w:val="000000"/>
        </w:rPr>
        <w:t xml:space="preserve">In December 2021, the A 11 – Initiative for Economic and Social Rights filed criminal charges against the responsible persons at legal entities related to the engagement and work of Vietnamese workers, but there was </w:t>
      </w:r>
      <w:r>
        <w:rPr>
          <w:b/>
          <w:color w:val="000000"/>
        </w:rPr>
        <w:t>no investigation or follow-up</w:t>
      </w:r>
      <w:r>
        <w:rPr>
          <w:color w:val="000000"/>
        </w:rPr>
        <w:t xml:space="preserve"> on these communications. Although the Protector of Citizens announced the publication of its report once the investigation is over, this has never happened. </w:t>
      </w:r>
    </w:p>
    <w:p w14:paraId="0981D7DC" w14:textId="77777777" w:rsidR="0052397E" w:rsidRDefault="0052397E">
      <w:pPr>
        <w:numPr>
          <w:ilvl w:val="0"/>
          <w:numId w:val="2"/>
        </w:numPr>
        <w:jc w:val="both"/>
        <w:rPr>
          <w:color w:val="000000"/>
        </w:rPr>
      </w:pPr>
      <w:r>
        <w:rPr>
          <w:color w:val="000000"/>
        </w:rPr>
        <w:t>To the communication sent by the Special Rapporteur on trafficking in persons, especially women and children, the Special Rapporteur on the human rights of migrants, the Special Rapporteur on contemporary forms of slavery, including its causes and consequences and the Working Group on the issue of human rights and transnational corporations and other business enterprises, which requested China for details and actions</w:t>
      </w:r>
      <w:r>
        <w:rPr>
          <w:color w:val="000000"/>
          <w:vertAlign w:val="superscript"/>
        </w:rPr>
        <w:endnoteReference w:id="94"/>
      </w:r>
      <w:r>
        <w:rPr>
          <w:color w:val="000000"/>
        </w:rPr>
        <w:t xml:space="preserve">, </w:t>
      </w:r>
      <w:r>
        <w:rPr>
          <w:b/>
          <w:color w:val="000000"/>
        </w:rPr>
        <w:t>the Government of the People's Republic of China responded, denying all the information detailed in the said communication and reiterating that "[T]he Chinese Government has always required overseas Chinese enterprises to strictly comply with local laws and regulations and conscientiously fulfil their social responsibilities"</w:t>
      </w:r>
      <w:r>
        <w:rPr>
          <w:color w:val="000000"/>
        </w:rPr>
        <w:t>.</w:t>
      </w:r>
      <w:r>
        <w:rPr>
          <w:color w:val="000000"/>
          <w:vertAlign w:val="superscript"/>
        </w:rPr>
        <w:endnoteReference w:id="95"/>
      </w:r>
    </w:p>
    <w:p w14:paraId="5542CCA7" w14:textId="77777777" w:rsidR="0052397E" w:rsidRDefault="0052397E">
      <w:pPr>
        <w:numPr>
          <w:ilvl w:val="0"/>
          <w:numId w:val="2"/>
        </w:numPr>
        <w:spacing w:after="240"/>
        <w:jc w:val="both"/>
        <w:rPr>
          <w:color w:val="000000"/>
        </w:rPr>
      </w:pPr>
      <w:r>
        <w:rPr>
          <w:color w:val="000000"/>
        </w:rPr>
        <w:t>Today, all the Vietnamese workers were sent back home, and the construction of the factory was allegedly suspended, without a clear explanation provided by the company. In a press statement issued by Linglong, it denied suspension of the construction but informed that it has terminated its contract with China Energy Engineering Group Tianjin Electric Power Construction Co., Ltd, Belgrade Branch due to the lack of workforce (thus making it impossible to complete the contracted works within the agreed deadlines), serious delays, and negative impact on their business.</w:t>
      </w:r>
      <w:r>
        <w:rPr>
          <w:color w:val="000000"/>
          <w:vertAlign w:val="superscript"/>
        </w:rPr>
        <w:endnoteReference w:id="96"/>
      </w:r>
    </w:p>
    <w:p w14:paraId="7EB20DED" w14:textId="77777777" w:rsidR="0052397E" w:rsidRPr="00D63FC3" w:rsidRDefault="0052397E">
      <w:pPr>
        <w:pStyle w:val="Heading1"/>
        <w:rPr>
          <w:rFonts w:asciiTheme="minorHAnsi" w:hAnsiTheme="minorHAnsi" w:cstheme="minorHAnsi"/>
          <w:b/>
          <w:color w:val="000000"/>
        </w:rPr>
      </w:pPr>
      <w:bookmarkStart w:id="23" w:name="_heading=h.j3w2zjugooti" w:colFirst="0" w:colLast="0"/>
      <w:bookmarkEnd w:id="23"/>
      <w:r w:rsidRPr="00D63FC3">
        <w:rPr>
          <w:rFonts w:asciiTheme="minorHAnsi" w:hAnsiTheme="minorHAnsi" w:cstheme="minorHAnsi"/>
          <w:b/>
          <w:color w:val="000000"/>
        </w:rPr>
        <w:t xml:space="preserve">China’s ETO in Cases  </w:t>
      </w:r>
    </w:p>
    <w:p w14:paraId="0FCD2ACC" w14:textId="77777777" w:rsidR="0052397E" w:rsidRDefault="0052397E">
      <w:pPr>
        <w:numPr>
          <w:ilvl w:val="0"/>
          <w:numId w:val="2"/>
        </w:numPr>
        <w:pBdr>
          <w:top w:val="nil"/>
          <w:left w:val="nil"/>
          <w:bottom w:val="nil"/>
          <w:right w:val="nil"/>
          <w:between w:val="nil"/>
        </w:pBdr>
        <w:spacing w:before="240"/>
        <w:jc w:val="both"/>
        <w:rPr>
          <w:color w:val="000000"/>
        </w:rPr>
      </w:pPr>
      <w:r>
        <w:rPr>
          <w:color w:val="000000"/>
        </w:rPr>
        <w:t>Increased production of copper since the take-over of Serbia Zijin Bor Copper in Bor has not only worsened air, water, and soil pollution dangerous to human health, but the activities of Serbia Zijin Bor Copper and Serbia Zijin Mining have also led to massive displacements of villagers from their homeland without provisions of adequate compensation and rehabilitation and denied their access to natural resources. Serbia Zijin Bor Copper has also failed to ensure collective bargaining and safe working conditions for its mine workers. The mining activities and actions of Serbia Zijin Bor Copper are not only threatening the right to life, but also affecting several other human rights such as the right to health, the right to water, the right to food and nutrition, the right to housing, and the right to work of people living in Bor. In the case of Linglong,  Linglong International Europe and its contractors - China Energy Engineering Group Tianjin Electric Power Construction Co., Ltd, Belgrade Branch, and Sichuan Dinglong Electric Power Engineering - abused labour rights and the right to just and favourable conditions of work of Vietnamese migrant workers as well as an array of other ESC rights, among others, the right to health, the right to housing, and the right to food and nutrition.</w:t>
      </w:r>
    </w:p>
    <w:p w14:paraId="4CEF8496" w14:textId="77777777" w:rsidR="0052397E" w:rsidRDefault="0052397E">
      <w:pPr>
        <w:numPr>
          <w:ilvl w:val="0"/>
          <w:numId w:val="2"/>
        </w:numPr>
        <w:jc w:val="both"/>
      </w:pPr>
      <w:r>
        <w:t>Serbia Zijin Bor Copper is fully cognizant of the breaches of environmental legislation and environmental damages that are affecting the human rights of individuals and local communities and was convicted multiple times, for air and water pollution, construction and performance of mining works without proper permits, and operation without necessary environmental permits.</w:t>
      </w:r>
      <w:r>
        <w:rPr>
          <w:vertAlign w:val="superscript"/>
        </w:rPr>
        <w:endnoteReference w:id="97"/>
      </w:r>
      <w:r>
        <w:t xml:space="preserve"> Serbia Zijin Bor Copper and its representatives fully admitted to committing unlawful acts.</w:t>
      </w:r>
      <w:r>
        <w:rPr>
          <w:vertAlign w:val="superscript"/>
        </w:rPr>
        <w:endnoteReference w:id="98"/>
      </w:r>
    </w:p>
    <w:p w14:paraId="1BBE5C57" w14:textId="77777777" w:rsidR="0052397E" w:rsidRDefault="0052397E">
      <w:pPr>
        <w:numPr>
          <w:ilvl w:val="0"/>
          <w:numId w:val="2"/>
        </w:numPr>
        <w:jc w:val="both"/>
      </w:pPr>
      <w:r>
        <w:rPr>
          <w:color w:val="000000"/>
        </w:rPr>
        <w:t xml:space="preserve">The parent companies of the corporations involved (Serbia Zijin Bor Copper, Serbia Zijin Mining, Linglong International Europe, China Energy Engineering Group Tianjin Electric Power Construction Co., Ltd, Belgrade Branch, and Sichuan Dinglong Electric Power Engineering) in both cases are registered, domiciled, and have their centre of activities and main business activities in China. China, thus, as the Home State of the controlling parent companies is in a position and has the obligation to </w:t>
      </w:r>
      <w:r>
        <w:rPr>
          <w:highlight w:val="white"/>
        </w:rPr>
        <w:t>regulate the activities of the parent companies and the latter's subsidiaries, and prevent them</w:t>
      </w:r>
      <w:r>
        <w:rPr>
          <w:color w:val="000000"/>
        </w:rPr>
        <w:t xml:space="preserve"> from abusing and violating the human rights of the concerned persons (communities in Bor and villages surrounding Bor and the group of Vietnamese migrant workers).</w:t>
      </w:r>
      <w:r>
        <w:rPr>
          <w:color w:val="000000"/>
          <w:vertAlign w:val="superscript"/>
        </w:rPr>
        <w:endnoteReference w:id="99"/>
      </w:r>
      <w:r>
        <w:rPr>
          <w:color w:val="000000"/>
        </w:rPr>
        <w:t xml:space="preserve">   </w:t>
      </w:r>
    </w:p>
    <w:p w14:paraId="70E93405" w14:textId="77777777" w:rsidR="0052397E" w:rsidRDefault="0052397E">
      <w:pPr>
        <w:numPr>
          <w:ilvl w:val="0"/>
          <w:numId w:val="2"/>
        </w:numPr>
        <w:pBdr>
          <w:top w:val="nil"/>
          <w:left w:val="nil"/>
          <w:bottom w:val="nil"/>
          <w:right w:val="nil"/>
          <w:between w:val="nil"/>
        </w:pBdr>
        <w:jc w:val="both"/>
        <w:rPr>
          <w:color w:val="000000"/>
        </w:rPr>
      </w:pPr>
      <w:r>
        <w:rPr>
          <w:color w:val="000000"/>
        </w:rPr>
        <w:t>Despite existing regulatory frameworks in China to regulate Chinese corporations and their subsidiaries overseas from refraining from human rights abroad,</w:t>
      </w:r>
      <w:r>
        <w:rPr>
          <w:color w:val="000000"/>
          <w:vertAlign w:val="superscript"/>
        </w:rPr>
        <w:endnoteReference w:id="100"/>
      </w:r>
      <w:r>
        <w:rPr>
          <w:color w:val="000000"/>
        </w:rPr>
        <w:t xml:space="preserve"> China has failed to duly implement these policies and guidelines. And by doing so, failed to prevent human rights abuses by the companies in question. China's failure to monitor and ensure compliance with these guidelines has also allowed Zijin Mining Group Co., through its subsidiary, to violate Serbian national environmental legislation (ex. Law on Mining and Geological Research, Law on Environmental Impact Assessment, Air Protection Law, Law on Integrated Pollution Prevention and Control), by disrespecting the national environmental impact assessment process and carrying out activities without permits, thus constituting the breach of its extraterritorial protect-obligations towards the people of Bor</w:t>
      </w:r>
      <w:r>
        <w:rPr>
          <w:color w:val="000000"/>
          <w:vertAlign w:val="superscript"/>
        </w:rPr>
        <w:endnoteReference w:id="101"/>
      </w:r>
      <w:r>
        <w:rPr>
          <w:color w:val="000000"/>
        </w:rPr>
        <w:t xml:space="preserve"> (Art. 30-31, CESCR General Comment 24). It shall be noted here that Serbia Zijin Bor Copper was convicted seven times under Serbian law and has fully admitted to committing unlawful acts. Similarly, several national laws (e.g., Labour Law and Law on Employment of Foreign Citizens) were contravened by Linglong International Europe, China Energy Engineering Group Tianjin Electric Power Construction Co., Ltd, Belgrade Branch, and Sichuan Dinglong Electric Power Engineering.  </w:t>
      </w:r>
    </w:p>
    <w:p w14:paraId="3D7D896B" w14:textId="77777777" w:rsidR="0052397E" w:rsidRDefault="0052397E">
      <w:pPr>
        <w:numPr>
          <w:ilvl w:val="0"/>
          <w:numId w:val="2"/>
        </w:numPr>
        <w:pBdr>
          <w:top w:val="nil"/>
          <w:left w:val="nil"/>
          <w:bottom w:val="nil"/>
          <w:right w:val="nil"/>
          <w:between w:val="nil"/>
        </w:pBdr>
        <w:jc w:val="both"/>
        <w:rPr>
          <w:color w:val="000000"/>
        </w:rPr>
      </w:pPr>
      <w:r>
        <w:rPr>
          <w:color w:val="000000"/>
        </w:rPr>
        <w:t xml:space="preserve">China has equally omitted to enforce measures to protect the ESC rights of concerned people and groups through actions and means - which lie within its power -, for example, by failing to amend forms of support provided to Chinese parent companies (such as China Engineer Corporation Ltd which is a state-owned company) domiciled in China or through its diplomatic channels/Embassy in Serbia). China's </w:t>
      </w:r>
      <w:r>
        <w:t>omission</w:t>
      </w:r>
      <w:r>
        <w:rPr>
          <w:color w:val="000000"/>
        </w:rPr>
        <w:t xml:space="preserve"> has allowed for harmful conduct by the corporations in concern. It is also to be highlighted in this regard that China has failed to abide by its obligation to cooperate</w:t>
      </w:r>
      <w:r>
        <w:rPr>
          <w:color w:val="000000"/>
          <w:vertAlign w:val="superscript"/>
        </w:rPr>
        <w:endnoteReference w:id="102"/>
      </w:r>
      <w:r>
        <w:rPr>
          <w:color w:val="000000"/>
        </w:rPr>
        <w:t xml:space="preserve"> with the Serbian government in ensuring that all concerned corporations do not impair the enjoyment of ESC rights of persons affected, and to provide access to an effective remedy, in particular to the migrant workers who suffered business-related human rights abuses.</w:t>
      </w:r>
      <w:r>
        <w:rPr>
          <w:color w:val="000000"/>
          <w:vertAlign w:val="superscript"/>
        </w:rPr>
        <w:endnoteReference w:id="103"/>
      </w:r>
      <w:r>
        <w:rPr>
          <w:color w:val="000000"/>
        </w:rPr>
        <w:t xml:space="preserve">   </w:t>
      </w:r>
    </w:p>
    <w:p w14:paraId="140DB367" w14:textId="77777777" w:rsidR="00243A63" w:rsidRDefault="0052397E">
      <w:pPr>
        <w:numPr>
          <w:ilvl w:val="0"/>
          <w:numId w:val="2"/>
        </w:numPr>
        <w:pBdr>
          <w:top w:val="nil"/>
          <w:left w:val="nil"/>
          <w:bottom w:val="nil"/>
          <w:right w:val="nil"/>
          <w:between w:val="nil"/>
        </w:pBdr>
        <w:spacing w:after="240"/>
        <w:jc w:val="both"/>
        <w:rPr>
          <w:color w:val="000000"/>
        </w:rPr>
      </w:pPr>
      <w:r>
        <w:rPr>
          <w:color w:val="000000"/>
        </w:rPr>
        <w:t>Concerning Bor, it is to be further noted that Serbia Zijin Bor Copper's copper operation in Serbia is one of the biggest copper mining operations in Europe and much of what is produced by Serbia Zijin Bor Copper is exported to China, which relies on copper imports of about 25% of its consumption.</w:t>
      </w:r>
      <w:r>
        <w:rPr>
          <w:color w:val="000000"/>
          <w:vertAlign w:val="superscript"/>
        </w:rPr>
        <w:endnoteReference w:id="104"/>
      </w:r>
      <w:r>
        <w:rPr>
          <w:color w:val="000000"/>
        </w:rPr>
        <w:t xml:space="preserve"> China's 5-year development policies have since 2012 </w:t>
      </w:r>
      <w:r>
        <w:t>prioritised</w:t>
      </w:r>
      <w:r>
        <w:rPr>
          <w:color w:val="000000"/>
        </w:rPr>
        <w:t xml:space="preserve"> the development of the nonferrous metals sector (such as copper) and placed priority on setting up overseas nonferrous metal supply bases. The 14th Five-Year Plan (2021-2025) issued in March 2021 for National Economic and Social Development and the Long-Range Objectives Through the Year 2035 also envisions China’s push to meet carbon-neutrality targets through green metals including copper.</w:t>
      </w:r>
      <w:r>
        <w:rPr>
          <w:color w:val="000000"/>
          <w:vertAlign w:val="superscript"/>
        </w:rPr>
        <w:endnoteReference w:id="105"/>
      </w:r>
      <w:r>
        <w:rPr>
          <w:color w:val="000000"/>
        </w:rPr>
        <w:t xml:space="preserve"> </w:t>
      </w:r>
      <w:r w:rsidR="00771BBF">
        <w:rPr>
          <w:color w:val="000000"/>
        </w:rPr>
        <w:t xml:space="preserve">In the context of multiple breaches by China of its extraterritorial obligation to protect the human rights of people in Bor - including the omission to regulate the conduct of Serbia Zijin Bor Copper - China's increased demand for copper as set out in the above-mentioned policies bears a concrete and objective risk of further harmful conduct by Serbia Zijin Bor Copper. </w:t>
      </w:r>
    </w:p>
    <w:p w14:paraId="6CA82E9D" w14:textId="77777777" w:rsidR="00243A63" w:rsidRPr="00D63FC3" w:rsidRDefault="00771BBF">
      <w:pPr>
        <w:pStyle w:val="Heading1"/>
        <w:rPr>
          <w:rFonts w:asciiTheme="minorHAnsi" w:hAnsiTheme="minorHAnsi" w:cstheme="minorHAnsi"/>
          <w:b/>
          <w:color w:val="000000"/>
        </w:rPr>
      </w:pPr>
      <w:r w:rsidRPr="00D63FC3">
        <w:rPr>
          <w:rFonts w:asciiTheme="minorHAnsi" w:hAnsiTheme="minorHAnsi" w:cstheme="minorHAnsi"/>
          <w:b/>
          <w:color w:val="000000"/>
        </w:rPr>
        <w:t>Conclusion and Recommendations</w:t>
      </w:r>
    </w:p>
    <w:p w14:paraId="0B111FB8" w14:textId="77777777" w:rsidR="00243A63" w:rsidRDefault="00771BBF">
      <w:pPr>
        <w:numPr>
          <w:ilvl w:val="0"/>
          <w:numId w:val="2"/>
        </w:numPr>
        <w:pBdr>
          <w:top w:val="nil"/>
          <w:left w:val="nil"/>
          <w:bottom w:val="nil"/>
          <w:right w:val="nil"/>
          <w:between w:val="nil"/>
        </w:pBdr>
        <w:spacing w:before="240"/>
        <w:jc w:val="both"/>
        <w:rPr>
          <w:color w:val="000000"/>
        </w:rPr>
      </w:pPr>
      <w:r>
        <w:rPr>
          <w:color w:val="000000"/>
        </w:rPr>
        <w:t xml:space="preserve">The cases of Bor and Linglong presented in this submission are clear cases of China's breaches of its extraterritorial human rights obligations. However, it merits emphasis that not only China as the Home State, but Serbia equally as the Host State must desist from acts and omissions that impaired the enjoyment of ESC rights of affected communities/groups. The obligations are equally incumbent on Serbia and China, as the former has infringed on its domestic obligations and the latter on its extraterritorial ones. The selected cases are just a few examples of how China's failure </w:t>
      </w:r>
      <w:r>
        <w:t xml:space="preserve">of its triple </w:t>
      </w:r>
      <w:r>
        <w:rPr>
          <w:color w:val="000000"/>
        </w:rPr>
        <w:t xml:space="preserve"> extraterritorial obligations (to protect, to respect, and to fulfil) violates the ESC rights of persons and communities in Serbia. </w:t>
      </w:r>
    </w:p>
    <w:p w14:paraId="2AFA91DD" w14:textId="77777777" w:rsidR="00243A63" w:rsidRDefault="00771BBF">
      <w:pPr>
        <w:keepNext/>
        <w:numPr>
          <w:ilvl w:val="0"/>
          <w:numId w:val="2"/>
        </w:numPr>
        <w:pBdr>
          <w:top w:val="nil"/>
          <w:left w:val="nil"/>
          <w:bottom w:val="nil"/>
          <w:right w:val="nil"/>
          <w:between w:val="nil"/>
        </w:pBdr>
        <w:jc w:val="both"/>
        <w:rPr>
          <w:color w:val="000000"/>
        </w:rPr>
      </w:pPr>
      <w:r>
        <w:rPr>
          <w:color w:val="000000"/>
        </w:rPr>
        <w:t xml:space="preserve">The submitting </w:t>
      </w:r>
      <w:r>
        <w:t>organisations</w:t>
      </w:r>
      <w:r>
        <w:rPr>
          <w:color w:val="000000"/>
        </w:rPr>
        <w:t xml:space="preserve"> call upon the Committee on Economic, Social and Cultural Rights to make the following recommendations to China. China shall: </w:t>
      </w:r>
    </w:p>
    <w:p w14:paraId="69BA91B7" w14:textId="77777777" w:rsidR="00243A63" w:rsidRDefault="00721958">
      <w:pPr>
        <w:keepNext/>
        <w:numPr>
          <w:ilvl w:val="0"/>
          <w:numId w:val="1"/>
        </w:numPr>
        <w:pBdr>
          <w:top w:val="nil"/>
          <w:left w:val="nil"/>
          <w:bottom w:val="nil"/>
          <w:right w:val="nil"/>
          <w:between w:val="nil"/>
        </w:pBdr>
        <w:jc w:val="both"/>
        <w:rPr>
          <w:color w:val="000000"/>
        </w:rPr>
      </w:pPr>
      <w:sdt>
        <w:sdtPr>
          <w:tag w:val="goog_rdk_0"/>
          <w:id w:val="829092046"/>
        </w:sdtPr>
        <w:sdtEndPr/>
        <w:sdtContent/>
      </w:sdt>
      <w:sdt>
        <w:sdtPr>
          <w:tag w:val="goog_rdk_1"/>
          <w:id w:val="1877043889"/>
        </w:sdtPr>
        <w:sdtEndPr/>
        <w:sdtContent/>
      </w:sdt>
      <w:sdt>
        <w:sdtPr>
          <w:tag w:val="goog_rdk_2"/>
          <w:id w:val="1836103247"/>
        </w:sdtPr>
        <w:sdtEndPr/>
        <w:sdtContent/>
      </w:sdt>
      <w:r w:rsidR="00771BBF">
        <w:rPr>
          <w:color w:val="000000"/>
        </w:rPr>
        <w:t xml:space="preserve">Elaborate and enforce laws to govern overseas investment by Chinese companies and that comply with international human rights standards;  </w:t>
      </w:r>
    </w:p>
    <w:p w14:paraId="35750FCB" w14:textId="77777777" w:rsidR="00243A63" w:rsidRDefault="00771BBF">
      <w:pPr>
        <w:keepNext/>
        <w:numPr>
          <w:ilvl w:val="0"/>
          <w:numId w:val="1"/>
        </w:numPr>
        <w:pBdr>
          <w:top w:val="nil"/>
          <w:left w:val="nil"/>
          <w:bottom w:val="nil"/>
          <w:right w:val="nil"/>
          <w:between w:val="nil"/>
        </w:pBdr>
        <w:jc w:val="both"/>
        <w:rPr>
          <w:color w:val="000000"/>
        </w:rPr>
      </w:pPr>
      <w:r>
        <w:rPr>
          <w:color w:val="000000"/>
        </w:rPr>
        <w:t xml:space="preserve">Establish clear regulatory frameworks for companies and their subsidiaries operating domestically and abroad to ensure that their activities do not impair the enjoyment of the ESC rights as well as the right to a safe, clean and sustainable environment;  </w:t>
      </w:r>
    </w:p>
    <w:p w14:paraId="66EBB151" w14:textId="77777777" w:rsidR="00243A63" w:rsidRDefault="00771BBF">
      <w:pPr>
        <w:keepNext/>
        <w:numPr>
          <w:ilvl w:val="0"/>
          <w:numId w:val="1"/>
        </w:numPr>
        <w:pBdr>
          <w:top w:val="nil"/>
          <w:left w:val="nil"/>
          <w:bottom w:val="nil"/>
          <w:right w:val="nil"/>
          <w:between w:val="nil"/>
        </w:pBdr>
        <w:jc w:val="both"/>
        <w:rPr>
          <w:color w:val="000000"/>
        </w:rPr>
      </w:pPr>
      <w:r>
        <w:rPr>
          <w:color w:val="000000"/>
        </w:rPr>
        <w:t xml:space="preserve">Adopt and enforce appropriate legislative and administrative measures to ensure the legal liability of companies and their subsidiaries operating domestically and abroad vis-à-vis violations of the ESC rights as a direct and indirect result of its overseas projects;  </w:t>
      </w:r>
    </w:p>
    <w:p w14:paraId="7AFE50B5" w14:textId="77777777" w:rsidR="00243A63" w:rsidRDefault="00771BBF">
      <w:pPr>
        <w:keepNext/>
        <w:numPr>
          <w:ilvl w:val="0"/>
          <w:numId w:val="1"/>
        </w:numPr>
        <w:pBdr>
          <w:top w:val="nil"/>
          <w:left w:val="nil"/>
          <w:bottom w:val="nil"/>
          <w:right w:val="nil"/>
          <w:between w:val="nil"/>
        </w:pBdr>
        <w:jc w:val="both"/>
        <w:rPr>
          <w:color w:val="000000"/>
        </w:rPr>
      </w:pPr>
      <w:r>
        <w:rPr>
          <w:color w:val="000000"/>
        </w:rPr>
        <w:t xml:space="preserve">Provide a transparent framework for the evaluation of business activities of companies and their subsidiaries operating domestically and abroad related to the compliance of the laws of the Host Country, contribution to the well-being of the local communities who will be impacted, </w:t>
      </w:r>
      <w:r>
        <w:t>avoidance</w:t>
      </w:r>
      <w:r>
        <w:rPr>
          <w:color w:val="000000"/>
        </w:rPr>
        <w:t xml:space="preserve"> of negative consequences </w:t>
      </w:r>
      <w:r>
        <w:t>on</w:t>
      </w:r>
      <w:r>
        <w:rPr>
          <w:color w:val="000000"/>
        </w:rPr>
        <w:t xml:space="preserve"> their ESC rights and impacts on the environment, and respect </w:t>
      </w:r>
      <w:r>
        <w:t>for</w:t>
      </w:r>
      <w:r>
        <w:rPr>
          <w:color w:val="000000"/>
        </w:rPr>
        <w:t xml:space="preserve"> human rights;  </w:t>
      </w:r>
    </w:p>
    <w:p w14:paraId="096B1942" w14:textId="77777777" w:rsidR="00243A63" w:rsidRDefault="00771BBF">
      <w:pPr>
        <w:keepNext/>
        <w:numPr>
          <w:ilvl w:val="0"/>
          <w:numId w:val="1"/>
        </w:numPr>
        <w:pBdr>
          <w:top w:val="nil"/>
          <w:left w:val="nil"/>
          <w:bottom w:val="nil"/>
          <w:right w:val="nil"/>
          <w:between w:val="nil"/>
        </w:pBdr>
        <w:jc w:val="both"/>
        <w:rPr>
          <w:color w:val="000000"/>
        </w:rPr>
      </w:pPr>
      <w:r>
        <w:rPr>
          <w:color w:val="000000"/>
        </w:rPr>
        <w:t xml:space="preserve">Investigate cases of violations of ESC rights and the right to a safe, clean and sustainable environment in Serbia and other Host states and hold companies involved in human rights abuses </w:t>
      </w:r>
      <w:r>
        <w:t>liable</w:t>
      </w:r>
      <w:r>
        <w:rPr>
          <w:color w:val="000000"/>
        </w:rPr>
        <w:t xml:space="preserve"> while guaranteeing victims’ access to remedies; </w:t>
      </w:r>
    </w:p>
    <w:p w14:paraId="6CB4A2DC" w14:textId="77777777" w:rsidR="00243A63" w:rsidRDefault="00771BBF">
      <w:pPr>
        <w:numPr>
          <w:ilvl w:val="0"/>
          <w:numId w:val="1"/>
        </w:numPr>
        <w:pBdr>
          <w:top w:val="nil"/>
          <w:left w:val="nil"/>
          <w:bottom w:val="nil"/>
          <w:right w:val="nil"/>
          <w:between w:val="nil"/>
        </w:pBdr>
        <w:jc w:val="both"/>
        <w:rPr>
          <w:color w:val="000000"/>
        </w:rPr>
      </w:pPr>
      <w:r>
        <w:rPr>
          <w:color w:val="000000"/>
        </w:rPr>
        <w:t xml:space="preserve">Introduce mandatory due diligence for all future investments involving companies and their subsidiaries operating abroad to ensure that their activities do not impair the enjoyment of ESC rights and the right to a safe, clean and sustainable environment; </w:t>
      </w:r>
    </w:p>
    <w:p w14:paraId="68D8C05D" w14:textId="77777777" w:rsidR="00243A63" w:rsidRDefault="00771BBF">
      <w:pPr>
        <w:keepNext/>
        <w:numPr>
          <w:ilvl w:val="0"/>
          <w:numId w:val="1"/>
        </w:numPr>
        <w:pBdr>
          <w:top w:val="nil"/>
          <w:left w:val="nil"/>
          <w:bottom w:val="nil"/>
          <w:right w:val="nil"/>
          <w:between w:val="nil"/>
        </w:pBdr>
        <w:jc w:val="both"/>
        <w:rPr>
          <w:color w:val="000000"/>
        </w:rPr>
      </w:pPr>
      <w:r>
        <w:rPr>
          <w:highlight w:val="white"/>
        </w:rPr>
        <w:t>Conduct independent and transparent human rights and environmental impact assessments prior to the implementation of the activity. If any adverse impact – or even the risk of any adverse impact – is being identified, the company shall refrain from implementing this activity. Such impact assessments need to be conducted also during the implementation of a project</w:t>
      </w:r>
      <w:r>
        <w:rPr>
          <w:color w:val="000000"/>
        </w:rPr>
        <w:t xml:space="preserve">; </w:t>
      </w:r>
    </w:p>
    <w:p w14:paraId="5E58A618" w14:textId="77777777" w:rsidR="00243A63" w:rsidRDefault="00771BBF">
      <w:pPr>
        <w:keepNext/>
        <w:numPr>
          <w:ilvl w:val="0"/>
          <w:numId w:val="1"/>
        </w:numPr>
        <w:pBdr>
          <w:top w:val="nil"/>
          <w:left w:val="nil"/>
          <w:bottom w:val="nil"/>
          <w:right w:val="nil"/>
          <w:between w:val="nil"/>
        </w:pBdr>
        <w:jc w:val="both"/>
        <w:rPr>
          <w:color w:val="000000"/>
        </w:rPr>
      </w:pPr>
      <w:r>
        <w:rPr>
          <w:color w:val="000000"/>
        </w:rPr>
        <w:t xml:space="preserve">Strengthen the system of monitoring and reporting of China’s human rights obligations to ensure that Chinese corporations and their subsidiaries do not </w:t>
      </w:r>
      <w:r>
        <w:t>violate</w:t>
      </w:r>
      <w:r>
        <w:rPr>
          <w:color w:val="000000"/>
        </w:rPr>
        <w:t xml:space="preserve"> ESC rights of communities and people abroad. Closely collaborate with communities and civil society organisations in its monitoring and reporting efforts and make public the results of monitoring and reporting, and create plans dedicated to the lo</w:t>
      </w:r>
      <w:r>
        <w:t>cal development</w:t>
      </w:r>
      <w:r>
        <w:rPr>
          <w:color w:val="000000"/>
        </w:rPr>
        <w:t xml:space="preserve">; </w:t>
      </w:r>
    </w:p>
    <w:p w14:paraId="09E8DFA8" w14:textId="77777777" w:rsidR="00243A63" w:rsidRDefault="00771BBF">
      <w:pPr>
        <w:keepNext/>
        <w:numPr>
          <w:ilvl w:val="0"/>
          <w:numId w:val="1"/>
        </w:numPr>
        <w:pBdr>
          <w:top w:val="nil"/>
          <w:left w:val="nil"/>
          <w:bottom w:val="nil"/>
          <w:right w:val="nil"/>
          <w:between w:val="nil"/>
        </w:pBdr>
        <w:jc w:val="both"/>
        <w:rPr>
          <w:color w:val="000000"/>
          <w:sz w:val="20"/>
          <w:szCs w:val="20"/>
        </w:rPr>
      </w:pPr>
      <w:r>
        <w:rPr>
          <w:color w:val="000000"/>
        </w:rPr>
        <w:t xml:space="preserve">Take measures (also legislative) to ensure that its corporations operating abroad respect the right to just and favourable conditions of work throughout their operations extraterritorially and hold non-State actors domiciled in China </w:t>
      </w:r>
      <w:r>
        <w:t>liable</w:t>
      </w:r>
      <w:r>
        <w:rPr>
          <w:color w:val="000000"/>
        </w:rPr>
        <w:t xml:space="preserve"> for abuses of the right to just and favourable conditions of work extraterritorially, and that victims of abuses have access to remedy. </w:t>
      </w:r>
    </w:p>
    <w:p w14:paraId="45D8E9F3" w14:textId="77777777" w:rsidR="00243A63" w:rsidRDefault="00243A63">
      <w:pPr>
        <w:jc w:val="both"/>
        <w:rPr>
          <w:color w:val="000000"/>
        </w:rPr>
      </w:pPr>
    </w:p>
    <w:p w14:paraId="2D93F8C7" w14:textId="77777777" w:rsidR="00243A63" w:rsidRDefault="00243A63">
      <w:pPr>
        <w:jc w:val="both"/>
        <w:rPr>
          <w:color w:val="000000"/>
        </w:rPr>
      </w:pPr>
    </w:p>
    <w:p w14:paraId="20BBBA8B" w14:textId="77777777" w:rsidR="0052397E" w:rsidRDefault="0052397E">
      <w:pPr>
        <w:rPr>
          <w:color w:val="000000"/>
        </w:rPr>
      </w:pPr>
      <w:r>
        <w:rPr>
          <w:color w:val="000000"/>
        </w:rPr>
        <w:br w:type="page"/>
      </w:r>
    </w:p>
    <w:p w14:paraId="5CF02E93" w14:textId="77777777" w:rsidR="00243A63" w:rsidRPr="0052397E" w:rsidRDefault="0052397E">
      <w:pPr>
        <w:jc w:val="both"/>
        <w:rPr>
          <w:b/>
          <w:color w:val="000000"/>
        </w:rPr>
      </w:pPr>
      <w:r w:rsidRPr="0052397E">
        <w:rPr>
          <w:b/>
          <w:color w:val="000000"/>
        </w:rPr>
        <w:t xml:space="preserve">Endnotes </w:t>
      </w:r>
    </w:p>
    <w:sectPr w:rsidR="00243A63" w:rsidRPr="0052397E">
      <w:footerReference w:type="first" r:id="rId10"/>
      <w:endnotePr>
        <w:numFmt w:val="decimal"/>
      </w:endnotePr>
      <w:pgSz w:w="11906" w:h="16838"/>
      <w:pgMar w:top="1417" w:right="1417" w:bottom="945"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DE9CA" w14:textId="77777777" w:rsidR="00075810" w:rsidRPr="00105F4D" w:rsidRDefault="00075810" w:rsidP="00105F4D">
      <w:pPr>
        <w:pStyle w:val="Footer"/>
      </w:pPr>
    </w:p>
  </w:endnote>
  <w:endnote w:type="continuationSeparator" w:id="0">
    <w:p w14:paraId="2152778D" w14:textId="77777777" w:rsidR="00075810" w:rsidRPr="00C8341A" w:rsidRDefault="00075810" w:rsidP="00C8341A">
      <w:pPr>
        <w:pStyle w:val="Footer"/>
      </w:pPr>
    </w:p>
  </w:endnote>
  <w:endnote w:id="1">
    <w:p w14:paraId="07958E52"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This is a join</w:t>
      </w:r>
      <w:r w:rsidRPr="001C3A74">
        <w:rPr>
          <w:sz w:val="18"/>
          <w:szCs w:val="18"/>
        </w:rPr>
        <w:t>t</w:t>
      </w:r>
      <w:r w:rsidRPr="001C3A74">
        <w:rPr>
          <w:color w:val="000000"/>
          <w:sz w:val="18"/>
          <w:szCs w:val="18"/>
        </w:rPr>
        <w:t xml:space="preserve"> submission by </w:t>
      </w:r>
      <w:hyperlink r:id="rId1">
        <w:r w:rsidRPr="001C3A74">
          <w:rPr>
            <w:color w:val="000000"/>
            <w:sz w:val="18"/>
            <w:szCs w:val="18"/>
          </w:rPr>
          <w:t>RERI</w:t>
        </w:r>
      </w:hyperlink>
      <w:r w:rsidRPr="001C3A74">
        <w:rPr>
          <w:color w:val="000000"/>
          <w:sz w:val="18"/>
          <w:szCs w:val="18"/>
        </w:rPr>
        <w:t xml:space="preserve">, </w:t>
      </w:r>
      <w:hyperlink r:id="rId2">
        <w:r w:rsidRPr="001C3A74">
          <w:rPr>
            <w:color w:val="000000"/>
            <w:sz w:val="18"/>
            <w:szCs w:val="18"/>
          </w:rPr>
          <w:t>FIAN Internation</w:t>
        </w:r>
      </w:hyperlink>
      <w:hyperlink r:id="rId3">
        <w:r w:rsidRPr="001C3A74">
          <w:rPr>
            <w:color w:val="000000"/>
            <w:sz w:val="18"/>
            <w:szCs w:val="18"/>
          </w:rPr>
          <w:t>al</w:t>
        </w:r>
      </w:hyperlink>
      <w:r w:rsidRPr="001C3A74">
        <w:rPr>
          <w:color w:val="000000"/>
          <w:sz w:val="18"/>
          <w:szCs w:val="18"/>
        </w:rPr>
        <w:t xml:space="preserve">, </w:t>
      </w:r>
      <w:hyperlink r:id="rId4">
        <w:r w:rsidRPr="001C3A74">
          <w:rPr>
            <w:color w:val="000000"/>
            <w:sz w:val="18"/>
            <w:szCs w:val="18"/>
          </w:rPr>
          <w:t>A 11 - Initiative for Economic and Social Rights</w:t>
        </w:r>
      </w:hyperlink>
      <w:r w:rsidRPr="001C3A74">
        <w:rPr>
          <w:color w:val="000000"/>
          <w:sz w:val="18"/>
          <w:szCs w:val="18"/>
        </w:rPr>
        <w:t xml:space="preserve">, and </w:t>
      </w:r>
      <w:hyperlink r:id="rId5">
        <w:r w:rsidRPr="001C3A74">
          <w:rPr>
            <w:color w:val="000000"/>
            <w:sz w:val="18"/>
            <w:szCs w:val="18"/>
          </w:rPr>
          <w:t>Association of Young Researchers Bor.</w:t>
        </w:r>
      </w:hyperlink>
      <w:r w:rsidRPr="001C3A74">
        <w:rPr>
          <w:color w:val="000000"/>
          <w:sz w:val="18"/>
          <w:szCs w:val="18"/>
        </w:rPr>
        <w:t xml:space="preserve"> </w:t>
      </w:r>
    </w:p>
  </w:endnote>
  <w:endnote w:id="2">
    <w:p w14:paraId="0F819D75" w14:textId="77777777" w:rsidR="0052397E" w:rsidRPr="001C3A74" w:rsidRDefault="0052397E">
      <w:pPr>
        <w:pBdr>
          <w:top w:val="nil"/>
          <w:left w:val="nil"/>
          <w:bottom w:val="nil"/>
          <w:right w:val="nil"/>
          <w:between w:val="nil"/>
        </w:pBdr>
        <w:jc w:val="both"/>
        <w:rPr>
          <w:color w:val="000000"/>
          <w:sz w:val="18"/>
          <w:szCs w:val="18"/>
        </w:rPr>
      </w:pPr>
      <w:r w:rsidRPr="001C3A74">
        <w:rPr>
          <w:sz w:val="18"/>
          <w:szCs w:val="18"/>
          <w:vertAlign w:val="superscript"/>
        </w:rPr>
        <w:endnoteRef/>
      </w:r>
      <w:r w:rsidRPr="001C3A74">
        <w:rPr>
          <w:color w:val="000000"/>
          <w:sz w:val="18"/>
          <w:szCs w:val="18"/>
        </w:rPr>
        <w:t xml:space="preserve"> For the Maastricht Principles on Extraterritorial Obligations of States in the Area of Economic, Social and Cultural Rights, see https://www.fidh.org/IMG/pdf/maastricht-eto-principles-uk_web.pdf. </w:t>
      </w:r>
    </w:p>
  </w:endnote>
  <w:endnote w:id="3">
    <w:p w14:paraId="7A8257C9" w14:textId="77777777" w:rsidR="0052397E" w:rsidRPr="001C3A74" w:rsidRDefault="0052397E">
      <w:pPr>
        <w:pBdr>
          <w:top w:val="nil"/>
          <w:left w:val="nil"/>
          <w:bottom w:val="nil"/>
          <w:right w:val="nil"/>
          <w:between w:val="nil"/>
        </w:pBdr>
        <w:rPr>
          <w:color w:val="000000"/>
          <w:sz w:val="18"/>
          <w:szCs w:val="18"/>
        </w:rPr>
      </w:pPr>
      <w:r w:rsidRPr="001C3A74">
        <w:rPr>
          <w:sz w:val="18"/>
          <w:szCs w:val="18"/>
          <w:vertAlign w:val="superscript"/>
        </w:rPr>
        <w:endnoteRef/>
      </w:r>
      <w:r w:rsidRPr="001C3A74">
        <w:rPr>
          <w:color w:val="000000"/>
          <w:sz w:val="18"/>
          <w:szCs w:val="18"/>
        </w:rPr>
        <w:t xml:space="preserve"> UN Doc. E/C.12/CHN/CO/2 (13 June 2014).</w:t>
      </w:r>
    </w:p>
  </w:endnote>
  <w:endnote w:id="4">
    <w:p w14:paraId="756EA264" w14:textId="77777777" w:rsidR="0052397E" w:rsidRPr="001C3A74" w:rsidRDefault="0052397E">
      <w:pPr>
        <w:rPr>
          <w:color w:val="000000"/>
          <w:sz w:val="18"/>
          <w:szCs w:val="18"/>
        </w:rPr>
      </w:pPr>
      <w:r w:rsidRPr="001C3A74">
        <w:rPr>
          <w:sz w:val="18"/>
          <w:szCs w:val="18"/>
          <w:vertAlign w:val="superscript"/>
        </w:rPr>
        <w:endnoteRef/>
      </w:r>
      <w:r w:rsidRPr="001C3A74">
        <w:rPr>
          <w:i/>
          <w:color w:val="000000"/>
          <w:sz w:val="18"/>
          <w:szCs w:val="18"/>
        </w:rPr>
        <w:t xml:space="preserve"> ibid.</w:t>
      </w:r>
      <w:r w:rsidRPr="001C3A74">
        <w:rPr>
          <w:color w:val="000000"/>
          <w:sz w:val="18"/>
          <w:szCs w:val="18"/>
        </w:rPr>
        <w:t xml:space="preserve"> </w:t>
      </w:r>
    </w:p>
  </w:endnote>
  <w:endnote w:id="5">
    <w:p w14:paraId="3058D795" w14:textId="77777777" w:rsidR="0052397E" w:rsidRPr="001C3A74" w:rsidRDefault="0052397E">
      <w:pPr>
        <w:pBdr>
          <w:top w:val="nil"/>
          <w:left w:val="nil"/>
          <w:bottom w:val="nil"/>
          <w:right w:val="nil"/>
          <w:between w:val="nil"/>
        </w:pBdr>
        <w:rPr>
          <w:color w:val="000000"/>
          <w:sz w:val="18"/>
          <w:szCs w:val="18"/>
        </w:rPr>
      </w:pPr>
      <w:r w:rsidRPr="001C3A74">
        <w:rPr>
          <w:sz w:val="18"/>
          <w:szCs w:val="18"/>
          <w:vertAlign w:val="superscript"/>
        </w:rPr>
        <w:endnoteRef/>
      </w:r>
      <w:r w:rsidRPr="001C3A74">
        <w:rPr>
          <w:color w:val="000000"/>
          <w:sz w:val="18"/>
          <w:szCs w:val="18"/>
        </w:rPr>
        <w:t xml:space="preserve"> Third period report submitted by China under articles of f16 and 17 of the Covenant (E/C.12/CHN/3)</w:t>
      </w:r>
    </w:p>
  </w:endnote>
  <w:endnote w:id="6">
    <w:p w14:paraId="5B532F57" w14:textId="77777777" w:rsidR="0052397E" w:rsidRPr="001C3A74" w:rsidRDefault="0052397E">
      <w:pPr>
        <w:pBdr>
          <w:top w:val="nil"/>
          <w:left w:val="nil"/>
          <w:bottom w:val="nil"/>
          <w:right w:val="nil"/>
          <w:between w:val="nil"/>
        </w:pBdr>
        <w:jc w:val="both"/>
        <w:rPr>
          <w:color w:val="000000"/>
          <w:sz w:val="18"/>
          <w:szCs w:val="18"/>
        </w:rPr>
      </w:pPr>
      <w:r w:rsidRPr="001C3A74">
        <w:rPr>
          <w:sz w:val="18"/>
          <w:szCs w:val="18"/>
          <w:vertAlign w:val="superscript"/>
        </w:rPr>
        <w:endnoteRef/>
      </w:r>
      <w:r w:rsidRPr="001C3A74">
        <w:rPr>
          <w:color w:val="000000"/>
          <w:sz w:val="18"/>
          <w:szCs w:val="18"/>
        </w:rPr>
        <w:t xml:space="preserve"> Replies of China to the list of issues in relation to its third periodic report. May 11, 2022. E/C.12/CHN/RQ/3.</w:t>
      </w:r>
    </w:p>
  </w:endnote>
  <w:endnote w:id="7">
    <w:p w14:paraId="214C0FFF" w14:textId="77777777" w:rsidR="0052397E" w:rsidRPr="001C3A74" w:rsidRDefault="0052397E">
      <w:pPr>
        <w:pBdr>
          <w:top w:val="nil"/>
          <w:left w:val="nil"/>
          <w:bottom w:val="nil"/>
          <w:right w:val="nil"/>
          <w:between w:val="nil"/>
        </w:pBdr>
        <w:rPr>
          <w:color w:val="000000"/>
          <w:sz w:val="18"/>
          <w:szCs w:val="18"/>
        </w:rPr>
      </w:pPr>
      <w:r w:rsidRPr="001C3A74">
        <w:rPr>
          <w:sz w:val="18"/>
          <w:szCs w:val="18"/>
          <w:vertAlign w:val="superscript"/>
        </w:rPr>
        <w:endnoteRef/>
      </w:r>
      <w:r w:rsidRPr="001C3A74">
        <w:rPr>
          <w:color w:val="000000"/>
          <w:sz w:val="18"/>
          <w:szCs w:val="18"/>
        </w:rPr>
        <w:t xml:space="preserve"> https://www.mfa.gov.rs/en/foreign-policy/bilateral-cooperation/china.</w:t>
      </w:r>
    </w:p>
  </w:endnote>
  <w:endnote w:id="8">
    <w:p w14:paraId="7E0E78FB" w14:textId="77777777" w:rsidR="0052397E" w:rsidRPr="001C3A74" w:rsidRDefault="0052397E">
      <w:pPr>
        <w:pBdr>
          <w:top w:val="nil"/>
          <w:left w:val="nil"/>
          <w:bottom w:val="nil"/>
          <w:right w:val="nil"/>
          <w:between w:val="nil"/>
        </w:pBdr>
        <w:rPr>
          <w:color w:val="000000"/>
          <w:sz w:val="18"/>
          <w:szCs w:val="18"/>
        </w:rPr>
      </w:pPr>
      <w:r w:rsidRPr="001C3A74">
        <w:rPr>
          <w:sz w:val="18"/>
          <w:szCs w:val="18"/>
          <w:vertAlign w:val="superscript"/>
        </w:rPr>
        <w:endnoteRef/>
      </w:r>
      <w:r w:rsidRPr="001C3A74">
        <w:rPr>
          <w:i/>
          <w:color w:val="000000"/>
          <w:sz w:val="18"/>
          <w:szCs w:val="18"/>
        </w:rPr>
        <w:t xml:space="preserve"> </w:t>
      </w:r>
      <w:r w:rsidRPr="001C3A74">
        <w:rPr>
          <w:color w:val="000000"/>
          <w:sz w:val="18"/>
          <w:szCs w:val="18"/>
        </w:rPr>
        <w:t>https://www.knsrk.gov.rs/eng/a0090.php.</w:t>
      </w:r>
    </w:p>
  </w:endnote>
  <w:endnote w:id="9">
    <w:p w14:paraId="0C44431A" w14:textId="77777777" w:rsidR="0052397E" w:rsidRPr="001C3A74" w:rsidRDefault="0052397E">
      <w:pPr>
        <w:jc w:val="both"/>
        <w:rPr>
          <w:color w:val="000000"/>
          <w:sz w:val="18"/>
          <w:szCs w:val="18"/>
        </w:rPr>
      </w:pPr>
      <w:r w:rsidRPr="001C3A74">
        <w:rPr>
          <w:sz w:val="18"/>
          <w:szCs w:val="18"/>
          <w:vertAlign w:val="superscript"/>
        </w:rPr>
        <w:endnoteRef/>
      </w:r>
      <w:hyperlink r:id="rId6">
        <w:r w:rsidRPr="001C3A74">
          <w:rPr>
            <w:color w:val="000000"/>
            <w:sz w:val="18"/>
            <w:szCs w:val="18"/>
          </w:rPr>
          <w:t>https://www.china-cee-investment.org/_files/ugd/72d38a_373928ea28c44c7f9c875ead7fc49c44.pdf</w:t>
        </w:r>
      </w:hyperlink>
      <w:r w:rsidRPr="001C3A74">
        <w:rPr>
          <w:color w:val="000000"/>
          <w:sz w:val="18"/>
          <w:szCs w:val="18"/>
        </w:rPr>
        <w:t xml:space="preserve">. </w:t>
      </w:r>
    </w:p>
  </w:endnote>
  <w:endnote w:id="10">
    <w:p w14:paraId="31CEF11F"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https://www.europarl.europa.eu/RegData/etudes/BRIE/2022/733558/EPRS_BRI(2022)733558_EN.pdf.</w:t>
      </w:r>
    </w:p>
  </w:endnote>
  <w:endnote w:id="11">
    <w:p w14:paraId="6B050056"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https://balkaninsight.com/2021/12/15/china-in-the-balkans-controversy-and-cost/.</w:t>
      </w:r>
    </w:p>
  </w:endnote>
  <w:endnote w:id="12">
    <w:p w14:paraId="39EAC76C"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w:t>
      </w:r>
      <w:r w:rsidRPr="001C3A74">
        <w:rPr>
          <w:color w:val="000000"/>
          <w:sz w:val="18"/>
          <w:szCs w:val="18"/>
          <w:highlight w:val="white"/>
        </w:rPr>
        <w:t xml:space="preserve">Article 11 of the </w:t>
      </w:r>
      <w:hyperlink r:id="rId7">
        <w:r w:rsidRPr="001C3A74">
          <w:rPr>
            <w:color w:val="000000"/>
            <w:sz w:val="18"/>
            <w:szCs w:val="18"/>
            <w:highlight w:val="white"/>
          </w:rPr>
          <w:t>Public Procurement Law (“</w:t>
        </w:r>
      </w:hyperlink>
      <w:hyperlink r:id="rId8">
        <w:r w:rsidRPr="001C3A74">
          <w:rPr>
            <w:i/>
            <w:color w:val="000000"/>
            <w:sz w:val="18"/>
            <w:szCs w:val="18"/>
            <w:highlight w:val="white"/>
          </w:rPr>
          <w:t>Official Gazette of RS</w:t>
        </w:r>
      </w:hyperlink>
      <w:hyperlink r:id="rId9">
        <w:r w:rsidRPr="001C3A74">
          <w:rPr>
            <w:color w:val="000000"/>
            <w:sz w:val="18"/>
            <w:szCs w:val="18"/>
            <w:highlight w:val="white"/>
          </w:rPr>
          <w:t>” no. 91/19)</w:t>
        </w:r>
      </w:hyperlink>
      <w:r w:rsidRPr="001C3A74">
        <w:rPr>
          <w:color w:val="000000"/>
          <w:sz w:val="18"/>
          <w:szCs w:val="18"/>
          <w:highlight w:val="white"/>
        </w:rPr>
        <w:t xml:space="preserve"> prescribes that the provisions of the law do not apply to public procurements and design contests that contracting authorities or entities are obliged to conduct in accordance with the procurement procedures established under an international agreement, or other act pursuant to which an international law obligation was created, and which is concluded by the Republic of Serbia with one or more third countries or their inner political-territorial units, and relating to supplies, services or works intended for joint use or exploitation by the signatories. Therefore, the possibility of monitoring these procedures by the interested public in the case that the projects are being implemented through international agreement is constricted.</w:t>
      </w:r>
    </w:p>
  </w:endnote>
  <w:endnote w:id="13">
    <w:p w14:paraId="7EF14E86"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In most cases, the public has no access to government decisions on this matter. See: </w:t>
      </w:r>
      <w:hyperlink r:id="rId10">
        <w:r w:rsidRPr="001C3A74">
          <w:rPr>
            <w:color w:val="000000"/>
            <w:sz w:val="18"/>
            <w:szCs w:val="18"/>
          </w:rPr>
          <w:t>https://justfinanceinternational.org/wp-content/uploads/2022/06/A-Legal-Memo-on-Chinese-investments-in-Serbia.pdf</w:t>
        </w:r>
      </w:hyperlink>
      <w:r w:rsidRPr="001C3A74">
        <w:rPr>
          <w:color w:val="000000"/>
          <w:sz w:val="18"/>
          <w:szCs w:val="18"/>
        </w:rPr>
        <w:t xml:space="preserve">. </w:t>
      </w:r>
    </w:p>
  </w:endnote>
  <w:endnote w:id="14">
    <w:p w14:paraId="0A5E7826"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w:t>
      </w:r>
      <w:r w:rsidRPr="001C3A74">
        <w:rPr>
          <w:color w:val="000000"/>
          <w:sz w:val="18"/>
          <w:szCs w:val="18"/>
          <w:highlight w:val="white"/>
        </w:rPr>
        <w:t xml:space="preserve">For ex. on 4 February 2020, the National Assembly adopted the </w:t>
      </w:r>
      <w:hyperlink r:id="rId11">
        <w:r w:rsidRPr="001C3A74">
          <w:rPr>
            <w:color w:val="000000"/>
            <w:sz w:val="18"/>
            <w:szCs w:val="18"/>
            <w:highlight w:val="white"/>
          </w:rPr>
          <w:t>Law on Special Procedures for the Implementation of the Project of Construction and Reconstruction of Line (Linear) Infrastructure of Particular Importance to the Republic of Serbia</w:t>
        </w:r>
      </w:hyperlink>
      <w:hyperlink r:id="rId12">
        <w:r w:rsidRPr="001C3A74">
          <w:rPr>
            <w:b/>
            <w:color w:val="000000"/>
            <w:sz w:val="18"/>
            <w:szCs w:val="18"/>
            <w:highlight w:val="white"/>
          </w:rPr>
          <w:t xml:space="preserve"> </w:t>
        </w:r>
      </w:hyperlink>
      <w:hyperlink r:id="rId13">
        <w:r w:rsidRPr="001C3A74">
          <w:rPr>
            <w:color w:val="000000"/>
            <w:sz w:val="18"/>
            <w:szCs w:val="18"/>
            <w:highlight w:val="white"/>
          </w:rPr>
          <w:t>(“</w:t>
        </w:r>
      </w:hyperlink>
      <w:hyperlink r:id="rId14">
        <w:r w:rsidRPr="001C3A74">
          <w:rPr>
            <w:i/>
            <w:color w:val="000000"/>
            <w:sz w:val="18"/>
            <w:szCs w:val="18"/>
            <w:highlight w:val="white"/>
          </w:rPr>
          <w:t>Official Gazette of RS</w:t>
        </w:r>
      </w:hyperlink>
      <w:hyperlink r:id="rId15">
        <w:r w:rsidRPr="001C3A74">
          <w:rPr>
            <w:color w:val="000000"/>
            <w:sz w:val="18"/>
            <w:szCs w:val="18"/>
            <w:highlight w:val="white"/>
          </w:rPr>
          <w:t>”, no. 9/20)</w:t>
        </w:r>
      </w:hyperlink>
      <w:r w:rsidRPr="001C3A74">
        <w:rPr>
          <w:color w:val="000000"/>
          <w:sz w:val="18"/>
          <w:szCs w:val="18"/>
          <w:highlight w:val="white"/>
        </w:rPr>
        <w:t xml:space="preserve"> allowing the expropriation of the property in extremely short deadlines.</w:t>
      </w:r>
    </w:p>
  </w:endnote>
  <w:endnote w:id="15">
    <w:p w14:paraId="6533FAE1"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h</w:t>
      </w:r>
      <w:hyperlink r:id="rId16">
        <w:r w:rsidRPr="001C3A74">
          <w:rPr>
            <w:color w:val="000000"/>
            <w:sz w:val="18"/>
            <w:szCs w:val="18"/>
          </w:rPr>
          <w:t>ttps://www.reri.org.rs/en/zijin-copper-continues-illegal-construction-in-bor/</w:t>
        </w:r>
      </w:hyperlink>
      <w:r w:rsidRPr="001C3A74">
        <w:rPr>
          <w:color w:val="000000"/>
          <w:sz w:val="18"/>
          <w:szCs w:val="18"/>
        </w:rPr>
        <w:t>,</w:t>
      </w:r>
      <w:hyperlink r:id="rId17">
        <w:r w:rsidRPr="001C3A74">
          <w:rPr>
            <w:color w:val="000000"/>
            <w:sz w:val="18"/>
            <w:szCs w:val="18"/>
          </w:rPr>
          <w:t>https://www.reri.org.rs/en/increase-of-flotation-of-copper-mine-in-majdanpek-without-environmental-impact-assessment/</w:t>
        </w:r>
      </w:hyperlink>
      <w:r w:rsidRPr="001C3A74">
        <w:rPr>
          <w:color w:val="000000"/>
          <w:sz w:val="18"/>
          <w:szCs w:val="18"/>
        </w:rPr>
        <w:t xml:space="preserve">. For example, Zijin avoided a proper impact assessment of the project aiming to increase the flotation capacities of the mine Majdanpek from 6.000.000 t/y to 11.000.000 t/y flotation tailings pond by excluding from the main project the tailings disposal. See: </w:t>
      </w:r>
      <w:hyperlink r:id="rId18">
        <w:r w:rsidRPr="001C3A74">
          <w:rPr>
            <w:color w:val="000000"/>
            <w:sz w:val="18"/>
            <w:szCs w:val="18"/>
          </w:rPr>
          <w:t>https://www.reri.org.rs/en/increase-of-flotation-of-copper-mine-in-majdanpek-without-environmental-impact-assessment/</w:t>
        </w:r>
      </w:hyperlink>
      <w:r w:rsidRPr="001C3A74">
        <w:rPr>
          <w:color w:val="000000"/>
          <w:sz w:val="18"/>
          <w:szCs w:val="18"/>
        </w:rPr>
        <w:t>.</w:t>
      </w:r>
    </w:p>
  </w:endnote>
  <w:endnote w:id="16">
    <w:p w14:paraId="162C88F8" w14:textId="77777777" w:rsidR="0052397E" w:rsidRPr="001C3A74" w:rsidRDefault="0052397E">
      <w:pPr>
        <w:rPr>
          <w:i/>
          <w:color w:val="000000"/>
          <w:sz w:val="18"/>
          <w:szCs w:val="18"/>
        </w:rPr>
      </w:pPr>
      <w:r w:rsidRPr="001C3A74">
        <w:rPr>
          <w:sz w:val="18"/>
          <w:szCs w:val="18"/>
          <w:vertAlign w:val="superscript"/>
        </w:rPr>
        <w:endnoteRef/>
      </w:r>
      <w:r w:rsidRPr="001C3A74">
        <w:rPr>
          <w:color w:val="000000"/>
          <w:sz w:val="18"/>
          <w:szCs w:val="18"/>
        </w:rPr>
        <w:t xml:space="preserve">For example, Linglong split its project into four phases to avoid proper environmental impact assessment. See: </w:t>
      </w:r>
      <w:hyperlink r:id="rId19">
        <w:r w:rsidRPr="001C3A74">
          <w:rPr>
            <w:color w:val="000000"/>
            <w:sz w:val="18"/>
            <w:szCs w:val="18"/>
          </w:rPr>
          <w:t>https://www.reri.org.rs/wp-content/uploads/2020/07/CUI-BONO%E2%80%93-Studija-slu%C4%8Daja-izgradnje-fabrike-pneumatika-Linglong-Tire-u-Zrenjaninu.pdf</w:t>
        </w:r>
      </w:hyperlink>
      <w:r w:rsidRPr="001C3A74">
        <w:rPr>
          <w:color w:val="000000"/>
          <w:sz w:val="18"/>
          <w:szCs w:val="18"/>
        </w:rPr>
        <w:t xml:space="preserve"> and </w:t>
      </w:r>
      <w:hyperlink r:id="rId20">
        <w:r w:rsidRPr="001C3A74">
          <w:rPr>
            <w:color w:val="000000"/>
            <w:sz w:val="18"/>
            <w:szCs w:val="18"/>
          </w:rPr>
          <w:t>https://www.reri.org.rs/wp-content/uploads/2021/06/case-study-on-the-construction-of-the-tire-factory-in-Zrenjanin-2.pdf</w:t>
        </w:r>
      </w:hyperlink>
    </w:p>
  </w:endnote>
  <w:endnote w:id="17">
    <w:p w14:paraId="458F55E7" w14:textId="77777777" w:rsidR="0052397E" w:rsidRPr="001C3A74" w:rsidRDefault="0052397E">
      <w:pPr>
        <w:jc w:val="both"/>
        <w:rPr>
          <w:color w:val="000000"/>
          <w:sz w:val="18"/>
          <w:szCs w:val="18"/>
        </w:rPr>
      </w:pPr>
      <w:r w:rsidRPr="001C3A74">
        <w:rPr>
          <w:sz w:val="18"/>
          <w:szCs w:val="18"/>
          <w:vertAlign w:val="superscript"/>
        </w:rPr>
        <w:endnoteRef/>
      </w:r>
      <w:r w:rsidRPr="001C3A74">
        <w:rPr>
          <w:sz w:val="18"/>
          <w:szCs w:val="18"/>
        </w:rPr>
        <w:t>h</w:t>
      </w:r>
      <w:r w:rsidRPr="001C3A74">
        <w:rPr>
          <w:color w:val="000000"/>
          <w:sz w:val="18"/>
          <w:szCs w:val="18"/>
        </w:rPr>
        <w:t>ttps://www.reri.org.rs/en/the-minister-of-environmental-protection-is-satisfied-with-the-progress-of-the-construction-of-illegal-facilities-in-bor/.</w:t>
      </w:r>
    </w:p>
  </w:endnote>
  <w:endnote w:id="18">
    <w:p w14:paraId="26DF6785" w14:textId="77777777" w:rsidR="0052397E" w:rsidRPr="001C3A74" w:rsidRDefault="0052397E">
      <w:pPr>
        <w:jc w:val="both"/>
        <w:rPr>
          <w:i/>
          <w:color w:val="000000"/>
          <w:sz w:val="18"/>
          <w:szCs w:val="18"/>
        </w:rPr>
      </w:pPr>
      <w:r w:rsidRPr="001C3A74">
        <w:rPr>
          <w:sz w:val="18"/>
          <w:szCs w:val="18"/>
          <w:vertAlign w:val="superscript"/>
        </w:rPr>
        <w:endnoteRef/>
      </w:r>
      <w:hyperlink r:id="rId21">
        <w:r w:rsidRPr="001C3A74">
          <w:rPr>
            <w:color w:val="000000"/>
            <w:sz w:val="18"/>
            <w:szCs w:val="18"/>
          </w:rPr>
          <w:t>https://www.ekologija.gov.rs/obavestenja/zastita-prirode/obavestenje-o-postupku-pokretanja-zastite-u-nacionalnom-parku-kucaj-beljanica-0</w:t>
        </w:r>
      </w:hyperlink>
      <w:r w:rsidRPr="001C3A74">
        <w:rPr>
          <w:i/>
          <w:color w:val="000000"/>
          <w:sz w:val="18"/>
          <w:szCs w:val="18"/>
        </w:rPr>
        <w:t xml:space="preserve">. </w:t>
      </w:r>
    </w:p>
  </w:endnote>
  <w:endnote w:id="19">
    <w:p w14:paraId="639322AB" w14:textId="77777777" w:rsidR="0052397E" w:rsidRPr="001C3A74" w:rsidRDefault="0052397E">
      <w:pPr>
        <w:jc w:val="both"/>
        <w:rPr>
          <w:color w:val="000000"/>
          <w:sz w:val="18"/>
          <w:szCs w:val="18"/>
          <w:highlight w:val="white"/>
        </w:rPr>
      </w:pPr>
      <w:r w:rsidRPr="001C3A74">
        <w:rPr>
          <w:sz w:val="18"/>
          <w:szCs w:val="18"/>
          <w:vertAlign w:val="superscript"/>
        </w:rPr>
        <w:endnoteRef/>
      </w:r>
      <w:r w:rsidRPr="001C3A74">
        <w:rPr>
          <w:i/>
          <w:color w:val="000000"/>
          <w:sz w:val="18"/>
          <w:szCs w:val="18"/>
        </w:rPr>
        <w:t xml:space="preserve"> Ibid</w:t>
      </w:r>
      <w:r w:rsidRPr="001C3A74">
        <w:rPr>
          <w:color w:val="000000"/>
          <w:sz w:val="18"/>
          <w:szCs w:val="18"/>
        </w:rPr>
        <w:t xml:space="preserve">. </w:t>
      </w:r>
      <w:r w:rsidRPr="001C3A74">
        <w:rPr>
          <w:color w:val="161616"/>
          <w:sz w:val="18"/>
          <w:szCs w:val="18"/>
          <w:highlight w:val="white"/>
        </w:rPr>
        <w:t>The Emerald Network is an ecological network made up of Areas of Special Conservation Interest</w:t>
      </w:r>
      <w:r w:rsidRPr="001C3A74">
        <w:rPr>
          <w:color w:val="000000"/>
          <w:sz w:val="18"/>
          <w:szCs w:val="18"/>
        </w:rPr>
        <w:t xml:space="preserve">. </w:t>
      </w:r>
      <w:r w:rsidRPr="001C3A74">
        <w:rPr>
          <w:sz w:val="18"/>
          <w:szCs w:val="18"/>
        </w:rPr>
        <w:t xml:space="preserve">This area is on the list of officially nominated Emerald sites. See: </w:t>
      </w:r>
      <w:r w:rsidRPr="001C3A74">
        <w:rPr>
          <w:color w:val="000000"/>
          <w:sz w:val="18"/>
          <w:szCs w:val="18"/>
        </w:rPr>
        <w:t xml:space="preserve"> </w:t>
      </w:r>
      <w:hyperlink r:id="rId22">
        <w:r w:rsidRPr="001C3A74">
          <w:rPr>
            <w:color w:val="000000"/>
            <w:sz w:val="18"/>
            <w:szCs w:val="18"/>
            <w:highlight w:val="white"/>
          </w:rPr>
          <w:t>https://rm.coe.int/pa09e-2022-updated-list-officially-nominated-candidate-emerald-sites/1680a93c85</w:t>
        </w:r>
      </w:hyperlink>
      <w:r w:rsidRPr="001C3A74">
        <w:rPr>
          <w:color w:val="000000"/>
          <w:sz w:val="18"/>
          <w:szCs w:val="18"/>
          <w:highlight w:val="white"/>
        </w:rPr>
        <w:t>.</w:t>
      </w:r>
    </w:p>
  </w:endnote>
  <w:endnote w:id="20">
    <w:p w14:paraId="1EA5F3A8"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w:t>
      </w:r>
      <w:hyperlink r:id="rId23">
        <w:r w:rsidRPr="001C3A74">
          <w:rPr>
            <w:color w:val="000000"/>
            <w:sz w:val="18"/>
            <w:szCs w:val="18"/>
            <w:highlight w:val="white"/>
          </w:rPr>
          <w:t>https://www.zijinmining.com/upload/file/2022/06/20/771c971d76154257882f58ed03643c07.pdf</w:t>
        </w:r>
      </w:hyperlink>
    </w:p>
  </w:endnote>
  <w:endnote w:id="21">
    <w:p w14:paraId="5F813F55"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w:t>
      </w:r>
      <w:hyperlink r:id="rId24">
        <w:r w:rsidRPr="001C3A74">
          <w:rPr>
            <w:color w:val="000000"/>
            <w:sz w:val="18"/>
            <w:szCs w:val="18"/>
          </w:rPr>
          <w:t>https://bor.rs/wp-content/uploads/2021/07/KAP.pdf</w:t>
        </w:r>
      </w:hyperlink>
      <w:r w:rsidRPr="001C3A74">
        <w:rPr>
          <w:color w:val="000000"/>
          <w:sz w:val="18"/>
          <w:szCs w:val="18"/>
        </w:rPr>
        <w:t xml:space="preserve">, </w:t>
      </w:r>
      <w:hyperlink r:id="rId25">
        <w:r w:rsidRPr="001C3A74">
          <w:rPr>
            <w:color w:val="000000"/>
            <w:sz w:val="18"/>
            <w:szCs w:val="18"/>
          </w:rPr>
          <w:t>http://tobor.rs/nesto-vise-o-boru/flora-i-fauna/</w:t>
        </w:r>
      </w:hyperlink>
      <w:r w:rsidRPr="001C3A74">
        <w:rPr>
          <w:color w:val="000000"/>
          <w:sz w:val="18"/>
          <w:szCs w:val="18"/>
        </w:rPr>
        <w:t>.</w:t>
      </w:r>
    </w:p>
  </w:endnote>
  <w:endnote w:id="22">
    <w:p w14:paraId="7C678EC5" w14:textId="77777777" w:rsidR="0052397E" w:rsidRPr="001C3A74" w:rsidRDefault="0052397E">
      <w:pPr>
        <w:rPr>
          <w:i/>
          <w:color w:val="000000"/>
          <w:sz w:val="18"/>
          <w:szCs w:val="18"/>
        </w:rPr>
      </w:pPr>
      <w:r w:rsidRPr="001C3A74">
        <w:rPr>
          <w:sz w:val="18"/>
          <w:szCs w:val="18"/>
          <w:vertAlign w:val="superscript"/>
        </w:rPr>
        <w:endnoteRef/>
      </w:r>
      <w:r w:rsidRPr="001C3A74">
        <w:rPr>
          <w:color w:val="000000"/>
          <w:sz w:val="18"/>
          <w:szCs w:val="18"/>
        </w:rPr>
        <w:t xml:space="preserve"> </w:t>
      </w:r>
      <w:hyperlink r:id="rId26">
        <w:r w:rsidRPr="001C3A74">
          <w:rPr>
            <w:color w:val="000000"/>
            <w:sz w:val="18"/>
            <w:szCs w:val="18"/>
          </w:rPr>
          <w:t>https://www.ebrd.com/what-we-do/belt-and-road/overview.html</w:t>
        </w:r>
      </w:hyperlink>
      <w:r w:rsidRPr="001C3A74">
        <w:rPr>
          <w:color w:val="000000"/>
          <w:sz w:val="18"/>
          <w:szCs w:val="18"/>
        </w:rPr>
        <w:t xml:space="preserve"> and </w:t>
      </w:r>
      <w:hyperlink r:id="rId27">
        <w:r w:rsidRPr="001C3A74">
          <w:rPr>
            <w:color w:val="000000"/>
            <w:sz w:val="18"/>
            <w:szCs w:val="18"/>
            <w:highlight w:val="white"/>
          </w:rPr>
          <w:t>https://kolektiv.co.rs/ning-jizhe-svom-snagom-podrzavamo-projekat-zijin-mining-grupe-u-srbiji/</w:t>
        </w:r>
      </w:hyperlink>
      <w:r w:rsidRPr="001C3A74">
        <w:rPr>
          <w:color w:val="000000"/>
          <w:sz w:val="18"/>
          <w:szCs w:val="18"/>
        </w:rPr>
        <w:t>.</w:t>
      </w:r>
    </w:p>
  </w:endnote>
  <w:endnote w:id="23">
    <w:p w14:paraId="2BDD152D"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https://zijinbor.com/en/about/.</w:t>
      </w:r>
    </w:p>
  </w:endnote>
  <w:endnote w:id="24">
    <w:p w14:paraId="5B8231B1"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w:t>
      </w:r>
      <w:hyperlink r:id="rId28">
        <w:r w:rsidRPr="001C3A74">
          <w:rPr>
            <w:color w:val="000000"/>
            <w:sz w:val="18"/>
            <w:szCs w:val="18"/>
          </w:rPr>
          <w:t>https://publikacije.stat.gov.rs/G2022/Pdf/G20222055.pdf</w:t>
        </w:r>
      </w:hyperlink>
      <w:r w:rsidRPr="001C3A74">
        <w:rPr>
          <w:color w:val="000000"/>
          <w:sz w:val="18"/>
          <w:szCs w:val="18"/>
        </w:rPr>
        <w:t xml:space="preserve">. </w:t>
      </w:r>
    </w:p>
  </w:endnote>
  <w:endnote w:id="25">
    <w:p w14:paraId="2CB9450B"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For example, in 2019 the Zijin company produced approximately 75.000 tons of copper or 36% more than RTB Bor in 2017 (55.000 tons) and 15% in comparison to RTB Bor's production in 2018 (65.000 tons). </w:t>
      </w:r>
      <w:r w:rsidRPr="001C3A74">
        <w:rPr>
          <w:i/>
          <w:color w:val="000000"/>
          <w:sz w:val="18"/>
          <w:szCs w:val="18"/>
        </w:rPr>
        <w:t>The report on air quality and public policy documents of the city of Bor, Bor 2020</w:t>
      </w:r>
      <w:r w:rsidRPr="001C3A74">
        <w:rPr>
          <w:color w:val="000000"/>
          <w:sz w:val="18"/>
          <w:szCs w:val="18"/>
        </w:rPr>
        <w:t xml:space="preserve">, available at </w:t>
      </w:r>
      <w:hyperlink r:id="rId29">
        <w:r w:rsidRPr="001C3A74">
          <w:rPr>
            <w:color w:val="000000"/>
            <w:sz w:val="18"/>
            <w:szCs w:val="18"/>
          </w:rPr>
          <w:t>https://mibor.rs/wp-content/uploads/2020/12/Kvalitet-vazduha-i-dokumenti-javne-politike-Bor.pdf</w:t>
        </w:r>
      </w:hyperlink>
      <w:r w:rsidRPr="001C3A74">
        <w:rPr>
          <w:color w:val="000000"/>
          <w:sz w:val="18"/>
          <w:szCs w:val="18"/>
        </w:rPr>
        <w:t xml:space="preserve">. </w:t>
      </w:r>
    </w:p>
  </w:endnote>
  <w:endnote w:id="26">
    <w:p w14:paraId="5A9A867E"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Article 22 of the Law on Air Protection (“</w:t>
      </w:r>
      <w:r w:rsidRPr="001C3A74">
        <w:rPr>
          <w:i/>
          <w:color w:val="000000"/>
          <w:sz w:val="18"/>
          <w:szCs w:val="18"/>
        </w:rPr>
        <w:t>Official Gazette of RS”</w:t>
      </w:r>
      <w:r w:rsidRPr="001C3A74">
        <w:rPr>
          <w:color w:val="000000"/>
          <w:sz w:val="18"/>
          <w:szCs w:val="18"/>
        </w:rPr>
        <w:t xml:space="preserve">, nos. 36/09, 10/13 and 26/21). In 2017 and 2018 the air was </w:t>
      </w:r>
      <w:r w:rsidRPr="001C3A74">
        <w:rPr>
          <w:sz w:val="18"/>
          <w:szCs w:val="18"/>
        </w:rPr>
        <w:t>categorised</w:t>
      </w:r>
      <w:r w:rsidRPr="001C3A74">
        <w:rPr>
          <w:color w:val="000000"/>
          <w:sz w:val="18"/>
          <w:szCs w:val="18"/>
        </w:rPr>
        <w:t xml:space="preserve"> as clean air or slightly polluted air</w:t>
      </w:r>
      <w:r w:rsidRPr="001C3A74">
        <w:rPr>
          <w:sz w:val="18"/>
          <w:szCs w:val="18"/>
        </w:rPr>
        <w:t>. S</w:t>
      </w:r>
      <w:r w:rsidRPr="001C3A74">
        <w:rPr>
          <w:color w:val="000000"/>
          <w:sz w:val="18"/>
          <w:szCs w:val="18"/>
        </w:rPr>
        <w:t xml:space="preserve">ee: http://www.sepa.gov.rs/download/Vazduh_2021.pdf. </w:t>
      </w:r>
    </w:p>
  </w:endnote>
  <w:endnote w:id="27">
    <w:p w14:paraId="75268542"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w:t>
      </w:r>
      <w:hyperlink r:id="rId30">
        <w:r w:rsidRPr="001C3A74">
          <w:rPr>
            <w:color w:val="000000"/>
            <w:sz w:val="18"/>
            <w:szCs w:val="18"/>
          </w:rPr>
          <w:t>http://www.sepa.gov.rs/download/Vazduh_2021.pdf</w:t>
        </w:r>
      </w:hyperlink>
      <w:r w:rsidRPr="001C3A74">
        <w:rPr>
          <w:color w:val="000000"/>
          <w:sz w:val="18"/>
          <w:szCs w:val="18"/>
        </w:rPr>
        <w:t xml:space="preserve">. </w:t>
      </w:r>
    </w:p>
  </w:endnote>
  <w:endnote w:id="28">
    <w:p w14:paraId="61D32DFC"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According to Article 19 of the Regulation on Conditions for Monitoring and Air Quality Requirements ("Official Gazette of RS", nos. 11/10, 75/10 and 63/13) the concentration of sulphur dioxide is considered dangerous to human health if the concentration of 500 µg/m</w:t>
      </w:r>
      <w:r w:rsidRPr="001C3A74">
        <w:rPr>
          <w:color w:val="000000"/>
          <w:sz w:val="18"/>
          <w:szCs w:val="18"/>
          <w:vertAlign w:val="superscript"/>
        </w:rPr>
        <w:t>3</w:t>
      </w:r>
      <w:r w:rsidRPr="001C3A74">
        <w:rPr>
          <w:color w:val="000000"/>
          <w:sz w:val="18"/>
          <w:szCs w:val="18"/>
        </w:rPr>
        <w:t xml:space="preserve"> and above is recorded during three consecutive hours. See: http://www.sepa.gov.rs/download/izv/Vazduh_2020.pdf.</w:t>
      </w:r>
    </w:p>
  </w:endnote>
  <w:endnote w:id="29">
    <w:p w14:paraId="7D9803DF"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w:t>
      </w:r>
      <w:hyperlink r:id="rId31">
        <w:r w:rsidRPr="001C3A74">
          <w:rPr>
            <w:color w:val="000000"/>
            <w:sz w:val="18"/>
            <w:szCs w:val="18"/>
          </w:rPr>
          <w:t>http://www.sepa.gov.rs/download/Vazduh_2021.pdf</w:t>
        </w:r>
      </w:hyperlink>
      <w:r w:rsidRPr="001C3A74">
        <w:rPr>
          <w:color w:val="000000"/>
          <w:sz w:val="18"/>
          <w:szCs w:val="18"/>
        </w:rPr>
        <w:t xml:space="preserve">. The weekly reports of the Agency for Environmental Protection on the detected concentrations of pollutants in the air in Bor in 2021 can be provided upon request. </w:t>
      </w:r>
    </w:p>
  </w:endnote>
  <w:endnote w:id="30">
    <w:p w14:paraId="4BD96E5C"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w:t>
      </w:r>
      <w:hyperlink r:id="rId32">
        <w:r w:rsidRPr="001C3A74">
          <w:rPr>
            <w:color w:val="000000"/>
            <w:sz w:val="18"/>
            <w:szCs w:val="18"/>
          </w:rPr>
          <w:t>http://www.sepa.gov.rs/download/Vazduh_2021.pdf</w:t>
        </w:r>
      </w:hyperlink>
      <w:r w:rsidRPr="001C3A74">
        <w:rPr>
          <w:color w:val="000000"/>
          <w:sz w:val="18"/>
          <w:szCs w:val="18"/>
        </w:rPr>
        <w:t xml:space="preserve">, </w:t>
      </w:r>
      <w:hyperlink r:id="rId33">
        <w:r w:rsidRPr="001C3A74">
          <w:rPr>
            <w:color w:val="000000"/>
            <w:sz w:val="18"/>
            <w:szCs w:val="18"/>
          </w:rPr>
          <w:t>http://www.sepa.gov.rs/download/izv/Vazduh_2020.pdf</w:t>
        </w:r>
      </w:hyperlink>
      <w:r w:rsidRPr="001C3A74">
        <w:rPr>
          <w:color w:val="000000"/>
          <w:sz w:val="18"/>
          <w:szCs w:val="18"/>
        </w:rPr>
        <w:t xml:space="preserve"> and http://www.sepa.gov.rs/download/izv/Vazduh_2019.pdf.</w:t>
      </w:r>
    </w:p>
  </w:endnote>
  <w:endnote w:id="31">
    <w:p w14:paraId="6F6B8C12"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Measuring station Jugopetrol. </w:t>
      </w:r>
    </w:p>
  </w:endnote>
  <w:endnote w:id="32">
    <w:p w14:paraId="0BE987C7"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w:t>
      </w:r>
      <w:hyperlink r:id="rId34">
        <w:r w:rsidRPr="001C3A74">
          <w:rPr>
            <w:color w:val="000000"/>
            <w:sz w:val="18"/>
            <w:szCs w:val="18"/>
          </w:rPr>
          <w:t>http://www.sepa.gov.rs/download/izv/Vazduh_2019.pdf</w:t>
        </w:r>
      </w:hyperlink>
      <w:r w:rsidRPr="001C3A74">
        <w:rPr>
          <w:color w:val="000000"/>
          <w:sz w:val="18"/>
          <w:szCs w:val="18"/>
        </w:rPr>
        <w:t xml:space="preserve">, </w:t>
      </w:r>
      <w:hyperlink r:id="rId35">
        <w:r w:rsidRPr="001C3A74">
          <w:rPr>
            <w:color w:val="000000"/>
            <w:sz w:val="18"/>
            <w:szCs w:val="18"/>
          </w:rPr>
          <w:t>http://www.sepa.gov.rs/download/izv/Vazduh_2020.pdf</w:t>
        </w:r>
      </w:hyperlink>
      <w:r w:rsidRPr="001C3A74">
        <w:rPr>
          <w:color w:val="000000"/>
          <w:sz w:val="18"/>
          <w:szCs w:val="18"/>
        </w:rPr>
        <w:t xml:space="preserve">., and </w:t>
      </w:r>
      <w:hyperlink r:id="rId36">
        <w:r w:rsidRPr="001C3A74">
          <w:rPr>
            <w:color w:val="000000"/>
            <w:sz w:val="18"/>
            <w:szCs w:val="18"/>
          </w:rPr>
          <w:t>https://www.reri.org.rs/en/deadly-dust-deadlier-silence/</w:t>
        </w:r>
      </w:hyperlink>
      <w:r w:rsidRPr="001C3A74">
        <w:rPr>
          <w:color w:val="000000"/>
          <w:sz w:val="18"/>
          <w:szCs w:val="18"/>
        </w:rPr>
        <w:t>. The target value is the level of the pollutant determined to avoid, prevent, or reduce harmful effects on human health and/or the environment as a whole. The allowed average value on an annual level for arsenic (total amount in suspended PM10 particles) is 6 ng/m3.</w:t>
      </w:r>
    </w:p>
  </w:endnote>
  <w:endnote w:id="33">
    <w:p w14:paraId="190A8CE0"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Average annual values on measuring stations: Jugopetrol – 132 ng/m</w:t>
      </w:r>
      <w:r w:rsidRPr="001C3A74">
        <w:rPr>
          <w:color w:val="000000"/>
          <w:sz w:val="18"/>
          <w:szCs w:val="18"/>
          <w:vertAlign w:val="superscript"/>
        </w:rPr>
        <w:t>3</w:t>
      </w:r>
      <w:r w:rsidRPr="001C3A74">
        <w:rPr>
          <w:color w:val="000000"/>
          <w:sz w:val="18"/>
          <w:szCs w:val="18"/>
        </w:rPr>
        <w:t>, Gradski park – 43 ng/m3, Brezonik - 33 ng/m</w:t>
      </w:r>
      <w:r w:rsidRPr="001C3A74">
        <w:rPr>
          <w:color w:val="000000"/>
          <w:sz w:val="18"/>
          <w:szCs w:val="18"/>
          <w:vertAlign w:val="superscript"/>
        </w:rPr>
        <w:t>3</w:t>
      </w:r>
      <w:r w:rsidRPr="001C3A74">
        <w:rPr>
          <w:color w:val="000000"/>
          <w:sz w:val="18"/>
          <w:szCs w:val="18"/>
        </w:rPr>
        <w:t>, Oštrelj – 18 ng/m</w:t>
      </w:r>
      <w:r w:rsidRPr="001C3A74">
        <w:rPr>
          <w:color w:val="000000"/>
          <w:sz w:val="18"/>
          <w:szCs w:val="18"/>
          <w:vertAlign w:val="superscript"/>
        </w:rPr>
        <w:t>3</w:t>
      </w:r>
      <w:r w:rsidRPr="001C3A74">
        <w:rPr>
          <w:color w:val="000000"/>
          <w:sz w:val="18"/>
          <w:szCs w:val="18"/>
        </w:rPr>
        <w:t xml:space="preserve"> and Krivelj – 7 ng/m</w:t>
      </w:r>
      <w:r w:rsidRPr="001C3A74">
        <w:rPr>
          <w:color w:val="000000"/>
          <w:sz w:val="18"/>
          <w:szCs w:val="18"/>
          <w:vertAlign w:val="superscript"/>
        </w:rPr>
        <w:t>3</w:t>
      </w:r>
      <w:r w:rsidRPr="001C3A74">
        <w:rPr>
          <w:color w:val="000000"/>
          <w:sz w:val="18"/>
          <w:szCs w:val="18"/>
        </w:rPr>
        <w:t>. The highest exceedances were recorded at the Jugopetrol measuring station with the maximum recorded value of 2.088 ng/m</w:t>
      </w:r>
      <w:r w:rsidRPr="001C3A74">
        <w:rPr>
          <w:color w:val="000000"/>
          <w:sz w:val="18"/>
          <w:szCs w:val="18"/>
          <w:vertAlign w:val="superscript"/>
        </w:rPr>
        <w:t>3</w:t>
      </w:r>
      <w:r w:rsidRPr="001C3A74">
        <w:rPr>
          <w:color w:val="000000"/>
          <w:sz w:val="18"/>
          <w:szCs w:val="18"/>
        </w:rPr>
        <w:t>. See:  http://www.sepa.gov.rs/download/Vazduh_2021.pdf.</w:t>
      </w:r>
    </w:p>
  </w:endnote>
  <w:endnote w:id="34">
    <w:p w14:paraId="44CB2DF7"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See: http://www.sepa.gov.rs/download/Vazduh_2021.pdf. The daily limit value for lead, determined by the Regulation on Conditions for Monitoring and Air Quality Requirements ("</w:t>
      </w:r>
      <w:r w:rsidRPr="001C3A74">
        <w:rPr>
          <w:i/>
          <w:color w:val="000000"/>
          <w:sz w:val="18"/>
          <w:szCs w:val="18"/>
        </w:rPr>
        <w:t>Official Gazette of RS</w:t>
      </w:r>
      <w:r w:rsidRPr="001C3A74">
        <w:rPr>
          <w:color w:val="000000"/>
          <w:sz w:val="18"/>
          <w:szCs w:val="18"/>
        </w:rPr>
        <w:t>", nos. 11/10, 75/10 and 63/13) based on scientific knowledge, to avoid, prevent or reduce harmful consequences for human health and/or the environment is 1,000 ng/m3, while exceedances on the Jugopetrol measuring station were up to three times higher than the daily limit value (up to 3,148 ng/m</w:t>
      </w:r>
      <w:r w:rsidRPr="001C3A74">
        <w:rPr>
          <w:color w:val="000000"/>
          <w:sz w:val="18"/>
          <w:szCs w:val="18"/>
          <w:vertAlign w:val="superscript"/>
        </w:rPr>
        <w:t>3</w:t>
      </w:r>
      <w:r w:rsidRPr="001C3A74">
        <w:rPr>
          <w:color w:val="000000"/>
          <w:sz w:val="18"/>
          <w:szCs w:val="18"/>
        </w:rPr>
        <w:t>). At the same measuring station, the prescribed daily concentrations exceeded 34 days.</w:t>
      </w:r>
    </w:p>
  </w:endnote>
  <w:endnote w:id="35">
    <w:p w14:paraId="41AF263C"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For ex. the sampling results (from September 2021) from the Borska River near Slatina village showed copper in the amount almost 7 times higher than the allowed (6.800 µg/l), arsenic in the amount almost 3 times higher than the allowed (270 µg/l), sulphates in the amount almost 3.000 times higher than allowed (821.000 µg/l), as well as the presence of cadmium (120 µg/l) and lead (150 µg/l). Laboratory analysis report No, 12051609, October 2022., Anahem, Belgrade; for the project: Environmental response to mining expansion in Timočka Krajina will be provided upon request.</w:t>
      </w:r>
    </w:p>
  </w:endnote>
  <w:endnote w:id="36">
    <w:p w14:paraId="775AACE7"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The samples taken after the confluence of the Borska River in Veliki Timok confirm that the confluence of the Borska River leads to an increase in the concentration of lead, zinc, nickel, arsenic, copper and calcium in Veliki Timok, whereas the sediment quality testing and analysis showed concentrations of arsenic, copper, and zinc higher than the remediation value. Laboratory analysis report No, 12051609, October 2022., Anahem, Belgrade; for the project: Environmental response to mining expansion in Timočka Krajina will be provided upon request.</w:t>
      </w:r>
    </w:p>
  </w:endnote>
  <w:endnote w:id="37">
    <w:p w14:paraId="6CA80357"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The cadmium in fish in Veliki Timok downstream from the inlet of the Borska River amounted to 5.9 mg/kg and in the fish in Black Timok (before the water inlet from Zijin) 0.71 mg/kg, which indicates the influence of Zijin to the pollution. Laboratory analysis report No, 12051609, October 2022., Anahem, Belgrade for the project: Environmental response to mining expansion in the Timok region, can be provided upon request. </w:t>
      </w:r>
    </w:p>
  </w:endnote>
  <w:endnote w:id="38">
    <w:p w14:paraId="04951054"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The testing results of sediment samples from the Veliki Timok River, before its confluence with the Danube River, revealed copper content in a concentration higher than the remediation value, arsenic and zinc concentrations above the target value, cadmium above the limit value and nickel above the verification level. Therefore, the samples indicate extremely polluted sediment for which disposal as hazardous waste is necessary and river remediation is required. Laboratory analysis report No, 12051609, October 2022., Anahem, Belgrade for the project: Environmental response to mining expansion in Timočka Krajina, can be provided upon request.</w:t>
      </w:r>
    </w:p>
  </w:endnote>
  <w:endnote w:id="39">
    <w:p w14:paraId="65A01365" w14:textId="77777777" w:rsidR="0052397E" w:rsidRPr="001C3A74" w:rsidRDefault="0052397E">
      <w:pPr>
        <w:rPr>
          <w:color w:val="000000"/>
          <w:sz w:val="18"/>
          <w:szCs w:val="18"/>
        </w:rPr>
      </w:pPr>
      <w:r w:rsidRPr="001C3A74">
        <w:rPr>
          <w:sz w:val="18"/>
          <w:szCs w:val="18"/>
          <w:vertAlign w:val="superscript"/>
        </w:rPr>
        <w:endnoteRef/>
      </w:r>
      <w:r w:rsidRPr="001C3A74">
        <w:rPr>
          <w:sz w:val="18"/>
          <w:szCs w:val="18"/>
        </w:rPr>
        <w:t xml:space="preserve">See:  </w:t>
      </w:r>
      <w:hyperlink r:id="rId37">
        <w:r w:rsidRPr="001C3A74">
          <w:rPr>
            <w:color w:val="000000"/>
            <w:sz w:val="18"/>
            <w:szCs w:val="18"/>
          </w:rPr>
          <w:t>https://boom93.rs/info/drustvo/reka-pek-ekoloska-katastrofa-na-pomolu-video/</w:t>
        </w:r>
      </w:hyperlink>
      <w:r w:rsidRPr="001C3A74">
        <w:rPr>
          <w:color w:val="000000"/>
          <w:sz w:val="18"/>
          <w:szCs w:val="18"/>
        </w:rPr>
        <w:t xml:space="preserve">, </w:t>
      </w:r>
      <w:hyperlink r:id="rId38">
        <w:r w:rsidRPr="001C3A74">
          <w:rPr>
            <w:color w:val="000000"/>
            <w:sz w:val="18"/>
            <w:szCs w:val="18"/>
          </w:rPr>
          <w:t>https://www.rts.rs/page/stories/sr/story/125/drustvo/4289240/reka-pek-zamucenje.html</w:t>
        </w:r>
      </w:hyperlink>
      <w:r w:rsidRPr="001C3A74">
        <w:rPr>
          <w:i/>
          <w:color w:val="000000"/>
          <w:sz w:val="18"/>
          <w:szCs w:val="18"/>
        </w:rPr>
        <w:t>.</w:t>
      </w:r>
      <w:r w:rsidRPr="001C3A74">
        <w:rPr>
          <w:color w:val="000000"/>
          <w:sz w:val="18"/>
          <w:szCs w:val="18"/>
        </w:rPr>
        <w:t xml:space="preserve"> </w:t>
      </w:r>
    </w:p>
  </w:endnote>
  <w:endnote w:id="40">
    <w:p w14:paraId="49150253"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The obtained value of copper in the Pek River was 960 µg/l (reference value is 500 µg/l), manganese 3300 µg/l (reference value is 300 µg/l), iron 12600 µg/l (reference value is 1000 µg/l) and sulphate 369 µg/l (reference value is 200 µg/l). Report no. 651/1 developed by the Institute for Public Health "Požarevac" from 16 March 2021. The Report </w:t>
      </w:r>
      <w:r w:rsidRPr="001C3A74">
        <w:rPr>
          <w:sz w:val="18"/>
          <w:szCs w:val="18"/>
        </w:rPr>
        <w:t>will</w:t>
      </w:r>
      <w:r w:rsidRPr="001C3A74">
        <w:rPr>
          <w:color w:val="000000"/>
          <w:sz w:val="18"/>
          <w:szCs w:val="18"/>
        </w:rPr>
        <w:t xml:space="preserve"> be provided upon request. </w:t>
      </w:r>
    </w:p>
  </w:endnote>
  <w:endnote w:id="41">
    <w:p w14:paraId="460714ED"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The Mali Pek River flows through the city of Majdanpek, one of the major mining centres in which Zijin Companies are operating. </w:t>
      </w:r>
      <w:r w:rsidRPr="001C3A74">
        <w:rPr>
          <w:color w:val="000000"/>
          <w:sz w:val="18"/>
          <w:szCs w:val="18"/>
          <w:highlight w:val="white"/>
        </w:rPr>
        <w:t xml:space="preserve">Mali Pek and Veliki Pek form the Pek River.  </w:t>
      </w:r>
    </w:p>
  </w:endnote>
  <w:endnote w:id="42">
    <w:p w14:paraId="18BA9BB8"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Report no. 45372 developed by the Institute of Mining and Metallurgy Bor can be provided upon request.</w:t>
      </w:r>
    </w:p>
  </w:endnote>
  <w:endnote w:id="43">
    <w:p w14:paraId="49F4B098" w14:textId="77777777" w:rsidR="0052397E" w:rsidRPr="001C3A74" w:rsidRDefault="0052397E">
      <w:pPr>
        <w:jc w:val="both"/>
        <w:rPr>
          <w:color w:val="000000"/>
          <w:sz w:val="18"/>
          <w:szCs w:val="18"/>
        </w:rPr>
      </w:pPr>
      <w:r w:rsidRPr="001C3A74">
        <w:rPr>
          <w:sz w:val="18"/>
          <w:szCs w:val="18"/>
          <w:vertAlign w:val="superscript"/>
        </w:rPr>
        <w:endnoteRef/>
      </w:r>
      <w:r w:rsidRPr="001C3A74">
        <w:rPr>
          <w:i/>
          <w:color w:val="000000"/>
          <w:sz w:val="18"/>
          <w:szCs w:val="18"/>
        </w:rPr>
        <w:t xml:space="preserve"> Ibid. </w:t>
      </w:r>
      <w:r w:rsidRPr="001C3A74">
        <w:rPr>
          <w:color w:val="000000"/>
          <w:sz w:val="18"/>
          <w:szCs w:val="18"/>
        </w:rPr>
        <w:t>Sampling was performed at 3 locations: upstream from the mine, downstream from the inflow of wastewater from the mine and immediately after the inflow of Mali Pek into the Pek River, in order to prove that the pollution can only come from the illegal discharge of mining and wastewaters by Zijin Copper. The Reports V 1176, V 1177, and V 1178 developed by the Institute for Public Health Timok from Zajecar can be provided upon request.</w:t>
      </w:r>
    </w:p>
  </w:endnote>
  <w:endnote w:id="44">
    <w:p w14:paraId="4B278D63"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Laboratory analysis report No, 12051609, October 2022., Anahem, Belgrade for project: Environmental response to mining expansion in the Timok region, will be provided upon request.</w:t>
      </w:r>
    </w:p>
  </w:endnote>
  <w:endnote w:id="45">
    <w:p w14:paraId="4767E475"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Improving the management of contaminated sites in Serbian areas - Strengthening national capacities and intersectoral synergies in the field of safe management of contaminated sites and hazardous chemicals to prevent harmful effects on human health and the environment in the Republic of Serbia" prepared by the Ministry of Health, the Ministry of Environmental Protection, and Institute for Public Health of Serbia "Dr Milan Jovanović Batut" from 2020, p.30. The study, which was developed in 2020 contains data gathered before Zijin overtook RTB (but as seen in the facts provided regarding air and water pollution, it must</w:t>
      </w:r>
      <w:r w:rsidRPr="001C3A74">
        <w:rPr>
          <w:color w:val="000000"/>
          <w:sz w:val="18"/>
          <w:szCs w:val="18"/>
          <w:highlight w:val="white"/>
        </w:rPr>
        <w:t xml:space="preserve"> have had a worsening impact on health in the subject period) and can </w:t>
      </w:r>
      <w:r w:rsidRPr="001C3A74">
        <w:rPr>
          <w:color w:val="000000"/>
          <w:sz w:val="18"/>
          <w:szCs w:val="18"/>
        </w:rPr>
        <w:t xml:space="preserve">be provided upon request. </w:t>
      </w:r>
    </w:p>
  </w:endnote>
  <w:endnote w:id="46">
    <w:p w14:paraId="77B44001"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M. A. Bhuiyan </w:t>
      </w:r>
      <w:r w:rsidRPr="001C3A74">
        <w:rPr>
          <w:i/>
          <w:color w:val="000000"/>
          <w:sz w:val="18"/>
          <w:szCs w:val="18"/>
        </w:rPr>
        <w:t>et al</w:t>
      </w:r>
      <w:r w:rsidRPr="001C3A74">
        <w:rPr>
          <w:color w:val="000000"/>
          <w:sz w:val="18"/>
          <w:szCs w:val="18"/>
        </w:rPr>
        <w:t xml:space="preserve">., Measuring the impact of global tropospheric ozone, carbon dioxide and sulphur dioxide concentrations on biodiversity loss, Environmental Research, Vol. 160, 2018,  </w:t>
      </w:r>
      <w:hyperlink r:id="rId39">
        <w:r w:rsidRPr="001C3A74">
          <w:rPr>
            <w:color w:val="000000"/>
            <w:sz w:val="18"/>
            <w:szCs w:val="18"/>
          </w:rPr>
          <w:t>https://doi.org/10.1016/j.envres.2017.10.013.(https://www.sciencedirect.com/science/article/pii/S0013935117313804)</w:t>
        </w:r>
      </w:hyperlink>
      <w:r w:rsidRPr="001C3A74">
        <w:rPr>
          <w:color w:val="000000"/>
          <w:sz w:val="18"/>
          <w:szCs w:val="18"/>
        </w:rPr>
        <w:t>.</w:t>
      </w:r>
    </w:p>
  </w:endnote>
  <w:endnote w:id="47">
    <w:p w14:paraId="59086EF5"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Clean air and human rights A/HRC/40/55 - Executive summary Special Rapporteur on human rights and the environment, David Boyd, p. 2, </w:t>
      </w:r>
      <w:hyperlink r:id="rId40">
        <w:r w:rsidRPr="001C3A74">
          <w:rPr>
            <w:color w:val="000000"/>
            <w:sz w:val="18"/>
            <w:szCs w:val="18"/>
          </w:rPr>
          <w:t xml:space="preserve"> https://www.ohchr.org/sites/default/files/2022-02/CleanAirSummary.pdf</w:t>
        </w:r>
      </w:hyperlink>
      <w:r w:rsidRPr="001C3A74">
        <w:rPr>
          <w:color w:val="000000"/>
          <w:sz w:val="18"/>
          <w:szCs w:val="18"/>
        </w:rPr>
        <w:t>.</w:t>
      </w:r>
    </w:p>
  </w:endnote>
  <w:endnote w:id="48">
    <w:p w14:paraId="33958BF0"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Ibid.</w:t>
      </w:r>
    </w:p>
  </w:endnote>
  <w:endnote w:id="49">
    <w:p w14:paraId="0B26555A" w14:textId="77777777" w:rsidR="0052397E" w:rsidRPr="001C3A74" w:rsidRDefault="0052397E">
      <w:pPr>
        <w:jc w:val="both"/>
        <w:rPr>
          <w:color w:val="000000"/>
          <w:sz w:val="18"/>
          <w:szCs w:val="18"/>
          <w:highlight w:val="yellow"/>
        </w:rPr>
      </w:pPr>
      <w:r w:rsidRPr="001C3A74">
        <w:rPr>
          <w:sz w:val="18"/>
          <w:szCs w:val="18"/>
          <w:vertAlign w:val="superscript"/>
        </w:rPr>
        <w:endnoteRef/>
      </w:r>
      <w:r w:rsidRPr="001C3A74">
        <w:rPr>
          <w:color w:val="000000"/>
          <w:sz w:val="18"/>
          <w:szCs w:val="18"/>
        </w:rPr>
        <w:t xml:space="preserve"> According to the generally accepted EPA methodology for calculating the risk of developing cancer (especially lung cancer) with continuous, long-term inhalation exposure to elevated annual concentrations of arsenic. See: </w:t>
      </w:r>
      <w:hyperlink r:id="rId41">
        <w:r w:rsidRPr="001C3A74">
          <w:rPr>
            <w:color w:val="000000"/>
            <w:sz w:val="18"/>
            <w:szCs w:val="18"/>
          </w:rPr>
          <w:t>https://www.epa.gov/sites/default/files/2021-04/documents/arsenic_april_2021.pdf</w:t>
        </w:r>
      </w:hyperlink>
      <w:r w:rsidRPr="001C3A74">
        <w:rPr>
          <w:color w:val="000000"/>
          <w:sz w:val="18"/>
          <w:szCs w:val="18"/>
        </w:rPr>
        <w:t>, p.4.</w:t>
      </w:r>
    </w:p>
  </w:endnote>
  <w:endnote w:id="50">
    <w:p w14:paraId="58A50508"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w:t>
      </w:r>
      <w:r w:rsidRPr="001C3A74">
        <w:rPr>
          <w:i/>
          <w:color w:val="000000"/>
          <w:sz w:val="18"/>
          <w:szCs w:val="18"/>
        </w:rPr>
        <w:t xml:space="preserve">Ibid. </w:t>
      </w:r>
      <w:r w:rsidRPr="001C3A74">
        <w:rPr>
          <w:color w:val="000000"/>
          <w:sz w:val="18"/>
          <w:szCs w:val="18"/>
        </w:rPr>
        <w:t>p.4.</w:t>
      </w:r>
    </w:p>
  </w:endnote>
  <w:endnote w:id="51">
    <w:p w14:paraId="4DBEEB9B" w14:textId="77777777" w:rsidR="0052397E" w:rsidRPr="001C3A74" w:rsidRDefault="0052397E">
      <w:pPr>
        <w:rPr>
          <w:color w:val="000000"/>
          <w:sz w:val="18"/>
          <w:szCs w:val="18"/>
        </w:rPr>
      </w:pPr>
      <w:r w:rsidRPr="001C3A74">
        <w:rPr>
          <w:sz w:val="18"/>
          <w:szCs w:val="18"/>
          <w:vertAlign w:val="superscript"/>
        </w:rPr>
        <w:endnoteRef/>
      </w:r>
      <w:r w:rsidRPr="001C3A74">
        <w:rPr>
          <w:sz w:val="18"/>
          <w:szCs w:val="18"/>
        </w:rPr>
        <w:t xml:space="preserve"> </w:t>
      </w:r>
      <w:r w:rsidRPr="001C3A74">
        <w:rPr>
          <w:i/>
          <w:sz w:val="18"/>
          <w:szCs w:val="18"/>
        </w:rPr>
        <w:t xml:space="preserve">Ibid. </w:t>
      </w:r>
      <w:r w:rsidRPr="001C3A74">
        <w:rPr>
          <w:sz w:val="18"/>
          <w:szCs w:val="18"/>
        </w:rPr>
        <w:t>p.4</w:t>
      </w:r>
    </w:p>
  </w:endnote>
  <w:endnote w:id="52">
    <w:p w14:paraId="30618222"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Health effects of low-level lead (National Toxicology Program Monograph). Bethesda (MD): National Institutes of Health; 2012.</w:t>
      </w:r>
    </w:p>
  </w:endnote>
  <w:endnote w:id="53">
    <w:p w14:paraId="27CA309D"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Childhood lead poisoning. Geneva: World Health Organization; 2010.</w:t>
      </w:r>
    </w:p>
  </w:endnote>
  <w:endnote w:id="54">
    <w:p w14:paraId="12B7BDD8"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US CDC Advisory Committee on Childhood Lead Poisoning Prevention. CDC updates blood lead reference value to 3.5µg/dL. Atlanta: US Centres for Disease Control and Prevention; 2021. See:  </w:t>
      </w:r>
      <w:hyperlink r:id="rId42">
        <w:r w:rsidRPr="001C3A74">
          <w:rPr>
            <w:color w:val="000000"/>
            <w:sz w:val="18"/>
            <w:szCs w:val="18"/>
          </w:rPr>
          <w:t>https://www.cdc.gov/nceh/lead/news/cdc-updates-blood-lead-reference-value.html</w:t>
        </w:r>
      </w:hyperlink>
      <w:r w:rsidRPr="001C3A74">
        <w:rPr>
          <w:color w:val="000000"/>
          <w:sz w:val="18"/>
          <w:szCs w:val="18"/>
        </w:rPr>
        <w:t>.</w:t>
      </w:r>
      <w:r w:rsidRPr="001C3A74">
        <w:rPr>
          <w:color w:val="000000"/>
          <w:sz w:val="18"/>
          <w:szCs w:val="18"/>
        </w:rPr>
        <w:tab/>
      </w:r>
      <w:r w:rsidRPr="001C3A74">
        <w:rPr>
          <w:color w:val="000000"/>
          <w:sz w:val="18"/>
          <w:szCs w:val="18"/>
        </w:rPr>
        <w:tab/>
      </w:r>
    </w:p>
  </w:endnote>
  <w:endnote w:id="55">
    <w:p w14:paraId="2DFAD3E6"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https://www.who.int/news-room/fact-sheets/detail/lead-poisoning-and-health.</w:t>
      </w:r>
    </w:p>
  </w:endnote>
  <w:endnote w:id="56">
    <w:p w14:paraId="0A9FDC86"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https://progressreport.cancer.gov/prevention/cadmium#:~:text=Cadmium%20and%20its%20compounds%20are,the%20breast%20and%20urinary%20bladder.</w:t>
      </w:r>
    </w:p>
  </w:endnote>
  <w:endnote w:id="57">
    <w:p w14:paraId="31DBBC79" w14:textId="77777777" w:rsidR="0052397E" w:rsidRPr="001C3A74" w:rsidRDefault="0052397E">
      <w:pPr>
        <w:jc w:val="both"/>
        <w:rPr>
          <w:color w:val="000000"/>
          <w:sz w:val="18"/>
          <w:szCs w:val="18"/>
        </w:rPr>
      </w:pPr>
      <w:r w:rsidRPr="001C3A74">
        <w:rPr>
          <w:sz w:val="18"/>
          <w:szCs w:val="18"/>
          <w:vertAlign w:val="superscript"/>
        </w:rPr>
        <w:endnoteRef/>
      </w:r>
      <w:r w:rsidRPr="001C3A74">
        <w:rPr>
          <w:sz w:val="18"/>
          <w:szCs w:val="18"/>
        </w:rPr>
        <w:t>h</w:t>
      </w:r>
      <w:r w:rsidRPr="001C3A74">
        <w:rPr>
          <w:color w:val="000000"/>
          <w:sz w:val="18"/>
          <w:szCs w:val="18"/>
        </w:rPr>
        <w:t>ttps://www.cancer.gov/about-cancer/causes-prevention/risk/substances/nickel#:~:text=Which%20cancers%20are%20associated%20with,lung%20cancer%20and%20nasal%20cancer.</w:t>
      </w:r>
    </w:p>
  </w:endnote>
  <w:endnote w:id="58">
    <w:p w14:paraId="55DA45D9" w14:textId="77777777" w:rsidR="0052397E" w:rsidRPr="001C3A74" w:rsidRDefault="0052397E">
      <w:pPr>
        <w:jc w:val="both"/>
        <w:rPr>
          <w:i/>
          <w:color w:val="000000"/>
          <w:sz w:val="18"/>
          <w:szCs w:val="18"/>
        </w:rPr>
      </w:pPr>
      <w:r w:rsidRPr="001C3A74">
        <w:rPr>
          <w:sz w:val="18"/>
          <w:szCs w:val="18"/>
          <w:vertAlign w:val="superscript"/>
        </w:rPr>
        <w:endnoteRef/>
      </w:r>
      <w:r w:rsidRPr="001C3A74">
        <w:rPr>
          <w:color w:val="000000"/>
          <w:sz w:val="18"/>
          <w:szCs w:val="18"/>
        </w:rPr>
        <w:t xml:space="preserve"> Report on the state of the environment in the Republic of Serbia for 2020, Belgrade, 2021.p. 121. See: </w:t>
      </w:r>
      <w:hyperlink r:id="rId43">
        <w:r w:rsidRPr="001C3A74">
          <w:rPr>
            <w:i/>
            <w:color w:val="000000"/>
            <w:sz w:val="18"/>
            <w:szCs w:val="18"/>
            <w:u w:val="single"/>
          </w:rPr>
          <w:t>http://www.sepa.gov.rs/download/Izvestaj_2020.pdf</w:t>
        </w:r>
      </w:hyperlink>
      <w:r w:rsidRPr="001C3A74">
        <w:rPr>
          <w:i/>
          <w:color w:val="000000"/>
          <w:sz w:val="18"/>
          <w:szCs w:val="18"/>
        </w:rPr>
        <w:t>.</w:t>
      </w:r>
    </w:p>
    <w:bookmarkStart w:id="14" w:name="_heading=h.3dy6vkm" w:colFirst="0" w:colLast="0"/>
    <w:bookmarkEnd w:id="14"/>
  </w:endnote>
  <w:endnote w:id="59">
    <w:p w14:paraId="31B67225" w14:textId="77777777" w:rsidR="0052397E" w:rsidRPr="001C3A74" w:rsidRDefault="0052397E">
      <w:pPr>
        <w:pBdr>
          <w:top w:val="nil"/>
          <w:left w:val="nil"/>
          <w:bottom w:val="nil"/>
          <w:right w:val="nil"/>
          <w:between w:val="nil"/>
        </w:pBdr>
        <w:rPr>
          <w:sz w:val="18"/>
          <w:szCs w:val="18"/>
        </w:rPr>
      </w:pPr>
      <w:bookmarkStart w:id="15" w:name="_heading=h.3dy6vkm" w:colFirst="0" w:colLast="0"/>
      <w:bookmarkEnd w:id="15"/>
      <w:r w:rsidRPr="001C3A74">
        <w:rPr>
          <w:sz w:val="18"/>
          <w:szCs w:val="18"/>
          <w:vertAlign w:val="superscript"/>
        </w:rPr>
        <w:endnoteRef/>
      </w:r>
      <w:r w:rsidRPr="001C3A74">
        <w:rPr>
          <w:color w:val="000000"/>
          <w:sz w:val="18"/>
          <w:szCs w:val="18"/>
        </w:rPr>
        <w:t xml:space="preserve"> https://www.dw.com/sr/kroz-bor-te%C4%8De-hemija/a-46740900</w:t>
      </w:r>
    </w:p>
  </w:endnote>
  <w:endnote w:id="60">
    <w:p w14:paraId="3F45C6E4" w14:textId="77777777" w:rsidR="0052397E" w:rsidRPr="001C3A74" w:rsidRDefault="0052397E">
      <w:pPr>
        <w:pBdr>
          <w:top w:val="nil"/>
          <w:left w:val="nil"/>
          <w:bottom w:val="nil"/>
          <w:right w:val="nil"/>
          <w:between w:val="nil"/>
        </w:pBdr>
        <w:rPr>
          <w:color w:val="000000"/>
          <w:sz w:val="18"/>
          <w:szCs w:val="18"/>
        </w:rPr>
      </w:pPr>
      <w:r w:rsidRPr="001C3A74">
        <w:rPr>
          <w:sz w:val="18"/>
          <w:szCs w:val="18"/>
          <w:vertAlign w:val="superscript"/>
        </w:rPr>
        <w:endnoteRef/>
      </w:r>
      <w:r w:rsidRPr="001C3A74">
        <w:rPr>
          <w:sz w:val="18"/>
          <w:szCs w:val="18"/>
        </w:rPr>
        <w:t xml:space="preserve"> https://bor.rs/documents/lokalni-ekoloski-akcioni-plan-opstine-bor-2013-2022/</w:t>
      </w:r>
    </w:p>
  </w:endnote>
  <w:endnote w:id="61">
    <w:p w14:paraId="72EBDD4F"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The Report of the Ministry of Mining and Energy provides data on degraded areas and disposed tailings from major mining companies in the Republic of Serbia that have significant pollution, </w:t>
      </w:r>
      <w:r w:rsidRPr="001C3A74">
        <w:rPr>
          <w:i/>
          <w:color w:val="000000"/>
          <w:sz w:val="18"/>
          <w:szCs w:val="18"/>
        </w:rPr>
        <w:t>ibid.</w:t>
      </w:r>
      <w:r w:rsidRPr="001C3A74">
        <w:rPr>
          <w:color w:val="000000"/>
          <w:sz w:val="18"/>
          <w:szCs w:val="18"/>
        </w:rPr>
        <w:t xml:space="preserve"> p.83.</w:t>
      </w:r>
    </w:p>
  </w:endnote>
  <w:endnote w:id="62">
    <w:p w14:paraId="5D9620A6"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According to Article 4, paragraph 5 of the Law on Mining and Geological Research (“</w:t>
      </w:r>
      <w:r w:rsidRPr="001C3A74">
        <w:rPr>
          <w:i/>
          <w:color w:val="000000"/>
          <w:sz w:val="18"/>
          <w:szCs w:val="18"/>
        </w:rPr>
        <w:t>Official Gazette of RS</w:t>
      </w:r>
      <w:r w:rsidRPr="001C3A74">
        <w:rPr>
          <w:color w:val="000000"/>
          <w:sz w:val="18"/>
          <w:szCs w:val="18"/>
        </w:rPr>
        <w:t>” nos. 101/15, 95/18 and 40/21) immovable property may be expropriated for the needs of a business entity, either privately or publicly owned, which is the entity in charge of the exploration and/or in charge of exploitation of the mineral raw materials of strategic importance for the Republic of Serbia.</w:t>
      </w:r>
    </w:p>
  </w:endnote>
  <w:endnote w:id="63">
    <w:p w14:paraId="636F715F"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In December 2018, the Chinese company Zijin Mining acquired Nevsun Resources and became an owner of the Cukaru Peki mine near Bor. See: </w:t>
      </w:r>
      <w:hyperlink r:id="rId44">
        <w:r w:rsidRPr="001C3A74">
          <w:rPr>
            <w:color w:val="000000"/>
            <w:sz w:val="18"/>
            <w:szCs w:val="18"/>
          </w:rPr>
          <w:t>https://www.ekapija.com/en/news/2356163/chinese-company-becomes-owner-of-cukaru-peki-near-bor-zijin-mining-buys</w:t>
        </w:r>
      </w:hyperlink>
      <w:r w:rsidRPr="001C3A74">
        <w:rPr>
          <w:color w:val="000000"/>
          <w:sz w:val="18"/>
          <w:szCs w:val="18"/>
        </w:rPr>
        <w:t xml:space="preserve"> and https://www.zijinmining.com/global/program-detail-71735.html.</w:t>
      </w:r>
    </w:p>
  </w:endnote>
  <w:endnote w:id="64">
    <w:p w14:paraId="455D2706"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The provision of the Law on Mining and Geological Research allowing the expropriation of the land in private interest is directly opposed to provision 8 of the Law on Expropriation ("</w:t>
      </w:r>
      <w:r w:rsidRPr="001C3A74">
        <w:rPr>
          <w:i/>
          <w:color w:val="000000"/>
          <w:sz w:val="18"/>
          <w:szCs w:val="18"/>
        </w:rPr>
        <w:t>Official Gazette RS</w:t>
      </w:r>
      <w:r w:rsidRPr="001C3A74">
        <w:rPr>
          <w:color w:val="000000"/>
          <w:sz w:val="18"/>
          <w:szCs w:val="18"/>
        </w:rPr>
        <w:t>” no. 53/95, “</w:t>
      </w:r>
      <w:r w:rsidRPr="001C3A74">
        <w:rPr>
          <w:i/>
          <w:color w:val="000000"/>
          <w:sz w:val="18"/>
          <w:szCs w:val="18"/>
        </w:rPr>
        <w:t>Official Gazette SRJ</w:t>
      </w:r>
      <w:r w:rsidRPr="001C3A74">
        <w:rPr>
          <w:color w:val="000000"/>
          <w:sz w:val="18"/>
          <w:szCs w:val="18"/>
        </w:rPr>
        <w:t>” no. 16/01 and “</w:t>
      </w:r>
      <w:r w:rsidRPr="001C3A74">
        <w:rPr>
          <w:i/>
          <w:color w:val="000000"/>
          <w:sz w:val="18"/>
          <w:szCs w:val="18"/>
        </w:rPr>
        <w:t>Official Gazette RS</w:t>
      </w:r>
      <w:r w:rsidRPr="001C3A74">
        <w:rPr>
          <w:color w:val="000000"/>
          <w:sz w:val="18"/>
          <w:szCs w:val="18"/>
        </w:rPr>
        <w:t>” nos. 20/09, 55/13 and 106/16), and is contrary to the purpose of expropriation, which shall only be allowed in the public interest as according to the Article 58 of the Constitution of the Republic of Serbia (“</w:t>
      </w:r>
      <w:r w:rsidRPr="001C3A74">
        <w:rPr>
          <w:i/>
          <w:color w:val="000000"/>
          <w:sz w:val="18"/>
          <w:szCs w:val="18"/>
        </w:rPr>
        <w:t>Official Gazette RS</w:t>
      </w:r>
      <w:r w:rsidRPr="001C3A74">
        <w:rPr>
          <w:color w:val="000000"/>
          <w:sz w:val="18"/>
          <w:szCs w:val="18"/>
        </w:rPr>
        <w:t>” nos. 98/06 and 115/21).</w:t>
      </w:r>
    </w:p>
  </w:endnote>
  <w:endnote w:id="65">
    <w:p w14:paraId="21AEDF08"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Decision on development of strategic environmental impact assessment of the Spatial Plan of the Special Purposes for exploitation of minerals in mine „Čukaru Pekiˮ in Bor (“</w:t>
      </w:r>
      <w:r w:rsidRPr="001C3A74">
        <w:rPr>
          <w:i/>
          <w:color w:val="000000"/>
          <w:sz w:val="18"/>
          <w:szCs w:val="18"/>
        </w:rPr>
        <w:t>Official Gazette of R</w:t>
      </w:r>
      <w:r w:rsidRPr="001C3A74">
        <w:rPr>
          <w:color w:val="000000"/>
          <w:sz w:val="18"/>
          <w:szCs w:val="18"/>
        </w:rPr>
        <w:t>S” no. 131/22).</w:t>
      </w:r>
    </w:p>
  </w:endnote>
  <w:endnote w:id="66">
    <w:p w14:paraId="4CAF052E" w14:textId="77777777" w:rsidR="0052397E" w:rsidRPr="001C3A74" w:rsidRDefault="0052397E">
      <w:pPr>
        <w:rPr>
          <w:color w:val="000000"/>
          <w:sz w:val="18"/>
          <w:szCs w:val="18"/>
        </w:rPr>
      </w:pPr>
      <w:r w:rsidRPr="001C3A74">
        <w:rPr>
          <w:sz w:val="18"/>
          <w:szCs w:val="18"/>
          <w:vertAlign w:val="superscript"/>
        </w:rPr>
        <w:endnoteRef/>
      </w:r>
      <w:r w:rsidRPr="001C3A74">
        <w:rPr>
          <w:i/>
          <w:color w:val="000000"/>
          <w:sz w:val="18"/>
          <w:szCs w:val="18"/>
        </w:rPr>
        <w:t xml:space="preserve"> Ibid. </w:t>
      </w:r>
      <w:r w:rsidRPr="001C3A74">
        <w:rPr>
          <w:color w:val="000000"/>
          <w:sz w:val="18"/>
          <w:szCs w:val="18"/>
        </w:rPr>
        <w:t xml:space="preserve"> </w:t>
      </w:r>
    </w:p>
  </w:endnote>
  <w:endnote w:id="67">
    <w:p w14:paraId="7166964A"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The Spatial Plan is the highest planning document in the Republic of Serbia providing the basis for spatial planning in the Republic of Serbia. See: </w:t>
      </w:r>
      <w:hyperlink r:id="rId45">
        <w:r w:rsidRPr="001C3A74">
          <w:rPr>
            <w:color w:val="000000"/>
            <w:sz w:val="18"/>
            <w:szCs w:val="18"/>
          </w:rPr>
          <w:t>https://www.mgsi.gov.rs/cir/dokumenti/javni-uvid-u-nacrt-prostornog-plana-republike-srbije-od-2021-do-2035-godine-i-izveshtaj-o</w:t>
        </w:r>
      </w:hyperlink>
      <w:r w:rsidRPr="001C3A74">
        <w:rPr>
          <w:color w:val="000000"/>
          <w:sz w:val="18"/>
          <w:szCs w:val="18"/>
        </w:rPr>
        <w:t xml:space="preserve">. </w:t>
      </w:r>
    </w:p>
  </w:endnote>
  <w:endnote w:id="68">
    <w:p w14:paraId="07A09A42"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The city administration of the city of Bor, Department for urban planning, construction, communal, property-legal and housing affairs.</w:t>
      </w:r>
    </w:p>
  </w:endnote>
  <w:endnote w:id="69">
    <w:p w14:paraId="374A95BE"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Chapter eight, Article 132-140 of Law on Non-contentious Proceedings ("</w:t>
      </w:r>
      <w:r w:rsidRPr="001C3A74">
        <w:rPr>
          <w:i/>
          <w:color w:val="000000"/>
          <w:sz w:val="18"/>
          <w:szCs w:val="18"/>
        </w:rPr>
        <w:t>Off. Gazette of SRS</w:t>
      </w:r>
      <w:r w:rsidRPr="001C3A74">
        <w:rPr>
          <w:color w:val="000000"/>
          <w:sz w:val="18"/>
          <w:szCs w:val="18"/>
        </w:rPr>
        <w:t>", nos. 25/82 and 48/88 and "</w:t>
      </w:r>
      <w:r w:rsidRPr="001C3A74">
        <w:rPr>
          <w:i/>
          <w:color w:val="000000"/>
          <w:sz w:val="18"/>
          <w:szCs w:val="18"/>
        </w:rPr>
        <w:t>Official Gazette of RS</w:t>
      </w:r>
      <w:r w:rsidRPr="001C3A74">
        <w:rPr>
          <w:color w:val="000000"/>
          <w:sz w:val="18"/>
          <w:szCs w:val="18"/>
        </w:rPr>
        <w:t xml:space="preserve">", nos. 46/95, 18/05, 85/12, 45/13, 55/14, 6/15, 106/15 and 14/22); M. Ž.’s testimony, documentation will be provided upon request. </w:t>
      </w:r>
    </w:p>
  </w:endnote>
  <w:endnote w:id="70">
    <w:p w14:paraId="435F639A"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A testimony by M. Ž., a villager from Slatina village near Bor where Zijin Mining Serbia is conducting its mining activities. </w:t>
      </w:r>
    </w:p>
  </w:endnote>
  <w:endnote w:id="71">
    <w:p w14:paraId="3D7CF305"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https://www.cins.rs/eksproprijacija-za-cukaru-peki-kako-zidjin-pokusava-da-plati-manje-za-zemlju/.</w:t>
      </w:r>
    </w:p>
  </w:endnote>
  <w:endnote w:id="72">
    <w:p w14:paraId="7D83EC1E"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Article 35 of the Law on Expropriation. Based on this legal possibility and mechanism, the property was confiscated from M. Ž., J. T. and M. J. Decision of Ministry of Finance Republic of Serbia no. 465-01-00587/2020-07, Decision of Ministry of Finance of the Republic of Serbia no. 465-01-00680/2020-07, The decision of the Ministry of Finance Republic of Serbia no. 465-01-00626/2020-07 will be provided upon request.</w:t>
      </w:r>
    </w:p>
  </w:endnote>
  <w:endnote w:id="73">
    <w:p w14:paraId="49062AEA"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M. Ž’s testimony, relevant court documentation can be provided upon request.</w:t>
      </w:r>
    </w:p>
  </w:endnote>
  <w:endnote w:id="74">
    <w:p w14:paraId="0CA94221" w14:textId="77777777" w:rsidR="0052397E" w:rsidRPr="001C3A74" w:rsidRDefault="0052397E">
      <w:pPr>
        <w:rPr>
          <w:sz w:val="18"/>
          <w:szCs w:val="18"/>
        </w:rPr>
      </w:pPr>
      <w:r w:rsidRPr="001C3A74">
        <w:rPr>
          <w:sz w:val="18"/>
          <w:szCs w:val="18"/>
          <w:vertAlign w:val="superscript"/>
        </w:rPr>
        <w:endnoteRef/>
      </w:r>
      <w:hyperlink r:id="rId46">
        <w:r w:rsidRPr="001C3A74">
          <w:rPr>
            <w:sz w:val="18"/>
            <w:szCs w:val="18"/>
          </w:rPr>
          <w:t>https://www.facebook.com/photo?fbid=928984114750020&amp;set=pcb.928984248083340</w:t>
        </w:r>
      </w:hyperlink>
      <w:r w:rsidRPr="001C3A74">
        <w:rPr>
          <w:sz w:val="18"/>
          <w:szCs w:val="18"/>
        </w:rPr>
        <w:t>.</w:t>
      </w:r>
    </w:p>
  </w:endnote>
  <w:endnote w:id="75">
    <w:p w14:paraId="545AADC6" w14:textId="77777777" w:rsidR="0052397E" w:rsidRPr="001C3A74" w:rsidRDefault="0052397E">
      <w:pPr>
        <w:jc w:val="both"/>
        <w:rPr>
          <w:sz w:val="18"/>
          <w:szCs w:val="18"/>
        </w:rPr>
      </w:pPr>
      <w:r w:rsidRPr="001C3A74">
        <w:rPr>
          <w:sz w:val="18"/>
          <w:szCs w:val="18"/>
          <w:vertAlign w:val="superscript"/>
        </w:rPr>
        <w:endnoteRef/>
      </w:r>
      <w:r w:rsidRPr="001C3A74">
        <w:rPr>
          <w:color w:val="000000"/>
          <w:sz w:val="18"/>
          <w:szCs w:val="18"/>
        </w:rPr>
        <w:t xml:space="preserve"> </w:t>
      </w:r>
      <w:r w:rsidRPr="001C3A74">
        <w:rPr>
          <w:sz w:val="18"/>
          <w:szCs w:val="18"/>
        </w:rPr>
        <w:t xml:space="preserve"> https://istmedia.rs/zbog-izgradnje-rudnika-mestani-slatine-ne-vide-buducnost-zidjin-tvrdi-sve-radimo-po-zakonu/.</w:t>
      </w:r>
    </w:p>
    <w:p w14:paraId="35C97134" w14:textId="77777777" w:rsidR="0052397E" w:rsidRPr="001C3A74" w:rsidRDefault="0052397E">
      <w:pPr>
        <w:rPr>
          <w:color w:val="000000"/>
          <w:sz w:val="18"/>
          <w:szCs w:val="18"/>
        </w:rPr>
      </w:pPr>
      <w:r w:rsidRPr="001C3A74">
        <w:rPr>
          <w:sz w:val="18"/>
          <w:szCs w:val="18"/>
        </w:rPr>
        <w:t>ka-mestani-slatine-ne-vide-buducnost-zidjin-tvrdi-sve-radimo-po-zakonu/</w:t>
      </w:r>
    </w:p>
  </w:endnote>
  <w:endnote w:id="76">
    <w:p w14:paraId="0C089D6D"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Testimony of T.</w:t>
      </w:r>
      <w:r w:rsidRPr="001C3A74">
        <w:rPr>
          <w:sz w:val="18"/>
          <w:szCs w:val="18"/>
        </w:rPr>
        <w:t>M</w:t>
      </w:r>
      <w:r w:rsidRPr="001C3A74">
        <w:rPr>
          <w:color w:val="000000"/>
          <w:sz w:val="18"/>
          <w:szCs w:val="18"/>
        </w:rPr>
        <w:t>.,</w:t>
      </w:r>
      <w:r w:rsidRPr="001C3A74">
        <w:rPr>
          <w:sz w:val="18"/>
          <w:szCs w:val="18"/>
        </w:rPr>
        <w:t xml:space="preserve"> </w:t>
      </w:r>
      <w:r w:rsidRPr="001C3A74">
        <w:rPr>
          <w:color w:val="000000"/>
          <w:sz w:val="18"/>
          <w:szCs w:val="18"/>
        </w:rPr>
        <w:t>a citizen of Bor.</w:t>
      </w:r>
    </w:p>
  </w:endnote>
  <w:endnote w:id="77">
    <w:p w14:paraId="418C27A7"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https://www.blic.rs/vesti/hronika/tragedija-u-boru-kineski-drzavljanin-stradao-u-rudniku/krc4ltd</w:t>
      </w:r>
    </w:p>
    <w:p w14:paraId="38DA0F54" w14:textId="77777777" w:rsidR="0052397E" w:rsidRPr="001C3A74" w:rsidRDefault="0052397E">
      <w:pPr>
        <w:jc w:val="both"/>
        <w:rPr>
          <w:color w:val="000000"/>
          <w:sz w:val="18"/>
          <w:szCs w:val="18"/>
        </w:rPr>
      </w:pPr>
      <w:r w:rsidRPr="001C3A74">
        <w:rPr>
          <w:color w:val="000000"/>
          <w:sz w:val="18"/>
          <w:szCs w:val="18"/>
        </w:rPr>
        <w:t>https://pink.rs/hronika/203576/nesreca-u-boru-poginuo-radnik-rudnika-36-drzavljanin-kine</w:t>
      </w:r>
    </w:p>
    <w:p w14:paraId="208AE54E" w14:textId="77777777" w:rsidR="0052397E" w:rsidRPr="001C3A74" w:rsidRDefault="0052397E">
      <w:pPr>
        <w:jc w:val="both"/>
        <w:rPr>
          <w:color w:val="000000"/>
          <w:sz w:val="18"/>
          <w:szCs w:val="18"/>
        </w:rPr>
      </w:pPr>
      <w:r w:rsidRPr="001C3A74">
        <w:rPr>
          <w:color w:val="000000"/>
          <w:sz w:val="18"/>
          <w:szCs w:val="18"/>
        </w:rPr>
        <w:t>https://www.danas.rs/vesti/drustvo/poginuo-kineski-radnik-kompanije-zidjin-u-boru/</w:t>
      </w:r>
    </w:p>
    <w:p w14:paraId="0B8BA85F" w14:textId="77777777" w:rsidR="0052397E" w:rsidRPr="001C3A74" w:rsidRDefault="0052397E">
      <w:pPr>
        <w:jc w:val="both"/>
        <w:rPr>
          <w:color w:val="000000"/>
          <w:sz w:val="18"/>
          <w:szCs w:val="18"/>
        </w:rPr>
      </w:pPr>
      <w:r w:rsidRPr="001C3A74">
        <w:rPr>
          <w:color w:val="000000"/>
          <w:sz w:val="18"/>
          <w:szCs w:val="18"/>
        </w:rPr>
        <w:t>https://www.021.rs/story/Info/Srbija/319348/Zidjin-Kineski-radnik-povredjen-prilikom-miniranja.html.</w:t>
      </w:r>
    </w:p>
  </w:endnote>
  <w:endnote w:id="78">
    <w:p w14:paraId="07C6FF7C"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The quarrels between workers within the temporary settlements, which Zijin is forming for foreign workers near each construction site of Zijin companies without appropriate communal facilities, resulted in the death of a worker. See: </w:t>
      </w:r>
      <w:hyperlink r:id="rId47">
        <w:r w:rsidRPr="001C3A74">
          <w:rPr>
            <w:color w:val="000000"/>
            <w:sz w:val="18"/>
            <w:szCs w:val="18"/>
          </w:rPr>
          <w:t>https://nova.rs/vesti/hronika/video-masovna-tuca-kineza-u-boru-gadjali-se-cime-su-stigli/</w:t>
        </w:r>
      </w:hyperlink>
      <w:r w:rsidRPr="001C3A74">
        <w:rPr>
          <w:color w:val="000000"/>
          <w:sz w:val="18"/>
          <w:szCs w:val="18"/>
        </w:rPr>
        <w:t xml:space="preserve">, </w:t>
      </w:r>
      <w:hyperlink r:id="rId48">
        <w:r w:rsidRPr="001C3A74">
          <w:rPr>
            <w:color w:val="000000"/>
            <w:sz w:val="18"/>
            <w:szCs w:val="18"/>
          </w:rPr>
          <w:t>https://nova.rs/vesti/hronika/video-masovna-tuca-kineza-sevale-stangle-i-nozevi-u-boru/</w:t>
        </w:r>
      </w:hyperlink>
      <w:r w:rsidRPr="001C3A74">
        <w:rPr>
          <w:color w:val="000000"/>
          <w:sz w:val="18"/>
          <w:szCs w:val="18"/>
        </w:rPr>
        <w:t xml:space="preserve">, </w:t>
      </w:r>
      <w:hyperlink r:id="rId49">
        <w:r w:rsidRPr="001C3A74">
          <w:rPr>
            <w:color w:val="000000"/>
            <w:sz w:val="18"/>
            <w:szCs w:val="18"/>
          </w:rPr>
          <w:t>https://istmedia.rs/video-zbog-masovne-tuce-proterano-osam-kineskih-radnika-firme-honda/</w:t>
        </w:r>
      </w:hyperlink>
      <w:r w:rsidRPr="001C3A74">
        <w:rPr>
          <w:color w:val="000000"/>
          <w:sz w:val="18"/>
          <w:szCs w:val="18"/>
        </w:rPr>
        <w:t>, https://www.slobodnaevropa.org/a/dve-slike-%C5%BEivota-i-rada-kineskih-radnika-u-boru/31111692.html</w:t>
      </w:r>
      <w:hyperlink r:id="rId50">
        <w:r w:rsidRPr="001C3A74">
          <w:rPr>
            <w:color w:val="000000"/>
            <w:sz w:val="18"/>
            <w:szCs w:val="18"/>
          </w:rPr>
          <w:t>https://istmedia.rs/uhapsen-kineski-radnik-koji-je-u-kampu-ubio-sunarodnika/</w:t>
        </w:r>
      </w:hyperlink>
      <w:r w:rsidRPr="001C3A74">
        <w:rPr>
          <w:color w:val="000000"/>
          <w:sz w:val="18"/>
          <w:szCs w:val="18"/>
        </w:rPr>
        <w:t xml:space="preserve">. </w:t>
      </w:r>
    </w:p>
  </w:endnote>
  <w:endnote w:id="79">
    <w:p w14:paraId="7843E9A5" w14:textId="77777777" w:rsidR="0052397E" w:rsidRPr="001C3A74" w:rsidRDefault="0052397E">
      <w:pPr>
        <w:jc w:val="both"/>
        <w:rPr>
          <w:color w:val="000000"/>
          <w:sz w:val="18"/>
          <w:szCs w:val="18"/>
        </w:rPr>
      </w:pPr>
      <w:r w:rsidRPr="001C3A74">
        <w:rPr>
          <w:sz w:val="18"/>
          <w:szCs w:val="18"/>
          <w:vertAlign w:val="superscript"/>
        </w:rPr>
        <w:endnoteRef/>
      </w:r>
      <w:r w:rsidRPr="001C3A74">
        <w:rPr>
          <w:color w:val="000000"/>
          <w:sz w:val="18"/>
          <w:szCs w:val="18"/>
        </w:rPr>
        <w:t xml:space="preserve"> The union organizations started negotiations with Serbia Zijin Copper on a new collective agreement at the beginning of 2021 because the terms of the agreement concluded with the previous employer expired. The negotiations did not succeed, so Zijin Copper in June 2021 passed the Labor Rulebook, which reduces the acquired rights of employees. Upon that decision, trade union organizations organized a warning strike, after which the Zijin withdrew the Rulebook. Despite the agreement reached on December 2 on additional analyses of salary levels under the old and proposed new collective agreement, Serbia Zijin Copper adopted a new Labor Rulebook on 15 December 2022. Dissatisfied with that Rulebook, trade union organizations announced strikes. See: https://istmedia.rs/video-srpski-radnici-zidjina-zatrazili-brzo-usvajanje-kolektivnog-ugovora-u-suprotnom-najavljuju-radikalizaciju-protesta/.</w:t>
      </w:r>
    </w:p>
  </w:endnote>
  <w:endnote w:id="80">
    <w:p w14:paraId="60676895" w14:textId="77777777" w:rsidR="0052397E" w:rsidRPr="001C3A74" w:rsidRDefault="0052397E">
      <w:pPr>
        <w:rPr>
          <w:color w:val="000000"/>
          <w:sz w:val="18"/>
          <w:szCs w:val="18"/>
        </w:rPr>
      </w:pPr>
      <w:r w:rsidRPr="001C3A74">
        <w:rPr>
          <w:sz w:val="18"/>
          <w:szCs w:val="18"/>
          <w:vertAlign w:val="superscript"/>
        </w:rPr>
        <w:endnoteRef/>
      </w:r>
      <w:hyperlink r:id="rId51">
        <w:r w:rsidRPr="001C3A74">
          <w:rPr>
            <w:color w:val="000000"/>
            <w:sz w:val="18"/>
            <w:szCs w:val="18"/>
          </w:rPr>
          <w:t>https://n1info.rs/biznis/a472235-vucic-postavljanjem-kamena-temeljca-za-sandong-linglong-ispisuje-se-istorija/</w:t>
        </w:r>
      </w:hyperlink>
      <w:r w:rsidRPr="001C3A74">
        <w:rPr>
          <w:color w:val="000000"/>
          <w:sz w:val="18"/>
          <w:szCs w:val="18"/>
        </w:rPr>
        <w:t>.</w:t>
      </w:r>
    </w:p>
  </w:endnote>
  <w:endnote w:id="81">
    <w:p w14:paraId="7A240FE4"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For more information about the company, see:</w:t>
      </w:r>
      <w:hyperlink r:id="rId52">
        <w:r w:rsidRPr="001C3A74">
          <w:rPr>
            <w:color w:val="000000"/>
            <w:sz w:val="18"/>
            <w:szCs w:val="18"/>
          </w:rPr>
          <w:t xml:space="preserve"> https://en.linglong.cn/about/index.html</w:t>
        </w:r>
      </w:hyperlink>
    </w:p>
  </w:endnote>
  <w:endnote w:id="82">
    <w:p w14:paraId="54829005"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The decision of the Commission for State Aid Control, see: https://www.kkdp.gov.rs/doc/odluke/2020/Linglong-sken.pdf.</w:t>
      </w:r>
    </w:p>
  </w:endnote>
  <w:endnote w:id="83">
    <w:p w14:paraId="2FDBE2C3"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RERI, the state aid granted to the Linglong Tire is not in accordance with the law, March 2021,</w:t>
      </w:r>
      <w:hyperlink r:id="rId53">
        <w:r w:rsidRPr="001C3A74">
          <w:rPr>
            <w:color w:val="000000"/>
            <w:sz w:val="18"/>
            <w:szCs w:val="18"/>
          </w:rPr>
          <w:t xml:space="preserve"> https://www.reri.org.rs/en/the-state-aid-granted-to-the-linglong-tire-is-not-in-accordance-with-the-law/</w:t>
        </w:r>
      </w:hyperlink>
      <w:r w:rsidRPr="001C3A74">
        <w:rPr>
          <w:color w:val="000000"/>
          <w:sz w:val="18"/>
          <w:szCs w:val="18"/>
        </w:rPr>
        <w:t>.</w:t>
      </w:r>
    </w:p>
  </w:endnote>
  <w:endnote w:id="84">
    <w:p w14:paraId="21972F9A"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RERI, Police Surveillance, Ban on Media Presence and Violation of Citizens’ right to participate in the Public Debate on the Environmental Impact Assessment Study of the Linglong Tire Factory, February 2021,</w:t>
      </w:r>
      <w:hyperlink r:id="rId54">
        <w:r w:rsidRPr="001C3A74">
          <w:rPr>
            <w:color w:val="000000"/>
            <w:sz w:val="18"/>
            <w:szCs w:val="18"/>
          </w:rPr>
          <w:t xml:space="preserve"> https://www.reri.org.rs/en/police-surveillance-ban-on-media-presence-and-violation-of-citizens-right-to-participate-in-the-public-debate-on-the-environmental-impact-assessment-study-of-the-linglong-tire-factory/</w:t>
        </w:r>
      </w:hyperlink>
      <w:r w:rsidRPr="001C3A74">
        <w:rPr>
          <w:color w:val="000000"/>
          <w:sz w:val="18"/>
          <w:szCs w:val="18"/>
        </w:rPr>
        <w:t>.</w:t>
      </w:r>
    </w:p>
  </w:endnote>
  <w:endnote w:id="85">
    <w:p w14:paraId="4009FBD7"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Record and decision of the Construction Inspection Section of the Inspection Department of the City Administration of the City of Zrenjanin no. 356-51/2020-IV-06-03 dated 26 June 2020, Decision of the construction inspector within the Provincial Secretariat for Energy, Construction and Transportation no. 143-354-50/2021-05-01 dated 27 April 2021 and Letter from the environmental inspector within the Provincial Secretariat for Urbanism and Environmental Protection no. 140-501-766/2022-06 dated 28 November 2022.</w:t>
      </w:r>
    </w:p>
  </w:endnote>
  <w:endnote w:id="86">
    <w:p w14:paraId="5A0F393A"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VOICE, Više od 750 Vijetnamaca i Kineza u industrijskoj zoni Zrenjanin: Beznađe nevidljivih (Serbian only), 6 November 2021,</w:t>
      </w:r>
      <w:hyperlink r:id="rId55">
        <w:r w:rsidRPr="001C3A74">
          <w:rPr>
            <w:color w:val="000000"/>
            <w:sz w:val="18"/>
            <w:szCs w:val="18"/>
          </w:rPr>
          <w:t xml:space="preserve"> https://voice.org.rs/vise-od-750-vijetnamaca-i-kineza-u-industrijskoj-zoni-zrenjanin-beznade-nevidljivih/</w:t>
        </w:r>
      </w:hyperlink>
      <w:r w:rsidRPr="001C3A74">
        <w:rPr>
          <w:color w:val="000000"/>
          <w:sz w:val="18"/>
          <w:szCs w:val="18"/>
        </w:rPr>
        <w:t>.</w:t>
      </w:r>
    </w:p>
  </w:endnote>
  <w:endnote w:id="87">
    <w:p w14:paraId="151342E9"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A 11 – Initiative for Economic and Social Rights, ASTRA, Living and labour conditions of the Linglong factory construction workers from Vietnam, November 2021,</w:t>
      </w:r>
      <w:hyperlink r:id="rId56">
        <w:r w:rsidRPr="001C3A74">
          <w:rPr>
            <w:color w:val="000000"/>
            <w:sz w:val="18"/>
            <w:szCs w:val="18"/>
          </w:rPr>
          <w:t xml:space="preserve"> https://www.a11initiative.org/wp-content/uploads/2021/12/Report_Ling-Long_ENG.pdf</w:t>
        </w:r>
      </w:hyperlink>
      <w:r w:rsidRPr="001C3A74">
        <w:rPr>
          <w:color w:val="000000"/>
          <w:sz w:val="18"/>
          <w:szCs w:val="18"/>
        </w:rPr>
        <w:t>.</w:t>
      </w:r>
    </w:p>
  </w:endnote>
  <w:endnote w:id="88">
    <w:p w14:paraId="1EFA9A25"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Official Gazette of the Republic of Serbia, no. 128/2014, 113/2017, 50/2018, and 31/2019.</w:t>
      </w:r>
    </w:p>
  </w:endnote>
  <w:endnote w:id="89">
    <w:p w14:paraId="0EF84B72"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Official Gazette of the Republic of Serbia, no. 24/2005, 61/2005, 54/2009, 32/2013, 75/2014, 13/2017 – decision of the Constitutional Court, 113/2017 and 95/2018 – authentic interpretation.</w:t>
      </w:r>
    </w:p>
  </w:endnote>
  <w:endnote w:id="90">
    <w:p w14:paraId="66730B42"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Article 53 of the Labour Law.</w:t>
      </w:r>
    </w:p>
  </w:endnote>
  <w:endnote w:id="91">
    <w:p w14:paraId="6683E1AE"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For more details about the contracts, please see Employment Contract with Vietnamese workers:</w:t>
      </w:r>
      <w:hyperlink r:id="rId57">
        <w:r w:rsidRPr="001C3A74">
          <w:rPr>
            <w:color w:val="000000"/>
            <w:sz w:val="18"/>
            <w:szCs w:val="18"/>
          </w:rPr>
          <w:t xml:space="preserve"> https://pescanik.net/wp-content/uploads/2021/12/ugovor-o-radu.pdf</w:t>
        </w:r>
      </w:hyperlink>
      <w:r w:rsidRPr="001C3A74">
        <w:rPr>
          <w:color w:val="000000"/>
          <w:sz w:val="18"/>
          <w:szCs w:val="18"/>
        </w:rPr>
        <w:t>.</w:t>
      </w:r>
    </w:p>
  </w:endnote>
  <w:endnote w:id="92">
    <w:p w14:paraId="6C75AFF8"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Commitment “Not to Escape”, signed by the workers, online, available at:</w:t>
      </w:r>
      <w:hyperlink r:id="rId58">
        <w:r w:rsidRPr="001C3A74">
          <w:rPr>
            <w:color w:val="000000"/>
            <w:sz w:val="18"/>
            <w:szCs w:val="18"/>
          </w:rPr>
          <w:t xml:space="preserve"> https://pescanik.net/wp-content/uploads/2021/12/izjava-da-nece-pobeci.pdf</w:t>
        </w:r>
      </w:hyperlink>
      <w:r w:rsidRPr="001C3A74">
        <w:rPr>
          <w:color w:val="000000"/>
          <w:sz w:val="18"/>
          <w:szCs w:val="18"/>
        </w:rPr>
        <w:t>.</w:t>
      </w:r>
    </w:p>
  </w:endnote>
  <w:endnote w:id="93">
    <w:p w14:paraId="79EC9C2D" w14:textId="77777777" w:rsidR="0052397E" w:rsidRPr="001C3A74" w:rsidRDefault="0052397E">
      <w:pPr>
        <w:rPr>
          <w:color w:val="000000"/>
          <w:sz w:val="18"/>
          <w:szCs w:val="18"/>
        </w:rPr>
      </w:pPr>
      <w:r w:rsidRPr="001C3A74">
        <w:rPr>
          <w:sz w:val="18"/>
          <w:szCs w:val="18"/>
          <w:vertAlign w:val="superscript"/>
        </w:rPr>
        <w:endnoteRef/>
      </w:r>
      <w:r w:rsidRPr="001C3A74">
        <w:rPr>
          <w:color w:val="000000"/>
          <w:sz w:val="18"/>
          <w:szCs w:val="18"/>
        </w:rPr>
        <w:t xml:space="preserve"> Radio Slobodna Evropa, Nevladina udruženja: Zabranjene posete radnicima Linglonga u Zrenjaninu, 16 November 2021:</w:t>
      </w:r>
      <w:hyperlink r:id="rId59">
        <w:r w:rsidRPr="001C3A74">
          <w:rPr>
            <w:color w:val="000000"/>
            <w:sz w:val="18"/>
            <w:szCs w:val="18"/>
          </w:rPr>
          <w:t xml:space="preserve"> https://www.slobodnaevropa.org/a/linglong-radnici/31564148.html</w:t>
        </w:r>
      </w:hyperlink>
      <w:r w:rsidRPr="001C3A74">
        <w:rPr>
          <w:color w:val="000000"/>
          <w:sz w:val="18"/>
          <w:szCs w:val="18"/>
        </w:rPr>
        <w:t>.</w:t>
      </w:r>
    </w:p>
  </w:endnote>
  <w:endnote w:id="94">
    <w:p w14:paraId="05305786" w14:textId="77777777" w:rsidR="0052397E" w:rsidRDefault="0052397E">
      <w:pPr>
        <w:rPr>
          <w:color w:val="000000"/>
          <w:sz w:val="18"/>
          <w:szCs w:val="18"/>
        </w:rPr>
      </w:pPr>
      <w:r w:rsidRPr="001C3A74">
        <w:rPr>
          <w:sz w:val="18"/>
          <w:szCs w:val="18"/>
          <w:vertAlign w:val="superscript"/>
        </w:rPr>
        <w:endnoteRef/>
      </w:r>
      <w:r w:rsidRPr="001C3A74">
        <w:rPr>
          <w:color w:val="000000"/>
          <w:sz w:val="18"/>
          <w:szCs w:val="18"/>
        </w:rPr>
        <w:t xml:space="preserve"> United Nations Human Rights Council’s Special Rapporteur on trafficking in persons, especially women and children, Working Group on the issue of human rights and transnational corporations and other business enterprises, Special Rapporteur on the human rights of migrants, and the Special Rapporteur on contemporary forms of slavery, including its causes and consequences, 18 January 2022, reference no. OL CHN 11/2021.</w:t>
      </w:r>
    </w:p>
  </w:endnote>
  <w:endnote w:id="95">
    <w:p w14:paraId="2A9A55D2" w14:textId="77777777" w:rsidR="0052397E" w:rsidRDefault="0052397E">
      <w:pPr>
        <w:rPr>
          <w:color w:val="000000"/>
          <w:sz w:val="18"/>
          <w:szCs w:val="18"/>
        </w:rPr>
      </w:pPr>
      <w:r>
        <w:rPr>
          <w:vertAlign w:val="superscript"/>
        </w:rPr>
        <w:endnoteRef/>
      </w:r>
      <w:r>
        <w:rPr>
          <w:color w:val="000000"/>
          <w:sz w:val="18"/>
          <w:szCs w:val="18"/>
        </w:rPr>
        <w:t xml:space="preserve"> Letter of the Government of China, reference no. ’HRC/NONE/2022/SP/20’: Reply from China - UA CHN (1.2022), 15 March 2022. </w:t>
      </w:r>
    </w:p>
  </w:endnote>
  <w:endnote w:id="96">
    <w:p w14:paraId="7DDB1E38" w14:textId="77777777" w:rsidR="0052397E" w:rsidRDefault="0052397E">
      <w:pPr>
        <w:rPr>
          <w:color w:val="000000"/>
          <w:sz w:val="18"/>
          <w:szCs w:val="18"/>
        </w:rPr>
      </w:pPr>
      <w:r>
        <w:rPr>
          <w:vertAlign w:val="superscript"/>
        </w:rPr>
        <w:endnoteRef/>
      </w:r>
      <w:r>
        <w:rPr>
          <w:color w:val="000000"/>
          <w:sz w:val="18"/>
          <w:szCs w:val="18"/>
        </w:rPr>
        <w:t xml:space="preserve"> Politika, Radovi na izgradnji fabrike guma u Zrenjaninu nisu obustavljeni, 29 October 2022: </w:t>
      </w:r>
      <w:hyperlink r:id="rId60">
        <w:r>
          <w:rPr>
            <w:color w:val="000000"/>
            <w:sz w:val="18"/>
            <w:szCs w:val="18"/>
          </w:rPr>
          <w:t>https://www.politika.rs/scc/clanak/522865/fabrika-gume-zrenjanin-izgradnja</w:t>
        </w:r>
      </w:hyperlink>
      <w:r>
        <w:rPr>
          <w:color w:val="000000"/>
          <w:sz w:val="18"/>
          <w:szCs w:val="18"/>
        </w:rPr>
        <w:t>.</w:t>
      </w:r>
    </w:p>
  </w:endnote>
  <w:endnote w:id="97">
    <w:p w14:paraId="5A234EBE" w14:textId="77777777" w:rsidR="0052397E" w:rsidRDefault="0052397E">
      <w:pPr>
        <w:jc w:val="both"/>
        <w:rPr>
          <w:sz w:val="18"/>
          <w:szCs w:val="18"/>
        </w:rPr>
      </w:pPr>
      <w:r>
        <w:rPr>
          <w:vertAlign w:val="superscript"/>
        </w:rPr>
        <w:endnoteRef/>
      </w:r>
      <w:r>
        <w:rPr>
          <w:sz w:val="20"/>
          <w:szCs w:val="20"/>
        </w:rPr>
        <w:t xml:space="preserve"> </w:t>
      </w:r>
      <w:r>
        <w:rPr>
          <w:sz w:val="18"/>
          <w:szCs w:val="18"/>
        </w:rPr>
        <w:t>In April 2022, Serbia Zijin Bor Copper and one company legal representative were ordered to pay a fine of some € 8.522 for polluting the Mali Pek River, see: /</w:t>
      </w:r>
      <w:hyperlink r:id="rId61">
        <w:r>
          <w:rPr>
            <w:sz w:val="18"/>
            <w:szCs w:val="18"/>
          </w:rPr>
          <w:t>https://www.reri.org.rs/en/based-on-the-criminal-complaint-submitted-by-reri-zijin-copper-and-the-director-of-the-company-were-fined-one-million-dinars-for-the-pollution-of-the-river-mali-pek/</w:t>
        </w:r>
      </w:hyperlink>
      <w:r>
        <w:t>.</w:t>
      </w:r>
      <w:r>
        <w:rPr>
          <w:sz w:val="18"/>
          <w:szCs w:val="18"/>
        </w:rPr>
        <w:t xml:space="preserve"> The company was also convicted and fined (equivalent to € 3.830) for performing the construction works on the expansion of the copper smelter in Bor without prior approval of the EIA study and carrying out activities without an integrated environmental permit, </w:t>
      </w:r>
      <w:r>
        <w:rPr>
          <w:sz w:val="18"/>
          <w:szCs w:val="18"/>
          <w:highlight w:val="white"/>
        </w:rPr>
        <w:t xml:space="preserve">See: </w:t>
      </w:r>
      <w:hyperlink r:id="rId62">
        <w:r>
          <w:rPr>
            <w:sz w:val="18"/>
            <w:szCs w:val="18"/>
          </w:rPr>
          <w:t>https://www.reri.org.rs/en/based-on-reris-reports-zijin-was-fined-for-operating-without-the-necessary-approvals-and-permits</w:t>
        </w:r>
      </w:hyperlink>
      <w:r>
        <w:rPr>
          <w:sz w:val="18"/>
          <w:szCs w:val="18"/>
        </w:rPr>
        <w:t>.</w:t>
      </w:r>
      <w:r>
        <w:rPr>
          <w:sz w:val="18"/>
          <w:szCs w:val="18"/>
          <w:highlight w:val="white"/>
        </w:rPr>
        <w:t xml:space="preserve"> The Verdict of the </w:t>
      </w:r>
      <w:r>
        <w:rPr>
          <w:sz w:val="18"/>
          <w:szCs w:val="18"/>
        </w:rPr>
        <w:t>Commercial Court in Zaječar</w:t>
      </w:r>
      <w:r>
        <w:rPr>
          <w:sz w:val="18"/>
          <w:szCs w:val="18"/>
          <w:highlight w:val="white"/>
        </w:rPr>
        <w:t xml:space="preserve"> No. </w:t>
      </w:r>
      <w:r>
        <w:rPr>
          <w:sz w:val="18"/>
          <w:szCs w:val="18"/>
        </w:rPr>
        <w:t>7 Pk.108/2022</w:t>
      </w:r>
      <w:r>
        <w:rPr>
          <w:sz w:val="18"/>
          <w:szCs w:val="18"/>
          <w:highlight w:val="white"/>
        </w:rPr>
        <w:t xml:space="preserve"> from 08 July 2022 can be provided upon request. </w:t>
      </w:r>
      <w:r>
        <w:rPr>
          <w:sz w:val="18"/>
          <w:szCs w:val="18"/>
        </w:rPr>
        <w:t>In less than a year, Serbia Zijin Bor Copper was convicted four times for violating the Law on Mining and Geological Research,</w:t>
      </w:r>
      <w:r>
        <w:rPr>
          <w:sz w:val="18"/>
          <w:szCs w:val="18"/>
          <w:vertAlign w:val="superscript"/>
        </w:rPr>
        <w:t>#</w:t>
      </w:r>
      <w:r>
        <w:rPr>
          <w:sz w:val="18"/>
          <w:szCs w:val="18"/>
        </w:rPr>
        <w:t xml:space="preserve"> for which it was ordered to pay a fine below the legal minimum each time, See: </w:t>
      </w:r>
      <w:hyperlink r:id="rId63">
        <w:r>
          <w:rPr>
            <w:sz w:val="18"/>
            <w:szCs w:val="18"/>
          </w:rPr>
          <w:t>https://www.reri.org.rs/en/based-on-reris-reports-zijin-was-fined-for-operating-without-the-necessary-approvals-and-permits/</w:t>
        </w:r>
      </w:hyperlink>
      <w:r>
        <w:rPr>
          <w:sz w:val="18"/>
          <w:szCs w:val="18"/>
        </w:rPr>
        <w:t>.</w:t>
      </w:r>
      <w:r>
        <w:rPr>
          <w:i/>
          <w:sz w:val="18"/>
          <w:szCs w:val="18"/>
        </w:rPr>
        <w:t xml:space="preserve"> </w:t>
      </w:r>
      <w:r>
        <w:rPr>
          <w:sz w:val="18"/>
          <w:szCs w:val="18"/>
        </w:rPr>
        <w:t xml:space="preserve">The Decision of the Commercial Court in Zaječar no. 7 PK 109/2022 from 08 July 2022 convicting Zijin Bor Copper for operation without proper licensing will be provided upon request. Serbia Zijin Bor Copper is the only company in Serbia against which the public prosecution office in April 2022 filed an indictment for excessive environmental pollution. The case registered under no. K 101/22 in front of the Basic Court in Bor is </w:t>
      </w:r>
      <w:hyperlink r:id="rId64">
        <w:r>
          <w:rPr>
            <w:sz w:val="18"/>
            <w:szCs w:val="18"/>
            <w:u w:val="single"/>
          </w:rPr>
          <w:t>still ongoing</w:t>
        </w:r>
      </w:hyperlink>
      <w:r>
        <w:rPr>
          <w:sz w:val="18"/>
          <w:szCs w:val="18"/>
        </w:rPr>
        <w:t xml:space="preserve"> and the public prosecutor is collecting evidence for criminal charges for a new period in which Zijin Company caused environmental pollution (the case is registered under no. KT 171/22). </w:t>
      </w:r>
    </w:p>
  </w:endnote>
  <w:endnote w:id="98">
    <w:p w14:paraId="1790A75E" w14:textId="77777777" w:rsidR="0052397E" w:rsidRDefault="0052397E">
      <w:pPr>
        <w:jc w:val="both"/>
        <w:rPr>
          <w:sz w:val="18"/>
          <w:szCs w:val="18"/>
        </w:rPr>
      </w:pPr>
      <w:r>
        <w:rPr>
          <w:vertAlign w:val="superscript"/>
        </w:rPr>
        <w:endnoteRef/>
      </w:r>
      <w:r>
        <w:rPr>
          <w:sz w:val="18"/>
          <w:szCs w:val="18"/>
        </w:rPr>
        <w:t xml:space="preserve"> The verdict of the Commercial Court in Zaječar no. 6. Pk. 189/2022 from 15 November 2022 can  be provided upon request. </w:t>
      </w:r>
    </w:p>
  </w:endnote>
  <w:endnote w:id="99">
    <w:p w14:paraId="23717A8C" w14:textId="77777777" w:rsidR="0052397E" w:rsidRDefault="0052397E">
      <w:pPr>
        <w:rPr>
          <w:color w:val="000000"/>
          <w:sz w:val="18"/>
          <w:szCs w:val="18"/>
        </w:rPr>
      </w:pPr>
      <w:r>
        <w:rPr>
          <w:vertAlign w:val="superscript"/>
        </w:rPr>
        <w:endnoteRef/>
      </w:r>
      <w:r>
        <w:rPr>
          <w:color w:val="000000"/>
          <w:sz w:val="18"/>
          <w:szCs w:val="18"/>
        </w:rPr>
        <w:t xml:space="preserve"> Committee on Economic, Social and Cultural Rights (CESCR). General Comment 24</w:t>
      </w:r>
      <w:sdt>
        <w:sdtPr>
          <w:tag w:val="goog_rdk_3"/>
          <w:id w:val="1342038632"/>
        </w:sdtPr>
        <w:sdtEndPr/>
        <w:sdtContent>
          <w:r>
            <w:rPr>
              <w:color w:val="000000"/>
              <w:sz w:val="18"/>
              <w:szCs w:val="18"/>
            </w:rPr>
            <w:t>,</w:t>
          </w:r>
        </w:sdtContent>
      </w:sdt>
      <w:sdt>
        <w:sdtPr>
          <w:tag w:val="goog_rdk_4"/>
          <w:id w:val="569544454"/>
          <w:showingPlcHdr/>
        </w:sdtPr>
        <w:sdtEndPr/>
        <w:sdtContent>
          <w:r>
            <w:t xml:space="preserve">     </w:t>
          </w:r>
        </w:sdtContent>
      </w:sdt>
      <w:r>
        <w:rPr>
          <w:color w:val="000000"/>
          <w:sz w:val="18"/>
          <w:szCs w:val="18"/>
        </w:rPr>
        <w:t xml:space="preserve"> Art. 30-32. </w:t>
      </w:r>
      <w:sdt>
        <w:sdtPr>
          <w:tag w:val="goog_rdk_5"/>
          <w:id w:val="734047532"/>
        </w:sdtPr>
        <w:sdtEndPr/>
        <w:sdtContent>
          <w:r>
            <w:rPr>
              <w:color w:val="000000"/>
              <w:sz w:val="18"/>
              <w:szCs w:val="18"/>
            </w:rPr>
            <w:t>General Comment 23, Art. 69-70.</w:t>
          </w:r>
        </w:sdtContent>
      </w:sdt>
    </w:p>
  </w:endnote>
  <w:endnote w:id="100">
    <w:p w14:paraId="53770594" w14:textId="77777777" w:rsidR="0052397E" w:rsidRDefault="0052397E">
      <w:pPr>
        <w:rPr>
          <w:color w:val="000000"/>
          <w:sz w:val="18"/>
          <w:szCs w:val="18"/>
        </w:rPr>
      </w:pPr>
      <w:r>
        <w:rPr>
          <w:vertAlign w:val="superscript"/>
        </w:rPr>
        <w:endnoteRef/>
      </w:r>
      <w:r>
        <w:rPr>
          <w:color w:val="000000"/>
          <w:sz w:val="18"/>
          <w:szCs w:val="18"/>
        </w:rPr>
        <w:t xml:space="preserve"> Some of these guidelines include, for example, the Guidelines for Social Responsibility in Outbound Mining Investments and the Guidelines for ecological and environmental protection of foreign investment cooperation and construction projects. </w:t>
      </w:r>
    </w:p>
  </w:endnote>
  <w:endnote w:id="101">
    <w:p w14:paraId="181DEBDD" w14:textId="77777777" w:rsidR="0052397E" w:rsidRDefault="0052397E">
      <w:pPr>
        <w:rPr>
          <w:color w:val="000000"/>
          <w:sz w:val="18"/>
          <w:szCs w:val="18"/>
        </w:rPr>
      </w:pPr>
      <w:r>
        <w:rPr>
          <w:vertAlign w:val="superscript"/>
        </w:rPr>
        <w:endnoteRef/>
      </w:r>
      <w:r>
        <w:rPr>
          <w:color w:val="000000"/>
          <w:sz w:val="18"/>
          <w:szCs w:val="18"/>
        </w:rPr>
        <w:t xml:space="preserve"> CESCR. General Comment 24. Art. 30-31.</w:t>
      </w:r>
    </w:p>
  </w:endnote>
  <w:endnote w:id="102">
    <w:p w14:paraId="4EEE42BE" w14:textId="77777777" w:rsidR="0052397E" w:rsidRDefault="0052397E">
      <w:pPr>
        <w:pBdr>
          <w:top w:val="nil"/>
          <w:left w:val="nil"/>
          <w:bottom w:val="nil"/>
          <w:right w:val="nil"/>
          <w:between w:val="nil"/>
        </w:pBdr>
        <w:rPr>
          <w:color w:val="000000"/>
          <w:sz w:val="18"/>
          <w:szCs w:val="18"/>
        </w:rPr>
      </w:pPr>
      <w:r>
        <w:rPr>
          <w:vertAlign w:val="superscript"/>
        </w:rPr>
        <w:endnoteRef/>
      </w:r>
      <w:r>
        <w:rPr>
          <w:color w:val="000000"/>
          <w:sz w:val="18"/>
          <w:szCs w:val="18"/>
        </w:rPr>
        <w:t xml:space="preserve"> CESCR General Comment 24. Art. 27 and 34. </w:t>
      </w:r>
    </w:p>
  </w:endnote>
  <w:endnote w:id="103">
    <w:p w14:paraId="25835B7A" w14:textId="77777777" w:rsidR="0052397E" w:rsidRPr="006B138E" w:rsidRDefault="0052397E">
      <w:pPr>
        <w:rPr>
          <w:color w:val="000000"/>
          <w:sz w:val="18"/>
          <w:szCs w:val="18"/>
          <w:lang w:val="de-DE"/>
        </w:rPr>
      </w:pPr>
      <w:r>
        <w:rPr>
          <w:vertAlign w:val="superscript"/>
        </w:rPr>
        <w:endnoteRef/>
      </w:r>
      <w:r>
        <w:rPr>
          <w:color w:val="000000"/>
          <w:sz w:val="18"/>
          <w:szCs w:val="18"/>
        </w:rPr>
        <w:t xml:space="preserve">CESCR General Comment 24. </w:t>
      </w:r>
      <w:r w:rsidRPr="006B138E">
        <w:rPr>
          <w:color w:val="000000"/>
          <w:sz w:val="18"/>
          <w:szCs w:val="18"/>
          <w:lang w:val="de-DE"/>
        </w:rPr>
        <w:t xml:space="preserve">Art. 34. </w:t>
      </w:r>
    </w:p>
  </w:endnote>
  <w:endnote w:id="104">
    <w:p w14:paraId="3B5912BD" w14:textId="77777777" w:rsidR="0052397E" w:rsidRPr="006B138E" w:rsidRDefault="0052397E">
      <w:pPr>
        <w:pBdr>
          <w:top w:val="nil"/>
          <w:left w:val="nil"/>
          <w:bottom w:val="nil"/>
          <w:right w:val="nil"/>
          <w:between w:val="nil"/>
        </w:pBdr>
        <w:jc w:val="both"/>
        <w:rPr>
          <w:color w:val="000000"/>
          <w:sz w:val="18"/>
          <w:szCs w:val="18"/>
          <w:lang w:val="de-DE"/>
        </w:rPr>
      </w:pPr>
      <w:r>
        <w:rPr>
          <w:vertAlign w:val="superscript"/>
        </w:rPr>
        <w:endnoteRef/>
      </w:r>
      <w:r w:rsidRPr="006B138E">
        <w:rPr>
          <w:color w:val="000000"/>
          <w:sz w:val="16"/>
          <w:szCs w:val="16"/>
          <w:lang w:val="de-DE"/>
        </w:rPr>
        <w:t>h</w:t>
      </w:r>
      <w:r w:rsidRPr="006B138E">
        <w:rPr>
          <w:color w:val="000000"/>
          <w:sz w:val="18"/>
          <w:szCs w:val="18"/>
          <w:lang w:val="de-DE"/>
        </w:rPr>
        <w:t>ttps://www.reuters.com/markets/commodities/chinese-copper-companies-say-more-mining-is-needed-boost-supply-2022-11-09/.</w:t>
      </w:r>
    </w:p>
  </w:endnote>
  <w:endnote w:id="105">
    <w:p w14:paraId="6330B812" w14:textId="77777777" w:rsidR="0052397E" w:rsidRPr="006B138E" w:rsidRDefault="0052397E">
      <w:pPr>
        <w:pBdr>
          <w:top w:val="nil"/>
          <w:left w:val="nil"/>
          <w:bottom w:val="nil"/>
          <w:right w:val="nil"/>
          <w:between w:val="nil"/>
        </w:pBdr>
        <w:rPr>
          <w:color w:val="000000"/>
          <w:sz w:val="18"/>
          <w:szCs w:val="18"/>
          <w:lang w:val="de-DE"/>
        </w:rPr>
      </w:pPr>
      <w:r>
        <w:rPr>
          <w:vertAlign w:val="superscript"/>
        </w:rPr>
        <w:endnoteRef/>
      </w:r>
      <w:r w:rsidRPr="006B138E">
        <w:rPr>
          <w:color w:val="000000"/>
          <w:sz w:val="18"/>
          <w:szCs w:val="18"/>
          <w:lang w:val="de-DE"/>
        </w:rPr>
        <w:t>https://www.reuters.com/article/sponsored/copper-in-chinas-economy.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ABFA5" w14:textId="77777777" w:rsidR="00105F4D" w:rsidRDefault="00105F4D">
    <w:pPr>
      <w:pStyle w:val="Footer"/>
      <w:jc w:val="center"/>
    </w:pPr>
  </w:p>
  <w:p w14:paraId="15B6F715" w14:textId="77777777" w:rsidR="00243A63" w:rsidRDefault="00243A63">
    <w:pPr>
      <w:pBdr>
        <w:top w:val="nil"/>
        <w:left w:val="nil"/>
        <w:bottom w:val="nil"/>
        <w:right w:val="nil"/>
        <w:between w:val="nil"/>
      </w:pBdr>
      <w:tabs>
        <w:tab w:val="center" w:pos="4703"/>
        <w:tab w:val="right" w:pos="94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CE7B0" w14:textId="77777777" w:rsidR="00075810" w:rsidRDefault="00075810">
      <w:r>
        <w:separator/>
      </w:r>
    </w:p>
  </w:footnote>
  <w:footnote w:type="continuationSeparator" w:id="0">
    <w:p w14:paraId="2D5961DE" w14:textId="77777777" w:rsidR="00075810" w:rsidRDefault="00075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808D3"/>
    <w:multiLevelType w:val="multilevel"/>
    <w:tmpl w:val="724AE0B8"/>
    <w:lvl w:ilvl="0">
      <w:start w:val="1"/>
      <w:numFmt w:val="decimal"/>
      <w:lvlText w:val="%1."/>
      <w:lvlJc w:val="left"/>
      <w:pPr>
        <w:ind w:left="720" w:hanging="720"/>
      </w:pPr>
      <w:rPr>
        <w:rFonts w:ascii="Calibri" w:eastAsia="Calibri" w:hAnsi="Calibri" w:cs="Calibri"/>
        <w:b w:val="0"/>
        <w:sz w:val="22"/>
        <w:szCs w:val="22"/>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1E21948"/>
    <w:multiLevelType w:val="multilevel"/>
    <w:tmpl w:val="0C965A90"/>
    <w:lvl w:ilvl="0">
      <w:start w:val="1"/>
      <w:numFmt w:val="decimal"/>
      <w:pStyle w:val="CommentTex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0DC1225"/>
    <w:multiLevelType w:val="multilevel"/>
    <w:tmpl w:val="B7EC925C"/>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A63"/>
    <w:rsid w:val="00075810"/>
    <w:rsid w:val="00105F4D"/>
    <w:rsid w:val="001C3A74"/>
    <w:rsid w:val="00243A63"/>
    <w:rsid w:val="004A5FE5"/>
    <w:rsid w:val="0052397E"/>
    <w:rsid w:val="006B138E"/>
    <w:rsid w:val="00721958"/>
    <w:rsid w:val="00771BBF"/>
    <w:rsid w:val="0080770E"/>
    <w:rsid w:val="00C8341A"/>
    <w:rsid w:val="00D63F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246B"/>
  <w15:docId w15:val="{C7560645-1204-4127-BC69-3CCA1B2C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2D7"/>
    <w:rPr>
      <w:lang w:eastAsia="en-US"/>
    </w:rPr>
  </w:style>
  <w:style w:type="paragraph" w:styleId="Heading1">
    <w:name w:val="heading 1"/>
    <w:basedOn w:val="Normal"/>
    <w:next w:val="Normal"/>
    <w:link w:val="Heading1Char"/>
    <w:uiPriority w:val="9"/>
    <w:qFormat/>
    <w:rsid w:val="00D96CD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3E1D91"/>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F9434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9434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NormalTable0">
    <w:name w:val="Normal Table0"/>
    <w:tblPr>
      <w:tblCellMar>
        <w:top w:w="0" w:type="dxa"/>
        <w:left w:w="0" w:type="dxa"/>
        <w:bottom w:w="0" w:type="dxa"/>
        <w:right w:w="0" w:type="dxa"/>
      </w:tblCellMar>
    </w:tblPr>
  </w:style>
  <w:style w:type="paragraph" w:styleId="CommentText">
    <w:name w:val="annotation text"/>
    <w:basedOn w:val="Normal"/>
    <w:link w:val="CommentTextChar"/>
    <w:uiPriority w:val="99"/>
    <w:semiHidden/>
    <w:unhideWhenUsed/>
    <w:rsid w:val="001C2E2C"/>
    <w:pPr>
      <w:numPr>
        <w:numId w:val="3"/>
      </w:numPr>
      <w:tabs>
        <w:tab w:val="clear" w:pos="720"/>
        <w:tab w:val="num" w:pos="360"/>
      </w:tabs>
      <w:spacing w:after="200"/>
      <w:ind w:left="0" w:hanging="360"/>
    </w:pPr>
    <w:rPr>
      <w:sz w:val="20"/>
      <w:szCs w:val="20"/>
      <w:lang w:val="de-DE"/>
    </w:rPr>
  </w:style>
  <w:style w:type="character" w:customStyle="1" w:styleId="CommentTextChar">
    <w:name w:val="Comment Text Char"/>
    <w:basedOn w:val="DefaultParagraphFont"/>
    <w:link w:val="CommentText"/>
    <w:uiPriority w:val="99"/>
    <w:semiHidden/>
    <w:rsid w:val="001C2E2C"/>
    <w:rPr>
      <w:sz w:val="20"/>
      <w:szCs w:val="20"/>
    </w:rPr>
  </w:style>
  <w:style w:type="character" w:styleId="Hyperlink">
    <w:name w:val="Hyperlink"/>
    <w:basedOn w:val="DefaultParagraphFont"/>
    <w:uiPriority w:val="99"/>
    <w:unhideWhenUsed/>
    <w:rsid w:val="004C5A39"/>
    <w:rPr>
      <w:color w:val="0563C1" w:themeColor="hyperlink"/>
      <w:u w:val="single"/>
    </w:rPr>
  </w:style>
  <w:style w:type="paragraph" w:styleId="FootnoteText">
    <w:name w:val="footnote text"/>
    <w:basedOn w:val="Normal"/>
    <w:link w:val="FootnoteTextChar"/>
    <w:uiPriority w:val="99"/>
    <w:semiHidden/>
    <w:unhideWhenUsed/>
    <w:rsid w:val="00747074"/>
    <w:rPr>
      <w:sz w:val="20"/>
      <w:szCs w:val="20"/>
    </w:rPr>
  </w:style>
  <w:style w:type="character" w:customStyle="1" w:styleId="FootnoteTextChar">
    <w:name w:val="Footnote Text Char"/>
    <w:basedOn w:val="DefaultParagraphFont"/>
    <w:link w:val="FootnoteText"/>
    <w:uiPriority w:val="99"/>
    <w:semiHidden/>
    <w:rsid w:val="00747074"/>
    <w:rPr>
      <w:rFonts w:ascii="Calibri" w:hAnsi="Calibri" w:cs="Calibri"/>
      <w:sz w:val="20"/>
      <w:szCs w:val="20"/>
      <w:lang w:val="en-US" w:eastAsia="en-US"/>
    </w:rPr>
  </w:style>
  <w:style w:type="character" w:styleId="FootnoteReference">
    <w:name w:val="footnote reference"/>
    <w:basedOn w:val="DefaultParagraphFont"/>
    <w:uiPriority w:val="99"/>
    <w:semiHidden/>
    <w:unhideWhenUsed/>
    <w:rsid w:val="00747074"/>
    <w:rPr>
      <w:vertAlign w:val="superscript"/>
    </w:rPr>
  </w:style>
  <w:style w:type="character" w:styleId="Emphasis">
    <w:name w:val="Emphasis"/>
    <w:basedOn w:val="DefaultParagraphFont"/>
    <w:uiPriority w:val="20"/>
    <w:qFormat/>
    <w:rsid w:val="00747074"/>
    <w:rPr>
      <w:i/>
      <w:iCs/>
    </w:rPr>
  </w:style>
  <w:style w:type="paragraph" w:styleId="ListParagraph">
    <w:name w:val="List Paragraph"/>
    <w:basedOn w:val="Normal"/>
    <w:uiPriority w:val="34"/>
    <w:qFormat/>
    <w:rsid w:val="005D23A8"/>
    <w:pPr>
      <w:ind w:left="720"/>
      <w:contextualSpacing/>
    </w:pPr>
  </w:style>
  <w:style w:type="paragraph" w:customStyle="1" w:styleId="Default">
    <w:name w:val="Default"/>
    <w:rsid w:val="005B19DB"/>
    <w:pPr>
      <w:autoSpaceDE w:val="0"/>
      <w:autoSpaceDN w:val="0"/>
      <w:adjustRightInd w:val="0"/>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D96CD8"/>
    <w:rPr>
      <w:rFonts w:asciiTheme="majorHAnsi" w:eastAsiaTheme="majorEastAsia" w:hAnsiTheme="majorHAnsi" w:cstheme="majorBidi"/>
      <w:color w:val="2E74B5" w:themeColor="accent1" w:themeShade="BF"/>
      <w:sz w:val="32"/>
      <w:szCs w:val="32"/>
      <w:lang w:val="en-US"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2789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899"/>
    <w:rPr>
      <w:rFonts w:ascii="Segoe UI" w:hAnsi="Segoe UI" w:cs="Segoe UI"/>
      <w:sz w:val="18"/>
      <w:szCs w:val="18"/>
      <w:lang w:eastAsia="en-US"/>
    </w:rPr>
  </w:style>
  <w:style w:type="paragraph" w:styleId="EndnoteText">
    <w:name w:val="endnote text"/>
    <w:basedOn w:val="Normal"/>
    <w:link w:val="EndnoteTextChar"/>
    <w:uiPriority w:val="99"/>
    <w:semiHidden/>
    <w:unhideWhenUsed/>
    <w:rsid w:val="00FE681A"/>
    <w:rPr>
      <w:sz w:val="20"/>
      <w:szCs w:val="20"/>
    </w:rPr>
  </w:style>
  <w:style w:type="character" w:customStyle="1" w:styleId="EndnoteTextChar">
    <w:name w:val="Endnote Text Char"/>
    <w:basedOn w:val="DefaultParagraphFont"/>
    <w:link w:val="EndnoteText"/>
    <w:uiPriority w:val="99"/>
    <w:semiHidden/>
    <w:rsid w:val="00FE681A"/>
    <w:rPr>
      <w:sz w:val="20"/>
      <w:szCs w:val="20"/>
      <w:lang w:eastAsia="en-US"/>
    </w:rPr>
  </w:style>
  <w:style w:type="character" w:styleId="EndnoteReference">
    <w:name w:val="endnote reference"/>
    <w:basedOn w:val="DefaultParagraphFont"/>
    <w:uiPriority w:val="99"/>
    <w:semiHidden/>
    <w:unhideWhenUsed/>
    <w:rsid w:val="00FE681A"/>
    <w:rPr>
      <w:vertAlign w:val="superscript"/>
    </w:rPr>
  </w:style>
  <w:style w:type="character" w:customStyle="1" w:styleId="normaltextrun">
    <w:name w:val="normaltextrun"/>
    <w:basedOn w:val="DefaultParagraphFont"/>
    <w:rsid w:val="007D0642"/>
  </w:style>
  <w:style w:type="paragraph" w:styleId="Header">
    <w:name w:val="header"/>
    <w:basedOn w:val="Normal"/>
    <w:link w:val="HeaderChar"/>
    <w:uiPriority w:val="99"/>
    <w:unhideWhenUsed/>
    <w:rsid w:val="00A17818"/>
    <w:pPr>
      <w:tabs>
        <w:tab w:val="center" w:pos="4703"/>
        <w:tab w:val="right" w:pos="9406"/>
      </w:tabs>
    </w:pPr>
  </w:style>
  <w:style w:type="character" w:customStyle="1" w:styleId="HeaderChar">
    <w:name w:val="Header Char"/>
    <w:basedOn w:val="DefaultParagraphFont"/>
    <w:link w:val="Header"/>
    <w:uiPriority w:val="99"/>
    <w:rsid w:val="00A17818"/>
    <w:rPr>
      <w:lang w:eastAsia="en-US"/>
    </w:rPr>
  </w:style>
  <w:style w:type="paragraph" w:styleId="Footer">
    <w:name w:val="footer"/>
    <w:basedOn w:val="Normal"/>
    <w:link w:val="FooterChar"/>
    <w:uiPriority w:val="99"/>
    <w:unhideWhenUsed/>
    <w:rsid w:val="00A17818"/>
    <w:pPr>
      <w:tabs>
        <w:tab w:val="center" w:pos="4703"/>
        <w:tab w:val="right" w:pos="9406"/>
      </w:tabs>
    </w:pPr>
  </w:style>
  <w:style w:type="character" w:customStyle="1" w:styleId="FooterChar">
    <w:name w:val="Footer Char"/>
    <w:basedOn w:val="DefaultParagraphFont"/>
    <w:link w:val="Footer"/>
    <w:uiPriority w:val="99"/>
    <w:rsid w:val="00A17818"/>
    <w:rPr>
      <w:lang w:eastAsia="en-US"/>
    </w:rPr>
  </w:style>
  <w:style w:type="table" w:styleId="TableGrid">
    <w:name w:val="Table Grid"/>
    <w:basedOn w:val="TableNormal"/>
    <w:uiPriority w:val="39"/>
    <w:rsid w:val="00D1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rsid w:val="003E1D91"/>
    <w:rPr>
      <w:rFonts w:asciiTheme="majorHAnsi" w:eastAsiaTheme="majorEastAsia" w:hAnsiTheme="majorHAnsi" w:cstheme="majorBidi"/>
      <w:i/>
      <w:iCs/>
      <w:color w:val="1F4D78" w:themeColor="accent1" w:themeShade="7F"/>
      <w:lang w:eastAsia="en-US"/>
    </w:rPr>
  </w:style>
  <w:style w:type="character" w:customStyle="1" w:styleId="Heading8Char">
    <w:name w:val="Heading 8 Char"/>
    <w:basedOn w:val="DefaultParagraphFont"/>
    <w:link w:val="Heading8"/>
    <w:uiPriority w:val="9"/>
    <w:rsid w:val="00F9434F"/>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rsid w:val="00F9434F"/>
    <w:rPr>
      <w:rFonts w:asciiTheme="majorHAnsi" w:eastAsiaTheme="majorEastAsia" w:hAnsiTheme="majorHAnsi" w:cstheme="majorBidi"/>
      <w:i/>
      <w:iCs/>
      <w:color w:val="272727" w:themeColor="text1" w:themeTint="D8"/>
      <w:sz w:val="21"/>
      <w:szCs w:val="21"/>
      <w:lang w:eastAsia="en-US"/>
    </w:rPr>
  </w:style>
  <w:style w:type="character" w:styleId="FollowedHyperlink">
    <w:name w:val="FollowedHyperlink"/>
    <w:basedOn w:val="DefaultParagraphFont"/>
    <w:uiPriority w:val="99"/>
    <w:semiHidden/>
    <w:unhideWhenUsed/>
    <w:rsid w:val="00213D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endnotes.xml.rels><?xml version="1.0" encoding="UTF-8" standalone="yes"?>
<Relationships xmlns="http://schemas.openxmlformats.org/package/2006/relationships"><Relationship Id="rId13" Type="http://schemas.openxmlformats.org/officeDocument/2006/relationships/hyperlink" Target="https://www.mgsi.gov.rs/lat/dokumenti/zakon-o-posebnim-postupcima-radi-realizacije-projekata-izgradnje-i-rekonstrukcije" TargetMode="External"/><Relationship Id="rId18" Type="http://schemas.openxmlformats.org/officeDocument/2006/relationships/hyperlink" Target="https://www.reri.org.rs/en/increase-of-flotation-of-copper-mine-in-majdanpek-without-environmental-impact-assessment/" TargetMode="External"/><Relationship Id="rId26" Type="http://schemas.openxmlformats.org/officeDocument/2006/relationships/hyperlink" Target="https://www.ebrd.com/what-we-do/belt-and-road/overview.html" TargetMode="External"/><Relationship Id="rId39" Type="http://schemas.openxmlformats.org/officeDocument/2006/relationships/hyperlink" Target="https://doi.org/10.1016/j.envres.2017.10.013.(https://www.sciencedirect.com/science/article/pii/S0013935117313804)" TargetMode="External"/><Relationship Id="rId21" Type="http://schemas.openxmlformats.org/officeDocument/2006/relationships/hyperlink" Target="https://www.ekologija.gov.rs/obavestenja/zastita-prirode/obavestenje-o-postupku-pokretanja-zastite-u-nacionalnom-parku-kucaj-beljanica-0" TargetMode="External"/><Relationship Id="rId34" Type="http://schemas.openxmlformats.org/officeDocument/2006/relationships/hyperlink" Target="http://www.sepa.gov.rs/download/izv/Vazduh_2019.pdf" TargetMode="External"/><Relationship Id="rId42" Type="http://schemas.openxmlformats.org/officeDocument/2006/relationships/hyperlink" Target="https://www.cdc.gov/nceh/lead/news/cdc-updates-blood-lead-reference-value.html" TargetMode="External"/><Relationship Id="rId47" Type="http://schemas.openxmlformats.org/officeDocument/2006/relationships/hyperlink" Target="https://nova.rs/vesti/hronika/video-masovna-tuca-kineza-u-boru-gadjali-se-cime-su-stigli/" TargetMode="External"/><Relationship Id="rId50" Type="http://schemas.openxmlformats.org/officeDocument/2006/relationships/hyperlink" Target="https://istmedia.rs/uhapsen-kineski-radnik-koji-je-u-kampu-ubio-sunarodnika/" TargetMode="External"/><Relationship Id="rId55" Type="http://schemas.openxmlformats.org/officeDocument/2006/relationships/hyperlink" Target="https://voice.org.rs/vise-od-750-vijetnamaca-i-kineza-u-industrijskoj-zoni-zrenjanin-beznade-nevidljivih/" TargetMode="External"/><Relationship Id="rId63" Type="http://schemas.openxmlformats.org/officeDocument/2006/relationships/hyperlink" Target="https://www.reri.org.rs/en/based-on-reris-reports-zijin-was-fined-for-operating-without-the-necessary-approvals-and-permits/" TargetMode="External"/><Relationship Id="rId7" Type="http://schemas.openxmlformats.org/officeDocument/2006/relationships/hyperlink" Target="https://www.ujn.gov.rs/wp-content/uploads/2021/07/Public-Procurement-Law-OG-91_2019-PPO.pdf" TargetMode="External"/><Relationship Id="rId2" Type="http://schemas.openxmlformats.org/officeDocument/2006/relationships/hyperlink" Target="https://www.fian.org/" TargetMode="External"/><Relationship Id="rId16" Type="http://schemas.openxmlformats.org/officeDocument/2006/relationships/hyperlink" Target="https://www.reri.org.rs/en/zijin-copper-continues-illegal-construction-in-bor/" TargetMode="External"/><Relationship Id="rId29" Type="http://schemas.openxmlformats.org/officeDocument/2006/relationships/hyperlink" Target="https://mibor.rs/wp-content/uploads/2020/12/Kvalitet-vazduha-i-dokumenti-javne-politike-Bor.pdf" TargetMode="External"/><Relationship Id="rId11" Type="http://schemas.openxmlformats.org/officeDocument/2006/relationships/hyperlink" Target="https://www.mgsi.gov.rs/lat/dokumenti/zakon-o-posebnim-postupcima-radi-realizacije-projekata-izgradnje-i-rekonstrukcije" TargetMode="External"/><Relationship Id="rId24" Type="http://schemas.openxmlformats.org/officeDocument/2006/relationships/hyperlink" Target="https://bor.rs/wp-content/uploads/2021/07/KAP.pdf" TargetMode="External"/><Relationship Id="rId32" Type="http://schemas.openxmlformats.org/officeDocument/2006/relationships/hyperlink" Target="http://www.sepa.gov.rs/download/Vazduh_2021.pdf" TargetMode="External"/><Relationship Id="rId37" Type="http://schemas.openxmlformats.org/officeDocument/2006/relationships/hyperlink" Target="https://boom93.rs/info/drustvo/reka-pek-ekoloska-katastrofa-na-pomolu-video/" TargetMode="External"/><Relationship Id="rId40" Type="http://schemas.openxmlformats.org/officeDocument/2006/relationships/hyperlink" Target="https://www.ohchr.org/sites/default/files/2022-02/CleanAirSummary.pdf" TargetMode="External"/><Relationship Id="rId45" Type="http://schemas.openxmlformats.org/officeDocument/2006/relationships/hyperlink" Target="https://www.mgsi.gov.rs/cir/dokumenti/javni-uvid-u-nacrt-prostornog-plana-republike-srbije-od-2021-do-2035-godine-i-izveshtaj-o" TargetMode="External"/><Relationship Id="rId53" Type="http://schemas.openxmlformats.org/officeDocument/2006/relationships/hyperlink" Target="https://www.reri.org.rs/en/the-state-aid-granted-to-the-linglong-tire-is-not-in-accordance-with-the-law/" TargetMode="External"/><Relationship Id="rId58" Type="http://schemas.openxmlformats.org/officeDocument/2006/relationships/hyperlink" Target="https://pescanik.net/wp-content/uploads/2021/12/izjava-da-nece-pobeci.pdf" TargetMode="External"/><Relationship Id="rId5" Type="http://schemas.openxmlformats.org/officeDocument/2006/relationships/hyperlink" Target="https://mibor.rs/info/" TargetMode="External"/><Relationship Id="rId61" Type="http://schemas.openxmlformats.org/officeDocument/2006/relationships/hyperlink" Target="https://www.reri.org.rs/en/based-on-the-criminal-complaint-submitted-by-reri-zijin-copper-and-the-director-of-the-company-were-fined-one-million-dinars-for-the-pollution-of-the-river-mali-pek/" TargetMode="External"/><Relationship Id="rId19" Type="http://schemas.openxmlformats.org/officeDocument/2006/relationships/hyperlink" Target="https://www.reri.org.rs/wp-content/uploads/2020/07/CUI-BONO%E2%80%93-Studija-slu%C4%8Daja-izgradnje-fabrike-pneumatika-Linglong-Tire-u-Zrenjaninu.pdf" TargetMode="External"/><Relationship Id="rId14" Type="http://schemas.openxmlformats.org/officeDocument/2006/relationships/hyperlink" Target="https://www.mgsi.gov.rs/lat/dokumenti/zakon-o-posebnim-postupcima-radi-realizacije-projekata-izgradnje-i-rekonstrukcije" TargetMode="External"/><Relationship Id="rId22" Type="http://schemas.openxmlformats.org/officeDocument/2006/relationships/hyperlink" Target="https://rm.coe.int/pa09e-2022-updated-list-officially-nominated-candidate-emerald-sites/1680a93c85" TargetMode="External"/><Relationship Id="rId27" Type="http://schemas.openxmlformats.org/officeDocument/2006/relationships/hyperlink" Target="https://kolektiv.co.rs/ning-jizhe-svom-snagom-podrzavamo-projekat-zijin-mining-grupe-u-srbiji/" TargetMode="External"/><Relationship Id="rId30" Type="http://schemas.openxmlformats.org/officeDocument/2006/relationships/hyperlink" Target="http://www.sepa.gov.rs/download/Vazduh_2021.pdf" TargetMode="External"/><Relationship Id="rId35" Type="http://schemas.openxmlformats.org/officeDocument/2006/relationships/hyperlink" Target="http://www.sepa.gov.rs/download/izv/Vazduh_2020.pdf" TargetMode="External"/><Relationship Id="rId43" Type="http://schemas.openxmlformats.org/officeDocument/2006/relationships/hyperlink" Target="http://www.sepa.gov.rs/download/Izvestaj_2020.pdf" TargetMode="External"/><Relationship Id="rId48" Type="http://schemas.openxmlformats.org/officeDocument/2006/relationships/hyperlink" Target="https://nova.rs/vesti/hronika/video-masovna-tuca-kineza-sevale-stangle-i-nozevi-u-boru/" TargetMode="External"/><Relationship Id="rId56" Type="http://schemas.openxmlformats.org/officeDocument/2006/relationships/hyperlink" Target="https://www.a11initiative.org/wp-content/uploads/2021/12/Report_Ling-Long_ENG.pdf" TargetMode="External"/><Relationship Id="rId64" Type="http://schemas.openxmlformats.org/officeDocument/2006/relationships/hyperlink" Target="https://zamedia.rs/2022/12/06/pred-osnovnim-sudom-u-boru-odlozeno-sudenje-kompaniji-zidin-za-krivicno-delo-zagadenje-zivotne-sredine-video/?fbclid=IwAR0BRMTEQsFLll1ZIx1Z_M1ok2vVDM20Ng9HtbcTB_TFq9KlBCRGdvlIG2w" TargetMode="External"/><Relationship Id="rId8" Type="http://schemas.openxmlformats.org/officeDocument/2006/relationships/hyperlink" Target="https://www.ujn.gov.rs/wp-content/uploads/2021/07/Public-Procurement-Law-OG-91_2019-PPO.pdf" TargetMode="External"/><Relationship Id="rId51" Type="http://schemas.openxmlformats.org/officeDocument/2006/relationships/hyperlink" Target="https://n1info.rs/biznis/a472235-vucic-postavljanjem-kamena-temeljca-za-sandong-linglong-ispisuje-se-istorija/" TargetMode="External"/><Relationship Id="rId3" Type="http://schemas.openxmlformats.org/officeDocument/2006/relationships/hyperlink" Target="https://www.fian.org/" TargetMode="External"/><Relationship Id="rId12" Type="http://schemas.openxmlformats.org/officeDocument/2006/relationships/hyperlink" Target="https://www.mgsi.gov.rs/lat/dokumenti/zakon-o-posebnim-postupcima-radi-realizacije-projekata-izgradnje-i-rekonstrukcije" TargetMode="External"/><Relationship Id="rId17" Type="http://schemas.openxmlformats.org/officeDocument/2006/relationships/hyperlink" Target="https://www.reri.org.rs/en/increase-of-flotation-of-copper-mine-in-majdanpek-without-environmental-impact-assessment/" TargetMode="External"/><Relationship Id="rId25" Type="http://schemas.openxmlformats.org/officeDocument/2006/relationships/hyperlink" Target="http://tobor.rs/nesto-vise-o-boru/flora-i-fauna/" TargetMode="External"/><Relationship Id="rId33" Type="http://schemas.openxmlformats.org/officeDocument/2006/relationships/hyperlink" Target="http://www.sepa.gov.rs/download/izv/Vazduh_2020.pdf" TargetMode="External"/><Relationship Id="rId38" Type="http://schemas.openxmlformats.org/officeDocument/2006/relationships/hyperlink" Target="https://www.rts.rs/page/stories/sr/story/125/drustvo/4289240/reka-pek-zamucenje.html" TargetMode="External"/><Relationship Id="rId46" Type="http://schemas.openxmlformats.org/officeDocument/2006/relationships/hyperlink" Target="https://www.facebook.com/photo?fbid=928984114750020&amp;set=pcb.928984248083340" TargetMode="External"/><Relationship Id="rId59" Type="http://schemas.openxmlformats.org/officeDocument/2006/relationships/hyperlink" Target="https://www.slobodnaevropa.org/a/linglong-radnici/31564148.html" TargetMode="External"/><Relationship Id="rId20" Type="http://schemas.openxmlformats.org/officeDocument/2006/relationships/hyperlink" Target="https://www.reri.org.rs/wp-content/uploads/2021/06/case-study-on-the-construction-of-the-tire-factory-in-Zrenjanin-2.pdf" TargetMode="External"/><Relationship Id="rId41" Type="http://schemas.openxmlformats.org/officeDocument/2006/relationships/hyperlink" Target="https://www.epa.gov/sites/default/files/2021-04/documents/arsenic_april_2021.pdf" TargetMode="External"/><Relationship Id="rId54" Type="http://schemas.openxmlformats.org/officeDocument/2006/relationships/hyperlink" Target="https://www.reri.org.rs/en/police-surveillance-ban-on-media-presence-and-violation-of-citizens-right-to-participate-in-the-public-debate-on-the-environmental-impact-assessment-study-of-the-linglong-tire-factory/" TargetMode="External"/><Relationship Id="rId62" Type="http://schemas.openxmlformats.org/officeDocument/2006/relationships/hyperlink" Target="https://www.reri.org.rs/en/based-on-reris-reports-zijin-was-fined-for-operating-without-the-necessary-approvals-and-permits" TargetMode="External"/><Relationship Id="rId1" Type="http://schemas.openxmlformats.org/officeDocument/2006/relationships/hyperlink" Target="https://www.reri.org.rs/en/home/" TargetMode="External"/><Relationship Id="rId6" Type="http://schemas.openxmlformats.org/officeDocument/2006/relationships/hyperlink" Target="https://www.china-cee-investment.org/_files/ugd/72d38a_373928ea28c44c7f9c875ead7fc49c44.pdf" TargetMode="External"/><Relationship Id="rId15" Type="http://schemas.openxmlformats.org/officeDocument/2006/relationships/hyperlink" Target="https://www.mgsi.gov.rs/lat/dokumenti/zakon-o-posebnim-postupcima-radi-realizacije-projekata-izgradnje-i-rekonstrukcije" TargetMode="External"/><Relationship Id="rId23" Type="http://schemas.openxmlformats.org/officeDocument/2006/relationships/hyperlink" Target="https://www.zijinmining.com/upload/file/2022/06/20/771c971d76154257882f58ed03643c07.pdf" TargetMode="External"/><Relationship Id="rId28" Type="http://schemas.openxmlformats.org/officeDocument/2006/relationships/hyperlink" Target="https://publikacije.stat.gov.rs/G2022/Pdf/G20222055.pdf" TargetMode="External"/><Relationship Id="rId36" Type="http://schemas.openxmlformats.org/officeDocument/2006/relationships/hyperlink" Target="https://www.reri.org.rs/en/deadly-dust-deadlier-silence/" TargetMode="External"/><Relationship Id="rId49" Type="http://schemas.openxmlformats.org/officeDocument/2006/relationships/hyperlink" Target="https://istmedia.rs/video-zbog-masovne-tuce-proterano-osam-kineskih-radnika-firme-honda/" TargetMode="External"/><Relationship Id="rId57" Type="http://schemas.openxmlformats.org/officeDocument/2006/relationships/hyperlink" Target="https://pescanik.net/wp-content/uploads/2021/12/ugovor-o-radu.pdf" TargetMode="External"/><Relationship Id="rId10" Type="http://schemas.openxmlformats.org/officeDocument/2006/relationships/hyperlink" Target="https://justfinanceinternational.org/wp-content/uploads/2022/06/A-Legal-Memo-on-Chinese-investments-in-Serbia.pdf" TargetMode="External"/><Relationship Id="rId31" Type="http://schemas.openxmlformats.org/officeDocument/2006/relationships/hyperlink" Target="http://www.sepa.gov.rs/download/Vazduh_2021.pdf" TargetMode="External"/><Relationship Id="rId44" Type="http://schemas.openxmlformats.org/officeDocument/2006/relationships/hyperlink" Target="https://www.ekapija.com/en/news/2356163/chinese-company-becomes-owner-of-cukaru-peki-near-bor-zijin-mining-buys" TargetMode="External"/><Relationship Id="rId52" Type="http://schemas.openxmlformats.org/officeDocument/2006/relationships/hyperlink" Target="https://en.linglong.cn/about/index.html" TargetMode="External"/><Relationship Id="rId60" Type="http://schemas.openxmlformats.org/officeDocument/2006/relationships/hyperlink" Target="https://www.politika.rs/scc/clanak/522865/fabrika-gume-zrenjanin-izgradnja" TargetMode="External"/><Relationship Id="rId4" Type="http://schemas.openxmlformats.org/officeDocument/2006/relationships/hyperlink" Target="https://www.a11initiative.org/en/home/" TargetMode="External"/><Relationship Id="rId9" Type="http://schemas.openxmlformats.org/officeDocument/2006/relationships/hyperlink" Target="https://www.ujn.gov.rs/wp-content/uploads/2021/07/Public-Procurement-Law-OG-91_2019-PP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UR63yJhsFb9u1YDyxRdOwmdzhw==">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27C728-DE8F-4980-8043-D5D72FAF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5896</Words>
  <Characters>33612</Characters>
  <Application>Microsoft Office Word</Application>
  <DocSecurity>0</DocSecurity>
  <Lines>280</Lines>
  <Paragraphs>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Yifang Slot-Tang</dc:creator>
  <cp:lastModifiedBy>Celine Reynaud</cp:lastModifiedBy>
  <cp:revision>2</cp:revision>
  <dcterms:created xsi:type="dcterms:W3CDTF">2023-01-17T09:00:00Z</dcterms:created>
  <dcterms:modified xsi:type="dcterms:W3CDTF">2023-01-17T09:00:00Z</dcterms:modified>
</cp:coreProperties>
</file>