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FC2" w:rsidRPr="00F33CDB" w:rsidRDefault="00987498" w:rsidP="00776849">
      <w:pPr>
        <w:pStyle w:val="SingleTxtG"/>
        <w:spacing w:before="120" w:line="240" w:lineRule="auto"/>
        <w:jc w:val="center"/>
        <w:rPr>
          <w:rFonts w:ascii="Helvetica" w:hAnsi="Helvetica" w:cs="Helvetica"/>
          <w:b/>
          <w:sz w:val="22"/>
          <w:szCs w:val="21"/>
          <w:lang w:val="es-MX"/>
        </w:rPr>
      </w:pPr>
      <w:r w:rsidRPr="00F33CDB">
        <w:rPr>
          <w:noProof/>
          <w:lang w:val="fr-CH" w:eastAsia="fr-CH"/>
        </w:rPr>
        <w:drawing>
          <wp:anchor distT="0" distB="0" distL="114300" distR="114300" simplePos="0" relativeHeight="251660288" behindDoc="0" locked="0" layoutInCell="1" allowOverlap="1" wp14:anchorId="49754485" wp14:editId="32D26DEC">
            <wp:simplePos x="0" y="0"/>
            <wp:positionH relativeFrom="column">
              <wp:posOffset>3801745</wp:posOffset>
            </wp:positionH>
            <wp:positionV relativeFrom="paragraph">
              <wp:posOffset>-488315</wp:posOffset>
            </wp:positionV>
            <wp:extent cx="2118360" cy="744452"/>
            <wp:effectExtent l="0" t="0" r="0" b="0"/>
            <wp:wrapNone/>
            <wp:docPr id="2" name="Picture 2" descr="cid:b5d31bc0.bf24a14f.gif.ed85bd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d31bc0.bf24a14f.gif.ed85bdec"/>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118360" cy="744452"/>
                    </a:xfrm>
                    <a:prstGeom prst="rect">
                      <a:avLst/>
                    </a:prstGeom>
                    <a:noFill/>
                    <a:ln>
                      <a:noFill/>
                    </a:ln>
                  </pic:spPr>
                </pic:pic>
              </a:graphicData>
            </a:graphic>
          </wp:anchor>
        </w:drawing>
      </w:r>
      <w:r w:rsidRPr="00F33CDB">
        <w:rPr>
          <w:noProof/>
          <w:lang w:val="fr-CH" w:eastAsia="fr-CH"/>
        </w:rPr>
        <w:drawing>
          <wp:anchor distT="0" distB="0" distL="114300" distR="114300" simplePos="0" relativeHeight="251658240" behindDoc="0" locked="0" layoutInCell="1" allowOverlap="1" wp14:anchorId="4DCFB4C6" wp14:editId="3456F90E">
            <wp:simplePos x="0" y="0"/>
            <wp:positionH relativeFrom="column">
              <wp:posOffset>525145</wp:posOffset>
            </wp:positionH>
            <wp:positionV relativeFrom="paragraph">
              <wp:posOffset>-419735</wp:posOffset>
            </wp:positionV>
            <wp:extent cx="1268516" cy="723900"/>
            <wp:effectExtent l="0" t="0" r="8255" b="0"/>
            <wp:wrapNone/>
            <wp:docPr id="1" name="Picture 1" descr="Image result for PBI abriendo espacios para la p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BI abriendo espacios para la paz"/>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8516" cy="723900"/>
                    </a:xfrm>
                    <a:prstGeom prst="rect">
                      <a:avLst/>
                    </a:prstGeom>
                    <a:noFill/>
                    <a:ln>
                      <a:noFill/>
                    </a:ln>
                  </pic:spPr>
                </pic:pic>
              </a:graphicData>
            </a:graphic>
          </wp:anchor>
        </w:drawing>
      </w:r>
      <w:r w:rsidRPr="00F33CDB">
        <w:rPr>
          <w:noProof/>
          <w:lang w:val="fr-CH" w:eastAsia="fr-CH"/>
        </w:rPr>
        <w:drawing>
          <wp:anchor distT="0" distB="0" distL="114300" distR="114300" simplePos="0" relativeHeight="251661312" behindDoc="0" locked="0" layoutInCell="1" allowOverlap="1" wp14:anchorId="079D61DC" wp14:editId="3BBFEB3F">
            <wp:simplePos x="0" y="0"/>
            <wp:positionH relativeFrom="margin">
              <wp:posOffset>2125345</wp:posOffset>
            </wp:positionH>
            <wp:positionV relativeFrom="paragraph">
              <wp:posOffset>-617855</wp:posOffset>
            </wp:positionV>
            <wp:extent cx="1196340" cy="1196340"/>
            <wp:effectExtent l="0" t="0" r="3810" b="3810"/>
            <wp:wrapNone/>
            <wp:docPr id="4" name="Picture 4" descr="http://ih.constantcontact.com/fs049/1101602573112/img/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h.constantcontact.com/fs049/1101602573112/img/13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6340" cy="1196340"/>
                    </a:xfrm>
                    <a:prstGeom prst="rect">
                      <a:avLst/>
                    </a:prstGeom>
                    <a:noFill/>
                    <a:ln>
                      <a:noFill/>
                    </a:ln>
                  </pic:spPr>
                </pic:pic>
              </a:graphicData>
            </a:graphic>
          </wp:anchor>
        </w:drawing>
      </w:r>
    </w:p>
    <w:p w:rsidR="00957FC2" w:rsidRPr="00F33CDB" w:rsidRDefault="00957FC2" w:rsidP="00776849">
      <w:pPr>
        <w:pStyle w:val="SingleTxtG"/>
        <w:spacing w:before="120" w:line="240" w:lineRule="auto"/>
        <w:jc w:val="center"/>
        <w:rPr>
          <w:rFonts w:ascii="Helvetica" w:hAnsi="Helvetica" w:cs="Helvetica"/>
          <w:b/>
          <w:sz w:val="22"/>
          <w:szCs w:val="21"/>
          <w:lang w:val="es-MX"/>
        </w:rPr>
      </w:pPr>
    </w:p>
    <w:p w:rsidR="00987498" w:rsidRPr="00F33CDB" w:rsidRDefault="005C6CE9" w:rsidP="00776849">
      <w:pPr>
        <w:pStyle w:val="SingleTxtG"/>
        <w:spacing w:before="120" w:line="240" w:lineRule="auto"/>
        <w:jc w:val="center"/>
        <w:rPr>
          <w:rFonts w:ascii="Helvetica" w:hAnsi="Helvetica" w:cs="Helvetica"/>
          <w:b/>
          <w:sz w:val="22"/>
          <w:szCs w:val="21"/>
          <w:lang w:val="es-MX"/>
        </w:rPr>
      </w:pPr>
      <w:r w:rsidRPr="00F33CDB">
        <w:rPr>
          <w:noProof/>
          <w:lang w:val="fr-CH" w:eastAsia="fr-CH"/>
        </w:rPr>
        <w:drawing>
          <wp:anchor distT="0" distB="0" distL="114300" distR="114300" simplePos="0" relativeHeight="251662336" behindDoc="0" locked="0" layoutInCell="1" allowOverlap="1" wp14:anchorId="4CB09DD0" wp14:editId="2EA30ACE">
            <wp:simplePos x="0" y="0"/>
            <wp:positionH relativeFrom="column">
              <wp:posOffset>3184525</wp:posOffset>
            </wp:positionH>
            <wp:positionV relativeFrom="paragraph">
              <wp:posOffset>226695</wp:posOffset>
            </wp:positionV>
            <wp:extent cx="2468880" cy="536897"/>
            <wp:effectExtent l="0" t="0" r="0" b="0"/>
            <wp:wrapNone/>
            <wp:docPr id="5" name="Picture 5" descr="Image result for global initiative on 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lobal initiative on ESC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8880" cy="536897"/>
                    </a:xfrm>
                    <a:prstGeom prst="rect">
                      <a:avLst/>
                    </a:prstGeom>
                    <a:noFill/>
                    <a:ln>
                      <a:noFill/>
                    </a:ln>
                  </pic:spPr>
                </pic:pic>
              </a:graphicData>
            </a:graphic>
          </wp:anchor>
        </w:drawing>
      </w:r>
    </w:p>
    <w:p w:rsidR="00987498" w:rsidRPr="00F33CDB" w:rsidRDefault="00987498" w:rsidP="00776849">
      <w:pPr>
        <w:pStyle w:val="SingleTxtG"/>
        <w:spacing w:before="120" w:line="240" w:lineRule="auto"/>
        <w:jc w:val="center"/>
        <w:rPr>
          <w:rFonts w:ascii="Helvetica" w:hAnsi="Helvetica" w:cs="Helvetica"/>
          <w:b/>
          <w:sz w:val="22"/>
          <w:szCs w:val="21"/>
          <w:lang w:val="es-MX"/>
        </w:rPr>
      </w:pPr>
      <w:r w:rsidRPr="00F33CDB">
        <w:rPr>
          <w:rFonts w:ascii="Helvetica" w:hAnsi="Helvetica" w:cs="Helvetica"/>
          <w:b/>
          <w:noProof/>
          <w:sz w:val="22"/>
          <w:szCs w:val="21"/>
          <w:lang w:val="fr-CH" w:eastAsia="fr-CH"/>
        </w:rPr>
        <w:drawing>
          <wp:anchor distT="0" distB="0" distL="114300" distR="114300" simplePos="0" relativeHeight="251659264" behindDoc="0" locked="0" layoutInCell="1" allowOverlap="1" wp14:anchorId="3FE25D4C" wp14:editId="6A220BFE">
            <wp:simplePos x="0" y="0"/>
            <wp:positionH relativeFrom="margin">
              <wp:posOffset>112395</wp:posOffset>
            </wp:positionH>
            <wp:positionV relativeFrom="paragraph">
              <wp:posOffset>210820</wp:posOffset>
            </wp:positionV>
            <wp:extent cx="2682240" cy="275384"/>
            <wp:effectExtent l="0" t="0" r="3810" b="0"/>
            <wp:wrapNone/>
            <wp:docPr id="3" name="Picture 3" descr="T:\ISHR Space - Shared\Operations\Communications (n)\Design\Logos ISHR\ISHR logos from other folder\ISHR logos\ishr_logo_colour_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SHR Space - Shared\Operations\Communications (n)\Design\Logos ISHR\ISHR logos from other folder\ISHR logos\ishr_logo_colour_sp.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2240" cy="275384"/>
                    </a:xfrm>
                    <a:prstGeom prst="rect">
                      <a:avLst/>
                    </a:prstGeom>
                    <a:noFill/>
                    <a:ln>
                      <a:noFill/>
                    </a:ln>
                  </pic:spPr>
                </pic:pic>
              </a:graphicData>
            </a:graphic>
          </wp:anchor>
        </w:drawing>
      </w:r>
    </w:p>
    <w:p w:rsidR="00987498" w:rsidRPr="00F33CDB" w:rsidRDefault="00987498" w:rsidP="00776849">
      <w:pPr>
        <w:pStyle w:val="SingleTxtG"/>
        <w:spacing w:before="120" w:line="240" w:lineRule="auto"/>
        <w:jc w:val="center"/>
        <w:rPr>
          <w:rFonts w:ascii="Helvetica" w:hAnsi="Helvetica" w:cs="Helvetica"/>
          <w:b/>
          <w:sz w:val="22"/>
          <w:szCs w:val="21"/>
          <w:lang w:val="es-MX"/>
        </w:rPr>
      </w:pPr>
    </w:p>
    <w:p w:rsidR="00987498" w:rsidRPr="00F33CDB" w:rsidRDefault="00987498" w:rsidP="00776849">
      <w:pPr>
        <w:pStyle w:val="SingleTxtG"/>
        <w:spacing w:before="120" w:line="240" w:lineRule="auto"/>
        <w:jc w:val="center"/>
        <w:rPr>
          <w:rFonts w:ascii="Helvetica" w:hAnsi="Helvetica" w:cs="Helvetica"/>
          <w:b/>
          <w:sz w:val="22"/>
          <w:szCs w:val="21"/>
          <w:lang w:val="es-MX"/>
        </w:rPr>
      </w:pPr>
    </w:p>
    <w:p w:rsidR="005C6CE9" w:rsidRPr="00F33CDB" w:rsidRDefault="005C6CE9" w:rsidP="00776849">
      <w:pPr>
        <w:pStyle w:val="SingleTxtG"/>
        <w:spacing w:before="120" w:line="240" w:lineRule="auto"/>
        <w:jc w:val="center"/>
        <w:rPr>
          <w:rFonts w:ascii="Helvetica" w:hAnsi="Helvetica" w:cs="Helvetica"/>
          <w:b/>
          <w:sz w:val="22"/>
          <w:szCs w:val="21"/>
          <w:lang w:val="es-MX"/>
        </w:rPr>
      </w:pPr>
    </w:p>
    <w:p w:rsidR="004562ED" w:rsidRPr="00F33CDB" w:rsidRDefault="004562ED" w:rsidP="00776849">
      <w:pPr>
        <w:pStyle w:val="SingleTxtG"/>
        <w:spacing w:before="120" w:line="240" w:lineRule="auto"/>
        <w:jc w:val="center"/>
        <w:rPr>
          <w:rFonts w:ascii="Helvetica" w:hAnsi="Helvetica" w:cs="Helvetica"/>
          <w:b/>
          <w:sz w:val="22"/>
          <w:szCs w:val="21"/>
          <w:lang w:val="es-MX"/>
        </w:rPr>
      </w:pPr>
      <w:r w:rsidRPr="00F33CDB">
        <w:rPr>
          <w:rFonts w:ascii="Helvetica" w:hAnsi="Helvetica" w:cs="Helvetica"/>
          <w:b/>
          <w:sz w:val="22"/>
          <w:szCs w:val="21"/>
          <w:lang w:val="es-MX"/>
        </w:rPr>
        <w:t xml:space="preserve">Informe sombra en </w:t>
      </w:r>
      <w:r w:rsidR="00E87F97" w:rsidRPr="00F33CDB">
        <w:rPr>
          <w:rFonts w:ascii="Helvetica" w:hAnsi="Helvetica" w:cs="Helvetica"/>
          <w:b/>
          <w:sz w:val="22"/>
          <w:szCs w:val="21"/>
          <w:lang w:val="es-MX"/>
        </w:rPr>
        <w:t xml:space="preserve">relación con </w:t>
      </w:r>
      <w:r w:rsidRPr="00F33CDB">
        <w:rPr>
          <w:rFonts w:ascii="Helvetica" w:hAnsi="Helvetica" w:cs="Helvetica"/>
          <w:b/>
          <w:sz w:val="22"/>
          <w:szCs w:val="21"/>
          <w:lang w:val="es-MX"/>
        </w:rPr>
        <w:t>el examen de</w:t>
      </w:r>
      <w:r w:rsidR="00404238" w:rsidRPr="00F33CDB">
        <w:rPr>
          <w:rFonts w:ascii="Helvetica" w:hAnsi="Helvetica" w:cs="Helvetica"/>
          <w:b/>
          <w:sz w:val="22"/>
          <w:szCs w:val="21"/>
          <w:lang w:val="es-MX"/>
        </w:rPr>
        <w:t xml:space="preserve"> los quinto y sexto informes periódicos de</w:t>
      </w:r>
      <w:r w:rsidRPr="00F33CDB">
        <w:rPr>
          <w:rFonts w:ascii="Helvetica" w:hAnsi="Helvetica" w:cs="Helvetica"/>
          <w:b/>
          <w:sz w:val="22"/>
          <w:szCs w:val="21"/>
          <w:lang w:val="es-MX"/>
        </w:rPr>
        <w:t xml:space="preserve"> México por el Comité de los Derechos Económicos Sociales y Culturales</w:t>
      </w:r>
      <w:r w:rsidR="00290DA4" w:rsidRPr="00F33CDB">
        <w:rPr>
          <w:rFonts w:ascii="Helvetica" w:hAnsi="Helvetica" w:cs="Helvetica"/>
          <w:b/>
          <w:sz w:val="22"/>
          <w:szCs w:val="21"/>
          <w:lang w:val="es-MX"/>
        </w:rPr>
        <w:t xml:space="preserve"> de la ONU</w:t>
      </w:r>
    </w:p>
    <w:p w:rsidR="00B52B49" w:rsidRPr="00F33CDB" w:rsidRDefault="00B52B49" w:rsidP="00776849">
      <w:pPr>
        <w:pStyle w:val="SingleTxtG"/>
        <w:spacing w:before="120" w:line="240" w:lineRule="auto"/>
        <w:jc w:val="center"/>
        <w:rPr>
          <w:rFonts w:ascii="Helvetica" w:hAnsi="Helvetica" w:cs="Helvetica"/>
          <w:b/>
          <w:sz w:val="22"/>
          <w:szCs w:val="21"/>
          <w:lang w:val="es-MX"/>
        </w:rPr>
      </w:pPr>
      <w:r w:rsidRPr="00F33CDB">
        <w:rPr>
          <w:rFonts w:ascii="Helvetica" w:hAnsi="Helvetica" w:cs="Helvetica"/>
          <w:b/>
          <w:sz w:val="22"/>
          <w:szCs w:val="21"/>
          <w:lang w:val="es-MX"/>
        </w:rPr>
        <w:t>Agosto de 2017</w:t>
      </w:r>
    </w:p>
    <w:sdt>
      <w:sdtPr>
        <w:rPr>
          <w:rFonts w:asciiTheme="minorHAnsi" w:eastAsiaTheme="minorHAnsi" w:hAnsiTheme="minorHAnsi" w:cstheme="minorBidi"/>
          <w:color w:val="auto"/>
          <w:sz w:val="22"/>
          <w:szCs w:val="22"/>
          <w:lang w:val="es-MX"/>
        </w:rPr>
        <w:id w:val="-1715571455"/>
        <w:docPartObj>
          <w:docPartGallery w:val="Table of Contents"/>
          <w:docPartUnique/>
        </w:docPartObj>
      </w:sdtPr>
      <w:sdtEndPr>
        <w:rPr>
          <w:b/>
          <w:bCs/>
          <w:noProof/>
        </w:rPr>
      </w:sdtEndPr>
      <w:sdtContent>
        <w:p w:rsidR="00FF4DFD" w:rsidRPr="00F33CDB" w:rsidRDefault="00FF4DFD" w:rsidP="00776849">
          <w:pPr>
            <w:pStyle w:val="TOCHeading"/>
            <w:spacing w:before="120" w:after="120" w:line="240" w:lineRule="auto"/>
            <w:jc w:val="center"/>
            <w:rPr>
              <w:color w:val="C00000"/>
              <w:lang w:val="es-MX"/>
            </w:rPr>
          </w:pPr>
        </w:p>
        <w:p w:rsidR="008F1B25" w:rsidRDefault="00433873" w:rsidP="00776849">
          <w:pPr>
            <w:pStyle w:val="TOC1"/>
            <w:tabs>
              <w:tab w:val="left" w:pos="440"/>
              <w:tab w:val="right" w:leader="dot" w:pos="9062"/>
            </w:tabs>
            <w:spacing w:before="120" w:after="120" w:line="240" w:lineRule="auto"/>
            <w:rPr>
              <w:rFonts w:eastAsiaTheme="minorEastAsia"/>
              <w:noProof/>
              <w:lang w:eastAsia="fr-CH"/>
            </w:rPr>
          </w:pPr>
          <w:r w:rsidRPr="00F33CDB">
            <w:rPr>
              <w:lang w:val="es-MX"/>
            </w:rPr>
            <w:fldChar w:fldCharType="begin"/>
          </w:r>
          <w:r w:rsidR="00FF4DFD" w:rsidRPr="00F33CDB">
            <w:rPr>
              <w:lang w:val="es-MX"/>
            </w:rPr>
            <w:instrText xml:space="preserve"> TOC \o "1-3" \h \z \u </w:instrText>
          </w:r>
          <w:r w:rsidRPr="00F33CDB">
            <w:rPr>
              <w:lang w:val="es-MX"/>
            </w:rPr>
            <w:fldChar w:fldCharType="separate"/>
          </w:r>
          <w:hyperlink w:anchor="_Toc491851641" w:history="1">
            <w:r w:rsidR="008F1B25" w:rsidRPr="00C15A5D">
              <w:rPr>
                <w:rStyle w:val="Hyperlink"/>
                <w:noProof/>
                <w:lang w:val="es-MX"/>
              </w:rPr>
              <w:t>1.</w:t>
            </w:r>
            <w:r w:rsidR="008F1B25">
              <w:rPr>
                <w:rFonts w:eastAsiaTheme="minorEastAsia"/>
                <w:noProof/>
                <w:lang w:eastAsia="fr-CH"/>
              </w:rPr>
              <w:tab/>
            </w:r>
            <w:r w:rsidR="008F1B25" w:rsidRPr="00C15A5D">
              <w:rPr>
                <w:rStyle w:val="Hyperlink"/>
                <w:noProof/>
                <w:lang w:val="es-MX"/>
              </w:rPr>
              <w:t>Presentación</w:t>
            </w:r>
            <w:r w:rsidR="008F1B25">
              <w:rPr>
                <w:noProof/>
                <w:webHidden/>
              </w:rPr>
              <w:tab/>
            </w:r>
            <w:r>
              <w:rPr>
                <w:noProof/>
                <w:webHidden/>
              </w:rPr>
              <w:fldChar w:fldCharType="begin"/>
            </w:r>
            <w:r w:rsidR="008F1B25">
              <w:rPr>
                <w:noProof/>
                <w:webHidden/>
              </w:rPr>
              <w:instrText xml:space="preserve"> PAGEREF _Toc491851641 \h </w:instrText>
            </w:r>
            <w:r>
              <w:rPr>
                <w:noProof/>
                <w:webHidden/>
              </w:rPr>
            </w:r>
            <w:r>
              <w:rPr>
                <w:noProof/>
                <w:webHidden/>
              </w:rPr>
              <w:fldChar w:fldCharType="separate"/>
            </w:r>
            <w:r w:rsidR="00776849">
              <w:rPr>
                <w:noProof/>
                <w:webHidden/>
              </w:rPr>
              <w:t>2</w:t>
            </w:r>
            <w:r>
              <w:rPr>
                <w:noProof/>
                <w:webHidden/>
              </w:rPr>
              <w:fldChar w:fldCharType="end"/>
            </w:r>
          </w:hyperlink>
        </w:p>
        <w:p w:rsidR="008F1B25" w:rsidRDefault="00C956B7" w:rsidP="00776849">
          <w:pPr>
            <w:pStyle w:val="TOC1"/>
            <w:tabs>
              <w:tab w:val="left" w:pos="440"/>
              <w:tab w:val="right" w:leader="dot" w:pos="9062"/>
            </w:tabs>
            <w:spacing w:before="120" w:after="120" w:line="240" w:lineRule="auto"/>
            <w:rPr>
              <w:rFonts w:eastAsiaTheme="minorEastAsia"/>
              <w:noProof/>
              <w:lang w:eastAsia="fr-CH"/>
            </w:rPr>
          </w:pPr>
          <w:hyperlink w:anchor="_Toc491851642" w:history="1">
            <w:r w:rsidR="008F1B25" w:rsidRPr="00C15A5D">
              <w:rPr>
                <w:rStyle w:val="Hyperlink"/>
                <w:noProof/>
                <w:lang w:val="es-MX"/>
              </w:rPr>
              <w:t>2.</w:t>
            </w:r>
            <w:r w:rsidR="008F1B25">
              <w:rPr>
                <w:rFonts w:eastAsiaTheme="minorEastAsia"/>
                <w:noProof/>
                <w:lang w:eastAsia="fr-CH"/>
              </w:rPr>
              <w:tab/>
            </w:r>
            <w:r w:rsidR="008F1B25" w:rsidRPr="00C15A5D">
              <w:rPr>
                <w:rStyle w:val="Hyperlink"/>
                <w:noProof/>
                <w:lang w:val="es-MX"/>
              </w:rPr>
              <w:t>Pronunciamientos del Comité DESC sobre personas defensoras</w:t>
            </w:r>
            <w:r w:rsidR="008F1B25">
              <w:rPr>
                <w:noProof/>
                <w:webHidden/>
              </w:rPr>
              <w:tab/>
            </w:r>
            <w:r w:rsidR="00433873">
              <w:rPr>
                <w:noProof/>
                <w:webHidden/>
              </w:rPr>
              <w:fldChar w:fldCharType="begin"/>
            </w:r>
            <w:r w:rsidR="008F1B25">
              <w:rPr>
                <w:noProof/>
                <w:webHidden/>
              </w:rPr>
              <w:instrText xml:space="preserve"> PAGEREF _Toc491851642 \h </w:instrText>
            </w:r>
            <w:r w:rsidR="00433873">
              <w:rPr>
                <w:noProof/>
                <w:webHidden/>
              </w:rPr>
            </w:r>
            <w:r w:rsidR="00433873">
              <w:rPr>
                <w:noProof/>
                <w:webHidden/>
              </w:rPr>
              <w:fldChar w:fldCharType="separate"/>
            </w:r>
            <w:r w:rsidR="00776849">
              <w:rPr>
                <w:noProof/>
                <w:webHidden/>
              </w:rPr>
              <w:t>2</w:t>
            </w:r>
            <w:r w:rsidR="00433873">
              <w:rPr>
                <w:noProof/>
                <w:webHidden/>
              </w:rPr>
              <w:fldChar w:fldCharType="end"/>
            </w:r>
          </w:hyperlink>
        </w:p>
        <w:p w:rsidR="008F1B25" w:rsidRDefault="00C956B7" w:rsidP="00776849">
          <w:pPr>
            <w:pStyle w:val="TOC1"/>
            <w:tabs>
              <w:tab w:val="left" w:pos="440"/>
              <w:tab w:val="right" w:leader="dot" w:pos="9062"/>
            </w:tabs>
            <w:spacing w:before="120" w:after="120" w:line="240" w:lineRule="auto"/>
            <w:rPr>
              <w:rFonts w:eastAsiaTheme="minorEastAsia"/>
              <w:noProof/>
              <w:lang w:eastAsia="fr-CH"/>
            </w:rPr>
          </w:pPr>
          <w:hyperlink w:anchor="_Toc491851643" w:history="1">
            <w:r w:rsidR="008F1B25" w:rsidRPr="00C15A5D">
              <w:rPr>
                <w:rStyle w:val="Hyperlink"/>
                <w:noProof/>
                <w:lang w:val="es-MX"/>
              </w:rPr>
              <w:t>3.</w:t>
            </w:r>
            <w:r w:rsidR="008F1B25">
              <w:rPr>
                <w:rFonts w:eastAsiaTheme="minorEastAsia"/>
                <w:noProof/>
                <w:lang w:eastAsia="fr-CH"/>
              </w:rPr>
              <w:tab/>
            </w:r>
            <w:r w:rsidR="008F1B25" w:rsidRPr="00C15A5D">
              <w:rPr>
                <w:rStyle w:val="Hyperlink"/>
                <w:noProof/>
                <w:lang w:val="es-MX"/>
              </w:rPr>
              <w:t>Situación de las personas defensoras de los derechos ambientales en México</w:t>
            </w:r>
            <w:r w:rsidR="008F1B25">
              <w:rPr>
                <w:noProof/>
                <w:webHidden/>
              </w:rPr>
              <w:tab/>
            </w:r>
            <w:r w:rsidR="00433873">
              <w:rPr>
                <w:noProof/>
                <w:webHidden/>
              </w:rPr>
              <w:fldChar w:fldCharType="begin"/>
            </w:r>
            <w:r w:rsidR="008F1B25">
              <w:rPr>
                <w:noProof/>
                <w:webHidden/>
              </w:rPr>
              <w:instrText xml:space="preserve"> PAGEREF _Toc491851643 \h </w:instrText>
            </w:r>
            <w:r w:rsidR="00433873">
              <w:rPr>
                <w:noProof/>
                <w:webHidden/>
              </w:rPr>
            </w:r>
            <w:r w:rsidR="00433873">
              <w:rPr>
                <w:noProof/>
                <w:webHidden/>
              </w:rPr>
              <w:fldChar w:fldCharType="separate"/>
            </w:r>
            <w:r w:rsidR="00776849">
              <w:rPr>
                <w:noProof/>
                <w:webHidden/>
              </w:rPr>
              <w:t>3</w:t>
            </w:r>
            <w:r w:rsidR="00433873">
              <w:rPr>
                <w:noProof/>
                <w:webHidden/>
              </w:rPr>
              <w:fldChar w:fldCharType="end"/>
            </w:r>
          </w:hyperlink>
        </w:p>
        <w:p w:rsidR="008F1B25" w:rsidRDefault="00C956B7" w:rsidP="00776849">
          <w:pPr>
            <w:pStyle w:val="TOC1"/>
            <w:tabs>
              <w:tab w:val="left" w:pos="440"/>
              <w:tab w:val="right" w:leader="dot" w:pos="9062"/>
            </w:tabs>
            <w:spacing w:before="120" w:after="120" w:line="240" w:lineRule="auto"/>
            <w:rPr>
              <w:rFonts w:eastAsiaTheme="minorEastAsia"/>
              <w:noProof/>
              <w:lang w:eastAsia="fr-CH"/>
            </w:rPr>
          </w:pPr>
          <w:hyperlink w:anchor="_Toc491851644" w:history="1">
            <w:r w:rsidR="008F1B25" w:rsidRPr="00C15A5D">
              <w:rPr>
                <w:rStyle w:val="Hyperlink"/>
                <w:noProof/>
                <w:lang w:val="es-MX"/>
              </w:rPr>
              <w:t>4.</w:t>
            </w:r>
            <w:r w:rsidR="008F1B25">
              <w:rPr>
                <w:rFonts w:eastAsiaTheme="minorEastAsia"/>
                <w:noProof/>
                <w:lang w:eastAsia="fr-CH"/>
              </w:rPr>
              <w:tab/>
            </w:r>
            <w:r w:rsidR="008F1B25" w:rsidRPr="00C15A5D">
              <w:rPr>
                <w:rStyle w:val="Hyperlink"/>
                <w:noProof/>
                <w:lang w:val="es-MX"/>
              </w:rPr>
              <w:t>Mecanismo Federal de Protección a Personas defensoras de derechos humanos y periodistas</w:t>
            </w:r>
            <w:r w:rsidR="008F1B25">
              <w:rPr>
                <w:noProof/>
                <w:webHidden/>
              </w:rPr>
              <w:tab/>
            </w:r>
            <w:r w:rsidR="00433873">
              <w:rPr>
                <w:noProof/>
                <w:webHidden/>
              </w:rPr>
              <w:fldChar w:fldCharType="begin"/>
            </w:r>
            <w:r w:rsidR="008F1B25">
              <w:rPr>
                <w:noProof/>
                <w:webHidden/>
              </w:rPr>
              <w:instrText xml:space="preserve"> PAGEREF _Toc491851644 \h </w:instrText>
            </w:r>
            <w:r w:rsidR="00433873">
              <w:rPr>
                <w:noProof/>
                <w:webHidden/>
              </w:rPr>
            </w:r>
            <w:r w:rsidR="00433873">
              <w:rPr>
                <w:noProof/>
                <w:webHidden/>
              </w:rPr>
              <w:fldChar w:fldCharType="separate"/>
            </w:r>
            <w:r w:rsidR="00776849">
              <w:rPr>
                <w:noProof/>
                <w:webHidden/>
              </w:rPr>
              <w:t>4</w:t>
            </w:r>
            <w:r w:rsidR="00433873">
              <w:rPr>
                <w:noProof/>
                <w:webHidden/>
              </w:rPr>
              <w:fldChar w:fldCharType="end"/>
            </w:r>
          </w:hyperlink>
        </w:p>
        <w:p w:rsidR="008F1B25" w:rsidRDefault="00C956B7" w:rsidP="00776849">
          <w:pPr>
            <w:pStyle w:val="TOC1"/>
            <w:tabs>
              <w:tab w:val="left" w:pos="440"/>
              <w:tab w:val="right" w:leader="dot" w:pos="9062"/>
            </w:tabs>
            <w:spacing w:before="120" w:after="120" w:line="240" w:lineRule="auto"/>
            <w:rPr>
              <w:rFonts w:eastAsiaTheme="minorEastAsia"/>
              <w:noProof/>
              <w:lang w:eastAsia="fr-CH"/>
            </w:rPr>
          </w:pPr>
          <w:hyperlink w:anchor="_Toc491851645" w:history="1">
            <w:r w:rsidR="008F1B25" w:rsidRPr="00C15A5D">
              <w:rPr>
                <w:rStyle w:val="Hyperlink"/>
                <w:noProof/>
                <w:lang w:val="es-MX"/>
              </w:rPr>
              <w:t>5.</w:t>
            </w:r>
            <w:r w:rsidR="008F1B25">
              <w:rPr>
                <w:rFonts w:eastAsiaTheme="minorEastAsia"/>
                <w:noProof/>
                <w:lang w:eastAsia="fr-CH"/>
              </w:rPr>
              <w:tab/>
            </w:r>
            <w:r w:rsidR="008F1B25" w:rsidRPr="00C15A5D">
              <w:rPr>
                <w:rStyle w:val="Hyperlink"/>
                <w:noProof/>
                <w:lang w:val="es-MX"/>
              </w:rPr>
              <w:t>Amenazas y ataques en contra de personas defensoras de DESC</w:t>
            </w:r>
            <w:r w:rsidR="008F1B25">
              <w:rPr>
                <w:noProof/>
                <w:webHidden/>
              </w:rPr>
              <w:tab/>
            </w:r>
            <w:r w:rsidR="00433873">
              <w:rPr>
                <w:noProof/>
                <w:webHidden/>
              </w:rPr>
              <w:fldChar w:fldCharType="begin"/>
            </w:r>
            <w:r w:rsidR="008F1B25">
              <w:rPr>
                <w:noProof/>
                <w:webHidden/>
              </w:rPr>
              <w:instrText xml:space="preserve"> PAGEREF _Toc491851645 \h </w:instrText>
            </w:r>
            <w:r w:rsidR="00433873">
              <w:rPr>
                <w:noProof/>
                <w:webHidden/>
              </w:rPr>
            </w:r>
            <w:r w:rsidR="00433873">
              <w:rPr>
                <w:noProof/>
                <w:webHidden/>
              </w:rPr>
              <w:fldChar w:fldCharType="separate"/>
            </w:r>
            <w:r w:rsidR="00776849">
              <w:rPr>
                <w:noProof/>
                <w:webHidden/>
              </w:rPr>
              <w:t>5</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46" w:history="1">
            <w:r w:rsidR="008F1B25" w:rsidRPr="00C15A5D">
              <w:rPr>
                <w:rStyle w:val="Hyperlink"/>
                <w:i/>
                <w:noProof/>
                <w:lang w:val="es-MX"/>
              </w:rPr>
              <w:t>5.1.</w:t>
            </w:r>
            <w:r w:rsidR="008F1B25">
              <w:rPr>
                <w:rFonts w:eastAsiaTheme="minorEastAsia"/>
                <w:noProof/>
                <w:lang w:eastAsia="fr-CH"/>
              </w:rPr>
              <w:tab/>
            </w:r>
            <w:r w:rsidR="008F1B25" w:rsidRPr="00C15A5D">
              <w:rPr>
                <w:rStyle w:val="Hyperlink"/>
                <w:i/>
                <w:noProof/>
                <w:lang w:val="es-MX"/>
              </w:rPr>
              <w:t>Amenazas e intimidación en contra de Rodrigo Flores y Bettina Cruz</w:t>
            </w:r>
            <w:r w:rsidR="008F1B25">
              <w:rPr>
                <w:noProof/>
                <w:webHidden/>
              </w:rPr>
              <w:tab/>
            </w:r>
            <w:r w:rsidR="00433873">
              <w:rPr>
                <w:noProof/>
                <w:webHidden/>
              </w:rPr>
              <w:fldChar w:fldCharType="begin"/>
            </w:r>
            <w:r w:rsidR="008F1B25">
              <w:rPr>
                <w:noProof/>
                <w:webHidden/>
              </w:rPr>
              <w:instrText xml:space="preserve"> PAGEREF _Toc491851646 \h </w:instrText>
            </w:r>
            <w:r w:rsidR="00433873">
              <w:rPr>
                <w:noProof/>
                <w:webHidden/>
              </w:rPr>
            </w:r>
            <w:r w:rsidR="00433873">
              <w:rPr>
                <w:noProof/>
                <w:webHidden/>
              </w:rPr>
              <w:fldChar w:fldCharType="separate"/>
            </w:r>
            <w:r w:rsidR="00776849">
              <w:rPr>
                <w:noProof/>
                <w:webHidden/>
              </w:rPr>
              <w:t>5</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47" w:history="1">
            <w:r w:rsidR="008F1B25" w:rsidRPr="00C15A5D">
              <w:rPr>
                <w:rStyle w:val="Hyperlink"/>
                <w:i/>
                <w:noProof/>
                <w:lang w:val="es-MX"/>
              </w:rPr>
              <w:t>5.2.</w:t>
            </w:r>
            <w:r w:rsidR="008F1B25">
              <w:rPr>
                <w:rFonts w:eastAsiaTheme="minorEastAsia"/>
                <w:noProof/>
                <w:lang w:eastAsia="fr-CH"/>
              </w:rPr>
              <w:tab/>
            </w:r>
            <w:r w:rsidR="008F1B25" w:rsidRPr="00C15A5D">
              <w:rPr>
                <w:rStyle w:val="Hyperlink"/>
                <w:i/>
                <w:noProof/>
                <w:lang w:val="es-MX"/>
              </w:rPr>
              <w:t>Amenazas en contra de Teresa Castellanos Ruíz</w:t>
            </w:r>
            <w:r w:rsidR="008F1B25">
              <w:rPr>
                <w:noProof/>
                <w:webHidden/>
              </w:rPr>
              <w:tab/>
            </w:r>
            <w:r w:rsidR="00433873">
              <w:rPr>
                <w:noProof/>
                <w:webHidden/>
              </w:rPr>
              <w:fldChar w:fldCharType="begin"/>
            </w:r>
            <w:r w:rsidR="008F1B25">
              <w:rPr>
                <w:noProof/>
                <w:webHidden/>
              </w:rPr>
              <w:instrText xml:space="preserve"> PAGEREF _Toc491851647 \h </w:instrText>
            </w:r>
            <w:r w:rsidR="00433873">
              <w:rPr>
                <w:noProof/>
                <w:webHidden/>
              </w:rPr>
            </w:r>
            <w:r w:rsidR="00433873">
              <w:rPr>
                <w:noProof/>
                <w:webHidden/>
              </w:rPr>
              <w:fldChar w:fldCharType="separate"/>
            </w:r>
            <w:r w:rsidR="00776849">
              <w:rPr>
                <w:noProof/>
                <w:webHidden/>
              </w:rPr>
              <w:t>6</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48" w:history="1">
            <w:r w:rsidR="008F1B25" w:rsidRPr="00C15A5D">
              <w:rPr>
                <w:rStyle w:val="Hyperlink"/>
                <w:i/>
                <w:noProof/>
                <w:lang w:val="es-MX"/>
              </w:rPr>
              <w:t>5.3.</w:t>
            </w:r>
            <w:r w:rsidR="008F1B25">
              <w:rPr>
                <w:rFonts w:eastAsiaTheme="minorEastAsia"/>
                <w:noProof/>
                <w:lang w:eastAsia="fr-CH"/>
              </w:rPr>
              <w:tab/>
            </w:r>
            <w:r w:rsidR="008F1B25" w:rsidRPr="00C15A5D">
              <w:rPr>
                <w:rStyle w:val="Hyperlink"/>
                <w:i/>
                <w:noProof/>
                <w:lang w:val="es-MX"/>
              </w:rPr>
              <w:t>Asesinato de José Alberto Toledo Villalobos</w:t>
            </w:r>
            <w:r w:rsidR="008F1B25">
              <w:rPr>
                <w:noProof/>
                <w:webHidden/>
              </w:rPr>
              <w:tab/>
            </w:r>
            <w:r w:rsidR="00433873">
              <w:rPr>
                <w:noProof/>
                <w:webHidden/>
              </w:rPr>
              <w:fldChar w:fldCharType="begin"/>
            </w:r>
            <w:r w:rsidR="008F1B25">
              <w:rPr>
                <w:noProof/>
                <w:webHidden/>
              </w:rPr>
              <w:instrText xml:space="preserve"> PAGEREF _Toc491851648 \h </w:instrText>
            </w:r>
            <w:r w:rsidR="00433873">
              <w:rPr>
                <w:noProof/>
                <w:webHidden/>
              </w:rPr>
            </w:r>
            <w:r w:rsidR="00433873">
              <w:rPr>
                <w:noProof/>
                <w:webHidden/>
              </w:rPr>
              <w:fldChar w:fldCharType="separate"/>
            </w:r>
            <w:r w:rsidR="00776849">
              <w:rPr>
                <w:noProof/>
                <w:webHidden/>
              </w:rPr>
              <w:t>6</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49" w:history="1">
            <w:r w:rsidR="008F1B25" w:rsidRPr="00C15A5D">
              <w:rPr>
                <w:rStyle w:val="Hyperlink"/>
                <w:i/>
                <w:noProof/>
                <w:lang w:val="es-MX"/>
              </w:rPr>
              <w:t>5.4.</w:t>
            </w:r>
            <w:r w:rsidR="008F1B25">
              <w:rPr>
                <w:rFonts w:eastAsiaTheme="minorEastAsia"/>
                <w:noProof/>
                <w:lang w:eastAsia="fr-CH"/>
              </w:rPr>
              <w:tab/>
            </w:r>
            <w:r w:rsidR="008F1B25" w:rsidRPr="00C15A5D">
              <w:rPr>
                <w:rStyle w:val="Hyperlink"/>
                <w:i/>
                <w:noProof/>
                <w:lang w:val="es-MX"/>
              </w:rPr>
              <w:t>El caso de la Organización Familia Pasta de Conchos (OFPC)</w:t>
            </w:r>
            <w:r w:rsidR="008F1B25">
              <w:rPr>
                <w:noProof/>
                <w:webHidden/>
              </w:rPr>
              <w:tab/>
            </w:r>
            <w:r w:rsidR="00433873">
              <w:rPr>
                <w:noProof/>
                <w:webHidden/>
              </w:rPr>
              <w:fldChar w:fldCharType="begin"/>
            </w:r>
            <w:r w:rsidR="008F1B25">
              <w:rPr>
                <w:noProof/>
                <w:webHidden/>
              </w:rPr>
              <w:instrText xml:space="preserve"> PAGEREF _Toc491851649 \h </w:instrText>
            </w:r>
            <w:r w:rsidR="00433873">
              <w:rPr>
                <w:noProof/>
                <w:webHidden/>
              </w:rPr>
            </w:r>
            <w:r w:rsidR="00433873">
              <w:rPr>
                <w:noProof/>
                <w:webHidden/>
              </w:rPr>
              <w:fldChar w:fldCharType="separate"/>
            </w:r>
            <w:r w:rsidR="00776849">
              <w:rPr>
                <w:noProof/>
                <w:webHidden/>
              </w:rPr>
              <w:t>7</w:t>
            </w:r>
            <w:r w:rsidR="00433873">
              <w:rPr>
                <w:noProof/>
                <w:webHidden/>
              </w:rPr>
              <w:fldChar w:fldCharType="end"/>
            </w:r>
          </w:hyperlink>
        </w:p>
        <w:p w:rsidR="008F1B25" w:rsidRDefault="00C956B7" w:rsidP="00776849">
          <w:pPr>
            <w:pStyle w:val="TOC1"/>
            <w:tabs>
              <w:tab w:val="left" w:pos="440"/>
              <w:tab w:val="right" w:leader="dot" w:pos="9062"/>
            </w:tabs>
            <w:spacing w:before="120" w:after="120" w:line="240" w:lineRule="auto"/>
            <w:rPr>
              <w:rFonts w:eastAsiaTheme="minorEastAsia"/>
              <w:noProof/>
              <w:lang w:eastAsia="fr-CH"/>
            </w:rPr>
          </w:pPr>
          <w:hyperlink w:anchor="_Toc491851650" w:history="1">
            <w:r w:rsidR="008F1B25" w:rsidRPr="00C15A5D">
              <w:rPr>
                <w:rStyle w:val="Hyperlink"/>
                <w:noProof/>
                <w:lang w:val="es-MX"/>
              </w:rPr>
              <w:t>6.</w:t>
            </w:r>
            <w:r w:rsidR="008F1B25">
              <w:rPr>
                <w:rFonts w:eastAsiaTheme="minorEastAsia"/>
                <w:noProof/>
                <w:lang w:eastAsia="fr-CH"/>
              </w:rPr>
              <w:tab/>
            </w:r>
            <w:r w:rsidR="008F1B25" w:rsidRPr="00C15A5D">
              <w:rPr>
                <w:rStyle w:val="Hyperlink"/>
                <w:noProof/>
                <w:lang w:val="es-MX"/>
              </w:rPr>
              <w:t>Alertas tempranas a favor de personas defensoras de DESC</w:t>
            </w:r>
            <w:r w:rsidR="008F1B25">
              <w:rPr>
                <w:noProof/>
                <w:webHidden/>
              </w:rPr>
              <w:tab/>
            </w:r>
            <w:r w:rsidR="00433873">
              <w:rPr>
                <w:noProof/>
                <w:webHidden/>
              </w:rPr>
              <w:fldChar w:fldCharType="begin"/>
            </w:r>
            <w:r w:rsidR="008F1B25">
              <w:rPr>
                <w:noProof/>
                <w:webHidden/>
              </w:rPr>
              <w:instrText xml:space="preserve"> PAGEREF _Toc491851650 \h </w:instrText>
            </w:r>
            <w:r w:rsidR="00433873">
              <w:rPr>
                <w:noProof/>
                <w:webHidden/>
              </w:rPr>
            </w:r>
            <w:r w:rsidR="00433873">
              <w:rPr>
                <w:noProof/>
                <w:webHidden/>
              </w:rPr>
              <w:fldChar w:fldCharType="separate"/>
            </w:r>
            <w:r w:rsidR="00776849">
              <w:rPr>
                <w:noProof/>
                <w:webHidden/>
              </w:rPr>
              <w:t>8</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51" w:history="1">
            <w:r w:rsidR="008F1B25" w:rsidRPr="00C15A5D">
              <w:rPr>
                <w:rStyle w:val="Hyperlink"/>
                <w:i/>
                <w:noProof/>
                <w:lang w:val="es-MX"/>
              </w:rPr>
              <w:t>6.1.</w:t>
            </w:r>
            <w:r w:rsidR="008F1B25">
              <w:rPr>
                <w:rFonts w:eastAsiaTheme="minorEastAsia"/>
                <w:noProof/>
                <w:lang w:eastAsia="fr-CH"/>
              </w:rPr>
              <w:tab/>
            </w:r>
            <w:r w:rsidR="008F1B25" w:rsidRPr="00C15A5D">
              <w:rPr>
                <w:rStyle w:val="Hyperlink"/>
                <w:i/>
                <w:noProof/>
                <w:lang w:val="es-MX"/>
              </w:rPr>
              <w:t>Chihuahua</w:t>
            </w:r>
            <w:r w:rsidR="008F1B25">
              <w:rPr>
                <w:noProof/>
                <w:webHidden/>
              </w:rPr>
              <w:tab/>
            </w:r>
            <w:r w:rsidR="00433873">
              <w:rPr>
                <w:noProof/>
                <w:webHidden/>
              </w:rPr>
              <w:fldChar w:fldCharType="begin"/>
            </w:r>
            <w:r w:rsidR="008F1B25">
              <w:rPr>
                <w:noProof/>
                <w:webHidden/>
              </w:rPr>
              <w:instrText xml:space="preserve"> PAGEREF _Toc491851651 \h </w:instrText>
            </w:r>
            <w:r w:rsidR="00433873">
              <w:rPr>
                <w:noProof/>
                <w:webHidden/>
              </w:rPr>
            </w:r>
            <w:r w:rsidR="00433873">
              <w:rPr>
                <w:noProof/>
                <w:webHidden/>
              </w:rPr>
              <w:fldChar w:fldCharType="separate"/>
            </w:r>
            <w:r w:rsidR="00776849">
              <w:rPr>
                <w:noProof/>
                <w:webHidden/>
              </w:rPr>
              <w:t>8</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52" w:history="1">
            <w:r w:rsidR="008F1B25" w:rsidRPr="00C15A5D">
              <w:rPr>
                <w:rStyle w:val="Hyperlink"/>
                <w:i/>
                <w:noProof/>
                <w:lang w:val="es-MX"/>
              </w:rPr>
              <w:t>6.2.</w:t>
            </w:r>
            <w:r w:rsidR="008F1B25">
              <w:rPr>
                <w:rFonts w:eastAsiaTheme="minorEastAsia"/>
                <w:noProof/>
                <w:lang w:eastAsia="fr-CH"/>
              </w:rPr>
              <w:tab/>
            </w:r>
            <w:r w:rsidR="008F1B25" w:rsidRPr="00C15A5D">
              <w:rPr>
                <w:rStyle w:val="Hyperlink"/>
                <w:i/>
                <w:noProof/>
                <w:lang w:val="es-MX"/>
              </w:rPr>
              <w:t>Oaxaca</w:t>
            </w:r>
            <w:r w:rsidR="008F1B25">
              <w:rPr>
                <w:noProof/>
                <w:webHidden/>
              </w:rPr>
              <w:tab/>
            </w:r>
            <w:r w:rsidR="00433873">
              <w:rPr>
                <w:noProof/>
                <w:webHidden/>
              </w:rPr>
              <w:fldChar w:fldCharType="begin"/>
            </w:r>
            <w:r w:rsidR="008F1B25">
              <w:rPr>
                <w:noProof/>
                <w:webHidden/>
              </w:rPr>
              <w:instrText xml:space="preserve"> PAGEREF _Toc491851652 \h </w:instrText>
            </w:r>
            <w:r w:rsidR="00433873">
              <w:rPr>
                <w:noProof/>
                <w:webHidden/>
              </w:rPr>
            </w:r>
            <w:r w:rsidR="00433873">
              <w:rPr>
                <w:noProof/>
                <w:webHidden/>
              </w:rPr>
              <w:fldChar w:fldCharType="separate"/>
            </w:r>
            <w:r w:rsidR="00776849">
              <w:rPr>
                <w:noProof/>
                <w:webHidden/>
              </w:rPr>
              <w:t>10</w:t>
            </w:r>
            <w:r w:rsidR="00433873">
              <w:rPr>
                <w:noProof/>
                <w:webHidden/>
              </w:rPr>
              <w:fldChar w:fldCharType="end"/>
            </w:r>
          </w:hyperlink>
        </w:p>
        <w:p w:rsidR="008F1B25" w:rsidRDefault="00C956B7" w:rsidP="00776849">
          <w:pPr>
            <w:pStyle w:val="TOC1"/>
            <w:tabs>
              <w:tab w:val="left" w:pos="440"/>
              <w:tab w:val="right" w:leader="dot" w:pos="9062"/>
            </w:tabs>
            <w:spacing w:before="120" w:after="120" w:line="240" w:lineRule="auto"/>
            <w:rPr>
              <w:rFonts w:eastAsiaTheme="minorEastAsia"/>
              <w:noProof/>
              <w:lang w:eastAsia="fr-CH"/>
            </w:rPr>
          </w:pPr>
          <w:hyperlink w:anchor="_Toc491851653" w:history="1">
            <w:r w:rsidR="008F1B25" w:rsidRPr="00C15A5D">
              <w:rPr>
                <w:rStyle w:val="Hyperlink"/>
                <w:noProof/>
                <w:lang w:val="es-MX"/>
              </w:rPr>
              <w:t>7.</w:t>
            </w:r>
            <w:r w:rsidR="008F1B25">
              <w:rPr>
                <w:rFonts w:eastAsiaTheme="minorEastAsia"/>
                <w:noProof/>
                <w:lang w:eastAsia="fr-CH"/>
              </w:rPr>
              <w:tab/>
            </w:r>
            <w:r w:rsidR="008F1B25" w:rsidRPr="00C15A5D">
              <w:rPr>
                <w:rStyle w:val="Hyperlink"/>
                <w:noProof/>
                <w:lang w:val="es-MX"/>
              </w:rPr>
              <w:t>Pronunciamientos de órganos de tratado en relación con personas defensoras</w:t>
            </w:r>
            <w:r w:rsidR="008F1B25">
              <w:rPr>
                <w:noProof/>
                <w:webHidden/>
              </w:rPr>
              <w:tab/>
            </w:r>
            <w:r w:rsidR="00433873">
              <w:rPr>
                <w:noProof/>
                <w:webHidden/>
              </w:rPr>
              <w:fldChar w:fldCharType="begin"/>
            </w:r>
            <w:r w:rsidR="008F1B25">
              <w:rPr>
                <w:noProof/>
                <w:webHidden/>
              </w:rPr>
              <w:instrText xml:space="preserve"> PAGEREF _Toc491851653 \h </w:instrText>
            </w:r>
            <w:r w:rsidR="00433873">
              <w:rPr>
                <w:noProof/>
                <w:webHidden/>
              </w:rPr>
            </w:r>
            <w:r w:rsidR="00433873">
              <w:rPr>
                <w:noProof/>
                <w:webHidden/>
              </w:rPr>
              <w:fldChar w:fldCharType="separate"/>
            </w:r>
            <w:r w:rsidR="00776849">
              <w:rPr>
                <w:noProof/>
                <w:webHidden/>
              </w:rPr>
              <w:t>11</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54" w:history="1">
            <w:r w:rsidR="008F1B25" w:rsidRPr="00C15A5D">
              <w:rPr>
                <w:rStyle w:val="Hyperlink"/>
                <w:i/>
                <w:noProof/>
                <w:lang w:val="es-MX"/>
              </w:rPr>
              <w:t>7.1.</w:t>
            </w:r>
            <w:r w:rsidR="008F1B25">
              <w:rPr>
                <w:rFonts w:eastAsiaTheme="minorEastAsia"/>
                <w:noProof/>
                <w:lang w:eastAsia="fr-CH"/>
              </w:rPr>
              <w:tab/>
            </w:r>
            <w:r w:rsidR="008F1B25" w:rsidRPr="00C15A5D">
              <w:rPr>
                <w:rStyle w:val="Hyperlink"/>
                <w:i/>
                <w:noProof/>
                <w:lang w:val="es-MX"/>
              </w:rPr>
              <w:t>Comité contra la desaparición forzada</w:t>
            </w:r>
            <w:r w:rsidR="008F1B25">
              <w:rPr>
                <w:noProof/>
                <w:webHidden/>
              </w:rPr>
              <w:tab/>
            </w:r>
            <w:r w:rsidR="00433873">
              <w:rPr>
                <w:noProof/>
                <w:webHidden/>
              </w:rPr>
              <w:fldChar w:fldCharType="begin"/>
            </w:r>
            <w:r w:rsidR="008F1B25">
              <w:rPr>
                <w:noProof/>
                <w:webHidden/>
              </w:rPr>
              <w:instrText xml:space="preserve"> PAGEREF _Toc491851654 \h </w:instrText>
            </w:r>
            <w:r w:rsidR="00433873">
              <w:rPr>
                <w:noProof/>
                <w:webHidden/>
              </w:rPr>
            </w:r>
            <w:r w:rsidR="00433873">
              <w:rPr>
                <w:noProof/>
                <w:webHidden/>
              </w:rPr>
              <w:fldChar w:fldCharType="separate"/>
            </w:r>
            <w:r w:rsidR="00776849">
              <w:rPr>
                <w:noProof/>
                <w:webHidden/>
              </w:rPr>
              <w:t>11</w:t>
            </w:r>
            <w:r w:rsidR="00433873">
              <w:rPr>
                <w:noProof/>
                <w:webHidden/>
              </w:rPr>
              <w:fldChar w:fldCharType="end"/>
            </w:r>
          </w:hyperlink>
        </w:p>
        <w:p w:rsidR="008F1B25" w:rsidRDefault="00C956B7" w:rsidP="00776849">
          <w:pPr>
            <w:pStyle w:val="TOC1"/>
            <w:tabs>
              <w:tab w:val="left" w:pos="440"/>
              <w:tab w:val="right" w:leader="dot" w:pos="9062"/>
            </w:tabs>
            <w:spacing w:before="120" w:after="120" w:line="240" w:lineRule="auto"/>
            <w:rPr>
              <w:rFonts w:eastAsiaTheme="minorEastAsia"/>
              <w:noProof/>
              <w:lang w:eastAsia="fr-CH"/>
            </w:rPr>
          </w:pPr>
          <w:hyperlink w:anchor="_Toc491851655" w:history="1">
            <w:r w:rsidR="008F1B25" w:rsidRPr="00C15A5D">
              <w:rPr>
                <w:rStyle w:val="Hyperlink"/>
                <w:noProof/>
                <w:lang w:val="es-MX"/>
              </w:rPr>
              <w:t>8.</w:t>
            </w:r>
            <w:r w:rsidR="008F1B25">
              <w:rPr>
                <w:rFonts w:eastAsiaTheme="minorEastAsia"/>
                <w:noProof/>
                <w:lang w:eastAsia="fr-CH"/>
              </w:rPr>
              <w:tab/>
            </w:r>
            <w:r w:rsidR="008F1B25" w:rsidRPr="00C15A5D">
              <w:rPr>
                <w:rStyle w:val="Hyperlink"/>
                <w:noProof/>
                <w:lang w:val="es-MX"/>
              </w:rPr>
              <w:t>Pronunciamientos de procedimientos especiales en relación con personas defensoras</w:t>
            </w:r>
            <w:r w:rsidR="008F1B25">
              <w:rPr>
                <w:noProof/>
                <w:webHidden/>
              </w:rPr>
              <w:tab/>
            </w:r>
            <w:r w:rsidR="00433873">
              <w:rPr>
                <w:noProof/>
                <w:webHidden/>
              </w:rPr>
              <w:fldChar w:fldCharType="begin"/>
            </w:r>
            <w:r w:rsidR="008F1B25">
              <w:rPr>
                <w:noProof/>
                <w:webHidden/>
              </w:rPr>
              <w:instrText xml:space="preserve"> PAGEREF _Toc491851655 \h </w:instrText>
            </w:r>
            <w:r w:rsidR="00433873">
              <w:rPr>
                <w:noProof/>
                <w:webHidden/>
              </w:rPr>
            </w:r>
            <w:r w:rsidR="00433873">
              <w:rPr>
                <w:noProof/>
                <w:webHidden/>
              </w:rPr>
              <w:fldChar w:fldCharType="separate"/>
            </w:r>
            <w:r w:rsidR="00776849">
              <w:rPr>
                <w:noProof/>
                <w:webHidden/>
              </w:rPr>
              <w:t>11</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56" w:history="1">
            <w:r w:rsidR="008F1B25" w:rsidRPr="00C15A5D">
              <w:rPr>
                <w:rStyle w:val="Hyperlink"/>
                <w:i/>
                <w:noProof/>
                <w:lang w:val="es-MX"/>
              </w:rPr>
              <w:t>8.1.</w:t>
            </w:r>
            <w:r w:rsidR="008F1B25">
              <w:rPr>
                <w:rFonts w:eastAsiaTheme="minorEastAsia"/>
                <w:noProof/>
                <w:lang w:eastAsia="fr-CH"/>
              </w:rPr>
              <w:tab/>
            </w:r>
            <w:r w:rsidR="008F1B25" w:rsidRPr="00C15A5D">
              <w:rPr>
                <w:rStyle w:val="Hyperlink"/>
                <w:i/>
                <w:noProof/>
                <w:lang w:val="es-MX"/>
              </w:rPr>
              <w:t>Relator Especial sobre la situación de las personas defensoras de derechos humanos</w:t>
            </w:r>
            <w:r w:rsidR="008F1B25">
              <w:rPr>
                <w:noProof/>
                <w:webHidden/>
              </w:rPr>
              <w:tab/>
            </w:r>
            <w:r w:rsidR="00433873">
              <w:rPr>
                <w:noProof/>
                <w:webHidden/>
              </w:rPr>
              <w:fldChar w:fldCharType="begin"/>
            </w:r>
            <w:r w:rsidR="008F1B25">
              <w:rPr>
                <w:noProof/>
                <w:webHidden/>
              </w:rPr>
              <w:instrText xml:space="preserve"> PAGEREF _Toc491851656 \h </w:instrText>
            </w:r>
            <w:r w:rsidR="00433873">
              <w:rPr>
                <w:noProof/>
                <w:webHidden/>
              </w:rPr>
            </w:r>
            <w:r w:rsidR="00433873">
              <w:rPr>
                <w:noProof/>
                <w:webHidden/>
              </w:rPr>
              <w:fldChar w:fldCharType="separate"/>
            </w:r>
            <w:r w:rsidR="00776849">
              <w:rPr>
                <w:noProof/>
                <w:webHidden/>
              </w:rPr>
              <w:t>12</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57" w:history="1">
            <w:r w:rsidR="008F1B25" w:rsidRPr="00C15A5D">
              <w:rPr>
                <w:rStyle w:val="Hyperlink"/>
                <w:i/>
                <w:noProof/>
                <w:lang w:val="es-MX"/>
              </w:rPr>
              <w:t>8.2.</w:t>
            </w:r>
            <w:r w:rsidR="008F1B25">
              <w:rPr>
                <w:rFonts w:eastAsiaTheme="minorEastAsia"/>
                <w:noProof/>
                <w:lang w:eastAsia="fr-CH"/>
              </w:rPr>
              <w:tab/>
            </w:r>
            <w:r w:rsidR="008F1B25" w:rsidRPr="00C15A5D">
              <w:rPr>
                <w:rStyle w:val="Hyperlink"/>
                <w:i/>
                <w:noProof/>
                <w:lang w:val="es-MX"/>
              </w:rPr>
              <w:t>Grupo de Trabajo sobre detenciones arbitrarias</w:t>
            </w:r>
            <w:r w:rsidR="008F1B25">
              <w:rPr>
                <w:noProof/>
                <w:webHidden/>
              </w:rPr>
              <w:tab/>
            </w:r>
            <w:r w:rsidR="00433873">
              <w:rPr>
                <w:noProof/>
                <w:webHidden/>
              </w:rPr>
              <w:fldChar w:fldCharType="begin"/>
            </w:r>
            <w:r w:rsidR="008F1B25">
              <w:rPr>
                <w:noProof/>
                <w:webHidden/>
              </w:rPr>
              <w:instrText xml:space="preserve"> PAGEREF _Toc491851657 \h </w:instrText>
            </w:r>
            <w:r w:rsidR="00433873">
              <w:rPr>
                <w:noProof/>
                <w:webHidden/>
              </w:rPr>
            </w:r>
            <w:r w:rsidR="00433873">
              <w:rPr>
                <w:noProof/>
                <w:webHidden/>
              </w:rPr>
              <w:fldChar w:fldCharType="separate"/>
            </w:r>
            <w:r w:rsidR="00776849">
              <w:rPr>
                <w:noProof/>
                <w:webHidden/>
              </w:rPr>
              <w:t>12</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58" w:history="1">
            <w:r w:rsidR="008F1B25" w:rsidRPr="00C15A5D">
              <w:rPr>
                <w:rStyle w:val="Hyperlink"/>
                <w:i/>
                <w:noProof/>
                <w:lang w:val="es-MX"/>
              </w:rPr>
              <w:t>8.3.</w:t>
            </w:r>
            <w:r w:rsidR="008F1B25">
              <w:rPr>
                <w:rFonts w:eastAsiaTheme="minorEastAsia"/>
                <w:noProof/>
                <w:lang w:eastAsia="fr-CH"/>
              </w:rPr>
              <w:tab/>
            </w:r>
            <w:r w:rsidR="008F1B25" w:rsidRPr="00C15A5D">
              <w:rPr>
                <w:rStyle w:val="Hyperlink"/>
                <w:i/>
                <w:noProof/>
                <w:lang w:val="es-MX"/>
              </w:rPr>
              <w:t>Grupo de Trabajo sobre la cuestión de los derechos humanos y las empresas transnacionales y otros negocios</w:t>
            </w:r>
            <w:r w:rsidR="008F1B25">
              <w:rPr>
                <w:noProof/>
                <w:webHidden/>
              </w:rPr>
              <w:tab/>
            </w:r>
            <w:r w:rsidR="00433873">
              <w:rPr>
                <w:noProof/>
                <w:webHidden/>
              </w:rPr>
              <w:fldChar w:fldCharType="begin"/>
            </w:r>
            <w:r w:rsidR="008F1B25">
              <w:rPr>
                <w:noProof/>
                <w:webHidden/>
              </w:rPr>
              <w:instrText xml:space="preserve"> PAGEREF _Toc491851658 \h </w:instrText>
            </w:r>
            <w:r w:rsidR="00433873">
              <w:rPr>
                <w:noProof/>
                <w:webHidden/>
              </w:rPr>
            </w:r>
            <w:r w:rsidR="00433873">
              <w:rPr>
                <w:noProof/>
                <w:webHidden/>
              </w:rPr>
              <w:fldChar w:fldCharType="separate"/>
            </w:r>
            <w:r w:rsidR="00776849">
              <w:rPr>
                <w:noProof/>
                <w:webHidden/>
              </w:rPr>
              <w:t>13</w:t>
            </w:r>
            <w:r w:rsidR="00433873">
              <w:rPr>
                <w:noProof/>
                <w:webHidden/>
              </w:rPr>
              <w:fldChar w:fldCharType="end"/>
            </w:r>
          </w:hyperlink>
        </w:p>
        <w:p w:rsidR="008F1B25" w:rsidRDefault="00C956B7" w:rsidP="00776849">
          <w:pPr>
            <w:pStyle w:val="TOC1"/>
            <w:tabs>
              <w:tab w:val="left" w:pos="440"/>
              <w:tab w:val="right" w:leader="dot" w:pos="9062"/>
            </w:tabs>
            <w:spacing w:before="120" w:after="120" w:line="240" w:lineRule="auto"/>
            <w:rPr>
              <w:rFonts w:eastAsiaTheme="minorEastAsia"/>
              <w:noProof/>
              <w:lang w:eastAsia="fr-CH"/>
            </w:rPr>
          </w:pPr>
          <w:hyperlink w:anchor="_Toc491851659" w:history="1">
            <w:r w:rsidR="008F1B25" w:rsidRPr="00C15A5D">
              <w:rPr>
                <w:rStyle w:val="Hyperlink"/>
                <w:noProof/>
                <w:lang w:val="es-MX"/>
              </w:rPr>
              <w:t>9.</w:t>
            </w:r>
            <w:r w:rsidR="008F1B25">
              <w:rPr>
                <w:rFonts w:eastAsiaTheme="minorEastAsia"/>
                <w:noProof/>
                <w:lang w:eastAsia="fr-CH"/>
              </w:rPr>
              <w:tab/>
            </w:r>
            <w:r w:rsidR="008F1B25" w:rsidRPr="00C15A5D">
              <w:rPr>
                <w:rStyle w:val="Hyperlink"/>
                <w:noProof/>
                <w:lang w:val="es-MX"/>
              </w:rPr>
              <w:t>Sugerencias de recomendaciones al Estado de México</w:t>
            </w:r>
            <w:r w:rsidR="008F1B25">
              <w:rPr>
                <w:noProof/>
                <w:webHidden/>
              </w:rPr>
              <w:tab/>
            </w:r>
            <w:r w:rsidR="00433873">
              <w:rPr>
                <w:noProof/>
                <w:webHidden/>
              </w:rPr>
              <w:fldChar w:fldCharType="begin"/>
            </w:r>
            <w:r w:rsidR="008F1B25">
              <w:rPr>
                <w:noProof/>
                <w:webHidden/>
              </w:rPr>
              <w:instrText xml:space="preserve"> PAGEREF _Toc491851659 \h </w:instrText>
            </w:r>
            <w:r w:rsidR="00433873">
              <w:rPr>
                <w:noProof/>
                <w:webHidden/>
              </w:rPr>
            </w:r>
            <w:r w:rsidR="00433873">
              <w:rPr>
                <w:noProof/>
                <w:webHidden/>
              </w:rPr>
              <w:fldChar w:fldCharType="separate"/>
            </w:r>
            <w:r w:rsidR="00776849">
              <w:rPr>
                <w:noProof/>
                <w:webHidden/>
              </w:rPr>
              <w:t>14</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60" w:history="1">
            <w:r w:rsidR="008F1B25" w:rsidRPr="00C15A5D">
              <w:rPr>
                <w:rStyle w:val="Hyperlink"/>
                <w:i/>
                <w:noProof/>
                <w:lang w:val="es-MX"/>
              </w:rPr>
              <w:t>9.1.</w:t>
            </w:r>
            <w:r w:rsidR="008F1B25">
              <w:rPr>
                <w:rFonts w:eastAsiaTheme="minorEastAsia"/>
                <w:noProof/>
                <w:lang w:eastAsia="fr-CH"/>
              </w:rPr>
              <w:tab/>
            </w:r>
            <w:r w:rsidR="008F1B25" w:rsidRPr="00C15A5D">
              <w:rPr>
                <w:rStyle w:val="Hyperlink"/>
                <w:i/>
                <w:noProof/>
                <w:lang w:val="es-MX"/>
              </w:rPr>
              <w:t>En general</w:t>
            </w:r>
            <w:r w:rsidR="008F1B25">
              <w:rPr>
                <w:noProof/>
                <w:webHidden/>
              </w:rPr>
              <w:tab/>
            </w:r>
            <w:r w:rsidR="00433873">
              <w:rPr>
                <w:noProof/>
                <w:webHidden/>
              </w:rPr>
              <w:fldChar w:fldCharType="begin"/>
            </w:r>
            <w:r w:rsidR="008F1B25">
              <w:rPr>
                <w:noProof/>
                <w:webHidden/>
              </w:rPr>
              <w:instrText xml:space="preserve"> PAGEREF _Toc491851660 \h </w:instrText>
            </w:r>
            <w:r w:rsidR="00433873">
              <w:rPr>
                <w:noProof/>
                <w:webHidden/>
              </w:rPr>
            </w:r>
            <w:r w:rsidR="00433873">
              <w:rPr>
                <w:noProof/>
                <w:webHidden/>
              </w:rPr>
              <w:fldChar w:fldCharType="separate"/>
            </w:r>
            <w:r w:rsidR="00776849">
              <w:rPr>
                <w:noProof/>
                <w:webHidden/>
              </w:rPr>
              <w:t>14</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61" w:history="1">
            <w:r w:rsidR="008F1B25" w:rsidRPr="00C15A5D">
              <w:rPr>
                <w:rStyle w:val="Hyperlink"/>
                <w:i/>
                <w:noProof/>
                <w:lang w:val="es-MX"/>
              </w:rPr>
              <w:t>9.2.</w:t>
            </w:r>
            <w:r w:rsidR="008F1B25">
              <w:rPr>
                <w:rFonts w:eastAsiaTheme="minorEastAsia"/>
                <w:noProof/>
                <w:lang w:eastAsia="fr-CH"/>
              </w:rPr>
              <w:tab/>
            </w:r>
            <w:r w:rsidR="008F1B25" w:rsidRPr="00C15A5D">
              <w:rPr>
                <w:rStyle w:val="Hyperlink"/>
                <w:i/>
                <w:noProof/>
                <w:lang w:val="es-MX"/>
              </w:rPr>
              <w:t>Sobre el mecanismo de protección para personas defensoras</w:t>
            </w:r>
            <w:r w:rsidR="008F1B25">
              <w:rPr>
                <w:noProof/>
                <w:webHidden/>
              </w:rPr>
              <w:tab/>
            </w:r>
            <w:r w:rsidR="00433873">
              <w:rPr>
                <w:noProof/>
                <w:webHidden/>
              </w:rPr>
              <w:fldChar w:fldCharType="begin"/>
            </w:r>
            <w:r w:rsidR="008F1B25">
              <w:rPr>
                <w:noProof/>
                <w:webHidden/>
              </w:rPr>
              <w:instrText xml:space="preserve"> PAGEREF _Toc491851661 \h </w:instrText>
            </w:r>
            <w:r w:rsidR="00433873">
              <w:rPr>
                <w:noProof/>
                <w:webHidden/>
              </w:rPr>
            </w:r>
            <w:r w:rsidR="00433873">
              <w:rPr>
                <w:noProof/>
                <w:webHidden/>
              </w:rPr>
              <w:fldChar w:fldCharType="separate"/>
            </w:r>
            <w:r w:rsidR="00776849">
              <w:rPr>
                <w:noProof/>
                <w:webHidden/>
              </w:rPr>
              <w:t>14</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62" w:history="1">
            <w:r w:rsidR="008F1B25" w:rsidRPr="00C15A5D">
              <w:rPr>
                <w:rStyle w:val="Hyperlink"/>
                <w:i/>
                <w:noProof/>
                <w:lang w:val="es-MX"/>
              </w:rPr>
              <w:t>9.3.</w:t>
            </w:r>
            <w:r w:rsidR="008F1B25">
              <w:rPr>
                <w:rFonts w:eastAsiaTheme="minorEastAsia"/>
                <w:noProof/>
                <w:lang w:eastAsia="fr-CH"/>
              </w:rPr>
              <w:tab/>
            </w:r>
            <w:r w:rsidR="008F1B25" w:rsidRPr="00C15A5D">
              <w:rPr>
                <w:rStyle w:val="Hyperlink"/>
                <w:i/>
                <w:noProof/>
                <w:lang w:val="es-MX"/>
              </w:rPr>
              <w:t>Pueblos indígenas</w:t>
            </w:r>
            <w:r w:rsidR="008F1B25">
              <w:rPr>
                <w:noProof/>
                <w:webHidden/>
              </w:rPr>
              <w:tab/>
            </w:r>
            <w:r w:rsidR="00433873">
              <w:rPr>
                <w:noProof/>
                <w:webHidden/>
              </w:rPr>
              <w:fldChar w:fldCharType="begin"/>
            </w:r>
            <w:r w:rsidR="008F1B25">
              <w:rPr>
                <w:noProof/>
                <w:webHidden/>
              </w:rPr>
              <w:instrText xml:space="preserve"> PAGEREF _Toc491851662 \h </w:instrText>
            </w:r>
            <w:r w:rsidR="00433873">
              <w:rPr>
                <w:noProof/>
                <w:webHidden/>
              </w:rPr>
            </w:r>
            <w:r w:rsidR="00433873">
              <w:rPr>
                <w:noProof/>
                <w:webHidden/>
              </w:rPr>
              <w:fldChar w:fldCharType="separate"/>
            </w:r>
            <w:r w:rsidR="00776849">
              <w:rPr>
                <w:noProof/>
                <w:webHidden/>
              </w:rPr>
              <w:t>14</w:t>
            </w:r>
            <w:r w:rsidR="00433873">
              <w:rPr>
                <w:noProof/>
                <w:webHidden/>
              </w:rPr>
              <w:fldChar w:fldCharType="end"/>
            </w:r>
          </w:hyperlink>
        </w:p>
        <w:p w:rsidR="008F1B25" w:rsidRDefault="00C956B7" w:rsidP="00776849">
          <w:pPr>
            <w:pStyle w:val="TOC2"/>
            <w:tabs>
              <w:tab w:val="left" w:pos="880"/>
              <w:tab w:val="right" w:leader="dot" w:pos="9062"/>
            </w:tabs>
            <w:spacing w:before="120" w:after="120" w:line="240" w:lineRule="auto"/>
            <w:rPr>
              <w:rFonts w:eastAsiaTheme="minorEastAsia"/>
              <w:noProof/>
              <w:lang w:eastAsia="fr-CH"/>
            </w:rPr>
          </w:pPr>
          <w:hyperlink w:anchor="_Toc491851663" w:history="1">
            <w:r w:rsidR="008F1B25" w:rsidRPr="00C15A5D">
              <w:rPr>
                <w:rStyle w:val="Hyperlink"/>
                <w:i/>
                <w:noProof/>
                <w:lang w:val="es-MX"/>
              </w:rPr>
              <w:t>9.4.</w:t>
            </w:r>
            <w:r w:rsidR="008F1B25">
              <w:rPr>
                <w:rFonts w:eastAsiaTheme="minorEastAsia"/>
                <w:noProof/>
                <w:lang w:eastAsia="fr-CH"/>
              </w:rPr>
              <w:tab/>
            </w:r>
            <w:r w:rsidR="008F1B25" w:rsidRPr="00C15A5D">
              <w:rPr>
                <w:rStyle w:val="Hyperlink"/>
                <w:i/>
                <w:noProof/>
                <w:lang w:val="es-MX"/>
              </w:rPr>
              <w:t>Proyectos de desarrollo</w:t>
            </w:r>
            <w:r w:rsidR="008F1B25">
              <w:rPr>
                <w:noProof/>
                <w:webHidden/>
              </w:rPr>
              <w:tab/>
            </w:r>
            <w:r w:rsidR="00433873">
              <w:rPr>
                <w:noProof/>
                <w:webHidden/>
              </w:rPr>
              <w:fldChar w:fldCharType="begin"/>
            </w:r>
            <w:r w:rsidR="008F1B25">
              <w:rPr>
                <w:noProof/>
                <w:webHidden/>
              </w:rPr>
              <w:instrText xml:space="preserve"> PAGEREF _Toc491851663 \h </w:instrText>
            </w:r>
            <w:r w:rsidR="00433873">
              <w:rPr>
                <w:noProof/>
                <w:webHidden/>
              </w:rPr>
            </w:r>
            <w:r w:rsidR="00433873">
              <w:rPr>
                <w:noProof/>
                <w:webHidden/>
              </w:rPr>
              <w:fldChar w:fldCharType="separate"/>
            </w:r>
            <w:r w:rsidR="00776849">
              <w:rPr>
                <w:noProof/>
                <w:webHidden/>
              </w:rPr>
              <w:t>14</w:t>
            </w:r>
            <w:r w:rsidR="00433873">
              <w:rPr>
                <w:noProof/>
                <w:webHidden/>
              </w:rPr>
              <w:fldChar w:fldCharType="end"/>
            </w:r>
          </w:hyperlink>
        </w:p>
        <w:p w:rsidR="00011327" w:rsidRDefault="00433873" w:rsidP="00776849">
          <w:pPr>
            <w:spacing w:before="120" w:after="120" w:line="240" w:lineRule="auto"/>
            <w:rPr>
              <w:b/>
              <w:bCs/>
              <w:noProof/>
              <w:lang w:val="es-MX"/>
            </w:rPr>
          </w:pPr>
          <w:r w:rsidRPr="00F33CDB">
            <w:rPr>
              <w:b/>
              <w:bCs/>
              <w:noProof/>
              <w:lang w:val="es-MX"/>
            </w:rPr>
            <w:fldChar w:fldCharType="end"/>
          </w:r>
        </w:p>
      </w:sdtContent>
    </w:sdt>
    <w:bookmarkStart w:id="0" w:name="_Toc491851641" w:displacedByCustomXml="prev"/>
    <w:p w:rsidR="00947C81" w:rsidRPr="00F33CDB" w:rsidRDefault="00FF4DFD" w:rsidP="00776849">
      <w:pPr>
        <w:pStyle w:val="Heading1"/>
        <w:numPr>
          <w:ilvl w:val="0"/>
          <w:numId w:val="4"/>
        </w:numPr>
        <w:spacing w:before="120" w:after="120" w:line="240" w:lineRule="auto"/>
        <w:rPr>
          <w:color w:val="C00000"/>
          <w:lang w:val="es-MX"/>
        </w:rPr>
      </w:pPr>
      <w:r w:rsidRPr="00F33CDB">
        <w:rPr>
          <w:color w:val="C00000"/>
          <w:lang w:val="es-MX"/>
        </w:rPr>
        <w:t>Presentación</w:t>
      </w:r>
      <w:bookmarkEnd w:id="0"/>
      <w:r w:rsidRPr="00F33CDB">
        <w:rPr>
          <w:color w:val="C00000"/>
          <w:lang w:val="es-MX"/>
        </w:rPr>
        <w:t xml:space="preserve"> </w:t>
      </w:r>
    </w:p>
    <w:p w:rsidR="004562ED" w:rsidRPr="00F33CDB" w:rsidRDefault="00947C81" w:rsidP="00776849">
      <w:pPr>
        <w:pStyle w:val="SingleTxtG"/>
        <w:spacing w:before="120" w:line="240" w:lineRule="auto"/>
        <w:ind w:left="0" w:right="0"/>
        <w:rPr>
          <w:rFonts w:asciiTheme="minorHAnsi" w:hAnsiTheme="minorHAnsi" w:cs="Helvetica"/>
          <w:sz w:val="22"/>
          <w:szCs w:val="22"/>
          <w:lang w:val="es-MX"/>
        </w:rPr>
      </w:pPr>
      <w:r w:rsidRPr="00F33CDB">
        <w:rPr>
          <w:rFonts w:asciiTheme="minorHAnsi" w:hAnsiTheme="minorHAnsi" w:cs="Helvetica"/>
          <w:sz w:val="22"/>
          <w:szCs w:val="22"/>
          <w:lang w:val="es-MX"/>
        </w:rPr>
        <w:t xml:space="preserve">Este informe fue preparado con insumos de </w:t>
      </w:r>
      <w:r w:rsidR="00616CF9" w:rsidRPr="00F33CDB">
        <w:rPr>
          <w:rFonts w:asciiTheme="minorHAnsi" w:hAnsiTheme="minorHAnsi" w:cs="Helvetica"/>
          <w:sz w:val="22"/>
          <w:szCs w:val="22"/>
          <w:lang w:val="es-MX"/>
        </w:rPr>
        <w:t>Brigadas Internacional</w:t>
      </w:r>
      <w:r w:rsidR="00616CF9">
        <w:rPr>
          <w:rFonts w:asciiTheme="minorHAnsi" w:hAnsiTheme="minorHAnsi" w:cs="Helvetica"/>
          <w:sz w:val="22"/>
          <w:szCs w:val="22"/>
          <w:lang w:val="es-MX"/>
        </w:rPr>
        <w:t xml:space="preserve">es </w:t>
      </w:r>
      <w:r w:rsidR="00616CF9" w:rsidRPr="00F33CDB">
        <w:rPr>
          <w:rFonts w:asciiTheme="minorHAnsi" w:hAnsiTheme="minorHAnsi" w:cs="Helvetica"/>
          <w:sz w:val="22"/>
          <w:szCs w:val="22"/>
          <w:lang w:val="es-MX"/>
        </w:rPr>
        <w:t>de Paz (PBI)</w:t>
      </w:r>
      <w:r w:rsidR="00616CF9">
        <w:rPr>
          <w:rFonts w:asciiTheme="minorHAnsi" w:hAnsiTheme="minorHAnsi" w:cs="Helvetica"/>
          <w:sz w:val="22"/>
          <w:szCs w:val="22"/>
          <w:lang w:val="es-MX"/>
        </w:rPr>
        <w:t xml:space="preserve"> Proyecto México</w:t>
      </w:r>
      <w:r w:rsidRPr="00F33CDB">
        <w:rPr>
          <w:rFonts w:asciiTheme="minorHAnsi" w:hAnsiTheme="minorHAnsi" w:cs="Helvetica"/>
          <w:sz w:val="22"/>
          <w:szCs w:val="22"/>
          <w:lang w:val="es-MX"/>
        </w:rPr>
        <w:t>,</w:t>
      </w:r>
      <w:r w:rsidR="00166CC2" w:rsidRPr="00F33CDB">
        <w:rPr>
          <w:rFonts w:asciiTheme="minorHAnsi" w:hAnsiTheme="minorHAnsi" w:cs="Helvetica"/>
          <w:sz w:val="22"/>
          <w:szCs w:val="22"/>
          <w:lang w:val="es-MX"/>
        </w:rPr>
        <w:t xml:space="preserve"> Plataforma internacional C</w:t>
      </w:r>
      <w:r w:rsidR="00012676" w:rsidRPr="00F33CDB">
        <w:rPr>
          <w:rFonts w:asciiTheme="minorHAnsi" w:hAnsiTheme="minorHAnsi" w:cs="Helvetica"/>
          <w:sz w:val="22"/>
          <w:szCs w:val="22"/>
          <w:lang w:val="es-MX"/>
        </w:rPr>
        <w:t>ontra la impunidad,</w:t>
      </w:r>
      <w:r w:rsidRPr="00F33CDB">
        <w:rPr>
          <w:rFonts w:asciiTheme="minorHAnsi" w:hAnsiTheme="minorHAnsi" w:cs="Helvetica"/>
          <w:sz w:val="22"/>
          <w:szCs w:val="22"/>
          <w:lang w:val="es-MX"/>
        </w:rPr>
        <w:t xml:space="preserve"> Servicio Internacional para los Derechos Humanos</w:t>
      </w:r>
      <w:r w:rsidR="00535D03" w:rsidRPr="00F33CDB">
        <w:rPr>
          <w:rFonts w:asciiTheme="minorHAnsi" w:hAnsiTheme="minorHAnsi" w:cs="Helvetica"/>
          <w:sz w:val="22"/>
          <w:szCs w:val="22"/>
          <w:lang w:val="es-MX"/>
        </w:rPr>
        <w:t xml:space="preserve"> (ISHR)</w:t>
      </w:r>
      <w:r w:rsidRPr="00F33CDB">
        <w:rPr>
          <w:rFonts w:asciiTheme="minorHAnsi" w:hAnsiTheme="minorHAnsi" w:cs="Helvetica"/>
          <w:sz w:val="22"/>
          <w:szCs w:val="22"/>
          <w:lang w:val="es-MX"/>
        </w:rPr>
        <w:t xml:space="preserve">, </w:t>
      </w:r>
      <w:r w:rsidR="00936FBD" w:rsidRPr="00F33CDB">
        <w:rPr>
          <w:rFonts w:asciiTheme="minorHAnsi" w:hAnsiTheme="minorHAnsi" w:cs="Helvetica"/>
          <w:sz w:val="22"/>
          <w:szCs w:val="22"/>
          <w:lang w:val="es-MX"/>
        </w:rPr>
        <w:t>Centro Mexicano de Derecho Ambiental (CEMDA)</w:t>
      </w:r>
      <w:r w:rsidR="00C23045" w:rsidRPr="00F33CDB">
        <w:rPr>
          <w:rFonts w:asciiTheme="minorHAnsi" w:hAnsiTheme="minorHAnsi" w:cs="Helvetica"/>
          <w:sz w:val="22"/>
          <w:szCs w:val="22"/>
          <w:lang w:val="es-MX"/>
        </w:rPr>
        <w:t xml:space="preserve">, </w:t>
      </w:r>
      <w:r w:rsidR="005E6FE2" w:rsidRPr="00F33CDB">
        <w:rPr>
          <w:rFonts w:asciiTheme="minorHAnsi" w:hAnsiTheme="minorHAnsi" w:cs="Helvetica"/>
          <w:sz w:val="22"/>
          <w:szCs w:val="22"/>
          <w:lang w:val="es-MX"/>
        </w:rPr>
        <w:t xml:space="preserve">y </w:t>
      </w:r>
      <w:r w:rsidR="00C23045" w:rsidRPr="00F33CDB">
        <w:rPr>
          <w:rFonts w:asciiTheme="minorHAnsi" w:hAnsiTheme="minorHAnsi" w:cs="Helvetica"/>
          <w:sz w:val="22"/>
          <w:szCs w:val="22"/>
          <w:lang w:val="es-MX"/>
        </w:rPr>
        <w:t xml:space="preserve">Global Initiative </w:t>
      </w:r>
      <w:r w:rsidR="001F1C9F" w:rsidRPr="00F33CDB">
        <w:rPr>
          <w:rFonts w:asciiTheme="minorHAnsi" w:hAnsiTheme="minorHAnsi" w:cs="Helvetica"/>
          <w:sz w:val="22"/>
          <w:szCs w:val="22"/>
          <w:lang w:val="es-MX"/>
        </w:rPr>
        <w:t>for Economic, Social and Cultural Rights</w:t>
      </w:r>
      <w:r w:rsidR="005E6FE2" w:rsidRPr="00F33CDB">
        <w:rPr>
          <w:rFonts w:asciiTheme="minorHAnsi" w:hAnsiTheme="minorHAnsi" w:cs="Helvetica"/>
          <w:sz w:val="22"/>
          <w:szCs w:val="22"/>
          <w:lang w:val="es-MX"/>
        </w:rPr>
        <w:t xml:space="preserve"> (GI-ESCR)</w:t>
      </w:r>
      <w:r w:rsidR="001F1C9F" w:rsidRPr="00F33CDB">
        <w:rPr>
          <w:rFonts w:asciiTheme="minorHAnsi" w:hAnsiTheme="minorHAnsi" w:cs="Helvetica"/>
          <w:sz w:val="22"/>
          <w:szCs w:val="22"/>
          <w:lang w:val="es-MX"/>
        </w:rPr>
        <w:t xml:space="preserve">. </w:t>
      </w:r>
    </w:p>
    <w:p w:rsidR="00535D03" w:rsidRPr="00F33CDB" w:rsidRDefault="00535D03" w:rsidP="00776849">
      <w:pPr>
        <w:pStyle w:val="SingleTxtG"/>
        <w:spacing w:before="120" w:line="240" w:lineRule="auto"/>
        <w:ind w:left="0" w:right="0"/>
        <w:rPr>
          <w:rFonts w:asciiTheme="minorHAnsi" w:hAnsiTheme="minorHAnsi" w:cs="Helvetica"/>
          <w:sz w:val="22"/>
          <w:szCs w:val="22"/>
          <w:lang w:val="es-MX"/>
        </w:rPr>
      </w:pPr>
      <w:r w:rsidRPr="00F33CDB">
        <w:rPr>
          <w:rFonts w:asciiTheme="minorHAnsi" w:hAnsiTheme="minorHAnsi" w:cs="Helvetica"/>
          <w:sz w:val="22"/>
          <w:szCs w:val="22"/>
          <w:lang w:val="es-MX"/>
        </w:rPr>
        <w:t>Contactos:</w:t>
      </w:r>
    </w:p>
    <w:p w:rsidR="00023B2E" w:rsidRPr="00F33CDB" w:rsidRDefault="00023B2E" w:rsidP="00776849">
      <w:pPr>
        <w:pStyle w:val="SingleTxtG"/>
        <w:numPr>
          <w:ilvl w:val="0"/>
          <w:numId w:val="5"/>
        </w:numPr>
        <w:spacing w:before="120" w:line="240" w:lineRule="auto"/>
        <w:ind w:right="0"/>
        <w:rPr>
          <w:rFonts w:asciiTheme="minorHAnsi" w:hAnsiTheme="minorHAnsi" w:cs="Helvetica"/>
          <w:sz w:val="22"/>
          <w:szCs w:val="22"/>
          <w:lang w:val="es-MX"/>
        </w:rPr>
      </w:pPr>
      <w:r w:rsidRPr="00F33CDB">
        <w:rPr>
          <w:rFonts w:asciiTheme="minorHAnsi" w:hAnsiTheme="minorHAnsi" w:cs="Helvetica"/>
          <w:sz w:val="22"/>
          <w:szCs w:val="22"/>
          <w:lang w:val="es-MX"/>
        </w:rPr>
        <w:t>CEMDA</w:t>
      </w:r>
      <w:r w:rsidR="00C2307D" w:rsidRPr="00F33CDB">
        <w:rPr>
          <w:rFonts w:asciiTheme="minorHAnsi" w:hAnsiTheme="minorHAnsi" w:cs="Helvetica"/>
          <w:sz w:val="22"/>
          <w:szCs w:val="22"/>
          <w:lang w:val="es-MX"/>
        </w:rPr>
        <w:t xml:space="preserve">: Alejandra Leyva </w:t>
      </w:r>
      <w:hyperlink r:id="rId14" w:history="1">
        <w:r w:rsidR="00C2307D" w:rsidRPr="00F33CDB">
          <w:rPr>
            <w:rStyle w:val="Hyperlink"/>
            <w:rFonts w:asciiTheme="minorHAnsi" w:hAnsiTheme="minorHAnsi" w:cs="Helvetica"/>
            <w:sz w:val="22"/>
            <w:szCs w:val="22"/>
            <w:lang w:val="es-MX"/>
          </w:rPr>
          <w:t>aleyva@cemda.org.mx</w:t>
        </w:r>
      </w:hyperlink>
      <w:r w:rsidR="00C2307D" w:rsidRPr="00F33CDB">
        <w:rPr>
          <w:rFonts w:asciiTheme="minorHAnsi" w:hAnsiTheme="minorHAnsi" w:cs="Helvetica"/>
          <w:sz w:val="22"/>
          <w:szCs w:val="22"/>
          <w:lang w:val="es-MX"/>
        </w:rPr>
        <w:t xml:space="preserve"> </w:t>
      </w:r>
    </w:p>
    <w:p w:rsidR="00C14E7C" w:rsidRPr="00F33CDB" w:rsidRDefault="00C14E7C" w:rsidP="00776849">
      <w:pPr>
        <w:pStyle w:val="SingleTxtG"/>
        <w:numPr>
          <w:ilvl w:val="0"/>
          <w:numId w:val="5"/>
        </w:numPr>
        <w:spacing w:before="120" w:line="240" w:lineRule="auto"/>
        <w:ind w:right="0"/>
        <w:rPr>
          <w:rFonts w:asciiTheme="minorHAnsi" w:hAnsiTheme="minorHAnsi" w:cs="Helvetica"/>
          <w:sz w:val="22"/>
          <w:szCs w:val="22"/>
          <w:lang w:val="es-MX"/>
        </w:rPr>
      </w:pPr>
      <w:r w:rsidRPr="00F33CDB">
        <w:rPr>
          <w:rFonts w:asciiTheme="minorHAnsi" w:hAnsiTheme="minorHAnsi" w:cs="Helvetica"/>
          <w:sz w:val="22"/>
          <w:szCs w:val="22"/>
          <w:lang w:val="es-MX"/>
        </w:rPr>
        <w:t>GI-ESCR: Lucy McKernan</w:t>
      </w:r>
      <w:r w:rsidR="00E10779" w:rsidRPr="00F33CDB">
        <w:rPr>
          <w:rFonts w:asciiTheme="minorHAnsi" w:hAnsiTheme="minorHAnsi" w:cs="Helvetica"/>
          <w:sz w:val="22"/>
          <w:szCs w:val="22"/>
          <w:lang w:val="es-MX"/>
        </w:rPr>
        <w:t xml:space="preserve"> </w:t>
      </w:r>
      <w:hyperlink r:id="rId15" w:history="1">
        <w:r w:rsidR="00E10779" w:rsidRPr="00F33CDB">
          <w:rPr>
            <w:rStyle w:val="Hyperlink"/>
            <w:rFonts w:asciiTheme="minorHAnsi" w:hAnsiTheme="minorHAnsi" w:cs="Helvetica"/>
            <w:sz w:val="22"/>
            <w:szCs w:val="22"/>
            <w:lang w:val="es-MX"/>
          </w:rPr>
          <w:t>lucy@globalinitiative-escr.org</w:t>
        </w:r>
      </w:hyperlink>
      <w:r w:rsidR="00E10779" w:rsidRPr="00F33CDB">
        <w:rPr>
          <w:rFonts w:asciiTheme="minorHAnsi" w:hAnsiTheme="minorHAnsi" w:cs="Helvetica"/>
          <w:sz w:val="22"/>
          <w:szCs w:val="22"/>
          <w:lang w:val="es-MX"/>
        </w:rPr>
        <w:t xml:space="preserve"> </w:t>
      </w:r>
    </w:p>
    <w:p w:rsidR="00097261" w:rsidRPr="009D7439" w:rsidRDefault="00097261" w:rsidP="00776849">
      <w:pPr>
        <w:pStyle w:val="SingleTxtG"/>
        <w:numPr>
          <w:ilvl w:val="0"/>
          <w:numId w:val="5"/>
        </w:numPr>
        <w:spacing w:before="120" w:line="240" w:lineRule="auto"/>
        <w:ind w:right="0"/>
        <w:rPr>
          <w:rFonts w:asciiTheme="minorHAnsi" w:hAnsiTheme="minorHAnsi" w:cs="Helvetica"/>
          <w:sz w:val="22"/>
          <w:szCs w:val="22"/>
          <w:lang w:val="en-US"/>
        </w:rPr>
      </w:pPr>
      <w:r w:rsidRPr="009D7439">
        <w:rPr>
          <w:rFonts w:asciiTheme="minorHAnsi" w:hAnsiTheme="minorHAnsi" w:cs="Helvetica"/>
          <w:sz w:val="22"/>
          <w:szCs w:val="22"/>
          <w:lang w:val="en-US"/>
        </w:rPr>
        <w:t xml:space="preserve">ISHR: Vincent Ploton </w:t>
      </w:r>
      <w:hyperlink r:id="rId16" w:history="1">
        <w:r w:rsidRPr="009D7439">
          <w:rPr>
            <w:rStyle w:val="Hyperlink"/>
            <w:rFonts w:asciiTheme="minorHAnsi" w:hAnsiTheme="minorHAnsi" w:cs="Helvetica"/>
            <w:sz w:val="22"/>
            <w:szCs w:val="22"/>
            <w:lang w:val="en-US"/>
          </w:rPr>
          <w:t>vploton@ishr.ch</w:t>
        </w:r>
      </w:hyperlink>
      <w:r w:rsidRPr="009D7439">
        <w:rPr>
          <w:rFonts w:asciiTheme="minorHAnsi" w:hAnsiTheme="minorHAnsi" w:cs="Helvetica"/>
          <w:sz w:val="22"/>
          <w:szCs w:val="22"/>
          <w:lang w:val="en-US"/>
        </w:rPr>
        <w:t xml:space="preserve"> </w:t>
      </w:r>
    </w:p>
    <w:p w:rsidR="00535D03" w:rsidRPr="00F33CDB" w:rsidRDefault="00535D03" w:rsidP="00776849">
      <w:pPr>
        <w:pStyle w:val="SingleTxtG"/>
        <w:numPr>
          <w:ilvl w:val="0"/>
          <w:numId w:val="5"/>
        </w:numPr>
        <w:spacing w:before="120" w:line="240" w:lineRule="auto"/>
        <w:ind w:right="0"/>
        <w:rPr>
          <w:rFonts w:asciiTheme="minorHAnsi" w:hAnsiTheme="minorHAnsi" w:cs="Helvetica"/>
          <w:sz w:val="22"/>
          <w:szCs w:val="22"/>
          <w:lang w:val="es-MX"/>
        </w:rPr>
      </w:pPr>
      <w:r w:rsidRPr="00F33CDB">
        <w:rPr>
          <w:rFonts w:asciiTheme="minorHAnsi" w:hAnsiTheme="minorHAnsi" w:cs="Helvetica"/>
          <w:sz w:val="22"/>
          <w:szCs w:val="22"/>
          <w:lang w:val="es-MX"/>
        </w:rPr>
        <w:t>PBI:</w:t>
      </w:r>
      <w:r w:rsidR="00E42A6F" w:rsidRPr="00F33CDB">
        <w:rPr>
          <w:rFonts w:asciiTheme="minorHAnsi" w:hAnsiTheme="minorHAnsi" w:cs="Helvetica"/>
          <w:sz w:val="22"/>
          <w:szCs w:val="22"/>
          <w:lang w:val="es-MX"/>
        </w:rPr>
        <w:t xml:space="preserve"> Virry Schaafsma </w:t>
      </w:r>
      <w:hyperlink r:id="rId17" w:history="1">
        <w:r w:rsidR="00E42A6F" w:rsidRPr="00F33CDB">
          <w:rPr>
            <w:rStyle w:val="Hyperlink"/>
            <w:rFonts w:asciiTheme="minorHAnsi" w:hAnsiTheme="minorHAnsi" w:cs="Helvetica"/>
            <w:sz w:val="22"/>
            <w:szCs w:val="22"/>
            <w:lang w:val="es-MX"/>
          </w:rPr>
          <w:t>pbidf@pbi-mexico.org</w:t>
        </w:r>
      </w:hyperlink>
      <w:r w:rsidR="00E42A6F" w:rsidRPr="00F33CDB">
        <w:rPr>
          <w:rFonts w:asciiTheme="minorHAnsi" w:hAnsiTheme="minorHAnsi" w:cs="Helvetica"/>
          <w:sz w:val="22"/>
          <w:szCs w:val="22"/>
          <w:lang w:val="es-MX"/>
        </w:rPr>
        <w:t xml:space="preserve"> y Mar Saiz </w:t>
      </w:r>
      <w:hyperlink r:id="rId18" w:history="1">
        <w:r w:rsidR="00E42A6F" w:rsidRPr="00F33CDB">
          <w:rPr>
            <w:rStyle w:val="Hyperlink"/>
            <w:rFonts w:asciiTheme="minorHAnsi" w:hAnsiTheme="minorHAnsi" w:cs="Helvetica"/>
            <w:sz w:val="22"/>
            <w:szCs w:val="22"/>
            <w:lang w:val="es-MX"/>
          </w:rPr>
          <w:t>repeuropa@pbi-mexico.org</w:t>
        </w:r>
      </w:hyperlink>
      <w:r w:rsidR="00E42A6F" w:rsidRPr="00F33CDB">
        <w:rPr>
          <w:rFonts w:asciiTheme="minorHAnsi" w:hAnsiTheme="minorHAnsi" w:cs="Helvetica"/>
          <w:sz w:val="22"/>
          <w:szCs w:val="22"/>
          <w:lang w:val="es-MX"/>
        </w:rPr>
        <w:t xml:space="preserve"> </w:t>
      </w:r>
    </w:p>
    <w:p w:rsidR="00BC4210" w:rsidRPr="00F33CDB" w:rsidRDefault="00BC4210" w:rsidP="00776849">
      <w:pPr>
        <w:pStyle w:val="SingleTxtG"/>
        <w:numPr>
          <w:ilvl w:val="0"/>
          <w:numId w:val="5"/>
        </w:numPr>
        <w:spacing w:before="120" w:line="240" w:lineRule="auto"/>
        <w:ind w:right="0"/>
        <w:rPr>
          <w:rFonts w:asciiTheme="minorHAnsi" w:hAnsiTheme="minorHAnsi" w:cs="Helvetica"/>
          <w:sz w:val="22"/>
          <w:szCs w:val="22"/>
          <w:lang w:val="es-MX"/>
        </w:rPr>
      </w:pPr>
      <w:r w:rsidRPr="00F33CDB">
        <w:rPr>
          <w:rFonts w:asciiTheme="minorHAnsi" w:hAnsiTheme="minorHAnsi" w:cs="Helvetica"/>
          <w:sz w:val="22"/>
          <w:szCs w:val="22"/>
          <w:lang w:val="es-MX"/>
        </w:rPr>
        <w:t xml:space="preserve">Plataforma internacional contra la impunidad: Andrea Bolaños Vargas </w:t>
      </w:r>
      <w:hyperlink r:id="rId19" w:history="1">
        <w:r w:rsidRPr="00F33CDB">
          <w:rPr>
            <w:rStyle w:val="Hyperlink"/>
            <w:rFonts w:asciiTheme="minorHAnsi" w:hAnsiTheme="minorHAnsi" w:cs="Helvetica"/>
            <w:sz w:val="22"/>
            <w:szCs w:val="22"/>
            <w:lang w:val="es-MX"/>
          </w:rPr>
          <w:t>ab@plataforma.org.gt</w:t>
        </w:r>
      </w:hyperlink>
      <w:r w:rsidRPr="00F33CDB">
        <w:rPr>
          <w:rFonts w:asciiTheme="minorHAnsi" w:hAnsiTheme="minorHAnsi" w:cs="Helvetica"/>
          <w:sz w:val="22"/>
          <w:szCs w:val="22"/>
          <w:lang w:val="es-MX"/>
        </w:rPr>
        <w:t xml:space="preserve"> </w:t>
      </w:r>
    </w:p>
    <w:p w:rsidR="009D7439" w:rsidRDefault="009D7439" w:rsidP="00776849">
      <w:pPr>
        <w:pStyle w:val="SingleTxtG"/>
        <w:spacing w:before="120" w:line="240" w:lineRule="auto"/>
        <w:ind w:left="0" w:right="0"/>
        <w:rPr>
          <w:rFonts w:asciiTheme="minorHAnsi" w:hAnsiTheme="minorHAnsi" w:cs="Helvetica"/>
          <w:sz w:val="22"/>
          <w:szCs w:val="22"/>
          <w:lang w:val="es-MX"/>
        </w:rPr>
      </w:pPr>
    </w:p>
    <w:p w:rsidR="00A66347" w:rsidRPr="00F33CDB" w:rsidRDefault="005B173E" w:rsidP="00776849">
      <w:pPr>
        <w:pStyle w:val="SingleTxtG"/>
        <w:spacing w:before="120" w:line="240" w:lineRule="auto"/>
        <w:ind w:left="0" w:right="0"/>
        <w:rPr>
          <w:rFonts w:asciiTheme="minorHAnsi" w:hAnsiTheme="minorHAnsi" w:cs="Helvetica"/>
          <w:sz w:val="22"/>
          <w:szCs w:val="22"/>
          <w:lang w:val="es-MX"/>
        </w:rPr>
      </w:pPr>
      <w:r w:rsidRPr="00F33CDB">
        <w:rPr>
          <w:rFonts w:asciiTheme="minorHAnsi" w:hAnsiTheme="minorHAnsi" w:cs="Helvetica"/>
          <w:sz w:val="22"/>
          <w:szCs w:val="22"/>
          <w:lang w:val="es-MX"/>
        </w:rPr>
        <w:t>El</w:t>
      </w:r>
      <w:r w:rsidR="00535D03" w:rsidRPr="00F33CDB">
        <w:rPr>
          <w:rFonts w:asciiTheme="minorHAnsi" w:hAnsiTheme="minorHAnsi" w:cs="Helvetica"/>
          <w:sz w:val="22"/>
          <w:szCs w:val="22"/>
          <w:lang w:val="es-MX"/>
        </w:rPr>
        <w:t xml:space="preserve"> </w:t>
      </w:r>
      <w:r w:rsidR="00E87F97" w:rsidRPr="00F33CDB">
        <w:rPr>
          <w:rFonts w:asciiTheme="minorHAnsi" w:hAnsiTheme="minorHAnsi" w:cs="Helvetica"/>
          <w:sz w:val="22"/>
          <w:szCs w:val="22"/>
          <w:lang w:val="es-MX"/>
        </w:rPr>
        <w:t xml:space="preserve">informe se enfoca sobre </w:t>
      </w:r>
      <w:r w:rsidR="005E66B9" w:rsidRPr="00F33CDB">
        <w:rPr>
          <w:rFonts w:asciiTheme="minorHAnsi" w:hAnsiTheme="minorHAnsi" w:cs="Helvetica"/>
          <w:sz w:val="22"/>
          <w:szCs w:val="22"/>
          <w:lang w:val="es-MX"/>
        </w:rPr>
        <w:t xml:space="preserve">la segunda pregunta de la Lista de Cuestiones adoptada por el Comité DESC en </w:t>
      </w:r>
      <w:r w:rsidR="006D38D8" w:rsidRPr="00F33CDB">
        <w:rPr>
          <w:rFonts w:asciiTheme="minorHAnsi" w:hAnsiTheme="minorHAnsi" w:cs="Helvetica"/>
          <w:sz w:val="22"/>
          <w:szCs w:val="22"/>
          <w:lang w:val="es-MX"/>
        </w:rPr>
        <w:t>marzo</w:t>
      </w:r>
      <w:r w:rsidR="005E66B9" w:rsidRPr="00F33CDB">
        <w:rPr>
          <w:rFonts w:asciiTheme="minorHAnsi" w:hAnsiTheme="minorHAnsi" w:cs="Helvetica"/>
          <w:sz w:val="22"/>
          <w:szCs w:val="22"/>
          <w:lang w:val="es-MX"/>
        </w:rPr>
        <w:t xml:space="preserve"> 2017 (E/C.12/MEX/Q/5-6):</w:t>
      </w:r>
    </w:p>
    <w:p w:rsidR="009D7439" w:rsidRDefault="009D7439" w:rsidP="00776849">
      <w:pPr>
        <w:pStyle w:val="SingleTxtG"/>
        <w:spacing w:before="120" w:line="240" w:lineRule="auto"/>
        <w:ind w:left="0" w:right="0"/>
        <w:rPr>
          <w:rFonts w:asciiTheme="minorHAnsi" w:hAnsiTheme="minorHAnsi" w:cs="Helvetica"/>
          <w:i/>
          <w:sz w:val="22"/>
          <w:szCs w:val="22"/>
          <w:lang w:val="es-MX"/>
        </w:rPr>
      </w:pPr>
    </w:p>
    <w:p w:rsidR="004562ED" w:rsidRPr="00F33CDB" w:rsidRDefault="004562ED" w:rsidP="00776849">
      <w:pPr>
        <w:pStyle w:val="SingleTxtG"/>
        <w:spacing w:before="120" w:line="240" w:lineRule="auto"/>
        <w:ind w:left="0" w:right="0"/>
        <w:rPr>
          <w:rFonts w:asciiTheme="minorHAnsi" w:hAnsiTheme="minorHAnsi" w:cs="Helvetica"/>
          <w:i/>
          <w:sz w:val="22"/>
          <w:szCs w:val="22"/>
          <w:lang w:val="es-MX"/>
        </w:rPr>
      </w:pPr>
      <w:r w:rsidRPr="00F33CDB">
        <w:rPr>
          <w:rFonts w:asciiTheme="minorHAnsi" w:hAnsiTheme="minorHAnsi" w:cs="Helvetica"/>
          <w:i/>
          <w:sz w:val="22"/>
          <w:szCs w:val="22"/>
          <w:lang w:val="es-MX"/>
        </w:rPr>
        <w:t>2.</w:t>
      </w:r>
      <w:r w:rsidRPr="00F33CDB">
        <w:rPr>
          <w:rFonts w:asciiTheme="minorHAnsi" w:hAnsiTheme="minorHAnsi" w:cs="Helvetica"/>
          <w:i/>
          <w:sz w:val="22"/>
          <w:szCs w:val="22"/>
          <w:lang w:val="es-MX"/>
        </w:rPr>
        <w:tab/>
        <w:t xml:space="preserve">Sírvanse proporcionar información sobre la situación de seguridad que enfrentan </w:t>
      </w:r>
      <w:r w:rsidR="00BE6E86" w:rsidRPr="00F33CDB">
        <w:rPr>
          <w:rFonts w:asciiTheme="minorHAnsi" w:hAnsiTheme="minorHAnsi" w:cs="Helvetica"/>
          <w:i/>
          <w:sz w:val="22"/>
          <w:szCs w:val="22"/>
          <w:lang w:val="es-MX"/>
        </w:rPr>
        <w:t>las personas defensoras</w:t>
      </w:r>
      <w:r w:rsidRPr="00F33CDB">
        <w:rPr>
          <w:rFonts w:asciiTheme="minorHAnsi" w:hAnsiTheme="minorHAnsi" w:cs="Helvetica"/>
          <w:i/>
          <w:sz w:val="22"/>
          <w:szCs w:val="22"/>
          <w:lang w:val="es-MX"/>
        </w:rPr>
        <w:t xml:space="preserve"> de derechos humanos, especialmente </w:t>
      </w:r>
      <w:r w:rsidR="00BE6E86" w:rsidRPr="00F33CDB">
        <w:rPr>
          <w:rFonts w:asciiTheme="minorHAnsi" w:hAnsiTheme="minorHAnsi" w:cs="Helvetica"/>
          <w:i/>
          <w:sz w:val="22"/>
          <w:szCs w:val="22"/>
          <w:lang w:val="es-MX"/>
        </w:rPr>
        <w:t>las personas defensoras</w:t>
      </w:r>
      <w:r w:rsidRPr="00F33CDB">
        <w:rPr>
          <w:rFonts w:asciiTheme="minorHAnsi" w:hAnsiTheme="minorHAnsi" w:cs="Helvetica"/>
          <w:i/>
          <w:sz w:val="22"/>
          <w:szCs w:val="22"/>
          <w:lang w:val="es-MX"/>
        </w:rPr>
        <w:t xml:space="preserve"> de derechos económicos, sociales y culturales. Informen qué medidas han sido adoptadas para proteger a </w:t>
      </w:r>
      <w:r w:rsidR="00BE6E86" w:rsidRPr="00F33CDB">
        <w:rPr>
          <w:rFonts w:asciiTheme="minorHAnsi" w:hAnsiTheme="minorHAnsi" w:cs="Helvetica"/>
          <w:i/>
          <w:sz w:val="22"/>
          <w:szCs w:val="22"/>
          <w:lang w:val="es-MX"/>
        </w:rPr>
        <w:t>las personas defensoras</w:t>
      </w:r>
      <w:r w:rsidRPr="00F33CDB">
        <w:rPr>
          <w:rFonts w:asciiTheme="minorHAnsi" w:hAnsiTheme="minorHAnsi" w:cs="Helvetica"/>
          <w:i/>
          <w:sz w:val="22"/>
          <w:szCs w:val="22"/>
          <w:lang w:val="es-MX"/>
        </w:rPr>
        <w:t xml:space="preserve"> de derechos económicos, sociales y culturales de todo acto de represalia, incluyendo actos de violencia, hostigamiento, amenazas y atentados contra su vida e integridad personal. Sírvanse proporcionar información sobre el número de denuncias, casos investigados y judicializados, y el número de condenas impuestas en tales casos.</w:t>
      </w:r>
    </w:p>
    <w:p w:rsidR="004D7996" w:rsidRPr="00F33CDB" w:rsidRDefault="004D7996" w:rsidP="00776849">
      <w:pPr>
        <w:spacing w:before="120" w:after="120" w:line="240" w:lineRule="auto"/>
        <w:rPr>
          <w:lang w:val="es-MX"/>
        </w:rPr>
      </w:pPr>
    </w:p>
    <w:p w:rsidR="007145A4" w:rsidRPr="00F33CDB" w:rsidRDefault="007145A4" w:rsidP="00776849">
      <w:pPr>
        <w:pStyle w:val="Heading1"/>
        <w:numPr>
          <w:ilvl w:val="0"/>
          <w:numId w:val="4"/>
        </w:numPr>
        <w:spacing w:before="120" w:after="120" w:line="240" w:lineRule="auto"/>
        <w:jc w:val="both"/>
        <w:rPr>
          <w:color w:val="C00000"/>
          <w:lang w:val="es-MX"/>
        </w:rPr>
      </w:pPr>
      <w:bookmarkStart w:id="1" w:name="_Toc491851642"/>
      <w:r w:rsidRPr="00F33CDB">
        <w:rPr>
          <w:color w:val="C00000"/>
          <w:lang w:val="es-MX"/>
        </w:rPr>
        <w:t>Pronunciamientos del Comité DESC sobre personas defensoras</w:t>
      </w:r>
      <w:bookmarkEnd w:id="1"/>
    </w:p>
    <w:p w:rsidR="00A22DFD" w:rsidRDefault="00154BE6" w:rsidP="00776849">
      <w:pPr>
        <w:spacing w:before="120" w:after="120" w:line="240" w:lineRule="auto"/>
        <w:jc w:val="both"/>
        <w:rPr>
          <w:lang w:val="es-MX" w:eastAsia="es-MX"/>
        </w:rPr>
      </w:pPr>
      <w:r w:rsidRPr="00F33CDB">
        <w:rPr>
          <w:lang w:val="es-MX" w:eastAsia="es-MX"/>
        </w:rPr>
        <w:t>E</w:t>
      </w:r>
      <w:r w:rsidR="007145A4" w:rsidRPr="00F33CDB">
        <w:rPr>
          <w:lang w:val="es-MX" w:eastAsia="es-MX"/>
        </w:rPr>
        <w:t>n su</w:t>
      </w:r>
      <w:r w:rsidRPr="00F33CDB">
        <w:rPr>
          <w:lang w:val="es-MX" w:eastAsia="es-MX"/>
        </w:rPr>
        <w:t xml:space="preserve"> declaración de </w:t>
      </w:r>
      <w:r w:rsidR="007F0711" w:rsidRPr="00F33CDB">
        <w:rPr>
          <w:lang w:val="es-MX" w:eastAsia="es-MX"/>
        </w:rPr>
        <w:t>marzo</w:t>
      </w:r>
      <w:r w:rsidRPr="00F33CDB">
        <w:rPr>
          <w:lang w:val="es-MX" w:eastAsia="es-MX"/>
        </w:rPr>
        <w:t xml:space="preserve"> 2017 </w:t>
      </w:r>
      <w:r w:rsidR="009707C8" w:rsidRPr="00F33CDB">
        <w:rPr>
          <w:lang w:val="es-MX" w:eastAsia="es-MX"/>
        </w:rPr>
        <w:t xml:space="preserve">(E/C.12/2016/2) </w:t>
      </w:r>
      <w:r w:rsidRPr="00F33CDB">
        <w:rPr>
          <w:lang w:val="es-MX" w:eastAsia="es-MX"/>
        </w:rPr>
        <w:t>sobre personas defensoras de</w:t>
      </w:r>
      <w:r w:rsidRPr="00F33CDB">
        <w:rPr>
          <w:lang w:val="es-MX"/>
        </w:rPr>
        <w:t xml:space="preserve"> </w:t>
      </w:r>
      <w:r w:rsidRPr="00F33CDB">
        <w:rPr>
          <w:lang w:val="es-MX" w:eastAsia="es-MX"/>
        </w:rPr>
        <w:t xml:space="preserve">derechos económicos, sociales y culturales, el Comité </w:t>
      </w:r>
      <w:r w:rsidR="00C14D97" w:rsidRPr="00F33CDB">
        <w:rPr>
          <w:lang w:val="es-MX" w:eastAsia="es-MX"/>
        </w:rPr>
        <w:t>confirma</w:t>
      </w:r>
      <w:r w:rsidR="007145A4" w:rsidRPr="00F33CDB">
        <w:rPr>
          <w:lang w:val="es-MX" w:eastAsia="es-MX"/>
        </w:rPr>
        <w:t xml:space="preserve"> que la agresión contra </w:t>
      </w:r>
      <w:r w:rsidR="009E4274">
        <w:rPr>
          <w:lang w:val="es-MX" w:eastAsia="es-MX"/>
        </w:rPr>
        <w:t xml:space="preserve">las personas defensoras </w:t>
      </w:r>
      <w:r w:rsidR="007145A4" w:rsidRPr="00F33CDB">
        <w:rPr>
          <w:lang w:val="es-MX" w:eastAsia="es-MX"/>
        </w:rPr>
        <w:t xml:space="preserve"> de los DESC puede constituir una violación de las obligaciones de los Estados en virtud del Pacto:</w:t>
      </w:r>
      <w:r w:rsidR="00C14D97" w:rsidRPr="00F33CDB">
        <w:rPr>
          <w:lang w:val="es-MX" w:eastAsia="es-MX"/>
        </w:rPr>
        <w:t xml:space="preserve"> </w:t>
      </w:r>
      <w:r w:rsidR="007145A4" w:rsidRPr="00F33CDB">
        <w:rPr>
          <w:lang w:val="es-MX" w:eastAsia="es-MX"/>
        </w:rPr>
        <w:t>"</w:t>
      </w:r>
      <w:r w:rsidR="00A22DFD" w:rsidRPr="00A22DFD">
        <w:rPr>
          <w:lang w:val="es-MX" w:eastAsia="es-MX"/>
        </w:rPr>
        <w:t>El Comité considera que las amenazas o los actos de violencia dirigidos contra de los derechos humanos constituyen un incumplimiento de las obligaciones que incumben a los Estados respecto del ejercicio efectivo de los derechos reconocidos en el Pacto, puesto que los</w:t>
      </w:r>
      <w:r w:rsidR="002E6209">
        <w:rPr>
          <w:lang w:val="es-MX" w:eastAsia="es-MX"/>
        </w:rPr>
        <w:t xml:space="preserve"> </w:t>
      </w:r>
      <w:r w:rsidR="00A22DFD" w:rsidRPr="00A22DFD">
        <w:rPr>
          <w:lang w:val="es-MX" w:eastAsia="es-MX"/>
        </w:rPr>
        <w:t>defensores</w:t>
      </w:r>
      <w:r w:rsidR="002E6209" w:rsidRPr="00A22DFD">
        <w:rPr>
          <w:lang w:val="es-MX" w:eastAsia="es-MX"/>
        </w:rPr>
        <w:t xml:space="preserve"> </w:t>
      </w:r>
      <w:r w:rsidR="00A22DFD" w:rsidRPr="00A22DFD">
        <w:rPr>
          <w:lang w:val="es-MX" w:eastAsia="es-MX"/>
        </w:rPr>
        <w:t>de los derechos humanos también contribuyen con su labor a la efectividad de tales derechos</w:t>
      </w:r>
      <w:r w:rsidR="00A22DFD" w:rsidRPr="00F33CDB">
        <w:rPr>
          <w:lang w:val="es-MX" w:eastAsia="es-MX"/>
        </w:rPr>
        <w:t>"</w:t>
      </w:r>
      <w:r w:rsidR="00A22DFD">
        <w:rPr>
          <w:lang w:val="es-MX" w:eastAsia="es-MX"/>
        </w:rPr>
        <w:t>.</w:t>
      </w:r>
    </w:p>
    <w:p w:rsidR="007145A4" w:rsidRDefault="007145A4" w:rsidP="00776849">
      <w:pPr>
        <w:spacing w:before="120" w:after="120" w:line="240" w:lineRule="auto"/>
        <w:jc w:val="both"/>
        <w:rPr>
          <w:lang w:val="es-MX" w:eastAsia="es-MX"/>
        </w:rPr>
      </w:pPr>
      <w:r w:rsidRPr="00F33CDB">
        <w:rPr>
          <w:lang w:val="es-MX" w:eastAsia="es-MX"/>
        </w:rPr>
        <w:t xml:space="preserve">En este informe se describe la situación actual de </w:t>
      </w:r>
      <w:r w:rsidR="009E4274">
        <w:rPr>
          <w:lang w:val="es-MX" w:eastAsia="es-MX"/>
        </w:rPr>
        <w:t xml:space="preserve">las personas </w:t>
      </w:r>
      <w:proofErr w:type="gramStart"/>
      <w:r w:rsidR="009E4274">
        <w:rPr>
          <w:lang w:val="es-MX" w:eastAsia="es-MX"/>
        </w:rPr>
        <w:t xml:space="preserve">defensoras </w:t>
      </w:r>
      <w:r w:rsidRPr="00F33CDB">
        <w:rPr>
          <w:lang w:val="es-MX" w:eastAsia="es-MX"/>
        </w:rPr>
        <w:t xml:space="preserve"> de</w:t>
      </w:r>
      <w:proofErr w:type="gramEnd"/>
      <w:r w:rsidRPr="00F33CDB">
        <w:rPr>
          <w:lang w:val="es-MX" w:eastAsia="es-MX"/>
        </w:rPr>
        <w:t xml:space="preserve"> los derechos económicos y sociales en México y se </w:t>
      </w:r>
      <w:r w:rsidR="00BF7970" w:rsidRPr="00F33CDB">
        <w:rPr>
          <w:lang w:val="es-MX" w:eastAsia="es-MX"/>
        </w:rPr>
        <w:t>le ruega al Comité que inste al Estado Mexicano a</w:t>
      </w:r>
      <w:r w:rsidRPr="00F33CDB">
        <w:rPr>
          <w:lang w:val="es-MX" w:eastAsia="es-MX"/>
        </w:rPr>
        <w:t xml:space="preserve"> que </w:t>
      </w:r>
      <w:r w:rsidR="009E4274">
        <w:rPr>
          <w:lang w:val="es-MX" w:eastAsia="es-MX"/>
        </w:rPr>
        <w:t>adopte todas las medidas necesarias</w:t>
      </w:r>
      <w:r w:rsidR="002E6209">
        <w:rPr>
          <w:lang w:val="es-MX" w:eastAsia="es-MX"/>
        </w:rPr>
        <w:t>,</w:t>
      </w:r>
      <w:r w:rsidR="009E4274">
        <w:rPr>
          <w:lang w:val="es-MX" w:eastAsia="es-MX"/>
        </w:rPr>
        <w:t xml:space="preserve"> que realmente atiendan la problemática</w:t>
      </w:r>
      <w:r w:rsidR="002E6209">
        <w:rPr>
          <w:lang w:val="es-MX" w:eastAsia="es-MX"/>
        </w:rPr>
        <w:t>,</w:t>
      </w:r>
      <w:r w:rsidR="009E4274">
        <w:rPr>
          <w:lang w:val="es-MX" w:eastAsia="es-MX"/>
        </w:rPr>
        <w:t xml:space="preserve"> </w:t>
      </w:r>
      <w:r w:rsidRPr="00F33CDB">
        <w:rPr>
          <w:lang w:val="es-MX" w:eastAsia="es-MX"/>
        </w:rPr>
        <w:t xml:space="preserve">para cumplir con las obligaciones </w:t>
      </w:r>
      <w:r w:rsidR="00BF7970" w:rsidRPr="00F33CDB">
        <w:rPr>
          <w:lang w:val="es-MX" w:eastAsia="es-MX"/>
        </w:rPr>
        <w:t xml:space="preserve">en respecto </w:t>
      </w:r>
      <w:r w:rsidRPr="00F33CDB">
        <w:rPr>
          <w:lang w:val="es-MX" w:eastAsia="es-MX"/>
        </w:rPr>
        <w:t xml:space="preserve">del Pacto </w:t>
      </w:r>
      <w:r w:rsidR="00BF7970" w:rsidRPr="00F33CDB">
        <w:rPr>
          <w:lang w:val="es-MX" w:eastAsia="es-MX"/>
        </w:rPr>
        <w:t>para</w:t>
      </w:r>
      <w:r w:rsidRPr="00F33CDB">
        <w:rPr>
          <w:lang w:val="es-MX" w:eastAsia="es-MX"/>
        </w:rPr>
        <w:t xml:space="preserve"> proteger </w:t>
      </w:r>
      <w:r w:rsidR="009E4274">
        <w:rPr>
          <w:lang w:val="es-MX" w:eastAsia="es-MX"/>
        </w:rPr>
        <w:t xml:space="preserve">a </w:t>
      </w:r>
      <w:r w:rsidR="00BF7970" w:rsidRPr="00F33CDB">
        <w:rPr>
          <w:lang w:val="es-MX" w:eastAsia="es-MX"/>
        </w:rPr>
        <w:t>las personas defensora</w:t>
      </w:r>
      <w:r w:rsidRPr="00F33CDB">
        <w:rPr>
          <w:lang w:val="es-MX" w:eastAsia="es-MX"/>
        </w:rPr>
        <w:t>s de los DESC. Como ha dicho el Comité</w:t>
      </w:r>
      <w:r w:rsidR="00F33CDB">
        <w:rPr>
          <w:lang w:val="es-MX" w:eastAsia="es-MX"/>
        </w:rPr>
        <w:t xml:space="preserve"> en su declaración de marzo 2017</w:t>
      </w:r>
      <w:r w:rsidRPr="00F33CDB">
        <w:rPr>
          <w:lang w:val="es-MX" w:eastAsia="es-MX"/>
        </w:rPr>
        <w:t>, los Estados P</w:t>
      </w:r>
      <w:r w:rsidR="00BF7970" w:rsidRPr="00F33CDB">
        <w:rPr>
          <w:lang w:val="es-MX" w:eastAsia="es-MX"/>
        </w:rPr>
        <w:t>artes tienen la responsabilidad</w:t>
      </w:r>
      <w:r w:rsidR="00BF7970" w:rsidRPr="00F33CDB">
        <w:rPr>
          <w:lang w:val="es-MX"/>
        </w:rPr>
        <w:t xml:space="preserve"> de </w:t>
      </w:r>
      <w:r w:rsidR="00BF7970" w:rsidRPr="00F33CDB">
        <w:rPr>
          <w:lang w:val="es-MX" w:eastAsia="es-MX"/>
        </w:rPr>
        <w:t>"</w:t>
      </w:r>
      <w:r w:rsidR="00BF7970" w:rsidRPr="00F33CDB">
        <w:rPr>
          <w:lang w:val="es-MX"/>
        </w:rPr>
        <w:t>garantizar la protección efectiva de los defensores de los derechos humanos frente a todo tipo de abusos, violencia y represalias de que puedan ser objeto en el desempeño de su labor destinada a promover la efectividad de esos derechos</w:t>
      </w:r>
      <w:r w:rsidR="00BF7970" w:rsidRPr="00F33CDB">
        <w:rPr>
          <w:lang w:val="es-MX" w:eastAsia="es-MX"/>
        </w:rPr>
        <w:t>"</w:t>
      </w:r>
      <w:r w:rsidR="00F33CDB">
        <w:rPr>
          <w:lang w:val="es-MX" w:eastAsia="es-MX"/>
        </w:rPr>
        <w:t>.</w:t>
      </w:r>
    </w:p>
    <w:p w:rsidR="00117666" w:rsidRPr="00F33CDB" w:rsidRDefault="00117666" w:rsidP="00776849">
      <w:pPr>
        <w:spacing w:before="120" w:after="120" w:line="240" w:lineRule="auto"/>
        <w:jc w:val="both"/>
        <w:rPr>
          <w:lang w:val="es-MX"/>
        </w:rPr>
      </w:pPr>
    </w:p>
    <w:p w:rsidR="00926F76" w:rsidRPr="00F33CDB" w:rsidRDefault="005B245C" w:rsidP="00776849">
      <w:pPr>
        <w:pStyle w:val="Heading1"/>
        <w:numPr>
          <w:ilvl w:val="0"/>
          <w:numId w:val="4"/>
        </w:numPr>
        <w:spacing w:before="120" w:after="120" w:line="240" w:lineRule="auto"/>
        <w:rPr>
          <w:color w:val="C00000"/>
          <w:lang w:val="es-MX"/>
        </w:rPr>
      </w:pPr>
      <w:bookmarkStart w:id="2" w:name="_Toc491851643"/>
      <w:r w:rsidRPr="00F33CDB">
        <w:rPr>
          <w:color w:val="C00000"/>
          <w:lang w:val="es-MX"/>
        </w:rPr>
        <w:t>Situación</w:t>
      </w:r>
      <w:r w:rsidR="00926F76" w:rsidRPr="00F33CDB">
        <w:rPr>
          <w:color w:val="C00000"/>
          <w:lang w:val="es-MX"/>
        </w:rPr>
        <w:t xml:space="preserve"> de las personas defensoras de los derechos </w:t>
      </w:r>
      <w:r w:rsidRPr="00F33CDB">
        <w:rPr>
          <w:color w:val="C00000"/>
          <w:lang w:val="es-MX"/>
        </w:rPr>
        <w:t>ambientales</w:t>
      </w:r>
      <w:r w:rsidR="007145A4" w:rsidRPr="00F33CDB">
        <w:rPr>
          <w:color w:val="C00000"/>
          <w:lang w:val="es-MX"/>
        </w:rPr>
        <w:t xml:space="preserve"> en México</w:t>
      </w:r>
      <w:bookmarkEnd w:id="2"/>
      <w:r w:rsidR="007145A4" w:rsidRPr="00F33CDB">
        <w:rPr>
          <w:color w:val="C00000"/>
          <w:lang w:val="es-MX"/>
        </w:rPr>
        <w:t xml:space="preserve"> </w:t>
      </w:r>
    </w:p>
    <w:p w:rsidR="00926F76" w:rsidRPr="00F33CDB" w:rsidRDefault="00926F76" w:rsidP="00776849">
      <w:pPr>
        <w:spacing w:before="120" w:after="120" w:line="240" w:lineRule="auto"/>
        <w:jc w:val="both"/>
        <w:rPr>
          <w:lang w:val="es-MX" w:eastAsia="es-MX"/>
        </w:rPr>
      </w:pPr>
      <w:r w:rsidRPr="00F33CDB">
        <w:rPr>
          <w:lang w:val="es-MX" w:eastAsia="es-MX"/>
        </w:rPr>
        <w:t>La situación de las personas defensoras de los derechos humanos ambientales en México es preocupante</w:t>
      </w:r>
      <w:r w:rsidR="00166CC2" w:rsidRPr="00F33CDB">
        <w:rPr>
          <w:lang w:val="es-MX" w:eastAsia="es-MX"/>
        </w:rPr>
        <w:t>,</w:t>
      </w:r>
      <w:r w:rsidRPr="00F33CDB">
        <w:rPr>
          <w:lang w:val="es-MX" w:eastAsia="es-MX"/>
        </w:rPr>
        <w:t xml:space="preserve"> durante el 2016 continuaron las agresiones en contra de las personas que defienden el agua, el aire, la tierra, la flora y la fauna en </w:t>
      </w:r>
      <w:r w:rsidR="00166CC2" w:rsidRPr="00F33CDB">
        <w:rPr>
          <w:lang w:val="es-MX" w:eastAsia="es-MX"/>
        </w:rPr>
        <w:t>México</w:t>
      </w:r>
      <w:r w:rsidRPr="00F33CDB">
        <w:rPr>
          <w:lang w:val="es-MX" w:eastAsia="es-MX"/>
        </w:rPr>
        <w:t xml:space="preserve">, registrándose 63 ataques en diversas modalidades.  De 2010 a julio de 2016 se han registrado 303 casos de ataques </w:t>
      </w:r>
      <w:r w:rsidR="002E6209">
        <w:rPr>
          <w:lang w:val="es-MX" w:eastAsia="es-MX"/>
        </w:rPr>
        <w:t>en contra de</w:t>
      </w:r>
      <w:r w:rsidR="002E6209" w:rsidRPr="00F33CDB">
        <w:rPr>
          <w:lang w:val="es-MX" w:eastAsia="es-MX"/>
        </w:rPr>
        <w:t xml:space="preserve"> </w:t>
      </w:r>
      <w:r w:rsidRPr="00F33CDB">
        <w:rPr>
          <w:lang w:val="es-MX" w:eastAsia="es-MX"/>
        </w:rPr>
        <w:t xml:space="preserve">las </w:t>
      </w:r>
      <w:r w:rsidR="00C51B3C" w:rsidRPr="00F33CDB">
        <w:rPr>
          <w:lang w:val="es-MX" w:eastAsia="es-MX"/>
        </w:rPr>
        <w:t>personas defensoras</w:t>
      </w:r>
      <w:r w:rsidRPr="00F33CDB">
        <w:rPr>
          <w:lang w:val="es-MX" w:eastAsia="es-MX"/>
        </w:rPr>
        <w:t xml:space="preserve"> ambientales</w:t>
      </w:r>
      <w:r w:rsidR="00FB3596" w:rsidRPr="00F33CDB">
        <w:rPr>
          <w:rStyle w:val="FootnoteReference"/>
          <w:lang w:val="es-MX" w:eastAsia="es-MX"/>
        </w:rPr>
        <w:footnoteReference w:id="1"/>
      </w:r>
      <w:r w:rsidRPr="00F33CDB">
        <w:rPr>
          <w:lang w:val="es-MX" w:eastAsia="es-MX"/>
        </w:rPr>
        <w:t>.</w:t>
      </w:r>
    </w:p>
    <w:p w:rsidR="00926F76" w:rsidRPr="00F33CDB" w:rsidRDefault="00926F76" w:rsidP="00776849">
      <w:pPr>
        <w:spacing w:before="120" w:after="120" w:line="240" w:lineRule="auto"/>
        <w:jc w:val="both"/>
        <w:rPr>
          <w:lang w:val="es-MX" w:eastAsia="es-MX"/>
        </w:rPr>
      </w:pPr>
      <w:r w:rsidRPr="00F33CDB">
        <w:rPr>
          <w:lang w:val="es-MX" w:eastAsia="es-MX"/>
        </w:rPr>
        <w:t xml:space="preserve">Las entidades donde se registraron el mayor número de ataques son el Estado de México y Sonora con 12 casos cada uno; Oaxaca con </w:t>
      </w:r>
      <w:r w:rsidR="002E6209">
        <w:rPr>
          <w:lang w:val="es-MX" w:eastAsia="es-MX"/>
        </w:rPr>
        <w:t>seis</w:t>
      </w:r>
      <w:r w:rsidR="002E6209" w:rsidRPr="00F33CDB">
        <w:rPr>
          <w:lang w:val="es-MX" w:eastAsia="es-MX"/>
        </w:rPr>
        <w:t xml:space="preserve"> </w:t>
      </w:r>
      <w:r w:rsidRPr="00F33CDB">
        <w:rPr>
          <w:lang w:val="es-MX" w:eastAsia="es-MX"/>
        </w:rPr>
        <w:t xml:space="preserve">casos; Puebla con </w:t>
      </w:r>
      <w:r w:rsidR="002E6209">
        <w:rPr>
          <w:lang w:val="es-MX" w:eastAsia="es-MX"/>
        </w:rPr>
        <w:t>cinco</w:t>
      </w:r>
      <w:r w:rsidRPr="00F33CDB">
        <w:rPr>
          <w:lang w:val="es-MX" w:eastAsia="es-MX"/>
        </w:rPr>
        <w:t xml:space="preserve"> casos; Colima y Campeche con </w:t>
      </w:r>
      <w:r w:rsidR="002E6209">
        <w:rPr>
          <w:lang w:val="es-MX" w:eastAsia="es-MX"/>
        </w:rPr>
        <w:t>cuatro</w:t>
      </w:r>
      <w:r w:rsidR="002E6209" w:rsidRPr="00F33CDB">
        <w:rPr>
          <w:lang w:val="es-MX" w:eastAsia="es-MX"/>
        </w:rPr>
        <w:t xml:space="preserve"> </w:t>
      </w:r>
      <w:r w:rsidRPr="00F33CDB">
        <w:rPr>
          <w:lang w:val="es-MX" w:eastAsia="es-MX"/>
        </w:rPr>
        <w:t xml:space="preserve">casos; Veracruz y Chiapas con </w:t>
      </w:r>
      <w:r w:rsidR="002E6209">
        <w:rPr>
          <w:lang w:val="es-MX" w:eastAsia="es-MX"/>
        </w:rPr>
        <w:t>tres</w:t>
      </w:r>
      <w:r w:rsidR="002E6209" w:rsidRPr="00F33CDB">
        <w:rPr>
          <w:lang w:val="es-MX" w:eastAsia="es-MX"/>
        </w:rPr>
        <w:t xml:space="preserve"> </w:t>
      </w:r>
      <w:r w:rsidRPr="00F33CDB">
        <w:rPr>
          <w:lang w:val="es-MX" w:eastAsia="es-MX"/>
        </w:rPr>
        <w:t xml:space="preserve">casos; Quintana Roo, Jalisco, Guanajuato y Baja California Sur con </w:t>
      </w:r>
      <w:r w:rsidR="002E6209">
        <w:rPr>
          <w:lang w:val="es-MX" w:eastAsia="es-MX"/>
        </w:rPr>
        <w:t>dos</w:t>
      </w:r>
      <w:r w:rsidR="002E6209" w:rsidRPr="00F33CDB">
        <w:rPr>
          <w:lang w:val="es-MX" w:eastAsia="es-MX"/>
        </w:rPr>
        <w:t xml:space="preserve"> </w:t>
      </w:r>
      <w:r w:rsidRPr="00F33CDB">
        <w:rPr>
          <w:lang w:val="es-MX" w:eastAsia="es-MX"/>
        </w:rPr>
        <w:t xml:space="preserve">casos; y finalmente Yucatán, Morelos, Michoacán, Guerrero, Chihuahua y Ciudad de México con sólo un caso. </w:t>
      </w:r>
    </w:p>
    <w:p w:rsidR="00926F76" w:rsidRPr="00F33CDB" w:rsidRDefault="00926F76" w:rsidP="00776849">
      <w:pPr>
        <w:spacing w:before="120" w:after="120" w:line="240" w:lineRule="auto"/>
        <w:jc w:val="both"/>
        <w:rPr>
          <w:lang w:val="es-MX" w:eastAsia="es-MX"/>
        </w:rPr>
      </w:pPr>
      <w:r w:rsidRPr="00F33CDB">
        <w:rPr>
          <w:lang w:val="es-MX" w:eastAsia="es-MX"/>
        </w:rPr>
        <w:t xml:space="preserve">Las agresiones más comunes fueron dirigidas </w:t>
      </w:r>
      <w:r w:rsidR="006B3D29">
        <w:rPr>
          <w:lang w:val="es-MX" w:eastAsia="es-MX"/>
        </w:rPr>
        <w:t>en contra de</w:t>
      </w:r>
      <w:r w:rsidRPr="00F33CDB">
        <w:rPr>
          <w:lang w:val="es-MX" w:eastAsia="es-MX"/>
        </w:rPr>
        <w:t xml:space="preserve"> individuos (139) y en menor medida </w:t>
      </w:r>
      <w:r w:rsidR="006B3D29">
        <w:rPr>
          <w:lang w:val="es-MX" w:eastAsia="es-MX"/>
        </w:rPr>
        <w:t>contra</w:t>
      </w:r>
      <w:r w:rsidR="006B3D29" w:rsidRPr="00F33CDB">
        <w:rPr>
          <w:lang w:val="es-MX" w:eastAsia="es-MX"/>
        </w:rPr>
        <w:t xml:space="preserve"> </w:t>
      </w:r>
      <w:r w:rsidRPr="00F33CDB">
        <w:rPr>
          <w:lang w:val="es-MX" w:eastAsia="es-MX"/>
        </w:rPr>
        <w:t xml:space="preserve">organizaciones de la sociedad civil (10) y comunidades (20). Los tipos de megaproyectos y actividades </w:t>
      </w:r>
      <w:r w:rsidR="00166CC2" w:rsidRPr="00F33CDB">
        <w:rPr>
          <w:lang w:val="es-MX" w:eastAsia="es-MX"/>
        </w:rPr>
        <w:t xml:space="preserve">en los que </w:t>
      </w:r>
      <w:r w:rsidRPr="00F33CDB">
        <w:rPr>
          <w:lang w:val="es-MX" w:eastAsia="es-MX"/>
        </w:rPr>
        <w:t>más se registraron casos de agresiones son los hidráulicos, con 17, (incluyendo políticas públicas en torno al agua), seguidos de los proyectos mineros (10), de infraestructura (</w:t>
      </w:r>
      <w:r w:rsidR="00166CC2" w:rsidRPr="00F33CDB">
        <w:rPr>
          <w:lang w:val="es-MX" w:eastAsia="es-MX"/>
        </w:rPr>
        <w:t>ocho</w:t>
      </w:r>
      <w:r w:rsidRPr="00F33CDB">
        <w:rPr>
          <w:lang w:val="es-MX" w:eastAsia="es-MX"/>
        </w:rPr>
        <w:t>) e hidroeléctricos (</w:t>
      </w:r>
      <w:r w:rsidR="00166CC2" w:rsidRPr="00F33CDB">
        <w:rPr>
          <w:lang w:val="es-MX" w:eastAsia="es-MX"/>
        </w:rPr>
        <w:t>siete</w:t>
      </w:r>
      <w:r w:rsidRPr="00F33CDB">
        <w:rPr>
          <w:lang w:val="es-MX" w:eastAsia="es-MX"/>
        </w:rPr>
        <w:t xml:space="preserve">), </w:t>
      </w:r>
      <w:r w:rsidR="00166CC2" w:rsidRPr="00F33CDB">
        <w:rPr>
          <w:lang w:val="es-MX" w:eastAsia="es-MX"/>
        </w:rPr>
        <w:t xml:space="preserve">cinco </w:t>
      </w:r>
      <w:r w:rsidRPr="00F33CDB">
        <w:rPr>
          <w:lang w:val="es-MX" w:eastAsia="es-MX"/>
        </w:rPr>
        <w:t xml:space="preserve">inmobiliarios, </w:t>
      </w:r>
      <w:r w:rsidR="00C21B60" w:rsidRPr="00F33CDB">
        <w:rPr>
          <w:lang w:val="es-MX" w:eastAsia="es-MX"/>
        </w:rPr>
        <w:t>cuatro despojos</w:t>
      </w:r>
      <w:r w:rsidRPr="00F33CDB">
        <w:rPr>
          <w:lang w:val="es-MX" w:eastAsia="es-MX"/>
        </w:rPr>
        <w:t xml:space="preserve"> de tierras, </w:t>
      </w:r>
      <w:r w:rsidR="00166CC2" w:rsidRPr="00F33CDB">
        <w:rPr>
          <w:lang w:val="es-MX" w:eastAsia="es-MX"/>
        </w:rPr>
        <w:t xml:space="preserve">cuatro </w:t>
      </w:r>
      <w:r w:rsidRPr="00F33CDB">
        <w:rPr>
          <w:lang w:val="es-MX" w:eastAsia="es-MX"/>
        </w:rPr>
        <w:t xml:space="preserve">por eólicos, </w:t>
      </w:r>
      <w:r w:rsidR="00166CC2" w:rsidRPr="00F33CDB">
        <w:rPr>
          <w:lang w:val="es-MX" w:eastAsia="es-MX"/>
        </w:rPr>
        <w:t xml:space="preserve">dos </w:t>
      </w:r>
      <w:r w:rsidRPr="00F33CDB">
        <w:rPr>
          <w:lang w:val="es-MX" w:eastAsia="es-MX"/>
        </w:rPr>
        <w:t xml:space="preserve">por contaminación, </w:t>
      </w:r>
      <w:r w:rsidR="006B3D29">
        <w:rPr>
          <w:lang w:val="es-MX" w:eastAsia="es-MX"/>
        </w:rPr>
        <w:t>dos</w:t>
      </w:r>
      <w:r w:rsidR="006B3D29" w:rsidRPr="00F33CDB">
        <w:rPr>
          <w:lang w:val="es-MX" w:eastAsia="es-MX"/>
        </w:rPr>
        <w:t xml:space="preserve"> </w:t>
      </w:r>
      <w:r w:rsidRPr="00F33CDB">
        <w:rPr>
          <w:lang w:val="es-MX" w:eastAsia="es-MX"/>
        </w:rPr>
        <w:t xml:space="preserve">turísticos, </w:t>
      </w:r>
      <w:r w:rsidR="006B3D29">
        <w:rPr>
          <w:lang w:val="es-MX" w:eastAsia="es-MX"/>
        </w:rPr>
        <w:t>dos</w:t>
      </w:r>
      <w:r w:rsidR="006B3D29" w:rsidRPr="00F33CDB">
        <w:rPr>
          <w:lang w:val="es-MX" w:eastAsia="es-MX"/>
        </w:rPr>
        <w:t xml:space="preserve"> </w:t>
      </w:r>
      <w:r w:rsidRPr="00F33CDB">
        <w:rPr>
          <w:lang w:val="es-MX" w:eastAsia="es-MX"/>
        </w:rPr>
        <w:t xml:space="preserve">transgénicos y </w:t>
      </w:r>
      <w:r w:rsidR="00166CC2" w:rsidRPr="00F33CDB">
        <w:rPr>
          <w:lang w:val="es-MX" w:eastAsia="es-MX"/>
        </w:rPr>
        <w:t xml:space="preserve">dos </w:t>
      </w:r>
      <w:r w:rsidRPr="00F33CDB">
        <w:rPr>
          <w:lang w:val="es-MX" w:eastAsia="es-MX"/>
        </w:rPr>
        <w:t>por tala clandestina. De los 63 casos registrados el recurso natural más afectado fue la tierra y el territorio con 27 casos, seguido del agua con 24 casos; bosque y medio ambiente en general con 5 casos cad</w:t>
      </w:r>
      <w:r w:rsidR="002C3944" w:rsidRPr="00F33CDB">
        <w:rPr>
          <w:lang w:val="es-MX" w:eastAsia="es-MX"/>
        </w:rPr>
        <w:t>a</w:t>
      </w:r>
      <w:r w:rsidRPr="00F33CDB">
        <w:rPr>
          <w:lang w:val="es-MX" w:eastAsia="es-MX"/>
        </w:rPr>
        <w:t xml:space="preserve"> uno; y ecosistema costero y manglar con </w:t>
      </w:r>
      <w:r w:rsidR="00166CC2" w:rsidRPr="00F33CDB">
        <w:rPr>
          <w:lang w:val="es-MX" w:eastAsia="es-MX"/>
        </w:rPr>
        <w:t xml:space="preserve">un </w:t>
      </w:r>
      <w:r w:rsidRPr="00F33CDB">
        <w:rPr>
          <w:lang w:val="es-MX" w:eastAsia="es-MX"/>
        </w:rPr>
        <w:t>caso cada uno.</w:t>
      </w:r>
    </w:p>
    <w:p w:rsidR="00926F76" w:rsidRPr="00F33CDB" w:rsidRDefault="00926F76" w:rsidP="00776849">
      <w:pPr>
        <w:spacing w:before="120" w:after="120" w:line="240" w:lineRule="auto"/>
        <w:jc w:val="both"/>
        <w:rPr>
          <w:lang w:val="es-MX" w:eastAsia="es-MX"/>
        </w:rPr>
      </w:pPr>
      <w:r w:rsidRPr="00F33CDB">
        <w:rPr>
          <w:lang w:val="es-MX" w:eastAsia="es-MX"/>
        </w:rPr>
        <w:t>De igual manera, las agresiones más recurrentes fueron las amenazas (24%), seguidas de la intimidación con un 19%, la criminalización en un 18% y las agresiones físicas se presentaron en un 15%. Otras agresiones registradas fueron el hostigamiento con 11%, la difamación con 6%, la privación ilegal de la libertad, el desalojo forzoso, el allanamiento y robo en un 2% cada uno. Únicamente se registró un caso de homicidio, el cual ocurrió en el estado de Chihuahua, vinculado con tala clandestina.</w:t>
      </w:r>
    </w:p>
    <w:p w:rsidR="00926F76" w:rsidRPr="00F33CDB" w:rsidRDefault="00926F76" w:rsidP="00776849">
      <w:pPr>
        <w:spacing w:before="120" w:after="120" w:line="240" w:lineRule="auto"/>
        <w:jc w:val="both"/>
        <w:rPr>
          <w:lang w:val="es-MX" w:eastAsia="es-MX"/>
        </w:rPr>
      </w:pPr>
      <w:r w:rsidRPr="00F33CDB">
        <w:rPr>
          <w:lang w:val="es-MX" w:eastAsia="es-MX"/>
        </w:rPr>
        <w:t xml:space="preserve">Resulta altamente preocupante que el Estado mexicano no esté realizando un papel eficaz para prevenir y sancionar las agresiones contra </w:t>
      </w:r>
      <w:proofErr w:type="gramStart"/>
      <w:r w:rsidRPr="00F33CDB">
        <w:rPr>
          <w:lang w:val="es-MX" w:eastAsia="es-MX"/>
        </w:rPr>
        <w:t xml:space="preserve">los </w:t>
      </w:r>
      <w:r w:rsidR="00C51B3C" w:rsidRPr="00F33CDB">
        <w:rPr>
          <w:lang w:val="es-MX" w:eastAsia="es-MX"/>
        </w:rPr>
        <w:t>personas defensoras</w:t>
      </w:r>
      <w:r w:rsidRPr="00F33CDB">
        <w:rPr>
          <w:lang w:val="es-MX" w:eastAsia="es-MX"/>
        </w:rPr>
        <w:t xml:space="preserve"> ambientales</w:t>
      </w:r>
      <w:proofErr w:type="gramEnd"/>
      <w:r w:rsidRPr="00F33CDB">
        <w:rPr>
          <w:lang w:val="es-MX" w:eastAsia="es-MX"/>
        </w:rPr>
        <w:t xml:space="preserve">, toda vez, que, en muchas ocasiones, son las propias autoridades, en los tres niveles de gobierno, quienes cometen o tienen participación en las agresiones.  Y es que, de acuerdo con los datos obtenidos, 43% de las agresiones provinieron de autoridades del Estado mexicano de los distintos órdenes de gobierno; (el 56% fueron cometidas por autoridades estatales; el 22% por autoridades federales y el otro 22% por autoridades municipales) el 14% fueron cometidas por particulares; el 7% por parte del personal de las empresas; el 3% por parte de la gente de la misma comunidad y el 2% por grupos del crimen organizado. En el 31% de los casos no fue posible identificar a los agresores. </w:t>
      </w:r>
    </w:p>
    <w:p w:rsidR="00926F76" w:rsidRPr="00F33CDB" w:rsidRDefault="00926F76" w:rsidP="00776849">
      <w:pPr>
        <w:spacing w:before="120" w:after="120" w:line="240" w:lineRule="auto"/>
        <w:jc w:val="both"/>
        <w:rPr>
          <w:lang w:val="es-MX" w:eastAsia="es-MX"/>
        </w:rPr>
      </w:pPr>
      <w:r w:rsidRPr="00F33CDB">
        <w:rPr>
          <w:lang w:val="es-MX" w:eastAsia="es-MX"/>
        </w:rPr>
        <w:t xml:space="preserve">La corrupción y la impunidad han sido señaladas como factores que propician las agresiones a las </w:t>
      </w:r>
      <w:r w:rsidR="00C51B3C" w:rsidRPr="00F33CDB">
        <w:rPr>
          <w:lang w:val="es-MX" w:eastAsia="es-MX"/>
        </w:rPr>
        <w:t>personas defensoras</w:t>
      </w:r>
      <w:r w:rsidRPr="00F33CDB">
        <w:rPr>
          <w:lang w:val="es-MX" w:eastAsia="es-MX"/>
        </w:rPr>
        <w:t xml:space="preserve"> del medio </w:t>
      </w:r>
      <w:r w:rsidR="00895AB8" w:rsidRPr="00F33CDB">
        <w:rPr>
          <w:lang w:val="es-MX" w:eastAsia="es-MX"/>
        </w:rPr>
        <w:t>ambiente,</w:t>
      </w:r>
      <w:r w:rsidRPr="00F33CDB">
        <w:rPr>
          <w:lang w:val="es-MX" w:eastAsia="es-MX"/>
        </w:rPr>
        <w:t xml:space="preserve"> así como el incremento de los conflictos socio-ambientales por los intereses económicos implicados, otra causa de estos conflictos es el desequilibrio del </w:t>
      </w:r>
      <w:r w:rsidR="00B53DB1" w:rsidRPr="00F33CDB">
        <w:rPr>
          <w:lang w:val="es-MX" w:eastAsia="es-MX"/>
        </w:rPr>
        <w:t>poder entre</w:t>
      </w:r>
      <w:r w:rsidRPr="00F33CDB">
        <w:rPr>
          <w:lang w:val="es-MX" w:eastAsia="es-MX"/>
        </w:rPr>
        <w:t xml:space="preserve"> los estados, las empresas y </w:t>
      </w:r>
      <w:r w:rsidR="005569C3" w:rsidRPr="00F33CDB">
        <w:rPr>
          <w:lang w:val="es-MX" w:eastAsia="es-MX"/>
        </w:rPr>
        <w:t>las personas defensoras</w:t>
      </w:r>
      <w:r w:rsidRPr="00F33CDB">
        <w:rPr>
          <w:lang w:val="es-MX" w:eastAsia="es-MX"/>
        </w:rPr>
        <w:t xml:space="preserve"> de los derechos humanos ambientales.</w:t>
      </w:r>
    </w:p>
    <w:p w:rsidR="00926F76" w:rsidRPr="00F33CDB" w:rsidRDefault="00926F76" w:rsidP="00776849">
      <w:pPr>
        <w:spacing w:before="120" w:after="120" w:line="240" w:lineRule="auto"/>
        <w:rPr>
          <w:rFonts w:asciiTheme="majorHAnsi" w:eastAsiaTheme="majorEastAsia" w:hAnsiTheme="majorHAnsi" w:cstheme="majorBidi"/>
          <w:color w:val="C00000"/>
          <w:sz w:val="32"/>
          <w:szCs w:val="32"/>
          <w:lang w:val="es-MX"/>
        </w:rPr>
      </w:pPr>
    </w:p>
    <w:p w:rsidR="00517222" w:rsidRPr="00F33CDB" w:rsidRDefault="00517222" w:rsidP="00776849">
      <w:pPr>
        <w:pStyle w:val="Heading1"/>
        <w:numPr>
          <w:ilvl w:val="0"/>
          <w:numId w:val="4"/>
        </w:numPr>
        <w:spacing w:before="120" w:after="120" w:line="240" w:lineRule="auto"/>
        <w:jc w:val="both"/>
        <w:rPr>
          <w:color w:val="C00000"/>
          <w:lang w:val="es-MX"/>
        </w:rPr>
      </w:pPr>
      <w:bookmarkStart w:id="3" w:name="_Toc491851644"/>
      <w:r w:rsidRPr="00F33CDB">
        <w:rPr>
          <w:color w:val="C00000"/>
          <w:lang w:val="es-MX"/>
        </w:rPr>
        <w:t>Mecanismo Federal de Protección a Personas defensoras de derechos humanos y periodistas</w:t>
      </w:r>
      <w:bookmarkEnd w:id="3"/>
    </w:p>
    <w:p w:rsidR="008727FB" w:rsidRPr="00F33CDB" w:rsidRDefault="00457C4F" w:rsidP="00776849">
      <w:pPr>
        <w:spacing w:before="120" w:after="120" w:line="240" w:lineRule="auto"/>
        <w:jc w:val="both"/>
        <w:rPr>
          <w:rFonts w:ascii="Calibri" w:hAnsi="Calibri"/>
          <w:lang w:val="es-MX"/>
        </w:rPr>
      </w:pPr>
      <w:r w:rsidRPr="00F33CDB">
        <w:rPr>
          <w:rFonts w:ascii="Calibri" w:hAnsi="Calibri"/>
          <w:lang w:val="es-MX"/>
        </w:rPr>
        <w:t xml:space="preserve">Desde su creación hasta julio de 2017, el Mecanismo ha recibido 562 solicitudes de protección (238 de defensores y 324 de periodistas), 478 de las cuales han sido aceptadas, representando a 774 personas, 451 defensores y 323 periodistas. </w:t>
      </w:r>
      <w:r w:rsidR="008727FB" w:rsidRPr="00F33CDB">
        <w:rPr>
          <w:rFonts w:ascii="Calibri" w:hAnsi="Calibri"/>
          <w:lang w:val="es-MX"/>
        </w:rPr>
        <w:t>Actualmente, el  Mecanismo Federal otorga medidas de protección a 374 personas defensoras</w:t>
      </w:r>
      <w:r w:rsidR="008727FB" w:rsidRPr="00F33CDB">
        <w:rPr>
          <w:rStyle w:val="FootnoteAnchor"/>
          <w:rFonts w:ascii="Calibri" w:hAnsi="Calibri"/>
          <w:lang w:val="es-MX"/>
        </w:rPr>
        <w:footnoteReference w:id="2"/>
      </w:r>
      <w:r w:rsidR="008727FB" w:rsidRPr="00F33CDB">
        <w:rPr>
          <w:rFonts w:ascii="Calibri" w:hAnsi="Calibri"/>
          <w:lang w:val="es-MX"/>
        </w:rPr>
        <w:t>.</w:t>
      </w:r>
      <w:r w:rsidRPr="00F33CDB">
        <w:rPr>
          <w:rFonts w:ascii="Calibri" w:hAnsi="Calibri"/>
          <w:lang w:val="es-MX"/>
        </w:rPr>
        <w:t xml:space="preserve"> </w:t>
      </w:r>
      <w:r w:rsidR="008727FB" w:rsidRPr="00F33CDB">
        <w:rPr>
          <w:rFonts w:ascii="Calibri" w:hAnsi="Calibri"/>
          <w:lang w:val="es-MX"/>
        </w:rPr>
        <w:t xml:space="preserve">La información provista por la Secretaría de Gobernación no desglosa por tipo de actividad de la persona defensora, por </w:t>
      </w:r>
      <w:r w:rsidR="00666E7B" w:rsidRPr="00F33CDB">
        <w:rPr>
          <w:rFonts w:ascii="Calibri" w:hAnsi="Calibri"/>
          <w:lang w:val="es-MX"/>
        </w:rPr>
        <w:t>tanto,</w:t>
      </w:r>
      <w:r w:rsidR="008727FB" w:rsidRPr="00F33CDB">
        <w:rPr>
          <w:rFonts w:ascii="Calibri" w:hAnsi="Calibri"/>
          <w:lang w:val="es-MX"/>
        </w:rPr>
        <w:t xml:space="preserve"> se desconoce el porcentaje de </w:t>
      </w:r>
      <w:r w:rsidR="00C51B3C" w:rsidRPr="00F33CDB">
        <w:rPr>
          <w:rFonts w:ascii="Calibri" w:hAnsi="Calibri"/>
          <w:lang w:val="es-MX"/>
        </w:rPr>
        <w:t>personas defensoras</w:t>
      </w:r>
      <w:r w:rsidR="008727FB" w:rsidRPr="00F33CDB">
        <w:rPr>
          <w:rFonts w:ascii="Calibri" w:hAnsi="Calibri"/>
          <w:lang w:val="es-MX"/>
        </w:rPr>
        <w:t xml:space="preserve"> de derechos económicos, sociales y culturales que son beneficiarios de medidas de protección. El aumento gradual de incorporaciones al mecanismo es síntoma de la grave situación de riesgo que enfrentan, sin </w:t>
      </w:r>
      <w:r w:rsidR="00666E7B" w:rsidRPr="00F33CDB">
        <w:rPr>
          <w:rFonts w:ascii="Calibri" w:hAnsi="Calibri"/>
          <w:lang w:val="es-MX"/>
        </w:rPr>
        <w:t>embargo,</w:t>
      </w:r>
      <w:r w:rsidR="008727FB" w:rsidRPr="00F33CDB">
        <w:rPr>
          <w:rFonts w:ascii="Calibri" w:hAnsi="Calibri"/>
          <w:lang w:val="es-MX"/>
        </w:rPr>
        <w:t xml:space="preserve"> expertos y sociedad civil </w:t>
      </w:r>
      <w:r w:rsidR="00CC4E64" w:rsidRPr="00F33CDB">
        <w:rPr>
          <w:rFonts w:ascii="Calibri" w:hAnsi="Calibri"/>
          <w:lang w:val="es-MX"/>
        </w:rPr>
        <w:t>prevén</w:t>
      </w:r>
      <w:r w:rsidR="008727FB" w:rsidRPr="00F33CDB">
        <w:rPr>
          <w:rFonts w:ascii="Calibri" w:hAnsi="Calibri"/>
          <w:lang w:val="es-MX"/>
        </w:rPr>
        <w:t xml:space="preserve"> una saturación del </w:t>
      </w:r>
      <w:r w:rsidR="00F943B2">
        <w:rPr>
          <w:rFonts w:ascii="Calibri" w:hAnsi="Calibri"/>
          <w:lang w:val="es-MX"/>
        </w:rPr>
        <w:t>M</w:t>
      </w:r>
      <w:r w:rsidR="008727FB" w:rsidRPr="00F33CDB">
        <w:rPr>
          <w:rFonts w:ascii="Calibri" w:hAnsi="Calibri"/>
          <w:lang w:val="es-MX"/>
        </w:rPr>
        <w:t xml:space="preserve">ecanismo para poder brindar protección a todas las personas defensoras que lo necesitan. </w:t>
      </w:r>
    </w:p>
    <w:p w:rsidR="008727FB" w:rsidRPr="00F33CDB" w:rsidRDefault="008727FB" w:rsidP="00776849">
      <w:pPr>
        <w:spacing w:before="120" w:after="120" w:line="240" w:lineRule="auto"/>
        <w:jc w:val="both"/>
        <w:rPr>
          <w:rFonts w:ascii="Calibri" w:hAnsi="Calibri"/>
          <w:lang w:val="es-MX"/>
        </w:rPr>
      </w:pPr>
      <w:r w:rsidRPr="00F33CDB">
        <w:rPr>
          <w:rFonts w:ascii="Calibri" w:hAnsi="Calibri"/>
          <w:lang w:val="es-MX"/>
        </w:rPr>
        <w:t xml:space="preserve">En el Mecanismo se diferencian tres tipos de medidas de protección asignadas a las personas defensoras: medidas urgentes de protección, como evacuación o escoltas de cuerpos especializados; medidas de protección, como instalación de cámaras, chalecos antibalas, autos blindados; y medidas preventivas, por </w:t>
      </w:r>
      <w:r w:rsidR="00666E7B" w:rsidRPr="00F33CDB">
        <w:rPr>
          <w:rFonts w:ascii="Calibri" w:hAnsi="Calibri"/>
          <w:lang w:val="es-MX"/>
        </w:rPr>
        <w:t>ejemplo,</w:t>
      </w:r>
      <w:r w:rsidRPr="00F33CDB">
        <w:rPr>
          <w:rFonts w:ascii="Calibri" w:hAnsi="Calibri"/>
          <w:lang w:val="es-MX"/>
        </w:rPr>
        <w:t xml:space="preserve"> manuales o cursos de autoprotección. Al existir un riesgo inminente, el </w:t>
      </w:r>
      <w:r w:rsidR="00F943B2">
        <w:rPr>
          <w:rFonts w:ascii="Calibri" w:hAnsi="Calibri"/>
          <w:lang w:val="es-MX"/>
        </w:rPr>
        <w:t>M</w:t>
      </w:r>
      <w:r w:rsidRPr="00F33CDB">
        <w:rPr>
          <w:rFonts w:ascii="Calibri" w:hAnsi="Calibri"/>
          <w:lang w:val="es-MX"/>
        </w:rPr>
        <w:t>ecanismo d</w:t>
      </w:r>
      <w:r w:rsidR="00BD509A">
        <w:rPr>
          <w:rFonts w:ascii="Calibri" w:hAnsi="Calibri"/>
          <w:lang w:val="es-MX"/>
        </w:rPr>
        <w:t>ebe</w:t>
      </w:r>
      <w:r w:rsidRPr="00F33CDB">
        <w:rPr>
          <w:rFonts w:ascii="Calibri" w:hAnsi="Calibri"/>
          <w:lang w:val="es-MX"/>
        </w:rPr>
        <w:t xml:space="preserve"> empezar el procedimiento extraordinari</w:t>
      </w:r>
      <w:r w:rsidR="00112DCF" w:rsidRPr="00F33CDB">
        <w:rPr>
          <w:rFonts w:ascii="Calibri" w:hAnsi="Calibri"/>
          <w:lang w:val="es-MX"/>
        </w:rPr>
        <w:t>o</w:t>
      </w:r>
      <w:r w:rsidRPr="00F33CDB">
        <w:rPr>
          <w:rFonts w:ascii="Calibri" w:hAnsi="Calibri"/>
          <w:lang w:val="es-MX"/>
        </w:rPr>
        <w:t xml:space="preserve">, </w:t>
      </w:r>
      <w:r w:rsidR="00AE308D">
        <w:rPr>
          <w:rFonts w:ascii="Calibri" w:hAnsi="Calibri"/>
          <w:lang w:val="es-MX"/>
        </w:rPr>
        <w:t>es decir</w:t>
      </w:r>
      <w:r w:rsidRPr="00F33CDB">
        <w:rPr>
          <w:rFonts w:ascii="Calibri" w:hAnsi="Calibri"/>
          <w:lang w:val="es-MX"/>
        </w:rPr>
        <w:t xml:space="preserve"> establecer un plan de acción inmediato. Si no existe un riesgo inminente, se inicia un procedimiento ordinario.</w:t>
      </w:r>
      <w:r w:rsidRPr="00F33CDB">
        <w:rPr>
          <w:rStyle w:val="FootnoteAnchor"/>
          <w:rFonts w:ascii="Calibri" w:hAnsi="Calibri"/>
          <w:lang w:val="es-MX"/>
        </w:rPr>
        <w:footnoteReference w:id="3"/>
      </w:r>
      <w:r w:rsidRPr="00F33CDB">
        <w:rPr>
          <w:rFonts w:ascii="Calibri" w:hAnsi="Calibri"/>
          <w:lang w:val="es-MX"/>
        </w:rPr>
        <w:t xml:space="preserve"> Según el Mecanismo, las medidas otorgadas con mayor frecuencia son botones de asistencia y ´otras medidas´, que pueden ser comunicación a las autoridades sobre la incorporación de personas beneficiarias, solicitudes de información sobre avances en Averiguaciones Previas, solicitudes de reuniones entre autoridades, entre otras. </w:t>
      </w:r>
    </w:p>
    <w:p w:rsidR="008727FB" w:rsidRPr="00F33CDB" w:rsidRDefault="008727FB" w:rsidP="00776849">
      <w:pPr>
        <w:spacing w:before="120" w:after="120" w:line="240" w:lineRule="auto"/>
        <w:jc w:val="both"/>
        <w:rPr>
          <w:rFonts w:ascii="Calibri" w:hAnsi="Calibri"/>
          <w:lang w:val="es-MX"/>
        </w:rPr>
      </w:pPr>
      <w:r w:rsidRPr="00F33CDB">
        <w:rPr>
          <w:rFonts w:ascii="Calibri" w:hAnsi="Calibri"/>
          <w:lang w:val="es-MX"/>
        </w:rPr>
        <w:t xml:space="preserve">Como señalábamos, el número de </w:t>
      </w:r>
      <w:r w:rsidR="000F3605">
        <w:rPr>
          <w:rFonts w:ascii="Calibri" w:hAnsi="Calibri"/>
          <w:lang w:val="es-MX"/>
        </w:rPr>
        <w:t xml:space="preserve">personas </w:t>
      </w:r>
      <w:r w:rsidRPr="00F33CDB">
        <w:rPr>
          <w:rFonts w:ascii="Calibri" w:hAnsi="Calibri"/>
          <w:lang w:val="es-MX"/>
        </w:rPr>
        <w:t>beneficiari</w:t>
      </w:r>
      <w:r w:rsidR="000F3605">
        <w:rPr>
          <w:rFonts w:ascii="Calibri" w:hAnsi="Calibri"/>
          <w:lang w:val="es-MX"/>
        </w:rPr>
        <w:t>a</w:t>
      </w:r>
      <w:r w:rsidRPr="00F33CDB">
        <w:rPr>
          <w:rFonts w:ascii="Calibri" w:hAnsi="Calibri"/>
          <w:lang w:val="es-MX"/>
        </w:rPr>
        <w:t>s ha ido en aumento desde la creación del Mecanismo. Sin embargo este indicador no refleja una mejoría de la situación de las personas defensoras ya que una de las principales causas del riesgo viene determinada por la impunidad imperante</w:t>
      </w:r>
      <w:r w:rsidRPr="00F33CDB">
        <w:rPr>
          <w:rStyle w:val="FootnoteAnchor"/>
          <w:rFonts w:ascii="Calibri" w:hAnsi="Calibri"/>
          <w:lang w:val="es-MX"/>
        </w:rPr>
        <w:footnoteReference w:id="4"/>
      </w:r>
      <w:r w:rsidRPr="00F33CDB">
        <w:rPr>
          <w:rFonts w:ascii="Calibri" w:hAnsi="Calibri"/>
          <w:lang w:val="es-MX"/>
        </w:rPr>
        <w:t xml:space="preserve">. Además, el Mecanismo tiene un enfoque mayormente reactivo, ofreciendo una solución de corto plazo a la inseguridad que enfrentan </w:t>
      </w:r>
      <w:r w:rsidR="00C51B3C" w:rsidRPr="00F33CDB">
        <w:rPr>
          <w:rFonts w:ascii="Calibri" w:hAnsi="Calibri"/>
          <w:lang w:val="es-MX"/>
        </w:rPr>
        <w:t>personas defensoras</w:t>
      </w:r>
      <w:r w:rsidRPr="00F33CDB">
        <w:rPr>
          <w:rFonts w:ascii="Calibri" w:hAnsi="Calibri"/>
          <w:lang w:val="es-MX"/>
        </w:rPr>
        <w:t xml:space="preserve"> en México. Estos seguirán siendo víctimas </w:t>
      </w:r>
      <w:r w:rsidR="005F24EE" w:rsidRPr="00F33CDB">
        <w:rPr>
          <w:rFonts w:ascii="Calibri" w:hAnsi="Calibri"/>
          <w:lang w:val="es-MX"/>
        </w:rPr>
        <w:t>de difamación</w:t>
      </w:r>
      <w:r w:rsidRPr="00F33CDB">
        <w:rPr>
          <w:rFonts w:ascii="Calibri" w:hAnsi="Calibri"/>
          <w:lang w:val="es-MX"/>
        </w:rPr>
        <w:t>, amenazas y agresiones mientras no avancen las investigaciones y se lleven a los responsables ante la justicia. Ante esta situación, las organizaciones de derechos humanos han solicitado a la Procuraduría General de la República, miembro de la Junta de Gobierno del Mecanismo, la asunción de un rol más activo e instrumental para garantizar que todos los crímenes contra personas defensoras sean debidamente investigados</w:t>
      </w:r>
      <w:r w:rsidRPr="00F33CDB">
        <w:rPr>
          <w:rStyle w:val="FootnoteAnchor"/>
          <w:rFonts w:ascii="Calibri" w:hAnsi="Calibri"/>
          <w:lang w:val="es-MX"/>
        </w:rPr>
        <w:footnoteReference w:id="5"/>
      </w:r>
      <w:r w:rsidRPr="00F33CDB">
        <w:rPr>
          <w:rFonts w:ascii="Calibri" w:hAnsi="Calibri"/>
          <w:lang w:val="es-MX"/>
        </w:rPr>
        <w:t>. La CNDH por su parte asocia el aumento constante de los ataques contra personas defensoras a la omisión reiterada del Estado mexicano de establecer protocolos de investigación donde se identifique a las personas defensoras víctimas de delitos en relación con el contexto socio-político inherente al desempeño de sus actividades</w:t>
      </w:r>
      <w:r w:rsidRPr="00F33CDB">
        <w:rPr>
          <w:rStyle w:val="FootnoteAnchor"/>
          <w:rFonts w:ascii="Calibri" w:hAnsi="Calibri"/>
          <w:lang w:val="es-MX"/>
        </w:rPr>
        <w:footnoteReference w:id="6"/>
      </w:r>
      <w:r w:rsidRPr="00F33CDB">
        <w:rPr>
          <w:rFonts w:ascii="Calibri" w:hAnsi="Calibri"/>
          <w:lang w:val="es-MX"/>
        </w:rPr>
        <w:t>.</w:t>
      </w:r>
    </w:p>
    <w:p w:rsidR="00895AB8" w:rsidRDefault="00895AB8" w:rsidP="00776849">
      <w:pPr>
        <w:pStyle w:val="ListParagraph"/>
        <w:spacing w:before="120" w:after="120" w:line="240" w:lineRule="auto"/>
        <w:ind w:left="0"/>
        <w:jc w:val="both"/>
        <w:rPr>
          <w:rFonts w:ascii="Calibri" w:hAnsi="Calibri"/>
          <w:lang w:val="es-MX"/>
        </w:rPr>
      </w:pPr>
      <w:r w:rsidRPr="00F33CDB">
        <w:rPr>
          <w:rFonts w:ascii="Calibri" w:hAnsi="Calibri"/>
          <w:lang w:val="es-MX"/>
        </w:rPr>
        <w:t xml:space="preserve">Sobre el funcionamiento del Mecanismo en casos colectivos las organizaciones de la sociedad civil que los acompañan han identificado los siguientes obstáculos en las distintas etapas que contempla el Mecanismo y que a continuación se describen: </w:t>
      </w:r>
    </w:p>
    <w:p w:rsidR="00A94BC6" w:rsidRPr="00F33CDB" w:rsidRDefault="00A94BC6" w:rsidP="00776849">
      <w:pPr>
        <w:pStyle w:val="ListParagraph"/>
        <w:spacing w:before="120" w:after="120" w:line="240" w:lineRule="auto"/>
        <w:ind w:left="0"/>
        <w:jc w:val="both"/>
        <w:rPr>
          <w:rFonts w:ascii="Calibri" w:hAnsi="Calibri"/>
          <w:lang w:val="es-MX"/>
        </w:rPr>
      </w:pPr>
    </w:p>
    <w:p w:rsidR="00895AB8" w:rsidRPr="00F33CDB" w:rsidRDefault="00895AB8" w:rsidP="00776849">
      <w:pPr>
        <w:pStyle w:val="ListParagraph"/>
        <w:spacing w:before="120" w:after="120" w:line="240" w:lineRule="auto"/>
        <w:ind w:left="0"/>
        <w:jc w:val="both"/>
        <w:rPr>
          <w:lang w:val="es-MX"/>
        </w:rPr>
      </w:pPr>
    </w:p>
    <w:tbl>
      <w:tblPr>
        <w:tblStyle w:val="TableGrid"/>
        <w:tblW w:w="0" w:type="auto"/>
        <w:tblLook w:val="04A0" w:firstRow="1" w:lastRow="0" w:firstColumn="1" w:lastColumn="0" w:noHBand="0" w:noVBand="1"/>
      </w:tblPr>
      <w:tblGrid>
        <w:gridCol w:w="1696"/>
        <w:gridCol w:w="7282"/>
      </w:tblGrid>
      <w:tr w:rsidR="00895AB8" w:rsidRPr="00E17E98" w:rsidTr="008027BE">
        <w:tc>
          <w:tcPr>
            <w:tcW w:w="8978" w:type="dxa"/>
            <w:gridSpan w:val="2"/>
          </w:tcPr>
          <w:p w:rsidR="00895AB8" w:rsidRPr="00F33CDB" w:rsidRDefault="00387968" w:rsidP="00776849">
            <w:pPr>
              <w:pStyle w:val="ListParagraph"/>
              <w:spacing w:before="120" w:after="120"/>
              <w:ind w:left="0"/>
              <w:jc w:val="center"/>
              <w:rPr>
                <w:rFonts w:cs="Arial"/>
                <w:b/>
                <w:szCs w:val="20"/>
              </w:rPr>
            </w:pPr>
            <w:r w:rsidRPr="00F33CDB">
              <w:rPr>
                <w:rFonts w:cs="Arial"/>
                <w:b/>
                <w:szCs w:val="20"/>
              </w:rPr>
              <w:t>Desafíos</w:t>
            </w:r>
            <w:r w:rsidR="00895AB8" w:rsidRPr="00F33CDB">
              <w:rPr>
                <w:rFonts w:cs="Arial"/>
                <w:b/>
                <w:szCs w:val="20"/>
              </w:rPr>
              <w:t xml:space="preserve"> del Mecanismo de Protección para las Personas Defensoras de Derechos Humanos y Periodistas</w:t>
            </w:r>
          </w:p>
          <w:p w:rsidR="00895AB8" w:rsidRPr="00F33CDB" w:rsidRDefault="00895AB8" w:rsidP="00776849">
            <w:pPr>
              <w:pStyle w:val="ListParagraph"/>
              <w:spacing w:before="120" w:after="120"/>
              <w:ind w:left="0"/>
              <w:jc w:val="both"/>
              <w:rPr>
                <w:rFonts w:cs="Arial"/>
                <w:szCs w:val="20"/>
              </w:rPr>
            </w:pPr>
          </w:p>
        </w:tc>
      </w:tr>
      <w:tr w:rsidR="00895AB8" w:rsidRPr="00E17E98" w:rsidTr="00893988">
        <w:tc>
          <w:tcPr>
            <w:tcW w:w="1696" w:type="dxa"/>
          </w:tcPr>
          <w:p w:rsidR="00895AB8" w:rsidRPr="00F33CDB" w:rsidRDefault="00895AB8" w:rsidP="00776849">
            <w:pPr>
              <w:pStyle w:val="ListParagraph"/>
              <w:spacing w:before="120" w:after="120"/>
              <w:ind w:left="0"/>
              <w:jc w:val="both"/>
              <w:rPr>
                <w:rFonts w:cs="Arial"/>
                <w:szCs w:val="20"/>
              </w:rPr>
            </w:pPr>
            <w:r w:rsidRPr="00F33CDB">
              <w:rPr>
                <w:rFonts w:cs="Arial"/>
                <w:szCs w:val="20"/>
              </w:rPr>
              <w:t>Solicitud de acceso</w:t>
            </w:r>
          </w:p>
        </w:tc>
        <w:tc>
          <w:tcPr>
            <w:tcW w:w="7282" w:type="dxa"/>
          </w:tcPr>
          <w:p w:rsidR="00895AB8" w:rsidRPr="00F33CDB" w:rsidRDefault="00895AB8" w:rsidP="00776849">
            <w:pPr>
              <w:pStyle w:val="ListParagraph"/>
              <w:spacing w:before="120" w:after="120"/>
              <w:ind w:left="0"/>
              <w:jc w:val="both"/>
              <w:rPr>
                <w:rFonts w:cs="Arial"/>
                <w:szCs w:val="20"/>
              </w:rPr>
            </w:pPr>
            <w:r w:rsidRPr="00F33CDB">
              <w:rPr>
                <w:rFonts w:cs="Arial"/>
                <w:szCs w:val="20"/>
              </w:rPr>
              <w:sym w:font="Symbol" w:char="F0B7"/>
            </w:r>
            <w:r w:rsidRPr="00F33CDB">
              <w:rPr>
                <w:rFonts w:cs="Arial"/>
                <w:szCs w:val="20"/>
              </w:rPr>
              <w:t xml:space="preserve"> Demostrar la calidad de persona defensora de derechos humanos ambientales derivado de la falta de entendimiento de los funcionarios.</w:t>
            </w:r>
          </w:p>
          <w:p w:rsidR="00895AB8" w:rsidRPr="00F33CDB" w:rsidRDefault="00895AB8" w:rsidP="00776849">
            <w:pPr>
              <w:pStyle w:val="ListParagraph"/>
              <w:spacing w:before="120" w:after="120"/>
              <w:ind w:left="0"/>
              <w:jc w:val="both"/>
              <w:rPr>
                <w:rFonts w:cs="Arial"/>
                <w:szCs w:val="20"/>
              </w:rPr>
            </w:pPr>
            <w:r w:rsidRPr="00F33CDB">
              <w:rPr>
                <w:rFonts w:cs="Arial"/>
                <w:szCs w:val="20"/>
              </w:rPr>
              <w:t xml:space="preserve"> </w:t>
            </w:r>
            <w:r w:rsidRPr="00F33CDB">
              <w:rPr>
                <w:rFonts w:cs="Arial"/>
                <w:szCs w:val="20"/>
              </w:rPr>
              <w:sym w:font="Symbol" w:char="F0B7"/>
            </w:r>
            <w:r w:rsidRPr="00F33CDB">
              <w:rPr>
                <w:rFonts w:cs="Arial"/>
                <w:szCs w:val="20"/>
              </w:rPr>
              <w:t xml:space="preserve"> En casos urgentes nunca se cumple el plazo de horas y casi siempre se envía al procedimiento ordinario.</w:t>
            </w:r>
          </w:p>
        </w:tc>
      </w:tr>
      <w:tr w:rsidR="00895AB8" w:rsidRPr="00E17E98" w:rsidTr="00893988">
        <w:tc>
          <w:tcPr>
            <w:tcW w:w="1696" w:type="dxa"/>
          </w:tcPr>
          <w:p w:rsidR="00895AB8" w:rsidRPr="00F33CDB" w:rsidRDefault="00895AB8" w:rsidP="00776849">
            <w:pPr>
              <w:pStyle w:val="ListParagraph"/>
              <w:spacing w:before="120" w:after="120"/>
              <w:ind w:left="0"/>
              <w:jc w:val="both"/>
              <w:rPr>
                <w:rFonts w:cs="Arial"/>
                <w:szCs w:val="20"/>
              </w:rPr>
            </w:pPr>
            <w:r w:rsidRPr="00F33CDB">
              <w:rPr>
                <w:rFonts w:cs="Arial"/>
                <w:szCs w:val="20"/>
              </w:rPr>
              <w:t>Análisis de riesgo</w:t>
            </w:r>
          </w:p>
        </w:tc>
        <w:tc>
          <w:tcPr>
            <w:tcW w:w="7282" w:type="dxa"/>
          </w:tcPr>
          <w:p w:rsidR="00895AB8" w:rsidRPr="00F33CDB" w:rsidRDefault="00895AB8" w:rsidP="00776849">
            <w:pPr>
              <w:pStyle w:val="ListParagraph"/>
              <w:spacing w:before="120" w:after="120"/>
              <w:ind w:left="0"/>
              <w:jc w:val="both"/>
              <w:rPr>
                <w:rFonts w:cs="Arial"/>
                <w:szCs w:val="20"/>
              </w:rPr>
            </w:pPr>
            <w:r w:rsidRPr="00F33CDB">
              <w:rPr>
                <w:rFonts w:cs="Arial"/>
                <w:szCs w:val="20"/>
              </w:rPr>
              <w:sym w:font="Symbol" w:char="F0B7"/>
            </w:r>
            <w:r w:rsidRPr="00F33CDB">
              <w:rPr>
                <w:rFonts w:cs="Arial"/>
                <w:szCs w:val="20"/>
              </w:rPr>
              <w:t xml:space="preserve"> Existen dificultades en reconocer la representatividad de las organizaciones que los acompañan por lo que no se les notifica la información y documentos en el procedimiento. </w:t>
            </w:r>
          </w:p>
          <w:p w:rsidR="00895AB8" w:rsidRPr="00F33CDB" w:rsidRDefault="00895AB8" w:rsidP="00776849">
            <w:pPr>
              <w:pStyle w:val="ListParagraph"/>
              <w:spacing w:before="120" w:after="120"/>
              <w:ind w:left="0"/>
              <w:jc w:val="both"/>
              <w:rPr>
                <w:rFonts w:cs="Arial"/>
                <w:szCs w:val="20"/>
              </w:rPr>
            </w:pPr>
            <w:r w:rsidRPr="00F33CDB">
              <w:rPr>
                <w:rFonts w:cs="Arial"/>
                <w:szCs w:val="20"/>
              </w:rPr>
              <w:sym w:font="Symbol" w:char="F0B7"/>
            </w:r>
            <w:r w:rsidRPr="00F33CDB">
              <w:rPr>
                <w:rFonts w:cs="Arial"/>
                <w:szCs w:val="20"/>
              </w:rPr>
              <w:t xml:space="preserve"> Existen dificultades en el tiempo en el que se hace, hay ocasiones que se realiza tres meses después, cuando el riesgo puede cambiar, y además se tratan de casos que requieren medidas urgentes. Así el análisis de riesgo se vuelve inoportuno. </w:t>
            </w:r>
          </w:p>
          <w:p w:rsidR="00895AB8" w:rsidRPr="00F33CDB" w:rsidRDefault="00895AB8" w:rsidP="00776849">
            <w:pPr>
              <w:pStyle w:val="ListParagraph"/>
              <w:spacing w:before="120" w:after="120"/>
              <w:ind w:left="0"/>
              <w:jc w:val="both"/>
              <w:rPr>
                <w:rFonts w:cs="Arial"/>
                <w:szCs w:val="20"/>
              </w:rPr>
            </w:pPr>
            <w:r w:rsidRPr="00F33CDB">
              <w:rPr>
                <w:rFonts w:cs="Arial"/>
                <w:szCs w:val="20"/>
              </w:rPr>
              <w:sym w:font="Symbol" w:char="F0B7"/>
            </w:r>
            <w:r w:rsidRPr="00F33CDB">
              <w:rPr>
                <w:rFonts w:cs="Arial"/>
                <w:szCs w:val="20"/>
              </w:rPr>
              <w:t xml:space="preserve"> El personal es insuficiente para realizar el análisis de riesgo, además de que el personal actual no cuenta con los recursos materiales suficientes para su trabajo. </w:t>
            </w:r>
          </w:p>
          <w:p w:rsidR="00895AB8" w:rsidRPr="00F33CDB" w:rsidRDefault="00895AB8" w:rsidP="00776849">
            <w:pPr>
              <w:pStyle w:val="ListParagraph"/>
              <w:spacing w:before="120" w:after="120"/>
              <w:ind w:left="0"/>
              <w:jc w:val="both"/>
              <w:rPr>
                <w:rFonts w:cs="Arial"/>
                <w:szCs w:val="20"/>
              </w:rPr>
            </w:pPr>
            <w:r w:rsidRPr="00F33CDB">
              <w:rPr>
                <w:rFonts w:cs="Arial"/>
                <w:szCs w:val="20"/>
              </w:rPr>
              <w:sym w:font="Symbol" w:char="F0B7"/>
            </w:r>
            <w:r w:rsidRPr="00F33CDB">
              <w:rPr>
                <w:rFonts w:cs="Arial"/>
                <w:szCs w:val="20"/>
              </w:rPr>
              <w:t xml:space="preserve"> Los análisis de riesgo muchas veces son enviados a las personas beneficiarias y organizaciones acompañantes y representantes un día antes de la Junta de Gobierno, lo que imposibilita su completa revisión y discusión por estos para considerar su viabilidad. </w:t>
            </w:r>
          </w:p>
        </w:tc>
      </w:tr>
      <w:tr w:rsidR="001F7793" w:rsidRPr="00E17E98" w:rsidTr="00893988">
        <w:tc>
          <w:tcPr>
            <w:tcW w:w="1696" w:type="dxa"/>
          </w:tcPr>
          <w:p w:rsidR="001F7793" w:rsidRPr="00F33CDB" w:rsidRDefault="001F7793" w:rsidP="00776849">
            <w:pPr>
              <w:pStyle w:val="ListParagraph"/>
              <w:spacing w:before="120" w:after="120"/>
              <w:ind w:left="0"/>
              <w:jc w:val="both"/>
              <w:rPr>
                <w:rFonts w:cs="Arial"/>
                <w:szCs w:val="20"/>
              </w:rPr>
            </w:pPr>
            <w:r w:rsidRPr="00F33CDB">
              <w:rPr>
                <w:rFonts w:cs="Arial"/>
                <w:szCs w:val="20"/>
              </w:rPr>
              <w:t>Sesión frente a la Junta de Gobierno</w:t>
            </w:r>
          </w:p>
        </w:tc>
        <w:tc>
          <w:tcPr>
            <w:tcW w:w="7282" w:type="dxa"/>
          </w:tcPr>
          <w:p w:rsidR="001F7793" w:rsidRPr="00F33CDB" w:rsidRDefault="001F7793" w:rsidP="00776849">
            <w:pPr>
              <w:pStyle w:val="ListParagraph"/>
              <w:spacing w:before="120" w:after="120"/>
              <w:ind w:left="0"/>
              <w:jc w:val="both"/>
              <w:rPr>
                <w:rFonts w:cs="Arial"/>
                <w:szCs w:val="20"/>
              </w:rPr>
            </w:pPr>
            <w:r w:rsidRPr="00F33CDB">
              <w:rPr>
                <w:rFonts w:cs="Arial"/>
                <w:szCs w:val="20"/>
              </w:rPr>
              <w:sym w:font="Symbol" w:char="F0B7"/>
            </w:r>
            <w:r w:rsidRPr="00F33CDB">
              <w:rPr>
                <w:rFonts w:cs="Arial"/>
                <w:szCs w:val="20"/>
              </w:rPr>
              <w:t xml:space="preserve"> Las sesiones ante la Junta de Gobierno muchas veces se convierten en una negociación para que los beneficiarios puedan obtener medidas. Esta situación provoca la </w:t>
            </w:r>
            <w:proofErr w:type="spellStart"/>
            <w:r w:rsidRPr="00F33CDB">
              <w:rPr>
                <w:rFonts w:cs="Arial"/>
                <w:szCs w:val="20"/>
              </w:rPr>
              <w:t>revictimización</w:t>
            </w:r>
            <w:proofErr w:type="spellEnd"/>
            <w:r w:rsidRPr="00F33CDB">
              <w:rPr>
                <w:rFonts w:cs="Arial"/>
                <w:szCs w:val="20"/>
              </w:rPr>
              <w:t xml:space="preserve"> hacia las personas defensoras y los funcionarios carecen de sensibilidad para entender la labor y el contexto de las personas defensoras.</w:t>
            </w:r>
          </w:p>
        </w:tc>
      </w:tr>
      <w:tr w:rsidR="00895AB8" w:rsidRPr="00E17E98" w:rsidTr="00893988">
        <w:tc>
          <w:tcPr>
            <w:tcW w:w="1696" w:type="dxa"/>
          </w:tcPr>
          <w:p w:rsidR="00895AB8" w:rsidRPr="00F33CDB" w:rsidRDefault="00895AB8" w:rsidP="00776849">
            <w:pPr>
              <w:pStyle w:val="ListParagraph"/>
              <w:spacing w:before="120" w:after="120"/>
              <w:ind w:left="0"/>
              <w:jc w:val="both"/>
              <w:rPr>
                <w:rFonts w:cs="Arial"/>
                <w:szCs w:val="20"/>
              </w:rPr>
            </w:pPr>
            <w:r w:rsidRPr="00F33CDB">
              <w:rPr>
                <w:rFonts w:cs="Arial"/>
                <w:szCs w:val="20"/>
              </w:rPr>
              <w:t>Implementación de medidas de protección</w:t>
            </w:r>
          </w:p>
        </w:tc>
        <w:tc>
          <w:tcPr>
            <w:tcW w:w="7282" w:type="dxa"/>
          </w:tcPr>
          <w:p w:rsidR="00895AB8" w:rsidRPr="00F33CDB" w:rsidRDefault="00895AB8" w:rsidP="00776849">
            <w:pPr>
              <w:pStyle w:val="ListParagraph"/>
              <w:spacing w:before="120" w:after="120"/>
              <w:ind w:left="0"/>
              <w:jc w:val="both"/>
              <w:rPr>
                <w:rFonts w:cs="Arial"/>
                <w:szCs w:val="20"/>
              </w:rPr>
            </w:pPr>
            <w:r w:rsidRPr="00F33CDB">
              <w:rPr>
                <w:rFonts w:cs="Arial"/>
                <w:szCs w:val="20"/>
              </w:rPr>
              <w:sym w:font="Symbol" w:char="F0B7"/>
            </w:r>
            <w:r w:rsidRPr="00F33CDB">
              <w:rPr>
                <w:rFonts w:cs="Arial"/>
                <w:szCs w:val="20"/>
              </w:rPr>
              <w:t xml:space="preserve"> En los </w:t>
            </w:r>
            <w:proofErr w:type="gramStart"/>
            <w:r w:rsidRPr="00F33CDB">
              <w:rPr>
                <w:rFonts w:cs="Arial"/>
                <w:szCs w:val="20"/>
              </w:rPr>
              <w:t>casos  colectivos</w:t>
            </w:r>
            <w:proofErr w:type="gramEnd"/>
            <w:r w:rsidR="00451EA3">
              <w:rPr>
                <w:rFonts w:cs="Arial"/>
                <w:szCs w:val="20"/>
              </w:rPr>
              <w:t xml:space="preserve"> de</w:t>
            </w:r>
            <w:r w:rsidRPr="00F33CDB">
              <w:rPr>
                <w:rFonts w:cs="Arial"/>
                <w:szCs w:val="20"/>
              </w:rPr>
              <w:t xml:space="preserve"> </w:t>
            </w:r>
            <w:r w:rsidR="00C51B3C" w:rsidRPr="00F33CDB">
              <w:rPr>
                <w:rFonts w:cs="Arial"/>
                <w:szCs w:val="20"/>
              </w:rPr>
              <w:t>personas defensoras</w:t>
            </w:r>
            <w:r w:rsidRPr="00F33CDB">
              <w:rPr>
                <w:rFonts w:cs="Arial"/>
                <w:szCs w:val="20"/>
              </w:rPr>
              <w:t xml:space="preserve"> de derechos humanos ambientales lo complejo es la implementación de medidas adecuadas, idóneas y eficaces, pues las mismas se han pensado para la protección individual y en contextos urbanos. Ejemplo de ello son acciones como la construcción de infraestructura que no corresponden al contexto de las comunidades campesinas y/o indígenas.</w:t>
            </w:r>
          </w:p>
          <w:p w:rsidR="00895AB8" w:rsidRPr="00F33CDB" w:rsidRDefault="00895AB8" w:rsidP="00776849">
            <w:pPr>
              <w:pStyle w:val="ListParagraph"/>
              <w:spacing w:before="120" w:after="120"/>
              <w:ind w:left="0"/>
              <w:jc w:val="both"/>
              <w:rPr>
                <w:rFonts w:cs="Arial"/>
                <w:szCs w:val="20"/>
              </w:rPr>
            </w:pPr>
          </w:p>
        </w:tc>
      </w:tr>
    </w:tbl>
    <w:p w:rsidR="00895AB8" w:rsidRPr="00F33CDB" w:rsidRDefault="00895AB8" w:rsidP="00776849">
      <w:pPr>
        <w:pStyle w:val="ListParagraph"/>
        <w:spacing w:before="120" w:after="120" w:line="240" w:lineRule="auto"/>
        <w:ind w:left="0"/>
        <w:jc w:val="both"/>
        <w:rPr>
          <w:rFonts w:eastAsia="Times New Roman" w:cs="Arial"/>
          <w:color w:val="000000"/>
          <w:szCs w:val="20"/>
          <w:lang w:val="es-MX" w:eastAsia="es-MX"/>
        </w:rPr>
      </w:pPr>
      <w:r w:rsidRPr="00F33CDB">
        <w:rPr>
          <w:rFonts w:eastAsia="Times New Roman" w:cs="Arial"/>
          <w:color w:val="000000"/>
          <w:szCs w:val="20"/>
          <w:lang w:val="es-MX" w:eastAsia="es-MX"/>
        </w:rPr>
        <w:t>Fuente: CEMDA: Informe sobre la situación de las personas defensoras de los derechos humanos ambientales en México, 2016.</w:t>
      </w:r>
    </w:p>
    <w:p w:rsidR="00895AB8" w:rsidRPr="00F33CDB" w:rsidRDefault="00895AB8" w:rsidP="00776849">
      <w:pPr>
        <w:spacing w:before="120" w:after="120" w:line="240" w:lineRule="auto"/>
        <w:jc w:val="both"/>
        <w:rPr>
          <w:rFonts w:ascii="Calibri" w:hAnsi="Calibri"/>
          <w:lang w:val="es-MX"/>
        </w:rPr>
      </w:pPr>
    </w:p>
    <w:p w:rsidR="00520085" w:rsidRPr="00F33CDB" w:rsidRDefault="007B76AD" w:rsidP="00776849">
      <w:pPr>
        <w:pStyle w:val="Heading1"/>
        <w:numPr>
          <w:ilvl w:val="0"/>
          <w:numId w:val="4"/>
        </w:numPr>
        <w:spacing w:before="120" w:after="120" w:line="240" w:lineRule="auto"/>
        <w:rPr>
          <w:color w:val="C00000"/>
          <w:lang w:val="es-MX"/>
        </w:rPr>
      </w:pPr>
      <w:bookmarkStart w:id="4" w:name="_Toc491851645"/>
      <w:r w:rsidRPr="00F33CDB">
        <w:rPr>
          <w:color w:val="C00000"/>
          <w:lang w:val="es-MX"/>
        </w:rPr>
        <w:t>Amenazas y ataques en contra</w:t>
      </w:r>
      <w:r w:rsidR="002E4452" w:rsidRPr="00F33CDB">
        <w:rPr>
          <w:color w:val="C00000"/>
          <w:lang w:val="es-MX"/>
        </w:rPr>
        <w:t xml:space="preserve"> de personas defensoras de DESC</w:t>
      </w:r>
      <w:bookmarkEnd w:id="4"/>
    </w:p>
    <w:p w:rsidR="0093405F" w:rsidRPr="00F33CDB" w:rsidRDefault="0093405F" w:rsidP="00776849">
      <w:pPr>
        <w:spacing w:before="120" w:after="120" w:line="240" w:lineRule="auto"/>
        <w:rPr>
          <w:lang w:val="es-MX"/>
        </w:rPr>
      </w:pPr>
    </w:p>
    <w:p w:rsidR="00B418BA" w:rsidRPr="00F33CDB" w:rsidRDefault="00B418BA" w:rsidP="00776849">
      <w:pPr>
        <w:pStyle w:val="Heading2"/>
        <w:numPr>
          <w:ilvl w:val="1"/>
          <w:numId w:val="4"/>
        </w:numPr>
        <w:spacing w:before="120" w:after="120" w:line="240" w:lineRule="auto"/>
        <w:jc w:val="both"/>
        <w:rPr>
          <w:i/>
          <w:color w:val="C00000"/>
          <w:lang w:val="es-MX"/>
        </w:rPr>
      </w:pPr>
      <w:bookmarkStart w:id="5" w:name="_Toc491851646"/>
      <w:r w:rsidRPr="00F33CDB">
        <w:rPr>
          <w:i/>
          <w:color w:val="C00000"/>
          <w:lang w:val="es-MX"/>
        </w:rPr>
        <w:t xml:space="preserve">Amenazas e intimidación en contra de Rodrigo Flores y </w:t>
      </w:r>
      <w:proofErr w:type="spellStart"/>
      <w:r w:rsidRPr="00F33CDB">
        <w:rPr>
          <w:i/>
          <w:color w:val="C00000"/>
          <w:lang w:val="es-MX"/>
        </w:rPr>
        <w:t>Bettina</w:t>
      </w:r>
      <w:proofErr w:type="spellEnd"/>
      <w:r w:rsidRPr="00F33CDB">
        <w:rPr>
          <w:i/>
          <w:color w:val="C00000"/>
          <w:lang w:val="es-MX"/>
        </w:rPr>
        <w:t xml:space="preserve"> Cruz</w:t>
      </w:r>
      <w:bookmarkEnd w:id="5"/>
    </w:p>
    <w:p w:rsidR="00B418BA" w:rsidRPr="00F33CDB" w:rsidRDefault="00B418BA" w:rsidP="00776849">
      <w:pPr>
        <w:spacing w:before="120" w:after="120" w:line="240" w:lineRule="auto"/>
        <w:jc w:val="both"/>
        <w:rPr>
          <w:lang w:val="es-MX"/>
        </w:rPr>
      </w:pPr>
      <w:r w:rsidRPr="00F33CDB">
        <w:rPr>
          <w:lang w:val="es-MX"/>
        </w:rPr>
        <w:t xml:space="preserve">Rodrigo Flores y </w:t>
      </w:r>
      <w:proofErr w:type="spellStart"/>
      <w:r w:rsidRPr="00F33CDB">
        <w:rPr>
          <w:lang w:val="es-MX"/>
        </w:rPr>
        <w:t>Bettina</w:t>
      </w:r>
      <w:proofErr w:type="spellEnd"/>
      <w:r w:rsidRPr="00F33CDB">
        <w:rPr>
          <w:lang w:val="es-MX"/>
        </w:rPr>
        <w:t xml:space="preserve"> Cruz </w:t>
      </w:r>
      <w:r w:rsidR="00C51B3C" w:rsidRPr="00F33CDB">
        <w:rPr>
          <w:lang w:val="es-MX"/>
        </w:rPr>
        <w:t>personas defensoras</w:t>
      </w:r>
      <w:r w:rsidRPr="00F33CDB">
        <w:rPr>
          <w:lang w:val="es-MX"/>
        </w:rPr>
        <w:t xml:space="preserve"> de derechos humanos e integrantes de la Asamblea de Pueblos Indígenas del Istmo en Defensa de la Tierra y el Territorio (APIIDTT) y de la Articulación Pueblos Originarios del Istmo en Defensa del Territorio (APOYO) ha</w:t>
      </w:r>
      <w:r w:rsidR="006D0F78">
        <w:rPr>
          <w:lang w:val="es-MX"/>
        </w:rPr>
        <w:t>n</w:t>
      </w:r>
      <w:r w:rsidRPr="00F33CDB">
        <w:rPr>
          <w:lang w:val="es-MX"/>
        </w:rPr>
        <w:t xml:space="preserve"> recibido amenazas e intimidación por el ejercicio de la defensa del territorio. De acuerdo con organizaciones de derechos humanos, los ataques podrían estar vinculados con “la empresa productiva del Estado Comisión Federal de Electricidad, la Secretaría de la Defensa Nacional y el Gobierno Federal”</w:t>
      </w:r>
      <w:r w:rsidR="00E23D1C" w:rsidRPr="00F33CDB">
        <w:rPr>
          <w:rStyle w:val="FootnoteReference"/>
          <w:rFonts w:cs="Times New Roman"/>
          <w:lang w:val="es-MX"/>
        </w:rPr>
        <w:footnoteReference w:id="7"/>
      </w:r>
      <w:r w:rsidRPr="00F33CDB">
        <w:rPr>
          <w:lang w:val="es-MX"/>
        </w:rPr>
        <w:t xml:space="preserve">. </w:t>
      </w:r>
    </w:p>
    <w:p w:rsidR="00451EA3" w:rsidRDefault="00B418BA" w:rsidP="00776849">
      <w:pPr>
        <w:spacing w:before="120" w:after="120" w:line="240" w:lineRule="auto"/>
        <w:jc w:val="both"/>
        <w:rPr>
          <w:lang w:val="es-MX"/>
        </w:rPr>
      </w:pPr>
      <w:r w:rsidRPr="00F33CDB">
        <w:rPr>
          <w:lang w:val="es-MX"/>
        </w:rPr>
        <w:t xml:space="preserve">El 10 de febrero de 2017, Rodrigo Flores Peñaloza, junto con algunos de sus compañeros, fueron asaltados con arma de fuego por dos hombres a bordo de un </w:t>
      </w:r>
      <w:proofErr w:type="spellStart"/>
      <w:r w:rsidRPr="00F33CDB">
        <w:rPr>
          <w:lang w:val="es-MX"/>
        </w:rPr>
        <w:t>mototaxi</w:t>
      </w:r>
      <w:proofErr w:type="spellEnd"/>
      <w:r w:rsidRPr="00F33CDB">
        <w:rPr>
          <w:lang w:val="es-MX"/>
        </w:rPr>
        <w:t xml:space="preserve"> mientras se encontraban a la salida de su lugar de trabajo. Los asaltantes apuntaron su arma y se dirigieron especialmente a Rodrigo, advirtiéndole únicamente a él que se quedara quieto y no intentara nada. El 24 de febrero, </w:t>
      </w:r>
      <w:proofErr w:type="gramStart"/>
      <w:r w:rsidR="00451EA3">
        <w:rPr>
          <w:lang w:val="es-MX"/>
        </w:rPr>
        <w:t xml:space="preserve">en </w:t>
      </w:r>
      <w:r w:rsidRPr="00F33CDB">
        <w:rPr>
          <w:lang w:val="es-MX"/>
        </w:rPr>
        <w:t xml:space="preserve"> su</w:t>
      </w:r>
      <w:proofErr w:type="gramEnd"/>
      <w:r w:rsidRPr="00F33CDB">
        <w:rPr>
          <w:lang w:val="es-MX"/>
        </w:rPr>
        <w:t xml:space="preserve"> lugar de trabajo entró una persona de sexo masculino que se encontraba armada y preguntó de manera reiterada por el Profesor Rodrigo Flores Peñaloza.</w:t>
      </w:r>
      <w:r w:rsidR="00451EA3">
        <w:rPr>
          <w:lang w:val="es-MX"/>
        </w:rPr>
        <w:t xml:space="preserve"> </w:t>
      </w:r>
    </w:p>
    <w:p w:rsidR="001B1793" w:rsidRPr="00F33CDB" w:rsidRDefault="00B418BA" w:rsidP="00776849">
      <w:pPr>
        <w:spacing w:before="120" w:after="120" w:line="240" w:lineRule="auto"/>
        <w:jc w:val="both"/>
        <w:rPr>
          <w:lang w:val="es-MX"/>
        </w:rPr>
      </w:pPr>
      <w:r w:rsidRPr="00F33CDB">
        <w:rPr>
          <w:lang w:val="es-MX"/>
        </w:rPr>
        <w:t xml:space="preserve">El día 19 de abril de este año en la radio con frecuencia 92.7 de Juchitán, durante varias horas estuvieron agrediendo verbalmente a Rodrigo Flores Peñaloza y a su compañera </w:t>
      </w:r>
      <w:proofErr w:type="spellStart"/>
      <w:r w:rsidRPr="00F33CDB">
        <w:rPr>
          <w:lang w:val="es-MX"/>
        </w:rPr>
        <w:t>Bettina</w:t>
      </w:r>
      <w:proofErr w:type="spellEnd"/>
      <w:r w:rsidRPr="00F33CDB">
        <w:rPr>
          <w:lang w:val="es-MX"/>
        </w:rPr>
        <w:t xml:space="preserve"> Cruz Velázquez, vocera e integrante de la Asamblea de Pueblos Indígenas del Istmo en Defensa de la Tierra y el Territorio (APIIDTT) y de la Articulación Pueblos Originarios Del Istmo En </w:t>
      </w:r>
      <w:r w:rsidR="008E1532" w:rsidRPr="00F33CDB">
        <w:rPr>
          <w:lang w:val="es-MX"/>
        </w:rPr>
        <w:t>Defensa Del Territorio (APOYO).</w:t>
      </w:r>
      <w:r w:rsidRPr="00F33CDB">
        <w:rPr>
          <w:lang w:val="es-MX"/>
        </w:rPr>
        <w:t xml:space="preserve"> Al día siguiente 20 de abril, al salir de la oficina de la APIIDTT, la defensora </w:t>
      </w:r>
      <w:proofErr w:type="spellStart"/>
      <w:r w:rsidRPr="00F33CDB">
        <w:rPr>
          <w:lang w:val="es-MX"/>
        </w:rPr>
        <w:t>Bettina</w:t>
      </w:r>
      <w:proofErr w:type="spellEnd"/>
      <w:r w:rsidRPr="00F33CDB">
        <w:rPr>
          <w:lang w:val="es-MX"/>
        </w:rPr>
        <w:t xml:space="preserve"> Cruz Velázquez se percató que un hombre se encontraba fuera con actitud sospechosa, aparentemente buscando algo. “Esta persona estuvo merodeando durante varias horas y otra integrante de su organización escuchó cuando describía el lugar y las señas generales de la oficina”. El día 26 de abril, al salir de su domicilio el defensor Rodrigo se percató que en el parabrisas de su vehículo se encontraba una nota escrita a mano, donde se le amenazaba de manera directa y le mencionaban que lo tenían vigilado.</w:t>
      </w:r>
    </w:p>
    <w:p w:rsidR="001B1793" w:rsidRPr="00F33CDB" w:rsidRDefault="001B1793" w:rsidP="00776849">
      <w:pPr>
        <w:spacing w:before="120" w:after="120" w:line="240" w:lineRule="auto"/>
        <w:jc w:val="both"/>
        <w:rPr>
          <w:lang w:val="es-MX"/>
        </w:rPr>
      </w:pPr>
    </w:p>
    <w:p w:rsidR="00B418BA" w:rsidRPr="00F33CDB" w:rsidRDefault="00B418BA" w:rsidP="00776849">
      <w:pPr>
        <w:pStyle w:val="Heading2"/>
        <w:numPr>
          <w:ilvl w:val="1"/>
          <w:numId w:val="4"/>
        </w:numPr>
        <w:spacing w:before="120" w:after="120" w:line="240" w:lineRule="auto"/>
        <w:jc w:val="both"/>
        <w:rPr>
          <w:i/>
          <w:color w:val="C00000"/>
          <w:lang w:val="es-MX"/>
        </w:rPr>
      </w:pPr>
      <w:bookmarkStart w:id="6" w:name="_Toc491851647"/>
      <w:r w:rsidRPr="00F33CDB">
        <w:rPr>
          <w:i/>
          <w:color w:val="C00000"/>
          <w:lang w:val="es-MX"/>
        </w:rPr>
        <w:t>Amenazas en contra de Teresa Castellanos Ruíz</w:t>
      </w:r>
      <w:bookmarkEnd w:id="6"/>
    </w:p>
    <w:p w:rsidR="001C5183" w:rsidRPr="00F33CDB" w:rsidRDefault="00B418BA" w:rsidP="00776849">
      <w:pPr>
        <w:spacing w:before="120" w:after="120" w:line="240" w:lineRule="auto"/>
        <w:jc w:val="both"/>
        <w:rPr>
          <w:lang w:val="es-MX"/>
        </w:rPr>
      </w:pPr>
      <w:r w:rsidRPr="00F33CDB">
        <w:rPr>
          <w:lang w:val="es-MX"/>
        </w:rPr>
        <w:t>El 7 de marzo de este año, Teresa Castellanos Ruíz después de encabezar las protestas contra la termoeléctrica, parte del Proyecto Integral Morelos (PIM), recibió advertencias por parte de un funcionario público el cual le advirtió “que dejara de marchar contra la termoeléctrica porque los del gobierno ya la tienen muy bien ubicada”, el funcionario también le dijo “que si no me callaba iban a balacear su casa, a desaparecer a sus hijas y a prostituirlas”</w:t>
      </w:r>
      <w:r w:rsidR="00176655" w:rsidRPr="00F33CDB">
        <w:rPr>
          <w:rStyle w:val="FootnoteReference"/>
          <w:rFonts w:ascii="Calibri" w:hAnsi="Calibri"/>
          <w:lang w:val="es-MX"/>
        </w:rPr>
        <w:footnoteReference w:id="8"/>
      </w:r>
      <w:r w:rsidRPr="00F33CDB">
        <w:rPr>
          <w:lang w:val="es-MX"/>
        </w:rPr>
        <w:t>.</w:t>
      </w:r>
      <w:r w:rsidR="00166CC2" w:rsidRPr="00F33CDB">
        <w:rPr>
          <w:lang w:val="es-MX"/>
        </w:rPr>
        <w:t xml:space="preserve"> </w:t>
      </w:r>
      <w:r w:rsidRPr="00F33CDB">
        <w:rPr>
          <w:lang w:val="es-MX"/>
        </w:rPr>
        <w:t>Entre las demandas que plantearon en la marcha del 7 de marzo se destaca parar el desvío de agua de la comunidad a Cuautla, donde se encuentra la termoeléctrica. Durante la manifestación pacífica participaron principalmente mujeres, niñas y niños.</w:t>
      </w:r>
      <w:r w:rsidR="00033790" w:rsidRPr="00F33CDB">
        <w:rPr>
          <w:lang w:val="es-MX"/>
        </w:rPr>
        <w:t xml:space="preserve"> </w:t>
      </w:r>
      <w:r w:rsidRPr="00F33CDB">
        <w:rPr>
          <w:lang w:val="es-MX"/>
        </w:rPr>
        <w:t xml:space="preserve">El 21 de abril pasado, la defensora presentó denuncia formal ante la Fiscalía General del Estado (FGE), región Cuautla, en contra del gobierno estatal y de la CFE. </w:t>
      </w:r>
    </w:p>
    <w:p w:rsidR="001C5183" w:rsidRPr="00F33CDB" w:rsidRDefault="001C5183" w:rsidP="00776849">
      <w:pPr>
        <w:spacing w:before="120" w:after="120" w:line="240" w:lineRule="auto"/>
        <w:jc w:val="both"/>
        <w:rPr>
          <w:lang w:val="es-MX"/>
        </w:rPr>
      </w:pPr>
    </w:p>
    <w:p w:rsidR="00B418BA" w:rsidRPr="00F33CDB" w:rsidRDefault="00B418BA" w:rsidP="00776849">
      <w:pPr>
        <w:pStyle w:val="Heading2"/>
        <w:numPr>
          <w:ilvl w:val="1"/>
          <w:numId w:val="4"/>
        </w:numPr>
        <w:spacing w:before="120" w:after="120" w:line="240" w:lineRule="auto"/>
        <w:jc w:val="both"/>
        <w:rPr>
          <w:i/>
          <w:color w:val="C00000"/>
          <w:lang w:val="es-MX"/>
        </w:rPr>
      </w:pPr>
      <w:bookmarkStart w:id="7" w:name="_Toc491851648"/>
      <w:r w:rsidRPr="00F33CDB">
        <w:rPr>
          <w:i/>
          <w:color w:val="C00000"/>
          <w:lang w:val="es-MX"/>
        </w:rPr>
        <w:t>Asesinato de José Alberto Toledo Villalobos</w:t>
      </w:r>
      <w:bookmarkEnd w:id="7"/>
      <w:r w:rsidRPr="00F33CDB">
        <w:rPr>
          <w:i/>
          <w:color w:val="C00000"/>
          <w:lang w:val="es-MX"/>
        </w:rPr>
        <w:t xml:space="preserve"> </w:t>
      </w:r>
    </w:p>
    <w:p w:rsidR="00B418BA" w:rsidRPr="00F33CDB" w:rsidRDefault="00B418BA" w:rsidP="00776849">
      <w:pPr>
        <w:spacing w:before="120" w:after="120" w:line="240" w:lineRule="auto"/>
        <w:jc w:val="both"/>
        <w:rPr>
          <w:lang w:val="es-MX"/>
        </w:rPr>
      </w:pPr>
      <w:r w:rsidRPr="00F33CDB">
        <w:rPr>
          <w:lang w:val="es-MX"/>
        </w:rPr>
        <w:t>El 8 de abril de 2017, fue asesinado J</w:t>
      </w:r>
      <w:r w:rsidR="00033790" w:rsidRPr="00F33CDB">
        <w:rPr>
          <w:lang w:val="es-MX"/>
        </w:rPr>
        <w:t>osé Alb</w:t>
      </w:r>
      <w:r w:rsidR="00A05E82">
        <w:rPr>
          <w:lang w:val="es-MX"/>
        </w:rPr>
        <w:t>e</w:t>
      </w:r>
      <w:r w:rsidR="00033790" w:rsidRPr="00F33CDB">
        <w:rPr>
          <w:lang w:val="es-MX"/>
        </w:rPr>
        <w:t>rto Toledo Villalobos. O</w:t>
      </w:r>
      <w:r w:rsidRPr="00F33CDB">
        <w:rPr>
          <w:lang w:val="es-MX"/>
        </w:rPr>
        <w:t>rganizaciones denunciaron la golpiza y la posterior muerte del defensor de derechos humanos que se oponía a la actividad minera y a las altas tarifas eléctricas de la Comisión Federal de Electricidad (CFE). Además, la</w:t>
      </w:r>
      <w:r w:rsidR="00FB763A" w:rsidRPr="00F33CDB">
        <w:rPr>
          <w:lang w:val="es-MX"/>
        </w:rPr>
        <w:t>s organizaciones reportaron que</w:t>
      </w:r>
      <w:r w:rsidRPr="00F33CDB">
        <w:rPr>
          <w:lang w:val="es-MX"/>
        </w:rPr>
        <w:t xml:space="preserve"> José Alberto Toledo Villalobos había recibido amenazas por su activismo para que bajaran las tarifas eléctricas. El Centro de Información sobre Empresas y Derechos Humanos invitó a la CFE a responder; la empresa no respondió. Según versiones, el defensor fue atacado por varias personas hasta dejarlo en estado de gravedad, razón por la que ingresó al hospital básico comunitario de </w:t>
      </w:r>
      <w:proofErr w:type="spellStart"/>
      <w:r w:rsidRPr="00F33CDB">
        <w:rPr>
          <w:lang w:val="es-MX"/>
        </w:rPr>
        <w:t>Tapanatepec</w:t>
      </w:r>
      <w:proofErr w:type="spellEnd"/>
      <w:r w:rsidRPr="00F33CDB">
        <w:rPr>
          <w:lang w:val="es-MX"/>
        </w:rPr>
        <w:t xml:space="preserve">, sin que se le brindara la atención médica adecuada y finalmente lo trasladaron al Hospital General de Juchitán donde falleció. El cuerpo presentaba múltiples huellas de golpes y contusiones en la cara, mientras que el moto taxi número 13 de la Unión de </w:t>
      </w:r>
      <w:proofErr w:type="spellStart"/>
      <w:r w:rsidRPr="00F33CDB">
        <w:rPr>
          <w:lang w:val="es-MX"/>
        </w:rPr>
        <w:t>Mototaxis</w:t>
      </w:r>
      <w:proofErr w:type="spellEnd"/>
      <w:r w:rsidRPr="00F33CDB">
        <w:rPr>
          <w:lang w:val="es-MX"/>
        </w:rPr>
        <w:t xml:space="preserve"> 12 de octubre de Chahuites, se encontraba destruido totalmente</w:t>
      </w:r>
      <w:r w:rsidR="00FB763A" w:rsidRPr="00F33CDB">
        <w:rPr>
          <w:rStyle w:val="FootnoteReference"/>
          <w:rFonts w:ascii="Calibri" w:hAnsi="Calibri"/>
          <w:lang w:val="es-MX"/>
        </w:rPr>
        <w:footnoteReference w:id="9"/>
      </w:r>
      <w:r w:rsidRPr="00F33CDB">
        <w:rPr>
          <w:lang w:val="es-MX"/>
        </w:rPr>
        <w:t>.</w:t>
      </w:r>
    </w:p>
    <w:p w:rsidR="002E4452" w:rsidRPr="00F33CDB" w:rsidRDefault="00B418BA" w:rsidP="00776849">
      <w:pPr>
        <w:spacing w:before="120" w:after="120" w:line="240" w:lineRule="auto"/>
        <w:jc w:val="both"/>
        <w:rPr>
          <w:lang w:val="es-MX"/>
        </w:rPr>
      </w:pPr>
      <w:r w:rsidRPr="00F33CDB">
        <w:rPr>
          <w:lang w:val="es-MX"/>
        </w:rPr>
        <w:t xml:space="preserve">Integrantes de Apoyo denunciaron que Toledo Villalobos, quien pertenecía a la Red Nacional de Resistencia Civil, en resistencia a las altas tarifas de la energía eléctrica en Chahuites, además era un acérrimo defensor del territorio contra </w:t>
      </w:r>
      <w:r w:rsidR="00A010E0" w:rsidRPr="00F33CDB">
        <w:rPr>
          <w:lang w:val="es-MX"/>
        </w:rPr>
        <w:t>las mineras</w:t>
      </w:r>
      <w:r w:rsidRPr="00F33CDB">
        <w:rPr>
          <w:lang w:val="es-MX"/>
        </w:rPr>
        <w:t xml:space="preserve"> que se piensan instalar en esa zona oriente de la región del Istmo, llegó a recibir amenazas de muerte y advertencias de que dejará de exigir bajas tarifas de energía eléctrica.</w:t>
      </w:r>
      <w:r w:rsidR="00890F15" w:rsidRPr="00F33CDB">
        <w:rPr>
          <w:lang w:val="es-MX"/>
        </w:rPr>
        <w:t xml:space="preserve"> </w:t>
      </w:r>
      <w:r w:rsidRPr="00F33CDB">
        <w:rPr>
          <w:lang w:val="es-MX"/>
        </w:rPr>
        <w:t xml:space="preserve">Durante el mes de febrero, integrantes de Apoyo de </w:t>
      </w:r>
      <w:proofErr w:type="spellStart"/>
      <w:r w:rsidRPr="00F33CDB">
        <w:rPr>
          <w:lang w:val="es-MX"/>
        </w:rPr>
        <w:t>Tapanatepec</w:t>
      </w:r>
      <w:proofErr w:type="spellEnd"/>
      <w:r w:rsidRPr="00F33CDB">
        <w:rPr>
          <w:lang w:val="es-MX"/>
        </w:rPr>
        <w:t xml:space="preserve">, </w:t>
      </w:r>
      <w:proofErr w:type="spellStart"/>
      <w:r w:rsidRPr="00F33CDB">
        <w:rPr>
          <w:lang w:val="es-MX"/>
        </w:rPr>
        <w:t>Zanatepec</w:t>
      </w:r>
      <w:proofErr w:type="spellEnd"/>
      <w:r w:rsidRPr="00F33CDB">
        <w:rPr>
          <w:lang w:val="es-MX"/>
        </w:rPr>
        <w:t xml:space="preserve"> y Chahuites realizaron diversas acciones de resistencia contra la CFE, porque la superintendencia de la Zona Istmo no estaba respetando los acuerdos nacionales, entre la Red Nacional y la </w:t>
      </w:r>
      <w:proofErr w:type="gramStart"/>
      <w:r w:rsidRPr="00F33CDB">
        <w:rPr>
          <w:lang w:val="es-MX"/>
        </w:rPr>
        <w:t>paraestatal .</w:t>
      </w:r>
      <w:proofErr w:type="gramEnd"/>
    </w:p>
    <w:p w:rsidR="002E4452" w:rsidRPr="00F33CDB" w:rsidRDefault="002E4452" w:rsidP="00776849">
      <w:pPr>
        <w:spacing w:before="120" w:after="120" w:line="240" w:lineRule="auto"/>
        <w:rPr>
          <w:lang w:val="es-MX"/>
        </w:rPr>
      </w:pPr>
    </w:p>
    <w:p w:rsidR="008727FB" w:rsidRPr="00F33CDB" w:rsidRDefault="008A66CF" w:rsidP="00776849">
      <w:pPr>
        <w:pStyle w:val="Heading2"/>
        <w:numPr>
          <w:ilvl w:val="1"/>
          <w:numId w:val="4"/>
        </w:numPr>
        <w:spacing w:before="120" w:after="120" w:line="240" w:lineRule="auto"/>
        <w:jc w:val="both"/>
        <w:rPr>
          <w:i/>
          <w:color w:val="C00000"/>
          <w:lang w:val="es-MX"/>
        </w:rPr>
      </w:pPr>
      <w:bookmarkStart w:id="8" w:name="_Toc491851649"/>
      <w:r w:rsidRPr="00F33CDB">
        <w:rPr>
          <w:i/>
          <w:color w:val="C00000"/>
          <w:lang w:val="es-MX"/>
        </w:rPr>
        <w:t xml:space="preserve">El caso de la </w:t>
      </w:r>
      <w:r w:rsidR="008727FB" w:rsidRPr="00F33CDB">
        <w:rPr>
          <w:i/>
          <w:color w:val="C00000"/>
          <w:lang w:val="es-MX"/>
        </w:rPr>
        <w:t>Organización Familia Pasta de Conchos (OFPC)</w:t>
      </w:r>
      <w:bookmarkEnd w:id="8"/>
      <w:r w:rsidR="008727FB" w:rsidRPr="00F33CDB">
        <w:rPr>
          <w:i/>
          <w:color w:val="C00000"/>
          <w:lang w:val="es-MX"/>
        </w:rPr>
        <w:t xml:space="preserve"> </w:t>
      </w:r>
    </w:p>
    <w:p w:rsidR="008727FB" w:rsidRPr="00F33CDB" w:rsidRDefault="008727FB" w:rsidP="00776849">
      <w:pPr>
        <w:spacing w:before="120" w:after="120" w:line="240" w:lineRule="auto"/>
        <w:jc w:val="both"/>
        <w:rPr>
          <w:rFonts w:ascii="Calibri" w:hAnsi="Calibri"/>
          <w:lang w:val="es-MX"/>
        </w:rPr>
      </w:pPr>
      <w:r w:rsidRPr="00F33CDB">
        <w:rPr>
          <w:rFonts w:ascii="Calibri" w:hAnsi="Calibri"/>
          <w:lang w:val="es-MX"/>
        </w:rPr>
        <w:t xml:space="preserve">La OFPC surge en 2006 a raíz del siniestro en la Mina 8, Unidad Pasta de Conchos -Estado Coahuila- donde quedaron atrapados y fallecieron 65 mineros. Las familias de los mineros se organizaron para exigir el rescate de los cuerpos y ante la falta de respuestas por parte de las autoridades para atender sus demandas llevaron el caso ante organismos internacionales como la CIDH y la Organización Internacional del Trabajo. La organización ha promovido el cumplimiento de los derechos laborales en el sector minero en Coahuila logrando reducir en un 97% el número de accidentes en las minas de carbón. En los últimos años, también han extendido su trabajo en la defensa de los derechos económicos, sociales y ambientales de las poblaciones afectadas por la explotación de carbón y otros minerales en la zona carbonífera de Coahuila. </w:t>
      </w:r>
    </w:p>
    <w:p w:rsidR="008727FB" w:rsidRPr="00F33CDB" w:rsidRDefault="008727FB" w:rsidP="00776849">
      <w:pPr>
        <w:spacing w:before="120" w:after="120" w:line="240" w:lineRule="auto"/>
        <w:jc w:val="both"/>
        <w:rPr>
          <w:rFonts w:ascii="Calibri" w:hAnsi="Calibri"/>
          <w:lang w:val="es-MX"/>
        </w:rPr>
      </w:pPr>
      <w:r w:rsidRPr="00F33CDB">
        <w:rPr>
          <w:rFonts w:ascii="Calibri" w:hAnsi="Calibri"/>
          <w:lang w:val="es-MX"/>
        </w:rPr>
        <w:t>De forma alarmante, su trabajo en este contexto, ha venido acompañado de varios ataques en su contra. Varios integrantes de la Organización Familia Pasta de Conchos,</w:t>
      </w:r>
      <w:r w:rsidRPr="00F33CDB">
        <w:rPr>
          <w:rFonts w:ascii="Calibri" w:hAnsi="Calibri"/>
          <w:b/>
          <w:bCs/>
          <w:lang w:val="es-MX"/>
        </w:rPr>
        <w:t xml:space="preserve"> </w:t>
      </w:r>
      <w:r w:rsidRPr="00F33CDB">
        <w:rPr>
          <w:rFonts w:ascii="Calibri" w:hAnsi="Calibri"/>
          <w:lang w:val="es-MX"/>
        </w:rPr>
        <w:t xml:space="preserve">de Coahuila, y, en particular, su directora Cristina </w:t>
      </w:r>
      <w:proofErr w:type="spellStart"/>
      <w:r w:rsidRPr="00F33CDB">
        <w:rPr>
          <w:rFonts w:ascii="Calibri" w:hAnsi="Calibri"/>
          <w:lang w:val="es-MX"/>
        </w:rPr>
        <w:t>Auerbach</w:t>
      </w:r>
      <w:proofErr w:type="spellEnd"/>
      <w:r w:rsidRPr="00F33CDB">
        <w:rPr>
          <w:rFonts w:ascii="Calibri" w:hAnsi="Calibri"/>
          <w:lang w:val="es-MX"/>
        </w:rPr>
        <w:t>, han sido blanco de actos de agresiones, amenazas, hostigamiento</w:t>
      </w:r>
      <w:r w:rsidRPr="00F33CDB">
        <w:rPr>
          <w:rStyle w:val="FootnoteAnchor"/>
          <w:rFonts w:ascii="Calibri" w:hAnsi="Calibri"/>
          <w:lang w:val="es-MX"/>
        </w:rPr>
        <w:footnoteReference w:id="10"/>
      </w:r>
      <w:r w:rsidRPr="00F33CDB">
        <w:rPr>
          <w:rFonts w:ascii="Calibri" w:hAnsi="Calibri"/>
          <w:lang w:val="es-MX"/>
        </w:rPr>
        <w:t>, intimidación</w:t>
      </w:r>
      <w:r w:rsidRPr="00F33CDB">
        <w:rPr>
          <w:rStyle w:val="FootnoteAnchor"/>
          <w:rFonts w:ascii="Calibri" w:hAnsi="Calibri"/>
          <w:lang w:val="es-MX"/>
        </w:rPr>
        <w:footnoteReference w:id="11"/>
      </w:r>
      <w:r w:rsidRPr="00F33CDB">
        <w:rPr>
          <w:rFonts w:ascii="Calibri" w:hAnsi="Calibri"/>
          <w:lang w:val="es-MX"/>
        </w:rPr>
        <w:t xml:space="preserve"> y </w:t>
      </w:r>
      <w:r w:rsidRPr="00F33CDB">
        <w:rPr>
          <w:rFonts w:ascii="Calibri" w:hAnsi="Calibri"/>
          <w:b/>
          <w:bCs/>
          <w:lang w:val="es-MX"/>
        </w:rPr>
        <w:t>difamaciones en prensa y televisión local y redes sociales</w:t>
      </w:r>
      <w:r w:rsidRPr="00F33CDB">
        <w:rPr>
          <w:rFonts w:ascii="Calibri" w:hAnsi="Calibri"/>
          <w:lang w:val="es-MX"/>
        </w:rPr>
        <w:t>; en ocasiones estas declaraciones fueron hechas por funcionarios públicos reportados de tener intereses económicos en la extracción minera</w:t>
      </w:r>
      <w:r w:rsidRPr="00F33CDB">
        <w:rPr>
          <w:rStyle w:val="FootnoteAnchor"/>
          <w:rFonts w:ascii="Calibri" w:hAnsi="Calibri"/>
          <w:lang w:val="es-MX"/>
        </w:rPr>
        <w:footnoteReference w:id="12"/>
      </w:r>
      <w:r w:rsidRPr="00F33CDB">
        <w:rPr>
          <w:rFonts w:ascii="Calibri" w:hAnsi="Calibri"/>
          <w:lang w:val="es-MX"/>
        </w:rPr>
        <w:t>. Más recientemente, vari</w:t>
      </w:r>
      <w:r w:rsidR="00123739">
        <w:rPr>
          <w:rFonts w:ascii="Calibri" w:hAnsi="Calibri"/>
          <w:lang w:val="es-MX"/>
        </w:rPr>
        <w:t>a</w:t>
      </w:r>
      <w:r w:rsidRPr="00F33CDB">
        <w:rPr>
          <w:rFonts w:ascii="Calibri" w:hAnsi="Calibri"/>
          <w:lang w:val="es-MX"/>
        </w:rPr>
        <w:t xml:space="preserve">s </w:t>
      </w:r>
      <w:r w:rsidR="00C51B3C" w:rsidRPr="00F33CDB">
        <w:rPr>
          <w:rFonts w:ascii="Calibri" w:hAnsi="Calibri"/>
          <w:lang w:val="es-MX"/>
        </w:rPr>
        <w:t>personas defensoras</w:t>
      </w:r>
      <w:r w:rsidRPr="00F33CDB">
        <w:rPr>
          <w:rFonts w:ascii="Calibri" w:hAnsi="Calibri"/>
          <w:lang w:val="es-MX"/>
        </w:rPr>
        <w:t xml:space="preserve">/as de la organización han sido víctimas de judicialización en su contra con la presentación de varias denuncias por despojo y otros delitos. Debido a su alto nivel de riesgo, </w:t>
      </w:r>
      <w:proofErr w:type="spellStart"/>
      <w:r w:rsidRPr="00F33CDB">
        <w:rPr>
          <w:rFonts w:ascii="Calibri" w:hAnsi="Calibri"/>
          <w:lang w:val="es-MX"/>
        </w:rPr>
        <w:t>Peace</w:t>
      </w:r>
      <w:proofErr w:type="spellEnd"/>
      <w:r w:rsidRPr="00F33CDB">
        <w:rPr>
          <w:rFonts w:ascii="Calibri" w:hAnsi="Calibri"/>
          <w:lang w:val="es-MX"/>
        </w:rPr>
        <w:t xml:space="preserve"> </w:t>
      </w:r>
      <w:proofErr w:type="spellStart"/>
      <w:r w:rsidRPr="00F33CDB">
        <w:rPr>
          <w:rFonts w:ascii="Calibri" w:hAnsi="Calibri"/>
          <w:lang w:val="es-MX"/>
        </w:rPr>
        <w:t>Brigades</w:t>
      </w:r>
      <w:proofErr w:type="spellEnd"/>
      <w:r w:rsidRPr="00F33CDB">
        <w:rPr>
          <w:rFonts w:ascii="Calibri" w:hAnsi="Calibri"/>
          <w:lang w:val="es-MX"/>
        </w:rPr>
        <w:t xml:space="preserve"> International – </w:t>
      </w:r>
      <w:proofErr w:type="spellStart"/>
      <w:r w:rsidRPr="00F33CDB">
        <w:rPr>
          <w:rFonts w:ascii="Calibri" w:hAnsi="Calibri"/>
          <w:lang w:val="es-MX"/>
        </w:rPr>
        <w:t>Mexico</w:t>
      </w:r>
      <w:proofErr w:type="spellEnd"/>
      <w:r w:rsidRPr="00F33CDB">
        <w:rPr>
          <w:rFonts w:ascii="Calibri" w:hAnsi="Calibri"/>
          <w:lang w:val="es-MX"/>
        </w:rPr>
        <w:t xml:space="preserve"> Project acompaña a la Organización desde el año 2014. </w:t>
      </w:r>
    </w:p>
    <w:p w:rsidR="008727FB" w:rsidRPr="00F33CDB" w:rsidRDefault="008727FB" w:rsidP="00776849">
      <w:pPr>
        <w:pStyle w:val="Standard"/>
        <w:widowControl w:val="0"/>
        <w:spacing w:before="120" w:after="120"/>
        <w:jc w:val="both"/>
        <w:rPr>
          <w:rFonts w:ascii="Calibri" w:hAnsi="Calibri"/>
          <w:sz w:val="22"/>
          <w:szCs w:val="22"/>
          <w:lang w:val="es-MX"/>
        </w:rPr>
      </w:pPr>
      <w:r w:rsidRPr="00F33CDB">
        <w:rPr>
          <w:rFonts w:ascii="Calibri" w:hAnsi="Calibri"/>
          <w:sz w:val="22"/>
          <w:szCs w:val="22"/>
          <w:lang w:val="es-MX"/>
        </w:rPr>
        <w:t xml:space="preserve">Cristina </w:t>
      </w:r>
      <w:proofErr w:type="spellStart"/>
      <w:r w:rsidRPr="00F33CDB">
        <w:rPr>
          <w:rFonts w:ascii="Calibri" w:hAnsi="Calibri"/>
          <w:sz w:val="22"/>
          <w:szCs w:val="22"/>
          <w:lang w:val="es-MX"/>
        </w:rPr>
        <w:t>Auerbach</w:t>
      </w:r>
      <w:proofErr w:type="spellEnd"/>
      <w:r w:rsidRPr="00F33CDB">
        <w:rPr>
          <w:rFonts w:ascii="Calibri" w:hAnsi="Calibri"/>
          <w:sz w:val="22"/>
          <w:szCs w:val="22"/>
          <w:lang w:val="es-MX"/>
        </w:rPr>
        <w:t xml:space="preserve"> fue beneficiaria de medidas cautelares de la CNDH desde el año 2007 como consecuencia de agresiones físicas que sufrió por el acompañamiento a las familias víctimas de la mina Pasta de Conchos. Estas medidas fueron retiradas en 2010 tras su cambio de domicilio a la zona carbonífera en Coahuila. En 2012, la CNDH solicitó nuevas medidas cautelares, y Cristina </w:t>
      </w:r>
      <w:proofErr w:type="spellStart"/>
      <w:r w:rsidRPr="00F33CDB">
        <w:rPr>
          <w:rFonts w:ascii="Calibri" w:hAnsi="Calibri"/>
          <w:sz w:val="22"/>
          <w:szCs w:val="22"/>
          <w:lang w:val="es-MX"/>
        </w:rPr>
        <w:t>Auerbach</w:t>
      </w:r>
      <w:proofErr w:type="spellEnd"/>
      <w:r w:rsidRPr="00F33CDB">
        <w:rPr>
          <w:rFonts w:ascii="Calibri" w:hAnsi="Calibri"/>
          <w:sz w:val="22"/>
          <w:szCs w:val="22"/>
          <w:lang w:val="es-MX"/>
        </w:rPr>
        <w:t xml:space="preserve"> se convirtió en una de las primeras beneficiarias del Mecanismo </w:t>
      </w:r>
      <w:r w:rsidR="00123739">
        <w:rPr>
          <w:rFonts w:ascii="Calibri" w:hAnsi="Calibri"/>
          <w:sz w:val="22"/>
          <w:szCs w:val="22"/>
          <w:lang w:val="es-MX"/>
        </w:rPr>
        <w:t>F</w:t>
      </w:r>
      <w:r w:rsidRPr="00F33CDB">
        <w:rPr>
          <w:rFonts w:ascii="Calibri" w:hAnsi="Calibri"/>
          <w:sz w:val="22"/>
          <w:szCs w:val="22"/>
          <w:lang w:val="es-MX"/>
        </w:rPr>
        <w:t xml:space="preserve">ederal en 2013. Sus medidas de protección incluyen un botón de asistencia, rondines diarios de la policía estatal, escoltas de la policía federal para desplazamientos de alto riesgo, un vehículo con GPS y botón de asistencia, lámparas de luz y cámaras de vigilancia, puertas y chapas de seguridad y malla ciclónica, </w:t>
      </w:r>
      <w:r w:rsidR="00BF09A1" w:rsidRPr="00F33CDB">
        <w:rPr>
          <w:rFonts w:ascii="Calibri" w:hAnsi="Calibri"/>
          <w:sz w:val="22"/>
          <w:szCs w:val="22"/>
          <w:lang w:val="es-MX"/>
        </w:rPr>
        <w:t>tanto en</w:t>
      </w:r>
      <w:r w:rsidRPr="00F33CDB">
        <w:rPr>
          <w:rFonts w:ascii="Calibri" w:hAnsi="Calibri"/>
          <w:sz w:val="22"/>
          <w:szCs w:val="22"/>
          <w:lang w:val="es-MX"/>
        </w:rPr>
        <w:t xml:space="preserve"> su oficina como en su casa. Estas medidas se ampliarán conforme a la evaluación de riesgo para su casa en el poblado de </w:t>
      </w:r>
      <w:proofErr w:type="spellStart"/>
      <w:r w:rsidRPr="00F33CDB">
        <w:rPr>
          <w:rFonts w:ascii="Calibri" w:hAnsi="Calibri"/>
          <w:sz w:val="22"/>
          <w:szCs w:val="22"/>
          <w:lang w:val="es-MX"/>
        </w:rPr>
        <w:t>Cloete</w:t>
      </w:r>
      <w:proofErr w:type="spellEnd"/>
      <w:r w:rsidRPr="00F33CDB">
        <w:rPr>
          <w:rFonts w:ascii="Calibri" w:hAnsi="Calibri"/>
          <w:sz w:val="22"/>
          <w:szCs w:val="22"/>
          <w:lang w:val="es-MX"/>
        </w:rPr>
        <w:t>.</w:t>
      </w:r>
    </w:p>
    <w:p w:rsidR="008727FB" w:rsidRPr="00F33CDB" w:rsidRDefault="008727FB" w:rsidP="00776849">
      <w:pPr>
        <w:pStyle w:val="Standard"/>
        <w:widowControl w:val="0"/>
        <w:spacing w:before="120" w:after="120"/>
        <w:jc w:val="both"/>
        <w:rPr>
          <w:rFonts w:ascii="Calibri" w:hAnsi="Calibri"/>
          <w:sz w:val="22"/>
          <w:szCs w:val="22"/>
          <w:lang w:val="es-MX"/>
        </w:rPr>
      </w:pPr>
      <w:r w:rsidRPr="00F33CDB">
        <w:rPr>
          <w:rFonts w:ascii="Calibri" w:hAnsi="Calibri"/>
          <w:sz w:val="22"/>
          <w:szCs w:val="22"/>
          <w:lang w:val="es-MX"/>
        </w:rPr>
        <w:t xml:space="preserve">Entre las dificultades en la implementación de sus medidas de protección, se destacan:  </w:t>
      </w:r>
    </w:p>
    <w:p w:rsidR="008727FB" w:rsidRPr="00F33CDB" w:rsidRDefault="008727FB" w:rsidP="00776849">
      <w:pPr>
        <w:pStyle w:val="Standard"/>
        <w:widowControl w:val="0"/>
        <w:numPr>
          <w:ilvl w:val="0"/>
          <w:numId w:val="6"/>
        </w:numPr>
        <w:spacing w:before="120" w:after="120"/>
        <w:jc w:val="both"/>
        <w:rPr>
          <w:lang w:val="es-MX"/>
        </w:rPr>
      </w:pPr>
      <w:r w:rsidRPr="00F33CDB">
        <w:rPr>
          <w:rFonts w:ascii="Calibri" w:hAnsi="Calibri"/>
          <w:sz w:val="22"/>
          <w:szCs w:val="22"/>
          <w:u w:val="single"/>
          <w:lang w:val="es-MX"/>
        </w:rPr>
        <w:t>E</w:t>
      </w:r>
      <w:r w:rsidRPr="00F33CDB">
        <w:rPr>
          <w:rFonts w:ascii="Calibri" w:hAnsi="Calibri"/>
          <w:sz w:val="22"/>
          <w:szCs w:val="22"/>
          <w:highlight w:val="white"/>
          <w:u w:val="single"/>
          <w:lang w:val="es-MX"/>
        </w:rPr>
        <w:t>l otorgamiento de medidas inapropiadas y el incumplimiento de medidas acordadas:</w:t>
      </w:r>
      <w:r w:rsidRPr="00F33CDB">
        <w:rPr>
          <w:rFonts w:ascii="Calibri" w:hAnsi="Calibri"/>
          <w:sz w:val="22"/>
          <w:szCs w:val="22"/>
          <w:highlight w:val="white"/>
          <w:lang w:val="es-MX"/>
        </w:rPr>
        <w:t xml:space="preserve"> como parte </w:t>
      </w:r>
      <w:r w:rsidR="00835DD8" w:rsidRPr="00F33CDB">
        <w:rPr>
          <w:rFonts w:ascii="Calibri" w:hAnsi="Calibri"/>
          <w:sz w:val="22"/>
          <w:szCs w:val="22"/>
          <w:highlight w:val="white"/>
          <w:lang w:val="es-MX"/>
        </w:rPr>
        <w:t>del esquema</w:t>
      </w:r>
      <w:r w:rsidRPr="00F33CDB">
        <w:rPr>
          <w:rFonts w:ascii="Calibri" w:hAnsi="Calibri"/>
          <w:sz w:val="22"/>
          <w:szCs w:val="22"/>
          <w:highlight w:val="white"/>
          <w:lang w:val="es-MX"/>
        </w:rPr>
        <w:t xml:space="preserve"> de desplazamiento seguro de la beneficiaria, en primer momento el Mecanismo le ofreció un vehículo que no era el apropiado para el terreno de la zona carbonífera</w:t>
      </w:r>
      <w:r w:rsidRPr="00F33CDB">
        <w:rPr>
          <w:rFonts w:ascii="Calibri" w:hAnsi="Calibri"/>
          <w:sz w:val="22"/>
          <w:szCs w:val="22"/>
          <w:lang w:val="es-MX"/>
        </w:rPr>
        <w:t xml:space="preserve"> (irregular y lodoso en épocas de lluvia). Los </w:t>
      </w:r>
      <w:r w:rsidRPr="00F33CDB">
        <w:rPr>
          <w:rFonts w:ascii="Calibri" w:hAnsi="Calibri"/>
          <w:sz w:val="22"/>
          <w:szCs w:val="22"/>
          <w:highlight w:val="white"/>
          <w:lang w:val="es-MX"/>
        </w:rPr>
        <w:t>rondines diarios de la policía estatal (Fuerza Coahuila) en la oficina de la beneficiaria no se efectúan.</w:t>
      </w:r>
    </w:p>
    <w:p w:rsidR="008727FB" w:rsidRPr="00F33CDB" w:rsidRDefault="008727FB" w:rsidP="00776849">
      <w:pPr>
        <w:pStyle w:val="Standard"/>
        <w:widowControl w:val="0"/>
        <w:numPr>
          <w:ilvl w:val="0"/>
          <w:numId w:val="6"/>
        </w:numPr>
        <w:spacing w:before="120" w:after="120"/>
        <w:jc w:val="both"/>
        <w:rPr>
          <w:lang w:val="es-MX"/>
        </w:rPr>
      </w:pPr>
      <w:r w:rsidRPr="00F33CDB">
        <w:rPr>
          <w:rFonts w:ascii="Calibri" w:eastAsia="Times New Roman" w:hAnsi="Calibri" w:cs="Times New Roman"/>
          <w:sz w:val="22"/>
          <w:szCs w:val="22"/>
          <w:u w:val="single"/>
          <w:lang w:val="es-MX" w:bidi="ar-SA"/>
        </w:rPr>
        <w:t>Falta de respuesta efectiva ante situaciones de riesgo inminente</w:t>
      </w:r>
      <w:r w:rsidRPr="00F33CDB">
        <w:rPr>
          <w:rFonts w:ascii="Calibri" w:eastAsia="Times New Roman" w:hAnsi="Calibri" w:cs="Times New Roman"/>
          <w:sz w:val="22"/>
          <w:szCs w:val="22"/>
          <w:lang w:val="es-MX" w:bidi="ar-SA"/>
        </w:rPr>
        <w:t xml:space="preserve">: durante un acto de intimidación que sufrió en marzo de 2016, Cristina </w:t>
      </w:r>
      <w:proofErr w:type="spellStart"/>
      <w:r w:rsidRPr="00F33CDB">
        <w:rPr>
          <w:rFonts w:ascii="Calibri" w:eastAsia="Times New Roman" w:hAnsi="Calibri" w:cs="Times New Roman"/>
          <w:sz w:val="22"/>
          <w:szCs w:val="22"/>
          <w:lang w:val="es-MX" w:bidi="ar-SA"/>
        </w:rPr>
        <w:t>Auerbach</w:t>
      </w:r>
      <w:proofErr w:type="spellEnd"/>
      <w:r w:rsidRPr="00F33CDB">
        <w:rPr>
          <w:rFonts w:ascii="Calibri" w:eastAsia="Times New Roman" w:hAnsi="Calibri" w:cs="Times New Roman"/>
          <w:sz w:val="22"/>
          <w:szCs w:val="22"/>
          <w:lang w:val="es-MX" w:bidi="ar-SA"/>
        </w:rPr>
        <w:t xml:space="preserve"> contactó a la persona enlace del Mecanismo, quien le comunicó que mientras ella no estuviese en peligro inmediato ellos no podrían reaccionar. En mayo de 2017, la beneficiaria intentó comunicarse con su contacto de emergencia de la policía estatal (Fuerza Coahuila), pero este no atendió a su llamada. En una ocasión de seria emergencia, la policía estatal se comprometió a ir al lugar de los hechos, pero esto nunca sucedió.</w:t>
      </w:r>
    </w:p>
    <w:p w:rsidR="008727FB" w:rsidRPr="00F33CDB" w:rsidRDefault="008727FB" w:rsidP="00776849">
      <w:pPr>
        <w:pStyle w:val="Standard"/>
        <w:widowControl w:val="0"/>
        <w:numPr>
          <w:ilvl w:val="0"/>
          <w:numId w:val="6"/>
        </w:numPr>
        <w:spacing w:before="120" w:after="120"/>
        <w:jc w:val="both"/>
        <w:rPr>
          <w:lang w:val="es-MX"/>
        </w:rPr>
      </w:pPr>
      <w:r w:rsidRPr="00F33CDB">
        <w:rPr>
          <w:rFonts w:ascii="Calibri" w:hAnsi="Calibri"/>
          <w:sz w:val="22"/>
          <w:szCs w:val="22"/>
          <w:u w:val="single"/>
          <w:lang w:val="es-MX"/>
        </w:rPr>
        <w:t>Falta de coordinación entre los distintos actores implicados en la implementación de las medidas:</w:t>
      </w:r>
      <w:r w:rsidRPr="00F33CDB">
        <w:rPr>
          <w:rFonts w:ascii="Calibri" w:eastAsia="Times New Roman" w:hAnsi="Calibri" w:cs="Times New Roman"/>
          <w:sz w:val="22"/>
          <w:szCs w:val="22"/>
          <w:lang w:val="es-MX" w:bidi="ar-SA"/>
        </w:rPr>
        <w:t xml:space="preserve"> la primera evaluación de riesgo tomó un año en ser realizada, lo que retrasó la implementación de las medidas. Después, a la beneficiaria le fueron otorgada escoltas, pero ella </w:t>
      </w:r>
      <w:r w:rsidR="004B3E2A" w:rsidRPr="00F33CDB">
        <w:rPr>
          <w:rFonts w:ascii="Calibri" w:eastAsia="Times New Roman" w:hAnsi="Calibri" w:cs="Times New Roman"/>
          <w:sz w:val="22"/>
          <w:szCs w:val="22"/>
          <w:lang w:val="es-MX" w:bidi="ar-SA"/>
        </w:rPr>
        <w:t>solicitó su</w:t>
      </w:r>
      <w:r w:rsidRPr="00F33CDB">
        <w:rPr>
          <w:rFonts w:ascii="Calibri" w:eastAsia="Times New Roman" w:hAnsi="Calibri" w:cs="Times New Roman"/>
          <w:sz w:val="22"/>
          <w:szCs w:val="22"/>
          <w:lang w:val="es-MX" w:bidi="ar-SA"/>
        </w:rPr>
        <w:t xml:space="preserve"> remoción, lo cual no tuvo lugar sino hasta 4 meses después de su solicitud. También ha habido problemas en la corrección oportuna de medidas debido a problemas de comunicación entre el Mecanismo y la empresa privadas</w:t>
      </w:r>
      <w:r w:rsidR="00123739">
        <w:rPr>
          <w:rFonts w:ascii="Calibri" w:eastAsia="Times New Roman" w:hAnsi="Calibri" w:cs="Times New Roman"/>
          <w:sz w:val="22"/>
          <w:szCs w:val="22"/>
          <w:lang w:val="es-MX" w:bidi="ar-SA"/>
        </w:rPr>
        <w:t xml:space="preserve"> (RCU)</w:t>
      </w:r>
      <w:r w:rsidRPr="00F33CDB">
        <w:rPr>
          <w:rFonts w:ascii="Calibri" w:eastAsia="Times New Roman" w:hAnsi="Calibri" w:cs="Times New Roman"/>
          <w:sz w:val="22"/>
          <w:szCs w:val="22"/>
          <w:lang w:val="es-MX" w:bidi="ar-SA"/>
        </w:rPr>
        <w:t xml:space="preserve"> a cargo de la implementación. El contacto de la policía investigadora de Coahuila (PGJE) fue reemplazado sin que la beneficiaria fuera notificada, y sin que le transmitieran la información del nuevo contacto.</w:t>
      </w:r>
    </w:p>
    <w:p w:rsidR="008727FB" w:rsidRPr="00F33CDB" w:rsidRDefault="008727FB" w:rsidP="00776849">
      <w:pPr>
        <w:pStyle w:val="Standard"/>
        <w:widowControl w:val="0"/>
        <w:numPr>
          <w:ilvl w:val="0"/>
          <w:numId w:val="6"/>
        </w:numPr>
        <w:spacing w:before="120" w:after="120"/>
        <w:jc w:val="both"/>
        <w:rPr>
          <w:lang w:val="es-MX"/>
        </w:rPr>
      </w:pPr>
      <w:r w:rsidRPr="00F33CDB">
        <w:rPr>
          <w:rFonts w:ascii="Calibri" w:hAnsi="Calibri"/>
          <w:sz w:val="22"/>
          <w:szCs w:val="22"/>
          <w:u w:val="single"/>
          <w:lang w:val="es-MX"/>
        </w:rPr>
        <w:t xml:space="preserve">Presión </w:t>
      </w:r>
      <w:r w:rsidR="004B3E2A" w:rsidRPr="00F33CDB">
        <w:rPr>
          <w:rFonts w:ascii="Calibri" w:hAnsi="Calibri"/>
          <w:sz w:val="22"/>
          <w:szCs w:val="22"/>
          <w:u w:val="single"/>
          <w:lang w:val="es-MX"/>
        </w:rPr>
        <w:t>sobre los</w:t>
      </w:r>
      <w:r w:rsidRPr="00F33CDB">
        <w:rPr>
          <w:rFonts w:ascii="Calibri" w:hAnsi="Calibri"/>
          <w:sz w:val="22"/>
          <w:szCs w:val="22"/>
          <w:u w:val="single"/>
          <w:lang w:val="es-MX"/>
        </w:rPr>
        <w:t xml:space="preserve"> recursos económicos de la beneficiaria</w:t>
      </w:r>
      <w:r w:rsidRPr="00F33CDB">
        <w:rPr>
          <w:rFonts w:ascii="Calibri" w:hAnsi="Calibri"/>
          <w:sz w:val="22"/>
          <w:szCs w:val="22"/>
          <w:lang w:val="es-MX"/>
        </w:rPr>
        <w:t xml:space="preserve">, quien debe asumir los gastos derivados de las medidas de protección, tales como el incremento en el consumo </w:t>
      </w:r>
      <w:r w:rsidR="005569C3" w:rsidRPr="00F33CDB">
        <w:rPr>
          <w:rFonts w:ascii="Calibri" w:hAnsi="Calibri"/>
          <w:sz w:val="22"/>
          <w:szCs w:val="22"/>
          <w:lang w:val="es-MX"/>
        </w:rPr>
        <w:t>de electricidad</w:t>
      </w:r>
      <w:r w:rsidRPr="00F33CDB">
        <w:rPr>
          <w:rFonts w:ascii="Calibri" w:hAnsi="Calibri"/>
          <w:sz w:val="22"/>
          <w:szCs w:val="22"/>
          <w:lang w:val="es-MX"/>
        </w:rPr>
        <w:t xml:space="preserve"> (lám</w:t>
      </w:r>
      <w:r w:rsidR="00456C26" w:rsidRPr="00F33CDB">
        <w:rPr>
          <w:rFonts w:ascii="Calibri" w:hAnsi="Calibri"/>
          <w:sz w:val="22"/>
          <w:szCs w:val="22"/>
          <w:lang w:val="es-MX"/>
        </w:rPr>
        <w:t>paras y cámaras de vigilancia).</w:t>
      </w:r>
    </w:p>
    <w:p w:rsidR="008727FB" w:rsidRPr="00F33CDB" w:rsidRDefault="008727FB" w:rsidP="00776849">
      <w:pPr>
        <w:pStyle w:val="Standard"/>
        <w:widowControl w:val="0"/>
        <w:spacing w:before="120" w:after="120"/>
        <w:jc w:val="both"/>
        <w:rPr>
          <w:lang w:val="es-MX"/>
        </w:rPr>
      </w:pPr>
      <w:r w:rsidRPr="00F33CDB">
        <w:rPr>
          <w:rFonts w:ascii="Calibri" w:eastAsia="Times New Roman" w:hAnsi="Calibri" w:cs="Times New Roman"/>
          <w:sz w:val="22"/>
          <w:szCs w:val="22"/>
          <w:lang w:val="es-MX" w:bidi="ar-SA"/>
        </w:rPr>
        <w:t xml:space="preserve">Es importante destacar </w:t>
      </w:r>
      <w:proofErr w:type="gramStart"/>
      <w:r w:rsidRPr="00F33CDB">
        <w:rPr>
          <w:rFonts w:ascii="Calibri" w:eastAsia="Times New Roman" w:hAnsi="Calibri" w:cs="Times New Roman"/>
          <w:sz w:val="22"/>
          <w:szCs w:val="22"/>
          <w:lang w:val="es-MX" w:bidi="ar-SA"/>
        </w:rPr>
        <w:t>que</w:t>
      </w:r>
      <w:proofErr w:type="gramEnd"/>
      <w:r w:rsidRPr="00F33CDB">
        <w:rPr>
          <w:rFonts w:ascii="Calibri" w:eastAsia="Times New Roman" w:hAnsi="Calibri" w:cs="Times New Roman"/>
          <w:sz w:val="22"/>
          <w:szCs w:val="22"/>
          <w:lang w:val="es-MX" w:bidi="ar-SA"/>
        </w:rPr>
        <w:t xml:space="preserve"> en este caso, la organización ha interpuesto denuncias</w:t>
      </w:r>
      <w:r w:rsidR="00123739">
        <w:rPr>
          <w:rFonts w:ascii="Calibri" w:eastAsia="Times New Roman" w:hAnsi="Calibri" w:cs="Times New Roman"/>
          <w:sz w:val="22"/>
          <w:szCs w:val="22"/>
          <w:lang w:val="es-MX" w:bidi="ar-SA"/>
        </w:rPr>
        <w:t xml:space="preserve"> penales ante el Ministerio Público</w:t>
      </w:r>
      <w:r w:rsidRPr="00F33CDB">
        <w:rPr>
          <w:rFonts w:ascii="Calibri" w:eastAsia="Times New Roman" w:hAnsi="Calibri" w:cs="Times New Roman"/>
          <w:sz w:val="22"/>
          <w:szCs w:val="22"/>
          <w:lang w:val="es-MX" w:bidi="ar-SA"/>
        </w:rPr>
        <w:t xml:space="preserve"> por las agresiones a la defensora Cristina </w:t>
      </w:r>
      <w:proofErr w:type="spellStart"/>
      <w:r w:rsidRPr="00F33CDB">
        <w:rPr>
          <w:rFonts w:ascii="Calibri" w:eastAsia="Times New Roman" w:hAnsi="Calibri" w:cs="Times New Roman"/>
          <w:sz w:val="22"/>
          <w:szCs w:val="22"/>
          <w:lang w:val="es-MX" w:bidi="ar-SA"/>
        </w:rPr>
        <w:t>Auerbach</w:t>
      </w:r>
      <w:proofErr w:type="spellEnd"/>
      <w:r w:rsidRPr="00F33CDB">
        <w:rPr>
          <w:rFonts w:ascii="Calibri" w:eastAsia="Times New Roman" w:hAnsi="Calibri" w:cs="Times New Roman"/>
          <w:sz w:val="22"/>
          <w:szCs w:val="22"/>
          <w:lang w:val="es-MX" w:bidi="ar-SA"/>
        </w:rPr>
        <w:t xml:space="preserve">. </w:t>
      </w:r>
      <w:r w:rsidRPr="00F33CDB">
        <w:rPr>
          <w:rFonts w:ascii="Calibri" w:eastAsia="Times New Roman" w:hAnsi="Calibri" w:cs="Times New Roman"/>
          <w:b/>
          <w:sz w:val="22"/>
          <w:szCs w:val="22"/>
          <w:lang w:val="es-MX" w:bidi="ar-SA"/>
        </w:rPr>
        <w:t>Las denuncias interpuestas por la organización no han avanzad</w:t>
      </w:r>
      <w:r w:rsidR="00123739">
        <w:rPr>
          <w:rFonts w:ascii="Calibri" w:eastAsia="Times New Roman" w:hAnsi="Calibri" w:cs="Times New Roman"/>
          <w:b/>
          <w:sz w:val="22"/>
          <w:szCs w:val="22"/>
          <w:lang w:val="es-MX" w:bidi="ar-SA"/>
        </w:rPr>
        <w:t xml:space="preserve">o en su </w:t>
      </w:r>
      <w:proofErr w:type="gramStart"/>
      <w:r w:rsidR="00123739">
        <w:rPr>
          <w:rFonts w:ascii="Calibri" w:eastAsia="Times New Roman" w:hAnsi="Calibri" w:cs="Times New Roman"/>
          <w:b/>
          <w:sz w:val="22"/>
          <w:szCs w:val="22"/>
          <w:lang w:val="es-MX" w:bidi="ar-SA"/>
        </w:rPr>
        <w:t xml:space="preserve">investigación </w:t>
      </w:r>
      <w:r w:rsidRPr="00F33CDB">
        <w:rPr>
          <w:rFonts w:ascii="Calibri" w:eastAsia="Times New Roman" w:hAnsi="Calibri" w:cs="Times New Roman"/>
          <w:sz w:val="22"/>
          <w:szCs w:val="22"/>
          <w:lang w:val="es-MX" w:bidi="ar-SA"/>
        </w:rPr>
        <w:t>,</w:t>
      </w:r>
      <w:proofErr w:type="gramEnd"/>
      <w:r w:rsidRPr="00F33CDB">
        <w:rPr>
          <w:rFonts w:ascii="Calibri" w:eastAsia="Times New Roman" w:hAnsi="Calibri" w:cs="Times New Roman"/>
          <w:sz w:val="22"/>
          <w:szCs w:val="22"/>
          <w:lang w:val="es-MX" w:bidi="ar-SA"/>
        </w:rPr>
        <w:t xml:space="preserve"> lo cual fomenta la impunidad y mantiene la inseguridad que enfrentan los </w:t>
      </w:r>
      <w:r w:rsidR="00C51B3C" w:rsidRPr="00F33CDB">
        <w:rPr>
          <w:rFonts w:ascii="Calibri" w:eastAsia="Times New Roman" w:hAnsi="Calibri" w:cs="Times New Roman"/>
          <w:sz w:val="22"/>
          <w:szCs w:val="22"/>
          <w:lang w:val="es-MX" w:bidi="ar-SA"/>
        </w:rPr>
        <w:t>personas defensoras</w:t>
      </w:r>
      <w:r w:rsidRPr="00F33CDB">
        <w:rPr>
          <w:rFonts w:ascii="Calibri" w:eastAsia="Times New Roman" w:hAnsi="Calibri" w:cs="Times New Roman"/>
          <w:sz w:val="22"/>
          <w:szCs w:val="22"/>
          <w:lang w:val="es-MX" w:bidi="ar-SA"/>
        </w:rPr>
        <w:t xml:space="preserve"> de la organización. </w:t>
      </w:r>
    </w:p>
    <w:p w:rsidR="008727FB" w:rsidRPr="00F33CDB" w:rsidRDefault="008727FB" w:rsidP="00776849">
      <w:pPr>
        <w:pStyle w:val="Standard"/>
        <w:widowControl w:val="0"/>
        <w:spacing w:before="120" w:after="120"/>
        <w:jc w:val="both"/>
        <w:rPr>
          <w:rFonts w:ascii="Calibri" w:eastAsia="Times New Roman" w:hAnsi="Calibri" w:cs="Times New Roman"/>
          <w:i/>
          <w:iCs/>
          <w:sz w:val="22"/>
          <w:szCs w:val="22"/>
          <w:highlight w:val="cyan"/>
          <w:lang w:val="es-MX" w:bidi="ar-SA"/>
        </w:rPr>
      </w:pPr>
    </w:p>
    <w:p w:rsidR="007B76AD" w:rsidRPr="00F33CDB" w:rsidRDefault="007B76AD" w:rsidP="00776849">
      <w:pPr>
        <w:pStyle w:val="Heading1"/>
        <w:numPr>
          <w:ilvl w:val="0"/>
          <w:numId w:val="4"/>
        </w:numPr>
        <w:spacing w:before="120" w:after="120" w:line="240" w:lineRule="auto"/>
        <w:rPr>
          <w:color w:val="C00000"/>
          <w:lang w:val="es-MX"/>
        </w:rPr>
      </w:pPr>
      <w:bookmarkStart w:id="9" w:name="_Toc491851650"/>
      <w:r w:rsidRPr="00F33CDB">
        <w:rPr>
          <w:color w:val="C00000"/>
          <w:lang w:val="es-MX"/>
        </w:rPr>
        <w:t xml:space="preserve">Alertas </w:t>
      </w:r>
      <w:r w:rsidR="000423E0" w:rsidRPr="00F33CDB">
        <w:rPr>
          <w:color w:val="C00000"/>
          <w:lang w:val="es-MX"/>
        </w:rPr>
        <w:t>tempranas</w:t>
      </w:r>
      <w:r w:rsidRPr="00F33CDB">
        <w:rPr>
          <w:color w:val="C00000"/>
          <w:lang w:val="es-MX"/>
        </w:rPr>
        <w:t xml:space="preserve"> a favor de personas defensoras de DESC</w:t>
      </w:r>
      <w:bookmarkEnd w:id="9"/>
    </w:p>
    <w:p w:rsidR="007B76AD" w:rsidRPr="00F33CDB" w:rsidRDefault="007B76AD" w:rsidP="00776849">
      <w:pPr>
        <w:pStyle w:val="Standard"/>
        <w:widowControl w:val="0"/>
        <w:spacing w:before="120" w:after="120"/>
        <w:jc w:val="both"/>
        <w:rPr>
          <w:rFonts w:ascii="Calibri" w:eastAsia="Times New Roman" w:hAnsi="Calibri" w:cs="Times New Roman"/>
          <w:i/>
          <w:iCs/>
          <w:sz w:val="22"/>
          <w:szCs w:val="22"/>
          <w:highlight w:val="cyan"/>
          <w:lang w:val="es-MX" w:bidi="ar-SA"/>
        </w:rPr>
      </w:pPr>
    </w:p>
    <w:p w:rsidR="008727FB" w:rsidRPr="00F33CDB" w:rsidRDefault="008727FB" w:rsidP="00776849">
      <w:pPr>
        <w:pStyle w:val="Heading2"/>
        <w:numPr>
          <w:ilvl w:val="1"/>
          <w:numId w:val="4"/>
        </w:numPr>
        <w:spacing w:before="120" w:after="120" w:line="240" w:lineRule="auto"/>
        <w:jc w:val="both"/>
        <w:rPr>
          <w:i/>
          <w:color w:val="C00000"/>
          <w:lang w:val="es-MX"/>
        </w:rPr>
      </w:pPr>
      <w:bookmarkStart w:id="10" w:name="_Toc491851651"/>
      <w:r w:rsidRPr="00F33CDB">
        <w:rPr>
          <w:i/>
          <w:color w:val="C00000"/>
          <w:lang w:val="es-MX"/>
        </w:rPr>
        <w:t>Chihuahua</w:t>
      </w:r>
      <w:bookmarkEnd w:id="10"/>
    </w:p>
    <w:p w:rsidR="008727FB" w:rsidRPr="00F33CDB" w:rsidRDefault="008727FB" w:rsidP="00776849">
      <w:pPr>
        <w:spacing w:before="120" w:after="120" w:line="240" w:lineRule="auto"/>
        <w:jc w:val="both"/>
        <w:rPr>
          <w:rFonts w:ascii="Calibri" w:hAnsi="Calibri"/>
          <w:b/>
          <w:lang w:val="es-MX"/>
        </w:rPr>
      </w:pPr>
      <w:r w:rsidRPr="00F33CDB">
        <w:rPr>
          <w:rStyle w:val="StrongEmphasis"/>
          <w:rFonts w:ascii="Calibri" w:eastAsia="Times New Roman" w:hAnsi="Calibri" w:cs="Times New Roman"/>
          <w:b w:val="0"/>
          <w:lang w:val="es-MX"/>
        </w:rPr>
        <w:t>Como medida preventiva podemos destacar la alerta temprana emitida por el Mecanismo Federal en Chihuahua</w:t>
      </w:r>
      <w:r w:rsidRPr="00F33CDB">
        <w:rPr>
          <w:rStyle w:val="StrongEmphasis"/>
          <w:rFonts w:ascii="Calibri" w:eastAsia="Times New Roman" w:hAnsi="Calibri" w:cs="Calibri"/>
          <w:b w:val="0"/>
          <w:lang w:val="es-MX"/>
        </w:rPr>
        <w:t xml:space="preserve"> como respuesta a la preocupante situación de violencia que enfrentan las personas defensoras y periodistas en el estado. Cabe resaltar que según la CNDH, Chihuahua es el estado con mayor número de homicidios a </w:t>
      </w:r>
      <w:r w:rsidR="00C51B3C" w:rsidRPr="00F33CDB">
        <w:rPr>
          <w:rStyle w:val="StrongEmphasis"/>
          <w:rFonts w:ascii="Calibri" w:eastAsia="Times New Roman" w:hAnsi="Calibri" w:cs="Calibri"/>
          <w:b w:val="0"/>
          <w:lang w:val="es-MX"/>
        </w:rPr>
        <w:t>personas defensoras</w:t>
      </w:r>
      <w:r w:rsidRPr="00F33CDB">
        <w:rPr>
          <w:rStyle w:val="StrongEmphasis"/>
          <w:rFonts w:ascii="Calibri" w:eastAsia="Times New Roman" w:hAnsi="Calibri" w:cs="Calibri"/>
          <w:b w:val="0"/>
          <w:lang w:val="es-MX"/>
        </w:rPr>
        <w:t xml:space="preserve"> entre 2010 y 2015, con un registro de 9 asesinatos</w:t>
      </w:r>
      <w:r w:rsidRPr="00F33CDB">
        <w:rPr>
          <w:rStyle w:val="FootnoteAnchor"/>
          <w:rFonts w:ascii="Calibri" w:eastAsia="Times New Roman" w:hAnsi="Calibri" w:cs="Calibri"/>
          <w:b/>
          <w:lang w:val="es-MX"/>
        </w:rPr>
        <w:footnoteReference w:id="13"/>
      </w:r>
      <w:r w:rsidRPr="00F33CDB">
        <w:rPr>
          <w:rStyle w:val="StrongEmphasis"/>
          <w:rFonts w:ascii="Calibri" w:eastAsia="Times New Roman" w:hAnsi="Calibri" w:cs="Calibri"/>
          <w:b w:val="0"/>
          <w:lang w:val="es-MX"/>
        </w:rPr>
        <w:t>. La alerta temprana consiste en un Plan de Contingencia que incluye una serie de medidas con el objetivo de prevenir potenciales agresiones y violaciones a los derechos humanos y garantizar su no repetición.</w:t>
      </w:r>
      <w:r w:rsidRPr="00F33CDB">
        <w:rPr>
          <w:rStyle w:val="StrongEmphasis"/>
          <w:rFonts w:ascii="Calibri" w:eastAsia="Times New Roman" w:hAnsi="Calibri" w:cs="Calibri"/>
          <w:lang w:val="es-MX"/>
        </w:rPr>
        <w:t xml:space="preserve"> </w:t>
      </w:r>
      <w:r w:rsidRPr="00F33CDB">
        <w:rPr>
          <w:rStyle w:val="StrongEmphasis"/>
          <w:rFonts w:ascii="Calibri" w:eastAsia="Times New Roman" w:hAnsi="Calibri" w:cs="Times New Roman"/>
          <w:b w:val="0"/>
          <w:lang w:val="es-MX"/>
        </w:rPr>
        <w:t xml:space="preserve">En el proceso de elaboración del Plan, se ha logrado trabajar de manera más participativa con organizaciones de derechos humanos y periodistas. </w:t>
      </w:r>
    </w:p>
    <w:p w:rsidR="008727FB" w:rsidRPr="00F33CDB" w:rsidRDefault="000300D0" w:rsidP="00776849">
      <w:pPr>
        <w:spacing w:before="120" w:after="120" w:line="240" w:lineRule="auto"/>
        <w:jc w:val="both"/>
        <w:rPr>
          <w:rFonts w:ascii="Calibri" w:hAnsi="Calibri"/>
          <w:b/>
          <w:lang w:val="es-MX"/>
        </w:rPr>
      </w:pPr>
      <w:r w:rsidRPr="00F33CDB">
        <w:rPr>
          <w:rStyle w:val="StrongEmphasis"/>
          <w:rFonts w:ascii="Calibri" w:eastAsia="Times New Roman" w:hAnsi="Calibri" w:cs="Times New Roman"/>
          <w:b w:val="0"/>
          <w:lang w:val="es-MX"/>
        </w:rPr>
        <w:t>A</w:t>
      </w:r>
      <w:r w:rsidR="008727FB" w:rsidRPr="00F33CDB">
        <w:rPr>
          <w:rStyle w:val="StrongEmphasis"/>
          <w:rFonts w:ascii="Calibri" w:eastAsia="Times New Roman" w:hAnsi="Calibri" w:cs="Times New Roman"/>
          <w:b w:val="0"/>
          <w:lang w:val="es-MX"/>
        </w:rPr>
        <w:t>unque la Alerta Temprana y el Plan de Contingencia se presentan como una medida de prevención, en el estado de Chihuahua hay más de 80 personas defensoras y colectivos con medidas de protección, nacionales o de la Comisión y Corte Interamericana de Derechos Humanos</w:t>
      </w:r>
      <w:r w:rsidR="008727FB" w:rsidRPr="00F33CDB">
        <w:rPr>
          <w:rStyle w:val="FootnoteAnchor"/>
          <w:rFonts w:ascii="Calibri" w:eastAsia="Times New Roman" w:hAnsi="Calibri" w:cs="Times New Roman"/>
          <w:b/>
          <w:lang w:val="es-MX"/>
        </w:rPr>
        <w:footnoteReference w:id="14"/>
      </w:r>
      <w:r w:rsidR="008727FB" w:rsidRPr="00F33CDB">
        <w:rPr>
          <w:rStyle w:val="StrongEmphasis"/>
          <w:rFonts w:ascii="Calibri" w:eastAsia="Times New Roman" w:hAnsi="Calibri" w:cs="Times New Roman"/>
          <w:b w:val="0"/>
          <w:lang w:val="es-MX"/>
        </w:rPr>
        <w:t>. En la solicitud para la Alerta Temprana, las organizaciones solicitantes subrayaron que ¨es fundamental que las acciones de prevención incluyan formas en las que se puede avanzar sustancialmente en las investigaciones de los distintos ataques de personas defensoras de derechos humanos y periodistas, empezando por quienes actualmente son beneficiarias de medidas especiales de protección</w:t>
      </w:r>
      <w:r w:rsidR="008727FB" w:rsidRPr="00F33CDB">
        <w:rPr>
          <w:rStyle w:val="FootnoteAnchor"/>
          <w:rFonts w:ascii="Calibri" w:eastAsia="Times New Roman" w:hAnsi="Calibri" w:cs="Times New Roman"/>
          <w:b/>
          <w:lang w:val="es-MX"/>
        </w:rPr>
        <w:footnoteReference w:id="15"/>
      </w:r>
      <w:r w:rsidR="008727FB" w:rsidRPr="00F33CDB">
        <w:rPr>
          <w:rStyle w:val="StrongEmphasis"/>
          <w:rFonts w:ascii="Calibri" w:eastAsia="Times New Roman" w:hAnsi="Calibri" w:cs="Times New Roman"/>
          <w:b w:val="0"/>
          <w:lang w:val="es-MX"/>
        </w:rPr>
        <w:t>.¨ Según el análisis del Mecanis</w:t>
      </w:r>
      <w:r w:rsidR="006D0F78">
        <w:rPr>
          <w:rStyle w:val="StrongEmphasis"/>
          <w:rFonts w:ascii="Calibri" w:eastAsia="Times New Roman" w:hAnsi="Calibri" w:cs="Times New Roman"/>
          <w:b w:val="0"/>
          <w:lang w:val="es-MX"/>
        </w:rPr>
        <w:t>mo Federal, ¨</w:t>
      </w:r>
      <w:r w:rsidR="008727FB" w:rsidRPr="00F33CDB">
        <w:rPr>
          <w:rStyle w:val="StrongEmphasis"/>
          <w:rFonts w:ascii="Calibri" w:eastAsia="Times New Roman" w:hAnsi="Calibri" w:cs="Times New Roman"/>
          <w:b w:val="0"/>
          <w:lang w:val="es-MX"/>
        </w:rPr>
        <w:t>las amenazas directas contra la vida e integridad de vari</w:t>
      </w:r>
      <w:r w:rsidR="00AC3B54">
        <w:rPr>
          <w:rStyle w:val="StrongEmphasis"/>
          <w:rFonts w:ascii="Calibri" w:eastAsia="Times New Roman" w:hAnsi="Calibri" w:cs="Times New Roman"/>
          <w:b w:val="0"/>
          <w:lang w:val="es-MX"/>
        </w:rPr>
        <w:t>a</w:t>
      </w:r>
      <w:r w:rsidR="008727FB" w:rsidRPr="00F33CDB">
        <w:rPr>
          <w:rStyle w:val="StrongEmphasis"/>
          <w:rFonts w:ascii="Calibri" w:eastAsia="Times New Roman" w:hAnsi="Calibri" w:cs="Times New Roman"/>
          <w:b w:val="0"/>
          <w:lang w:val="es-MX"/>
        </w:rPr>
        <w:t xml:space="preserve">s </w:t>
      </w:r>
      <w:r w:rsidR="00C51B3C" w:rsidRPr="00F33CDB">
        <w:rPr>
          <w:rStyle w:val="StrongEmphasis"/>
          <w:rFonts w:ascii="Calibri" w:eastAsia="Times New Roman" w:hAnsi="Calibri" w:cs="Times New Roman"/>
          <w:b w:val="0"/>
          <w:lang w:val="es-MX"/>
        </w:rPr>
        <w:t>personas defensoras</w:t>
      </w:r>
      <w:r w:rsidR="008727FB" w:rsidRPr="00F33CDB">
        <w:rPr>
          <w:rStyle w:val="StrongEmphasis"/>
          <w:rFonts w:ascii="Calibri" w:eastAsia="Times New Roman" w:hAnsi="Calibri" w:cs="Times New Roman"/>
          <w:b w:val="0"/>
          <w:lang w:val="es-MX"/>
        </w:rPr>
        <w:t xml:space="preserve"> siguen presentes pese a que muchos de ellos tienen medidas cautelares o de protección </w:t>
      </w:r>
      <w:r w:rsidR="00AC3B54">
        <w:rPr>
          <w:rStyle w:val="StrongEmphasis"/>
          <w:rFonts w:ascii="Calibri" w:eastAsia="Times New Roman" w:hAnsi="Calibri" w:cs="Times New Roman"/>
          <w:b w:val="0"/>
          <w:lang w:val="es-MX"/>
        </w:rPr>
        <w:t xml:space="preserve">a nivel </w:t>
      </w:r>
      <w:r w:rsidR="008727FB" w:rsidRPr="00F33CDB">
        <w:rPr>
          <w:rStyle w:val="StrongEmphasis"/>
          <w:rFonts w:ascii="Calibri" w:eastAsia="Times New Roman" w:hAnsi="Calibri" w:cs="Times New Roman"/>
          <w:b w:val="0"/>
          <w:lang w:val="es-MX"/>
        </w:rPr>
        <w:t>federal.</w:t>
      </w:r>
      <w:r w:rsidR="008727FB" w:rsidRPr="00F33CDB">
        <w:rPr>
          <w:rStyle w:val="FootnoteAnchor"/>
          <w:rFonts w:ascii="Calibri" w:eastAsia="Times New Roman" w:hAnsi="Calibri" w:cs="Times New Roman"/>
          <w:b/>
          <w:lang w:val="es-MX"/>
        </w:rPr>
        <w:footnoteReference w:id="16"/>
      </w:r>
      <w:r w:rsidR="008727FB" w:rsidRPr="00F33CDB">
        <w:rPr>
          <w:rStyle w:val="StrongEmphasis"/>
          <w:rFonts w:ascii="Calibri" w:eastAsia="Times New Roman" w:hAnsi="Calibri" w:cs="Times New Roman"/>
          <w:b w:val="0"/>
          <w:lang w:val="es-MX"/>
        </w:rPr>
        <w:t>¨</w:t>
      </w:r>
    </w:p>
    <w:p w:rsidR="008727FB" w:rsidRPr="00F33CDB" w:rsidRDefault="008727FB" w:rsidP="00776849">
      <w:pPr>
        <w:spacing w:before="120" w:after="120" w:line="240" w:lineRule="auto"/>
        <w:ind w:left="708"/>
        <w:jc w:val="both"/>
        <w:rPr>
          <w:rFonts w:ascii="Calibri" w:hAnsi="Calibri"/>
          <w:i/>
          <w:lang w:val="es-MX"/>
        </w:rPr>
      </w:pPr>
      <w:r w:rsidRPr="00F33CDB">
        <w:rPr>
          <w:rStyle w:val="StrongEmphasis"/>
          <w:rFonts w:ascii="Calibri" w:eastAsia="Times New Roman" w:hAnsi="Calibri" w:cs="Times New Roman"/>
          <w:b w:val="0"/>
          <w:i/>
          <w:lang w:val="es-MX"/>
        </w:rPr>
        <w:t xml:space="preserve">Prudencio Ramos y Angelita Ayala son miembros de la comunidad de </w:t>
      </w:r>
      <w:proofErr w:type="spellStart"/>
      <w:r w:rsidRPr="00F33CDB">
        <w:rPr>
          <w:rStyle w:val="StrongEmphasis"/>
          <w:rFonts w:ascii="Calibri" w:eastAsia="Times New Roman" w:hAnsi="Calibri" w:cs="Times New Roman"/>
          <w:b w:val="0"/>
          <w:i/>
          <w:lang w:val="es-MX"/>
        </w:rPr>
        <w:t>Choréachi</w:t>
      </w:r>
      <w:proofErr w:type="spellEnd"/>
      <w:r w:rsidRPr="00F33CDB">
        <w:rPr>
          <w:rStyle w:val="StrongEmphasis"/>
          <w:rFonts w:ascii="Calibri" w:eastAsia="Times New Roman" w:hAnsi="Calibri" w:cs="Times New Roman"/>
          <w:b w:val="0"/>
          <w:i/>
          <w:lang w:val="es-MX"/>
        </w:rPr>
        <w:t xml:space="preserve">, en el Municipio de Guadalupe y Calvo, acompañada por la organización Alianza Sierra Madre A.C. (ASMAC) quienes se movilizaron para defender su territorio ancestral y sus recursos naturales, especialmente forestales. A Ramos y Ayala les fueron otorgadas medidas cautelares por la CIDH en el 2014, debido a la situación de acoso, hostigamiento, persecución y asesinatos de autoridades y líderes comunitarios de su comunidad y de sus respectivos núcleos familiares. Estas medidas fueron ampliadas a toda la comunidad de </w:t>
      </w:r>
      <w:proofErr w:type="spellStart"/>
      <w:r w:rsidRPr="00F33CDB">
        <w:rPr>
          <w:rStyle w:val="StrongEmphasis"/>
          <w:rFonts w:ascii="Calibri" w:eastAsia="Times New Roman" w:hAnsi="Calibri" w:cs="Times New Roman"/>
          <w:b w:val="0"/>
          <w:i/>
          <w:lang w:val="es-MX"/>
        </w:rPr>
        <w:t>Choréachi</w:t>
      </w:r>
      <w:proofErr w:type="spellEnd"/>
      <w:r w:rsidRPr="00F33CDB">
        <w:rPr>
          <w:rStyle w:val="StrongEmphasis"/>
          <w:rFonts w:ascii="Calibri" w:eastAsia="Times New Roman" w:hAnsi="Calibri" w:cs="Times New Roman"/>
          <w:b w:val="0"/>
          <w:i/>
          <w:lang w:val="es-MX"/>
        </w:rPr>
        <w:t xml:space="preserve"> en 2016</w:t>
      </w:r>
      <w:r w:rsidRPr="00F33CDB">
        <w:rPr>
          <w:rStyle w:val="FootnoteAnchor"/>
          <w:rFonts w:ascii="Calibri" w:eastAsia="Times New Roman" w:hAnsi="Calibri" w:cs="Times New Roman"/>
          <w:b/>
          <w:i/>
          <w:lang w:val="es-MX"/>
        </w:rPr>
        <w:footnoteReference w:id="17"/>
      </w:r>
      <w:r w:rsidRPr="00F33CDB">
        <w:rPr>
          <w:rStyle w:val="StrongEmphasis"/>
          <w:rFonts w:ascii="Calibri" w:eastAsia="Times New Roman" w:hAnsi="Calibri" w:cs="Times New Roman"/>
          <w:b w:val="0"/>
          <w:i/>
          <w:lang w:val="es-MX"/>
        </w:rPr>
        <w:t xml:space="preserve">. Consisten, entre otras cosas, en el acompañamiento policiaco para desplazamientos desde </w:t>
      </w:r>
      <w:proofErr w:type="spellStart"/>
      <w:r w:rsidRPr="00F33CDB">
        <w:rPr>
          <w:rStyle w:val="StrongEmphasis"/>
          <w:rFonts w:ascii="Calibri" w:eastAsia="Times New Roman" w:hAnsi="Calibri" w:cs="Times New Roman"/>
          <w:b w:val="0"/>
          <w:i/>
          <w:lang w:val="es-MX"/>
        </w:rPr>
        <w:t>Choréachi</w:t>
      </w:r>
      <w:proofErr w:type="spellEnd"/>
      <w:r w:rsidRPr="00F33CDB">
        <w:rPr>
          <w:rStyle w:val="StrongEmphasis"/>
          <w:rFonts w:ascii="Calibri" w:eastAsia="Times New Roman" w:hAnsi="Calibri" w:cs="Times New Roman"/>
          <w:b w:val="0"/>
          <w:i/>
          <w:lang w:val="es-MX"/>
        </w:rPr>
        <w:t xml:space="preserve">, la procuración de información en cuanto a avances en investigación de los homicidios de Jaime </w:t>
      </w:r>
      <w:proofErr w:type="spellStart"/>
      <w:r w:rsidRPr="00F33CDB">
        <w:rPr>
          <w:rStyle w:val="StrongEmphasis"/>
          <w:rFonts w:ascii="Calibri" w:eastAsia="Times New Roman" w:hAnsi="Calibri" w:cs="Times New Roman"/>
          <w:b w:val="0"/>
          <w:i/>
          <w:lang w:val="es-MX"/>
        </w:rPr>
        <w:t>Zubías</w:t>
      </w:r>
      <w:proofErr w:type="spellEnd"/>
      <w:r w:rsidRPr="00F33CDB">
        <w:rPr>
          <w:rStyle w:val="StrongEmphasis"/>
          <w:rFonts w:ascii="Calibri" w:eastAsia="Times New Roman" w:hAnsi="Calibri" w:cs="Times New Roman"/>
          <w:b w:val="0"/>
          <w:i/>
          <w:lang w:val="es-MX"/>
        </w:rPr>
        <w:t xml:space="preserve"> y Socorro Ayala Ramos</w:t>
      </w:r>
      <w:r w:rsidRPr="00F33CDB">
        <w:rPr>
          <w:rStyle w:val="FootnoteAnchor"/>
          <w:rFonts w:ascii="Arial Narrow" w:eastAsia="Times New Roman" w:hAnsi="Arial Narrow" w:cs="Times New Roman"/>
          <w:b/>
          <w:i/>
          <w:lang w:val="es-MX"/>
        </w:rPr>
        <w:footnoteReference w:id="18"/>
      </w:r>
      <w:r w:rsidRPr="00F33CDB">
        <w:rPr>
          <w:rStyle w:val="StrongEmphasis"/>
          <w:rFonts w:ascii="Calibri" w:eastAsia="Times New Roman" w:hAnsi="Calibri" w:cs="Times New Roman"/>
          <w:b w:val="0"/>
          <w:i/>
          <w:lang w:val="es-MX"/>
        </w:rPr>
        <w:t xml:space="preserve">, y la ejecución de </w:t>
      </w:r>
      <w:proofErr w:type="spellStart"/>
      <w:r w:rsidRPr="00F33CDB">
        <w:rPr>
          <w:rStyle w:val="StrongEmphasis"/>
          <w:rFonts w:ascii="Calibri" w:eastAsia="Times New Roman" w:hAnsi="Calibri" w:cs="Times New Roman"/>
          <w:b w:val="0"/>
          <w:i/>
          <w:lang w:val="es-MX"/>
        </w:rPr>
        <w:t>ordenes</w:t>
      </w:r>
      <w:proofErr w:type="spellEnd"/>
      <w:r w:rsidRPr="00F33CDB">
        <w:rPr>
          <w:rStyle w:val="StrongEmphasis"/>
          <w:rFonts w:ascii="Calibri" w:eastAsia="Times New Roman" w:hAnsi="Calibri" w:cs="Times New Roman"/>
          <w:b w:val="0"/>
          <w:i/>
          <w:lang w:val="es-MX"/>
        </w:rPr>
        <w:t xml:space="preserve"> de aprehensión en dichos casos. El asesinato del defensor Isidro </w:t>
      </w:r>
      <w:proofErr w:type="spellStart"/>
      <w:r w:rsidRPr="00F33CDB">
        <w:rPr>
          <w:rStyle w:val="StrongEmphasis"/>
          <w:rFonts w:ascii="Calibri" w:eastAsia="Times New Roman" w:hAnsi="Calibri" w:cs="Times New Roman"/>
          <w:b w:val="0"/>
          <w:i/>
          <w:lang w:val="es-MX"/>
        </w:rPr>
        <w:t>Baldenegro</w:t>
      </w:r>
      <w:proofErr w:type="spellEnd"/>
      <w:r w:rsidRPr="00F33CDB">
        <w:rPr>
          <w:rStyle w:val="StrongEmphasis"/>
          <w:rFonts w:ascii="Calibri" w:eastAsia="Times New Roman" w:hAnsi="Calibri" w:cs="Times New Roman"/>
          <w:b w:val="0"/>
          <w:i/>
          <w:lang w:val="es-MX"/>
        </w:rPr>
        <w:t xml:space="preserve"> el 18 de enero de 2017 en la Sierra Tarahumara, y el secuestro y asesinato del comisario Juan Ontiveros Ramos</w:t>
      </w:r>
      <w:r w:rsidRPr="00F33CDB">
        <w:rPr>
          <w:rStyle w:val="FootnoteAnchor"/>
          <w:rFonts w:ascii="Arial Narrow" w:eastAsia="Times New Roman" w:hAnsi="Arial Narrow" w:cs="Times New Roman"/>
          <w:b/>
          <w:i/>
          <w:lang w:val="es-MX"/>
        </w:rPr>
        <w:footnoteReference w:id="19"/>
      </w:r>
      <w:r w:rsidRPr="00F33CDB">
        <w:rPr>
          <w:rStyle w:val="StrongEmphasis"/>
          <w:rFonts w:ascii="Calibri" w:eastAsia="Times New Roman" w:hAnsi="Calibri" w:cs="Times New Roman"/>
          <w:b w:val="0"/>
          <w:i/>
          <w:lang w:val="es-MX"/>
        </w:rPr>
        <w:t xml:space="preserve"> en la comunidad de </w:t>
      </w:r>
      <w:proofErr w:type="spellStart"/>
      <w:r w:rsidRPr="00F33CDB">
        <w:rPr>
          <w:rStyle w:val="StrongEmphasis"/>
          <w:rFonts w:ascii="Calibri" w:eastAsia="Times New Roman" w:hAnsi="Calibri" w:cs="Times New Roman"/>
          <w:b w:val="0"/>
          <w:i/>
          <w:lang w:val="es-MX"/>
        </w:rPr>
        <w:t>Choréachi</w:t>
      </w:r>
      <w:proofErr w:type="spellEnd"/>
      <w:r w:rsidRPr="00F33CDB">
        <w:rPr>
          <w:rStyle w:val="StrongEmphasis"/>
          <w:rFonts w:ascii="Calibri" w:eastAsia="Times New Roman" w:hAnsi="Calibri" w:cs="Times New Roman"/>
          <w:b w:val="0"/>
          <w:i/>
          <w:lang w:val="es-MX"/>
        </w:rPr>
        <w:t xml:space="preserve"> el pasado 31 de enero de 2017 demostró que el riesgo para los </w:t>
      </w:r>
      <w:r w:rsidR="00C51B3C" w:rsidRPr="00F33CDB">
        <w:rPr>
          <w:rStyle w:val="StrongEmphasis"/>
          <w:rFonts w:ascii="Calibri" w:eastAsia="Times New Roman" w:hAnsi="Calibri" w:cs="Times New Roman"/>
          <w:b w:val="0"/>
          <w:i/>
          <w:lang w:val="es-MX"/>
        </w:rPr>
        <w:t>personas defensoras</w:t>
      </w:r>
      <w:r w:rsidRPr="00F33CDB">
        <w:rPr>
          <w:rStyle w:val="StrongEmphasis"/>
          <w:rFonts w:ascii="Calibri" w:eastAsia="Times New Roman" w:hAnsi="Calibri" w:cs="Times New Roman"/>
          <w:b w:val="0"/>
          <w:i/>
          <w:lang w:val="es-MX"/>
        </w:rPr>
        <w:t xml:space="preserve"> comunitarios en la Sierra Tarahumara continúa siendo muy alto. En consecuencia, la Corte Interamericana de Derechos Humanos (</w:t>
      </w:r>
      <w:proofErr w:type="spellStart"/>
      <w:r w:rsidRPr="00F33CDB">
        <w:rPr>
          <w:rStyle w:val="StrongEmphasis"/>
          <w:rFonts w:ascii="Calibri" w:eastAsia="Times New Roman" w:hAnsi="Calibri" w:cs="Times New Roman"/>
          <w:b w:val="0"/>
          <w:i/>
          <w:lang w:val="es-MX"/>
        </w:rPr>
        <w:t>CoIDH</w:t>
      </w:r>
      <w:proofErr w:type="spellEnd"/>
      <w:r w:rsidRPr="00F33CDB">
        <w:rPr>
          <w:rStyle w:val="StrongEmphasis"/>
          <w:rFonts w:ascii="Calibri" w:eastAsia="Times New Roman" w:hAnsi="Calibri" w:cs="Times New Roman"/>
          <w:b w:val="0"/>
          <w:i/>
          <w:lang w:val="es-MX"/>
        </w:rPr>
        <w:t xml:space="preserve">) otorgó medidas provisionales a la comunidad de </w:t>
      </w:r>
      <w:proofErr w:type="spellStart"/>
      <w:r w:rsidRPr="00F33CDB">
        <w:rPr>
          <w:rStyle w:val="StrongEmphasis"/>
          <w:rFonts w:ascii="Calibri" w:eastAsia="Times New Roman" w:hAnsi="Calibri" w:cs="Times New Roman"/>
          <w:b w:val="0"/>
          <w:i/>
          <w:lang w:val="es-MX"/>
        </w:rPr>
        <w:t>Choréachi</w:t>
      </w:r>
      <w:proofErr w:type="spellEnd"/>
      <w:r w:rsidRPr="00F33CDB">
        <w:rPr>
          <w:rStyle w:val="StrongEmphasis"/>
          <w:rFonts w:ascii="Calibri" w:eastAsia="Times New Roman" w:hAnsi="Calibri" w:cs="Times New Roman"/>
          <w:b w:val="0"/>
          <w:i/>
          <w:lang w:val="es-MX"/>
        </w:rPr>
        <w:t>, solicitando que “</w:t>
      </w:r>
      <w:r w:rsidRPr="00F33CDB">
        <w:rPr>
          <w:rStyle w:val="StrongEmphasis"/>
          <w:rFonts w:ascii="Calibri" w:eastAsia="Times New Roman" w:hAnsi="Calibri" w:cs="Times New Roman"/>
          <w:b w:val="0"/>
          <w:bCs w:val="0"/>
          <w:i/>
          <w:lang w:val="es-MX"/>
        </w:rPr>
        <w:t>el Estado de México debe continuar implementando las medidas de protección que ya fueron dispuestas</w:t>
      </w:r>
      <w:r w:rsidRPr="00F33CDB">
        <w:rPr>
          <w:rStyle w:val="StrongEmphasis"/>
          <w:rFonts w:ascii="Calibri" w:eastAsia="Times New Roman" w:hAnsi="Calibri" w:cs="Times New Roman"/>
          <w:b w:val="0"/>
          <w:i/>
          <w:lang w:val="es-MX"/>
        </w:rPr>
        <w:t xml:space="preserve">, y adoptar, de manera inmediata, todas las otras acciones necesarias destinadas a proteger y garantizar el respeto a la vida, y a la integridad personal, en favor de los Integrantes de la Comunidad indígena de </w:t>
      </w:r>
      <w:proofErr w:type="spellStart"/>
      <w:r w:rsidRPr="00F33CDB">
        <w:rPr>
          <w:rStyle w:val="StrongEmphasis"/>
          <w:rFonts w:ascii="Calibri" w:eastAsia="Times New Roman" w:hAnsi="Calibri" w:cs="Times New Roman"/>
          <w:b w:val="0"/>
          <w:i/>
          <w:lang w:val="es-MX"/>
        </w:rPr>
        <w:t>Choréachi</w:t>
      </w:r>
      <w:proofErr w:type="spellEnd"/>
      <w:r w:rsidRPr="00F33CDB">
        <w:rPr>
          <w:rStyle w:val="StrongEmphasis"/>
          <w:rFonts w:ascii="Calibri" w:eastAsia="Times New Roman" w:hAnsi="Calibri" w:cs="Times New Roman"/>
          <w:b w:val="0"/>
          <w:i/>
          <w:lang w:val="es-MX"/>
        </w:rPr>
        <w:t>” y que se “realice un diagnóstico actualizado sobre la situación de la comunidad y sus miembros, en el cual informe sobre la intensidad y la naturaleza de un riesgo a su vida e integridad, en particular a la luz de los hechos de violencia ocurridos recientemente”</w:t>
      </w:r>
      <w:r w:rsidRPr="00F33CDB">
        <w:rPr>
          <w:rStyle w:val="FootnoteAnchor"/>
          <w:rFonts w:ascii="Calibri" w:eastAsia="Times New Roman" w:hAnsi="Calibri" w:cs="Times New Roman"/>
          <w:b/>
          <w:i/>
          <w:lang w:val="es-MX"/>
        </w:rPr>
        <w:footnoteReference w:id="20"/>
      </w:r>
      <w:r w:rsidRPr="00F33CDB">
        <w:rPr>
          <w:rStyle w:val="StrongEmphasis"/>
          <w:rFonts w:ascii="Calibri" w:eastAsia="Times New Roman" w:hAnsi="Calibri" w:cs="Times New Roman"/>
          <w:b w:val="0"/>
          <w:i/>
          <w:lang w:val="es-MX"/>
        </w:rPr>
        <w:t>.</w:t>
      </w:r>
      <w:r w:rsidRPr="00F33CDB">
        <w:rPr>
          <w:rStyle w:val="StrongEmphasis"/>
          <w:rFonts w:ascii="Calibri" w:eastAsia="Times New Roman" w:hAnsi="Calibri" w:cs="Times New Roman"/>
          <w:i/>
          <w:lang w:val="es-MX"/>
        </w:rPr>
        <w:t xml:space="preserve"> </w:t>
      </w:r>
    </w:p>
    <w:p w:rsidR="008727FB" w:rsidRPr="00F33CDB" w:rsidRDefault="006D0F78" w:rsidP="00776849">
      <w:pPr>
        <w:spacing w:before="120" w:after="120" w:line="240" w:lineRule="auto"/>
        <w:jc w:val="both"/>
        <w:rPr>
          <w:b/>
          <w:lang w:val="es-MX"/>
        </w:rPr>
      </w:pPr>
      <w:r>
        <w:rPr>
          <w:rStyle w:val="StrongEmphasis"/>
          <w:rFonts w:ascii="Calibri" w:eastAsia="Times New Roman" w:hAnsi="Calibri" w:cs="Times New Roman"/>
          <w:b w:val="0"/>
          <w:lang w:val="es-MX"/>
        </w:rPr>
        <w:t>E</w:t>
      </w:r>
      <w:r w:rsidR="008727FB" w:rsidRPr="00F33CDB">
        <w:rPr>
          <w:rStyle w:val="StrongEmphasis"/>
          <w:rFonts w:ascii="Calibri" w:eastAsia="Times New Roman" w:hAnsi="Calibri" w:cs="Times New Roman"/>
          <w:b w:val="0"/>
          <w:lang w:val="es-MX"/>
        </w:rPr>
        <w:t>l Plan de Contingencia dedica un capítulo al caso específico de la Sierra Tarahumara, constituido por un conjunto de acciones con un enfoque de prevención y de atención a causas estructurales de</w:t>
      </w:r>
      <w:r w:rsidR="008727FB" w:rsidRPr="00F33CDB">
        <w:rPr>
          <w:rStyle w:val="StrongEmphasis"/>
          <w:rFonts w:ascii="Calibri" w:eastAsia="Times New Roman" w:hAnsi="Calibri" w:cs="Times New Roman"/>
          <w:lang w:val="es-MX"/>
        </w:rPr>
        <w:t xml:space="preserve"> </w:t>
      </w:r>
      <w:r w:rsidR="008727FB" w:rsidRPr="00F33CDB">
        <w:rPr>
          <w:rStyle w:val="StrongEmphasis"/>
          <w:rFonts w:ascii="Calibri" w:eastAsia="Times New Roman" w:hAnsi="Calibri" w:cs="Times New Roman"/>
          <w:b w:val="0"/>
          <w:lang w:val="es-MX"/>
        </w:rPr>
        <w:t>riesgos. Entre estas se destacan (1) visitas estratégicas  por parte de las instituciones del Estado a las comunidades de la Sierra Tarahumara, priorizando aquellas que hayan presentado denuncias ante tribunales u otros organismos de Derechos Humano</w:t>
      </w:r>
      <w:r w:rsidR="005C7D6C">
        <w:rPr>
          <w:rStyle w:val="StrongEmphasis"/>
          <w:rFonts w:ascii="Calibri" w:eastAsia="Times New Roman" w:hAnsi="Calibri" w:cs="Times New Roman"/>
          <w:b w:val="0"/>
          <w:lang w:val="es-MX"/>
        </w:rPr>
        <w:t xml:space="preserve">s; (2) un plan para la </w:t>
      </w:r>
      <w:proofErr w:type="spellStart"/>
      <w:r w:rsidR="005C7D6C">
        <w:rPr>
          <w:rStyle w:val="StrongEmphasis"/>
          <w:rFonts w:ascii="Calibri" w:eastAsia="Times New Roman" w:hAnsi="Calibri" w:cs="Times New Roman"/>
          <w:b w:val="0"/>
          <w:lang w:val="es-MX"/>
        </w:rPr>
        <w:t>reconstr</w:t>
      </w:r>
      <w:r w:rsidR="008727FB" w:rsidRPr="00F33CDB">
        <w:rPr>
          <w:rStyle w:val="StrongEmphasis"/>
          <w:rFonts w:ascii="Calibri" w:eastAsia="Times New Roman" w:hAnsi="Calibri" w:cs="Times New Roman"/>
          <w:b w:val="0"/>
          <w:lang w:val="es-MX"/>
        </w:rPr>
        <w:t>ución</w:t>
      </w:r>
      <w:proofErr w:type="spellEnd"/>
      <w:r w:rsidR="008727FB" w:rsidRPr="00F33CDB">
        <w:rPr>
          <w:rStyle w:val="StrongEmphasis"/>
          <w:rFonts w:ascii="Calibri" w:eastAsia="Times New Roman" w:hAnsi="Calibri" w:cs="Times New Roman"/>
          <w:b w:val="0"/>
          <w:lang w:val="es-MX"/>
        </w:rPr>
        <w:t xml:space="preserve"> del tejido social de los municipios con mayores índices de violencia, paralelo a las acciones de los cuerpos de seguridad;  (3) un plan de protección concertado con los beneficiarios/as de medidas cautelares (individuales y colectivas) que garantice la justicia, la verdad, la no repetición y la reparación de daños. Estas acciones serían desarrolladas con el fin de complementar las medidas de protección que tienen ciertas comunidades serranas, como la comunidad de </w:t>
      </w:r>
      <w:proofErr w:type="spellStart"/>
      <w:r w:rsidR="008727FB" w:rsidRPr="00F33CDB">
        <w:rPr>
          <w:rStyle w:val="StrongEmphasis"/>
          <w:rFonts w:ascii="Calibri" w:eastAsia="Times New Roman" w:hAnsi="Calibri" w:cs="Times New Roman"/>
          <w:b w:val="0"/>
          <w:lang w:val="es-MX"/>
        </w:rPr>
        <w:t>Choréachi</w:t>
      </w:r>
      <w:proofErr w:type="spellEnd"/>
      <w:r w:rsidR="008727FB" w:rsidRPr="00F33CDB">
        <w:rPr>
          <w:rStyle w:val="StrongEmphasis"/>
          <w:rFonts w:ascii="Calibri" w:eastAsia="Times New Roman" w:hAnsi="Calibri" w:cs="Times New Roman"/>
          <w:b w:val="0"/>
          <w:lang w:val="es-MX"/>
        </w:rPr>
        <w:t xml:space="preserve">. </w:t>
      </w:r>
    </w:p>
    <w:p w:rsidR="008727FB" w:rsidRPr="00F33CDB" w:rsidRDefault="008727FB" w:rsidP="00776849">
      <w:pPr>
        <w:spacing w:before="120" w:after="120" w:line="240" w:lineRule="auto"/>
        <w:jc w:val="both"/>
        <w:rPr>
          <w:rStyle w:val="StrongEmphasis"/>
          <w:rFonts w:ascii="Calibri" w:eastAsia="Times New Roman" w:hAnsi="Calibri" w:cs="Times New Roman"/>
          <w:b w:val="0"/>
          <w:lang w:val="es-MX"/>
        </w:rPr>
      </w:pPr>
      <w:r w:rsidRPr="00F33CDB">
        <w:rPr>
          <w:rStyle w:val="StrongEmphasis"/>
          <w:rFonts w:ascii="Calibri" w:eastAsia="Times New Roman" w:hAnsi="Calibri" w:cs="Times New Roman"/>
          <w:b w:val="0"/>
          <w:lang w:val="es-MX"/>
        </w:rPr>
        <w:t xml:space="preserve">La Alerta Temprana significa un reconocimiento de la situación de urgencia en el estado de Chihuahua y representa un abordaje más contextualizado. Sin embargo, hasta ahora no ha implicado una mejora en la situación de personas defensoras en el estado. El Plan de Contingencia fue firmado el 9 de junio de 2017 y el 13 de julio de este año hubo la primera mesa de seguimiento para acordar los avances. Tras esta última reunión, las organizaciones participantes señalaron que ¨en términos generales no hubo avances sustanciales en esta primera reunión, pero sí compromisos concretos que las autoridades deberán cumplir para la reunión de octubre próximo; cabe mencionar que esta situación fue más evidente en la mesa medioambiental donde hubo una total desarticulación de las autoridades y avances nulos.¨ </w:t>
      </w:r>
      <w:r w:rsidRPr="00F33CDB">
        <w:rPr>
          <w:rStyle w:val="FootnoteAnchor"/>
          <w:rFonts w:ascii="Calibri" w:eastAsia="Times New Roman" w:hAnsi="Calibri" w:cs="Times New Roman"/>
          <w:b/>
          <w:lang w:val="es-MX"/>
        </w:rPr>
        <w:footnoteReference w:id="21"/>
      </w:r>
    </w:p>
    <w:p w:rsidR="00415E73" w:rsidRPr="00F33CDB" w:rsidRDefault="00415E73" w:rsidP="00776849">
      <w:pPr>
        <w:spacing w:before="120" w:after="120" w:line="240" w:lineRule="auto"/>
        <w:jc w:val="both"/>
        <w:rPr>
          <w:rFonts w:ascii="Calibri" w:hAnsi="Calibri"/>
          <w:b/>
          <w:lang w:val="es-MX"/>
        </w:rPr>
      </w:pPr>
    </w:p>
    <w:p w:rsidR="008727FB" w:rsidRPr="00F33CDB" w:rsidRDefault="008727FB" w:rsidP="00776849">
      <w:pPr>
        <w:pStyle w:val="Heading2"/>
        <w:numPr>
          <w:ilvl w:val="1"/>
          <w:numId w:val="4"/>
        </w:numPr>
        <w:spacing w:before="120" w:after="120" w:line="240" w:lineRule="auto"/>
        <w:jc w:val="both"/>
        <w:rPr>
          <w:i/>
          <w:color w:val="C00000"/>
          <w:lang w:val="es-MX"/>
        </w:rPr>
      </w:pPr>
      <w:bookmarkStart w:id="11" w:name="_Toc491851652"/>
      <w:r w:rsidRPr="00F33CDB">
        <w:rPr>
          <w:i/>
          <w:color w:val="C00000"/>
          <w:lang w:val="es-MX"/>
        </w:rPr>
        <w:t>Oaxaca</w:t>
      </w:r>
      <w:bookmarkEnd w:id="11"/>
    </w:p>
    <w:p w:rsidR="008727FB" w:rsidRPr="00F33CDB" w:rsidRDefault="008727FB" w:rsidP="00776849">
      <w:pPr>
        <w:spacing w:before="120" w:after="120" w:line="240" w:lineRule="auto"/>
        <w:jc w:val="both"/>
        <w:rPr>
          <w:rFonts w:ascii="Calibri" w:hAnsi="Calibri"/>
          <w:lang w:val="es-MX"/>
        </w:rPr>
      </w:pPr>
      <w:r w:rsidRPr="00F33CDB">
        <w:rPr>
          <w:rFonts w:ascii="Calibri" w:hAnsi="Calibri"/>
          <w:lang w:val="es-MX"/>
        </w:rPr>
        <w:t xml:space="preserve">En septiembre 2016, dado el alto número de ataques contra personas defensoras y la posible participación de autoridades estatales en dichos ataques, la Defensoría de Derechos Humanos del pueblo de Oaxaca emitió una alerta temprana dirigida al Gobernador del Estado y Fiscal General. Entre enero y agosto 2016 se habían documentado 124 agravios contra 76 personas defensoras, principalmente sindicalistas (29), </w:t>
      </w:r>
      <w:r w:rsidR="00C51B3C" w:rsidRPr="00F33CDB">
        <w:rPr>
          <w:rFonts w:ascii="Calibri" w:hAnsi="Calibri"/>
          <w:lang w:val="es-MX"/>
        </w:rPr>
        <w:t>personas defensoras</w:t>
      </w:r>
      <w:r w:rsidRPr="00F33CDB">
        <w:rPr>
          <w:rFonts w:ascii="Calibri" w:hAnsi="Calibri"/>
          <w:lang w:val="es-MX"/>
        </w:rPr>
        <w:t xml:space="preserve"> tierra y territorio (28) y aquellos que  promueven el derecho de acceso a la justicia (26)</w:t>
      </w:r>
      <w:r w:rsidRPr="00F33CDB">
        <w:rPr>
          <w:rStyle w:val="FootnoteAnchor"/>
          <w:rFonts w:ascii="Calibri" w:hAnsi="Calibri"/>
          <w:lang w:val="es-MX"/>
        </w:rPr>
        <w:footnoteReference w:id="22"/>
      </w:r>
      <w:r w:rsidRPr="00F33CDB">
        <w:rPr>
          <w:rFonts w:ascii="Calibri" w:hAnsi="Calibri"/>
          <w:lang w:val="es-MX"/>
        </w:rPr>
        <w:t xml:space="preserve">. Al menos, en 80 de los casos participaron presumiblemente servidores públicos, siendo los ataques más reiterados la intimidación, el seguimiento, la vigilancia y las amenazas. En la alerta, se pone de relieve la falta de atención de la Coordinación para la Atención a los Derechos Humanos para cumplir las medidas cautelares previamente pactadas a favor de las personas defensoras y la negativa de la Secretaría de Seguridad Pública de aceptar las medidas. Ante esta situación, la Defensoría emitía varias recomendaciones, como instruir a las fuerzas de seguridad públicas para que los agentes de cualquier corporación detuviesen cualquier acción de hostigamiento e intimidación contra </w:t>
      </w:r>
      <w:r w:rsidR="00C51B3C" w:rsidRPr="00F33CDB">
        <w:rPr>
          <w:rFonts w:ascii="Calibri" w:hAnsi="Calibri"/>
          <w:lang w:val="es-MX"/>
        </w:rPr>
        <w:t>personas defensoras</w:t>
      </w:r>
      <w:r w:rsidRPr="00F33CDB">
        <w:rPr>
          <w:rFonts w:ascii="Calibri" w:hAnsi="Calibri"/>
          <w:lang w:val="es-MX"/>
        </w:rPr>
        <w:t xml:space="preserve"> y garantizar investigaciones a fondo y con la debida diligencia para evitar la impunidad sobre los agravios.</w:t>
      </w:r>
    </w:p>
    <w:p w:rsidR="008727FB" w:rsidRPr="00F33CDB" w:rsidRDefault="008727FB" w:rsidP="00776849">
      <w:pPr>
        <w:spacing w:before="120" w:after="120" w:line="240" w:lineRule="auto"/>
        <w:jc w:val="both"/>
        <w:rPr>
          <w:rFonts w:ascii="Calibri" w:hAnsi="Calibri"/>
          <w:lang w:val="es-MX"/>
        </w:rPr>
      </w:pPr>
      <w:r w:rsidRPr="00F33CDB">
        <w:rPr>
          <w:rFonts w:ascii="Calibri" w:hAnsi="Calibri"/>
          <w:lang w:val="es-MX"/>
        </w:rPr>
        <w:t>En los últimos años integrantes de la organización Servicios Para una Educación Alternativa A.C. (EDUCA)</w:t>
      </w:r>
      <w:r w:rsidR="006A1886" w:rsidRPr="00F33CDB">
        <w:rPr>
          <w:rFonts w:ascii="Calibri" w:hAnsi="Calibri"/>
          <w:lang w:val="es-MX"/>
        </w:rPr>
        <w:t xml:space="preserve"> (</w:t>
      </w:r>
      <w:r w:rsidR="00C26330">
        <w:rPr>
          <w:rFonts w:ascii="Calibri" w:hAnsi="Calibri"/>
          <w:lang w:val="es-MX"/>
        </w:rPr>
        <w:t>acompañada</w:t>
      </w:r>
      <w:r w:rsidRPr="00F33CDB">
        <w:rPr>
          <w:rFonts w:ascii="Calibri" w:hAnsi="Calibri"/>
          <w:lang w:val="es-MX"/>
        </w:rPr>
        <w:t xml:space="preserve"> por PBI desde 2013 debido a su nivel de riesgo</w:t>
      </w:r>
      <w:r w:rsidR="006A1886" w:rsidRPr="00F33CDB">
        <w:rPr>
          <w:rFonts w:ascii="Calibri" w:hAnsi="Calibri"/>
          <w:lang w:val="es-MX"/>
        </w:rPr>
        <w:t>)</w:t>
      </w:r>
      <w:r w:rsidRPr="00F33CDB">
        <w:rPr>
          <w:rFonts w:ascii="Calibri" w:hAnsi="Calibri"/>
          <w:lang w:val="es-MX"/>
        </w:rPr>
        <w:t xml:space="preserve"> y organizaciones integrad</w:t>
      </w:r>
      <w:r w:rsidR="00AC3B54">
        <w:rPr>
          <w:rFonts w:ascii="Calibri" w:hAnsi="Calibri"/>
          <w:lang w:val="es-MX"/>
        </w:rPr>
        <w:t>a</w:t>
      </w:r>
      <w:r w:rsidRPr="00F33CDB">
        <w:rPr>
          <w:rFonts w:ascii="Calibri" w:hAnsi="Calibri"/>
          <w:lang w:val="es-MX"/>
        </w:rPr>
        <w:t xml:space="preserve">s en La Red de Defensoras y </w:t>
      </w:r>
      <w:r w:rsidR="00C26330">
        <w:rPr>
          <w:rFonts w:ascii="Calibri" w:hAnsi="Calibri"/>
          <w:lang w:val="es-MX"/>
        </w:rPr>
        <w:t>Defensore</w:t>
      </w:r>
      <w:r w:rsidR="00C51B3C" w:rsidRPr="00F33CDB">
        <w:rPr>
          <w:rFonts w:ascii="Calibri" w:hAnsi="Calibri"/>
          <w:lang w:val="es-MX"/>
        </w:rPr>
        <w:t>s</w:t>
      </w:r>
      <w:r w:rsidRPr="00F33CDB">
        <w:rPr>
          <w:rFonts w:ascii="Calibri" w:hAnsi="Calibri"/>
          <w:lang w:val="es-MX"/>
        </w:rPr>
        <w:t xml:space="preserve"> Comunitari</w:t>
      </w:r>
      <w:r w:rsidR="00AC3B54">
        <w:rPr>
          <w:rFonts w:ascii="Calibri" w:hAnsi="Calibri"/>
          <w:lang w:val="es-MX"/>
        </w:rPr>
        <w:t>a</w:t>
      </w:r>
      <w:r w:rsidRPr="00F33CDB">
        <w:rPr>
          <w:rFonts w:ascii="Calibri" w:hAnsi="Calibri"/>
          <w:lang w:val="es-MX"/>
        </w:rPr>
        <w:t>s de los Pueblos de Oaxaca (REDECOM)</w:t>
      </w:r>
      <w:r w:rsidR="006A1886" w:rsidRPr="00F33CDB">
        <w:rPr>
          <w:rFonts w:ascii="Calibri" w:hAnsi="Calibri"/>
          <w:lang w:val="es-MX"/>
        </w:rPr>
        <w:t>,</w:t>
      </w:r>
      <w:r w:rsidRPr="00F33CDB">
        <w:rPr>
          <w:rFonts w:ascii="Calibri" w:hAnsi="Calibri"/>
          <w:lang w:val="es-MX"/>
        </w:rPr>
        <w:t xml:space="preserve"> han sido víctimas de numerosas amenazas y ataques en su contra como </w:t>
      </w:r>
      <w:proofErr w:type="gramStart"/>
      <w:r w:rsidRPr="00F33CDB">
        <w:rPr>
          <w:rFonts w:ascii="Calibri" w:hAnsi="Calibri"/>
          <w:lang w:val="es-MX"/>
        </w:rPr>
        <w:t>organización</w:t>
      </w:r>
      <w:proofErr w:type="gramEnd"/>
      <w:r w:rsidRPr="00F33CDB">
        <w:rPr>
          <w:rFonts w:ascii="Calibri" w:hAnsi="Calibri"/>
          <w:lang w:val="es-MX"/>
        </w:rPr>
        <w:t xml:space="preserve"> pero también</w:t>
      </w:r>
      <w:r w:rsidR="007D3CAE">
        <w:rPr>
          <w:rFonts w:ascii="Calibri" w:hAnsi="Calibri"/>
          <w:lang w:val="es-MX"/>
        </w:rPr>
        <w:t xml:space="preserve"> contra</w:t>
      </w:r>
      <w:r w:rsidRPr="00F33CDB">
        <w:rPr>
          <w:rFonts w:ascii="Calibri" w:hAnsi="Calibri"/>
          <w:lang w:val="es-MX"/>
        </w:rPr>
        <w:t xml:space="preserve"> sus integrantes. La Coordinadora de los Pueblos Unidos del Valle de Ocotlán (COPUVO), organización comunitaria integrada en 2006 en </w:t>
      </w:r>
      <w:r w:rsidR="007D3CAE">
        <w:rPr>
          <w:rFonts w:ascii="Calibri" w:hAnsi="Calibri"/>
          <w:lang w:val="es-MX"/>
        </w:rPr>
        <w:t xml:space="preserve">la </w:t>
      </w:r>
      <w:r w:rsidRPr="00F33CDB">
        <w:rPr>
          <w:rFonts w:ascii="Calibri" w:hAnsi="Calibri"/>
          <w:lang w:val="es-MX"/>
        </w:rPr>
        <w:t xml:space="preserve">defensa de los derechos al medio ambiente sano, información </w:t>
      </w:r>
      <w:r w:rsidR="00D607ED" w:rsidRPr="00F33CDB">
        <w:rPr>
          <w:rFonts w:ascii="Calibri" w:hAnsi="Calibri"/>
          <w:lang w:val="es-MX"/>
        </w:rPr>
        <w:t>pública, libre</w:t>
      </w:r>
      <w:r w:rsidRPr="00F33CDB">
        <w:rPr>
          <w:rFonts w:ascii="Calibri" w:hAnsi="Calibri"/>
          <w:lang w:val="es-MX"/>
        </w:rPr>
        <w:t xml:space="preserve"> determinación, salud, consulta, propiedad colectiva e integridad del territorio y justicia, forma parte de la REDECOM desde 2013. </w:t>
      </w:r>
    </w:p>
    <w:p w:rsidR="008727FB" w:rsidRPr="00F33CDB" w:rsidRDefault="008727FB" w:rsidP="00776849">
      <w:pPr>
        <w:spacing w:before="120" w:after="120" w:line="240" w:lineRule="auto"/>
        <w:jc w:val="both"/>
        <w:rPr>
          <w:rFonts w:ascii="Calibri" w:hAnsi="Calibri"/>
          <w:lang w:val="es-MX"/>
        </w:rPr>
      </w:pPr>
      <w:r w:rsidRPr="00F33CDB">
        <w:rPr>
          <w:rFonts w:ascii="Calibri" w:hAnsi="Calibri"/>
          <w:lang w:val="es-MX"/>
        </w:rPr>
        <w:t>EDUCA comunicó en mayo 2017</w:t>
      </w:r>
      <w:r w:rsidRPr="00F33CDB">
        <w:rPr>
          <w:rStyle w:val="FootnoteAnchor"/>
          <w:rFonts w:ascii="Calibri" w:hAnsi="Calibri"/>
          <w:lang w:val="es-MX"/>
        </w:rPr>
        <w:footnoteReference w:id="23"/>
      </w:r>
      <w:r w:rsidRPr="00F33CDB">
        <w:rPr>
          <w:rFonts w:ascii="Calibri" w:hAnsi="Calibri"/>
          <w:lang w:val="es-MX"/>
        </w:rPr>
        <w:t xml:space="preserve">, que en los últimos seis meses habían sido objeto de una serie de difamaciones, agresiones y criminalización de su trabajo, principalmente por autoridades federales y municipales, y la empresa minera operando en el Valle Ocotlán y </w:t>
      </w:r>
      <w:proofErr w:type="spellStart"/>
      <w:r w:rsidRPr="00F33CDB">
        <w:rPr>
          <w:rFonts w:ascii="Calibri" w:hAnsi="Calibri"/>
          <w:lang w:val="es-MX"/>
        </w:rPr>
        <w:t>Ejutla</w:t>
      </w:r>
      <w:proofErr w:type="spellEnd"/>
      <w:r w:rsidRPr="00F33CDB">
        <w:rPr>
          <w:rFonts w:ascii="Calibri" w:hAnsi="Calibri"/>
          <w:lang w:val="es-MX"/>
        </w:rPr>
        <w:t xml:space="preserve">, la minería canadiense Fortuna </w:t>
      </w:r>
      <w:proofErr w:type="spellStart"/>
      <w:r w:rsidRPr="00F33CDB">
        <w:rPr>
          <w:rFonts w:ascii="Calibri" w:hAnsi="Calibri"/>
          <w:lang w:val="es-MX"/>
        </w:rPr>
        <w:t>Silver</w:t>
      </w:r>
      <w:proofErr w:type="spellEnd"/>
      <w:r w:rsidRPr="00F33CDB">
        <w:rPr>
          <w:rFonts w:ascii="Calibri" w:hAnsi="Calibri"/>
          <w:lang w:val="es-MX"/>
        </w:rPr>
        <w:t xml:space="preserve"> Mines a través de su filial </w:t>
      </w:r>
      <w:proofErr w:type="spellStart"/>
      <w:r w:rsidRPr="00F33CDB">
        <w:rPr>
          <w:rFonts w:ascii="Calibri" w:hAnsi="Calibri"/>
          <w:lang w:val="es-MX"/>
        </w:rPr>
        <w:t>Cuzcatlán</w:t>
      </w:r>
      <w:proofErr w:type="spellEnd"/>
      <w:r w:rsidRPr="00F33CDB">
        <w:rPr>
          <w:rFonts w:ascii="Calibri" w:hAnsi="Calibri"/>
          <w:lang w:val="es-MX"/>
        </w:rPr>
        <w:t>. Tras estos acontecimientos, algunos de ellos en referencia a una reunión regional planeada en San José del Progreso en cual iban a participar integrantes del movimiento contra el proyecto minero San José, la REDECOM se pronunció</w:t>
      </w:r>
      <w:r w:rsidRPr="00F33CDB">
        <w:rPr>
          <w:rStyle w:val="FootnoteAnchor"/>
          <w:rFonts w:ascii="Calibri" w:hAnsi="Calibri"/>
          <w:lang w:val="es-MX"/>
        </w:rPr>
        <w:footnoteReference w:id="24"/>
      </w:r>
      <w:r w:rsidRPr="00F33CDB">
        <w:rPr>
          <w:rFonts w:ascii="Calibri" w:hAnsi="Calibri"/>
          <w:lang w:val="es-MX"/>
        </w:rPr>
        <w:t>, exigiendo respeto a los derechos de personas defensoras de la COPUVO. La Defensoría de Derechos Humanos del pueblo de Oaxaca (DDHPO) solicitó de la Secretaría General de Gobierno del Estado de Oaxaca medidas cautelares a favor de las personas defensoras de las organizaciones civiles y comunitarias que asistirán a la reunión en San José del Progreso</w:t>
      </w:r>
      <w:r w:rsidRPr="00F33CDB">
        <w:rPr>
          <w:rStyle w:val="FootnoteAnchor"/>
          <w:rFonts w:ascii="Calibri" w:hAnsi="Calibri"/>
          <w:lang w:val="es-MX"/>
        </w:rPr>
        <w:footnoteReference w:id="25"/>
      </w:r>
      <w:r w:rsidRPr="00F33CDB">
        <w:rPr>
          <w:rFonts w:ascii="Calibri" w:hAnsi="Calibri"/>
          <w:lang w:val="es-MX"/>
        </w:rPr>
        <w:t>, solicitando que se garanticen la libre manifestación de ideas, el derecho de reunión, y asociación. Aunque las medidas cautelares fueron otorgadas, el movimiento decidió posponer la reunión por razones de seguridad.</w:t>
      </w:r>
    </w:p>
    <w:p w:rsidR="008727FB" w:rsidRPr="00F33CDB" w:rsidRDefault="008727FB" w:rsidP="00776849">
      <w:pPr>
        <w:spacing w:before="120" w:after="120" w:line="240" w:lineRule="auto"/>
        <w:jc w:val="both"/>
        <w:rPr>
          <w:rFonts w:ascii="Calibri" w:hAnsi="Calibri"/>
          <w:lang w:val="es-MX"/>
        </w:rPr>
      </w:pPr>
      <w:r w:rsidRPr="00F33CDB">
        <w:rPr>
          <w:rFonts w:ascii="Calibri" w:hAnsi="Calibri"/>
          <w:lang w:val="es-MX"/>
        </w:rPr>
        <w:t>Frente al aumento de las amenazas y de la inseguridad, EDUCA ha solicitado a la Defensoría su intervención o presencia en varios momentos. Tras el nivel de la violencia que provocó la muerte de cinco personas</w:t>
      </w:r>
      <w:r w:rsidR="00AC3B54">
        <w:rPr>
          <w:rFonts w:ascii="Calibri" w:hAnsi="Calibri"/>
          <w:lang w:val="es-MX"/>
        </w:rPr>
        <w:t xml:space="preserve"> en 2012</w:t>
      </w:r>
      <w:r w:rsidRPr="00F33CDB">
        <w:rPr>
          <w:rFonts w:ascii="Calibri" w:hAnsi="Calibri"/>
          <w:lang w:val="es-MX"/>
        </w:rPr>
        <w:t>, entre estos</w:t>
      </w:r>
      <w:r w:rsidR="00AC3B54">
        <w:rPr>
          <w:rFonts w:ascii="Calibri" w:hAnsi="Calibri"/>
          <w:lang w:val="es-MX"/>
        </w:rPr>
        <w:t>,</w:t>
      </w:r>
      <w:r w:rsidRPr="00F33CDB">
        <w:rPr>
          <w:rFonts w:ascii="Calibri" w:hAnsi="Calibri"/>
          <w:lang w:val="es-MX"/>
        </w:rPr>
        <w:t xml:space="preserve">  dos miembros de la COPUVO</w:t>
      </w:r>
      <w:r w:rsidRPr="00F33CDB">
        <w:rPr>
          <w:rStyle w:val="FootnoteAnchor"/>
          <w:rFonts w:ascii="Calibri" w:hAnsi="Calibri"/>
          <w:lang w:val="es-MX"/>
        </w:rPr>
        <w:footnoteReference w:id="26"/>
      </w:r>
      <w:r w:rsidRPr="00F33CDB">
        <w:rPr>
          <w:rFonts w:ascii="Calibri" w:hAnsi="Calibri"/>
          <w:lang w:val="es-MX"/>
        </w:rPr>
        <w:t xml:space="preserve"> y que desde entonces, tres integrantes de la organización </w:t>
      </w:r>
      <w:r w:rsidR="00AC3B54">
        <w:rPr>
          <w:rFonts w:ascii="Calibri" w:hAnsi="Calibri"/>
          <w:lang w:val="es-MX"/>
        </w:rPr>
        <w:t xml:space="preserve">son beneficiarios </w:t>
      </w:r>
      <w:r w:rsidRPr="00F33CDB">
        <w:rPr>
          <w:rFonts w:ascii="Calibri" w:hAnsi="Calibri"/>
          <w:lang w:val="es-MX"/>
        </w:rPr>
        <w:t xml:space="preserve"> de medidas de protección, la DDHPO estaba presente en varios espacios y se pronunció en diferentes ocasiones con cuadernos abiertos, medidas cautelares o Alertas Tempranas</w:t>
      </w:r>
      <w:r w:rsidRPr="00F33CDB">
        <w:rPr>
          <w:rStyle w:val="FootnoteAnchor"/>
          <w:rFonts w:ascii="Calibri" w:hAnsi="Calibri"/>
          <w:lang w:val="es-MX"/>
        </w:rPr>
        <w:footnoteReference w:id="27"/>
      </w:r>
      <w:r w:rsidRPr="00F33CDB">
        <w:rPr>
          <w:rFonts w:ascii="Calibri" w:hAnsi="Calibri"/>
          <w:lang w:val="es-MX"/>
        </w:rPr>
        <w:t xml:space="preserve">. </w:t>
      </w:r>
    </w:p>
    <w:p w:rsidR="00A47212" w:rsidRPr="00F33CDB" w:rsidRDefault="008727FB" w:rsidP="00776849">
      <w:pPr>
        <w:spacing w:before="120" w:after="120" w:line="240" w:lineRule="auto"/>
        <w:jc w:val="both"/>
        <w:rPr>
          <w:rStyle w:val="Emphasis"/>
          <w:rFonts w:ascii="Calibri" w:hAnsi="Calibri"/>
          <w:lang w:val="es-MX"/>
        </w:rPr>
      </w:pPr>
      <w:r w:rsidRPr="00F33CDB">
        <w:rPr>
          <w:rFonts w:ascii="Calibri" w:hAnsi="Calibri"/>
          <w:lang w:val="es-MX"/>
        </w:rPr>
        <w:t>EDUCA señaló que las personas defensoras comunitarias que se oponen al proyecto y los trabajos de exploración y expansión</w:t>
      </w:r>
      <w:r w:rsidRPr="00F33CDB">
        <w:rPr>
          <w:rStyle w:val="FootnoteAnchor"/>
          <w:rFonts w:ascii="Calibri" w:hAnsi="Calibri"/>
          <w:lang w:val="es-MX"/>
        </w:rPr>
        <w:footnoteReference w:id="28"/>
      </w:r>
      <w:r w:rsidRPr="00F33CDB">
        <w:rPr>
          <w:rFonts w:ascii="Calibri" w:hAnsi="Calibri"/>
          <w:lang w:val="es-MX"/>
        </w:rPr>
        <w:t xml:space="preserve"> permanecen en riesgo. La falta de investigación de las denuncias y la falta de dete</w:t>
      </w:r>
      <w:r w:rsidR="008F1B25">
        <w:rPr>
          <w:rFonts w:ascii="Calibri" w:hAnsi="Calibri"/>
          <w:lang w:val="es-MX"/>
        </w:rPr>
        <w:t>nción de los perpetradores de la</w:t>
      </w:r>
      <w:r w:rsidRPr="00F33CDB">
        <w:rPr>
          <w:rFonts w:ascii="Calibri" w:hAnsi="Calibri"/>
          <w:lang w:val="es-MX"/>
        </w:rPr>
        <w:t xml:space="preserve">s amenazas y ataques son uno de los grandes riesgos para las personas defensoras. </w:t>
      </w:r>
    </w:p>
    <w:p w:rsidR="00CD5B89" w:rsidRPr="00F33CDB" w:rsidRDefault="00CD5B89" w:rsidP="00776849">
      <w:pPr>
        <w:spacing w:before="120" w:after="120" w:line="240" w:lineRule="auto"/>
        <w:jc w:val="both"/>
        <w:rPr>
          <w:lang w:val="es-MX"/>
        </w:rPr>
      </w:pPr>
    </w:p>
    <w:p w:rsidR="00B74225" w:rsidRPr="00F33CDB" w:rsidRDefault="00B74225" w:rsidP="00776849">
      <w:pPr>
        <w:pStyle w:val="Heading1"/>
        <w:numPr>
          <w:ilvl w:val="0"/>
          <w:numId w:val="4"/>
        </w:numPr>
        <w:spacing w:before="120" w:after="120" w:line="240" w:lineRule="auto"/>
        <w:jc w:val="both"/>
        <w:rPr>
          <w:color w:val="C00000"/>
          <w:lang w:val="es-MX"/>
        </w:rPr>
      </w:pPr>
      <w:bookmarkStart w:id="12" w:name="_Toc491851653"/>
      <w:r w:rsidRPr="00F33CDB">
        <w:rPr>
          <w:color w:val="C00000"/>
          <w:lang w:val="es-MX"/>
        </w:rPr>
        <w:t>Pronunciamientos de órganos de tratado en relación con personas defensoras</w:t>
      </w:r>
      <w:bookmarkEnd w:id="12"/>
      <w:r w:rsidRPr="00F33CDB">
        <w:rPr>
          <w:color w:val="C00000"/>
          <w:lang w:val="es-MX"/>
        </w:rPr>
        <w:t xml:space="preserve"> </w:t>
      </w:r>
    </w:p>
    <w:p w:rsidR="00827F49" w:rsidRPr="00F33CDB" w:rsidRDefault="00827F49" w:rsidP="00776849">
      <w:pPr>
        <w:pStyle w:val="Heading2"/>
        <w:numPr>
          <w:ilvl w:val="1"/>
          <w:numId w:val="4"/>
        </w:numPr>
        <w:spacing w:before="120" w:after="120" w:line="240" w:lineRule="auto"/>
        <w:jc w:val="both"/>
        <w:rPr>
          <w:i/>
          <w:color w:val="C00000"/>
          <w:lang w:val="es-MX"/>
        </w:rPr>
      </w:pPr>
      <w:bookmarkStart w:id="13" w:name="_Toc491851654"/>
      <w:r w:rsidRPr="00F33CDB">
        <w:rPr>
          <w:i/>
          <w:color w:val="C00000"/>
          <w:lang w:val="es-MX"/>
        </w:rPr>
        <w:t>Comité contra la desaparición forzada</w:t>
      </w:r>
      <w:bookmarkEnd w:id="13"/>
    </w:p>
    <w:p w:rsidR="00827F49" w:rsidRPr="00F33CDB" w:rsidRDefault="00827F49" w:rsidP="00776849">
      <w:pPr>
        <w:spacing w:before="120" w:after="120" w:line="240" w:lineRule="auto"/>
        <w:jc w:val="both"/>
        <w:rPr>
          <w:rFonts w:ascii="Calibri" w:hAnsi="Calibri"/>
          <w:lang w:val="es-MX"/>
        </w:rPr>
      </w:pPr>
      <w:r w:rsidRPr="00F33CDB">
        <w:rPr>
          <w:rFonts w:ascii="Calibri" w:hAnsi="Calibri"/>
          <w:lang w:val="es-MX"/>
        </w:rPr>
        <w:t xml:space="preserve">El Comité examino a México en febrero 2015. </w:t>
      </w:r>
      <w:r w:rsidR="00042523" w:rsidRPr="00F33CDB">
        <w:rPr>
          <w:rFonts w:ascii="Calibri" w:hAnsi="Calibri"/>
          <w:lang w:val="es-MX"/>
        </w:rPr>
        <w:t>En sus observaciones finales</w:t>
      </w:r>
      <w:r w:rsidR="00021A32" w:rsidRPr="00F33CDB">
        <w:rPr>
          <w:rFonts w:ascii="Calibri" w:hAnsi="Calibri"/>
          <w:lang w:val="es-MX"/>
        </w:rPr>
        <w:t xml:space="preserve"> (CED/C/MEX/CO/1)</w:t>
      </w:r>
      <w:r w:rsidR="00042523" w:rsidRPr="00F33CDB">
        <w:rPr>
          <w:rFonts w:ascii="Calibri" w:hAnsi="Calibri"/>
          <w:lang w:val="es-MX"/>
        </w:rPr>
        <w:t>, subraya que “le preocupan los informes que dan cuenta de que agentes estatales habrían descalificado públicamente” a personas defensoras</w:t>
      </w:r>
      <w:r w:rsidR="003B56CE" w:rsidRPr="00F33CDB">
        <w:rPr>
          <w:rFonts w:ascii="Calibri" w:hAnsi="Calibri"/>
          <w:lang w:val="es-MX"/>
        </w:rPr>
        <w:t xml:space="preserve"> </w:t>
      </w:r>
      <w:r w:rsidR="00B85B95" w:rsidRPr="00F33CDB">
        <w:rPr>
          <w:rFonts w:ascii="Calibri" w:hAnsi="Calibri"/>
          <w:lang w:val="es-MX"/>
        </w:rPr>
        <w:t>(p</w:t>
      </w:r>
      <w:r w:rsidR="003B56CE" w:rsidRPr="00F33CDB">
        <w:rPr>
          <w:rFonts w:ascii="Calibri" w:hAnsi="Calibri"/>
          <w:lang w:val="es-MX"/>
        </w:rPr>
        <w:t>ar. 30)</w:t>
      </w:r>
      <w:r w:rsidR="00042523" w:rsidRPr="00F33CDB">
        <w:rPr>
          <w:rFonts w:ascii="Calibri" w:hAnsi="Calibri"/>
          <w:lang w:val="es-MX"/>
        </w:rPr>
        <w:t xml:space="preserve">. </w:t>
      </w:r>
      <w:r w:rsidR="00B85B95" w:rsidRPr="00F33CDB">
        <w:rPr>
          <w:rFonts w:ascii="Calibri" w:hAnsi="Calibri"/>
          <w:lang w:val="es-MX"/>
        </w:rPr>
        <w:t xml:space="preserve">Insto al estado parte a que incremente “sus esfuerzos con miras a prevenir y sancionar los actos de intimidación y/o malos tratos de los que pudieran ser objeto los defensores de derechos humanos que trabajan para combatir las desapariciones forzadas” (par. 31). </w:t>
      </w:r>
    </w:p>
    <w:p w:rsidR="00B74225" w:rsidRPr="00F33CDB" w:rsidRDefault="00B74225" w:rsidP="00776849">
      <w:pPr>
        <w:spacing w:before="120" w:after="120" w:line="240" w:lineRule="auto"/>
        <w:jc w:val="both"/>
        <w:rPr>
          <w:lang w:val="es-MX"/>
        </w:rPr>
      </w:pPr>
    </w:p>
    <w:p w:rsidR="00415E73" w:rsidRPr="00F33CDB" w:rsidRDefault="00415E73" w:rsidP="00776849">
      <w:pPr>
        <w:pStyle w:val="Heading1"/>
        <w:numPr>
          <w:ilvl w:val="0"/>
          <w:numId w:val="4"/>
        </w:numPr>
        <w:spacing w:before="120" w:after="120" w:line="240" w:lineRule="auto"/>
        <w:jc w:val="both"/>
        <w:rPr>
          <w:color w:val="C00000"/>
          <w:lang w:val="es-MX"/>
        </w:rPr>
      </w:pPr>
      <w:bookmarkStart w:id="14" w:name="_Toc491851655"/>
      <w:r w:rsidRPr="00F33CDB">
        <w:rPr>
          <w:color w:val="C00000"/>
          <w:lang w:val="es-MX"/>
        </w:rPr>
        <w:t>Pronunciamientos de procedimientos especiales en relación con personas defensoras</w:t>
      </w:r>
      <w:bookmarkEnd w:id="14"/>
      <w:r w:rsidRPr="00F33CDB">
        <w:rPr>
          <w:color w:val="C00000"/>
          <w:lang w:val="es-MX"/>
        </w:rPr>
        <w:t xml:space="preserve"> </w:t>
      </w:r>
    </w:p>
    <w:p w:rsidR="00415E73" w:rsidRPr="00F33CDB" w:rsidRDefault="00415E73" w:rsidP="00776849">
      <w:pPr>
        <w:spacing w:before="120" w:after="120" w:line="240" w:lineRule="auto"/>
        <w:jc w:val="both"/>
        <w:rPr>
          <w:lang w:val="es-MX"/>
        </w:rPr>
      </w:pPr>
    </w:p>
    <w:p w:rsidR="00B83EEA" w:rsidRPr="00F33CDB" w:rsidRDefault="00B83EEA" w:rsidP="00776849">
      <w:pPr>
        <w:pStyle w:val="Heading2"/>
        <w:numPr>
          <w:ilvl w:val="1"/>
          <w:numId w:val="4"/>
        </w:numPr>
        <w:spacing w:before="120" w:after="120" w:line="240" w:lineRule="auto"/>
        <w:jc w:val="both"/>
        <w:rPr>
          <w:i/>
          <w:color w:val="C00000"/>
          <w:lang w:val="es-MX"/>
        </w:rPr>
      </w:pPr>
      <w:bookmarkStart w:id="15" w:name="_Toc491851656"/>
      <w:r w:rsidRPr="00F33CDB">
        <w:rPr>
          <w:i/>
          <w:color w:val="C00000"/>
          <w:lang w:val="es-MX"/>
        </w:rPr>
        <w:t>Relator Especial sobre la situación de las personas defensoras de derechos humanos</w:t>
      </w:r>
      <w:bookmarkEnd w:id="15"/>
    </w:p>
    <w:p w:rsidR="008E000E" w:rsidRPr="00F33CDB" w:rsidRDefault="00B83EEA" w:rsidP="00776849">
      <w:pPr>
        <w:spacing w:before="120" w:after="120" w:line="240" w:lineRule="auto"/>
        <w:jc w:val="both"/>
        <w:rPr>
          <w:lang w:val="es-MX"/>
        </w:rPr>
      </w:pPr>
      <w:r w:rsidRPr="00F33CDB">
        <w:rPr>
          <w:lang w:val="es-MX"/>
        </w:rPr>
        <w:t>El Relator Especial sobre la situación de las personas defensoras de derechos humanos en su Informe p</w:t>
      </w:r>
      <w:r w:rsidR="008E000E" w:rsidRPr="00F33CDB">
        <w:rPr>
          <w:lang w:val="es-MX"/>
        </w:rPr>
        <w:t>reliminar de la visita a México,</w:t>
      </w:r>
      <w:r w:rsidRPr="00F33CDB">
        <w:rPr>
          <w:lang w:val="es-MX"/>
        </w:rPr>
        <w:t xml:space="preserve"> realizada en el mes de enero de 2017</w:t>
      </w:r>
      <w:r w:rsidR="000D608F" w:rsidRPr="00F33CDB">
        <w:rPr>
          <w:rStyle w:val="FootnoteReference"/>
          <w:rFonts w:ascii="Times New Roman" w:hAnsi="Times New Roman" w:cs="Times New Roman"/>
          <w:lang w:val="es-MX" w:eastAsia="es-ES_tradnl"/>
        </w:rPr>
        <w:footnoteReference w:id="29"/>
      </w:r>
      <w:r w:rsidRPr="00F33CDB">
        <w:rPr>
          <w:lang w:val="es-MX"/>
        </w:rPr>
        <w:t xml:space="preserve">, </w:t>
      </w:r>
      <w:r w:rsidR="008E000E" w:rsidRPr="00F33CDB">
        <w:rPr>
          <w:lang w:val="es-MX"/>
        </w:rPr>
        <w:t>recalc</w:t>
      </w:r>
      <w:r w:rsidR="00173C1E">
        <w:rPr>
          <w:lang w:val="es-MX"/>
        </w:rPr>
        <w:t>ó</w:t>
      </w:r>
      <w:r w:rsidR="008E000E" w:rsidRPr="00F33CDB">
        <w:rPr>
          <w:lang w:val="es-MX"/>
        </w:rPr>
        <w:t xml:space="preserve"> que “uno de los grupos de </w:t>
      </w:r>
      <w:r w:rsidR="00C51B3C" w:rsidRPr="00F33CDB">
        <w:rPr>
          <w:lang w:val="es-MX"/>
        </w:rPr>
        <w:t>personas defensoras</w:t>
      </w:r>
      <w:r w:rsidR="008E000E" w:rsidRPr="00F33CDB">
        <w:rPr>
          <w:lang w:val="es-MX"/>
        </w:rPr>
        <w:t xml:space="preserve"> más criminalizados, frente a la mayoría de los procesos judiciales y detenciones arbitrarias en México, son aquellos que protegen y promueven los derechos económicos, sociales y culturales, en particular los activistas que defienden los derechos de los pueblos y comunidades indígenas y los derechos a la tierra, agua y ambiente seguro. Esto ocurre en el contexto de megaproyectos de extracción, energía e infraestructura.”</w:t>
      </w:r>
    </w:p>
    <w:p w:rsidR="00610F7B" w:rsidRPr="00F33CDB" w:rsidRDefault="00166CC2" w:rsidP="00776849">
      <w:pPr>
        <w:spacing w:before="120" w:after="120" w:line="240" w:lineRule="auto"/>
        <w:jc w:val="both"/>
        <w:rPr>
          <w:lang w:val="es-MX"/>
        </w:rPr>
      </w:pPr>
      <w:r w:rsidRPr="00F33CDB">
        <w:rPr>
          <w:lang w:val="es-MX"/>
        </w:rPr>
        <w:t>Al hacer referencia a los altos niveles de</w:t>
      </w:r>
      <w:r w:rsidR="00B83EEA" w:rsidRPr="00F33CDB">
        <w:rPr>
          <w:lang w:val="es-MX"/>
        </w:rPr>
        <w:t xml:space="preserve"> impunidad, afirmó que “La falta de investigación y sanción de los agresores envía un peligroso mensaje de que no hay consecuencias por cometer tales crímenes. Esto crea un entorno propicio para la repetición de violaciones”.</w:t>
      </w:r>
      <w:r w:rsidR="00B67AB5" w:rsidRPr="00F33CDB">
        <w:rPr>
          <w:lang w:val="es-MX"/>
        </w:rPr>
        <w:t xml:space="preserve"> </w:t>
      </w:r>
      <w:r w:rsidRPr="00F33CDB">
        <w:rPr>
          <w:lang w:val="es-MX"/>
        </w:rPr>
        <w:t xml:space="preserve">En el mismo sentido </w:t>
      </w:r>
      <w:r w:rsidR="006E5D58" w:rsidRPr="00F33CDB">
        <w:rPr>
          <w:lang w:val="es-MX"/>
        </w:rPr>
        <w:t>agregó</w:t>
      </w:r>
      <w:r w:rsidRPr="00F33CDB">
        <w:rPr>
          <w:lang w:val="es-MX"/>
        </w:rPr>
        <w:t xml:space="preserve"> que </w:t>
      </w:r>
      <w:r w:rsidR="00B67AB5" w:rsidRPr="00F33CDB">
        <w:rPr>
          <w:lang w:val="es-MX"/>
        </w:rPr>
        <w:t>“La impunidad ali</w:t>
      </w:r>
      <w:r w:rsidR="006E5D58" w:rsidRPr="00F33CDB">
        <w:rPr>
          <w:lang w:val="es-MX"/>
        </w:rPr>
        <w:t>menta la criminalización de la</w:t>
      </w:r>
      <w:r w:rsidR="00B67AB5" w:rsidRPr="00F33CDB">
        <w:rPr>
          <w:lang w:val="es-MX"/>
        </w:rPr>
        <w:t xml:space="preserve">s </w:t>
      </w:r>
      <w:r w:rsidR="00C51B3C" w:rsidRPr="00F33CDB">
        <w:rPr>
          <w:lang w:val="es-MX"/>
        </w:rPr>
        <w:t>personas defensoras</w:t>
      </w:r>
      <w:r w:rsidR="006E5D58" w:rsidRPr="00F33CDB">
        <w:rPr>
          <w:lang w:val="es-MX"/>
        </w:rPr>
        <w:t xml:space="preserve"> vinculada</w:t>
      </w:r>
      <w:r w:rsidR="00B67AB5" w:rsidRPr="00F33CDB">
        <w:rPr>
          <w:lang w:val="es-MX"/>
        </w:rPr>
        <w:t>s a sus actividades legítimas de derechos humanos, lo que a su vez alimenta el miedo entre la sociedad civil en general, debilitando las aspiraciones generales de los derechos humanos y el Estado de Derecho”.</w:t>
      </w:r>
      <w:r w:rsidR="0097245C" w:rsidRPr="00F33CDB">
        <w:rPr>
          <w:lang w:val="es-MX"/>
        </w:rPr>
        <w:t xml:space="preserve"> </w:t>
      </w:r>
    </w:p>
    <w:p w:rsidR="00B83EEA" w:rsidRPr="00F33CDB" w:rsidRDefault="00DE2903" w:rsidP="00776849">
      <w:pPr>
        <w:spacing w:before="120" w:after="120" w:line="240" w:lineRule="auto"/>
        <w:jc w:val="both"/>
        <w:rPr>
          <w:lang w:val="es-MX"/>
        </w:rPr>
      </w:pPr>
      <w:r w:rsidRPr="00F33CDB">
        <w:rPr>
          <w:lang w:val="es-MX"/>
        </w:rPr>
        <w:t xml:space="preserve">En su informe preliminar el </w:t>
      </w:r>
      <w:r w:rsidR="0097245C" w:rsidRPr="00F33CDB">
        <w:rPr>
          <w:lang w:val="es-MX"/>
        </w:rPr>
        <w:t>relator recomend</w:t>
      </w:r>
      <w:r w:rsidRPr="00F33CDB">
        <w:rPr>
          <w:lang w:val="es-MX"/>
        </w:rPr>
        <w:t>ó</w:t>
      </w:r>
      <w:r w:rsidR="0097245C" w:rsidRPr="00F33CDB">
        <w:rPr>
          <w:lang w:val="es-MX"/>
        </w:rPr>
        <w:t xml:space="preserve"> al estado:</w:t>
      </w:r>
    </w:p>
    <w:p w:rsidR="0097245C" w:rsidRPr="00F33CDB" w:rsidRDefault="00DE2903" w:rsidP="00776849">
      <w:pPr>
        <w:pStyle w:val="ListParagraph"/>
        <w:numPr>
          <w:ilvl w:val="0"/>
          <w:numId w:val="7"/>
        </w:numPr>
        <w:spacing w:before="120" w:after="120" w:line="240" w:lineRule="auto"/>
        <w:jc w:val="both"/>
        <w:rPr>
          <w:lang w:val="es-MX"/>
        </w:rPr>
      </w:pPr>
      <w:r w:rsidRPr="00F33CDB">
        <w:rPr>
          <w:lang w:val="es-MX"/>
        </w:rPr>
        <w:t>E</w:t>
      </w:r>
      <w:r w:rsidR="0097245C" w:rsidRPr="00F33CDB">
        <w:rPr>
          <w:lang w:val="es-MX"/>
        </w:rPr>
        <w:t xml:space="preserve">laborar políticas que atiendan su situación particular para garantizar que puedan llevar a cabo su labor en materia de derechos humanos en condiciones seguras, incluso a través de su regreso. </w:t>
      </w:r>
    </w:p>
    <w:p w:rsidR="0097245C" w:rsidRPr="00F33CDB" w:rsidRDefault="00DE2903" w:rsidP="00776849">
      <w:pPr>
        <w:pStyle w:val="ListParagraph"/>
        <w:numPr>
          <w:ilvl w:val="0"/>
          <w:numId w:val="7"/>
        </w:numPr>
        <w:spacing w:before="120" w:after="120" w:line="240" w:lineRule="auto"/>
        <w:jc w:val="both"/>
        <w:rPr>
          <w:lang w:val="es-MX"/>
        </w:rPr>
      </w:pPr>
      <w:r w:rsidRPr="00F33CDB">
        <w:rPr>
          <w:lang w:val="es-MX"/>
        </w:rPr>
        <w:t>Q</w:t>
      </w:r>
      <w:r w:rsidR="0097245C" w:rsidRPr="00F33CDB">
        <w:rPr>
          <w:lang w:val="es-MX"/>
        </w:rPr>
        <w:t>ue las leyes y políticas, cuya ambigüedad se ha utilizado para cr</w:t>
      </w:r>
      <w:r w:rsidR="00EA47D1" w:rsidRPr="00F33CDB">
        <w:rPr>
          <w:lang w:val="es-MX"/>
        </w:rPr>
        <w:t xml:space="preserve">iminalizar a las </w:t>
      </w:r>
      <w:r w:rsidR="00C51B3C" w:rsidRPr="00F33CDB">
        <w:rPr>
          <w:lang w:val="es-MX"/>
        </w:rPr>
        <w:t>personas defensoras</w:t>
      </w:r>
      <w:r w:rsidR="0097245C" w:rsidRPr="00F33CDB">
        <w:rPr>
          <w:lang w:val="es-MX"/>
        </w:rPr>
        <w:t xml:space="preserve"> de derechos humanos por su legítima labor, se revisen con objeto de que su contenido e implementación respeten el principio de legalidad y otras normas internacionales de derechos humanos. </w:t>
      </w:r>
    </w:p>
    <w:p w:rsidR="0097245C" w:rsidRPr="00F33CDB" w:rsidRDefault="0097245C" w:rsidP="00776849">
      <w:pPr>
        <w:pStyle w:val="ListParagraph"/>
        <w:numPr>
          <w:ilvl w:val="0"/>
          <w:numId w:val="7"/>
        </w:numPr>
        <w:spacing w:before="120" w:after="120" w:line="240" w:lineRule="auto"/>
        <w:jc w:val="both"/>
        <w:rPr>
          <w:lang w:val="es-MX"/>
        </w:rPr>
      </w:pPr>
      <w:r w:rsidRPr="00F33CDB">
        <w:rPr>
          <w:lang w:val="es-MX"/>
        </w:rPr>
        <w:t xml:space="preserve">Como parte de la adopción de un enfoque más preventivo para proteger a las </w:t>
      </w:r>
      <w:r w:rsidR="00C51B3C" w:rsidRPr="00F33CDB">
        <w:rPr>
          <w:lang w:val="es-MX"/>
        </w:rPr>
        <w:t>personas defensoras</w:t>
      </w:r>
      <w:r w:rsidRPr="00F33CDB">
        <w:rPr>
          <w:lang w:val="es-MX"/>
        </w:rPr>
        <w:t>, el Mecanismo debería adoptar mecanismos de cooperación reforzados para garantizar que las medidas de protección adoptadas vayan de la mano con investigaciones rápidas y exhaustivas.</w:t>
      </w:r>
    </w:p>
    <w:p w:rsidR="00B83EEA" w:rsidRPr="00F33CDB" w:rsidRDefault="00B83EEA" w:rsidP="00776849">
      <w:pPr>
        <w:spacing w:before="120" w:after="120" w:line="240" w:lineRule="auto"/>
        <w:rPr>
          <w:lang w:val="es-MX"/>
        </w:rPr>
      </w:pPr>
    </w:p>
    <w:p w:rsidR="00572E06" w:rsidRPr="00F33CDB" w:rsidRDefault="00572E06" w:rsidP="00776849">
      <w:pPr>
        <w:pStyle w:val="Heading2"/>
        <w:numPr>
          <w:ilvl w:val="1"/>
          <w:numId w:val="4"/>
        </w:numPr>
        <w:spacing w:before="120" w:after="120" w:line="240" w:lineRule="auto"/>
        <w:jc w:val="both"/>
        <w:rPr>
          <w:i/>
          <w:color w:val="C00000"/>
          <w:lang w:val="es-MX"/>
        </w:rPr>
      </w:pPr>
      <w:bookmarkStart w:id="16" w:name="_Toc491851657"/>
      <w:r w:rsidRPr="00F33CDB">
        <w:rPr>
          <w:i/>
          <w:color w:val="C00000"/>
          <w:lang w:val="es-MX"/>
        </w:rPr>
        <w:t xml:space="preserve">Grupo de Trabajo sobre </w:t>
      </w:r>
      <w:r w:rsidR="001F1D9D" w:rsidRPr="00F33CDB">
        <w:rPr>
          <w:i/>
          <w:color w:val="C00000"/>
          <w:lang w:val="es-MX"/>
        </w:rPr>
        <w:t>detencio</w:t>
      </w:r>
      <w:r w:rsidRPr="00F33CDB">
        <w:rPr>
          <w:i/>
          <w:color w:val="C00000"/>
          <w:lang w:val="es-MX"/>
        </w:rPr>
        <w:t>n</w:t>
      </w:r>
      <w:r w:rsidR="001F1D9D" w:rsidRPr="00F33CDB">
        <w:rPr>
          <w:i/>
          <w:color w:val="C00000"/>
          <w:lang w:val="es-MX"/>
        </w:rPr>
        <w:t>es</w:t>
      </w:r>
      <w:r w:rsidRPr="00F33CDB">
        <w:rPr>
          <w:i/>
          <w:color w:val="C00000"/>
          <w:lang w:val="es-MX"/>
        </w:rPr>
        <w:t xml:space="preserve"> arbitraria</w:t>
      </w:r>
      <w:r w:rsidR="001F1D9D" w:rsidRPr="00F33CDB">
        <w:rPr>
          <w:i/>
          <w:color w:val="C00000"/>
          <w:lang w:val="es-MX"/>
        </w:rPr>
        <w:t>s</w:t>
      </w:r>
      <w:bookmarkEnd w:id="16"/>
    </w:p>
    <w:p w:rsidR="00572E06" w:rsidRPr="00F33CDB" w:rsidRDefault="00C2749C" w:rsidP="00776849">
      <w:pPr>
        <w:spacing w:before="120" w:after="120" w:line="240" w:lineRule="auto"/>
        <w:jc w:val="both"/>
        <w:rPr>
          <w:lang w:val="es-MX"/>
        </w:rPr>
      </w:pPr>
      <w:r w:rsidRPr="00F33CDB">
        <w:rPr>
          <w:lang w:val="es-MX"/>
        </w:rPr>
        <w:t>E</w:t>
      </w:r>
      <w:r w:rsidR="00572E06" w:rsidRPr="00F33CDB">
        <w:rPr>
          <w:lang w:val="es-MX"/>
        </w:rPr>
        <w:t>ntre julio de 2014 y agosto de 2017 el Grupo de Trabajo sobre detenciones arbitrarías en conjunto con otros procedimientos especiales han realizado al Gobierno de México cinco cartas de alegación o acciones urgentes  sobre la detención arbitraria de 9 personas defensoras de derechos humanos que ejercen la defensa de derechos económicos, sociales y culturales, cuyas detenciones han estado relacionadas con la labor que realizan o en el contexto de manifestaciones y/o protestas sociales en reclamo de sus derechos. De las personas arbitrariamente detenidas, por lo menos tres son personas indígenas o campesinas que ejercen la defen</w:t>
      </w:r>
      <w:r w:rsidR="00FA40D4" w:rsidRPr="00F33CDB">
        <w:rPr>
          <w:lang w:val="es-MX"/>
        </w:rPr>
        <w:t>sa de la tierra y el territorio</w:t>
      </w:r>
      <w:r w:rsidR="00FA40D4" w:rsidRPr="00F33CDB">
        <w:rPr>
          <w:rStyle w:val="FootnoteReference"/>
          <w:lang w:val="es-MX"/>
        </w:rPr>
        <w:footnoteReference w:id="30"/>
      </w:r>
      <w:r w:rsidR="00572E06" w:rsidRPr="00F33CDB">
        <w:rPr>
          <w:lang w:val="es-MX"/>
        </w:rPr>
        <w:t xml:space="preserve">, una de ellas abogada del Instituto de Derecho Ambiental, A.C. –IDEA-, organización no gubernamental que ha dado seguimiento a casos que cuestionan las acciones de las autoridades en los Estados de Jalisco y de Colima. </w:t>
      </w:r>
      <w:r w:rsidR="00DE2903" w:rsidRPr="00F33CDB">
        <w:rPr>
          <w:lang w:val="es-MX"/>
        </w:rPr>
        <w:t>“</w:t>
      </w:r>
      <w:r w:rsidR="00572E06" w:rsidRPr="00F33CDB">
        <w:rPr>
          <w:lang w:val="es-MX"/>
        </w:rPr>
        <w:t xml:space="preserve">La organización proporcionaría apoyo a la comunidad indígena de </w:t>
      </w:r>
      <w:proofErr w:type="spellStart"/>
      <w:r w:rsidR="00572E06" w:rsidRPr="00F33CDB">
        <w:rPr>
          <w:lang w:val="es-MX"/>
        </w:rPr>
        <w:t>Ayotitlán</w:t>
      </w:r>
      <w:proofErr w:type="spellEnd"/>
      <w:r w:rsidR="00572E06" w:rsidRPr="00F33CDB">
        <w:rPr>
          <w:lang w:val="es-MX"/>
        </w:rPr>
        <w:t xml:space="preserve"> en el contexto de una larga disputa entre la comunidad y la compañía minera Consorcio Minero Benito Juárez Peña Colorada S.A., acerca del acceso a la tierra en </w:t>
      </w:r>
      <w:proofErr w:type="spellStart"/>
      <w:r w:rsidR="00572E06" w:rsidRPr="00F33CDB">
        <w:rPr>
          <w:lang w:val="es-MX"/>
        </w:rPr>
        <w:t>Ayotitlán</w:t>
      </w:r>
      <w:proofErr w:type="spellEnd"/>
      <w:r w:rsidR="00572E06" w:rsidRPr="00F33CDB">
        <w:rPr>
          <w:lang w:val="es-MX"/>
        </w:rPr>
        <w:t>, municipalidad de Cuautitlán, estado de Jalisco</w:t>
      </w:r>
      <w:r w:rsidR="00DE2903" w:rsidRPr="00F33CDB">
        <w:rPr>
          <w:lang w:val="es-MX"/>
        </w:rPr>
        <w:t>”</w:t>
      </w:r>
      <w:r w:rsidR="00F20BBF" w:rsidRPr="00F33CDB">
        <w:rPr>
          <w:rStyle w:val="FootnoteReference"/>
          <w:lang w:val="es-MX"/>
        </w:rPr>
        <w:footnoteReference w:id="31"/>
      </w:r>
      <w:r w:rsidR="00572E06" w:rsidRPr="00F33CDB">
        <w:rPr>
          <w:lang w:val="es-MX"/>
        </w:rPr>
        <w:t>.</w:t>
      </w:r>
    </w:p>
    <w:p w:rsidR="00F20BBF" w:rsidRPr="00F33CDB" w:rsidRDefault="00F20BBF" w:rsidP="00776849">
      <w:pPr>
        <w:spacing w:before="120" w:after="120" w:line="240" w:lineRule="auto"/>
        <w:jc w:val="both"/>
        <w:rPr>
          <w:lang w:val="es-MX"/>
        </w:rPr>
      </w:pPr>
      <w:r w:rsidRPr="00F33CDB">
        <w:rPr>
          <w:lang w:val="es-MX"/>
        </w:rPr>
        <w:t>Adicional a las cartas de alegación o acciones urgentes</w:t>
      </w:r>
      <w:r w:rsidR="00CA48B7" w:rsidRPr="00F33CDB">
        <w:rPr>
          <w:lang w:val="es-MX"/>
        </w:rPr>
        <w:t>,</w:t>
      </w:r>
      <w:r w:rsidRPr="00F33CDB">
        <w:rPr>
          <w:lang w:val="es-MX"/>
        </w:rPr>
        <w:t xml:space="preserve"> </w:t>
      </w:r>
      <w:r w:rsidR="00CA48B7" w:rsidRPr="00F33CDB">
        <w:rPr>
          <w:iCs/>
          <w:lang w:val="es-MX"/>
        </w:rPr>
        <w:t xml:space="preserve">entre agosto de 2014 y diciembre de 2015, </w:t>
      </w:r>
      <w:r w:rsidRPr="00F33CDB">
        <w:rPr>
          <w:lang w:val="es-MX"/>
        </w:rPr>
        <w:t xml:space="preserve">el Grupo de Trabajo </w:t>
      </w:r>
      <w:r w:rsidR="00CA48B7" w:rsidRPr="00F33CDB">
        <w:rPr>
          <w:iCs/>
          <w:lang w:val="es-MX"/>
        </w:rPr>
        <w:t>e</w:t>
      </w:r>
      <w:r w:rsidR="00144293" w:rsidRPr="00F33CDB">
        <w:rPr>
          <w:iCs/>
          <w:lang w:val="es-MX"/>
        </w:rPr>
        <w:t>mitió cinco</w:t>
      </w:r>
      <w:r w:rsidRPr="00F33CDB">
        <w:rPr>
          <w:iCs/>
          <w:lang w:val="es-MX"/>
        </w:rPr>
        <w:t xml:space="preserve"> opiniones oficiales al gobierno mexicano, en relación con los defensores </w:t>
      </w:r>
      <w:r w:rsidR="00CA48B7" w:rsidRPr="00F33CDB">
        <w:rPr>
          <w:iCs/>
          <w:lang w:val="es-MX"/>
        </w:rPr>
        <w:t>Damián Gallardo</w:t>
      </w:r>
      <w:r w:rsidR="00CA48B7" w:rsidRPr="00F33CDB">
        <w:rPr>
          <w:rStyle w:val="FootnoteReference"/>
          <w:iCs/>
          <w:lang w:val="es-MX"/>
        </w:rPr>
        <w:footnoteReference w:id="32"/>
      </w:r>
      <w:r w:rsidR="00CA48B7" w:rsidRPr="00F33CDB">
        <w:rPr>
          <w:iCs/>
          <w:lang w:val="es-MX"/>
        </w:rPr>
        <w:t>, Pedro Canché</w:t>
      </w:r>
      <w:r w:rsidR="00CA48B7" w:rsidRPr="00F33CDB">
        <w:rPr>
          <w:rStyle w:val="FootnoteReference"/>
          <w:iCs/>
          <w:lang w:val="es-MX"/>
        </w:rPr>
        <w:footnoteReference w:id="33"/>
      </w:r>
      <w:r w:rsidR="00CA48B7" w:rsidRPr="00F33CDB">
        <w:rPr>
          <w:iCs/>
          <w:lang w:val="es-MX"/>
        </w:rPr>
        <w:t xml:space="preserve">, </w:t>
      </w:r>
      <w:r w:rsidRPr="00F33CDB">
        <w:rPr>
          <w:iCs/>
          <w:lang w:val="es-MX"/>
        </w:rPr>
        <w:t>Librado Baños</w:t>
      </w:r>
      <w:r w:rsidR="00CA48B7" w:rsidRPr="00F33CDB">
        <w:rPr>
          <w:rStyle w:val="FootnoteReference"/>
          <w:iCs/>
          <w:lang w:val="es-MX"/>
        </w:rPr>
        <w:footnoteReference w:id="34"/>
      </w:r>
      <w:r w:rsidR="00CA48B7" w:rsidRPr="00F33CDB">
        <w:rPr>
          <w:iCs/>
          <w:lang w:val="es-MX"/>
        </w:rPr>
        <w:t>,</w:t>
      </w:r>
      <w:r w:rsidRPr="00F33CDB">
        <w:rPr>
          <w:iCs/>
          <w:lang w:val="es-MX"/>
        </w:rPr>
        <w:t xml:space="preserve"> Enrique Guerrero</w:t>
      </w:r>
      <w:r w:rsidR="00CA48B7" w:rsidRPr="00F33CDB">
        <w:rPr>
          <w:rStyle w:val="FootnoteReference"/>
          <w:iCs/>
          <w:lang w:val="es-MX"/>
        </w:rPr>
        <w:footnoteReference w:id="35"/>
      </w:r>
      <w:r w:rsidRPr="00F33CDB">
        <w:rPr>
          <w:iCs/>
          <w:lang w:val="es-MX"/>
        </w:rPr>
        <w:t xml:space="preserve"> y la defensora </w:t>
      </w:r>
      <w:proofErr w:type="spellStart"/>
      <w:r w:rsidRPr="00F33CDB">
        <w:rPr>
          <w:iCs/>
          <w:lang w:val="es-MX"/>
        </w:rPr>
        <w:t>Nestora</w:t>
      </w:r>
      <w:proofErr w:type="spellEnd"/>
      <w:r w:rsidRPr="00F33CDB">
        <w:rPr>
          <w:iCs/>
          <w:lang w:val="es-MX"/>
        </w:rPr>
        <w:t xml:space="preserve"> Salgado</w:t>
      </w:r>
      <w:r w:rsidR="00CA48B7" w:rsidRPr="00F33CDB">
        <w:rPr>
          <w:rStyle w:val="FootnoteReference"/>
          <w:iCs/>
          <w:lang w:val="es-MX"/>
        </w:rPr>
        <w:footnoteReference w:id="36"/>
      </w:r>
      <w:r w:rsidRPr="00F33CDB">
        <w:rPr>
          <w:iCs/>
          <w:lang w:val="es-MX"/>
        </w:rPr>
        <w:t xml:space="preserve"> e integrantes del Frente Popular Revolucionario, quienes fueron detenidos arbitrariamente y cuyos procesos judiciales se vieron afectados por irregularidades. Los defensores y la defensora fueron detenidos arbitrariamente y sus procesos judiciales se han visto afectados por irregularidades. Actualmente, únicamente dos</w:t>
      </w:r>
      <w:r w:rsidR="00F77E04">
        <w:rPr>
          <w:iCs/>
          <w:lang w:val="es-MX"/>
        </w:rPr>
        <w:t xml:space="preserve"> de</w:t>
      </w:r>
      <w:r w:rsidRPr="00F33CDB">
        <w:rPr>
          <w:iCs/>
          <w:lang w:val="es-MX"/>
        </w:rPr>
        <w:t xml:space="preserve"> las personas defensoras han sido liberadas, y la implementación completa de todas las Opiniones sigue pendiente</w:t>
      </w:r>
      <w:r w:rsidR="00CA48B7" w:rsidRPr="00F33CDB">
        <w:rPr>
          <w:rStyle w:val="FootnoteReference"/>
          <w:iCs/>
          <w:lang w:val="es-MX"/>
        </w:rPr>
        <w:footnoteReference w:id="37"/>
      </w:r>
      <w:r w:rsidRPr="00F33CDB">
        <w:rPr>
          <w:iCs/>
          <w:lang w:val="es-MX"/>
        </w:rPr>
        <w:t>.</w:t>
      </w:r>
    </w:p>
    <w:p w:rsidR="00F20BBF" w:rsidRPr="00F33CDB" w:rsidRDefault="00F20BBF" w:rsidP="00776849">
      <w:pPr>
        <w:spacing w:before="120" w:after="120" w:line="240" w:lineRule="auto"/>
        <w:jc w:val="both"/>
        <w:rPr>
          <w:lang w:val="es-MX"/>
        </w:rPr>
      </w:pPr>
    </w:p>
    <w:p w:rsidR="00467E1F" w:rsidRPr="00F33CDB" w:rsidRDefault="00467E1F" w:rsidP="00776849">
      <w:pPr>
        <w:pStyle w:val="Heading2"/>
        <w:numPr>
          <w:ilvl w:val="1"/>
          <w:numId w:val="4"/>
        </w:numPr>
        <w:spacing w:before="120" w:after="120" w:line="240" w:lineRule="auto"/>
        <w:jc w:val="both"/>
        <w:rPr>
          <w:i/>
          <w:color w:val="C00000"/>
          <w:lang w:val="es-MX"/>
        </w:rPr>
      </w:pPr>
      <w:bookmarkStart w:id="17" w:name="_Toc491851658"/>
      <w:r w:rsidRPr="00F33CDB">
        <w:rPr>
          <w:i/>
          <w:color w:val="C00000"/>
          <w:lang w:val="es-MX"/>
        </w:rPr>
        <w:t>Grupo de Trabajo sobre la cuestión de los derechos humanos y las empresas transnacionales y otros negocios</w:t>
      </w:r>
      <w:bookmarkEnd w:id="17"/>
    </w:p>
    <w:p w:rsidR="00467E1F" w:rsidRPr="00F33CDB" w:rsidRDefault="00467E1F" w:rsidP="00776849">
      <w:pPr>
        <w:spacing w:before="120" w:after="120" w:line="240" w:lineRule="auto"/>
        <w:jc w:val="both"/>
        <w:rPr>
          <w:lang w:val="es-MX"/>
        </w:rPr>
      </w:pPr>
      <w:r w:rsidRPr="00F33CDB">
        <w:rPr>
          <w:lang w:val="es-MX"/>
        </w:rPr>
        <w:t>Entre el 29 de agosto y el 7 de septiembre de 2016, el Grupo de Trabajo sobre la cuestión de los derechos humanos y las empresas transnacionales y otros negocios visitó a México. Tras su visita el Grupo de Trabajo presentó su informe durante el 35º periodo de sesión del Consejo de Derechos Humanos (A/HRC/35/32/Add.2).</w:t>
      </w:r>
    </w:p>
    <w:p w:rsidR="00467E1F" w:rsidRPr="00F33CDB" w:rsidRDefault="00467E1F" w:rsidP="00776849">
      <w:pPr>
        <w:spacing w:before="120" w:after="120" w:line="240" w:lineRule="auto"/>
        <w:jc w:val="both"/>
        <w:rPr>
          <w:lang w:val="es-MX"/>
        </w:rPr>
      </w:pPr>
      <w:r w:rsidRPr="00F33CDB">
        <w:rPr>
          <w:lang w:val="es-MX"/>
        </w:rPr>
        <w:t xml:space="preserve">En su informe el Grupo de Trabajo afirma que entre 2010 y 2014, han sido denunciados 615 casos de violaciones a derechos humanos cometidas en contra </w:t>
      </w:r>
      <w:r w:rsidR="00472E87">
        <w:rPr>
          <w:lang w:val="es-MX"/>
        </w:rPr>
        <w:t xml:space="preserve">de </w:t>
      </w:r>
      <w:r w:rsidR="00C51B3C" w:rsidRPr="00F33CDB">
        <w:rPr>
          <w:lang w:val="es-MX"/>
        </w:rPr>
        <w:t>personas defensoras</w:t>
      </w:r>
      <w:r w:rsidRPr="00F33CDB">
        <w:rPr>
          <w:lang w:val="es-MX"/>
        </w:rPr>
        <w:t xml:space="preserve"> de derechos humanos, incluyendo 36 asesinatos. </w:t>
      </w:r>
    </w:p>
    <w:p w:rsidR="00467E1F" w:rsidRPr="00F33CDB" w:rsidRDefault="00467E1F" w:rsidP="00776849">
      <w:pPr>
        <w:spacing w:before="120" w:after="120" w:line="240" w:lineRule="auto"/>
        <w:jc w:val="both"/>
        <w:rPr>
          <w:lang w:val="es-MX"/>
        </w:rPr>
      </w:pPr>
      <w:r w:rsidRPr="00F33CDB">
        <w:rPr>
          <w:lang w:val="es-MX"/>
        </w:rPr>
        <w:t xml:space="preserve">El Grupo de Trabajo da cuenta también de testimonios de personas defensoras de derechos humanos quienes expresaron que son víctimas de ataques, amenazas, diversas formas de acoso y agresiones en su contra como resultado de su labor de proteger y promover los derechos humanos. “Las </w:t>
      </w:r>
      <w:r w:rsidR="00C51B3C" w:rsidRPr="00F33CDB">
        <w:rPr>
          <w:lang w:val="es-MX"/>
        </w:rPr>
        <w:t>personas defensoras</w:t>
      </w:r>
      <w:r w:rsidRPr="00F33CDB">
        <w:rPr>
          <w:lang w:val="es-MX"/>
        </w:rPr>
        <w:t xml:space="preserve"> medioambientales y líderes indígenas han sido particularmente objetivo de ataques cuando han mostrado oposición a proyectos de desarrollo” (</w:t>
      </w:r>
      <w:proofErr w:type="spellStart"/>
      <w:r w:rsidRPr="00F33CDB">
        <w:rPr>
          <w:lang w:val="es-MX"/>
        </w:rPr>
        <w:t>parr</w:t>
      </w:r>
      <w:proofErr w:type="spellEnd"/>
      <w:r w:rsidRPr="00F33CDB">
        <w:rPr>
          <w:lang w:val="es-MX"/>
        </w:rPr>
        <w:t>. 83), afirma en su informe.</w:t>
      </w:r>
    </w:p>
    <w:p w:rsidR="00467E1F" w:rsidRPr="00F33CDB" w:rsidRDefault="00467E1F" w:rsidP="00776849">
      <w:pPr>
        <w:spacing w:before="120" w:after="120" w:line="240" w:lineRule="auto"/>
        <w:jc w:val="both"/>
        <w:rPr>
          <w:lang w:val="es-MX"/>
        </w:rPr>
      </w:pPr>
      <w:r w:rsidRPr="00F33CDB">
        <w:rPr>
          <w:lang w:val="es-MX"/>
        </w:rPr>
        <w:t>El grupo de trabajo recomienda que:</w:t>
      </w:r>
    </w:p>
    <w:p w:rsidR="00467E1F" w:rsidRPr="00F33CDB" w:rsidRDefault="00D607ED" w:rsidP="00776849">
      <w:pPr>
        <w:pStyle w:val="ListParagraph"/>
        <w:numPr>
          <w:ilvl w:val="0"/>
          <w:numId w:val="8"/>
        </w:numPr>
        <w:spacing w:before="120" w:after="120" w:line="240" w:lineRule="auto"/>
        <w:jc w:val="both"/>
        <w:rPr>
          <w:lang w:val="es-MX"/>
        </w:rPr>
      </w:pPr>
      <w:r w:rsidRPr="00F33CDB">
        <w:rPr>
          <w:lang w:val="es-MX"/>
        </w:rPr>
        <w:t>Las personas defensoras</w:t>
      </w:r>
      <w:r w:rsidR="00467E1F" w:rsidRPr="00F33CDB">
        <w:rPr>
          <w:lang w:val="es-MX"/>
        </w:rPr>
        <w:t xml:space="preserve"> de los derechos humanos y los periodistas deben estar mejor protegidos para que puedan desempeñar su importante función. En vista de la generalización de las agresiones y los casos de intimidación contra las personas que defienden sus derechos, los más altos funcionarios del Gobierno y los directores generales de las empresas deben dejar muy claro que la intimidación y los ataques contra </w:t>
      </w:r>
      <w:r w:rsidRPr="00F33CDB">
        <w:rPr>
          <w:lang w:val="es-MX"/>
        </w:rPr>
        <w:t>las personas defensoras</w:t>
      </w:r>
      <w:r w:rsidR="00467E1F" w:rsidRPr="00F33CDB">
        <w:rPr>
          <w:lang w:val="es-MX"/>
        </w:rPr>
        <w:t xml:space="preserve"> de los derechos humanos son inaceptables y no se tolerarán.</w:t>
      </w:r>
    </w:p>
    <w:p w:rsidR="00E47EDA" w:rsidRPr="00F33CDB" w:rsidRDefault="00E47EDA" w:rsidP="00776849">
      <w:pPr>
        <w:pStyle w:val="ListParagraph"/>
        <w:numPr>
          <w:ilvl w:val="0"/>
          <w:numId w:val="8"/>
        </w:numPr>
        <w:spacing w:before="120" w:after="120" w:line="240" w:lineRule="auto"/>
        <w:jc w:val="both"/>
        <w:rPr>
          <w:lang w:val="es-MX"/>
        </w:rPr>
      </w:pPr>
      <w:r w:rsidRPr="00F33CDB">
        <w:rPr>
          <w:lang w:val="es-MX"/>
        </w:rPr>
        <w:t>(</w:t>
      </w:r>
      <w:r w:rsidR="00472E87">
        <w:rPr>
          <w:lang w:val="es-MX"/>
        </w:rPr>
        <w:t>Q</w:t>
      </w:r>
      <w:r w:rsidRPr="00F33CDB">
        <w:rPr>
          <w:lang w:val="es-MX"/>
        </w:rPr>
        <w:t xml:space="preserve">ue el Gobierno) Fortalezca el </w:t>
      </w:r>
      <w:r w:rsidR="00472E87">
        <w:rPr>
          <w:lang w:val="es-MX"/>
        </w:rPr>
        <w:t>M</w:t>
      </w:r>
      <w:r w:rsidRPr="00F33CDB">
        <w:rPr>
          <w:lang w:val="es-MX"/>
        </w:rPr>
        <w:t xml:space="preserve">ecanismo de protección para personas defensoras de derechos humanos, entre otras cosas realizando investigaciones y aplicando sanciones efectivas, para hacer frente a las condiciones que ponen en peligro a </w:t>
      </w:r>
      <w:r w:rsidR="00472E87">
        <w:rPr>
          <w:lang w:val="es-MX"/>
        </w:rPr>
        <w:t>las personas</w:t>
      </w:r>
      <w:r w:rsidRPr="00F33CDB">
        <w:rPr>
          <w:lang w:val="es-MX"/>
        </w:rPr>
        <w:t xml:space="preserve"> defensor</w:t>
      </w:r>
      <w:r w:rsidR="00472E87">
        <w:rPr>
          <w:lang w:val="es-MX"/>
        </w:rPr>
        <w:t>a</w:t>
      </w:r>
      <w:r w:rsidRPr="00F33CDB">
        <w:rPr>
          <w:lang w:val="es-MX"/>
        </w:rPr>
        <w:t>s de derechos humanos</w:t>
      </w:r>
    </w:p>
    <w:p w:rsidR="00A47212" w:rsidRPr="00F33CDB" w:rsidRDefault="00A47212" w:rsidP="00776849">
      <w:pPr>
        <w:spacing w:before="120" w:after="120" w:line="240" w:lineRule="auto"/>
        <w:jc w:val="both"/>
        <w:rPr>
          <w:lang w:val="es-MX"/>
        </w:rPr>
      </w:pPr>
    </w:p>
    <w:p w:rsidR="00FA45F7" w:rsidRPr="00F33CDB" w:rsidRDefault="00827F49" w:rsidP="00776849">
      <w:pPr>
        <w:pStyle w:val="Heading1"/>
        <w:numPr>
          <w:ilvl w:val="0"/>
          <w:numId w:val="4"/>
        </w:numPr>
        <w:spacing w:before="120" w:after="120" w:line="240" w:lineRule="auto"/>
        <w:rPr>
          <w:color w:val="C00000"/>
          <w:lang w:val="es-MX"/>
        </w:rPr>
      </w:pPr>
      <w:bookmarkStart w:id="18" w:name="_Toc491851659"/>
      <w:r w:rsidRPr="00F33CDB">
        <w:rPr>
          <w:color w:val="C00000"/>
          <w:lang w:val="es-MX"/>
        </w:rPr>
        <w:t>Sugerencias</w:t>
      </w:r>
      <w:r w:rsidR="00BC3565" w:rsidRPr="00F33CDB">
        <w:rPr>
          <w:color w:val="C00000"/>
          <w:lang w:val="es-MX"/>
        </w:rPr>
        <w:t xml:space="preserve"> de </w:t>
      </w:r>
      <w:r w:rsidR="00CE7CAA" w:rsidRPr="00F33CDB">
        <w:rPr>
          <w:color w:val="C00000"/>
          <w:lang w:val="es-MX"/>
        </w:rPr>
        <w:t>recomendaciones</w:t>
      </w:r>
      <w:r w:rsidR="00BC3565" w:rsidRPr="00F33CDB">
        <w:rPr>
          <w:color w:val="C00000"/>
          <w:lang w:val="es-MX"/>
        </w:rPr>
        <w:t xml:space="preserve"> al Estado de México</w:t>
      </w:r>
      <w:bookmarkEnd w:id="18"/>
      <w:r w:rsidR="00BC3565" w:rsidRPr="00F33CDB">
        <w:rPr>
          <w:color w:val="C00000"/>
          <w:lang w:val="es-MX"/>
        </w:rPr>
        <w:t xml:space="preserve"> </w:t>
      </w:r>
    </w:p>
    <w:p w:rsidR="009A3A37" w:rsidRPr="00F33CDB" w:rsidRDefault="009A3A37" w:rsidP="00776849">
      <w:pPr>
        <w:pStyle w:val="Heading2"/>
        <w:numPr>
          <w:ilvl w:val="1"/>
          <w:numId w:val="4"/>
        </w:numPr>
        <w:spacing w:before="120" w:after="120" w:line="240" w:lineRule="auto"/>
        <w:jc w:val="both"/>
        <w:rPr>
          <w:i/>
          <w:color w:val="C00000"/>
          <w:lang w:val="es-MX"/>
        </w:rPr>
      </w:pPr>
      <w:bookmarkStart w:id="19" w:name="_Toc491851660"/>
      <w:r w:rsidRPr="00F33CDB">
        <w:rPr>
          <w:i/>
          <w:color w:val="C00000"/>
          <w:lang w:val="es-MX"/>
        </w:rPr>
        <w:t>En general</w:t>
      </w:r>
      <w:bookmarkEnd w:id="19"/>
    </w:p>
    <w:p w:rsidR="008727FB" w:rsidRPr="00F33CDB" w:rsidRDefault="008727FB" w:rsidP="00776849">
      <w:pPr>
        <w:pStyle w:val="ListParagraph"/>
        <w:numPr>
          <w:ilvl w:val="0"/>
          <w:numId w:val="8"/>
        </w:numPr>
        <w:spacing w:before="120" w:after="120" w:line="240" w:lineRule="auto"/>
        <w:jc w:val="both"/>
        <w:rPr>
          <w:lang w:val="es-MX"/>
        </w:rPr>
      </w:pPr>
      <w:r w:rsidRPr="00F33CDB">
        <w:rPr>
          <w:lang w:val="es-MX"/>
        </w:rPr>
        <w:t xml:space="preserve">Firmar y ratificar el Protocolo Opcional del Convenio </w:t>
      </w:r>
      <w:r w:rsidR="00623F7C" w:rsidRPr="00F33CDB">
        <w:rPr>
          <w:lang w:val="es-MX"/>
        </w:rPr>
        <w:t>sobre</w:t>
      </w:r>
      <w:r w:rsidRPr="00F33CDB">
        <w:rPr>
          <w:lang w:val="es-MX"/>
        </w:rPr>
        <w:t xml:space="preserve"> derechos económicos, sociales y culturales.</w:t>
      </w:r>
    </w:p>
    <w:p w:rsidR="0056321F" w:rsidRPr="00F33CDB" w:rsidRDefault="0056321F" w:rsidP="00776849">
      <w:pPr>
        <w:pStyle w:val="ListParagraph"/>
        <w:numPr>
          <w:ilvl w:val="0"/>
          <w:numId w:val="8"/>
        </w:numPr>
        <w:spacing w:before="120" w:after="120" w:line="240" w:lineRule="auto"/>
        <w:jc w:val="both"/>
        <w:rPr>
          <w:lang w:val="es-MX"/>
        </w:rPr>
      </w:pPr>
      <w:r w:rsidRPr="00F33CDB">
        <w:rPr>
          <w:lang w:val="es-MX"/>
        </w:rPr>
        <w:t>Designar un p</w:t>
      </w:r>
      <w:r w:rsidR="00DA7ABC" w:rsidRPr="00F33CDB">
        <w:rPr>
          <w:lang w:val="es-MX"/>
        </w:rPr>
        <w:t xml:space="preserve">unto focal de alto nivel </w:t>
      </w:r>
      <w:r w:rsidR="00405287" w:rsidRPr="00F33CDB">
        <w:rPr>
          <w:lang w:val="es-MX"/>
        </w:rPr>
        <w:t>en el</w:t>
      </w:r>
      <w:r w:rsidR="00DA7ABC" w:rsidRPr="00F33CDB">
        <w:rPr>
          <w:lang w:val="es-MX"/>
        </w:rPr>
        <w:t xml:space="preserve"> ejecutivo</w:t>
      </w:r>
      <w:r w:rsidR="00310F09" w:rsidRPr="00F33CDB">
        <w:rPr>
          <w:lang w:val="es-MX"/>
        </w:rPr>
        <w:t>, posiblemente dentro de la Dirección general de derechos humanos y democracia de la Cancillería,</w:t>
      </w:r>
      <w:r w:rsidR="00DA7ABC" w:rsidRPr="00F33CDB">
        <w:rPr>
          <w:lang w:val="es-MX"/>
        </w:rPr>
        <w:t xml:space="preserve"> sobre personas defensoras para fomentar cumplimiento con recomendaciones y dictámenes de mecanismos internacionales </w:t>
      </w:r>
      <w:r w:rsidR="00ED0330" w:rsidRPr="00F33CDB">
        <w:rPr>
          <w:lang w:val="es-MX"/>
        </w:rPr>
        <w:t xml:space="preserve">y regionales </w:t>
      </w:r>
      <w:r w:rsidR="00DA7ABC" w:rsidRPr="00F33CDB">
        <w:rPr>
          <w:lang w:val="es-MX"/>
        </w:rPr>
        <w:t>relacionados con personas defensoras</w:t>
      </w:r>
      <w:r w:rsidR="00310F09" w:rsidRPr="00F33CDB">
        <w:rPr>
          <w:lang w:val="es-MX"/>
        </w:rPr>
        <w:t>.</w:t>
      </w:r>
    </w:p>
    <w:p w:rsidR="008727FB" w:rsidRPr="00F33CDB" w:rsidRDefault="006406FC" w:rsidP="00776849">
      <w:pPr>
        <w:pStyle w:val="ListParagraph"/>
        <w:numPr>
          <w:ilvl w:val="0"/>
          <w:numId w:val="8"/>
        </w:numPr>
        <w:spacing w:before="120" w:after="120" w:line="240" w:lineRule="auto"/>
        <w:jc w:val="both"/>
        <w:rPr>
          <w:lang w:val="es-MX"/>
        </w:rPr>
      </w:pPr>
      <w:r w:rsidRPr="00F33CDB">
        <w:rPr>
          <w:lang w:val="es-MX"/>
        </w:rPr>
        <w:t>Que el Gobierno Mexicano tome</w:t>
      </w:r>
      <w:r w:rsidR="008727FB" w:rsidRPr="00F33CDB">
        <w:rPr>
          <w:lang w:val="es-MX"/>
        </w:rPr>
        <w:t xml:space="preserve"> medidas para prevenir los ataques en contra de </w:t>
      </w:r>
      <w:r w:rsidR="00C51B3C" w:rsidRPr="00F33CDB">
        <w:rPr>
          <w:lang w:val="es-MX"/>
        </w:rPr>
        <w:t>personas defensoras</w:t>
      </w:r>
      <w:r w:rsidR="008727FB" w:rsidRPr="00F33CDB">
        <w:rPr>
          <w:lang w:val="es-MX"/>
        </w:rPr>
        <w:t xml:space="preserve"> de derechos humanos y atienda el problema de impunidad de agravios a de </w:t>
      </w:r>
      <w:r w:rsidR="00C51B3C" w:rsidRPr="00F33CDB">
        <w:rPr>
          <w:lang w:val="es-MX"/>
        </w:rPr>
        <w:t>personas defensoras</w:t>
      </w:r>
      <w:r w:rsidR="008727FB" w:rsidRPr="00F33CDB">
        <w:rPr>
          <w:lang w:val="es-MX"/>
        </w:rPr>
        <w:t xml:space="preserve"> de derechos humanos, a través de</w:t>
      </w:r>
    </w:p>
    <w:p w:rsidR="008727FB" w:rsidRPr="00F33CDB" w:rsidRDefault="008727FB" w:rsidP="00776849">
      <w:pPr>
        <w:pStyle w:val="ListParagraph"/>
        <w:numPr>
          <w:ilvl w:val="1"/>
          <w:numId w:val="8"/>
        </w:numPr>
        <w:spacing w:before="120" w:after="120" w:line="240" w:lineRule="auto"/>
        <w:jc w:val="both"/>
        <w:rPr>
          <w:lang w:val="es-MX"/>
        </w:rPr>
      </w:pPr>
      <w:r w:rsidRPr="00F33CDB">
        <w:rPr>
          <w:lang w:val="es-MX"/>
        </w:rPr>
        <w:t xml:space="preserve">Una campaña de reconocimiento de personas defensoras de derechos humanos y su labor, que tiene un alcance hacía los diferentes estados y sus </w:t>
      </w:r>
      <w:r w:rsidR="00C02D9C" w:rsidRPr="00F33CDB">
        <w:rPr>
          <w:lang w:val="es-MX"/>
        </w:rPr>
        <w:t>municipios</w:t>
      </w:r>
      <w:r w:rsidRPr="00F33CDB">
        <w:rPr>
          <w:lang w:val="es-MX"/>
        </w:rPr>
        <w:t xml:space="preserve"> de la </w:t>
      </w:r>
      <w:r w:rsidR="00C02D9C" w:rsidRPr="00F33CDB">
        <w:rPr>
          <w:lang w:val="es-MX"/>
        </w:rPr>
        <w:t>R</w:t>
      </w:r>
      <w:r w:rsidRPr="00F33CDB">
        <w:rPr>
          <w:lang w:val="es-MX"/>
        </w:rPr>
        <w:t xml:space="preserve">epública, </w:t>
      </w:r>
      <w:r w:rsidR="00074FDC" w:rsidRPr="00F33CDB">
        <w:rPr>
          <w:lang w:val="es-MX"/>
        </w:rPr>
        <w:t>e</w:t>
      </w:r>
      <w:r w:rsidRPr="00F33CDB">
        <w:rPr>
          <w:lang w:val="es-MX"/>
        </w:rPr>
        <w:t xml:space="preserve"> incluye una declaración de </w:t>
      </w:r>
      <w:r w:rsidR="001766F0" w:rsidRPr="00F33CDB">
        <w:rPr>
          <w:lang w:val="es-MX"/>
        </w:rPr>
        <w:t>cero tolerancias</w:t>
      </w:r>
      <w:r w:rsidRPr="00F33CDB">
        <w:rPr>
          <w:lang w:val="es-MX"/>
        </w:rPr>
        <w:t xml:space="preserve"> ante ataques en contra de </w:t>
      </w:r>
      <w:r w:rsidR="00C51B3C" w:rsidRPr="00F33CDB">
        <w:rPr>
          <w:lang w:val="es-MX"/>
        </w:rPr>
        <w:t>personas defensoras</w:t>
      </w:r>
      <w:r w:rsidRPr="00F33CDB">
        <w:rPr>
          <w:lang w:val="es-MX"/>
        </w:rPr>
        <w:t xml:space="preserve"> de derechos humanos</w:t>
      </w:r>
    </w:p>
    <w:p w:rsidR="008727FB" w:rsidRPr="00F33CDB" w:rsidRDefault="008727FB" w:rsidP="00776849">
      <w:pPr>
        <w:pStyle w:val="ListParagraph"/>
        <w:numPr>
          <w:ilvl w:val="1"/>
          <w:numId w:val="8"/>
        </w:numPr>
        <w:spacing w:before="120" w:after="120" w:line="240" w:lineRule="auto"/>
        <w:rPr>
          <w:lang w:val="es-MX"/>
        </w:rPr>
      </w:pPr>
      <w:r w:rsidRPr="00F33CDB">
        <w:rPr>
          <w:lang w:val="es-MX"/>
        </w:rPr>
        <w:t xml:space="preserve">Instalación de fiscalías o unidades especializadas en la persecución de delitos cometidos contra personas defensoras y la implementación de un protocolo </w:t>
      </w:r>
      <w:r w:rsidR="00C51B3C" w:rsidRPr="00F33CDB">
        <w:rPr>
          <w:lang w:val="es-MX"/>
        </w:rPr>
        <w:t>específico</w:t>
      </w:r>
      <w:r w:rsidRPr="00F33CDB">
        <w:rPr>
          <w:lang w:val="es-MX"/>
        </w:rPr>
        <w:t xml:space="preserve"> para la investigación de ataques a </w:t>
      </w:r>
      <w:r w:rsidR="00C51B3C" w:rsidRPr="00F33CDB">
        <w:rPr>
          <w:lang w:val="es-MX"/>
        </w:rPr>
        <w:t>personas defensoras</w:t>
      </w:r>
      <w:r w:rsidRPr="00F33CDB">
        <w:rPr>
          <w:lang w:val="es-MX"/>
        </w:rPr>
        <w:t xml:space="preserve"> de derechos humanos. </w:t>
      </w:r>
    </w:p>
    <w:p w:rsidR="008727FB" w:rsidRPr="00F33CDB" w:rsidRDefault="008727FB" w:rsidP="00776849">
      <w:pPr>
        <w:pStyle w:val="ListParagraph"/>
        <w:numPr>
          <w:ilvl w:val="1"/>
          <w:numId w:val="8"/>
        </w:numPr>
        <w:spacing w:before="120" w:after="120" w:line="240" w:lineRule="auto"/>
        <w:rPr>
          <w:lang w:val="es-MX"/>
        </w:rPr>
      </w:pPr>
      <w:r w:rsidRPr="00F33CDB">
        <w:rPr>
          <w:lang w:val="es-MX"/>
        </w:rPr>
        <w:t>Adoptar medidas especí</w:t>
      </w:r>
      <w:r w:rsidR="00C51B3C" w:rsidRPr="00F33CDB">
        <w:rPr>
          <w:lang w:val="es-MX"/>
        </w:rPr>
        <w:t>ficas de protección para aquella</w:t>
      </w:r>
      <w:r w:rsidRPr="00F33CDB">
        <w:rPr>
          <w:lang w:val="es-MX"/>
        </w:rPr>
        <w:t xml:space="preserve">s </w:t>
      </w:r>
      <w:r w:rsidR="00C51B3C" w:rsidRPr="00F33CDB">
        <w:rPr>
          <w:lang w:val="es-MX"/>
        </w:rPr>
        <w:t>personas defensoras</w:t>
      </w:r>
      <w:r w:rsidRPr="00F33CDB">
        <w:rPr>
          <w:lang w:val="es-MX"/>
        </w:rPr>
        <w:t xml:space="preserve"> de derechos humanos que están en riesgo por participar en procesos de investigación para la impartición de justicia. </w:t>
      </w:r>
    </w:p>
    <w:p w:rsidR="00D34A3B" w:rsidRPr="00F33CDB" w:rsidRDefault="0056321F" w:rsidP="00776849">
      <w:pPr>
        <w:pStyle w:val="Heading2"/>
        <w:numPr>
          <w:ilvl w:val="1"/>
          <w:numId w:val="4"/>
        </w:numPr>
        <w:spacing w:before="120" w:after="120" w:line="240" w:lineRule="auto"/>
        <w:jc w:val="both"/>
        <w:rPr>
          <w:i/>
          <w:color w:val="C00000"/>
          <w:lang w:val="es-MX"/>
        </w:rPr>
      </w:pPr>
      <w:bookmarkStart w:id="20" w:name="_Toc491851661"/>
      <w:r w:rsidRPr="00F33CDB">
        <w:rPr>
          <w:i/>
          <w:color w:val="C00000"/>
          <w:lang w:val="es-MX"/>
        </w:rPr>
        <w:t>Sobre el m</w:t>
      </w:r>
      <w:r w:rsidR="00D34A3B" w:rsidRPr="00F33CDB">
        <w:rPr>
          <w:i/>
          <w:color w:val="C00000"/>
          <w:lang w:val="es-MX"/>
        </w:rPr>
        <w:t>ecanismo de protección</w:t>
      </w:r>
      <w:r w:rsidRPr="00F33CDB">
        <w:rPr>
          <w:i/>
          <w:color w:val="C00000"/>
          <w:lang w:val="es-MX"/>
        </w:rPr>
        <w:t xml:space="preserve"> para personas defensoras</w:t>
      </w:r>
      <w:bookmarkEnd w:id="20"/>
    </w:p>
    <w:p w:rsidR="008727FB" w:rsidRPr="00F33CDB" w:rsidRDefault="004554B1" w:rsidP="00776849">
      <w:pPr>
        <w:pStyle w:val="ListParagraph"/>
        <w:numPr>
          <w:ilvl w:val="0"/>
          <w:numId w:val="8"/>
        </w:numPr>
        <w:spacing w:before="120" w:after="120" w:line="240" w:lineRule="auto"/>
        <w:jc w:val="both"/>
        <w:rPr>
          <w:lang w:val="es-MX"/>
        </w:rPr>
      </w:pPr>
      <w:r w:rsidRPr="00F33CDB">
        <w:rPr>
          <w:rFonts w:ascii="Calibri" w:eastAsia="Times New Roman" w:hAnsi="Calibri" w:cs="Times New Roman"/>
          <w:lang w:val="es-MX"/>
        </w:rPr>
        <w:t xml:space="preserve">Fortalecer el Mecanismo, brindando el presupuesto suficiente para que cuente con los recursos materiales y humanos que le permitan cumplir con su objetivo y funcionamiento, implementando medidas acordes con las necesidades de protección existentes (riesgo), así como que se lleven a cabo evaluaciones periódicas de las medidas que se otorgan a </w:t>
      </w:r>
      <w:r w:rsidR="00776849" w:rsidRPr="00F33CDB">
        <w:rPr>
          <w:rFonts w:ascii="Calibri" w:eastAsia="Times New Roman" w:hAnsi="Calibri" w:cs="Times New Roman"/>
          <w:lang w:val="es-MX"/>
        </w:rPr>
        <w:t>las personas defensoras</w:t>
      </w:r>
      <w:r w:rsidRPr="00F33CDB">
        <w:rPr>
          <w:rFonts w:ascii="Calibri" w:eastAsia="Times New Roman" w:hAnsi="Calibri" w:cs="Times New Roman"/>
          <w:lang w:val="es-MX"/>
        </w:rPr>
        <w:t xml:space="preserve"> a fin de evaluar si efectivamente están siendo útiles. De igual forma, se debe contemplar la participación de l</w:t>
      </w:r>
      <w:r w:rsidR="007A3B9A">
        <w:rPr>
          <w:rFonts w:ascii="Calibri" w:eastAsia="Times New Roman" w:hAnsi="Calibri" w:cs="Times New Roman"/>
          <w:lang w:val="es-MX"/>
        </w:rPr>
        <w:t>a</w:t>
      </w:r>
      <w:r w:rsidRPr="00F33CDB">
        <w:rPr>
          <w:rFonts w:ascii="Calibri" w:eastAsia="Times New Roman" w:hAnsi="Calibri" w:cs="Times New Roman"/>
          <w:lang w:val="es-MX"/>
        </w:rPr>
        <w:t>s personas defensoras en todas las etapas; trabajar en medidas de prevención que vayan dirigidas a atender las causas del problema y que no sólo se trate de un Mecanismo reactivo.</w:t>
      </w:r>
    </w:p>
    <w:p w:rsidR="00D34A3B" w:rsidRPr="00F33CDB" w:rsidRDefault="00D34A3B" w:rsidP="00776849">
      <w:pPr>
        <w:pStyle w:val="Heading2"/>
        <w:numPr>
          <w:ilvl w:val="1"/>
          <w:numId w:val="4"/>
        </w:numPr>
        <w:spacing w:before="120" w:after="120" w:line="240" w:lineRule="auto"/>
        <w:jc w:val="both"/>
        <w:rPr>
          <w:i/>
          <w:color w:val="C00000"/>
          <w:lang w:val="es-MX"/>
        </w:rPr>
      </w:pPr>
      <w:bookmarkStart w:id="21" w:name="_Toc491851662"/>
      <w:r w:rsidRPr="00F33CDB">
        <w:rPr>
          <w:i/>
          <w:color w:val="C00000"/>
          <w:lang w:val="es-MX"/>
        </w:rPr>
        <w:t xml:space="preserve">Pueblos </w:t>
      </w:r>
      <w:r w:rsidR="00E436E7" w:rsidRPr="00F33CDB">
        <w:rPr>
          <w:i/>
          <w:color w:val="C00000"/>
          <w:lang w:val="es-MX"/>
        </w:rPr>
        <w:t>indígenas</w:t>
      </w:r>
      <w:bookmarkEnd w:id="21"/>
    </w:p>
    <w:p w:rsidR="00623F7C" w:rsidRPr="00F33CDB" w:rsidRDefault="00623F7C" w:rsidP="00776849">
      <w:pPr>
        <w:pStyle w:val="ListParagraph"/>
        <w:numPr>
          <w:ilvl w:val="0"/>
          <w:numId w:val="8"/>
        </w:numPr>
        <w:spacing w:before="120" w:after="120" w:line="240" w:lineRule="auto"/>
        <w:jc w:val="both"/>
        <w:rPr>
          <w:lang w:val="es-MX"/>
        </w:rPr>
      </w:pPr>
      <w:r w:rsidRPr="00F33CDB">
        <w:rPr>
          <w:lang w:val="es-MX"/>
        </w:rPr>
        <w:t xml:space="preserve">Garantizar oportunamente el cumplimiento del derecho a la consulta previa, libre e informada de los pueblos y las comunidades e indígenas, a la información, participación en la planeación de los programas de desarrollo nacionales y estatales y, en general, de cualquier medida que afecte de manera significativa sus modos de vida. Todo ello con el fin de proteger sus derechos colectivos a la autonomía, al desarrollo propio y al territorio, y de evitar conflictos socio ambientales. </w:t>
      </w:r>
    </w:p>
    <w:p w:rsidR="00623F7C" w:rsidRPr="00F33CDB" w:rsidRDefault="007D01CA" w:rsidP="00776849">
      <w:pPr>
        <w:pStyle w:val="Heading2"/>
        <w:numPr>
          <w:ilvl w:val="1"/>
          <w:numId w:val="4"/>
        </w:numPr>
        <w:spacing w:before="120" w:after="120" w:line="240" w:lineRule="auto"/>
        <w:jc w:val="both"/>
        <w:rPr>
          <w:i/>
          <w:color w:val="C00000"/>
          <w:lang w:val="es-MX"/>
        </w:rPr>
      </w:pPr>
      <w:bookmarkStart w:id="22" w:name="_Toc491851663"/>
      <w:r w:rsidRPr="00F33CDB">
        <w:rPr>
          <w:i/>
          <w:color w:val="C00000"/>
          <w:lang w:val="es-MX"/>
        </w:rPr>
        <w:t>Proyectos de desarrollo</w:t>
      </w:r>
      <w:bookmarkEnd w:id="22"/>
    </w:p>
    <w:p w:rsidR="00623F7C" w:rsidRPr="00F33CDB" w:rsidRDefault="00623F7C" w:rsidP="00776849">
      <w:pPr>
        <w:pStyle w:val="ListParagraph"/>
        <w:numPr>
          <w:ilvl w:val="0"/>
          <w:numId w:val="8"/>
        </w:numPr>
        <w:spacing w:before="120" w:after="120" w:line="240" w:lineRule="auto"/>
        <w:jc w:val="both"/>
        <w:rPr>
          <w:lang w:val="es-MX"/>
        </w:rPr>
      </w:pPr>
      <w:r w:rsidRPr="00F33CDB">
        <w:rPr>
          <w:lang w:val="es-MX"/>
        </w:rPr>
        <w:t xml:space="preserve">Implementar medidas preventivas cuando, en cualquier obra o actividad que busque desarrollarse en un determinado lugar, no se cumpla con la legislación nacional, los tratados internacionales y cause la violación de los derechos de las personas o comunidades. Estas medidas pueden ser la suspensión temporal de la obra o actividad hasta garantizar los derechos de que se trate, así como garantizar el derecho a la información, participación y acceso a la justicia. </w:t>
      </w:r>
    </w:p>
    <w:p w:rsidR="00623F7C" w:rsidRPr="00F33CDB" w:rsidRDefault="00623F7C" w:rsidP="00776849">
      <w:pPr>
        <w:pStyle w:val="ListParagraph"/>
        <w:numPr>
          <w:ilvl w:val="0"/>
          <w:numId w:val="8"/>
        </w:numPr>
        <w:spacing w:before="120" w:after="120" w:line="240" w:lineRule="auto"/>
        <w:jc w:val="both"/>
        <w:rPr>
          <w:lang w:val="es-MX"/>
        </w:rPr>
      </w:pPr>
      <w:r w:rsidRPr="00F33CDB">
        <w:rPr>
          <w:lang w:val="es-MX"/>
        </w:rPr>
        <w:t xml:space="preserve">Suspender la implementación de un proyecto de desarrollo cuando en ese contexto existan evidencias de ataques y agresiones contra las personas defensoras de derechos humanos ambientales. </w:t>
      </w:r>
    </w:p>
    <w:p w:rsidR="00623F7C" w:rsidRPr="00F33CDB" w:rsidRDefault="00623F7C" w:rsidP="00776849">
      <w:pPr>
        <w:pStyle w:val="ListParagraph"/>
        <w:numPr>
          <w:ilvl w:val="0"/>
          <w:numId w:val="8"/>
        </w:numPr>
        <w:spacing w:before="120" w:after="120" w:line="240" w:lineRule="auto"/>
        <w:jc w:val="both"/>
        <w:rPr>
          <w:lang w:val="es-MX"/>
        </w:rPr>
      </w:pPr>
      <w:r w:rsidRPr="00F33CDB">
        <w:rPr>
          <w:lang w:val="es-MX"/>
        </w:rPr>
        <w:t xml:space="preserve">Realizar las evaluaciones de impacto social y ambiental en las primeras etapas del proyecto para poder conocer el nivel de riesgos y desafíos existentes en la región del proyecto que busca llevarse a cabo. </w:t>
      </w:r>
    </w:p>
    <w:p w:rsidR="004D7996" w:rsidRPr="00F33CDB" w:rsidRDefault="004D7996" w:rsidP="00776849">
      <w:pPr>
        <w:spacing w:before="120" w:after="120" w:line="240" w:lineRule="auto"/>
        <w:rPr>
          <w:lang w:val="es-MX"/>
        </w:rPr>
      </w:pPr>
    </w:p>
    <w:sectPr w:rsidR="004D7996" w:rsidRPr="00F33CDB" w:rsidSect="00433873">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6B7" w:rsidRDefault="00C956B7" w:rsidP="00682524">
      <w:pPr>
        <w:spacing w:after="0" w:line="240" w:lineRule="auto"/>
      </w:pPr>
      <w:r>
        <w:separator/>
      </w:r>
    </w:p>
  </w:endnote>
  <w:endnote w:type="continuationSeparator" w:id="0">
    <w:p w:rsidR="00C956B7" w:rsidRDefault="00C956B7" w:rsidP="00682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5126141"/>
      <w:docPartObj>
        <w:docPartGallery w:val="Page Numbers (Bottom of Page)"/>
        <w:docPartUnique/>
      </w:docPartObj>
    </w:sdtPr>
    <w:sdtEndPr>
      <w:rPr>
        <w:noProof/>
      </w:rPr>
    </w:sdtEndPr>
    <w:sdtContent>
      <w:p w:rsidR="00AC3B54" w:rsidRDefault="004D63C4">
        <w:pPr>
          <w:pStyle w:val="Footer"/>
          <w:jc w:val="right"/>
        </w:pPr>
        <w:r>
          <w:fldChar w:fldCharType="begin"/>
        </w:r>
        <w:r>
          <w:instrText xml:space="preserve"> PAGE   \* MERGEFORMAT </w:instrText>
        </w:r>
        <w:r>
          <w:fldChar w:fldCharType="separate"/>
        </w:r>
        <w:r w:rsidR="0096589A">
          <w:rPr>
            <w:noProof/>
          </w:rPr>
          <w:t>2</w:t>
        </w:r>
        <w:r>
          <w:rPr>
            <w:noProof/>
          </w:rPr>
          <w:fldChar w:fldCharType="end"/>
        </w:r>
      </w:p>
    </w:sdtContent>
  </w:sdt>
  <w:p w:rsidR="00AC3B54" w:rsidRDefault="00AC3B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6B7" w:rsidRDefault="00C956B7" w:rsidP="00682524">
      <w:pPr>
        <w:spacing w:after="0" w:line="240" w:lineRule="auto"/>
      </w:pPr>
      <w:r>
        <w:separator/>
      </w:r>
    </w:p>
  </w:footnote>
  <w:footnote w:type="continuationSeparator" w:id="0">
    <w:p w:rsidR="00C956B7" w:rsidRDefault="00C956B7" w:rsidP="00682524">
      <w:pPr>
        <w:spacing w:after="0" w:line="240" w:lineRule="auto"/>
      </w:pPr>
      <w:r>
        <w:continuationSeparator/>
      </w:r>
    </w:p>
  </w:footnote>
  <w:footnote w:id="1">
    <w:p w:rsidR="00AC3B54" w:rsidRPr="00FB3596" w:rsidRDefault="00AC3B54" w:rsidP="00835DEA">
      <w:pPr>
        <w:pStyle w:val="FootnoteText"/>
        <w:rPr>
          <w:lang w:val="es-MX"/>
        </w:rPr>
      </w:pPr>
      <w:r>
        <w:rPr>
          <w:rStyle w:val="FootnoteReference"/>
        </w:rPr>
        <w:footnoteRef/>
      </w:r>
      <w:r w:rsidRPr="00FB3596">
        <w:rPr>
          <w:lang w:val="es-MX"/>
        </w:rPr>
        <w:t xml:space="preserve"> </w:t>
      </w:r>
      <w:r w:rsidRPr="005B245C">
        <w:rPr>
          <w:rStyle w:val="FootnoteReference"/>
          <w:lang w:val="es-MX"/>
        </w:rPr>
        <w:t>CEMDA, Informe sobre la situación de las personas defensoras de derechos hum</w:t>
      </w:r>
      <w:r>
        <w:rPr>
          <w:rStyle w:val="FootnoteReference"/>
          <w:lang w:val="es-MX"/>
        </w:rPr>
        <w:t xml:space="preserve">anos ambientales en México 2016. </w:t>
      </w:r>
      <w:r w:rsidRPr="005B245C">
        <w:rPr>
          <w:rStyle w:val="FootnoteReference"/>
          <w:lang w:val="es-MX"/>
        </w:rPr>
        <w:t xml:space="preserve">Disponible en: </w:t>
      </w:r>
      <w:hyperlink r:id="rId1" w:history="1">
        <w:r w:rsidRPr="0067499A">
          <w:rPr>
            <w:rStyle w:val="Hyperlink"/>
            <w:vertAlign w:val="superscript"/>
            <w:lang w:val="es-MX"/>
          </w:rPr>
          <w:t>http://www.cemda.org.mx/wp-content/uploads/2011/12/Informe-</w:t>
        </w:r>
        <w:r>
          <w:rPr>
            <w:rStyle w:val="Hyperlink"/>
            <w:vertAlign w:val="superscript"/>
            <w:lang w:val="es-MX"/>
          </w:rPr>
          <w:t>personas defensoras</w:t>
        </w:r>
        <w:r w:rsidRPr="0067499A">
          <w:rPr>
            <w:rStyle w:val="Hyperlink"/>
            <w:vertAlign w:val="superscript"/>
            <w:lang w:val="es-MX"/>
          </w:rPr>
          <w:t>-ambientales-2016.pdf</w:t>
        </w:r>
      </w:hyperlink>
    </w:p>
  </w:footnote>
  <w:footnote w:id="2">
    <w:p w:rsidR="00AC3B54" w:rsidRPr="00ED5C22" w:rsidRDefault="00C956B7" w:rsidP="009471A1">
      <w:pPr>
        <w:pStyle w:val="FootnoteText"/>
        <w:jc w:val="both"/>
        <w:rPr>
          <w:rStyle w:val="FootnoteReference"/>
          <w:lang w:val="es-MX"/>
        </w:rPr>
      </w:pPr>
      <w:hyperlink r:id="rId2">
        <w:r w:rsidR="00AC3B54" w:rsidRPr="00ED5C22">
          <w:rPr>
            <w:rStyle w:val="FootnoteReference"/>
            <w:lang w:val="es-MX"/>
          </w:rPr>
          <w:footnoteRef/>
        </w:r>
        <w:r w:rsidR="00AC3B54" w:rsidRPr="00ED5C22">
          <w:rPr>
            <w:rStyle w:val="FootnoteReference"/>
            <w:lang w:val="es-MX"/>
          </w:rPr>
          <w:t xml:space="preserve"> Informe Estadístico SEGOB Julio 2017</w:t>
        </w:r>
      </w:hyperlink>
    </w:p>
  </w:footnote>
  <w:footnote w:id="3">
    <w:p w:rsidR="00AC3B54" w:rsidRPr="00ED5C22" w:rsidRDefault="00AC3B54" w:rsidP="009471A1">
      <w:pPr>
        <w:pStyle w:val="FootnoteText"/>
        <w:jc w:val="both"/>
        <w:rPr>
          <w:rStyle w:val="FootnoteReference"/>
          <w:lang w:val="es-MX"/>
        </w:rPr>
      </w:pPr>
      <w:r w:rsidRPr="00ED5C22">
        <w:rPr>
          <w:rStyle w:val="FootnoteReference"/>
          <w:lang w:val="es-MX"/>
        </w:rPr>
        <w:footnoteRef/>
      </w:r>
      <w:r w:rsidRPr="00ED5C22">
        <w:rPr>
          <w:rStyle w:val="FootnoteReference"/>
          <w:lang w:val="es-MX"/>
        </w:rPr>
        <w:t xml:space="preserve"> Segundo diagnóstico sobre la implementación del Mecanismo de Protección para Personas Defensoras de Derechos Humanos y periodistas, </w:t>
      </w:r>
      <w:proofErr w:type="spellStart"/>
      <w:r w:rsidRPr="00ED5C22">
        <w:rPr>
          <w:rStyle w:val="FootnoteReference"/>
          <w:lang w:val="es-MX"/>
        </w:rPr>
        <w:t>Espacio_OSC</w:t>
      </w:r>
      <w:proofErr w:type="spellEnd"/>
      <w:r w:rsidRPr="00ED5C22">
        <w:rPr>
          <w:rStyle w:val="FootnoteReference"/>
          <w:lang w:val="es-MX"/>
        </w:rPr>
        <w:t>, julio 2015</w:t>
      </w:r>
    </w:p>
  </w:footnote>
  <w:footnote w:id="4">
    <w:p w:rsidR="00AC3B54" w:rsidRPr="00ED5C22" w:rsidRDefault="00AC3B54" w:rsidP="009471A1">
      <w:pPr>
        <w:pStyle w:val="FootnoteText"/>
        <w:jc w:val="both"/>
        <w:rPr>
          <w:rStyle w:val="FootnoteReference"/>
          <w:lang w:val="es-MX"/>
        </w:rPr>
      </w:pPr>
      <w:r w:rsidRPr="00ED5C22">
        <w:rPr>
          <w:rStyle w:val="FootnoteReference"/>
          <w:lang w:val="es-MX"/>
        </w:rPr>
        <w:footnoteRef/>
      </w:r>
      <w:r w:rsidRPr="00ED5C22">
        <w:rPr>
          <w:lang w:val="es-MX"/>
        </w:rPr>
        <w:t xml:space="preserve"> </w:t>
      </w:r>
      <w:r w:rsidRPr="00ED5C22">
        <w:rPr>
          <w:rStyle w:val="FootnoteReference"/>
          <w:lang w:val="es-MX"/>
        </w:rPr>
        <w:t>El Mecanismo De Protección Para Personas Defensoras De Derechos Humanos Y Periodistas En México: Los avances y continuos desafíos. WOLA y PBI, Mayo 2016</w:t>
      </w:r>
    </w:p>
  </w:footnote>
  <w:footnote w:id="5">
    <w:p w:rsidR="00AC3B54" w:rsidRPr="00ED5C22" w:rsidRDefault="00AC3B54" w:rsidP="009471A1">
      <w:pPr>
        <w:pStyle w:val="FootnoteText"/>
        <w:jc w:val="both"/>
        <w:rPr>
          <w:rStyle w:val="FootnoteReference"/>
          <w:lang w:val="es-MX"/>
        </w:rPr>
      </w:pPr>
      <w:r w:rsidRPr="00ED5C22">
        <w:rPr>
          <w:rStyle w:val="FootnoteReference"/>
          <w:lang w:val="es-MX"/>
        </w:rPr>
        <w:footnoteRef/>
      </w:r>
      <w:r w:rsidRPr="00ED5C22">
        <w:rPr>
          <w:lang w:val="es-MX"/>
        </w:rPr>
        <w:t xml:space="preserve"> </w:t>
      </w:r>
      <w:r w:rsidRPr="00ED5C22">
        <w:rPr>
          <w:rStyle w:val="FootnoteReference"/>
          <w:lang w:val="es-MX"/>
        </w:rPr>
        <w:t xml:space="preserve">Protección integral para personas defensoras de derechos humanos y periodistas: la deuda del Estado mexicano, </w:t>
      </w:r>
      <w:proofErr w:type="spellStart"/>
      <w:r w:rsidRPr="00ED5C22">
        <w:rPr>
          <w:rStyle w:val="FootnoteReference"/>
          <w:lang w:val="es-MX"/>
        </w:rPr>
        <w:t>Espacio_OSC</w:t>
      </w:r>
      <w:proofErr w:type="spellEnd"/>
      <w:r w:rsidRPr="00ED5C22">
        <w:rPr>
          <w:rStyle w:val="FootnoteReference"/>
          <w:lang w:val="es-MX"/>
        </w:rPr>
        <w:t>, Abril 2017</w:t>
      </w:r>
    </w:p>
  </w:footnote>
  <w:footnote w:id="6">
    <w:p w:rsidR="00AC3B54" w:rsidRPr="00ED5C22" w:rsidRDefault="00AC3B54" w:rsidP="00F76192">
      <w:pPr>
        <w:pStyle w:val="FootnoteText"/>
        <w:jc w:val="both"/>
        <w:rPr>
          <w:rStyle w:val="FootnoteReference"/>
          <w:lang w:val="es-MX"/>
        </w:rPr>
      </w:pPr>
      <w:r w:rsidRPr="00ED5C22">
        <w:rPr>
          <w:rStyle w:val="FootnoteReference"/>
          <w:lang w:val="es-MX"/>
        </w:rPr>
        <w:footnoteRef/>
      </w:r>
      <w:r w:rsidRPr="00ED5C22">
        <w:rPr>
          <w:rStyle w:val="FootnoteReference"/>
          <w:lang w:val="es-MX"/>
        </w:rPr>
        <w:t xml:space="preserve"> CNDH Recomendación General nº 25 sobre agravios a personas defensoras  de derechos humanos</w:t>
      </w:r>
    </w:p>
  </w:footnote>
  <w:footnote w:id="7">
    <w:p w:rsidR="00AC3B54" w:rsidRPr="00E23D1C" w:rsidRDefault="00AC3B54" w:rsidP="00E23D1C">
      <w:pPr>
        <w:pStyle w:val="FootnoteText"/>
        <w:jc w:val="both"/>
        <w:rPr>
          <w:lang w:val="es-MX"/>
        </w:rPr>
      </w:pPr>
      <w:r>
        <w:rPr>
          <w:rStyle w:val="FootnoteReference"/>
        </w:rPr>
        <w:footnoteRef/>
      </w:r>
      <w:r w:rsidRPr="00E23D1C">
        <w:rPr>
          <w:lang w:val="es-MX"/>
        </w:rPr>
        <w:t xml:space="preserve"> </w:t>
      </w:r>
      <w:r w:rsidRPr="00E23D1C">
        <w:rPr>
          <w:rStyle w:val="FootnoteReference"/>
          <w:lang w:val="es-MX"/>
        </w:rPr>
        <w:t xml:space="preserve">“Acción Urgente. Está en peligro la vida e integridad física de los </w:t>
      </w:r>
      <w:r>
        <w:rPr>
          <w:rStyle w:val="FootnoteReference"/>
          <w:lang w:val="es-MX"/>
        </w:rPr>
        <w:t>Personas defensoras</w:t>
      </w:r>
      <w:r w:rsidRPr="00E23D1C">
        <w:rPr>
          <w:rStyle w:val="FootnoteReference"/>
          <w:lang w:val="es-MX"/>
        </w:rPr>
        <w:t xml:space="preserve"> de Derechos Humanos Rodrigo Flores Peñaloza y </w:t>
      </w:r>
      <w:proofErr w:type="spellStart"/>
      <w:r w:rsidRPr="00E23D1C">
        <w:rPr>
          <w:rStyle w:val="FootnoteReference"/>
          <w:lang w:val="es-MX"/>
        </w:rPr>
        <w:t>Bettina</w:t>
      </w:r>
      <w:proofErr w:type="spellEnd"/>
      <w:r w:rsidRPr="00E23D1C">
        <w:rPr>
          <w:rStyle w:val="FootnoteReference"/>
          <w:lang w:val="es-MX"/>
        </w:rPr>
        <w:t xml:space="preserve"> Cruz Velázquez”, Red Nacional de Resistencia Civil, 29 de abril de 2017, disponible </w:t>
      </w:r>
      <w:hyperlink r:id="rId3" w:history="1">
        <w:r w:rsidRPr="00E23D1C">
          <w:rPr>
            <w:rStyle w:val="Hyperlink"/>
            <w:vertAlign w:val="superscript"/>
            <w:lang w:val="es-MX"/>
          </w:rPr>
          <w:t>aquí.</w:t>
        </w:r>
      </w:hyperlink>
      <w:r w:rsidRPr="00E23D1C">
        <w:rPr>
          <w:rStyle w:val="Hyperlink"/>
          <w:rFonts w:ascii="Times New Roman" w:hAnsi="Times New Roman" w:cs="Times New Roman"/>
          <w:sz w:val="20"/>
          <w:szCs w:val="20"/>
          <w:lang w:val="es-MX"/>
        </w:rPr>
        <w:t xml:space="preserve"> </w:t>
      </w:r>
    </w:p>
  </w:footnote>
  <w:footnote w:id="8">
    <w:p w:rsidR="00AC3B54" w:rsidRPr="00176655" w:rsidRDefault="00AC3B54">
      <w:pPr>
        <w:pStyle w:val="FootnoteText"/>
        <w:rPr>
          <w:lang w:val="es-MX"/>
        </w:rPr>
      </w:pPr>
      <w:r>
        <w:rPr>
          <w:rStyle w:val="FootnoteReference"/>
        </w:rPr>
        <w:footnoteRef/>
      </w:r>
      <w:r w:rsidRPr="00176655">
        <w:rPr>
          <w:lang w:val="es-MX"/>
        </w:rPr>
        <w:t xml:space="preserve"> </w:t>
      </w:r>
      <w:r w:rsidRPr="00176655">
        <w:rPr>
          <w:rStyle w:val="FootnoteReference"/>
          <w:lang w:val="es-MX"/>
        </w:rPr>
        <w:t>“Opositora a termoeléctrica en Morelos denuncia amenazas”, Rubicela Morelos Cruz, La Jornada, 24 de abril de 2017, disponible</w:t>
      </w:r>
      <w:r w:rsidRPr="00176655">
        <w:rPr>
          <w:lang w:val="es-MX"/>
        </w:rPr>
        <w:t xml:space="preserve"> </w:t>
      </w:r>
      <w:r w:rsidRPr="00176655">
        <w:rPr>
          <w:rStyle w:val="Hyperlink"/>
          <w:vertAlign w:val="superscript"/>
          <w:lang w:val="es-MX"/>
        </w:rPr>
        <w:t>aquí</w:t>
      </w:r>
      <w:r w:rsidRPr="00176655">
        <w:rPr>
          <w:lang w:val="es-MX"/>
        </w:rPr>
        <w:t>.</w:t>
      </w:r>
    </w:p>
  </w:footnote>
  <w:footnote w:id="9">
    <w:p w:rsidR="00AC3B54" w:rsidRPr="00FB763A" w:rsidRDefault="00AC3B54">
      <w:pPr>
        <w:pStyle w:val="FootnoteText"/>
        <w:rPr>
          <w:lang w:val="es-MX"/>
        </w:rPr>
      </w:pPr>
      <w:r>
        <w:rPr>
          <w:rStyle w:val="FootnoteReference"/>
        </w:rPr>
        <w:footnoteRef/>
      </w:r>
      <w:r w:rsidRPr="00FB763A">
        <w:rPr>
          <w:lang w:val="es-MX"/>
        </w:rPr>
        <w:t xml:space="preserve"> </w:t>
      </w:r>
      <w:r w:rsidRPr="00FB763A">
        <w:rPr>
          <w:rStyle w:val="FootnoteReference"/>
          <w:lang w:val="es-MX"/>
        </w:rPr>
        <w:t>“Asesinan a activista opositor a la minería y las altas tarifas de luz, en Oaxaca”, Pedro Matías, Proceso, 11 de abril de 2017, disponible</w:t>
      </w:r>
      <w:r w:rsidRPr="00FB763A">
        <w:rPr>
          <w:rFonts w:ascii="Times New Roman" w:hAnsi="Times New Roman" w:cs="Times New Roman"/>
          <w:sz w:val="20"/>
          <w:szCs w:val="20"/>
          <w:lang w:val="es-MX"/>
        </w:rPr>
        <w:t xml:space="preserve"> </w:t>
      </w:r>
      <w:r w:rsidRPr="0090748B">
        <w:rPr>
          <w:rStyle w:val="Hyperlink"/>
          <w:vertAlign w:val="superscript"/>
          <w:lang w:val="es-MX"/>
        </w:rPr>
        <w:t>aquí</w:t>
      </w:r>
    </w:p>
  </w:footnote>
  <w:footnote w:id="10">
    <w:p w:rsidR="00AC3B54" w:rsidRPr="00ED5C22" w:rsidRDefault="00AC3B54" w:rsidP="0026616F">
      <w:pPr>
        <w:pStyle w:val="FootnoteText"/>
        <w:jc w:val="both"/>
        <w:rPr>
          <w:rStyle w:val="FootnoteReference"/>
          <w:lang w:val="es-MX"/>
        </w:rPr>
      </w:pPr>
      <w:r w:rsidRPr="00ED5C22">
        <w:rPr>
          <w:rStyle w:val="FootnoteReference"/>
          <w:lang w:val="es-MX"/>
        </w:rPr>
        <w:footnoteRef/>
      </w:r>
      <w:r w:rsidRPr="00ED5C22">
        <w:rPr>
          <w:lang w:val="es-MX"/>
        </w:rPr>
        <w:t xml:space="preserve"> </w:t>
      </w:r>
      <w:r w:rsidRPr="00ED5C22">
        <w:rPr>
          <w:rStyle w:val="FootnoteReference"/>
          <w:lang w:val="es-MX"/>
        </w:rPr>
        <w:t xml:space="preserve">México: Actos de hostigamiento, vigilancia y amenazas contra la Sra. Cristina </w:t>
      </w:r>
      <w:proofErr w:type="spellStart"/>
      <w:r w:rsidRPr="00ED5C22">
        <w:rPr>
          <w:rStyle w:val="FootnoteReference"/>
          <w:lang w:val="es-MX"/>
        </w:rPr>
        <w:t>Auerbach</w:t>
      </w:r>
      <w:proofErr w:type="spellEnd"/>
      <w:r w:rsidRPr="00ED5C22">
        <w:rPr>
          <w:rStyle w:val="FootnoteReference"/>
          <w:lang w:val="es-MX"/>
        </w:rPr>
        <w:t xml:space="preserve">, integrante de la Organización Familia de Pasta de Conchos, ONG ubicada en el Estado de Coahuila, FIDH, Abril 2013 </w:t>
      </w:r>
      <w:hyperlink r:id="rId4" w:history="1">
        <w:r w:rsidRPr="00ED5C22">
          <w:rPr>
            <w:rStyle w:val="Hyperlink"/>
            <w:vertAlign w:val="superscript"/>
            <w:lang w:val="es-MX"/>
          </w:rPr>
          <w:t>https://www.fidh.org/es/region/americas/mexico/Mexico-Actos-de-hostigamiento-vigilancia-y-amenazas-contra-la-Sra-Cristina-13144</w:t>
        </w:r>
      </w:hyperlink>
      <w:r w:rsidRPr="00ED5C22">
        <w:rPr>
          <w:lang w:val="es-MX"/>
        </w:rPr>
        <w:t xml:space="preserve"> </w:t>
      </w:r>
    </w:p>
  </w:footnote>
  <w:footnote w:id="11">
    <w:p w:rsidR="00AC3B54" w:rsidRPr="004D5470" w:rsidRDefault="00AC3B54" w:rsidP="009C58D5">
      <w:pPr>
        <w:pStyle w:val="FootnoteText"/>
        <w:jc w:val="both"/>
        <w:rPr>
          <w:rStyle w:val="FootnoteReference"/>
          <w:lang w:val="es-MX"/>
        </w:rPr>
      </w:pPr>
      <w:r w:rsidRPr="00ED5C22">
        <w:rPr>
          <w:rStyle w:val="FootnoteReference"/>
          <w:lang w:val="es-MX"/>
        </w:rPr>
        <w:footnoteRef/>
      </w:r>
      <w:r w:rsidRPr="00ED5C22">
        <w:rPr>
          <w:rStyle w:val="FootnoteReference"/>
          <w:lang w:val="es-MX"/>
        </w:rPr>
        <w:t xml:space="preserve"> PBI expresa profunda preocupación por la situación de seguridad de la defensora Cristina </w:t>
      </w:r>
      <w:proofErr w:type="spellStart"/>
      <w:r w:rsidRPr="00ED5C22">
        <w:rPr>
          <w:rStyle w:val="FootnoteReference"/>
          <w:lang w:val="es-MX"/>
        </w:rPr>
        <w:t>Auerbach</w:t>
      </w:r>
      <w:proofErr w:type="spellEnd"/>
      <w:r w:rsidRPr="00ED5C22">
        <w:rPr>
          <w:rStyle w:val="FootnoteReference"/>
          <w:lang w:val="es-MX"/>
        </w:rPr>
        <w:t xml:space="preserve"> de la Organización Familia Pasta de Conchos ante escalada de actos de intimidación y difamación, PBI, Marzo 2016, </w:t>
      </w:r>
      <w:r w:rsidRPr="00FD1F11">
        <w:rPr>
          <w:rStyle w:val="Hyperlink"/>
          <w:vertAlign w:val="superscript"/>
          <w:lang w:val="es-MX"/>
        </w:rPr>
        <w:t>https://goo.gl/Hp5pPW</w:t>
      </w:r>
    </w:p>
  </w:footnote>
  <w:footnote w:id="12">
    <w:p w:rsidR="00AC3B54" w:rsidRPr="00ED5C22" w:rsidRDefault="00AC3B54" w:rsidP="009C58D5">
      <w:pPr>
        <w:pStyle w:val="FootnoteText"/>
        <w:jc w:val="both"/>
        <w:rPr>
          <w:rStyle w:val="FootnoteReference"/>
          <w:lang w:val="es-MX"/>
        </w:rPr>
      </w:pPr>
      <w:r w:rsidRPr="00ED5C22">
        <w:rPr>
          <w:rStyle w:val="FootnoteReference"/>
          <w:lang w:val="es-MX"/>
        </w:rPr>
        <w:footnoteRef/>
      </w:r>
      <w:r w:rsidRPr="00ED5C22">
        <w:rPr>
          <w:lang w:val="es-MX"/>
        </w:rPr>
        <w:t xml:space="preserve"> </w:t>
      </w:r>
      <w:r w:rsidRPr="00ED5C22">
        <w:rPr>
          <w:rStyle w:val="FootnoteReference"/>
          <w:lang w:val="es-MX"/>
        </w:rPr>
        <w:t xml:space="preserve">Le cancelan tajo a ex alcalde de la región carbonífera por violación a impacto ambiental, Vanguardia, Mayo 2016,  </w:t>
      </w:r>
      <w:hyperlink r:id="rId5" w:history="1">
        <w:r w:rsidRPr="00ED5C22">
          <w:rPr>
            <w:rStyle w:val="Hyperlink"/>
            <w:vertAlign w:val="superscript"/>
            <w:lang w:val="es-MX"/>
          </w:rPr>
          <w:t>http://www.vanguardia.com.mx/articulo/le-cancelan-tajo-a-ex-alcalde-de-la-region-carbonifera-por-violacion-a-impacto-ambiental</w:t>
        </w:r>
      </w:hyperlink>
      <w:r w:rsidRPr="00ED5C22">
        <w:rPr>
          <w:lang w:val="es-MX"/>
        </w:rPr>
        <w:t xml:space="preserve"> </w:t>
      </w:r>
    </w:p>
  </w:footnote>
  <w:footnote w:id="13">
    <w:p w:rsidR="00AC3B54" w:rsidRPr="00ED5C22" w:rsidRDefault="00AC3B54" w:rsidP="00A66819">
      <w:pPr>
        <w:pStyle w:val="FootnoteText"/>
        <w:jc w:val="both"/>
        <w:rPr>
          <w:rStyle w:val="FootnoteReference"/>
          <w:lang w:val="es-MX"/>
        </w:rPr>
      </w:pPr>
      <w:r w:rsidRPr="00ED5C22">
        <w:rPr>
          <w:rStyle w:val="FootnoteReference"/>
          <w:lang w:val="es-MX"/>
        </w:rPr>
        <w:footnoteRef/>
      </w:r>
      <w:r>
        <w:rPr>
          <w:rStyle w:val="FootnoteReference"/>
          <w:lang w:val="es-MX"/>
        </w:rPr>
        <w:t xml:space="preserve"> </w:t>
      </w:r>
      <w:r w:rsidRPr="00ED5C22">
        <w:rPr>
          <w:rStyle w:val="FootnoteReference"/>
          <w:lang w:val="es-MX"/>
        </w:rPr>
        <w:t>Recomendación General No. 25 Sobre Agravios A Personas Defensoras De Derechos, CNDH, Febrero 2016 Humanos.http://www.cndh.org.mx/sites/all/doc/Recomendaciones/generales/RecGral_025.pdf</w:t>
      </w:r>
    </w:p>
  </w:footnote>
  <w:footnote w:id="14">
    <w:p w:rsidR="00AC3B54" w:rsidRPr="00ED5C22" w:rsidRDefault="00AC3B54" w:rsidP="00A66819">
      <w:pPr>
        <w:pStyle w:val="FootnoteText"/>
        <w:jc w:val="both"/>
        <w:rPr>
          <w:rStyle w:val="FootnoteReference"/>
          <w:lang w:val="es-MX"/>
        </w:rPr>
      </w:pPr>
      <w:r w:rsidRPr="00ED5C22">
        <w:rPr>
          <w:rStyle w:val="FootnoteReference"/>
          <w:lang w:val="es-MX"/>
        </w:rPr>
        <w:footnoteRef/>
      </w:r>
      <w:r>
        <w:rPr>
          <w:lang w:val="es-MX"/>
        </w:rPr>
        <w:t xml:space="preserve"> </w:t>
      </w:r>
      <w:r w:rsidRPr="00ED5C22">
        <w:rPr>
          <w:rStyle w:val="FootnoteReference"/>
          <w:lang w:val="es-MX"/>
        </w:rPr>
        <w:t xml:space="preserve">Solicitud de alerta preventiva para personas defensoras de derechos humanos en Chihuahua, Marzo 2016,  </w:t>
      </w:r>
      <w:hyperlink r:id="rId6" w:history="1">
        <w:r w:rsidRPr="00ED5C22">
          <w:rPr>
            <w:rStyle w:val="Hyperlink"/>
            <w:vertAlign w:val="superscript"/>
            <w:lang w:val="es-MX"/>
          </w:rPr>
          <w:t>https://cedehm.blogspot.mx/2016/03/solicitud-de-alerta-preventiva-para.html</w:t>
        </w:r>
      </w:hyperlink>
      <w:r w:rsidRPr="00ED5C22">
        <w:rPr>
          <w:lang w:val="es-MX"/>
        </w:rPr>
        <w:t xml:space="preserve"> </w:t>
      </w:r>
    </w:p>
  </w:footnote>
  <w:footnote w:id="15">
    <w:p w:rsidR="00AC3B54" w:rsidRPr="00ED5C22" w:rsidRDefault="00AC3B54" w:rsidP="00A66819">
      <w:pPr>
        <w:pStyle w:val="FootnoteText"/>
        <w:jc w:val="both"/>
        <w:rPr>
          <w:rStyle w:val="FootnoteReference"/>
          <w:lang w:val="es-MX"/>
        </w:rPr>
      </w:pPr>
      <w:r w:rsidRPr="00ED5C22">
        <w:rPr>
          <w:rStyle w:val="FootnoteReference"/>
          <w:lang w:val="es-MX"/>
        </w:rPr>
        <w:footnoteRef/>
      </w:r>
      <w:r>
        <w:rPr>
          <w:lang w:val="es-MX"/>
        </w:rPr>
        <w:t xml:space="preserve"> </w:t>
      </w:r>
      <w:proofErr w:type="spellStart"/>
      <w:r w:rsidRPr="00ED5C22">
        <w:rPr>
          <w:rStyle w:val="FootnoteReference"/>
          <w:lang w:val="es-MX"/>
        </w:rPr>
        <w:t>idem</w:t>
      </w:r>
      <w:proofErr w:type="spellEnd"/>
    </w:p>
  </w:footnote>
  <w:footnote w:id="16">
    <w:p w:rsidR="00AC3B54" w:rsidRPr="00ED5C22" w:rsidRDefault="00AC3B54" w:rsidP="00A66819">
      <w:pPr>
        <w:pStyle w:val="FootnoteText"/>
        <w:jc w:val="both"/>
        <w:rPr>
          <w:rStyle w:val="FootnoteReference"/>
          <w:lang w:val="es-MX"/>
        </w:rPr>
      </w:pPr>
      <w:r w:rsidRPr="00ED5C22">
        <w:rPr>
          <w:rStyle w:val="FootnoteReference"/>
          <w:lang w:val="es-MX"/>
        </w:rPr>
        <w:footnoteRef/>
      </w:r>
      <w:r>
        <w:rPr>
          <w:lang w:val="es-MX"/>
        </w:rPr>
        <w:t xml:space="preserve"> </w:t>
      </w:r>
      <w:r w:rsidRPr="00ED5C22">
        <w:rPr>
          <w:rStyle w:val="FootnoteReference"/>
          <w:lang w:val="es-MX"/>
        </w:rPr>
        <w:t xml:space="preserve">Diagnóstico Sobre La Situación De Las Personas Defensoras De Derechos Humanos Y Periodistas En El Estado De Chihuahua, Secretaría de Gobernación, Julio 2016, </w:t>
      </w:r>
      <w:hyperlink r:id="rId7" w:history="1">
        <w:r w:rsidRPr="00562107">
          <w:rPr>
            <w:rStyle w:val="Hyperlink"/>
            <w:vertAlign w:val="superscript"/>
            <w:lang w:val="es-MX"/>
          </w:rPr>
          <w:t>http://imdhd.org/doctos/17247b7d6c6599d2b95f42b0c6102ff6cbd87889000d831d03c7a2144b0445be.pdf</w:t>
        </w:r>
      </w:hyperlink>
      <w:r>
        <w:rPr>
          <w:rStyle w:val="FootnoteReference"/>
          <w:lang w:val="es-MX"/>
        </w:rPr>
        <w:t xml:space="preserve"> </w:t>
      </w:r>
    </w:p>
  </w:footnote>
  <w:footnote w:id="17">
    <w:p w:rsidR="00AC3B54" w:rsidRPr="00ED5C22" w:rsidRDefault="00AC3B54" w:rsidP="00A66819">
      <w:pPr>
        <w:pStyle w:val="FootnoteText"/>
        <w:jc w:val="both"/>
        <w:rPr>
          <w:rStyle w:val="FootnoteReference"/>
          <w:lang w:val="es-MX"/>
        </w:rPr>
      </w:pPr>
      <w:r w:rsidRPr="00ED5C22">
        <w:rPr>
          <w:rStyle w:val="FootnoteReference"/>
          <w:lang w:val="es-MX"/>
        </w:rPr>
        <w:footnoteRef/>
      </w:r>
      <w:r>
        <w:rPr>
          <w:lang w:val="es-MX"/>
        </w:rPr>
        <w:t xml:space="preserve"> </w:t>
      </w:r>
      <w:r w:rsidRPr="00ED5C22">
        <w:rPr>
          <w:rStyle w:val="FootnoteReference"/>
          <w:lang w:val="es-MX"/>
        </w:rPr>
        <w:t xml:space="preserve">Medida Cautelar No. 60-141, Ampliación de beneficiarios a favor de integrantes de la Comunidad Indígena de </w:t>
      </w:r>
      <w:proofErr w:type="spellStart"/>
      <w:r w:rsidRPr="00ED5C22">
        <w:rPr>
          <w:rStyle w:val="FootnoteReference"/>
          <w:lang w:val="es-MX"/>
        </w:rPr>
        <w:t>Choréachi</w:t>
      </w:r>
      <w:proofErr w:type="spellEnd"/>
      <w:r w:rsidRPr="00ED5C22">
        <w:rPr>
          <w:rStyle w:val="FootnoteReference"/>
          <w:lang w:val="es-MX"/>
        </w:rPr>
        <w:t xml:space="preserve"> respecto de México, 28 de octubre de 2016 </w:t>
      </w:r>
      <w:r w:rsidR="00C956B7">
        <w:fldChar w:fldCharType="begin"/>
      </w:r>
      <w:r w:rsidR="00C956B7" w:rsidRPr="00E17E98">
        <w:rPr>
          <w:lang w:val="es-MX"/>
        </w:rPr>
        <w:instrText xml:space="preserve"> HYPERLINK "https</w:instrText>
      </w:r>
      <w:r w:rsidR="00C956B7" w:rsidRPr="00E17E98">
        <w:rPr>
          <w:lang w:val="es-MX"/>
        </w:rPr>
        <w:instrText xml:space="preserve">://www.oas.org/es/cidh/decisiones/pdf/2016/mc60-14-es-ampliacion.pdf" \h </w:instrText>
      </w:r>
      <w:r w:rsidR="00C956B7">
        <w:fldChar w:fldCharType="separate"/>
      </w:r>
      <w:r w:rsidRPr="00ED5C22">
        <w:rPr>
          <w:rStyle w:val="FootnoteReference"/>
          <w:lang w:val="es-MX"/>
        </w:rPr>
        <w:t>https://www.oas.org/es/cidh/decisiones/pdf/2016/mc60-14-es-ampliacion.pdf</w:t>
      </w:r>
      <w:r w:rsidR="00C956B7">
        <w:rPr>
          <w:rStyle w:val="FootnoteReference"/>
          <w:lang w:val="es-MX"/>
        </w:rPr>
        <w:fldChar w:fldCharType="end"/>
      </w:r>
      <w:r w:rsidRPr="00ED5C22">
        <w:rPr>
          <w:rStyle w:val="FootnoteReference"/>
          <w:lang w:val="es-MX"/>
        </w:rPr>
        <w:t xml:space="preserve"> </w:t>
      </w:r>
    </w:p>
  </w:footnote>
  <w:footnote w:id="18">
    <w:p w:rsidR="00AC3B54" w:rsidRPr="00ED5C22" w:rsidRDefault="00AC3B54" w:rsidP="00A66819">
      <w:pPr>
        <w:pStyle w:val="FootnoteText"/>
        <w:jc w:val="both"/>
        <w:rPr>
          <w:rStyle w:val="FootnoteReference"/>
          <w:lang w:val="es-MX"/>
        </w:rPr>
      </w:pPr>
      <w:r w:rsidRPr="00ED5C22">
        <w:rPr>
          <w:rStyle w:val="FootnoteReference"/>
          <w:lang w:val="es-MX"/>
        </w:rPr>
        <w:footnoteRef/>
      </w:r>
      <w:r>
        <w:rPr>
          <w:lang w:val="es-MX"/>
        </w:rPr>
        <w:t xml:space="preserve"> </w:t>
      </w:r>
      <w:r w:rsidRPr="00ED5C22">
        <w:rPr>
          <w:rStyle w:val="FootnoteReference"/>
          <w:lang w:val="es-MX"/>
        </w:rPr>
        <w:t xml:space="preserve">El narco mata a dos líderes tarahumaras, </w:t>
      </w:r>
      <w:proofErr w:type="spellStart"/>
      <w:r w:rsidRPr="00ED5C22">
        <w:rPr>
          <w:rStyle w:val="FootnoteReference"/>
          <w:lang w:val="es-MX"/>
        </w:rPr>
        <w:t>Excelsior</w:t>
      </w:r>
      <w:proofErr w:type="spellEnd"/>
      <w:r w:rsidRPr="00ED5C22">
        <w:rPr>
          <w:rStyle w:val="FootnoteReference"/>
          <w:lang w:val="es-MX"/>
        </w:rPr>
        <w:t xml:space="preserve">, Noviembre 2013 </w:t>
      </w:r>
      <w:r w:rsidR="00C956B7">
        <w:fldChar w:fldCharType="begin"/>
      </w:r>
      <w:r w:rsidR="00C956B7" w:rsidRPr="00E17E98">
        <w:rPr>
          <w:lang w:val="es-MX"/>
        </w:rPr>
        <w:instrText xml:space="preserve"> HYPERLINK "http://www.excelsior.com</w:instrText>
      </w:r>
      <w:r w:rsidR="00C956B7" w:rsidRPr="00E17E98">
        <w:rPr>
          <w:lang w:val="es-MX"/>
        </w:rPr>
        <w:instrText xml:space="preserve">.mx/nacional/2013/11/18/929237" \h </w:instrText>
      </w:r>
      <w:r w:rsidR="00C956B7">
        <w:fldChar w:fldCharType="separate"/>
      </w:r>
      <w:r w:rsidRPr="00ED5C22">
        <w:rPr>
          <w:rStyle w:val="FootnoteReference"/>
          <w:lang w:val="es-MX"/>
        </w:rPr>
        <w:t>http://www.excelsior.com.mx/nacional/2013/11/18/929237</w:t>
      </w:r>
      <w:r w:rsidR="00C956B7">
        <w:rPr>
          <w:rStyle w:val="FootnoteReference"/>
          <w:lang w:val="es-MX"/>
        </w:rPr>
        <w:fldChar w:fldCharType="end"/>
      </w:r>
      <w:r w:rsidRPr="00ED5C22">
        <w:rPr>
          <w:rStyle w:val="FootnoteReference"/>
          <w:lang w:val="es-MX"/>
        </w:rPr>
        <w:t xml:space="preserve"> </w:t>
      </w:r>
    </w:p>
  </w:footnote>
  <w:footnote w:id="19">
    <w:p w:rsidR="00AC3B54" w:rsidRPr="00ED5C22" w:rsidRDefault="00C956B7" w:rsidP="008727FB">
      <w:pPr>
        <w:pStyle w:val="FootnoteText"/>
        <w:rPr>
          <w:rStyle w:val="FootnoteReference"/>
          <w:lang w:val="es-MX"/>
        </w:rPr>
      </w:pPr>
      <w:hyperlink w:anchor=" http://www.animalpolitico.com/2017/02/asesinato-juan-ontiveiros-raramuri/" w:history="1">
        <w:r w:rsidR="00AC3B54" w:rsidRPr="00562107">
          <w:rPr>
            <w:rStyle w:val="Hyperlink"/>
            <w:vertAlign w:val="superscript"/>
            <w:lang w:val="es-MX"/>
          </w:rPr>
          <w:footnoteRef/>
        </w:r>
        <w:r w:rsidR="00AC3B54" w:rsidRPr="00562107">
          <w:rPr>
            <w:rStyle w:val="Hyperlink"/>
            <w:lang w:val="es-MX"/>
          </w:rPr>
          <w:t xml:space="preserve"> </w:t>
        </w:r>
        <w:r w:rsidR="00AC3B54" w:rsidRPr="00562107">
          <w:rPr>
            <w:rStyle w:val="Hyperlink"/>
            <w:vertAlign w:val="superscript"/>
            <w:lang w:val="es-MX"/>
          </w:rPr>
          <w:t>http://www.animalpolitico.com/2017/02/asesinato-juan-ontiveiros-raramuri/</w:t>
        </w:r>
      </w:hyperlink>
      <w:r w:rsidR="00AC3B54" w:rsidRPr="00ED5C22">
        <w:rPr>
          <w:rStyle w:val="FootnoteReference"/>
          <w:lang w:val="es-MX"/>
        </w:rPr>
        <w:t xml:space="preserve"> </w:t>
      </w:r>
    </w:p>
  </w:footnote>
  <w:footnote w:id="20">
    <w:p w:rsidR="00AC3B54" w:rsidRPr="00ED5C22" w:rsidRDefault="00AC3B54" w:rsidP="008727FB">
      <w:pPr>
        <w:pStyle w:val="FootnoteText"/>
        <w:rPr>
          <w:rStyle w:val="FootnoteReference"/>
          <w:lang w:val="es-MX"/>
        </w:rPr>
      </w:pPr>
      <w:r w:rsidRPr="00ED5C22">
        <w:rPr>
          <w:rStyle w:val="FootnoteReference"/>
          <w:lang w:val="es-MX"/>
        </w:rPr>
        <w:footnoteRef/>
      </w:r>
      <w:r>
        <w:rPr>
          <w:lang w:val="es-MX"/>
        </w:rPr>
        <w:t xml:space="preserve"> </w:t>
      </w:r>
      <w:r w:rsidRPr="00ED5C22">
        <w:rPr>
          <w:rStyle w:val="FootnoteReference"/>
          <w:lang w:val="es-MX"/>
        </w:rPr>
        <w:t xml:space="preserve">Resolución de la corte interamericana de derechos humanos, de 25 de marzo de 2017. Solicitud de medidas provisionales respecto de México, Asunto Integrantes de la Comunidad Indígena de </w:t>
      </w:r>
      <w:proofErr w:type="spellStart"/>
      <w:r w:rsidRPr="00ED5C22">
        <w:rPr>
          <w:rStyle w:val="FootnoteReference"/>
          <w:lang w:val="es-MX"/>
        </w:rPr>
        <w:t>Choréachi</w:t>
      </w:r>
      <w:proofErr w:type="spellEnd"/>
      <w:r w:rsidRPr="00ED5C22">
        <w:rPr>
          <w:rStyle w:val="FootnoteReference"/>
          <w:lang w:val="es-MX"/>
        </w:rPr>
        <w:t xml:space="preserve"> </w:t>
      </w:r>
      <w:r w:rsidR="00C956B7">
        <w:fldChar w:fldCharType="begin"/>
      </w:r>
      <w:r w:rsidR="00C956B7" w:rsidRPr="00E17E98">
        <w:rPr>
          <w:lang w:val="es-MX"/>
        </w:rPr>
        <w:instrText xml:space="preserve"> HYPERLINK "http://www.corteidh.or.cr/docs/medidas/choreach</w:instrText>
      </w:r>
      <w:r w:rsidR="00C956B7" w:rsidRPr="00E17E98">
        <w:rPr>
          <w:lang w:val="es-MX"/>
        </w:rPr>
        <w:instrText xml:space="preserve">i_se_01.pdf" \h </w:instrText>
      </w:r>
      <w:r w:rsidR="00C956B7">
        <w:fldChar w:fldCharType="separate"/>
      </w:r>
      <w:r w:rsidRPr="00ED5C22">
        <w:rPr>
          <w:rStyle w:val="FootnoteReference"/>
          <w:lang w:val="es-MX"/>
        </w:rPr>
        <w:t>http://www.corteidh.or.cr/docs/medidas/choreachi_se_01.pdf</w:t>
      </w:r>
      <w:r w:rsidR="00C956B7">
        <w:rPr>
          <w:rStyle w:val="FootnoteReference"/>
          <w:lang w:val="es-MX"/>
        </w:rPr>
        <w:fldChar w:fldCharType="end"/>
      </w:r>
      <w:r w:rsidRPr="00ED5C22">
        <w:rPr>
          <w:rStyle w:val="FootnoteReference"/>
          <w:lang w:val="es-MX"/>
        </w:rPr>
        <w:t xml:space="preserve"> </w:t>
      </w:r>
    </w:p>
  </w:footnote>
  <w:footnote w:id="21">
    <w:p w:rsidR="00AC3B54" w:rsidRPr="00ED5C22" w:rsidRDefault="00AC3B54" w:rsidP="008727FB">
      <w:pPr>
        <w:pStyle w:val="FootnoteText"/>
        <w:rPr>
          <w:rStyle w:val="FootnoteReference"/>
          <w:lang w:val="es-MX"/>
        </w:rPr>
      </w:pPr>
      <w:r w:rsidRPr="009F54A7">
        <w:rPr>
          <w:rStyle w:val="FootnoteReference"/>
          <w:lang w:val="es-MX"/>
        </w:rPr>
        <w:footnoteRef/>
      </w:r>
      <w:r>
        <w:rPr>
          <w:lang w:val="es-MX"/>
        </w:rPr>
        <w:t xml:space="preserve"> </w:t>
      </w:r>
      <w:r w:rsidRPr="00ED5C22">
        <w:rPr>
          <w:rStyle w:val="FootnoteReference"/>
          <w:lang w:val="es-MX"/>
        </w:rPr>
        <w:t xml:space="preserve">Revisan acuerdos de Plan de Contingencia para Personas Defensoras de Derechos Humanos y Periodistas, Julio 2014, </w:t>
      </w:r>
      <w:hyperlink r:id="rId8" w:history="1">
        <w:r w:rsidRPr="00562107">
          <w:rPr>
            <w:rStyle w:val="Hyperlink"/>
            <w:vertAlign w:val="superscript"/>
            <w:lang w:val="es-MX"/>
          </w:rPr>
          <w:t>https://cedehm.blogspot.mx/2017/07/revisan-acuerdos-de-plan-de.html</w:t>
        </w:r>
      </w:hyperlink>
      <w:r>
        <w:rPr>
          <w:rStyle w:val="FootnoteReference"/>
          <w:lang w:val="es-MX"/>
        </w:rPr>
        <w:t xml:space="preserve"> </w:t>
      </w:r>
    </w:p>
  </w:footnote>
  <w:footnote w:id="22">
    <w:p w:rsidR="00AC3B54" w:rsidRPr="00ED5C22" w:rsidRDefault="00AC3B54" w:rsidP="008727FB">
      <w:pPr>
        <w:pStyle w:val="FootnoteText"/>
        <w:rPr>
          <w:rStyle w:val="FootnoteReference"/>
          <w:lang w:val="es-MX"/>
        </w:rPr>
      </w:pPr>
      <w:r w:rsidRPr="00ED5C22">
        <w:rPr>
          <w:rStyle w:val="FootnoteReference"/>
          <w:lang w:val="es-MX"/>
        </w:rPr>
        <w:footnoteRef/>
      </w:r>
      <w:r>
        <w:rPr>
          <w:lang w:val="es-MX"/>
        </w:rPr>
        <w:t xml:space="preserve"> </w:t>
      </w:r>
      <w:hyperlink r:id="rId9" w:history="1">
        <w:r w:rsidRPr="00562107">
          <w:rPr>
            <w:rStyle w:val="Hyperlink"/>
            <w:vertAlign w:val="superscript"/>
            <w:lang w:val="es-MX"/>
          </w:rPr>
          <w:t>http://www.derechoshumanosoaxaca.org/noticia.php?idnoticia=665</w:t>
        </w:r>
      </w:hyperlink>
      <w:r>
        <w:rPr>
          <w:rStyle w:val="FootnoteReference"/>
          <w:lang w:val="es-MX"/>
        </w:rPr>
        <w:t xml:space="preserve"> </w:t>
      </w:r>
    </w:p>
  </w:footnote>
  <w:footnote w:id="23">
    <w:p w:rsidR="00AC3B54" w:rsidRPr="00B67806" w:rsidRDefault="00AC3B54" w:rsidP="002F2096">
      <w:pPr>
        <w:pStyle w:val="FootnoteText"/>
        <w:jc w:val="both"/>
        <w:rPr>
          <w:rStyle w:val="FootnoteReference"/>
          <w:lang w:val="es-MX"/>
        </w:rPr>
      </w:pPr>
      <w:r w:rsidRPr="00B67806">
        <w:rPr>
          <w:rStyle w:val="FootnoteReference"/>
          <w:lang w:val="es-MX"/>
        </w:rPr>
        <w:footnoteRef/>
      </w:r>
      <w:r w:rsidRPr="00B67806">
        <w:rPr>
          <w:rStyle w:val="FootnoteReference"/>
          <w:lang w:val="es-MX"/>
        </w:rPr>
        <w:t xml:space="preserve"> Comunicado publicado el 12.05.2017 en </w:t>
      </w:r>
    </w:p>
    <w:p w:rsidR="00AC3B54" w:rsidRPr="00B67806" w:rsidRDefault="00C956B7" w:rsidP="002F2096">
      <w:pPr>
        <w:pStyle w:val="FootnoteText"/>
        <w:jc w:val="both"/>
        <w:rPr>
          <w:rStyle w:val="FootnoteReference"/>
          <w:lang w:val="es-MX"/>
        </w:rPr>
      </w:pPr>
      <w:r>
        <w:fldChar w:fldCharType="begin"/>
      </w:r>
      <w:r w:rsidRPr="00E17E98">
        <w:rPr>
          <w:lang w:val="es-MX"/>
        </w:rPr>
        <w:instrText xml:space="preserve"> HYPERLINK "http://educaoaxaca.org/2266-%E2%80%9Cnos-preocupa-aumento-de-agresiones-hac%C3%ADa-nuestro-trabajo%E2%80%9D-educa.html" </w:instrText>
      </w:r>
      <w:r>
        <w:fldChar w:fldCharType="separate"/>
      </w:r>
      <w:r w:rsidR="00AC3B54" w:rsidRPr="00B67806">
        <w:rPr>
          <w:rStyle w:val="FootnoteReference"/>
          <w:lang w:val="es-MX"/>
        </w:rPr>
        <w:t>http://educaoaxaca.org/2266-%E2%80%9Cnos-preocupa-aumento-de-agresiones-hac%C3%ADa-nuestro-trabajo%E2%80%9D-educa.html</w:t>
      </w:r>
      <w:r>
        <w:rPr>
          <w:rStyle w:val="FootnoteReference"/>
          <w:lang w:val="es-MX"/>
        </w:rPr>
        <w:fldChar w:fldCharType="end"/>
      </w:r>
      <w:r w:rsidR="00AC3B54" w:rsidRPr="00B67806">
        <w:rPr>
          <w:lang w:val="es-MX"/>
        </w:rPr>
        <w:t xml:space="preserve">  </w:t>
      </w:r>
    </w:p>
  </w:footnote>
  <w:footnote w:id="24">
    <w:p w:rsidR="00AC3B54" w:rsidRPr="00B67806" w:rsidRDefault="00AC3B54" w:rsidP="008727FB">
      <w:pPr>
        <w:pStyle w:val="FootnoteText"/>
        <w:rPr>
          <w:rStyle w:val="FootnoteReference"/>
          <w:lang w:val="es-MX"/>
        </w:rPr>
      </w:pPr>
      <w:r w:rsidRPr="00B67806">
        <w:rPr>
          <w:rStyle w:val="FootnoteReference"/>
          <w:lang w:val="es-MX"/>
        </w:rPr>
        <w:footnoteRef/>
      </w:r>
      <w:r w:rsidRPr="00B67806">
        <w:rPr>
          <w:lang w:val="es-MX"/>
        </w:rPr>
        <w:t xml:space="preserve"> </w:t>
      </w:r>
      <w:r w:rsidRPr="00B67806">
        <w:rPr>
          <w:rStyle w:val="FootnoteReference"/>
          <w:lang w:val="es-MX"/>
        </w:rPr>
        <w:t xml:space="preserve">Comunicado publicado el 10.05.2017 en </w:t>
      </w:r>
      <w:r w:rsidR="00C956B7">
        <w:fldChar w:fldCharType="begin"/>
      </w:r>
      <w:r w:rsidR="00C956B7" w:rsidRPr="00E17E98">
        <w:rPr>
          <w:lang w:val="es-MX"/>
        </w:rPr>
        <w:instrText xml:space="preserve"> HYPERLINK "http://educaoaxaca.org/2262-redecom-exige-respeto-a-los-derechos-de-personas-defensoras-de-la-copuvo.html" \h </w:instrText>
      </w:r>
      <w:r w:rsidR="00C956B7">
        <w:fldChar w:fldCharType="separate"/>
      </w:r>
      <w:r w:rsidRPr="00B67806">
        <w:rPr>
          <w:rStyle w:val="FootnoteReference"/>
          <w:lang w:val="es-MX"/>
        </w:rPr>
        <w:t>http://educaoaxaca.org/2262-redecom-exige-respeto-a-los-derechos-de-personas-defensoras-de-la-copuvo.html</w:t>
      </w:r>
      <w:r w:rsidR="00C956B7">
        <w:rPr>
          <w:rStyle w:val="FootnoteReference"/>
          <w:lang w:val="es-MX"/>
        </w:rPr>
        <w:fldChar w:fldCharType="end"/>
      </w:r>
      <w:r w:rsidRPr="00B67806">
        <w:rPr>
          <w:rStyle w:val="FootnoteReference"/>
          <w:lang w:val="es-MX"/>
        </w:rPr>
        <w:t xml:space="preserve">  </w:t>
      </w:r>
    </w:p>
  </w:footnote>
  <w:footnote w:id="25">
    <w:p w:rsidR="00AC3B54" w:rsidRPr="00B67806" w:rsidRDefault="00AC3B54" w:rsidP="008727FB">
      <w:pPr>
        <w:pStyle w:val="FootnoteText"/>
        <w:rPr>
          <w:rStyle w:val="FootnoteReference"/>
          <w:lang w:val="es-MX"/>
        </w:rPr>
      </w:pPr>
      <w:r w:rsidRPr="00B67806">
        <w:rPr>
          <w:rStyle w:val="FootnoteReference"/>
          <w:lang w:val="es-MX"/>
        </w:rPr>
        <w:footnoteRef/>
      </w:r>
      <w:r w:rsidRPr="00B67806">
        <w:rPr>
          <w:lang w:val="es-MX"/>
        </w:rPr>
        <w:t xml:space="preserve"> </w:t>
      </w:r>
      <w:r w:rsidRPr="00B67806">
        <w:rPr>
          <w:rStyle w:val="FootnoteReference"/>
          <w:lang w:val="es-MX"/>
        </w:rPr>
        <w:t>http://www.derechoshumanosoaxaca.org/alertas/2016/ALERTA-TEMPRANA-01-San-jose-del-progreso.pdf</w:t>
      </w:r>
    </w:p>
  </w:footnote>
  <w:footnote w:id="26">
    <w:p w:rsidR="00AC3B54" w:rsidRPr="00B67806" w:rsidRDefault="00AC3B54" w:rsidP="008727FB">
      <w:pPr>
        <w:pStyle w:val="FootnoteText"/>
        <w:rPr>
          <w:rStyle w:val="FootnoteReference"/>
          <w:lang w:val="es-MX"/>
        </w:rPr>
      </w:pPr>
      <w:r w:rsidRPr="00B67806">
        <w:rPr>
          <w:rStyle w:val="FootnoteReference"/>
          <w:lang w:val="es-MX"/>
        </w:rPr>
        <w:footnoteRef/>
      </w:r>
      <w:r w:rsidRPr="00B67806">
        <w:rPr>
          <w:lang w:val="es-MX"/>
        </w:rPr>
        <w:t xml:space="preserve"> </w:t>
      </w:r>
      <w:r w:rsidRPr="00B67806">
        <w:rPr>
          <w:rStyle w:val="FootnoteReference"/>
          <w:lang w:val="es-MX"/>
        </w:rPr>
        <w:t>Bernardo Méndez Vásquez el 18 de enero 2012 en San José del Progreso y Bernardo Vásquez Sánchez el 15 de marzo 2012 en Santa Luca Ocotlán.</w:t>
      </w:r>
    </w:p>
  </w:footnote>
  <w:footnote w:id="27">
    <w:p w:rsidR="00AC3B54" w:rsidRPr="00B67806" w:rsidRDefault="00AC3B54" w:rsidP="008727FB">
      <w:pPr>
        <w:pStyle w:val="FootnoteText"/>
        <w:rPr>
          <w:rStyle w:val="FootnoteReference"/>
          <w:lang w:val="es-MX"/>
        </w:rPr>
      </w:pPr>
      <w:r w:rsidRPr="00B67806">
        <w:rPr>
          <w:rStyle w:val="FootnoteReference"/>
          <w:lang w:val="es-MX"/>
        </w:rPr>
        <w:footnoteRef/>
      </w:r>
      <w:r w:rsidRPr="00B67806">
        <w:rPr>
          <w:lang w:val="es-MX"/>
        </w:rPr>
        <w:t xml:space="preserve"> </w:t>
      </w:r>
      <w:r w:rsidRPr="00B67806">
        <w:rPr>
          <w:rStyle w:val="FootnoteReference"/>
          <w:lang w:val="es-MX"/>
        </w:rPr>
        <w:t xml:space="preserve">P. ej. en mayo 2016 la DDHPO emitió una Alerta Temprana por la seguridad de personas defensoras de derechos humanos en San José del Progreso. Otras acciones de la DDHPO son listados en el informe de la misión civil de observación del año 2013: ‘Justicia para San José del Progreso’ y la cronología del conflicto en las paginas 65-67, </w:t>
      </w:r>
      <w:r w:rsidR="00C956B7">
        <w:fldChar w:fldCharType="begin"/>
      </w:r>
      <w:r w:rsidR="00C956B7" w:rsidRPr="00E17E98">
        <w:rPr>
          <w:lang w:val="es-MX"/>
        </w:rPr>
        <w:instrText xml:space="preserve"> HYPERLINK "http://www.ohchr.org/Documents/Issues/FAssociation/NaturalResource/Civilian_Observation_S.pdf" \h </w:instrText>
      </w:r>
      <w:r w:rsidR="00C956B7">
        <w:fldChar w:fldCharType="separate"/>
      </w:r>
      <w:r w:rsidRPr="00B67806">
        <w:rPr>
          <w:rStyle w:val="FootnoteReference"/>
          <w:lang w:val="es-MX"/>
        </w:rPr>
        <w:t>http://www.ohchr.org/Documents/Issues/FAssociation/NaturalResource/Civilian_Observation_S.pdf</w:t>
      </w:r>
      <w:r w:rsidR="00C956B7">
        <w:rPr>
          <w:rStyle w:val="FootnoteReference"/>
          <w:lang w:val="es-MX"/>
        </w:rPr>
        <w:fldChar w:fldCharType="end"/>
      </w:r>
      <w:r w:rsidRPr="00B67806">
        <w:rPr>
          <w:rStyle w:val="FootnoteReference"/>
          <w:lang w:val="es-MX"/>
        </w:rPr>
        <w:t xml:space="preserve"> </w:t>
      </w:r>
    </w:p>
  </w:footnote>
  <w:footnote w:id="28">
    <w:p w:rsidR="00AC3B54" w:rsidRPr="00BC4210" w:rsidRDefault="00AC3B54" w:rsidP="008727FB">
      <w:pPr>
        <w:pStyle w:val="FootnoteText"/>
        <w:rPr>
          <w:rStyle w:val="FootnoteReference"/>
          <w:lang w:val="es-MX"/>
        </w:rPr>
      </w:pPr>
      <w:r w:rsidRPr="00B67806">
        <w:rPr>
          <w:rStyle w:val="FootnoteReference"/>
          <w:lang w:val="es-MX"/>
        </w:rPr>
        <w:footnoteRef/>
      </w:r>
      <w:r w:rsidRPr="00B67806">
        <w:rPr>
          <w:lang w:val="es-MX"/>
        </w:rPr>
        <w:t xml:space="preserve"> </w:t>
      </w:r>
      <w:r w:rsidRPr="00B67806">
        <w:rPr>
          <w:rStyle w:val="FootnoteReference"/>
          <w:lang w:val="es-MX"/>
        </w:rPr>
        <w:t xml:space="preserve">Ver comunicado del 30.06.2017 en </w:t>
      </w:r>
      <w:r w:rsidR="00C956B7">
        <w:fldChar w:fldCharType="begin"/>
      </w:r>
      <w:r w:rsidR="00C956B7" w:rsidRPr="00E17E98">
        <w:rPr>
          <w:lang w:val="es-MX"/>
        </w:rPr>
        <w:instrText xml:space="preserve"> HYPERLINK "http://endefensadelosterritorios.org/2017/07/05/presa-jales-amenaza-grave-contaminacion-los-valles-centrales/" \h </w:instrText>
      </w:r>
      <w:r w:rsidR="00C956B7">
        <w:fldChar w:fldCharType="separate"/>
      </w:r>
      <w:r w:rsidRPr="00B67806">
        <w:rPr>
          <w:rStyle w:val="FootnoteReference"/>
          <w:lang w:val="es-MX"/>
        </w:rPr>
        <w:t>http://endefensadelosterritorios.org/2017/07/05/presa-jales-amenaza-grave-contaminacion-los-valles-centrales/</w:t>
      </w:r>
      <w:r w:rsidR="00C956B7">
        <w:rPr>
          <w:rStyle w:val="FootnoteReference"/>
          <w:lang w:val="es-MX"/>
        </w:rPr>
        <w:fldChar w:fldCharType="end"/>
      </w:r>
      <w:r w:rsidRPr="00BC4210">
        <w:rPr>
          <w:rStyle w:val="FootnoteReference"/>
          <w:lang w:val="es-MX"/>
        </w:rPr>
        <w:t xml:space="preserve"> </w:t>
      </w:r>
    </w:p>
  </w:footnote>
  <w:footnote w:id="29">
    <w:p w:rsidR="00AC3B54" w:rsidRPr="00B83EEA" w:rsidRDefault="00AC3B54" w:rsidP="000D608F">
      <w:pPr>
        <w:pStyle w:val="FootnoteText"/>
        <w:rPr>
          <w:rFonts w:ascii="Times New Roman" w:hAnsi="Times New Roman" w:cs="Times New Roman"/>
          <w:sz w:val="20"/>
          <w:szCs w:val="20"/>
          <w:lang w:val="es-MX"/>
        </w:rPr>
      </w:pPr>
      <w:r w:rsidRPr="00CE1CBD">
        <w:rPr>
          <w:rStyle w:val="FootnoteReference"/>
          <w:lang w:val="es-MX"/>
        </w:rPr>
        <w:footnoteRef/>
      </w:r>
      <w:r w:rsidRPr="00B83EEA">
        <w:rPr>
          <w:rFonts w:ascii="Times New Roman" w:hAnsi="Times New Roman" w:cs="Times New Roman"/>
          <w:sz w:val="20"/>
          <w:szCs w:val="20"/>
          <w:lang w:val="es-MX"/>
        </w:rPr>
        <w:t xml:space="preserve"> </w:t>
      </w:r>
      <w:r w:rsidRPr="00610F7B">
        <w:rPr>
          <w:rStyle w:val="FootnoteReference"/>
          <w:lang w:val="es-MX"/>
        </w:rPr>
        <w:t xml:space="preserve">Informe de cierre de misión - Relator Especial de las Naciones Unidas sobre la situación de los </w:t>
      </w:r>
      <w:r>
        <w:rPr>
          <w:rStyle w:val="FootnoteReference"/>
          <w:lang w:val="es-MX"/>
        </w:rPr>
        <w:t>personas defensoras</w:t>
      </w:r>
      <w:r>
        <w:rPr>
          <w:lang w:val="es-MX"/>
        </w:rPr>
        <w:t xml:space="preserve"> </w:t>
      </w:r>
      <w:r w:rsidRPr="00610F7B">
        <w:rPr>
          <w:rStyle w:val="FootnoteReference"/>
          <w:lang w:val="es-MX"/>
        </w:rPr>
        <w:t>de los derechos humanos, Michel Forst</w:t>
      </w:r>
      <w:r>
        <w:rPr>
          <w:lang w:val="es-MX"/>
        </w:rPr>
        <w:t xml:space="preserve"> </w:t>
      </w:r>
      <w:hyperlink r:id="rId10" w:history="1">
        <w:r w:rsidRPr="00610F7B">
          <w:rPr>
            <w:rStyle w:val="Hyperlink"/>
            <w:vertAlign w:val="superscript"/>
            <w:lang w:val="es-MX"/>
          </w:rPr>
          <w:t>http://www.hchr.org.mx/images/doc_pub/SRHRD-END-OF-MISSION-STATEMENT-FINAL_ESP.pdf</w:t>
        </w:r>
      </w:hyperlink>
      <w:r>
        <w:rPr>
          <w:lang w:val="es-MX"/>
        </w:rPr>
        <w:t xml:space="preserve"> </w:t>
      </w:r>
    </w:p>
  </w:footnote>
  <w:footnote w:id="30">
    <w:p w:rsidR="00AC3B54" w:rsidRPr="00FA40D4" w:rsidRDefault="00AC3B54">
      <w:pPr>
        <w:pStyle w:val="FootnoteText"/>
        <w:rPr>
          <w:lang w:val="es-ES"/>
        </w:rPr>
      </w:pPr>
      <w:r>
        <w:rPr>
          <w:rStyle w:val="FootnoteReference"/>
        </w:rPr>
        <w:footnoteRef/>
      </w:r>
      <w:r w:rsidRPr="00FA40D4">
        <w:rPr>
          <w:lang w:val="es-MX"/>
        </w:rPr>
        <w:t xml:space="preserve"> </w:t>
      </w:r>
      <w:proofErr w:type="spellStart"/>
      <w:r w:rsidRPr="00FA40D4">
        <w:rPr>
          <w:rStyle w:val="FootnoteReference"/>
          <w:lang w:val="es-MX"/>
        </w:rPr>
        <w:t>Mex</w:t>
      </w:r>
      <w:proofErr w:type="spellEnd"/>
      <w:r w:rsidRPr="00FA40D4">
        <w:rPr>
          <w:rStyle w:val="FootnoteReference"/>
          <w:lang w:val="es-MX"/>
        </w:rPr>
        <w:t xml:space="preserve"> 6/2016, </w:t>
      </w:r>
      <w:proofErr w:type="spellStart"/>
      <w:r w:rsidRPr="00FA40D4">
        <w:rPr>
          <w:rStyle w:val="FootnoteReference"/>
          <w:lang w:val="es-MX"/>
        </w:rPr>
        <w:t>Mex</w:t>
      </w:r>
      <w:proofErr w:type="spellEnd"/>
      <w:r w:rsidRPr="00FA40D4">
        <w:rPr>
          <w:rStyle w:val="FootnoteReference"/>
          <w:lang w:val="es-MX"/>
        </w:rPr>
        <w:t xml:space="preserve"> 13/2015, </w:t>
      </w:r>
      <w:proofErr w:type="spellStart"/>
      <w:r w:rsidRPr="00FA40D4">
        <w:rPr>
          <w:rStyle w:val="FootnoteReference"/>
          <w:lang w:val="es-MX"/>
        </w:rPr>
        <w:t>Mex</w:t>
      </w:r>
      <w:proofErr w:type="spellEnd"/>
      <w:r w:rsidRPr="00FA40D4">
        <w:rPr>
          <w:rStyle w:val="FootnoteReference"/>
          <w:lang w:val="es-MX"/>
        </w:rPr>
        <w:t xml:space="preserve"> 11/205, </w:t>
      </w:r>
      <w:proofErr w:type="spellStart"/>
      <w:r w:rsidRPr="00FA40D4">
        <w:rPr>
          <w:rStyle w:val="FootnoteReference"/>
          <w:lang w:val="es-MX"/>
        </w:rPr>
        <w:t>Mex</w:t>
      </w:r>
      <w:proofErr w:type="spellEnd"/>
      <w:r w:rsidRPr="00FA40D4">
        <w:rPr>
          <w:rStyle w:val="FootnoteReference"/>
          <w:lang w:val="es-MX"/>
        </w:rPr>
        <w:t xml:space="preserve"> 3/205 y </w:t>
      </w:r>
      <w:proofErr w:type="spellStart"/>
      <w:r w:rsidRPr="00FA40D4">
        <w:rPr>
          <w:rStyle w:val="FootnoteReference"/>
          <w:lang w:val="es-MX"/>
        </w:rPr>
        <w:t>Mex</w:t>
      </w:r>
      <w:proofErr w:type="spellEnd"/>
      <w:r w:rsidRPr="00FA40D4">
        <w:rPr>
          <w:rStyle w:val="FootnoteReference"/>
          <w:lang w:val="es-MX"/>
        </w:rPr>
        <w:t xml:space="preserve"> 10/2014.</w:t>
      </w:r>
      <w:r w:rsidRPr="0011103C">
        <w:rPr>
          <w:rFonts w:ascii="Times New Roman" w:hAnsi="Times New Roman" w:cs="Times New Roman"/>
          <w:sz w:val="20"/>
          <w:szCs w:val="20"/>
          <w:lang w:val="es-ES"/>
        </w:rPr>
        <w:t xml:space="preserve"> </w:t>
      </w:r>
    </w:p>
  </w:footnote>
  <w:footnote w:id="31">
    <w:p w:rsidR="00AC3B54" w:rsidRPr="00456C26" w:rsidRDefault="00AC3B54">
      <w:pPr>
        <w:pStyle w:val="FootnoteText"/>
        <w:rPr>
          <w:rStyle w:val="FootnoteReference"/>
          <w:lang w:val="es-MX"/>
        </w:rPr>
      </w:pPr>
      <w:r w:rsidRPr="00456C26">
        <w:rPr>
          <w:rStyle w:val="FootnoteReference"/>
          <w:lang w:val="es-MX"/>
        </w:rPr>
        <w:footnoteRef/>
      </w:r>
      <w:r w:rsidRPr="00456C26">
        <w:rPr>
          <w:rStyle w:val="FootnoteReference"/>
          <w:lang w:val="es-MX"/>
        </w:rPr>
        <w:t xml:space="preserve"> Au </w:t>
      </w:r>
      <w:proofErr w:type="spellStart"/>
      <w:r w:rsidRPr="00456C26">
        <w:rPr>
          <w:rStyle w:val="FootnoteReference"/>
          <w:lang w:val="es-MX"/>
        </w:rPr>
        <w:t>Mex</w:t>
      </w:r>
      <w:proofErr w:type="spellEnd"/>
      <w:r w:rsidRPr="00456C26">
        <w:rPr>
          <w:rStyle w:val="FootnoteReference"/>
          <w:lang w:val="es-MX"/>
        </w:rPr>
        <w:t xml:space="preserve"> 11/2015.</w:t>
      </w:r>
    </w:p>
  </w:footnote>
  <w:footnote w:id="32">
    <w:p w:rsidR="00AC3B54" w:rsidRPr="00456C26" w:rsidRDefault="00AC3B54">
      <w:pPr>
        <w:pStyle w:val="FootnoteText"/>
        <w:rPr>
          <w:rStyle w:val="FootnoteReference"/>
          <w:lang w:val="es-MX"/>
        </w:rPr>
      </w:pPr>
      <w:r w:rsidRPr="00456C26">
        <w:rPr>
          <w:rStyle w:val="FootnoteReference"/>
          <w:lang w:val="es-MX"/>
        </w:rPr>
        <w:footnoteRef/>
      </w:r>
      <w:r w:rsidRPr="00456C26">
        <w:rPr>
          <w:rStyle w:val="FootnoteReference"/>
          <w:lang w:val="es-MX"/>
        </w:rPr>
        <w:t xml:space="preserve"> Opinión Nº 23/2014 (México)</w:t>
      </w:r>
    </w:p>
  </w:footnote>
  <w:footnote w:id="33">
    <w:p w:rsidR="00AC3B54" w:rsidRPr="00456C26" w:rsidRDefault="00AC3B54">
      <w:pPr>
        <w:pStyle w:val="FootnoteText"/>
        <w:rPr>
          <w:rStyle w:val="FootnoteReference"/>
          <w:lang w:val="es-MX"/>
        </w:rPr>
      </w:pPr>
      <w:r w:rsidRPr="00456C26">
        <w:rPr>
          <w:rStyle w:val="FootnoteReference"/>
          <w:lang w:val="es-MX"/>
        </w:rPr>
        <w:footnoteRef/>
      </w:r>
      <w:r w:rsidRPr="00456C26">
        <w:rPr>
          <w:rStyle w:val="FootnoteReference"/>
          <w:lang w:val="es-MX"/>
        </w:rPr>
        <w:t xml:space="preserve"> Opinión Nº18/2015 (México)</w:t>
      </w:r>
    </w:p>
  </w:footnote>
  <w:footnote w:id="34">
    <w:p w:rsidR="00AC3B54" w:rsidRPr="00456C26" w:rsidRDefault="00AC3B54">
      <w:pPr>
        <w:pStyle w:val="FootnoteText"/>
        <w:rPr>
          <w:rStyle w:val="FootnoteReference"/>
          <w:lang w:val="es-MX"/>
        </w:rPr>
      </w:pPr>
      <w:r w:rsidRPr="00456C26">
        <w:rPr>
          <w:rStyle w:val="FootnoteReference"/>
          <w:lang w:val="es-MX"/>
        </w:rPr>
        <w:footnoteRef/>
      </w:r>
      <w:r w:rsidRPr="00456C26">
        <w:rPr>
          <w:rStyle w:val="FootnoteReference"/>
          <w:lang w:val="es-MX"/>
        </w:rPr>
        <w:t xml:space="preserve"> Opinión Nº 19/2015 (México)</w:t>
      </w:r>
    </w:p>
  </w:footnote>
  <w:footnote w:id="35">
    <w:p w:rsidR="00AC3B54" w:rsidRPr="00456C26" w:rsidRDefault="00AC3B54">
      <w:pPr>
        <w:pStyle w:val="FootnoteText"/>
        <w:rPr>
          <w:rStyle w:val="FootnoteReference"/>
          <w:lang w:val="es-MX"/>
        </w:rPr>
      </w:pPr>
      <w:r w:rsidRPr="00456C26">
        <w:rPr>
          <w:rStyle w:val="FootnoteReference"/>
          <w:lang w:val="es-MX"/>
        </w:rPr>
        <w:footnoteRef/>
      </w:r>
      <w:r w:rsidRPr="00456C26">
        <w:rPr>
          <w:rStyle w:val="FootnoteReference"/>
          <w:lang w:val="es-MX"/>
        </w:rPr>
        <w:t xml:space="preserve"> Opinión Nº 55/2015 (México)</w:t>
      </w:r>
    </w:p>
  </w:footnote>
  <w:footnote w:id="36">
    <w:p w:rsidR="00AC3B54" w:rsidRPr="00456C26" w:rsidRDefault="00AC3B54">
      <w:pPr>
        <w:pStyle w:val="FootnoteText"/>
        <w:rPr>
          <w:rStyle w:val="FootnoteReference"/>
          <w:lang w:val="es-MX"/>
        </w:rPr>
      </w:pPr>
      <w:r w:rsidRPr="00456C26">
        <w:rPr>
          <w:rStyle w:val="FootnoteReference"/>
          <w:lang w:val="es-MX"/>
        </w:rPr>
        <w:footnoteRef/>
      </w:r>
      <w:r w:rsidRPr="00456C26">
        <w:rPr>
          <w:rStyle w:val="FootnoteReference"/>
          <w:lang w:val="es-MX"/>
        </w:rPr>
        <w:t xml:space="preserve"> Opinión Nº 56/2015 (México) y la acción urgente conjunta </w:t>
      </w:r>
      <w:proofErr w:type="spellStart"/>
      <w:r w:rsidRPr="00456C26">
        <w:rPr>
          <w:rStyle w:val="FootnoteReference"/>
          <w:lang w:val="es-MX"/>
        </w:rPr>
        <w:t>Mex</w:t>
      </w:r>
      <w:proofErr w:type="spellEnd"/>
      <w:r w:rsidRPr="00456C26">
        <w:rPr>
          <w:rStyle w:val="FootnoteReference"/>
          <w:lang w:val="es-MX"/>
        </w:rPr>
        <w:t xml:space="preserve"> 3/2015 </w:t>
      </w:r>
    </w:p>
  </w:footnote>
  <w:footnote w:id="37">
    <w:p w:rsidR="00AC3B54" w:rsidRPr="00456C26" w:rsidRDefault="00AC3B54">
      <w:pPr>
        <w:pStyle w:val="FootnoteText"/>
        <w:rPr>
          <w:lang w:val="es-ES"/>
        </w:rPr>
      </w:pPr>
      <w:r w:rsidRPr="00456C26">
        <w:rPr>
          <w:rStyle w:val="FootnoteReference"/>
          <w:lang w:val="es-MX"/>
        </w:rPr>
        <w:footnoteRef/>
      </w:r>
      <w:r w:rsidRPr="00456C26">
        <w:rPr>
          <w:rStyle w:val="FootnoteReference"/>
          <w:lang w:val="es-MX"/>
        </w:rPr>
        <w:t xml:space="preserve"> </w:t>
      </w:r>
      <w:r>
        <w:rPr>
          <w:rStyle w:val="FootnoteReference"/>
          <w:lang w:val="es-MX"/>
        </w:rPr>
        <w:t xml:space="preserve">Informe de cierre de misión, </w:t>
      </w:r>
      <w:proofErr w:type="spellStart"/>
      <w:r w:rsidRPr="00456C26">
        <w:rPr>
          <w:rStyle w:val="FootnoteReference"/>
          <w:lang w:val="es-MX"/>
        </w:rPr>
        <w:t>op.cit</w:t>
      </w:r>
      <w:proofErr w:type="spellEnd"/>
      <w:r w:rsidRPr="00456C26">
        <w:rPr>
          <w:rStyle w:val="FootnoteReference"/>
          <w:lang w:val="es-MX"/>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B5516"/>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06184B"/>
    <w:multiLevelType w:val="hybridMultilevel"/>
    <w:tmpl w:val="948E9F40"/>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66960816">
      <w:numFmt w:val="bullet"/>
      <w:lvlText w:val=""/>
      <w:lvlJc w:val="left"/>
      <w:pPr>
        <w:ind w:left="2560" w:hanging="580"/>
      </w:pPr>
      <w:rPr>
        <w:rFonts w:ascii="Symbol" w:eastAsia="SimSun" w:hAnsi="Symbol" w:cs="Mangal" w:hint="default"/>
      </w:rPr>
    </w:lvl>
    <w:lvl w:ilvl="3" w:tplc="F7CCF77E">
      <w:numFmt w:val="bullet"/>
      <w:lvlText w:val="•"/>
      <w:lvlJc w:val="left"/>
      <w:pPr>
        <w:ind w:left="3640" w:hanging="1120"/>
      </w:pPr>
      <w:rPr>
        <w:rFonts w:ascii="Times New Roman" w:eastAsia="SimSun" w:hAnsi="Times New Roman" w:cs="Times New Roman" w:hint="default"/>
      </w:r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24CE37CE"/>
    <w:multiLevelType w:val="hybridMultilevel"/>
    <w:tmpl w:val="D8609AA0"/>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4796075A"/>
    <w:multiLevelType w:val="hybridMultilevel"/>
    <w:tmpl w:val="8CBEF45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4DA32A74"/>
    <w:multiLevelType w:val="hybridMultilevel"/>
    <w:tmpl w:val="BCFA40A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6B2671AD"/>
    <w:multiLevelType w:val="hybridMultilevel"/>
    <w:tmpl w:val="711EED9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6D942013"/>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E6E3D66"/>
    <w:multiLevelType w:val="hybridMultilevel"/>
    <w:tmpl w:val="71A8A9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71B21734"/>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E54401A"/>
    <w:multiLevelType w:val="multilevel"/>
    <w:tmpl w:val="D2BE6D8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5"/>
  </w:num>
  <w:num w:numId="2">
    <w:abstractNumId w:val="9"/>
  </w:num>
  <w:num w:numId="3">
    <w:abstractNumId w:val="1"/>
  </w:num>
  <w:num w:numId="4">
    <w:abstractNumId w:val="6"/>
  </w:num>
  <w:num w:numId="5">
    <w:abstractNumId w:val="4"/>
  </w:num>
  <w:num w:numId="6">
    <w:abstractNumId w:val="3"/>
  </w:num>
  <w:num w:numId="7">
    <w:abstractNumId w:val="7"/>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2ED"/>
    <w:rsid w:val="00001902"/>
    <w:rsid w:val="00011327"/>
    <w:rsid w:val="00012676"/>
    <w:rsid w:val="00017DC8"/>
    <w:rsid w:val="00021A32"/>
    <w:rsid w:val="00023B2E"/>
    <w:rsid w:val="000300D0"/>
    <w:rsid w:val="00033790"/>
    <w:rsid w:val="000423E0"/>
    <w:rsid w:val="00042523"/>
    <w:rsid w:val="00046468"/>
    <w:rsid w:val="0005098F"/>
    <w:rsid w:val="00074FDC"/>
    <w:rsid w:val="00083B6E"/>
    <w:rsid w:val="00083E33"/>
    <w:rsid w:val="00092BDF"/>
    <w:rsid w:val="00094126"/>
    <w:rsid w:val="00097261"/>
    <w:rsid w:val="000C3C1E"/>
    <w:rsid w:val="000D608F"/>
    <w:rsid w:val="000F3605"/>
    <w:rsid w:val="00104C47"/>
    <w:rsid w:val="00112DCF"/>
    <w:rsid w:val="00117666"/>
    <w:rsid w:val="00123739"/>
    <w:rsid w:val="00132D72"/>
    <w:rsid w:val="001336A8"/>
    <w:rsid w:val="001361C1"/>
    <w:rsid w:val="00144293"/>
    <w:rsid w:val="00144475"/>
    <w:rsid w:val="00153D4E"/>
    <w:rsid w:val="00154BE6"/>
    <w:rsid w:val="00166CC2"/>
    <w:rsid w:val="00173C1E"/>
    <w:rsid w:val="00174823"/>
    <w:rsid w:val="00176655"/>
    <w:rsid w:val="001766F0"/>
    <w:rsid w:val="001B1793"/>
    <w:rsid w:val="001C5183"/>
    <w:rsid w:val="001F1C9F"/>
    <w:rsid w:val="001F1D9D"/>
    <w:rsid w:val="001F7793"/>
    <w:rsid w:val="0021485F"/>
    <w:rsid w:val="00247D32"/>
    <w:rsid w:val="00261AB6"/>
    <w:rsid w:val="00265EC2"/>
    <w:rsid w:val="0026616F"/>
    <w:rsid w:val="00290DA4"/>
    <w:rsid w:val="002A3571"/>
    <w:rsid w:val="002B0B29"/>
    <w:rsid w:val="002B0F9C"/>
    <w:rsid w:val="002B1862"/>
    <w:rsid w:val="002C3944"/>
    <w:rsid w:val="002E4452"/>
    <w:rsid w:val="002E6209"/>
    <w:rsid w:val="002F2096"/>
    <w:rsid w:val="002F7258"/>
    <w:rsid w:val="002F7918"/>
    <w:rsid w:val="00301745"/>
    <w:rsid w:val="00310F09"/>
    <w:rsid w:val="00320082"/>
    <w:rsid w:val="0034507A"/>
    <w:rsid w:val="003506D0"/>
    <w:rsid w:val="00370D3E"/>
    <w:rsid w:val="00387968"/>
    <w:rsid w:val="00387D84"/>
    <w:rsid w:val="003B1AA2"/>
    <w:rsid w:val="003B56CE"/>
    <w:rsid w:val="003D7923"/>
    <w:rsid w:val="003E62C3"/>
    <w:rsid w:val="00404238"/>
    <w:rsid w:val="00405287"/>
    <w:rsid w:val="00415E73"/>
    <w:rsid w:val="00421A35"/>
    <w:rsid w:val="004313F2"/>
    <w:rsid w:val="00433873"/>
    <w:rsid w:val="00441086"/>
    <w:rsid w:val="00451EA3"/>
    <w:rsid w:val="004554B1"/>
    <w:rsid w:val="004562ED"/>
    <w:rsid w:val="00456C26"/>
    <w:rsid w:val="00457C4F"/>
    <w:rsid w:val="00462859"/>
    <w:rsid w:val="00467E1F"/>
    <w:rsid w:val="00471204"/>
    <w:rsid w:val="00472E87"/>
    <w:rsid w:val="004A2E28"/>
    <w:rsid w:val="004B3E2A"/>
    <w:rsid w:val="004C12EF"/>
    <w:rsid w:val="004D5470"/>
    <w:rsid w:val="004D63C4"/>
    <w:rsid w:val="004D7996"/>
    <w:rsid w:val="004F3684"/>
    <w:rsid w:val="00502CE8"/>
    <w:rsid w:val="00517222"/>
    <w:rsid w:val="00520085"/>
    <w:rsid w:val="00532CC3"/>
    <w:rsid w:val="00535D03"/>
    <w:rsid w:val="005569C3"/>
    <w:rsid w:val="0056321F"/>
    <w:rsid w:val="00572E06"/>
    <w:rsid w:val="005B173E"/>
    <w:rsid w:val="005B217E"/>
    <w:rsid w:val="005B245C"/>
    <w:rsid w:val="005B2A26"/>
    <w:rsid w:val="005C6CE9"/>
    <w:rsid w:val="005C7D6C"/>
    <w:rsid w:val="005E66B9"/>
    <w:rsid w:val="005E6FE2"/>
    <w:rsid w:val="005F24EE"/>
    <w:rsid w:val="005F2A0A"/>
    <w:rsid w:val="00610F7B"/>
    <w:rsid w:val="00616CF9"/>
    <w:rsid w:val="0062398F"/>
    <w:rsid w:val="00623F7C"/>
    <w:rsid w:val="006406FC"/>
    <w:rsid w:val="00666E7B"/>
    <w:rsid w:val="00682524"/>
    <w:rsid w:val="006A1886"/>
    <w:rsid w:val="006B3D29"/>
    <w:rsid w:val="006D0F78"/>
    <w:rsid w:val="006D38D8"/>
    <w:rsid w:val="006E5D58"/>
    <w:rsid w:val="007012BB"/>
    <w:rsid w:val="00714458"/>
    <w:rsid w:val="007145A4"/>
    <w:rsid w:val="00763701"/>
    <w:rsid w:val="00770647"/>
    <w:rsid w:val="00775900"/>
    <w:rsid w:val="00775A7E"/>
    <w:rsid w:val="00776849"/>
    <w:rsid w:val="0078667A"/>
    <w:rsid w:val="007A3B9A"/>
    <w:rsid w:val="007A7D87"/>
    <w:rsid w:val="007B0907"/>
    <w:rsid w:val="007B1730"/>
    <w:rsid w:val="007B76AD"/>
    <w:rsid w:val="007D0026"/>
    <w:rsid w:val="007D01CA"/>
    <w:rsid w:val="007D3CAE"/>
    <w:rsid w:val="007E1AEA"/>
    <w:rsid w:val="007F0711"/>
    <w:rsid w:val="007F0B45"/>
    <w:rsid w:val="007F10B8"/>
    <w:rsid w:val="008027BE"/>
    <w:rsid w:val="00827F49"/>
    <w:rsid w:val="00835DD8"/>
    <w:rsid w:val="00835DEA"/>
    <w:rsid w:val="00847350"/>
    <w:rsid w:val="00851265"/>
    <w:rsid w:val="00865593"/>
    <w:rsid w:val="008727FB"/>
    <w:rsid w:val="008872C8"/>
    <w:rsid w:val="00890F15"/>
    <w:rsid w:val="00893988"/>
    <w:rsid w:val="00895AA9"/>
    <w:rsid w:val="00895AB8"/>
    <w:rsid w:val="008A66CF"/>
    <w:rsid w:val="008C18E1"/>
    <w:rsid w:val="008E000E"/>
    <w:rsid w:val="008E1532"/>
    <w:rsid w:val="008F1B25"/>
    <w:rsid w:val="0090748B"/>
    <w:rsid w:val="0091544C"/>
    <w:rsid w:val="00926F76"/>
    <w:rsid w:val="0093405F"/>
    <w:rsid w:val="00936FBD"/>
    <w:rsid w:val="00940129"/>
    <w:rsid w:val="009471A1"/>
    <w:rsid w:val="00947C81"/>
    <w:rsid w:val="00957FC2"/>
    <w:rsid w:val="0096589A"/>
    <w:rsid w:val="009707C8"/>
    <w:rsid w:val="00970881"/>
    <w:rsid w:val="0097245C"/>
    <w:rsid w:val="009852D0"/>
    <w:rsid w:val="00987498"/>
    <w:rsid w:val="009A3A37"/>
    <w:rsid w:val="009C2BD2"/>
    <w:rsid w:val="009C58D5"/>
    <w:rsid w:val="009D7439"/>
    <w:rsid w:val="009E4274"/>
    <w:rsid w:val="009F54A7"/>
    <w:rsid w:val="00A010E0"/>
    <w:rsid w:val="00A03E1D"/>
    <w:rsid w:val="00A05E82"/>
    <w:rsid w:val="00A0714E"/>
    <w:rsid w:val="00A22DFD"/>
    <w:rsid w:val="00A22F36"/>
    <w:rsid w:val="00A47212"/>
    <w:rsid w:val="00A63B49"/>
    <w:rsid w:val="00A66347"/>
    <w:rsid w:val="00A666CE"/>
    <w:rsid w:val="00A66819"/>
    <w:rsid w:val="00A7745C"/>
    <w:rsid w:val="00A9105C"/>
    <w:rsid w:val="00A94BC6"/>
    <w:rsid w:val="00AA26C7"/>
    <w:rsid w:val="00AC3B54"/>
    <w:rsid w:val="00AD43E7"/>
    <w:rsid w:val="00AE308D"/>
    <w:rsid w:val="00AE3B9E"/>
    <w:rsid w:val="00B31565"/>
    <w:rsid w:val="00B3539E"/>
    <w:rsid w:val="00B418BA"/>
    <w:rsid w:val="00B52B49"/>
    <w:rsid w:val="00B53DB1"/>
    <w:rsid w:val="00B67806"/>
    <w:rsid w:val="00B67AB5"/>
    <w:rsid w:val="00B74225"/>
    <w:rsid w:val="00B83EEA"/>
    <w:rsid w:val="00B84206"/>
    <w:rsid w:val="00B85B95"/>
    <w:rsid w:val="00BA186B"/>
    <w:rsid w:val="00BC1134"/>
    <w:rsid w:val="00BC3565"/>
    <w:rsid w:val="00BC4210"/>
    <w:rsid w:val="00BD509A"/>
    <w:rsid w:val="00BE6E86"/>
    <w:rsid w:val="00BF09A1"/>
    <w:rsid w:val="00BF7970"/>
    <w:rsid w:val="00C02D9C"/>
    <w:rsid w:val="00C14D97"/>
    <w:rsid w:val="00C14E7C"/>
    <w:rsid w:val="00C21B60"/>
    <w:rsid w:val="00C23045"/>
    <w:rsid w:val="00C2307D"/>
    <w:rsid w:val="00C26330"/>
    <w:rsid w:val="00C2749C"/>
    <w:rsid w:val="00C32241"/>
    <w:rsid w:val="00C32FA9"/>
    <w:rsid w:val="00C4661D"/>
    <w:rsid w:val="00C51B3C"/>
    <w:rsid w:val="00C61EA0"/>
    <w:rsid w:val="00C741C3"/>
    <w:rsid w:val="00C830A4"/>
    <w:rsid w:val="00C956B7"/>
    <w:rsid w:val="00CA48B7"/>
    <w:rsid w:val="00CA4BD6"/>
    <w:rsid w:val="00CC2B7A"/>
    <w:rsid w:val="00CC4E64"/>
    <w:rsid w:val="00CD1F01"/>
    <w:rsid w:val="00CD2666"/>
    <w:rsid w:val="00CD5B89"/>
    <w:rsid w:val="00CE1CBD"/>
    <w:rsid w:val="00CE7CAA"/>
    <w:rsid w:val="00D1024E"/>
    <w:rsid w:val="00D34A3B"/>
    <w:rsid w:val="00D607ED"/>
    <w:rsid w:val="00D7137F"/>
    <w:rsid w:val="00DA377F"/>
    <w:rsid w:val="00DA7ABC"/>
    <w:rsid w:val="00DB2775"/>
    <w:rsid w:val="00DE2903"/>
    <w:rsid w:val="00E10779"/>
    <w:rsid w:val="00E17E98"/>
    <w:rsid w:val="00E23D1C"/>
    <w:rsid w:val="00E367EF"/>
    <w:rsid w:val="00E42A6F"/>
    <w:rsid w:val="00E436E7"/>
    <w:rsid w:val="00E47EDA"/>
    <w:rsid w:val="00E87F97"/>
    <w:rsid w:val="00EA47D1"/>
    <w:rsid w:val="00EC1AC4"/>
    <w:rsid w:val="00ED0330"/>
    <w:rsid w:val="00ED061A"/>
    <w:rsid w:val="00ED5C22"/>
    <w:rsid w:val="00EE1DB5"/>
    <w:rsid w:val="00EF17A6"/>
    <w:rsid w:val="00F001F4"/>
    <w:rsid w:val="00F20BBF"/>
    <w:rsid w:val="00F33CDB"/>
    <w:rsid w:val="00F3515A"/>
    <w:rsid w:val="00F35DDA"/>
    <w:rsid w:val="00F60646"/>
    <w:rsid w:val="00F63C48"/>
    <w:rsid w:val="00F67815"/>
    <w:rsid w:val="00F759C1"/>
    <w:rsid w:val="00F76192"/>
    <w:rsid w:val="00F77E04"/>
    <w:rsid w:val="00F8565F"/>
    <w:rsid w:val="00F93B60"/>
    <w:rsid w:val="00F943B2"/>
    <w:rsid w:val="00FA40D4"/>
    <w:rsid w:val="00FA45F7"/>
    <w:rsid w:val="00FB3596"/>
    <w:rsid w:val="00FB763A"/>
    <w:rsid w:val="00FC5E09"/>
    <w:rsid w:val="00FC5EF3"/>
    <w:rsid w:val="00FD1F11"/>
    <w:rsid w:val="00FF218B"/>
    <w:rsid w:val="00FF4DF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EF9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873"/>
  </w:style>
  <w:style w:type="paragraph" w:styleId="Heading1">
    <w:name w:val="heading 1"/>
    <w:basedOn w:val="Normal"/>
    <w:next w:val="Normal"/>
    <w:link w:val="Heading1Char"/>
    <w:uiPriority w:val="9"/>
    <w:qFormat/>
    <w:rsid w:val="004313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66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4562ED"/>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ar">
    <w:name w:val="_ Single Txt_G Car"/>
    <w:link w:val="SingleTxtG"/>
    <w:rsid w:val="004562ED"/>
    <w:rPr>
      <w:rFonts w:ascii="Times New Roman" w:eastAsia="Times New Roman" w:hAnsi="Times New Roman" w:cs="Times New Roman"/>
      <w:sz w:val="20"/>
      <w:szCs w:val="20"/>
      <w:lang w:val="es-ES" w:eastAsia="es-ES"/>
    </w:rPr>
  </w:style>
  <w:style w:type="character" w:customStyle="1" w:styleId="Heading1Char">
    <w:name w:val="Heading 1 Char"/>
    <w:basedOn w:val="DefaultParagraphFont"/>
    <w:link w:val="Heading1"/>
    <w:uiPriority w:val="9"/>
    <w:rsid w:val="004313F2"/>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E7CAA"/>
    <w:pPr>
      <w:ind w:left="720"/>
      <w:contextualSpacing/>
    </w:pPr>
  </w:style>
  <w:style w:type="paragraph" w:styleId="Header">
    <w:name w:val="header"/>
    <w:basedOn w:val="Normal"/>
    <w:link w:val="HeaderChar"/>
    <w:uiPriority w:val="99"/>
    <w:unhideWhenUsed/>
    <w:rsid w:val="00682524"/>
    <w:pPr>
      <w:tabs>
        <w:tab w:val="center" w:pos="4536"/>
        <w:tab w:val="right" w:pos="9072"/>
      </w:tabs>
      <w:spacing w:after="0" w:line="240" w:lineRule="auto"/>
    </w:pPr>
  </w:style>
  <w:style w:type="character" w:customStyle="1" w:styleId="HeaderChar">
    <w:name w:val="Header Char"/>
    <w:basedOn w:val="DefaultParagraphFont"/>
    <w:link w:val="Header"/>
    <w:uiPriority w:val="99"/>
    <w:rsid w:val="00682524"/>
  </w:style>
  <w:style w:type="paragraph" w:styleId="Footer">
    <w:name w:val="footer"/>
    <w:basedOn w:val="Normal"/>
    <w:link w:val="FooterChar"/>
    <w:uiPriority w:val="99"/>
    <w:unhideWhenUsed/>
    <w:rsid w:val="00682524"/>
    <w:pPr>
      <w:tabs>
        <w:tab w:val="center" w:pos="4536"/>
        <w:tab w:val="right" w:pos="9072"/>
      </w:tabs>
      <w:spacing w:after="0" w:line="240" w:lineRule="auto"/>
    </w:pPr>
  </w:style>
  <w:style w:type="character" w:customStyle="1" w:styleId="FooterChar">
    <w:name w:val="Footer Char"/>
    <w:basedOn w:val="DefaultParagraphFont"/>
    <w:link w:val="Footer"/>
    <w:uiPriority w:val="99"/>
    <w:rsid w:val="00682524"/>
  </w:style>
  <w:style w:type="paragraph" w:styleId="FootnoteText">
    <w:name w:val="footnote text"/>
    <w:basedOn w:val="Normal"/>
    <w:link w:val="FootnoteTextChar"/>
    <w:uiPriority w:val="99"/>
    <w:unhideWhenUsed/>
    <w:rsid w:val="00C32241"/>
    <w:pPr>
      <w:spacing w:after="0" w:line="240" w:lineRule="auto"/>
    </w:pPr>
    <w:rPr>
      <w:sz w:val="24"/>
      <w:szCs w:val="24"/>
    </w:rPr>
  </w:style>
  <w:style w:type="character" w:customStyle="1" w:styleId="FootnoteTextChar">
    <w:name w:val="Footnote Text Char"/>
    <w:basedOn w:val="DefaultParagraphFont"/>
    <w:link w:val="FootnoteText"/>
    <w:uiPriority w:val="99"/>
    <w:rsid w:val="00C32241"/>
    <w:rPr>
      <w:sz w:val="24"/>
      <w:szCs w:val="24"/>
    </w:rPr>
  </w:style>
  <w:style w:type="character" w:styleId="FootnoteReference">
    <w:name w:val="footnote reference"/>
    <w:basedOn w:val="DefaultParagraphFont"/>
    <w:uiPriority w:val="99"/>
    <w:unhideWhenUsed/>
    <w:rsid w:val="00C32241"/>
    <w:rPr>
      <w:vertAlign w:val="superscript"/>
    </w:rPr>
  </w:style>
  <w:style w:type="character" w:customStyle="1" w:styleId="InternetLink">
    <w:name w:val="Internet Link"/>
    <w:rsid w:val="008727FB"/>
    <w:rPr>
      <w:color w:val="000080"/>
      <w:u w:val="single"/>
    </w:rPr>
  </w:style>
  <w:style w:type="character" w:customStyle="1" w:styleId="StrongEmphasis">
    <w:name w:val="Strong Emphasis"/>
    <w:qFormat/>
    <w:rsid w:val="008727FB"/>
    <w:rPr>
      <w:b/>
      <w:bCs/>
    </w:rPr>
  </w:style>
  <w:style w:type="character" w:customStyle="1" w:styleId="FootnoteAnchor">
    <w:name w:val="Footnote Anchor"/>
    <w:rsid w:val="008727FB"/>
    <w:rPr>
      <w:vertAlign w:val="superscript"/>
    </w:rPr>
  </w:style>
  <w:style w:type="character" w:styleId="Emphasis">
    <w:name w:val="Emphasis"/>
    <w:qFormat/>
    <w:rsid w:val="008727FB"/>
    <w:rPr>
      <w:i/>
      <w:iCs/>
    </w:rPr>
  </w:style>
  <w:style w:type="character" w:customStyle="1" w:styleId="Ninguno">
    <w:name w:val="Ninguno"/>
    <w:qFormat/>
    <w:rsid w:val="008727FB"/>
    <w:rPr>
      <w:lang w:val="es-ES"/>
    </w:rPr>
  </w:style>
  <w:style w:type="paragraph" w:styleId="BodyText">
    <w:name w:val="Body Text"/>
    <w:basedOn w:val="Normal"/>
    <w:link w:val="BodyTextChar"/>
    <w:rsid w:val="008727FB"/>
    <w:pPr>
      <w:widowControl w:val="0"/>
      <w:spacing w:after="120" w:line="240" w:lineRule="auto"/>
    </w:pPr>
    <w:rPr>
      <w:rFonts w:ascii="Times New Roman" w:eastAsia="SimSun" w:hAnsi="Times New Roman" w:cs="Mangal"/>
      <w:sz w:val="24"/>
      <w:szCs w:val="24"/>
      <w:lang w:val="es-ES" w:eastAsia="zh-CN" w:bidi="hi-IN"/>
    </w:rPr>
  </w:style>
  <w:style w:type="character" w:customStyle="1" w:styleId="BodyTextChar">
    <w:name w:val="Body Text Char"/>
    <w:basedOn w:val="DefaultParagraphFont"/>
    <w:link w:val="BodyText"/>
    <w:rsid w:val="008727FB"/>
    <w:rPr>
      <w:rFonts w:ascii="Times New Roman" w:eastAsia="SimSun" w:hAnsi="Times New Roman" w:cs="Mangal"/>
      <w:sz w:val="24"/>
      <w:szCs w:val="24"/>
      <w:lang w:val="es-ES" w:eastAsia="zh-CN" w:bidi="hi-IN"/>
    </w:rPr>
  </w:style>
  <w:style w:type="paragraph" w:customStyle="1" w:styleId="Standard">
    <w:name w:val="Standard"/>
    <w:qFormat/>
    <w:rsid w:val="008727FB"/>
    <w:pPr>
      <w:spacing w:after="0" w:line="240" w:lineRule="auto"/>
    </w:pPr>
    <w:rPr>
      <w:rFonts w:ascii="Times New Roman" w:eastAsia="SimSun" w:hAnsi="Times New Roman" w:cs="Mangal"/>
      <w:sz w:val="24"/>
      <w:szCs w:val="24"/>
      <w:lang w:val="es-ES" w:eastAsia="zh-CN" w:bidi="hi-IN"/>
    </w:rPr>
  </w:style>
  <w:style w:type="character" w:styleId="Hyperlink">
    <w:name w:val="Hyperlink"/>
    <w:basedOn w:val="DefaultParagraphFont"/>
    <w:uiPriority w:val="99"/>
    <w:unhideWhenUsed/>
    <w:rsid w:val="00CD5B89"/>
    <w:rPr>
      <w:color w:val="0563C1" w:themeColor="hyperlink"/>
      <w:u w:val="single"/>
    </w:rPr>
  </w:style>
  <w:style w:type="character" w:customStyle="1" w:styleId="Heading2Char">
    <w:name w:val="Heading 2 Char"/>
    <w:basedOn w:val="DefaultParagraphFont"/>
    <w:link w:val="Heading2"/>
    <w:uiPriority w:val="9"/>
    <w:rsid w:val="008A66C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F4DFD"/>
    <w:pPr>
      <w:outlineLvl w:val="9"/>
    </w:pPr>
    <w:rPr>
      <w:lang w:val="en-US"/>
    </w:rPr>
  </w:style>
  <w:style w:type="paragraph" w:styleId="TOC1">
    <w:name w:val="toc 1"/>
    <w:basedOn w:val="Normal"/>
    <w:next w:val="Normal"/>
    <w:autoRedefine/>
    <w:uiPriority w:val="39"/>
    <w:unhideWhenUsed/>
    <w:rsid w:val="00FF4DFD"/>
    <w:pPr>
      <w:spacing w:after="100"/>
    </w:pPr>
  </w:style>
  <w:style w:type="paragraph" w:styleId="TOC2">
    <w:name w:val="toc 2"/>
    <w:basedOn w:val="Normal"/>
    <w:next w:val="Normal"/>
    <w:autoRedefine/>
    <w:uiPriority w:val="39"/>
    <w:unhideWhenUsed/>
    <w:rsid w:val="00FF4DFD"/>
    <w:pPr>
      <w:spacing w:after="100"/>
      <w:ind w:left="220"/>
    </w:pPr>
  </w:style>
  <w:style w:type="character" w:styleId="CommentReference">
    <w:name w:val="annotation reference"/>
    <w:basedOn w:val="DefaultParagraphFont"/>
    <w:uiPriority w:val="99"/>
    <w:semiHidden/>
    <w:unhideWhenUsed/>
    <w:rsid w:val="00532CC3"/>
    <w:rPr>
      <w:sz w:val="16"/>
      <w:szCs w:val="16"/>
    </w:rPr>
  </w:style>
  <w:style w:type="paragraph" w:styleId="CommentText">
    <w:name w:val="annotation text"/>
    <w:basedOn w:val="Normal"/>
    <w:link w:val="CommentTextChar"/>
    <w:uiPriority w:val="99"/>
    <w:semiHidden/>
    <w:unhideWhenUsed/>
    <w:rsid w:val="00532CC3"/>
    <w:pPr>
      <w:spacing w:line="240" w:lineRule="auto"/>
    </w:pPr>
    <w:rPr>
      <w:sz w:val="20"/>
      <w:szCs w:val="20"/>
    </w:rPr>
  </w:style>
  <w:style w:type="character" w:customStyle="1" w:styleId="CommentTextChar">
    <w:name w:val="Comment Text Char"/>
    <w:basedOn w:val="DefaultParagraphFont"/>
    <w:link w:val="CommentText"/>
    <w:uiPriority w:val="99"/>
    <w:semiHidden/>
    <w:rsid w:val="00532CC3"/>
    <w:rPr>
      <w:sz w:val="20"/>
      <w:szCs w:val="20"/>
    </w:rPr>
  </w:style>
  <w:style w:type="paragraph" w:styleId="CommentSubject">
    <w:name w:val="annotation subject"/>
    <w:basedOn w:val="CommentText"/>
    <w:next w:val="CommentText"/>
    <w:link w:val="CommentSubjectChar"/>
    <w:uiPriority w:val="99"/>
    <w:semiHidden/>
    <w:unhideWhenUsed/>
    <w:rsid w:val="00532CC3"/>
    <w:rPr>
      <w:b/>
      <w:bCs/>
    </w:rPr>
  </w:style>
  <w:style w:type="character" w:customStyle="1" w:styleId="CommentSubjectChar">
    <w:name w:val="Comment Subject Char"/>
    <w:basedOn w:val="CommentTextChar"/>
    <w:link w:val="CommentSubject"/>
    <w:uiPriority w:val="99"/>
    <w:semiHidden/>
    <w:rsid w:val="00532CC3"/>
    <w:rPr>
      <w:b/>
      <w:bCs/>
      <w:sz w:val="20"/>
      <w:szCs w:val="20"/>
    </w:rPr>
  </w:style>
  <w:style w:type="paragraph" w:styleId="BalloonText">
    <w:name w:val="Balloon Text"/>
    <w:basedOn w:val="Normal"/>
    <w:link w:val="BalloonTextChar"/>
    <w:uiPriority w:val="99"/>
    <w:semiHidden/>
    <w:unhideWhenUsed/>
    <w:rsid w:val="0053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2CC3"/>
    <w:rPr>
      <w:rFonts w:ascii="Segoe UI" w:hAnsi="Segoe UI" w:cs="Segoe UI"/>
      <w:sz w:val="18"/>
      <w:szCs w:val="18"/>
    </w:rPr>
  </w:style>
  <w:style w:type="table" w:styleId="TableGrid">
    <w:name w:val="Table Grid"/>
    <w:basedOn w:val="TableNormal"/>
    <w:uiPriority w:val="59"/>
    <w:rsid w:val="00895AB8"/>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57C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48815">
      <w:bodyDiv w:val="1"/>
      <w:marLeft w:val="0"/>
      <w:marRight w:val="0"/>
      <w:marTop w:val="0"/>
      <w:marBottom w:val="0"/>
      <w:divBdr>
        <w:top w:val="none" w:sz="0" w:space="0" w:color="auto"/>
        <w:left w:val="none" w:sz="0" w:space="0" w:color="auto"/>
        <w:bottom w:val="none" w:sz="0" w:space="0" w:color="auto"/>
        <w:right w:val="none" w:sz="0" w:space="0" w:color="auto"/>
      </w:divBdr>
      <w:divsChild>
        <w:div w:id="34163312">
          <w:marLeft w:val="0"/>
          <w:marRight w:val="0"/>
          <w:marTop w:val="0"/>
          <w:marBottom w:val="0"/>
          <w:divBdr>
            <w:top w:val="none" w:sz="0" w:space="0" w:color="auto"/>
            <w:left w:val="none" w:sz="0" w:space="0" w:color="auto"/>
            <w:bottom w:val="none" w:sz="0" w:space="0" w:color="auto"/>
            <w:right w:val="none" w:sz="0" w:space="0" w:color="auto"/>
          </w:divBdr>
        </w:div>
        <w:div w:id="1410035812">
          <w:marLeft w:val="0"/>
          <w:marRight w:val="0"/>
          <w:marTop w:val="0"/>
          <w:marBottom w:val="0"/>
          <w:divBdr>
            <w:top w:val="none" w:sz="0" w:space="0" w:color="auto"/>
            <w:left w:val="none" w:sz="0" w:space="0" w:color="auto"/>
            <w:bottom w:val="none" w:sz="0" w:space="0" w:color="auto"/>
            <w:right w:val="none" w:sz="0" w:space="0" w:color="auto"/>
          </w:divBdr>
        </w:div>
        <w:div w:id="1299067986">
          <w:marLeft w:val="0"/>
          <w:marRight w:val="0"/>
          <w:marTop w:val="0"/>
          <w:marBottom w:val="0"/>
          <w:divBdr>
            <w:top w:val="none" w:sz="0" w:space="0" w:color="auto"/>
            <w:left w:val="none" w:sz="0" w:space="0" w:color="auto"/>
            <w:bottom w:val="none" w:sz="0" w:space="0" w:color="auto"/>
            <w:right w:val="none" w:sz="0" w:space="0" w:color="auto"/>
          </w:divBdr>
        </w:div>
        <w:div w:id="1407069359">
          <w:marLeft w:val="0"/>
          <w:marRight w:val="0"/>
          <w:marTop w:val="0"/>
          <w:marBottom w:val="0"/>
          <w:divBdr>
            <w:top w:val="none" w:sz="0" w:space="0" w:color="auto"/>
            <w:left w:val="none" w:sz="0" w:space="0" w:color="auto"/>
            <w:bottom w:val="none" w:sz="0" w:space="0" w:color="auto"/>
            <w:right w:val="none" w:sz="0" w:space="0" w:color="auto"/>
          </w:divBdr>
        </w:div>
        <w:div w:id="1381049254">
          <w:marLeft w:val="0"/>
          <w:marRight w:val="0"/>
          <w:marTop w:val="0"/>
          <w:marBottom w:val="0"/>
          <w:divBdr>
            <w:top w:val="none" w:sz="0" w:space="0" w:color="auto"/>
            <w:left w:val="none" w:sz="0" w:space="0" w:color="auto"/>
            <w:bottom w:val="none" w:sz="0" w:space="0" w:color="auto"/>
            <w:right w:val="none" w:sz="0" w:space="0" w:color="auto"/>
          </w:divBdr>
        </w:div>
        <w:div w:id="464742299">
          <w:marLeft w:val="0"/>
          <w:marRight w:val="0"/>
          <w:marTop w:val="0"/>
          <w:marBottom w:val="0"/>
          <w:divBdr>
            <w:top w:val="none" w:sz="0" w:space="0" w:color="auto"/>
            <w:left w:val="none" w:sz="0" w:space="0" w:color="auto"/>
            <w:bottom w:val="none" w:sz="0" w:space="0" w:color="auto"/>
            <w:right w:val="none" w:sz="0" w:space="0" w:color="auto"/>
          </w:divBdr>
        </w:div>
        <w:div w:id="1464152179">
          <w:marLeft w:val="0"/>
          <w:marRight w:val="0"/>
          <w:marTop w:val="0"/>
          <w:marBottom w:val="0"/>
          <w:divBdr>
            <w:top w:val="none" w:sz="0" w:space="0" w:color="auto"/>
            <w:left w:val="none" w:sz="0" w:space="0" w:color="auto"/>
            <w:bottom w:val="none" w:sz="0" w:space="0" w:color="auto"/>
            <w:right w:val="none" w:sz="0" w:space="0" w:color="auto"/>
          </w:divBdr>
        </w:div>
        <w:div w:id="1146897030">
          <w:marLeft w:val="0"/>
          <w:marRight w:val="0"/>
          <w:marTop w:val="0"/>
          <w:marBottom w:val="0"/>
          <w:divBdr>
            <w:top w:val="none" w:sz="0" w:space="0" w:color="auto"/>
            <w:left w:val="none" w:sz="0" w:space="0" w:color="auto"/>
            <w:bottom w:val="none" w:sz="0" w:space="0" w:color="auto"/>
            <w:right w:val="none" w:sz="0" w:space="0" w:color="auto"/>
          </w:divBdr>
        </w:div>
        <w:div w:id="812717510">
          <w:marLeft w:val="0"/>
          <w:marRight w:val="0"/>
          <w:marTop w:val="0"/>
          <w:marBottom w:val="0"/>
          <w:divBdr>
            <w:top w:val="none" w:sz="0" w:space="0" w:color="auto"/>
            <w:left w:val="none" w:sz="0" w:space="0" w:color="auto"/>
            <w:bottom w:val="none" w:sz="0" w:space="0" w:color="auto"/>
            <w:right w:val="none" w:sz="0" w:space="0" w:color="auto"/>
          </w:divBdr>
        </w:div>
        <w:div w:id="1411732208">
          <w:marLeft w:val="0"/>
          <w:marRight w:val="0"/>
          <w:marTop w:val="0"/>
          <w:marBottom w:val="0"/>
          <w:divBdr>
            <w:top w:val="none" w:sz="0" w:space="0" w:color="auto"/>
            <w:left w:val="none" w:sz="0" w:space="0" w:color="auto"/>
            <w:bottom w:val="none" w:sz="0" w:space="0" w:color="auto"/>
            <w:right w:val="none" w:sz="0" w:space="0" w:color="auto"/>
          </w:divBdr>
        </w:div>
        <w:div w:id="1883664145">
          <w:marLeft w:val="0"/>
          <w:marRight w:val="0"/>
          <w:marTop w:val="0"/>
          <w:marBottom w:val="0"/>
          <w:divBdr>
            <w:top w:val="none" w:sz="0" w:space="0" w:color="auto"/>
            <w:left w:val="none" w:sz="0" w:space="0" w:color="auto"/>
            <w:bottom w:val="none" w:sz="0" w:space="0" w:color="auto"/>
            <w:right w:val="none" w:sz="0" w:space="0" w:color="auto"/>
          </w:divBdr>
        </w:div>
        <w:div w:id="2129035207">
          <w:marLeft w:val="0"/>
          <w:marRight w:val="0"/>
          <w:marTop w:val="0"/>
          <w:marBottom w:val="0"/>
          <w:divBdr>
            <w:top w:val="none" w:sz="0" w:space="0" w:color="auto"/>
            <w:left w:val="none" w:sz="0" w:space="0" w:color="auto"/>
            <w:bottom w:val="none" w:sz="0" w:space="0" w:color="auto"/>
            <w:right w:val="none" w:sz="0" w:space="0" w:color="auto"/>
          </w:divBdr>
        </w:div>
        <w:div w:id="313065777">
          <w:marLeft w:val="0"/>
          <w:marRight w:val="0"/>
          <w:marTop w:val="0"/>
          <w:marBottom w:val="0"/>
          <w:divBdr>
            <w:top w:val="none" w:sz="0" w:space="0" w:color="auto"/>
            <w:left w:val="none" w:sz="0" w:space="0" w:color="auto"/>
            <w:bottom w:val="none" w:sz="0" w:space="0" w:color="auto"/>
            <w:right w:val="none" w:sz="0" w:space="0" w:color="auto"/>
          </w:divBdr>
        </w:div>
        <w:div w:id="827743691">
          <w:marLeft w:val="0"/>
          <w:marRight w:val="0"/>
          <w:marTop w:val="0"/>
          <w:marBottom w:val="0"/>
          <w:divBdr>
            <w:top w:val="none" w:sz="0" w:space="0" w:color="auto"/>
            <w:left w:val="none" w:sz="0" w:space="0" w:color="auto"/>
            <w:bottom w:val="none" w:sz="0" w:space="0" w:color="auto"/>
            <w:right w:val="none" w:sz="0" w:space="0" w:color="auto"/>
          </w:divBdr>
        </w:div>
        <w:div w:id="1262107896">
          <w:marLeft w:val="0"/>
          <w:marRight w:val="0"/>
          <w:marTop w:val="0"/>
          <w:marBottom w:val="0"/>
          <w:divBdr>
            <w:top w:val="none" w:sz="0" w:space="0" w:color="auto"/>
            <w:left w:val="none" w:sz="0" w:space="0" w:color="auto"/>
            <w:bottom w:val="none" w:sz="0" w:space="0" w:color="auto"/>
            <w:right w:val="none" w:sz="0" w:space="0" w:color="auto"/>
          </w:divBdr>
        </w:div>
        <w:div w:id="591428702">
          <w:marLeft w:val="0"/>
          <w:marRight w:val="0"/>
          <w:marTop w:val="0"/>
          <w:marBottom w:val="0"/>
          <w:divBdr>
            <w:top w:val="none" w:sz="0" w:space="0" w:color="auto"/>
            <w:left w:val="none" w:sz="0" w:space="0" w:color="auto"/>
            <w:bottom w:val="none" w:sz="0" w:space="0" w:color="auto"/>
            <w:right w:val="none" w:sz="0" w:space="0" w:color="auto"/>
          </w:divBdr>
        </w:div>
        <w:div w:id="1037508033">
          <w:marLeft w:val="0"/>
          <w:marRight w:val="0"/>
          <w:marTop w:val="0"/>
          <w:marBottom w:val="0"/>
          <w:divBdr>
            <w:top w:val="none" w:sz="0" w:space="0" w:color="auto"/>
            <w:left w:val="none" w:sz="0" w:space="0" w:color="auto"/>
            <w:bottom w:val="none" w:sz="0" w:space="0" w:color="auto"/>
            <w:right w:val="none" w:sz="0" w:space="0" w:color="auto"/>
          </w:divBdr>
        </w:div>
        <w:div w:id="295840793">
          <w:marLeft w:val="0"/>
          <w:marRight w:val="0"/>
          <w:marTop w:val="0"/>
          <w:marBottom w:val="0"/>
          <w:divBdr>
            <w:top w:val="none" w:sz="0" w:space="0" w:color="auto"/>
            <w:left w:val="none" w:sz="0" w:space="0" w:color="auto"/>
            <w:bottom w:val="none" w:sz="0" w:space="0" w:color="auto"/>
            <w:right w:val="none" w:sz="0" w:space="0" w:color="auto"/>
          </w:divBdr>
        </w:div>
        <w:div w:id="1091195753">
          <w:marLeft w:val="0"/>
          <w:marRight w:val="0"/>
          <w:marTop w:val="0"/>
          <w:marBottom w:val="0"/>
          <w:divBdr>
            <w:top w:val="none" w:sz="0" w:space="0" w:color="auto"/>
            <w:left w:val="none" w:sz="0" w:space="0" w:color="auto"/>
            <w:bottom w:val="none" w:sz="0" w:space="0" w:color="auto"/>
            <w:right w:val="none" w:sz="0" w:space="0" w:color="auto"/>
          </w:divBdr>
        </w:div>
        <w:div w:id="365564463">
          <w:marLeft w:val="0"/>
          <w:marRight w:val="0"/>
          <w:marTop w:val="0"/>
          <w:marBottom w:val="0"/>
          <w:divBdr>
            <w:top w:val="none" w:sz="0" w:space="0" w:color="auto"/>
            <w:left w:val="none" w:sz="0" w:space="0" w:color="auto"/>
            <w:bottom w:val="none" w:sz="0" w:space="0" w:color="auto"/>
            <w:right w:val="none" w:sz="0" w:space="0" w:color="auto"/>
          </w:divBdr>
        </w:div>
        <w:div w:id="467944221">
          <w:marLeft w:val="0"/>
          <w:marRight w:val="0"/>
          <w:marTop w:val="0"/>
          <w:marBottom w:val="0"/>
          <w:divBdr>
            <w:top w:val="none" w:sz="0" w:space="0" w:color="auto"/>
            <w:left w:val="none" w:sz="0" w:space="0" w:color="auto"/>
            <w:bottom w:val="none" w:sz="0" w:space="0" w:color="auto"/>
            <w:right w:val="none" w:sz="0" w:space="0" w:color="auto"/>
          </w:divBdr>
        </w:div>
        <w:div w:id="970403320">
          <w:marLeft w:val="0"/>
          <w:marRight w:val="0"/>
          <w:marTop w:val="0"/>
          <w:marBottom w:val="0"/>
          <w:divBdr>
            <w:top w:val="none" w:sz="0" w:space="0" w:color="auto"/>
            <w:left w:val="none" w:sz="0" w:space="0" w:color="auto"/>
            <w:bottom w:val="none" w:sz="0" w:space="0" w:color="auto"/>
            <w:right w:val="none" w:sz="0" w:space="0" w:color="auto"/>
          </w:divBdr>
        </w:div>
        <w:div w:id="105851720">
          <w:marLeft w:val="0"/>
          <w:marRight w:val="0"/>
          <w:marTop w:val="0"/>
          <w:marBottom w:val="0"/>
          <w:divBdr>
            <w:top w:val="none" w:sz="0" w:space="0" w:color="auto"/>
            <w:left w:val="none" w:sz="0" w:space="0" w:color="auto"/>
            <w:bottom w:val="none" w:sz="0" w:space="0" w:color="auto"/>
            <w:right w:val="none" w:sz="0" w:space="0" w:color="auto"/>
          </w:divBdr>
        </w:div>
        <w:div w:id="65764385">
          <w:marLeft w:val="0"/>
          <w:marRight w:val="0"/>
          <w:marTop w:val="0"/>
          <w:marBottom w:val="0"/>
          <w:divBdr>
            <w:top w:val="none" w:sz="0" w:space="0" w:color="auto"/>
            <w:left w:val="none" w:sz="0" w:space="0" w:color="auto"/>
            <w:bottom w:val="none" w:sz="0" w:space="0" w:color="auto"/>
            <w:right w:val="none" w:sz="0" w:space="0" w:color="auto"/>
          </w:divBdr>
        </w:div>
        <w:div w:id="497229631">
          <w:marLeft w:val="0"/>
          <w:marRight w:val="0"/>
          <w:marTop w:val="0"/>
          <w:marBottom w:val="0"/>
          <w:divBdr>
            <w:top w:val="none" w:sz="0" w:space="0" w:color="auto"/>
            <w:left w:val="none" w:sz="0" w:space="0" w:color="auto"/>
            <w:bottom w:val="none" w:sz="0" w:space="0" w:color="auto"/>
            <w:right w:val="none" w:sz="0" w:space="0" w:color="auto"/>
          </w:divBdr>
        </w:div>
        <w:div w:id="1235776498">
          <w:marLeft w:val="0"/>
          <w:marRight w:val="0"/>
          <w:marTop w:val="0"/>
          <w:marBottom w:val="0"/>
          <w:divBdr>
            <w:top w:val="none" w:sz="0" w:space="0" w:color="auto"/>
            <w:left w:val="none" w:sz="0" w:space="0" w:color="auto"/>
            <w:bottom w:val="none" w:sz="0" w:space="0" w:color="auto"/>
            <w:right w:val="none" w:sz="0" w:space="0" w:color="auto"/>
          </w:divBdr>
        </w:div>
        <w:div w:id="981231853">
          <w:marLeft w:val="0"/>
          <w:marRight w:val="0"/>
          <w:marTop w:val="0"/>
          <w:marBottom w:val="0"/>
          <w:divBdr>
            <w:top w:val="none" w:sz="0" w:space="0" w:color="auto"/>
            <w:left w:val="none" w:sz="0" w:space="0" w:color="auto"/>
            <w:bottom w:val="none" w:sz="0" w:space="0" w:color="auto"/>
            <w:right w:val="none" w:sz="0" w:space="0" w:color="auto"/>
          </w:divBdr>
        </w:div>
        <w:div w:id="1786845926">
          <w:marLeft w:val="0"/>
          <w:marRight w:val="0"/>
          <w:marTop w:val="0"/>
          <w:marBottom w:val="0"/>
          <w:divBdr>
            <w:top w:val="none" w:sz="0" w:space="0" w:color="auto"/>
            <w:left w:val="none" w:sz="0" w:space="0" w:color="auto"/>
            <w:bottom w:val="none" w:sz="0" w:space="0" w:color="auto"/>
            <w:right w:val="none" w:sz="0" w:space="0" w:color="auto"/>
          </w:divBdr>
        </w:div>
        <w:div w:id="2072773463">
          <w:marLeft w:val="0"/>
          <w:marRight w:val="0"/>
          <w:marTop w:val="0"/>
          <w:marBottom w:val="0"/>
          <w:divBdr>
            <w:top w:val="none" w:sz="0" w:space="0" w:color="auto"/>
            <w:left w:val="none" w:sz="0" w:space="0" w:color="auto"/>
            <w:bottom w:val="none" w:sz="0" w:space="0" w:color="auto"/>
            <w:right w:val="none" w:sz="0" w:space="0" w:color="auto"/>
          </w:divBdr>
        </w:div>
        <w:div w:id="847865441">
          <w:marLeft w:val="0"/>
          <w:marRight w:val="0"/>
          <w:marTop w:val="0"/>
          <w:marBottom w:val="0"/>
          <w:divBdr>
            <w:top w:val="none" w:sz="0" w:space="0" w:color="auto"/>
            <w:left w:val="none" w:sz="0" w:space="0" w:color="auto"/>
            <w:bottom w:val="none" w:sz="0" w:space="0" w:color="auto"/>
            <w:right w:val="none" w:sz="0" w:space="0" w:color="auto"/>
          </w:divBdr>
        </w:div>
        <w:div w:id="1269698585">
          <w:marLeft w:val="0"/>
          <w:marRight w:val="0"/>
          <w:marTop w:val="0"/>
          <w:marBottom w:val="0"/>
          <w:divBdr>
            <w:top w:val="none" w:sz="0" w:space="0" w:color="auto"/>
            <w:left w:val="none" w:sz="0" w:space="0" w:color="auto"/>
            <w:bottom w:val="none" w:sz="0" w:space="0" w:color="auto"/>
            <w:right w:val="none" w:sz="0" w:space="0" w:color="auto"/>
          </w:divBdr>
        </w:div>
        <w:div w:id="594901918">
          <w:marLeft w:val="0"/>
          <w:marRight w:val="0"/>
          <w:marTop w:val="0"/>
          <w:marBottom w:val="0"/>
          <w:divBdr>
            <w:top w:val="none" w:sz="0" w:space="0" w:color="auto"/>
            <w:left w:val="none" w:sz="0" w:space="0" w:color="auto"/>
            <w:bottom w:val="none" w:sz="0" w:space="0" w:color="auto"/>
            <w:right w:val="none" w:sz="0" w:space="0" w:color="auto"/>
          </w:divBdr>
        </w:div>
      </w:divsChild>
    </w:div>
    <w:div w:id="322976461">
      <w:bodyDiv w:val="1"/>
      <w:marLeft w:val="0"/>
      <w:marRight w:val="0"/>
      <w:marTop w:val="0"/>
      <w:marBottom w:val="0"/>
      <w:divBdr>
        <w:top w:val="none" w:sz="0" w:space="0" w:color="auto"/>
        <w:left w:val="none" w:sz="0" w:space="0" w:color="auto"/>
        <w:bottom w:val="none" w:sz="0" w:space="0" w:color="auto"/>
        <w:right w:val="none" w:sz="0" w:space="0" w:color="auto"/>
      </w:divBdr>
      <w:divsChild>
        <w:div w:id="1838109241">
          <w:marLeft w:val="0"/>
          <w:marRight w:val="0"/>
          <w:marTop w:val="0"/>
          <w:marBottom w:val="0"/>
          <w:divBdr>
            <w:top w:val="none" w:sz="0" w:space="0" w:color="auto"/>
            <w:left w:val="none" w:sz="0" w:space="0" w:color="auto"/>
            <w:bottom w:val="none" w:sz="0" w:space="0" w:color="auto"/>
            <w:right w:val="none" w:sz="0" w:space="0" w:color="auto"/>
          </w:divBdr>
        </w:div>
        <w:div w:id="1771196479">
          <w:marLeft w:val="0"/>
          <w:marRight w:val="0"/>
          <w:marTop w:val="0"/>
          <w:marBottom w:val="0"/>
          <w:divBdr>
            <w:top w:val="none" w:sz="0" w:space="0" w:color="auto"/>
            <w:left w:val="none" w:sz="0" w:space="0" w:color="auto"/>
            <w:bottom w:val="none" w:sz="0" w:space="0" w:color="auto"/>
            <w:right w:val="none" w:sz="0" w:space="0" w:color="auto"/>
          </w:divBdr>
        </w:div>
        <w:div w:id="287129015">
          <w:marLeft w:val="0"/>
          <w:marRight w:val="0"/>
          <w:marTop w:val="0"/>
          <w:marBottom w:val="0"/>
          <w:divBdr>
            <w:top w:val="none" w:sz="0" w:space="0" w:color="auto"/>
            <w:left w:val="none" w:sz="0" w:space="0" w:color="auto"/>
            <w:bottom w:val="none" w:sz="0" w:space="0" w:color="auto"/>
            <w:right w:val="none" w:sz="0" w:space="0" w:color="auto"/>
          </w:divBdr>
        </w:div>
        <w:div w:id="836992256">
          <w:marLeft w:val="0"/>
          <w:marRight w:val="0"/>
          <w:marTop w:val="0"/>
          <w:marBottom w:val="0"/>
          <w:divBdr>
            <w:top w:val="none" w:sz="0" w:space="0" w:color="auto"/>
            <w:left w:val="none" w:sz="0" w:space="0" w:color="auto"/>
            <w:bottom w:val="none" w:sz="0" w:space="0" w:color="auto"/>
            <w:right w:val="none" w:sz="0" w:space="0" w:color="auto"/>
          </w:divBdr>
        </w:div>
        <w:div w:id="518935776">
          <w:marLeft w:val="0"/>
          <w:marRight w:val="0"/>
          <w:marTop w:val="0"/>
          <w:marBottom w:val="0"/>
          <w:divBdr>
            <w:top w:val="none" w:sz="0" w:space="0" w:color="auto"/>
            <w:left w:val="none" w:sz="0" w:space="0" w:color="auto"/>
            <w:bottom w:val="none" w:sz="0" w:space="0" w:color="auto"/>
            <w:right w:val="none" w:sz="0" w:space="0" w:color="auto"/>
          </w:divBdr>
        </w:div>
        <w:div w:id="605501582">
          <w:marLeft w:val="0"/>
          <w:marRight w:val="0"/>
          <w:marTop w:val="0"/>
          <w:marBottom w:val="0"/>
          <w:divBdr>
            <w:top w:val="none" w:sz="0" w:space="0" w:color="auto"/>
            <w:left w:val="none" w:sz="0" w:space="0" w:color="auto"/>
            <w:bottom w:val="none" w:sz="0" w:space="0" w:color="auto"/>
            <w:right w:val="none" w:sz="0" w:space="0" w:color="auto"/>
          </w:divBdr>
        </w:div>
        <w:div w:id="912667693">
          <w:marLeft w:val="0"/>
          <w:marRight w:val="0"/>
          <w:marTop w:val="0"/>
          <w:marBottom w:val="0"/>
          <w:divBdr>
            <w:top w:val="none" w:sz="0" w:space="0" w:color="auto"/>
            <w:left w:val="none" w:sz="0" w:space="0" w:color="auto"/>
            <w:bottom w:val="none" w:sz="0" w:space="0" w:color="auto"/>
            <w:right w:val="none" w:sz="0" w:space="0" w:color="auto"/>
          </w:divBdr>
        </w:div>
        <w:div w:id="669724208">
          <w:marLeft w:val="0"/>
          <w:marRight w:val="0"/>
          <w:marTop w:val="0"/>
          <w:marBottom w:val="0"/>
          <w:divBdr>
            <w:top w:val="none" w:sz="0" w:space="0" w:color="auto"/>
            <w:left w:val="none" w:sz="0" w:space="0" w:color="auto"/>
            <w:bottom w:val="none" w:sz="0" w:space="0" w:color="auto"/>
            <w:right w:val="none" w:sz="0" w:space="0" w:color="auto"/>
          </w:divBdr>
        </w:div>
        <w:div w:id="2055352581">
          <w:marLeft w:val="0"/>
          <w:marRight w:val="0"/>
          <w:marTop w:val="0"/>
          <w:marBottom w:val="0"/>
          <w:divBdr>
            <w:top w:val="none" w:sz="0" w:space="0" w:color="auto"/>
            <w:left w:val="none" w:sz="0" w:space="0" w:color="auto"/>
            <w:bottom w:val="none" w:sz="0" w:space="0" w:color="auto"/>
            <w:right w:val="none" w:sz="0" w:space="0" w:color="auto"/>
          </w:divBdr>
        </w:div>
        <w:div w:id="297885504">
          <w:marLeft w:val="0"/>
          <w:marRight w:val="0"/>
          <w:marTop w:val="0"/>
          <w:marBottom w:val="0"/>
          <w:divBdr>
            <w:top w:val="none" w:sz="0" w:space="0" w:color="auto"/>
            <w:left w:val="none" w:sz="0" w:space="0" w:color="auto"/>
            <w:bottom w:val="none" w:sz="0" w:space="0" w:color="auto"/>
            <w:right w:val="none" w:sz="0" w:space="0" w:color="auto"/>
          </w:divBdr>
        </w:div>
        <w:div w:id="916015902">
          <w:marLeft w:val="0"/>
          <w:marRight w:val="0"/>
          <w:marTop w:val="0"/>
          <w:marBottom w:val="0"/>
          <w:divBdr>
            <w:top w:val="none" w:sz="0" w:space="0" w:color="auto"/>
            <w:left w:val="none" w:sz="0" w:space="0" w:color="auto"/>
            <w:bottom w:val="none" w:sz="0" w:space="0" w:color="auto"/>
            <w:right w:val="none" w:sz="0" w:space="0" w:color="auto"/>
          </w:divBdr>
        </w:div>
        <w:div w:id="1615136351">
          <w:marLeft w:val="0"/>
          <w:marRight w:val="0"/>
          <w:marTop w:val="0"/>
          <w:marBottom w:val="0"/>
          <w:divBdr>
            <w:top w:val="none" w:sz="0" w:space="0" w:color="auto"/>
            <w:left w:val="none" w:sz="0" w:space="0" w:color="auto"/>
            <w:bottom w:val="none" w:sz="0" w:space="0" w:color="auto"/>
            <w:right w:val="none" w:sz="0" w:space="0" w:color="auto"/>
          </w:divBdr>
        </w:div>
        <w:div w:id="2077773888">
          <w:marLeft w:val="0"/>
          <w:marRight w:val="0"/>
          <w:marTop w:val="0"/>
          <w:marBottom w:val="0"/>
          <w:divBdr>
            <w:top w:val="none" w:sz="0" w:space="0" w:color="auto"/>
            <w:left w:val="none" w:sz="0" w:space="0" w:color="auto"/>
            <w:bottom w:val="none" w:sz="0" w:space="0" w:color="auto"/>
            <w:right w:val="none" w:sz="0" w:space="0" w:color="auto"/>
          </w:divBdr>
        </w:div>
        <w:div w:id="1016886186">
          <w:marLeft w:val="0"/>
          <w:marRight w:val="0"/>
          <w:marTop w:val="0"/>
          <w:marBottom w:val="0"/>
          <w:divBdr>
            <w:top w:val="none" w:sz="0" w:space="0" w:color="auto"/>
            <w:left w:val="none" w:sz="0" w:space="0" w:color="auto"/>
            <w:bottom w:val="none" w:sz="0" w:space="0" w:color="auto"/>
            <w:right w:val="none" w:sz="0" w:space="0" w:color="auto"/>
          </w:divBdr>
        </w:div>
        <w:div w:id="1483039392">
          <w:marLeft w:val="0"/>
          <w:marRight w:val="0"/>
          <w:marTop w:val="0"/>
          <w:marBottom w:val="0"/>
          <w:divBdr>
            <w:top w:val="none" w:sz="0" w:space="0" w:color="auto"/>
            <w:left w:val="none" w:sz="0" w:space="0" w:color="auto"/>
            <w:bottom w:val="none" w:sz="0" w:space="0" w:color="auto"/>
            <w:right w:val="none" w:sz="0" w:space="0" w:color="auto"/>
          </w:divBdr>
        </w:div>
        <w:div w:id="1025521643">
          <w:marLeft w:val="0"/>
          <w:marRight w:val="0"/>
          <w:marTop w:val="0"/>
          <w:marBottom w:val="0"/>
          <w:divBdr>
            <w:top w:val="none" w:sz="0" w:space="0" w:color="auto"/>
            <w:left w:val="none" w:sz="0" w:space="0" w:color="auto"/>
            <w:bottom w:val="none" w:sz="0" w:space="0" w:color="auto"/>
            <w:right w:val="none" w:sz="0" w:space="0" w:color="auto"/>
          </w:divBdr>
        </w:div>
        <w:div w:id="1072459673">
          <w:marLeft w:val="0"/>
          <w:marRight w:val="0"/>
          <w:marTop w:val="0"/>
          <w:marBottom w:val="0"/>
          <w:divBdr>
            <w:top w:val="none" w:sz="0" w:space="0" w:color="auto"/>
            <w:left w:val="none" w:sz="0" w:space="0" w:color="auto"/>
            <w:bottom w:val="none" w:sz="0" w:space="0" w:color="auto"/>
            <w:right w:val="none" w:sz="0" w:space="0" w:color="auto"/>
          </w:divBdr>
        </w:div>
        <w:div w:id="1464151097">
          <w:marLeft w:val="0"/>
          <w:marRight w:val="0"/>
          <w:marTop w:val="0"/>
          <w:marBottom w:val="0"/>
          <w:divBdr>
            <w:top w:val="none" w:sz="0" w:space="0" w:color="auto"/>
            <w:left w:val="none" w:sz="0" w:space="0" w:color="auto"/>
            <w:bottom w:val="none" w:sz="0" w:space="0" w:color="auto"/>
            <w:right w:val="none" w:sz="0" w:space="0" w:color="auto"/>
          </w:divBdr>
        </w:div>
        <w:div w:id="582565949">
          <w:marLeft w:val="0"/>
          <w:marRight w:val="0"/>
          <w:marTop w:val="0"/>
          <w:marBottom w:val="0"/>
          <w:divBdr>
            <w:top w:val="none" w:sz="0" w:space="0" w:color="auto"/>
            <w:left w:val="none" w:sz="0" w:space="0" w:color="auto"/>
            <w:bottom w:val="none" w:sz="0" w:space="0" w:color="auto"/>
            <w:right w:val="none" w:sz="0" w:space="0" w:color="auto"/>
          </w:divBdr>
        </w:div>
        <w:div w:id="56321336">
          <w:marLeft w:val="0"/>
          <w:marRight w:val="0"/>
          <w:marTop w:val="0"/>
          <w:marBottom w:val="0"/>
          <w:divBdr>
            <w:top w:val="none" w:sz="0" w:space="0" w:color="auto"/>
            <w:left w:val="none" w:sz="0" w:space="0" w:color="auto"/>
            <w:bottom w:val="none" w:sz="0" w:space="0" w:color="auto"/>
            <w:right w:val="none" w:sz="0" w:space="0" w:color="auto"/>
          </w:divBdr>
        </w:div>
        <w:div w:id="800346916">
          <w:marLeft w:val="0"/>
          <w:marRight w:val="0"/>
          <w:marTop w:val="0"/>
          <w:marBottom w:val="0"/>
          <w:divBdr>
            <w:top w:val="none" w:sz="0" w:space="0" w:color="auto"/>
            <w:left w:val="none" w:sz="0" w:space="0" w:color="auto"/>
            <w:bottom w:val="none" w:sz="0" w:space="0" w:color="auto"/>
            <w:right w:val="none" w:sz="0" w:space="0" w:color="auto"/>
          </w:divBdr>
        </w:div>
        <w:div w:id="832139213">
          <w:marLeft w:val="0"/>
          <w:marRight w:val="0"/>
          <w:marTop w:val="0"/>
          <w:marBottom w:val="0"/>
          <w:divBdr>
            <w:top w:val="none" w:sz="0" w:space="0" w:color="auto"/>
            <w:left w:val="none" w:sz="0" w:space="0" w:color="auto"/>
            <w:bottom w:val="none" w:sz="0" w:space="0" w:color="auto"/>
            <w:right w:val="none" w:sz="0" w:space="0" w:color="auto"/>
          </w:divBdr>
        </w:div>
        <w:div w:id="1060132907">
          <w:marLeft w:val="0"/>
          <w:marRight w:val="0"/>
          <w:marTop w:val="0"/>
          <w:marBottom w:val="0"/>
          <w:divBdr>
            <w:top w:val="none" w:sz="0" w:space="0" w:color="auto"/>
            <w:left w:val="none" w:sz="0" w:space="0" w:color="auto"/>
            <w:bottom w:val="none" w:sz="0" w:space="0" w:color="auto"/>
            <w:right w:val="none" w:sz="0" w:space="0" w:color="auto"/>
          </w:divBdr>
        </w:div>
        <w:div w:id="383260017">
          <w:marLeft w:val="0"/>
          <w:marRight w:val="0"/>
          <w:marTop w:val="0"/>
          <w:marBottom w:val="0"/>
          <w:divBdr>
            <w:top w:val="none" w:sz="0" w:space="0" w:color="auto"/>
            <w:left w:val="none" w:sz="0" w:space="0" w:color="auto"/>
            <w:bottom w:val="none" w:sz="0" w:space="0" w:color="auto"/>
            <w:right w:val="none" w:sz="0" w:space="0" w:color="auto"/>
          </w:divBdr>
        </w:div>
        <w:div w:id="762647764">
          <w:marLeft w:val="0"/>
          <w:marRight w:val="0"/>
          <w:marTop w:val="0"/>
          <w:marBottom w:val="0"/>
          <w:divBdr>
            <w:top w:val="none" w:sz="0" w:space="0" w:color="auto"/>
            <w:left w:val="none" w:sz="0" w:space="0" w:color="auto"/>
            <w:bottom w:val="none" w:sz="0" w:space="0" w:color="auto"/>
            <w:right w:val="none" w:sz="0" w:space="0" w:color="auto"/>
          </w:divBdr>
        </w:div>
        <w:div w:id="360907116">
          <w:marLeft w:val="0"/>
          <w:marRight w:val="0"/>
          <w:marTop w:val="0"/>
          <w:marBottom w:val="0"/>
          <w:divBdr>
            <w:top w:val="none" w:sz="0" w:space="0" w:color="auto"/>
            <w:left w:val="none" w:sz="0" w:space="0" w:color="auto"/>
            <w:bottom w:val="none" w:sz="0" w:space="0" w:color="auto"/>
            <w:right w:val="none" w:sz="0" w:space="0" w:color="auto"/>
          </w:divBdr>
        </w:div>
        <w:div w:id="457380498">
          <w:marLeft w:val="0"/>
          <w:marRight w:val="0"/>
          <w:marTop w:val="0"/>
          <w:marBottom w:val="0"/>
          <w:divBdr>
            <w:top w:val="none" w:sz="0" w:space="0" w:color="auto"/>
            <w:left w:val="none" w:sz="0" w:space="0" w:color="auto"/>
            <w:bottom w:val="none" w:sz="0" w:space="0" w:color="auto"/>
            <w:right w:val="none" w:sz="0" w:space="0" w:color="auto"/>
          </w:divBdr>
        </w:div>
        <w:div w:id="1762873229">
          <w:marLeft w:val="0"/>
          <w:marRight w:val="0"/>
          <w:marTop w:val="0"/>
          <w:marBottom w:val="0"/>
          <w:divBdr>
            <w:top w:val="none" w:sz="0" w:space="0" w:color="auto"/>
            <w:left w:val="none" w:sz="0" w:space="0" w:color="auto"/>
            <w:bottom w:val="none" w:sz="0" w:space="0" w:color="auto"/>
            <w:right w:val="none" w:sz="0" w:space="0" w:color="auto"/>
          </w:divBdr>
        </w:div>
        <w:div w:id="2051607387">
          <w:marLeft w:val="0"/>
          <w:marRight w:val="0"/>
          <w:marTop w:val="0"/>
          <w:marBottom w:val="0"/>
          <w:divBdr>
            <w:top w:val="none" w:sz="0" w:space="0" w:color="auto"/>
            <w:left w:val="none" w:sz="0" w:space="0" w:color="auto"/>
            <w:bottom w:val="none" w:sz="0" w:space="0" w:color="auto"/>
            <w:right w:val="none" w:sz="0" w:space="0" w:color="auto"/>
          </w:divBdr>
        </w:div>
        <w:div w:id="444234979">
          <w:marLeft w:val="0"/>
          <w:marRight w:val="0"/>
          <w:marTop w:val="0"/>
          <w:marBottom w:val="0"/>
          <w:divBdr>
            <w:top w:val="none" w:sz="0" w:space="0" w:color="auto"/>
            <w:left w:val="none" w:sz="0" w:space="0" w:color="auto"/>
            <w:bottom w:val="none" w:sz="0" w:space="0" w:color="auto"/>
            <w:right w:val="none" w:sz="0" w:space="0" w:color="auto"/>
          </w:divBdr>
        </w:div>
        <w:div w:id="897017316">
          <w:marLeft w:val="0"/>
          <w:marRight w:val="0"/>
          <w:marTop w:val="0"/>
          <w:marBottom w:val="0"/>
          <w:divBdr>
            <w:top w:val="none" w:sz="0" w:space="0" w:color="auto"/>
            <w:left w:val="none" w:sz="0" w:space="0" w:color="auto"/>
            <w:bottom w:val="none" w:sz="0" w:space="0" w:color="auto"/>
            <w:right w:val="none" w:sz="0" w:space="0" w:color="auto"/>
          </w:divBdr>
        </w:div>
        <w:div w:id="256332012">
          <w:marLeft w:val="0"/>
          <w:marRight w:val="0"/>
          <w:marTop w:val="0"/>
          <w:marBottom w:val="0"/>
          <w:divBdr>
            <w:top w:val="none" w:sz="0" w:space="0" w:color="auto"/>
            <w:left w:val="none" w:sz="0" w:space="0" w:color="auto"/>
            <w:bottom w:val="none" w:sz="0" w:space="0" w:color="auto"/>
            <w:right w:val="none" w:sz="0" w:space="0" w:color="auto"/>
          </w:divBdr>
        </w:div>
      </w:divsChild>
    </w:div>
    <w:div w:id="741563475">
      <w:bodyDiv w:val="1"/>
      <w:marLeft w:val="0"/>
      <w:marRight w:val="0"/>
      <w:marTop w:val="0"/>
      <w:marBottom w:val="0"/>
      <w:divBdr>
        <w:top w:val="none" w:sz="0" w:space="0" w:color="auto"/>
        <w:left w:val="none" w:sz="0" w:space="0" w:color="auto"/>
        <w:bottom w:val="none" w:sz="0" w:space="0" w:color="auto"/>
        <w:right w:val="none" w:sz="0" w:space="0" w:color="auto"/>
      </w:divBdr>
      <w:divsChild>
        <w:div w:id="1605529873">
          <w:marLeft w:val="0"/>
          <w:marRight w:val="0"/>
          <w:marTop w:val="0"/>
          <w:marBottom w:val="0"/>
          <w:divBdr>
            <w:top w:val="none" w:sz="0" w:space="0" w:color="auto"/>
            <w:left w:val="none" w:sz="0" w:space="0" w:color="auto"/>
            <w:bottom w:val="none" w:sz="0" w:space="0" w:color="auto"/>
            <w:right w:val="none" w:sz="0" w:space="0" w:color="auto"/>
          </w:divBdr>
        </w:div>
        <w:div w:id="1142042556">
          <w:marLeft w:val="0"/>
          <w:marRight w:val="0"/>
          <w:marTop w:val="0"/>
          <w:marBottom w:val="0"/>
          <w:divBdr>
            <w:top w:val="none" w:sz="0" w:space="0" w:color="auto"/>
            <w:left w:val="none" w:sz="0" w:space="0" w:color="auto"/>
            <w:bottom w:val="none" w:sz="0" w:space="0" w:color="auto"/>
            <w:right w:val="none" w:sz="0" w:space="0" w:color="auto"/>
          </w:divBdr>
        </w:div>
        <w:div w:id="1612317654">
          <w:marLeft w:val="0"/>
          <w:marRight w:val="0"/>
          <w:marTop w:val="0"/>
          <w:marBottom w:val="0"/>
          <w:divBdr>
            <w:top w:val="none" w:sz="0" w:space="0" w:color="auto"/>
            <w:left w:val="none" w:sz="0" w:space="0" w:color="auto"/>
            <w:bottom w:val="none" w:sz="0" w:space="0" w:color="auto"/>
            <w:right w:val="none" w:sz="0" w:space="0" w:color="auto"/>
          </w:divBdr>
        </w:div>
        <w:div w:id="1141729526">
          <w:marLeft w:val="0"/>
          <w:marRight w:val="0"/>
          <w:marTop w:val="0"/>
          <w:marBottom w:val="0"/>
          <w:divBdr>
            <w:top w:val="none" w:sz="0" w:space="0" w:color="auto"/>
            <w:left w:val="none" w:sz="0" w:space="0" w:color="auto"/>
            <w:bottom w:val="none" w:sz="0" w:space="0" w:color="auto"/>
            <w:right w:val="none" w:sz="0" w:space="0" w:color="auto"/>
          </w:divBdr>
        </w:div>
        <w:div w:id="1118790839">
          <w:marLeft w:val="0"/>
          <w:marRight w:val="0"/>
          <w:marTop w:val="0"/>
          <w:marBottom w:val="0"/>
          <w:divBdr>
            <w:top w:val="none" w:sz="0" w:space="0" w:color="auto"/>
            <w:left w:val="none" w:sz="0" w:space="0" w:color="auto"/>
            <w:bottom w:val="none" w:sz="0" w:space="0" w:color="auto"/>
            <w:right w:val="none" w:sz="0" w:space="0" w:color="auto"/>
          </w:divBdr>
        </w:div>
        <w:div w:id="1803768057">
          <w:marLeft w:val="0"/>
          <w:marRight w:val="0"/>
          <w:marTop w:val="0"/>
          <w:marBottom w:val="0"/>
          <w:divBdr>
            <w:top w:val="none" w:sz="0" w:space="0" w:color="auto"/>
            <w:left w:val="none" w:sz="0" w:space="0" w:color="auto"/>
            <w:bottom w:val="none" w:sz="0" w:space="0" w:color="auto"/>
            <w:right w:val="none" w:sz="0" w:space="0" w:color="auto"/>
          </w:divBdr>
        </w:div>
        <w:div w:id="1937907413">
          <w:marLeft w:val="0"/>
          <w:marRight w:val="0"/>
          <w:marTop w:val="0"/>
          <w:marBottom w:val="0"/>
          <w:divBdr>
            <w:top w:val="none" w:sz="0" w:space="0" w:color="auto"/>
            <w:left w:val="none" w:sz="0" w:space="0" w:color="auto"/>
            <w:bottom w:val="none" w:sz="0" w:space="0" w:color="auto"/>
            <w:right w:val="none" w:sz="0" w:space="0" w:color="auto"/>
          </w:divBdr>
        </w:div>
        <w:div w:id="1659457570">
          <w:marLeft w:val="0"/>
          <w:marRight w:val="0"/>
          <w:marTop w:val="0"/>
          <w:marBottom w:val="0"/>
          <w:divBdr>
            <w:top w:val="none" w:sz="0" w:space="0" w:color="auto"/>
            <w:left w:val="none" w:sz="0" w:space="0" w:color="auto"/>
            <w:bottom w:val="none" w:sz="0" w:space="0" w:color="auto"/>
            <w:right w:val="none" w:sz="0" w:space="0" w:color="auto"/>
          </w:divBdr>
        </w:div>
        <w:div w:id="927612377">
          <w:marLeft w:val="0"/>
          <w:marRight w:val="0"/>
          <w:marTop w:val="0"/>
          <w:marBottom w:val="0"/>
          <w:divBdr>
            <w:top w:val="none" w:sz="0" w:space="0" w:color="auto"/>
            <w:left w:val="none" w:sz="0" w:space="0" w:color="auto"/>
            <w:bottom w:val="none" w:sz="0" w:space="0" w:color="auto"/>
            <w:right w:val="none" w:sz="0" w:space="0" w:color="auto"/>
          </w:divBdr>
        </w:div>
        <w:div w:id="1167011881">
          <w:marLeft w:val="0"/>
          <w:marRight w:val="0"/>
          <w:marTop w:val="0"/>
          <w:marBottom w:val="0"/>
          <w:divBdr>
            <w:top w:val="none" w:sz="0" w:space="0" w:color="auto"/>
            <w:left w:val="none" w:sz="0" w:space="0" w:color="auto"/>
            <w:bottom w:val="none" w:sz="0" w:space="0" w:color="auto"/>
            <w:right w:val="none" w:sz="0" w:space="0" w:color="auto"/>
          </w:divBdr>
        </w:div>
        <w:div w:id="764351197">
          <w:marLeft w:val="0"/>
          <w:marRight w:val="0"/>
          <w:marTop w:val="0"/>
          <w:marBottom w:val="0"/>
          <w:divBdr>
            <w:top w:val="none" w:sz="0" w:space="0" w:color="auto"/>
            <w:left w:val="none" w:sz="0" w:space="0" w:color="auto"/>
            <w:bottom w:val="none" w:sz="0" w:space="0" w:color="auto"/>
            <w:right w:val="none" w:sz="0" w:space="0" w:color="auto"/>
          </w:divBdr>
        </w:div>
        <w:div w:id="645545292">
          <w:marLeft w:val="0"/>
          <w:marRight w:val="0"/>
          <w:marTop w:val="0"/>
          <w:marBottom w:val="0"/>
          <w:divBdr>
            <w:top w:val="none" w:sz="0" w:space="0" w:color="auto"/>
            <w:left w:val="none" w:sz="0" w:space="0" w:color="auto"/>
            <w:bottom w:val="none" w:sz="0" w:space="0" w:color="auto"/>
            <w:right w:val="none" w:sz="0" w:space="0" w:color="auto"/>
          </w:divBdr>
        </w:div>
        <w:div w:id="491481734">
          <w:marLeft w:val="0"/>
          <w:marRight w:val="0"/>
          <w:marTop w:val="0"/>
          <w:marBottom w:val="0"/>
          <w:divBdr>
            <w:top w:val="none" w:sz="0" w:space="0" w:color="auto"/>
            <w:left w:val="none" w:sz="0" w:space="0" w:color="auto"/>
            <w:bottom w:val="none" w:sz="0" w:space="0" w:color="auto"/>
            <w:right w:val="none" w:sz="0" w:space="0" w:color="auto"/>
          </w:divBdr>
        </w:div>
        <w:div w:id="1310089214">
          <w:marLeft w:val="0"/>
          <w:marRight w:val="0"/>
          <w:marTop w:val="0"/>
          <w:marBottom w:val="0"/>
          <w:divBdr>
            <w:top w:val="none" w:sz="0" w:space="0" w:color="auto"/>
            <w:left w:val="none" w:sz="0" w:space="0" w:color="auto"/>
            <w:bottom w:val="none" w:sz="0" w:space="0" w:color="auto"/>
            <w:right w:val="none" w:sz="0" w:space="0" w:color="auto"/>
          </w:divBdr>
        </w:div>
        <w:div w:id="1124931484">
          <w:marLeft w:val="0"/>
          <w:marRight w:val="0"/>
          <w:marTop w:val="0"/>
          <w:marBottom w:val="0"/>
          <w:divBdr>
            <w:top w:val="none" w:sz="0" w:space="0" w:color="auto"/>
            <w:left w:val="none" w:sz="0" w:space="0" w:color="auto"/>
            <w:bottom w:val="none" w:sz="0" w:space="0" w:color="auto"/>
            <w:right w:val="none" w:sz="0" w:space="0" w:color="auto"/>
          </w:divBdr>
        </w:div>
        <w:div w:id="1097485847">
          <w:marLeft w:val="0"/>
          <w:marRight w:val="0"/>
          <w:marTop w:val="0"/>
          <w:marBottom w:val="0"/>
          <w:divBdr>
            <w:top w:val="none" w:sz="0" w:space="0" w:color="auto"/>
            <w:left w:val="none" w:sz="0" w:space="0" w:color="auto"/>
            <w:bottom w:val="none" w:sz="0" w:space="0" w:color="auto"/>
            <w:right w:val="none" w:sz="0" w:space="0" w:color="auto"/>
          </w:divBdr>
        </w:div>
        <w:div w:id="2053075318">
          <w:marLeft w:val="0"/>
          <w:marRight w:val="0"/>
          <w:marTop w:val="0"/>
          <w:marBottom w:val="0"/>
          <w:divBdr>
            <w:top w:val="none" w:sz="0" w:space="0" w:color="auto"/>
            <w:left w:val="none" w:sz="0" w:space="0" w:color="auto"/>
            <w:bottom w:val="none" w:sz="0" w:space="0" w:color="auto"/>
            <w:right w:val="none" w:sz="0" w:space="0" w:color="auto"/>
          </w:divBdr>
        </w:div>
        <w:div w:id="1459225172">
          <w:marLeft w:val="0"/>
          <w:marRight w:val="0"/>
          <w:marTop w:val="0"/>
          <w:marBottom w:val="0"/>
          <w:divBdr>
            <w:top w:val="none" w:sz="0" w:space="0" w:color="auto"/>
            <w:left w:val="none" w:sz="0" w:space="0" w:color="auto"/>
            <w:bottom w:val="none" w:sz="0" w:space="0" w:color="auto"/>
            <w:right w:val="none" w:sz="0" w:space="0" w:color="auto"/>
          </w:divBdr>
        </w:div>
        <w:div w:id="1774470678">
          <w:marLeft w:val="0"/>
          <w:marRight w:val="0"/>
          <w:marTop w:val="0"/>
          <w:marBottom w:val="0"/>
          <w:divBdr>
            <w:top w:val="none" w:sz="0" w:space="0" w:color="auto"/>
            <w:left w:val="none" w:sz="0" w:space="0" w:color="auto"/>
            <w:bottom w:val="none" w:sz="0" w:space="0" w:color="auto"/>
            <w:right w:val="none" w:sz="0" w:space="0" w:color="auto"/>
          </w:divBdr>
        </w:div>
        <w:div w:id="1539122253">
          <w:marLeft w:val="0"/>
          <w:marRight w:val="0"/>
          <w:marTop w:val="0"/>
          <w:marBottom w:val="0"/>
          <w:divBdr>
            <w:top w:val="none" w:sz="0" w:space="0" w:color="auto"/>
            <w:left w:val="none" w:sz="0" w:space="0" w:color="auto"/>
            <w:bottom w:val="none" w:sz="0" w:space="0" w:color="auto"/>
            <w:right w:val="none" w:sz="0" w:space="0" w:color="auto"/>
          </w:divBdr>
        </w:div>
        <w:div w:id="619267831">
          <w:marLeft w:val="0"/>
          <w:marRight w:val="0"/>
          <w:marTop w:val="0"/>
          <w:marBottom w:val="0"/>
          <w:divBdr>
            <w:top w:val="none" w:sz="0" w:space="0" w:color="auto"/>
            <w:left w:val="none" w:sz="0" w:space="0" w:color="auto"/>
            <w:bottom w:val="none" w:sz="0" w:space="0" w:color="auto"/>
            <w:right w:val="none" w:sz="0" w:space="0" w:color="auto"/>
          </w:divBdr>
        </w:div>
        <w:div w:id="520778996">
          <w:marLeft w:val="0"/>
          <w:marRight w:val="0"/>
          <w:marTop w:val="0"/>
          <w:marBottom w:val="0"/>
          <w:divBdr>
            <w:top w:val="none" w:sz="0" w:space="0" w:color="auto"/>
            <w:left w:val="none" w:sz="0" w:space="0" w:color="auto"/>
            <w:bottom w:val="none" w:sz="0" w:space="0" w:color="auto"/>
            <w:right w:val="none" w:sz="0" w:space="0" w:color="auto"/>
          </w:divBdr>
        </w:div>
        <w:div w:id="1828477567">
          <w:marLeft w:val="0"/>
          <w:marRight w:val="0"/>
          <w:marTop w:val="0"/>
          <w:marBottom w:val="0"/>
          <w:divBdr>
            <w:top w:val="none" w:sz="0" w:space="0" w:color="auto"/>
            <w:left w:val="none" w:sz="0" w:space="0" w:color="auto"/>
            <w:bottom w:val="none" w:sz="0" w:space="0" w:color="auto"/>
            <w:right w:val="none" w:sz="0" w:space="0" w:color="auto"/>
          </w:divBdr>
        </w:div>
        <w:div w:id="1267926641">
          <w:marLeft w:val="0"/>
          <w:marRight w:val="0"/>
          <w:marTop w:val="0"/>
          <w:marBottom w:val="0"/>
          <w:divBdr>
            <w:top w:val="none" w:sz="0" w:space="0" w:color="auto"/>
            <w:left w:val="none" w:sz="0" w:space="0" w:color="auto"/>
            <w:bottom w:val="none" w:sz="0" w:space="0" w:color="auto"/>
            <w:right w:val="none" w:sz="0" w:space="0" w:color="auto"/>
          </w:divBdr>
        </w:div>
        <w:div w:id="859590674">
          <w:marLeft w:val="0"/>
          <w:marRight w:val="0"/>
          <w:marTop w:val="0"/>
          <w:marBottom w:val="0"/>
          <w:divBdr>
            <w:top w:val="none" w:sz="0" w:space="0" w:color="auto"/>
            <w:left w:val="none" w:sz="0" w:space="0" w:color="auto"/>
            <w:bottom w:val="none" w:sz="0" w:space="0" w:color="auto"/>
            <w:right w:val="none" w:sz="0" w:space="0" w:color="auto"/>
          </w:divBdr>
        </w:div>
        <w:div w:id="1591691654">
          <w:marLeft w:val="0"/>
          <w:marRight w:val="0"/>
          <w:marTop w:val="0"/>
          <w:marBottom w:val="0"/>
          <w:divBdr>
            <w:top w:val="none" w:sz="0" w:space="0" w:color="auto"/>
            <w:left w:val="none" w:sz="0" w:space="0" w:color="auto"/>
            <w:bottom w:val="none" w:sz="0" w:space="0" w:color="auto"/>
            <w:right w:val="none" w:sz="0" w:space="0" w:color="auto"/>
          </w:divBdr>
        </w:div>
        <w:div w:id="827359075">
          <w:marLeft w:val="0"/>
          <w:marRight w:val="0"/>
          <w:marTop w:val="0"/>
          <w:marBottom w:val="0"/>
          <w:divBdr>
            <w:top w:val="none" w:sz="0" w:space="0" w:color="auto"/>
            <w:left w:val="none" w:sz="0" w:space="0" w:color="auto"/>
            <w:bottom w:val="none" w:sz="0" w:space="0" w:color="auto"/>
            <w:right w:val="none" w:sz="0" w:space="0" w:color="auto"/>
          </w:divBdr>
        </w:div>
        <w:div w:id="449513395">
          <w:marLeft w:val="0"/>
          <w:marRight w:val="0"/>
          <w:marTop w:val="0"/>
          <w:marBottom w:val="0"/>
          <w:divBdr>
            <w:top w:val="none" w:sz="0" w:space="0" w:color="auto"/>
            <w:left w:val="none" w:sz="0" w:space="0" w:color="auto"/>
            <w:bottom w:val="none" w:sz="0" w:space="0" w:color="auto"/>
            <w:right w:val="none" w:sz="0" w:space="0" w:color="auto"/>
          </w:divBdr>
        </w:div>
        <w:div w:id="1767997152">
          <w:marLeft w:val="0"/>
          <w:marRight w:val="0"/>
          <w:marTop w:val="0"/>
          <w:marBottom w:val="0"/>
          <w:divBdr>
            <w:top w:val="none" w:sz="0" w:space="0" w:color="auto"/>
            <w:left w:val="none" w:sz="0" w:space="0" w:color="auto"/>
            <w:bottom w:val="none" w:sz="0" w:space="0" w:color="auto"/>
            <w:right w:val="none" w:sz="0" w:space="0" w:color="auto"/>
          </w:divBdr>
        </w:div>
        <w:div w:id="2146310768">
          <w:marLeft w:val="0"/>
          <w:marRight w:val="0"/>
          <w:marTop w:val="0"/>
          <w:marBottom w:val="0"/>
          <w:divBdr>
            <w:top w:val="none" w:sz="0" w:space="0" w:color="auto"/>
            <w:left w:val="none" w:sz="0" w:space="0" w:color="auto"/>
            <w:bottom w:val="none" w:sz="0" w:space="0" w:color="auto"/>
            <w:right w:val="none" w:sz="0" w:space="0" w:color="auto"/>
          </w:divBdr>
        </w:div>
        <w:div w:id="1262374982">
          <w:marLeft w:val="0"/>
          <w:marRight w:val="0"/>
          <w:marTop w:val="0"/>
          <w:marBottom w:val="0"/>
          <w:divBdr>
            <w:top w:val="none" w:sz="0" w:space="0" w:color="auto"/>
            <w:left w:val="none" w:sz="0" w:space="0" w:color="auto"/>
            <w:bottom w:val="none" w:sz="0" w:space="0" w:color="auto"/>
            <w:right w:val="none" w:sz="0" w:space="0" w:color="auto"/>
          </w:divBdr>
        </w:div>
        <w:div w:id="612328833">
          <w:marLeft w:val="0"/>
          <w:marRight w:val="0"/>
          <w:marTop w:val="0"/>
          <w:marBottom w:val="0"/>
          <w:divBdr>
            <w:top w:val="none" w:sz="0" w:space="0" w:color="auto"/>
            <w:left w:val="none" w:sz="0" w:space="0" w:color="auto"/>
            <w:bottom w:val="none" w:sz="0" w:space="0" w:color="auto"/>
            <w:right w:val="none" w:sz="0" w:space="0" w:color="auto"/>
          </w:divBdr>
        </w:div>
      </w:divsChild>
    </w:div>
    <w:div w:id="1176580676">
      <w:bodyDiv w:val="1"/>
      <w:marLeft w:val="0"/>
      <w:marRight w:val="0"/>
      <w:marTop w:val="0"/>
      <w:marBottom w:val="0"/>
      <w:divBdr>
        <w:top w:val="none" w:sz="0" w:space="0" w:color="auto"/>
        <w:left w:val="none" w:sz="0" w:space="0" w:color="auto"/>
        <w:bottom w:val="none" w:sz="0" w:space="0" w:color="auto"/>
        <w:right w:val="none" w:sz="0" w:space="0" w:color="auto"/>
      </w:divBdr>
      <w:divsChild>
        <w:div w:id="232394889">
          <w:marLeft w:val="0"/>
          <w:marRight w:val="0"/>
          <w:marTop w:val="0"/>
          <w:marBottom w:val="0"/>
          <w:divBdr>
            <w:top w:val="none" w:sz="0" w:space="0" w:color="auto"/>
            <w:left w:val="none" w:sz="0" w:space="0" w:color="auto"/>
            <w:bottom w:val="none" w:sz="0" w:space="0" w:color="auto"/>
            <w:right w:val="none" w:sz="0" w:space="0" w:color="auto"/>
          </w:divBdr>
        </w:div>
        <w:div w:id="1904173504">
          <w:marLeft w:val="0"/>
          <w:marRight w:val="0"/>
          <w:marTop w:val="0"/>
          <w:marBottom w:val="0"/>
          <w:divBdr>
            <w:top w:val="none" w:sz="0" w:space="0" w:color="auto"/>
            <w:left w:val="none" w:sz="0" w:space="0" w:color="auto"/>
            <w:bottom w:val="none" w:sz="0" w:space="0" w:color="auto"/>
            <w:right w:val="none" w:sz="0" w:space="0" w:color="auto"/>
          </w:divBdr>
        </w:div>
        <w:div w:id="818767912">
          <w:marLeft w:val="0"/>
          <w:marRight w:val="0"/>
          <w:marTop w:val="0"/>
          <w:marBottom w:val="0"/>
          <w:divBdr>
            <w:top w:val="none" w:sz="0" w:space="0" w:color="auto"/>
            <w:left w:val="none" w:sz="0" w:space="0" w:color="auto"/>
            <w:bottom w:val="none" w:sz="0" w:space="0" w:color="auto"/>
            <w:right w:val="none" w:sz="0" w:space="0" w:color="auto"/>
          </w:divBdr>
        </w:div>
        <w:div w:id="1780947548">
          <w:marLeft w:val="0"/>
          <w:marRight w:val="0"/>
          <w:marTop w:val="0"/>
          <w:marBottom w:val="0"/>
          <w:divBdr>
            <w:top w:val="none" w:sz="0" w:space="0" w:color="auto"/>
            <w:left w:val="none" w:sz="0" w:space="0" w:color="auto"/>
            <w:bottom w:val="none" w:sz="0" w:space="0" w:color="auto"/>
            <w:right w:val="none" w:sz="0" w:space="0" w:color="auto"/>
          </w:divBdr>
        </w:div>
        <w:div w:id="1037700907">
          <w:marLeft w:val="0"/>
          <w:marRight w:val="0"/>
          <w:marTop w:val="0"/>
          <w:marBottom w:val="0"/>
          <w:divBdr>
            <w:top w:val="none" w:sz="0" w:space="0" w:color="auto"/>
            <w:left w:val="none" w:sz="0" w:space="0" w:color="auto"/>
            <w:bottom w:val="none" w:sz="0" w:space="0" w:color="auto"/>
            <w:right w:val="none" w:sz="0" w:space="0" w:color="auto"/>
          </w:divBdr>
        </w:div>
        <w:div w:id="1578974373">
          <w:marLeft w:val="0"/>
          <w:marRight w:val="0"/>
          <w:marTop w:val="0"/>
          <w:marBottom w:val="0"/>
          <w:divBdr>
            <w:top w:val="none" w:sz="0" w:space="0" w:color="auto"/>
            <w:left w:val="none" w:sz="0" w:space="0" w:color="auto"/>
            <w:bottom w:val="none" w:sz="0" w:space="0" w:color="auto"/>
            <w:right w:val="none" w:sz="0" w:space="0" w:color="auto"/>
          </w:divBdr>
        </w:div>
        <w:div w:id="432091023">
          <w:marLeft w:val="0"/>
          <w:marRight w:val="0"/>
          <w:marTop w:val="0"/>
          <w:marBottom w:val="0"/>
          <w:divBdr>
            <w:top w:val="none" w:sz="0" w:space="0" w:color="auto"/>
            <w:left w:val="none" w:sz="0" w:space="0" w:color="auto"/>
            <w:bottom w:val="none" w:sz="0" w:space="0" w:color="auto"/>
            <w:right w:val="none" w:sz="0" w:space="0" w:color="auto"/>
          </w:divBdr>
        </w:div>
        <w:div w:id="154155141">
          <w:marLeft w:val="0"/>
          <w:marRight w:val="0"/>
          <w:marTop w:val="0"/>
          <w:marBottom w:val="0"/>
          <w:divBdr>
            <w:top w:val="none" w:sz="0" w:space="0" w:color="auto"/>
            <w:left w:val="none" w:sz="0" w:space="0" w:color="auto"/>
            <w:bottom w:val="none" w:sz="0" w:space="0" w:color="auto"/>
            <w:right w:val="none" w:sz="0" w:space="0" w:color="auto"/>
          </w:divBdr>
        </w:div>
        <w:div w:id="1311907186">
          <w:marLeft w:val="0"/>
          <w:marRight w:val="0"/>
          <w:marTop w:val="0"/>
          <w:marBottom w:val="0"/>
          <w:divBdr>
            <w:top w:val="none" w:sz="0" w:space="0" w:color="auto"/>
            <w:left w:val="none" w:sz="0" w:space="0" w:color="auto"/>
            <w:bottom w:val="none" w:sz="0" w:space="0" w:color="auto"/>
            <w:right w:val="none" w:sz="0" w:space="0" w:color="auto"/>
          </w:divBdr>
        </w:div>
        <w:div w:id="782573789">
          <w:marLeft w:val="0"/>
          <w:marRight w:val="0"/>
          <w:marTop w:val="0"/>
          <w:marBottom w:val="0"/>
          <w:divBdr>
            <w:top w:val="none" w:sz="0" w:space="0" w:color="auto"/>
            <w:left w:val="none" w:sz="0" w:space="0" w:color="auto"/>
            <w:bottom w:val="none" w:sz="0" w:space="0" w:color="auto"/>
            <w:right w:val="none" w:sz="0" w:space="0" w:color="auto"/>
          </w:divBdr>
        </w:div>
        <w:div w:id="1103575136">
          <w:marLeft w:val="0"/>
          <w:marRight w:val="0"/>
          <w:marTop w:val="0"/>
          <w:marBottom w:val="0"/>
          <w:divBdr>
            <w:top w:val="none" w:sz="0" w:space="0" w:color="auto"/>
            <w:left w:val="none" w:sz="0" w:space="0" w:color="auto"/>
            <w:bottom w:val="none" w:sz="0" w:space="0" w:color="auto"/>
            <w:right w:val="none" w:sz="0" w:space="0" w:color="auto"/>
          </w:divBdr>
        </w:div>
        <w:div w:id="1132409179">
          <w:marLeft w:val="0"/>
          <w:marRight w:val="0"/>
          <w:marTop w:val="0"/>
          <w:marBottom w:val="0"/>
          <w:divBdr>
            <w:top w:val="none" w:sz="0" w:space="0" w:color="auto"/>
            <w:left w:val="none" w:sz="0" w:space="0" w:color="auto"/>
            <w:bottom w:val="none" w:sz="0" w:space="0" w:color="auto"/>
            <w:right w:val="none" w:sz="0" w:space="0" w:color="auto"/>
          </w:divBdr>
        </w:div>
        <w:div w:id="2093551352">
          <w:marLeft w:val="0"/>
          <w:marRight w:val="0"/>
          <w:marTop w:val="0"/>
          <w:marBottom w:val="0"/>
          <w:divBdr>
            <w:top w:val="none" w:sz="0" w:space="0" w:color="auto"/>
            <w:left w:val="none" w:sz="0" w:space="0" w:color="auto"/>
            <w:bottom w:val="none" w:sz="0" w:space="0" w:color="auto"/>
            <w:right w:val="none" w:sz="0" w:space="0" w:color="auto"/>
          </w:divBdr>
        </w:div>
        <w:div w:id="1244610759">
          <w:marLeft w:val="0"/>
          <w:marRight w:val="0"/>
          <w:marTop w:val="0"/>
          <w:marBottom w:val="0"/>
          <w:divBdr>
            <w:top w:val="none" w:sz="0" w:space="0" w:color="auto"/>
            <w:left w:val="none" w:sz="0" w:space="0" w:color="auto"/>
            <w:bottom w:val="none" w:sz="0" w:space="0" w:color="auto"/>
            <w:right w:val="none" w:sz="0" w:space="0" w:color="auto"/>
          </w:divBdr>
        </w:div>
        <w:div w:id="654993573">
          <w:marLeft w:val="0"/>
          <w:marRight w:val="0"/>
          <w:marTop w:val="0"/>
          <w:marBottom w:val="0"/>
          <w:divBdr>
            <w:top w:val="none" w:sz="0" w:space="0" w:color="auto"/>
            <w:left w:val="none" w:sz="0" w:space="0" w:color="auto"/>
            <w:bottom w:val="none" w:sz="0" w:space="0" w:color="auto"/>
            <w:right w:val="none" w:sz="0" w:space="0" w:color="auto"/>
          </w:divBdr>
        </w:div>
        <w:div w:id="516236129">
          <w:marLeft w:val="0"/>
          <w:marRight w:val="0"/>
          <w:marTop w:val="0"/>
          <w:marBottom w:val="0"/>
          <w:divBdr>
            <w:top w:val="none" w:sz="0" w:space="0" w:color="auto"/>
            <w:left w:val="none" w:sz="0" w:space="0" w:color="auto"/>
            <w:bottom w:val="none" w:sz="0" w:space="0" w:color="auto"/>
            <w:right w:val="none" w:sz="0" w:space="0" w:color="auto"/>
          </w:divBdr>
        </w:div>
        <w:div w:id="1525745503">
          <w:marLeft w:val="0"/>
          <w:marRight w:val="0"/>
          <w:marTop w:val="0"/>
          <w:marBottom w:val="0"/>
          <w:divBdr>
            <w:top w:val="none" w:sz="0" w:space="0" w:color="auto"/>
            <w:left w:val="none" w:sz="0" w:space="0" w:color="auto"/>
            <w:bottom w:val="none" w:sz="0" w:space="0" w:color="auto"/>
            <w:right w:val="none" w:sz="0" w:space="0" w:color="auto"/>
          </w:divBdr>
        </w:div>
        <w:div w:id="1448936829">
          <w:marLeft w:val="0"/>
          <w:marRight w:val="0"/>
          <w:marTop w:val="0"/>
          <w:marBottom w:val="0"/>
          <w:divBdr>
            <w:top w:val="none" w:sz="0" w:space="0" w:color="auto"/>
            <w:left w:val="none" w:sz="0" w:space="0" w:color="auto"/>
            <w:bottom w:val="none" w:sz="0" w:space="0" w:color="auto"/>
            <w:right w:val="none" w:sz="0" w:space="0" w:color="auto"/>
          </w:divBdr>
        </w:div>
        <w:div w:id="448013430">
          <w:marLeft w:val="0"/>
          <w:marRight w:val="0"/>
          <w:marTop w:val="0"/>
          <w:marBottom w:val="0"/>
          <w:divBdr>
            <w:top w:val="none" w:sz="0" w:space="0" w:color="auto"/>
            <w:left w:val="none" w:sz="0" w:space="0" w:color="auto"/>
            <w:bottom w:val="none" w:sz="0" w:space="0" w:color="auto"/>
            <w:right w:val="none" w:sz="0" w:space="0" w:color="auto"/>
          </w:divBdr>
        </w:div>
        <w:div w:id="1326588523">
          <w:marLeft w:val="0"/>
          <w:marRight w:val="0"/>
          <w:marTop w:val="0"/>
          <w:marBottom w:val="0"/>
          <w:divBdr>
            <w:top w:val="none" w:sz="0" w:space="0" w:color="auto"/>
            <w:left w:val="none" w:sz="0" w:space="0" w:color="auto"/>
            <w:bottom w:val="none" w:sz="0" w:space="0" w:color="auto"/>
            <w:right w:val="none" w:sz="0" w:space="0" w:color="auto"/>
          </w:divBdr>
        </w:div>
        <w:div w:id="1854538914">
          <w:marLeft w:val="0"/>
          <w:marRight w:val="0"/>
          <w:marTop w:val="0"/>
          <w:marBottom w:val="0"/>
          <w:divBdr>
            <w:top w:val="none" w:sz="0" w:space="0" w:color="auto"/>
            <w:left w:val="none" w:sz="0" w:space="0" w:color="auto"/>
            <w:bottom w:val="none" w:sz="0" w:space="0" w:color="auto"/>
            <w:right w:val="none" w:sz="0" w:space="0" w:color="auto"/>
          </w:divBdr>
        </w:div>
        <w:div w:id="931430380">
          <w:marLeft w:val="0"/>
          <w:marRight w:val="0"/>
          <w:marTop w:val="0"/>
          <w:marBottom w:val="0"/>
          <w:divBdr>
            <w:top w:val="none" w:sz="0" w:space="0" w:color="auto"/>
            <w:left w:val="none" w:sz="0" w:space="0" w:color="auto"/>
            <w:bottom w:val="none" w:sz="0" w:space="0" w:color="auto"/>
            <w:right w:val="none" w:sz="0" w:space="0" w:color="auto"/>
          </w:divBdr>
        </w:div>
        <w:div w:id="533348309">
          <w:marLeft w:val="0"/>
          <w:marRight w:val="0"/>
          <w:marTop w:val="0"/>
          <w:marBottom w:val="0"/>
          <w:divBdr>
            <w:top w:val="none" w:sz="0" w:space="0" w:color="auto"/>
            <w:left w:val="none" w:sz="0" w:space="0" w:color="auto"/>
            <w:bottom w:val="none" w:sz="0" w:space="0" w:color="auto"/>
            <w:right w:val="none" w:sz="0" w:space="0" w:color="auto"/>
          </w:divBdr>
        </w:div>
        <w:div w:id="2052073511">
          <w:marLeft w:val="0"/>
          <w:marRight w:val="0"/>
          <w:marTop w:val="0"/>
          <w:marBottom w:val="0"/>
          <w:divBdr>
            <w:top w:val="none" w:sz="0" w:space="0" w:color="auto"/>
            <w:left w:val="none" w:sz="0" w:space="0" w:color="auto"/>
            <w:bottom w:val="none" w:sz="0" w:space="0" w:color="auto"/>
            <w:right w:val="none" w:sz="0" w:space="0" w:color="auto"/>
          </w:divBdr>
        </w:div>
        <w:div w:id="1710059354">
          <w:marLeft w:val="0"/>
          <w:marRight w:val="0"/>
          <w:marTop w:val="0"/>
          <w:marBottom w:val="0"/>
          <w:divBdr>
            <w:top w:val="none" w:sz="0" w:space="0" w:color="auto"/>
            <w:left w:val="none" w:sz="0" w:space="0" w:color="auto"/>
            <w:bottom w:val="none" w:sz="0" w:space="0" w:color="auto"/>
            <w:right w:val="none" w:sz="0" w:space="0" w:color="auto"/>
          </w:divBdr>
        </w:div>
        <w:div w:id="35593780">
          <w:marLeft w:val="0"/>
          <w:marRight w:val="0"/>
          <w:marTop w:val="0"/>
          <w:marBottom w:val="0"/>
          <w:divBdr>
            <w:top w:val="none" w:sz="0" w:space="0" w:color="auto"/>
            <w:left w:val="none" w:sz="0" w:space="0" w:color="auto"/>
            <w:bottom w:val="none" w:sz="0" w:space="0" w:color="auto"/>
            <w:right w:val="none" w:sz="0" w:space="0" w:color="auto"/>
          </w:divBdr>
        </w:div>
        <w:div w:id="883129896">
          <w:marLeft w:val="0"/>
          <w:marRight w:val="0"/>
          <w:marTop w:val="0"/>
          <w:marBottom w:val="0"/>
          <w:divBdr>
            <w:top w:val="none" w:sz="0" w:space="0" w:color="auto"/>
            <w:left w:val="none" w:sz="0" w:space="0" w:color="auto"/>
            <w:bottom w:val="none" w:sz="0" w:space="0" w:color="auto"/>
            <w:right w:val="none" w:sz="0" w:space="0" w:color="auto"/>
          </w:divBdr>
        </w:div>
        <w:div w:id="1642730053">
          <w:marLeft w:val="0"/>
          <w:marRight w:val="0"/>
          <w:marTop w:val="0"/>
          <w:marBottom w:val="0"/>
          <w:divBdr>
            <w:top w:val="none" w:sz="0" w:space="0" w:color="auto"/>
            <w:left w:val="none" w:sz="0" w:space="0" w:color="auto"/>
            <w:bottom w:val="none" w:sz="0" w:space="0" w:color="auto"/>
            <w:right w:val="none" w:sz="0" w:space="0" w:color="auto"/>
          </w:divBdr>
        </w:div>
        <w:div w:id="2140103655">
          <w:marLeft w:val="0"/>
          <w:marRight w:val="0"/>
          <w:marTop w:val="0"/>
          <w:marBottom w:val="0"/>
          <w:divBdr>
            <w:top w:val="none" w:sz="0" w:space="0" w:color="auto"/>
            <w:left w:val="none" w:sz="0" w:space="0" w:color="auto"/>
            <w:bottom w:val="none" w:sz="0" w:space="0" w:color="auto"/>
            <w:right w:val="none" w:sz="0" w:space="0" w:color="auto"/>
          </w:divBdr>
        </w:div>
        <w:div w:id="1043409143">
          <w:marLeft w:val="0"/>
          <w:marRight w:val="0"/>
          <w:marTop w:val="0"/>
          <w:marBottom w:val="0"/>
          <w:divBdr>
            <w:top w:val="none" w:sz="0" w:space="0" w:color="auto"/>
            <w:left w:val="none" w:sz="0" w:space="0" w:color="auto"/>
            <w:bottom w:val="none" w:sz="0" w:space="0" w:color="auto"/>
            <w:right w:val="none" w:sz="0" w:space="0" w:color="auto"/>
          </w:divBdr>
        </w:div>
        <w:div w:id="392773487">
          <w:marLeft w:val="0"/>
          <w:marRight w:val="0"/>
          <w:marTop w:val="0"/>
          <w:marBottom w:val="0"/>
          <w:divBdr>
            <w:top w:val="none" w:sz="0" w:space="0" w:color="auto"/>
            <w:left w:val="none" w:sz="0" w:space="0" w:color="auto"/>
            <w:bottom w:val="none" w:sz="0" w:space="0" w:color="auto"/>
            <w:right w:val="none" w:sz="0" w:space="0" w:color="auto"/>
          </w:divBdr>
        </w:div>
        <w:div w:id="580991859">
          <w:marLeft w:val="0"/>
          <w:marRight w:val="0"/>
          <w:marTop w:val="0"/>
          <w:marBottom w:val="0"/>
          <w:divBdr>
            <w:top w:val="none" w:sz="0" w:space="0" w:color="auto"/>
            <w:left w:val="none" w:sz="0" w:space="0" w:color="auto"/>
            <w:bottom w:val="none" w:sz="0" w:space="0" w:color="auto"/>
            <w:right w:val="none" w:sz="0" w:space="0" w:color="auto"/>
          </w:divBdr>
        </w:div>
      </w:divsChild>
    </w:div>
    <w:div w:id="1231043372">
      <w:bodyDiv w:val="1"/>
      <w:marLeft w:val="0"/>
      <w:marRight w:val="0"/>
      <w:marTop w:val="0"/>
      <w:marBottom w:val="0"/>
      <w:divBdr>
        <w:top w:val="none" w:sz="0" w:space="0" w:color="auto"/>
        <w:left w:val="none" w:sz="0" w:space="0" w:color="auto"/>
        <w:bottom w:val="none" w:sz="0" w:space="0" w:color="auto"/>
        <w:right w:val="none" w:sz="0" w:space="0" w:color="auto"/>
      </w:divBdr>
      <w:divsChild>
        <w:div w:id="723715668">
          <w:marLeft w:val="0"/>
          <w:marRight w:val="0"/>
          <w:marTop w:val="0"/>
          <w:marBottom w:val="0"/>
          <w:divBdr>
            <w:top w:val="none" w:sz="0" w:space="0" w:color="auto"/>
            <w:left w:val="none" w:sz="0" w:space="0" w:color="auto"/>
            <w:bottom w:val="none" w:sz="0" w:space="0" w:color="auto"/>
            <w:right w:val="none" w:sz="0" w:space="0" w:color="auto"/>
          </w:divBdr>
        </w:div>
        <w:div w:id="1341661133">
          <w:marLeft w:val="0"/>
          <w:marRight w:val="0"/>
          <w:marTop w:val="0"/>
          <w:marBottom w:val="0"/>
          <w:divBdr>
            <w:top w:val="none" w:sz="0" w:space="0" w:color="auto"/>
            <w:left w:val="none" w:sz="0" w:space="0" w:color="auto"/>
            <w:bottom w:val="none" w:sz="0" w:space="0" w:color="auto"/>
            <w:right w:val="none" w:sz="0" w:space="0" w:color="auto"/>
          </w:divBdr>
        </w:div>
        <w:div w:id="524564134">
          <w:marLeft w:val="0"/>
          <w:marRight w:val="0"/>
          <w:marTop w:val="0"/>
          <w:marBottom w:val="0"/>
          <w:divBdr>
            <w:top w:val="none" w:sz="0" w:space="0" w:color="auto"/>
            <w:left w:val="none" w:sz="0" w:space="0" w:color="auto"/>
            <w:bottom w:val="none" w:sz="0" w:space="0" w:color="auto"/>
            <w:right w:val="none" w:sz="0" w:space="0" w:color="auto"/>
          </w:divBdr>
        </w:div>
        <w:div w:id="612320869">
          <w:marLeft w:val="0"/>
          <w:marRight w:val="0"/>
          <w:marTop w:val="0"/>
          <w:marBottom w:val="0"/>
          <w:divBdr>
            <w:top w:val="none" w:sz="0" w:space="0" w:color="auto"/>
            <w:left w:val="none" w:sz="0" w:space="0" w:color="auto"/>
            <w:bottom w:val="none" w:sz="0" w:space="0" w:color="auto"/>
            <w:right w:val="none" w:sz="0" w:space="0" w:color="auto"/>
          </w:divBdr>
        </w:div>
        <w:div w:id="984821915">
          <w:marLeft w:val="0"/>
          <w:marRight w:val="0"/>
          <w:marTop w:val="0"/>
          <w:marBottom w:val="0"/>
          <w:divBdr>
            <w:top w:val="none" w:sz="0" w:space="0" w:color="auto"/>
            <w:left w:val="none" w:sz="0" w:space="0" w:color="auto"/>
            <w:bottom w:val="none" w:sz="0" w:space="0" w:color="auto"/>
            <w:right w:val="none" w:sz="0" w:space="0" w:color="auto"/>
          </w:divBdr>
        </w:div>
        <w:div w:id="1384675954">
          <w:marLeft w:val="0"/>
          <w:marRight w:val="0"/>
          <w:marTop w:val="0"/>
          <w:marBottom w:val="0"/>
          <w:divBdr>
            <w:top w:val="none" w:sz="0" w:space="0" w:color="auto"/>
            <w:left w:val="none" w:sz="0" w:space="0" w:color="auto"/>
            <w:bottom w:val="none" w:sz="0" w:space="0" w:color="auto"/>
            <w:right w:val="none" w:sz="0" w:space="0" w:color="auto"/>
          </w:divBdr>
        </w:div>
        <w:div w:id="503135503">
          <w:marLeft w:val="0"/>
          <w:marRight w:val="0"/>
          <w:marTop w:val="0"/>
          <w:marBottom w:val="0"/>
          <w:divBdr>
            <w:top w:val="none" w:sz="0" w:space="0" w:color="auto"/>
            <w:left w:val="none" w:sz="0" w:space="0" w:color="auto"/>
            <w:bottom w:val="none" w:sz="0" w:space="0" w:color="auto"/>
            <w:right w:val="none" w:sz="0" w:space="0" w:color="auto"/>
          </w:divBdr>
        </w:div>
        <w:div w:id="304044255">
          <w:marLeft w:val="0"/>
          <w:marRight w:val="0"/>
          <w:marTop w:val="0"/>
          <w:marBottom w:val="0"/>
          <w:divBdr>
            <w:top w:val="none" w:sz="0" w:space="0" w:color="auto"/>
            <w:left w:val="none" w:sz="0" w:space="0" w:color="auto"/>
            <w:bottom w:val="none" w:sz="0" w:space="0" w:color="auto"/>
            <w:right w:val="none" w:sz="0" w:space="0" w:color="auto"/>
          </w:divBdr>
        </w:div>
        <w:div w:id="2071418551">
          <w:marLeft w:val="0"/>
          <w:marRight w:val="0"/>
          <w:marTop w:val="0"/>
          <w:marBottom w:val="0"/>
          <w:divBdr>
            <w:top w:val="none" w:sz="0" w:space="0" w:color="auto"/>
            <w:left w:val="none" w:sz="0" w:space="0" w:color="auto"/>
            <w:bottom w:val="none" w:sz="0" w:space="0" w:color="auto"/>
            <w:right w:val="none" w:sz="0" w:space="0" w:color="auto"/>
          </w:divBdr>
        </w:div>
        <w:div w:id="1186289471">
          <w:marLeft w:val="0"/>
          <w:marRight w:val="0"/>
          <w:marTop w:val="0"/>
          <w:marBottom w:val="0"/>
          <w:divBdr>
            <w:top w:val="none" w:sz="0" w:space="0" w:color="auto"/>
            <w:left w:val="none" w:sz="0" w:space="0" w:color="auto"/>
            <w:bottom w:val="none" w:sz="0" w:space="0" w:color="auto"/>
            <w:right w:val="none" w:sz="0" w:space="0" w:color="auto"/>
          </w:divBdr>
        </w:div>
        <w:div w:id="491607757">
          <w:marLeft w:val="0"/>
          <w:marRight w:val="0"/>
          <w:marTop w:val="0"/>
          <w:marBottom w:val="0"/>
          <w:divBdr>
            <w:top w:val="none" w:sz="0" w:space="0" w:color="auto"/>
            <w:left w:val="none" w:sz="0" w:space="0" w:color="auto"/>
            <w:bottom w:val="none" w:sz="0" w:space="0" w:color="auto"/>
            <w:right w:val="none" w:sz="0" w:space="0" w:color="auto"/>
          </w:divBdr>
        </w:div>
        <w:div w:id="492644494">
          <w:marLeft w:val="0"/>
          <w:marRight w:val="0"/>
          <w:marTop w:val="0"/>
          <w:marBottom w:val="0"/>
          <w:divBdr>
            <w:top w:val="none" w:sz="0" w:space="0" w:color="auto"/>
            <w:left w:val="none" w:sz="0" w:space="0" w:color="auto"/>
            <w:bottom w:val="none" w:sz="0" w:space="0" w:color="auto"/>
            <w:right w:val="none" w:sz="0" w:space="0" w:color="auto"/>
          </w:divBdr>
        </w:div>
        <w:div w:id="1427993188">
          <w:marLeft w:val="0"/>
          <w:marRight w:val="0"/>
          <w:marTop w:val="0"/>
          <w:marBottom w:val="0"/>
          <w:divBdr>
            <w:top w:val="none" w:sz="0" w:space="0" w:color="auto"/>
            <w:left w:val="none" w:sz="0" w:space="0" w:color="auto"/>
            <w:bottom w:val="none" w:sz="0" w:space="0" w:color="auto"/>
            <w:right w:val="none" w:sz="0" w:space="0" w:color="auto"/>
          </w:divBdr>
        </w:div>
        <w:div w:id="348801938">
          <w:marLeft w:val="0"/>
          <w:marRight w:val="0"/>
          <w:marTop w:val="0"/>
          <w:marBottom w:val="0"/>
          <w:divBdr>
            <w:top w:val="none" w:sz="0" w:space="0" w:color="auto"/>
            <w:left w:val="none" w:sz="0" w:space="0" w:color="auto"/>
            <w:bottom w:val="none" w:sz="0" w:space="0" w:color="auto"/>
            <w:right w:val="none" w:sz="0" w:space="0" w:color="auto"/>
          </w:divBdr>
        </w:div>
        <w:div w:id="1076050907">
          <w:marLeft w:val="0"/>
          <w:marRight w:val="0"/>
          <w:marTop w:val="0"/>
          <w:marBottom w:val="0"/>
          <w:divBdr>
            <w:top w:val="none" w:sz="0" w:space="0" w:color="auto"/>
            <w:left w:val="none" w:sz="0" w:space="0" w:color="auto"/>
            <w:bottom w:val="none" w:sz="0" w:space="0" w:color="auto"/>
            <w:right w:val="none" w:sz="0" w:space="0" w:color="auto"/>
          </w:divBdr>
        </w:div>
        <w:div w:id="1516455372">
          <w:marLeft w:val="0"/>
          <w:marRight w:val="0"/>
          <w:marTop w:val="0"/>
          <w:marBottom w:val="0"/>
          <w:divBdr>
            <w:top w:val="none" w:sz="0" w:space="0" w:color="auto"/>
            <w:left w:val="none" w:sz="0" w:space="0" w:color="auto"/>
            <w:bottom w:val="none" w:sz="0" w:space="0" w:color="auto"/>
            <w:right w:val="none" w:sz="0" w:space="0" w:color="auto"/>
          </w:divBdr>
        </w:div>
        <w:div w:id="984628530">
          <w:marLeft w:val="0"/>
          <w:marRight w:val="0"/>
          <w:marTop w:val="0"/>
          <w:marBottom w:val="0"/>
          <w:divBdr>
            <w:top w:val="none" w:sz="0" w:space="0" w:color="auto"/>
            <w:left w:val="none" w:sz="0" w:space="0" w:color="auto"/>
            <w:bottom w:val="none" w:sz="0" w:space="0" w:color="auto"/>
            <w:right w:val="none" w:sz="0" w:space="0" w:color="auto"/>
          </w:divBdr>
        </w:div>
        <w:div w:id="1258100063">
          <w:marLeft w:val="0"/>
          <w:marRight w:val="0"/>
          <w:marTop w:val="0"/>
          <w:marBottom w:val="0"/>
          <w:divBdr>
            <w:top w:val="none" w:sz="0" w:space="0" w:color="auto"/>
            <w:left w:val="none" w:sz="0" w:space="0" w:color="auto"/>
            <w:bottom w:val="none" w:sz="0" w:space="0" w:color="auto"/>
            <w:right w:val="none" w:sz="0" w:space="0" w:color="auto"/>
          </w:divBdr>
        </w:div>
        <w:div w:id="2064057520">
          <w:marLeft w:val="0"/>
          <w:marRight w:val="0"/>
          <w:marTop w:val="0"/>
          <w:marBottom w:val="0"/>
          <w:divBdr>
            <w:top w:val="none" w:sz="0" w:space="0" w:color="auto"/>
            <w:left w:val="none" w:sz="0" w:space="0" w:color="auto"/>
            <w:bottom w:val="none" w:sz="0" w:space="0" w:color="auto"/>
            <w:right w:val="none" w:sz="0" w:space="0" w:color="auto"/>
          </w:divBdr>
        </w:div>
        <w:div w:id="1418671504">
          <w:marLeft w:val="0"/>
          <w:marRight w:val="0"/>
          <w:marTop w:val="0"/>
          <w:marBottom w:val="0"/>
          <w:divBdr>
            <w:top w:val="none" w:sz="0" w:space="0" w:color="auto"/>
            <w:left w:val="none" w:sz="0" w:space="0" w:color="auto"/>
            <w:bottom w:val="none" w:sz="0" w:space="0" w:color="auto"/>
            <w:right w:val="none" w:sz="0" w:space="0" w:color="auto"/>
          </w:divBdr>
        </w:div>
        <w:div w:id="2124612210">
          <w:marLeft w:val="0"/>
          <w:marRight w:val="0"/>
          <w:marTop w:val="0"/>
          <w:marBottom w:val="0"/>
          <w:divBdr>
            <w:top w:val="none" w:sz="0" w:space="0" w:color="auto"/>
            <w:left w:val="none" w:sz="0" w:space="0" w:color="auto"/>
            <w:bottom w:val="none" w:sz="0" w:space="0" w:color="auto"/>
            <w:right w:val="none" w:sz="0" w:space="0" w:color="auto"/>
          </w:divBdr>
        </w:div>
        <w:div w:id="1611353005">
          <w:marLeft w:val="0"/>
          <w:marRight w:val="0"/>
          <w:marTop w:val="0"/>
          <w:marBottom w:val="0"/>
          <w:divBdr>
            <w:top w:val="none" w:sz="0" w:space="0" w:color="auto"/>
            <w:left w:val="none" w:sz="0" w:space="0" w:color="auto"/>
            <w:bottom w:val="none" w:sz="0" w:space="0" w:color="auto"/>
            <w:right w:val="none" w:sz="0" w:space="0" w:color="auto"/>
          </w:divBdr>
        </w:div>
        <w:div w:id="964507481">
          <w:marLeft w:val="0"/>
          <w:marRight w:val="0"/>
          <w:marTop w:val="0"/>
          <w:marBottom w:val="0"/>
          <w:divBdr>
            <w:top w:val="none" w:sz="0" w:space="0" w:color="auto"/>
            <w:left w:val="none" w:sz="0" w:space="0" w:color="auto"/>
            <w:bottom w:val="none" w:sz="0" w:space="0" w:color="auto"/>
            <w:right w:val="none" w:sz="0" w:space="0" w:color="auto"/>
          </w:divBdr>
        </w:div>
        <w:div w:id="2046909934">
          <w:marLeft w:val="0"/>
          <w:marRight w:val="0"/>
          <w:marTop w:val="0"/>
          <w:marBottom w:val="0"/>
          <w:divBdr>
            <w:top w:val="none" w:sz="0" w:space="0" w:color="auto"/>
            <w:left w:val="none" w:sz="0" w:space="0" w:color="auto"/>
            <w:bottom w:val="none" w:sz="0" w:space="0" w:color="auto"/>
            <w:right w:val="none" w:sz="0" w:space="0" w:color="auto"/>
          </w:divBdr>
        </w:div>
        <w:div w:id="140276960">
          <w:marLeft w:val="0"/>
          <w:marRight w:val="0"/>
          <w:marTop w:val="0"/>
          <w:marBottom w:val="0"/>
          <w:divBdr>
            <w:top w:val="none" w:sz="0" w:space="0" w:color="auto"/>
            <w:left w:val="none" w:sz="0" w:space="0" w:color="auto"/>
            <w:bottom w:val="none" w:sz="0" w:space="0" w:color="auto"/>
            <w:right w:val="none" w:sz="0" w:space="0" w:color="auto"/>
          </w:divBdr>
        </w:div>
        <w:div w:id="1341392530">
          <w:marLeft w:val="0"/>
          <w:marRight w:val="0"/>
          <w:marTop w:val="0"/>
          <w:marBottom w:val="0"/>
          <w:divBdr>
            <w:top w:val="none" w:sz="0" w:space="0" w:color="auto"/>
            <w:left w:val="none" w:sz="0" w:space="0" w:color="auto"/>
            <w:bottom w:val="none" w:sz="0" w:space="0" w:color="auto"/>
            <w:right w:val="none" w:sz="0" w:space="0" w:color="auto"/>
          </w:divBdr>
        </w:div>
        <w:div w:id="168446675">
          <w:marLeft w:val="0"/>
          <w:marRight w:val="0"/>
          <w:marTop w:val="0"/>
          <w:marBottom w:val="0"/>
          <w:divBdr>
            <w:top w:val="none" w:sz="0" w:space="0" w:color="auto"/>
            <w:left w:val="none" w:sz="0" w:space="0" w:color="auto"/>
            <w:bottom w:val="none" w:sz="0" w:space="0" w:color="auto"/>
            <w:right w:val="none" w:sz="0" w:space="0" w:color="auto"/>
          </w:divBdr>
        </w:div>
        <w:div w:id="717820510">
          <w:marLeft w:val="0"/>
          <w:marRight w:val="0"/>
          <w:marTop w:val="0"/>
          <w:marBottom w:val="0"/>
          <w:divBdr>
            <w:top w:val="none" w:sz="0" w:space="0" w:color="auto"/>
            <w:left w:val="none" w:sz="0" w:space="0" w:color="auto"/>
            <w:bottom w:val="none" w:sz="0" w:space="0" w:color="auto"/>
            <w:right w:val="none" w:sz="0" w:space="0" w:color="auto"/>
          </w:divBdr>
        </w:div>
        <w:div w:id="939608661">
          <w:marLeft w:val="0"/>
          <w:marRight w:val="0"/>
          <w:marTop w:val="0"/>
          <w:marBottom w:val="0"/>
          <w:divBdr>
            <w:top w:val="none" w:sz="0" w:space="0" w:color="auto"/>
            <w:left w:val="none" w:sz="0" w:space="0" w:color="auto"/>
            <w:bottom w:val="none" w:sz="0" w:space="0" w:color="auto"/>
            <w:right w:val="none" w:sz="0" w:space="0" w:color="auto"/>
          </w:divBdr>
        </w:div>
        <w:div w:id="1230002139">
          <w:marLeft w:val="0"/>
          <w:marRight w:val="0"/>
          <w:marTop w:val="0"/>
          <w:marBottom w:val="0"/>
          <w:divBdr>
            <w:top w:val="none" w:sz="0" w:space="0" w:color="auto"/>
            <w:left w:val="none" w:sz="0" w:space="0" w:color="auto"/>
            <w:bottom w:val="none" w:sz="0" w:space="0" w:color="auto"/>
            <w:right w:val="none" w:sz="0" w:space="0" w:color="auto"/>
          </w:divBdr>
        </w:div>
        <w:div w:id="47533140">
          <w:marLeft w:val="0"/>
          <w:marRight w:val="0"/>
          <w:marTop w:val="0"/>
          <w:marBottom w:val="0"/>
          <w:divBdr>
            <w:top w:val="none" w:sz="0" w:space="0" w:color="auto"/>
            <w:left w:val="none" w:sz="0" w:space="0" w:color="auto"/>
            <w:bottom w:val="none" w:sz="0" w:space="0" w:color="auto"/>
            <w:right w:val="none" w:sz="0" w:space="0" w:color="auto"/>
          </w:divBdr>
        </w:div>
        <w:div w:id="1684085994">
          <w:marLeft w:val="0"/>
          <w:marRight w:val="0"/>
          <w:marTop w:val="0"/>
          <w:marBottom w:val="0"/>
          <w:divBdr>
            <w:top w:val="none" w:sz="0" w:space="0" w:color="auto"/>
            <w:left w:val="none" w:sz="0" w:space="0" w:color="auto"/>
            <w:bottom w:val="none" w:sz="0" w:space="0" w:color="auto"/>
            <w:right w:val="none" w:sz="0" w:space="0" w:color="auto"/>
          </w:divBdr>
        </w:div>
      </w:divsChild>
    </w:div>
    <w:div w:id="1317492764">
      <w:bodyDiv w:val="1"/>
      <w:marLeft w:val="0"/>
      <w:marRight w:val="0"/>
      <w:marTop w:val="0"/>
      <w:marBottom w:val="0"/>
      <w:divBdr>
        <w:top w:val="none" w:sz="0" w:space="0" w:color="auto"/>
        <w:left w:val="none" w:sz="0" w:space="0" w:color="auto"/>
        <w:bottom w:val="none" w:sz="0" w:space="0" w:color="auto"/>
        <w:right w:val="none" w:sz="0" w:space="0" w:color="auto"/>
      </w:divBdr>
      <w:divsChild>
        <w:div w:id="1810975765">
          <w:marLeft w:val="0"/>
          <w:marRight w:val="0"/>
          <w:marTop w:val="0"/>
          <w:marBottom w:val="0"/>
          <w:divBdr>
            <w:top w:val="none" w:sz="0" w:space="0" w:color="auto"/>
            <w:left w:val="none" w:sz="0" w:space="0" w:color="auto"/>
            <w:bottom w:val="none" w:sz="0" w:space="0" w:color="auto"/>
            <w:right w:val="none" w:sz="0" w:space="0" w:color="auto"/>
          </w:divBdr>
        </w:div>
        <w:div w:id="1858694037">
          <w:marLeft w:val="0"/>
          <w:marRight w:val="0"/>
          <w:marTop w:val="0"/>
          <w:marBottom w:val="0"/>
          <w:divBdr>
            <w:top w:val="none" w:sz="0" w:space="0" w:color="auto"/>
            <w:left w:val="none" w:sz="0" w:space="0" w:color="auto"/>
            <w:bottom w:val="none" w:sz="0" w:space="0" w:color="auto"/>
            <w:right w:val="none" w:sz="0" w:space="0" w:color="auto"/>
          </w:divBdr>
        </w:div>
        <w:div w:id="1277560629">
          <w:marLeft w:val="0"/>
          <w:marRight w:val="0"/>
          <w:marTop w:val="0"/>
          <w:marBottom w:val="0"/>
          <w:divBdr>
            <w:top w:val="none" w:sz="0" w:space="0" w:color="auto"/>
            <w:left w:val="none" w:sz="0" w:space="0" w:color="auto"/>
            <w:bottom w:val="none" w:sz="0" w:space="0" w:color="auto"/>
            <w:right w:val="none" w:sz="0" w:space="0" w:color="auto"/>
          </w:divBdr>
        </w:div>
        <w:div w:id="2065525599">
          <w:marLeft w:val="0"/>
          <w:marRight w:val="0"/>
          <w:marTop w:val="0"/>
          <w:marBottom w:val="0"/>
          <w:divBdr>
            <w:top w:val="none" w:sz="0" w:space="0" w:color="auto"/>
            <w:left w:val="none" w:sz="0" w:space="0" w:color="auto"/>
            <w:bottom w:val="none" w:sz="0" w:space="0" w:color="auto"/>
            <w:right w:val="none" w:sz="0" w:space="0" w:color="auto"/>
          </w:divBdr>
        </w:div>
        <w:div w:id="1218707462">
          <w:marLeft w:val="0"/>
          <w:marRight w:val="0"/>
          <w:marTop w:val="0"/>
          <w:marBottom w:val="0"/>
          <w:divBdr>
            <w:top w:val="none" w:sz="0" w:space="0" w:color="auto"/>
            <w:left w:val="none" w:sz="0" w:space="0" w:color="auto"/>
            <w:bottom w:val="none" w:sz="0" w:space="0" w:color="auto"/>
            <w:right w:val="none" w:sz="0" w:space="0" w:color="auto"/>
          </w:divBdr>
        </w:div>
        <w:div w:id="1585340008">
          <w:marLeft w:val="0"/>
          <w:marRight w:val="0"/>
          <w:marTop w:val="0"/>
          <w:marBottom w:val="0"/>
          <w:divBdr>
            <w:top w:val="none" w:sz="0" w:space="0" w:color="auto"/>
            <w:left w:val="none" w:sz="0" w:space="0" w:color="auto"/>
            <w:bottom w:val="none" w:sz="0" w:space="0" w:color="auto"/>
            <w:right w:val="none" w:sz="0" w:space="0" w:color="auto"/>
          </w:divBdr>
        </w:div>
        <w:div w:id="1832257347">
          <w:marLeft w:val="0"/>
          <w:marRight w:val="0"/>
          <w:marTop w:val="0"/>
          <w:marBottom w:val="0"/>
          <w:divBdr>
            <w:top w:val="none" w:sz="0" w:space="0" w:color="auto"/>
            <w:left w:val="none" w:sz="0" w:space="0" w:color="auto"/>
            <w:bottom w:val="none" w:sz="0" w:space="0" w:color="auto"/>
            <w:right w:val="none" w:sz="0" w:space="0" w:color="auto"/>
          </w:divBdr>
        </w:div>
        <w:div w:id="621693468">
          <w:marLeft w:val="0"/>
          <w:marRight w:val="0"/>
          <w:marTop w:val="0"/>
          <w:marBottom w:val="0"/>
          <w:divBdr>
            <w:top w:val="none" w:sz="0" w:space="0" w:color="auto"/>
            <w:left w:val="none" w:sz="0" w:space="0" w:color="auto"/>
            <w:bottom w:val="none" w:sz="0" w:space="0" w:color="auto"/>
            <w:right w:val="none" w:sz="0" w:space="0" w:color="auto"/>
          </w:divBdr>
        </w:div>
        <w:div w:id="977490450">
          <w:marLeft w:val="0"/>
          <w:marRight w:val="0"/>
          <w:marTop w:val="0"/>
          <w:marBottom w:val="0"/>
          <w:divBdr>
            <w:top w:val="none" w:sz="0" w:space="0" w:color="auto"/>
            <w:left w:val="none" w:sz="0" w:space="0" w:color="auto"/>
            <w:bottom w:val="none" w:sz="0" w:space="0" w:color="auto"/>
            <w:right w:val="none" w:sz="0" w:space="0" w:color="auto"/>
          </w:divBdr>
        </w:div>
        <w:div w:id="395593699">
          <w:marLeft w:val="0"/>
          <w:marRight w:val="0"/>
          <w:marTop w:val="0"/>
          <w:marBottom w:val="0"/>
          <w:divBdr>
            <w:top w:val="none" w:sz="0" w:space="0" w:color="auto"/>
            <w:left w:val="none" w:sz="0" w:space="0" w:color="auto"/>
            <w:bottom w:val="none" w:sz="0" w:space="0" w:color="auto"/>
            <w:right w:val="none" w:sz="0" w:space="0" w:color="auto"/>
          </w:divBdr>
        </w:div>
        <w:div w:id="1895115911">
          <w:marLeft w:val="0"/>
          <w:marRight w:val="0"/>
          <w:marTop w:val="0"/>
          <w:marBottom w:val="0"/>
          <w:divBdr>
            <w:top w:val="none" w:sz="0" w:space="0" w:color="auto"/>
            <w:left w:val="none" w:sz="0" w:space="0" w:color="auto"/>
            <w:bottom w:val="none" w:sz="0" w:space="0" w:color="auto"/>
            <w:right w:val="none" w:sz="0" w:space="0" w:color="auto"/>
          </w:divBdr>
        </w:div>
        <w:div w:id="1561162613">
          <w:marLeft w:val="0"/>
          <w:marRight w:val="0"/>
          <w:marTop w:val="0"/>
          <w:marBottom w:val="0"/>
          <w:divBdr>
            <w:top w:val="none" w:sz="0" w:space="0" w:color="auto"/>
            <w:left w:val="none" w:sz="0" w:space="0" w:color="auto"/>
            <w:bottom w:val="none" w:sz="0" w:space="0" w:color="auto"/>
            <w:right w:val="none" w:sz="0" w:space="0" w:color="auto"/>
          </w:divBdr>
        </w:div>
        <w:div w:id="2048598352">
          <w:marLeft w:val="0"/>
          <w:marRight w:val="0"/>
          <w:marTop w:val="0"/>
          <w:marBottom w:val="0"/>
          <w:divBdr>
            <w:top w:val="none" w:sz="0" w:space="0" w:color="auto"/>
            <w:left w:val="none" w:sz="0" w:space="0" w:color="auto"/>
            <w:bottom w:val="none" w:sz="0" w:space="0" w:color="auto"/>
            <w:right w:val="none" w:sz="0" w:space="0" w:color="auto"/>
          </w:divBdr>
        </w:div>
        <w:div w:id="261450246">
          <w:marLeft w:val="0"/>
          <w:marRight w:val="0"/>
          <w:marTop w:val="0"/>
          <w:marBottom w:val="0"/>
          <w:divBdr>
            <w:top w:val="none" w:sz="0" w:space="0" w:color="auto"/>
            <w:left w:val="none" w:sz="0" w:space="0" w:color="auto"/>
            <w:bottom w:val="none" w:sz="0" w:space="0" w:color="auto"/>
            <w:right w:val="none" w:sz="0" w:space="0" w:color="auto"/>
          </w:divBdr>
        </w:div>
        <w:div w:id="388384327">
          <w:marLeft w:val="0"/>
          <w:marRight w:val="0"/>
          <w:marTop w:val="0"/>
          <w:marBottom w:val="0"/>
          <w:divBdr>
            <w:top w:val="none" w:sz="0" w:space="0" w:color="auto"/>
            <w:left w:val="none" w:sz="0" w:space="0" w:color="auto"/>
            <w:bottom w:val="none" w:sz="0" w:space="0" w:color="auto"/>
            <w:right w:val="none" w:sz="0" w:space="0" w:color="auto"/>
          </w:divBdr>
        </w:div>
        <w:div w:id="1005933690">
          <w:marLeft w:val="0"/>
          <w:marRight w:val="0"/>
          <w:marTop w:val="0"/>
          <w:marBottom w:val="0"/>
          <w:divBdr>
            <w:top w:val="none" w:sz="0" w:space="0" w:color="auto"/>
            <w:left w:val="none" w:sz="0" w:space="0" w:color="auto"/>
            <w:bottom w:val="none" w:sz="0" w:space="0" w:color="auto"/>
            <w:right w:val="none" w:sz="0" w:space="0" w:color="auto"/>
          </w:divBdr>
        </w:div>
        <w:div w:id="2128811689">
          <w:marLeft w:val="0"/>
          <w:marRight w:val="0"/>
          <w:marTop w:val="0"/>
          <w:marBottom w:val="0"/>
          <w:divBdr>
            <w:top w:val="none" w:sz="0" w:space="0" w:color="auto"/>
            <w:left w:val="none" w:sz="0" w:space="0" w:color="auto"/>
            <w:bottom w:val="none" w:sz="0" w:space="0" w:color="auto"/>
            <w:right w:val="none" w:sz="0" w:space="0" w:color="auto"/>
          </w:divBdr>
        </w:div>
        <w:div w:id="1439714903">
          <w:marLeft w:val="0"/>
          <w:marRight w:val="0"/>
          <w:marTop w:val="0"/>
          <w:marBottom w:val="0"/>
          <w:divBdr>
            <w:top w:val="none" w:sz="0" w:space="0" w:color="auto"/>
            <w:left w:val="none" w:sz="0" w:space="0" w:color="auto"/>
            <w:bottom w:val="none" w:sz="0" w:space="0" w:color="auto"/>
            <w:right w:val="none" w:sz="0" w:space="0" w:color="auto"/>
          </w:divBdr>
        </w:div>
        <w:div w:id="95291359">
          <w:marLeft w:val="0"/>
          <w:marRight w:val="0"/>
          <w:marTop w:val="0"/>
          <w:marBottom w:val="0"/>
          <w:divBdr>
            <w:top w:val="none" w:sz="0" w:space="0" w:color="auto"/>
            <w:left w:val="none" w:sz="0" w:space="0" w:color="auto"/>
            <w:bottom w:val="none" w:sz="0" w:space="0" w:color="auto"/>
            <w:right w:val="none" w:sz="0" w:space="0" w:color="auto"/>
          </w:divBdr>
        </w:div>
        <w:div w:id="1929653068">
          <w:marLeft w:val="0"/>
          <w:marRight w:val="0"/>
          <w:marTop w:val="0"/>
          <w:marBottom w:val="0"/>
          <w:divBdr>
            <w:top w:val="none" w:sz="0" w:space="0" w:color="auto"/>
            <w:left w:val="none" w:sz="0" w:space="0" w:color="auto"/>
            <w:bottom w:val="none" w:sz="0" w:space="0" w:color="auto"/>
            <w:right w:val="none" w:sz="0" w:space="0" w:color="auto"/>
          </w:divBdr>
        </w:div>
        <w:div w:id="702631983">
          <w:marLeft w:val="0"/>
          <w:marRight w:val="0"/>
          <w:marTop w:val="0"/>
          <w:marBottom w:val="0"/>
          <w:divBdr>
            <w:top w:val="none" w:sz="0" w:space="0" w:color="auto"/>
            <w:left w:val="none" w:sz="0" w:space="0" w:color="auto"/>
            <w:bottom w:val="none" w:sz="0" w:space="0" w:color="auto"/>
            <w:right w:val="none" w:sz="0" w:space="0" w:color="auto"/>
          </w:divBdr>
        </w:div>
        <w:div w:id="1295409094">
          <w:marLeft w:val="0"/>
          <w:marRight w:val="0"/>
          <w:marTop w:val="0"/>
          <w:marBottom w:val="0"/>
          <w:divBdr>
            <w:top w:val="none" w:sz="0" w:space="0" w:color="auto"/>
            <w:left w:val="none" w:sz="0" w:space="0" w:color="auto"/>
            <w:bottom w:val="none" w:sz="0" w:space="0" w:color="auto"/>
            <w:right w:val="none" w:sz="0" w:space="0" w:color="auto"/>
          </w:divBdr>
        </w:div>
        <w:div w:id="1489710978">
          <w:marLeft w:val="0"/>
          <w:marRight w:val="0"/>
          <w:marTop w:val="0"/>
          <w:marBottom w:val="0"/>
          <w:divBdr>
            <w:top w:val="none" w:sz="0" w:space="0" w:color="auto"/>
            <w:left w:val="none" w:sz="0" w:space="0" w:color="auto"/>
            <w:bottom w:val="none" w:sz="0" w:space="0" w:color="auto"/>
            <w:right w:val="none" w:sz="0" w:space="0" w:color="auto"/>
          </w:divBdr>
        </w:div>
        <w:div w:id="658460812">
          <w:marLeft w:val="0"/>
          <w:marRight w:val="0"/>
          <w:marTop w:val="0"/>
          <w:marBottom w:val="0"/>
          <w:divBdr>
            <w:top w:val="none" w:sz="0" w:space="0" w:color="auto"/>
            <w:left w:val="none" w:sz="0" w:space="0" w:color="auto"/>
            <w:bottom w:val="none" w:sz="0" w:space="0" w:color="auto"/>
            <w:right w:val="none" w:sz="0" w:space="0" w:color="auto"/>
          </w:divBdr>
        </w:div>
        <w:div w:id="782916810">
          <w:marLeft w:val="0"/>
          <w:marRight w:val="0"/>
          <w:marTop w:val="0"/>
          <w:marBottom w:val="0"/>
          <w:divBdr>
            <w:top w:val="none" w:sz="0" w:space="0" w:color="auto"/>
            <w:left w:val="none" w:sz="0" w:space="0" w:color="auto"/>
            <w:bottom w:val="none" w:sz="0" w:space="0" w:color="auto"/>
            <w:right w:val="none" w:sz="0" w:space="0" w:color="auto"/>
          </w:divBdr>
        </w:div>
        <w:div w:id="1184781044">
          <w:marLeft w:val="0"/>
          <w:marRight w:val="0"/>
          <w:marTop w:val="0"/>
          <w:marBottom w:val="0"/>
          <w:divBdr>
            <w:top w:val="none" w:sz="0" w:space="0" w:color="auto"/>
            <w:left w:val="none" w:sz="0" w:space="0" w:color="auto"/>
            <w:bottom w:val="none" w:sz="0" w:space="0" w:color="auto"/>
            <w:right w:val="none" w:sz="0" w:space="0" w:color="auto"/>
          </w:divBdr>
        </w:div>
        <w:div w:id="2030790135">
          <w:marLeft w:val="0"/>
          <w:marRight w:val="0"/>
          <w:marTop w:val="0"/>
          <w:marBottom w:val="0"/>
          <w:divBdr>
            <w:top w:val="none" w:sz="0" w:space="0" w:color="auto"/>
            <w:left w:val="none" w:sz="0" w:space="0" w:color="auto"/>
            <w:bottom w:val="none" w:sz="0" w:space="0" w:color="auto"/>
            <w:right w:val="none" w:sz="0" w:space="0" w:color="auto"/>
          </w:divBdr>
        </w:div>
        <w:div w:id="1372607666">
          <w:marLeft w:val="0"/>
          <w:marRight w:val="0"/>
          <w:marTop w:val="0"/>
          <w:marBottom w:val="0"/>
          <w:divBdr>
            <w:top w:val="none" w:sz="0" w:space="0" w:color="auto"/>
            <w:left w:val="none" w:sz="0" w:space="0" w:color="auto"/>
            <w:bottom w:val="none" w:sz="0" w:space="0" w:color="auto"/>
            <w:right w:val="none" w:sz="0" w:space="0" w:color="auto"/>
          </w:divBdr>
        </w:div>
        <w:div w:id="1660772753">
          <w:marLeft w:val="0"/>
          <w:marRight w:val="0"/>
          <w:marTop w:val="0"/>
          <w:marBottom w:val="0"/>
          <w:divBdr>
            <w:top w:val="none" w:sz="0" w:space="0" w:color="auto"/>
            <w:left w:val="none" w:sz="0" w:space="0" w:color="auto"/>
            <w:bottom w:val="none" w:sz="0" w:space="0" w:color="auto"/>
            <w:right w:val="none" w:sz="0" w:space="0" w:color="auto"/>
          </w:divBdr>
        </w:div>
        <w:div w:id="240911261">
          <w:marLeft w:val="0"/>
          <w:marRight w:val="0"/>
          <w:marTop w:val="0"/>
          <w:marBottom w:val="0"/>
          <w:divBdr>
            <w:top w:val="none" w:sz="0" w:space="0" w:color="auto"/>
            <w:left w:val="none" w:sz="0" w:space="0" w:color="auto"/>
            <w:bottom w:val="none" w:sz="0" w:space="0" w:color="auto"/>
            <w:right w:val="none" w:sz="0" w:space="0" w:color="auto"/>
          </w:divBdr>
        </w:div>
        <w:div w:id="548690694">
          <w:marLeft w:val="0"/>
          <w:marRight w:val="0"/>
          <w:marTop w:val="0"/>
          <w:marBottom w:val="0"/>
          <w:divBdr>
            <w:top w:val="none" w:sz="0" w:space="0" w:color="auto"/>
            <w:left w:val="none" w:sz="0" w:space="0" w:color="auto"/>
            <w:bottom w:val="none" w:sz="0" w:space="0" w:color="auto"/>
            <w:right w:val="none" w:sz="0" w:space="0" w:color="auto"/>
          </w:divBdr>
        </w:div>
        <w:div w:id="137067557">
          <w:marLeft w:val="0"/>
          <w:marRight w:val="0"/>
          <w:marTop w:val="0"/>
          <w:marBottom w:val="0"/>
          <w:divBdr>
            <w:top w:val="none" w:sz="0" w:space="0" w:color="auto"/>
            <w:left w:val="none" w:sz="0" w:space="0" w:color="auto"/>
            <w:bottom w:val="none" w:sz="0" w:space="0" w:color="auto"/>
            <w:right w:val="none" w:sz="0" w:space="0" w:color="auto"/>
          </w:divBdr>
        </w:div>
      </w:divsChild>
    </w:div>
    <w:div w:id="1979146379">
      <w:bodyDiv w:val="1"/>
      <w:marLeft w:val="0"/>
      <w:marRight w:val="0"/>
      <w:marTop w:val="0"/>
      <w:marBottom w:val="0"/>
      <w:divBdr>
        <w:top w:val="none" w:sz="0" w:space="0" w:color="auto"/>
        <w:left w:val="none" w:sz="0" w:space="0" w:color="auto"/>
        <w:bottom w:val="none" w:sz="0" w:space="0" w:color="auto"/>
        <w:right w:val="none" w:sz="0" w:space="0" w:color="auto"/>
      </w:divBdr>
      <w:divsChild>
        <w:div w:id="468325269">
          <w:marLeft w:val="0"/>
          <w:marRight w:val="0"/>
          <w:marTop w:val="0"/>
          <w:marBottom w:val="0"/>
          <w:divBdr>
            <w:top w:val="none" w:sz="0" w:space="0" w:color="auto"/>
            <w:left w:val="none" w:sz="0" w:space="0" w:color="auto"/>
            <w:bottom w:val="none" w:sz="0" w:space="0" w:color="auto"/>
            <w:right w:val="none" w:sz="0" w:space="0" w:color="auto"/>
          </w:divBdr>
        </w:div>
        <w:div w:id="989866046">
          <w:marLeft w:val="0"/>
          <w:marRight w:val="0"/>
          <w:marTop w:val="0"/>
          <w:marBottom w:val="0"/>
          <w:divBdr>
            <w:top w:val="none" w:sz="0" w:space="0" w:color="auto"/>
            <w:left w:val="none" w:sz="0" w:space="0" w:color="auto"/>
            <w:bottom w:val="none" w:sz="0" w:space="0" w:color="auto"/>
            <w:right w:val="none" w:sz="0" w:space="0" w:color="auto"/>
          </w:divBdr>
        </w:div>
        <w:div w:id="1905799430">
          <w:marLeft w:val="0"/>
          <w:marRight w:val="0"/>
          <w:marTop w:val="0"/>
          <w:marBottom w:val="0"/>
          <w:divBdr>
            <w:top w:val="none" w:sz="0" w:space="0" w:color="auto"/>
            <w:left w:val="none" w:sz="0" w:space="0" w:color="auto"/>
            <w:bottom w:val="none" w:sz="0" w:space="0" w:color="auto"/>
            <w:right w:val="none" w:sz="0" w:space="0" w:color="auto"/>
          </w:divBdr>
        </w:div>
        <w:div w:id="1138954093">
          <w:marLeft w:val="0"/>
          <w:marRight w:val="0"/>
          <w:marTop w:val="0"/>
          <w:marBottom w:val="0"/>
          <w:divBdr>
            <w:top w:val="none" w:sz="0" w:space="0" w:color="auto"/>
            <w:left w:val="none" w:sz="0" w:space="0" w:color="auto"/>
            <w:bottom w:val="none" w:sz="0" w:space="0" w:color="auto"/>
            <w:right w:val="none" w:sz="0" w:space="0" w:color="auto"/>
          </w:divBdr>
        </w:div>
        <w:div w:id="1464420356">
          <w:marLeft w:val="0"/>
          <w:marRight w:val="0"/>
          <w:marTop w:val="0"/>
          <w:marBottom w:val="0"/>
          <w:divBdr>
            <w:top w:val="none" w:sz="0" w:space="0" w:color="auto"/>
            <w:left w:val="none" w:sz="0" w:space="0" w:color="auto"/>
            <w:bottom w:val="none" w:sz="0" w:space="0" w:color="auto"/>
            <w:right w:val="none" w:sz="0" w:space="0" w:color="auto"/>
          </w:divBdr>
        </w:div>
        <w:div w:id="1798598480">
          <w:marLeft w:val="0"/>
          <w:marRight w:val="0"/>
          <w:marTop w:val="0"/>
          <w:marBottom w:val="0"/>
          <w:divBdr>
            <w:top w:val="none" w:sz="0" w:space="0" w:color="auto"/>
            <w:left w:val="none" w:sz="0" w:space="0" w:color="auto"/>
            <w:bottom w:val="none" w:sz="0" w:space="0" w:color="auto"/>
            <w:right w:val="none" w:sz="0" w:space="0" w:color="auto"/>
          </w:divBdr>
        </w:div>
        <w:div w:id="1820269264">
          <w:marLeft w:val="0"/>
          <w:marRight w:val="0"/>
          <w:marTop w:val="0"/>
          <w:marBottom w:val="0"/>
          <w:divBdr>
            <w:top w:val="none" w:sz="0" w:space="0" w:color="auto"/>
            <w:left w:val="none" w:sz="0" w:space="0" w:color="auto"/>
            <w:bottom w:val="none" w:sz="0" w:space="0" w:color="auto"/>
            <w:right w:val="none" w:sz="0" w:space="0" w:color="auto"/>
          </w:divBdr>
        </w:div>
        <w:div w:id="903638194">
          <w:marLeft w:val="0"/>
          <w:marRight w:val="0"/>
          <w:marTop w:val="0"/>
          <w:marBottom w:val="0"/>
          <w:divBdr>
            <w:top w:val="none" w:sz="0" w:space="0" w:color="auto"/>
            <w:left w:val="none" w:sz="0" w:space="0" w:color="auto"/>
            <w:bottom w:val="none" w:sz="0" w:space="0" w:color="auto"/>
            <w:right w:val="none" w:sz="0" w:space="0" w:color="auto"/>
          </w:divBdr>
        </w:div>
        <w:div w:id="272907344">
          <w:marLeft w:val="0"/>
          <w:marRight w:val="0"/>
          <w:marTop w:val="0"/>
          <w:marBottom w:val="0"/>
          <w:divBdr>
            <w:top w:val="none" w:sz="0" w:space="0" w:color="auto"/>
            <w:left w:val="none" w:sz="0" w:space="0" w:color="auto"/>
            <w:bottom w:val="none" w:sz="0" w:space="0" w:color="auto"/>
            <w:right w:val="none" w:sz="0" w:space="0" w:color="auto"/>
          </w:divBdr>
        </w:div>
        <w:div w:id="1856767542">
          <w:marLeft w:val="0"/>
          <w:marRight w:val="0"/>
          <w:marTop w:val="0"/>
          <w:marBottom w:val="0"/>
          <w:divBdr>
            <w:top w:val="none" w:sz="0" w:space="0" w:color="auto"/>
            <w:left w:val="none" w:sz="0" w:space="0" w:color="auto"/>
            <w:bottom w:val="none" w:sz="0" w:space="0" w:color="auto"/>
            <w:right w:val="none" w:sz="0" w:space="0" w:color="auto"/>
          </w:divBdr>
        </w:div>
        <w:div w:id="1636258465">
          <w:marLeft w:val="0"/>
          <w:marRight w:val="0"/>
          <w:marTop w:val="0"/>
          <w:marBottom w:val="0"/>
          <w:divBdr>
            <w:top w:val="none" w:sz="0" w:space="0" w:color="auto"/>
            <w:left w:val="none" w:sz="0" w:space="0" w:color="auto"/>
            <w:bottom w:val="none" w:sz="0" w:space="0" w:color="auto"/>
            <w:right w:val="none" w:sz="0" w:space="0" w:color="auto"/>
          </w:divBdr>
        </w:div>
        <w:div w:id="437483811">
          <w:marLeft w:val="0"/>
          <w:marRight w:val="0"/>
          <w:marTop w:val="0"/>
          <w:marBottom w:val="0"/>
          <w:divBdr>
            <w:top w:val="none" w:sz="0" w:space="0" w:color="auto"/>
            <w:left w:val="none" w:sz="0" w:space="0" w:color="auto"/>
            <w:bottom w:val="none" w:sz="0" w:space="0" w:color="auto"/>
            <w:right w:val="none" w:sz="0" w:space="0" w:color="auto"/>
          </w:divBdr>
        </w:div>
        <w:div w:id="1606113334">
          <w:marLeft w:val="0"/>
          <w:marRight w:val="0"/>
          <w:marTop w:val="0"/>
          <w:marBottom w:val="0"/>
          <w:divBdr>
            <w:top w:val="none" w:sz="0" w:space="0" w:color="auto"/>
            <w:left w:val="none" w:sz="0" w:space="0" w:color="auto"/>
            <w:bottom w:val="none" w:sz="0" w:space="0" w:color="auto"/>
            <w:right w:val="none" w:sz="0" w:space="0" w:color="auto"/>
          </w:divBdr>
        </w:div>
        <w:div w:id="886841613">
          <w:marLeft w:val="0"/>
          <w:marRight w:val="0"/>
          <w:marTop w:val="0"/>
          <w:marBottom w:val="0"/>
          <w:divBdr>
            <w:top w:val="none" w:sz="0" w:space="0" w:color="auto"/>
            <w:left w:val="none" w:sz="0" w:space="0" w:color="auto"/>
            <w:bottom w:val="none" w:sz="0" w:space="0" w:color="auto"/>
            <w:right w:val="none" w:sz="0" w:space="0" w:color="auto"/>
          </w:divBdr>
        </w:div>
        <w:div w:id="2443715">
          <w:marLeft w:val="0"/>
          <w:marRight w:val="0"/>
          <w:marTop w:val="0"/>
          <w:marBottom w:val="0"/>
          <w:divBdr>
            <w:top w:val="none" w:sz="0" w:space="0" w:color="auto"/>
            <w:left w:val="none" w:sz="0" w:space="0" w:color="auto"/>
            <w:bottom w:val="none" w:sz="0" w:space="0" w:color="auto"/>
            <w:right w:val="none" w:sz="0" w:space="0" w:color="auto"/>
          </w:divBdr>
        </w:div>
        <w:div w:id="1706441078">
          <w:marLeft w:val="0"/>
          <w:marRight w:val="0"/>
          <w:marTop w:val="0"/>
          <w:marBottom w:val="0"/>
          <w:divBdr>
            <w:top w:val="none" w:sz="0" w:space="0" w:color="auto"/>
            <w:left w:val="none" w:sz="0" w:space="0" w:color="auto"/>
            <w:bottom w:val="none" w:sz="0" w:space="0" w:color="auto"/>
            <w:right w:val="none" w:sz="0" w:space="0" w:color="auto"/>
          </w:divBdr>
        </w:div>
        <w:div w:id="2006745033">
          <w:marLeft w:val="0"/>
          <w:marRight w:val="0"/>
          <w:marTop w:val="0"/>
          <w:marBottom w:val="0"/>
          <w:divBdr>
            <w:top w:val="none" w:sz="0" w:space="0" w:color="auto"/>
            <w:left w:val="none" w:sz="0" w:space="0" w:color="auto"/>
            <w:bottom w:val="none" w:sz="0" w:space="0" w:color="auto"/>
            <w:right w:val="none" w:sz="0" w:space="0" w:color="auto"/>
          </w:divBdr>
        </w:div>
        <w:div w:id="1585872202">
          <w:marLeft w:val="0"/>
          <w:marRight w:val="0"/>
          <w:marTop w:val="0"/>
          <w:marBottom w:val="0"/>
          <w:divBdr>
            <w:top w:val="none" w:sz="0" w:space="0" w:color="auto"/>
            <w:left w:val="none" w:sz="0" w:space="0" w:color="auto"/>
            <w:bottom w:val="none" w:sz="0" w:space="0" w:color="auto"/>
            <w:right w:val="none" w:sz="0" w:space="0" w:color="auto"/>
          </w:divBdr>
        </w:div>
        <w:div w:id="942954124">
          <w:marLeft w:val="0"/>
          <w:marRight w:val="0"/>
          <w:marTop w:val="0"/>
          <w:marBottom w:val="0"/>
          <w:divBdr>
            <w:top w:val="none" w:sz="0" w:space="0" w:color="auto"/>
            <w:left w:val="none" w:sz="0" w:space="0" w:color="auto"/>
            <w:bottom w:val="none" w:sz="0" w:space="0" w:color="auto"/>
            <w:right w:val="none" w:sz="0" w:space="0" w:color="auto"/>
          </w:divBdr>
        </w:div>
        <w:div w:id="1245916632">
          <w:marLeft w:val="0"/>
          <w:marRight w:val="0"/>
          <w:marTop w:val="0"/>
          <w:marBottom w:val="0"/>
          <w:divBdr>
            <w:top w:val="none" w:sz="0" w:space="0" w:color="auto"/>
            <w:left w:val="none" w:sz="0" w:space="0" w:color="auto"/>
            <w:bottom w:val="none" w:sz="0" w:space="0" w:color="auto"/>
            <w:right w:val="none" w:sz="0" w:space="0" w:color="auto"/>
          </w:divBdr>
        </w:div>
        <w:div w:id="1201822002">
          <w:marLeft w:val="0"/>
          <w:marRight w:val="0"/>
          <w:marTop w:val="0"/>
          <w:marBottom w:val="0"/>
          <w:divBdr>
            <w:top w:val="none" w:sz="0" w:space="0" w:color="auto"/>
            <w:left w:val="none" w:sz="0" w:space="0" w:color="auto"/>
            <w:bottom w:val="none" w:sz="0" w:space="0" w:color="auto"/>
            <w:right w:val="none" w:sz="0" w:space="0" w:color="auto"/>
          </w:divBdr>
        </w:div>
        <w:div w:id="2070419399">
          <w:marLeft w:val="0"/>
          <w:marRight w:val="0"/>
          <w:marTop w:val="0"/>
          <w:marBottom w:val="0"/>
          <w:divBdr>
            <w:top w:val="none" w:sz="0" w:space="0" w:color="auto"/>
            <w:left w:val="none" w:sz="0" w:space="0" w:color="auto"/>
            <w:bottom w:val="none" w:sz="0" w:space="0" w:color="auto"/>
            <w:right w:val="none" w:sz="0" w:space="0" w:color="auto"/>
          </w:divBdr>
        </w:div>
        <w:div w:id="914243508">
          <w:marLeft w:val="0"/>
          <w:marRight w:val="0"/>
          <w:marTop w:val="0"/>
          <w:marBottom w:val="0"/>
          <w:divBdr>
            <w:top w:val="none" w:sz="0" w:space="0" w:color="auto"/>
            <w:left w:val="none" w:sz="0" w:space="0" w:color="auto"/>
            <w:bottom w:val="none" w:sz="0" w:space="0" w:color="auto"/>
            <w:right w:val="none" w:sz="0" w:space="0" w:color="auto"/>
          </w:divBdr>
        </w:div>
        <w:div w:id="1683513650">
          <w:marLeft w:val="0"/>
          <w:marRight w:val="0"/>
          <w:marTop w:val="0"/>
          <w:marBottom w:val="0"/>
          <w:divBdr>
            <w:top w:val="none" w:sz="0" w:space="0" w:color="auto"/>
            <w:left w:val="none" w:sz="0" w:space="0" w:color="auto"/>
            <w:bottom w:val="none" w:sz="0" w:space="0" w:color="auto"/>
            <w:right w:val="none" w:sz="0" w:space="0" w:color="auto"/>
          </w:divBdr>
        </w:div>
        <w:div w:id="1785273354">
          <w:marLeft w:val="0"/>
          <w:marRight w:val="0"/>
          <w:marTop w:val="0"/>
          <w:marBottom w:val="0"/>
          <w:divBdr>
            <w:top w:val="none" w:sz="0" w:space="0" w:color="auto"/>
            <w:left w:val="none" w:sz="0" w:space="0" w:color="auto"/>
            <w:bottom w:val="none" w:sz="0" w:space="0" w:color="auto"/>
            <w:right w:val="none" w:sz="0" w:space="0" w:color="auto"/>
          </w:divBdr>
        </w:div>
        <w:div w:id="838159525">
          <w:marLeft w:val="0"/>
          <w:marRight w:val="0"/>
          <w:marTop w:val="0"/>
          <w:marBottom w:val="0"/>
          <w:divBdr>
            <w:top w:val="none" w:sz="0" w:space="0" w:color="auto"/>
            <w:left w:val="none" w:sz="0" w:space="0" w:color="auto"/>
            <w:bottom w:val="none" w:sz="0" w:space="0" w:color="auto"/>
            <w:right w:val="none" w:sz="0" w:space="0" w:color="auto"/>
          </w:divBdr>
        </w:div>
        <w:div w:id="1698004382">
          <w:marLeft w:val="0"/>
          <w:marRight w:val="0"/>
          <w:marTop w:val="0"/>
          <w:marBottom w:val="0"/>
          <w:divBdr>
            <w:top w:val="none" w:sz="0" w:space="0" w:color="auto"/>
            <w:left w:val="none" w:sz="0" w:space="0" w:color="auto"/>
            <w:bottom w:val="none" w:sz="0" w:space="0" w:color="auto"/>
            <w:right w:val="none" w:sz="0" w:space="0" w:color="auto"/>
          </w:divBdr>
        </w:div>
        <w:div w:id="1342658367">
          <w:marLeft w:val="0"/>
          <w:marRight w:val="0"/>
          <w:marTop w:val="0"/>
          <w:marBottom w:val="0"/>
          <w:divBdr>
            <w:top w:val="none" w:sz="0" w:space="0" w:color="auto"/>
            <w:left w:val="none" w:sz="0" w:space="0" w:color="auto"/>
            <w:bottom w:val="none" w:sz="0" w:space="0" w:color="auto"/>
            <w:right w:val="none" w:sz="0" w:space="0" w:color="auto"/>
          </w:divBdr>
        </w:div>
        <w:div w:id="1037894300">
          <w:marLeft w:val="0"/>
          <w:marRight w:val="0"/>
          <w:marTop w:val="0"/>
          <w:marBottom w:val="0"/>
          <w:divBdr>
            <w:top w:val="none" w:sz="0" w:space="0" w:color="auto"/>
            <w:left w:val="none" w:sz="0" w:space="0" w:color="auto"/>
            <w:bottom w:val="none" w:sz="0" w:space="0" w:color="auto"/>
            <w:right w:val="none" w:sz="0" w:space="0" w:color="auto"/>
          </w:divBdr>
        </w:div>
        <w:div w:id="849375782">
          <w:marLeft w:val="0"/>
          <w:marRight w:val="0"/>
          <w:marTop w:val="0"/>
          <w:marBottom w:val="0"/>
          <w:divBdr>
            <w:top w:val="none" w:sz="0" w:space="0" w:color="auto"/>
            <w:left w:val="none" w:sz="0" w:space="0" w:color="auto"/>
            <w:bottom w:val="none" w:sz="0" w:space="0" w:color="auto"/>
            <w:right w:val="none" w:sz="0" w:space="0" w:color="auto"/>
          </w:divBdr>
        </w:div>
        <w:div w:id="1183397525">
          <w:marLeft w:val="0"/>
          <w:marRight w:val="0"/>
          <w:marTop w:val="0"/>
          <w:marBottom w:val="0"/>
          <w:divBdr>
            <w:top w:val="none" w:sz="0" w:space="0" w:color="auto"/>
            <w:left w:val="none" w:sz="0" w:space="0" w:color="auto"/>
            <w:bottom w:val="none" w:sz="0" w:space="0" w:color="auto"/>
            <w:right w:val="none" w:sz="0" w:space="0" w:color="auto"/>
          </w:divBdr>
        </w:div>
        <w:div w:id="2059011589">
          <w:marLeft w:val="0"/>
          <w:marRight w:val="0"/>
          <w:marTop w:val="0"/>
          <w:marBottom w:val="0"/>
          <w:divBdr>
            <w:top w:val="none" w:sz="0" w:space="0" w:color="auto"/>
            <w:left w:val="none" w:sz="0" w:space="0" w:color="auto"/>
            <w:bottom w:val="none" w:sz="0" w:space="0" w:color="auto"/>
            <w:right w:val="none" w:sz="0" w:space="0" w:color="auto"/>
          </w:divBdr>
        </w:div>
      </w:divsChild>
    </w:div>
    <w:div w:id="2109039233">
      <w:bodyDiv w:val="1"/>
      <w:marLeft w:val="0"/>
      <w:marRight w:val="0"/>
      <w:marTop w:val="0"/>
      <w:marBottom w:val="0"/>
      <w:divBdr>
        <w:top w:val="none" w:sz="0" w:space="0" w:color="auto"/>
        <w:left w:val="none" w:sz="0" w:space="0" w:color="auto"/>
        <w:bottom w:val="none" w:sz="0" w:space="0" w:color="auto"/>
        <w:right w:val="none" w:sz="0" w:space="0" w:color="auto"/>
      </w:divBdr>
      <w:divsChild>
        <w:div w:id="286472299">
          <w:marLeft w:val="0"/>
          <w:marRight w:val="0"/>
          <w:marTop w:val="0"/>
          <w:marBottom w:val="0"/>
          <w:divBdr>
            <w:top w:val="none" w:sz="0" w:space="0" w:color="auto"/>
            <w:left w:val="none" w:sz="0" w:space="0" w:color="auto"/>
            <w:bottom w:val="none" w:sz="0" w:space="0" w:color="auto"/>
            <w:right w:val="none" w:sz="0" w:space="0" w:color="auto"/>
          </w:divBdr>
        </w:div>
        <w:div w:id="46727799">
          <w:marLeft w:val="0"/>
          <w:marRight w:val="0"/>
          <w:marTop w:val="0"/>
          <w:marBottom w:val="0"/>
          <w:divBdr>
            <w:top w:val="none" w:sz="0" w:space="0" w:color="auto"/>
            <w:left w:val="none" w:sz="0" w:space="0" w:color="auto"/>
            <w:bottom w:val="none" w:sz="0" w:space="0" w:color="auto"/>
            <w:right w:val="none" w:sz="0" w:space="0" w:color="auto"/>
          </w:divBdr>
        </w:div>
        <w:div w:id="478617937">
          <w:marLeft w:val="0"/>
          <w:marRight w:val="0"/>
          <w:marTop w:val="0"/>
          <w:marBottom w:val="0"/>
          <w:divBdr>
            <w:top w:val="none" w:sz="0" w:space="0" w:color="auto"/>
            <w:left w:val="none" w:sz="0" w:space="0" w:color="auto"/>
            <w:bottom w:val="none" w:sz="0" w:space="0" w:color="auto"/>
            <w:right w:val="none" w:sz="0" w:space="0" w:color="auto"/>
          </w:divBdr>
        </w:div>
        <w:div w:id="693769332">
          <w:marLeft w:val="0"/>
          <w:marRight w:val="0"/>
          <w:marTop w:val="0"/>
          <w:marBottom w:val="0"/>
          <w:divBdr>
            <w:top w:val="none" w:sz="0" w:space="0" w:color="auto"/>
            <w:left w:val="none" w:sz="0" w:space="0" w:color="auto"/>
            <w:bottom w:val="none" w:sz="0" w:space="0" w:color="auto"/>
            <w:right w:val="none" w:sz="0" w:space="0" w:color="auto"/>
          </w:divBdr>
        </w:div>
        <w:div w:id="958294089">
          <w:marLeft w:val="0"/>
          <w:marRight w:val="0"/>
          <w:marTop w:val="0"/>
          <w:marBottom w:val="0"/>
          <w:divBdr>
            <w:top w:val="none" w:sz="0" w:space="0" w:color="auto"/>
            <w:left w:val="none" w:sz="0" w:space="0" w:color="auto"/>
            <w:bottom w:val="none" w:sz="0" w:space="0" w:color="auto"/>
            <w:right w:val="none" w:sz="0" w:space="0" w:color="auto"/>
          </w:divBdr>
        </w:div>
        <w:div w:id="1711107757">
          <w:marLeft w:val="0"/>
          <w:marRight w:val="0"/>
          <w:marTop w:val="0"/>
          <w:marBottom w:val="0"/>
          <w:divBdr>
            <w:top w:val="none" w:sz="0" w:space="0" w:color="auto"/>
            <w:left w:val="none" w:sz="0" w:space="0" w:color="auto"/>
            <w:bottom w:val="none" w:sz="0" w:space="0" w:color="auto"/>
            <w:right w:val="none" w:sz="0" w:space="0" w:color="auto"/>
          </w:divBdr>
        </w:div>
        <w:div w:id="40835880">
          <w:marLeft w:val="0"/>
          <w:marRight w:val="0"/>
          <w:marTop w:val="0"/>
          <w:marBottom w:val="0"/>
          <w:divBdr>
            <w:top w:val="none" w:sz="0" w:space="0" w:color="auto"/>
            <w:left w:val="none" w:sz="0" w:space="0" w:color="auto"/>
            <w:bottom w:val="none" w:sz="0" w:space="0" w:color="auto"/>
            <w:right w:val="none" w:sz="0" w:space="0" w:color="auto"/>
          </w:divBdr>
        </w:div>
        <w:div w:id="1752894281">
          <w:marLeft w:val="0"/>
          <w:marRight w:val="0"/>
          <w:marTop w:val="0"/>
          <w:marBottom w:val="0"/>
          <w:divBdr>
            <w:top w:val="none" w:sz="0" w:space="0" w:color="auto"/>
            <w:left w:val="none" w:sz="0" w:space="0" w:color="auto"/>
            <w:bottom w:val="none" w:sz="0" w:space="0" w:color="auto"/>
            <w:right w:val="none" w:sz="0" w:space="0" w:color="auto"/>
          </w:divBdr>
        </w:div>
        <w:div w:id="2076586495">
          <w:marLeft w:val="0"/>
          <w:marRight w:val="0"/>
          <w:marTop w:val="0"/>
          <w:marBottom w:val="0"/>
          <w:divBdr>
            <w:top w:val="none" w:sz="0" w:space="0" w:color="auto"/>
            <w:left w:val="none" w:sz="0" w:space="0" w:color="auto"/>
            <w:bottom w:val="none" w:sz="0" w:space="0" w:color="auto"/>
            <w:right w:val="none" w:sz="0" w:space="0" w:color="auto"/>
          </w:divBdr>
        </w:div>
        <w:div w:id="182132592">
          <w:marLeft w:val="0"/>
          <w:marRight w:val="0"/>
          <w:marTop w:val="0"/>
          <w:marBottom w:val="0"/>
          <w:divBdr>
            <w:top w:val="none" w:sz="0" w:space="0" w:color="auto"/>
            <w:left w:val="none" w:sz="0" w:space="0" w:color="auto"/>
            <w:bottom w:val="none" w:sz="0" w:space="0" w:color="auto"/>
            <w:right w:val="none" w:sz="0" w:space="0" w:color="auto"/>
          </w:divBdr>
        </w:div>
        <w:div w:id="478696193">
          <w:marLeft w:val="0"/>
          <w:marRight w:val="0"/>
          <w:marTop w:val="0"/>
          <w:marBottom w:val="0"/>
          <w:divBdr>
            <w:top w:val="none" w:sz="0" w:space="0" w:color="auto"/>
            <w:left w:val="none" w:sz="0" w:space="0" w:color="auto"/>
            <w:bottom w:val="none" w:sz="0" w:space="0" w:color="auto"/>
            <w:right w:val="none" w:sz="0" w:space="0" w:color="auto"/>
          </w:divBdr>
        </w:div>
        <w:div w:id="2057004498">
          <w:marLeft w:val="0"/>
          <w:marRight w:val="0"/>
          <w:marTop w:val="0"/>
          <w:marBottom w:val="0"/>
          <w:divBdr>
            <w:top w:val="none" w:sz="0" w:space="0" w:color="auto"/>
            <w:left w:val="none" w:sz="0" w:space="0" w:color="auto"/>
            <w:bottom w:val="none" w:sz="0" w:space="0" w:color="auto"/>
            <w:right w:val="none" w:sz="0" w:space="0" w:color="auto"/>
          </w:divBdr>
        </w:div>
        <w:div w:id="1366909663">
          <w:marLeft w:val="0"/>
          <w:marRight w:val="0"/>
          <w:marTop w:val="0"/>
          <w:marBottom w:val="0"/>
          <w:divBdr>
            <w:top w:val="none" w:sz="0" w:space="0" w:color="auto"/>
            <w:left w:val="none" w:sz="0" w:space="0" w:color="auto"/>
            <w:bottom w:val="none" w:sz="0" w:space="0" w:color="auto"/>
            <w:right w:val="none" w:sz="0" w:space="0" w:color="auto"/>
          </w:divBdr>
        </w:div>
        <w:div w:id="704134270">
          <w:marLeft w:val="0"/>
          <w:marRight w:val="0"/>
          <w:marTop w:val="0"/>
          <w:marBottom w:val="0"/>
          <w:divBdr>
            <w:top w:val="none" w:sz="0" w:space="0" w:color="auto"/>
            <w:left w:val="none" w:sz="0" w:space="0" w:color="auto"/>
            <w:bottom w:val="none" w:sz="0" w:space="0" w:color="auto"/>
            <w:right w:val="none" w:sz="0" w:space="0" w:color="auto"/>
          </w:divBdr>
        </w:div>
        <w:div w:id="1487669872">
          <w:marLeft w:val="0"/>
          <w:marRight w:val="0"/>
          <w:marTop w:val="0"/>
          <w:marBottom w:val="0"/>
          <w:divBdr>
            <w:top w:val="none" w:sz="0" w:space="0" w:color="auto"/>
            <w:left w:val="none" w:sz="0" w:space="0" w:color="auto"/>
            <w:bottom w:val="none" w:sz="0" w:space="0" w:color="auto"/>
            <w:right w:val="none" w:sz="0" w:space="0" w:color="auto"/>
          </w:divBdr>
        </w:div>
        <w:div w:id="1953903152">
          <w:marLeft w:val="0"/>
          <w:marRight w:val="0"/>
          <w:marTop w:val="0"/>
          <w:marBottom w:val="0"/>
          <w:divBdr>
            <w:top w:val="none" w:sz="0" w:space="0" w:color="auto"/>
            <w:left w:val="none" w:sz="0" w:space="0" w:color="auto"/>
            <w:bottom w:val="none" w:sz="0" w:space="0" w:color="auto"/>
            <w:right w:val="none" w:sz="0" w:space="0" w:color="auto"/>
          </w:divBdr>
        </w:div>
        <w:div w:id="1903326923">
          <w:marLeft w:val="0"/>
          <w:marRight w:val="0"/>
          <w:marTop w:val="0"/>
          <w:marBottom w:val="0"/>
          <w:divBdr>
            <w:top w:val="none" w:sz="0" w:space="0" w:color="auto"/>
            <w:left w:val="none" w:sz="0" w:space="0" w:color="auto"/>
            <w:bottom w:val="none" w:sz="0" w:space="0" w:color="auto"/>
            <w:right w:val="none" w:sz="0" w:space="0" w:color="auto"/>
          </w:divBdr>
        </w:div>
        <w:div w:id="1879968625">
          <w:marLeft w:val="0"/>
          <w:marRight w:val="0"/>
          <w:marTop w:val="0"/>
          <w:marBottom w:val="0"/>
          <w:divBdr>
            <w:top w:val="none" w:sz="0" w:space="0" w:color="auto"/>
            <w:left w:val="none" w:sz="0" w:space="0" w:color="auto"/>
            <w:bottom w:val="none" w:sz="0" w:space="0" w:color="auto"/>
            <w:right w:val="none" w:sz="0" w:space="0" w:color="auto"/>
          </w:divBdr>
        </w:div>
        <w:div w:id="169608794">
          <w:marLeft w:val="0"/>
          <w:marRight w:val="0"/>
          <w:marTop w:val="0"/>
          <w:marBottom w:val="0"/>
          <w:divBdr>
            <w:top w:val="none" w:sz="0" w:space="0" w:color="auto"/>
            <w:left w:val="none" w:sz="0" w:space="0" w:color="auto"/>
            <w:bottom w:val="none" w:sz="0" w:space="0" w:color="auto"/>
            <w:right w:val="none" w:sz="0" w:space="0" w:color="auto"/>
          </w:divBdr>
        </w:div>
        <w:div w:id="1019232490">
          <w:marLeft w:val="0"/>
          <w:marRight w:val="0"/>
          <w:marTop w:val="0"/>
          <w:marBottom w:val="0"/>
          <w:divBdr>
            <w:top w:val="none" w:sz="0" w:space="0" w:color="auto"/>
            <w:left w:val="none" w:sz="0" w:space="0" w:color="auto"/>
            <w:bottom w:val="none" w:sz="0" w:space="0" w:color="auto"/>
            <w:right w:val="none" w:sz="0" w:space="0" w:color="auto"/>
          </w:divBdr>
        </w:div>
        <w:div w:id="1764688745">
          <w:marLeft w:val="0"/>
          <w:marRight w:val="0"/>
          <w:marTop w:val="0"/>
          <w:marBottom w:val="0"/>
          <w:divBdr>
            <w:top w:val="none" w:sz="0" w:space="0" w:color="auto"/>
            <w:left w:val="none" w:sz="0" w:space="0" w:color="auto"/>
            <w:bottom w:val="none" w:sz="0" w:space="0" w:color="auto"/>
            <w:right w:val="none" w:sz="0" w:space="0" w:color="auto"/>
          </w:divBdr>
        </w:div>
        <w:div w:id="1471053404">
          <w:marLeft w:val="0"/>
          <w:marRight w:val="0"/>
          <w:marTop w:val="0"/>
          <w:marBottom w:val="0"/>
          <w:divBdr>
            <w:top w:val="none" w:sz="0" w:space="0" w:color="auto"/>
            <w:left w:val="none" w:sz="0" w:space="0" w:color="auto"/>
            <w:bottom w:val="none" w:sz="0" w:space="0" w:color="auto"/>
            <w:right w:val="none" w:sz="0" w:space="0" w:color="auto"/>
          </w:divBdr>
        </w:div>
        <w:div w:id="1105661623">
          <w:marLeft w:val="0"/>
          <w:marRight w:val="0"/>
          <w:marTop w:val="0"/>
          <w:marBottom w:val="0"/>
          <w:divBdr>
            <w:top w:val="none" w:sz="0" w:space="0" w:color="auto"/>
            <w:left w:val="none" w:sz="0" w:space="0" w:color="auto"/>
            <w:bottom w:val="none" w:sz="0" w:space="0" w:color="auto"/>
            <w:right w:val="none" w:sz="0" w:space="0" w:color="auto"/>
          </w:divBdr>
        </w:div>
        <w:div w:id="521287506">
          <w:marLeft w:val="0"/>
          <w:marRight w:val="0"/>
          <w:marTop w:val="0"/>
          <w:marBottom w:val="0"/>
          <w:divBdr>
            <w:top w:val="none" w:sz="0" w:space="0" w:color="auto"/>
            <w:left w:val="none" w:sz="0" w:space="0" w:color="auto"/>
            <w:bottom w:val="none" w:sz="0" w:space="0" w:color="auto"/>
            <w:right w:val="none" w:sz="0" w:space="0" w:color="auto"/>
          </w:divBdr>
        </w:div>
        <w:div w:id="1256014877">
          <w:marLeft w:val="0"/>
          <w:marRight w:val="0"/>
          <w:marTop w:val="0"/>
          <w:marBottom w:val="0"/>
          <w:divBdr>
            <w:top w:val="none" w:sz="0" w:space="0" w:color="auto"/>
            <w:left w:val="none" w:sz="0" w:space="0" w:color="auto"/>
            <w:bottom w:val="none" w:sz="0" w:space="0" w:color="auto"/>
            <w:right w:val="none" w:sz="0" w:space="0" w:color="auto"/>
          </w:divBdr>
        </w:div>
        <w:div w:id="502014884">
          <w:marLeft w:val="0"/>
          <w:marRight w:val="0"/>
          <w:marTop w:val="0"/>
          <w:marBottom w:val="0"/>
          <w:divBdr>
            <w:top w:val="none" w:sz="0" w:space="0" w:color="auto"/>
            <w:left w:val="none" w:sz="0" w:space="0" w:color="auto"/>
            <w:bottom w:val="none" w:sz="0" w:space="0" w:color="auto"/>
            <w:right w:val="none" w:sz="0" w:space="0" w:color="auto"/>
          </w:divBdr>
        </w:div>
        <w:div w:id="1272007561">
          <w:marLeft w:val="0"/>
          <w:marRight w:val="0"/>
          <w:marTop w:val="0"/>
          <w:marBottom w:val="0"/>
          <w:divBdr>
            <w:top w:val="none" w:sz="0" w:space="0" w:color="auto"/>
            <w:left w:val="none" w:sz="0" w:space="0" w:color="auto"/>
            <w:bottom w:val="none" w:sz="0" w:space="0" w:color="auto"/>
            <w:right w:val="none" w:sz="0" w:space="0" w:color="auto"/>
          </w:divBdr>
        </w:div>
        <w:div w:id="1927496745">
          <w:marLeft w:val="0"/>
          <w:marRight w:val="0"/>
          <w:marTop w:val="0"/>
          <w:marBottom w:val="0"/>
          <w:divBdr>
            <w:top w:val="none" w:sz="0" w:space="0" w:color="auto"/>
            <w:left w:val="none" w:sz="0" w:space="0" w:color="auto"/>
            <w:bottom w:val="none" w:sz="0" w:space="0" w:color="auto"/>
            <w:right w:val="none" w:sz="0" w:space="0" w:color="auto"/>
          </w:divBdr>
        </w:div>
        <w:div w:id="1768771068">
          <w:marLeft w:val="0"/>
          <w:marRight w:val="0"/>
          <w:marTop w:val="0"/>
          <w:marBottom w:val="0"/>
          <w:divBdr>
            <w:top w:val="none" w:sz="0" w:space="0" w:color="auto"/>
            <w:left w:val="none" w:sz="0" w:space="0" w:color="auto"/>
            <w:bottom w:val="none" w:sz="0" w:space="0" w:color="auto"/>
            <w:right w:val="none" w:sz="0" w:space="0" w:color="auto"/>
          </w:divBdr>
        </w:div>
        <w:div w:id="1748650796">
          <w:marLeft w:val="0"/>
          <w:marRight w:val="0"/>
          <w:marTop w:val="0"/>
          <w:marBottom w:val="0"/>
          <w:divBdr>
            <w:top w:val="none" w:sz="0" w:space="0" w:color="auto"/>
            <w:left w:val="none" w:sz="0" w:space="0" w:color="auto"/>
            <w:bottom w:val="none" w:sz="0" w:space="0" w:color="auto"/>
            <w:right w:val="none" w:sz="0" w:space="0" w:color="auto"/>
          </w:divBdr>
        </w:div>
        <w:div w:id="135074889">
          <w:marLeft w:val="0"/>
          <w:marRight w:val="0"/>
          <w:marTop w:val="0"/>
          <w:marBottom w:val="0"/>
          <w:divBdr>
            <w:top w:val="none" w:sz="0" w:space="0" w:color="auto"/>
            <w:left w:val="none" w:sz="0" w:space="0" w:color="auto"/>
            <w:bottom w:val="none" w:sz="0" w:space="0" w:color="auto"/>
            <w:right w:val="none" w:sz="0" w:space="0" w:color="auto"/>
          </w:divBdr>
        </w:div>
        <w:div w:id="871957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5.png"/><Relationship Id="rId18" Type="http://schemas.openxmlformats.org/officeDocument/2006/relationships/hyperlink" Target="mailto:repeuropa@pbi-mexico.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hyperlink" Target="mailto:pbidf@pbi-mexico.org"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mailto:vploton@ishr.c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lucy@globalinitiative-escr.org" TargetMode="External"/><Relationship Id="rId23" Type="http://schemas.openxmlformats.org/officeDocument/2006/relationships/customXml" Target="../customXml/item2.xml"/><Relationship Id="rId10" Type="http://schemas.openxmlformats.org/officeDocument/2006/relationships/image" Target="media/image2.jpeg"/><Relationship Id="rId19" Type="http://schemas.openxmlformats.org/officeDocument/2006/relationships/hyperlink" Target="mailto:ab@plataforma.org.gt" TargetMode="External"/><Relationship Id="rId4" Type="http://schemas.openxmlformats.org/officeDocument/2006/relationships/settings" Target="settings.xml"/><Relationship Id="rId9" Type="http://schemas.openxmlformats.org/officeDocument/2006/relationships/image" Target="cid:b5d31bc0.bf24a14f.gif.ed85bdec" TargetMode="External"/><Relationship Id="rId14" Type="http://schemas.openxmlformats.org/officeDocument/2006/relationships/hyperlink" Target="mailto:aleyva@cemda.org.mx"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edehm.blogspot.mx/2017/07/revisan-acuerdos-de-plan-de.html" TargetMode="External"/><Relationship Id="rId3" Type="http://schemas.openxmlformats.org/officeDocument/2006/relationships/hyperlink" Target="https://rednacionalderesistenciacivilblog.wordpress.com/2017/04/29/accion-urgente-esta-en-peligro-la-vida-e-integridad-fisica-de-los-defensores-de-derechos-humanos-rodrigo-flores-penaloza-y-bettina-cruz-velazquez/" TargetMode="External"/><Relationship Id="rId7" Type="http://schemas.openxmlformats.org/officeDocument/2006/relationships/hyperlink" Target="http://imdhd.org/doctos/17247b7d6c6599d2b95f42b0c6102ff6cbd87889000d831d03c7a2144b0445be.pdf" TargetMode="External"/><Relationship Id="rId2" Type="http://schemas.openxmlformats.org/officeDocument/2006/relationships/hyperlink" Target="https://www.gob.mx/cms/uploads/attachment/file/246482/Estadisticas_Julio_2017.pdf" TargetMode="External"/><Relationship Id="rId1" Type="http://schemas.openxmlformats.org/officeDocument/2006/relationships/hyperlink" Target="http://www.cemda.org.mx/wp-content/uploads/2011/12/Informe-defensores-ambientales-2016.pdf" TargetMode="External"/><Relationship Id="rId6" Type="http://schemas.openxmlformats.org/officeDocument/2006/relationships/hyperlink" Target="https://cedehm.blogspot.mx/2016/03/solicitud-de-alerta-preventiva-para.html" TargetMode="External"/><Relationship Id="rId5" Type="http://schemas.openxmlformats.org/officeDocument/2006/relationships/hyperlink" Target="http://www.vanguardia.com.mx/articulo/le-cancelan-tajo-a-ex-alcalde-de-la-region-carbonifera-por-violacion-a-impacto-ambiental" TargetMode="External"/><Relationship Id="rId10" Type="http://schemas.openxmlformats.org/officeDocument/2006/relationships/hyperlink" Target="http://www.hchr.org.mx/images/doc_pub/SRHRD-END-OF-MISSION-STATEMENT-FINAL_ESP.pdf" TargetMode="External"/><Relationship Id="rId4" Type="http://schemas.openxmlformats.org/officeDocument/2006/relationships/hyperlink" Target="https://www.fidh.org/es/region/americas/mexico/Mexico-Actos-de-hostigamiento-vigilancia-y-amenazas-contra-la-Sra-Cristina-13144" TargetMode="External"/><Relationship Id="rId9" Type="http://schemas.openxmlformats.org/officeDocument/2006/relationships/hyperlink" Target="http://www.derechoshumanosoaxaca.org/noticia.php?idnoticia=6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CE2FC1-4772-4E85-BEB0-8685CC98187A}"/>
</file>

<file path=customXml/itemProps2.xml><?xml version="1.0" encoding="utf-8"?>
<ds:datastoreItem xmlns:ds="http://schemas.openxmlformats.org/officeDocument/2006/customXml" ds:itemID="{69283854-5F27-45B3-AE7E-C672D204FEF8}"/>
</file>

<file path=customXml/itemProps3.xml><?xml version="1.0" encoding="utf-8"?>
<ds:datastoreItem xmlns:ds="http://schemas.openxmlformats.org/officeDocument/2006/customXml" ds:itemID="{43323D24-04F3-4B6D-97B4-139F863A583D}"/>
</file>

<file path=customXml/itemProps4.xml><?xml version="1.0" encoding="utf-8"?>
<ds:datastoreItem xmlns:ds="http://schemas.openxmlformats.org/officeDocument/2006/customXml" ds:itemID="{84B68863-7016-45F0-ACC9-6DD91CF74B37}"/>
</file>

<file path=docProps/app.xml><?xml version="1.0" encoding="utf-8"?>
<Properties xmlns="http://schemas.openxmlformats.org/officeDocument/2006/extended-properties" xmlns:vt="http://schemas.openxmlformats.org/officeDocument/2006/docPropsVTypes">
  <Template>Normal.dotm</Template>
  <TotalTime>7</TotalTime>
  <Pages>1</Pages>
  <Words>6895</Words>
  <Characters>37926</Characters>
  <Application>Microsoft Office Word</Application>
  <DocSecurity>0</DocSecurity>
  <Lines>316</Lines>
  <Paragraphs>89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International Service for Human Rights</Company>
  <LinksUpToDate>false</LinksUpToDate>
  <CharactersWithSpaces>44732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Ploton</dc:creator>
  <cp:lastModifiedBy>Vincent Ploton</cp:lastModifiedBy>
  <cp:revision>12</cp:revision>
  <dcterms:created xsi:type="dcterms:W3CDTF">2017-08-31T10:18:00Z</dcterms:created>
  <dcterms:modified xsi:type="dcterms:W3CDTF">2017-08-31T10:26:00Z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