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33A" w:rsidRPr="001A2D57" w:rsidRDefault="00DD433A" w:rsidP="00DD433A">
      <w:pPr>
        <w:spacing w:after="0" w:line="240" w:lineRule="auto"/>
        <w:rPr>
          <w:rFonts w:ascii="Times New Roman" w:hAnsi="Times New Roman" w:cs="Times New Roman"/>
          <w:b/>
          <w:color w:val="000000" w:themeColor="text1"/>
          <w:sz w:val="24"/>
          <w:szCs w:val="24"/>
        </w:rPr>
      </w:pPr>
    </w:p>
    <w:p w:rsidR="00DD433A" w:rsidRPr="00DD433A" w:rsidRDefault="00DD433A" w:rsidP="00DD433A">
      <w:pPr>
        <w:autoSpaceDE w:val="0"/>
        <w:autoSpaceDN w:val="0"/>
        <w:adjustRightInd w:val="0"/>
        <w:spacing w:after="0" w:line="240" w:lineRule="auto"/>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APPENDIXES/</w:t>
      </w:r>
      <w:r w:rsidRPr="00DD433A">
        <w:rPr>
          <w:rFonts w:ascii="Times New Roman" w:eastAsia="Times New Roman" w:hAnsi="Times New Roman" w:cs="Times New Roman"/>
          <w:b/>
          <w:color w:val="000000"/>
          <w:sz w:val="24"/>
          <w:szCs w:val="24"/>
          <w:lang w:eastAsia="en-GB"/>
        </w:rPr>
        <w:t>AN</w:t>
      </w:r>
      <w:r>
        <w:rPr>
          <w:rFonts w:ascii="Times New Roman" w:eastAsia="Times New Roman" w:hAnsi="Times New Roman" w:cs="Times New Roman"/>
          <w:b/>
          <w:color w:val="000000"/>
          <w:sz w:val="24"/>
          <w:szCs w:val="24"/>
          <w:lang w:eastAsia="en-GB"/>
        </w:rPr>
        <w:t>NEXES</w:t>
      </w:r>
    </w:p>
    <w:p w:rsidR="00DD433A" w:rsidRPr="001A2D57" w:rsidRDefault="00DD433A" w:rsidP="00DD433A">
      <w:pPr>
        <w:spacing w:after="0" w:line="240" w:lineRule="auto"/>
        <w:jc w:val="center"/>
        <w:rPr>
          <w:rFonts w:ascii="Times New Roman" w:hAnsi="Times New Roman" w:cs="Times New Roman"/>
          <w:b/>
          <w:color w:val="000000" w:themeColor="text1"/>
          <w:sz w:val="24"/>
          <w:szCs w:val="24"/>
        </w:rPr>
      </w:pPr>
    </w:p>
    <w:p w:rsidR="00DD433A" w:rsidRPr="001A2D57" w:rsidRDefault="00DD433A" w:rsidP="00DD433A">
      <w:pPr>
        <w:tabs>
          <w:tab w:val="left" w:pos="2880"/>
        </w:tabs>
        <w:spacing w:after="0" w:line="240" w:lineRule="auto"/>
        <w:rPr>
          <w:rFonts w:ascii="Times New Roman" w:hAnsi="Times New Roman" w:cs="Times New Roman"/>
          <w:b/>
          <w:color w:val="000000" w:themeColor="text1"/>
          <w:sz w:val="24"/>
          <w:szCs w:val="24"/>
        </w:rPr>
      </w:pPr>
      <w:bookmarkStart w:id="0" w:name="_GoBack"/>
      <w:bookmarkEnd w:id="0"/>
    </w:p>
    <w:p w:rsidR="00DD433A" w:rsidRPr="0099517C" w:rsidRDefault="00DD433A" w:rsidP="00DD433A">
      <w:pPr>
        <w:tabs>
          <w:tab w:val="left" w:pos="2880"/>
        </w:tabs>
        <w:spacing w:after="0" w:line="240" w:lineRule="auto"/>
        <w:jc w:val="center"/>
        <w:rPr>
          <w:rFonts w:ascii="Times New Roman" w:hAnsi="Times New Roman" w:cs="Times New Roman"/>
          <w:b/>
          <w:color w:val="000000" w:themeColor="text1"/>
          <w:sz w:val="24"/>
          <w:szCs w:val="24"/>
        </w:rPr>
      </w:pPr>
      <w:r w:rsidRPr="0099517C">
        <w:rPr>
          <w:rFonts w:ascii="Times New Roman" w:hAnsi="Times New Roman" w:cs="Times New Roman"/>
          <w:b/>
          <w:color w:val="000000" w:themeColor="text1"/>
          <w:sz w:val="24"/>
          <w:szCs w:val="24"/>
        </w:rPr>
        <w:t xml:space="preserve">CONSIDERATION OF REPORT SUBMITTED BY STATES PARTY UNDER ARTICLE 9/1/B OF THE CONVENTION  </w:t>
      </w:r>
    </w:p>
    <w:p w:rsidR="00DD433A" w:rsidRPr="0099517C" w:rsidRDefault="00DD433A" w:rsidP="00DD433A">
      <w:pPr>
        <w:tabs>
          <w:tab w:val="left" w:pos="2880"/>
        </w:tabs>
        <w:spacing w:after="0" w:line="240" w:lineRule="auto"/>
        <w:jc w:val="center"/>
        <w:rPr>
          <w:rFonts w:ascii="Times New Roman" w:hAnsi="Times New Roman" w:cs="Times New Roman"/>
          <w:b/>
          <w:color w:val="000000" w:themeColor="text1"/>
          <w:sz w:val="24"/>
          <w:szCs w:val="24"/>
        </w:rPr>
      </w:pPr>
      <w:r w:rsidRPr="0099517C">
        <w:rPr>
          <w:rFonts w:ascii="Times New Roman" w:eastAsia="MS Mincho" w:hAnsi="Times New Roman" w:cs="Times New Roman"/>
          <w:b/>
          <w:sz w:val="24"/>
          <w:szCs w:val="24"/>
          <w:lang w:val="es-ES_tradnl"/>
        </w:rPr>
        <w:t>“ON THE ELEMINATION OF ALL FORMS OF RACIAL DISCRIMINATION”</w:t>
      </w:r>
    </w:p>
    <w:p w:rsidR="00DD433A" w:rsidRPr="0099517C" w:rsidRDefault="00DD433A" w:rsidP="00DD433A">
      <w:pPr>
        <w:tabs>
          <w:tab w:val="left" w:pos="2790"/>
        </w:tabs>
        <w:spacing w:after="0" w:line="240" w:lineRule="auto"/>
        <w:jc w:val="center"/>
        <w:rPr>
          <w:rFonts w:ascii="Times New Roman" w:hAnsi="Times New Roman" w:cs="Times New Roman"/>
          <w:b/>
          <w:color w:val="000000" w:themeColor="text1"/>
          <w:sz w:val="24"/>
          <w:szCs w:val="24"/>
        </w:rPr>
      </w:pPr>
      <w:r w:rsidRPr="0099517C">
        <w:rPr>
          <w:rFonts w:ascii="Times New Roman" w:hAnsi="Times New Roman" w:cs="Times New Roman"/>
          <w:b/>
          <w:color w:val="000000" w:themeColor="text1"/>
          <w:sz w:val="24"/>
          <w:szCs w:val="24"/>
        </w:rPr>
        <w:t>___________________________</w:t>
      </w:r>
    </w:p>
    <w:p w:rsidR="00DD433A" w:rsidRPr="0099517C" w:rsidRDefault="00DD433A" w:rsidP="00DD433A">
      <w:pPr>
        <w:tabs>
          <w:tab w:val="left" w:pos="3570"/>
        </w:tabs>
        <w:spacing w:after="0" w:line="240" w:lineRule="auto"/>
        <w:jc w:val="center"/>
        <w:rPr>
          <w:rFonts w:ascii="Times New Roman" w:hAnsi="Times New Roman" w:cs="Times New Roman"/>
          <w:b/>
          <w:color w:val="000000" w:themeColor="text1"/>
          <w:sz w:val="24"/>
          <w:szCs w:val="24"/>
        </w:rPr>
      </w:pPr>
    </w:p>
    <w:p w:rsidR="00DD433A" w:rsidRPr="0099517C" w:rsidRDefault="00DD433A" w:rsidP="00DD433A">
      <w:pPr>
        <w:pStyle w:val="SingleTxtG"/>
        <w:spacing w:line="240" w:lineRule="auto"/>
        <w:rPr>
          <w:rFonts w:ascii="Times New Roman" w:hAnsi="Times New Roman"/>
          <w:b/>
          <w:bCs/>
          <w:sz w:val="24"/>
          <w:szCs w:val="24"/>
        </w:rPr>
      </w:pPr>
      <w:r w:rsidRPr="0099517C">
        <w:rPr>
          <w:rFonts w:ascii="Times New Roman" w:hAnsi="Times New Roman"/>
          <w:b/>
          <w:bCs/>
          <w:sz w:val="24"/>
          <w:szCs w:val="24"/>
        </w:rPr>
        <w:t xml:space="preserve">                  Combined thirteenth and fourteenth periodic reports </w:t>
      </w:r>
    </w:p>
    <w:p w:rsidR="00DD433A" w:rsidRPr="0099517C" w:rsidRDefault="00DD433A" w:rsidP="00DD433A">
      <w:pPr>
        <w:tabs>
          <w:tab w:val="left" w:pos="3570"/>
        </w:tabs>
        <w:spacing w:after="0" w:line="240" w:lineRule="auto"/>
        <w:jc w:val="center"/>
        <w:rPr>
          <w:rFonts w:ascii="Times New Roman" w:hAnsi="Times New Roman" w:cs="Times New Roman"/>
          <w:b/>
          <w:color w:val="000000" w:themeColor="text1"/>
          <w:sz w:val="24"/>
          <w:szCs w:val="24"/>
        </w:rPr>
      </w:pPr>
      <w:r w:rsidRPr="0099517C">
        <w:rPr>
          <w:rFonts w:ascii="Times New Roman" w:hAnsi="Times New Roman" w:cs="Times New Roman"/>
          <w:b/>
          <w:color w:val="000000" w:themeColor="text1"/>
          <w:sz w:val="24"/>
          <w:szCs w:val="24"/>
        </w:rPr>
        <w:t>ALBANIA</w:t>
      </w:r>
    </w:p>
    <w:p w:rsidR="00DD433A" w:rsidRPr="0099517C" w:rsidRDefault="00DD433A" w:rsidP="00DD433A">
      <w:pPr>
        <w:tabs>
          <w:tab w:val="left" w:pos="3570"/>
        </w:tabs>
        <w:spacing w:after="0" w:line="240" w:lineRule="auto"/>
        <w:jc w:val="both"/>
        <w:rPr>
          <w:rFonts w:ascii="Times New Roman" w:hAnsi="Times New Roman" w:cs="Times New Roman"/>
          <w:b/>
          <w:color w:val="000000" w:themeColor="text1"/>
          <w:sz w:val="24"/>
          <w:szCs w:val="24"/>
        </w:rPr>
      </w:pPr>
    </w:p>
    <w:p w:rsidR="00DD433A" w:rsidRPr="00DD433A" w:rsidRDefault="00DD433A" w:rsidP="00DD433A">
      <w:pPr>
        <w:autoSpaceDE w:val="0"/>
        <w:autoSpaceDN w:val="0"/>
        <w:adjustRightInd w:val="0"/>
        <w:spacing w:after="0" w:line="240" w:lineRule="auto"/>
        <w:jc w:val="both"/>
        <w:rPr>
          <w:rFonts w:ascii="Times New Roman" w:eastAsia="Times New Roman" w:hAnsi="Times New Roman" w:cs="Times New Roman"/>
          <w:b/>
          <w:color w:val="000000"/>
          <w:sz w:val="24"/>
          <w:szCs w:val="24"/>
          <w:lang w:eastAsia="en-GB"/>
        </w:rPr>
      </w:pPr>
    </w:p>
    <w:p w:rsidR="00DD433A" w:rsidRPr="00DD433A" w:rsidRDefault="00DD433A" w:rsidP="00DD433A">
      <w:pPr>
        <w:autoSpaceDE w:val="0"/>
        <w:autoSpaceDN w:val="0"/>
        <w:adjustRightInd w:val="0"/>
        <w:spacing w:after="0" w:line="240" w:lineRule="auto"/>
        <w:jc w:val="both"/>
        <w:rPr>
          <w:rFonts w:ascii="Times New Roman" w:eastAsia="Times New Roman" w:hAnsi="Times New Roman" w:cs="Times New Roman"/>
          <w:b/>
          <w:color w:val="000000"/>
          <w:sz w:val="24"/>
          <w:szCs w:val="24"/>
          <w:lang w:eastAsia="en-GB"/>
        </w:rPr>
      </w:pPr>
      <w:r w:rsidRPr="00DD433A">
        <w:rPr>
          <w:rFonts w:ascii="Times New Roman" w:eastAsia="Times New Roman" w:hAnsi="Times New Roman" w:cs="Times New Roman"/>
          <w:b/>
          <w:color w:val="000000"/>
          <w:sz w:val="24"/>
          <w:szCs w:val="24"/>
          <w:lang w:eastAsia="en-GB"/>
        </w:rPr>
        <w:t xml:space="preserve">Annex no. 1. </w:t>
      </w:r>
    </w:p>
    <w:p w:rsidR="00DD433A" w:rsidRPr="00DD433A" w:rsidRDefault="00DD433A" w:rsidP="00DD433A">
      <w:pPr>
        <w:widowControl w:val="0"/>
        <w:autoSpaceDE w:val="0"/>
        <w:autoSpaceDN w:val="0"/>
        <w:adjustRightInd w:val="0"/>
        <w:spacing w:after="0" w:line="240" w:lineRule="auto"/>
        <w:jc w:val="both"/>
        <w:rPr>
          <w:rFonts w:ascii="Times New Roman" w:eastAsia="MS Mincho" w:hAnsi="Times New Roman" w:cs="Times New Roman"/>
          <w:sz w:val="24"/>
          <w:szCs w:val="24"/>
        </w:rPr>
      </w:pPr>
    </w:p>
    <w:p w:rsidR="00DD433A" w:rsidRPr="00DD433A" w:rsidRDefault="00DD433A" w:rsidP="00DD433A">
      <w:pPr>
        <w:widowControl w:val="0"/>
        <w:autoSpaceDE w:val="0"/>
        <w:autoSpaceDN w:val="0"/>
        <w:adjustRightInd w:val="0"/>
        <w:spacing w:line="240" w:lineRule="auto"/>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 xml:space="preserve">1. The Ombudsman considers as priority of its activity the promotion and protection of human rights.  It has played an active role throughout the process of drafting the law on national minorities, by providing remarks and suggestions, many of which were reflected in the final version of the Law no. 96/2017 "On the protection of national minorities in the Republic of Albania". Despite the positive developments brought by the approval and entry into force of law no. 96/2017, and even its bylaws, there are still challenges related to the drafting and approval of all the necessary bylaws of this law. </w:t>
      </w:r>
    </w:p>
    <w:p w:rsidR="00DD433A" w:rsidRPr="00DD433A" w:rsidRDefault="00DD433A" w:rsidP="00DD433A">
      <w:pPr>
        <w:spacing w:line="240" w:lineRule="auto"/>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2. Population Census: During the consultation process of the draft law "On the census of population and housing", the Ombudsman provided recommendations regarding: "conducting of a new population census, based on the best international criteria and standards, where minorities would express themselves objectively and unreservedly about their existence”. Such a census of these standards would enable the enforcement of some of the provisions of law no. 96/2017, "On the protection of national minorities".</w:t>
      </w:r>
    </w:p>
    <w:p w:rsidR="00DD433A" w:rsidRPr="00DD433A" w:rsidRDefault="00DD433A" w:rsidP="00DD433A">
      <w:pPr>
        <w:spacing w:line="240" w:lineRule="auto"/>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3. According to the Ombudsman, it is necessary to carry out a process of harmonization of all legislation as a whole, aiming at regulating the legal regime on the census, without excluding draft bylaws and laws that are directly or indirectly related to the census process and the data provided by it. This requirement becomes even more sensitive in the case of questions about ethnic group, religion and languages, the answers to which are based on the free and non-mandatory self-declaration of the individual. Providing the appropriate response options in the census questionnaire designed by INSTAT, takes on a special importance regarding the objectivity and reliability of the process.</w:t>
      </w:r>
    </w:p>
    <w:p w:rsidR="00DD433A" w:rsidRPr="00DD433A" w:rsidRDefault="00DD433A" w:rsidP="00DD433A">
      <w:pPr>
        <w:spacing w:line="240" w:lineRule="auto"/>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4. There have been improvements in the legislative framework for the prevention of discrimination by the latest amendments to the law no. 10221 dated 4.02.2010 "On protection from discrimination". The Ombudsman made some recommendations. According to the Commissioner for Protection from Discrimination, the legal changes proposed by the Ombudsman have been reflected as far as possible, respecting the current legal framework</w:t>
      </w:r>
      <w:r w:rsidRPr="00DD433A">
        <w:rPr>
          <w:rStyle w:val="FootnoteReference"/>
          <w:rFonts w:ascii="Times New Roman" w:eastAsia="MS Mincho" w:hAnsi="Times New Roman" w:cs="Times New Roman"/>
          <w:sz w:val="24"/>
          <w:szCs w:val="24"/>
          <w:lang w:eastAsia="en-GB"/>
        </w:rPr>
        <w:footnoteReference w:id="1"/>
      </w:r>
      <w:r w:rsidRPr="00DD433A">
        <w:rPr>
          <w:rFonts w:ascii="Times New Roman" w:eastAsia="MS Mincho" w:hAnsi="Times New Roman" w:cs="Times New Roman"/>
          <w:sz w:val="24"/>
          <w:szCs w:val="24"/>
          <w:lang w:eastAsia="en-GB"/>
        </w:rPr>
        <w:t xml:space="preserve">.  </w:t>
      </w:r>
    </w:p>
    <w:p w:rsidR="00DD433A" w:rsidRPr="00DD433A" w:rsidRDefault="00DD433A" w:rsidP="00DD433A">
      <w:pPr>
        <w:shd w:val="clear" w:color="auto" w:fill="FFFFFF"/>
        <w:spacing w:line="240" w:lineRule="auto"/>
        <w:jc w:val="both"/>
        <w:rPr>
          <w:rFonts w:ascii="Times New Roman" w:eastAsia="Times New Roman" w:hAnsi="Times New Roman" w:cs="Times New Roman"/>
          <w:color w:val="000000"/>
          <w:sz w:val="24"/>
          <w:szCs w:val="24"/>
          <w:lang w:eastAsia="en-GB"/>
        </w:rPr>
      </w:pPr>
      <w:r w:rsidRPr="00DD433A">
        <w:rPr>
          <w:rFonts w:ascii="Times New Roman" w:eastAsia="Times New Roman" w:hAnsi="Times New Roman" w:cs="Times New Roman"/>
          <w:color w:val="000000"/>
          <w:sz w:val="24"/>
          <w:szCs w:val="24"/>
          <w:lang w:eastAsia="en-GB"/>
        </w:rPr>
        <w:t xml:space="preserve">5. The ombudsman has addressed the problems of the Roma and Egyptian national minority, who still face many obstacles with regard to inclusion and integration in the social system: housing, civil registration, financial support, education, employment, vocational training, </w:t>
      </w:r>
      <w:r w:rsidRPr="00DD433A">
        <w:rPr>
          <w:rFonts w:ascii="Times New Roman" w:eastAsia="Times New Roman" w:hAnsi="Times New Roman" w:cs="Times New Roman"/>
          <w:color w:val="000000"/>
          <w:sz w:val="24"/>
          <w:szCs w:val="24"/>
          <w:lang w:eastAsia="en-GB"/>
        </w:rPr>
        <w:lastRenderedPageBreak/>
        <w:t>health care. This institution delivered a series of recommendations to the responsible institutions to improve the living conditions for the integration of Roma and Egyptians.</w:t>
      </w:r>
    </w:p>
    <w:p w:rsidR="00DD433A" w:rsidRPr="00DD433A" w:rsidRDefault="00DD433A" w:rsidP="00DD433A">
      <w:pPr>
        <w:shd w:val="clear" w:color="auto" w:fill="FFFFFF"/>
        <w:spacing w:line="240" w:lineRule="auto"/>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6.</w:t>
      </w:r>
      <w:r w:rsidRPr="00DD433A">
        <w:rPr>
          <w:rFonts w:ascii="Times New Roman" w:hAnsi="Times New Roman" w:cs="Times New Roman"/>
          <w:color w:val="202124"/>
          <w:sz w:val="24"/>
          <w:szCs w:val="24"/>
        </w:rPr>
        <w:t xml:space="preserve"> </w:t>
      </w:r>
      <w:r w:rsidRPr="00DD433A">
        <w:rPr>
          <w:rFonts w:ascii="Times New Roman" w:eastAsia="Times New Roman" w:hAnsi="Times New Roman" w:cs="Times New Roman"/>
          <w:sz w:val="24"/>
          <w:szCs w:val="24"/>
          <w:lang w:eastAsia="en-GB"/>
        </w:rPr>
        <w:t>Socio-Economic Situation of Roma and Egyptians: for a long period the Ombudsman has addressed the problems of the Roma and Egyptian national minorities, who still face many obstacles concerning inclusion and integration into the social system: housing, civil registration, financial support, or even education, employment, vocational training, health care.</w:t>
      </w:r>
    </w:p>
    <w:p w:rsidR="00DD433A" w:rsidRPr="00DD433A" w:rsidRDefault="00DD433A" w:rsidP="00DD433A">
      <w:pPr>
        <w:suppressAutoHyphens/>
        <w:spacing w:line="240" w:lineRule="auto"/>
        <w:jc w:val="both"/>
        <w:rPr>
          <w:rFonts w:ascii="Times New Roman" w:hAnsi="Times New Roman" w:cs="Times New Roman"/>
          <w:sz w:val="24"/>
          <w:szCs w:val="24"/>
        </w:rPr>
      </w:pPr>
      <w:r w:rsidRPr="00DD433A">
        <w:rPr>
          <w:rFonts w:ascii="Times New Roman" w:hAnsi="Times New Roman" w:cs="Times New Roman"/>
          <w:sz w:val="24"/>
          <w:szCs w:val="24"/>
        </w:rPr>
        <w:t>7. Following the recommendations of the European Commission against Racism and Intolerance, the Ombudsman recommended expanding the category of beneficiaries of the new law on legal aid to victims of discrimination. Adequate allocation of state funds, raising community awareness, increasing accessibility to legal clinics, are some of the main measures needed to guarantee free legal aid to groups in need.</w:t>
      </w:r>
    </w:p>
    <w:p w:rsidR="00DD433A" w:rsidRPr="00DD433A" w:rsidRDefault="00DD433A" w:rsidP="00DD433A">
      <w:pPr>
        <w:spacing w:line="240" w:lineRule="auto"/>
        <w:jc w:val="both"/>
        <w:rPr>
          <w:rFonts w:ascii="Times New Roman" w:hAnsi="Times New Roman" w:cs="Times New Roman"/>
          <w:sz w:val="24"/>
          <w:szCs w:val="24"/>
        </w:rPr>
      </w:pPr>
      <w:r w:rsidRPr="00DD433A">
        <w:rPr>
          <w:rFonts w:ascii="Times New Roman" w:hAnsi="Times New Roman" w:cs="Times New Roman"/>
          <w:sz w:val="24"/>
          <w:szCs w:val="24"/>
        </w:rPr>
        <w:t>8. The Ombudsman states that a part of the requests for free legal aid are initially addressed to this institution. During the period 2018-2019, 68 applications were filed (18 by women). Women's claims are mainly related to family issues (divorce, guardianship, alimony) and civil lawsuits (tort, division of property, recognition of seniority at work). The criminal cases less than the civil cases.</w:t>
      </w:r>
    </w:p>
    <w:p w:rsidR="00DD433A" w:rsidRPr="00DD433A" w:rsidRDefault="00DD433A" w:rsidP="00DD433A">
      <w:pPr>
        <w:spacing w:after="0" w:line="240" w:lineRule="auto"/>
        <w:jc w:val="both"/>
        <w:rPr>
          <w:rFonts w:ascii="Times New Roman" w:hAnsi="Times New Roman" w:cs="Times New Roman"/>
          <w:sz w:val="24"/>
          <w:szCs w:val="24"/>
          <w:lang w:eastAsia="en-GB"/>
        </w:rPr>
      </w:pPr>
      <w:r w:rsidRPr="00DD433A">
        <w:rPr>
          <w:rFonts w:ascii="Times New Roman" w:hAnsi="Times New Roman" w:cs="Times New Roman"/>
          <w:sz w:val="24"/>
          <w:szCs w:val="24"/>
          <w:lang w:eastAsia="en-GB"/>
        </w:rPr>
        <w:t>The Ombudsman issued a series of recommendations on the improvement of the rights of national minorities, some of which are listed below</w:t>
      </w:r>
      <w:r w:rsidRPr="00DD433A">
        <w:rPr>
          <w:rStyle w:val="FootnoteReference"/>
          <w:rFonts w:ascii="Times New Roman" w:hAnsi="Times New Roman" w:cs="Times New Roman"/>
          <w:sz w:val="24"/>
          <w:szCs w:val="24"/>
          <w:lang w:eastAsia="en-GB"/>
        </w:rPr>
        <w:footnoteReference w:id="2"/>
      </w:r>
      <w:r w:rsidRPr="00DD433A">
        <w:rPr>
          <w:rFonts w:ascii="Times New Roman" w:hAnsi="Times New Roman" w:cs="Times New Roman"/>
          <w:sz w:val="24"/>
          <w:szCs w:val="24"/>
          <w:lang w:eastAsia="en-GB"/>
        </w:rPr>
        <w:t>:</w:t>
      </w:r>
    </w:p>
    <w:p w:rsidR="00DD433A" w:rsidRPr="00DD433A" w:rsidRDefault="00DD433A" w:rsidP="00DD433A">
      <w:pPr>
        <w:numPr>
          <w:ilvl w:val="0"/>
          <w:numId w:val="6"/>
        </w:numPr>
        <w:shd w:val="clear" w:color="auto" w:fill="FFFFFF"/>
        <w:spacing w:after="0" w:line="240" w:lineRule="auto"/>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Recommendation on completing the legal framework for the recognition and protection of national minorities, in accordance with the provisions of the Council of Europe Framework Convention for the Protection of National Minorities, addressed to the Prime Minister. This recommendation has been implemented with the entry into force of Law no. 96/2017 "On the protection of national minorities", or the enactment of some of the bylaws in implementation of this law.</w:t>
      </w:r>
    </w:p>
    <w:p w:rsidR="00DD433A" w:rsidRPr="00DD433A" w:rsidRDefault="00DD433A" w:rsidP="00DD433A">
      <w:pPr>
        <w:numPr>
          <w:ilvl w:val="0"/>
          <w:numId w:val="6"/>
        </w:numPr>
        <w:shd w:val="clear" w:color="auto" w:fill="FFFFFF"/>
        <w:spacing w:after="0" w:line="240" w:lineRule="auto"/>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Recommendation to accelerate the process of approval and entry into force of the secondary legislation based on law no. 96/2017 "On the protection of national minorities in the Republic of Albania", addressed to the Prime Minister and the Central Election Commission.</w:t>
      </w:r>
    </w:p>
    <w:p w:rsidR="00DD433A" w:rsidRPr="00DD433A" w:rsidRDefault="00DD433A" w:rsidP="00DD433A">
      <w:pPr>
        <w:numPr>
          <w:ilvl w:val="0"/>
          <w:numId w:val="6"/>
        </w:numPr>
        <w:shd w:val="clear" w:color="auto" w:fill="FFFFFF"/>
        <w:spacing w:after="0" w:line="240" w:lineRule="auto"/>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Recommendation “On taking the necessary, immediate measures for the Roma and the Egyptian minorities; identify the real number of individuals and families in need who reside within the territory of the administrative unit, administered by the municipalities. There has been a good reaction to this recommendation from majority of the local government units.</w:t>
      </w:r>
    </w:p>
    <w:p w:rsidR="00DD433A" w:rsidRPr="00DD433A" w:rsidRDefault="00DD433A" w:rsidP="00DD433A">
      <w:pPr>
        <w:numPr>
          <w:ilvl w:val="0"/>
          <w:numId w:val="6"/>
        </w:numPr>
        <w:shd w:val="clear" w:color="auto" w:fill="FFFFFF"/>
        <w:spacing w:after="0" w:line="240" w:lineRule="auto"/>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Recommendation for taking further measures to cover the financial costs to purchase face masks against the spread of Covid 19, for persons of the Roma minority and the Egyptian minority.</w:t>
      </w:r>
    </w:p>
    <w:p w:rsidR="00DD433A" w:rsidRPr="00DD433A" w:rsidRDefault="00DD433A" w:rsidP="00DD433A">
      <w:pPr>
        <w:shd w:val="clear" w:color="auto" w:fill="FFFFFF"/>
        <w:spacing w:after="0" w:line="240" w:lineRule="auto"/>
        <w:ind w:left="360"/>
        <w:jc w:val="both"/>
        <w:rPr>
          <w:rFonts w:ascii="Times New Roman" w:eastAsia="Calibri" w:hAnsi="Times New Roman" w:cs="Times New Roman"/>
          <w:sz w:val="24"/>
          <w:szCs w:val="24"/>
        </w:rPr>
      </w:pPr>
    </w:p>
    <w:p w:rsidR="00DD433A" w:rsidRPr="00DD433A" w:rsidRDefault="00DD433A" w:rsidP="00DD433A">
      <w:pPr>
        <w:shd w:val="clear" w:color="auto" w:fill="FFFFFF"/>
        <w:spacing w:line="240" w:lineRule="auto"/>
        <w:jc w:val="both"/>
        <w:rPr>
          <w:rFonts w:ascii="Times New Roman" w:eastAsia="Times New Roman" w:hAnsi="Times New Roman" w:cs="Times New Roman"/>
          <w:sz w:val="24"/>
          <w:szCs w:val="24"/>
        </w:rPr>
      </w:pPr>
      <w:r w:rsidRPr="00DD433A">
        <w:rPr>
          <w:rFonts w:ascii="Times New Roman" w:hAnsi="Times New Roman" w:cs="Times New Roman"/>
          <w:sz w:val="24"/>
          <w:szCs w:val="24"/>
          <w:lang w:eastAsia="en-GB"/>
        </w:rPr>
        <w:t>10</w:t>
      </w:r>
      <w:r w:rsidRPr="00DD433A">
        <w:rPr>
          <w:rFonts w:ascii="Times New Roman" w:eastAsia="Times New Roman" w:hAnsi="Times New Roman" w:cs="Times New Roman"/>
          <w:sz w:val="24"/>
          <w:szCs w:val="24"/>
        </w:rPr>
        <w:t xml:space="preserve">. According to the Ombudsman, a sensitive issue concerning Roma and Egyptian minority communities is the "forced eviction" from their community residences located on the outskirts of major cities, where they have built mainly barracks. Upon approval and entry into force of law no. 22/2018 "On social housing", some facilities have been made available for housing  of  Roma and Egyptian individuals and families and additionally there is a general provision on  forced evictions, but according to this institution these are not enough. Relevant </w:t>
      </w:r>
      <w:r w:rsidRPr="00DD433A">
        <w:rPr>
          <w:rFonts w:ascii="Times New Roman" w:eastAsia="Times New Roman" w:hAnsi="Times New Roman" w:cs="Times New Roman"/>
          <w:sz w:val="24"/>
          <w:szCs w:val="24"/>
        </w:rPr>
        <w:lastRenderedPageBreak/>
        <w:t>to this finding of the Ombudsman, according to the Ministry of Finance and Economy pursuant to Article 6 of Law no. 22/2018 "On social housing" it was approved DCM no. 361, dated 29.05.2019 on "Setting the procedures for relocation of individuals / families from their place of residence or dwelling, in cases provided by law and institutional cooperation”.</w:t>
      </w:r>
    </w:p>
    <w:p w:rsidR="00DD433A" w:rsidRPr="00DD433A" w:rsidRDefault="00DD433A" w:rsidP="00DD433A">
      <w:pPr>
        <w:spacing w:line="240" w:lineRule="auto"/>
        <w:contextualSpacing/>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12. The difficult conditions due to the Covid 19 pandemic in our country have led the Ombudsman to pay special attention to the situation of the Roma and Egyptian minorities, and issuing some specific recommendations for taking the necessary, immediate measures.</w:t>
      </w:r>
    </w:p>
    <w:p w:rsidR="00DD433A" w:rsidRPr="00DD433A" w:rsidRDefault="00DD433A" w:rsidP="00DD433A">
      <w:pPr>
        <w:spacing w:after="0" w:line="240" w:lineRule="auto"/>
        <w:contextualSpacing/>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 xml:space="preserve">  </w:t>
      </w:r>
    </w:p>
    <w:p w:rsidR="00DD433A" w:rsidRPr="00DD433A" w:rsidRDefault="00DD433A" w:rsidP="00DD433A">
      <w:pPr>
        <w:spacing w:after="0" w:line="240" w:lineRule="auto"/>
        <w:rPr>
          <w:rFonts w:ascii="Times New Roman" w:hAnsi="Times New Roman" w:cs="Times New Roman"/>
          <w:sz w:val="24"/>
          <w:szCs w:val="24"/>
        </w:rPr>
      </w:pPr>
    </w:p>
    <w:p w:rsidR="00DD433A" w:rsidRPr="00DD433A" w:rsidRDefault="00DD433A" w:rsidP="00DD433A">
      <w:pPr>
        <w:shd w:val="clear" w:color="auto" w:fill="FFFFFF" w:themeFill="background1"/>
        <w:spacing w:after="0" w:line="240" w:lineRule="auto"/>
        <w:ind w:left="-142"/>
        <w:jc w:val="both"/>
        <w:rPr>
          <w:rFonts w:ascii="Times New Roman" w:eastAsia="Times New Roman" w:hAnsi="Times New Roman" w:cs="Times New Roman"/>
          <w:b/>
          <w:sz w:val="24"/>
          <w:szCs w:val="24"/>
        </w:rPr>
      </w:pPr>
      <w:r w:rsidRPr="00DD433A">
        <w:rPr>
          <w:rFonts w:ascii="Times New Roman" w:eastAsia="Times New Roman" w:hAnsi="Times New Roman" w:cs="Times New Roman"/>
          <w:b/>
          <w:sz w:val="24"/>
          <w:szCs w:val="24"/>
        </w:rPr>
        <w:t xml:space="preserve">Annex nr. 2- Commissioner for Protection from Discrimination (CPD). </w:t>
      </w:r>
    </w:p>
    <w:p w:rsidR="00DD433A" w:rsidRPr="00DD433A" w:rsidRDefault="00DD433A" w:rsidP="00DD433A">
      <w:pPr>
        <w:shd w:val="clear" w:color="auto" w:fill="FFFFFF" w:themeFill="background1"/>
        <w:spacing w:after="0" w:line="240" w:lineRule="auto"/>
        <w:ind w:left="-142"/>
        <w:jc w:val="both"/>
        <w:rPr>
          <w:rFonts w:ascii="Times New Roman" w:eastAsia="Times New Roman" w:hAnsi="Times New Roman" w:cs="Times New Roman"/>
          <w:b/>
          <w:sz w:val="24"/>
          <w:szCs w:val="24"/>
        </w:rPr>
      </w:pPr>
    </w:p>
    <w:p w:rsidR="00DD433A" w:rsidRPr="00DD433A" w:rsidRDefault="00DD433A" w:rsidP="00DD433A">
      <w:pPr>
        <w:numPr>
          <w:ilvl w:val="0"/>
          <w:numId w:val="10"/>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One of the national mechanisms for the protection of minorities and for ensuring the enforcement of Law "On Protection from Discrimination" is the Office of the Commissioner for Protection against Discrimination (CPD) as a public and independent institution which "provides effective protection from discrimination and from any form of behavior that incites discrimination” (Article 21 point 1). Legal amendments to Law 10221/2010 "On Protection from Discrimination", have increased legal guarantees to handle discriminatory situations.</w:t>
      </w:r>
    </w:p>
    <w:p w:rsidR="00DD433A" w:rsidRPr="00DD433A" w:rsidRDefault="00DD433A" w:rsidP="00DD433A">
      <w:pPr>
        <w:shd w:val="clear" w:color="auto" w:fill="FFFFFF" w:themeFill="background1"/>
        <w:spacing w:after="0" w:line="240" w:lineRule="auto"/>
        <w:ind w:left="218"/>
        <w:contextualSpacing/>
        <w:jc w:val="both"/>
        <w:rPr>
          <w:rFonts w:ascii="Times New Roman" w:eastAsia="Times New Roman" w:hAnsi="Times New Roman" w:cs="Times New Roman"/>
          <w:i/>
          <w:sz w:val="24"/>
          <w:szCs w:val="24"/>
        </w:rPr>
      </w:pPr>
    </w:p>
    <w:p w:rsidR="00DD433A" w:rsidRPr="00DD433A" w:rsidRDefault="00DD433A" w:rsidP="00DD433A">
      <w:pPr>
        <w:numPr>
          <w:ilvl w:val="0"/>
          <w:numId w:val="10"/>
        </w:numPr>
        <w:shd w:val="clear" w:color="auto" w:fill="FFFFFF" w:themeFill="background1"/>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In addition to the central office, the Commissioner exercises its activity through the regional offices in Korça, Shkodër and Fier. By decision of the Assembly of Albania no. 88, dated 23.07.2018, it was decided to change the structure and staff of the Office of the Commissioner for Protection against Discrimination. Due to these changes, the number of staff of the Office increased from 23 employees to 34 employees with the new structure. The financial resources of the Commissioner have increased slightly over the years (this is in line with the expansion of the CPD structure), but further support is needed in order to fulfil the expanded competencies of the Commissioner.</w:t>
      </w:r>
    </w:p>
    <w:p w:rsidR="00DD433A" w:rsidRPr="00DD433A" w:rsidRDefault="00DD433A" w:rsidP="00DD433A">
      <w:pPr>
        <w:shd w:val="clear" w:color="auto" w:fill="FFFFFF" w:themeFill="background1"/>
        <w:spacing w:after="0" w:line="240" w:lineRule="auto"/>
        <w:ind w:left="218"/>
        <w:contextualSpacing/>
        <w:jc w:val="both"/>
        <w:rPr>
          <w:rFonts w:ascii="Times New Roman" w:eastAsia="Times New Roman" w:hAnsi="Times New Roman" w:cs="Times New Roman"/>
          <w:i/>
          <w:sz w:val="24"/>
          <w:szCs w:val="24"/>
        </w:rPr>
      </w:pPr>
      <w:r w:rsidRPr="00DD433A">
        <w:rPr>
          <w:rFonts w:ascii="Times New Roman" w:eastAsia="Times New Roman" w:hAnsi="Times New Roman" w:cs="Times New Roman"/>
          <w:sz w:val="24"/>
          <w:szCs w:val="24"/>
        </w:rPr>
        <w:t xml:space="preserve"> </w:t>
      </w:r>
    </w:p>
    <w:p w:rsidR="00DD433A" w:rsidRPr="00DD433A" w:rsidRDefault="00DD433A" w:rsidP="00DD433A">
      <w:pPr>
        <w:shd w:val="clear" w:color="auto" w:fill="FFFFFF" w:themeFill="background1"/>
        <w:spacing w:after="0" w:line="240" w:lineRule="auto"/>
        <w:jc w:val="both"/>
        <w:rPr>
          <w:rFonts w:ascii="Times New Roman" w:eastAsia="Times New Roman" w:hAnsi="Times New Roman" w:cs="Times New Roman"/>
          <w:color w:val="FF0000"/>
          <w:sz w:val="24"/>
          <w:szCs w:val="24"/>
        </w:rPr>
      </w:pPr>
    </w:p>
    <w:p w:rsidR="00DD433A" w:rsidRPr="00DD433A" w:rsidRDefault="00DD433A" w:rsidP="00DD433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b/>
          <w:i/>
          <w:sz w:val="24"/>
          <w:szCs w:val="24"/>
        </w:rPr>
      </w:pPr>
      <w:r w:rsidRPr="00DD433A">
        <w:rPr>
          <w:rFonts w:ascii="Times New Roman" w:eastAsia="Times New Roman" w:hAnsi="Times New Roman" w:cs="Times New Roman"/>
          <w:b/>
          <w:i/>
          <w:sz w:val="24"/>
          <w:szCs w:val="24"/>
        </w:rPr>
        <w:t>The cases examined by the Commissioner during 2018-2020.</w:t>
      </w:r>
    </w:p>
    <w:p w:rsidR="00DD433A" w:rsidRPr="00DD433A" w:rsidRDefault="00DD433A" w:rsidP="00DD433A">
      <w:pPr>
        <w:shd w:val="clear" w:color="auto" w:fill="FFFFFF" w:themeFill="background1"/>
        <w:spacing w:after="0" w:line="240" w:lineRule="auto"/>
        <w:contextualSpacing/>
        <w:rPr>
          <w:rFonts w:ascii="Times New Roman" w:eastAsia="MS Mincho" w:hAnsi="Times New Roman" w:cs="Times New Roman"/>
          <w:b/>
          <w:sz w:val="24"/>
          <w:szCs w:val="24"/>
        </w:rPr>
      </w:pPr>
    </w:p>
    <w:p w:rsidR="00DD433A" w:rsidRPr="00DD433A" w:rsidRDefault="00DD433A" w:rsidP="00DD433A">
      <w:pPr>
        <w:pStyle w:val="ListParagraph"/>
        <w:numPr>
          <w:ilvl w:val="0"/>
          <w:numId w:val="10"/>
        </w:numPr>
        <w:shd w:val="clear" w:color="auto" w:fill="FFFFFF" w:themeFill="background1"/>
        <w:rPr>
          <w:rFonts w:ascii="Times New Roman" w:eastAsia="Calibri" w:hAnsi="Times New Roman"/>
          <w:sz w:val="24"/>
          <w:szCs w:val="24"/>
        </w:rPr>
      </w:pPr>
      <w:r w:rsidRPr="00DD433A">
        <w:rPr>
          <w:rFonts w:ascii="Times New Roman" w:eastAsia="Calibri" w:hAnsi="Times New Roman"/>
          <w:sz w:val="24"/>
          <w:szCs w:val="24"/>
        </w:rPr>
        <w:t>During 2018, 63 cases were examined (59 complaints and 4 cases ex-officio) made by 19 males; 20 females, 9 groups of persons and 11 NGOs.</w:t>
      </w:r>
    </w:p>
    <w:p w:rsidR="00DD433A" w:rsidRPr="00DD433A" w:rsidRDefault="00DD433A" w:rsidP="00DD433A">
      <w:pPr>
        <w:numPr>
          <w:ilvl w:val="0"/>
          <w:numId w:val="15"/>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There were 7 cases against private subjects and 56 against public institutions (6 against central government institutions and 50 against local government institutions).</w:t>
      </w:r>
    </w:p>
    <w:p w:rsidR="00DD433A" w:rsidRPr="00DD433A" w:rsidRDefault="00DD433A" w:rsidP="00DD433A">
      <w:pPr>
        <w:numPr>
          <w:ilvl w:val="0"/>
          <w:numId w:val="15"/>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Complaint areas: 10 cases on education, 5 cases on employment and 48 cases on services.</w:t>
      </w:r>
    </w:p>
    <w:p w:rsidR="00DD433A" w:rsidRPr="00DD433A" w:rsidRDefault="00DD433A" w:rsidP="00DD433A">
      <w:pPr>
        <w:shd w:val="clear" w:color="auto" w:fill="FFFFFF" w:themeFill="background1"/>
        <w:spacing w:after="0" w:line="240" w:lineRule="auto"/>
        <w:ind w:left="360"/>
        <w:contextualSpacing/>
        <w:jc w:val="both"/>
        <w:rPr>
          <w:rFonts w:ascii="Times New Roman" w:eastAsia="Calibri" w:hAnsi="Times New Roman" w:cs="Times New Roman"/>
          <w:sz w:val="24"/>
          <w:szCs w:val="24"/>
        </w:rPr>
      </w:pPr>
    </w:p>
    <w:p w:rsidR="00DD433A" w:rsidRPr="00DD433A" w:rsidRDefault="00DD433A" w:rsidP="00DD433A">
      <w:pPr>
        <w:shd w:val="clear" w:color="auto" w:fill="FFFFFF" w:themeFill="background1"/>
        <w:spacing w:after="0" w:line="240" w:lineRule="auto"/>
        <w:ind w:left="180" w:hanging="36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4.   During 2018, the Commissioner concluded 64 decisions: 41 decisions on the merits of the case, 20 decisions to reject the case; and 1 decision suspending the review of the case, 2 decisions interrupting the inquiries on the case. Decisions are categorized as follows:</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bookmarkStart w:id="1" w:name="_Hlk76225659"/>
      <w:r w:rsidRPr="00DD433A">
        <w:rPr>
          <w:rFonts w:ascii="Times New Roman" w:eastAsia="Calibri" w:hAnsi="Times New Roman" w:cs="Times New Roman"/>
          <w:sz w:val="24"/>
          <w:szCs w:val="24"/>
        </w:rPr>
        <w:t>10 decisions that find discrimination.</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25 decisions that find non-discrimination.</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20 decisions rejecting the complaint.</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6 decisions for reaching the goal.</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1 decision to terminate the proceedings because the complainant withdraws the complaint.</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1 decision to terminate the proceedings because the appeal was being reviewed by court. </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b/>
          <w:sz w:val="24"/>
          <w:szCs w:val="24"/>
        </w:rPr>
      </w:pPr>
      <w:r w:rsidRPr="00DD433A">
        <w:rPr>
          <w:rFonts w:ascii="Times New Roman" w:eastAsia="Calibri" w:hAnsi="Times New Roman" w:cs="Times New Roman"/>
          <w:sz w:val="24"/>
          <w:szCs w:val="24"/>
        </w:rPr>
        <w:lastRenderedPageBreak/>
        <w:t>1 decision to dismiss the case.</w:t>
      </w:r>
    </w:p>
    <w:bookmarkEnd w:id="1"/>
    <w:p w:rsidR="00DD433A" w:rsidRPr="00DD433A" w:rsidRDefault="00DD433A" w:rsidP="00DD433A">
      <w:pPr>
        <w:shd w:val="clear" w:color="auto" w:fill="FFFFFF" w:themeFill="background1"/>
        <w:spacing w:after="0" w:line="240" w:lineRule="auto"/>
        <w:ind w:left="284" w:hanging="284"/>
        <w:contextualSpacing/>
        <w:rPr>
          <w:rFonts w:ascii="Times New Roman" w:eastAsia="MS Mincho" w:hAnsi="Times New Roman" w:cs="Times New Roman"/>
          <w:b/>
          <w:sz w:val="24"/>
          <w:szCs w:val="24"/>
        </w:rPr>
      </w:pPr>
    </w:p>
    <w:p w:rsidR="00DD433A" w:rsidRPr="00DD433A" w:rsidRDefault="00DD433A" w:rsidP="00DD433A">
      <w:pPr>
        <w:shd w:val="clear" w:color="auto" w:fill="FFFFFF" w:themeFill="background1"/>
        <w:tabs>
          <w:tab w:val="left" w:pos="270"/>
        </w:tabs>
        <w:spacing w:line="240" w:lineRule="auto"/>
        <w:ind w:left="180" w:hanging="360"/>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5.   During 2019, 35 cases were handled (33 complaints and 2 ex-officio cases), made by 9 men, 10 women, 5 groups of persons and 9 NGOs. 7 cases against private entities and 28 against public institutions (7 cases against central government institutions and 21 cases against local government institutions). Complaint areas: 7 cases on education and 28 cases on services.</w:t>
      </w:r>
    </w:p>
    <w:p w:rsidR="00DD433A" w:rsidRPr="00DD433A" w:rsidRDefault="00DD433A" w:rsidP="00DD433A">
      <w:pPr>
        <w:shd w:val="clear" w:color="auto" w:fill="FFFFFF" w:themeFill="background1"/>
        <w:spacing w:after="0" w:line="240" w:lineRule="auto"/>
        <w:ind w:left="180" w:hanging="360"/>
        <w:contextualSpacing/>
        <w:jc w:val="both"/>
        <w:rPr>
          <w:rFonts w:ascii="Times New Roman" w:eastAsia="Calibri" w:hAnsi="Times New Roman" w:cs="Times New Roman"/>
          <w:sz w:val="24"/>
          <w:szCs w:val="24"/>
        </w:rPr>
      </w:pPr>
      <w:r w:rsidRPr="00DD433A">
        <w:rPr>
          <w:rFonts w:ascii="Times New Roman" w:eastAsia="MS Mincho" w:hAnsi="Times New Roman" w:cs="Times New Roman"/>
          <w:sz w:val="24"/>
          <w:szCs w:val="24"/>
        </w:rPr>
        <w:t>6.   During 2019</w:t>
      </w:r>
      <w:r w:rsidRPr="00DD433A">
        <w:rPr>
          <w:rFonts w:ascii="Times New Roman" w:eastAsia="Calibri" w:hAnsi="Times New Roman" w:cs="Times New Roman"/>
          <w:sz w:val="24"/>
          <w:szCs w:val="24"/>
        </w:rPr>
        <w:t>, the Commissioner issued 33 decisions: 26 decisions on the merits of the case, 4 decisions to reject the case and 3 decisions interrupting the inquiries on the case. Decisions are categorized as follows:</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10 decisions that find discrimination (7 decisions in the area of goods and services were enforced, 1 decision in the area of goods and services was challenged in court, 2 decisions on goods and services are still under process and 2 decisions in the area of education were enforced).</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9 decisions that find non-discrimination.</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4 decisions rejecting the complaint.</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5 decisions for reaching the goal.</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2 decisions to terminate the proceedings because the complainants withdraw the complaints.</w:t>
      </w:r>
    </w:p>
    <w:p w:rsidR="00DD433A" w:rsidRPr="00DD433A" w:rsidRDefault="00DD433A" w:rsidP="00DD433A">
      <w:pPr>
        <w:numPr>
          <w:ilvl w:val="0"/>
          <w:numId w:val="7"/>
        </w:numPr>
        <w:shd w:val="clear" w:color="auto" w:fill="FFFFFF" w:themeFill="background1"/>
        <w:spacing w:after="0" w:line="240" w:lineRule="auto"/>
        <w:ind w:left="540"/>
        <w:contextualSpacing/>
        <w:jc w:val="both"/>
        <w:rPr>
          <w:rFonts w:ascii="Times New Roman" w:eastAsia="Calibri" w:hAnsi="Times New Roman" w:cs="Times New Roman"/>
          <w:b/>
          <w:sz w:val="24"/>
          <w:szCs w:val="24"/>
        </w:rPr>
      </w:pPr>
      <w:r w:rsidRPr="00DD433A">
        <w:rPr>
          <w:rFonts w:ascii="Times New Roman" w:eastAsia="Calibri" w:hAnsi="Times New Roman" w:cs="Times New Roman"/>
          <w:sz w:val="24"/>
          <w:szCs w:val="24"/>
        </w:rPr>
        <w:t xml:space="preserve">1 decision to dismiss the case because there was lack of evidence </w:t>
      </w:r>
    </w:p>
    <w:p w:rsidR="00DD433A" w:rsidRPr="00DD433A" w:rsidRDefault="00DD433A" w:rsidP="00DD433A">
      <w:pPr>
        <w:shd w:val="clear" w:color="auto" w:fill="FFFFFF" w:themeFill="background1"/>
        <w:spacing w:after="0" w:line="240" w:lineRule="auto"/>
        <w:ind w:left="180" w:hanging="360"/>
        <w:contextualSpacing/>
        <w:jc w:val="both"/>
        <w:rPr>
          <w:rFonts w:ascii="Times New Roman" w:eastAsia="MS Mincho" w:hAnsi="Times New Roman" w:cs="Times New Roman"/>
          <w:sz w:val="24"/>
          <w:szCs w:val="24"/>
        </w:rPr>
      </w:pPr>
    </w:p>
    <w:p w:rsidR="00DD433A" w:rsidRPr="00DD433A" w:rsidRDefault="00DD433A" w:rsidP="00DD433A">
      <w:pPr>
        <w:shd w:val="clear" w:color="auto" w:fill="FFFFFF" w:themeFill="background1"/>
        <w:spacing w:after="0" w:line="240" w:lineRule="auto"/>
        <w:ind w:left="180" w:hanging="36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7.   During 2020 there handled 16 cases (15 complaints and 1 case ex-officio) made by 4 males; 4 females, 4 groups of persons and 3 NGOs.</w:t>
      </w:r>
    </w:p>
    <w:p w:rsidR="00DD433A" w:rsidRPr="00DD433A" w:rsidRDefault="00DD433A" w:rsidP="00DD433A">
      <w:pPr>
        <w:numPr>
          <w:ilvl w:val="0"/>
          <w:numId w:val="8"/>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There were 2 complaints made against private entities and 14 against public institutions (7 cases against central government institutions and 7 cases against local government institutions).</w:t>
      </w:r>
    </w:p>
    <w:p w:rsidR="00DD433A" w:rsidRPr="00DD433A" w:rsidRDefault="00DD433A" w:rsidP="00DD433A">
      <w:pPr>
        <w:numPr>
          <w:ilvl w:val="0"/>
          <w:numId w:val="8"/>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Complaint areas: 2 cases on education, 3 cases on employment and 11 cases on services.</w:t>
      </w:r>
    </w:p>
    <w:p w:rsidR="00DD433A" w:rsidRPr="00DD433A" w:rsidRDefault="00DD433A" w:rsidP="00DD433A">
      <w:pPr>
        <w:spacing w:after="0" w:line="240" w:lineRule="auto"/>
        <w:ind w:left="180" w:hanging="360"/>
        <w:jc w:val="both"/>
        <w:rPr>
          <w:rFonts w:ascii="Times New Roman" w:hAnsi="Times New Roman" w:cs="Times New Roman"/>
          <w:sz w:val="24"/>
          <w:szCs w:val="24"/>
        </w:rPr>
      </w:pPr>
    </w:p>
    <w:p w:rsidR="00DD433A" w:rsidRPr="00DD433A" w:rsidRDefault="00DD433A" w:rsidP="00DD433A">
      <w:pPr>
        <w:spacing w:after="0" w:line="240" w:lineRule="auto"/>
        <w:ind w:left="180" w:hanging="360"/>
        <w:jc w:val="both"/>
        <w:rPr>
          <w:rFonts w:ascii="Times New Roman" w:hAnsi="Times New Roman" w:cs="Times New Roman"/>
          <w:sz w:val="24"/>
          <w:szCs w:val="24"/>
        </w:rPr>
      </w:pPr>
      <w:r w:rsidRPr="00DD433A">
        <w:rPr>
          <w:rFonts w:ascii="Times New Roman" w:hAnsi="Times New Roman" w:cs="Times New Roman"/>
          <w:sz w:val="24"/>
          <w:szCs w:val="24"/>
        </w:rPr>
        <w:t>8.   During 2020, the Commissioner:</w:t>
      </w:r>
    </w:p>
    <w:p w:rsidR="00DD433A" w:rsidRPr="00DD433A" w:rsidRDefault="00DD433A" w:rsidP="00DD433A">
      <w:pPr>
        <w:pStyle w:val="ListParagraph"/>
        <w:numPr>
          <w:ilvl w:val="0"/>
          <w:numId w:val="33"/>
        </w:numPr>
        <w:ind w:left="540"/>
        <w:jc w:val="both"/>
        <w:rPr>
          <w:rFonts w:ascii="Times New Roman" w:hAnsi="Times New Roman"/>
          <w:sz w:val="24"/>
          <w:szCs w:val="24"/>
          <w:lang w:val="en-GB"/>
        </w:rPr>
      </w:pPr>
      <w:r w:rsidRPr="00DD433A">
        <w:rPr>
          <w:rFonts w:ascii="Times New Roman" w:hAnsi="Times New Roman"/>
          <w:sz w:val="24"/>
          <w:szCs w:val="24"/>
          <w:lang w:val="en-GB"/>
        </w:rPr>
        <w:t xml:space="preserve">Handled 22 cases (21 complaints and 1 case </w:t>
      </w:r>
      <w:r w:rsidRPr="00DD433A">
        <w:rPr>
          <w:rFonts w:ascii="Times New Roman" w:hAnsi="Times New Roman"/>
          <w:i/>
          <w:sz w:val="24"/>
          <w:szCs w:val="24"/>
          <w:lang w:val="en-GB"/>
        </w:rPr>
        <w:t>ex-officio</w:t>
      </w:r>
      <w:r w:rsidRPr="00DD433A">
        <w:rPr>
          <w:rFonts w:ascii="Times New Roman" w:hAnsi="Times New Roman"/>
          <w:sz w:val="24"/>
          <w:szCs w:val="24"/>
          <w:lang w:val="en-GB"/>
        </w:rPr>
        <w:t xml:space="preserve">), made by 6 males, 5 females, 5 groups of persons and 5 organisations of civil society (NGOs). </w:t>
      </w:r>
    </w:p>
    <w:p w:rsidR="00DD433A" w:rsidRPr="00DD433A" w:rsidRDefault="00DD433A" w:rsidP="00DD433A">
      <w:pPr>
        <w:pStyle w:val="ListParagraph"/>
        <w:numPr>
          <w:ilvl w:val="0"/>
          <w:numId w:val="33"/>
        </w:numPr>
        <w:ind w:left="540"/>
        <w:jc w:val="both"/>
        <w:rPr>
          <w:rFonts w:ascii="Times New Roman" w:hAnsi="Times New Roman"/>
          <w:sz w:val="24"/>
          <w:szCs w:val="24"/>
          <w:lang w:val="en-GB"/>
        </w:rPr>
      </w:pPr>
      <w:r w:rsidRPr="00DD433A">
        <w:rPr>
          <w:rFonts w:ascii="Times New Roman" w:hAnsi="Times New Roman"/>
          <w:sz w:val="24"/>
          <w:szCs w:val="24"/>
          <w:lang w:val="en-GB"/>
        </w:rPr>
        <w:t>There were 3 claims against private entities and 19 claims against public institutions (9 cases against central government institutions and 10 cases against local government institutions).</w:t>
      </w:r>
    </w:p>
    <w:p w:rsidR="00DD433A" w:rsidRPr="00DD433A" w:rsidRDefault="00DD433A" w:rsidP="00DD433A">
      <w:pPr>
        <w:pStyle w:val="ListParagraph"/>
        <w:numPr>
          <w:ilvl w:val="0"/>
          <w:numId w:val="33"/>
        </w:numPr>
        <w:ind w:left="540"/>
        <w:jc w:val="both"/>
        <w:rPr>
          <w:rFonts w:ascii="Times New Roman" w:hAnsi="Times New Roman"/>
          <w:sz w:val="24"/>
          <w:szCs w:val="24"/>
          <w:lang w:val="en-GB"/>
        </w:rPr>
      </w:pPr>
      <w:r w:rsidRPr="00DD433A">
        <w:rPr>
          <w:rFonts w:ascii="Times New Roman" w:hAnsi="Times New Roman"/>
          <w:sz w:val="24"/>
          <w:szCs w:val="24"/>
          <w:lang w:val="en-GB"/>
        </w:rPr>
        <w:t>Complaint areas: 2 cases on education, 3 cases on employment and 17 cases on services.</w:t>
      </w:r>
    </w:p>
    <w:p w:rsidR="00DD433A" w:rsidRPr="00DD433A" w:rsidRDefault="00DD433A" w:rsidP="00DD433A">
      <w:pPr>
        <w:pStyle w:val="ListParagraph"/>
        <w:ind w:left="180" w:hanging="360"/>
        <w:jc w:val="both"/>
        <w:rPr>
          <w:rFonts w:ascii="Times New Roman" w:hAnsi="Times New Roman"/>
          <w:noProof w:val="0"/>
          <w:sz w:val="24"/>
          <w:szCs w:val="24"/>
          <w:lang w:val="en-GB"/>
        </w:rPr>
      </w:pPr>
    </w:p>
    <w:p w:rsidR="00DD433A" w:rsidRPr="00DD433A" w:rsidRDefault="00DD433A" w:rsidP="00DD433A">
      <w:pPr>
        <w:spacing w:after="0" w:line="240" w:lineRule="auto"/>
        <w:ind w:left="180" w:hanging="360"/>
        <w:jc w:val="both"/>
        <w:rPr>
          <w:rFonts w:ascii="Times New Roman" w:hAnsi="Times New Roman" w:cs="Times New Roman"/>
          <w:sz w:val="24"/>
          <w:szCs w:val="24"/>
        </w:rPr>
      </w:pPr>
      <w:r w:rsidRPr="00DD433A">
        <w:rPr>
          <w:rFonts w:ascii="Times New Roman" w:hAnsi="Times New Roman" w:cs="Times New Roman"/>
          <w:sz w:val="24"/>
          <w:szCs w:val="24"/>
        </w:rPr>
        <w:t xml:space="preserve">9.   During 2020, the Commissioner issued 16 decisions: 14 decisions on the merits of the case and 2 decisions to reject the case, as below:  </w:t>
      </w:r>
    </w:p>
    <w:p w:rsidR="00DD433A" w:rsidRPr="00DD433A" w:rsidRDefault="00DD433A" w:rsidP="00DD433A">
      <w:pPr>
        <w:numPr>
          <w:ilvl w:val="0"/>
          <w:numId w:val="29"/>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5 decisions that find discrimination (4 decisions in the area of goods and services are under process, 1 decision in the area of employment was challenged in the court); </w:t>
      </w:r>
    </w:p>
    <w:p w:rsidR="00DD433A" w:rsidRPr="00DD433A" w:rsidRDefault="00DD433A" w:rsidP="00DD433A">
      <w:pPr>
        <w:numPr>
          <w:ilvl w:val="0"/>
          <w:numId w:val="29"/>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5 decisions that find non-discrimination.</w:t>
      </w:r>
    </w:p>
    <w:p w:rsidR="00DD433A" w:rsidRPr="00DD433A" w:rsidRDefault="00DD433A" w:rsidP="00DD433A">
      <w:pPr>
        <w:numPr>
          <w:ilvl w:val="0"/>
          <w:numId w:val="29"/>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2 decisions rejecting the complaint.</w:t>
      </w:r>
    </w:p>
    <w:p w:rsidR="00DD433A" w:rsidRPr="00DD433A" w:rsidRDefault="00DD433A" w:rsidP="00DD433A">
      <w:pPr>
        <w:numPr>
          <w:ilvl w:val="0"/>
          <w:numId w:val="29"/>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4 </w:t>
      </w:r>
      <w:bookmarkStart w:id="2" w:name="_Hlk76226675"/>
      <w:r w:rsidRPr="00DD433A">
        <w:rPr>
          <w:rFonts w:ascii="Times New Roman" w:eastAsia="Calibri" w:hAnsi="Times New Roman" w:cs="Times New Roman"/>
          <w:sz w:val="24"/>
          <w:szCs w:val="24"/>
        </w:rPr>
        <w:t>decisions for reaching the goal</w:t>
      </w:r>
      <w:bookmarkEnd w:id="2"/>
      <w:r w:rsidRPr="00DD433A">
        <w:rPr>
          <w:rFonts w:ascii="Times New Roman" w:eastAsia="Calibri" w:hAnsi="Times New Roman" w:cs="Times New Roman"/>
          <w:sz w:val="24"/>
          <w:szCs w:val="24"/>
        </w:rPr>
        <w:t>.</w:t>
      </w:r>
    </w:p>
    <w:p w:rsidR="00DD433A" w:rsidRPr="00DD433A" w:rsidRDefault="00DD433A" w:rsidP="00DD433A">
      <w:pPr>
        <w:pStyle w:val="ListParagraph"/>
        <w:ind w:left="180" w:hanging="360"/>
        <w:jc w:val="both"/>
        <w:rPr>
          <w:rFonts w:ascii="Times New Roman" w:hAnsi="Times New Roman"/>
          <w:noProof w:val="0"/>
          <w:sz w:val="24"/>
          <w:szCs w:val="24"/>
          <w:lang w:val="en-GB"/>
        </w:rPr>
      </w:pPr>
    </w:p>
    <w:p w:rsidR="00DD433A" w:rsidRPr="00DD433A" w:rsidRDefault="00DD433A" w:rsidP="00DD433A">
      <w:pPr>
        <w:shd w:val="clear" w:color="auto" w:fill="FFFFFF" w:themeFill="background1"/>
        <w:spacing w:after="0" w:line="240" w:lineRule="auto"/>
        <w:ind w:left="180" w:hanging="36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9. During the period January-November 2020, the Commissioner issued 14 decisions: 12 decisions on the merits of the case and 2 decisions to reject the case as detailed below:</w:t>
      </w:r>
    </w:p>
    <w:p w:rsidR="00DD433A" w:rsidRPr="00DD433A" w:rsidRDefault="00DD433A" w:rsidP="00DD433A">
      <w:pPr>
        <w:numPr>
          <w:ilvl w:val="0"/>
          <w:numId w:val="9"/>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lastRenderedPageBreak/>
        <w:t>5 decisions that find discrimination (4 decisions in the area of goods and services are under process, 1 decision in the area of employment was challenged in the court);</w:t>
      </w:r>
    </w:p>
    <w:p w:rsidR="00DD433A" w:rsidRPr="00DD433A" w:rsidRDefault="00DD433A" w:rsidP="00DD433A">
      <w:pPr>
        <w:numPr>
          <w:ilvl w:val="0"/>
          <w:numId w:val="9"/>
        </w:numPr>
        <w:shd w:val="clear" w:color="auto" w:fill="FFFFFF" w:themeFill="background1"/>
        <w:spacing w:after="0" w:line="240" w:lineRule="auto"/>
        <w:ind w:left="540"/>
        <w:contextualSpacing/>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4 decisions that find non-discrimination;</w:t>
      </w:r>
    </w:p>
    <w:p w:rsidR="00DD433A" w:rsidRPr="00DD433A" w:rsidRDefault="00DD433A" w:rsidP="00DD433A">
      <w:pPr>
        <w:numPr>
          <w:ilvl w:val="0"/>
          <w:numId w:val="9"/>
        </w:numPr>
        <w:shd w:val="clear" w:color="auto" w:fill="FFFFFF" w:themeFill="background1"/>
        <w:spacing w:after="0" w:line="240" w:lineRule="auto"/>
        <w:ind w:left="540"/>
        <w:contextualSpacing/>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2 decisions rejecting the complaint;</w:t>
      </w:r>
    </w:p>
    <w:p w:rsidR="00DD433A" w:rsidRPr="00DD433A" w:rsidRDefault="00DD433A" w:rsidP="00DD433A">
      <w:pPr>
        <w:numPr>
          <w:ilvl w:val="0"/>
          <w:numId w:val="9"/>
        </w:numPr>
        <w:shd w:val="clear" w:color="auto" w:fill="FFFFFF" w:themeFill="background1"/>
        <w:spacing w:after="0" w:line="240" w:lineRule="auto"/>
        <w:ind w:left="540"/>
        <w:contextualSpacing/>
        <w:jc w:val="both"/>
        <w:rPr>
          <w:rFonts w:ascii="Times New Roman" w:eastAsia="MS Mincho" w:hAnsi="Times New Roman" w:cs="Times New Roman"/>
          <w:b/>
          <w:sz w:val="24"/>
          <w:szCs w:val="24"/>
        </w:rPr>
      </w:pPr>
      <w:r w:rsidRPr="00DD433A">
        <w:rPr>
          <w:rFonts w:ascii="Times New Roman" w:eastAsia="MS Mincho" w:hAnsi="Times New Roman" w:cs="Times New Roman"/>
          <w:sz w:val="24"/>
          <w:szCs w:val="24"/>
        </w:rPr>
        <w:t>3 decisions for reaching the goal;</w:t>
      </w:r>
    </w:p>
    <w:p w:rsidR="00DD433A" w:rsidRPr="00DD433A" w:rsidRDefault="00DD433A" w:rsidP="00DD433A">
      <w:pPr>
        <w:pStyle w:val="ListParagraph"/>
        <w:ind w:left="180" w:hanging="360"/>
        <w:jc w:val="both"/>
        <w:rPr>
          <w:rFonts w:ascii="Times New Roman" w:hAnsi="Times New Roman"/>
          <w:noProof w:val="0"/>
          <w:sz w:val="24"/>
          <w:szCs w:val="24"/>
          <w:lang w:val="en-GB"/>
        </w:rPr>
      </w:pPr>
    </w:p>
    <w:p w:rsidR="00DD433A" w:rsidRPr="00DD433A" w:rsidRDefault="00DD433A" w:rsidP="00DD433A">
      <w:pPr>
        <w:spacing w:after="0" w:line="240" w:lineRule="auto"/>
        <w:ind w:left="180" w:hanging="360"/>
        <w:jc w:val="both"/>
        <w:rPr>
          <w:rFonts w:ascii="Times New Roman" w:hAnsi="Times New Roman" w:cs="Times New Roman"/>
          <w:sz w:val="24"/>
          <w:szCs w:val="24"/>
        </w:rPr>
      </w:pPr>
      <w:r w:rsidRPr="00DD433A">
        <w:rPr>
          <w:rFonts w:ascii="Times New Roman" w:hAnsi="Times New Roman" w:cs="Times New Roman"/>
          <w:sz w:val="24"/>
          <w:szCs w:val="24"/>
        </w:rPr>
        <w:t xml:space="preserve">10. During the period January-April 2021, CPD reviewed 19 claims (16 complaints and 3 cases ex-officio) made by 8 males, 1 female, 3 groups of persons and 4 NGOs. </w:t>
      </w:r>
    </w:p>
    <w:p w:rsidR="00DD433A" w:rsidRPr="00DD433A" w:rsidRDefault="00DD433A" w:rsidP="00DD433A">
      <w:pPr>
        <w:pStyle w:val="ListParagraph"/>
        <w:numPr>
          <w:ilvl w:val="0"/>
          <w:numId w:val="30"/>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There were 5 claims against private entities and 14 claims against public institutions (4 cases against central government institutions and 10 cases against local government institutions).</w:t>
      </w:r>
    </w:p>
    <w:p w:rsidR="00DD433A" w:rsidRPr="00DD433A" w:rsidRDefault="00DD433A" w:rsidP="00DD433A">
      <w:pPr>
        <w:pStyle w:val="ListParagraph"/>
        <w:numPr>
          <w:ilvl w:val="0"/>
          <w:numId w:val="30"/>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Complaint area: 19 cases on services.</w:t>
      </w:r>
    </w:p>
    <w:p w:rsidR="00DD433A" w:rsidRPr="00DD433A" w:rsidRDefault="00DD433A" w:rsidP="00DD433A">
      <w:pPr>
        <w:pStyle w:val="ListParagraph"/>
        <w:ind w:left="180" w:hanging="360"/>
        <w:jc w:val="both"/>
        <w:rPr>
          <w:rFonts w:ascii="Times New Roman" w:hAnsi="Times New Roman"/>
          <w:noProof w:val="0"/>
          <w:sz w:val="24"/>
          <w:szCs w:val="24"/>
          <w:lang w:val="en-GB"/>
        </w:rPr>
      </w:pPr>
    </w:p>
    <w:p w:rsidR="00DD433A" w:rsidRPr="00DD433A" w:rsidRDefault="00DD433A" w:rsidP="00DD433A">
      <w:pPr>
        <w:spacing w:after="0" w:line="240" w:lineRule="auto"/>
        <w:ind w:left="180" w:hanging="360"/>
        <w:jc w:val="both"/>
        <w:rPr>
          <w:rFonts w:ascii="Times New Roman" w:hAnsi="Times New Roman" w:cs="Times New Roman"/>
          <w:sz w:val="24"/>
          <w:szCs w:val="24"/>
        </w:rPr>
      </w:pPr>
      <w:r w:rsidRPr="00DD433A">
        <w:rPr>
          <w:rFonts w:ascii="Times New Roman" w:hAnsi="Times New Roman" w:cs="Times New Roman"/>
          <w:sz w:val="24"/>
          <w:szCs w:val="24"/>
        </w:rPr>
        <w:t>11. During 2021, the Commissioner issued 11 decisions: 8 decisions on the merits of the case and 3 decisions to reject the case as detailed below:</w:t>
      </w:r>
    </w:p>
    <w:p w:rsidR="00DD433A" w:rsidRPr="00DD433A" w:rsidRDefault="00DD433A" w:rsidP="00DD433A">
      <w:pPr>
        <w:pStyle w:val="ListParagraph"/>
        <w:numPr>
          <w:ilvl w:val="0"/>
          <w:numId w:val="31"/>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2 decisions that find discrimination (2 decisions in the area of goods and services are under process);</w:t>
      </w:r>
    </w:p>
    <w:p w:rsidR="00DD433A" w:rsidRPr="00DD433A" w:rsidRDefault="00DD433A" w:rsidP="00DD433A">
      <w:pPr>
        <w:pStyle w:val="ListParagraph"/>
        <w:numPr>
          <w:ilvl w:val="0"/>
          <w:numId w:val="31"/>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2 decisions that find non-discrimination;</w:t>
      </w:r>
    </w:p>
    <w:p w:rsidR="00DD433A" w:rsidRPr="00DD433A" w:rsidRDefault="00DD433A" w:rsidP="00DD433A">
      <w:pPr>
        <w:pStyle w:val="ListParagraph"/>
        <w:numPr>
          <w:ilvl w:val="0"/>
          <w:numId w:val="31"/>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3 decisions rejecting the complaint;</w:t>
      </w:r>
    </w:p>
    <w:p w:rsidR="00DD433A" w:rsidRPr="00DD433A" w:rsidRDefault="00DD433A" w:rsidP="00DD433A">
      <w:pPr>
        <w:pStyle w:val="ListParagraph"/>
        <w:numPr>
          <w:ilvl w:val="0"/>
          <w:numId w:val="31"/>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4 decisions for reaching the goal.</w:t>
      </w:r>
    </w:p>
    <w:p w:rsidR="00DD433A" w:rsidRPr="00DD433A" w:rsidRDefault="00DD433A" w:rsidP="00DD433A">
      <w:pPr>
        <w:pStyle w:val="ListParagraph"/>
        <w:ind w:left="180" w:hanging="360"/>
        <w:jc w:val="both"/>
        <w:rPr>
          <w:rFonts w:ascii="Times New Roman" w:hAnsi="Times New Roman"/>
          <w:noProof w:val="0"/>
          <w:sz w:val="24"/>
          <w:szCs w:val="24"/>
          <w:lang w:val="en-GB"/>
        </w:rPr>
      </w:pPr>
    </w:p>
    <w:p w:rsidR="00DD433A" w:rsidRPr="00DD433A" w:rsidRDefault="00DD433A" w:rsidP="00DD433A">
      <w:pPr>
        <w:shd w:val="clear" w:color="auto" w:fill="FFFFFF" w:themeFill="background1"/>
        <w:spacing w:after="0" w:line="240" w:lineRule="auto"/>
        <w:ind w:left="180" w:hanging="36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12. The issues of concern in the cases examined:</w:t>
      </w:r>
    </w:p>
    <w:p w:rsidR="00DD433A" w:rsidRPr="00DD433A" w:rsidRDefault="00DD433A" w:rsidP="00DD433A">
      <w:pPr>
        <w:pStyle w:val="ListParagraph"/>
        <w:numPr>
          <w:ilvl w:val="0"/>
          <w:numId w:val="28"/>
        </w:numPr>
        <w:shd w:val="clear" w:color="auto" w:fill="FFFFFF" w:themeFill="background1"/>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Electricity supply for members of Roma and Egyptian minorities. The Commissioner ordered the Electricity Regulatory Authority to take measures to amend the Regulation to relieve from the burden of the new connection fee the applicants who have the status of "customer in need", who are in financial difficulties.</w:t>
      </w:r>
    </w:p>
    <w:p w:rsidR="00DD433A" w:rsidRPr="00DD433A" w:rsidRDefault="00DD433A" w:rsidP="00DD433A">
      <w:pPr>
        <w:pStyle w:val="ListParagraph"/>
        <w:numPr>
          <w:ilvl w:val="0"/>
          <w:numId w:val="28"/>
        </w:numPr>
        <w:shd w:val="clear" w:color="auto" w:fill="FFFFFF" w:themeFill="background1"/>
        <w:ind w:left="540"/>
        <w:jc w:val="both"/>
        <w:outlineLvl w:val="0"/>
        <w:rPr>
          <w:rFonts w:ascii="Times New Roman" w:hAnsi="Times New Roman"/>
          <w:noProof w:val="0"/>
          <w:sz w:val="24"/>
          <w:szCs w:val="24"/>
          <w:lang w:val="en-GB"/>
        </w:rPr>
      </w:pPr>
      <w:r w:rsidRPr="00DD433A">
        <w:rPr>
          <w:rFonts w:ascii="Times New Roman" w:hAnsi="Times New Roman"/>
          <w:noProof w:val="0"/>
          <w:sz w:val="24"/>
          <w:szCs w:val="24"/>
          <w:lang w:val="en-GB"/>
        </w:rPr>
        <w:t>Water supply issues, lack of sewerage or lighting in areas where most of the inhabitants belong to the Roma or Egyptian minorities has been addressed in some cases by the Commissioner in different cities such as Elbasan, Shkodra, Fier and Korça. In the case of the residents of Shkodra and Korça, the authorities followed up the decisions of the Commissioner and resolved the identified problems.</w:t>
      </w:r>
    </w:p>
    <w:p w:rsidR="00DD433A" w:rsidRPr="00DD433A" w:rsidRDefault="00DD433A" w:rsidP="00DD433A">
      <w:pPr>
        <w:pStyle w:val="ListParagraph"/>
        <w:numPr>
          <w:ilvl w:val="0"/>
          <w:numId w:val="28"/>
        </w:numPr>
        <w:shd w:val="clear" w:color="auto" w:fill="FFFFFF" w:themeFill="background1"/>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Use of inappropriate terminology for labelling certain areas inhabited by members of Roma or Egyptian minorities, in official documentation used by the electricity service provider in the city of Shkodra. During the review of the case by the Commissioner, the electricity supply operator in the city of Shkodra took immediate measures on the issue.</w:t>
      </w:r>
    </w:p>
    <w:p w:rsidR="00DD433A" w:rsidRPr="00DD433A" w:rsidRDefault="00DD433A" w:rsidP="00DD433A">
      <w:pPr>
        <w:pStyle w:val="ListParagraph"/>
        <w:numPr>
          <w:ilvl w:val="0"/>
          <w:numId w:val="28"/>
        </w:numPr>
        <w:shd w:val="clear" w:color="auto" w:fill="FFFFFF" w:themeFill="background1"/>
        <w:tabs>
          <w:tab w:val="left" w:pos="284"/>
        </w:tabs>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School dropouts by Roma children due to poverty. The responsible institutions took the due measures to open part-time classes in the 9-year school "Agimi" in Maliq for the school year 2020-2021, thus solving the problems addressed to the Commissioner.</w:t>
      </w:r>
    </w:p>
    <w:p w:rsidR="00DD433A" w:rsidRPr="00DD433A" w:rsidRDefault="00DD433A" w:rsidP="00DD433A">
      <w:pPr>
        <w:pStyle w:val="ListParagraph"/>
        <w:numPr>
          <w:ilvl w:val="0"/>
          <w:numId w:val="28"/>
        </w:numPr>
        <w:shd w:val="clear" w:color="auto" w:fill="FFFFFF" w:themeFill="background1"/>
        <w:tabs>
          <w:tab w:val="left" w:pos="284"/>
        </w:tabs>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Segregation of children belonging to Roma and Egyptian minorities in certain schools. The Commissioner found discrimination in the form of segregation of Roma and Egyptian pupils of the 9-year school "Liria" in Shkodra and the subordinate school "Isuf Tabaku", Ajasem, in Shkodra. The Commissioner ordered immediate measures to adjust the situation and prevent such situations in the future.</w:t>
      </w:r>
    </w:p>
    <w:p w:rsidR="00DD433A" w:rsidRPr="00DD433A" w:rsidRDefault="00DD433A" w:rsidP="00DD433A">
      <w:pPr>
        <w:pStyle w:val="ListParagraph"/>
        <w:numPr>
          <w:ilvl w:val="0"/>
          <w:numId w:val="28"/>
        </w:numPr>
        <w:shd w:val="clear" w:color="auto" w:fill="FFFFFF" w:themeFill="background1"/>
        <w:tabs>
          <w:tab w:val="left" w:pos="284"/>
        </w:tabs>
        <w:ind w:left="540"/>
        <w:jc w:val="both"/>
        <w:rPr>
          <w:rFonts w:ascii="Times New Roman" w:hAnsi="Times New Roman"/>
          <w:bCs/>
          <w:noProof w:val="0"/>
          <w:sz w:val="24"/>
          <w:szCs w:val="24"/>
          <w:lang w:val="en-GB"/>
        </w:rPr>
      </w:pPr>
      <w:r w:rsidRPr="00DD433A">
        <w:rPr>
          <w:rFonts w:ascii="Times New Roman" w:hAnsi="Times New Roman"/>
          <w:bCs/>
          <w:noProof w:val="0"/>
          <w:sz w:val="24"/>
          <w:szCs w:val="24"/>
          <w:lang w:val="en-GB"/>
        </w:rPr>
        <w:t>The language used in the media, social media, against the Roma, Egyptian minorities, by journalists, public figures and even MPs, are considered by the CPD as discrimination against these groups.</w:t>
      </w:r>
    </w:p>
    <w:p w:rsidR="00DD433A" w:rsidRPr="00DD433A" w:rsidRDefault="00DD433A" w:rsidP="00DD433A">
      <w:pPr>
        <w:pStyle w:val="ListParagraph"/>
        <w:numPr>
          <w:ilvl w:val="0"/>
          <w:numId w:val="28"/>
        </w:numPr>
        <w:shd w:val="clear" w:color="auto" w:fill="FFFFFF" w:themeFill="background1"/>
        <w:tabs>
          <w:tab w:val="left" w:pos="284"/>
        </w:tabs>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Dismissal of a woman belonging to the Roma minority by the employer which was a public institution, was found discriminatory by the Commissioner.</w:t>
      </w:r>
    </w:p>
    <w:p w:rsidR="00DD433A" w:rsidRPr="00DD433A" w:rsidRDefault="00DD433A" w:rsidP="00DD433A">
      <w:pPr>
        <w:shd w:val="clear" w:color="auto" w:fill="FFFFFF" w:themeFill="background1"/>
        <w:spacing w:after="0" w:line="240" w:lineRule="auto"/>
        <w:ind w:left="180" w:hanging="360"/>
        <w:jc w:val="both"/>
        <w:rPr>
          <w:rFonts w:ascii="Times New Roman" w:eastAsia="MS Mincho" w:hAnsi="Times New Roman" w:cs="Times New Roman"/>
          <w:b/>
          <w:sz w:val="24"/>
          <w:szCs w:val="24"/>
        </w:rPr>
      </w:pPr>
    </w:p>
    <w:p w:rsidR="00DD433A" w:rsidRPr="00DD433A" w:rsidRDefault="00DD433A" w:rsidP="00DD433A">
      <w:pPr>
        <w:shd w:val="clear" w:color="auto" w:fill="FFFFFF" w:themeFill="background1"/>
        <w:tabs>
          <w:tab w:val="left" w:pos="284"/>
        </w:tabs>
        <w:spacing w:line="240" w:lineRule="auto"/>
        <w:ind w:left="180" w:hanging="360"/>
        <w:contextualSpacing/>
        <w:jc w:val="both"/>
        <w:rPr>
          <w:rFonts w:ascii="Times New Roman" w:eastAsia="Times New Roman" w:hAnsi="Times New Roman" w:cs="Times New Roman"/>
          <w:bCs/>
          <w:sz w:val="24"/>
          <w:szCs w:val="24"/>
          <w:lang w:eastAsia="sq-AL"/>
        </w:rPr>
      </w:pPr>
      <w:r w:rsidRPr="00DD433A">
        <w:rPr>
          <w:rFonts w:ascii="Times New Roman" w:eastAsia="Times New Roman" w:hAnsi="Times New Roman" w:cs="Times New Roman"/>
          <w:bCs/>
          <w:sz w:val="24"/>
          <w:szCs w:val="24"/>
          <w:lang w:eastAsia="sq-AL"/>
        </w:rPr>
        <w:lastRenderedPageBreak/>
        <w:t xml:space="preserve">13. Regarding the education of national minorities, the Commissioner found the following concerns, which it has forwarded to the competent bodies.  </w:t>
      </w:r>
    </w:p>
    <w:p w:rsidR="00DD433A" w:rsidRPr="00DD433A" w:rsidRDefault="00DD433A" w:rsidP="00DD433A">
      <w:pPr>
        <w:pStyle w:val="ListParagraph"/>
        <w:numPr>
          <w:ilvl w:val="0"/>
          <w:numId w:val="32"/>
        </w:numPr>
        <w:shd w:val="clear" w:color="auto" w:fill="FFFFFF" w:themeFill="background1"/>
        <w:tabs>
          <w:tab w:val="left" w:pos="284"/>
        </w:tabs>
        <w:ind w:left="540"/>
        <w:jc w:val="both"/>
        <w:rPr>
          <w:rFonts w:ascii="Times New Roman" w:hAnsi="Times New Roman"/>
          <w:bCs/>
          <w:noProof w:val="0"/>
          <w:sz w:val="24"/>
          <w:szCs w:val="24"/>
          <w:lang w:val="en-GB" w:eastAsia="sq-AL"/>
        </w:rPr>
      </w:pPr>
      <w:r w:rsidRPr="00DD433A">
        <w:rPr>
          <w:rFonts w:ascii="Times New Roman" w:hAnsi="Times New Roman"/>
          <w:bCs/>
          <w:noProof w:val="0"/>
          <w:sz w:val="24"/>
          <w:szCs w:val="24"/>
          <w:lang w:val="en-GB" w:eastAsia="sq-AL"/>
        </w:rPr>
        <w:t>Enrolment of Roma and Egyptian children in public kindergartens in the city of Tirana. Following up the recommendation of the Commissioner, the Municipality of Tirana took measures to include children coming from families of the Roma / Egyptian community, as a category that benefits from free service in public kindergartens and nurseries in Tirana.</w:t>
      </w:r>
    </w:p>
    <w:p w:rsidR="00DD433A" w:rsidRPr="00DD433A" w:rsidRDefault="00DD433A" w:rsidP="00DD433A">
      <w:pPr>
        <w:pStyle w:val="ListParagraph"/>
        <w:numPr>
          <w:ilvl w:val="0"/>
          <w:numId w:val="32"/>
        </w:numPr>
        <w:shd w:val="clear" w:color="auto" w:fill="FFFFFF" w:themeFill="background1"/>
        <w:tabs>
          <w:tab w:val="left" w:pos="284"/>
        </w:tabs>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 xml:space="preserve">Segregation of children belonging to Roma and Egyptian minorities in certain schools was identified by the Commissioner. There are issues concerning the transportation of the children to school. </w:t>
      </w:r>
    </w:p>
    <w:p w:rsidR="00DD433A" w:rsidRPr="00DD433A" w:rsidRDefault="00DD433A" w:rsidP="00DD433A">
      <w:pPr>
        <w:pStyle w:val="ListParagraph"/>
        <w:numPr>
          <w:ilvl w:val="0"/>
          <w:numId w:val="32"/>
        </w:numPr>
        <w:shd w:val="clear" w:color="auto" w:fill="FFFFFF" w:themeFill="background1"/>
        <w:tabs>
          <w:tab w:val="left" w:pos="284"/>
        </w:tabs>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School dropouts by Roma children due to poverty. They can be given the opportunity to complete the mandatory education on a part-time bases and then enrol in vocational secondary education and beyond.</w:t>
      </w:r>
    </w:p>
    <w:p w:rsidR="00DD433A" w:rsidRPr="00DD433A" w:rsidRDefault="00DD433A" w:rsidP="00DD433A">
      <w:pPr>
        <w:shd w:val="clear" w:color="auto" w:fill="FFFFFF" w:themeFill="background1"/>
        <w:tabs>
          <w:tab w:val="left" w:pos="284"/>
        </w:tabs>
        <w:spacing w:after="0" w:line="240" w:lineRule="auto"/>
        <w:ind w:left="180" w:hanging="360"/>
        <w:jc w:val="both"/>
        <w:rPr>
          <w:rFonts w:ascii="Times New Roman" w:eastAsia="Times New Roman" w:hAnsi="Times New Roman" w:cs="Times New Roman"/>
          <w:sz w:val="24"/>
          <w:szCs w:val="24"/>
        </w:rPr>
      </w:pPr>
    </w:p>
    <w:p w:rsidR="00DD433A" w:rsidRPr="00DD433A" w:rsidRDefault="00DD433A" w:rsidP="00DD433A">
      <w:pPr>
        <w:shd w:val="clear" w:color="auto" w:fill="FFFFFF" w:themeFill="background1"/>
        <w:tabs>
          <w:tab w:val="left" w:pos="426"/>
          <w:tab w:val="left" w:pos="993"/>
        </w:tabs>
        <w:spacing w:line="240" w:lineRule="auto"/>
        <w:ind w:left="180" w:hanging="36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14. Amicus curie / third party in court: Pursuant to article 36, paragraph 4, law no. 10 221, dated 04.02.2014 "On protection from discrimination" the Court may ask the Commissioner, at any stage of the court proceedings, to submit a written opinion of the results of its inquiry, if there was one, or any other evidence relevant to the matter”. The Commissioner has submitted its opinion, as a third person, on the matter "Establishment of discrimination in the form of" Harassment "and" Indirect Discrimination "against plaintiffs’ members of the Roma minority and on compensation for damages caused by discriminatory behavior through remedies of legal violations.</w:t>
      </w:r>
    </w:p>
    <w:p w:rsidR="00DD433A" w:rsidRPr="00DD433A" w:rsidRDefault="00DD433A" w:rsidP="00DD433A">
      <w:pPr>
        <w:shd w:val="clear" w:color="auto" w:fill="FFFFFF" w:themeFill="background1"/>
        <w:tabs>
          <w:tab w:val="left" w:pos="426"/>
          <w:tab w:val="left" w:pos="993"/>
        </w:tabs>
        <w:spacing w:after="0" w:line="240" w:lineRule="auto"/>
        <w:ind w:left="180" w:hanging="360"/>
        <w:contextualSpacing/>
        <w:jc w:val="both"/>
        <w:rPr>
          <w:rFonts w:ascii="Times New Roman" w:eastAsia="Calibri" w:hAnsi="Times New Roman" w:cs="Times New Roman"/>
          <w:sz w:val="24"/>
          <w:szCs w:val="24"/>
        </w:rPr>
      </w:pPr>
    </w:p>
    <w:p w:rsidR="00DD433A" w:rsidRPr="00DD433A" w:rsidRDefault="00DD433A" w:rsidP="00DD433A">
      <w:pPr>
        <w:shd w:val="clear" w:color="auto" w:fill="FFFFFF" w:themeFill="background1"/>
        <w:autoSpaceDE w:val="0"/>
        <w:autoSpaceDN w:val="0"/>
        <w:adjustRightInd w:val="0"/>
        <w:spacing w:line="240" w:lineRule="auto"/>
        <w:ind w:left="180" w:hanging="360"/>
        <w:jc w:val="both"/>
        <w:rPr>
          <w:rFonts w:ascii="Times New Roman" w:eastAsia="MS Mincho" w:hAnsi="Times New Roman" w:cs="Times New Roman"/>
          <w:sz w:val="24"/>
          <w:szCs w:val="24"/>
        </w:rPr>
      </w:pPr>
      <w:r w:rsidRPr="00DD433A">
        <w:rPr>
          <w:rFonts w:ascii="Times New Roman" w:eastAsia="Calibri" w:hAnsi="Times New Roman" w:cs="Times New Roman"/>
          <w:sz w:val="24"/>
          <w:szCs w:val="24"/>
          <w:shd w:val="clear" w:color="auto" w:fill="FFFFFF"/>
        </w:rPr>
        <w:t>15. Raising public awareness is one of the key activities of the Commissioner and the representatives in the regional offices in the city of Fier, Shkodra and Korça. Awareness raising activities aim at promoting the principle of equality and non-discrimination, sensitizing and informing, providing information on this law, in Albanian and in the languages of the minority. The activities performed are the following:</w:t>
      </w:r>
    </w:p>
    <w:p w:rsidR="00DD433A" w:rsidRPr="00DD433A" w:rsidRDefault="00DD433A" w:rsidP="00DD433A">
      <w:pPr>
        <w:numPr>
          <w:ilvl w:val="0"/>
          <w:numId w:val="17"/>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bCs/>
          <w:sz w:val="24"/>
          <w:szCs w:val="24"/>
        </w:rPr>
      </w:pPr>
      <w:r w:rsidRPr="00DD433A">
        <w:rPr>
          <w:rFonts w:ascii="Times New Roman" w:eastAsia="Calibri" w:hAnsi="Times New Roman" w:cs="Times New Roman"/>
          <w:bCs/>
          <w:sz w:val="24"/>
          <w:szCs w:val="24"/>
        </w:rPr>
        <w:t>Public appearances of the Commissioner in visual and print media.</w:t>
      </w:r>
    </w:p>
    <w:p w:rsidR="00DD433A" w:rsidRPr="00DD433A" w:rsidRDefault="00DD433A" w:rsidP="00DD433A">
      <w:pPr>
        <w:numPr>
          <w:ilvl w:val="0"/>
          <w:numId w:val="17"/>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bCs/>
          <w:sz w:val="24"/>
          <w:szCs w:val="24"/>
        </w:rPr>
      </w:pPr>
      <w:r w:rsidRPr="00DD433A">
        <w:rPr>
          <w:rFonts w:ascii="Times New Roman" w:eastAsia="Calibri" w:hAnsi="Times New Roman" w:cs="Times New Roman"/>
          <w:bCs/>
          <w:sz w:val="24"/>
          <w:szCs w:val="24"/>
        </w:rPr>
        <w:t xml:space="preserve">Distribution of awareness materials and organization of open days’ events </w:t>
      </w:r>
    </w:p>
    <w:p w:rsidR="00DD433A" w:rsidRPr="00DD433A" w:rsidRDefault="00DD433A" w:rsidP="00DD433A">
      <w:pPr>
        <w:numPr>
          <w:ilvl w:val="0"/>
          <w:numId w:val="17"/>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bCs/>
          <w:sz w:val="24"/>
          <w:szCs w:val="24"/>
        </w:rPr>
      </w:pPr>
      <w:r w:rsidRPr="00DD433A">
        <w:rPr>
          <w:rFonts w:ascii="Times New Roman" w:eastAsia="Calibri" w:hAnsi="Times New Roman" w:cs="Times New Roman"/>
          <w:bCs/>
          <w:sz w:val="24"/>
          <w:szCs w:val="24"/>
        </w:rPr>
        <w:t>Publications of CPD leaflets and other publications;</w:t>
      </w:r>
    </w:p>
    <w:p w:rsidR="00DD433A" w:rsidRPr="00DD433A" w:rsidRDefault="00DD433A" w:rsidP="00DD433A">
      <w:pPr>
        <w:numPr>
          <w:ilvl w:val="0"/>
          <w:numId w:val="17"/>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bCs/>
          <w:sz w:val="24"/>
          <w:szCs w:val="24"/>
        </w:rPr>
      </w:pPr>
      <w:r w:rsidRPr="00DD433A">
        <w:rPr>
          <w:rFonts w:ascii="Times New Roman" w:eastAsia="Calibri" w:hAnsi="Times New Roman" w:cs="Times New Roman"/>
          <w:bCs/>
          <w:sz w:val="24"/>
          <w:szCs w:val="24"/>
        </w:rPr>
        <w:t>Continuation of awareness campaigns in 9-year schools;</w:t>
      </w:r>
    </w:p>
    <w:p w:rsidR="00DD433A" w:rsidRPr="00DD433A" w:rsidRDefault="00DD433A" w:rsidP="00DD433A">
      <w:pPr>
        <w:numPr>
          <w:ilvl w:val="0"/>
          <w:numId w:val="17"/>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bCs/>
          <w:sz w:val="24"/>
          <w:szCs w:val="24"/>
        </w:rPr>
      </w:pPr>
      <w:r w:rsidRPr="00DD433A">
        <w:rPr>
          <w:rFonts w:ascii="Times New Roman" w:eastAsia="Calibri" w:hAnsi="Times New Roman" w:cs="Times New Roman"/>
          <w:bCs/>
          <w:sz w:val="24"/>
          <w:szCs w:val="24"/>
        </w:rPr>
        <w:t>Open lectures with students; conducting activities on discrimination issues with relevant social groups, non-governmental organizations.</w:t>
      </w:r>
    </w:p>
    <w:p w:rsidR="00DD433A" w:rsidRPr="00DD433A" w:rsidRDefault="00DD433A" w:rsidP="00DD433A">
      <w:pPr>
        <w:shd w:val="clear" w:color="auto" w:fill="FFFFFF" w:themeFill="background1"/>
        <w:autoSpaceDE w:val="0"/>
        <w:autoSpaceDN w:val="0"/>
        <w:adjustRightInd w:val="0"/>
        <w:spacing w:after="0" w:line="240" w:lineRule="auto"/>
        <w:ind w:left="180" w:hanging="360"/>
        <w:jc w:val="both"/>
        <w:rPr>
          <w:rFonts w:ascii="Times New Roman" w:eastAsia="MS Mincho" w:hAnsi="Times New Roman" w:cs="Times New Roman"/>
          <w:sz w:val="24"/>
          <w:szCs w:val="24"/>
        </w:rPr>
      </w:pPr>
    </w:p>
    <w:p w:rsidR="00DD433A" w:rsidRPr="00DD433A" w:rsidRDefault="00DD433A" w:rsidP="00DD433A">
      <w:pPr>
        <w:shd w:val="clear" w:color="auto" w:fill="FFFFFF" w:themeFill="background1"/>
        <w:autoSpaceDE w:val="0"/>
        <w:autoSpaceDN w:val="0"/>
        <w:adjustRightInd w:val="0"/>
        <w:spacing w:after="0" w:line="240" w:lineRule="auto"/>
        <w:ind w:left="180" w:hanging="360"/>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16. In the area of housing there were covered the topics:</w:t>
      </w:r>
    </w:p>
    <w:p w:rsidR="00DD433A" w:rsidRPr="00DD433A" w:rsidRDefault="00DD433A" w:rsidP="00DD433A">
      <w:pPr>
        <w:numPr>
          <w:ilvl w:val="1"/>
          <w:numId w:val="11"/>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Discrimination in the field of housing.</w:t>
      </w:r>
    </w:p>
    <w:p w:rsidR="00DD433A" w:rsidRPr="00DD433A" w:rsidRDefault="00DD433A" w:rsidP="00DD433A">
      <w:pPr>
        <w:numPr>
          <w:ilvl w:val="1"/>
          <w:numId w:val="11"/>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Lack of housing and adequate living conditions for Roma and Egyptians.</w:t>
      </w:r>
    </w:p>
    <w:p w:rsidR="00DD433A" w:rsidRPr="00DD433A" w:rsidRDefault="00DD433A" w:rsidP="00DD433A">
      <w:pPr>
        <w:numPr>
          <w:ilvl w:val="1"/>
          <w:numId w:val="11"/>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Lack of income, a prerequisite to have housing.</w:t>
      </w:r>
    </w:p>
    <w:p w:rsidR="00DD433A" w:rsidRPr="00DD433A" w:rsidRDefault="00DD433A" w:rsidP="00DD433A">
      <w:pPr>
        <w:numPr>
          <w:ilvl w:val="1"/>
          <w:numId w:val="11"/>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Eviction of Roma and Egyptians from their homes due to interventions in infrastructure.</w:t>
      </w:r>
    </w:p>
    <w:p w:rsidR="00DD433A" w:rsidRPr="00DD433A" w:rsidRDefault="00DD433A" w:rsidP="00DD433A">
      <w:pPr>
        <w:numPr>
          <w:ilvl w:val="1"/>
          <w:numId w:val="11"/>
        </w:numPr>
        <w:shd w:val="clear" w:color="auto" w:fill="FFFFFF" w:themeFill="background1"/>
        <w:autoSpaceDE w:val="0"/>
        <w:autoSpaceDN w:val="0"/>
        <w:adjustRightInd w:val="0"/>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Social policies of the Action Plan for Roma and Egyptians in the field of housing. </w:t>
      </w:r>
    </w:p>
    <w:p w:rsidR="00DD433A" w:rsidRPr="00DD433A" w:rsidRDefault="00DD433A" w:rsidP="00DD433A">
      <w:pPr>
        <w:shd w:val="clear" w:color="auto" w:fill="FFFFFF" w:themeFill="background1"/>
        <w:autoSpaceDE w:val="0"/>
        <w:autoSpaceDN w:val="0"/>
        <w:adjustRightInd w:val="0"/>
        <w:spacing w:after="0" w:line="240" w:lineRule="auto"/>
        <w:ind w:left="180" w:hanging="360"/>
        <w:contextualSpacing/>
        <w:jc w:val="both"/>
        <w:rPr>
          <w:rFonts w:ascii="Times New Roman" w:eastAsia="Calibri" w:hAnsi="Times New Roman" w:cs="Times New Roman"/>
          <w:sz w:val="24"/>
          <w:szCs w:val="24"/>
        </w:rPr>
      </w:pPr>
    </w:p>
    <w:p w:rsidR="00DD433A" w:rsidRPr="00DD433A" w:rsidRDefault="00DD433A" w:rsidP="00DD433A">
      <w:pPr>
        <w:shd w:val="clear" w:color="auto" w:fill="FFFFFF" w:themeFill="background1"/>
        <w:autoSpaceDE w:val="0"/>
        <w:autoSpaceDN w:val="0"/>
        <w:adjustRightInd w:val="0"/>
        <w:spacing w:line="240" w:lineRule="auto"/>
        <w:ind w:left="180" w:hanging="360"/>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17. In the area of employment, meetings have been held with various groups such as abused women, young people and the community itself. Topics that have been addressed:</w:t>
      </w:r>
    </w:p>
    <w:p w:rsidR="00DD433A" w:rsidRPr="00DD433A" w:rsidRDefault="00DD433A" w:rsidP="00DD433A">
      <w:pPr>
        <w:numPr>
          <w:ilvl w:val="0"/>
          <w:numId w:val="13"/>
        </w:numPr>
        <w:shd w:val="clear" w:color="auto" w:fill="FFFFFF" w:themeFill="background1"/>
        <w:tabs>
          <w:tab w:val="left" w:pos="270"/>
        </w:tabs>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Employment. Their current situation.</w:t>
      </w:r>
    </w:p>
    <w:p w:rsidR="00DD433A" w:rsidRPr="00DD433A" w:rsidRDefault="00DD433A" w:rsidP="00DD433A">
      <w:pPr>
        <w:numPr>
          <w:ilvl w:val="0"/>
          <w:numId w:val="13"/>
        </w:numPr>
        <w:shd w:val="clear" w:color="auto" w:fill="FFFFFF" w:themeFill="background1"/>
        <w:tabs>
          <w:tab w:val="left" w:pos="270"/>
        </w:tabs>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Discrimination in the workplace in private institutions and businesses.</w:t>
      </w:r>
    </w:p>
    <w:p w:rsidR="00DD433A" w:rsidRPr="00DD433A" w:rsidRDefault="00DD433A" w:rsidP="00DD433A">
      <w:pPr>
        <w:numPr>
          <w:ilvl w:val="0"/>
          <w:numId w:val="13"/>
        </w:numPr>
        <w:shd w:val="clear" w:color="auto" w:fill="FFFFFF" w:themeFill="background1"/>
        <w:tabs>
          <w:tab w:val="left" w:pos="270"/>
        </w:tabs>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Informal employment.</w:t>
      </w:r>
    </w:p>
    <w:p w:rsidR="00DD433A" w:rsidRPr="00DD433A" w:rsidRDefault="00DD433A" w:rsidP="00DD433A">
      <w:pPr>
        <w:numPr>
          <w:ilvl w:val="0"/>
          <w:numId w:val="13"/>
        </w:numPr>
        <w:shd w:val="clear" w:color="auto" w:fill="FFFFFF" w:themeFill="background1"/>
        <w:tabs>
          <w:tab w:val="left" w:pos="270"/>
        </w:tabs>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lastRenderedPageBreak/>
        <w:t>Professional courses on innovation to integrate into work.</w:t>
      </w:r>
    </w:p>
    <w:p w:rsidR="00DD433A" w:rsidRPr="00DD433A" w:rsidRDefault="00DD433A" w:rsidP="00DD433A">
      <w:pPr>
        <w:numPr>
          <w:ilvl w:val="0"/>
          <w:numId w:val="13"/>
        </w:numPr>
        <w:shd w:val="clear" w:color="auto" w:fill="FFFFFF" w:themeFill="background1"/>
        <w:tabs>
          <w:tab w:val="left" w:pos="270"/>
        </w:tabs>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State policies for this category and their implementation.</w:t>
      </w:r>
    </w:p>
    <w:p w:rsidR="00DD433A" w:rsidRPr="00DD433A" w:rsidRDefault="00DD433A" w:rsidP="00DD433A">
      <w:pPr>
        <w:numPr>
          <w:ilvl w:val="0"/>
          <w:numId w:val="13"/>
        </w:numPr>
        <w:shd w:val="clear" w:color="auto" w:fill="FFFFFF" w:themeFill="background1"/>
        <w:tabs>
          <w:tab w:val="left" w:pos="270"/>
        </w:tabs>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Employment of young graduated persons </w:t>
      </w:r>
    </w:p>
    <w:p w:rsidR="00DD433A" w:rsidRPr="00DD433A" w:rsidRDefault="00DD433A" w:rsidP="00DD433A">
      <w:pPr>
        <w:shd w:val="clear" w:color="auto" w:fill="FFFFFF" w:themeFill="background1"/>
        <w:tabs>
          <w:tab w:val="left" w:pos="270"/>
        </w:tabs>
        <w:spacing w:after="0" w:line="240" w:lineRule="auto"/>
        <w:ind w:left="180" w:hanging="360"/>
        <w:contextualSpacing/>
        <w:jc w:val="both"/>
        <w:rPr>
          <w:rFonts w:ascii="Times New Roman" w:eastAsia="Calibri" w:hAnsi="Times New Roman" w:cs="Times New Roman"/>
          <w:sz w:val="24"/>
          <w:szCs w:val="24"/>
        </w:rPr>
      </w:pPr>
    </w:p>
    <w:p w:rsidR="00DD433A" w:rsidRPr="00DD433A" w:rsidRDefault="00DD433A" w:rsidP="00DD433A">
      <w:pPr>
        <w:shd w:val="clear" w:color="auto" w:fill="FFFFFF" w:themeFill="background1"/>
        <w:spacing w:after="0" w:line="240" w:lineRule="auto"/>
        <w:ind w:left="180" w:hanging="360"/>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18. In the area of education were addresses the below topics:</w:t>
      </w:r>
    </w:p>
    <w:p w:rsidR="00DD433A" w:rsidRPr="00DD433A" w:rsidRDefault="00DD433A" w:rsidP="00DD433A">
      <w:pPr>
        <w:numPr>
          <w:ilvl w:val="0"/>
          <w:numId w:val="12"/>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Discrimination in pre-university education.</w:t>
      </w:r>
    </w:p>
    <w:p w:rsidR="00DD433A" w:rsidRPr="00DD433A" w:rsidRDefault="00DD433A" w:rsidP="00DD433A">
      <w:pPr>
        <w:numPr>
          <w:ilvl w:val="0"/>
          <w:numId w:val="12"/>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School dropout is a very concerning phenomenon nowadays.</w:t>
      </w:r>
    </w:p>
    <w:p w:rsidR="00DD433A" w:rsidRPr="00DD433A" w:rsidRDefault="00DD433A" w:rsidP="00DD433A">
      <w:pPr>
        <w:numPr>
          <w:ilvl w:val="0"/>
          <w:numId w:val="12"/>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Social policies that exist in the field of pre-university and university education.</w:t>
      </w:r>
    </w:p>
    <w:p w:rsidR="00DD433A" w:rsidRPr="00DD433A" w:rsidRDefault="00DD433A" w:rsidP="00DD433A">
      <w:pPr>
        <w:numPr>
          <w:ilvl w:val="0"/>
          <w:numId w:val="12"/>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Promoting successful role models in the community.</w:t>
      </w:r>
    </w:p>
    <w:p w:rsidR="00DD433A" w:rsidRPr="00DD433A" w:rsidRDefault="00DD433A" w:rsidP="00DD433A">
      <w:pPr>
        <w:numPr>
          <w:ilvl w:val="0"/>
          <w:numId w:val="12"/>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Promoting values, culture and traditions of Roma and Egyptians. Preservation of the Roma language.</w:t>
      </w:r>
    </w:p>
    <w:p w:rsidR="00DD433A" w:rsidRPr="00DD433A" w:rsidRDefault="00DD433A" w:rsidP="00DD433A">
      <w:pPr>
        <w:numPr>
          <w:ilvl w:val="0"/>
          <w:numId w:val="12"/>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Involvement of Roma and Egyptian teachers in the pre-university education system.</w:t>
      </w:r>
    </w:p>
    <w:p w:rsidR="00DD433A" w:rsidRPr="00DD433A" w:rsidRDefault="00DD433A" w:rsidP="00DD433A">
      <w:pPr>
        <w:numPr>
          <w:ilvl w:val="0"/>
          <w:numId w:val="12"/>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Education is a tool that leads to social integration. Education in pandemic times.</w:t>
      </w:r>
    </w:p>
    <w:p w:rsidR="00DD433A" w:rsidRPr="00DD433A" w:rsidRDefault="00DD433A" w:rsidP="00DD433A">
      <w:pPr>
        <w:shd w:val="clear" w:color="auto" w:fill="FFFFFF" w:themeFill="background1"/>
        <w:spacing w:after="0" w:line="240" w:lineRule="auto"/>
        <w:ind w:left="180" w:hanging="360"/>
        <w:contextualSpacing/>
        <w:jc w:val="both"/>
        <w:rPr>
          <w:rFonts w:ascii="Times New Roman" w:eastAsia="Calibri" w:hAnsi="Times New Roman" w:cs="Times New Roman"/>
          <w:sz w:val="24"/>
          <w:szCs w:val="24"/>
        </w:rPr>
      </w:pPr>
    </w:p>
    <w:p w:rsidR="00DD433A" w:rsidRPr="00DD433A" w:rsidRDefault="00DD433A" w:rsidP="00DD433A">
      <w:pPr>
        <w:shd w:val="clear" w:color="auto" w:fill="FFFFFF" w:themeFill="background1"/>
        <w:spacing w:after="0" w:line="240" w:lineRule="auto"/>
        <w:ind w:left="180" w:hanging="36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19. In decision-making: </w:t>
      </w:r>
    </w:p>
    <w:p w:rsidR="00DD433A" w:rsidRPr="00DD433A" w:rsidRDefault="00DD433A" w:rsidP="00DD433A">
      <w:pPr>
        <w:numPr>
          <w:ilvl w:val="0"/>
          <w:numId w:val="14"/>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Familiarity with the law on national minorities.</w:t>
      </w:r>
    </w:p>
    <w:p w:rsidR="00DD433A" w:rsidRPr="00DD433A" w:rsidRDefault="00DD433A" w:rsidP="00DD433A">
      <w:pPr>
        <w:numPr>
          <w:ilvl w:val="0"/>
          <w:numId w:val="14"/>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Discrimination in institutions. Employment in public administration.</w:t>
      </w:r>
    </w:p>
    <w:p w:rsidR="00DD433A" w:rsidRPr="00DD433A" w:rsidRDefault="00DD433A" w:rsidP="00DD433A">
      <w:pPr>
        <w:numPr>
          <w:ilvl w:val="0"/>
          <w:numId w:val="14"/>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The importance of the vote. Involvement in Municipality Councils and central institutions.</w:t>
      </w:r>
    </w:p>
    <w:p w:rsidR="00DD433A" w:rsidRPr="00DD433A" w:rsidRDefault="00DD433A" w:rsidP="00DD433A">
      <w:pPr>
        <w:numPr>
          <w:ilvl w:val="0"/>
          <w:numId w:val="14"/>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Registration of children, a phenomenon that brings social problems related to exploitation and trafficking of human beings.</w:t>
      </w:r>
    </w:p>
    <w:p w:rsidR="00DD433A" w:rsidRPr="00DD433A" w:rsidRDefault="00DD433A" w:rsidP="00DD433A">
      <w:pPr>
        <w:shd w:val="clear" w:color="auto" w:fill="FFFFFF" w:themeFill="background1"/>
        <w:spacing w:after="0" w:line="240" w:lineRule="auto"/>
        <w:ind w:left="180" w:hanging="360"/>
        <w:contextualSpacing/>
        <w:jc w:val="both"/>
        <w:rPr>
          <w:rFonts w:ascii="Times New Roman" w:eastAsia="Calibri" w:hAnsi="Times New Roman" w:cs="Times New Roman"/>
          <w:sz w:val="24"/>
          <w:szCs w:val="24"/>
        </w:rPr>
      </w:pPr>
    </w:p>
    <w:p w:rsidR="00DD433A" w:rsidRPr="00DD433A" w:rsidRDefault="00DD433A" w:rsidP="00DD433A">
      <w:pPr>
        <w:shd w:val="clear" w:color="auto" w:fill="FFFFFF" w:themeFill="background1"/>
        <w:spacing w:after="0" w:line="240" w:lineRule="auto"/>
        <w:ind w:left="180" w:hanging="360"/>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 xml:space="preserve">20. In the area of health care: </w:t>
      </w:r>
    </w:p>
    <w:p w:rsidR="00DD433A" w:rsidRPr="00DD433A" w:rsidRDefault="00DD433A" w:rsidP="00DD433A">
      <w:pPr>
        <w:numPr>
          <w:ilvl w:val="0"/>
          <w:numId w:val="16"/>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Discrimination in the field of health.</w:t>
      </w:r>
    </w:p>
    <w:p w:rsidR="00DD433A" w:rsidRPr="00DD433A" w:rsidRDefault="00DD433A" w:rsidP="00DD433A">
      <w:pPr>
        <w:numPr>
          <w:ilvl w:val="0"/>
          <w:numId w:val="16"/>
        </w:numPr>
        <w:shd w:val="clear" w:color="auto" w:fill="FFFFFF" w:themeFill="background1"/>
        <w:spacing w:after="0" w:line="240" w:lineRule="auto"/>
        <w:ind w:left="540"/>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Receiving services in healthcare and hospital facilities; Hygienic-sanitary conditions of dwellings at the time of the pandemic.</w:t>
      </w:r>
    </w:p>
    <w:p w:rsidR="00DD433A" w:rsidRPr="00DD433A" w:rsidRDefault="00DD433A" w:rsidP="00DD433A">
      <w:pPr>
        <w:spacing w:after="0" w:line="240" w:lineRule="auto"/>
        <w:ind w:left="180" w:hanging="360"/>
        <w:jc w:val="both"/>
        <w:rPr>
          <w:rFonts w:ascii="Times New Roman" w:eastAsia="Times New Roman" w:hAnsi="Times New Roman" w:cs="Times New Roman"/>
          <w:sz w:val="24"/>
          <w:szCs w:val="24"/>
        </w:rPr>
      </w:pPr>
    </w:p>
    <w:p w:rsidR="00DD433A" w:rsidRPr="00DD433A" w:rsidRDefault="00DD433A" w:rsidP="00DD433A">
      <w:pPr>
        <w:spacing w:after="0" w:line="240" w:lineRule="auto"/>
        <w:ind w:left="180" w:hanging="360"/>
        <w:jc w:val="both"/>
        <w:rPr>
          <w:rFonts w:ascii="Times New Roman" w:hAnsi="Times New Roman" w:cs="Times New Roman"/>
          <w:sz w:val="24"/>
          <w:szCs w:val="24"/>
        </w:rPr>
      </w:pPr>
      <w:r w:rsidRPr="00DD433A">
        <w:rPr>
          <w:rFonts w:ascii="Times New Roman" w:hAnsi="Times New Roman" w:cs="Times New Roman"/>
          <w:sz w:val="24"/>
          <w:szCs w:val="24"/>
        </w:rPr>
        <w:t xml:space="preserve">21. CPD recommended to enhance and approximate the legislation on: </w:t>
      </w:r>
    </w:p>
    <w:p w:rsidR="00DD433A" w:rsidRPr="00DD433A" w:rsidRDefault="00DD433A" w:rsidP="00DD433A">
      <w:pPr>
        <w:pStyle w:val="ListParagraph"/>
        <w:numPr>
          <w:ilvl w:val="0"/>
          <w:numId w:val="27"/>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The law on civil status  on the concept of “Head of the Family” and the duties provided by law, to ensure obtaining the consent of both spouses in the procedures of self-declaration of residence (2016);</w:t>
      </w:r>
    </w:p>
    <w:p w:rsidR="00DD433A" w:rsidRPr="00DD433A" w:rsidRDefault="00DD433A" w:rsidP="00DD433A">
      <w:pPr>
        <w:pStyle w:val="ListParagraph"/>
        <w:numPr>
          <w:ilvl w:val="0"/>
          <w:numId w:val="27"/>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The law against domestic violence to be aligned with Article 3 of the Istanbul Convention and the direct identification in the law of protection against discrimination (2018);</w:t>
      </w:r>
    </w:p>
    <w:p w:rsidR="00DD433A" w:rsidRPr="00DD433A" w:rsidRDefault="00DD433A" w:rsidP="00DD433A">
      <w:pPr>
        <w:pStyle w:val="ListParagraph"/>
        <w:numPr>
          <w:ilvl w:val="0"/>
          <w:numId w:val="27"/>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Labour Code on: avoiding discrimination of female employees when calculated the annual remuneration for female employees on maternity leave differently from the remuneration of all other employees who have worked throughout the year; not considering as discrimination the cases when the calculation of the annual remuneration for the employees on parental leave is done proportionate to the time worked, thus deducting the leave period; giving bonuses to encourage, or bonuses of a nature not conditional on past work, to all employees regardless of whether they have been on maternity leave or parental leave.</w:t>
      </w:r>
    </w:p>
    <w:p w:rsidR="00DD433A" w:rsidRPr="00DD433A" w:rsidRDefault="00DD433A" w:rsidP="00DD433A">
      <w:pPr>
        <w:pStyle w:val="ListParagraph"/>
        <w:ind w:left="180" w:hanging="360"/>
        <w:jc w:val="both"/>
        <w:rPr>
          <w:rFonts w:ascii="Times New Roman" w:hAnsi="Times New Roman"/>
          <w:noProof w:val="0"/>
          <w:sz w:val="24"/>
          <w:szCs w:val="24"/>
          <w:lang w:val="en-GB"/>
        </w:rPr>
      </w:pPr>
    </w:p>
    <w:p w:rsidR="00DD433A" w:rsidRPr="00DD433A" w:rsidRDefault="00DD433A" w:rsidP="00DD433A">
      <w:pPr>
        <w:pStyle w:val="BodyText"/>
        <w:spacing w:line="240" w:lineRule="auto"/>
        <w:ind w:left="180" w:hanging="360"/>
        <w:jc w:val="both"/>
        <w:rPr>
          <w:rFonts w:ascii="Times New Roman" w:hAnsi="Times New Roman"/>
          <w:sz w:val="24"/>
          <w:szCs w:val="24"/>
          <w:lang w:val="en-GB"/>
        </w:rPr>
      </w:pPr>
      <w:r w:rsidRPr="00DD433A">
        <w:rPr>
          <w:rFonts w:ascii="Times New Roman" w:hAnsi="Times New Roman"/>
          <w:sz w:val="24"/>
          <w:szCs w:val="24"/>
          <w:lang w:val="en-GB"/>
        </w:rPr>
        <w:t>22.  CPD and the Ombudsman entered into a cooperation agreement (May 2018) for effective coordination and cooperation to guarantee human rights and freedoms, especially for non-discrimination and equality in law and before the law, promotion of the rights, freedoms and legitimate interests of individuals.</w:t>
      </w:r>
    </w:p>
    <w:p w:rsidR="00DD433A" w:rsidRPr="00DD433A" w:rsidRDefault="00DD433A" w:rsidP="00DD433A">
      <w:pPr>
        <w:spacing w:after="0" w:line="240" w:lineRule="auto"/>
        <w:rPr>
          <w:rFonts w:ascii="Times New Roman" w:hAnsi="Times New Roman" w:cs="Times New Roman"/>
          <w:sz w:val="24"/>
          <w:szCs w:val="24"/>
        </w:rPr>
      </w:pPr>
    </w:p>
    <w:p w:rsidR="00DD433A" w:rsidRPr="00DD433A" w:rsidRDefault="00DD433A" w:rsidP="00DD433A">
      <w:pPr>
        <w:shd w:val="clear" w:color="auto" w:fill="FFFFFF"/>
        <w:spacing w:after="0" w:line="240" w:lineRule="auto"/>
        <w:ind w:right="150"/>
        <w:contextualSpacing/>
        <w:jc w:val="both"/>
        <w:rPr>
          <w:rFonts w:ascii="Times New Roman" w:eastAsia="Calibri" w:hAnsi="Times New Roman" w:cs="Times New Roman"/>
          <w:b/>
          <w:sz w:val="24"/>
          <w:szCs w:val="24"/>
        </w:rPr>
      </w:pPr>
    </w:p>
    <w:p w:rsidR="00DD433A" w:rsidRPr="00DD433A" w:rsidRDefault="00DD433A" w:rsidP="00DD433A">
      <w:pPr>
        <w:shd w:val="clear" w:color="auto" w:fill="FFFFFF"/>
        <w:spacing w:after="0" w:line="240" w:lineRule="auto"/>
        <w:ind w:right="150"/>
        <w:contextualSpacing/>
        <w:jc w:val="both"/>
        <w:rPr>
          <w:rFonts w:ascii="Times New Roman" w:eastAsia="Calibri" w:hAnsi="Times New Roman" w:cs="Times New Roman"/>
          <w:b/>
          <w:sz w:val="24"/>
          <w:szCs w:val="24"/>
        </w:rPr>
      </w:pPr>
      <w:r w:rsidRPr="00DD433A">
        <w:rPr>
          <w:rFonts w:ascii="Times New Roman" w:eastAsia="Calibri" w:hAnsi="Times New Roman" w:cs="Times New Roman"/>
          <w:b/>
          <w:sz w:val="24"/>
          <w:szCs w:val="24"/>
        </w:rPr>
        <w:t xml:space="preserve">Annex no. 3. Committee on National Minorities </w:t>
      </w:r>
    </w:p>
    <w:p w:rsidR="00DD433A" w:rsidRPr="00DD433A" w:rsidRDefault="00DD433A" w:rsidP="00DD433A">
      <w:pPr>
        <w:spacing w:after="0" w:line="240" w:lineRule="auto"/>
        <w:jc w:val="both"/>
        <w:rPr>
          <w:rFonts w:ascii="Times New Roman" w:eastAsia="MS Mincho" w:hAnsi="Times New Roman" w:cs="Times New Roman"/>
          <w:sz w:val="24"/>
          <w:szCs w:val="24"/>
        </w:rPr>
      </w:pPr>
    </w:p>
    <w:p w:rsidR="00DD433A" w:rsidRPr="00DD433A" w:rsidRDefault="00DD433A" w:rsidP="00DD433A">
      <w:pPr>
        <w:pStyle w:val="ListParagraph"/>
        <w:numPr>
          <w:ilvl w:val="0"/>
          <w:numId w:val="34"/>
        </w:numPr>
        <w:ind w:left="180"/>
        <w:jc w:val="both"/>
        <w:rPr>
          <w:rFonts w:ascii="Times New Roman" w:eastAsia="MS Mincho" w:hAnsi="Times New Roman"/>
          <w:sz w:val="24"/>
          <w:szCs w:val="24"/>
        </w:rPr>
      </w:pPr>
      <w:r w:rsidRPr="00DD433A">
        <w:rPr>
          <w:rFonts w:ascii="Times New Roman" w:eastAsia="MS Mincho" w:hAnsi="Times New Roman"/>
          <w:sz w:val="24"/>
          <w:szCs w:val="24"/>
        </w:rPr>
        <w:t>Article 20 of the law provides that the Committee on the National Minorities consists of the representatives of the national minorities in the Republic of Albania, included in paragraph 2 of article 3 of this law, i.e., representatives of 9 national minorities recognized by law no.96/2017</w:t>
      </w:r>
      <w:r w:rsidRPr="00DD433A">
        <w:rPr>
          <w:rFonts w:ascii="Times New Roman" w:hAnsi="Times New Roman"/>
          <w:sz w:val="24"/>
          <w:szCs w:val="24"/>
          <w:vertAlign w:val="superscript"/>
        </w:rPr>
        <w:footnoteReference w:id="3"/>
      </w:r>
      <w:r w:rsidRPr="00DD433A">
        <w:rPr>
          <w:rFonts w:ascii="Times New Roman" w:eastAsia="MS Mincho" w:hAnsi="Times New Roman"/>
          <w:sz w:val="24"/>
          <w:szCs w:val="24"/>
        </w:rPr>
        <w:t xml:space="preserve">. </w:t>
      </w:r>
    </w:p>
    <w:p w:rsidR="00DD433A" w:rsidRPr="00DD433A" w:rsidRDefault="00DD433A" w:rsidP="00DD433A">
      <w:pPr>
        <w:pStyle w:val="ListParagraph"/>
        <w:numPr>
          <w:ilvl w:val="0"/>
          <w:numId w:val="26"/>
        </w:numPr>
        <w:ind w:left="540"/>
        <w:jc w:val="both"/>
        <w:rPr>
          <w:rFonts w:ascii="Times New Roman" w:eastAsia="MS Mincho" w:hAnsi="Times New Roman"/>
          <w:noProof w:val="0"/>
          <w:sz w:val="24"/>
          <w:szCs w:val="24"/>
          <w:lang w:val="en-GB"/>
        </w:rPr>
      </w:pPr>
      <w:r w:rsidRPr="00DD433A">
        <w:rPr>
          <w:rFonts w:ascii="Times New Roman" w:eastAsia="MS Mincho" w:hAnsi="Times New Roman"/>
          <w:noProof w:val="0"/>
          <w:sz w:val="24"/>
          <w:szCs w:val="24"/>
          <w:lang w:val="en-GB"/>
        </w:rPr>
        <w:t xml:space="preserve">Each of the national minorities shall have the right to have one representative in the capacity of a member of the Committee on National Minorities. Members of the Committee on National Minorities are appointed by order of the Prime Minister, based on nominations submitted by associations representing national minorities. The mandate of the committee member is four years, with the right to renew. </w:t>
      </w:r>
    </w:p>
    <w:p w:rsidR="00DD433A" w:rsidRPr="00DD433A" w:rsidRDefault="00DD433A" w:rsidP="00DD433A">
      <w:pPr>
        <w:pStyle w:val="ListParagraph"/>
        <w:numPr>
          <w:ilvl w:val="0"/>
          <w:numId w:val="26"/>
        </w:numPr>
        <w:ind w:left="540"/>
        <w:jc w:val="both"/>
        <w:rPr>
          <w:rFonts w:ascii="Times New Roman" w:eastAsia="MS Mincho" w:hAnsi="Times New Roman"/>
          <w:noProof w:val="0"/>
          <w:sz w:val="24"/>
          <w:szCs w:val="24"/>
          <w:lang w:val="en-GB"/>
        </w:rPr>
      </w:pPr>
      <w:r w:rsidRPr="00DD433A">
        <w:rPr>
          <w:rFonts w:ascii="Times New Roman" w:eastAsia="MS Mincho" w:hAnsi="Times New Roman"/>
          <w:noProof w:val="0"/>
          <w:sz w:val="24"/>
          <w:szCs w:val="24"/>
          <w:lang w:val="en-GB"/>
        </w:rPr>
        <w:t>The Chairman of the Committee on National Minorities and the Vice-President shall be appointed by order of the Prime Minister every four years. The election of the chairman, deputy chairman and members of the Committee for National Minorities is done through an independent, transparent and inclusive process. Procedures and rules on this process are regulated by a decision of the Council of Ministers, proposed by the Prime Minister.</w:t>
      </w:r>
    </w:p>
    <w:p w:rsidR="00DD433A" w:rsidRPr="00DD433A" w:rsidRDefault="00DD433A" w:rsidP="00DD433A">
      <w:pPr>
        <w:shd w:val="clear" w:color="auto" w:fill="FFFFFF"/>
        <w:spacing w:after="0" w:line="240" w:lineRule="auto"/>
        <w:ind w:right="150"/>
        <w:contextualSpacing/>
        <w:jc w:val="both"/>
        <w:rPr>
          <w:rFonts w:ascii="Times New Roman" w:eastAsia="Calibri" w:hAnsi="Times New Roman" w:cs="Times New Roman"/>
          <w:b/>
          <w:sz w:val="24"/>
          <w:szCs w:val="24"/>
        </w:rPr>
      </w:pPr>
    </w:p>
    <w:p w:rsidR="00DD433A" w:rsidRPr="00DD433A" w:rsidRDefault="00DD433A" w:rsidP="00DD433A">
      <w:pPr>
        <w:pStyle w:val="ListParagraph"/>
        <w:numPr>
          <w:ilvl w:val="0"/>
          <w:numId w:val="34"/>
        </w:numPr>
        <w:suppressAutoHyphens/>
        <w:ind w:left="180"/>
        <w:jc w:val="both"/>
        <w:rPr>
          <w:rFonts w:ascii="Times New Roman" w:eastAsia="MS Mincho" w:hAnsi="Times New Roman"/>
          <w:bCs/>
          <w:sz w:val="24"/>
          <w:szCs w:val="24"/>
        </w:rPr>
      </w:pPr>
      <w:r w:rsidRPr="00DD433A">
        <w:rPr>
          <w:rFonts w:ascii="Times New Roman" w:eastAsia="MS Mincho" w:hAnsi="Times New Roman"/>
          <w:sz w:val="24"/>
          <w:szCs w:val="24"/>
        </w:rPr>
        <w:t xml:space="preserve">DCM </w:t>
      </w:r>
      <w:r w:rsidRPr="00DD433A">
        <w:rPr>
          <w:rFonts w:ascii="Times New Roman" w:eastAsia="MS Mincho" w:hAnsi="Times New Roman"/>
          <w:bCs/>
          <w:sz w:val="24"/>
          <w:szCs w:val="24"/>
        </w:rPr>
        <w:t>No. 726, dated 12.12.2018 "On the organization and functioning of the Committee of National Minorities" was issued pursuant to paragraph 2, article 18, of law no. 96/2017, "On the protection of national minorities in the Republic of Albania", and article 6 of law no. 90/2012, "On the organization and functioning of the state administration".</w:t>
      </w:r>
    </w:p>
    <w:p w:rsidR="00DD433A" w:rsidRPr="00DD433A" w:rsidRDefault="00DD433A" w:rsidP="00DD433A">
      <w:pPr>
        <w:pStyle w:val="ListParagraph"/>
        <w:numPr>
          <w:ilvl w:val="0"/>
          <w:numId w:val="34"/>
        </w:numPr>
        <w:suppressAutoHyphens/>
        <w:ind w:left="180"/>
        <w:jc w:val="both"/>
        <w:rPr>
          <w:rFonts w:ascii="Times New Roman" w:eastAsia="MS Mincho" w:hAnsi="Times New Roman"/>
          <w:bCs/>
          <w:sz w:val="24"/>
          <w:szCs w:val="24"/>
        </w:rPr>
      </w:pPr>
      <w:r w:rsidRPr="00DD433A">
        <w:rPr>
          <w:rFonts w:ascii="Times New Roman" w:eastAsia="MS Mincho" w:hAnsi="Times New Roman"/>
          <w:bCs/>
          <w:sz w:val="24"/>
          <w:szCs w:val="24"/>
        </w:rPr>
        <w:t>DCM no. 286, dated 10.05.2019 "On the approval of the procedures for the election of the chairman, vice-chairman and members of the Committee on National Minorities" foresees:</w:t>
      </w:r>
    </w:p>
    <w:p w:rsidR="00DD433A" w:rsidRPr="00DD433A" w:rsidRDefault="00DD433A" w:rsidP="00DD433A">
      <w:pPr>
        <w:numPr>
          <w:ilvl w:val="0"/>
          <w:numId w:val="19"/>
        </w:numPr>
        <w:suppressAutoHyphens/>
        <w:spacing w:after="0" w:line="240" w:lineRule="auto"/>
        <w:ind w:left="540"/>
        <w:contextualSpacing/>
        <w:jc w:val="both"/>
        <w:rPr>
          <w:rFonts w:ascii="Times New Roman" w:eastAsia="Calibri" w:hAnsi="Times New Roman" w:cs="Times New Roman"/>
          <w:bCs/>
          <w:sz w:val="24"/>
          <w:szCs w:val="24"/>
        </w:rPr>
      </w:pPr>
      <w:r w:rsidRPr="00DD433A">
        <w:rPr>
          <w:rFonts w:ascii="Times New Roman" w:eastAsia="Calibri" w:hAnsi="Times New Roman" w:cs="Times New Roman"/>
          <w:bCs/>
          <w:sz w:val="24"/>
          <w:szCs w:val="24"/>
        </w:rPr>
        <w:t>Approval of the procedures for the selection of the chairperson, deputy chairperson and members of the Committee on National Minorities (hereinafter "CNM"), through an independent, transparent and inclusive process.</w:t>
      </w:r>
    </w:p>
    <w:p w:rsidR="00DD433A" w:rsidRPr="00DD433A" w:rsidRDefault="00DD433A" w:rsidP="00DD433A">
      <w:pPr>
        <w:numPr>
          <w:ilvl w:val="0"/>
          <w:numId w:val="19"/>
        </w:numPr>
        <w:suppressAutoHyphens/>
        <w:spacing w:after="0" w:line="240" w:lineRule="auto"/>
        <w:ind w:left="540"/>
        <w:contextualSpacing/>
        <w:jc w:val="both"/>
        <w:rPr>
          <w:rFonts w:ascii="Times New Roman" w:eastAsia="Calibri" w:hAnsi="Times New Roman" w:cs="Times New Roman"/>
          <w:bCs/>
          <w:sz w:val="24"/>
          <w:szCs w:val="24"/>
        </w:rPr>
      </w:pPr>
      <w:r w:rsidRPr="00DD433A">
        <w:rPr>
          <w:rFonts w:ascii="Times New Roman" w:eastAsia="Calibri" w:hAnsi="Times New Roman" w:cs="Times New Roman"/>
          <w:bCs/>
          <w:sz w:val="24"/>
          <w:szCs w:val="24"/>
        </w:rPr>
        <w:t>The selection of candidates for the chairman, vice-chairman and members of the CNM is done through open and public competition procedures, by the Prime Minister, pursuant to paragraph 4, article 20, of law no. 96/2017, "On the protection of national minorities in the Republic of Albania".</w:t>
      </w:r>
    </w:p>
    <w:p w:rsidR="00DD433A" w:rsidRPr="00DD433A" w:rsidRDefault="00DD433A" w:rsidP="00DD433A">
      <w:pPr>
        <w:suppressAutoHyphens/>
        <w:spacing w:after="0" w:line="240" w:lineRule="auto"/>
        <w:jc w:val="both"/>
        <w:rPr>
          <w:rFonts w:ascii="Times New Roman" w:eastAsia="MS Mincho" w:hAnsi="Times New Roman" w:cs="Times New Roman"/>
          <w:sz w:val="24"/>
          <w:szCs w:val="24"/>
        </w:rPr>
      </w:pPr>
    </w:p>
    <w:p w:rsidR="00DD433A" w:rsidRPr="00DD433A" w:rsidRDefault="00DD433A" w:rsidP="00DD433A">
      <w:pPr>
        <w:pStyle w:val="ListParagraph"/>
        <w:numPr>
          <w:ilvl w:val="0"/>
          <w:numId w:val="34"/>
        </w:numPr>
        <w:ind w:left="180"/>
        <w:jc w:val="both"/>
        <w:rPr>
          <w:rFonts w:ascii="Times New Roman" w:hAnsi="Times New Roman"/>
          <w:bCs/>
          <w:sz w:val="24"/>
          <w:szCs w:val="24"/>
          <w:lang w:eastAsia="en-GB"/>
        </w:rPr>
      </w:pPr>
      <w:r w:rsidRPr="00DD433A">
        <w:rPr>
          <w:rFonts w:ascii="Times New Roman" w:hAnsi="Times New Roman"/>
          <w:bCs/>
          <w:sz w:val="24"/>
          <w:szCs w:val="24"/>
          <w:lang w:eastAsia="en-GB"/>
        </w:rPr>
        <w:t>To implement this decision, during the period January-February 2021, it was announced the opening of the application for the position of Chairman and Vice-Chairman of the Committee on National Minorities. Open public competition procedures are followed by the Prime Minister Office, as provided by paragraph 4, article 20, of law no. 96/2017, "On the protection of national minorities in the Republic of Albania". There are also included the criteria that candidates must meet. The application deadline ended on 28</w:t>
      </w:r>
      <w:r w:rsidRPr="00DD433A">
        <w:rPr>
          <w:rFonts w:ascii="Times New Roman" w:hAnsi="Times New Roman"/>
          <w:bCs/>
          <w:sz w:val="24"/>
          <w:szCs w:val="24"/>
          <w:vertAlign w:val="superscript"/>
          <w:lang w:eastAsia="en-GB"/>
        </w:rPr>
        <w:t>th</w:t>
      </w:r>
      <w:r w:rsidRPr="00DD433A">
        <w:rPr>
          <w:rFonts w:ascii="Times New Roman" w:hAnsi="Times New Roman"/>
          <w:bCs/>
          <w:sz w:val="24"/>
          <w:szCs w:val="24"/>
          <w:lang w:eastAsia="en-GB"/>
        </w:rPr>
        <w:t xml:space="preserve"> of February 2021and now are being applied the procedures foreseen in law no</w:t>
      </w:r>
      <w:r w:rsidRPr="00DD433A">
        <w:rPr>
          <w:rFonts w:ascii="Times New Roman" w:hAnsi="Times New Roman"/>
          <w:sz w:val="24"/>
          <w:szCs w:val="24"/>
          <w:lang w:eastAsia="en-GB"/>
        </w:rPr>
        <w:t>.96/2017 and DCM no.</w:t>
      </w:r>
      <w:r w:rsidRPr="00DD433A">
        <w:rPr>
          <w:rFonts w:ascii="Times New Roman" w:hAnsi="Times New Roman"/>
          <w:bCs/>
          <w:sz w:val="24"/>
          <w:szCs w:val="24"/>
          <w:lang w:eastAsia="en-GB"/>
        </w:rPr>
        <w:t>286, dated 10.05.2019. This announcement is published in the official website of the Prime Minister’s Office</w:t>
      </w:r>
      <w:r w:rsidRPr="00DD433A">
        <w:rPr>
          <w:rFonts w:ascii="Times New Roman" w:hAnsi="Times New Roman"/>
          <w:sz w:val="24"/>
          <w:szCs w:val="24"/>
          <w:vertAlign w:val="superscript"/>
          <w:lang w:eastAsia="en-GB"/>
        </w:rPr>
        <w:footnoteReference w:id="4"/>
      </w:r>
      <w:r w:rsidRPr="00DD433A">
        <w:rPr>
          <w:rFonts w:ascii="Times New Roman" w:hAnsi="Times New Roman"/>
          <w:sz w:val="24"/>
          <w:szCs w:val="24"/>
          <w:lang w:eastAsia="en-GB"/>
        </w:rPr>
        <w:t xml:space="preserve">. </w:t>
      </w:r>
      <w:r w:rsidRPr="00DD433A">
        <w:rPr>
          <w:rFonts w:ascii="Times New Roman" w:hAnsi="Times New Roman"/>
          <w:bCs/>
          <w:sz w:val="24"/>
          <w:szCs w:val="24"/>
          <w:lang w:eastAsia="en-GB"/>
        </w:rPr>
        <w:t xml:space="preserve"> </w:t>
      </w:r>
    </w:p>
    <w:p w:rsidR="00DD433A" w:rsidRPr="00DD433A" w:rsidRDefault="00DD433A" w:rsidP="00DD433A">
      <w:pPr>
        <w:spacing w:after="0" w:line="240" w:lineRule="auto"/>
        <w:ind w:left="720"/>
        <w:jc w:val="both"/>
        <w:rPr>
          <w:rFonts w:ascii="Times New Roman" w:eastAsia="Times New Roman" w:hAnsi="Times New Roman" w:cs="Times New Roman"/>
          <w:sz w:val="24"/>
          <w:szCs w:val="24"/>
          <w:lang w:eastAsia="en-GB"/>
        </w:rPr>
      </w:pPr>
    </w:p>
    <w:p w:rsidR="00DD433A" w:rsidRPr="00DD433A" w:rsidRDefault="00DD433A" w:rsidP="00DD433A">
      <w:pPr>
        <w:pStyle w:val="ListParagraph"/>
        <w:numPr>
          <w:ilvl w:val="0"/>
          <w:numId w:val="34"/>
        </w:numPr>
        <w:ind w:left="180"/>
        <w:jc w:val="both"/>
        <w:rPr>
          <w:rFonts w:ascii="Times New Roman" w:eastAsia="MS Mincho" w:hAnsi="Times New Roman"/>
          <w:sz w:val="24"/>
          <w:szCs w:val="24"/>
          <w:shd w:val="clear" w:color="auto" w:fill="FFFFFF"/>
        </w:rPr>
      </w:pPr>
      <w:r w:rsidRPr="00DD433A">
        <w:rPr>
          <w:rFonts w:ascii="Times New Roman" w:eastAsia="MS Mincho" w:hAnsi="Times New Roman"/>
          <w:sz w:val="24"/>
          <w:szCs w:val="24"/>
          <w:shd w:val="clear" w:color="auto" w:fill="FFFFFF"/>
        </w:rPr>
        <w:t>Regarding the budget for 2021 of the Committee on National Minorities, the salaries of the of additional employees has been financed as per approved structure.</w:t>
      </w:r>
    </w:p>
    <w:p w:rsidR="00DD433A" w:rsidRPr="00DD433A" w:rsidRDefault="00DD433A" w:rsidP="00DD433A">
      <w:pPr>
        <w:pStyle w:val="ListParagraph"/>
        <w:rPr>
          <w:rFonts w:ascii="Times New Roman" w:eastAsia="MS Mincho" w:hAnsi="Times New Roman"/>
          <w:sz w:val="24"/>
          <w:szCs w:val="24"/>
          <w:shd w:val="clear" w:color="auto" w:fill="FFFFFF"/>
        </w:rPr>
      </w:pPr>
    </w:p>
    <w:p w:rsidR="00DD433A" w:rsidRPr="00DD433A" w:rsidRDefault="00DD433A" w:rsidP="00DD433A">
      <w:pPr>
        <w:pStyle w:val="ListParagraph"/>
        <w:numPr>
          <w:ilvl w:val="0"/>
          <w:numId w:val="34"/>
        </w:numPr>
        <w:ind w:left="180"/>
        <w:jc w:val="both"/>
        <w:rPr>
          <w:rFonts w:ascii="Times New Roman" w:eastAsia="MS Mincho" w:hAnsi="Times New Roman"/>
          <w:sz w:val="24"/>
          <w:szCs w:val="24"/>
          <w:shd w:val="clear" w:color="auto" w:fill="FFFFFF"/>
        </w:rPr>
      </w:pPr>
      <w:r w:rsidRPr="00DD433A">
        <w:rPr>
          <w:rFonts w:ascii="Times New Roman" w:eastAsia="MS Mincho" w:hAnsi="Times New Roman"/>
          <w:sz w:val="24"/>
          <w:szCs w:val="24"/>
          <w:shd w:val="clear" w:color="auto" w:fill="FFFFFF"/>
        </w:rPr>
        <w:lastRenderedPageBreak/>
        <w:t>The draft Decision "On the criteria for supporting initiatives, projects aimed at protecting the rights of national minorities, preserving and promoting their distinct cultural, ethnic, linguistic, traditional and religious identity and the selection criteria for the financing and administration of" Fund for National Minorities ", will be issued pursuant to Article 21, paragraph  3 of Law no. 96/2017, "On the protection of national minorities in the Republic of Albania", proposed by the Prime Minister (given that the Committee on National Minorities functions as an independent body subordinate to the Prime Minister).</w:t>
      </w:r>
    </w:p>
    <w:p w:rsidR="00DD433A" w:rsidRPr="00DD433A" w:rsidRDefault="00DD433A" w:rsidP="00DD433A">
      <w:pPr>
        <w:spacing w:after="0" w:line="240" w:lineRule="auto"/>
        <w:ind w:left="180"/>
        <w:jc w:val="both"/>
        <w:rPr>
          <w:rFonts w:ascii="Times New Roman" w:eastAsia="Calibri" w:hAnsi="Times New Roman" w:cs="Times New Roman"/>
          <w:sz w:val="24"/>
          <w:szCs w:val="24"/>
        </w:rPr>
      </w:pPr>
    </w:p>
    <w:p w:rsidR="00DD433A" w:rsidRPr="00DD433A" w:rsidRDefault="00DD433A" w:rsidP="00DD433A">
      <w:pPr>
        <w:pStyle w:val="ListParagraph"/>
        <w:numPr>
          <w:ilvl w:val="0"/>
          <w:numId w:val="34"/>
        </w:numPr>
        <w:ind w:left="180"/>
        <w:jc w:val="both"/>
        <w:rPr>
          <w:rFonts w:ascii="Times New Roman" w:eastAsia="MS Mincho" w:hAnsi="Times New Roman"/>
          <w:sz w:val="24"/>
          <w:szCs w:val="24"/>
        </w:rPr>
      </w:pPr>
      <w:r w:rsidRPr="00DD433A">
        <w:rPr>
          <w:rFonts w:ascii="Times New Roman" w:eastAsia="MS Mincho" w:hAnsi="Times New Roman"/>
          <w:sz w:val="24"/>
          <w:szCs w:val="24"/>
        </w:rPr>
        <w:t>The draft decision shall set forth a transparent, functional, effective, legal procedure concerning</w:t>
      </w:r>
      <w:r w:rsidRPr="00DD433A">
        <w:rPr>
          <w:rFonts w:ascii="Times New Roman" w:eastAsia="MS Mincho" w:hAnsi="Times New Roman"/>
          <w:sz w:val="24"/>
          <w:szCs w:val="24"/>
          <w:lang w:eastAsia="ja-JP"/>
        </w:rPr>
        <w:t>:</w:t>
      </w:r>
    </w:p>
    <w:p w:rsidR="00DD433A" w:rsidRPr="00DD433A" w:rsidRDefault="00DD433A" w:rsidP="00DD433A">
      <w:pPr>
        <w:numPr>
          <w:ilvl w:val="1"/>
          <w:numId w:val="18"/>
        </w:numPr>
        <w:spacing w:after="0" w:line="240" w:lineRule="auto"/>
        <w:ind w:left="900"/>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Potential beneficiaries of this fund; the procedure to be applied to set the annual fund;</w:t>
      </w:r>
    </w:p>
    <w:p w:rsidR="00DD433A" w:rsidRPr="00DD433A" w:rsidRDefault="00DD433A" w:rsidP="00DD433A">
      <w:pPr>
        <w:numPr>
          <w:ilvl w:val="1"/>
          <w:numId w:val="18"/>
        </w:numPr>
        <w:spacing w:after="0" w:line="240" w:lineRule="auto"/>
        <w:ind w:left="900"/>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Principles on which the administration and distribution of the fund is based; the selection procedures and criteria of the winners </w:t>
      </w:r>
    </w:p>
    <w:p w:rsidR="00DD433A" w:rsidRPr="00DD433A" w:rsidRDefault="00DD433A" w:rsidP="00DD433A">
      <w:pPr>
        <w:numPr>
          <w:ilvl w:val="1"/>
          <w:numId w:val="18"/>
        </w:numPr>
        <w:spacing w:after="0" w:line="240" w:lineRule="auto"/>
        <w:ind w:left="900"/>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Methods to monitor the proper and successful implementation of funded projects; Ensuring transparency and equality throughout the process, based on objective rules set out in detail.</w:t>
      </w:r>
    </w:p>
    <w:p w:rsidR="00DD433A" w:rsidRPr="00DD433A" w:rsidRDefault="00DD433A" w:rsidP="00DD433A">
      <w:pPr>
        <w:spacing w:after="0" w:line="240" w:lineRule="auto"/>
        <w:ind w:left="1440"/>
        <w:jc w:val="both"/>
        <w:rPr>
          <w:rFonts w:ascii="Times New Roman" w:eastAsia="Calibri" w:hAnsi="Times New Roman" w:cs="Times New Roman"/>
          <w:sz w:val="24"/>
          <w:szCs w:val="24"/>
        </w:rPr>
      </w:pPr>
    </w:p>
    <w:p w:rsidR="00DD433A" w:rsidRPr="00DD433A" w:rsidRDefault="00DD433A" w:rsidP="00DD433A">
      <w:pPr>
        <w:pStyle w:val="ListParagraph"/>
        <w:numPr>
          <w:ilvl w:val="0"/>
          <w:numId w:val="34"/>
        </w:numPr>
        <w:tabs>
          <w:tab w:val="left" w:pos="360"/>
        </w:tabs>
        <w:ind w:left="180"/>
        <w:jc w:val="both"/>
        <w:rPr>
          <w:rFonts w:ascii="Times New Roman" w:eastAsia="MS Mincho" w:hAnsi="Times New Roman"/>
          <w:sz w:val="24"/>
          <w:szCs w:val="24"/>
        </w:rPr>
      </w:pPr>
      <w:r w:rsidRPr="00DD433A">
        <w:rPr>
          <w:rFonts w:ascii="Times New Roman" w:eastAsia="MS Mincho" w:hAnsi="Times New Roman"/>
          <w:sz w:val="24"/>
          <w:szCs w:val="24"/>
        </w:rPr>
        <w:t>The establishment of this Special Fund to exclusively finance initiatives and projects that preserve and promote the rights of minorities and the characteristics of their distinctive identity is a welcomed and required step by the associations representing national minorities. The expected impact is the increase of the capacities (quality and quantity) of the associations representing the national minorities, as well as the feeling of being appreciated and involved in the advantageous policies of the Albanian state regarding their culture and values.</w:t>
      </w:r>
    </w:p>
    <w:p w:rsidR="00DD433A" w:rsidRPr="00DD433A" w:rsidRDefault="00DD433A" w:rsidP="00DD433A">
      <w:pPr>
        <w:pStyle w:val="ListParagraph"/>
        <w:numPr>
          <w:ilvl w:val="0"/>
          <w:numId w:val="34"/>
        </w:numPr>
        <w:tabs>
          <w:tab w:val="left" w:pos="360"/>
        </w:tabs>
        <w:ind w:left="180"/>
        <w:jc w:val="both"/>
        <w:rPr>
          <w:rFonts w:ascii="Times New Roman" w:eastAsia="MS Mincho" w:hAnsi="Times New Roman"/>
          <w:sz w:val="24"/>
          <w:szCs w:val="24"/>
        </w:rPr>
      </w:pPr>
      <w:r w:rsidRPr="00DD433A">
        <w:rPr>
          <w:rFonts w:ascii="Times New Roman" w:eastAsia="MS Mincho" w:hAnsi="Times New Roman"/>
          <w:sz w:val="24"/>
          <w:szCs w:val="24"/>
        </w:rPr>
        <w:t xml:space="preserve">It is foreseen that the Fund for National Minorities will be financed by the state budget and after the approval it will be managed by the Committee on National Minorities in compliance with the legislation on budget. The fund is allocated as a separate item in the annual state budget and should be sufficient to finance projects based on an annual report submitted to the Committee on National Minorities and the Ministry of Finance and Economy after consultation with representatives of national minorities.  </w:t>
      </w:r>
    </w:p>
    <w:p w:rsidR="00DD433A" w:rsidRPr="00DD433A" w:rsidRDefault="00DD433A" w:rsidP="00DD433A">
      <w:pPr>
        <w:pStyle w:val="ListParagraph"/>
        <w:numPr>
          <w:ilvl w:val="0"/>
          <w:numId w:val="34"/>
        </w:numPr>
        <w:tabs>
          <w:tab w:val="left" w:pos="360"/>
        </w:tabs>
        <w:ind w:left="180"/>
        <w:jc w:val="both"/>
        <w:rPr>
          <w:rFonts w:ascii="Times New Roman" w:eastAsia="MS Mincho" w:hAnsi="Times New Roman"/>
          <w:sz w:val="24"/>
          <w:szCs w:val="24"/>
        </w:rPr>
      </w:pPr>
      <w:r w:rsidRPr="00DD433A">
        <w:rPr>
          <w:rFonts w:ascii="Times New Roman" w:eastAsia="MS Mincho" w:hAnsi="Times New Roman"/>
          <w:sz w:val="24"/>
          <w:szCs w:val="24"/>
        </w:rPr>
        <w:t>The draft decision on the Fund will determine: potential beneficiaries of the funds; evaluation of projects and selection of the winners; stages of the selection process and procedure, necessary documentation, deadlines, general criteria for admission of candidates / applicants, conditions to be met to receive the grant; the tasks of the Project Evaluation Commission, which plays the main role during the selection process. The selection criteria will enable the transparency of the process, as well as the relevant arguments on the unsuccessful ones. The financial fund (budget) will be provided based on an annual report, which will be prepared by the Committee on National Minorities in consultation with the representatives of the nine national minorities and it will be submitted to the Ministry of Finance and Economy</w:t>
      </w:r>
      <w:r w:rsidRPr="00DD433A">
        <w:rPr>
          <w:rFonts w:ascii="Times New Roman" w:eastAsia="Calibri" w:hAnsi="Times New Roman"/>
          <w:sz w:val="24"/>
          <w:szCs w:val="24"/>
          <w:vertAlign w:val="superscript"/>
        </w:rPr>
        <w:footnoteReference w:id="5"/>
      </w:r>
      <w:r w:rsidRPr="00DD433A">
        <w:rPr>
          <w:rFonts w:ascii="Times New Roman" w:eastAsia="Calibri" w:hAnsi="Times New Roman"/>
          <w:sz w:val="24"/>
          <w:szCs w:val="24"/>
        </w:rPr>
        <w:t xml:space="preserve">.  </w:t>
      </w:r>
    </w:p>
    <w:p w:rsidR="00DD433A" w:rsidRPr="00DD433A" w:rsidRDefault="00DD433A" w:rsidP="00DD433A">
      <w:pPr>
        <w:spacing w:after="0" w:line="240" w:lineRule="auto"/>
        <w:contextualSpacing/>
        <w:jc w:val="both"/>
        <w:rPr>
          <w:rFonts w:ascii="Times New Roman" w:eastAsia="Calibri" w:hAnsi="Times New Roman" w:cs="Times New Roman"/>
          <w:sz w:val="24"/>
          <w:szCs w:val="24"/>
        </w:rPr>
      </w:pPr>
    </w:p>
    <w:p w:rsidR="00DD433A" w:rsidRPr="00DD433A" w:rsidRDefault="00DD433A" w:rsidP="00DD433A">
      <w:pPr>
        <w:pStyle w:val="ListParagraph"/>
        <w:numPr>
          <w:ilvl w:val="0"/>
          <w:numId w:val="34"/>
        </w:numPr>
        <w:ind w:left="180"/>
        <w:jc w:val="both"/>
        <w:rPr>
          <w:rFonts w:ascii="Times New Roman" w:eastAsia="MS Mincho" w:hAnsi="Times New Roman"/>
          <w:sz w:val="24"/>
          <w:szCs w:val="24"/>
        </w:rPr>
      </w:pPr>
      <w:r w:rsidRPr="00DD433A">
        <w:rPr>
          <w:rFonts w:ascii="Times New Roman" w:eastAsia="MS Mincho" w:hAnsi="Times New Roman"/>
          <w:sz w:val="24"/>
          <w:szCs w:val="24"/>
        </w:rPr>
        <w:t xml:space="preserve">The draft decision is prepared by the Committee on National Minorities and is being consulted with the line institutions. The Prime Minister is entitled the initiative to propose the draft decision to the Council of Ministers because the Committee on National Minorities is subordinate to the Prime Minister. </w:t>
      </w:r>
    </w:p>
    <w:p w:rsidR="00DD433A" w:rsidRPr="00DD433A" w:rsidRDefault="00DD433A" w:rsidP="00DD433A">
      <w:pPr>
        <w:spacing w:after="0" w:line="240" w:lineRule="auto"/>
        <w:rPr>
          <w:rFonts w:ascii="Times New Roman" w:hAnsi="Times New Roman" w:cs="Times New Roman"/>
          <w:sz w:val="24"/>
          <w:szCs w:val="24"/>
        </w:rPr>
      </w:pPr>
    </w:p>
    <w:p w:rsidR="00DD433A" w:rsidRPr="00DD433A" w:rsidRDefault="00DD433A" w:rsidP="00DD433A">
      <w:pPr>
        <w:spacing w:after="0" w:line="240" w:lineRule="auto"/>
        <w:rPr>
          <w:rFonts w:ascii="Times New Roman" w:hAnsi="Times New Roman" w:cs="Times New Roman"/>
          <w:sz w:val="24"/>
          <w:szCs w:val="24"/>
        </w:rPr>
      </w:pPr>
    </w:p>
    <w:p w:rsidR="00DD433A" w:rsidRPr="00DD433A" w:rsidRDefault="00DD433A" w:rsidP="00DD433A">
      <w:pPr>
        <w:spacing w:after="0" w:line="240" w:lineRule="auto"/>
        <w:jc w:val="both"/>
        <w:rPr>
          <w:rFonts w:ascii="Times New Roman" w:eastAsia="MS Mincho" w:hAnsi="Times New Roman" w:cs="Times New Roman"/>
          <w:b/>
          <w:sz w:val="24"/>
          <w:szCs w:val="24"/>
        </w:rPr>
      </w:pPr>
      <w:r w:rsidRPr="00DD433A">
        <w:rPr>
          <w:rFonts w:ascii="Times New Roman" w:eastAsia="MS Mincho" w:hAnsi="Times New Roman" w:cs="Times New Roman"/>
          <w:b/>
          <w:sz w:val="24"/>
          <w:szCs w:val="24"/>
        </w:rPr>
        <w:t xml:space="preserve">Annex no.4: Culture </w:t>
      </w:r>
    </w:p>
    <w:p w:rsidR="00DD433A" w:rsidRPr="00DD433A" w:rsidRDefault="00DD433A" w:rsidP="00DD433A">
      <w:pPr>
        <w:spacing w:after="0" w:line="240" w:lineRule="auto"/>
        <w:jc w:val="both"/>
        <w:rPr>
          <w:rFonts w:ascii="Times New Roman" w:eastAsia="MS Mincho" w:hAnsi="Times New Roman" w:cs="Times New Roman"/>
          <w:sz w:val="24"/>
          <w:szCs w:val="24"/>
        </w:rPr>
      </w:pPr>
    </w:p>
    <w:p w:rsidR="00DD433A" w:rsidRPr="00DD433A" w:rsidRDefault="00DD433A" w:rsidP="00DD433A">
      <w:pPr>
        <w:spacing w:after="0" w:line="240" w:lineRule="auto"/>
        <w:jc w:val="both"/>
        <w:rPr>
          <w:rFonts w:ascii="Times New Roman" w:eastAsia="MS Mincho" w:hAnsi="Times New Roman" w:cs="Times New Roman"/>
          <w:sz w:val="24"/>
          <w:szCs w:val="24"/>
        </w:rPr>
      </w:pPr>
      <w:r w:rsidRPr="00DD433A">
        <w:rPr>
          <w:rFonts w:ascii="Times New Roman" w:eastAsia="MS Mincho" w:hAnsi="Times New Roman" w:cs="Times New Roman"/>
          <w:sz w:val="24"/>
          <w:szCs w:val="24"/>
        </w:rPr>
        <w:t>The Ministry of Culture continues to support financially the activities of highest priority of the same focus such as:</w:t>
      </w:r>
    </w:p>
    <w:p w:rsidR="00DD433A" w:rsidRPr="00DD433A" w:rsidRDefault="00DD433A" w:rsidP="00DD433A">
      <w:pPr>
        <w:numPr>
          <w:ilvl w:val="0"/>
          <w:numId w:val="20"/>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Multicultural Përmet, Minorities and Ethnicity" Gjirokastra National Folklore Festival. The scientific criteria for participation include the national spiritual cultural heritage, all those values ​​created by national minorities”. </w:t>
      </w:r>
    </w:p>
    <w:p w:rsidR="00DD433A" w:rsidRPr="00DD433A" w:rsidRDefault="00DD433A" w:rsidP="00DD433A">
      <w:pPr>
        <w:numPr>
          <w:ilvl w:val="0"/>
          <w:numId w:val="20"/>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Berat Multicultural Festival </w:t>
      </w:r>
    </w:p>
    <w:p w:rsidR="00DD433A" w:rsidRPr="00DD433A" w:rsidRDefault="00DD433A" w:rsidP="00DD433A">
      <w:pPr>
        <w:numPr>
          <w:ilvl w:val="0"/>
          <w:numId w:val="20"/>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Celebrating 8</w:t>
      </w:r>
      <w:r w:rsidRPr="00DD433A">
        <w:rPr>
          <w:rFonts w:ascii="Times New Roman" w:eastAsia="Calibri" w:hAnsi="Times New Roman" w:cs="Times New Roman"/>
          <w:sz w:val="24"/>
          <w:szCs w:val="24"/>
          <w:vertAlign w:val="superscript"/>
        </w:rPr>
        <w:t>th</w:t>
      </w:r>
      <w:r w:rsidRPr="00DD433A">
        <w:rPr>
          <w:rFonts w:ascii="Times New Roman" w:eastAsia="Calibri" w:hAnsi="Times New Roman" w:cs="Times New Roman"/>
          <w:sz w:val="24"/>
          <w:szCs w:val="24"/>
        </w:rPr>
        <w:t xml:space="preserve"> of April, World Roma Day;  </w:t>
      </w:r>
    </w:p>
    <w:p w:rsidR="00DD433A" w:rsidRPr="00DD433A" w:rsidRDefault="00DD433A" w:rsidP="00DD433A">
      <w:pPr>
        <w:numPr>
          <w:ilvl w:val="0"/>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Financial support to publish literary works on Roma in Albania;</w:t>
      </w:r>
    </w:p>
    <w:p w:rsidR="00DD433A" w:rsidRPr="00DD433A" w:rsidRDefault="00DD433A" w:rsidP="00DD433A">
      <w:pPr>
        <w:numPr>
          <w:ilvl w:val="0"/>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Financial support for the project " Roma minority days in Albania";</w:t>
      </w:r>
    </w:p>
    <w:p w:rsidR="00DD433A" w:rsidRPr="00DD433A" w:rsidRDefault="00DD433A" w:rsidP="00DD433A">
      <w:pPr>
        <w:numPr>
          <w:ilvl w:val="0"/>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Financial support for a concert with music and traditional clothing from the Roma minority;</w:t>
      </w:r>
    </w:p>
    <w:p w:rsidR="00DD433A" w:rsidRPr="00DD433A" w:rsidRDefault="00DD433A" w:rsidP="00DD433A">
      <w:pPr>
        <w:numPr>
          <w:ilvl w:val="0"/>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Celebration of May 5, St. George's Day, (Herdelezi) - a celebration of the cultural heritage of the Roma minority;</w:t>
      </w:r>
    </w:p>
    <w:p w:rsidR="00DD433A" w:rsidRPr="00DD433A" w:rsidRDefault="00DD433A" w:rsidP="00DD433A">
      <w:pPr>
        <w:numPr>
          <w:ilvl w:val="0"/>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Celebrating the International Vlach Day;</w:t>
      </w:r>
    </w:p>
    <w:p w:rsidR="00DD433A" w:rsidRPr="00DD433A" w:rsidRDefault="00DD433A" w:rsidP="00DD433A">
      <w:pPr>
        <w:numPr>
          <w:ilvl w:val="0"/>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Organizing the world meeting of Vlachs on St. Mary's Day in Voskopoja; </w:t>
      </w:r>
    </w:p>
    <w:p w:rsidR="00DD433A" w:rsidRPr="00DD433A" w:rsidRDefault="00DD433A" w:rsidP="00DD433A">
      <w:pPr>
        <w:numPr>
          <w:ilvl w:val="0"/>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Promotions of literary and history works on the Aromanian minority in Albania;</w:t>
      </w:r>
    </w:p>
    <w:p w:rsidR="00DD433A" w:rsidRPr="00DD433A" w:rsidRDefault="00DD433A" w:rsidP="00DD433A">
      <w:pPr>
        <w:numPr>
          <w:ilvl w:val="0"/>
          <w:numId w:val="20"/>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Organizing meetings with the Macedonian minority in Prespa;</w:t>
      </w:r>
    </w:p>
    <w:p w:rsidR="00DD433A" w:rsidRPr="00DD433A" w:rsidRDefault="00DD433A" w:rsidP="00DD433A">
      <w:pPr>
        <w:numPr>
          <w:ilvl w:val="0"/>
          <w:numId w:val="20"/>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Financial support for the folk concert of national minorities in Saranda.</w:t>
      </w:r>
    </w:p>
    <w:p w:rsidR="00DD433A" w:rsidRPr="00DD433A" w:rsidRDefault="00DD433A" w:rsidP="00DD433A">
      <w:pPr>
        <w:numPr>
          <w:ilvl w:val="0"/>
          <w:numId w:val="20"/>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 xml:space="preserve">Greater access and active participation in culture to national minorities can be ensured by developing and implementing projects that protect and promote their cultural identity and language, such as:   </w:t>
      </w:r>
    </w:p>
    <w:p w:rsidR="00DD433A" w:rsidRPr="00DD433A" w:rsidRDefault="00DD433A" w:rsidP="00DD433A">
      <w:pPr>
        <w:numPr>
          <w:ilvl w:val="1"/>
          <w:numId w:val="21"/>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Provision of professional assistance and counselling on the standards of documenting diversity and non-material cultural heritage (trainings, workshops).</w:t>
      </w:r>
    </w:p>
    <w:p w:rsidR="00DD433A" w:rsidRPr="00DD433A" w:rsidRDefault="00DD433A" w:rsidP="00DD433A">
      <w:pPr>
        <w:numPr>
          <w:ilvl w:val="1"/>
          <w:numId w:val="21"/>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Financial support from Ministry of Culture to the network of activities organized by cultural associations, especially research work even in cooperation with the local government;</w:t>
      </w:r>
    </w:p>
    <w:p w:rsidR="00DD433A" w:rsidRPr="00DD433A" w:rsidRDefault="00DD433A" w:rsidP="00DD433A">
      <w:pPr>
        <w:numPr>
          <w:ilvl w:val="1"/>
          <w:numId w:val="21"/>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Publication of written literature in the languages ​​of national minorities, along the translation into Albanian.</w:t>
      </w:r>
    </w:p>
    <w:p w:rsidR="00DD433A" w:rsidRPr="00DD433A" w:rsidRDefault="00DD433A" w:rsidP="00DD433A">
      <w:pPr>
        <w:numPr>
          <w:ilvl w:val="1"/>
          <w:numId w:val="21"/>
        </w:numPr>
        <w:suppressAutoHyphens/>
        <w:autoSpaceDN w:val="0"/>
        <w:spacing w:after="0" w:line="240" w:lineRule="auto"/>
        <w:jc w:val="both"/>
        <w:textAlignment w:val="baseline"/>
        <w:rPr>
          <w:rFonts w:ascii="Times New Roman" w:eastAsia="Calibri" w:hAnsi="Times New Roman" w:cs="Times New Roman"/>
          <w:sz w:val="24"/>
          <w:szCs w:val="24"/>
        </w:rPr>
      </w:pPr>
      <w:r w:rsidRPr="00DD433A">
        <w:rPr>
          <w:rFonts w:ascii="Times New Roman" w:eastAsia="Calibri" w:hAnsi="Times New Roman" w:cs="Times New Roman"/>
          <w:sz w:val="24"/>
          <w:szCs w:val="24"/>
        </w:rPr>
        <w:t>Increase the representation of national minority groups in national and international art festivals organized by the Ministry of Culture, etc.</w:t>
      </w:r>
    </w:p>
    <w:p w:rsidR="00DD433A" w:rsidRPr="00DD433A" w:rsidRDefault="00DD433A" w:rsidP="00DD433A">
      <w:pPr>
        <w:spacing w:after="0" w:line="240" w:lineRule="auto"/>
        <w:contextualSpacing/>
        <w:jc w:val="both"/>
        <w:rPr>
          <w:rFonts w:ascii="Times New Roman" w:eastAsia="Times New Roman" w:hAnsi="Times New Roman" w:cs="Times New Roman"/>
          <w:b/>
          <w:sz w:val="24"/>
          <w:szCs w:val="24"/>
        </w:rPr>
      </w:pPr>
    </w:p>
    <w:p w:rsidR="00DD433A" w:rsidRPr="00DD433A" w:rsidRDefault="00DD433A" w:rsidP="00DD433A">
      <w:pPr>
        <w:spacing w:line="240" w:lineRule="auto"/>
        <w:contextualSpacing/>
        <w:jc w:val="both"/>
        <w:rPr>
          <w:rFonts w:ascii="Times New Roman" w:eastAsia="Times New Roman" w:hAnsi="Times New Roman" w:cs="Times New Roman"/>
          <w:b/>
          <w:sz w:val="24"/>
          <w:szCs w:val="24"/>
        </w:rPr>
      </w:pPr>
      <w:r w:rsidRPr="00DD433A">
        <w:rPr>
          <w:rFonts w:ascii="Times New Roman" w:eastAsia="Times New Roman" w:hAnsi="Times New Roman" w:cs="Times New Roman"/>
          <w:b/>
          <w:sz w:val="24"/>
          <w:szCs w:val="24"/>
        </w:rPr>
        <w:t>Annex no. 5- On informing the minorities about the electoral process (awareness raising campaigns, spots, leaflets during the period 2016-2020)</w:t>
      </w:r>
    </w:p>
    <w:p w:rsidR="00DD433A" w:rsidRPr="00DD433A" w:rsidRDefault="00DD433A" w:rsidP="00DD433A">
      <w:pPr>
        <w:spacing w:after="0" w:line="240" w:lineRule="auto"/>
        <w:contextualSpacing/>
        <w:jc w:val="both"/>
        <w:rPr>
          <w:rFonts w:ascii="Times New Roman" w:eastAsia="Times New Roman" w:hAnsi="Times New Roman" w:cs="Times New Roman"/>
          <w:b/>
          <w:sz w:val="24"/>
          <w:szCs w:val="24"/>
        </w:rPr>
      </w:pPr>
    </w:p>
    <w:p w:rsidR="00DD433A" w:rsidRPr="00DD433A" w:rsidRDefault="00DD433A" w:rsidP="00DD433A">
      <w:pPr>
        <w:pStyle w:val="ListParagraph"/>
        <w:numPr>
          <w:ilvl w:val="3"/>
          <w:numId w:val="5"/>
        </w:numPr>
        <w:shd w:val="clear" w:color="auto" w:fill="FFFFFF"/>
        <w:ind w:left="180"/>
        <w:jc w:val="both"/>
        <w:rPr>
          <w:rFonts w:ascii="Times New Roman" w:eastAsia="MS Mincho" w:hAnsi="Times New Roman"/>
          <w:sz w:val="24"/>
          <w:szCs w:val="24"/>
        </w:rPr>
      </w:pPr>
      <w:r w:rsidRPr="00DD433A">
        <w:rPr>
          <w:rFonts w:ascii="Times New Roman" w:eastAsia="MS Mincho" w:hAnsi="Times New Roman"/>
          <w:sz w:val="24"/>
          <w:szCs w:val="24"/>
        </w:rPr>
        <w:t xml:space="preserve">Central Election Commission (CEC), in fulfilment of its mission for education of citizens on elections, has paid special attention to the design and implementation of election related educational and informational programs for national minorities, with a special focus on the Roma and Egyptian minority. The economic and social problems of this community hinder the approach to the electoral process, and the most obvious are the lack of information and low participation in the voting process. </w:t>
      </w:r>
    </w:p>
    <w:p w:rsidR="00DD433A" w:rsidRPr="00DD433A" w:rsidRDefault="00DD433A" w:rsidP="00DD433A">
      <w:pPr>
        <w:pStyle w:val="ListParagraph"/>
        <w:keepNext/>
        <w:keepLines/>
        <w:ind w:left="180"/>
        <w:jc w:val="both"/>
        <w:outlineLvl w:val="0"/>
        <w:rPr>
          <w:rFonts w:ascii="Times New Roman" w:hAnsi="Times New Roman"/>
          <w:bCs/>
          <w:iCs/>
          <w:sz w:val="24"/>
          <w:szCs w:val="24"/>
        </w:rPr>
      </w:pPr>
    </w:p>
    <w:p w:rsidR="00DD433A" w:rsidRPr="00DD433A" w:rsidRDefault="00DD433A" w:rsidP="00DD433A">
      <w:pPr>
        <w:pStyle w:val="ListParagraph"/>
        <w:keepNext/>
        <w:keepLines/>
        <w:numPr>
          <w:ilvl w:val="3"/>
          <w:numId w:val="5"/>
        </w:numPr>
        <w:ind w:left="180"/>
        <w:jc w:val="both"/>
        <w:outlineLvl w:val="0"/>
        <w:rPr>
          <w:rFonts w:ascii="Times New Roman" w:hAnsi="Times New Roman"/>
          <w:bCs/>
          <w:iCs/>
          <w:sz w:val="24"/>
          <w:szCs w:val="24"/>
        </w:rPr>
      </w:pPr>
      <w:r w:rsidRPr="00DD433A">
        <w:rPr>
          <w:rFonts w:ascii="Times New Roman" w:hAnsi="Times New Roman"/>
          <w:bCs/>
          <w:iCs/>
          <w:sz w:val="24"/>
          <w:szCs w:val="24"/>
        </w:rPr>
        <w:t>Local elections 2019-CEC signed a cooperation agreement with the State Committee on National Minorities. All informative / educational / awareness materials were produced in the languages ​​of the nine national minorities. The State Committee on National Minorities translated the information, education, awareness materials for the elections of 30</w:t>
      </w:r>
      <w:r w:rsidRPr="00DD433A">
        <w:rPr>
          <w:rFonts w:ascii="Times New Roman" w:hAnsi="Times New Roman"/>
          <w:bCs/>
          <w:iCs/>
          <w:sz w:val="24"/>
          <w:szCs w:val="24"/>
          <w:vertAlign w:val="superscript"/>
        </w:rPr>
        <w:t>th</w:t>
      </w:r>
      <w:r w:rsidRPr="00DD433A">
        <w:rPr>
          <w:rFonts w:ascii="Times New Roman" w:hAnsi="Times New Roman"/>
          <w:bCs/>
          <w:iCs/>
          <w:sz w:val="24"/>
          <w:szCs w:val="24"/>
        </w:rPr>
        <w:t xml:space="preserve"> of June 2019 into the languages ​​of the national minorities, and committed itself to their distribution in the local self-government units where the majority of them live.</w:t>
      </w:r>
      <w:r w:rsidRPr="00DD433A">
        <w:rPr>
          <w:rFonts w:ascii="Times New Roman" w:eastAsia="Calibri" w:hAnsi="Times New Roman"/>
          <w:sz w:val="24"/>
          <w:szCs w:val="24"/>
        </w:rPr>
        <w:t xml:space="preserve"> </w:t>
      </w:r>
    </w:p>
    <w:p w:rsidR="00DD433A" w:rsidRPr="00DD433A" w:rsidRDefault="00DD433A" w:rsidP="00DD433A">
      <w:pPr>
        <w:pStyle w:val="ListParagraph"/>
        <w:ind w:left="180"/>
        <w:jc w:val="both"/>
        <w:rPr>
          <w:rFonts w:ascii="Times New Roman" w:eastAsia="Calibri" w:hAnsi="Times New Roman"/>
          <w:sz w:val="24"/>
          <w:szCs w:val="24"/>
        </w:rPr>
      </w:pPr>
    </w:p>
    <w:p w:rsidR="00DD433A" w:rsidRPr="00DD433A" w:rsidRDefault="00DD433A" w:rsidP="00DD433A">
      <w:pPr>
        <w:pStyle w:val="ListParagraph"/>
        <w:numPr>
          <w:ilvl w:val="3"/>
          <w:numId w:val="5"/>
        </w:numPr>
        <w:ind w:left="180"/>
        <w:jc w:val="both"/>
        <w:rPr>
          <w:rFonts w:ascii="Times New Roman" w:eastAsia="Calibri" w:hAnsi="Times New Roman"/>
          <w:sz w:val="24"/>
          <w:szCs w:val="24"/>
        </w:rPr>
      </w:pPr>
      <w:r w:rsidRPr="00DD433A">
        <w:rPr>
          <w:rFonts w:ascii="Times New Roman" w:eastAsia="Calibri" w:hAnsi="Times New Roman"/>
          <w:sz w:val="24"/>
          <w:szCs w:val="24"/>
        </w:rPr>
        <w:t>Leaflets in the language of national minorities were distributed to local self-government units where persons belonging to national minorities make up over 20% of the total population, based on information sent by the Ministry of Interior, the Agency for the Support of Local Self-Government, which referred to data on the resident population and respective national minorities at the municipal level as well as at the district level. Information and educational posters in the languages ​​of national minorities (5 types) were sent to the respective Election Zone Administration Commission to be distributed and posted at the voting stations located in the local self-government units with the largest number of national minorities. The State Committee of National Minorities, in cooperation with the CEC, provided information on the electoral process of 30</w:t>
      </w:r>
      <w:r w:rsidRPr="00DD433A">
        <w:rPr>
          <w:rFonts w:ascii="Times New Roman" w:eastAsia="Calibri" w:hAnsi="Times New Roman"/>
          <w:sz w:val="24"/>
          <w:szCs w:val="24"/>
          <w:vertAlign w:val="superscript"/>
        </w:rPr>
        <w:t>th</w:t>
      </w:r>
      <w:r w:rsidRPr="00DD433A">
        <w:rPr>
          <w:rFonts w:ascii="Times New Roman" w:eastAsia="Calibri" w:hAnsi="Times New Roman"/>
          <w:sz w:val="24"/>
          <w:szCs w:val="24"/>
        </w:rPr>
        <w:t xml:space="preserve"> of June 2019 elections and awareness messages to vote were transmitted through the media in the language of each national minority on Albanian Radio and Television (daily news).</w:t>
      </w:r>
    </w:p>
    <w:p w:rsidR="00DD433A" w:rsidRPr="00DD433A" w:rsidRDefault="00DD433A" w:rsidP="00DD433A">
      <w:pPr>
        <w:spacing w:after="0" w:line="240" w:lineRule="auto"/>
        <w:ind w:left="180"/>
        <w:contextualSpacing/>
        <w:jc w:val="both"/>
        <w:rPr>
          <w:rFonts w:ascii="Times New Roman" w:eastAsia="Calibri" w:hAnsi="Times New Roman" w:cs="Times New Roman"/>
          <w:sz w:val="24"/>
          <w:szCs w:val="24"/>
        </w:rPr>
      </w:pPr>
    </w:p>
    <w:p w:rsidR="00DD433A" w:rsidRPr="00DD433A" w:rsidRDefault="00DD433A" w:rsidP="00DD433A">
      <w:pPr>
        <w:pStyle w:val="ListParagraph"/>
        <w:numPr>
          <w:ilvl w:val="3"/>
          <w:numId w:val="5"/>
        </w:numPr>
        <w:ind w:left="180"/>
        <w:jc w:val="both"/>
        <w:rPr>
          <w:rFonts w:ascii="Times New Roman" w:eastAsia="Calibri" w:hAnsi="Times New Roman"/>
          <w:sz w:val="24"/>
          <w:szCs w:val="24"/>
        </w:rPr>
      </w:pPr>
      <w:r w:rsidRPr="00DD433A">
        <w:rPr>
          <w:rFonts w:ascii="Times New Roman" w:eastAsia="Calibri" w:hAnsi="Times New Roman"/>
          <w:sz w:val="24"/>
          <w:szCs w:val="24"/>
        </w:rPr>
        <w:t>The special project "My vote counts" for the Roma and Egyptian national minorities was implemented in cooperation with IRCA (Institute of Roma Culture in Albania), in 12 regions of the country. Additionally, the CEC in cooperation with the OSCE presence, conducted in the places of residences of the Roma and Egyptian communities the information and awareness project focusing on women and youth.</w:t>
      </w:r>
    </w:p>
    <w:p w:rsidR="00DD433A" w:rsidRPr="00DD433A" w:rsidRDefault="00DD433A" w:rsidP="00DD433A">
      <w:pPr>
        <w:pStyle w:val="ListParagraph"/>
        <w:ind w:left="180"/>
        <w:jc w:val="both"/>
        <w:rPr>
          <w:rFonts w:ascii="Times New Roman" w:eastAsia="Verdana" w:hAnsi="Times New Roman"/>
          <w:sz w:val="24"/>
          <w:szCs w:val="24"/>
        </w:rPr>
      </w:pPr>
    </w:p>
    <w:p w:rsidR="00DD433A" w:rsidRPr="00DD433A" w:rsidRDefault="00DD433A" w:rsidP="00DD433A">
      <w:pPr>
        <w:pStyle w:val="ListParagraph"/>
        <w:numPr>
          <w:ilvl w:val="3"/>
          <w:numId w:val="5"/>
        </w:numPr>
        <w:ind w:left="180"/>
        <w:jc w:val="both"/>
        <w:rPr>
          <w:rFonts w:ascii="Times New Roman" w:eastAsia="Verdana" w:hAnsi="Times New Roman"/>
          <w:sz w:val="24"/>
          <w:szCs w:val="24"/>
        </w:rPr>
      </w:pPr>
      <w:r w:rsidRPr="00DD433A">
        <w:rPr>
          <w:rFonts w:ascii="Times New Roman" w:eastAsia="Verdana" w:hAnsi="Times New Roman"/>
          <w:sz w:val="24"/>
          <w:szCs w:val="24"/>
        </w:rPr>
        <w:t>The special program for national minorities, provides tools and ways, not only written but also through TV spots, targeting those voters belonging to national minorities, even in the language of national minorities:</w:t>
      </w:r>
    </w:p>
    <w:p w:rsidR="00DD433A" w:rsidRPr="00DD433A" w:rsidRDefault="00DD433A" w:rsidP="00DD433A">
      <w:pPr>
        <w:numPr>
          <w:ilvl w:val="0"/>
          <w:numId w:val="22"/>
        </w:numPr>
        <w:spacing w:after="0" w:line="240" w:lineRule="auto"/>
        <w:ind w:left="540" w:right="318" w:hanging="357"/>
        <w:contextualSpacing/>
        <w:jc w:val="both"/>
        <w:rPr>
          <w:rFonts w:ascii="Times New Roman" w:eastAsia="Verdana" w:hAnsi="Times New Roman" w:cs="Times New Roman"/>
          <w:sz w:val="24"/>
          <w:szCs w:val="24"/>
        </w:rPr>
      </w:pPr>
      <w:r w:rsidRPr="00DD433A">
        <w:rPr>
          <w:rFonts w:ascii="Times New Roman" w:eastAsia="Verdana" w:hAnsi="Times New Roman" w:cs="Times New Roman"/>
          <w:sz w:val="24"/>
          <w:szCs w:val="24"/>
        </w:rPr>
        <w:t>to be informed on the rights and obligations of the voters during electoral period and the election day;</w:t>
      </w:r>
    </w:p>
    <w:p w:rsidR="00DD433A" w:rsidRPr="00DD433A" w:rsidRDefault="00DD433A" w:rsidP="00DD433A">
      <w:pPr>
        <w:numPr>
          <w:ilvl w:val="0"/>
          <w:numId w:val="22"/>
        </w:numPr>
        <w:spacing w:after="0" w:line="240" w:lineRule="auto"/>
        <w:ind w:left="540" w:right="318" w:hanging="357"/>
        <w:contextualSpacing/>
        <w:jc w:val="both"/>
        <w:rPr>
          <w:rFonts w:ascii="Times New Roman" w:eastAsia="Verdana" w:hAnsi="Times New Roman" w:cs="Times New Roman"/>
          <w:color w:val="000000"/>
          <w:sz w:val="24"/>
          <w:szCs w:val="24"/>
        </w:rPr>
      </w:pPr>
      <w:r w:rsidRPr="00DD433A">
        <w:rPr>
          <w:rFonts w:ascii="Times New Roman" w:eastAsia="Verdana" w:hAnsi="Times New Roman" w:cs="Times New Roman"/>
          <w:spacing w:val="1"/>
          <w:sz w:val="24"/>
          <w:szCs w:val="24"/>
        </w:rPr>
        <w:t>type of elections, voting time and who enjoys the right to be elected and elect</w:t>
      </w:r>
      <w:r w:rsidRPr="00DD433A">
        <w:rPr>
          <w:rFonts w:ascii="Times New Roman" w:eastAsia="Verdana" w:hAnsi="Times New Roman" w:cs="Times New Roman"/>
          <w:color w:val="000000"/>
          <w:sz w:val="24"/>
          <w:szCs w:val="24"/>
        </w:rPr>
        <w:t>;</w:t>
      </w:r>
    </w:p>
    <w:p w:rsidR="00DD433A" w:rsidRPr="00DD433A" w:rsidRDefault="00DD433A" w:rsidP="00DD433A">
      <w:pPr>
        <w:numPr>
          <w:ilvl w:val="0"/>
          <w:numId w:val="22"/>
        </w:numPr>
        <w:spacing w:after="0" w:line="240" w:lineRule="auto"/>
        <w:ind w:left="540" w:right="320"/>
        <w:contextualSpacing/>
        <w:jc w:val="both"/>
        <w:rPr>
          <w:rFonts w:ascii="Times New Roman" w:eastAsia="Verdana" w:hAnsi="Times New Roman" w:cs="Times New Roman"/>
          <w:color w:val="000000"/>
          <w:sz w:val="24"/>
          <w:szCs w:val="24"/>
        </w:rPr>
      </w:pPr>
      <w:r w:rsidRPr="00DD433A">
        <w:rPr>
          <w:rFonts w:ascii="Times New Roman" w:eastAsia="Verdana" w:hAnsi="Times New Roman" w:cs="Times New Roman"/>
          <w:sz w:val="24"/>
          <w:szCs w:val="24"/>
        </w:rPr>
        <w:t>the valid ID documents for voting;</w:t>
      </w:r>
    </w:p>
    <w:p w:rsidR="00DD433A" w:rsidRPr="00DD433A" w:rsidRDefault="00DD433A" w:rsidP="00DD433A">
      <w:pPr>
        <w:numPr>
          <w:ilvl w:val="0"/>
          <w:numId w:val="22"/>
        </w:numPr>
        <w:spacing w:after="0" w:line="240" w:lineRule="auto"/>
        <w:ind w:left="540" w:right="320"/>
        <w:contextualSpacing/>
        <w:jc w:val="both"/>
        <w:rPr>
          <w:rFonts w:ascii="Times New Roman" w:eastAsia="Verdana" w:hAnsi="Times New Roman" w:cs="Times New Roman"/>
          <w:spacing w:val="-1"/>
          <w:sz w:val="24"/>
          <w:szCs w:val="24"/>
        </w:rPr>
      </w:pPr>
      <w:r w:rsidRPr="00DD433A">
        <w:rPr>
          <w:rFonts w:ascii="Times New Roman" w:eastAsia="Verdana" w:hAnsi="Times New Roman" w:cs="Times New Roman"/>
          <w:spacing w:val="-1"/>
          <w:sz w:val="24"/>
          <w:szCs w:val="24"/>
        </w:rPr>
        <w:t>check on the name in the extract of electoral components and in the voter list, the steps to be taken to correct inaccuracies or missing name in the lists;</w:t>
      </w:r>
    </w:p>
    <w:p w:rsidR="00DD433A" w:rsidRPr="00DD433A" w:rsidRDefault="00DD433A" w:rsidP="00DD433A">
      <w:pPr>
        <w:numPr>
          <w:ilvl w:val="0"/>
          <w:numId w:val="22"/>
        </w:numPr>
        <w:spacing w:after="0" w:line="240" w:lineRule="auto"/>
        <w:ind w:left="540" w:right="320"/>
        <w:contextualSpacing/>
        <w:jc w:val="both"/>
        <w:rPr>
          <w:rFonts w:ascii="Times New Roman" w:eastAsia="Verdana" w:hAnsi="Times New Roman" w:cs="Times New Roman"/>
          <w:color w:val="000000"/>
          <w:sz w:val="24"/>
          <w:szCs w:val="24"/>
        </w:rPr>
      </w:pPr>
      <w:r w:rsidRPr="00DD433A">
        <w:rPr>
          <w:rFonts w:ascii="Times New Roman" w:eastAsia="Verdana" w:hAnsi="Times New Roman" w:cs="Times New Roman"/>
          <w:sz w:val="24"/>
          <w:szCs w:val="24"/>
        </w:rPr>
        <w:t>voting procedure, the focus will be the electronic identification procedure;</w:t>
      </w:r>
    </w:p>
    <w:p w:rsidR="00DD433A" w:rsidRPr="00DD433A" w:rsidRDefault="00DD433A" w:rsidP="00DD433A">
      <w:pPr>
        <w:numPr>
          <w:ilvl w:val="0"/>
          <w:numId w:val="22"/>
        </w:numPr>
        <w:tabs>
          <w:tab w:val="left" w:pos="0"/>
        </w:tabs>
        <w:spacing w:after="0" w:line="240" w:lineRule="auto"/>
        <w:ind w:left="540" w:right="320"/>
        <w:contextualSpacing/>
        <w:jc w:val="both"/>
        <w:rPr>
          <w:rFonts w:ascii="Times New Roman" w:eastAsia="Verdana" w:hAnsi="Times New Roman" w:cs="Times New Roman"/>
          <w:spacing w:val="1"/>
          <w:sz w:val="24"/>
          <w:szCs w:val="24"/>
        </w:rPr>
      </w:pPr>
      <w:r w:rsidRPr="00DD433A">
        <w:rPr>
          <w:rFonts w:ascii="Times New Roman" w:eastAsia="Verdana" w:hAnsi="Times New Roman" w:cs="Times New Roman"/>
          <w:color w:val="000000"/>
          <w:sz w:val="24"/>
          <w:szCs w:val="24"/>
        </w:rPr>
        <w:t>the criminal offences effecting free election and the democratic system of the elections;</w:t>
      </w:r>
    </w:p>
    <w:p w:rsidR="00DD433A" w:rsidRPr="00DD433A" w:rsidRDefault="00DD433A" w:rsidP="00DD433A">
      <w:pPr>
        <w:numPr>
          <w:ilvl w:val="0"/>
          <w:numId w:val="22"/>
        </w:numPr>
        <w:spacing w:after="0" w:line="240" w:lineRule="auto"/>
        <w:ind w:left="540" w:right="320"/>
        <w:contextualSpacing/>
        <w:jc w:val="both"/>
        <w:rPr>
          <w:rFonts w:ascii="Times New Roman" w:eastAsia="Verdana" w:hAnsi="Times New Roman" w:cs="Times New Roman"/>
          <w:color w:val="000000"/>
          <w:spacing w:val="-1"/>
          <w:sz w:val="24"/>
          <w:szCs w:val="24"/>
        </w:rPr>
      </w:pPr>
      <w:r w:rsidRPr="00DD433A">
        <w:rPr>
          <w:rFonts w:ascii="Times New Roman" w:eastAsia="Verdana" w:hAnsi="Times New Roman" w:cs="Times New Roman"/>
          <w:color w:val="000000"/>
          <w:spacing w:val="-1"/>
          <w:sz w:val="24"/>
          <w:szCs w:val="24"/>
        </w:rPr>
        <w:t>information on the electoral process: the system of elections for the Assembly, the content of the ballot paper, the candidates for deputies, the formula for the distribution of mandates; administration of the electoral process of 25 April 2021</w:t>
      </w:r>
      <w:r w:rsidRPr="00DD433A">
        <w:rPr>
          <w:rFonts w:ascii="Times New Roman" w:eastAsia="Verdana" w:hAnsi="Times New Roman" w:cs="Times New Roman"/>
          <w:sz w:val="24"/>
          <w:szCs w:val="24"/>
        </w:rPr>
        <w:t xml:space="preserve"> awareness on</w:t>
      </w:r>
      <w:r w:rsidRPr="00DD433A">
        <w:rPr>
          <w:rFonts w:ascii="Times New Roman" w:eastAsia="Verdana" w:hAnsi="Times New Roman" w:cs="Times New Roman"/>
          <w:color w:val="000000"/>
          <w:spacing w:val="2"/>
          <w:sz w:val="24"/>
          <w:szCs w:val="24"/>
        </w:rPr>
        <w:t>:</w:t>
      </w:r>
    </w:p>
    <w:p w:rsidR="00DD433A" w:rsidRPr="00DD433A" w:rsidRDefault="00DD433A" w:rsidP="00DD433A">
      <w:pPr>
        <w:numPr>
          <w:ilvl w:val="1"/>
          <w:numId w:val="22"/>
        </w:numPr>
        <w:spacing w:after="0" w:line="240" w:lineRule="auto"/>
        <w:ind w:left="900" w:right="320"/>
        <w:contextualSpacing/>
        <w:jc w:val="both"/>
        <w:rPr>
          <w:rFonts w:ascii="Times New Roman" w:eastAsia="MS Mincho" w:hAnsi="Times New Roman" w:cs="Times New Roman"/>
          <w:sz w:val="24"/>
          <w:szCs w:val="24"/>
        </w:rPr>
      </w:pPr>
      <w:r w:rsidRPr="00DD433A">
        <w:rPr>
          <w:rFonts w:ascii="Times New Roman" w:eastAsia="Verdana" w:hAnsi="Times New Roman" w:cs="Times New Roman"/>
          <w:color w:val="000000"/>
          <w:sz w:val="24"/>
          <w:szCs w:val="24"/>
        </w:rPr>
        <w:t>the importance of the free and uninfluenced vote for democratic elections;</w:t>
      </w:r>
    </w:p>
    <w:p w:rsidR="00DD433A" w:rsidRPr="00DD433A" w:rsidRDefault="00DD433A" w:rsidP="00DD433A">
      <w:pPr>
        <w:numPr>
          <w:ilvl w:val="1"/>
          <w:numId w:val="22"/>
        </w:numPr>
        <w:spacing w:after="0" w:line="240" w:lineRule="auto"/>
        <w:ind w:left="900" w:right="320"/>
        <w:contextualSpacing/>
        <w:jc w:val="both"/>
        <w:rPr>
          <w:rFonts w:ascii="Times New Roman" w:eastAsia="Verdana" w:hAnsi="Times New Roman" w:cs="Times New Roman"/>
          <w:color w:val="000000"/>
          <w:sz w:val="24"/>
          <w:szCs w:val="24"/>
        </w:rPr>
      </w:pPr>
      <w:r w:rsidRPr="00DD433A">
        <w:rPr>
          <w:rFonts w:ascii="Times New Roman" w:eastAsia="Verdana" w:hAnsi="Times New Roman" w:cs="Times New Roman"/>
          <w:color w:val="000000"/>
          <w:sz w:val="24"/>
          <w:szCs w:val="24"/>
        </w:rPr>
        <w:t>voiding and reporting acts that impinge free voting and the democratic electoral system</w:t>
      </w:r>
    </w:p>
    <w:p w:rsidR="00DD433A" w:rsidRPr="00DD433A" w:rsidRDefault="00DD433A" w:rsidP="00DD433A">
      <w:pPr>
        <w:numPr>
          <w:ilvl w:val="1"/>
          <w:numId w:val="22"/>
        </w:numPr>
        <w:spacing w:after="0" w:line="240" w:lineRule="auto"/>
        <w:ind w:left="900" w:right="320"/>
        <w:contextualSpacing/>
        <w:jc w:val="both"/>
        <w:rPr>
          <w:rFonts w:ascii="Times New Roman" w:eastAsia="Verdana" w:hAnsi="Times New Roman" w:cs="Times New Roman"/>
          <w:color w:val="000000"/>
          <w:sz w:val="24"/>
          <w:szCs w:val="24"/>
        </w:rPr>
      </w:pPr>
      <w:r w:rsidRPr="00DD433A">
        <w:rPr>
          <w:rFonts w:ascii="Times New Roman" w:eastAsia="Verdana" w:hAnsi="Times New Roman" w:cs="Times New Roman"/>
          <w:color w:val="000000"/>
          <w:sz w:val="24"/>
          <w:szCs w:val="24"/>
        </w:rPr>
        <w:t xml:space="preserve">participation in elections, as a constitutional right and civic obligation for society and the country.  </w:t>
      </w:r>
    </w:p>
    <w:p w:rsidR="00DD433A" w:rsidRPr="00DD433A" w:rsidRDefault="00DD433A" w:rsidP="00DD433A">
      <w:pPr>
        <w:autoSpaceDE w:val="0"/>
        <w:autoSpaceDN w:val="0"/>
        <w:adjustRightInd w:val="0"/>
        <w:spacing w:after="0" w:line="240" w:lineRule="auto"/>
        <w:jc w:val="both"/>
        <w:rPr>
          <w:rFonts w:ascii="Times New Roman" w:eastAsia="Calibri;Calibri" w:hAnsi="Times New Roman" w:cs="Times New Roman"/>
          <w:color w:val="FF0000"/>
          <w:sz w:val="24"/>
          <w:szCs w:val="24"/>
        </w:rPr>
      </w:pPr>
    </w:p>
    <w:p w:rsidR="00DD433A" w:rsidRPr="00DD433A" w:rsidRDefault="00DD433A" w:rsidP="00DD433A">
      <w:pPr>
        <w:spacing w:after="0" w:line="240" w:lineRule="auto"/>
        <w:contextualSpacing/>
        <w:jc w:val="both"/>
        <w:rPr>
          <w:rFonts w:ascii="Times New Roman" w:eastAsia="Times New Roman" w:hAnsi="Times New Roman" w:cs="Times New Roman"/>
          <w:b/>
          <w:sz w:val="24"/>
          <w:szCs w:val="24"/>
          <w:lang w:eastAsia="en-GB"/>
        </w:rPr>
      </w:pPr>
    </w:p>
    <w:p w:rsidR="00DD433A" w:rsidRPr="00DD433A" w:rsidRDefault="00DD433A" w:rsidP="00DD433A">
      <w:pPr>
        <w:spacing w:after="0" w:line="240" w:lineRule="auto"/>
        <w:contextualSpacing/>
        <w:jc w:val="both"/>
        <w:rPr>
          <w:rFonts w:ascii="Times New Roman" w:eastAsia="Times New Roman" w:hAnsi="Times New Roman" w:cs="Times New Roman"/>
          <w:b/>
          <w:sz w:val="24"/>
          <w:szCs w:val="24"/>
          <w:lang w:eastAsia="en-GB"/>
        </w:rPr>
      </w:pPr>
      <w:r w:rsidRPr="00DD433A">
        <w:rPr>
          <w:rFonts w:ascii="Times New Roman" w:eastAsia="Times New Roman" w:hAnsi="Times New Roman" w:cs="Times New Roman"/>
          <w:b/>
          <w:sz w:val="24"/>
          <w:szCs w:val="24"/>
          <w:lang w:eastAsia="en-GB"/>
        </w:rPr>
        <w:lastRenderedPageBreak/>
        <w:t xml:space="preserve">Annex no.6- Secondary legislation on housing  </w:t>
      </w:r>
    </w:p>
    <w:p w:rsidR="00DD433A" w:rsidRPr="00DD433A" w:rsidRDefault="00DD433A" w:rsidP="00DD433A">
      <w:pPr>
        <w:spacing w:after="0" w:line="240" w:lineRule="auto"/>
        <w:contextualSpacing/>
        <w:jc w:val="both"/>
        <w:rPr>
          <w:rFonts w:ascii="Times New Roman" w:eastAsia="Calibri" w:hAnsi="Times New Roman" w:cs="Times New Roman"/>
          <w:b/>
          <w:sz w:val="24"/>
          <w:szCs w:val="24"/>
        </w:rPr>
      </w:pP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DCM no.453, dated 3.7.2019 "On the amount of the loan interest subsidy and the procedure for granting it to families who benefit from low-cost housing, with loans facilitated by the state".</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DCM no.458, dated 3.7.2019 "On the procedure of returning to the housing fund, for the purpose of housing, state-owned buildings, which are adapted by local self-government units through competitive grants from the state budget."</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DCM no.459, dated 3.7.2019 “On the rules to administer the requests of local self-government units for funds from the state budget for rent subsidy or usufruct, the manner of financing the subsidy, monitoring and cooperation between local self-government units and the ministry responsible for housing”.</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DCM no.384, dated 12.6.2019 "On determining the necessary documentation to benefit housing according to each social housing program and deadlines and approval procedures by local self-government bodies".</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DCM no.361, dated 29.5.2019 "On determining the procedures for relocation of individuals / families from their place of residence or housing, in cases provided by law, and institutional cooperation."</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DCM no. 362, dated 29.5.2019 "On the criteria for granting rent subsidy for priority categories for rent subsidy in the free market, through the state budget, and the calculation formula".</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DCM no.522, dated 25.7.2019 "On the methodology of calculating the rent for social rent housing".</w:t>
      </w:r>
    </w:p>
    <w:p w:rsidR="00DD433A" w:rsidRPr="00DD433A" w:rsidRDefault="00DD433A" w:rsidP="00DD433A">
      <w:pPr>
        <w:numPr>
          <w:ilvl w:val="0"/>
          <w:numId w:val="4"/>
        </w:numPr>
        <w:spacing w:line="240" w:lineRule="auto"/>
        <w:contextualSpacing/>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DCM no.823, dated 18.12.2019 "On the procedures to buy houses in the free market that will be added to the public fund for social rent housing”.</w:t>
      </w:r>
    </w:p>
    <w:p w:rsidR="00DD433A" w:rsidRPr="00DD433A" w:rsidRDefault="00DD433A" w:rsidP="00DD433A">
      <w:pPr>
        <w:numPr>
          <w:ilvl w:val="0"/>
          <w:numId w:val="4"/>
        </w:numPr>
        <w:spacing w:after="0" w:line="240" w:lineRule="auto"/>
        <w:contextualSpacing/>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 xml:space="preserve">DCM no.179, dated 26.02.2020 “On the rules, conditions and procedures for privatization of dwellings” </w:t>
      </w:r>
    </w:p>
    <w:p w:rsidR="00DD433A" w:rsidRPr="00DD433A" w:rsidRDefault="00DD433A" w:rsidP="00DD433A">
      <w:pPr>
        <w:numPr>
          <w:ilvl w:val="0"/>
          <w:numId w:val="4"/>
        </w:numPr>
        <w:spacing w:after="0" w:line="240" w:lineRule="auto"/>
        <w:contextualSpacing/>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DCM no.300, dated 15.04.2020 “On the procedures to exchange affordable housing units”.</w:t>
      </w:r>
    </w:p>
    <w:p w:rsidR="00DD433A" w:rsidRPr="00DD433A" w:rsidRDefault="00DD433A" w:rsidP="00DD433A">
      <w:pPr>
        <w:numPr>
          <w:ilvl w:val="0"/>
          <w:numId w:val="4"/>
        </w:numPr>
        <w:spacing w:after="0" w:line="240" w:lineRule="auto"/>
        <w:contextualSpacing/>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DCM no.301, dated 15.04.2020 "On housing rates, conditions and standards for social housing purchased on the open market and low-cost housing"</w:t>
      </w:r>
    </w:p>
    <w:p w:rsidR="00DD433A" w:rsidRPr="00DD433A" w:rsidRDefault="00DD433A" w:rsidP="00DD433A">
      <w:pPr>
        <w:numPr>
          <w:ilvl w:val="0"/>
          <w:numId w:val="4"/>
        </w:numPr>
        <w:spacing w:after="0" w:line="240" w:lineRule="auto"/>
        <w:contextualSpacing/>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Regulation of the Minister no.31, dated 18.11.2019, “On standard application procedures and criteria for benefiting from state budget funds for housing programs.”</w:t>
      </w:r>
    </w:p>
    <w:p w:rsidR="00DD433A" w:rsidRPr="00DD433A" w:rsidRDefault="00DD433A" w:rsidP="00DD433A">
      <w:pPr>
        <w:numPr>
          <w:ilvl w:val="0"/>
          <w:numId w:val="4"/>
        </w:numPr>
        <w:spacing w:after="0" w:line="240" w:lineRule="auto"/>
        <w:contextualSpacing/>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Support for housing Roma and Egyptian families, through investment projects.</w:t>
      </w:r>
    </w:p>
    <w:p w:rsidR="00DD433A" w:rsidRPr="00DD433A" w:rsidRDefault="00DD433A" w:rsidP="00DD433A">
      <w:pPr>
        <w:numPr>
          <w:ilvl w:val="0"/>
          <w:numId w:val="4"/>
        </w:numPr>
        <w:spacing w:after="0" w:line="240" w:lineRule="auto"/>
        <w:contextualSpacing/>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Joint Instruction no.22, dated 5.6.2020 "On the manner of interaction of social housing programs with social services of employment, education and health care"</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DCM no.496, dated 24.6.2020 "On the organization, functioning, criteria and procedures for the selection of members of the national housing council, as well as the relations with other state institutions operating in this area"</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DC no.579, dated 22.7.2020 “On the designating public institutions that administer shelters; setting the criteria, procedures and the sufficient capacities to manage social, financial and technical issues, as well as the procedures of administration and maintenance of temporary shelters, the competencies of the responsible entities and cooperation between them "</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Instruction of the Minister of Finance and Economy no.33 dated 26.8.2020 "On the other conditions to be met by the temporary shelters"</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t>Instruction of the Minister of Finance and Economy no.40, dated 23.10.2020 "On the manner of administration and maintenance of specialized housing"</w:t>
      </w:r>
    </w:p>
    <w:p w:rsidR="00DD433A" w:rsidRPr="00DD433A" w:rsidRDefault="00DD433A" w:rsidP="00DD433A">
      <w:pPr>
        <w:numPr>
          <w:ilvl w:val="0"/>
          <w:numId w:val="4"/>
        </w:numPr>
        <w:spacing w:after="0" w:line="240" w:lineRule="auto"/>
        <w:contextualSpacing/>
        <w:jc w:val="both"/>
        <w:rPr>
          <w:rFonts w:ascii="Times New Roman" w:eastAsia="Calibri" w:hAnsi="Times New Roman" w:cs="Times New Roman"/>
          <w:sz w:val="24"/>
          <w:szCs w:val="24"/>
        </w:rPr>
      </w:pPr>
      <w:r w:rsidRPr="00DD433A">
        <w:rPr>
          <w:rFonts w:ascii="Times New Roman" w:eastAsia="Calibri" w:hAnsi="Times New Roman" w:cs="Times New Roman"/>
          <w:sz w:val="24"/>
          <w:szCs w:val="24"/>
        </w:rPr>
        <w:lastRenderedPageBreak/>
        <w:t>DCM no.898, dated 18.11.2020 "On the rules, conditions, criteria and procedures for the privatization of apartments and buildings returned to the fund of non-privatized housing".</w:t>
      </w:r>
    </w:p>
    <w:p w:rsidR="00DD433A" w:rsidRPr="00DD433A" w:rsidRDefault="00DD433A" w:rsidP="00DD433A">
      <w:pPr>
        <w:spacing w:after="0" w:line="240" w:lineRule="auto"/>
        <w:jc w:val="both"/>
        <w:rPr>
          <w:rFonts w:ascii="Times New Roman" w:hAnsi="Times New Roman" w:cs="Times New Roman"/>
          <w:b/>
          <w:color w:val="000000"/>
          <w:sz w:val="24"/>
          <w:szCs w:val="24"/>
        </w:rPr>
      </w:pPr>
    </w:p>
    <w:p w:rsidR="00DD433A" w:rsidRPr="00DD433A" w:rsidRDefault="00DD433A" w:rsidP="00DD433A">
      <w:pPr>
        <w:spacing w:after="0" w:line="240" w:lineRule="auto"/>
        <w:jc w:val="both"/>
        <w:rPr>
          <w:rFonts w:ascii="Times New Roman" w:hAnsi="Times New Roman" w:cs="Times New Roman"/>
          <w:b/>
          <w:sz w:val="24"/>
          <w:szCs w:val="24"/>
        </w:rPr>
      </w:pPr>
      <w:r w:rsidRPr="00DD433A">
        <w:rPr>
          <w:rFonts w:ascii="Times New Roman" w:hAnsi="Times New Roman" w:cs="Times New Roman"/>
          <w:b/>
          <w:color w:val="000000"/>
          <w:sz w:val="24"/>
          <w:szCs w:val="24"/>
        </w:rPr>
        <w:t xml:space="preserve">Annex no.7 – Training of the law enforcement staff </w:t>
      </w:r>
    </w:p>
    <w:p w:rsidR="00DD433A" w:rsidRPr="00DD433A" w:rsidRDefault="00DD433A" w:rsidP="00DD433A">
      <w:pPr>
        <w:spacing w:after="0" w:line="240" w:lineRule="auto"/>
        <w:jc w:val="both"/>
        <w:rPr>
          <w:rFonts w:ascii="Times New Roman" w:eastAsia="Times New Roman" w:hAnsi="Times New Roman" w:cs="Times New Roman"/>
          <w:sz w:val="24"/>
          <w:szCs w:val="24"/>
        </w:rPr>
      </w:pPr>
    </w:p>
    <w:p w:rsidR="00DD433A" w:rsidRPr="00DD433A" w:rsidRDefault="00DD433A" w:rsidP="00DD433A">
      <w:pPr>
        <w:pStyle w:val="ListParagraph"/>
        <w:numPr>
          <w:ilvl w:val="6"/>
          <w:numId w:val="5"/>
        </w:numPr>
        <w:ind w:left="180"/>
        <w:jc w:val="both"/>
        <w:rPr>
          <w:rFonts w:ascii="Times New Roman" w:hAnsi="Times New Roman"/>
          <w:sz w:val="24"/>
          <w:szCs w:val="24"/>
        </w:rPr>
      </w:pPr>
      <w:r w:rsidRPr="00DD433A">
        <w:rPr>
          <w:rFonts w:ascii="Times New Roman" w:hAnsi="Times New Roman"/>
          <w:sz w:val="24"/>
          <w:szCs w:val="24"/>
        </w:rPr>
        <w:t>The police staff has continuously been trained on the standard rules and procedures related to the detention, security and treatment of arrested / detained persons in the escort rooms of the State Police; on  respecting and guaranteeing their fundamental rights such as: have a defense lawyer; provision of medical service; inform them on their rights; notify family members on the arrest / detention and whereabouts; provision of food; the conditions and standards of the premises where this category of persons are kept and treated; the right to file a complaint - a complaint about the treatment they receive / the conduct and attitude of the police, etc. According to the annual training programs of the State Police, specialized trainings are conducted in the Academy of Security for police officers of grassroot and managerial level of the Local Police Directorates.</w:t>
      </w:r>
    </w:p>
    <w:p w:rsidR="00DD433A" w:rsidRPr="00DD433A" w:rsidRDefault="00DD433A" w:rsidP="00DD433A">
      <w:pPr>
        <w:pStyle w:val="ListParagraph"/>
        <w:numPr>
          <w:ilvl w:val="6"/>
          <w:numId w:val="5"/>
        </w:numPr>
        <w:ind w:left="180"/>
        <w:jc w:val="both"/>
        <w:rPr>
          <w:rFonts w:ascii="Times New Roman" w:hAnsi="Times New Roman"/>
          <w:sz w:val="24"/>
          <w:szCs w:val="24"/>
        </w:rPr>
      </w:pPr>
      <w:r w:rsidRPr="00DD433A">
        <w:rPr>
          <w:rFonts w:ascii="Times New Roman" w:hAnsi="Times New Roman"/>
          <w:sz w:val="24"/>
          <w:szCs w:val="24"/>
        </w:rPr>
        <w:t xml:space="preserve">The annual training programs of the State Police include trainings for the police officers of local structures and specialized trainings for grassroot and managerial staff such as: general patrol, traffic police, community policing officer, crime investigation structures, etc., on the knowledge and respect of fundamental human rights and freedoms and in particular of individuals during escort, detention, arrest and treatment in the premises of the State Police. </w:t>
      </w:r>
    </w:p>
    <w:p w:rsidR="00DD433A" w:rsidRPr="00DD433A" w:rsidRDefault="00DD433A" w:rsidP="00DD433A">
      <w:pPr>
        <w:pStyle w:val="ListParagraph"/>
        <w:numPr>
          <w:ilvl w:val="6"/>
          <w:numId w:val="5"/>
        </w:numPr>
        <w:ind w:left="180"/>
        <w:jc w:val="both"/>
        <w:rPr>
          <w:rFonts w:ascii="Times New Roman" w:hAnsi="Times New Roman"/>
          <w:sz w:val="24"/>
          <w:szCs w:val="24"/>
        </w:rPr>
      </w:pPr>
      <w:r w:rsidRPr="00DD433A">
        <w:rPr>
          <w:rFonts w:ascii="Times New Roman" w:hAnsi="Times New Roman"/>
          <w:sz w:val="24"/>
          <w:szCs w:val="24"/>
        </w:rPr>
        <w:t>The trainings aim at expanding the knowledge of the international acts, the Constitution, the Criminal Procedure Code, law no. 108/2014 "On the State Police", other laws, Manual "On the treatment and security of arrested persons / detainees in the detention rooms of police units"; “Standard rules and procedures for entering and managing the data on escorted and detained / arrested persons in the ADAM system; “Legal provisions for the escort, treatment of detainees and the standard operating procedure.”</w:t>
      </w:r>
    </w:p>
    <w:p w:rsidR="00DD433A" w:rsidRPr="00DD433A" w:rsidRDefault="00DD433A" w:rsidP="00DD433A">
      <w:pPr>
        <w:pStyle w:val="ListParagraph"/>
        <w:numPr>
          <w:ilvl w:val="6"/>
          <w:numId w:val="5"/>
        </w:numPr>
        <w:ind w:left="180"/>
        <w:jc w:val="both"/>
        <w:rPr>
          <w:rFonts w:ascii="Times New Roman" w:hAnsi="Times New Roman"/>
          <w:sz w:val="24"/>
          <w:szCs w:val="24"/>
        </w:rPr>
      </w:pPr>
      <w:r w:rsidRPr="00DD433A">
        <w:rPr>
          <w:rFonts w:ascii="Times New Roman" w:hAnsi="Times New Roman"/>
          <w:sz w:val="24"/>
          <w:szCs w:val="24"/>
        </w:rPr>
        <w:t xml:space="preserve">Seminars and round tables held by the Commissioner for Protection against Discrimination regarding the knowledge and implementation of Law no. 10221, dated 04.02.2010 "On protection from discrimination". Trainings organized by the Council of Europe on "Adequate treatment of detainees / arrested persons in police premises". Joint seminars / roundtables were held with NGOs to share and discuss the monitoring reports. </w:t>
      </w:r>
    </w:p>
    <w:p w:rsidR="00DD433A" w:rsidRPr="00DD433A" w:rsidRDefault="00DD433A" w:rsidP="00DD433A">
      <w:pPr>
        <w:pStyle w:val="ListParagraph"/>
        <w:numPr>
          <w:ilvl w:val="3"/>
          <w:numId w:val="5"/>
        </w:numPr>
        <w:ind w:left="180"/>
        <w:jc w:val="both"/>
        <w:rPr>
          <w:rFonts w:ascii="Times New Roman" w:hAnsi="Times New Roman"/>
          <w:noProof w:val="0"/>
          <w:sz w:val="24"/>
          <w:szCs w:val="24"/>
          <w:lang w:val="en-US"/>
        </w:rPr>
      </w:pPr>
      <w:r w:rsidRPr="00DD433A">
        <w:rPr>
          <w:rFonts w:ascii="Times New Roman" w:hAnsi="Times New Roman"/>
          <w:sz w:val="24"/>
          <w:szCs w:val="24"/>
        </w:rPr>
        <w:t>The monitoring reports issued by the People’s Advocate have been shared and analyzed by the structures of the State Police General Directorate and those of the local police directorates. They also submitted the feedback and answers to the People’s Advocate regarding the follow up of the recommendations issued. Meetings were held between the Ombudsman and senior leaders of the State Police to strengthen cooperation, fulfilment of duties by the State Police while respecting freedoms and human rights, implementation of the Ombudsman's recommendations, follow-up and providing legal assistance on the complaints for violation of their rights by the police, etc. Workshops and roundtables were organized by the Ombudsman on the conditions and standards of health care provided to detainees / arrested persons in police premises; presentation of draft reports of monitoring visits carried out in the structures of the State Police.</w:t>
      </w:r>
    </w:p>
    <w:p w:rsidR="00DD433A" w:rsidRPr="00DD433A" w:rsidRDefault="00DD433A" w:rsidP="00DD433A">
      <w:pPr>
        <w:pStyle w:val="ListParagraph"/>
        <w:numPr>
          <w:ilvl w:val="3"/>
          <w:numId w:val="5"/>
        </w:numPr>
        <w:ind w:left="180"/>
        <w:jc w:val="both"/>
        <w:rPr>
          <w:rFonts w:ascii="Times New Roman" w:hAnsi="Times New Roman"/>
          <w:sz w:val="24"/>
          <w:szCs w:val="24"/>
        </w:rPr>
      </w:pPr>
      <w:r w:rsidRPr="00DD433A">
        <w:rPr>
          <w:rFonts w:ascii="Times New Roman" w:hAnsi="Times New Roman"/>
          <w:sz w:val="24"/>
          <w:szCs w:val="24"/>
        </w:rPr>
        <w:t>Trainings conducted by the General Directorate of Police- gender based violence and violence against women.</w:t>
      </w:r>
    </w:p>
    <w:p w:rsidR="00DD433A" w:rsidRPr="00DD433A" w:rsidRDefault="00DD433A" w:rsidP="00DD433A">
      <w:pPr>
        <w:spacing w:after="0" w:line="240" w:lineRule="auto"/>
        <w:ind w:left="180"/>
        <w:jc w:val="both"/>
        <w:rPr>
          <w:rFonts w:ascii="Times New Roman" w:eastAsia="Times New Roman" w:hAnsi="Times New Roman" w:cs="Times New Roman"/>
          <w:sz w:val="24"/>
          <w:szCs w:val="24"/>
        </w:rPr>
      </w:pPr>
    </w:p>
    <w:p w:rsidR="00DD433A" w:rsidRPr="00DD433A" w:rsidRDefault="00DD433A" w:rsidP="00DD433A">
      <w:pPr>
        <w:numPr>
          <w:ilvl w:val="0"/>
          <w:numId w:val="35"/>
        </w:numPr>
        <w:spacing w:after="0" w:line="240" w:lineRule="auto"/>
        <w:ind w:left="18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Enhancing the legal framework regarding gender-based violence and domestic violence.</w:t>
      </w:r>
    </w:p>
    <w:p w:rsidR="00DD433A" w:rsidRPr="00DD433A" w:rsidRDefault="00DD433A" w:rsidP="00DD433A">
      <w:pPr>
        <w:numPr>
          <w:ilvl w:val="0"/>
          <w:numId w:val="35"/>
        </w:numPr>
        <w:spacing w:after="0" w:line="240" w:lineRule="auto"/>
        <w:ind w:left="18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Domestic violence and the role of the authorities responsible to handle the cases;</w:t>
      </w:r>
    </w:p>
    <w:p w:rsidR="00DD433A" w:rsidRPr="00DD433A" w:rsidRDefault="00DD433A" w:rsidP="00DD433A">
      <w:pPr>
        <w:numPr>
          <w:ilvl w:val="0"/>
          <w:numId w:val="35"/>
        </w:numPr>
        <w:spacing w:after="0" w:line="240" w:lineRule="auto"/>
        <w:ind w:left="18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Data computerization and use of on-line system for domestic violence cases;</w:t>
      </w:r>
    </w:p>
    <w:p w:rsidR="00DD433A" w:rsidRPr="00DD433A" w:rsidRDefault="00DD433A" w:rsidP="00DD433A">
      <w:pPr>
        <w:numPr>
          <w:ilvl w:val="0"/>
          <w:numId w:val="35"/>
        </w:numPr>
        <w:spacing w:after="0" w:line="240" w:lineRule="auto"/>
        <w:ind w:left="18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lastRenderedPageBreak/>
        <w:t>Gender responsive budgeting and capacity building of the staff working on gender at central and local level;</w:t>
      </w:r>
    </w:p>
    <w:p w:rsidR="00DD433A" w:rsidRPr="00DD433A" w:rsidRDefault="00DD433A" w:rsidP="00DD433A">
      <w:pPr>
        <w:numPr>
          <w:ilvl w:val="0"/>
          <w:numId w:val="35"/>
        </w:numPr>
        <w:spacing w:after="0" w:line="240" w:lineRule="auto"/>
        <w:ind w:left="18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Training of staff working on gender in all ministries;</w:t>
      </w:r>
    </w:p>
    <w:p w:rsidR="00DD433A" w:rsidRPr="00DD433A" w:rsidRDefault="00DD433A" w:rsidP="00DD433A">
      <w:pPr>
        <w:numPr>
          <w:ilvl w:val="0"/>
          <w:numId w:val="35"/>
        </w:numPr>
        <w:spacing w:after="0" w:line="240" w:lineRule="auto"/>
        <w:ind w:left="18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European standards on equality and non-discrimination - the importance of recognition and enforcement by the justice system;</w:t>
      </w:r>
    </w:p>
    <w:p w:rsidR="00DD433A" w:rsidRPr="00DD433A" w:rsidRDefault="00DD433A" w:rsidP="00DD433A">
      <w:pPr>
        <w:numPr>
          <w:ilvl w:val="0"/>
          <w:numId w:val="36"/>
        </w:numPr>
        <w:spacing w:after="0" w:line="240" w:lineRule="auto"/>
        <w:ind w:left="54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Training of police officers on domestic violence in local police;</w:t>
      </w:r>
    </w:p>
    <w:p w:rsidR="00DD433A" w:rsidRPr="00DD433A" w:rsidRDefault="00DD433A" w:rsidP="00DD433A">
      <w:pPr>
        <w:numPr>
          <w:ilvl w:val="0"/>
          <w:numId w:val="36"/>
        </w:numPr>
        <w:spacing w:after="0" w:line="240" w:lineRule="auto"/>
        <w:ind w:left="54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“The role of the State Police in the enforcement of law "On measures against violence in family relations" and in the mechanism of coordinated response to domestic violence".</w:t>
      </w:r>
    </w:p>
    <w:p w:rsidR="00DD433A" w:rsidRPr="00DD433A" w:rsidRDefault="00DD433A" w:rsidP="00DD433A">
      <w:pPr>
        <w:numPr>
          <w:ilvl w:val="0"/>
          <w:numId w:val="36"/>
        </w:numPr>
        <w:spacing w:after="0" w:line="240" w:lineRule="auto"/>
        <w:ind w:left="54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 xml:space="preserve">“Investigation of sexual crimes”, domestic violence, the minors and the sexual crimes and the crime investigation officers in the police commissariats. </w:t>
      </w:r>
    </w:p>
    <w:p w:rsidR="00DD433A" w:rsidRPr="00DD433A" w:rsidRDefault="00DD433A" w:rsidP="00DD433A">
      <w:pPr>
        <w:numPr>
          <w:ilvl w:val="0"/>
          <w:numId w:val="36"/>
        </w:numPr>
        <w:spacing w:after="0" w:line="240" w:lineRule="auto"/>
        <w:ind w:left="54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Training on the knowledge and implementation of the legal amendments to address domestic violence cases.</w:t>
      </w:r>
    </w:p>
    <w:p w:rsidR="00DD433A" w:rsidRPr="00DD433A" w:rsidRDefault="00DD433A" w:rsidP="00DD433A">
      <w:pPr>
        <w:spacing w:after="0" w:line="240" w:lineRule="auto"/>
        <w:rPr>
          <w:rFonts w:ascii="Times New Roman" w:eastAsia="Batang" w:hAnsi="Times New Roman" w:cs="Times New Roman"/>
          <w:sz w:val="24"/>
          <w:szCs w:val="24"/>
          <w:u w:val="wave"/>
          <w:lang w:eastAsia="en-GB"/>
        </w:rPr>
      </w:pPr>
    </w:p>
    <w:p w:rsidR="00DD433A" w:rsidRPr="00DD433A" w:rsidRDefault="00DD433A" w:rsidP="00DD433A">
      <w:pPr>
        <w:spacing w:after="0" w:line="240" w:lineRule="auto"/>
        <w:jc w:val="both"/>
        <w:rPr>
          <w:rFonts w:ascii="Times New Roman" w:hAnsi="Times New Roman" w:cs="Times New Roman"/>
          <w:b/>
          <w:sz w:val="24"/>
          <w:szCs w:val="24"/>
        </w:rPr>
      </w:pPr>
      <w:r w:rsidRPr="00DD433A">
        <w:rPr>
          <w:rFonts w:ascii="Times New Roman" w:hAnsi="Times New Roman" w:cs="Times New Roman"/>
          <w:b/>
          <w:sz w:val="24"/>
          <w:szCs w:val="24"/>
        </w:rPr>
        <w:t>Annex no. 8 – The periodic training of the Magistrate School.</w:t>
      </w:r>
    </w:p>
    <w:p w:rsidR="00DD433A" w:rsidRPr="00DD433A" w:rsidRDefault="00DD433A" w:rsidP="00DD433A">
      <w:pPr>
        <w:spacing w:after="0" w:line="240" w:lineRule="auto"/>
        <w:jc w:val="both"/>
        <w:rPr>
          <w:rFonts w:ascii="Times New Roman" w:hAnsi="Times New Roman" w:cs="Times New Roman"/>
          <w:b/>
          <w:sz w:val="24"/>
          <w:szCs w:val="24"/>
        </w:rPr>
      </w:pPr>
    </w:p>
    <w:p w:rsidR="00DD433A" w:rsidRPr="00DD433A" w:rsidRDefault="00DD433A" w:rsidP="00DD433A">
      <w:pPr>
        <w:pStyle w:val="ListParagraph"/>
        <w:numPr>
          <w:ilvl w:val="0"/>
          <w:numId w:val="25"/>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Direct implementation of human rights conventions. The role of the court and the justice system. European standards regarding equality and non-discrimination, the importance of knowing them and their implementation by the justice system. Domestic legal framework and case law on equality and non-discrimination</w:t>
      </w:r>
    </w:p>
    <w:p w:rsidR="00DD433A" w:rsidRPr="00DD433A" w:rsidRDefault="00DD433A" w:rsidP="00DD433A">
      <w:pPr>
        <w:pStyle w:val="ListParagraph"/>
        <w:numPr>
          <w:ilvl w:val="0"/>
          <w:numId w:val="25"/>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Institutional framework related to issues of equality and non-discrimination</w:t>
      </w:r>
    </w:p>
    <w:p w:rsidR="00DD433A" w:rsidRPr="00DD433A" w:rsidRDefault="00DD433A" w:rsidP="00DD433A">
      <w:pPr>
        <w:pStyle w:val="ListParagraph"/>
        <w:numPr>
          <w:ilvl w:val="0"/>
          <w:numId w:val="25"/>
        </w:numPr>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Human trafficking. Criminal prosecution of acts of trafficking in human beings pursuant to the amendments of the Criminal Procedure Code. The rights of the victim of trafficking during the criminal proceedings.</w:t>
      </w:r>
    </w:p>
    <w:p w:rsidR="00DD433A" w:rsidRPr="00DD433A" w:rsidRDefault="00DD433A" w:rsidP="00DD433A">
      <w:pPr>
        <w:numPr>
          <w:ilvl w:val="0"/>
          <w:numId w:val="23"/>
        </w:numPr>
        <w:shd w:val="clear" w:color="auto" w:fill="FFFFFF"/>
        <w:spacing w:after="0" w:line="240" w:lineRule="auto"/>
        <w:ind w:left="54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Gender equality and gender-based violence, focusing on legal change, services provided to the victim and rehabilitation / work with perpetrators.</w:t>
      </w:r>
    </w:p>
    <w:p w:rsidR="00DD433A" w:rsidRPr="00DD433A" w:rsidRDefault="00DD433A" w:rsidP="00DD433A">
      <w:pPr>
        <w:pStyle w:val="ListParagraph"/>
        <w:numPr>
          <w:ilvl w:val="0"/>
          <w:numId w:val="23"/>
        </w:numPr>
        <w:shd w:val="clear" w:color="auto" w:fill="FFFFFF"/>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Domestic violence and gender-based violence. The role of the court with a focus on the concerns related to case law</w:t>
      </w:r>
    </w:p>
    <w:p w:rsidR="00DD433A" w:rsidRPr="00DD433A" w:rsidRDefault="00DD433A" w:rsidP="00DD433A">
      <w:pPr>
        <w:pStyle w:val="ListParagraph"/>
        <w:numPr>
          <w:ilvl w:val="0"/>
          <w:numId w:val="23"/>
        </w:numPr>
        <w:shd w:val="clear" w:color="auto" w:fill="FFFFFF"/>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 xml:space="preserve">Obligations stemming from the Istanbul Convention and the recommendations of the Grevio Committee for the justice system. </w:t>
      </w:r>
    </w:p>
    <w:p w:rsidR="00DD433A" w:rsidRPr="00DD433A" w:rsidRDefault="00DD433A" w:rsidP="00DD433A">
      <w:pPr>
        <w:pStyle w:val="ListParagraph"/>
        <w:numPr>
          <w:ilvl w:val="0"/>
          <w:numId w:val="23"/>
        </w:numPr>
        <w:shd w:val="clear" w:color="auto" w:fill="FFFFFF"/>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Amendments to the law "On measures against violence in family relations" and institutional coordination to protect of victims of domestic violence.</w:t>
      </w:r>
    </w:p>
    <w:p w:rsidR="00DD433A" w:rsidRPr="00DD433A" w:rsidRDefault="00DD433A" w:rsidP="00DD433A">
      <w:pPr>
        <w:pStyle w:val="ListParagraph"/>
        <w:numPr>
          <w:ilvl w:val="0"/>
          <w:numId w:val="23"/>
        </w:numPr>
        <w:shd w:val="clear" w:color="auto" w:fill="FFFFFF"/>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The circle of subjects that enjoy protection from law no. 9669/2006 and subjects protected by Article 130 / a of the Family Code;</w:t>
      </w:r>
    </w:p>
    <w:p w:rsidR="00DD433A" w:rsidRPr="00DD433A" w:rsidRDefault="00DD433A" w:rsidP="00DD433A">
      <w:pPr>
        <w:pStyle w:val="ListParagraph"/>
        <w:numPr>
          <w:ilvl w:val="0"/>
          <w:numId w:val="23"/>
        </w:numPr>
        <w:shd w:val="clear" w:color="auto" w:fill="FFFFFF"/>
        <w:ind w:left="540"/>
        <w:jc w:val="both"/>
        <w:rPr>
          <w:rFonts w:ascii="Times New Roman" w:hAnsi="Times New Roman"/>
          <w:noProof w:val="0"/>
          <w:sz w:val="24"/>
          <w:szCs w:val="24"/>
          <w:lang w:val="en-GB"/>
        </w:rPr>
      </w:pPr>
      <w:r w:rsidRPr="00DD433A">
        <w:rPr>
          <w:rFonts w:ascii="Times New Roman" w:hAnsi="Times New Roman"/>
          <w:noProof w:val="0"/>
          <w:sz w:val="24"/>
          <w:szCs w:val="24"/>
          <w:lang w:val="en-GB"/>
        </w:rPr>
        <w:t xml:space="preserve">Victims and criminal proceedings. Amendments and additions to law no. 35/2017 and international standards. Issues concerning civil lawsuit in criminal proceedings. Compensation of victims. </w:t>
      </w:r>
    </w:p>
    <w:p w:rsidR="00DD433A" w:rsidRPr="00DD433A" w:rsidRDefault="00DD433A" w:rsidP="00DD433A">
      <w:pPr>
        <w:numPr>
          <w:ilvl w:val="0"/>
          <w:numId w:val="24"/>
        </w:numPr>
        <w:shd w:val="clear" w:color="auto" w:fill="FFFFFF"/>
        <w:spacing w:after="0" w:line="240" w:lineRule="auto"/>
        <w:ind w:left="54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Case law of the European Court of Human Rights with the main focus on the presence of the defendant in the trial;</w:t>
      </w:r>
    </w:p>
    <w:p w:rsidR="00DD433A" w:rsidRPr="00DD433A" w:rsidRDefault="00DD433A" w:rsidP="00DD433A">
      <w:pPr>
        <w:numPr>
          <w:ilvl w:val="0"/>
          <w:numId w:val="24"/>
        </w:numPr>
        <w:shd w:val="clear" w:color="auto" w:fill="FFFFFF"/>
        <w:spacing w:after="0" w:line="240" w:lineRule="auto"/>
        <w:ind w:left="54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The rights of migrants and asylum seekers. The standards of protection provided in the conventions ratified by Albania in the area of migration and asylum, and the respective EU Directives. Issues in Albanian judicial practice. Comparative overview with the good practices.</w:t>
      </w:r>
    </w:p>
    <w:p w:rsidR="00DD433A" w:rsidRPr="00DD433A" w:rsidRDefault="00DD433A" w:rsidP="00DD433A">
      <w:pPr>
        <w:numPr>
          <w:ilvl w:val="0"/>
          <w:numId w:val="24"/>
        </w:numPr>
        <w:shd w:val="clear" w:color="auto" w:fill="FFFFFF"/>
        <w:spacing w:after="0" w:line="240" w:lineRule="auto"/>
        <w:ind w:left="540"/>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Asylum, the rights of asylum seekers</w:t>
      </w:r>
      <w:r w:rsidRPr="00DD433A">
        <w:rPr>
          <w:rFonts w:ascii="Times New Roman" w:hAnsi="Times New Roman" w:cs="Times New Roman"/>
          <w:sz w:val="24"/>
          <w:szCs w:val="24"/>
        </w:rPr>
        <w:t>.</w:t>
      </w:r>
    </w:p>
    <w:p w:rsidR="00DD433A" w:rsidRPr="00DD433A" w:rsidRDefault="00DD433A" w:rsidP="00DD433A">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spacing w:after="0" w:line="240" w:lineRule="auto"/>
        <w:jc w:val="both"/>
        <w:rPr>
          <w:rFonts w:ascii="Times New Roman" w:eastAsia="Times New Roman" w:hAnsi="Times New Roman" w:cs="Times New Roman"/>
          <w:b/>
          <w:sz w:val="24"/>
          <w:szCs w:val="24"/>
        </w:rPr>
      </w:pPr>
    </w:p>
    <w:p w:rsidR="00DD433A" w:rsidRPr="00DD433A" w:rsidRDefault="00DD433A" w:rsidP="00DD433A">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spacing w:after="0" w:line="240" w:lineRule="auto"/>
        <w:jc w:val="both"/>
        <w:rPr>
          <w:rFonts w:ascii="Times New Roman" w:eastAsia="Times New Roman" w:hAnsi="Times New Roman" w:cs="Times New Roman"/>
          <w:b/>
          <w:sz w:val="24"/>
          <w:szCs w:val="24"/>
        </w:rPr>
      </w:pPr>
      <w:r w:rsidRPr="00DD433A">
        <w:rPr>
          <w:rFonts w:ascii="Times New Roman" w:eastAsia="Times New Roman" w:hAnsi="Times New Roman" w:cs="Times New Roman"/>
          <w:b/>
          <w:sz w:val="24"/>
          <w:szCs w:val="24"/>
        </w:rPr>
        <w:t>Annex no. 9 Statistical data for the period 2018 –2020, on violence and other crimes committed in family relations- Ministry of Interior:</w:t>
      </w:r>
    </w:p>
    <w:p w:rsidR="00DD433A" w:rsidRPr="00DD433A" w:rsidRDefault="00DD433A" w:rsidP="00DD433A">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spacing w:after="0" w:line="240" w:lineRule="auto"/>
        <w:jc w:val="both"/>
        <w:rPr>
          <w:rFonts w:ascii="Times New Roman" w:eastAsia="Times New Roman" w:hAnsi="Times New Roman" w:cs="Times New Roman"/>
          <w:b/>
          <w:sz w:val="24"/>
          <w:szCs w:val="24"/>
        </w:rPr>
      </w:pPr>
    </w:p>
    <w:p w:rsidR="00DD433A" w:rsidRPr="00DD433A" w:rsidRDefault="00DD433A" w:rsidP="00DD433A">
      <w:pPr>
        <w:spacing w:after="0" w:line="240" w:lineRule="auto"/>
        <w:jc w:val="both"/>
        <w:rPr>
          <w:rFonts w:ascii="Times New Roman" w:eastAsia="Calibri" w:hAnsi="Times New Roman" w:cs="Times New Roman"/>
          <w:sz w:val="24"/>
          <w:szCs w:val="24"/>
          <w:lang w:eastAsia="en-GB"/>
        </w:rPr>
      </w:pPr>
      <w:r w:rsidRPr="00DD433A">
        <w:rPr>
          <w:rFonts w:ascii="Times New Roman" w:eastAsia="Calibri" w:hAnsi="Times New Roman" w:cs="Times New Roman"/>
          <w:sz w:val="24"/>
          <w:szCs w:val="24"/>
          <w:lang w:eastAsia="en-GB"/>
        </w:rPr>
        <w:t>1. During 2018</w:t>
      </w:r>
    </w:p>
    <w:p w:rsidR="00DD433A" w:rsidRPr="00DD433A" w:rsidRDefault="00DD433A" w:rsidP="00DD433A">
      <w:pPr>
        <w:spacing w:after="0" w:line="240" w:lineRule="auto"/>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lastRenderedPageBreak/>
        <w:t xml:space="preserve">There were recorded a total of 4951 cases of violence and other crimes committed in family relations, of which; </w:t>
      </w:r>
    </w:p>
    <w:p w:rsidR="00DD433A" w:rsidRPr="00DD433A" w:rsidRDefault="00DD433A" w:rsidP="00DD433A">
      <w:pPr>
        <w:pStyle w:val="ListParagraph"/>
        <w:numPr>
          <w:ilvl w:val="0"/>
          <w:numId w:val="23"/>
        </w:numPr>
        <w:jc w:val="both"/>
        <w:rPr>
          <w:rFonts w:ascii="Times New Roman" w:hAnsi="Times New Roman"/>
          <w:noProof w:val="0"/>
          <w:sz w:val="24"/>
          <w:szCs w:val="24"/>
          <w:lang w:val="en-GB" w:eastAsia="x-none"/>
        </w:rPr>
      </w:pPr>
      <w:r w:rsidRPr="00DD433A">
        <w:rPr>
          <w:rFonts w:ascii="Times New Roman" w:hAnsi="Times New Roman"/>
          <w:noProof w:val="0"/>
          <w:sz w:val="24"/>
          <w:szCs w:val="24"/>
          <w:lang w:val="en-GB" w:eastAsia="x-none"/>
        </w:rPr>
        <w:t>1914 were referred to the prosecution office, of which 1373 as violation of article 130/a “Domestic Violence” and there were arrested in flagrante 608 perpetrators.</w:t>
      </w:r>
    </w:p>
    <w:p w:rsidR="00DD433A" w:rsidRPr="00DD433A" w:rsidRDefault="00DD433A" w:rsidP="00DD433A">
      <w:pPr>
        <w:pStyle w:val="ListParagraph"/>
        <w:numPr>
          <w:ilvl w:val="0"/>
          <w:numId w:val="23"/>
        </w:numPr>
        <w:jc w:val="both"/>
        <w:rPr>
          <w:rFonts w:ascii="Times New Roman" w:hAnsi="Times New Roman"/>
          <w:iCs/>
          <w:noProof w:val="0"/>
          <w:sz w:val="24"/>
          <w:szCs w:val="24"/>
          <w:lang w:val="en-GB" w:eastAsia="x-none"/>
        </w:rPr>
      </w:pPr>
      <w:r w:rsidRPr="00DD433A">
        <w:rPr>
          <w:rFonts w:ascii="Times New Roman" w:hAnsi="Times New Roman"/>
          <w:iCs/>
          <w:noProof w:val="0"/>
          <w:sz w:val="24"/>
          <w:szCs w:val="24"/>
          <w:lang w:val="en-GB" w:eastAsia="x-none"/>
        </w:rPr>
        <w:t>3037 cases of domestic violence were filed with the court for “Immediate Protection Order/ Protection Order”</w:t>
      </w:r>
      <w:r w:rsidRPr="00DD433A">
        <w:rPr>
          <w:rFonts w:ascii="Times New Roman" w:hAnsi="Times New Roman"/>
          <w:noProof w:val="0"/>
          <w:sz w:val="24"/>
          <w:szCs w:val="24"/>
          <w:lang w:val="en-GB" w:eastAsia="x-none"/>
        </w:rPr>
        <w:t>.</w:t>
      </w:r>
    </w:p>
    <w:p w:rsidR="00DD433A" w:rsidRPr="00DD433A" w:rsidRDefault="00DD433A" w:rsidP="00DD433A">
      <w:pPr>
        <w:pStyle w:val="ListParagraph"/>
        <w:numPr>
          <w:ilvl w:val="0"/>
          <w:numId w:val="23"/>
        </w:numPr>
        <w:jc w:val="both"/>
        <w:rPr>
          <w:rFonts w:ascii="Times New Roman" w:hAnsi="Times New Roman"/>
          <w:noProof w:val="0"/>
          <w:sz w:val="24"/>
          <w:szCs w:val="24"/>
          <w:lang w:val="en-GB" w:eastAsia="x-none"/>
        </w:rPr>
      </w:pPr>
      <w:r w:rsidRPr="00DD433A">
        <w:rPr>
          <w:rFonts w:ascii="Times New Roman" w:hAnsi="Times New Roman"/>
          <w:noProof w:val="0"/>
          <w:sz w:val="24"/>
          <w:szCs w:val="24"/>
          <w:lang w:val="en-GB" w:eastAsia="x-none"/>
        </w:rPr>
        <w:t xml:space="preserve">There were recorded 11 cases of murder in the family causing 20 victims, of which 11 women/girls of which 4 were spouses.  </w:t>
      </w:r>
    </w:p>
    <w:p w:rsidR="00DD433A" w:rsidRPr="00DD433A" w:rsidRDefault="00DD433A" w:rsidP="00DD433A">
      <w:pPr>
        <w:spacing w:after="0" w:line="240" w:lineRule="auto"/>
        <w:ind w:left="360"/>
        <w:contextualSpacing/>
        <w:jc w:val="both"/>
        <w:rPr>
          <w:rFonts w:ascii="Times New Roman" w:eastAsia="Times New Roman" w:hAnsi="Times New Roman" w:cs="Times New Roman"/>
          <w:sz w:val="24"/>
          <w:szCs w:val="24"/>
          <w:lang w:eastAsia="x-none"/>
        </w:rPr>
      </w:pPr>
    </w:p>
    <w:p w:rsidR="00DD433A" w:rsidRPr="00DD433A" w:rsidRDefault="00DD433A" w:rsidP="00DD433A">
      <w:pPr>
        <w:spacing w:after="0" w:line="240" w:lineRule="auto"/>
        <w:jc w:val="both"/>
        <w:rPr>
          <w:rFonts w:ascii="Times New Roman" w:eastAsia="Calibri" w:hAnsi="Times New Roman" w:cs="Times New Roman"/>
          <w:sz w:val="24"/>
          <w:szCs w:val="24"/>
          <w:lang w:eastAsia="en-GB"/>
        </w:rPr>
      </w:pPr>
      <w:r w:rsidRPr="00DD433A">
        <w:rPr>
          <w:rFonts w:ascii="Times New Roman" w:eastAsia="Calibri" w:hAnsi="Times New Roman" w:cs="Times New Roman"/>
          <w:sz w:val="24"/>
          <w:szCs w:val="24"/>
          <w:lang w:eastAsia="en-GB"/>
        </w:rPr>
        <w:t>2. During 2019</w:t>
      </w:r>
    </w:p>
    <w:p w:rsidR="00DD433A" w:rsidRPr="00DD433A" w:rsidRDefault="00DD433A" w:rsidP="00DD433A">
      <w:pPr>
        <w:spacing w:after="0" w:line="240" w:lineRule="auto"/>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 xml:space="preserve">There were recorded a total of 4629 cases of violence and other crimes committed in family relations, of which;  </w:t>
      </w:r>
    </w:p>
    <w:p w:rsidR="00DD433A" w:rsidRPr="00DD433A" w:rsidRDefault="00DD433A" w:rsidP="00DD433A">
      <w:pPr>
        <w:pStyle w:val="ListParagraph"/>
        <w:numPr>
          <w:ilvl w:val="0"/>
          <w:numId w:val="23"/>
        </w:numPr>
        <w:jc w:val="both"/>
        <w:rPr>
          <w:rFonts w:ascii="Times New Roman" w:hAnsi="Times New Roman"/>
          <w:noProof w:val="0"/>
          <w:sz w:val="24"/>
          <w:szCs w:val="24"/>
          <w:lang w:val="en-GB"/>
        </w:rPr>
      </w:pPr>
      <w:r w:rsidRPr="00DD433A">
        <w:rPr>
          <w:rFonts w:ascii="Times New Roman" w:hAnsi="Times New Roman"/>
          <w:noProof w:val="0"/>
          <w:sz w:val="24"/>
          <w:szCs w:val="24"/>
          <w:lang w:val="en-GB"/>
        </w:rPr>
        <w:t xml:space="preserve">1793 were referred to the prosecution office, of which 1341 as violation of article 130/a “Domestic Violence” and there were arrested in flagrante 535 perpetrators. </w:t>
      </w:r>
    </w:p>
    <w:p w:rsidR="00DD433A" w:rsidRPr="00DD433A" w:rsidRDefault="00DD433A" w:rsidP="00DD433A">
      <w:pPr>
        <w:pStyle w:val="ListParagraph"/>
        <w:numPr>
          <w:ilvl w:val="0"/>
          <w:numId w:val="23"/>
        </w:numPr>
        <w:jc w:val="both"/>
        <w:rPr>
          <w:rFonts w:ascii="Times New Roman" w:hAnsi="Times New Roman"/>
          <w:iCs/>
          <w:noProof w:val="0"/>
          <w:sz w:val="24"/>
          <w:szCs w:val="24"/>
          <w:lang w:val="en-GB"/>
        </w:rPr>
      </w:pPr>
      <w:r w:rsidRPr="00DD433A">
        <w:rPr>
          <w:rFonts w:ascii="Times New Roman" w:hAnsi="Times New Roman"/>
          <w:iCs/>
          <w:noProof w:val="0"/>
          <w:sz w:val="24"/>
          <w:szCs w:val="24"/>
          <w:lang w:val="en-GB"/>
        </w:rPr>
        <w:t>2836 cases of domestic violence were filed with the court for “Immediate Protection Order/ Protection Order”</w:t>
      </w:r>
      <w:r w:rsidRPr="00DD433A">
        <w:rPr>
          <w:rFonts w:ascii="Times New Roman" w:hAnsi="Times New Roman"/>
          <w:noProof w:val="0"/>
          <w:sz w:val="24"/>
          <w:szCs w:val="24"/>
          <w:lang w:val="en-GB"/>
        </w:rPr>
        <w:t>.</w:t>
      </w:r>
    </w:p>
    <w:p w:rsidR="00DD433A" w:rsidRPr="00DD433A" w:rsidRDefault="00DD433A" w:rsidP="00DD433A">
      <w:pPr>
        <w:pStyle w:val="ListParagraph"/>
        <w:numPr>
          <w:ilvl w:val="0"/>
          <w:numId w:val="23"/>
        </w:numPr>
        <w:jc w:val="both"/>
        <w:rPr>
          <w:rFonts w:ascii="Times New Roman" w:hAnsi="Times New Roman"/>
          <w:noProof w:val="0"/>
          <w:sz w:val="24"/>
          <w:szCs w:val="24"/>
          <w:lang w:val="en-GB"/>
        </w:rPr>
      </w:pPr>
      <w:bookmarkStart w:id="3" w:name="_Hlk76251772"/>
      <w:r w:rsidRPr="00DD433A">
        <w:rPr>
          <w:rFonts w:ascii="Times New Roman" w:hAnsi="Times New Roman"/>
          <w:noProof w:val="0"/>
          <w:sz w:val="24"/>
          <w:szCs w:val="24"/>
          <w:lang w:val="en-GB"/>
        </w:rPr>
        <w:t>There were recorded 14 cases of murder in the family causing 17 victims, of which 12 women/girls of which 8 were spouses</w:t>
      </w:r>
      <w:bookmarkEnd w:id="3"/>
      <w:r w:rsidRPr="00DD433A">
        <w:rPr>
          <w:rFonts w:ascii="Times New Roman" w:hAnsi="Times New Roman"/>
          <w:noProof w:val="0"/>
          <w:sz w:val="24"/>
          <w:szCs w:val="24"/>
          <w:lang w:val="en-GB"/>
        </w:rPr>
        <w:t xml:space="preserve">.   </w:t>
      </w:r>
    </w:p>
    <w:p w:rsidR="00DD433A" w:rsidRPr="00DD433A" w:rsidRDefault="00DD433A" w:rsidP="00DD433A">
      <w:pPr>
        <w:spacing w:after="0" w:line="240" w:lineRule="auto"/>
        <w:jc w:val="both"/>
        <w:rPr>
          <w:rFonts w:ascii="Times New Roman" w:eastAsia="Calibri" w:hAnsi="Times New Roman" w:cs="Times New Roman"/>
          <w:b/>
          <w:sz w:val="24"/>
          <w:szCs w:val="24"/>
          <w:lang w:eastAsia="en-GB"/>
        </w:rPr>
      </w:pPr>
    </w:p>
    <w:p w:rsidR="00DD433A" w:rsidRPr="00DD433A" w:rsidRDefault="00DD433A" w:rsidP="00DD433A">
      <w:pPr>
        <w:spacing w:after="0" w:line="240" w:lineRule="auto"/>
        <w:jc w:val="both"/>
        <w:rPr>
          <w:rFonts w:ascii="Times New Roman" w:eastAsia="Calibri" w:hAnsi="Times New Roman" w:cs="Times New Roman"/>
          <w:sz w:val="24"/>
          <w:szCs w:val="24"/>
          <w:lang w:eastAsia="en-GB"/>
        </w:rPr>
      </w:pPr>
      <w:r w:rsidRPr="00DD433A">
        <w:rPr>
          <w:rFonts w:ascii="Times New Roman" w:eastAsia="Calibri" w:hAnsi="Times New Roman" w:cs="Times New Roman"/>
          <w:sz w:val="24"/>
          <w:szCs w:val="24"/>
          <w:lang w:eastAsia="en-GB"/>
        </w:rPr>
        <w:t>3. During   2020</w:t>
      </w:r>
    </w:p>
    <w:p w:rsidR="00DD433A" w:rsidRPr="00DD433A" w:rsidRDefault="00DD433A" w:rsidP="00DD433A">
      <w:pPr>
        <w:spacing w:after="0" w:line="240" w:lineRule="auto"/>
        <w:jc w:val="both"/>
        <w:rPr>
          <w:rFonts w:ascii="Times New Roman" w:eastAsia="Times New Roman" w:hAnsi="Times New Roman" w:cs="Times New Roman"/>
          <w:sz w:val="24"/>
          <w:szCs w:val="24"/>
        </w:rPr>
      </w:pPr>
      <w:r w:rsidRPr="00DD433A">
        <w:rPr>
          <w:rFonts w:ascii="Times New Roman" w:eastAsia="Times New Roman" w:hAnsi="Times New Roman" w:cs="Times New Roman"/>
          <w:sz w:val="24"/>
          <w:szCs w:val="24"/>
        </w:rPr>
        <w:t xml:space="preserve">There were recorded a total of 2053 cases of violence and other crimes committed in family relations, of which: </w:t>
      </w:r>
    </w:p>
    <w:p w:rsidR="00DD433A" w:rsidRPr="00DD433A" w:rsidRDefault="00DD433A" w:rsidP="00DD433A">
      <w:pPr>
        <w:pStyle w:val="ListParagraph"/>
        <w:numPr>
          <w:ilvl w:val="0"/>
          <w:numId w:val="23"/>
        </w:numPr>
        <w:jc w:val="both"/>
        <w:rPr>
          <w:rFonts w:ascii="Times New Roman" w:hAnsi="Times New Roman"/>
          <w:noProof w:val="0"/>
          <w:sz w:val="24"/>
          <w:szCs w:val="24"/>
          <w:lang w:val="en-GB"/>
        </w:rPr>
      </w:pPr>
      <w:r w:rsidRPr="00DD433A">
        <w:rPr>
          <w:rFonts w:ascii="Times New Roman" w:hAnsi="Times New Roman"/>
          <w:noProof w:val="0"/>
          <w:sz w:val="24"/>
          <w:szCs w:val="24"/>
          <w:lang w:val="en-GB"/>
        </w:rPr>
        <w:t xml:space="preserve">847 were referred to the prosecution office, of which 674 as violation of article 130/a “Domestic Violence” and there were arrested in flagrante 270 perpetrators. </w:t>
      </w:r>
    </w:p>
    <w:p w:rsidR="00DD433A" w:rsidRPr="00DD433A" w:rsidRDefault="00DD433A" w:rsidP="00DD433A">
      <w:pPr>
        <w:pStyle w:val="ListParagraph"/>
        <w:numPr>
          <w:ilvl w:val="0"/>
          <w:numId w:val="23"/>
        </w:numPr>
        <w:jc w:val="both"/>
        <w:rPr>
          <w:rFonts w:ascii="Times New Roman" w:hAnsi="Times New Roman"/>
          <w:noProof w:val="0"/>
          <w:sz w:val="24"/>
          <w:szCs w:val="24"/>
          <w:lang w:val="en-GB"/>
        </w:rPr>
      </w:pPr>
      <w:r w:rsidRPr="00DD433A">
        <w:rPr>
          <w:rFonts w:ascii="Times New Roman" w:hAnsi="Times New Roman"/>
          <w:iCs/>
          <w:noProof w:val="0"/>
          <w:sz w:val="24"/>
          <w:szCs w:val="24"/>
          <w:lang w:val="en-GB"/>
        </w:rPr>
        <w:t xml:space="preserve">1206 cases of domestic violence were filed with the court for “Immediate Protection Order/ Protection Order”.  </w:t>
      </w:r>
    </w:p>
    <w:p w:rsidR="00DD433A" w:rsidRPr="00DD433A" w:rsidRDefault="00DD433A" w:rsidP="00DD433A">
      <w:pPr>
        <w:pStyle w:val="ListParagraph"/>
        <w:numPr>
          <w:ilvl w:val="0"/>
          <w:numId w:val="23"/>
        </w:numPr>
        <w:jc w:val="both"/>
        <w:rPr>
          <w:rFonts w:ascii="Times New Roman" w:eastAsia="Calibri" w:hAnsi="Times New Roman"/>
          <w:b/>
          <w:noProof w:val="0"/>
          <w:sz w:val="24"/>
          <w:szCs w:val="24"/>
          <w:lang w:val="en-GB" w:eastAsia="en-GB"/>
        </w:rPr>
      </w:pPr>
      <w:r w:rsidRPr="00DD433A">
        <w:rPr>
          <w:rFonts w:ascii="Times New Roman" w:hAnsi="Times New Roman"/>
          <w:noProof w:val="0"/>
          <w:sz w:val="24"/>
          <w:szCs w:val="24"/>
          <w:lang w:val="en-GB" w:eastAsia="en-GB"/>
        </w:rPr>
        <w:t>There were recorded 4 cases of murder in the family causing 5 victims, of which 4 women/girls of which 3 were spouses.</w:t>
      </w:r>
    </w:p>
    <w:p w:rsidR="00DD433A" w:rsidRPr="00DD433A" w:rsidRDefault="00DD433A" w:rsidP="00DD433A">
      <w:pPr>
        <w:spacing w:after="0" w:line="240" w:lineRule="auto"/>
        <w:ind w:left="360"/>
        <w:jc w:val="both"/>
        <w:rPr>
          <w:rFonts w:ascii="Times New Roman" w:eastAsia="Calibri" w:hAnsi="Times New Roman" w:cs="Times New Roman"/>
          <w:b/>
          <w:sz w:val="24"/>
          <w:szCs w:val="24"/>
          <w:lang w:eastAsia="en-GB"/>
        </w:rPr>
      </w:pPr>
    </w:p>
    <w:p w:rsidR="00DD433A" w:rsidRPr="00DD433A" w:rsidRDefault="00DD433A" w:rsidP="00DD433A">
      <w:pPr>
        <w:spacing w:after="0" w:line="240" w:lineRule="auto"/>
        <w:jc w:val="both"/>
        <w:rPr>
          <w:rFonts w:ascii="Times New Roman" w:eastAsia="Times New Roman" w:hAnsi="Times New Roman" w:cs="Times New Roman"/>
          <w:sz w:val="24"/>
          <w:szCs w:val="24"/>
          <w:lang w:eastAsia="en-GB"/>
        </w:rPr>
      </w:pPr>
      <w:r w:rsidRPr="00DD433A">
        <w:rPr>
          <w:rFonts w:ascii="Times New Roman" w:eastAsia="Times New Roman" w:hAnsi="Times New Roman" w:cs="Times New Roman"/>
          <w:sz w:val="24"/>
          <w:szCs w:val="24"/>
          <w:lang w:eastAsia="en-GB"/>
        </w:rPr>
        <w:t>4. Summary table of the domestic violence cases.</w:t>
      </w:r>
    </w:p>
    <w:p w:rsidR="00DD433A" w:rsidRPr="00DD433A" w:rsidRDefault="00DD433A" w:rsidP="00DD433A">
      <w:pPr>
        <w:spacing w:after="0" w:line="240" w:lineRule="auto"/>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984"/>
        <w:gridCol w:w="2055"/>
        <w:gridCol w:w="1587"/>
        <w:gridCol w:w="1213"/>
        <w:gridCol w:w="1123"/>
      </w:tblGrid>
      <w:tr w:rsidR="00DD433A" w:rsidRPr="00DD433A" w:rsidTr="002908F4">
        <w:tc>
          <w:tcPr>
            <w:tcW w:w="1101"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hAnsi="Times New Roman" w:cs="Times New Roman"/>
                <w:b/>
                <w:sz w:val="24"/>
                <w:szCs w:val="24"/>
              </w:rPr>
              <w:t>Year</w:t>
            </w:r>
          </w:p>
        </w:tc>
        <w:tc>
          <w:tcPr>
            <w:tcW w:w="1984"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b/>
                <w:sz w:val="24"/>
                <w:szCs w:val="24"/>
                <w:lang w:eastAsia="en-GB"/>
              </w:rPr>
              <w:t xml:space="preserve">Total no of recorded cases of domestic violence </w:t>
            </w:r>
          </w:p>
        </w:tc>
        <w:tc>
          <w:tcPr>
            <w:tcW w:w="2055"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b/>
                <w:sz w:val="24"/>
                <w:szCs w:val="24"/>
                <w:lang w:eastAsia="en-GB"/>
              </w:rPr>
              <w:t xml:space="preserve">Immediate protection order/protection order </w:t>
            </w:r>
          </w:p>
        </w:tc>
        <w:tc>
          <w:tcPr>
            <w:tcW w:w="1587" w:type="dxa"/>
            <w:shd w:val="clear" w:color="auto" w:fill="auto"/>
          </w:tcPr>
          <w:p w:rsidR="00DD433A" w:rsidRPr="00DD433A" w:rsidRDefault="00DD433A" w:rsidP="002908F4">
            <w:pPr>
              <w:spacing w:after="0" w:line="240" w:lineRule="auto"/>
              <w:jc w:val="center"/>
              <w:rPr>
                <w:rFonts w:ascii="Times New Roman" w:hAnsi="Times New Roman" w:cs="Times New Roman"/>
                <w:b/>
                <w:sz w:val="24"/>
                <w:szCs w:val="24"/>
              </w:rPr>
            </w:pPr>
            <w:r w:rsidRPr="00DD433A">
              <w:rPr>
                <w:rFonts w:ascii="Times New Roman" w:eastAsia="Calibri" w:hAnsi="Times New Roman" w:cs="Times New Roman"/>
                <w:b/>
                <w:sz w:val="24"/>
                <w:szCs w:val="24"/>
                <w:lang w:eastAsia="en-GB"/>
              </w:rPr>
              <w:t>Criminal offences violation of article 130/a, CC</w:t>
            </w:r>
          </w:p>
        </w:tc>
        <w:tc>
          <w:tcPr>
            <w:tcW w:w="1213"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b/>
                <w:sz w:val="24"/>
                <w:szCs w:val="24"/>
                <w:lang w:eastAsia="en-GB"/>
              </w:rPr>
              <w:t>Arrested for violation of article 130/a</w:t>
            </w:r>
          </w:p>
        </w:tc>
        <w:tc>
          <w:tcPr>
            <w:tcW w:w="876"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b/>
                <w:sz w:val="24"/>
                <w:szCs w:val="24"/>
                <w:lang w:eastAsia="en-GB"/>
              </w:rPr>
              <w:t xml:space="preserve">Murders in the family </w:t>
            </w:r>
          </w:p>
        </w:tc>
      </w:tr>
      <w:tr w:rsidR="00DD433A" w:rsidRPr="00DD433A" w:rsidTr="002908F4">
        <w:tc>
          <w:tcPr>
            <w:tcW w:w="1101"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b/>
                <w:sz w:val="24"/>
                <w:szCs w:val="24"/>
                <w:lang w:eastAsia="en-GB"/>
              </w:rPr>
              <w:t>2018</w:t>
            </w:r>
          </w:p>
        </w:tc>
        <w:tc>
          <w:tcPr>
            <w:tcW w:w="1984"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4951</w:t>
            </w:r>
          </w:p>
        </w:tc>
        <w:tc>
          <w:tcPr>
            <w:tcW w:w="2055"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3037</w:t>
            </w:r>
          </w:p>
        </w:tc>
        <w:tc>
          <w:tcPr>
            <w:tcW w:w="1587"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1373</w:t>
            </w:r>
          </w:p>
        </w:tc>
        <w:tc>
          <w:tcPr>
            <w:tcW w:w="1213"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608</w:t>
            </w:r>
          </w:p>
        </w:tc>
        <w:tc>
          <w:tcPr>
            <w:tcW w:w="876"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11</w:t>
            </w:r>
          </w:p>
        </w:tc>
      </w:tr>
      <w:tr w:rsidR="00DD433A" w:rsidRPr="00DD433A" w:rsidTr="002908F4">
        <w:tc>
          <w:tcPr>
            <w:tcW w:w="1101"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b/>
                <w:sz w:val="24"/>
                <w:szCs w:val="24"/>
                <w:lang w:eastAsia="en-GB"/>
              </w:rPr>
              <w:t>2019</w:t>
            </w:r>
          </w:p>
        </w:tc>
        <w:tc>
          <w:tcPr>
            <w:tcW w:w="1984"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4629</w:t>
            </w:r>
          </w:p>
        </w:tc>
        <w:tc>
          <w:tcPr>
            <w:tcW w:w="2055"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2836</w:t>
            </w:r>
          </w:p>
        </w:tc>
        <w:tc>
          <w:tcPr>
            <w:tcW w:w="1587"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1341</w:t>
            </w:r>
          </w:p>
        </w:tc>
        <w:tc>
          <w:tcPr>
            <w:tcW w:w="1213"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535</w:t>
            </w:r>
          </w:p>
        </w:tc>
        <w:tc>
          <w:tcPr>
            <w:tcW w:w="876"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14</w:t>
            </w:r>
          </w:p>
        </w:tc>
      </w:tr>
      <w:tr w:rsidR="00DD433A" w:rsidRPr="00DD433A" w:rsidTr="002908F4">
        <w:tc>
          <w:tcPr>
            <w:tcW w:w="1101"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hAnsi="Times New Roman" w:cs="Times New Roman"/>
                <w:b/>
                <w:sz w:val="24"/>
                <w:szCs w:val="24"/>
              </w:rPr>
              <w:t>2020</w:t>
            </w:r>
          </w:p>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hAnsi="Times New Roman" w:cs="Times New Roman"/>
                <w:b/>
                <w:sz w:val="24"/>
                <w:szCs w:val="24"/>
              </w:rPr>
              <w:t xml:space="preserve">6 months </w:t>
            </w:r>
          </w:p>
        </w:tc>
        <w:tc>
          <w:tcPr>
            <w:tcW w:w="1984"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2053</w:t>
            </w:r>
          </w:p>
        </w:tc>
        <w:tc>
          <w:tcPr>
            <w:tcW w:w="2055"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1206</w:t>
            </w:r>
          </w:p>
        </w:tc>
        <w:tc>
          <w:tcPr>
            <w:tcW w:w="1587"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674</w:t>
            </w:r>
          </w:p>
        </w:tc>
        <w:tc>
          <w:tcPr>
            <w:tcW w:w="1213" w:type="dxa"/>
            <w:shd w:val="clear" w:color="auto" w:fill="auto"/>
          </w:tcPr>
          <w:p w:rsidR="00DD433A" w:rsidRPr="00DD433A" w:rsidRDefault="00DD433A" w:rsidP="002908F4">
            <w:pPr>
              <w:spacing w:after="0" w:line="240" w:lineRule="auto"/>
              <w:rPr>
                <w:rFonts w:ascii="Times New Roman" w:hAnsi="Times New Roman" w:cs="Times New Roman"/>
                <w:b/>
                <w:sz w:val="24"/>
                <w:szCs w:val="24"/>
              </w:rPr>
            </w:pPr>
            <w:r w:rsidRPr="00DD433A">
              <w:rPr>
                <w:rFonts w:ascii="Times New Roman" w:eastAsia="Calibri" w:hAnsi="Times New Roman" w:cs="Times New Roman"/>
                <w:sz w:val="24"/>
                <w:szCs w:val="24"/>
                <w:lang w:eastAsia="en-GB"/>
              </w:rPr>
              <w:t>270</w:t>
            </w:r>
          </w:p>
        </w:tc>
        <w:tc>
          <w:tcPr>
            <w:tcW w:w="876" w:type="dxa"/>
            <w:shd w:val="clear" w:color="auto" w:fill="auto"/>
          </w:tcPr>
          <w:p w:rsidR="00DD433A" w:rsidRPr="00DD433A" w:rsidRDefault="00DD433A" w:rsidP="002908F4">
            <w:pPr>
              <w:spacing w:after="0" w:line="240" w:lineRule="auto"/>
              <w:rPr>
                <w:rFonts w:ascii="Times New Roman" w:eastAsia="Calibri" w:hAnsi="Times New Roman" w:cs="Times New Roman"/>
                <w:sz w:val="24"/>
                <w:szCs w:val="24"/>
                <w:lang w:eastAsia="en-GB"/>
              </w:rPr>
            </w:pPr>
            <w:r w:rsidRPr="00DD433A">
              <w:rPr>
                <w:rFonts w:ascii="Times New Roman" w:eastAsia="Calibri" w:hAnsi="Times New Roman" w:cs="Times New Roman"/>
                <w:sz w:val="24"/>
                <w:szCs w:val="24"/>
                <w:lang w:eastAsia="en-GB"/>
              </w:rPr>
              <w:t xml:space="preserve"> 4</w:t>
            </w:r>
          </w:p>
        </w:tc>
      </w:tr>
    </w:tbl>
    <w:p w:rsidR="00DD433A" w:rsidRPr="00DD433A" w:rsidRDefault="00DD433A" w:rsidP="00DD433A">
      <w:pPr>
        <w:spacing w:after="0" w:line="240" w:lineRule="auto"/>
        <w:jc w:val="both"/>
        <w:rPr>
          <w:rFonts w:ascii="Times New Roman" w:hAnsi="Times New Roman" w:cs="Times New Roman"/>
          <w:color w:val="000000"/>
          <w:sz w:val="24"/>
          <w:szCs w:val="24"/>
        </w:rPr>
      </w:pPr>
    </w:p>
    <w:p w:rsidR="00DD433A" w:rsidRPr="00DD433A" w:rsidRDefault="00DD433A" w:rsidP="00DD433A">
      <w:pPr>
        <w:spacing w:after="0" w:line="240" w:lineRule="auto"/>
        <w:jc w:val="both"/>
        <w:rPr>
          <w:rFonts w:ascii="Times New Roman" w:hAnsi="Times New Roman" w:cs="Times New Roman"/>
          <w:color w:val="000000"/>
          <w:sz w:val="24"/>
          <w:szCs w:val="24"/>
        </w:rPr>
      </w:pPr>
    </w:p>
    <w:p w:rsidR="00DD433A" w:rsidRPr="00DD433A" w:rsidRDefault="00DD433A" w:rsidP="00DD433A">
      <w:pPr>
        <w:spacing w:after="0" w:line="240" w:lineRule="auto"/>
        <w:jc w:val="both"/>
        <w:rPr>
          <w:rFonts w:ascii="Times New Roman" w:hAnsi="Times New Roman" w:cs="Times New Roman"/>
          <w:color w:val="000000"/>
          <w:sz w:val="24"/>
          <w:szCs w:val="24"/>
        </w:rPr>
      </w:pPr>
    </w:p>
    <w:p w:rsidR="00DD433A" w:rsidRPr="00DD433A" w:rsidRDefault="00DD433A" w:rsidP="00DD433A">
      <w:pPr>
        <w:spacing w:after="0" w:line="240" w:lineRule="auto"/>
        <w:jc w:val="both"/>
        <w:rPr>
          <w:rFonts w:ascii="Times New Roman" w:hAnsi="Times New Roman" w:cs="Times New Roman"/>
          <w:b/>
          <w:sz w:val="24"/>
          <w:szCs w:val="24"/>
        </w:rPr>
      </w:pPr>
      <w:r w:rsidRPr="00DD433A">
        <w:rPr>
          <w:rFonts w:ascii="Times New Roman" w:hAnsi="Times New Roman" w:cs="Times New Roman"/>
          <w:b/>
          <w:sz w:val="24"/>
          <w:szCs w:val="24"/>
        </w:rPr>
        <w:t xml:space="preserve">Annex no. 10 -Data on criminal proceedings (violence)- General Prosecution Office </w:t>
      </w:r>
    </w:p>
    <w:p w:rsidR="00DD433A" w:rsidRPr="00DD433A" w:rsidRDefault="00DD433A" w:rsidP="00DD433A">
      <w:pPr>
        <w:spacing w:after="0" w:line="240" w:lineRule="auto"/>
        <w:jc w:val="both"/>
        <w:rPr>
          <w:rFonts w:ascii="Times New Roman" w:hAnsi="Times New Roman" w:cs="Times New Roman"/>
          <w:sz w:val="24"/>
          <w:szCs w:val="24"/>
        </w:rPr>
      </w:pPr>
      <w:r w:rsidRPr="00DD433A">
        <w:rPr>
          <w:rFonts w:ascii="Times New Roman" w:hAnsi="Times New Roman" w:cs="Times New Roman"/>
          <w:sz w:val="24"/>
          <w:szCs w:val="24"/>
        </w:rPr>
        <w:t>During 2018 there were recorded 1349 criminal proceedings and filed with courts 1050 cases;</w:t>
      </w:r>
    </w:p>
    <w:p w:rsidR="00DD433A" w:rsidRPr="00DD433A" w:rsidRDefault="00DD433A" w:rsidP="00DD433A">
      <w:pPr>
        <w:spacing w:after="0" w:line="240" w:lineRule="auto"/>
        <w:jc w:val="both"/>
        <w:rPr>
          <w:rFonts w:ascii="Times New Roman" w:hAnsi="Times New Roman" w:cs="Times New Roman"/>
          <w:sz w:val="24"/>
          <w:szCs w:val="24"/>
        </w:rPr>
      </w:pPr>
      <w:r w:rsidRPr="00DD433A">
        <w:rPr>
          <w:rFonts w:ascii="Times New Roman" w:hAnsi="Times New Roman" w:cs="Times New Roman"/>
          <w:sz w:val="24"/>
          <w:szCs w:val="24"/>
        </w:rPr>
        <w:t>During 2019 there were recorded 1239 criminal proceedings and there filed with courts 878 cases;</w:t>
      </w:r>
    </w:p>
    <w:p w:rsidR="00DD433A" w:rsidRPr="00DD433A" w:rsidRDefault="00DD433A" w:rsidP="00DD433A">
      <w:pPr>
        <w:spacing w:after="0" w:line="240" w:lineRule="auto"/>
        <w:jc w:val="both"/>
        <w:rPr>
          <w:rFonts w:ascii="Times New Roman" w:hAnsi="Times New Roman" w:cs="Times New Roman"/>
          <w:sz w:val="24"/>
          <w:szCs w:val="24"/>
        </w:rPr>
      </w:pPr>
      <w:r w:rsidRPr="00DD433A">
        <w:rPr>
          <w:rFonts w:ascii="Times New Roman" w:hAnsi="Times New Roman" w:cs="Times New Roman"/>
          <w:sz w:val="24"/>
          <w:szCs w:val="24"/>
        </w:rPr>
        <w:lastRenderedPageBreak/>
        <w:t>During 2020 (first 6 months) there were recorded 554 criminal proceedings and there filed with courts 380 cases;</w:t>
      </w:r>
    </w:p>
    <w:p w:rsidR="00DD433A" w:rsidRPr="00DD433A" w:rsidRDefault="00DD433A" w:rsidP="00DD433A">
      <w:pPr>
        <w:spacing w:after="0" w:line="240" w:lineRule="auto"/>
        <w:jc w:val="both"/>
        <w:rPr>
          <w:rFonts w:ascii="Times New Roman" w:hAnsi="Times New Roman" w:cs="Times New Roman"/>
          <w:b/>
          <w:sz w:val="24"/>
          <w:szCs w:val="24"/>
        </w:rPr>
      </w:pPr>
    </w:p>
    <w:p w:rsidR="00DD433A" w:rsidRPr="00DD433A" w:rsidRDefault="00DD433A" w:rsidP="00DD433A">
      <w:pPr>
        <w:spacing w:after="0" w:line="240" w:lineRule="auto"/>
        <w:jc w:val="both"/>
        <w:rPr>
          <w:rFonts w:ascii="Times New Roman" w:eastAsia="Calibri" w:hAnsi="Times New Roman" w:cs="Times New Roman"/>
          <w:b/>
          <w:sz w:val="24"/>
          <w:szCs w:val="24"/>
          <w:lang w:eastAsia="en-GB"/>
        </w:rPr>
      </w:pPr>
      <w:r w:rsidRPr="00DD433A">
        <w:rPr>
          <w:rFonts w:ascii="Times New Roman" w:eastAsia="Calibri" w:hAnsi="Times New Roman" w:cs="Times New Roman"/>
          <w:b/>
          <w:sz w:val="24"/>
          <w:szCs w:val="24"/>
          <w:lang w:eastAsia="en-GB"/>
        </w:rPr>
        <w:t>Annex no.11- Statistical data on trafficking submitted by the General Directorate of Police for the period 2014 – July 2020:</w:t>
      </w:r>
    </w:p>
    <w:p w:rsidR="00DD433A" w:rsidRPr="00DD433A" w:rsidRDefault="00DD433A" w:rsidP="00DD433A">
      <w:pPr>
        <w:spacing w:after="0" w:line="240" w:lineRule="auto"/>
        <w:rPr>
          <w:rFonts w:ascii="Times New Roman" w:eastAsia="Calibri" w:hAnsi="Times New Roman" w:cs="Times New Roman"/>
          <w:sz w:val="24"/>
          <w:szCs w:val="24"/>
          <w:lang w:eastAsia="en-GB"/>
        </w:rPr>
      </w:pPr>
      <w:r w:rsidRPr="00DD433A">
        <w:rPr>
          <w:rFonts w:ascii="Times New Roman" w:eastAsia="Calibri" w:hAnsi="Times New Roman" w:cs="Times New Roman"/>
          <w:sz w:val="24"/>
          <w:szCs w:val="24"/>
          <w:lang w:eastAsia="en-GB"/>
        </w:rPr>
        <w:t>In 2018 there were recorded a total of 38 criminal offences involving 51 perpetrators as following:</w:t>
      </w:r>
    </w:p>
    <w:p w:rsidR="00DD433A" w:rsidRPr="00DD433A" w:rsidRDefault="00DD433A" w:rsidP="00DD433A">
      <w:pPr>
        <w:numPr>
          <w:ilvl w:val="0"/>
          <w:numId w:val="1"/>
        </w:numPr>
        <w:spacing w:after="0" w:line="240" w:lineRule="auto"/>
        <w:rPr>
          <w:rFonts w:ascii="Times New Roman" w:eastAsia="Calibri" w:hAnsi="Times New Roman" w:cs="Times New Roman"/>
          <w:sz w:val="24"/>
          <w:szCs w:val="24"/>
          <w:lang w:eastAsia="en-GB"/>
        </w:rPr>
      </w:pPr>
      <w:r w:rsidRPr="00DD433A">
        <w:rPr>
          <w:rFonts w:ascii="Times New Roman" w:eastAsia="Calibri" w:hAnsi="Times New Roman" w:cs="Times New Roman"/>
          <w:sz w:val="24"/>
          <w:szCs w:val="24"/>
          <w:lang w:eastAsia="en-GB"/>
        </w:rPr>
        <w:t xml:space="preserve">30 </w:t>
      </w:r>
      <w:bookmarkStart w:id="4" w:name="_Hlk76252452"/>
      <w:r w:rsidRPr="00DD433A">
        <w:rPr>
          <w:rFonts w:ascii="Times New Roman" w:eastAsia="Calibri" w:hAnsi="Times New Roman" w:cs="Times New Roman"/>
          <w:sz w:val="24"/>
          <w:szCs w:val="24"/>
          <w:lang w:eastAsia="en-GB"/>
        </w:rPr>
        <w:t>offences “Trafficking in persons”, 42 perpetrators</w:t>
      </w:r>
      <w:bookmarkEnd w:id="4"/>
      <w:r w:rsidRPr="00DD433A">
        <w:rPr>
          <w:rFonts w:ascii="Times New Roman" w:eastAsia="Calibri" w:hAnsi="Times New Roman" w:cs="Times New Roman"/>
          <w:sz w:val="24"/>
          <w:szCs w:val="24"/>
          <w:lang w:eastAsia="en-GB"/>
        </w:rPr>
        <w:t>.</w:t>
      </w:r>
    </w:p>
    <w:p w:rsidR="00DD433A" w:rsidRPr="00DD433A" w:rsidRDefault="00DD433A" w:rsidP="00DD433A">
      <w:pPr>
        <w:numPr>
          <w:ilvl w:val="0"/>
          <w:numId w:val="1"/>
        </w:numPr>
        <w:spacing w:after="0" w:line="240" w:lineRule="auto"/>
        <w:rPr>
          <w:rFonts w:ascii="Times New Roman" w:eastAsia="Calibri" w:hAnsi="Times New Roman" w:cs="Times New Roman"/>
          <w:sz w:val="24"/>
          <w:szCs w:val="24"/>
          <w:lang w:eastAsia="en-GB"/>
        </w:rPr>
      </w:pPr>
      <w:r w:rsidRPr="00DD433A">
        <w:rPr>
          <w:rFonts w:ascii="Times New Roman" w:eastAsia="Calibri" w:hAnsi="Times New Roman" w:cs="Times New Roman"/>
          <w:sz w:val="24"/>
          <w:szCs w:val="24"/>
          <w:lang w:eastAsia="en-GB"/>
        </w:rPr>
        <w:t>8 offences “Trafficking of minors”, 9 perpetrators.</w:t>
      </w:r>
    </w:p>
    <w:p w:rsidR="00DD433A" w:rsidRPr="00DD433A" w:rsidRDefault="00DD433A" w:rsidP="00DD433A">
      <w:pPr>
        <w:spacing w:after="0" w:line="240" w:lineRule="auto"/>
        <w:rPr>
          <w:rFonts w:ascii="Times New Roman" w:eastAsia="Calibri" w:hAnsi="Times New Roman" w:cs="Times New Roman"/>
          <w:sz w:val="24"/>
          <w:szCs w:val="24"/>
          <w:lang w:eastAsia="en-GB"/>
        </w:rPr>
      </w:pPr>
    </w:p>
    <w:p w:rsidR="00DD433A" w:rsidRPr="00DD433A" w:rsidRDefault="00DD433A" w:rsidP="00DD433A">
      <w:pPr>
        <w:spacing w:after="0" w:line="240" w:lineRule="auto"/>
        <w:rPr>
          <w:rFonts w:ascii="Times New Roman" w:eastAsia="Calibri" w:hAnsi="Times New Roman" w:cs="Times New Roman"/>
          <w:sz w:val="24"/>
          <w:szCs w:val="24"/>
          <w:lang w:eastAsia="en-GB"/>
        </w:rPr>
      </w:pPr>
      <w:r w:rsidRPr="00DD433A">
        <w:rPr>
          <w:rFonts w:ascii="Times New Roman" w:eastAsia="Calibri" w:hAnsi="Times New Roman" w:cs="Times New Roman"/>
          <w:sz w:val="24"/>
          <w:szCs w:val="24"/>
          <w:lang w:eastAsia="en-GB"/>
        </w:rPr>
        <w:t>In 2019 there were recorded a total of 41 criminal offences involving 62 perpetrators as following:</w:t>
      </w:r>
    </w:p>
    <w:p w:rsidR="00DD433A" w:rsidRPr="00DD433A" w:rsidRDefault="00DD433A" w:rsidP="00DD433A">
      <w:pPr>
        <w:numPr>
          <w:ilvl w:val="0"/>
          <w:numId w:val="2"/>
        </w:numPr>
        <w:spacing w:after="0" w:line="240" w:lineRule="auto"/>
        <w:rPr>
          <w:rFonts w:ascii="Times New Roman" w:hAnsi="Times New Roman" w:cs="Times New Roman"/>
          <w:sz w:val="24"/>
          <w:szCs w:val="24"/>
          <w:lang w:eastAsia="en-GB"/>
        </w:rPr>
      </w:pPr>
      <w:r w:rsidRPr="00DD433A">
        <w:rPr>
          <w:rFonts w:ascii="Times New Roman" w:hAnsi="Times New Roman" w:cs="Times New Roman"/>
          <w:sz w:val="24"/>
          <w:szCs w:val="24"/>
          <w:lang w:eastAsia="en-GB"/>
        </w:rPr>
        <w:t>34 offences “Trafficking in persons”, 21 perpetrators</w:t>
      </w:r>
      <w:r w:rsidRPr="00DD433A">
        <w:rPr>
          <w:rFonts w:ascii="Times New Roman" w:eastAsia="Calibri" w:hAnsi="Times New Roman" w:cs="Times New Roman"/>
          <w:sz w:val="24"/>
          <w:szCs w:val="24"/>
          <w:lang w:eastAsia="en-GB"/>
        </w:rPr>
        <w:t>.</w:t>
      </w:r>
    </w:p>
    <w:p w:rsidR="00DD433A" w:rsidRPr="00DD433A" w:rsidRDefault="00DD433A" w:rsidP="00DD433A">
      <w:pPr>
        <w:numPr>
          <w:ilvl w:val="0"/>
          <w:numId w:val="2"/>
        </w:numPr>
        <w:spacing w:after="0" w:line="240" w:lineRule="auto"/>
        <w:rPr>
          <w:rFonts w:ascii="Times New Roman" w:hAnsi="Times New Roman" w:cs="Times New Roman"/>
          <w:sz w:val="24"/>
          <w:szCs w:val="24"/>
          <w:lang w:eastAsia="en-GB"/>
        </w:rPr>
      </w:pPr>
      <w:r w:rsidRPr="00DD433A">
        <w:rPr>
          <w:rFonts w:ascii="Times New Roman" w:hAnsi="Times New Roman" w:cs="Times New Roman"/>
          <w:sz w:val="24"/>
          <w:szCs w:val="24"/>
          <w:lang w:eastAsia="en-GB"/>
        </w:rPr>
        <w:t>7 offences “Trafficking of minors”, 8 perpetrators</w:t>
      </w:r>
      <w:r w:rsidRPr="00DD433A">
        <w:rPr>
          <w:rFonts w:ascii="Times New Roman" w:eastAsia="Calibri" w:hAnsi="Times New Roman" w:cs="Times New Roman"/>
          <w:sz w:val="24"/>
          <w:szCs w:val="24"/>
          <w:lang w:eastAsia="en-GB"/>
        </w:rPr>
        <w:t>.</w:t>
      </w:r>
    </w:p>
    <w:p w:rsidR="00DD433A" w:rsidRPr="00DD433A" w:rsidRDefault="00DD433A" w:rsidP="00DD433A">
      <w:pPr>
        <w:spacing w:after="0" w:line="240" w:lineRule="auto"/>
        <w:rPr>
          <w:rFonts w:ascii="Times New Roman" w:eastAsia="Calibri" w:hAnsi="Times New Roman" w:cs="Times New Roman"/>
          <w:sz w:val="24"/>
          <w:szCs w:val="24"/>
          <w:lang w:eastAsia="en-GB"/>
        </w:rPr>
      </w:pPr>
    </w:p>
    <w:p w:rsidR="00DD433A" w:rsidRPr="00DD433A" w:rsidRDefault="00DD433A" w:rsidP="00DD433A">
      <w:pPr>
        <w:spacing w:after="0" w:line="240" w:lineRule="auto"/>
        <w:rPr>
          <w:rFonts w:ascii="Times New Roman" w:eastAsia="Calibri" w:hAnsi="Times New Roman" w:cs="Times New Roman"/>
          <w:sz w:val="24"/>
          <w:szCs w:val="24"/>
          <w:lang w:eastAsia="en-GB"/>
        </w:rPr>
      </w:pPr>
      <w:r w:rsidRPr="00DD433A">
        <w:rPr>
          <w:rFonts w:ascii="Times New Roman" w:eastAsia="Calibri" w:hAnsi="Times New Roman" w:cs="Times New Roman"/>
          <w:sz w:val="24"/>
          <w:szCs w:val="24"/>
          <w:lang w:eastAsia="en-GB"/>
        </w:rPr>
        <w:t>During January- July 2020 there recorded a total of 20 criminal offences involving 25 perpetrators as following:</w:t>
      </w:r>
    </w:p>
    <w:p w:rsidR="00DD433A" w:rsidRPr="00DD433A" w:rsidRDefault="00DD433A" w:rsidP="00DD433A">
      <w:pPr>
        <w:numPr>
          <w:ilvl w:val="0"/>
          <w:numId w:val="3"/>
        </w:numPr>
        <w:spacing w:after="0" w:line="240" w:lineRule="auto"/>
        <w:rPr>
          <w:rFonts w:ascii="Times New Roman" w:hAnsi="Times New Roman" w:cs="Times New Roman"/>
          <w:sz w:val="24"/>
          <w:szCs w:val="24"/>
          <w:lang w:eastAsia="en-GB"/>
        </w:rPr>
      </w:pPr>
      <w:r w:rsidRPr="00DD433A">
        <w:rPr>
          <w:rFonts w:ascii="Times New Roman" w:hAnsi="Times New Roman" w:cs="Times New Roman"/>
          <w:sz w:val="24"/>
          <w:szCs w:val="24"/>
          <w:lang w:eastAsia="en-GB"/>
        </w:rPr>
        <w:t>16 offences “Trafficking in persons”,</w:t>
      </w:r>
      <w:r w:rsidRPr="00DD433A">
        <w:rPr>
          <w:rFonts w:ascii="Times New Roman" w:eastAsia="Calibri" w:hAnsi="Times New Roman" w:cs="Times New Roman"/>
          <w:sz w:val="24"/>
          <w:szCs w:val="24"/>
          <w:lang w:eastAsia="en-GB"/>
        </w:rPr>
        <w:t xml:space="preserve"> 21 perpetrators.</w:t>
      </w:r>
    </w:p>
    <w:p w:rsidR="00DD433A" w:rsidRPr="00DD433A" w:rsidRDefault="00DD433A" w:rsidP="00DD433A">
      <w:pPr>
        <w:numPr>
          <w:ilvl w:val="0"/>
          <w:numId w:val="3"/>
        </w:numPr>
        <w:spacing w:after="0" w:line="240" w:lineRule="auto"/>
        <w:rPr>
          <w:rFonts w:ascii="Times New Roman" w:hAnsi="Times New Roman" w:cs="Times New Roman"/>
          <w:sz w:val="24"/>
          <w:szCs w:val="24"/>
          <w:lang w:eastAsia="en-GB"/>
        </w:rPr>
      </w:pPr>
      <w:r w:rsidRPr="00DD433A">
        <w:rPr>
          <w:rFonts w:ascii="Times New Roman" w:hAnsi="Times New Roman" w:cs="Times New Roman"/>
          <w:sz w:val="24"/>
          <w:szCs w:val="24"/>
          <w:lang w:eastAsia="en-GB"/>
        </w:rPr>
        <w:t xml:space="preserve">4 </w:t>
      </w:r>
      <w:bookmarkStart w:id="5" w:name="_Hlk76252345"/>
      <w:r w:rsidRPr="00DD433A">
        <w:rPr>
          <w:rFonts w:ascii="Times New Roman" w:hAnsi="Times New Roman" w:cs="Times New Roman"/>
          <w:sz w:val="24"/>
          <w:szCs w:val="24"/>
          <w:lang w:eastAsia="en-GB"/>
        </w:rPr>
        <w:t>offences “Trafficking of minors”,</w:t>
      </w:r>
      <w:r w:rsidRPr="00DD433A">
        <w:rPr>
          <w:rFonts w:ascii="Times New Roman" w:eastAsia="Calibri" w:hAnsi="Times New Roman" w:cs="Times New Roman"/>
          <w:sz w:val="24"/>
          <w:szCs w:val="24"/>
          <w:lang w:eastAsia="en-GB"/>
        </w:rPr>
        <w:t xml:space="preserve"> 4 perpetrators</w:t>
      </w:r>
      <w:bookmarkEnd w:id="5"/>
      <w:r w:rsidRPr="00DD433A">
        <w:rPr>
          <w:rFonts w:ascii="Times New Roman" w:eastAsia="Calibri" w:hAnsi="Times New Roman" w:cs="Times New Roman"/>
          <w:sz w:val="24"/>
          <w:szCs w:val="24"/>
          <w:lang w:eastAsia="en-GB"/>
        </w:rPr>
        <w:t>.</w:t>
      </w:r>
    </w:p>
    <w:p w:rsidR="00DD433A" w:rsidRPr="00DD433A" w:rsidRDefault="00DD433A" w:rsidP="00DD433A">
      <w:pPr>
        <w:spacing w:after="0" w:line="240" w:lineRule="auto"/>
        <w:ind w:left="360"/>
        <w:rPr>
          <w:rFonts w:ascii="Times New Roman" w:hAnsi="Times New Roman" w:cs="Times New Roman"/>
          <w:sz w:val="24"/>
          <w:szCs w:val="24"/>
          <w:lang w:eastAsia="en-GB"/>
        </w:rPr>
      </w:pPr>
    </w:p>
    <w:p w:rsidR="00DD433A" w:rsidRPr="00DD433A" w:rsidRDefault="00DD433A" w:rsidP="00DD433A">
      <w:pPr>
        <w:spacing w:after="0" w:line="240" w:lineRule="auto"/>
        <w:jc w:val="both"/>
        <w:rPr>
          <w:rFonts w:ascii="Times New Roman" w:hAnsi="Times New Roman" w:cs="Times New Roman"/>
          <w:b/>
          <w:sz w:val="24"/>
          <w:szCs w:val="24"/>
        </w:rPr>
      </w:pPr>
    </w:p>
    <w:p w:rsidR="00DD433A" w:rsidRPr="00DD433A" w:rsidRDefault="00DD433A" w:rsidP="00DD433A">
      <w:pPr>
        <w:suppressAutoHyphens/>
        <w:spacing w:after="0" w:line="240" w:lineRule="auto"/>
        <w:jc w:val="both"/>
        <w:rPr>
          <w:rFonts w:ascii="Times New Roman" w:hAnsi="Times New Roman" w:cs="Times New Roman"/>
          <w:b/>
          <w:sz w:val="24"/>
          <w:szCs w:val="24"/>
        </w:rPr>
      </w:pPr>
    </w:p>
    <w:p w:rsidR="0024567E" w:rsidRPr="00DD433A" w:rsidRDefault="0024567E">
      <w:pPr>
        <w:rPr>
          <w:rFonts w:ascii="Times New Roman" w:hAnsi="Times New Roman" w:cs="Times New Roman"/>
          <w:sz w:val="24"/>
          <w:szCs w:val="24"/>
        </w:rPr>
      </w:pPr>
    </w:p>
    <w:sectPr w:rsidR="0024567E" w:rsidRPr="00DD433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D25" w:rsidRDefault="00291D25" w:rsidP="00DD433A">
      <w:pPr>
        <w:spacing w:after="0" w:line="240" w:lineRule="auto"/>
      </w:pPr>
      <w:r>
        <w:separator/>
      </w:r>
    </w:p>
  </w:endnote>
  <w:endnote w:type="continuationSeparator" w:id="0">
    <w:p w:rsidR="00291D25" w:rsidRDefault="00291D25" w:rsidP="00DD4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libri;Calibri">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188925"/>
      <w:docPartObj>
        <w:docPartGallery w:val="Page Numbers (Bottom of Page)"/>
        <w:docPartUnique/>
      </w:docPartObj>
    </w:sdtPr>
    <w:sdtEndPr>
      <w:rPr>
        <w:noProof/>
      </w:rPr>
    </w:sdtEndPr>
    <w:sdtContent>
      <w:p w:rsidR="00F06F8C" w:rsidRDefault="00291D25">
        <w:pPr>
          <w:pStyle w:val="Footer"/>
          <w:jc w:val="right"/>
        </w:pPr>
        <w:r>
          <w:fldChar w:fldCharType="begin"/>
        </w:r>
        <w:r>
          <w:instrText xml:space="preserve"> PAGE   \* MERGEFORMAT </w:instrText>
        </w:r>
        <w:r>
          <w:fldChar w:fldCharType="separate"/>
        </w:r>
        <w:r w:rsidR="00D26D98">
          <w:rPr>
            <w:noProof/>
          </w:rPr>
          <w:t>4</w:t>
        </w:r>
        <w:r>
          <w:rPr>
            <w:noProof/>
          </w:rPr>
          <w:fldChar w:fldCharType="end"/>
        </w:r>
      </w:p>
    </w:sdtContent>
  </w:sdt>
  <w:p w:rsidR="00F06F8C" w:rsidRDefault="00291D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D25" w:rsidRDefault="00291D25" w:rsidP="00DD433A">
      <w:pPr>
        <w:spacing w:after="0" w:line="240" w:lineRule="auto"/>
      </w:pPr>
      <w:r>
        <w:separator/>
      </w:r>
    </w:p>
  </w:footnote>
  <w:footnote w:type="continuationSeparator" w:id="0">
    <w:p w:rsidR="00291D25" w:rsidRDefault="00291D25" w:rsidP="00DD433A">
      <w:pPr>
        <w:spacing w:after="0" w:line="240" w:lineRule="auto"/>
      </w:pPr>
      <w:r>
        <w:continuationSeparator/>
      </w:r>
    </w:p>
  </w:footnote>
  <w:footnote w:id="1">
    <w:p w:rsidR="00DD433A" w:rsidRPr="00875F2A" w:rsidRDefault="00DD433A" w:rsidP="00DD433A">
      <w:pPr>
        <w:pStyle w:val="FootnoteText"/>
        <w:rPr>
          <w:rFonts w:ascii="Times New Roman" w:hAnsi="Times New Roman"/>
          <w:sz w:val="20"/>
        </w:rPr>
      </w:pPr>
      <w:r w:rsidRPr="00875F2A">
        <w:rPr>
          <w:rStyle w:val="FootnoteReference"/>
          <w:rFonts w:ascii="Times New Roman" w:hAnsi="Times New Roman"/>
          <w:i w:val="0"/>
          <w:sz w:val="20"/>
        </w:rPr>
        <w:footnoteRef/>
      </w:r>
      <w:r w:rsidRPr="00875F2A">
        <w:rPr>
          <w:rFonts w:ascii="Times New Roman" w:hAnsi="Times New Roman"/>
          <w:sz w:val="20"/>
        </w:rPr>
        <w:t xml:space="preserve"> </w:t>
      </w:r>
      <w:r>
        <w:rPr>
          <w:rFonts w:ascii="Times New Roman" w:hAnsi="Times New Roman"/>
          <w:sz w:val="20"/>
        </w:rPr>
        <w:t>According to the Office of the Commissioner for Protection against Discrimination, one of the proposals which was included it was to add “nationality” as ground for discrimination.</w:t>
      </w:r>
      <w:r w:rsidRPr="00875F2A">
        <w:rPr>
          <w:rFonts w:ascii="Times New Roman" w:hAnsi="Times New Roman"/>
          <w:sz w:val="20"/>
        </w:rPr>
        <w:t xml:space="preserve"> </w:t>
      </w:r>
    </w:p>
  </w:footnote>
  <w:footnote w:id="2">
    <w:p w:rsidR="00DD433A" w:rsidRPr="00D33AD7" w:rsidRDefault="00DD433A" w:rsidP="00DD433A">
      <w:pPr>
        <w:pStyle w:val="FootnoteText"/>
        <w:spacing w:after="0"/>
        <w:jc w:val="left"/>
        <w:rPr>
          <w:rFonts w:ascii="Times New Roman" w:hAnsi="Times New Roman"/>
          <w:sz w:val="20"/>
        </w:rPr>
      </w:pPr>
      <w:r w:rsidRPr="00D33AD7">
        <w:rPr>
          <w:rStyle w:val="FootnoteReference"/>
          <w:rFonts w:ascii="Times New Roman" w:hAnsi="Times New Roman"/>
          <w:sz w:val="20"/>
        </w:rPr>
        <w:footnoteRef/>
      </w:r>
      <w:r w:rsidRPr="00D33AD7">
        <w:rPr>
          <w:rFonts w:ascii="Times New Roman" w:hAnsi="Times New Roman"/>
          <w:sz w:val="20"/>
        </w:rPr>
        <w:t xml:space="preserve"> </w:t>
      </w:r>
      <w:r>
        <w:rPr>
          <w:rFonts w:ascii="Times New Roman" w:hAnsi="Times New Roman"/>
          <w:sz w:val="20"/>
        </w:rPr>
        <w:t>Detailed information on the activity of the Ombudsman is provided in the Annual reports</w:t>
      </w:r>
      <w:r w:rsidRPr="00D33AD7">
        <w:rPr>
          <w:rFonts w:ascii="Times New Roman" w:hAnsi="Times New Roman"/>
          <w:sz w:val="20"/>
        </w:rPr>
        <w:t xml:space="preserve">: </w:t>
      </w:r>
    </w:p>
    <w:p w:rsidR="00DD433A" w:rsidRPr="00D33AD7" w:rsidRDefault="00DD433A" w:rsidP="00DD433A">
      <w:pPr>
        <w:spacing w:after="0" w:line="240" w:lineRule="auto"/>
        <w:rPr>
          <w:rFonts w:ascii="Times New Roman" w:hAnsi="Times New Roman" w:cs="Times New Roman"/>
          <w:sz w:val="20"/>
          <w:szCs w:val="20"/>
        </w:rPr>
      </w:pPr>
      <w:r w:rsidRPr="00D33AD7">
        <w:rPr>
          <w:rFonts w:ascii="Times New Roman" w:hAnsi="Times New Roman" w:cs="Times New Roman"/>
          <w:sz w:val="20"/>
          <w:szCs w:val="20"/>
        </w:rPr>
        <w:t>https://www.avokatipopullit.gov.al/media/manager/website/reports/Raporti%20Vjetor%20i%20veprimtarise%20se%20institucionit%20te%20Avokatit%20te%20Popullit%20-%20viti%202020.pdf</w:t>
      </w:r>
    </w:p>
  </w:footnote>
  <w:footnote w:id="3">
    <w:p w:rsidR="00DD433A" w:rsidRPr="00DC0A4E" w:rsidRDefault="00DD433A" w:rsidP="00DD433A">
      <w:pPr>
        <w:pStyle w:val="FootnoteText"/>
        <w:spacing w:after="0"/>
        <w:rPr>
          <w:rFonts w:ascii="Times New Roman" w:hAnsi="Times New Roman"/>
        </w:rPr>
      </w:pPr>
      <w:r w:rsidRPr="00F011E1">
        <w:rPr>
          <w:rStyle w:val="FootnoteReference"/>
          <w:rFonts w:ascii="Times New Roman" w:hAnsi="Times New Roman"/>
          <w:i w:val="0"/>
        </w:rPr>
        <w:footnoteRef/>
      </w:r>
      <w:r w:rsidRPr="00F011E1">
        <w:rPr>
          <w:rFonts w:ascii="Times New Roman" w:hAnsi="Times New Roman"/>
          <w:i/>
        </w:rPr>
        <w:t xml:space="preserve"> </w:t>
      </w:r>
      <w:r w:rsidRPr="00525F2C">
        <w:rPr>
          <w:rFonts w:ascii="Times New Roman" w:hAnsi="Times New Roman"/>
          <w:iCs/>
        </w:rPr>
        <w:t>The national minorities recognized based on paragraph 2, article 3 of this law are the following: Greek, Macedonian, Aromanian, Roma, Egyptian, Montenegrin, Bosnian, Serbian and Bulgarian minorities</w:t>
      </w:r>
      <w:r w:rsidRPr="00DC0A4E">
        <w:rPr>
          <w:rFonts w:ascii="Times New Roman" w:hAnsi="Times New Roman"/>
        </w:rPr>
        <w:t>.</w:t>
      </w:r>
    </w:p>
  </w:footnote>
  <w:footnote w:id="4">
    <w:p w:rsidR="00DD433A" w:rsidRPr="008021DC" w:rsidRDefault="00DD433A" w:rsidP="00DD433A">
      <w:pPr>
        <w:pStyle w:val="FootnoteText"/>
        <w:spacing w:after="0"/>
        <w:rPr>
          <w:rFonts w:ascii="Times New Roman" w:hAnsi="Times New Roman"/>
        </w:rPr>
      </w:pPr>
      <w:r w:rsidRPr="00F011E1">
        <w:rPr>
          <w:rStyle w:val="FootnoteReference"/>
          <w:rFonts w:ascii="Times New Roman" w:hAnsi="Times New Roman"/>
          <w:i w:val="0"/>
        </w:rPr>
        <w:footnoteRef/>
      </w:r>
      <w:r w:rsidRPr="00F011E1">
        <w:rPr>
          <w:rFonts w:ascii="Times New Roman" w:hAnsi="Times New Roman"/>
          <w:i/>
        </w:rPr>
        <w:t xml:space="preserve"> </w:t>
      </w:r>
      <w:r w:rsidRPr="009870CD">
        <w:rPr>
          <w:rFonts w:ascii="Times New Roman" w:hAnsi="Times New Roman"/>
        </w:rPr>
        <w:t>https://kryeministria.al/newsroom/n-j-o-f-t-i-m-p-e-r-a-p-l-i-k-i-m-8/</w:t>
      </w:r>
    </w:p>
  </w:footnote>
  <w:footnote w:id="5">
    <w:p w:rsidR="00DD433A" w:rsidRPr="00E2383B" w:rsidRDefault="00DD433A" w:rsidP="00DD433A">
      <w:pPr>
        <w:spacing w:after="0" w:line="240" w:lineRule="auto"/>
        <w:contextualSpacing/>
        <w:jc w:val="both"/>
        <w:rPr>
          <w:rFonts w:ascii="Times New Roman" w:hAnsi="Times New Roman"/>
          <w:sz w:val="20"/>
          <w:szCs w:val="20"/>
          <w:lang w:val="sq-AL"/>
        </w:rPr>
      </w:pPr>
      <w:r w:rsidRPr="00B97E7F">
        <w:rPr>
          <w:rStyle w:val="FootnoteReference"/>
          <w:rFonts w:ascii="Times New Roman" w:hAnsi="Times New Roman"/>
          <w:i w:val="0"/>
          <w:sz w:val="20"/>
        </w:rPr>
        <w:footnoteRef/>
      </w:r>
      <w:r w:rsidRPr="00B97E7F">
        <w:rPr>
          <w:rFonts w:ascii="Times New Roman" w:hAnsi="Times New Roman"/>
          <w:i/>
          <w:sz w:val="20"/>
          <w:szCs w:val="20"/>
        </w:rPr>
        <w:t xml:space="preserve"> </w:t>
      </w:r>
      <w:r w:rsidRPr="00525F2C">
        <w:rPr>
          <w:rFonts w:ascii="Times New Roman" w:hAnsi="Times New Roman"/>
          <w:sz w:val="20"/>
          <w:szCs w:val="20"/>
        </w:rPr>
        <w:t>According to the proposals of the Committee on the National Minorities it is aimed at making two calls for application per year</w:t>
      </w:r>
      <w:r>
        <w:rPr>
          <w:rFonts w:ascii="Times New Roman" w:hAnsi="Times New Roman"/>
          <w:i/>
          <w:sz w:val="20"/>
          <w:szCs w:val="20"/>
        </w:rPr>
        <w:t xml:space="preserve"> </w:t>
      </w:r>
      <w:r w:rsidRPr="0028130B">
        <w:rPr>
          <w:rFonts w:ascii="Times New Roman" w:hAnsi="Times New Roman"/>
          <w:sz w:val="20"/>
          <w:szCs w:val="20"/>
          <w:lang w:val="sq-AL"/>
        </w:rPr>
        <w:t>(</w:t>
      </w:r>
      <w:r>
        <w:rPr>
          <w:rFonts w:ascii="Times New Roman" w:hAnsi="Times New Roman"/>
          <w:sz w:val="20"/>
          <w:szCs w:val="20"/>
          <w:lang w:val="sq-AL"/>
        </w:rPr>
        <w:t>one call in 6 months) and 18 projects will be financed by each call</w:t>
      </w:r>
      <w:r w:rsidRPr="0028130B">
        <w:rPr>
          <w:rFonts w:ascii="Times New Roman" w:hAnsi="Times New Roman"/>
          <w:color w:val="FF0000"/>
          <w:sz w:val="20"/>
          <w:szCs w:val="20"/>
          <w:lang w:val="sq-AL"/>
        </w:rPr>
        <w:t xml:space="preserve">. </w:t>
      </w:r>
      <w:r w:rsidRPr="00AE6B1D">
        <w:rPr>
          <w:rFonts w:ascii="Times New Roman" w:hAnsi="Times New Roman"/>
          <w:sz w:val="20"/>
          <w:szCs w:val="20"/>
        </w:rPr>
        <w:t>The total amount of annual financing requested for at least 2 calls is about</w:t>
      </w:r>
      <w:r>
        <w:rPr>
          <w:rFonts w:ascii="Times New Roman" w:hAnsi="Times New Roman"/>
          <w:color w:val="FF0000"/>
          <w:sz w:val="20"/>
          <w:szCs w:val="20"/>
          <w:lang w:val="sq-AL"/>
        </w:rPr>
        <w:t xml:space="preserve"> </w:t>
      </w:r>
      <w:r w:rsidRPr="0028130B">
        <w:rPr>
          <w:rFonts w:ascii="Times New Roman" w:eastAsia="Calibri" w:hAnsi="Times New Roman"/>
          <w:sz w:val="20"/>
          <w:szCs w:val="20"/>
          <w:lang w:val="sq-AL"/>
        </w:rPr>
        <w:t>45 000 000 lekë</w:t>
      </w:r>
      <w:r>
        <w:rPr>
          <w:rFonts w:ascii="Times New Roman" w:eastAsia="Calibri" w:hAnsi="Times New Roman"/>
          <w:sz w:val="20"/>
          <w:szCs w:val="20"/>
          <w:vertAlign w:val="superscript"/>
          <w:lang w:val="sq-AL"/>
        </w:rPr>
        <w:t xml:space="preserve">. </w:t>
      </w:r>
      <w:r>
        <w:rPr>
          <w:rFonts w:ascii="Times New Roman" w:hAnsi="Times New Roman"/>
          <w:sz w:val="20"/>
          <w:szCs w:val="20"/>
          <w:lang w:val="sq-AL"/>
        </w:rPr>
        <w:t xml:space="preserve">The minimum amount for a dedicated project for each minority group in each call will be </w:t>
      </w:r>
      <w:r w:rsidRPr="0028130B">
        <w:rPr>
          <w:rFonts w:ascii="Times New Roman" w:hAnsi="Times New Roman"/>
          <w:sz w:val="20"/>
          <w:szCs w:val="20"/>
          <w:lang w:val="sq-AL"/>
        </w:rPr>
        <w:t xml:space="preserve">1 000 000 lekë, </w:t>
      </w:r>
      <w:r>
        <w:rPr>
          <w:rFonts w:ascii="Times New Roman" w:hAnsi="Times New Roman"/>
          <w:sz w:val="20"/>
          <w:szCs w:val="20"/>
          <w:lang w:val="sq-AL"/>
        </w:rPr>
        <w:t xml:space="preserve">so </w:t>
      </w:r>
      <w:r w:rsidRPr="0028130B">
        <w:rPr>
          <w:rFonts w:ascii="Times New Roman" w:hAnsi="Times New Roman"/>
          <w:sz w:val="20"/>
          <w:szCs w:val="20"/>
          <w:lang w:val="sq-AL"/>
        </w:rPr>
        <w:t xml:space="preserve"> 9 x 1 000 000 = 9 000 000 lekë. </w:t>
      </w:r>
      <w:r w:rsidRPr="0028130B">
        <w:rPr>
          <w:rFonts w:ascii="Times New Roman" w:hAnsi="Times New Roman"/>
          <w:color w:val="FF0000"/>
          <w:sz w:val="20"/>
          <w:szCs w:val="20"/>
          <w:lang w:val="sq-A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267C8"/>
    <w:multiLevelType w:val="hybridMultilevel"/>
    <w:tmpl w:val="5FE8A69A"/>
    <w:lvl w:ilvl="0" w:tplc="08090001">
      <w:start w:val="1"/>
      <w:numFmt w:val="bullet"/>
      <w:lvlText w:val=""/>
      <w:lvlJc w:val="left"/>
      <w:pPr>
        <w:ind w:left="360" w:hanging="360"/>
      </w:pPr>
      <w:rPr>
        <w:rFonts w:ascii="Symbol" w:hAnsi="Symbol" w:hint="default"/>
      </w:rPr>
    </w:lvl>
    <w:lvl w:ilvl="1" w:tplc="7D0EDE7A">
      <w:numFmt w:val="bullet"/>
      <w:lvlText w:val=""/>
      <w:lvlJc w:val="left"/>
      <w:pPr>
        <w:ind w:left="1440" w:hanging="360"/>
      </w:pPr>
      <w:rPr>
        <w:rFonts w:ascii="Symbol" w:eastAsia="Times New Roman" w:hAnsi="Symbol" w:cs="Times New Roman" w:hint="default"/>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97576B"/>
    <w:multiLevelType w:val="hybridMultilevel"/>
    <w:tmpl w:val="E8D246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81C51BB"/>
    <w:multiLevelType w:val="hybridMultilevel"/>
    <w:tmpl w:val="91F4E85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83F0CDF"/>
    <w:multiLevelType w:val="hybridMultilevel"/>
    <w:tmpl w:val="7946D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CA03DB"/>
    <w:multiLevelType w:val="hybridMultilevel"/>
    <w:tmpl w:val="19C2A4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E179D7"/>
    <w:multiLevelType w:val="hybridMultilevel"/>
    <w:tmpl w:val="F39C4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4D3293"/>
    <w:multiLevelType w:val="hybridMultilevel"/>
    <w:tmpl w:val="D286F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9944EA"/>
    <w:multiLevelType w:val="hybridMultilevel"/>
    <w:tmpl w:val="00D692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A8C2AD9"/>
    <w:multiLevelType w:val="hybridMultilevel"/>
    <w:tmpl w:val="24FE8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9752FB"/>
    <w:multiLevelType w:val="hybridMultilevel"/>
    <w:tmpl w:val="4EFCB368"/>
    <w:lvl w:ilvl="0" w:tplc="1CE61898">
      <w:numFmt w:val="bullet"/>
      <w:lvlText w:val="•"/>
      <w:lvlJc w:val="left"/>
      <w:pPr>
        <w:ind w:left="1440" w:hanging="360"/>
      </w:pPr>
      <w:rPr>
        <w:rFonts w:hint="default"/>
        <w:lang w:val="sq-AL" w:eastAsia="en-US" w:bidi="ar-SA"/>
      </w:rPr>
    </w:lvl>
    <w:lvl w:ilvl="1" w:tplc="041C0003" w:tentative="1">
      <w:start w:val="1"/>
      <w:numFmt w:val="bullet"/>
      <w:lvlText w:val="o"/>
      <w:lvlJc w:val="left"/>
      <w:pPr>
        <w:ind w:left="2160" w:hanging="360"/>
      </w:pPr>
      <w:rPr>
        <w:rFonts w:ascii="Courier New" w:hAnsi="Courier New" w:cs="Courier New" w:hint="default"/>
      </w:rPr>
    </w:lvl>
    <w:lvl w:ilvl="2" w:tplc="041C0005" w:tentative="1">
      <w:start w:val="1"/>
      <w:numFmt w:val="bullet"/>
      <w:lvlText w:val=""/>
      <w:lvlJc w:val="left"/>
      <w:pPr>
        <w:ind w:left="2880" w:hanging="360"/>
      </w:pPr>
      <w:rPr>
        <w:rFonts w:ascii="Wingdings" w:hAnsi="Wingdings" w:hint="default"/>
      </w:rPr>
    </w:lvl>
    <w:lvl w:ilvl="3" w:tplc="041C0001" w:tentative="1">
      <w:start w:val="1"/>
      <w:numFmt w:val="bullet"/>
      <w:lvlText w:val=""/>
      <w:lvlJc w:val="left"/>
      <w:pPr>
        <w:ind w:left="3600" w:hanging="360"/>
      </w:pPr>
      <w:rPr>
        <w:rFonts w:ascii="Symbol" w:hAnsi="Symbol" w:hint="default"/>
      </w:rPr>
    </w:lvl>
    <w:lvl w:ilvl="4" w:tplc="041C0003" w:tentative="1">
      <w:start w:val="1"/>
      <w:numFmt w:val="bullet"/>
      <w:lvlText w:val="o"/>
      <w:lvlJc w:val="left"/>
      <w:pPr>
        <w:ind w:left="4320" w:hanging="360"/>
      </w:pPr>
      <w:rPr>
        <w:rFonts w:ascii="Courier New" w:hAnsi="Courier New" w:cs="Courier New" w:hint="default"/>
      </w:rPr>
    </w:lvl>
    <w:lvl w:ilvl="5" w:tplc="041C0005" w:tentative="1">
      <w:start w:val="1"/>
      <w:numFmt w:val="bullet"/>
      <w:lvlText w:val=""/>
      <w:lvlJc w:val="left"/>
      <w:pPr>
        <w:ind w:left="5040" w:hanging="360"/>
      </w:pPr>
      <w:rPr>
        <w:rFonts w:ascii="Wingdings" w:hAnsi="Wingdings" w:hint="default"/>
      </w:rPr>
    </w:lvl>
    <w:lvl w:ilvl="6" w:tplc="041C0001" w:tentative="1">
      <w:start w:val="1"/>
      <w:numFmt w:val="bullet"/>
      <w:lvlText w:val=""/>
      <w:lvlJc w:val="left"/>
      <w:pPr>
        <w:ind w:left="5760" w:hanging="360"/>
      </w:pPr>
      <w:rPr>
        <w:rFonts w:ascii="Symbol" w:hAnsi="Symbol" w:hint="default"/>
      </w:rPr>
    </w:lvl>
    <w:lvl w:ilvl="7" w:tplc="041C0003" w:tentative="1">
      <w:start w:val="1"/>
      <w:numFmt w:val="bullet"/>
      <w:lvlText w:val="o"/>
      <w:lvlJc w:val="left"/>
      <w:pPr>
        <w:ind w:left="6480" w:hanging="360"/>
      </w:pPr>
      <w:rPr>
        <w:rFonts w:ascii="Courier New" w:hAnsi="Courier New" w:cs="Courier New" w:hint="default"/>
      </w:rPr>
    </w:lvl>
    <w:lvl w:ilvl="8" w:tplc="041C0005" w:tentative="1">
      <w:start w:val="1"/>
      <w:numFmt w:val="bullet"/>
      <w:lvlText w:val=""/>
      <w:lvlJc w:val="left"/>
      <w:pPr>
        <w:ind w:left="7200" w:hanging="360"/>
      </w:pPr>
      <w:rPr>
        <w:rFonts w:ascii="Wingdings" w:hAnsi="Wingdings" w:hint="default"/>
      </w:rPr>
    </w:lvl>
  </w:abstractNum>
  <w:abstractNum w:abstractNumId="10">
    <w:nsid w:val="20690E4B"/>
    <w:multiLevelType w:val="hybridMultilevel"/>
    <w:tmpl w:val="33BA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113916"/>
    <w:multiLevelType w:val="hybridMultilevel"/>
    <w:tmpl w:val="7EF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3ED6E48"/>
    <w:multiLevelType w:val="hybridMultilevel"/>
    <w:tmpl w:val="5FF46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FE29AE"/>
    <w:multiLevelType w:val="hybridMultilevel"/>
    <w:tmpl w:val="7D386870"/>
    <w:lvl w:ilvl="0" w:tplc="1CE61898">
      <w:numFmt w:val="bullet"/>
      <w:lvlText w:val="•"/>
      <w:lvlJc w:val="left"/>
      <w:pPr>
        <w:ind w:left="1440" w:hanging="360"/>
      </w:pPr>
      <w:rPr>
        <w:rFonts w:hint="default"/>
        <w:lang w:val="sq-AL" w:eastAsia="en-US" w:bidi="ar-SA"/>
      </w:rPr>
    </w:lvl>
    <w:lvl w:ilvl="1" w:tplc="041C0003" w:tentative="1">
      <w:start w:val="1"/>
      <w:numFmt w:val="bullet"/>
      <w:lvlText w:val="o"/>
      <w:lvlJc w:val="left"/>
      <w:pPr>
        <w:ind w:left="2160" w:hanging="360"/>
      </w:pPr>
      <w:rPr>
        <w:rFonts w:ascii="Courier New" w:hAnsi="Courier New" w:cs="Courier New" w:hint="default"/>
      </w:rPr>
    </w:lvl>
    <w:lvl w:ilvl="2" w:tplc="041C0005" w:tentative="1">
      <w:start w:val="1"/>
      <w:numFmt w:val="bullet"/>
      <w:lvlText w:val=""/>
      <w:lvlJc w:val="left"/>
      <w:pPr>
        <w:ind w:left="2880" w:hanging="360"/>
      </w:pPr>
      <w:rPr>
        <w:rFonts w:ascii="Wingdings" w:hAnsi="Wingdings" w:hint="default"/>
      </w:rPr>
    </w:lvl>
    <w:lvl w:ilvl="3" w:tplc="041C0001" w:tentative="1">
      <w:start w:val="1"/>
      <w:numFmt w:val="bullet"/>
      <w:lvlText w:val=""/>
      <w:lvlJc w:val="left"/>
      <w:pPr>
        <w:ind w:left="3600" w:hanging="360"/>
      </w:pPr>
      <w:rPr>
        <w:rFonts w:ascii="Symbol" w:hAnsi="Symbol" w:hint="default"/>
      </w:rPr>
    </w:lvl>
    <w:lvl w:ilvl="4" w:tplc="041C0003" w:tentative="1">
      <w:start w:val="1"/>
      <w:numFmt w:val="bullet"/>
      <w:lvlText w:val="o"/>
      <w:lvlJc w:val="left"/>
      <w:pPr>
        <w:ind w:left="4320" w:hanging="360"/>
      </w:pPr>
      <w:rPr>
        <w:rFonts w:ascii="Courier New" w:hAnsi="Courier New" w:cs="Courier New" w:hint="default"/>
      </w:rPr>
    </w:lvl>
    <w:lvl w:ilvl="5" w:tplc="041C0005" w:tentative="1">
      <w:start w:val="1"/>
      <w:numFmt w:val="bullet"/>
      <w:lvlText w:val=""/>
      <w:lvlJc w:val="left"/>
      <w:pPr>
        <w:ind w:left="5040" w:hanging="360"/>
      </w:pPr>
      <w:rPr>
        <w:rFonts w:ascii="Wingdings" w:hAnsi="Wingdings" w:hint="default"/>
      </w:rPr>
    </w:lvl>
    <w:lvl w:ilvl="6" w:tplc="041C0001" w:tentative="1">
      <w:start w:val="1"/>
      <w:numFmt w:val="bullet"/>
      <w:lvlText w:val=""/>
      <w:lvlJc w:val="left"/>
      <w:pPr>
        <w:ind w:left="5760" w:hanging="360"/>
      </w:pPr>
      <w:rPr>
        <w:rFonts w:ascii="Symbol" w:hAnsi="Symbol" w:hint="default"/>
      </w:rPr>
    </w:lvl>
    <w:lvl w:ilvl="7" w:tplc="041C0003" w:tentative="1">
      <w:start w:val="1"/>
      <w:numFmt w:val="bullet"/>
      <w:lvlText w:val="o"/>
      <w:lvlJc w:val="left"/>
      <w:pPr>
        <w:ind w:left="6480" w:hanging="360"/>
      </w:pPr>
      <w:rPr>
        <w:rFonts w:ascii="Courier New" w:hAnsi="Courier New" w:cs="Courier New" w:hint="default"/>
      </w:rPr>
    </w:lvl>
    <w:lvl w:ilvl="8" w:tplc="041C0005" w:tentative="1">
      <w:start w:val="1"/>
      <w:numFmt w:val="bullet"/>
      <w:lvlText w:val=""/>
      <w:lvlJc w:val="left"/>
      <w:pPr>
        <w:ind w:left="7200" w:hanging="360"/>
      </w:pPr>
      <w:rPr>
        <w:rFonts w:ascii="Wingdings" w:hAnsi="Wingdings" w:hint="default"/>
      </w:rPr>
    </w:lvl>
  </w:abstractNum>
  <w:abstractNum w:abstractNumId="14">
    <w:nsid w:val="280A5348"/>
    <w:multiLevelType w:val="hybridMultilevel"/>
    <w:tmpl w:val="F0CC8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011734"/>
    <w:multiLevelType w:val="hybridMultilevel"/>
    <w:tmpl w:val="D44043DC"/>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BE6417F"/>
    <w:multiLevelType w:val="hybridMultilevel"/>
    <w:tmpl w:val="E82C7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E077E0A"/>
    <w:multiLevelType w:val="hybridMultilevel"/>
    <w:tmpl w:val="2766026C"/>
    <w:lvl w:ilvl="0" w:tplc="A692B85E">
      <w:start w:val="1"/>
      <w:numFmt w:val="decimal"/>
      <w:lvlText w:val="%1."/>
      <w:lvlJc w:val="left"/>
      <w:pPr>
        <w:ind w:left="218" w:hanging="360"/>
      </w:pPr>
      <w:rPr>
        <w:rFonts w:eastAsia="Calibri" w:hint="default"/>
        <w:i w:val="0"/>
      </w:rPr>
    </w:lvl>
    <w:lvl w:ilvl="1" w:tplc="08090019">
      <w:start w:val="1"/>
      <w:numFmt w:val="lowerLetter"/>
      <w:lvlText w:val="%2."/>
      <w:lvlJc w:val="left"/>
      <w:pPr>
        <w:ind w:left="938" w:hanging="360"/>
      </w:pPr>
    </w:lvl>
    <w:lvl w:ilvl="2" w:tplc="D02A6348">
      <w:start w:val="20"/>
      <w:numFmt w:val="decimal"/>
      <w:lvlText w:val="%3"/>
      <w:lvlJc w:val="left"/>
      <w:pPr>
        <w:ind w:left="1838" w:hanging="360"/>
      </w:pPr>
      <w:rPr>
        <w:rFonts w:hint="default"/>
      </w:r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8">
    <w:nsid w:val="35F544D1"/>
    <w:multiLevelType w:val="hybridMultilevel"/>
    <w:tmpl w:val="53705384"/>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9">
    <w:nsid w:val="37D81F4A"/>
    <w:multiLevelType w:val="hybridMultilevel"/>
    <w:tmpl w:val="0EA8B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DF6FD2"/>
    <w:multiLevelType w:val="hybridMultilevel"/>
    <w:tmpl w:val="817AB3D8"/>
    <w:lvl w:ilvl="0" w:tplc="1CE61898">
      <w:numFmt w:val="bullet"/>
      <w:lvlText w:val="•"/>
      <w:lvlJc w:val="left"/>
      <w:pPr>
        <w:ind w:left="1440" w:hanging="360"/>
      </w:pPr>
      <w:rPr>
        <w:rFonts w:hint="default"/>
        <w:lang w:val="sq-AL" w:eastAsia="en-US" w:bidi="ar-SA"/>
      </w:rPr>
    </w:lvl>
    <w:lvl w:ilvl="1" w:tplc="041C0003" w:tentative="1">
      <w:start w:val="1"/>
      <w:numFmt w:val="bullet"/>
      <w:lvlText w:val="o"/>
      <w:lvlJc w:val="left"/>
      <w:pPr>
        <w:ind w:left="2160" w:hanging="360"/>
      </w:pPr>
      <w:rPr>
        <w:rFonts w:ascii="Courier New" w:hAnsi="Courier New" w:cs="Courier New" w:hint="default"/>
      </w:rPr>
    </w:lvl>
    <w:lvl w:ilvl="2" w:tplc="041C0005" w:tentative="1">
      <w:start w:val="1"/>
      <w:numFmt w:val="bullet"/>
      <w:lvlText w:val=""/>
      <w:lvlJc w:val="left"/>
      <w:pPr>
        <w:ind w:left="2880" w:hanging="360"/>
      </w:pPr>
      <w:rPr>
        <w:rFonts w:ascii="Wingdings" w:hAnsi="Wingdings" w:hint="default"/>
      </w:rPr>
    </w:lvl>
    <w:lvl w:ilvl="3" w:tplc="041C0001" w:tentative="1">
      <w:start w:val="1"/>
      <w:numFmt w:val="bullet"/>
      <w:lvlText w:val=""/>
      <w:lvlJc w:val="left"/>
      <w:pPr>
        <w:ind w:left="3600" w:hanging="360"/>
      </w:pPr>
      <w:rPr>
        <w:rFonts w:ascii="Symbol" w:hAnsi="Symbol" w:hint="default"/>
      </w:rPr>
    </w:lvl>
    <w:lvl w:ilvl="4" w:tplc="041C0003" w:tentative="1">
      <w:start w:val="1"/>
      <w:numFmt w:val="bullet"/>
      <w:lvlText w:val="o"/>
      <w:lvlJc w:val="left"/>
      <w:pPr>
        <w:ind w:left="4320" w:hanging="360"/>
      </w:pPr>
      <w:rPr>
        <w:rFonts w:ascii="Courier New" w:hAnsi="Courier New" w:cs="Courier New" w:hint="default"/>
      </w:rPr>
    </w:lvl>
    <w:lvl w:ilvl="5" w:tplc="041C0005" w:tentative="1">
      <w:start w:val="1"/>
      <w:numFmt w:val="bullet"/>
      <w:lvlText w:val=""/>
      <w:lvlJc w:val="left"/>
      <w:pPr>
        <w:ind w:left="5040" w:hanging="360"/>
      </w:pPr>
      <w:rPr>
        <w:rFonts w:ascii="Wingdings" w:hAnsi="Wingdings" w:hint="default"/>
      </w:rPr>
    </w:lvl>
    <w:lvl w:ilvl="6" w:tplc="041C0001" w:tentative="1">
      <w:start w:val="1"/>
      <w:numFmt w:val="bullet"/>
      <w:lvlText w:val=""/>
      <w:lvlJc w:val="left"/>
      <w:pPr>
        <w:ind w:left="5760" w:hanging="360"/>
      </w:pPr>
      <w:rPr>
        <w:rFonts w:ascii="Symbol" w:hAnsi="Symbol" w:hint="default"/>
      </w:rPr>
    </w:lvl>
    <w:lvl w:ilvl="7" w:tplc="041C0003" w:tentative="1">
      <w:start w:val="1"/>
      <w:numFmt w:val="bullet"/>
      <w:lvlText w:val="o"/>
      <w:lvlJc w:val="left"/>
      <w:pPr>
        <w:ind w:left="6480" w:hanging="360"/>
      </w:pPr>
      <w:rPr>
        <w:rFonts w:ascii="Courier New" w:hAnsi="Courier New" w:cs="Courier New" w:hint="default"/>
      </w:rPr>
    </w:lvl>
    <w:lvl w:ilvl="8" w:tplc="041C0005" w:tentative="1">
      <w:start w:val="1"/>
      <w:numFmt w:val="bullet"/>
      <w:lvlText w:val=""/>
      <w:lvlJc w:val="left"/>
      <w:pPr>
        <w:ind w:left="7200" w:hanging="360"/>
      </w:pPr>
      <w:rPr>
        <w:rFonts w:ascii="Wingdings" w:hAnsi="Wingdings" w:hint="default"/>
      </w:rPr>
    </w:lvl>
  </w:abstractNum>
  <w:abstractNum w:abstractNumId="21">
    <w:nsid w:val="3C2C1D2F"/>
    <w:multiLevelType w:val="hybridMultilevel"/>
    <w:tmpl w:val="9CC00A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04427C5"/>
    <w:multiLevelType w:val="hybridMultilevel"/>
    <w:tmpl w:val="E6EC9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430D89"/>
    <w:multiLevelType w:val="hybridMultilevel"/>
    <w:tmpl w:val="E7E038D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F66AD4"/>
    <w:multiLevelType w:val="hybridMultilevel"/>
    <w:tmpl w:val="6CF2FBD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509B216C"/>
    <w:multiLevelType w:val="hybridMultilevel"/>
    <w:tmpl w:val="B40E2F20"/>
    <w:lvl w:ilvl="0" w:tplc="A692B85E">
      <w:start w:val="1"/>
      <w:numFmt w:val="decimal"/>
      <w:lvlText w:val="%1."/>
      <w:lvlJc w:val="left"/>
      <w:pPr>
        <w:ind w:left="218" w:hanging="360"/>
      </w:pPr>
      <w:rPr>
        <w:rFonts w:eastAsia="Calibri" w:hint="default"/>
        <w:i w:val="0"/>
      </w:rPr>
    </w:lvl>
    <w:lvl w:ilvl="1" w:tplc="08090001">
      <w:start w:val="1"/>
      <w:numFmt w:val="bullet"/>
      <w:lvlText w:val=""/>
      <w:lvlJc w:val="left"/>
      <w:pPr>
        <w:ind w:left="938" w:hanging="360"/>
      </w:pPr>
      <w:rPr>
        <w:rFonts w:ascii="Symbol" w:hAnsi="Symbol" w:hint="default"/>
      </w:rPr>
    </w:lvl>
    <w:lvl w:ilvl="2" w:tplc="D02A6348">
      <w:start w:val="20"/>
      <w:numFmt w:val="decimal"/>
      <w:lvlText w:val="%3"/>
      <w:lvlJc w:val="left"/>
      <w:pPr>
        <w:ind w:left="1838" w:hanging="360"/>
      </w:pPr>
      <w:rPr>
        <w:rFonts w:hint="default"/>
      </w:r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6">
    <w:nsid w:val="55781D29"/>
    <w:multiLevelType w:val="hybridMultilevel"/>
    <w:tmpl w:val="CDCCAAD2"/>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7">
    <w:nsid w:val="5763385A"/>
    <w:multiLevelType w:val="hybridMultilevel"/>
    <w:tmpl w:val="3A74E5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AE000E2"/>
    <w:multiLevelType w:val="hybridMultilevel"/>
    <w:tmpl w:val="2102C75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9">
    <w:nsid w:val="5F5B7829"/>
    <w:multiLevelType w:val="hybridMultilevel"/>
    <w:tmpl w:val="0464D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C6F24C0"/>
    <w:multiLevelType w:val="hybridMultilevel"/>
    <w:tmpl w:val="2222BCB6"/>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E213973"/>
    <w:multiLevelType w:val="hybridMultilevel"/>
    <w:tmpl w:val="13AAE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613302"/>
    <w:multiLevelType w:val="hybridMultilevel"/>
    <w:tmpl w:val="1A44F422"/>
    <w:lvl w:ilvl="0" w:tplc="6532C5F8">
      <w:start w:val="10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2F0224A"/>
    <w:multiLevelType w:val="hybridMultilevel"/>
    <w:tmpl w:val="5D4A6324"/>
    <w:lvl w:ilvl="0" w:tplc="04090001">
      <w:start w:val="1"/>
      <w:numFmt w:val="bullet"/>
      <w:lvlText w:val=""/>
      <w:lvlJc w:val="left"/>
      <w:pPr>
        <w:ind w:left="720" w:hanging="360"/>
      </w:pPr>
      <w:rPr>
        <w:rFonts w:ascii="Symbol" w:hAnsi="Symbol" w:hint="default"/>
        <w:color w:val="auto"/>
      </w:rPr>
    </w:lvl>
    <w:lvl w:ilvl="1" w:tplc="041C0003">
      <w:start w:val="1"/>
      <w:numFmt w:val="bullet"/>
      <w:lvlText w:val="o"/>
      <w:lvlJc w:val="left"/>
      <w:pPr>
        <w:ind w:left="1440" w:hanging="360"/>
      </w:pPr>
      <w:rPr>
        <w:rFonts w:ascii="Courier New" w:hAnsi="Courier New" w:cs="Courier New" w:hint="default"/>
      </w:rPr>
    </w:lvl>
    <w:lvl w:ilvl="2" w:tplc="041C0005">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34">
    <w:nsid w:val="73B246F5"/>
    <w:multiLevelType w:val="hybridMultilevel"/>
    <w:tmpl w:val="E6E2F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E097191"/>
    <w:multiLevelType w:val="hybridMultilevel"/>
    <w:tmpl w:val="4ED6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0"/>
  </w:num>
  <w:num w:numId="3">
    <w:abstractNumId w:val="32"/>
  </w:num>
  <w:num w:numId="4">
    <w:abstractNumId w:val="3"/>
  </w:num>
  <w:num w:numId="5">
    <w:abstractNumId w:val="24"/>
  </w:num>
  <w:num w:numId="6">
    <w:abstractNumId w:val="0"/>
  </w:num>
  <w:num w:numId="7">
    <w:abstractNumId w:val="2"/>
  </w:num>
  <w:num w:numId="8">
    <w:abstractNumId w:val="22"/>
  </w:num>
  <w:num w:numId="9">
    <w:abstractNumId w:val="1"/>
  </w:num>
  <w:num w:numId="10">
    <w:abstractNumId w:val="17"/>
  </w:num>
  <w:num w:numId="11">
    <w:abstractNumId w:val="25"/>
  </w:num>
  <w:num w:numId="12">
    <w:abstractNumId w:val="16"/>
  </w:num>
  <w:num w:numId="13">
    <w:abstractNumId w:val="11"/>
  </w:num>
  <w:num w:numId="14">
    <w:abstractNumId w:val="5"/>
  </w:num>
  <w:num w:numId="15">
    <w:abstractNumId w:val="29"/>
  </w:num>
  <w:num w:numId="16">
    <w:abstractNumId w:val="18"/>
  </w:num>
  <w:num w:numId="17">
    <w:abstractNumId w:val="33"/>
  </w:num>
  <w:num w:numId="18">
    <w:abstractNumId w:val="31"/>
  </w:num>
  <w:num w:numId="19">
    <w:abstractNumId w:val="12"/>
  </w:num>
  <w:num w:numId="20">
    <w:abstractNumId w:val="10"/>
  </w:num>
  <w:num w:numId="21">
    <w:abstractNumId w:val="27"/>
  </w:num>
  <w:num w:numId="22">
    <w:abstractNumId w:val="4"/>
  </w:num>
  <w:num w:numId="23">
    <w:abstractNumId w:val="7"/>
  </w:num>
  <w:num w:numId="24">
    <w:abstractNumId w:val="21"/>
  </w:num>
  <w:num w:numId="25">
    <w:abstractNumId w:val="34"/>
  </w:num>
  <w:num w:numId="26">
    <w:abstractNumId w:val="6"/>
  </w:num>
  <w:num w:numId="27">
    <w:abstractNumId w:val="35"/>
  </w:num>
  <w:num w:numId="28">
    <w:abstractNumId w:val="14"/>
  </w:num>
  <w:num w:numId="29">
    <w:abstractNumId w:val="9"/>
  </w:num>
  <w:num w:numId="30">
    <w:abstractNumId w:val="20"/>
  </w:num>
  <w:num w:numId="31">
    <w:abstractNumId w:val="13"/>
  </w:num>
  <w:num w:numId="32">
    <w:abstractNumId w:val="19"/>
  </w:num>
  <w:num w:numId="33">
    <w:abstractNumId w:val="28"/>
  </w:num>
  <w:num w:numId="34">
    <w:abstractNumId w:val="26"/>
  </w:num>
  <w:num w:numId="35">
    <w:abstractNumId w:val="8"/>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33A"/>
    <w:rsid w:val="0024567E"/>
    <w:rsid w:val="00291D25"/>
    <w:rsid w:val="00D26D98"/>
    <w:rsid w:val="00DD4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33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D433A"/>
    <w:pPr>
      <w:spacing w:after="120" w:line="276" w:lineRule="auto"/>
    </w:pPr>
    <w:rPr>
      <w:rFonts w:ascii="Calibri" w:eastAsia="Times New Roman" w:hAnsi="Calibri" w:cs="Times New Roman"/>
    </w:rPr>
  </w:style>
  <w:style w:type="character" w:customStyle="1" w:styleId="BodyTextChar">
    <w:name w:val="Body Text Char"/>
    <w:basedOn w:val="DefaultParagraphFont"/>
    <w:link w:val="BodyText"/>
    <w:rsid w:val="00DD433A"/>
    <w:rPr>
      <w:rFonts w:ascii="Calibri" w:eastAsia="Times New Roman" w:hAnsi="Calibri" w:cs="Times New Roman"/>
    </w:rPr>
  </w:style>
  <w:style w:type="character" w:styleId="FootnoteReference">
    <w:name w:val="footnote reference"/>
    <w:aliases w:val="Footnote Refernece,Fußnotenzeichen_Raxen,Footnote Reference1,BVI fnr,Footnote symbol,Footnote Reference Arial,Appel note de bas de page,callout,ftref,16 Point,Superscript 6 Point,Odwołanie przypisu,4_G,Ref,de nota al pie"/>
    <w:link w:val="calloutCharCharCharCharCharCharCharCharCharChar1CharCharCharCharChar"/>
    <w:uiPriority w:val="99"/>
    <w:qFormat/>
    <w:rsid w:val="00DD433A"/>
    <w:rPr>
      <w:rFonts w:ascii="Arial" w:hAnsi="Arial"/>
      <w:i/>
      <w:sz w:val="18"/>
      <w:vertAlign w:val="superscript"/>
    </w:rPr>
  </w:style>
  <w:style w:type="paragraph" w:styleId="FootnoteText">
    <w:name w:val="footnote text"/>
    <w:aliases w:val="stile 1,Schriftart: 9 pt,Schriftart: 10 pt,Schriftart: 8 pt,Char,Footnote,Footnote Text Char1,Footnote Text Char Char,Footnote Text Char1 Char Char,Footnote Text Char Char Char Char,Footnote Text Char Char1,Footnote Text Char1 Char,n,fn,FA"/>
    <w:basedOn w:val="Normal"/>
    <w:next w:val="Normal"/>
    <w:link w:val="FootnoteTextChar"/>
    <w:uiPriority w:val="99"/>
    <w:qFormat/>
    <w:rsid w:val="00DD433A"/>
    <w:pPr>
      <w:spacing w:after="80" w:line="240" w:lineRule="auto"/>
      <w:jc w:val="both"/>
    </w:pPr>
    <w:rPr>
      <w:rFonts w:ascii="Arial" w:eastAsia="Times New Roman" w:hAnsi="Arial" w:cs="Times New Roman"/>
      <w:sz w:val="18"/>
      <w:szCs w:val="20"/>
    </w:rPr>
  </w:style>
  <w:style w:type="character" w:customStyle="1" w:styleId="FootnoteTextChar">
    <w:name w:val="Footnote Text Char"/>
    <w:aliases w:val="stile 1 Char,Schriftart: 9 pt Char,Schriftart: 10 pt Char,Schriftart: 8 pt Char,Char Char,Footnote Char,Footnote Text Char1 Char1,Footnote Text Char Char Char,Footnote Text Char1 Char Char Char,Footnote Text Char Char Char Char Char"/>
    <w:basedOn w:val="DefaultParagraphFont"/>
    <w:link w:val="FootnoteText"/>
    <w:uiPriority w:val="99"/>
    <w:rsid w:val="00DD433A"/>
    <w:rPr>
      <w:rFonts w:ascii="Arial" w:eastAsia="Times New Roman" w:hAnsi="Arial" w:cs="Times New Roman"/>
      <w:sz w:val="18"/>
      <w:szCs w:val="20"/>
    </w:rPr>
  </w:style>
  <w:style w:type="paragraph" w:styleId="ListParagraph">
    <w:name w:val="List Paragraph"/>
    <w:aliases w:val="Normal 1,Dot pt,List Paragraph1,F5 List Paragraph,List Paragraph Char Char Char,Indicator Text,Colorful List - Accent 11,Numbered Para 1,Bullet 1,Bullet Points,MAIN CONTENT,Párrafo de lista,Recommendation,List Paragraph2,List Paragraph 1"/>
    <w:basedOn w:val="Normal"/>
    <w:link w:val="ListParagraphChar"/>
    <w:uiPriority w:val="34"/>
    <w:qFormat/>
    <w:rsid w:val="00DD433A"/>
    <w:pPr>
      <w:spacing w:after="0" w:line="240" w:lineRule="auto"/>
      <w:ind w:left="720"/>
      <w:contextualSpacing/>
    </w:pPr>
    <w:rPr>
      <w:rFonts w:ascii="Garamond" w:eastAsia="Times New Roman" w:hAnsi="Garamond" w:cs="Times New Roman"/>
      <w:noProof/>
      <w:sz w:val="28"/>
      <w:szCs w:val="20"/>
      <w:lang w:val="en-AU"/>
    </w:rPr>
  </w:style>
  <w:style w:type="character" w:customStyle="1" w:styleId="ListParagraphChar">
    <w:name w:val="List Paragraph Char"/>
    <w:aliases w:val="Normal 1 Char,Dot pt Char,List Paragraph1 Char,F5 List Paragraph Char,List Paragraph Char Char Char Char,Indicator Text Char,Colorful List - Accent 11 Char,Numbered Para 1 Char,Bullet 1 Char,Bullet Points Char,MAIN CONTENT Char"/>
    <w:link w:val="ListParagraph"/>
    <w:uiPriority w:val="34"/>
    <w:qFormat/>
    <w:locked/>
    <w:rsid w:val="00DD433A"/>
    <w:rPr>
      <w:rFonts w:ascii="Garamond" w:eastAsia="Times New Roman" w:hAnsi="Garamond" w:cs="Times New Roman"/>
      <w:noProof/>
      <w:sz w:val="28"/>
      <w:szCs w:val="20"/>
      <w:lang w:val="en-AU"/>
    </w:rPr>
  </w:style>
  <w:style w:type="paragraph" w:styleId="Footer">
    <w:name w:val="footer"/>
    <w:aliases w:val="3_G"/>
    <w:basedOn w:val="Normal"/>
    <w:link w:val="FooterChar"/>
    <w:uiPriority w:val="99"/>
    <w:unhideWhenUsed/>
    <w:rsid w:val="00DD433A"/>
    <w:pPr>
      <w:tabs>
        <w:tab w:val="center" w:pos="4680"/>
        <w:tab w:val="right" w:pos="9360"/>
      </w:tabs>
      <w:spacing w:after="0" w:line="240" w:lineRule="auto"/>
    </w:pPr>
    <w:rPr>
      <w:rFonts w:eastAsiaTheme="minorEastAsia"/>
    </w:rPr>
  </w:style>
  <w:style w:type="character" w:customStyle="1" w:styleId="FooterChar">
    <w:name w:val="Footer Char"/>
    <w:aliases w:val="3_G Char"/>
    <w:basedOn w:val="DefaultParagraphFont"/>
    <w:link w:val="Footer"/>
    <w:uiPriority w:val="99"/>
    <w:rsid w:val="00DD433A"/>
    <w:rPr>
      <w:rFonts w:eastAsiaTheme="minorEastAsia"/>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FootnoteReference"/>
    <w:uiPriority w:val="99"/>
    <w:rsid w:val="00DD433A"/>
    <w:pPr>
      <w:spacing w:line="240" w:lineRule="exact"/>
    </w:pPr>
    <w:rPr>
      <w:rFonts w:ascii="Arial" w:hAnsi="Arial"/>
      <w:i/>
      <w:sz w:val="18"/>
      <w:vertAlign w:val="superscript"/>
    </w:rPr>
  </w:style>
  <w:style w:type="paragraph" w:customStyle="1" w:styleId="SingleTxtG">
    <w:name w:val="_ Single Txt_G"/>
    <w:basedOn w:val="Normal"/>
    <w:link w:val="SingleTxtGChar"/>
    <w:rsid w:val="00DD433A"/>
    <w:pPr>
      <w:spacing w:before="240" w:after="120" w:line="360" w:lineRule="auto"/>
      <w:ind w:left="1134" w:right="1134"/>
      <w:jc w:val="both"/>
    </w:pPr>
    <w:rPr>
      <w:rFonts w:ascii="Calibri" w:eastAsia="Calibri" w:hAnsi="Calibri" w:cs="Times New Roman"/>
    </w:rPr>
  </w:style>
  <w:style w:type="character" w:customStyle="1" w:styleId="SingleTxtGChar">
    <w:name w:val="_ Single Txt_G Char"/>
    <w:link w:val="SingleTxtG"/>
    <w:rsid w:val="00DD433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33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D433A"/>
    <w:pPr>
      <w:spacing w:after="120" w:line="276" w:lineRule="auto"/>
    </w:pPr>
    <w:rPr>
      <w:rFonts w:ascii="Calibri" w:eastAsia="Times New Roman" w:hAnsi="Calibri" w:cs="Times New Roman"/>
    </w:rPr>
  </w:style>
  <w:style w:type="character" w:customStyle="1" w:styleId="BodyTextChar">
    <w:name w:val="Body Text Char"/>
    <w:basedOn w:val="DefaultParagraphFont"/>
    <w:link w:val="BodyText"/>
    <w:rsid w:val="00DD433A"/>
    <w:rPr>
      <w:rFonts w:ascii="Calibri" w:eastAsia="Times New Roman" w:hAnsi="Calibri" w:cs="Times New Roman"/>
    </w:rPr>
  </w:style>
  <w:style w:type="character" w:styleId="FootnoteReference">
    <w:name w:val="footnote reference"/>
    <w:aliases w:val="Footnote Refernece,Fußnotenzeichen_Raxen,Footnote Reference1,BVI fnr,Footnote symbol,Footnote Reference Arial,Appel note de bas de page,callout,ftref,16 Point,Superscript 6 Point,Odwołanie przypisu,4_G,Ref,de nota al pie"/>
    <w:link w:val="calloutCharCharCharCharCharCharCharCharCharChar1CharCharCharCharChar"/>
    <w:uiPriority w:val="99"/>
    <w:qFormat/>
    <w:rsid w:val="00DD433A"/>
    <w:rPr>
      <w:rFonts w:ascii="Arial" w:hAnsi="Arial"/>
      <w:i/>
      <w:sz w:val="18"/>
      <w:vertAlign w:val="superscript"/>
    </w:rPr>
  </w:style>
  <w:style w:type="paragraph" w:styleId="FootnoteText">
    <w:name w:val="footnote text"/>
    <w:aliases w:val="stile 1,Schriftart: 9 pt,Schriftart: 10 pt,Schriftart: 8 pt,Char,Footnote,Footnote Text Char1,Footnote Text Char Char,Footnote Text Char1 Char Char,Footnote Text Char Char Char Char,Footnote Text Char Char1,Footnote Text Char1 Char,n,fn,FA"/>
    <w:basedOn w:val="Normal"/>
    <w:next w:val="Normal"/>
    <w:link w:val="FootnoteTextChar"/>
    <w:uiPriority w:val="99"/>
    <w:qFormat/>
    <w:rsid w:val="00DD433A"/>
    <w:pPr>
      <w:spacing w:after="80" w:line="240" w:lineRule="auto"/>
      <w:jc w:val="both"/>
    </w:pPr>
    <w:rPr>
      <w:rFonts w:ascii="Arial" w:eastAsia="Times New Roman" w:hAnsi="Arial" w:cs="Times New Roman"/>
      <w:sz w:val="18"/>
      <w:szCs w:val="20"/>
    </w:rPr>
  </w:style>
  <w:style w:type="character" w:customStyle="1" w:styleId="FootnoteTextChar">
    <w:name w:val="Footnote Text Char"/>
    <w:aliases w:val="stile 1 Char,Schriftart: 9 pt Char,Schriftart: 10 pt Char,Schriftart: 8 pt Char,Char Char,Footnote Char,Footnote Text Char1 Char1,Footnote Text Char Char Char,Footnote Text Char1 Char Char Char,Footnote Text Char Char Char Char Char"/>
    <w:basedOn w:val="DefaultParagraphFont"/>
    <w:link w:val="FootnoteText"/>
    <w:uiPriority w:val="99"/>
    <w:rsid w:val="00DD433A"/>
    <w:rPr>
      <w:rFonts w:ascii="Arial" w:eastAsia="Times New Roman" w:hAnsi="Arial" w:cs="Times New Roman"/>
      <w:sz w:val="18"/>
      <w:szCs w:val="20"/>
    </w:rPr>
  </w:style>
  <w:style w:type="paragraph" w:styleId="ListParagraph">
    <w:name w:val="List Paragraph"/>
    <w:aliases w:val="Normal 1,Dot pt,List Paragraph1,F5 List Paragraph,List Paragraph Char Char Char,Indicator Text,Colorful List - Accent 11,Numbered Para 1,Bullet 1,Bullet Points,MAIN CONTENT,Párrafo de lista,Recommendation,List Paragraph2,List Paragraph 1"/>
    <w:basedOn w:val="Normal"/>
    <w:link w:val="ListParagraphChar"/>
    <w:uiPriority w:val="34"/>
    <w:qFormat/>
    <w:rsid w:val="00DD433A"/>
    <w:pPr>
      <w:spacing w:after="0" w:line="240" w:lineRule="auto"/>
      <w:ind w:left="720"/>
      <w:contextualSpacing/>
    </w:pPr>
    <w:rPr>
      <w:rFonts w:ascii="Garamond" w:eastAsia="Times New Roman" w:hAnsi="Garamond" w:cs="Times New Roman"/>
      <w:noProof/>
      <w:sz w:val="28"/>
      <w:szCs w:val="20"/>
      <w:lang w:val="en-AU"/>
    </w:rPr>
  </w:style>
  <w:style w:type="character" w:customStyle="1" w:styleId="ListParagraphChar">
    <w:name w:val="List Paragraph Char"/>
    <w:aliases w:val="Normal 1 Char,Dot pt Char,List Paragraph1 Char,F5 List Paragraph Char,List Paragraph Char Char Char Char,Indicator Text Char,Colorful List - Accent 11 Char,Numbered Para 1 Char,Bullet 1 Char,Bullet Points Char,MAIN CONTENT Char"/>
    <w:link w:val="ListParagraph"/>
    <w:uiPriority w:val="34"/>
    <w:qFormat/>
    <w:locked/>
    <w:rsid w:val="00DD433A"/>
    <w:rPr>
      <w:rFonts w:ascii="Garamond" w:eastAsia="Times New Roman" w:hAnsi="Garamond" w:cs="Times New Roman"/>
      <w:noProof/>
      <w:sz w:val="28"/>
      <w:szCs w:val="20"/>
      <w:lang w:val="en-AU"/>
    </w:rPr>
  </w:style>
  <w:style w:type="paragraph" w:styleId="Footer">
    <w:name w:val="footer"/>
    <w:aliases w:val="3_G"/>
    <w:basedOn w:val="Normal"/>
    <w:link w:val="FooterChar"/>
    <w:uiPriority w:val="99"/>
    <w:unhideWhenUsed/>
    <w:rsid w:val="00DD433A"/>
    <w:pPr>
      <w:tabs>
        <w:tab w:val="center" w:pos="4680"/>
        <w:tab w:val="right" w:pos="9360"/>
      </w:tabs>
      <w:spacing w:after="0" w:line="240" w:lineRule="auto"/>
    </w:pPr>
    <w:rPr>
      <w:rFonts w:eastAsiaTheme="minorEastAsia"/>
    </w:rPr>
  </w:style>
  <w:style w:type="character" w:customStyle="1" w:styleId="FooterChar">
    <w:name w:val="Footer Char"/>
    <w:aliases w:val="3_G Char"/>
    <w:basedOn w:val="DefaultParagraphFont"/>
    <w:link w:val="Footer"/>
    <w:uiPriority w:val="99"/>
    <w:rsid w:val="00DD433A"/>
    <w:rPr>
      <w:rFonts w:eastAsiaTheme="minorEastAsia"/>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FootnoteReference"/>
    <w:uiPriority w:val="99"/>
    <w:rsid w:val="00DD433A"/>
    <w:pPr>
      <w:spacing w:line="240" w:lineRule="exact"/>
    </w:pPr>
    <w:rPr>
      <w:rFonts w:ascii="Arial" w:hAnsi="Arial"/>
      <w:i/>
      <w:sz w:val="18"/>
      <w:vertAlign w:val="superscript"/>
    </w:rPr>
  </w:style>
  <w:style w:type="paragraph" w:customStyle="1" w:styleId="SingleTxtG">
    <w:name w:val="_ Single Txt_G"/>
    <w:basedOn w:val="Normal"/>
    <w:link w:val="SingleTxtGChar"/>
    <w:rsid w:val="00DD433A"/>
    <w:pPr>
      <w:spacing w:before="240" w:after="120" w:line="360" w:lineRule="auto"/>
      <w:ind w:left="1134" w:right="1134"/>
      <w:jc w:val="both"/>
    </w:pPr>
    <w:rPr>
      <w:rFonts w:ascii="Calibri" w:eastAsia="Calibri" w:hAnsi="Calibri" w:cs="Times New Roman"/>
    </w:rPr>
  </w:style>
  <w:style w:type="character" w:customStyle="1" w:styleId="SingleTxtGChar">
    <w:name w:val="_ Single Txt_G Char"/>
    <w:link w:val="SingleTxtG"/>
    <w:rsid w:val="00DD433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C331F5-0DFD-4198-96F8-7FDD10438298}"/>
</file>

<file path=customXml/itemProps2.xml><?xml version="1.0" encoding="utf-8"?>
<ds:datastoreItem xmlns:ds="http://schemas.openxmlformats.org/officeDocument/2006/customXml" ds:itemID="{D1624FD1-8180-42C3-99DC-BCFB63E4557C}"/>
</file>

<file path=customXml/itemProps3.xml><?xml version="1.0" encoding="utf-8"?>
<ds:datastoreItem xmlns:ds="http://schemas.openxmlformats.org/officeDocument/2006/customXml" ds:itemID="{C30C143A-56F3-4F51-AB59-690F1FE9F541}"/>
</file>

<file path=docProps/app.xml><?xml version="1.0" encoding="utf-8"?>
<Properties xmlns="http://schemas.openxmlformats.org/officeDocument/2006/extended-properties" xmlns:vt="http://schemas.openxmlformats.org/officeDocument/2006/docPropsVTypes">
  <Template>Normal</Template>
  <TotalTime>0</TotalTime>
  <Pages>16</Pages>
  <Words>6838</Words>
  <Characters>38981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 Minarolli</dc:creator>
  <cp:lastModifiedBy>Bruna Minarolli</cp:lastModifiedBy>
  <cp:revision>2</cp:revision>
  <dcterms:created xsi:type="dcterms:W3CDTF">2021-07-23T10:45:00Z</dcterms:created>
  <dcterms:modified xsi:type="dcterms:W3CDTF">2021-07-23T10:45:00Z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