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3CEAA" w14:textId="77777777" w:rsidR="00C55876" w:rsidRDefault="00000000">
      <w:pPr>
        <w:pStyle w:val="Heading1"/>
      </w:pPr>
      <w:r>
        <w:t>Written submission to advance the Adoption of The List of Issues by the Committee on Economic, Social and Cultural Rights for the Republic of Kenya</w:t>
      </w:r>
    </w:p>
    <w:p w14:paraId="24B3CEAB" w14:textId="77777777" w:rsidR="00C55876" w:rsidRDefault="00000000">
      <w:pPr>
        <w:spacing w:after="0"/>
        <w:jc w:val="center"/>
        <w:rPr>
          <w:b/>
          <w:color w:val="1F3864"/>
        </w:rPr>
      </w:pPr>
      <w:r>
        <w:rPr>
          <w:b/>
          <w:color w:val="1F3864"/>
        </w:rPr>
        <w:t>72</w:t>
      </w:r>
      <w:r>
        <w:rPr>
          <w:b/>
          <w:color w:val="1F3864"/>
          <w:vertAlign w:val="superscript"/>
        </w:rPr>
        <w:t>nd</w:t>
      </w:r>
      <w:r>
        <w:rPr>
          <w:b/>
          <w:color w:val="1F3864"/>
        </w:rPr>
        <w:t xml:space="preserve"> Pre-Sessional Working Group (6</w:t>
      </w:r>
      <w:r>
        <w:rPr>
          <w:b/>
          <w:color w:val="1F3864"/>
          <w:vertAlign w:val="superscript"/>
        </w:rPr>
        <w:t>th</w:t>
      </w:r>
      <w:r>
        <w:rPr>
          <w:b/>
          <w:color w:val="1F3864"/>
        </w:rPr>
        <w:t xml:space="preserve"> March 2023 – 10</w:t>
      </w:r>
      <w:r>
        <w:rPr>
          <w:b/>
          <w:color w:val="1F3864"/>
          <w:vertAlign w:val="superscript"/>
        </w:rPr>
        <w:t>th</w:t>
      </w:r>
      <w:r>
        <w:rPr>
          <w:b/>
          <w:color w:val="1F3864"/>
        </w:rPr>
        <w:t xml:space="preserve"> March 2023)</w:t>
      </w:r>
    </w:p>
    <w:p w14:paraId="24B3CEAC" w14:textId="2426F902" w:rsidR="00C55876" w:rsidRDefault="00000000">
      <w:r>
        <w:t xml:space="preserve">Dear </w:t>
      </w:r>
      <w:r w:rsidR="009B5EFA">
        <w:t>Honorable</w:t>
      </w:r>
      <w:r>
        <w:t xml:space="preserve"> members of the Committee, </w:t>
      </w:r>
    </w:p>
    <w:p w14:paraId="24B3CEAD" w14:textId="05FE6DC5" w:rsidR="00C55876" w:rsidRDefault="00000000">
      <w:pPr>
        <w:numPr>
          <w:ilvl w:val="1"/>
          <w:numId w:val="2"/>
        </w:numPr>
        <w:pBdr>
          <w:top w:val="nil"/>
          <w:left w:val="nil"/>
          <w:bottom w:val="nil"/>
          <w:right w:val="nil"/>
          <w:between w:val="nil"/>
        </w:pBdr>
        <w:spacing w:after="0"/>
      </w:pPr>
      <w:r>
        <w:rPr>
          <w:color w:val="000000"/>
        </w:rPr>
        <w:t>The Center for Reproductive Rights (“</w:t>
      </w:r>
      <w:r>
        <w:rPr>
          <w:b/>
          <w:color w:val="000000"/>
        </w:rPr>
        <w:t>the Center</w:t>
      </w:r>
      <w:r>
        <w:rPr>
          <w:color w:val="000000"/>
        </w:rPr>
        <w:t>”), Ipas Africa Alliance, the Nyanza Initiative for Girls' Education &amp; Empowerment (“</w:t>
      </w:r>
      <w:r>
        <w:rPr>
          <w:b/>
          <w:color w:val="000000"/>
        </w:rPr>
        <w:t>NIGEE</w:t>
      </w:r>
      <w:r>
        <w:rPr>
          <w:color w:val="000000"/>
        </w:rPr>
        <w:t>”) and the Reproductive Health Network Kenya (“</w:t>
      </w:r>
      <w:r>
        <w:rPr>
          <w:b/>
          <w:color w:val="000000"/>
        </w:rPr>
        <w:t>RHNK</w:t>
      </w:r>
      <w:r>
        <w:rPr>
          <w:color w:val="000000"/>
        </w:rPr>
        <w:t>”) submit this letter to provide the Committee on Economic, Social and Cultural Rights (“</w:t>
      </w:r>
      <w:r>
        <w:rPr>
          <w:b/>
          <w:color w:val="000000"/>
        </w:rPr>
        <w:t>the</w:t>
      </w:r>
      <w:r>
        <w:rPr>
          <w:color w:val="000000"/>
        </w:rPr>
        <w:t xml:space="preserve"> </w:t>
      </w:r>
      <w:r>
        <w:rPr>
          <w:b/>
          <w:color w:val="000000"/>
        </w:rPr>
        <w:t>Committee</w:t>
      </w:r>
      <w:r>
        <w:rPr>
          <w:color w:val="000000"/>
        </w:rPr>
        <w:t>”) with relevant information about the status of compliance by the Republic of Kenya (“</w:t>
      </w:r>
      <w:r>
        <w:rPr>
          <w:b/>
          <w:color w:val="000000"/>
        </w:rPr>
        <w:t>Kenya</w:t>
      </w:r>
      <w:r>
        <w:rPr>
          <w:color w:val="000000"/>
        </w:rPr>
        <w:t>”) with its obligations under the International Covenant on Economic, Social and Cultural Rights (“</w:t>
      </w:r>
      <w:r>
        <w:rPr>
          <w:b/>
          <w:color w:val="000000"/>
        </w:rPr>
        <w:t>the</w:t>
      </w:r>
      <w:r>
        <w:rPr>
          <w:color w:val="000000"/>
        </w:rPr>
        <w:t xml:space="preserve"> </w:t>
      </w:r>
      <w:r>
        <w:rPr>
          <w:b/>
          <w:color w:val="000000"/>
        </w:rPr>
        <w:t>ICESCR</w:t>
      </w:r>
      <w:r>
        <w:rPr>
          <w:color w:val="000000"/>
        </w:rPr>
        <w:t xml:space="preserve">”) </w:t>
      </w:r>
      <w:r w:rsidR="007018D6">
        <w:rPr>
          <w:color w:val="000000"/>
        </w:rPr>
        <w:t xml:space="preserve">in a bid </w:t>
      </w:r>
      <w:r>
        <w:rPr>
          <w:color w:val="000000"/>
        </w:rPr>
        <w:t xml:space="preserve">to assist the Committee with the adoption of </w:t>
      </w:r>
      <w:r w:rsidR="00C641E7">
        <w:rPr>
          <w:color w:val="000000"/>
        </w:rPr>
        <w:t xml:space="preserve">the </w:t>
      </w:r>
      <w:r>
        <w:rPr>
          <w:color w:val="000000"/>
        </w:rPr>
        <w:t>list of issues in preparation for the Committee’s review of  Kenya.</w:t>
      </w:r>
    </w:p>
    <w:p w14:paraId="60E9823B" w14:textId="64F0A3B5" w:rsidR="00D670DD" w:rsidRDefault="00000000" w:rsidP="002A07AD">
      <w:pPr>
        <w:numPr>
          <w:ilvl w:val="1"/>
          <w:numId w:val="2"/>
        </w:numPr>
        <w:pBdr>
          <w:top w:val="nil"/>
          <w:left w:val="nil"/>
          <w:bottom w:val="nil"/>
          <w:right w:val="nil"/>
          <w:between w:val="nil"/>
        </w:pBdr>
      </w:pPr>
      <w:r>
        <w:rPr>
          <w:color w:val="000000"/>
        </w:rPr>
        <w:t xml:space="preserve">The Center is an international non–governmental legal advocacy organization that uses the law to advance reproductive freedom as a fundamental human right that all governments are legally obligated to respect, protect and fulfill. Ipas Africa Alliance is a non-profit organization that works towards increasing women’s ability to exercise their sexual and reproductive rights by conducting health systems strengthening, community and legislative advocacy across </w:t>
      </w:r>
      <w:r w:rsidR="005E75A6">
        <w:rPr>
          <w:color w:val="000000"/>
        </w:rPr>
        <w:t>sub-Saharan</w:t>
      </w:r>
      <w:r>
        <w:rPr>
          <w:color w:val="000000"/>
        </w:rPr>
        <w:t xml:space="preserve"> Africa. </w:t>
      </w:r>
      <w:r w:rsidR="00725DAF">
        <w:rPr>
          <w:color w:val="000000"/>
        </w:rPr>
        <w:t xml:space="preserve">NIGEE is </w:t>
      </w:r>
      <w:r w:rsidR="006875C8">
        <w:rPr>
          <w:color w:val="000000"/>
        </w:rPr>
        <w:t>a girl-led, women’s rights grassroots organization that works toward</w:t>
      </w:r>
      <w:r w:rsidR="00E471E5">
        <w:rPr>
          <w:color w:val="000000"/>
        </w:rPr>
        <w:t>s</w:t>
      </w:r>
      <w:r w:rsidR="00E471E5" w:rsidRPr="00E471E5">
        <w:rPr>
          <w:color w:val="000000"/>
        </w:rPr>
        <w:t xml:space="preserve"> a society and a future of self-determining and self-reliant girls and women</w:t>
      </w:r>
      <w:r w:rsidR="0050483F">
        <w:rPr>
          <w:color w:val="000000"/>
        </w:rPr>
        <w:t xml:space="preserve"> by </w:t>
      </w:r>
      <w:r w:rsidR="0050483F" w:rsidRPr="0050483F">
        <w:rPr>
          <w:color w:val="000000"/>
        </w:rPr>
        <w:t>leverag</w:t>
      </w:r>
      <w:r w:rsidR="0050483F">
        <w:rPr>
          <w:color w:val="000000"/>
        </w:rPr>
        <w:t>ing</w:t>
      </w:r>
      <w:r w:rsidR="0050483F" w:rsidRPr="0050483F">
        <w:rPr>
          <w:color w:val="000000"/>
        </w:rPr>
        <w:t xml:space="preserve"> community and other resources to equip girls with knowledge and skills for productive and fulfilled adult </w:t>
      </w:r>
      <w:r w:rsidR="005E75A6" w:rsidRPr="0050483F">
        <w:rPr>
          <w:color w:val="000000"/>
        </w:rPr>
        <w:t>life.</w:t>
      </w:r>
      <w:r w:rsidR="005E75A6" w:rsidRPr="002A07AD">
        <w:rPr>
          <w:color w:val="000000"/>
        </w:rPr>
        <w:t xml:space="preserve"> The</w:t>
      </w:r>
      <w:r w:rsidRPr="002A07AD">
        <w:rPr>
          <w:color w:val="000000"/>
        </w:rPr>
        <w:t xml:space="preserve"> </w:t>
      </w:r>
      <w:hyperlink r:id="rId8" w:history="1">
        <w:r w:rsidRPr="002A07AD">
          <w:rPr>
            <w:color w:val="000000"/>
          </w:rPr>
          <w:t>Reproductive Health Network Kenya (RHNK)</w:t>
        </w:r>
      </w:hyperlink>
      <w:r w:rsidRPr="002A07AD">
        <w:rPr>
          <w:color w:val="000000"/>
        </w:rPr>
        <w:t xml:space="preserve"> is a network of health care providers within private and public facilities, advancing access to quality comprehensive sexual and reproductive health service delivery through capacity building, </w:t>
      </w:r>
      <w:proofErr w:type="gramStart"/>
      <w:r w:rsidRPr="002A07AD">
        <w:rPr>
          <w:color w:val="000000"/>
        </w:rPr>
        <w:t>advocacy</w:t>
      </w:r>
      <w:proofErr w:type="gramEnd"/>
      <w:r w:rsidRPr="002A07AD">
        <w:rPr>
          <w:color w:val="000000"/>
        </w:rPr>
        <w:t xml:space="preserve"> and strategic partnerships</w:t>
      </w:r>
    </w:p>
    <w:p w14:paraId="24B3CEB0" w14:textId="4C652FD9" w:rsidR="00C55876" w:rsidRPr="002A07AD" w:rsidRDefault="00000000" w:rsidP="00D670DD">
      <w:pPr>
        <w:pStyle w:val="Heading2"/>
        <w:numPr>
          <w:ilvl w:val="0"/>
          <w:numId w:val="0"/>
        </w:numPr>
        <w:ind w:left="426"/>
        <w:rPr>
          <w:rFonts w:eastAsia="Palatino Linotype" w:cs="Palatino Linotype"/>
          <w:color w:val="auto"/>
          <w:szCs w:val="22"/>
          <w:u w:val="none"/>
        </w:rPr>
      </w:pPr>
      <w:r>
        <w:t>Background</w:t>
      </w:r>
    </w:p>
    <w:p w14:paraId="24B3CEB1" w14:textId="76F0853E" w:rsidR="00C55876" w:rsidRDefault="00000000">
      <w:pPr>
        <w:numPr>
          <w:ilvl w:val="1"/>
          <w:numId w:val="2"/>
        </w:numPr>
        <w:pBdr>
          <w:top w:val="nil"/>
          <w:left w:val="nil"/>
          <w:bottom w:val="nil"/>
          <w:right w:val="nil"/>
          <w:between w:val="nil"/>
        </w:pBdr>
        <w:spacing w:after="0"/>
      </w:pPr>
      <w:r>
        <w:rPr>
          <w:color w:val="000000"/>
        </w:rPr>
        <w:t xml:space="preserve">Kenya ratified the ICESCR in 1972. Consequently, by virtue of Article 2(6) of the Constitution of Kenya which provides that all ratified international laws form part of the laws of the land, the ICESCR forms part of the laws of Kenya. Thus, Kenya is bound to respect, </w:t>
      </w:r>
      <w:proofErr w:type="gramStart"/>
      <w:r>
        <w:rPr>
          <w:color w:val="000000"/>
        </w:rPr>
        <w:t>protect</w:t>
      </w:r>
      <w:proofErr w:type="gramEnd"/>
      <w:r>
        <w:rPr>
          <w:color w:val="000000"/>
        </w:rPr>
        <w:t xml:space="preserve"> and fulfill the rights in the ICESCR.</w:t>
      </w:r>
    </w:p>
    <w:p w14:paraId="24B3CEB2" w14:textId="5936080E" w:rsidR="00C55876" w:rsidRDefault="00000000">
      <w:pPr>
        <w:numPr>
          <w:ilvl w:val="1"/>
          <w:numId w:val="2"/>
        </w:numPr>
        <w:pBdr>
          <w:top w:val="nil"/>
          <w:left w:val="nil"/>
          <w:bottom w:val="nil"/>
          <w:right w:val="nil"/>
          <w:between w:val="nil"/>
        </w:pBdr>
        <w:spacing w:after="0"/>
      </w:pPr>
      <w:r>
        <w:rPr>
          <w:color w:val="000000"/>
        </w:rPr>
        <w:t>The right to health is recognized in Article 12 of the ICESCR and Article 43(1)(a) of the Constitution of Kenya, 2010 (“</w:t>
      </w:r>
      <w:r>
        <w:rPr>
          <w:b/>
          <w:color w:val="000000"/>
        </w:rPr>
        <w:t>the</w:t>
      </w:r>
      <w:r>
        <w:rPr>
          <w:color w:val="000000"/>
        </w:rPr>
        <w:t xml:space="preserve"> </w:t>
      </w:r>
      <w:r>
        <w:rPr>
          <w:b/>
          <w:color w:val="000000"/>
        </w:rPr>
        <w:t>Constitution</w:t>
      </w:r>
      <w:r>
        <w:rPr>
          <w:color w:val="000000"/>
        </w:rPr>
        <w:t>”). The Constitution explicitly recognizes that reproductive health forms an integral part of the right to health and as such, Kenyans cannot attain the highest standard of health without reproductive healthcare.</w:t>
      </w:r>
      <w:r>
        <w:rPr>
          <w:color w:val="000000"/>
          <w:vertAlign w:val="superscript"/>
        </w:rPr>
        <w:footnoteReference w:id="1"/>
      </w:r>
      <w:r>
        <w:rPr>
          <w:color w:val="000000"/>
        </w:rPr>
        <w:t xml:space="preserve"> This aligns with guidance given by the </w:t>
      </w:r>
      <w:r>
        <w:rPr>
          <w:color w:val="000000"/>
        </w:rPr>
        <w:lastRenderedPageBreak/>
        <w:t>Committee which expressly recognizes sexual and reproductive freedoms as forming a crucial part of the right to health.</w:t>
      </w:r>
      <w:r>
        <w:rPr>
          <w:color w:val="000000"/>
          <w:vertAlign w:val="superscript"/>
        </w:rPr>
        <w:footnoteReference w:id="2"/>
      </w:r>
    </w:p>
    <w:p w14:paraId="24B3CEB3" w14:textId="77777777" w:rsidR="00C55876" w:rsidRDefault="00000000">
      <w:pPr>
        <w:numPr>
          <w:ilvl w:val="1"/>
          <w:numId w:val="2"/>
        </w:numPr>
        <w:pBdr>
          <w:top w:val="nil"/>
          <w:left w:val="nil"/>
          <w:bottom w:val="nil"/>
          <w:right w:val="nil"/>
          <w:between w:val="nil"/>
        </w:pBdr>
      </w:pPr>
      <w:r>
        <w:rPr>
          <w:color w:val="000000"/>
        </w:rPr>
        <w:t xml:space="preserve">This contribution will seek to provide the Committee with information on the right to the highest attainable standard of sexual and reproductive health, with a focus on the acts and omissions by the State which have jeopardized the accessibility, availability, </w:t>
      </w:r>
      <w:proofErr w:type="gramStart"/>
      <w:r>
        <w:rPr>
          <w:color w:val="000000"/>
        </w:rPr>
        <w:t>acceptability</w:t>
      </w:r>
      <w:proofErr w:type="gramEnd"/>
      <w:r>
        <w:rPr>
          <w:color w:val="000000"/>
        </w:rPr>
        <w:t xml:space="preserve"> and quality of safe comprehensive abortion care; sexual and reproductive health services and information by adolescents; and maternal healthcare.</w:t>
      </w:r>
    </w:p>
    <w:p w14:paraId="24B3CEB4" w14:textId="77777777" w:rsidR="00C55876" w:rsidRDefault="00000000">
      <w:pPr>
        <w:pStyle w:val="Heading2"/>
        <w:numPr>
          <w:ilvl w:val="0"/>
          <w:numId w:val="1"/>
        </w:numPr>
      </w:pPr>
      <w:r>
        <w:t>Lack of Access to Comprehensive Abortion Care</w:t>
      </w:r>
    </w:p>
    <w:p w14:paraId="24B3CEB5" w14:textId="1DEEB00D" w:rsidR="00C55876" w:rsidRDefault="00000000">
      <w:pPr>
        <w:numPr>
          <w:ilvl w:val="1"/>
          <w:numId w:val="2"/>
        </w:numPr>
        <w:pBdr>
          <w:top w:val="nil"/>
          <w:left w:val="nil"/>
          <w:bottom w:val="nil"/>
          <w:right w:val="nil"/>
          <w:between w:val="nil"/>
        </w:pBdr>
        <w:spacing w:after="0"/>
      </w:pPr>
      <w:r>
        <w:rPr>
          <w:color w:val="000000"/>
        </w:rPr>
        <w:t>Between 2015-2019, 61% of pregnancies occurring in Kenya were unplanned. Of these, 38%, that is approximately 551,000 ended in abortion.</w:t>
      </w:r>
      <w:r>
        <w:rPr>
          <w:color w:val="000000"/>
          <w:vertAlign w:val="superscript"/>
        </w:rPr>
        <w:footnoteReference w:id="3"/>
      </w:r>
      <w:r>
        <w:rPr>
          <w:color w:val="000000"/>
        </w:rPr>
        <w:t xml:space="preserve"> There is no recent quantitative data on the incidence of unsafe abortions in Kenya as the last nationwide study was conducted in 2012. This study, </w:t>
      </w:r>
      <w:r w:rsidR="00B3473F">
        <w:rPr>
          <w:color w:val="000000"/>
        </w:rPr>
        <w:t>which</w:t>
      </w:r>
      <w:r>
        <w:rPr>
          <w:color w:val="000000"/>
        </w:rPr>
        <w:t xml:space="preserve"> was conducted in partnership with Ipas Africa Alliance, found that the number of women seeking post abortion care, likely following an unsafe abortion, were 5 times the number of women seeking safe abortion services which indicates that approximately 80% of the abortions that are procured are unsafe.</w:t>
      </w:r>
      <w:r>
        <w:rPr>
          <w:color w:val="000000"/>
          <w:vertAlign w:val="superscript"/>
        </w:rPr>
        <w:footnoteReference w:id="4"/>
      </w:r>
      <w:r>
        <w:rPr>
          <w:color w:val="000000"/>
        </w:rPr>
        <w:t xml:space="preserve"> </w:t>
      </w:r>
    </w:p>
    <w:p w14:paraId="24B3CEB6" w14:textId="77777777" w:rsidR="00C55876" w:rsidRDefault="00000000">
      <w:pPr>
        <w:numPr>
          <w:ilvl w:val="1"/>
          <w:numId w:val="2"/>
        </w:numPr>
        <w:pBdr>
          <w:top w:val="nil"/>
          <w:left w:val="nil"/>
          <w:bottom w:val="nil"/>
          <w:right w:val="nil"/>
          <w:between w:val="nil"/>
        </w:pBdr>
        <w:spacing w:after="0"/>
      </w:pPr>
      <w:r>
        <w:rPr>
          <w:color w:val="000000"/>
        </w:rPr>
        <w:t>There is recent qualitative data which indicates that the prevalence of unsafe abortion is still high. For instance, a 2017 study conducted in 2 urban centers found that many communities conflate abortion with complications such as death, infertility, infections, subsequent miscarriages, psychological distress and weight loss.</w:t>
      </w:r>
      <w:r>
        <w:rPr>
          <w:color w:val="000000"/>
          <w:vertAlign w:val="superscript"/>
        </w:rPr>
        <w:footnoteReference w:id="5"/>
      </w:r>
      <w:r>
        <w:rPr>
          <w:color w:val="000000"/>
        </w:rPr>
        <w:t xml:space="preserve"> Another study conducted in 2021, in a rural area had similar findings: women and girls conflate abortion with death and infertility.</w:t>
      </w:r>
      <w:r>
        <w:rPr>
          <w:color w:val="000000"/>
          <w:vertAlign w:val="superscript"/>
        </w:rPr>
        <w:footnoteReference w:id="6"/>
      </w:r>
      <w:r>
        <w:rPr>
          <w:color w:val="000000"/>
        </w:rPr>
        <w:t xml:space="preserve"> These studies indicate that when it comes to abortion, the experiences and therefore knowledge of a significant number of women, girls and other persons in the community have been of unsafe abortion rather than safe abortion.</w:t>
      </w:r>
    </w:p>
    <w:p w14:paraId="24B3CEB7" w14:textId="766609E2" w:rsidR="00C55876" w:rsidRDefault="00000000">
      <w:pPr>
        <w:numPr>
          <w:ilvl w:val="1"/>
          <w:numId w:val="2"/>
        </w:numPr>
        <w:pBdr>
          <w:top w:val="nil"/>
          <w:left w:val="nil"/>
          <w:bottom w:val="nil"/>
          <w:right w:val="nil"/>
          <w:between w:val="nil"/>
        </w:pBdr>
        <w:spacing w:after="0"/>
      </w:pPr>
      <w:r>
        <w:rPr>
          <w:color w:val="000000"/>
        </w:rPr>
        <w:t>Unsafe abortion continues to be prevalent despite the Constitution of Kenya, 2010, guaranteeing the right of women and girls to access safe abortion services where, in the opinion of a trained and licensed doctor, nurse, midwife or clinical officer, the pregnancy endangers the life or health of the pregnant person; it is an emergency situation; or where allowed by any other written law.</w:t>
      </w:r>
      <w:r>
        <w:rPr>
          <w:color w:val="000000"/>
          <w:vertAlign w:val="superscript"/>
        </w:rPr>
        <w:footnoteReference w:id="7"/>
      </w:r>
      <w:r>
        <w:rPr>
          <w:color w:val="000000"/>
          <w:vertAlign w:val="superscript"/>
        </w:rPr>
        <w:t xml:space="preserve">, </w:t>
      </w:r>
      <w:r>
        <w:rPr>
          <w:color w:val="000000"/>
          <w:vertAlign w:val="superscript"/>
        </w:rPr>
        <w:footnoteReference w:id="8"/>
      </w:r>
      <w:r>
        <w:rPr>
          <w:color w:val="000000"/>
        </w:rPr>
        <w:t xml:space="preserve"> Furthermore, the National Guidelines on Management of Sexual Violence in Kenya, passed </w:t>
      </w:r>
      <w:r>
        <w:rPr>
          <w:color w:val="000000"/>
        </w:rPr>
        <w:lastRenderedPageBreak/>
        <w:t>pursuant to section 35 of the Sexual Offences Act (No</w:t>
      </w:r>
      <w:r w:rsidR="009E62EB">
        <w:rPr>
          <w:color w:val="000000"/>
        </w:rPr>
        <w:t>.</w:t>
      </w:r>
      <w:r>
        <w:rPr>
          <w:color w:val="000000"/>
        </w:rPr>
        <w:t xml:space="preserve"> 3 of 2006,) allow for the provision of safe, legal abortion services where the pregnancy is as a result of sexual violence, that is, rape, defilement or incest.</w:t>
      </w:r>
      <w:r>
        <w:rPr>
          <w:color w:val="000000"/>
          <w:vertAlign w:val="superscript"/>
        </w:rPr>
        <w:footnoteReference w:id="9"/>
      </w:r>
      <w:r>
        <w:rPr>
          <w:color w:val="000000"/>
          <w:vertAlign w:val="superscript"/>
        </w:rPr>
        <w:t xml:space="preserve">, </w:t>
      </w:r>
      <w:r>
        <w:rPr>
          <w:color w:val="000000"/>
          <w:vertAlign w:val="superscript"/>
        </w:rPr>
        <w:footnoteReference w:id="10"/>
      </w:r>
      <w:r>
        <w:rPr>
          <w:color w:val="000000"/>
          <w:vertAlign w:val="superscript"/>
        </w:rPr>
        <w:t xml:space="preserve">  </w:t>
      </w:r>
      <w:r>
        <w:rPr>
          <w:color w:val="000000"/>
        </w:rPr>
        <w:t>Also, post abortion care is unconditionally legal.</w:t>
      </w:r>
      <w:r>
        <w:rPr>
          <w:color w:val="000000"/>
          <w:vertAlign w:val="superscript"/>
        </w:rPr>
        <w:footnoteReference w:id="11"/>
      </w:r>
      <w:r>
        <w:rPr>
          <w:color w:val="000000"/>
          <w:vertAlign w:val="superscript"/>
        </w:rPr>
        <w:t xml:space="preserve"> </w:t>
      </w:r>
    </w:p>
    <w:p w14:paraId="24B3CEB8" w14:textId="04FDF6C2" w:rsidR="00C55876" w:rsidRDefault="00000000">
      <w:pPr>
        <w:numPr>
          <w:ilvl w:val="1"/>
          <w:numId w:val="2"/>
        </w:numPr>
        <w:pBdr>
          <w:top w:val="nil"/>
          <w:left w:val="nil"/>
          <w:bottom w:val="nil"/>
          <w:right w:val="nil"/>
          <w:between w:val="nil"/>
        </w:pBdr>
        <w:spacing w:after="0"/>
      </w:pPr>
      <w:r>
        <w:rPr>
          <w:color w:val="000000"/>
        </w:rPr>
        <w:t>The prevalence of unsafe abortion can be directly tied to the government of Kenya’s failure to fulfill its obligations to respect and achieve women and girls’ right to access comprehensive, safe abortion services to the full extent allowed by the law. These obligations, in addition to being enshrined in the Constitution and domestic law as set out above, are also enshrined in the ICESCR.</w:t>
      </w:r>
    </w:p>
    <w:p w14:paraId="24B3CEB9" w14:textId="1BBA4FF6" w:rsidR="00C55876" w:rsidRDefault="00000000">
      <w:pPr>
        <w:numPr>
          <w:ilvl w:val="1"/>
          <w:numId w:val="2"/>
        </w:numPr>
        <w:pBdr>
          <w:top w:val="nil"/>
          <w:left w:val="nil"/>
          <w:bottom w:val="nil"/>
          <w:right w:val="nil"/>
          <w:between w:val="nil"/>
        </w:pBdr>
        <w:spacing w:after="0"/>
      </w:pPr>
      <w:r>
        <w:rPr>
          <w:color w:val="000000"/>
        </w:rPr>
        <w:t>The obligation to respect requires the government to refrain from directly or indirectly interfering with the right to access safe abortion. It requires governments to take measures such as repealing regressive laws and refraining from taking regressive measures. The obligation to fulfill requires the government to take positive steps and put in place measures to ensure women can access safe abortion services including by enacting laws providing for provision of safe abortion services to the full extent allowed by the Constitution and addressing social barriers such as stigma.</w:t>
      </w:r>
      <w:r>
        <w:rPr>
          <w:color w:val="000000"/>
          <w:vertAlign w:val="superscript"/>
        </w:rPr>
        <w:footnoteReference w:id="12"/>
      </w:r>
      <w:r>
        <w:rPr>
          <w:color w:val="000000"/>
        </w:rPr>
        <w:t xml:space="preserve"> </w:t>
      </w:r>
    </w:p>
    <w:p w14:paraId="24B3CEBA" w14:textId="70FC90CA" w:rsidR="00C55876" w:rsidRDefault="00000000">
      <w:pPr>
        <w:numPr>
          <w:ilvl w:val="1"/>
          <w:numId w:val="2"/>
        </w:numPr>
        <w:pBdr>
          <w:top w:val="nil"/>
          <w:left w:val="nil"/>
          <w:bottom w:val="nil"/>
          <w:right w:val="nil"/>
          <w:between w:val="nil"/>
        </w:pBdr>
        <w:spacing w:after="0"/>
      </w:pPr>
      <w:r>
        <w:rPr>
          <w:color w:val="000000"/>
        </w:rPr>
        <w:t xml:space="preserve">The government of Kenya has failed to fulfill its obligations to respect and fulfill the right to safe abortion. </w:t>
      </w:r>
      <w:proofErr w:type="gramStart"/>
      <w:r>
        <w:rPr>
          <w:color w:val="000000"/>
        </w:rPr>
        <w:t xml:space="preserve">In particular, </w:t>
      </w:r>
      <w:r>
        <w:rPr>
          <w:b/>
          <w:i/>
          <w:color w:val="000000"/>
        </w:rPr>
        <w:t>for</w:t>
      </w:r>
      <w:proofErr w:type="gramEnd"/>
      <w:r>
        <w:rPr>
          <w:b/>
          <w:i/>
          <w:color w:val="000000"/>
        </w:rPr>
        <w:t xml:space="preserve"> over 12 years, the government has failed to amend the provisions of the Penal Code (CAP 63) to ensure that they are consistent with the Constitution</w:t>
      </w:r>
      <w:r>
        <w:rPr>
          <w:i/>
          <w:color w:val="000000"/>
        </w:rPr>
        <w:t>.</w:t>
      </w:r>
      <w:r>
        <w:rPr>
          <w:color w:val="000000"/>
        </w:rPr>
        <w:t xml:space="preserve"> Section 158-160 of the Penal Code criminalize providing, </w:t>
      </w:r>
      <w:proofErr w:type="gramStart"/>
      <w:r>
        <w:rPr>
          <w:color w:val="000000"/>
        </w:rPr>
        <w:t>seeking</w:t>
      </w:r>
      <w:proofErr w:type="gramEnd"/>
      <w:r>
        <w:rPr>
          <w:color w:val="000000"/>
        </w:rPr>
        <w:t xml:space="preserve"> and facilitating “</w:t>
      </w:r>
      <w:r>
        <w:rPr>
          <w:i/>
          <w:color w:val="000000"/>
        </w:rPr>
        <w:t>unlawful</w:t>
      </w:r>
      <w:r>
        <w:rPr>
          <w:color w:val="000000"/>
        </w:rPr>
        <w:t xml:space="preserve">” abortion services. </w:t>
      </w:r>
      <w:proofErr w:type="gramStart"/>
      <w:r>
        <w:rPr>
          <w:color w:val="000000"/>
        </w:rPr>
        <w:t>Despite the fact that</w:t>
      </w:r>
      <w:proofErr w:type="gramEnd"/>
      <w:r>
        <w:rPr>
          <w:color w:val="000000"/>
        </w:rPr>
        <w:t xml:space="preserve"> the Constitution of Kenya was adopted in August 2010, parliament is yet to amend the Penal Code to reflect the constitutional grounds on which abortion services can lawfully be sought and provided. As a result, the provisions of the Penal Code continue to operate as a blanket criminalization of abortion and post abortion care (even in cases of miscarriages) resulting in women, girls and healthcare providers being </w:t>
      </w:r>
      <w:r w:rsidR="003C0705">
        <w:rPr>
          <w:color w:val="000000"/>
        </w:rPr>
        <w:t xml:space="preserve">harassed, </w:t>
      </w:r>
      <w:r>
        <w:rPr>
          <w:color w:val="000000"/>
        </w:rPr>
        <w:t xml:space="preserve">arrested, </w:t>
      </w:r>
      <w:proofErr w:type="gramStart"/>
      <w:r>
        <w:rPr>
          <w:color w:val="000000"/>
        </w:rPr>
        <w:t>charged</w:t>
      </w:r>
      <w:proofErr w:type="gramEnd"/>
      <w:r>
        <w:rPr>
          <w:color w:val="000000"/>
        </w:rPr>
        <w:t xml:space="preserve"> and prosecuted for seeking and providing services even when they fall under the constitutional exceptions. The blanket </w:t>
      </w:r>
      <w:r w:rsidR="005E75A6">
        <w:rPr>
          <w:color w:val="000000"/>
        </w:rPr>
        <w:t>criminalization</w:t>
      </w:r>
      <w:r>
        <w:rPr>
          <w:color w:val="000000"/>
        </w:rPr>
        <w:t xml:space="preserve"> of abortion violates women and girls’ right to access abortion services to the full extent allowed by the Constitution and, consequently, their right to attain the highest standard of sexual and reproductive health. Additionally, arrests, investigations and prosecutions under these sections are often conducted in a manner that violates women and girls’ right to privacy, dignity, freedom from torture and freedom from self-incrimination.</w:t>
      </w:r>
      <w:r>
        <w:rPr>
          <w:color w:val="000000"/>
          <w:vertAlign w:val="superscript"/>
        </w:rPr>
        <w:footnoteReference w:id="13"/>
      </w:r>
    </w:p>
    <w:p w14:paraId="24B3CEBB" w14:textId="5E5CB831" w:rsidR="00C55876" w:rsidRDefault="00000000">
      <w:pPr>
        <w:numPr>
          <w:ilvl w:val="1"/>
          <w:numId w:val="2"/>
        </w:numPr>
        <w:pBdr>
          <w:top w:val="nil"/>
          <w:left w:val="nil"/>
          <w:bottom w:val="nil"/>
          <w:right w:val="nil"/>
          <w:between w:val="nil"/>
        </w:pBdr>
        <w:spacing w:after="0"/>
      </w:pPr>
      <w:r>
        <w:rPr>
          <w:color w:val="000000"/>
        </w:rPr>
        <w:lastRenderedPageBreak/>
        <w:t xml:space="preserve">Criminalization also fuels the stigma against women and girls who seek abortion services from both their communities and healthcare professionals. While criminalization contributes to stigma against abortion, it is not the only factor. Stigma against abortion is also fueled by </w:t>
      </w:r>
      <w:r w:rsidR="000E4684">
        <w:rPr>
          <w:color w:val="000000"/>
        </w:rPr>
        <w:t xml:space="preserve">misinformation, disinformation, </w:t>
      </w:r>
      <w:r>
        <w:rPr>
          <w:color w:val="000000"/>
        </w:rPr>
        <w:t>cultural and religious beliefs.</w:t>
      </w:r>
      <w:r>
        <w:rPr>
          <w:color w:val="000000"/>
          <w:vertAlign w:val="superscript"/>
        </w:rPr>
        <w:footnoteReference w:id="14"/>
      </w:r>
      <w:r>
        <w:rPr>
          <w:color w:val="000000"/>
          <w:vertAlign w:val="superscript"/>
        </w:rPr>
        <w:t>,</w:t>
      </w:r>
      <w:r>
        <w:rPr>
          <w:color w:val="000000"/>
        </w:rPr>
        <w:t xml:space="preserve"> </w:t>
      </w:r>
      <w:r>
        <w:rPr>
          <w:color w:val="000000"/>
          <w:vertAlign w:val="superscript"/>
        </w:rPr>
        <w:footnoteReference w:id="15"/>
      </w:r>
      <w:r>
        <w:rPr>
          <w:color w:val="000000"/>
        </w:rPr>
        <w:t xml:space="preserve"> Criminalization and stigma are the main drivers of unsafe abortion among women and girls in Kenya.</w:t>
      </w:r>
      <w:r>
        <w:rPr>
          <w:color w:val="000000"/>
          <w:vertAlign w:val="superscript"/>
        </w:rPr>
        <w:footnoteReference w:id="16"/>
      </w:r>
    </w:p>
    <w:p w14:paraId="24B3CEBC" w14:textId="7692F16D" w:rsidR="00C55876" w:rsidRDefault="00000000">
      <w:pPr>
        <w:numPr>
          <w:ilvl w:val="1"/>
          <w:numId w:val="2"/>
        </w:numPr>
        <w:pBdr>
          <w:top w:val="nil"/>
          <w:left w:val="nil"/>
          <w:bottom w:val="nil"/>
          <w:right w:val="nil"/>
          <w:between w:val="nil"/>
        </w:pBdr>
        <w:spacing w:after="0"/>
      </w:pPr>
      <w:r>
        <w:rPr>
          <w:color w:val="000000"/>
        </w:rPr>
        <w:t xml:space="preserve">The effects of Parliament’s failure to amend the Penal Code are accurately illustrated in the facts of the case of </w:t>
      </w:r>
      <w:r>
        <w:rPr>
          <w:b/>
          <w:i/>
          <w:color w:val="000000"/>
          <w:u w:val="single"/>
        </w:rPr>
        <w:t>PAK and another v Attorney General and 3 others</w:t>
      </w:r>
      <w:r>
        <w:rPr>
          <w:color w:val="000000"/>
          <w:vertAlign w:val="superscript"/>
        </w:rPr>
        <w:footnoteReference w:id="17"/>
      </w:r>
      <w:r>
        <w:rPr>
          <w:color w:val="000000"/>
        </w:rPr>
        <w:t xml:space="preserve">. The facts giving rise to this case arose in September 2019 when police officers arrested PAK, a 16-year-old girl who was seeking post abortion care after suffering a miscarriage. They also arrested the clinical officer who provided her with services and two cleaning staff from the facility. The officers, without PAK’s consent or a court order, seized and confiscated PAK’s medical records. They then forced her to undergo a forced vaginal examination to prove that she had sought abortion care. PAK and the clinical officer were charged under sections 158-160 of the Penal Code. PAK was removed from her parents’ care and committed to a children’s home and the clinical officer was held in custody as he was unable to raise the funds required to pay his bail. PAK’s school was also informed of the charges against her, further violating her right to privacy and tarnishing her reputation. With the support of RHNK and the Center, PAK and the clinical officer were able to challenge their arrest, </w:t>
      </w:r>
      <w:proofErr w:type="gramStart"/>
      <w:r>
        <w:rPr>
          <w:color w:val="000000"/>
        </w:rPr>
        <w:t>charges</w:t>
      </w:r>
      <w:proofErr w:type="gramEnd"/>
      <w:r>
        <w:rPr>
          <w:color w:val="000000"/>
        </w:rPr>
        <w:t xml:space="preserve"> and treatment by the police. In March 2022, the High Court of Kenya, recognized that the cruel, </w:t>
      </w:r>
      <w:proofErr w:type="gramStart"/>
      <w:r>
        <w:rPr>
          <w:color w:val="000000"/>
        </w:rPr>
        <w:t>inhuman</w:t>
      </w:r>
      <w:proofErr w:type="gramEnd"/>
      <w:r>
        <w:rPr>
          <w:color w:val="000000"/>
        </w:rPr>
        <w:t xml:space="preserve"> and degrading treatment that PAK was subjected to was commonplace for women and girls who either seek or are suspected to have sought abortion services. The court also recognized that this treatment, which is a violation of various constitutional rights, can be occasioned by restrictive laws such as Sections 158-160 of the Penal Code. The court affirmed the rights of women and girls in Kenya to safe abortion care to the full extent allowed by the Constitution and called on Parliament to pass a law providing for safe abortion in accordance with the Constitution. It also dismissed the criminal cases against both PAK and the clinical officer.</w:t>
      </w:r>
    </w:p>
    <w:p w14:paraId="24B3CEBD" w14:textId="0B599D51" w:rsidR="00C55876" w:rsidRDefault="00000000">
      <w:pPr>
        <w:numPr>
          <w:ilvl w:val="1"/>
          <w:numId w:val="2"/>
        </w:numPr>
        <w:pBdr>
          <w:top w:val="nil"/>
          <w:left w:val="nil"/>
          <w:bottom w:val="nil"/>
          <w:right w:val="nil"/>
          <w:between w:val="nil"/>
        </w:pBdr>
        <w:spacing w:after="0"/>
      </w:pPr>
      <w:r>
        <w:rPr>
          <w:color w:val="000000"/>
        </w:rPr>
        <w:t>Similarly, in October 2020, Millicent K., who was seeking abortion services in accordance with Article 26(4) of the Constitution and Jonah M</w:t>
      </w:r>
      <w:r w:rsidR="00C7430F">
        <w:rPr>
          <w:color w:val="000000"/>
        </w:rPr>
        <w:t>.</w:t>
      </w:r>
      <w:r>
        <w:rPr>
          <w:color w:val="000000"/>
        </w:rPr>
        <w:t xml:space="preserve">, a clinical officer, were arrested from a health facility in Nairobi pursuant to sections 158-160 of the Penal Code. The prosecution counsel sought, and was granted, permission to subject Millicent to a forced vaginal examination to collect evidence proving she had sought abortion services. Fortunately, with the support of RHNK and the Center, Millicent and Jonah were able to secure legal counsel which enabled them to successfully challenge </w:t>
      </w:r>
      <w:r>
        <w:rPr>
          <w:color w:val="000000"/>
        </w:rPr>
        <w:lastRenderedPageBreak/>
        <w:t>their arrest and the charges and get their cases dismissed.</w:t>
      </w:r>
      <w:r>
        <w:rPr>
          <w:color w:val="000000"/>
          <w:vertAlign w:val="superscript"/>
        </w:rPr>
        <w:footnoteReference w:id="18"/>
      </w:r>
      <w:r>
        <w:rPr>
          <w:color w:val="000000"/>
        </w:rPr>
        <w:t xml:space="preserve"> With the exception of the access to legal counsel to support them in </w:t>
      </w:r>
      <w:r w:rsidR="00BC2D92">
        <w:rPr>
          <w:color w:val="000000"/>
        </w:rPr>
        <w:t>challenging</w:t>
      </w:r>
      <w:r>
        <w:rPr>
          <w:color w:val="000000"/>
        </w:rPr>
        <w:t xml:space="preserve"> the</w:t>
      </w:r>
      <w:r w:rsidR="00BC2D92">
        <w:rPr>
          <w:color w:val="000000"/>
        </w:rPr>
        <w:t xml:space="preserve"> legality of their</w:t>
      </w:r>
      <w:r>
        <w:rPr>
          <w:color w:val="000000"/>
        </w:rPr>
        <w:t xml:space="preserve"> charges, the stories of PAK, Milicent and the two clinical officers are not exceptional cases but rather examples of a common occurrence.</w:t>
      </w:r>
      <w:r>
        <w:rPr>
          <w:color w:val="000000"/>
          <w:vertAlign w:val="superscript"/>
        </w:rPr>
        <w:footnoteReference w:id="19"/>
      </w:r>
    </w:p>
    <w:p w14:paraId="24B3CEBE" w14:textId="77777777" w:rsidR="00C55876" w:rsidRDefault="00000000">
      <w:pPr>
        <w:numPr>
          <w:ilvl w:val="1"/>
          <w:numId w:val="2"/>
        </w:numPr>
        <w:pBdr>
          <w:top w:val="nil"/>
          <w:left w:val="nil"/>
          <w:bottom w:val="nil"/>
          <w:right w:val="nil"/>
          <w:between w:val="nil"/>
        </w:pBdr>
        <w:spacing w:after="0"/>
      </w:pPr>
      <w:r>
        <w:rPr>
          <w:color w:val="000000"/>
        </w:rPr>
        <w:t xml:space="preserve">Further, the government has also taken regressive measures to limit and deny access to safe abortion, specifically, </w:t>
      </w:r>
      <w:r>
        <w:rPr>
          <w:b/>
          <w:i/>
          <w:color w:val="000000"/>
        </w:rPr>
        <w:t>the government has actively supported the blanket criminalization of abortion contrary to the Constitution and other laws and policies in the country.</w:t>
      </w:r>
      <w:r>
        <w:rPr>
          <w:i/>
          <w:color w:val="000000"/>
        </w:rPr>
        <w:t xml:space="preserve"> </w:t>
      </w:r>
      <w:r>
        <w:rPr>
          <w:color w:val="000000"/>
        </w:rPr>
        <w:t xml:space="preserve">A recent example of such regressive measures is seen in the government’s response to the judgement in the case of </w:t>
      </w:r>
      <w:r>
        <w:rPr>
          <w:b/>
          <w:i/>
          <w:color w:val="000000"/>
          <w:u w:val="single"/>
        </w:rPr>
        <w:t>PAK and another v Attorney General and 3 others</w:t>
      </w:r>
      <w:r>
        <w:rPr>
          <w:color w:val="000000"/>
        </w:rPr>
        <w:t xml:space="preserve">. In July 2022, after the judgement was delivered, the Attorney General appealed the judgement opposing that women and girls have a right to abortion care under the constitution. The Attorney General also opposed the finding that the criminalization of abortion and the implementation of Sections 158-160 by the police and the director of prosecutions violated women and girls’ rights despite not denying the treatment that PAK, the clinical officer and numerous women, girls and medical providers are subjected to </w:t>
      </w:r>
      <w:proofErr w:type="gramStart"/>
      <w:r>
        <w:rPr>
          <w:color w:val="000000"/>
        </w:rPr>
        <w:t>as a result of</w:t>
      </w:r>
      <w:proofErr w:type="gramEnd"/>
      <w:r>
        <w:rPr>
          <w:color w:val="000000"/>
        </w:rPr>
        <w:t xml:space="preserve"> these sections of the Penal Code. On these grounds, the Attorney General sought to have the implementation of the judgement stayed. On 2</w:t>
      </w:r>
      <w:r>
        <w:rPr>
          <w:color w:val="000000"/>
          <w:vertAlign w:val="superscript"/>
        </w:rPr>
        <w:t>nd</w:t>
      </w:r>
      <w:r>
        <w:rPr>
          <w:color w:val="000000"/>
        </w:rPr>
        <w:t xml:space="preserve"> December 2022, the Court of Appeal granted the Attorney General’s application to stay the implementation of the judgement. Such actions support the false narrative among women, </w:t>
      </w:r>
      <w:proofErr w:type="gramStart"/>
      <w:r>
        <w:rPr>
          <w:color w:val="000000"/>
        </w:rPr>
        <w:t>girls</w:t>
      </w:r>
      <w:proofErr w:type="gramEnd"/>
      <w:r>
        <w:rPr>
          <w:color w:val="000000"/>
        </w:rPr>
        <w:t xml:space="preserve"> and healthcare providers that abortion is unconditionally illegal in Kenya.</w:t>
      </w:r>
    </w:p>
    <w:p w14:paraId="24B3CEBF" w14:textId="64F332F2" w:rsidR="00C55876" w:rsidRDefault="00000000">
      <w:pPr>
        <w:numPr>
          <w:ilvl w:val="1"/>
          <w:numId w:val="2"/>
        </w:numPr>
        <w:pBdr>
          <w:top w:val="nil"/>
          <w:left w:val="nil"/>
          <w:bottom w:val="nil"/>
          <w:right w:val="nil"/>
          <w:between w:val="nil"/>
        </w:pBdr>
        <w:spacing w:after="0"/>
      </w:pPr>
      <w:r>
        <w:rPr>
          <w:color w:val="000000"/>
        </w:rPr>
        <w:t xml:space="preserve">Another regressive measure that has been taken by the government of Kenya is </w:t>
      </w:r>
      <w:r>
        <w:rPr>
          <w:b/>
          <w:i/>
          <w:color w:val="000000"/>
        </w:rPr>
        <w:t>the adoption of retrogressive policies including the Reproductive Health Policy (2022-2032).</w:t>
      </w:r>
      <w:r>
        <w:rPr>
          <w:color w:val="000000"/>
        </w:rPr>
        <w:t xml:space="preserve"> In July 2022, the Reproductive Health Policy was passed without meaningful participation of rights holders and other stakeholders including civil society actors. The policy contains </w:t>
      </w:r>
      <w:proofErr w:type="gramStart"/>
      <w:r>
        <w:rPr>
          <w:color w:val="000000"/>
        </w:rPr>
        <w:t>a number of</w:t>
      </w:r>
      <w:proofErr w:type="gramEnd"/>
      <w:r>
        <w:rPr>
          <w:color w:val="000000"/>
        </w:rPr>
        <w:t xml:space="preserve"> gaps including failing to provide for access to safe abortion in accordance with the Constitution of Kenya, despite recognizing the high incidence of maternal mortality in the country</w:t>
      </w:r>
      <w:r w:rsidR="00AF4C77">
        <w:rPr>
          <w:color w:val="000000"/>
        </w:rPr>
        <w:t xml:space="preserve"> that </w:t>
      </w:r>
      <w:r w:rsidR="003B7758">
        <w:rPr>
          <w:color w:val="000000"/>
        </w:rPr>
        <w:t>can largely be attributed to unsafe abortion</w:t>
      </w:r>
      <w:r>
        <w:rPr>
          <w:color w:val="000000"/>
        </w:rPr>
        <w:t>. Key regressive provisions include the provisions of the policy which fail to differentiate between safe abortion and unsafe abortion and thus repeatedly and inaccurately attribute to  the high rate of maternal mortality in the country to “</w:t>
      </w:r>
      <w:r>
        <w:rPr>
          <w:i/>
          <w:color w:val="000000"/>
        </w:rPr>
        <w:t>post-abortion complications</w:t>
      </w:r>
      <w:r>
        <w:rPr>
          <w:color w:val="000000"/>
        </w:rPr>
        <w:t xml:space="preserve">” rather than complications arising from unsafe abortion which, the data shows, is </w:t>
      </w:r>
      <w:r w:rsidR="004202A4">
        <w:rPr>
          <w:color w:val="000000"/>
        </w:rPr>
        <w:t xml:space="preserve">a real significant </w:t>
      </w:r>
      <w:r>
        <w:rPr>
          <w:color w:val="000000"/>
        </w:rPr>
        <w:t>cause of maternal mortality.</w:t>
      </w:r>
      <w:r>
        <w:rPr>
          <w:color w:val="000000"/>
          <w:vertAlign w:val="superscript"/>
        </w:rPr>
        <w:footnoteReference w:id="20"/>
      </w:r>
      <w:r>
        <w:rPr>
          <w:color w:val="000000"/>
        </w:rPr>
        <w:t xml:space="preserve"> This conflation of abortion with unsafe abortion contributes to the stigma and misinformation around abortion and contravenes the government’s obligation to respect the right to safe abortion as it is enshrined in the Constitution.</w:t>
      </w:r>
      <w:r>
        <w:rPr>
          <w:color w:val="000000"/>
          <w:vertAlign w:val="superscript"/>
        </w:rPr>
        <w:footnoteReference w:id="21"/>
      </w:r>
    </w:p>
    <w:p w14:paraId="24B3CEC0" w14:textId="6881185A" w:rsidR="00C55876" w:rsidRDefault="00000000">
      <w:pPr>
        <w:numPr>
          <w:ilvl w:val="1"/>
          <w:numId w:val="2"/>
        </w:numPr>
        <w:pBdr>
          <w:top w:val="nil"/>
          <w:left w:val="nil"/>
          <w:bottom w:val="nil"/>
          <w:right w:val="nil"/>
          <w:between w:val="nil"/>
        </w:pBdr>
        <w:spacing w:after="0"/>
      </w:pPr>
      <w:bookmarkStart w:id="0" w:name="_heading=h.gjdgxs" w:colFirst="0" w:colLast="0"/>
      <w:bookmarkEnd w:id="0"/>
      <w:r>
        <w:rPr>
          <w:color w:val="000000"/>
        </w:rPr>
        <w:lastRenderedPageBreak/>
        <w:t>Additionally, the government has</w:t>
      </w:r>
      <w:r>
        <w:rPr>
          <w:b/>
          <w:i/>
          <w:color w:val="000000"/>
        </w:rPr>
        <w:t xml:space="preserve"> failed to reinstate the Standards and Guidelines for Reducing Morbidity &amp; Mortality from Unsafe Abortion in Kenya (“the Standards and Guidelines”). </w:t>
      </w:r>
      <w:r>
        <w:rPr>
          <w:color w:val="000000"/>
        </w:rPr>
        <w:t xml:space="preserve"> The Standards and Guidelines were enacted in 2012 and then unilaterally and arbitrarily withdrawn in 2014 by the Ministry of Health. The withdrawal of the guidelines denied healthcare providers with crucial technical guidance on when and how they can legally provide women and girls with abortion services. The act of withdrawing the Standards and Guidelines also lent credence to the false idea that abortion services cannot be legally provided in Kenya. In 2019, the High Court recognized the illegality </w:t>
      </w:r>
      <w:r w:rsidR="0003465A">
        <w:rPr>
          <w:color w:val="000000"/>
        </w:rPr>
        <w:t>and arbitrar</w:t>
      </w:r>
      <w:r w:rsidR="00B83699">
        <w:rPr>
          <w:color w:val="000000"/>
        </w:rPr>
        <w:t>in</w:t>
      </w:r>
      <w:r w:rsidR="0003465A">
        <w:rPr>
          <w:color w:val="000000"/>
        </w:rPr>
        <w:t>e</w:t>
      </w:r>
      <w:r w:rsidR="00B83699">
        <w:rPr>
          <w:color w:val="000000"/>
        </w:rPr>
        <w:t>s</w:t>
      </w:r>
      <w:r w:rsidR="0003465A">
        <w:rPr>
          <w:color w:val="000000"/>
        </w:rPr>
        <w:t xml:space="preserve">s </w:t>
      </w:r>
      <w:r>
        <w:rPr>
          <w:color w:val="000000"/>
        </w:rPr>
        <w:t>of the withdrawal of the Standards and Guidelines and overturned the Ministry’s withdrawal of the same. The court also reiterated the legality of abortion services when provided in accordance with Article 26(4) of the Constitution.</w:t>
      </w:r>
      <w:r>
        <w:rPr>
          <w:color w:val="000000"/>
          <w:vertAlign w:val="superscript"/>
        </w:rPr>
        <w:footnoteReference w:id="22"/>
      </w:r>
      <w:r>
        <w:rPr>
          <w:color w:val="000000"/>
        </w:rPr>
        <w:t xml:space="preserve"> Pursuant to this judgment, the Ministry of Health had an obligation to reinstate and publicize the Standards and Guidelines. To date, the Ministry has not done this. Instead, it has proceeded to lodge an appeal against the judgment.</w:t>
      </w:r>
    </w:p>
    <w:p w14:paraId="24B3CEC1" w14:textId="02BD38E4" w:rsidR="00C55876" w:rsidRDefault="00000000">
      <w:pPr>
        <w:numPr>
          <w:ilvl w:val="1"/>
          <w:numId w:val="2"/>
        </w:numPr>
        <w:pBdr>
          <w:top w:val="nil"/>
          <w:left w:val="nil"/>
          <w:bottom w:val="nil"/>
          <w:right w:val="nil"/>
          <w:between w:val="nil"/>
        </w:pBdr>
        <w:spacing w:after="0"/>
      </w:pPr>
      <w:r>
        <w:rPr>
          <w:color w:val="000000"/>
        </w:rPr>
        <w:t xml:space="preserve">The </w:t>
      </w:r>
      <w:r>
        <w:t>government's</w:t>
      </w:r>
      <w:r>
        <w:rPr>
          <w:color w:val="000000"/>
        </w:rPr>
        <w:t xml:space="preserve"> failure to respect and </w:t>
      </w:r>
      <w:r>
        <w:t>fulfill</w:t>
      </w:r>
      <w:r>
        <w:rPr>
          <w:color w:val="000000"/>
        </w:rPr>
        <w:t xml:space="preserve"> the right to safe abortion have had disproportionate effects on vulnerable and marginalized women. As a result of stigma and criminalization, access to safe abortion care is largely limited to financially well-off women in urban areas as they have money and proximity to private clinics that can discreetly provide them with services. This leaves</w:t>
      </w:r>
      <w:r w:rsidR="00F7684C">
        <w:rPr>
          <w:color w:val="000000"/>
        </w:rPr>
        <w:t xml:space="preserve"> rural women and girls as well as women and girls without </w:t>
      </w:r>
      <w:r w:rsidR="00720BAF">
        <w:rPr>
          <w:color w:val="000000"/>
        </w:rPr>
        <w:t xml:space="preserve">the financial means </w:t>
      </w:r>
      <w:r w:rsidR="009D6250">
        <w:rPr>
          <w:color w:val="000000"/>
        </w:rPr>
        <w:t>(</w:t>
      </w:r>
      <w:r w:rsidR="00720BAF">
        <w:rPr>
          <w:color w:val="000000"/>
        </w:rPr>
        <w:t>including</w:t>
      </w:r>
      <w:r>
        <w:rPr>
          <w:color w:val="000000"/>
        </w:rPr>
        <w:t xml:space="preserve"> adolescents, young women</w:t>
      </w:r>
      <w:r w:rsidR="00720BAF">
        <w:rPr>
          <w:color w:val="000000"/>
        </w:rPr>
        <w:t xml:space="preserve"> and </w:t>
      </w:r>
      <w:r>
        <w:rPr>
          <w:color w:val="000000"/>
        </w:rPr>
        <w:t>unmarried women</w:t>
      </w:r>
      <w:r w:rsidR="009D6250">
        <w:rPr>
          <w:color w:val="000000"/>
        </w:rPr>
        <w:t>) to be</w:t>
      </w:r>
      <w:r w:rsidR="00720BAF">
        <w:rPr>
          <w:color w:val="000000"/>
        </w:rPr>
        <w:t xml:space="preserve"> </w:t>
      </w:r>
      <w:r>
        <w:rPr>
          <w:color w:val="000000"/>
        </w:rPr>
        <w:t xml:space="preserve">saddled with the barriers and challenges </w:t>
      </w:r>
      <w:r w:rsidR="009D6250">
        <w:rPr>
          <w:color w:val="000000"/>
        </w:rPr>
        <w:t xml:space="preserve">discussed above </w:t>
      </w:r>
      <w:r>
        <w:rPr>
          <w:color w:val="000000"/>
        </w:rPr>
        <w:t>when</w:t>
      </w:r>
      <w:r w:rsidR="00233FD3">
        <w:rPr>
          <w:color w:val="000000"/>
        </w:rPr>
        <w:t xml:space="preserve"> they need</w:t>
      </w:r>
      <w:r>
        <w:rPr>
          <w:color w:val="000000"/>
        </w:rPr>
        <w:t xml:space="preserve"> safe abortion services</w:t>
      </w:r>
      <w:r w:rsidR="00233FD3">
        <w:rPr>
          <w:color w:val="000000"/>
        </w:rPr>
        <w:t xml:space="preserve"> or post-abortion care</w:t>
      </w:r>
      <w:r>
        <w:rPr>
          <w:color w:val="000000"/>
        </w:rPr>
        <w:t>.</w:t>
      </w:r>
      <w:r>
        <w:rPr>
          <w:color w:val="000000"/>
          <w:vertAlign w:val="superscript"/>
        </w:rPr>
        <w:footnoteReference w:id="23"/>
      </w:r>
      <w:r>
        <w:rPr>
          <w:color w:val="000000"/>
          <w:vertAlign w:val="superscript"/>
        </w:rPr>
        <w:t>,</w:t>
      </w:r>
      <w:r>
        <w:rPr>
          <w:color w:val="000000"/>
        </w:rPr>
        <w:t xml:space="preserve"> </w:t>
      </w:r>
      <w:r>
        <w:rPr>
          <w:color w:val="000000"/>
          <w:vertAlign w:val="superscript"/>
        </w:rPr>
        <w:footnoteReference w:id="24"/>
      </w:r>
      <w:r>
        <w:rPr>
          <w:color w:val="000000"/>
        </w:rPr>
        <w:t xml:space="preserve"> </w:t>
      </w:r>
      <w:r w:rsidR="00233FD3">
        <w:rPr>
          <w:color w:val="000000"/>
        </w:rPr>
        <w:t>Furthermore, w</w:t>
      </w:r>
      <w:r>
        <w:rPr>
          <w:color w:val="000000"/>
        </w:rPr>
        <w:t>here</w:t>
      </w:r>
      <w:r w:rsidR="00233FD3">
        <w:rPr>
          <w:color w:val="000000"/>
        </w:rPr>
        <w:t xml:space="preserve"> these women</w:t>
      </w:r>
      <w:r>
        <w:rPr>
          <w:color w:val="000000"/>
        </w:rPr>
        <w:t xml:space="preserve"> are able to access care, they are also more likely to receive poor quality care.</w:t>
      </w:r>
      <w:r>
        <w:rPr>
          <w:color w:val="000000"/>
          <w:vertAlign w:val="superscript"/>
        </w:rPr>
        <w:footnoteReference w:id="25"/>
      </w:r>
      <w:r>
        <w:rPr>
          <w:color w:val="000000"/>
        </w:rPr>
        <w:t xml:space="preserve"> </w:t>
      </w:r>
    </w:p>
    <w:p w14:paraId="24B3CEC2" w14:textId="323C6D22" w:rsidR="00C55876" w:rsidRDefault="00000000">
      <w:pPr>
        <w:numPr>
          <w:ilvl w:val="1"/>
          <w:numId w:val="2"/>
        </w:numPr>
        <w:pBdr>
          <w:top w:val="nil"/>
          <w:left w:val="nil"/>
          <w:bottom w:val="nil"/>
          <w:right w:val="nil"/>
          <w:between w:val="nil"/>
        </w:pBdr>
      </w:pPr>
      <w:r>
        <w:rPr>
          <w:color w:val="000000"/>
        </w:rPr>
        <w:t>From the foregoing, we see that the government of Kenya is failing to meet many of its core, immediate obligations under Article 12 of the ICESCR including its obligations to repeal laws that obstruct and undermine access to safe abortion; to refrain from withholding or misrepresenting</w:t>
      </w:r>
      <w:r w:rsidR="00095D22">
        <w:rPr>
          <w:color w:val="000000"/>
        </w:rPr>
        <w:t xml:space="preserve"> </w:t>
      </w:r>
      <w:r>
        <w:rPr>
          <w:color w:val="000000"/>
        </w:rPr>
        <w:t>information on sexual and reproductive health and rights; to guarantee universal and equitable access to comprehensive safe abortion care; and t</w:t>
      </w:r>
      <w:r w:rsidR="000A12E7">
        <w:rPr>
          <w:color w:val="000000"/>
        </w:rPr>
        <w:t xml:space="preserve">o take </w:t>
      </w:r>
      <w:r>
        <w:rPr>
          <w:color w:val="000000"/>
        </w:rPr>
        <w:t>measures to prevent unsafe abortion.</w:t>
      </w:r>
    </w:p>
    <w:p w14:paraId="24B3CEC3" w14:textId="77777777" w:rsidR="00C55876" w:rsidRDefault="00000000">
      <w:pPr>
        <w:pStyle w:val="Heading2"/>
        <w:numPr>
          <w:ilvl w:val="0"/>
          <w:numId w:val="1"/>
        </w:numPr>
      </w:pPr>
      <w:r>
        <w:t xml:space="preserve">Lack of access to sexual and reproductive health services by adolescents </w:t>
      </w:r>
    </w:p>
    <w:p w14:paraId="24B3CEC4" w14:textId="03B9DF9C" w:rsidR="00C55876" w:rsidRDefault="00000000">
      <w:pPr>
        <w:numPr>
          <w:ilvl w:val="1"/>
          <w:numId w:val="2"/>
        </w:numPr>
        <w:pBdr>
          <w:top w:val="nil"/>
          <w:left w:val="nil"/>
          <w:bottom w:val="nil"/>
          <w:right w:val="nil"/>
          <w:between w:val="nil"/>
        </w:pBdr>
        <w:spacing w:after="0"/>
      </w:pPr>
      <w:r>
        <w:rPr>
          <w:color w:val="000000"/>
        </w:rPr>
        <w:t xml:space="preserve">The Constitution of Kenya, under Article 21(2) recognizes children as a vulnerable group and mandates that the government put in place measures to address their specific needs. Children are </w:t>
      </w:r>
      <w:r>
        <w:rPr>
          <w:color w:val="000000"/>
        </w:rPr>
        <w:lastRenderedPageBreak/>
        <w:t>defined as persons below the age of 18</w:t>
      </w:r>
      <w:r>
        <w:rPr>
          <w:color w:val="000000"/>
          <w:vertAlign w:val="superscript"/>
        </w:rPr>
        <w:footnoteReference w:id="26"/>
      </w:r>
      <w:r>
        <w:rPr>
          <w:color w:val="000000"/>
        </w:rPr>
        <w:t xml:space="preserve"> and, as such, the categorization includes adolescents age</w:t>
      </w:r>
      <w:r w:rsidR="00D71DB3">
        <w:rPr>
          <w:color w:val="000000"/>
        </w:rPr>
        <w:t>d</w:t>
      </w:r>
      <w:r>
        <w:rPr>
          <w:color w:val="000000"/>
        </w:rPr>
        <w:t xml:space="preserve"> 10-18 years. Article 53 of the Constitution builds on this provision by reiterating the existence of specific rights of children which are most prone to violation and disregard, including the right to healthcare.</w:t>
      </w:r>
      <w:r>
        <w:rPr>
          <w:color w:val="000000"/>
          <w:vertAlign w:val="superscript"/>
        </w:rPr>
        <w:footnoteReference w:id="27"/>
      </w:r>
      <w:r>
        <w:rPr>
          <w:color w:val="000000"/>
        </w:rPr>
        <w:t xml:space="preserve"> Furthermore, as noted above, Article 43(1)(a) of the Constitution expressly recognizes that the right to the highest attainable standard of health includes the right to healthcare services such as reproductive healthcare. Thus, the Constitution of Kenya firmly enshrines the right of adolescents to access sexual and reproductive health services and information and the obligation of the state to respect and fulfil these rights.</w:t>
      </w:r>
    </w:p>
    <w:p w14:paraId="24B3CEC5" w14:textId="77777777" w:rsidR="00C55876" w:rsidRDefault="00000000">
      <w:pPr>
        <w:numPr>
          <w:ilvl w:val="1"/>
          <w:numId w:val="2"/>
        </w:numPr>
        <w:pBdr>
          <w:top w:val="nil"/>
          <w:left w:val="nil"/>
          <w:bottom w:val="nil"/>
          <w:right w:val="nil"/>
          <w:between w:val="nil"/>
        </w:pBdr>
        <w:spacing w:after="0"/>
      </w:pPr>
      <w:r>
        <w:rPr>
          <w:color w:val="000000"/>
        </w:rPr>
        <w:t>This is the same position set out in the ICESCR. State obligations imposed by Article 12 include the obligation to ensure that adolescents have full access to appropriate sexual and reproductive health information and services and the obligation to eradicate barriers that hinder autonomous access to sexual and reproductive health services.</w:t>
      </w:r>
      <w:r>
        <w:rPr>
          <w:color w:val="000000"/>
          <w:vertAlign w:val="superscript"/>
        </w:rPr>
        <w:footnoteReference w:id="28"/>
      </w:r>
    </w:p>
    <w:p w14:paraId="24B3CEC6" w14:textId="4B673B3B" w:rsidR="00C55876" w:rsidRDefault="00000000">
      <w:pPr>
        <w:numPr>
          <w:ilvl w:val="1"/>
          <w:numId w:val="2"/>
        </w:numPr>
        <w:pBdr>
          <w:top w:val="nil"/>
          <w:left w:val="nil"/>
          <w:bottom w:val="nil"/>
          <w:right w:val="nil"/>
          <w:between w:val="nil"/>
        </w:pBdr>
      </w:pPr>
      <w:r>
        <w:rPr>
          <w:color w:val="000000"/>
        </w:rPr>
        <w:t xml:space="preserve">Despite having its obligations codified at both the national and international level, Kenya is actively taking steps that contravene its obligation to respect and fulfil adolescents’ right to sexual and reproductive health. Specifically, </w:t>
      </w:r>
      <w:r>
        <w:rPr>
          <w:b/>
          <w:i/>
          <w:color w:val="000000"/>
        </w:rPr>
        <w:t>the government has enacted regressive laws and policies including the National Reproductive Health Policy (2022-2032) and the Children’s Act (No.29 of 2022).</w:t>
      </w:r>
      <w:r>
        <w:rPr>
          <w:color w:val="000000"/>
        </w:rPr>
        <w:t xml:space="preserve"> In addition to its regressive position on safe abortion which affects all women and girls including adolescents, the Reproductive Health Policy also includes regressive provisions on adolescent sexual and reproductive health. For instance, the policy seeks to enforce the need for parental consent from both parents before adolescents can access reproductive health services and calls for the rehabilitation of sexually active adolescents.</w:t>
      </w:r>
      <w:r>
        <w:rPr>
          <w:color w:val="000000"/>
          <w:vertAlign w:val="superscript"/>
        </w:rPr>
        <w:footnoteReference w:id="29"/>
      </w:r>
      <w:r>
        <w:rPr>
          <w:color w:val="000000"/>
        </w:rPr>
        <w:t xml:space="preserve"> The Policy also centers the provision of contraception to married, adult, heterosexual couples rather than individual women, girls, men and boys.</w:t>
      </w:r>
      <w:r>
        <w:rPr>
          <w:color w:val="000000"/>
          <w:vertAlign w:val="superscript"/>
        </w:rPr>
        <w:footnoteReference w:id="30"/>
      </w:r>
      <w:r>
        <w:rPr>
          <w:color w:val="000000"/>
        </w:rPr>
        <w:t xml:space="preserve"> Further, the policy disregards the concepts of evolving capacities and agency of adolescents</w:t>
      </w:r>
      <w:r w:rsidR="00476E99">
        <w:rPr>
          <w:color w:val="000000"/>
        </w:rPr>
        <w:t xml:space="preserve"> and </w:t>
      </w:r>
      <w:r w:rsidR="00C74B4A">
        <w:rPr>
          <w:color w:val="000000"/>
        </w:rPr>
        <w:t>young people</w:t>
      </w:r>
      <w:r>
        <w:rPr>
          <w:color w:val="000000"/>
        </w:rPr>
        <w:t xml:space="preserve"> when it comes to sexual and reproductive health </w:t>
      </w:r>
      <w:r w:rsidR="00C74B4A">
        <w:rPr>
          <w:color w:val="000000"/>
        </w:rPr>
        <w:t>by</w:t>
      </w:r>
      <w:r>
        <w:rPr>
          <w:color w:val="000000"/>
        </w:rPr>
        <w:t xml:space="preserve"> call</w:t>
      </w:r>
      <w:r w:rsidR="00C74B4A">
        <w:rPr>
          <w:color w:val="000000"/>
        </w:rPr>
        <w:t xml:space="preserve">ing </w:t>
      </w:r>
      <w:r>
        <w:rPr>
          <w:color w:val="000000"/>
        </w:rPr>
        <w:t xml:space="preserve">on the government to prioritize delaying sexual debut for all persons below the age of 21 years, claiming that all persons below this age do not have “ </w:t>
      </w:r>
      <w:r>
        <w:rPr>
          <w:i/>
          <w:color w:val="000000"/>
        </w:rPr>
        <w:t>complete, full, cognitive competence of maters of sexuality and reproduction</w:t>
      </w:r>
      <w:r>
        <w:rPr>
          <w:color w:val="000000"/>
        </w:rPr>
        <w:t>.”</w:t>
      </w:r>
      <w:r>
        <w:rPr>
          <w:color w:val="000000"/>
          <w:vertAlign w:val="superscript"/>
        </w:rPr>
        <w:footnoteReference w:id="31"/>
      </w:r>
      <w:r>
        <w:rPr>
          <w:color w:val="000000"/>
        </w:rPr>
        <w:t xml:space="preserve">. </w:t>
      </w:r>
    </w:p>
    <w:p w14:paraId="24B3CEC7" w14:textId="77777777" w:rsidR="00C55876" w:rsidRDefault="00000000">
      <w:pPr>
        <w:numPr>
          <w:ilvl w:val="1"/>
          <w:numId w:val="2"/>
        </w:numPr>
        <w:pBdr>
          <w:top w:val="nil"/>
          <w:left w:val="nil"/>
          <w:bottom w:val="nil"/>
          <w:right w:val="nil"/>
          <w:between w:val="nil"/>
        </w:pBdr>
      </w:pPr>
      <w:r>
        <w:rPr>
          <w:color w:val="000000"/>
        </w:rPr>
        <w:t>These positions are given statutory backing by the Children’s Act (No. 29 of 2022) which includes the following proviso in section 16(1): “</w:t>
      </w:r>
      <w:r>
        <w:rPr>
          <w:i/>
          <w:color w:val="000000"/>
        </w:rPr>
        <w:t>Provided that the provisions of reproductive health services to children shall be subject to the express consent of the parent or guardian</w:t>
      </w:r>
      <w:r>
        <w:rPr>
          <w:color w:val="000000"/>
        </w:rPr>
        <w:t>.” The Act also considers any child who engages in sexual conduct of any kind as “</w:t>
      </w:r>
      <w:r>
        <w:rPr>
          <w:i/>
          <w:color w:val="000000"/>
        </w:rPr>
        <w:t>a child in need of care and protection</w:t>
      </w:r>
      <w:r>
        <w:rPr>
          <w:color w:val="000000"/>
        </w:rPr>
        <w:t xml:space="preserve">” which </w:t>
      </w:r>
      <w:r>
        <w:rPr>
          <w:color w:val="000000"/>
        </w:rPr>
        <w:lastRenderedPageBreak/>
        <w:t>means that they can be reported to a children’s officer who can then seek orders to have them separated from their parents or have them committed to a rehabilitation school.</w:t>
      </w:r>
      <w:r>
        <w:rPr>
          <w:color w:val="000000"/>
          <w:vertAlign w:val="superscript"/>
        </w:rPr>
        <w:footnoteReference w:id="32"/>
      </w:r>
      <w:r>
        <w:rPr>
          <w:color w:val="000000"/>
        </w:rPr>
        <w:t xml:space="preserve"> The effect of such laws and policies is to stigmatize all forms of adolescent sexual conduct, even consensual, non-coercive, non-exploitative sexual activities between adolescents by categorizing all sexual conduct involving adolescents as child sexual abuse. This is</w:t>
      </w:r>
      <w:proofErr w:type="gramStart"/>
      <w:r>
        <w:rPr>
          <w:color w:val="000000"/>
        </w:rPr>
        <w:t>, in itself, a</w:t>
      </w:r>
      <w:proofErr w:type="gramEnd"/>
      <w:r>
        <w:rPr>
          <w:color w:val="000000"/>
        </w:rPr>
        <w:t xml:space="preserve"> violation of the state obligations with regards to adolescent sexual and reproductive health.</w:t>
      </w:r>
      <w:r>
        <w:rPr>
          <w:color w:val="000000"/>
          <w:vertAlign w:val="superscript"/>
        </w:rPr>
        <w:footnoteReference w:id="33"/>
      </w:r>
    </w:p>
    <w:p w14:paraId="24B3CEC8" w14:textId="77777777" w:rsidR="00C55876" w:rsidRDefault="00000000">
      <w:pPr>
        <w:numPr>
          <w:ilvl w:val="1"/>
          <w:numId w:val="2"/>
        </w:numPr>
        <w:pBdr>
          <w:top w:val="nil"/>
          <w:left w:val="nil"/>
          <w:bottom w:val="nil"/>
          <w:right w:val="nil"/>
          <w:between w:val="nil"/>
        </w:pBdr>
        <w:spacing w:after="0"/>
      </w:pPr>
      <w:r>
        <w:rPr>
          <w:color w:val="000000"/>
        </w:rPr>
        <w:t>Further, all these provisions give legal backing to the negative stereotypes and perceptions which hinder adolescents’ access to sexual and reproductive health services and information they need. Negative stereotypes and perceptions as well as the consequent stigma that they give rise to were already significant barriers to adolescent access to sexual and reproductive health services. This is clearly seen in the context of contraceptive use. In Kenya, 15% of adolescent girls and 22% of adolescent boys are sexually active by age 15 and 50% of young women and 56% of young men were sexually active by age 18.</w:t>
      </w:r>
      <w:r>
        <w:rPr>
          <w:color w:val="000000"/>
          <w:vertAlign w:val="superscript"/>
        </w:rPr>
        <w:footnoteReference w:id="34"/>
      </w:r>
      <w:r>
        <w:rPr>
          <w:color w:val="000000"/>
        </w:rPr>
        <w:t xml:space="preserve"> Although many sexually active adolescents want to prevent or delay pregnancy, only 9.3% of adolescent girls aged 15-19 are using modern contraceptives and 0.8% are using a traditional method.</w:t>
      </w:r>
      <w:r>
        <w:rPr>
          <w:color w:val="000000"/>
          <w:vertAlign w:val="superscript"/>
        </w:rPr>
        <w:footnoteReference w:id="35"/>
      </w:r>
      <w:r>
        <w:rPr>
          <w:color w:val="000000"/>
        </w:rPr>
        <w:t xml:space="preserve"> This results in 41% of pregnancies among adolescents being unintended.</w:t>
      </w:r>
      <w:r>
        <w:rPr>
          <w:color w:val="000000"/>
          <w:vertAlign w:val="superscript"/>
        </w:rPr>
        <w:footnoteReference w:id="36"/>
      </w:r>
      <w:r>
        <w:rPr>
          <w:color w:val="000000"/>
        </w:rPr>
        <w:t xml:space="preserve"> Studies that have sought to understand the barriers that cause low contraceptive use have found that negative stereotypes and perceptions among adolescents, parents and healthcare providers; unaffordable costs of contraceptives; and lack of information, misinformation and disinformation are the key barriers to adolescent’s access to contraception. </w:t>
      </w:r>
    </w:p>
    <w:p w14:paraId="24B3CEC9" w14:textId="75ED0F59" w:rsidR="00C55876" w:rsidRDefault="00000000">
      <w:pPr>
        <w:numPr>
          <w:ilvl w:val="1"/>
          <w:numId w:val="2"/>
        </w:numPr>
        <w:pBdr>
          <w:top w:val="nil"/>
          <w:left w:val="nil"/>
          <w:bottom w:val="nil"/>
          <w:right w:val="nil"/>
          <w:between w:val="nil"/>
        </w:pBdr>
        <w:spacing w:after="0"/>
      </w:pPr>
      <w:r>
        <w:rPr>
          <w:color w:val="000000"/>
        </w:rPr>
        <w:t>One study found that, because parents have negative perceptions regarding adolescents using contraception,</w:t>
      </w:r>
      <w:r w:rsidR="00C87893">
        <w:rPr>
          <w:color w:val="000000"/>
        </w:rPr>
        <w:t xml:space="preserve"> the rate of contraceptive use among adolescents who were unable to access contraceptives without 3</w:t>
      </w:r>
      <w:r w:rsidR="00C87893">
        <w:rPr>
          <w:color w:val="000000"/>
          <w:vertAlign w:val="superscript"/>
        </w:rPr>
        <w:t>rd</w:t>
      </w:r>
      <w:r w:rsidR="00C87893">
        <w:rPr>
          <w:color w:val="000000"/>
        </w:rPr>
        <w:t xml:space="preserve"> party authorization stands at 1.6%.</w:t>
      </w:r>
      <w:r>
        <w:rPr>
          <w:color w:val="000000"/>
        </w:rPr>
        <w:t xml:space="preserve"> This is in comparison to </w:t>
      </w:r>
      <w:r w:rsidR="00C87893">
        <w:rPr>
          <w:color w:val="000000"/>
        </w:rPr>
        <w:t>the rate of contraceptive use among adolescents who can access contraceptives</w:t>
      </w:r>
      <w:r w:rsidR="007D1F32">
        <w:rPr>
          <w:color w:val="000000"/>
        </w:rPr>
        <w:t xml:space="preserve"> </w:t>
      </w:r>
      <w:r w:rsidR="00C87893">
        <w:rPr>
          <w:color w:val="000000"/>
        </w:rPr>
        <w:t>without 3</w:t>
      </w:r>
      <w:r w:rsidR="00C87893">
        <w:rPr>
          <w:color w:val="000000"/>
          <w:vertAlign w:val="superscript"/>
        </w:rPr>
        <w:t>rd</w:t>
      </w:r>
      <w:r w:rsidR="00C87893">
        <w:rPr>
          <w:color w:val="000000"/>
        </w:rPr>
        <w:t xml:space="preserve"> party authorization, including parental consent, which stands at 19%. </w:t>
      </w:r>
      <w:r>
        <w:rPr>
          <w:color w:val="000000"/>
        </w:rPr>
        <w:t>Also, these negative stereotypes and beliefs fuel self-stigma among adolescents themselves which leads them to shun seeking contraceptive services, even when they need them, such that contraceptive use among adolescents who disapprove of the use of contraception by unmarried youth stood at 4.1% while contraceptive use among adolescents who did not object to contraceptive use by unmarried youth was at 23.3%.</w:t>
      </w:r>
      <w:r>
        <w:rPr>
          <w:color w:val="000000"/>
          <w:vertAlign w:val="superscript"/>
        </w:rPr>
        <w:footnoteReference w:id="37"/>
      </w:r>
      <w:r>
        <w:rPr>
          <w:color w:val="000000"/>
        </w:rPr>
        <w:t xml:space="preserve"> Another study found that stigmatization by healthcare providers was the second most common barrier to access to contraceptives after unaffordability. The adolescents in this study explained </w:t>
      </w:r>
      <w:r>
        <w:rPr>
          <w:color w:val="000000"/>
        </w:rPr>
        <w:lastRenderedPageBreak/>
        <w:t xml:space="preserve">that healthcare providers were unfriendly, </w:t>
      </w:r>
      <w:proofErr w:type="gramStart"/>
      <w:r>
        <w:rPr>
          <w:color w:val="000000"/>
        </w:rPr>
        <w:t>harsh</w:t>
      </w:r>
      <w:proofErr w:type="gramEnd"/>
      <w:r>
        <w:rPr>
          <w:color w:val="000000"/>
        </w:rPr>
        <w:t xml:space="preserve"> and likely to tell their parents if they sought services which led them to shun seeking services all together or, for those who could, they would travel to distant facilities to seek services.</w:t>
      </w:r>
      <w:r>
        <w:rPr>
          <w:color w:val="000000"/>
          <w:vertAlign w:val="superscript"/>
        </w:rPr>
        <w:footnoteReference w:id="38"/>
      </w:r>
    </w:p>
    <w:p w14:paraId="24B3CECA" w14:textId="77777777" w:rsidR="00C55876" w:rsidRDefault="00000000">
      <w:pPr>
        <w:numPr>
          <w:ilvl w:val="1"/>
          <w:numId w:val="2"/>
        </w:numPr>
        <w:pBdr>
          <w:top w:val="nil"/>
          <w:left w:val="nil"/>
          <w:bottom w:val="nil"/>
          <w:right w:val="nil"/>
          <w:between w:val="nil"/>
        </w:pBdr>
      </w:pPr>
      <w:r>
        <w:rPr>
          <w:color w:val="000000"/>
        </w:rPr>
        <w:t xml:space="preserve">The above discussed studies capture the lived realities of adolescents before the enactment of the National Reproductive Health Policy and the Children’s Act which have now legalized these existing barriers. Thus, it is expected that, as the Act and Policy begin to be implemented, adolescents shall experience even more limited access to sexual and reproductive health services.  </w:t>
      </w:r>
    </w:p>
    <w:p w14:paraId="24B3CECB" w14:textId="77777777" w:rsidR="00C55876" w:rsidRDefault="00000000">
      <w:pPr>
        <w:pStyle w:val="Heading2"/>
        <w:numPr>
          <w:ilvl w:val="0"/>
          <w:numId w:val="1"/>
        </w:numPr>
      </w:pPr>
      <w:r>
        <w:t>Lack of access to information on sexual and reproductive health among adolescents</w:t>
      </w:r>
    </w:p>
    <w:p w14:paraId="24B3CECC" w14:textId="77777777" w:rsidR="00C55876" w:rsidRDefault="00000000">
      <w:pPr>
        <w:numPr>
          <w:ilvl w:val="1"/>
          <w:numId w:val="2"/>
        </w:numPr>
        <w:pBdr>
          <w:top w:val="nil"/>
          <w:left w:val="nil"/>
          <w:bottom w:val="nil"/>
          <w:right w:val="nil"/>
          <w:between w:val="nil"/>
        </w:pBdr>
        <w:spacing w:after="0"/>
      </w:pPr>
      <w:r>
        <w:rPr>
          <w:color w:val="000000"/>
        </w:rPr>
        <w:t>As noted above, lack of information, misinformation and disinformation are key barriers to access to sexual and reproductive health services, particularly by adolescents. Information accessibility is a crucial element of the right to the highest standard sexual and reproductive health. Such information must be comprehensive, evidence-based, scientifically accurate, medically appropriate and up-to-date and provided in a manner that is appropriate to and consistent with the needs of the recipient.</w:t>
      </w:r>
      <w:r>
        <w:rPr>
          <w:color w:val="000000"/>
          <w:vertAlign w:val="superscript"/>
        </w:rPr>
        <w:footnoteReference w:id="39"/>
      </w:r>
      <w:r>
        <w:rPr>
          <w:color w:val="000000"/>
        </w:rPr>
        <w:t xml:space="preserve"> The right to information imposes on states the obligation to, at the very least, refrain from putting in place measures that restrict the right to access information.</w:t>
      </w:r>
      <w:r>
        <w:rPr>
          <w:color w:val="000000"/>
          <w:vertAlign w:val="superscript"/>
        </w:rPr>
        <w:footnoteReference w:id="40"/>
      </w:r>
      <w:r>
        <w:rPr>
          <w:color w:val="000000"/>
        </w:rPr>
        <w:t xml:space="preserve"> </w:t>
      </w:r>
    </w:p>
    <w:p w14:paraId="24B3CECD" w14:textId="77777777" w:rsidR="00C55876" w:rsidRDefault="00000000">
      <w:pPr>
        <w:numPr>
          <w:ilvl w:val="1"/>
          <w:numId w:val="2"/>
        </w:numPr>
        <w:pBdr>
          <w:top w:val="nil"/>
          <w:left w:val="nil"/>
          <w:bottom w:val="nil"/>
          <w:right w:val="nil"/>
          <w:between w:val="nil"/>
        </w:pBdr>
        <w:spacing w:after="0"/>
      </w:pPr>
      <w:r>
        <w:rPr>
          <w:color w:val="000000"/>
        </w:rPr>
        <w:t>The government of Kenya has directly contravened this core obligation by</w:t>
      </w:r>
      <w:r>
        <w:rPr>
          <w:b/>
          <w:i/>
          <w:color w:val="000000"/>
        </w:rPr>
        <w:t xml:space="preserve"> adopting the Basic Education Curriculum Framework in 2019 that fails to provide for the provision of comprehensive sexuality education</w:t>
      </w:r>
      <w:r>
        <w:rPr>
          <w:color w:val="000000"/>
        </w:rPr>
        <w:t>. The purpose of the framework is to provide guidance on what should be taught in schools at pre-primary, primary, and secondary school levels, that is, for children aged 4-18 years.</w:t>
      </w:r>
      <w:r>
        <w:rPr>
          <w:color w:val="000000"/>
          <w:vertAlign w:val="superscript"/>
        </w:rPr>
        <w:footnoteReference w:id="41"/>
      </w:r>
      <w:r>
        <w:rPr>
          <w:color w:val="000000"/>
        </w:rPr>
        <w:t xml:space="preserve"> It also seeks to provide for pathways for out-of-school children and adolescents to access education.</w:t>
      </w:r>
      <w:r>
        <w:rPr>
          <w:color w:val="000000"/>
          <w:vertAlign w:val="superscript"/>
        </w:rPr>
        <w:footnoteReference w:id="42"/>
      </w:r>
      <w:r>
        <w:rPr>
          <w:color w:val="000000"/>
        </w:rPr>
        <w:t xml:space="preserve"> Thus the framework forms the basis for the government’s initiatives to ensure the provision of education to all children and adolescents in the country. The framework fails almost entirely to provide for sexuality education: it states that sexuality education should be included as part of life skills but does not provide any guidance on what topics and concepts should form part of the sexuality education curriculum; how it should be tailored for children and adolescents at different ages and stages; nor does it set minimum standards such as requiring that the education </w:t>
      </w:r>
      <w:r>
        <w:rPr>
          <w:color w:val="000000"/>
        </w:rPr>
        <w:lastRenderedPageBreak/>
        <w:t>should be scientifically accurate, age and developmentally appropriate and comprehensive and based on human rights.</w:t>
      </w:r>
      <w:r>
        <w:rPr>
          <w:color w:val="000000"/>
          <w:vertAlign w:val="superscript"/>
        </w:rPr>
        <w:footnoteReference w:id="43"/>
      </w:r>
      <w:r>
        <w:rPr>
          <w:color w:val="000000"/>
          <w:vertAlign w:val="superscript"/>
        </w:rPr>
        <w:t xml:space="preserve">, </w:t>
      </w:r>
      <w:r>
        <w:rPr>
          <w:color w:val="000000"/>
          <w:vertAlign w:val="superscript"/>
        </w:rPr>
        <w:footnoteReference w:id="44"/>
      </w:r>
    </w:p>
    <w:p w14:paraId="24B3CECE" w14:textId="076B91C0" w:rsidR="00C55876" w:rsidRDefault="00000000">
      <w:pPr>
        <w:numPr>
          <w:ilvl w:val="1"/>
          <w:numId w:val="2"/>
        </w:numPr>
        <w:pBdr>
          <w:top w:val="nil"/>
          <w:left w:val="nil"/>
          <w:bottom w:val="nil"/>
          <w:right w:val="nil"/>
          <w:between w:val="nil"/>
        </w:pBdr>
        <w:spacing w:after="0"/>
      </w:pPr>
      <w:r>
        <w:rPr>
          <w:color w:val="000000"/>
        </w:rPr>
        <w:t>This inadequate framework was adopted despite clear evidence that adolescents and women aged younger than 25 have the lowest understanding of reproductive rights and the highest levels of misinformation and disinformation about sexual and reproductive.</w:t>
      </w:r>
      <w:r>
        <w:rPr>
          <w:color w:val="000000"/>
          <w:vertAlign w:val="superscript"/>
        </w:rPr>
        <w:footnoteReference w:id="45"/>
      </w:r>
      <w:r>
        <w:rPr>
          <w:color w:val="000000"/>
        </w:rPr>
        <w:t xml:space="preserve"> For instance, many adolescents state that, while they can name at least one type of modern contraceptive,</w:t>
      </w:r>
      <w:r>
        <w:rPr>
          <w:color w:val="000000"/>
          <w:vertAlign w:val="superscript"/>
        </w:rPr>
        <w:footnoteReference w:id="46"/>
      </w:r>
      <w:r>
        <w:rPr>
          <w:color w:val="000000"/>
        </w:rPr>
        <w:t xml:space="preserve"> they do not know how contraceptives work and therefore get pregnant because they did not know how to prevent pregnancy.</w:t>
      </w:r>
      <w:r>
        <w:rPr>
          <w:color w:val="000000"/>
          <w:vertAlign w:val="superscript"/>
        </w:rPr>
        <w:footnoteReference w:id="47"/>
      </w:r>
      <w:r>
        <w:rPr>
          <w:color w:val="000000"/>
          <w:vertAlign w:val="superscript"/>
        </w:rPr>
        <w:t xml:space="preserve">, </w:t>
      </w:r>
      <w:r>
        <w:rPr>
          <w:color w:val="000000"/>
          <w:vertAlign w:val="superscript"/>
        </w:rPr>
        <w:footnoteReference w:id="48"/>
      </w:r>
      <w:r>
        <w:rPr>
          <w:color w:val="000000"/>
        </w:rPr>
        <w:t xml:space="preserve"> Another example is seen in the context of maternal health services where adolescents delay in seeking antenatal care because they do not understand the signs of pregnancy and thus are unable to tell that they are pregnant. Also, even when they do know that they are pregnant, many adolescents report that they did not know that they should seek antenatal care until they were directed to do so by their mothers or partners.</w:t>
      </w:r>
      <w:r>
        <w:rPr>
          <w:color w:val="000000"/>
          <w:vertAlign w:val="superscript"/>
        </w:rPr>
        <w:footnoteReference w:id="49"/>
      </w:r>
      <w:r>
        <w:rPr>
          <w:color w:val="000000"/>
        </w:rPr>
        <w:t xml:space="preserve"> Also, in the context of abortion, adolescents who need abortion services lack access to information on the circumstances in which they can legally seek abortion services and the various methods for safely procuring abortions and their applicability. Instead, adolescents, particularly adolescents in rural areas, report receiving a lot of information from their schools and community on the dangers of unsafe abortion, the illegality of abortion and the traditional methods of inducing abortion- which are largely unsafe.</w:t>
      </w:r>
      <w:r>
        <w:rPr>
          <w:color w:val="000000"/>
          <w:vertAlign w:val="superscript"/>
        </w:rPr>
        <w:footnoteReference w:id="50"/>
      </w:r>
    </w:p>
    <w:p w14:paraId="24B3CECF" w14:textId="77777777" w:rsidR="00C55876" w:rsidRDefault="00000000">
      <w:pPr>
        <w:numPr>
          <w:ilvl w:val="1"/>
          <w:numId w:val="2"/>
        </w:numPr>
        <w:pBdr>
          <w:top w:val="nil"/>
          <w:left w:val="nil"/>
          <w:bottom w:val="nil"/>
          <w:right w:val="nil"/>
          <w:between w:val="nil"/>
        </w:pBdr>
        <w:spacing w:after="0"/>
        <w:rPr>
          <w:color w:val="000000"/>
        </w:rPr>
      </w:pPr>
      <w:r>
        <w:rPr>
          <w:color w:val="000000"/>
        </w:rPr>
        <w:t xml:space="preserve">Additionally, teachers had indicated that the previous curriculum which also sought to subsume sexuality education into life skills was inadequate and unstructured. Teachers also noted that they are not provided with sufficient training on how they should provide sexuality education and thus they lack the requisite skills and knowledge. The gap created by the curriculum framework is further exacerbated by the fact that most adolescents do not receive any information about sexual and reproductive health from their parents or other adults in their lives </w:t>
      </w:r>
      <w:proofErr w:type="gramStart"/>
      <w:r>
        <w:rPr>
          <w:color w:val="000000"/>
        </w:rPr>
        <w:t>and,</w:t>
      </w:r>
      <w:proofErr w:type="gramEnd"/>
      <w:r>
        <w:rPr>
          <w:color w:val="000000"/>
        </w:rPr>
        <w:t xml:space="preserve"> as noted above, struggle to get this information from healthcare providers. Thus, adolescents are forced to learn about their sexual and reproductive health from their peers, many of whom also lack access to verified accurate information. This results in the proliferation of misinformation and </w:t>
      </w:r>
      <w:r>
        <w:rPr>
          <w:color w:val="000000"/>
        </w:rPr>
        <w:lastRenderedPageBreak/>
        <w:t xml:space="preserve">disinformation. For instance, it is a common and strongly held belief that using modern contraceptives results in infertility, reproductive </w:t>
      </w:r>
      <w:proofErr w:type="gramStart"/>
      <w:r>
        <w:rPr>
          <w:color w:val="000000"/>
        </w:rPr>
        <w:t>cancers</w:t>
      </w:r>
      <w:proofErr w:type="gramEnd"/>
      <w:r>
        <w:rPr>
          <w:color w:val="000000"/>
        </w:rPr>
        <w:t xml:space="preserve"> and fetal deformities. </w:t>
      </w:r>
      <w:r>
        <w:rPr>
          <w:color w:val="000000"/>
          <w:vertAlign w:val="superscript"/>
        </w:rPr>
        <w:footnoteReference w:id="51"/>
      </w:r>
      <w:r>
        <w:rPr>
          <w:color w:val="000000"/>
          <w:vertAlign w:val="superscript"/>
        </w:rPr>
        <w:t>,</w:t>
      </w:r>
      <w:r>
        <w:rPr>
          <w:b/>
          <w:color w:val="000000"/>
          <w:sz w:val="24"/>
          <w:szCs w:val="24"/>
          <w:vertAlign w:val="superscript"/>
        </w:rPr>
        <w:t xml:space="preserve"> </w:t>
      </w:r>
      <w:r>
        <w:rPr>
          <w:color w:val="000000"/>
          <w:vertAlign w:val="superscript"/>
        </w:rPr>
        <w:footnoteReference w:id="52"/>
      </w:r>
      <w:r>
        <w:rPr>
          <w:b/>
          <w:color w:val="000000"/>
          <w:sz w:val="24"/>
          <w:szCs w:val="24"/>
          <w:vertAlign w:val="superscript"/>
        </w:rPr>
        <w:t>,</w:t>
      </w:r>
      <w:r>
        <w:rPr>
          <w:b/>
          <w:color w:val="000000"/>
          <w:vertAlign w:val="superscript"/>
        </w:rPr>
        <w:t xml:space="preserve"> </w:t>
      </w:r>
      <w:r>
        <w:rPr>
          <w:color w:val="000000"/>
          <w:vertAlign w:val="superscript"/>
        </w:rPr>
        <w:footnoteReference w:id="53"/>
      </w:r>
      <w:r>
        <w:rPr>
          <w:b/>
          <w:color w:val="000000"/>
          <w:vertAlign w:val="superscript"/>
        </w:rPr>
        <w:t xml:space="preserve">, </w:t>
      </w:r>
      <w:r>
        <w:rPr>
          <w:color w:val="000000"/>
          <w:vertAlign w:val="superscript"/>
        </w:rPr>
        <w:footnoteReference w:id="54"/>
      </w:r>
      <w:r>
        <w:rPr>
          <w:b/>
          <w:color w:val="000000"/>
          <w:vertAlign w:val="superscript"/>
        </w:rPr>
        <w:t>,</w:t>
      </w:r>
      <w:r>
        <w:rPr>
          <w:color w:val="000000"/>
          <w:vertAlign w:val="superscript"/>
        </w:rPr>
        <w:footnoteReference w:id="55"/>
      </w:r>
    </w:p>
    <w:p w14:paraId="24B3CED0" w14:textId="12B6215F" w:rsidR="00C55876" w:rsidRDefault="00000000">
      <w:pPr>
        <w:numPr>
          <w:ilvl w:val="1"/>
          <w:numId w:val="2"/>
        </w:numPr>
        <w:pBdr>
          <w:top w:val="nil"/>
          <w:left w:val="nil"/>
          <w:bottom w:val="nil"/>
          <w:right w:val="nil"/>
          <w:between w:val="nil"/>
        </w:pBdr>
        <w:rPr>
          <w:color w:val="000000"/>
        </w:rPr>
      </w:pPr>
      <w:r>
        <w:rPr>
          <w:color w:val="000000"/>
        </w:rPr>
        <w:t xml:space="preserve">In addition to failing to provide information and education on sexual and reproductive health, </w:t>
      </w:r>
      <w:r>
        <w:rPr>
          <w:b/>
          <w:i/>
          <w:color w:val="000000"/>
        </w:rPr>
        <w:t>the government is also preventing other persons from providing this information</w:t>
      </w:r>
      <w:r>
        <w:rPr>
          <w:color w:val="000000"/>
        </w:rPr>
        <w:t xml:space="preserve">. For instance, the Center and it partner, the Network for Adolescent and Youth of Africa (NAYA), are challenging the </w:t>
      </w:r>
      <w:r>
        <w:rPr>
          <w:i/>
          <w:color w:val="000000"/>
        </w:rPr>
        <w:t>ultra vires</w:t>
      </w:r>
      <w:r>
        <w:rPr>
          <w:color w:val="000000"/>
        </w:rPr>
        <w:t xml:space="preserve"> banning of radio adverts by the Kenya Film Classification Board (“</w:t>
      </w:r>
      <w:r>
        <w:rPr>
          <w:b/>
          <w:color w:val="000000"/>
        </w:rPr>
        <w:t>KFCB</w:t>
      </w:r>
      <w:r>
        <w:rPr>
          <w:color w:val="000000"/>
        </w:rPr>
        <w:t>”) and the arbitrary banning of Marie Stopes Kenya from proving safe abortion care by the Kenya Medical Practitioners and Dentists Board (“</w:t>
      </w:r>
      <w:r>
        <w:rPr>
          <w:b/>
          <w:color w:val="000000"/>
        </w:rPr>
        <w:t>KMPDB</w:t>
      </w:r>
      <w:r>
        <w:rPr>
          <w:color w:val="000000"/>
        </w:rPr>
        <w:t xml:space="preserve">”). Both bans were occasioned by the airing of adverts on local radio stations that were providing information on the dangers of unsafe abortion, the availability of safe, legal abortion and referring persons to the Marie Stopes Kenya helpline for further information. It is the Center, Marie Stopes and NAYA’s position that the purpose of the adverts was to reduce unsafe abortion by creating awareness about the constitutional provisions on legal, safe abortions which does not contravene either the Constitution or any other domestic law. Additionally, we argue that the ban on the adverts by the KFCB was </w:t>
      </w:r>
      <w:r>
        <w:rPr>
          <w:i/>
          <w:color w:val="000000"/>
        </w:rPr>
        <w:t>ultra vires</w:t>
      </w:r>
      <w:r>
        <w:rPr>
          <w:color w:val="000000"/>
        </w:rPr>
        <w:t xml:space="preserve"> because their mandate does not extend to adverts on radio. It is limited to movies, </w:t>
      </w:r>
      <w:proofErr w:type="gramStart"/>
      <w:r>
        <w:rPr>
          <w:color w:val="000000"/>
        </w:rPr>
        <w:t>films</w:t>
      </w:r>
      <w:proofErr w:type="gramEnd"/>
      <w:r>
        <w:rPr>
          <w:color w:val="000000"/>
        </w:rPr>
        <w:t xml:space="preserve"> and plays in accordance with the Films and Stage Plays Act (Chapter 222). We also argue the ban instituted by KFCB was </w:t>
      </w:r>
      <w:r>
        <w:rPr>
          <w:i/>
          <w:color w:val="000000"/>
        </w:rPr>
        <w:t>ultra</w:t>
      </w:r>
      <w:r w:rsidR="005E75A6">
        <w:rPr>
          <w:i/>
          <w:color w:val="000000"/>
        </w:rPr>
        <w:t xml:space="preserve"> </w:t>
      </w:r>
      <w:r>
        <w:rPr>
          <w:i/>
          <w:color w:val="000000"/>
        </w:rPr>
        <w:t>vires</w:t>
      </w:r>
      <w:r>
        <w:rPr>
          <w:color w:val="000000"/>
        </w:rPr>
        <w:t xml:space="preserve"> because the ban was based on the allegation that the adverts contravened the Programming Code For Free-To-Air Radio </w:t>
      </w:r>
      <w:r w:rsidR="000D62EA">
        <w:rPr>
          <w:color w:val="000000"/>
        </w:rPr>
        <w:t>and</w:t>
      </w:r>
      <w:r>
        <w:rPr>
          <w:color w:val="000000"/>
        </w:rPr>
        <w:t xml:space="preserve"> Television Services in Kenya. However, the KFCB does not have any mandate to receive or act on any complaints under this code, the jurisdiction to hear and determine complaints under this Code is the Communications Authority of Kenya. Finally, we argue that the ban by the KMPDB was arbitrary because Marie Stopes was not in contravention of the law by either running the adverts or providing abortion care. Despite being instituted in 2018, the case is still yet to be heard and determined.</w:t>
      </w:r>
      <w:r>
        <w:rPr>
          <w:b/>
          <w:color w:val="000000"/>
          <w:vertAlign w:val="superscript"/>
        </w:rPr>
        <w:t xml:space="preserve">   </w:t>
      </w:r>
      <w:r>
        <w:rPr>
          <w:color w:val="000000"/>
        </w:rPr>
        <w:t xml:space="preserve">                                                          </w:t>
      </w:r>
      <w:r>
        <w:rPr>
          <w:b/>
          <w:color w:val="000000"/>
          <w:vertAlign w:val="superscript"/>
        </w:rPr>
        <w:t xml:space="preserve">                                                       </w:t>
      </w:r>
    </w:p>
    <w:p w14:paraId="24B3CED1" w14:textId="77777777" w:rsidR="00C55876" w:rsidRDefault="00000000">
      <w:pPr>
        <w:pStyle w:val="Heading2"/>
        <w:numPr>
          <w:ilvl w:val="0"/>
          <w:numId w:val="1"/>
        </w:numPr>
        <w:rPr>
          <w:rFonts w:eastAsia="Palatino Linotype" w:cs="Palatino Linotype"/>
          <w:color w:val="1F3864"/>
          <w:szCs w:val="22"/>
        </w:rPr>
      </w:pPr>
      <w:r>
        <w:t>Lack of access to maternal health services</w:t>
      </w:r>
    </w:p>
    <w:p w14:paraId="24B3CED2" w14:textId="77777777" w:rsidR="00C55876" w:rsidRDefault="00000000">
      <w:pPr>
        <w:numPr>
          <w:ilvl w:val="1"/>
          <w:numId w:val="2"/>
        </w:numPr>
        <w:pBdr>
          <w:top w:val="nil"/>
          <w:left w:val="nil"/>
          <w:bottom w:val="nil"/>
          <w:right w:val="nil"/>
          <w:between w:val="nil"/>
        </w:pBdr>
        <w:spacing w:after="0"/>
      </w:pPr>
      <w:r>
        <w:rPr>
          <w:color w:val="000000"/>
        </w:rPr>
        <w:t>Access to maternal health services is enshrined in the Constitution of Kenya as part reproductive health which is recognized as a crucial element of health.</w:t>
      </w:r>
      <w:r>
        <w:rPr>
          <w:color w:val="000000"/>
          <w:vertAlign w:val="superscript"/>
        </w:rPr>
        <w:footnoteReference w:id="56"/>
      </w:r>
      <w:r>
        <w:rPr>
          <w:color w:val="000000"/>
        </w:rPr>
        <w:t xml:space="preserve"> Both the national and county governments have the obligation to ensure the provision of free compulsory maternity care.</w:t>
      </w:r>
      <w:r>
        <w:rPr>
          <w:color w:val="000000"/>
          <w:vertAlign w:val="superscript"/>
        </w:rPr>
        <w:footnoteReference w:id="57"/>
      </w:r>
      <w:r>
        <w:rPr>
          <w:color w:val="000000"/>
        </w:rPr>
        <w:t xml:space="preserve"> Maternal health services are defined as including “… </w:t>
      </w:r>
      <w:r>
        <w:rPr>
          <w:i/>
          <w:color w:val="000000"/>
        </w:rPr>
        <w:t xml:space="preserve">the right of access to appropriate health-care </w:t>
      </w:r>
      <w:r>
        <w:rPr>
          <w:i/>
          <w:color w:val="000000"/>
        </w:rPr>
        <w:lastRenderedPageBreak/>
        <w:t>services that will enable parents to go safely through pregnancy, childbirth, and the postpartum period, and provide parents with the best chance of having a healthy infant; access to treatment by a trained health professional for conditions occurring during pregnancy including abnormal pregnancy conditions, such as ectopic, abdominal and molar pregnancy, or any medical condition exacerbated by the pregnancy to such an extent that the life or health of the mother is threatened</w:t>
      </w:r>
      <w:r>
        <w:rPr>
          <w:color w:val="000000"/>
        </w:rPr>
        <w:t>…”</w:t>
      </w:r>
      <w:r>
        <w:rPr>
          <w:color w:val="000000"/>
          <w:vertAlign w:val="superscript"/>
        </w:rPr>
        <w:footnoteReference w:id="58"/>
      </w:r>
    </w:p>
    <w:p w14:paraId="24B3CED3" w14:textId="0021E444" w:rsidR="00C55876" w:rsidRDefault="00000000">
      <w:pPr>
        <w:numPr>
          <w:ilvl w:val="1"/>
          <w:numId w:val="2"/>
        </w:numPr>
        <w:pBdr>
          <w:top w:val="nil"/>
          <w:left w:val="nil"/>
          <w:bottom w:val="nil"/>
          <w:right w:val="nil"/>
          <w:between w:val="nil"/>
        </w:pBdr>
        <w:spacing w:after="0"/>
      </w:pPr>
      <w:r>
        <w:rPr>
          <w:color w:val="000000"/>
        </w:rPr>
        <w:t xml:space="preserve">Despite this enabling legal framework, women and girls in Kenya still face challenges when seeking antenatal, </w:t>
      </w:r>
      <w:r w:rsidR="00A7202B">
        <w:rPr>
          <w:color w:val="000000"/>
        </w:rPr>
        <w:t>labor</w:t>
      </w:r>
      <w:r>
        <w:rPr>
          <w:color w:val="000000"/>
        </w:rPr>
        <w:t xml:space="preserve"> and delivery services and post-natal care. These challenges persist because:</w:t>
      </w:r>
    </w:p>
    <w:p w14:paraId="24B3CED4" w14:textId="3B1FE895" w:rsidR="00C55876" w:rsidRDefault="00000000">
      <w:pPr>
        <w:numPr>
          <w:ilvl w:val="2"/>
          <w:numId w:val="2"/>
        </w:numPr>
        <w:pBdr>
          <w:top w:val="nil"/>
          <w:left w:val="nil"/>
          <w:bottom w:val="nil"/>
          <w:right w:val="nil"/>
          <w:between w:val="nil"/>
        </w:pBdr>
        <w:spacing w:after="0"/>
      </w:pPr>
      <w:r>
        <w:rPr>
          <w:b/>
          <w:i/>
          <w:color w:val="000000"/>
        </w:rPr>
        <w:t>The government has failed to ensure availability and accessibility of maternal health services:</w:t>
      </w:r>
      <w:r>
        <w:rPr>
          <w:color w:val="000000"/>
        </w:rPr>
        <w:t xml:space="preserve"> Women living in rural areas, particularly those from low-income backgrounds, lack available and accessible maternal healthcare. Rural areas have fewer health facilities and many of these facilities lack an adequate number of sufficiently trained personnel. This situation is further compounded by limited transportation options thus women report having to walk far distances to access services. This becomes even more difficult during the third trimester thus leading to delays in seeking care or </w:t>
      </w:r>
      <w:r w:rsidR="00F55C6B">
        <w:rPr>
          <w:color w:val="000000"/>
        </w:rPr>
        <w:t>failing to</w:t>
      </w:r>
      <w:r>
        <w:rPr>
          <w:color w:val="000000"/>
        </w:rPr>
        <w:t xml:space="preserve"> </w:t>
      </w:r>
      <w:r w:rsidR="000D62EA">
        <w:rPr>
          <w:color w:val="000000"/>
        </w:rPr>
        <w:t>seek</w:t>
      </w:r>
      <w:r>
        <w:rPr>
          <w:color w:val="000000"/>
        </w:rPr>
        <w:t xml:space="preserve"> care altogether. Alternatively, women report using public transportation, specifically motorcycles, to access services but this is also not sustainable because they are costly. There is also a lack of facilities and personnel to provide services in cases of emergencies or complications. This includes ambulance services, surgical </w:t>
      </w:r>
      <w:proofErr w:type="gramStart"/>
      <w:r>
        <w:rPr>
          <w:color w:val="000000"/>
        </w:rPr>
        <w:t>theatres</w:t>
      </w:r>
      <w:proofErr w:type="gramEnd"/>
      <w:r>
        <w:rPr>
          <w:color w:val="000000"/>
        </w:rPr>
        <w:t xml:space="preserve"> and personnel with sufficient training to handle pregnancy complications. Furthermore, although the law provides for free maternal healthcare, this is not the lived reality of many women who report having to pay for tests and commodities such as medication and supplies needed for delivery.</w:t>
      </w:r>
      <w:r>
        <w:rPr>
          <w:color w:val="000000"/>
          <w:vertAlign w:val="superscript"/>
        </w:rPr>
        <w:footnoteReference w:id="59"/>
      </w:r>
      <w:r>
        <w:rPr>
          <w:color w:val="000000"/>
          <w:vertAlign w:val="superscript"/>
        </w:rPr>
        <w:t xml:space="preserve">, </w:t>
      </w:r>
      <w:r>
        <w:rPr>
          <w:color w:val="000000"/>
          <w:vertAlign w:val="superscript"/>
        </w:rPr>
        <w:footnoteReference w:id="60"/>
      </w:r>
      <w:r>
        <w:rPr>
          <w:color w:val="000000"/>
        </w:rPr>
        <w:t xml:space="preserve"> These barriers were exacerbated during COVID-19 as many public healthcare facilities were closed because their personnel were transferred to urban areas to support with COVID-19 response. The effect of this was increase distances that women and girls had to travel to access services in public facilities or to force them to seek access at private healthcare facilities which are more expensive. Additionally, the economic hardship caused by COVID-19 meant that more women had to choose between seeking care or providing basic needs for their families. There were also the added barriers occasioned by COVID-19 mitigation measures such social distancing, </w:t>
      </w:r>
      <w:proofErr w:type="gramStart"/>
      <w:r>
        <w:rPr>
          <w:color w:val="000000"/>
        </w:rPr>
        <w:t>curfews</w:t>
      </w:r>
      <w:proofErr w:type="gramEnd"/>
      <w:r>
        <w:rPr>
          <w:color w:val="000000"/>
        </w:rPr>
        <w:t xml:space="preserve"> and lockdowns, which resulted in limited access to antenatal care, delivery services and post-natal care</w:t>
      </w:r>
      <w:r>
        <w:rPr>
          <w:color w:val="000000"/>
          <w:vertAlign w:val="superscript"/>
        </w:rPr>
        <w:t xml:space="preserve"> </w:t>
      </w:r>
      <w:r>
        <w:rPr>
          <w:color w:val="000000"/>
          <w:vertAlign w:val="superscript"/>
        </w:rPr>
        <w:footnoteReference w:id="61"/>
      </w:r>
      <w:r>
        <w:rPr>
          <w:color w:val="000000"/>
          <w:vertAlign w:val="superscript"/>
        </w:rPr>
        <w:t>,</w:t>
      </w:r>
      <w:r>
        <w:rPr>
          <w:color w:val="000000"/>
          <w:vertAlign w:val="superscript"/>
        </w:rPr>
        <w:footnoteReference w:id="62"/>
      </w:r>
    </w:p>
    <w:p w14:paraId="24B3CED5" w14:textId="126F026F" w:rsidR="00C55876" w:rsidRDefault="00000000">
      <w:pPr>
        <w:numPr>
          <w:ilvl w:val="2"/>
          <w:numId w:val="2"/>
        </w:numPr>
        <w:pBdr>
          <w:top w:val="nil"/>
          <w:left w:val="nil"/>
          <w:bottom w:val="nil"/>
          <w:right w:val="nil"/>
          <w:between w:val="nil"/>
        </w:pBdr>
        <w:spacing w:after="0"/>
      </w:pPr>
      <w:r>
        <w:rPr>
          <w:b/>
          <w:i/>
          <w:color w:val="000000"/>
        </w:rPr>
        <w:lastRenderedPageBreak/>
        <w:t xml:space="preserve">The government has failed to ensure quality of maternal health services: </w:t>
      </w:r>
      <w:r>
        <w:rPr>
          <w:color w:val="000000"/>
        </w:rPr>
        <w:t xml:space="preserve">Obstetric violence is common in Kenya. It is experienced in the form of physical violence (beatings and slaps during delivery); verbal abuse (insults and sarcasm); neglect (refusal to answer questions or </w:t>
      </w:r>
      <w:proofErr w:type="gramStart"/>
      <w:r>
        <w:rPr>
          <w:color w:val="000000"/>
        </w:rPr>
        <w:t>provide assistance</w:t>
      </w:r>
      <w:proofErr w:type="gramEnd"/>
      <w:r>
        <w:rPr>
          <w:color w:val="000000"/>
        </w:rPr>
        <w:t xml:space="preserve"> and denial of services); lack of consent to procedures and treatment; and lack of privacy and confidentiality. Not all women have these negative experiences as treatment at health facilities varies according to a number of factors including: age such that young women receive more abuse and disrespect than older women; ethnicity such that persons whose ethnicity is similar to that of the healthcare worker o</w:t>
      </w:r>
      <w:r w:rsidR="002818FC">
        <w:rPr>
          <w:color w:val="000000"/>
        </w:rPr>
        <w:t>r</w:t>
      </w:r>
      <w:r>
        <w:rPr>
          <w:color w:val="000000"/>
        </w:rPr>
        <w:t xml:space="preserve"> those from ethnicities </w:t>
      </w:r>
      <w:r w:rsidR="00D72064">
        <w:rPr>
          <w:color w:val="000000"/>
        </w:rPr>
        <w:t>considered to have</w:t>
      </w:r>
      <w:r>
        <w:rPr>
          <w:color w:val="000000"/>
        </w:rPr>
        <w:t xml:space="preserve"> higher status receive preferential treatment; socio-economic status such that women with low income receive more abuse and disrespect than women with higher income; and the healthcare facility where one received antenatal care such that women who receive antenatal care in the same facility that they are seeking delivery services receive preferential treatment over women who sough</w:t>
      </w:r>
      <w:r w:rsidR="00FB2FF8">
        <w:rPr>
          <w:color w:val="000000"/>
        </w:rPr>
        <w:t>t</w:t>
      </w:r>
      <w:r>
        <w:rPr>
          <w:color w:val="000000"/>
        </w:rPr>
        <w:t xml:space="preserve"> antenatal care in other facilities or did not seek ante-natal care at all. The lack of quality of care was also exacerbated by the COVID-19 pandemic. For instance, some women who went into </w:t>
      </w:r>
      <w:r w:rsidR="00A7202B">
        <w:rPr>
          <w:color w:val="000000"/>
        </w:rPr>
        <w:t>labor</w:t>
      </w:r>
      <w:r>
        <w:rPr>
          <w:color w:val="000000"/>
        </w:rPr>
        <w:t xml:space="preserve"> during curfew hours reported being denied entry to the health facility because they arrived during curfew hours. Also, some women attributed their experience of neglect and abandonment to shortages of hospital staff which increased during the pandemic when staff from maternity wards were transferred to assist with COVID-19 response.</w:t>
      </w:r>
      <w:r>
        <w:rPr>
          <w:color w:val="000000"/>
          <w:vertAlign w:val="superscript"/>
        </w:rPr>
        <w:footnoteReference w:id="63"/>
      </w:r>
      <w:r>
        <w:rPr>
          <w:color w:val="000000"/>
          <w:vertAlign w:val="superscript"/>
        </w:rPr>
        <w:t xml:space="preserve">, </w:t>
      </w:r>
      <w:r>
        <w:rPr>
          <w:color w:val="000000"/>
          <w:vertAlign w:val="superscript"/>
        </w:rPr>
        <w:footnoteReference w:id="64"/>
      </w:r>
      <w:r>
        <w:rPr>
          <w:color w:val="000000"/>
          <w:vertAlign w:val="superscript"/>
        </w:rPr>
        <w:t xml:space="preserve"> </w:t>
      </w:r>
    </w:p>
    <w:p w14:paraId="24B3CED6" w14:textId="77777777" w:rsidR="00C55876" w:rsidRDefault="00000000">
      <w:pPr>
        <w:numPr>
          <w:ilvl w:val="1"/>
          <w:numId w:val="2"/>
        </w:numPr>
        <w:pBdr>
          <w:top w:val="nil"/>
          <w:left w:val="nil"/>
          <w:bottom w:val="nil"/>
          <w:right w:val="nil"/>
          <w:between w:val="nil"/>
        </w:pBdr>
      </w:pPr>
      <w:r>
        <w:rPr>
          <w:color w:val="000000"/>
        </w:rPr>
        <w:t xml:space="preserve">The mistreatment and abuse of women seeking maternal health services persists despite judgement from the High Court in the case of </w:t>
      </w:r>
      <w:r>
        <w:rPr>
          <w:b/>
          <w:i/>
          <w:color w:val="000000"/>
          <w:u w:val="single"/>
        </w:rPr>
        <w:t>J.O.O (also known as J.M) v Attorney General &amp; 6 others</w:t>
      </w:r>
      <w:r>
        <w:rPr>
          <w:color w:val="000000"/>
          <w:vertAlign w:val="superscript"/>
        </w:rPr>
        <w:footnoteReference w:id="65"/>
      </w:r>
      <w:r>
        <w:rPr>
          <w:b/>
          <w:color w:val="000000"/>
        </w:rPr>
        <w:t xml:space="preserve"> </w:t>
      </w:r>
      <w:r>
        <w:rPr>
          <w:color w:val="000000"/>
        </w:rPr>
        <w:t>in which the court, in reliance on the ICESCR, the Constitution of Kenya and other relevant law, categorically stated that such treatment amounts to the violation of women’s right to health and freedom from torture, cruel, inhuman treatment and called on the national government to develop a law and policy framework to address these aspects of healthcare.</w:t>
      </w:r>
    </w:p>
    <w:p w14:paraId="24B3CED7" w14:textId="77777777" w:rsidR="00C55876" w:rsidRDefault="00000000">
      <w:pPr>
        <w:pStyle w:val="Heading2"/>
        <w:numPr>
          <w:ilvl w:val="0"/>
          <w:numId w:val="1"/>
        </w:numPr>
      </w:pPr>
      <w:r>
        <w:t xml:space="preserve">Proposed Questions </w:t>
      </w:r>
    </w:p>
    <w:p w14:paraId="24B3CED8" w14:textId="0E370F71" w:rsidR="00C55876" w:rsidRDefault="00000000">
      <w:pPr>
        <w:numPr>
          <w:ilvl w:val="1"/>
          <w:numId w:val="2"/>
        </w:numPr>
        <w:pBdr>
          <w:top w:val="nil"/>
          <w:left w:val="nil"/>
          <w:bottom w:val="nil"/>
          <w:right w:val="nil"/>
          <w:between w:val="nil"/>
        </w:pBdr>
        <w:spacing w:after="0"/>
      </w:pPr>
      <w:proofErr w:type="gramStart"/>
      <w:r>
        <w:rPr>
          <w:color w:val="000000"/>
        </w:rPr>
        <w:t>In light of</w:t>
      </w:r>
      <w:proofErr w:type="gramEnd"/>
      <w:r>
        <w:rPr>
          <w:color w:val="000000"/>
        </w:rPr>
        <w:t xml:space="preserve"> the foregoing, the Center, Ipas Africa Alliance, NIGEE and RHNK hope that the Committee will consider asking the Government of Kenya to provide information on the following in the list of issues:</w:t>
      </w:r>
    </w:p>
    <w:p w14:paraId="24B3CED9" w14:textId="77777777" w:rsidR="00C55876" w:rsidRDefault="00000000">
      <w:pPr>
        <w:numPr>
          <w:ilvl w:val="2"/>
          <w:numId w:val="2"/>
        </w:numPr>
        <w:pBdr>
          <w:top w:val="nil"/>
          <w:left w:val="nil"/>
          <w:bottom w:val="nil"/>
          <w:right w:val="nil"/>
          <w:between w:val="nil"/>
        </w:pBdr>
        <w:spacing w:after="0"/>
      </w:pPr>
      <w:r>
        <w:rPr>
          <w:color w:val="000000"/>
        </w:rPr>
        <w:t xml:space="preserve">Please provide information on the legislative, administrative, budgetary, </w:t>
      </w:r>
      <w:proofErr w:type="gramStart"/>
      <w:r>
        <w:rPr>
          <w:color w:val="000000"/>
        </w:rPr>
        <w:t>programmatic</w:t>
      </w:r>
      <w:proofErr w:type="gramEnd"/>
      <w:r>
        <w:rPr>
          <w:color w:val="000000"/>
        </w:rPr>
        <w:t xml:space="preserve"> and other measures being put in place to ensure access to safe, legal abortion service in accordance with Article 26(4) of the Constitution of Kenya, including:</w:t>
      </w:r>
    </w:p>
    <w:p w14:paraId="24B3CEDA" w14:textId="77777777" w:rsidR="00C55876" w:rsidRDefault="00000000">
      <w:pPr>
        <w:numPr>
          <w:ilvl w:val="3"/>
          <w:numId w:val="2"/>
        </w:numPr>
        <w:pBdr>
          <w:top w:val="nil"/>
          <w:left w:val="nil"/>
          <w:bottom w:val="nil"/>
          <w:right w:val="nil"/>
          <w:between w:val="nil"/>
        </w:pBdr>
        <w:spacing w:after="0"/>
      </w:pPr>
      <w:r>
        <w:rPr>
          <w:color w:val="000000"/>
        </w:rPr>
        <w:t>amending the Penal Code to align it with the Constitution;</w:t>
      </w:r>
    </w:p>
    <w:p w14:paraId="24B3CEDB" w14:textId="77777777" w:rsidR="00C55876" w:rsidRDefault="00000000">
      <w:pPr>
        <w:numPr>
          <w:ilvl w:val="3"/>
          <w:numId w:val="2"/>
        </w:numPr>
        <w:pBdr>
          <w:top w:val="nil"/>
          <w:left w:val="nil"/>
          <w:bottom w:val="nil"/>
          <w:right w:val="nil"/>
          <w:between w:val="nil"/>
        </w:pBdr>
        <w:spacing w:after="0"/>
      </w:pPr>
      <w:r>
        <w:rPr>
          <w:color w:val="000000"/>
        </w:rPr>
        <w:lastRenderedPageBreak/>
        <w:t xml:space="preserve">creating awareness among law enforcement on the instances in which women and girls can legally seek and receive abortion services; </w:t>
      </w:r>
    </w:p>
    <w:p w14:paraId="24B3CEDC" w14:textId="0CB68AEC" w:rsidR="00C55876" w:rsidRDefault="00FA24CE">
      <w:pPr>
        <w:numPr>
          <w:ilvl w:val="3"/>
          <w:numId w:val="2"/>
        </w:numPr>
        <w:pBdr>
          <w:top w:val="nil"/>
          <w:left w:val="nil"/>
          <w:bottom w:val="nil"/>
          <w:right w:val="nil"/>
          <w:between w:val="nil"/>
        </w:pBdr>
        <w:spacing w:after="0"/>
      </w:pPr>
      <w:r>
        <w:rPr>
          <w:color w:val="000000"/>
        </w:rPr>
        <w:t>reviewing the National Reproductive Health Policy</w:t>
      </w:r>
      <w:r w:rsidR="00DC20C0">
        <w:rPr>
          <w:color w:val="000000"/>
        </w:rPr>
        <w:t xml:space="preserve"> (2022-2032)</w:t>
      </w:r>
      <w:r>
        <w:rPr>
          <w:color w:val="000000"/>
        </w:rPr>
        <w:t xml:space="preserve"> to provide guidance on access to and provision of safe and legal abortion to the full extent allowed by the Constitution of Kenya;</w:t>
      </w:r>
    </w:p>
    <w:p w14:paraId="24B3CEDD" w14:textId="77777777" w:rsidR="00C55876" w:rsidRDefault="00000000">
      <w:pPr>
        <w:numPr>
          <w:ilvl w:val="3"/>
          <w:numId w:val="2"/>
        </w:numPr>
        <w:pBdr>
          <w:top w:val="nil"/>
          <w:left w:val="nil"/>
          <w:bottom w:val="nil"/>
          <w:right w:val="nil"/>
          <w:between w:val="nil"/>
        </w:pBdr>
        <w:spacing w:after="0"/>
      </w:pPr>
      <w:r>
        <w:rPr>
          <w:color w:val="000000"/>
        </w:rPr>
        <w:t xml:space="preserve">reinstating the Standards and Guidelines for Reducing Morbidity &amp; Mortality from Unsafe Abortion in Kenya in accordance with the judgement of the High Court in the case of </w:t>
      </w:r>
      <w:r>
        <w:rPr>
          <w:b/>
          <w:i/>
          <w:color w:val="000000"/>
          <w:u w:val="single"/>
        </w:rPr>
        <w:t>Federation of Women Lawyers (FIDA – Kenya) &amp; 3 others v Attorney General &amp; 2 others; East Africa Center for Law &amp; Justice &amp; 6 others (Interested Party) &amp; Women’s Link Worldwide &amp; 2 others (Amicus Curiae)</w:t>
      </w:r>
      <w:r>
        <w:rPr>
          <w:b/>
          <w:i/>
          <w:color w:val="000000"/>
          <w:u w:val="single"/>
          <w:vertAlign w:val="superscript"/>
        </w:rPr>
        <w:footnoteReference w:id="66"/>
      </w:r>
      <w:r>
        <w:rPr>
          <w:color w:val="000000"/>
        </w:rPr>
        <w:t xml:space="preserve"> </w:t>
      </w:r>
    </w:p>
    <w:p w14:paraId="24B3CEDE" w14:textId="77777777" w:rsidR="00C55876" w:rsidRDefault="00000000">
      <w:pPr>
        <w:numPr>
          <w:ilvl w:val="3"/>
          <w:numId w:val="2"/>
        </w:numPr>
        <w:pBdr>
          <w:top w:val="nil"/>
          <w:left w:val="nil"/>
          <w:bottom w:val="nil"/>
          <w:right w:val="nil"/>
          <w:between w:val="nil"/>
        </w:pBdr>
        <w:spacing w:after="0"/>
      </w:pPr>
      <w:r>
        <w:rPr>
          <w:color w:val="000000"/>
        </w:rPr>
        <w:t>addressing the stigma and misinformation that are key factors that are leading to the prevalence of unsafe abortions.</w:t>
      </w:r>
    </w:p>
    <w:p w14:paraId="24B3CEDF" w14:textId="17C8D8C0" w:rsidR="00C55876" w:rsidRDefault="00000000">
      <w:pPr>
        <w:numPr>
          <w:ilvl w:val="2"/>
          <w:numId w:val="2"/>
        </w:numPr>
        <w:pBdr>
          <w:top w:val="nil"/>
          <w:left w:val="nil"/>
          <w:bottom w:val="nil"/>
          <w:right w:val="nil"/>
          <w:between w:val="nil"/>
        </w:pBdr>
        <w:spacing w:after="0"/>
      </w:pPr>
      <w:r>
        <w:rPr>
          <w:color w:val="000000"/>
        </w:rPr>
        <w:t xml:space="preserve">Please provide information on the legislative, administrative, budgetary, </w:t>
      </w:r>
      <w:proofErr w:type="gramStart"/>
      <w:r>
        <w:rPr>
          <w:color w:val="000000"/>
        </w:rPr>
        <w:t>programmatic</w:t>
      </w:r>
      <w:proofErr w:type="gramEnd"/>
      <w:r>
        <w:rPr>
          <w:color w:val="000000"/>
        </w:rPr>
        <w:t xml:space="preserve"> and other measures being put in place to ensure adolescents have access to sexual and reproductive health services and information including by:</w:t>
      </w:r>
    </w:p>
    <w:p w14:paraId="24B3CEE0" w14:textId="68239B5A" w:rsidR="00C55876" w:rsidRDefault="00810D76">
      <w:pPr>
        <w:numPr>
          <w:ilvl w:val="3"/>
          <w:numId w:val="2"/>
        </w:numPr>
        <w:pBdr>
          <w:top w:val="nil"/>
          <w:left w:val="nil"/>
          <w:bottom w:val="nil"/>
          <w:right w:val="nil"/>
          <w:between w:val="nil"/>
        </w:pBdr>
        <w:spacing w:after="0"/>
      </w:pPr>
      <w:r>
        <w:rPr>
          <w:color w:val="000000"/>
        </w:rPr>
        <w:t xml:space="preserve">Reviewing the National Reproductive Health Policy (2022-2032) and the Children’s Act </w:t>
      </w:r>
      <w:r w:rsidR="005D1CB6">
        <w:rPr>
          <w:color w:val="000000"/>
        </w:rPr>
        <w:t xml:space="preserve">(No. 29 of 2022) </w:t>
      </w:r>
      <w:r>
        <w:rPr>
          <w:color w:val="000000"/>
        </w:rPr>
        <w:t>to remove the requirement of third-party authorization before adolescents can access services.</w:t>
      </w:r>
    </w:p>
    <w:p w14:paraId="24B3CEE1" w14:textId="14F59EA5" w:rsidR="00C55876" w:rsidRDefault="005D1CB6">
      <w:pPr>
        <w:numPr>
          <w:ilvl w:val="3"/>
          <w:numId w:val="2"/>
        </w:numPr>
        <w:pBdr>
          <w:top w:val="nil"/>
          <w:left w:val="nil"/>
          <w:bottom w:val="nil"/>
          <w:right w:val="nil"/>
          <w:between w:val="nil"/>
        </w:pBdr>
        <w:spacing w:after="0"/>
      </w:pPr>
      <w:r>
        <w:rPr>
          <w:color w:val="000000"/>
        </w:rPr>
        <w:t>Reviewing the Basic Education Curriculum Framework 2019 to include guidance on the provision comprehensive, age-and-stage appropriate, scientifically accurate and evidence-based sexuality education that is based on human rights and responsive to the needs and realities of adolescents.</w:t>
      </w:r>
    </w:p>
    <w:p w14:paraId="24B3CEE2" w14:textId="77777777" w:rsidR="00C55876" w:rsidRDefault="00000000">
      <w:pPr>
        <w:numPr>
          <w:ilvl w:val="3"/>
          <w:numId w:val="2"/>
        </w:numPr>
        <w:pBdr>
          <w:top w:val="nil"/>
          <w:left w:val="nil"/>
          <w:bottom w:val="nil"/>
          <w:right w:val="nil"/>
          <w:between w:val="nil"/>
        </w:pBdr>
        <w:spacing w:after="0"/>
      </w:pPr>
      <w:r>
        <w:rPr>
          <w:color w:val="000000"/>
        </w:rPr>
        <w:t>Addressing stigma and negative attitudes among healthcare providers that prevent them from providing sexual and reproductive health services and information to adolescents.</w:t>
      </w:r>
    </w:p>
    <w:p w14:paraId="24B3CEE3" w14:textId="77777777" w:rsidR="00C55876" w:rsidRDefault="00000000">
      <w:pPr>
        <w:numPr>
          <w:ilvl w:val="3"/>
          <w:numId w:val="2"/>
        </w:numPr>
        <w:pBdr>
          <w:top w:val="nil"/>
          <w:left w:val="nil"/>
          <w:bottom w:val="nil"/>
          <w:right w:val="nil"/>
          <w:between w:val="nil"/>
        </w:pBdr>
        <w:spacing w:after="0"/>
      </w:pPr>
      <w:r>
        <w:rPr>
          <w:color w:val="000000"/>
        </w:rPr>
        <w:t>Addressing the barriers of inaccessibility, misinformation and disinformation that hinder access to sexual and reproductive health services</w:t>
      </w:r>
    </w:p>
    <w:p w14:paraId="24B3CEE4" w14:textId="77777777" w:rsidR="00C55876" w:rsidRDefault="00000000">
      <w:pPr>
        <w:numPr>
          <w:ilvl w:val="2"/>
          <w:numId w:val="2"/>
        </w:numPr>
        <w:pBdr>
          <w:top w:val="nil"/>
          <w:left w:val="nil"/>
          <w:bottom w:val="nil"/>
          <w:right w:val="nil"/>
          <w:between w:val="nil"/>
        </w:pBdr>
        <w:spacing w:after="0"/>
      </w:pPr>
      <w:r>
        <w:rPr>
          <w:color w:val="000000"/>
        </w:rPr>
        <w:t xml:space="preserve">Please provide information on the legislative, administrative, budgetary, </w:t>
      </w:r>
      <w:proofErr w:type="gramStart"/>
      <w:r>
        <w:rPr>
          <w:color w:val="000000"/>
        </w:rPr>
        <w:t>programmatic</w:t>
      </w:r>
      <w:proofErr w:type="gramEnd"/>
      <w:r>
        <w:rPr>
          <w:color w:val="000000"/>
        </w:rPr>
        <w:t xml:space="preserve"> and other measures being put in place to ensure:</w:t>
      </w:r>
    </w:p>
    <w:p w14:paraId="24B3CEE5" w14:textId="77777777" w:rsidR="00C55876" w:rsidRDefault="00000000">
      <w:pPr>
        <w:numPr>
          <w:ilvl w:val="3"/>
          <w:numId w:val="2"/>
        </w:numPr>
        <w:pBdr>
          <w:top w:val="nil"/>
          <w:left w:val="nil"/>
          <w:bottom w:val="nil"/>
          <w:right w:val="nil"/>
          <w:between w:val="nil"/>
        </w:pBdr>
        <w:spacing w:after="0"/>
      </w:pPr>
      <w:r>
        <w:rPr>
          <w:color w:val="000000"/>
        </w:rPr>
        <w:t>Availability and accessibility of maternal health services including emergency obstetric care for all women, including, women from rural areas and women from low-income backgrounds; and</w:t>
      </w:r>
    </w:p>
    <w:p w14:paraId="24B3CEE6" w14:textId="77777777" w:rsidR="00C55876" w:rsidRDefault="00000000">
      <w:pPr>
        <w:numPr>
          <w:ilvl w:val="3"/>
          <w:numId w:val="2"/>
        </w:numPr>
        <w:pBdr>
          <w:top w:val="nil"/>
          <w:left w:val="nil"/>
          <w:bottom w:val="nil"/>
          <w:right w:val="nil"/>
          <w:between w:val="nil"/>
        </w:pBdr>
      </w:pPr>
      <w:r>
        <w:rPr>
          <w:color w:val="000000"/>
        </w:rPr>
        <w:t xml:space="preserve">the implementation of the judgement in the case of </w:t>
      </w:r>
      <w:r>
        <w:rPr>
          <w:b/>
          <w:i/>
          <w:color w:val="000000"/>
          <w:u w:val="single"/>
        </w:rPr>
        <w:t>J.O.O (also known as J.M) v Attorney General &amp; 6 others</w:t>
      </w:r>
      <w:r>
        <w:rPr>
          <w:color w:val="000000"/>
        </w:rPr>
        <w:t xml:space="preserve"> and ensure quality of maternal healthcare for all women regardless of age, marital status, ethnicity or economic status, specifically maternal healthcare that is free from physical abuse, verbal abuse, neglect and other forms of abuse and mistreatment.</w:t>
      </w:r>
    </w:p>
    <w:sectPr w:rsidR="00C55876" w:rsidSect="00BC5F75">
      <w:headerReference w:type="first" r:id="rId9"/>
      <w:pgSz w:w="12240" w:h="15840"/>
      <w:pgMar w:top="1134" w:right="1134" w:bottom="1134" w:left="113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3BA3F" w14:textId="77777777" w:rsidR="00FD62C4" w:rsidRDefault="00FD62C4">
      <w:pPr>
        <w:spacing w:after="0" w:line="240" w:lineRule="auto"/>
      </w:pPr>
      <w:r>
        <w:separator/>
      </w:r>
    </w:p>
  </w:endnote>
  <w:endnote w:type="continuationSeparator" w:id="0">
    <w:p w14:paraId="7984DFC1" w14:textId="77777777" w:rsidR="00FD62C4" w:rsidRDefault="00FD6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AA1E" w14:textId="77777777" w:rsidR="00FD62C4" w:rsidRDefault="00FD62C4">
      <w:pPr>
        <w:spacing w:after="0" w:line="240" w:lineRule="auto"/>
      </w:pPr>
      <w:r>
        <w:separator/>
      </w:r>
    </w:p>
  </w:footnote>
  <w:footnote w:type="continuationSeparator" w:id="0">
    <w:p w14:paraId="2AD7B456" w14:textId="77777777" w:rsidR="00FD62C4" w:rsidRDefault="00FD62C4">
      <w:pPr>
        <w:spacing w:after="0" w:line="240" w:lineRule="auto"/>
      </w:pPr>
      <w:r>
        <w:continuationSeparator/>
      </w:r>
    </w:p>
  </w:footnote>
  <w:footnote w:id="1">
    <w:p w14:paraId="24B3CEE9"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43(1)(a), Constitution of Kenya 2010.</w:t>
      </w:r>
    </w:p>
  </w:footnote>
  <w:footnote w:id="2">
    <w:p w14:paraId="24B3CEEA"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General Comment No. 14 (2000): The right to the highest attainable standard of health (Article 12 of the International Covenant on Economic, Social and Cultural Rights). U.N. Document E/C.12/2000/4. Paragraph 8.</w:t>
      </w:r>
    </w:p>
  </w:footnote>
  <w:footnote w:id="3">
    <w:p w14:paraId="24B3CEEB"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Country Profile: Kenya: Unintended pregnancy and abortion</w:t>
      </w:r>
      <w:r>
        <w:rPr>
          <w:color w:val="000000"/>
          <w:sz w:val="20"/>
          <w:szCs w:val="20"/>
        </w:rPr>
        <w:t>. (2022). Guttmacher Institute. Accessed on 7</w:t>
      </w:r>
      <w:r>
        <w:rPr>
          <w:color w:val="000000"/>
          <w:sz w:val="20"/>
          <w:szCs w:val="20"/>
          <w:vertAlign w:val="superscript"/>
        </w:rPr>
        <w:t>th</w:t>
      </w:r>
      <w:r>
        <w:rPr>
          <w:color w:val="000000"/>
          <w:sz w:val="20"/>
          <w:szCs w:val="20"/>
        </w:rPr>
        <w:t xml:space="preserve"> December 2022. Available at: https://www.guttmacher.org/regions/africa/kenya</w:t>
      </w:r>
    </w:p>
  </w:footnote>
  <w:footnote w:id="4">
    <w:p w14:paraId="24B3CEEC"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Izugbara C., Kimani-Murage E. et al. (2013). </w:t>
      </w:r>
      <w:r>
        <w:rPr>
          <w:i/>
          <w:color w:val="000000"/>
          <w:sz w:val="20"/>
          <w:szCs w:val="20"/>
        </w:rPr>
        <w:t>Incidence and Complications of Unsafe Abortion in Kenya: Key Findings of a National Study</w:t>
      </w:r>
      <w:r>
        <w:rPr>
          <w:color w:val="000000"/>
          <w:sz w:val="20"/>
          <w:szCs w:val="20"/>
        </w:rPr>
        <w:t>. Ministry of Health, Republic of Kenya, Ipas, and Guttmacher Institute.</w:t>
      </w:r>
    </w:p>
  </w:footnote>
  <w:footnote w:id="5">
    <w:p w14:paraId="24B3CEED"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Ushie B., Juma K et al. (2019). </w:t>
      </w:r>
      <w:r>
        <w:rPr>
          <w:i/>
          <w:color w:val="000000"/>
          <w:sz w:val="20"/>
          <w:szCs w:val="20"/>
        </w:rPr>
        <w:t>Community perception of abortion, women who abort and abortifacients in Kisumu and Nairobi counties, Kenya</w:t>
      </w:r>
      <w:r>
        <w:rPr>
          <w:color w:val="000000"/>
          <w:sz w:val="20"/>
          <w:szCs w:val="20"/>
        </w:rPr>
        <w:t>. PLoS ONE.</w:t>
      </w:r>
    </w:p>
  </w:footnote>
  <w:footnote w:id="6">
    <w:p w14:paraId="24B3CEEE"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Lived experiences and pathways to abortion in Kilifi County, Kenya</w:t>
      </w:r>
      <w:r>
        <w:rPr>
          <w:color w:val="000000"/>
          <w:sz w:val="20"/>
          <w:szCs w:val="20"/>
        </w:rPr>
        <w:t>. (2021). Africa Population and Health Center.</w:t>
      </w:r>
    </w:p>
  </w:footnote>
  <w:footnote w:id="7">
    <w:p w14:paraId="24B3CEEF" w14:textId="77777777" w:rsidR="00C55876" w:rsidRDefault="00000000">
      <w:pPr>
        <w:pBdr>
          <w:top w:val="nil"/>
          <w:left w:val="nil"/>
          <w:bottom w:val="nil"/>
          <w:right w:val="nil"/>
          <w:between w:val="nil"/>
        </w:pBdr>
        <w:spacing w:after="0" w:line="240" w:lineRule="auto"/>
        <w:ind w:left="454" w:hanging="454"/>
        <w:rPr>
          <w:color w:val="000000"/>
          <w:sz w:val="20"/>
          <w:szCs w:val="20"/>
        </w:rPr>
      </w:pPr>
      <w:r>
        <w:rPr>
          <w:rStyle w:val="FootnoteReference"/>
        </w:rPr>
        <w:footnoteRef/>
      </w:r>
      <w:r>
        <w:rPr>
          <w:color w:val="000000"/>
          <w:sz w:val="20"/>
          <w:szCs w:val="20"/>
        </w:rPr>
        <w:t xml:space="preserve"> Article 26(4), Constitution of Kenya, 2010</w:t>
      </w:r>
    </w:p>
  </w:footnote>
  <w:footnote w:id="8">
    <w:p w14:paraId="24B3CEF0"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6(2), Health Act, No. 21 of 2017</w:t>
      </w:r>
    </w:p>
  </w:footnote>
  <w:footnote w:id="9">
    <w:p w14:paraId="24B3CEF1"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78, National Guidelines on Management of Sexual Violence in Kenya, 3</w:t>
      </w:r>
      <w:r>
        <w:rPr>
          <w:color w:val="000000"/>
          <w:sz w:val="20"/>
          <w:szCs w:val="20"/>
          <w:vertAlign w:val="superscript"/>
        </w:rPr>
        <w:t>rd</w:t>
      </w:r>
      <w:r>
        <w:rPr>
          <w:color w:val="000000"/>
          <w:sz w:val="20"/>
          <w:szCs w:val="20"/>
        </w:rPr>
        <w:t xml:space="preserve"> Edition (2014)</w:t>
      </w:r>
    </w:p>
  </w:footnote>
  <w:footnote w:id="10">
    <w:p w14:paraId="24B3CEF2"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i/>
          <w:color w:val="000000"/>
          <w:sz w:val="20"/>
          <w:szCs w:val="20"/>
          <w:u w:val="single"/>
        </w:rPr>
        <w:t>Federation of Women Lawyers (FIDA – Kenya) &amp; 3 others v Attorney General &amp; 2 others; East Africa Center for Law &amp; Justice &amp; 6 others (Interested Party) &amp; Women’s Link Worldwide &amp; 2 others (Amicus Curiae)</w:t>
      </w:r>
      <w:r>
        <w:rPr>
          <w:color w:val="000000"/>
          <w:sz w:val="20"/>
          <w:szCs w:val="20"/>
        </w:rPr>
        <w:t xml:space="preserve"> [2019] eKLR</w:t>
      </w:r>
    </w:p>
  </w:footnote>
  <w:footnote w:id="11">
    <w:p w14:paraId="24B3CEF3"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16, Standards and Guidelines for Reducing Morbidity &amp; Mortality from Unsafe Abortion in Kenya</w:t>
      </w:r>
    </w:p>
    <w:p w14:paraId="24B3CEF4" w14:textId="77777777" w:rsidR="00C55876" w:rsidRDefault="00000000">
      <w:pPr>
        <w:pBdr>
          <w:top w:val="nil"/>
          <w:left w:val="nil"/>
          <w:bottom w:val="nil"/>
          <w:right w:val="nil"/>
          <w:between w:val="nil"/>
        </w:pBdr>
        <w:spacing w:after="0" w:line="240" w:lineRule="auto"/>
        <w:rPr>
          <w:color w:val="000000"/>
          <w:sz w:val="20"/>
          <w:szCs w:val="20"/>
        </w:rPr>
      </w:pPr>
      <w:r>
        <w:rPr>
          <w:color w:val="000000"/>
          <w:sz w:val="20"/>
          <w:szCs w:val="20"/>
        </w:rPr>
        <w:t>September (2012)</w:t>
      </w:r>
    </w:p>
  </w:footnote>
  <w:footnote w:id="12">
    <w:p w14:paraId="24B3CEF5"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for Economic, Social and Cultural Rights, General Comment No. 22 (2016) on the Right to Sexual and Reproductive Health (Article 12 of the International Covenant on Economic, Social and Cultural Rights). U.N. Document E/C.12/GC/22. Paragraph 40-48.</w:t>
      </w:r>
    </w:p>
  </w:footnote>
  <w:footnote w:id="13">
    <w:p w14:paraId="24B3CEF6"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A Decade of Existence: Tracking Implementation of Article 26(4) of the Constitution</w:t>
      </w:r>
      <w:r>
        <w:rPr>
          <w:color w:val="000000"/>
          <w:sz w:val="20"/>
          <w:szCs w:val="20"/>
        </w:rPr>
        <w:t>. (2020). Center for Reproductive Rights.</w:t>
      </w:r>
    </w:p>
  </w:footnote>
  <w:footnote w:id="14">
    <w:p w14:paraId="24B3CEF7"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Ushie BA, Juma K, Kimemia G, Ouedraogo R, Bangha M, Mutua M. (2019). </w:t>
      </w:r>
      <w:r>
        <w:rPr>
          <w:i/>
          <w:color w:val="000000"/>
          <w:sz w:val="20"/>
          <w:szCs w:val="20"/>
        </w:rPr>
        <w:t>Community perception of abortion, women who abort and abortifacients in Kisumu and Nairobi counties</w:t>
      </w:r>
      <w:r>
        <w:rPr>
          <w:color w:val="000000"/>
          <w:sz w:val="20"/>
          <w:szCs w:val="20"/>
        </w:rPr>
        <w:t xml:space="preserve">, </w:t>
      </w:r>
      <w:r>
        <w:rPr>
          <w:i/>
          <w:color w:val="000000"/>
          <w:sz w:val="20"/>
          <w:szCs w:val="20"/>
        </w:rPr>
        <w:t>Kenya</w:t>
      </w:r>
      <w:r>
        <w:rPr>
          <w:color w:val="000000"/>
          <w:sz w:val="20"/>
          <w:szCs w:val="20"/>
        </w:rPr>
        <w:t>. PLoS ONE.</w:t>
      </w:r>
    </w:p>
  </w:footnote>
  <w:footnote w:id="15">
    <w:p w14:paraId="24B3CEF8" w14:textId="77777777" w:rsidR="00C55876"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Govule P., Baumann S., et al. (2021). </w:t>
      </w:r>
      <w:r>
        <w:rPr>
          <w:i/>
          <w:color w:val="000000"/>
          <w:sz w:val="20"/>
          <w:szCs w:val="20"/>
        </w:rPr>
        <w:t>Experiences of women seeking care for abortion complications in health facilities: Secondary analysis of the WHO Multi-Country Survey on Abortion in 11 African countries.</w:t>
      </w:r>
      <w:r>
        <w:rPr>
          <w:color w:val="000000"/>
          <w:sz w:val="20"/>
          <w:szCs w:val="20"/>
        </w:rPr>
        <w:t xml:space="preserve"> International Journal of Gynecology &amp; Obstetrics</w:t>
      </w:r>
    </w:p>
  </w:footnote>
  <w:footnote w:id="16">
    <w:p w14:paraId="24B3CEF9"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Jayaweera R., Ngui F. et al. (2018). </w:t>
      </w:r>
      <w:r>
        <w:rPr>
          <w:i/>
          <w:color w:val="000000"/>
          <w:sz w:val="20"/>
          <w:szCs w:val="20"/>
        </w:rPr>
        <w:t>Women's experiences with unplanned pregnancy and abortion in Kenya: A qualitative study</w:t>
      </w:r>
      <w:r>
        <w:rPr>
          <w:color w:val="000000"/>
          <w:sz w:val="20"/>
          <w:szCs w:val="20"/>
        </w:rPr>
        <w:t>. PLoS ONE</w:t>
      </w:r>
    </w:p>
  </w:footnote>
  <w:footnote w:id="17">
    <w:p w14:paraId="24B3CEFA"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Constitutional Petition E009 of 2020) [2022] KEHC 262 (KLR) (24 March 2022)</w:t>
      </w:r>
    </w:p>
  </w:footnote>
  <w:footnote w:id="18">
    <w:p w14:paraId="24B3CEFB"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i/>
          <w:color w:val="000000"/>
          <w:sz w:val="20"/>
          <w:szCs w:val="20"/>
          <w:u w:val="single"/>
        </w:rPr>
        <w:t>Starehe Directorate of Criminal Investigations v Millicent J.M.</w:t>
      </w:r>
      <w:r>
        <w:rPr>
          <w:color w:val="000000"/>
          <w:sz w:val="20"/>
          <w:szCs w:val="20"/>
        </w:rPr>
        <w:t xml:space="preserve"> (Miscellaneous Application No. 722 of 2020)</w:t>
      </w:r>
    </w:p>
  </w:footnote>
  <w:footnote w:id="19">
    <w:p w14:paraId="24B3CEFC"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10-13, </w:t>
      </w:r>
      <w:r>
        <w:rPr>
          <w:i/>
          <w:color w:val="000000"/>
          <w:sz w:val="20"/>
          <w:szCs w:val="20"/>
        </w:rPr>
        <w:t>A Decade of Existence: Tracking Implementation of Article 26(4) of the Constitution</w:t>
      </w:r>
      <w:r>
        <w:rPr>
          <w:color w:val="000000"/>
          <w:sz w:val="20"/>
          <w:szCs w:val="20"/>
        </w:rPr>
        <w:t>. (2020). Center for Reproductive Rights.</w:t>
      </w:r>
    </w:p>
  </w:footnote>
  <w:footnote w:id="20">
    <w:p w14:paraId="24B3CEFD"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Pg.9 and 20, The National Reproductive Health Policy (2022-2023), Ministry of Health, Republic of Kenya</w:t>
      </w:r>
    </w:p>
  </w:footnote>
  <w:footnote w:id="21">
    <w:p w14:paraId="24B3CEFE"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for Economic, Social and Cultural Rights, General Comment No. 22 (2016) on the Right to Sexual and Reproductive Health (Article 12 of the International Covenant on Economic, Social and Cultural Rights). U.N. Document E/C.12/GC/22. Paragraph 41.</w:t>
      </w:r>
    </w:p>
  </w:footnote>
  <w:footnote w:id="22">
    <w:p w14:paraId="24B3CEFF"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i/>
          <w:color w:val="000000"/>
          <w:sz w:val="20"/>
          <w:szCs w:val="20"/>
          <w:u w:val="single"/>
        </w:rPr>
        <w:t>Federation of Women Lawyers (FIDA – Kenya) &amp; 3 others v Attorney General &amp; 2 others; East Africa Center for Law &amp; Justice &amp; 6 others (Interested Party) &amp; Women’s Link Worldwide &amp; 2 others (Amicus Curiae)</w:t>
      </w:r>
      <w:r>
        <w:rPr>
          <w:color w:val="000000"/>
          <w:sz w:val="20"/>
          <w:szCs w:val="20"/>
        </w:rPr>
        <w:t xml:space="preserve"> [2019] eKLR</w:t>
      </w:r>
    </w:p>
  </w:footnote>
  <w:footnote w:id="23">
    <w:p w14:paraId="24B3CF00"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Lived experiences and pathways to abortion in Kilifi County, Kenya</w:t>
      </w:r>
      <w:r>
        <w:rPr>
          <w:color w:val="000000"/>
          <w:sz w:val="20"/>
          <w:szCs w:val="20"/>
        </w:rPr>
        <w:t>. (2021). Africa Population and Health Center.</w:t>
      </w:r>
    </w:p>
  </w:footnote>
  <w:footnote w:id="24">
    <w:p w14:paraId="24B3CF01"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Ushie BA, Juma K, Kimemia G, Ouedraogo R, Bangha M, Mutua M. (2019). </w:t>
      </w:r>
      <w:r>
        <w:rPr>
          <w:i/>
          <w:color w:val="000000"/>
          <w:sz w:val="20"/>
          <w:szCs w:val="20"/>
        </w:rPr>
        <w:t>Community perception of abortion, women who abort and abortifacients in Kisumu and Nairobi counties</w:t>
      </w:r>
      <w:r>
        <w:rPr>
          <w:color w:val="000000"/>
          <w:sz w:val="20"/>
          <w:szCs w:val="20"/>
        </w:rPr>
        <w:t xml:space="preserve">, </w:t>
      </w:r>
      <w:r>
        <w:rPr>
          <w:i/>
          <w:color w:val="000000"/>
          <w:sz w:val="20"/>
          <w:szCs w:val="20"/>
        </w:rPr>
        <w:t>Kenya</w:t>
      </w:r>
      <w:r>
        <w:rPr>
          <w:color w:val="000000"/>
          <w:sz w:val="20"/>
          <w:szCs w:val="20"/>
        </w:rPr>
        <w:t>. PLoS ONE.</w:t>
      </w:r>
    </w:p>
  </w:footnote>
  <w:footnote w:id="25">
    <w:p w14:paraId="24B3CF02"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Govule P., Baumann S., et al. (2021). </w:t>
      </w:r>
      <w:r>
        <w:rPr>
          <w:i/>
          <w:color w:val="000000"/>
          <w:sz w:val="20"/>
          <w:szCs w:val="20"/>
        </w:rPr>
        <w:t>Experiences of women seeking care for abortion complications in health facilities: Secondary analysis of the WHO Multi-Country Survey on Abortion in 11 African countries.</w:t>
      </w:r>
      <w:r>
        <w:rPr>
          <w:color w:val="000000"/>
          <w:sz w:val="20"/>
          <w:szCs w:val="20"/>
        </w:rPr>
        <w:t xml:space="preserve"> International Journal of Gynecology &amp; Obstetrics</w:t>
      </w:r>
    </w:p>
  </w:footnote>
  <w:footnote w:id="26">
    <w:p w14:paraId="24B3CF03"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260, Constitution of Kenya, 2010</w:t>
      </w:r>
    </w:p>
  </w:footnote>
  <w:footnote w:id="27">
    <w:p w14:paraId="24B3CF04"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53(1)(c), Constitution of Kenya, 2010</w:t>
      </w:r>
    </w:p>
  </w:footnote>
  <w:footnote w:id="28">
    <w:p w14:paraId="24B3CF05"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for Economic, Social and Cultural Rights, General Comment No. 22 (2016) on the Right to Sexual and Reproductive Health (Article 12 of the International Covenant on Economic, Social and Cultural Rights). U.N. Document E/C.12/GC/22. Paragraph 28, 44 and 48.</w:t>
      </w:r>
    </w:p>
  </w:footnote>
  <w:footnote w:id="29">
    <w:p w14:paraId="24B3CF06"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26- 27, The National Reproductive Health Policy (2022-2023), Ministry of Health, Republic of Kenya</w:t>
      </w:r>
    </w:p>
  </w:footnote>
  <w:footnote w:id="30">
    <w:p w14:paraId="24B3CF07"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23, The National Reproductive Health Policy (2022-2023), Ministry of Health, Republic of Kenya</w:t>
      </w:r>
    </w:p>
  </w:footnote>
  <w:footnote w:id="31">
    <w:p w14:paraId="24B3CF08"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25, The National Reproductive Health Policy (2022-2023), Ministry of Health, Republic of Kenya</w:t>
      </w:r>
    </w:p>
  </w:footnote>
  <w:footnote w:id="32">
    <w:p w14:paraId="24B3CF09"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Part XII, Children’s Act (No. 29 of 2022)</w:t>
      </w:r>
    </w:p>
  </w:footnote>
  <w:footnote w:id="33">
    <w:p w14:paraId="24B3CF0A"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Rights of the Child, General comment No. 20 (2016) on the implementation of the rights of the child during adolescence. U. N Document CRC/C/GC/20. Paragraph 38-40.</w:t>
      </w:r>
    </w:p>
  </w:footnote>
  <w:footnote w:id="34">
    <w:p w14:paraId="24B3CF0B"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60, Kenya Demographic and Health Survey (2014)</w:t>
      </w:r>
    </w:p>
  </w:footnote>
  <w:footnote w:id="35">
    <w:p w14:paraId="24B3CF0C" w14:textId="77777777" w:rsidR="00C55876" w:rsidRDefault="00000000">
      <w:pPr>
        <w:pBdr>
          <w:top w:val="nil"/>
          <w:left w:val="nil"/>
          <w:bottom w:val="nil"/>
          <w:right w:val="nil"/>
          <w:between w:val="nil"/>
        </w:pBdr>
        <w:spacing w:after="0" w:line="240" w:lineRule="auto"/>
        <w:rPr>
          <w:b/>
          <w:color w:val="000000"/>
          <w:sz w:val="20"/>
          <w:szCs w:val="20"/>
        </w:rPr>
      </w:pPr>
      <w:r>
        <w:rPr>
          <w:rStyle w:val="FootnoteReference"/>
        </w:rPr>
        <w:footnoteRef/>
      </w:r>
      <w:r>
        <w:rPr>
          <w:color w:val="000000"/>
          <w:sz w:val="20"/>
          <w:szCs w:val="20"/>
        </w:rPr>
        <w:t xml:space="preserve"> Table 7.3, Pg. 93, Kenya Demographic and Health Survey (2014)</w:t>
      </w:r>
    </w:p>
  </w:footnote>
  <w:footnote w:id="36">
    <w:p w14:paraId="24B3CF0D"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Ajayi A., Odunga S. et al. (2021). </w:t>
      </w:r>
      <w:r>
        <w:rPr>
          <w:i/>
          <w:color w:val="000000"/>
          <w:sz w:val="20"/>
          <w:szCs w:val="20"/>
        </w:rPr>
        <w:t>"I was tricked": understanding reasons for unintended pregnancy among sexually active adolescent girls</w:t>
      </w:r>
      <w:r>
        <w:rPr>
          <w:color w:val="000000"/>
          <w:sz w:val="20"/>
          <w:szCs w:val="20"/>
        </w:rPr>
        <w:t>. Reproductive Health</w:t>
      </w:r>
    </w:p>
  </w:footnote>
  <w:footnote w:id="37">
    <w:p w14:paraId="24B3CF0E" w14:textId="77777777" w:rsidR="00C55876"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Kinaro, J., Kimani, M., Ikamari, L. and Ayiemba, E.H.O. (2015) </w:t>
      </w:r>
      <w:r>
        <w:rPr>
          <w:i/>
          <w:color w:val="000000"/>
          <w:sz w:val="20"/>
          <w:szCs w:val="20"/>
        </w:rPr>
        <w:t>Perceptions and Barriers to Contraceptive</w:t>
      </w:r>
    </w:p>
    <w:p w14:paraId="24B3CF0F" w14:textId="77777777" w:rsidR="00C55876" w:rsidRDefault="00000000">
      <w:pPr>
        <w:pBdr>
          <w:top w:val="nil"/>
          <w:left w:val="nil"/>
          <w:bottom w:val="nil"/>
          <w:right w:val="nil"/>
          <w:between w:val="nil"/>
        </w:pBdr>
        <w:spacing w:after="0" w:line="240" w:lineRule="auto"/>
        <w:rPr>
          <w:color w:val="000000"/>
          <w:sz w:val="20"/>
          <w:szCs w:val="20"/>
        </w:rPr>
      </w:pPr>
      <w:r>
        <w:rPr>
          <w:i/>
          <w:color w:val="000000"/>
          <w:sz w:val="20"/>
          <w:szCs w:val="20"/>
        </w:rPr>
        <w:t>Use among Adolescents Aged 15 - 19 Years in Kenya: A Case Study of Nairobi</w:t>
      </w:r>
      <w:r>
        <w:rPr>
          <w:color w:val="000000"/>
          <w:sz w:val="20"/>
          <w:szCs w:val="20"/>
        </w:rPr>
        <w:t>. Health</w:t>
      </w:r>
    </w:p>
  </w:footnote>
  <w:footnote w:id="38">
    <w:p w14:paraId="24B3CF10"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Mutea L, Ontiri S, Kadiri F, et al. (2020) </w:t>
      </w:r>
      <w:r>
        <w:rPr>
          <w:i/>
          <w:color w:val="000000"/>
          <w:sz w:val="20"/>
          <w:szCs w:val="20"/>
        </w:rPr>
        <w:t>Access to information and use of adolescent sexual reproductive health services: Qualitative exploration of barriers and facilitators in Kisumu and Kakamega, Kenya</w:t>
      </w:r>
      <w:r>
        <w:rPr>
          <w:color w:val="000000"/>
          <w:sz w:val="20"/>
          <w:szCs w:val="20"/>
        </w:rPr>
        <w:t>. PLoS ONE</w:t>
      </w:r>
    </w:p>
  </w:footnote>
  <w:footnote w:id="39">
    <w:p w14:paraId="24B3CF11"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for Economic, Social and Cultural Rights, General Comment No. 22 (2016) on the Right to Sexual and Reproductive Health (Article 12 of the International Covenant on Economic, Social and Cultural Rights). U.N. Document E/C.12/GC/22. Paragraph 18-21.</w:t>
      </w:r>
    </w:p>
  </w:footnote>
  <w:footnote w:id="40">
    <w:p w14:paraId="24B3CF12"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for Economic, Social and Cultural Rights, General Comment No. 22 (2016) on the Right to Sexual and Reproductive Health (Article 12 of the International Covenant on Economic, Social and Cultural Rights). U.N. Document E/C.12/GC/22. Paragraph 41.</w:t>
      </w:r>
    </w:p>
  </w:footnote>
  <w:footnote w:id="41">
    <w:p w14:paraId="24B3CF13"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Figure 2, Pg. 30, Basic Education Curriculum Framework, Republic of Kenya.</w:t>
      </w:r>
    </w:p>
  </w:footnote>
  <w:footnote w:id="42">
    <w:p w14:paraId="24B3CF14"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21, Basic Education Curriculum Framework, Republic of Kenya.</w:t>
      </w:r>
    </w:p>
  </w:footnote>
  <w:footnote w:id="43">
    <w:p w14:paraId="24B3CF15"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16-17, International technical guidance on sexuality education, United Nations Educational, Scientific and Cultural Organization (UNESCO). 2018.</w:t>
      </w:r>
    </w:p>
  </w:footnote>
  <w:footnote w:id="44">
    <w:p w14:paraId="24B3CF16"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120, Basic Education Curriculum Framework, Republic of Kenya.</w:t>
      </w:r>
    </w:p>
  </w:footnote>
  <w:footnote w:id="45">
    <w:p w14:paraId="24B3CF17"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Access to SRHR information by Women and Girls in Kenya: Assessment of Nairobi, Bungoma, Homabay, Kericho and Kilifi Counties.</w:t>
      </w:r>
      <w:r>
        <w:rPr>
          <w:color w:val="000000"/>
          <w:sz w:val="20"/>
          <w:szCs w:val="20"/>
        </w:rPr>
        <w:t xml:space="preserve"> 2021. the Center for Reproductive Rights and Trust for Indigenous Culture and Health (TICAH). </w:t>
      </w:r>
    </w:p>
  </w:footnote>
  <w:footnote w:id="46">
    <w:p w14:paraId="24B3CF18"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91, Kenya Demographic and Health Survey (2014)</w:t>
      </w:r>
    </w:p>
  </w:footnote>
  <w:footnote w:id="47">
    <w:p w14:paraId="24B3CF19" w14:textId="77777777" w:rsidR="00C55876"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Kinaro, J., Kimani, M., Ikamari, L. and Ayiemba, E.H.O. (2015) </w:t>
      </w:r>
      <w:r>
        <w:rPr>
          <w:i/>
          <w:color w:val="000000"/>
          <w:sz w:val="20"/>
          <w:szCs w:val="20"/>
        </w:rPr>
        <w:t>Perceptions and Barriers to Contraceptive</w:t>
      </w:r>
    </w:p>
    <w:p w14:paraId="24B3CF1A" w14:textId="77777777" w:rsidR="00C55876" w:rsidRDefault="00000000">
      <w:pPr>
        <w:pBdr>
          <w:top w:val="nil"/>
          <w:left w:val="nil"/>
          <w:bottom w:val="nil"/>
          <w:right w:val="nil"/>
          <w:between w:val="nil"/>
        </w:pBdr>
        <w:spacing w:after="0" w:line="240" w:lineRule="auto"/>
        <w:rPr>
          <w:color w:val="000000"/>
          <w:sz w:val="20"/>
          <w:szCs w:val="20"/>
        </w:rPr>
      </w:pPr>
      <w:r>
        <w:rPr>
          <w:i/>
          <w:color w:val="000000"/>
          <w:sz w:val="20"/>
          <w:szCs w:val="20"/>
        </w:rPr>
        <w:t>Use among Adolescents Aged 15 - 19 Years in Kenya: A Case Study of Nairobi</w:t>
      </w:r>
      <w:r>
        <w:rPr>
          <w:color w:val="000000"/>
          <w:sz w:val="20"/>
          <w:szCs w:val="20"/>
        </w:rPr>
        <w:t>. Health</w:t>
      </w:r>
    </w:p>
  </w:footnote>
  <w:footnote w:id="48">
    <w:p w14:paraId="24B3CF1B"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Ajayi A., Odunga S. et al. (2021). </w:t>
      </w:r>
      <w:r>
        <w:rPr>
          <w:i/>
          <w:color w:val="000000"/>
          <w:sz w:val="20"/>
          <w:szCs w:val="20"/>
        </w:rPr>
        <w:t>"I was tricked": understanding reasons for unintended pregnancy among sexually active adolescent girls</w:t>
      </w:r>
      <w:r>
        <w:rPr>
          <w:color w:val="000000"/>
          <w:sz w:val="20"/>
          <w:szCs w:val="20"/>
        </w:rPr>
        <w:t>. Reproductive Health</w:t>
      </w:r>
    </w:p>
  </w:footnote>
  <w:footnote w:id="49">
    <w:p w14:paraId="24B3CF1C"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Ayodo G., Onyango G. et al. (2021). </w:t>
      </w:r>
      <w:r>
        <w:rPr>
          <w:i/>
          <w:color w:val="000000"/>
          <w:sz w:val="20"/>
          <w:szCs w:val="20"/>
        </w:rPr>
        <w:t>Existing barriers to utilization of health services for maternal and newborn care in rural Western Kenya.</w:t>
      </w:r>
      <w:r>
        <w:rPr>
          <w:color w:val="000000"/>
          <w:sz w:val="20"/>
          <w:szCs w:val="20"/>
        </w:rPr>
        <w:t xml:space="preserve"> BMC Health Services Research.</w:t>
      </w:r>
    </w:p>
  </w:footnote>
  <w:footnote w:id="50">
    <w:p w14:paraId="24B3CF1D"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Lived experiences and pathways to abortion in Kilifi County, Kenya</w:t>
      </w:r>
      <w:r>
        <w:rPr>
          <w:color w:val="000000"/>
          <w:sz w:val="20"/>
          <w:szCs w:val="20"/>
        </w:rPr>
        <w:t>. (2021). Africa Population and Health Center.</w:t>
      </w:r>
    </w:p>
  </w:footnote>
  <w:footnote w:id="51">
    <w:p w14:paraId="24B3CF1E"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Mutea L, Ontiri S, Kadiri F, et al. (2020) </w:t>
      </w:r>
      <w:r>
        <w:rPr>
          <w:i/>
          <w:color w:val="000000"/>
          <w:sz w:val="20"/>
          <w:szCs w:val="20"/>
        </w:rPr>
        <w:t>Access to information and use of adolescent sexual reproductive health services: Qualitative exploration of barriers and facilitators in Kisumu and Kakamega, Kenya</w:t>
      </w:r>
      <w:r>
        <w:rPr>
          <w:color w:val="000000"/>
          <w:sz w:val="20"/>
          <w:szCs w:val="20"/>
        </w:rPr>
        <w:t>. PLoS ONE</w:t>
      </w:r>
    </w:p>
  </w:footnote>
  <w:footnote w:id="52">
    <w:p w14:paraId="24B3CF1F"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Ajayi A., Odunga S. et al. (2021). </w:t>
      </w:r>
      <w:r>
        <w:rPr>
          <w:i/>
          <w:color w:val="000000"/>
          <w:sz w:val="20"/>
          <w:szCs w:val="20"/>
        </w:rPr>
        <w:t>"I was tricked": understanding reasons for unintended pregnancy among sexually active adolescent girls</w:t>
      </w:r>
      <w:r>
        <w:rPr>
          <w:color w:val="000000"/>
          <w:sz w:val="20"/>
          <w:szCs w:val="20"/>
        </w:rPr>
        <w:t>. Reproductive Health</w:t>
      </w:r>
    </w:p>
  </w:footnote>
  <w:footnote w:id="53">
    <w:p w14:paraId="24B3CF20" w14:textId="77777777" w:rsidR="00C55876" w:rsidRDefault="00000000">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Kinaro, J., Kimani, M., Ikamari, L. and Ayiemba, E.H.O. (2015) </w:t>
      </w:r>
      <w:r>
        <w:rPr>
          <w:i/>
          <w:color w:val="000000"/>
          <w:sz w:val="20"/>
          <w:szCs w:val="20"/>
        </w:rPr>
        <w:t>Perceptions and Barriers to Contraceptive</w:t>
      </w:r>
    </w:p>
    <w:p w14:paraId="24B3CF21" w14:textId="77777777" w:rsidR="00C55876" w:rsidRDefault="00000000">
      <w:pPr>
        <w:pBdr>
          <w:top w:val="nil"/>
          <w:left w:val="nil"/>
          <w:bottom w:val="nil"/>
          <w:right w:val="nil"/>
          <w:between w:val="nil"/>
        </w:pBdr>
        <w:spacing w:after="0" w:line="240" w:lineRule="auto"/>
        <w:rPr>
          <w:color w:val="000000"/>
          <w:sz w:val="20"/>
          <w:szCs w:val="20"/>
        </w:rPr>
      </w:pPr>
      <w:r>
        <w:rPr>
          <w:i/>
          <w:color w:val="000000"/>
          <w:sz w:val="20"/>
          <w:szCs w:val="20"/>
        </w:rPr>
        <w:t>Use among Adolescents Aged 15 - 19 Years in Kenya: A Case Study of Nairobi</w:t>
      </w:r>
      <w:r>
        <w:rPr>
          <w:color w:val="000000"/>
          <w:sz w:val="20"/>
          <w:szCs w:val="20"/>
        </w:rPr>
        <w:t>. Health</w:t>
      </w:r>
    </w:p>
  </w:footnote>
  <w:footnote w:id="54">
    <w:p w14:paraId="24B3CF22"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Mumah JN, Mulupi S, Wado YD, Ushie BA, Nai D, Kabiru CW, et al. (2020) </w:t>
      </w:r>
      <w:r>
        <w:rPr>
          <w:i/>
          <w:color w:val="000000"/>
          <w:sz w:val="20"/>
          <w:szCs w:val="20"/>
        </w:rPr>
        <w:t>Adolescents’ narratives of coping with unintended pregnancy in Nairobi’s informal settlements.</w:t>
      </w:r>
      <w:r>
        <w:rPr>
          <w:color w:val="000000"/>
          <w:sz w:val="20"/>
          <w:szCs w:val="20"/>
        </w:rPr>
        <w:t xml:space="preserve"> PLoS ONE</w:t>
      </w:r>
    </w:p>
  </w:footnote>
  <w:footnote w:id="55">
    <w:p w14:paraId="24B3CF23"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Access to SRHR information by Women and Girls in Kenya: Assessment of Nairobi, Bungoma, Homabay, Kericho and Kilifi Counties.</w:t>
      </w:r>
      <w:r>
        <w:rPr>
          <w:color w:val="000000"/>
          <w:sz w:val="20"/>
          <w:szCs w:val="20"/>
        </w:rPr>
        <w:t xml:space="preserve"> 2021. the Center for Reproductive Rights and Trust for Indigenous Culture and Health (TICAH).</w:t>
      </w:r>
    </w:p>
  </w:footnote>
  <w:footnote w:id="56">
    <w:p w14:paraId="24B3CF24"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43(1)(a), Constitution of Kenya, 2010</w:t>
      </w:r>
    </w:p>
  </w:footnote>
  <w:footnote w:id="57">
    <w:p w14:paraId="24B3CF25"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5(3)(b), Health Act (No. 21 of 2017)</w:t>
      </w:r>
    </w:p>
  </w:footnote>
  <w:footnote w:id="58">
    <w:p w14:paraId="24B3CF26"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6, Health Act (No. 21 of 2017)</w:t>
      </w:r>
    </w:p>
  </w:footnote>
  <w:footnote w:id="59">
    <w:p w14:paraId="24B3CF27"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Ayodo G., Onyango G. et al. (2021). </w:t>
      </w:r>
      <w:r>
        <w:rPr>
          <w:i/>
          <w:color w:val="000000"/>
          <w:sz w:val="20"/>
          <w:szCs w:val="20"/>
        </w:rPr>
        <w:t>Existing barriers to utilization of health services for maternal and newborn care in rural Western Kenya.</w:t>
      </w:r>
      <w:r>
        <w:rPr>
          <w:color w:val="000000"/>
          <w:sz w:val="20"/>
          <w:szCs w:val="20"/>
        </w:rPr>
        <w:t xml:space="preserve"> BMC Health Services Research.</w:t>
      </w:r>
    </w:p>
  </w:footnote>
  <w:footnote w:id="60">
    <w:p w14:paraId="24B3CF28"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Kisiangani I., Elmi M. et al. (2020). </w:t>
      </w:r>
      <w:r>
        <w:rPr>
          <w:i/>
          <w:color w:val="000000"/>
          <w:sz w:val="20"/>
          <w:szCs w:val="20"/>
        </w:rPr>
        <w:t>Persistent barriers to the use of maternal, newborn and child health services in Garissa sub-county, Kenya: a qualitative study</w:t>
      </w:r>
      <w:r>
        <w:rPr>
          <w:color w:val="000000"/>
          <w:sz w:val="20"/>
          <w:szCs w:val="20"/>
        </w:rPr>
        <w:t>. BMC Pregnancy and Childbirth.</w:t>
      </w:r>
    </w:p>
  </w:footnote>
  <w:footnote w:id="61">
    <w:p w14:paraId="24B3CF29"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Ombere S. (2021). </w:t>
      </w:r>
      <w:r>
        <w:rPr>
          <w:i/>
          <w:color w:val="000000"/>
          <w:sz w:val="20"/>
          <w:szCs w:val="20"/>
        </w:rPr>
        <w:t>Access to Maternal Health Services During the COVID-19 Pandemic: Experiences of Indigent Mothers and Health Care Providers in Kilifi County, Kenya</w:t>
      </w:r>
      <w:r>
        <w:rPr>
          <w:color w:val="000000"/>
          <w:sz w:val="20"/>
          <w:szCs w:val="20"/>
        </w:rPr>
        <w:t xml:space="preserve">. Frontiers in Sociology. </w:t>
      </w:r>
    </w:p>
  </w:footnote>
  <w:footnote w:id="62">
    <w:p w14:paraId="24B3CF2A"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 xml:space="preserve">Impact of the COVID-19 Pandemic on Sexual and Reproductive Health Services in Burkina Faso, Ethiopia, Kenya, </w:t>
      </w:r>
      <w:proofErr w:type="gramStart"/>
      <w:r>
        <w:rPr>
          <w:i/>
          <w:color w:val="000000"/>
          <w:sz w:val="20"/>
          <w:szCs w:val="20"/>
        </w:rPr>
        <w:t>Malawi</w:t>
      </w:r>
      <w:proofErr w:type="gramEnd"/>
      <w:r>
        <w:rPr>
          <w:i/>
          <w:color w:val="000000"/>
          <w:sz w:val="20"/>
          <w:szCs w:val="20"/>
        </w:rPr>
        <w:t xml:space="preserve"> and Uganda</w:t>
      </w:r>
      <w:r>
        <w:rPr>
          <w:color w:val="000000"/>
          <w:sz w:val="20"/>
          <w:szCs w:val="20"/>
        </w:rPr>
        <w:t>. (2021) Africa Population and Health Research Center.</w:t>
      </w:r>
    </w:p>
  </w:footnote>
  <w:footnote w:id="63">
    <w:p w14:paraId="24B3CF2B"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Oluoch-Aridi J., Smith-Oka V. et al. (2018). </w:t>
      </w:r>
      <w:r>
        <w:rPr>
          <w:i/>
          <w:color w:val="000000"/>
          <w:sz w:val="20"/>
          <w:szCs w:val="20"/>
        </w:rPr>
        <w:t>Exploring mistreatment of women during childbirth in a peri-urban setting in Kenya: experiences and perceptions of women and healthcare providers.</w:t>
      </w:r>
      <w:r>
        <w:rPr>
          <w:color w:val="000000"/>
          <w:sz w:val="20"/>
          <w:szCs w:val="20"/>
        </w:rPr>
        <w:t xml:space="preserve"> Reproductive Health</w:t>
      </w:r>
    </w:p>
  </w:footnote>
  <w:footnote w:id="64">
    <w:p w14:paraId="24B3CF2C"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Oluoch‑Aridi J., Afulani P.et al. (2021), </w:t>
      </w:r>
      <w:r>
        <w:rPr>
          <w:i/>
          <w:color w:val="000000"/>
          <w:sz w:val="20"/>
          <w:szCs w:val="20"/>
        </w:rPr>
        <w:t>Exploring women’s childbirth experiences and perceptions of delivery care in peri‑urban settings in Nairobi, Kenya</w:t>
      </w:r>
      <w:r>
        <w:rPr>
          <w:color w:val="000000"/>
          <w:sz w:val="20"/>
          <w:szCs w:val="20"/>
        </w:rPr>
        <w:t>. Reproductive Health</w:t>
      </w:r>
    </w:p>
  </w:footnote>
  <w:footnote w:id="65">
    <w:p w14:paraId="24B3CF2D"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[2018] eKLR</w:t>
      </w:r>
    </w:p>
  </w:footnote>
  <w:footnote w:id="66">
    <w:p w14:paraId="24B3CF2E" w14:textId="77777777" w:rsidR="00C55876"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[2019] eKLR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17B83" w14:textId="1D6177C9" w:rsidR="00BC5F75" w:rsidRDefault="00F74832" w:rsidP="00432C62">
    <w:pPr>
      <w:pStyle w:val="Header"/>
      <w:jc w:val="center"/>
    </w:pPr>
    <w:r>
      <w:rPr>
        <w:noProof/>
        <w:color w:val="000000"/>
        <w:szCs w:val="24"/>
      </w:rPr>
      <w:drawing>
        <wp:inline distT="0" distB="0" distL="0" distR="0" wp14:anchorId="5000A4E7" wp14:editId="2A13319A">
          <wp:extent cx="1400175" cy="628650"/>
          <wp:effectExtent l="0" t="0" r="9525" b="0"/>
          <wp:docPr id="3" name="Picture 3"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ack sign with white tex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0175" cy="628650"/>
                  </a:xfrm>
                  <a:prstGeom prst="rect">
                    <a:avLst/>
                  </a:prstGeom>
                  <a:noFill/>
                  <a:ln>
                    <a:noFill/>
                  </a:ln>
                </pic:spPr>
              </pic:pic>
            </a:graphicData>
          </a:graphic>
        </wp:inline>
      </w:drawing>
    </w:r>
    <w:r w:rsidR="00265313">
      <w:rPr>
        <w:noProof/>
      </w:rPr>
      <w:t xml:space="preserve"> </w:t>
    </w:r>
    <w:r w:rsidR="004C07A6">
      <w:rPr>
        <w:noProof/>
      </w:rPr>
      <w:t xml:space="preserve">  </w:t>
    </w:r>
    <w:r w:rsidR="00265313">
      <w:rPr>
        <w:noProof/>
      </w:rPr>
      <w:t xml:space="preserve"> </w:t>
    </w:r>
    <w:r w:rsidR="004C07A6">
      <w:rPr>
        <w:noProof/>
      </w:rPr>
      <w:t xml:space="preserve">  </w:t>
    </w:r>
    <w:r w:rsidR="00746D48">
      <w:rPr>
        <w:noProof/>
      </w:rPr>
      <w:drawing>
        <wp:inline distT="0" distB="0" distL="0" distR="0" wp14:anchorId="11802B66" wp14:editId="01848ED8">
          <wp:extent cx="1905000" cy="390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05000" cy="390525"/>
                  </a:xfrm>
                  <a:prstGeom prst="rect">
                    <a:avLst/>
                  </a:prstGeom>
                  <a:noFill/>
                  <a:ln>
                    <a:noFill/>
                  </a:ln>
                </pic:spPr>
              </pic:pic>
            </a:graphicData>
          </a:graphic>
        </wp:inline>
      </w:drawing>
    </w:r>
    <w:r w:rsidR="004C07A6">
      <w:rPr>
        <w:noProof/>
      </w:rPr>
      <w:t xml:space="preserve">  </w:t>
    </w:r>
    <w:r w:rsidR="00265313">
      <w:rPr>
        <w:noProof/>
      </w:rPr>
      <w:t xml:space="preserve"> </w:t>
    </w:r>
    <w:r w:rsidR="004C07A6">
      <w:rPr>
        <w:noProof/>
      </w:rPr>
      <w:t xml:space="preserve"> </w:t>
    </w:r>
    <w:r w:rsidR="00265313">
      <w:rPr>
        <w:noProof/>
      </w:rPr>
      <w:t xml:space="preserve"> </w:t>
    </w:r>
    <w:r w:rsidR="004C07A6">
      <w:rPr>
        <w:noProof/>
      </w:rPr>
      <w:t xml:space="preserve"> </w:t>
    </w:r>
    <w:r w:rsidR="00F8048F">
      <w:rPr>
        <w:noProof/>
      </w:rPr>
      <w:drawing>
        <wp:inline distT="0" distB="0" distL="0" distR="0" wp14:anchorId="7D3E442F" wp14:editId="6D79E3AF">
          <wp:extent cx="905510" cy="854075"/>
          <wp:effectExtent l="0" t="0" r="889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5510" cy="854075"/>
                  </a:xfrm>
                  <a:prstGeom prst="rect">
                    <a:avLst/>
                  </a:prstGeom>
                  <a:noFill/>
                  <a:ln>
                    <a:noFill/>
                  </a:ln>
                </pic:spPr>
              </pic:pic>
            </a:graphicData>
          </a:graphic>
        </wp:inline>
      </w:drawing>
    </w:r>
    <w:r w:rsidR="004C07A6">
      <w:rPr>
        <w:noProof/>
      </w:rPr>
      <w:t xml:space="preserve">    </w:t>
    </w:r>
    <w:r w:rsidR="00265313">
      <w:rPr>
        <w:noProof/>
      </w:rPr>
      <w:t xml:space="preserve">  </w:t>
    </w:r>
    <w:r w:rsidR="009E7A79">
      <w:rPr>
        <w:noProof/>
      </w:rPr>
      <w:drawing>
        <wp:inline distT="0" distB="0" distL="0" distR="0" wp14:anchorId="3480E2B5" wp14:editId="54F84472">
          <wp:extent cx="1447800" cy="800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B6699"/>
    <w:multiLevelType w:val="multilevel"/>
    <w:tmpl w:val="6C709B66"/>
    <w:lvl w:ilvl="0">
      <w:start w:val="1"/>
      <w:numFmt w:val="upperRoman"/>
      <w:lvlText w:val="%1."/>
      <w:lvlJc w:val="left"/>
      <w:pPr>
        <w:ind w:left="454" w:hanging="454"/>
      </w:pPr>
    </w:lvl>
    <w:lvl w:ilvl="1">
      <w:start w:val="1"/>
      <w:numFmt w:val="decimal"/>
      <w:lvlText w:val="%2."/>
      <w:lvlJc w:val="left"/>
      <w:pPr>
        <w:ind w:left="454" w:hanging="454"/>
      </w:pPr>
    </w:lvl>
    <w:lvl w:ilvl="2">
      <w:start w:val="1"/>
      <w:numFmt w:val="lowerLetter"/>
      <w:lvlText w:val="%3."/>
      <w:lvlJc w:val="left"/>
      <w:pPr>
        <w:ind w:left="1134" w:hanging="680"/>
      </w:pPr>
    </w:lvl>
    <w:lvl w:ilvl="3">
      <w:start w:val="1"/>
      <w:numFmt w:val="lowerRoman"/>
      <w:lvlText w:val="%4."/>
      <w:lvlJc w:val="left"/>
      <w:pPr>
        <w:ind w:left="1588" w:hanging="45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1D103A"/>
    <w:multiLevelType w:val="multilevel"/>
    <w:tmpl w:val="68AE53F8"/>
    <w:lvl w:ilvl="0">
      <w:start w:val="1"/>
      <w:numFmt w:val="upperRoman"/>
      <w:lvlText w:val="%1."/>
      <w:lvlJc w:val="left"/>
      <w:pPr>
        <w:ind w:left="454" w:hanging="454"/>
      </w:pPr>
    </w:lvl>
    <w:lvl w:ilvl="1">
      <w:start w:val="1"/>
      <w:numFmt w:val="decimal"/>
      <w:lvlText w:val="%2."/>
      <w:lvlJc w:val="left"/>
      <w:pPr>
        <w:ind w:left="454" w:hanging="454"/>
      </w:pPr>
    </w:lvl>
    <w:lvl w:ilvl="2">
      <w:start w:val="1"/>
      <w:numFmt w:val="lowerLetter"/>
      <w:lvlText w:val="%3."/>
      <w:lvlJc w:val="left"/>
      <w:pPr>
        <w:ind w:left="1134" w:hanging="680"/>
      </w:pPr>
    </w:lvl>
    <w:lvl w:ilvl="3">
      <w:start w:val="1"/>
      <w:numFmt w:val="lowerRoman"/>
      <w:lvlText w:val="%4."/>
      <w:lvlJc w:val="left"/>
      <w:pPr>
        <w:ind w:left="1588" w:hanging="454"/>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4563FBE"/>
    <w:multiLevelType w:val="multilevel"/>
    <w:tmpl w:val="3894F9B4"/>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66502070">
    <w:abstractNumId w:val="0"/>
  </w:num>
  <w:num w:numId="2" w16cid:durableId="1094859956">
    <w:abstractNumId w:val="1"/>
  </w:num>
  <w:num w:numId="3" w16cid:durableId="383912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76"/>
    <w:rsid w:val="0003465A"/>
    <w:rsid w:val="00072E8D"/>
    <w:rsid w:val="00095D22"/>
    <w:rsid w:val="000A12E7"/>
    <w:rsid w:val="000D62EA"/>
    <w:rsid w:val="000E4684"/>
    <w:rsid w:val="00111E52"/>
    <w:rsid w:val="0023072C"/>
    <w:rsid w:val="002325B7"/>
    <w:rsid w:val="00233FD3"/>
    <w:rsid w:val="00265313"/>
    <w:rsid w:val="002818FC"/>
    <w:rsid w:val="002901F6"/>
    <w:rsid w:val="002A07AD"/>
    <w:rsid w:val="003912F8"/>
    <w:rsid w:val="003B7758"/>
    <w:rsid w:val="003C0705"/>
    <w:rsid w:val="004202A4"/>
    <w:rsid w:val="00432C62"/>
    <w:rsid w:val="00476E99"/>
    <w:rsid w:val="004C07A6"/>
    <w:rsid w:val="0050483F"/>
    <w:rsid w:val="00581908"/>
    <w:rsid w:val="005D1CB6"/>
    <w:rsid w:val="005E75A6"/>
    <w:rsid w:val="006875C8"/>
    <w:rsid w:val="006C4CFF"/>
    <w:rsid w:val="007018D6"/>
    <w:rsid w:val="00720BAF"/>
    <w:rsid w:val="00725DAF"/>
    <w:rsid w:val="00746D48"/>
    <w:rsid w:val="007D1F32"/>
    <w:rsid w:val="00810D76"/>
    <w:rsid w:val="0083603A"/>
    <w:rsid w:val="009A5F50"/>
    <w:rsid w:val="009B5EFA"/>
    <w:rsid w:val="009D6250"/>
    <w:rsid w:val="009E62EB"/>
    <w:rsid w:val="009E7A79"/>
    <w:rsid w:val="00A7202B"/>
    <w:rsid w:val="00AF4C77"/>
    <w:rsid w:val="00B3473F"/>
    <w:rsid w:val="00B60554"/>
    <w:rsid w:val="00B83699"/>
    <w:rsid w:val="00B9695C"/>
    <w:rsid w:val="00BC2D92"/>
    <w:rsid w:val="00BC5F75"/>
    <w:rsid w:val="00C55876"/>
    <w:rsid w:val="00C641E7"/>
    <w:rsid w:val="00C7430F"/>
    <w:rsid w:val="00C74B4A"/>
    <w:rsid w:val="00C87893"/>
    <w:rsid w:val="00D6311C"/>
    <w:rsid w:val="00D670DD"/>
    <w:rsid w:val="00D71DB3"/>
    <w:rsid w:val="00D72064"/>
    <w:rsid w:val="00DC20C0"/>
    <w:rsid w:val="00E471E5"/>
    <w:rsid w:val="00F41300"/>
    <w:rsid w:val="00F55C6B"/>
    <w:rsid w:val="00F74832"/>
    <w:rsid w:val="00F7684C"/>
    <w:rsid w:val="00F8048F"/>
    <w:rsid w:val="00FA24CE"/>
    <w:rsid w:val="00FB2FF8"/>
    <w:rsid w:val="00FD62C4"/>
    <w:rsid w:val="00FE6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3CEAA"/>
  <w15:docId w15:val="{7EDE8BF6-9D24-4A3F-BC06-B63C91356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AD1"/>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szCs w:val="32"/>
      <w:u w:val="single"/>
    </w:rPr>
  </w:style>
  <w:style w:type="paragraph" w:styleId="Heading2">
    <w:name w:val="heading 2"/>
    <w:basedOn w:val="Normal"/>
    <w:next w:val="Normal"/>
    <w:link w:val="Heading2Char"/>
    <w:uiPriority w:val="9"/>
    <w:unhideWhenUsed/>
    <w:qFormat/>
    <w:rsid w:val="00A77121"/>
    <w:pPr>
      <w:keepNext/>
      <w:keepLines/>
      <w:numPr>
        <w:numId w:val="3"/>
      </w:numPr>
      <w:spacing w:before="120"/>
      <w:outlineLvl w:val="1"/>
    </w:pPr>
    <w:rPr>
      <w:rFonts w:eastAsiaTheme="majorEastAsia" w:cstheme="majorBidi"/>
      <w:b/>
      <w:color w:val="1F3864" w:themeColor="accent1" w:themeShade="80"/>
      <w:szCs w:val="26"/>
      <w:u w:val="single"/>
    </w:rPr>
  </w:style>
  <w:style w:type="paragraph" w:styleId="Heading3">
    <w:name w:val="heading 3"/>
    <w:basedOn w:val="Normal"/>
    <w:next w:val="Normal"/>
    <w:link w:val="Heading3Char"/>
    <w:uiPriority w:val="9"/>
    <w:semiHidden/>
    <w:unhideWhenUsed/>
    <w:qFormat/>
    <w:rsid w:val="00A77121"/>
    <w:pPr>
      <w:keepNext/>
      <w:keepLines/>
      <w:spacing w:before="40"/>
      <w:outlineLvl w:val="2"/>
    </w:pPr>
    <w:rPr>
      <w:rFonts w:eastAsiaTheme="majorEastAsia" w:cstheme="majorBidi"/>
      <w:b/>
      <w:color w:val="1F3864" w:themeColor="accent1" w:themeShade="80"/>
      <w:szCs w:val="24"/>
    </w:rPr>
  </w:style>
  <w:style w:type="paragraph" w:styleId="Heading4">
    <w:name w:val="heading 4"/>
    <w:basedOn w:val="Normal"/>
    <w:next w:val="Normal"/>
    <w:link w:val="Heading4Char"/>
    <w:uiPriority w:val="9"/>
    <w:semiHidden/>
    <w:unhideWhenUsed/>
    <w:qFormat/>
    <w:rsid w:val="009973EE"/>
    <w:pPr>
      <w:keepNext/>
      <w:keepLines/>
      <w:outlineLvl w:val="3"/>
    </w:pPr>
    <w:rPr>
      <w:rFonts w:eastAsiaTheme="majorEastAsia" w:cstheme="majorBidi"/>
      <w:b/>
      <w:i/>
      <w:iCs/>
      <w:color w:val="1F3864" w:themeColor="accent1" w:themeShade="80"/>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9973EE"/>
    <w:rPr>
      <w:rFonts w:ascii="Palatino Linotype" w:eastAsiaTheme="majorEastAsia" w:hAnsi="Palatino Linotype" w:cstheme="majorBidi"/>
      <w:b/>
      <w:i/>
      <w:iCs/>
      <w:color w:val="1F3864" w:themeColor="accent1" w:themeShade="80"/>
      <w:sz w:val="24"/>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paragraph" w:styleId="ListParagraph">
    <w:name w:val="List Paragraph"/>
    <w:basedOn w:val="Normal"/>
    <w:uiPriority w:val="34"/>
    <w:qFormat/>
    <w:rsid w:val="00FB6165"/>
    <w:pPr>
      <w:ind w:left="720"/>
      <w:contextualSpacing/>
    </w:pPr>
  </w:style>
  <w:style w:type="paragraph" w:styleId="FootnoteText">
    <w:name w:val="footnote text"/>
    <w:basedOn w:val="Normal"/>
    <w:link w:val="FootnoteTextChar"/>
    <w:uiPriority w:val="99"/>
    <w:unhideWhenUsed/>
    <w:rsid w:val="00BB1122"/>
    <w:pPr>
      <w:spacing w:after="0" w:line="240" w:lineRule="auto"/>
    </w:pPr>
    <w:rPr>
      <w:sz w:val="20"/>
      <w:szCs w:val="20"/>
    </w:rPr>
  </w:style>
  <w:style w:type="character" w:customStyle="1" w:styleId="FootnoteTextChar">
    <w:name w:val="Footnote Text Char"/>
    <w:basedOn w:val="DefaultParagraphFont"/>
    <w:link w:val="FootnoteText"/>
    <w:uiPriority w:val="99"/>
    <w:rsid w:val="00BB1122"/>
    <w:rPr>
      <w:rFonts w:ascii="Palatino Linotype" w:hAnsi="Palatino Linotype"/>
      <w:sz w:val="20"/>
      <w:szCs w:val="20"/>
    </w:rPr>
  </w:style>
  <w:style w:type="character" w:styleId="FootnoteReference">
    <w:name w:val="footnote reference"/>
    <w:basedOn w:val="DefaultParagraphFont"/>
    <w:uiPriority w:val="99"/>
    <w:semiHidden/>
    <w:unhideWhenUsed/>
    <w:rsid w:val="00BB1122"/>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C5F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5F75"/>
  </w:style>
  <w:style w:type="paragraph" w:styleId="Footer">
    <w:name w:val="footer"/>
    <w:basedOn w:val="Normal"/>
    <w:link w:val="FooterChar"/>
    <w:uiPriority w:val="99"/>
    <w:unhideWhenUsed/>
    <w:rsid w:val="00BC5F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hnk.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7A573.8F4F9B20" TargetMode="External"/><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feZOR/iYQOqDOJjK0cequzqbXg==">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Pages>
  <Words>5589</Words>
  <Characters>31859</Characters>
  <Application>Microsoft Office Word</Application>
  <DocSecurity>0</DocSecurity>
  <Lines>265</Lines>
  <Paragraphs>74</Paragraphs>
  <ScaleCrop>false</ScaleCrop>
  <Company/>
  <LinksUpToDate>false</LinksUpToDate>
  <CharactersWithSpaces>37374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65</cp:revision>
  <dcterms:created xsi:type="dcterms:W3CDTF">2022-11-30T12:15:00Z</dcterms:created>
  <dcterms:modified xsi:type="dcterms:W3CDTF">2022-12-29T12:24:00Z</dcterms:modified>
</cp:coreProperties>
</file>