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commentsExtensible.xml" ContentType="application/vnd.openxmlformats-officedocument.wordprocessingml.commentsExtensi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530765103"/>
        <w:docPartObj>
          <w:docPartGallery w:val="Cover Pages"/>
          <w:docPartUnique/>
        </w:docPartObj>
      </w:sdtPr>
      <w:sdtEndPr>
        <w:rPr>
          <w:b/>
        </w:rPr>
      </w:sdtEndPr>
      <w:sdtContent>
        <w:p w:rsidR="00C32F30" w:rsidRDefault="00C32F30"/>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rsidP="004D0043">
          <w:pPr>
            <w:jc w:val="center"/>
            <w:rPr>
              <w:b/>
            </w:rPr>
          </w:pPr>
          <w:r>
            <w:rPr>
              <w:b/>
              <w:noProof/>
            </w:rPr>
            <w:drawing>
              <wp:inline distT="0" distB="0" distL="0" distR="0" wp14:anchorId="5D8F4750" wp14:editId="5CAFA6EC">
                <wp:extent cx="3829050" cy="25433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II LOGO"/>
                        <pic:cNvPicPr/>
                      </pic:nvPicPr>
                      <pic:blipFill>
                        <a:blip r:embed="rId9">
                          <a:extLst>
                            <a:ext uri="{28A0092B-C50C-407E-A947-70E740481C1C}">
                              <a14:useLocalDpi xmlns:a14="http://schemas.microsoft.com/office/drawing/2010/main" val="0"/>
                            </a:ext>
                          </a:extLst>
                        </a:blip>
                        <a:stretch>
                          <a:fillRect/>
                        </a:stretch>
                      </pic:blipFill>
                      <pic:spPr>
                        <a:xfrm>
                          <a:off x="0" y="0"/>
                          <a:ext cx="3870358" cy="2570822"/>
                        </a:xfrm>
                        <a:prstGeom prst="rect">
                          <a:avLst/>
                        </a:prstGeom>
                      </pic:spPr>
                    </pic:pic>
                  </a:graphicData>
                </a:graphic>
              </wp:inline>
            </w:drawing>
          </w: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rsidP="004D0043">
          <w:pPr>
            <w:jc w:val="cente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4D0043" w:rsidRDefault="004D0043">
          <w:pPr>
            <w:rPr>
              <w:b/>
            </w:rPr>
          </w:pPr>
        </w:p>
        <w:p w:rsidR="00C32F30" w:rsidRDefault="00C32F30">
          <w:pPr>
            <w:rPr>
              <w:b/>
            </w:rPr>
          </w:pPr>
          <w:r>
            <w:rPr>
              <w:noProof/>
              <w:lang w:eastAsia="zh-CN"/>
            </w:rPr>
            <mc:AlternateContent>
              <mc:Choice Requires="wps">
                <w:drawing>
                  <wp:anchor distT="0" distB="0" distL="182880" distR="182880" simplePos="0" relativeHeight="251660288" behindDoc="0" locked="0" layoutInCell="1" allowOverlap="1" wp14:anchorId="26CA879F" wp14:editId="47DBA4AA">
                    <wp:simplePos x="0" y="0"/>
                    <mc:AlternateContent>
                      <mc:Choice Requires="wp14">
                        <wp:positionH relativeFrom="margin">
                          <wp14:pctPosHOffset>7700</wp14:pctPosHOffset>
                        </wp:positionH>
                      </mc:Choice>
                      <mc:Fallback>
                        <wp:positionH relativeFrom="page">
                          <wp:posOffset>1355090</wp:posOffset>
                        </wp:positionH>
                      </mc:Fallback>
                    </mc:AlternateContent>
                    <mc:AlternateContent>
                      <mc:Choice Requires="wp14">
                        <wp:positionV relativeFrom="page">
                          <wp14:pctPosVOffset>54000</wp14:pctPosVOffset>
                        </wp:positionV>
                      </mc:Choice>
                      <mc:Fallback>
                        <wp:positionV relativeFrom="page">
                          <wp:posOffset>5774055</wp:posOffset>
                        </wp:positionV>
                      </mc:Fallback>
                    </mc:AlternateContent>
                    <wp:extent cx="4686300" cy="6720840"/>
                    <wp:effectExtent l="0" t="0" r="8890"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2F30" w:rsidRDefault="00617D5F" w:rsidP="004D0043">
                                <w:pPr>
                                  <w:pStyle w:val="NoSpacing"/>
                                  <w:spacing w:before="40" w:after="560" w:line="216" w:lineRule="auto"/>
                                  <w:jc w:val="center"/>
                                  <w:rPr>
                                    <w:color w:val="4472C4" w:themeColor="accen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D0043" w:rsidRPr="004D0043">
                                      <w:rPr>
                                        <w:color w:val="000000" w:themeColor="text1"/>
                                        <w:sz w:val="72"/>
                                        <w:szCs w:val="72"/>
                                      </w:rPr>
                                      <w:t>SPII</w:t>
                                    </w:r>
                                    <w:r w:rsidR="004D0043">
                                      <w:rPr>
                                        <w:color w:val="000000" w:themeColor="text1"/>
                                        <w:sz w:val="72"/>
                                        <w:szCs w:val="72"/>
                                      </w:rPr>
                                      <w:t>’S</w:t>
                                    </w:r>
                                    <w:r w:rsidR="004D0043" w:rsidRPr="004D0043">
                                      <w:rPr>
                                        <w:color w:val="000000" w:themeColor="text1"/>
                                        <w:sz w:val="72"/>
                                        <w:szCs w:val="72"/>
                                      </w:rPr>
                                      <w:t xml:space="preserve"> CONTRIBUTION</w:t>
                                    </w:r>
                                  </w:sdtContent>
                                </w:sdt>
                              </w:p>
                              <w:sdt>
                                <w:sdtPr>
                                  <w:rPr>
                                    <w:b/>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C32F30" w:rsidRPr="004D0043" w:rsidRDefault="00C32F30" w:rsidP="004D0043">
                                    <w:pPr>
                                      <w:pStyle w:val="NoSpacing"/>
                                      <w:spacing w:before="40" w:after="40"/>
                                      <w:jc w:val="center"/>
                                      <w:rPr>
                                        <w:b/>
                                        <w:caps/>
                                        <w:color w:val="000000" w:themeColor="text1"/>
                                        <w:sz w:val="28"/>
                                        <w:szCs w:val="28"/>
                                      </w:rPr>
                                    </w:pPr>
                                    <w:r w:rsidRPr="004D0043">
                                      <w:rPr>
                                        <w:b/>
                                        <w:caps/>
                                        <w:color w:val="000000" w:themeColor="text1"/>
                                        <w:sz w:val="28"/>
                                        <w:szCs w:val="28"/>
                                      </w:rPr>
                                      <w:t>SUBMISSION TO UN CESCR</w:t>
                                    </w:r>
                                    <w:r w:rsidR="004D0043" w:rsidRPr="004D0043">
                                      <w:rPr>
                                        <w:b/>
                                        <w:caps/>
                                        <w:color w:val="000000" w:themeColor="text1"/>
                                        <w:sz w:val="28"/>
                                        <w:szCs w:val="28"/>
                                      </w:rPr>
                                      <w:t xml:space="preserve"> on South africa’s implementation of UN CESCR recommedations</w:t>
                                    </w:r>
                                    <w:r w:rsidRPr="004D0043">
                                      <w:rPr>
                                        <w:b/>
                                        <w:caps/>
                                        <w:color w:val="000000" w:themeColor="text1"/>
                                        <w:sz w:val="28"/>
                                        <w:szCs w:val="28"/>
                                      </w:rPr>
                                      <w:t xml:space="preserve"> </w:t>
                                    </w:r>
                                    <w:r w:rsidR="004D0043" w:rsidRPr="004D0043">
                                      <w:rPr>
                                        <w:b/>
                                        <w:caps/>
                                        <w:color w:val="000000" w:themeColor="text1"/>
                                        <w:sz w:val="28"/>
                                        <w:szCs w:val="28"/>
                                      </w:rPr>
                                      <w:t xml:space="preserve">– composite </w:t>
                                    </w:r>
                                    <w:r w:rsidRPr="004D0043">
                                      <w:rPr>
                                        <w:b/>
                                        <w:caps/>
                                        <w:color w:val="000000" w:themeColor="text1"/>
                                        <w:sz w:val="28"/>
                                        <w:szCs w:val="28"/>
                                      </w:rPr>
                                      <w:t xml:space="preserve">INDEX </w:t>
                                    </w:r>
                                    <w:r w:rsidR="004D0043" w:rsidRPr="004D0043">
                                      <w:rPr>
                                        <w:b/>
                                        <w:caps/>
                                        <w:color w:val="000000" w:themeColor="text1"/>
                                        <w:sz w:val="28"/>
                                        <w:szCs w:val="28"/>
                                      </w:rPr>
                                      <w:t>on the</w:t>
                                    </w:r>
                                    <w:r w:rsidRPr="004D0043">
                                      <w:rPr>
                                        <w:b/>
                                        <w:caps/>
                                        <w:color w:val="000000" w:themeColor="text1"/>
                                        <w:sz w:val="28"/>
                                        <w:szCs w:val="28"/>
                                      </w:rPr>
                                      <w:t xml:space="preserve"> COST OF LIVING</w:t>
                                    </w:r>
                                  </w:p>
                                </w:sdtContent>
                              </w:sdt>
                              <w:p w:rsidR="00C32F30" w:rsidRDefault="00C32F30" w:rsidP="004D0043">
                                <w:pPr>
                                  <w:pStyle w:val="NoSpacing"/>
                                  <w:spacing w:before="80" w:after="40"/>
                                  <w:jc w:val="center"/>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6CA879F"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gKvdQIAAFc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" filled="f" stroked="f" strokeweight=".5pt">
                    <v:textbox style="mso-fit-shape-to-text:t" inset="0,0,0,0">
                      <w:txbxContent>
                        <w:p w:rsidR="00C32F30" w:rsidRDefault="00617D5F" w:rsidP="004D0043">
                          <w:pPr>
                            <w:pStyle w:val="NoSpacing"/>
                            <w:spacing w:before="40" w:after="560" w:line="216" w:lineRule="auto"/>
                            <w:jc w:val="center"/>
                            <w:rPr>
                              <w:color w:val="4472C4" w:themeColor="accent1"/>
                              <w:sz w:val="72"/>
                              <w:szCs w:val="72"/>
                            </w:rPr>
                          </w:pPr>
                          <w:sdt>
                            <w:sdtPr>
                              <w:rPr>
                                <w:color w:val="000000" w:themeColor="tex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4D0043" w:rsidRPr="004D0043">
                                <w:rPr>
                                  <w:color w:val="000000" w:themeColor="text1"/>
                                  <w:sz w:val="72"/>
                                  <w:szCs w:val="72"/>
                                </w:rPr>
                                <w:t>SPII</w:t>
                              </w:r>
                              <w:r w:rsidR="004D0043">
                                <w:rPr>
                                  <w:color w:val="000000" w:themeColor="text1"/>
                                  <w:sz w:val="72"/>
                                  <w:szCs w:val="72"/>
                                </w:rPr>
                                <w:t>’S</w:t>
                              </w:r>
                              <w:r w:rsidR="004D0043" w:rsidRPr="004D0043">
                                <w:rPr>
                                  <w:color w:val="000000" w:themeColor="text1"/>
                                  <w:sz w:val="72"/>
                                  <w:szCs w:val="72"/>
                                </w:rPr>
                                <w:t xml:space="preserve"> CONTRIBUTION</w:t>
                              </w:r>
                            </w:sdtContent>
                          </w:sdt>
                        </w:p>
                        <w:sdt>
                          <w:sdtPr>
                            <w:rPr>
                              <w:b/>
                              <w:caps/>
                              <w:color w:val="000000" w:themeColor="text1"/>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C32F30" w:rsidRPr="004D0043" w:rsidRDefault="00C32F30" w:rsidP="004D0043">
                              <w:pPr>
                                <w:pStyle w:val="NoSpacing"/>
                                <w:spacing w:before="40" w:after="40"/>
                                <w:jc w:val="center"/>
                                <w:rPr>
                                  <w:b/>
                                  <w:caps/>
                                  <w:color w:val="000000" w:themeColor="text1"/>
                                  <w:sz w:val="28"/>
                                  <w:szCs w:val="28"/>
                                </w:rPr>
                              </w:pPr>
                              <w:r w:rsidRPr="004D0043">
                                <w:rPr>
                                  <w:b/>
                                  <w:caps/>
                                  <w:color w:val="000000" w:themeColor="text1"/>
                                  <w:sz w:val="28"/>
                                  <w:szCs w:val="28"/>
                                </w:rPr>
                                <w:t>SUBMISSION TO UN CESCR</w:t>
                              </w:r>
                              <w:r w:rsidR="004D0043" w:rsidRPr="004D0043">
                                <w:rPr>
                                  <w:b/>
                                  <w:caps/>
                                  <w:color w:val="000000" w:themeColor="text1"/>
                                  <w:sz w:val="28"/>
                                  <w:szCs w:val="28"/>
                                </w:rPr>
                                <w:t xml:space="preserve"> on South africa’s implementation of UN CESCR recommedations</w:t>
                              </w:r>
                              <w:r w:rsidRPr="004D0043">
                                <w:rPr>
                                  <w:b/>
                                  <w:caps/>
                                  <w:color w:val="000000" w:themeColor="text1"/>
                                  <w:sz w:val="28"/>
                                  <w:szCs w:val="28"/>
                                </w:rPr>
                                <w:t xml:space="preserve"> </w:t>
                              </w:r>
                              <w:r w:rsidR="004D0043" w:rsidRPr="004D0043">
                                <w:rPr>
                                  <w:b/>
                                  <w:caps/>
                                  <w:color w:val="000000" w:themeColor="text1"/>
                                  <w:sz w:val="28"/>
                                  <w:szCs w:val="28"/>
                                </w:rPr>
                                <w:t xml:space="preserve">– composite </w:t>
                              </w:r>
                              <w:r w:rsidRPr="004D0043">
                                <w:rPr>
                                  <w:b/>
                                  <w:caps/>
                                  <w:color w:val="000000" w:themeColor="text1"/>
                                  <w:sz w:val="28"/>
                                  <w:szCs w:val="28"/>
                                </w:rPr>
                                <w:t xml:space="preserve">INDEX </w:t>
                              </w:r>
                              <w:r w:rsidR="004D0043" w:rsidRPr="004D0043">
                                <w:rPr>
                                  <w:b/>
                                  <w:caps/>
                                  <w:color w:val="000000" w:themeColor="text1"/>
                                  <w:sz w:val="28"/>
                                  <w:szCs w:val="28"/>
                                </w:rPr>
                                <w:t>on the</w:t>
                              </w:r>
                              <w:r w:rsidRPr="004D0043">
                                <w:rPr>
                                  <w:b/>
                                  <w:caps/>
                                  <w:color w:val="000000" w:themeColor="text1"/>
                                  <w:sz w:val="28"/>
                                  <w:szCs w:val="28"/>
                                </w:rPr>
                                <w:t xml:space="preserve"> COST OF LIVING</w:t>
                              </w:r>
                            </w:p>
                          </w:sdtContent>
                        </w:sdt>
                        <w:p w:rsidR="00C32F30" w:rsidRDefault="00C32F30" w:rsidP="004D0043">
                          <w:pPr>
                            <w:pStyle w:val="NoSpacing"/>
                            <w:spacing w:before="80" w:after="40"/>
                            <w:jc w:val="center"/>
                            <w:rPr>
                              <w:caps/>
                              <w:color w:val="5B9BD5" w:themeColor="accent5"/>
                              <w:sz w:val="24"/>
                              <w:szCs w:val="24"/>
                            </w:rPr>
                          </w:pPr>
                        </w:p>
                      </w:txbxContent>
                    </v:textbox>
                    <w10:wrap type="square" anchorx="margin" anchory="page"/>
                  </v:shape>
                </w:pict>
              </mc:Fallback>
            </mc:AlternateContent>
          </w:r>
          <w:r>
            <w:rPr>
              <w:b/>
            </w:rPr>
            <w:br w:type="page"/>
          </w:r>
        </w:p>
      </w:sdtContent>
    </w:sdt>
    <w:p w:rsidR="00367B27" w:rsidRPr="002A1C63" w:rsidRDefault="00367B27" w:rsidP="002A1C63">
      <w:pPr>
        <w:spacing w:line="276" w:lineRule="auto"/>
        <w:jc w:val="both"/>
        <w:rPr>
          <w:b/>
        </w:rPr>
      </w:pPr>
    </w:p>
    <w:p w:rsidR="00367B27" w:rsidRPr="002A1C63" w:rsidRDefault="00367B27" w:rsidP="002A1C63">
      <w:pPr>
        <w:spacing w:line="276" w:lineRule="auto"/>
        <w:jc w:val="both"/>
        <w:rPr>
          <w:b/>
        </w:rPr>
      </w:pPr>
      <w:r w:rsidRPr="002A1C63">
        <w:rPr>
          <w:b/>
        </w:rPr>
        <w:t>Context:</w:t>
      </w:r>
    </w:p>
    <w:p w:rsidR="00367B27" w:rsidRPr="002A1C63" w:rsidRDefault="00367B27" w:rsidP="002A1C63">
      <w:pPr>
        <w:spacing w:line="276" w:lineRule="auto"/>
        <w:jc w:val="both"/>
      </w:pPr>
    </w:p>
    <w:p w:rsidR="00C21D39" w:rsidRPr="002A1C63" w:rsidRDefault="00367B27" w:rsidP="002A1C63">
      <w:pPr>
        <w:pStyle w:val="ListParagraph"/>
        <w:numPr>
          <w:ilvl w:val="0"/>
          <w:numId w:val="8"/>
        </w:numPr>
        <w:spacing w:line="276" w:lineRule="auto"/>
        <w:jc w:val="both"/>
      </w:pPr>
      <w:r w:rsidRPr="002A1C63">
        <w:t>The Republic of South Africa signed the United Nations International Covenant on Economic, Social, and Cultural Rights (ICESCR) in</w:t>
      </w:r>
      <w:r w:rsidR="003407D8" w:rsidRPr="002A1C63">
        <w:t xml:space="preserve"> October</w:t>
      </w:r>
      <w:r w:rsidRPr="002A1C63">
        <w:t xml:space="preserve"> </w:t>
      </w:r>
      <w:r w:rsidR="00502C3B" w:rsidRPr="002A1C63">
        <w:t>199</w:t>
      </w:r>
      <w:r w:rsidRPr="002A1C63">
        <w:t xml:space="preserve">4. However, South Africa only ratified the ICESCR in January 2015. </w:t>
      </w:r>
      <w:r w:rsidR="008B24F6" w:rsidRPr="002A1C63">
        <w:t xml:space="preserve">In line with its obligations under articles 16 and 17 of </w:t>
      </w:r>
      <w:r w:rsidR="003407D8" w:rsidRPr="002A1C63">
        <w:t xml:space="preserve">the </w:t>
      </w:r>
      <w:r w:rsidR="008B24F6" w:rsidRPr="002A1C63">
        <w:t xml:space="preserve">ICESCR </w:t>
      </w:r>
      <w:r w:rsidRPr="002A1C63">
        <w:t>the South African government submitted its initial report to the United Nations</w:t>
      </w:r>
      <w:r w:rsidR="0070278E" w:rsidRPr="002A1C63">
        <w:t xml:space="preserve"> (UN)</w:t>
      </w:r>
      <w:r w:rsidRPr="002A1C63">
        <w:t xml:space="preserve"> Committee on Economic, Social and Cultural Rights (CESCR) in April 2017</w:t>
      </w:r>
      <w:r w:rsidR="008B24F6" w:rsidRPr="002A1C63">
        <w:t>.</w:t>
      </w:r>
    </w:p>
    <w:p w:rsidR="009F06E2" w:rsidRPr="002A1C63" w:rsidRDefault="009F06E2" w:rsidP="002A1C63">
      <w:pPr>
        <w:pStyle w:val="ListParagraph"/>
        <w:spacing w:line="276" w:lineRule="auto"/>
        <w:jc w:val="both"/>
      </w:pPr>
    </w:p>
    <w:p w:rsidR="008B24F6" w:rsidRPr="002A1C63" w:rsidRDefault="001E4821" w:rsidP="002A1C63">
      <w:pPr>
        <w:pStyle w:val="ListParagraph"/>
        <w:numPr>
          <w:ilvl w:val="0"/>
          <w:numId w:val="8"/>
        </w:numPr>
        <w:spacing w:line="276" w:lineRule="auto"/>
        <w:jc w:val="both"/>
        <w:rPr>
          <w:color w:val="FF0000"/>
        </w:rPr>
      </w:pPr>
      <w:r>
        <w:t xml:space="preserve">The </w:t>
      </w:r>
      <w:r w:rsidR="008B24F6" w:rsidRPr="002A1C63">
        <w:t>UN CESCR</w:t>
      </w:r>
      <w:r>
        <w:t xml:space="preserve"> Committee published its recommendations in November 2018</w:t>
      </w:r>
      <w:r w:rsidR="008B24F6" w:rsidRPr="002A1C63">
        <w:t xml:space="preserve"> </w:t>
      </w:r>
      <w:r>
        <w:t xml:space="preserve">on </w:t>
      </w:r>
      <w:r w:rsidR="003407D8" w:rsidRPr="002A1C63">
        <w:t xml:space="preserve">South Africa’s </w:t>
      </w:r>
      <w:r w:rsidR="008B24F6" w:rsidRPr="002A1C63">
        <w:t xml:space="preserve">initial report on </w:t>
      </w:r>
      <w:r w:rsidR="003407D8" w:rsidRPr="002A1C63">
        <w:t xml:space="preserve">its implementation </w:t>
      </w:r>
      <w:r w:rsidR="00CB69BC" w:rsidRPr="002A1C63">
        <w:t xml:space="preserve">of provisions outlined in the </w:t>
      </w:r>
      <w:r w:rsidR="003407D8" w:rsidRPr="002A1C63">
        <w:t>ICESCR</w:t>
      </w:r>
      <w:r w:rsidR="008B24F6" w:rsidRPr="002A1C63">
        <w:t xml:space="preserve"> and made various recommendations. This section</w:t>
      </w:r>
      <w:r w:rsidR="00AD653B" w:rsidRPr="002A1C63">
        <w:t xml:space="preserve"> of the report</w:t>
      </w:r>
      <w:r w:rsidR="008B24F6" w:rsidRPr="002A1C63">
        <w:t xml:space="preserve"> focuses on recommendation 47(a)</w:t>
      </w:r>
      <w:r w:rsidR="00CB69BC" w:rsidRPr="002A1C63">
        <w:t>,</w:t>
      </w:r>
      <w:r w:rsidR="008B24F6" w:rsidRPr="002A1C63">
        <w:t xml:space="preserve"> in which the UN CESCR </w:t>
      </w:r>
      <w:r w:rsidR="00BF7963" w:rsidRPr="002A1C63">
        <w:t>stated that “</w:t>
      </w:r>
      <w:r w:rsidR="00BF7963" w:rsidRPr="0001461B">
        <w:rPr>
          <w:i/>
          <w:color w:val="000000" w:themeColor="text1"/>
        </w:rPr>
        <w:t xml:space="preserve"> there is no composite index on the cost of living that provides the State party with a benchmark to adequately set the levels of social benefits consistent with the requirement to ensure an adequate standard of living for all</w:t>
      </w:r>
      <w:r w:rsidR="00AD653B" w:rsidRPr="0001461B">
        <w:rPr>
          <w:i/>
          <w:color w:val="000000" w:themeColor="text1"/>
        </w:rPr>
        <w:t>.”</w:t>
      </w:r>
      <w:r w:rsidR="00AD653B" w:rsidRPr="0001461B">
        <w:rPr>
          <w:rStyle w:val="FootnoteReference"/>
          <w:i/>
          <w:color w:val="000000" w:themeColor="text1"/>
        </w:rPr>
        <w:footnoteReference w:id="1"/>
      </w:r>
      <w:r w:rsidR="004B4DB3">
        <w:rPr>
          <w:i/>
          <w:color w:val="000000" w:themeColor="text1"/>
        </w:rPr>
        <w:t xml:space="preserve"> </w:t>
      </w:r>
      <w:r w:rsidR="004B4DB3">
        <w:rPr>
          <w:iCs/>
          <w:color w:val="000000" w:themeColor="text1"/>
        </w:rPr>
        <w:t>The right to an adequate standard of living – which includes food, clothing and housing, and “continuous improvement of living conditions” is enshrined in ICESCR in Article 11.</w:t>
      </w:r>
    </w:p>
    <w:p w:rsidR="008B24F6" w:rsidRPr="002A1C63" w:rsidRDefault="008B24F6" w:rsidP="002A1C63">
      <w:pPr>
        <w:pStyle w:val="ListParagraph"/>
        <w:spacing w:line="276" w:lineRule="auto"/>
        <w:jc w:val="both"/>
      </w:pPr>
    </w:p>
    <w:p w:rsidR="00F70A22" w:rsidRDefault="006B1E63" w:rsidP="002A1C63">
      <w:pPr>
        <w:pStyle w:val="ListParagraph"/>
        <w:numPr>
          <w:ilvl w:val="0"/>
          <w:numId w:val="8"/>
        </w:numPr>
        <w:spacing w:line="276" w:lineRule="auto"/>
        <w:jc w:val="both"/>
      </w:pPr>
      <w:r w:rsidRPr="002A1C63">
        <w:t xml:space="preserve">The South African Constitution (1996) </w:t>
      </w:r>
      <w:r w:rsidR="00753F1B" w:rsidRPr="00753F1B">
        <w:t xml:space="preserve">is one of the few Constitutions in the world that contains a wide range of justiciable socio- economic rights. </w:t>
      </w:r>
      <w:r w:rsidR="00753F1B">
        <w:t xml:space="preserve">However, it </w:t>
      </w:r>
      <w:r w:rsidRPr="002A1C63">
        <w:t>does not contain a provision which outline</w:t>
      </w:r>
      <w:r w:rsidR="003A3584">
        <w:t>s</w:t>
      </w:r>
      <w:r w:rsidRPr="002A1C63">
        <w:t xml:space="preserve"> the right to an adequate standard of living</w:t>
      </w:r>
      <w:r w:rsidR="004D3C8C" w:rsidRPr="002A1C63">
        <w:t xml:space="preserve">. </w:t>
      </w:r>
      <w:r w:rsidR="009D4EF4">
        <w:t xml:space="preserve">The right to </w:t>
      </w:r>
      <w:r w:rsidR="007A3D79">
        <w:t>d</w:t>
      </w:r>
      <w:r w:rsidR="009D4EF4">
        <w:t xml:space="preserve">ignity (section 10) of the constitution requires that everyone has access to a decent life, and </w:t>
      </w:r>
      <w:r w:rsidRPr="002A1C63">
        <w:t>in reading the spirit of the Bill of Rights in the Constitution</w:t>
      </w:r>
      <w:r w:rsidR="001F7F2E" w:rsidRPr="002A1C63">
        <w:t>,</w:t>
      </w:r>
      <w:r w:rsidRPr="002A1C63">
        <w:t xml:space="preserve"> it is understood that </w:t>
      </w:r>
      <w:r w:rsidR="009D4EF4">
        <w:t>all</w:t>
      </w:r>
      <w:r w:rsidR="009D4EF4" w:rsidRPr="002A1C63">
        <w:t xml:space="preserve"> </w:t>
      </w:r>
      <w:r w:rsidRPr="002A1C63">
        <w:t>socio-economic rights impact a person’s overall standard of living.</w:t>
      </w:r>
      <w:r w:rsidR="004B1756" w:rsidRPr="002A1C63">
        <w:rPr>
          <w:rStyle w:val="FootnoteReference"/>
        </w:rPr>
        <w:footnoteReference w:id="2"/>
      </w:r>
      <w:r w:rsidR="009D4EF4">
        <w:t>, and through the progressive realisation of these rights, the state will discharge its obligation to “respect, protect, promote and fulfil</w:t>
      </w:r>
      <w:r w:rsidR="009D4EF4">
        <w:rPr>
          <w:rStyle w:val="FootnoteReference"/>
        </w:rPr>
        <w:footnoteReference w:id="3"/>
      </w:r>
      <w:r w:rsidR="009D4EF4">
        <w:t>’ the socio- economic rights within its available resources.</w:t>
      </w:r>
    </w:p>
    <w:p w:rsidR="00753F1B" w:rsidRDefault="00753F1B" w:rsidP="00753F1B">
      <w:pPr>
        <w:pStyle w:val="ListParagraph"/>
      </w:pPr>
    </w:p>
    <w:p w:rsidR="00753F1B" w:rsidRPr="00753F1B" w:rsidRDefault="00F65D6D" w:rsidP="00753F1B">
      <w:pPr>
        <w:pStyle w:val="ListParagraph"/>
        <w:numPr>
          <w:ilvl w:val="0"/>
          <w:numId w:val="8"/>
        </w:numPr>
        <w:spacing w:line="276" w:lineRule="auto"/>
        <w:jc w:val="both"/>
      </w:pPr>
      <w:r>
        <w:t>Moreover, t</w:t>
      </w:r>
      <w:r w:rsidR="00753F1B">
        <w:t>h</w:t>
      </w:r>
      <w:r w:rsidR="00753F1B" w:rsidRPr="00753F1B">
        <w:t xml:space="preserve">e </w:t>
      </w:r>
      <w:r w:rsidRPr="00F65D6D">
        <w:t>Preamble of the Constitution</w:t>
      </w:r>
      <w:r>
        <w:t xml:space="preserve"> </w:t>
      </w:r>
      <w:r w:rsidRPr="00753F1B">
        <w:t>imposes an obligation on the state to heal the injustices of the past as well as establish a society based on human dignity</w:t>
      </w:r>
      <w:r>
        <w:t xml:space="preserve"> and</w:t>
      </w:r>
      <w:r w:rsidRPr="00753F1B">
        <w:t xml:space="preserve"> substantive equality </w:t>
      </w:r>
      <w:r>
        <w:t>“</w:t>
      </w:r>
      <w:r w:rsidRPr="00753F1B">
        <w:rPr>
          <w:i/>
          <w:iCs/>
        </w:rPr>
        <w:t>Ubuntu</w:t>
      </w:r>
      <w:r>
        <w:rPr>
          <w:i/>
          <w:iCs/>
        </w:rPr>
        <w:t>”</w:t>
      </w:r>
      <w:r w:rsidRPr="00753F1B">
        <w:t xml:space="preserve">. </w:t>
      </w:r>
      <w:r>
        <w:rPr>
          <w:rStyle w:val="FootnoteReference"/>
        </w:rPr>
        <w:footnoteReference w:id="4"/>
      </w:r>
      <w:r w:rsidRPr="00F65D6D">
        <w:t>Notably th</w:t>
      </w:r>
      <w:r>
        <w:t>e Constitutional</w:t>
      </w:r>
      <w:r w:rsidRPr="00F65D6D">
        <w:t xml:space="preserve"> Court stressed that </w:t>
      </w:r>
      <w:r w:rsidR="00ED469F">
        <w:t>the</w:t>
      </w:r>
      <w:r w:rsidRPr="00F65D6D">
        <w:t xml:space="preserve"> </w:t>
      </w:r>
      <w:r w:rsidRPr="00F65D6D">
        <w:lastRenderedPageBreak/>
        <w:t>principle</w:t>
      </w:r>
      <w:r w:rsidR="00ED469F">
        <w:t>s</w:t>
      </w:r>
      <w:r w:rsidRPr="00F65D6D">
        <w:t xml:space="preserve"> in the Preamble impose a constitutional obligation to eradicate all systems of subordination and oppression inherited from South Africa’s colonial and apartheid past.</w:t>
      </w:r>
      <w:r w:rsidR="00753F1B" w:rsidRPr="00753F1B">
        <w:t xml:space="preserve"> Taken together the Constitution envisages a society in which the racialised and gendered poverty inherited from the past will be done away with and an adequate share of wealth and resources is accorded to all South Africans.</w:t>
      </w:r>
      <w:r>
        <w:rPr>
          <w:rStyle w:val="FootnoteReference"/>
        </w:rPr>
        <w:footnoteReference w:id="5"/>
      </w:r>
    </w:p>
    <w:p w:rsidR="00F70A22" w:rsidRPr="002A1C63" w:rsidRDefault="00F70A22" w:rsidP="00F65D6D">
      <w:pPr>
        <w:spacing w:line="276" w:lineRule="auto"/>
        <w:jc w:val="both"/>
      </w:pPr>
    </w:p>
    <w:p w:rsidR="009D4EF4" w:rsidRDefault="00F70A22" w:rsidP="002B7398">
      <w:pPr>
        <w:pStyle w:val="ListParagraph"/>
        <w:numPr>
          <w:ilvl w:val="0"/>
          <w:numId w:val="8"/>
        </w:numPr>
        <w:spacing w:line="276" w:lineRule="auto"/>
        <w:jc w:val="both"/>
      </w:pPr>
      <w:r w:rsidRPr="002A1C63">
        <w:t xml:space="preserve">Article 2 of the </w:t>
      </w:r>
      <w:r w:rsidR="009D4EF4">
        <w:t>ICESCR</w:t>
      </w:r>
      <w:r w:rsidR="009D4EF4" w:rsidRPr="002A1C63">
        <w:t xml:space="preserve"> </w:t>
      </w:r>
      <w:r w:rsidR="00D74C5F" w:rsidRPr="002A1C63">
        <w:t xml:space="preserve">states that a state should use “the maximum of its available resources, with a view to achieving progressively the full realization of the rights recognised in the present Covenant by all appropriate means, including particularly the adoption of legislative measures.” </w:t>
      </w:r>
      <w:r w:rsidR="009D4EF4">
        <w:t>This provides a higher standard on the South Africa</w:t>
      </w:r>
      <w:r w:rsidR="00F80122">
        <w:t>n</w:t>
      </w:r>
      <w:r w:rsidR="009D4EF4">
        <w:t xml:space="preserve"> state in terms of resourcing the realisation of </w:t>
      </w:r>
      <w:r w:rsidR="00F80122">
        <w:t>economic and social right</w:t>
      </w:r>
      <w:r w:rsidR="009D4EF4">
        <w:t>s</w:t>
      </w:r>
      <w:r w:rsidR="00F80122">
        <w:t>, and in its concluding observations the Committee also found that the government was failing to meet this obligation in full</w:t>
      </w:r>
      <w:r w:rsidR="009D4EF4">
        <w:t>.</w:t>
      </w:r>
    </w:p>
    <w:p w:rsidR="009D4EF4" w:rsidRDefault="009D4EF4" w:rsidP="00140AF8">
      <w:pPr>
        <w:pStyle w:val="ListParagraph"/>
      </w:pPr>
    </w:p>
    <w:p w:rsidR="00EC0B20" w:rsidRPr="002A1C63" w:rsidRDefault="001E4821" w:rsidP="002A1C63">
      <w:pPr>
        <w:pStyle w:val="ListParagraph"/>
        <w:numPr>
          <w:ilvl w:val="0"/>
          <w:numId w:val="8"/>
        </w:numPr>
        <w:spacing w:line="276" w:lineRule="auto"/>
        <w:jc w:val="both"/>
      </w:pPr>
      <w:r>
        <w:t xml:space="preserve">In </w:t>
      </w:r>
      <w:r w:rsidR="00C32F30">
        <w:t>the States Report</w:t>
      </w:r>
      <w:r>
        <w:t>,”</w:t>
      </w:r>
      <w:r>
        <w:rPr>
          <w:rStyle w:val="FootnoteReference"/>
        </w:rPr>
        <w:footnoteReference w:id="6"/>
      </w:r>
      <w:r>
        <w:t xml:space="preserve"> </w:t>
      </w:r>
      <w:r w:rsidR="00955F29" w:rsidRPr="002A1C63">
        <w:t>South Africa</w:t>
      </w:r>
      <w:r>
        <w:t xml:space="preserve"> </w:t>
      </w:r>
      <w:r w:rsidR="00BF7963" w:rsidRPr="002A1C63">
        <w:t>state</w:t>
      </w:r>
      <w:r>
        <w:t>d</w:t>
      </w:r>
      <w:r w:rsidR="00BF7963" w:rsidRPr="002A1C63">
        <w:t xml:space="preserve"> </w:t>
      </w:r>
      <w:r w:rsidR="00955F29" w:rsidRPr="002A1C63">
        <w:t>that in the National Development Plan (NDP) 2030</w:t>
      </w:r>
      <w:r w:rsidR="00BF7963" w:rsidRPr="002A1C63">
        <w:t>,</w:t>
      </w:r>
      <w:r w:rsidR="00955F29" w:rsidRPr="002A1C63">
        <w:t xml:space="preserve"> income through employment or social security, is critical to defining living standards</w:t>
      </w:r>
      <w:r w:rsidR="00F80122">
        <w:t>:</w:t>
      </w:r>
      <w:r w:rsidR="004B1756" w:rsidRPr="002A1C63">
        <w:rPr>
          <w:rStyle w:val="FootnoteReference"/>
        </w:rPr>
        <w:footnoteReference w:id="7"/>
      </w:r>
      <w:r w:rsidR="00F80122">
        <w:t xml:space="preserve"> </w:t>
      </w:r>
      <w:r w:rsidR="00ED188F" w:rsidRPr="002A1C63">
        <w:t>“</w:t>
      </w:r>
      <w:r w:rsidR="00955F29" w:rsidRPr="002A1C63">
        <w:t>The NDP</w:t>
      </w:r>
      <w:r w:rsidR="00ED188F" w:rsidRPr="002A1C63">
        <w:t xml:space="preserve"> makes a firm commitment to achieving a minimum standard of living which can be progressively realised through a multi-pronged strategy</w:t>
      </w:r>
      <w:r w:rsidR="00955F29" w:rsidRPr="002A1C63">
        <w:t>.</w:t>
      </w:r>
      <w:r w:rsidR="00ED188F" w:rsidRPr="002A1C63">
        <w:t>”</w:t>
      </w:r>
      <w:r w:rsidR="00955F29" w:rsidRPr="002A1C63">
        <w:t xml:space="preserve"> </w:t>
      </w:r>
      <w:r w:rsidR="00ED188F" w:rsidRPr="002A1C63">
        <w:rPr>
          <w:rStyle w:val="FootnoteReference"/>
        </w:rPr>
        <w:footnoteReference w:id="8"/>
      </w:r>
    </w:p>
    <w:p w:rsidR="00EC0B20" w:rsidRPr="002A1C63" w:rsidRDefault="00EC0B20" w:rsidP="002A1C63">
      <w:pPr>
        <w:spacing w:line="276" w:lineRule="auto"/>
        <w:ind w:left="360"/>
        <w:jc w:val="both"/>
      </w:pPr>
    </w:p>
    <w:p w:rsidR="00C87DCA" w:rsidRPr="002A1C63" w:rsidRDefault="00955F29" w:rsidP="00C87DCA">
      <w:pPr>
        <w:pStyle w:val="ListParagraph"/>
        <w:numPr>
          <w:ilvl w:val="0"/>
          <w:numId w:val="8"/>
        </w:numPr>
        <w:spacing w:line="276" w:lineRule="auto"/>
        <w:jc w:val="both"/>
      </w:pPr>
      <w:r w:rsidRPr="002A1C63">
        <w:t>However, the NDP does not clearly define a minimum standard of living</w:t>
      </w:r>
      <w:r w:rsidR="005E16EE" w:rsidRPr="002A1C63">
        <w:t>.</w:t>
      </w:r>
      <w:r w:rsidR="007960AC" w:rsidRPr="002A1C63">
        <w:t xml:space="preserve"> </w:t>
      </w:r>
      <w:r w:rsidR="00BF7963" w:rsidRPr="002A1C63">
        <w:t xml:space="preserve">The </w:t>
      </w:r>
      <w:r w:rsidR="003917EC" w:rsidRPr="002A1C63">
        <w:t>NDP</w:t>
      </w:r>
      <w:r w:rsidR="001E4821">
        <w:t xml:space="preserve"> </w:t>
      </w:r>
      <w:r w:rsidR="00120938">
        <w:t xml:space="preserve">outlines </w:t>
      </w:r>
      <w:r w:rsidR="00F80122">
        <w:t xml:space="preserve">an </w:t>
      </w:r>
      <w:r w:rsidR="003917EC" w:rsidRPr="002A1C63">
        <w:t xml:space="preserve">action point </w:t>
      </w:r>
      <w:r w:rsidR="00F80122">
        <w:t>t</w:t>
      </w:r>
      <w:r w:rsidR="003917EC" w:rsidRPr="002A1C63">
        <w:t>o “develop proposals for an acceptable minimum standard of living and proposals on how to achieve this over time.”</w:t>
      </w:r>
      <w:r w:rsidR="003917EC" w:rsidRPr="002A1C63">
        <w:rPr>
          <w:rStyle w:val="FootnoteReference"/>
        </w:rPr>
        <w:footnoteReference w:id="9"/>
      </w:r>
      <w:r w:rsidR="00BF7963" w:rsidRPr="002A1C63">
        <w:t xml:space="preserve"> Yet, nothing has been done to develop a</w:t>
      </w:r>
      <w:r w:rsidR="00894084" w:rsidRPr="002A1C63">
        <w:t xml:space="preserve"> composite </w:t>
      </w:r>
      <w:r w:rsidR="00BF7963" w:rsidRPr="002A1C63">
        <w:t xml:space="preserve">index </w:t>
      </w:r>
      <w:r w:rsidR="00964555">
        <w:t xml:space="preserve">on what constitutes an </w:t>
      </w:r>
      <w:r w:rsidR="002A1C63" w:rsidRPr="002A1C63">
        <w:t>acceptable minimum standard of living</w:t>
      </w:r>
      <w:r w:rsidR="003F2A30">
        <w:t xml:space="preserve">. The SA Government </w:t>
      </w:r>
      <w:r w:rsidR="00964555">
        <w:t xml:space="preserve">has </w:t>
      </w:r>
      <w:r w:rsidR="00F80122">
        <w:t xml:space="preserve">instead </w:t>
      </w:r>
      <w:r w:rsidR="003F2A30">
        <w:t>continued to rely on the consumer price index (CPI).</w:t>
      </w:r>
    </w:p>
    <w:p w:rsidR="00BF7963" w:rsidRPr="002A1C63" w:rsidRDefault="00BF7963" w:rsidP="002A1C63">
      <w:pPr>
        <w:pStyle w:val="ListParagraph"/>
        <w:spacing w:line="276" w:lineRule="auto"/>
        <w:jc w:val="both"/>
      </w:pPr>
    </w:p>
    <w:p w:rsidR="00BF7963" w:rsidRPr="002A1C63" w:rsidRDefault="00BF7963" w:rsidP="002A1C63">
      <w:pPr>
        <w:spacing w:line="276" w:lineRule="auto"/>
        <w:jc w:val="both"/>
        <w:rPr>
          <w:b/>
          <w:bCs/>
        </w:rPr>
      </w:pPr>
      <w:r w:rsidRPr="002A1C63">
        <w:rPr>
          <w:b/>
          <w:bCs/>
        </w:rPr>
        <w:t>Key issues raised by the UN ICESCR</w:t>
      </w:r>
      <w:r w:rsidR="00F80122">
        <w:rPr>
          <w:b/>
          <w:bCs/>
        </w:rPr>
        <w:t xml:space="preserve"> regarding right to an adequate standard of living</w:t>
      </w:r>
      <w:r w:rsidRPr="002A1C63">
        <w:rPr>
          <w:b/>
          <w:bCs/>
        </w:rPr>
        <w:t>:</w:t>
      </w:r>
    </w:p>
    <w:p w:rsidR="00BF7963" w:rsidRPr="002A1C63" w:rsidRDefault="00BF7963" w:rsidP="002A1C63">
      <w:pPr>
        <w:spacing w:line="276" w:lineRule="auto"/>
        <w:jc w:val="both"/>
        <w:rPr>
          <w:b/>
        </w:rPr>
      </w:pPr>
    </w:p>
    <w:p w:rsidR="00BF7963" w:rsidRPr="002A1C63" w:rsidRDefault="00BF7963" w:rsidP="002A1C63">
      <w:pPr>
        <w:pStyle w:val="ListParagraph"/>
        <w:numPr>
          <w:ilvl w:val="0"/>
          <w:numId w:val="24"/>
        </w:numPr>
        <w:spacing w:line="276" w:lineRule="auto"/>
        <w:jc w:val="both"/>
      </w:pPr>
      <w:r w:rsidRPr="002A1C63">
        <w:lastRenderedPageBreak/>
        <w:t>In responding to South Africa’s initial report on its implementation of the ICESCR the UN CESCR adopted the following concluding observation on social security- with specific focus on the state’s need to design and regularly update a composite index on the cost of living.</w:t>
      </w:r>
    </w:p>
    <w:p w:rsidR="00BF7963" w:rsidRPr="002A1C63" w:rsidRDefault="00BF7963" w:rsidP="002A1C63">
      <w:pPr>
        <w:pStyle w:val="ListParagraph"/>
        <w:spacing w:line="276" w:lineRule="auto"/>
        <w:ind w:left="785"/>
        <w:jc w:val="both"/>
      </w:pPr>
    </w:p>
    <w:p w:rsidR="00BF7963" w:rsidRPr="00120938" w:rsidRDefault="00BF7963" w:rsidP="002A1C63">
      <w:pPr>
        <w:pStyle w:val="ListParagraph"/>
        <w:numPr>
          <w:ilvl w:val="0"/>
          <w:numId w:val="24"/>
        </w:numPr>
        <w:spacing w:line="276" w:lineRule="auto"/>
        <w:jc w:val="both"/>
        <w:rPr>
          <w:color w:val="000000" w:themeColor="text1"/>
        </w:rPr>
      </w:pPr>
      <w:r w:rsidRPr="00120938">
        <w:rPr>
          <w:color w:val="000000" w:themeColor="text1"/>
        </w:rPr>
        <w:t>The Committee noted in para 47 (a):</w:t>
      </w:r>
    </w:p>
    <w:p w:rsidR="00BF7963" w:rsidRPr="00120938" w:rsidRDefault="00BF7963" w:rsidP="002A1C63">
      <w:pPr>
        <w:spacing w:line="276" w:lineRule="auto"/>
        <w:jc w:val="both"/>
        <w:rPr>
          <w:color w:val="000000" w:themeColor="text1"/>
        </w:rPr>
      </w:pPr>
    </w:p>
    <w:p w:rsidR="00BF7963" w:rsidRPr="00120938" w:rsidRDefault="00BF7963" w:rsidP="002A1C63">
      <w:pPr>
        <w:spacing w:line="276" w:lineRule="auto"/>
        <w:ind w:left="1134"/>
        <w:jc w:val="both"/>
        <w:rPr>
          <w:color w:val="000000" w:themeColor="text1"/>
        </w:rPr>
      </w:pPr>
      <w:r w:rsidRPr="00120938">
        <w:rPr>
          <w:color w:val="000000" w:themeColor="text1"/>
        </w:rPr>
        <w:t>“</w:t>
      </w:r>
      <w:r w:rsidRPr="00120938">
        <w:rPr>
          <w:i/>
          <w:color w:val="000000" w:themeColor="text1"/>
        </w:rPr>
        <w:t>There is no composite index on the cost of living that provides the State party with a benchmark to adequately set the levels of social benefits consistent with the requirement to ensure an adequate standard of living for all.”</w:t>
      </w:r>
      <w:r w:rsidRPr="00120938">
        <w:rPr>
          <w:rStyle w:val="FootnoteReference"/>
          <w:i/>
          <w:color w:val="000000" w:themeColor="text1"/>
        </w:rPr>
        <w:footnoteReference w:id="10"/>
      </w:r>
    </w:p>
    <w:p w:rsidR="00BF7963" w:rsidRPr="00120938" w:rsidRDefault="00BF7963" w:rsidP="002A1C63">
      <w:pPr>
        <w:spacing w:line="276" w:lineRule="auto"/>
        <w:jc w:val="both"/>
        <w:rPr>
          <w:color w:val="000000" w:themeColor="text1"/>
        </w:rPr>
      </w:pPr>
    </w:p>
    <w:p w:rsidR="00BF7963" w:rsidRPr="00120938" w:rsidRDefault="00BF7963" w:rsidP="002A1C63">
      <w:pPr>
        <w:pStyle w:val="ListParagraph"/>
        <w:numPr>
          <w:ilvl w:val="0"/>
          <w:numId w:val="24"/>
        </w:numPr>
        <w:spacing w:line="276" w:lineRule="auto"/>
        <w:jc w:val="both"/>
        <w:rPr>
          <w:color w:val="000000" w:themeColor="text1"/>
        </w:rPr>
      </w:pPr>
      <w:r w:rsidRPr="00120938">
        <w:rPr>
          <w:color w:val="000000" w:themeColor="text1"/>
        </w:rPr>
        <w:t>The Committee thereafter recommended in para 48 (a) that the State Party:</w:t>
      </w:r>
    </w:p>
    <w:p w:rsidR="00BF7963" w:rsidRPr="00120938" w:rsidRDefault="00BF7963" w:rsidP="002A1C63">
      <w:pPr>
        <w:pStyle w:val="ListParagraph"/>
        <w:spacing w:line="276" w:lineRule="auto"/>
        <w:jc w:val="both"/>
        <w:rPr>
          <w:color w:val="000000" w:themeColor="text1"/>
        </w:rPr>
      </w:pPr>
    </w:p>
    <w:p w:rsidR="00BF7963" w:rsidRPr="00120938" w:rsidRDefault="00BF7963" w:rsidP="002A1C63">
      <w:pPr>
        <w:pStyle w:val="ListParagraph"/>
        <w:spacing w:line="276" w:lineRule="auto"/>
        <w:jc w:val="both"/>
        <w:rPr>
          <w:i/>
          <w:color w:val="000000" w:themeColor="text1"/>
        </w:rPr>
      </w:pPr>
      <w:r w:rsidRPr="00120938">
        <w:rPr>
          <w:i/>
          <w:color w:val="000000" w:themeColor="text1"/>
        </w:rPr>
        <w:t>“Design and regularly update a composite index on the cost of living”</w:t>
      </w:r>
    </w:p>
    <w:p w:rsidR="00377FBD" w:rsidRPr="002A1C63" w:rsidRDefault="00377FBD" w:rsidP="002A1C63">
      <w:pPr>
        <w:spacing w:line="276" w:lineRule="auto"/>
        <w:jc w:val="both"/>
        <w:rPr>
          <w:rFonts w:eastAsiaTheme="minorHAnsi"/>
        </w:rPr>
      </w:pPr>
    </w:p>
    <w:p w:rsidR="00A9268D" w:rsidRPr="002A1C63" w:rsidRDefault="00377FBD" w:rsidP="002A1C63">
      <w:pPr>
        <w:tabs>
          <w:tab w:val="center" w:pos="4510"/>
        </w:tabs>
        <w:spacing w:line="276" w:lineRule="auto"/>
        <w:jc w:val="both"/>
        <w:rPr>
          <w:b/>
        </w:rPr>
      </w:pPr>
      <w:r w:rsidRPr="002A1C63">
        <w:rPr>
          <w:b/>
        </w:rPr>
        <w:t xml:space="preserve">South Africa </w:t>
      </w:r>
      <w:r w:rsidR="004B4DB3">
        <w:rPr>
          <w:b/>
        </w:rPr>
        <w:t xml:space="preserve">government </w:t>
      </w:r>
      <w:r w:rsidRPr="002A1C63">
        <w:rPr>
          <w:b/>
        </w:rPr>
        <w:t xml:space="preserve">follow-up to the concluding observations </w:t>
      </w:r>
    </w:p>
    <w:p w:rsidR="00373F95" w:rsidRPr="002A1C63" w:rsidRDefault="00373F95" w:rsidP="002A1C63">
      <w:pPr>
        <w:tabs>
          <w:tab w:val="center" w:pos="4510"/>
        </w:tabs>
        <w:spacing w:line="276" w:lineRule="auto"/>
        <w:jc w:val="both"/>
        <w:rPr>
          <w:b/>
        </w:rPr>
      </w:pPr>
    </w:p>
    <w:p w:rsidR="003F4B0F" w:rsidRDefault="0072306C" w:rsidP="002A1C63">
      <w:pPr>
        <w:pStyle w:val="ListParagraph"/>
        <w:numPr>
          <w:ilvl w:val="0"/>
          <w:numId w:val="24"/>
        </w:numPr>
        <w:tabs>
          <w:tab w:val="center" w:pos="4510"/>
        </w:tabs>
        <w:spacing w:line="276" w:lineRule="auto"/>
        <w:jc w:val="both"/>
      </w:pPr>
      <w:r w:rsidRPr="002A1C63">
        <w:t>In response, t</w:t>
      </w:r>
      <w:r w:rsidR="00BF7963" w:rsidRPr="002A1C63">
        <w:t xml:space="preserve">he </w:t>
      </w:r>
      <w:r w:rsidR="00312D2E" w:rsidRPr="002A1C63">
        <w:t xml:space="preserve">SA </w:t>
      </w:r>
      <w:r w:rsidR="003F4B0F" w:rsidRPr="002A1C63">
        <w:t>Government outlined that the</w:t>
      </w:r>
      <w:r w:rsidRPr="002A1C63">
        <w:t xml:space="preserve"> consumer price index</w:t>
      </w:r>
      <w:r w:rsidR="003F4B0F" w:rsidRPr="002A1C63">
        <w:t xml:space="preserve"> </w:t>
      </w:r>
      <w:r w:rsidRPr="002A1C63">
        <w:t>(</w:t>
      </w:r>
      <w:r w:rsidR="003F4B0F" w:rsidRPr="002A1C63">
        <w:t>CPI</w:t>
      </w:r>
      <w:r w:rsidRPr="002A1C63">
        <w:t>)</w:t>
      </w:r>
      <w:r w:rsidR="003F4B0F" w:rsidRPr="002A1C63">
        <w:t xml:space="preserve"> serves as </w:t>
      </w:r>
      <w:r w:rsidRPr="002A1C63">
        <w:t xml:space="preserve">the </w:t>
      </w:r>
      <w:r w:rsidR="003F4B0F" w:rsidRPr="002A1C63">
        <w:t>composite index on the cost of living and functions as a benchmark to adequately set the levels of social benefits and salaries consistent with the requirement to ensure an adequate standard of living for all.</w:t>
      </w:r>
      <w:r w:rsidR="003F4B0F" w:rsidRPr="002A1C63">
        <w:rPr>
          <w:rStyle w:val="FootnoteReference"/>
        </w:rPr>
        <w:footnoteReference w:id="11"/>
      </w:r>
    </w:p>
    <w:p w:rsidR="001E4821" w:rsidRPr="002A1C63" w:rsidRDefault="001E4821" w:rsidP="001E4821">
      <w:pPr>
        <w:pStyle w:val="ListParagraph"/>
        <w:tabs>
          <w:tab w:val="center" w:pos="4510"/>
        </w:tabs>
        <w:spacing w:line="276" w:lineRule="auto"/>
        <w:jc w:val="both"/>
      </w:pPr>
    </w:p>
    <w:p w:rsidR="00740724" w:rsidRPr="002A1C63" w:rsidRDefault="009303BA" w:rsidP="002A1C63">
      <w:pPr>
        <w:pStyle w:val="ListParagraph"/>
        <w:numPr>
          <w:ilvl w:val="0"/>
          <w:numId w:val="24"/>
        </w:numPr>
        <w:tabs>
          <w:tab w:val="center" w:pos="4510"/>
        </w:tabs>
        <w:spacing w:line="276" w:lineRule="auto"/>
        <w:jc w:val="both"/>
      </w:pPr>
      <w:r w:rsidRPr="002A1C63">
        <w:rPr>
          <w:color w:val="000000" w:themeColor="text1"/>
        </w:rPr>
        <w:t>The CPI</w:t>
      </w:r>
      <w:r w:rsidR="0072306C" w:rsidRPr="002A1C63">
        <w:rPr>
          <w:color w:val="000000" w:themeColor="text1"/>
        </w:rPr>
        <w:t xml:space="preserve"> as defined by the SA Government is a current social and economic indicator</w:t>
      </w:r>
      <w:r w:rsidR="003F2A30">
        <w:rPr>
          <w:color w:val="000000" w:themeColor="text1"/>
        </w:rPr>
        <w:t xml:space="preserve"> that</w:t>
      </w:r>
      <w:r w:rsidR="00740724" w:rsidRPr="002A1C63">
        <w:rPr>
          <w:color w:val="000000" w:themeColor="text1"/>
        </w:rPr>
        <w:t xml:space="preserve"> measures the general changes of prices over time of </w:t>
      </w:r>
      <w:r w:rsidR="0072306C" w:rsidRPr="002A1C63">
        <w:rPr>
          <w:color w:val="000000" w:themeColor="text1"/>
        </w:rPr>
        <w:t xml:space="preserve">consumer goods and services that households </w:t>
      </w:r>
      <w:r w:rsidR="00120938">
        <w:rPr>
          <w:color w:val="000000" w:themeColor="text1"/>
        </w:rPr>
        <w:t>acquire</w:t>
      </w:r>
      <w:r w:rsidR="0072306C" w:rsidRPr="002A1C63">
        <w:rPr>
          <w:color w:val="000000" w:themeColor="text1"/>
        </w:rPr>
        <w:t xml:space="preserve">, use, or pay for. The </w:t>
      </w:r>
      <w:r w:rsidR="00740724" w:rsidRPr="002A1C63">
        <w:rPr>
          <w:color w:val="000000" w:themeColor="text1"/>
        </w:rPr>
        <w:t xml:space="preserve">CPI’s purpose is to </w:t>
      </w:r>
      <w:r w:rsidR="0072306C" w:rsidRPr="002A1C63">
        <w:rPr>
          <w:color w:val="000000" w:themeColor="text1"/>
        </w:rPr>
        <w:t>measure the change in consumer prices over time and how that impacts on the cost of living.</w:t>
      </w:r>
      <w:r w:rsidR="0072306C" w:rsidRPr="002A1C63">
        <w:rPr>
          <w:rStyle w:val="FootnoteReference"/>
          <w:color w:val="000000" w:themeColor="text1"/>
        </w:rPr>
        <w:footnoteReference w:id="12"/>
      </w:r>
      <w:r w:rsidR="00400F49" w:rsidRPr="002A1C63">
        <w:rPr>
          <w:color w:val="000000" w:themeColor="text1"/>
          <w:shd w:val="clear" w:color="auto" w:fill="FFFFFF"/>
        </w:rPr>
        <w:t xml:space="preserve"> </w:t>
      </w:r>
    </w:p>
    <w:p w:rsidR="006E6982" w:rsidRPr="002A1C63" w:rsidRDefault="006E6982" w:rsidP="002A1C63">
      <w:pPr>
        <w:pStyle w:val="ListParagraph"/>
        <w:tabs>
          <w:tab w:val="center" w:pos="4510"/>
        </w:tabs>
        <w:spacing w:line="276" w:lineRule="auto"/>
        <w:jc w:val="both"/>
      </w:pPr>
    </w:p>
    <w:p w:rsidR="00740724" w:rsidRPr="004E164F" w:rsidRDefault="0072306C" w:rsidP="004E164F">
      <w:pPr>
        <w:pStyle w:val="ListParagraph"/>
        <w:numPr>
          <w:ilvl w:val="0"/>
          <w:numId w:val="24"/>
        </w:numPr>
        <w:tabs>
          <w:tab w:val="center" w:pos="4510"/>
        </w:tabs>
        <w:spacing w:line="276" w:lineRule="auto"/>
        <w:jc w:val="both"/>
      </w:pPr>
      <w:r w:rsidRPr="002A1C63">
        <w:t xml:space="preserve">This is done by calculating the cost of </w:t>
      </w:r>
      <w:r w:rsidR="00740724" w:rsidRPr="002A1C63">
        <w:t xml:space="preserve">acquiring </w:t>
      </w:r>
      <w:r w:rsidRPr="002A1C63">
        <w:t xml:space="preserve">a fixed basket of consumer goods and services of constant quality and similar characteristics. </w:t>
      </w:r>
      <w:r w:rsidR="00740724" w:rsidRPr="002A1C63">
        <w:t xml:space="preserve">The products in the basket </w:t>
      </w:r>
      <w:r w:rsidRPr="002A1C63">
        <w:t xml:space="preserve">are selected as being representative of households’ expenditure during a year or other </w:t>
      </w:r>
      <w:r w:rsidR="00740724" w:rsidRPr="002A1C63">
        <w:t>identified</w:t>
      </w:r>
      <w:r w:rsidRPr="002A1C63">
        <w:t xml:space="preserve"> period</w:t>
      </w:r>
      <w:r w:rsidR="00740724" w:rsidRPr="002A1C63">
        <w:t>s</w:t>
      </w:r>
      <w:r w:rsidRPr="002A1C63">
        <w:t>.</w:t>
      </w:r>
      <w:r w:rsidR="00400F49" w:rsidRPr="002A1C63">
        <w:t xml:space="preserve"> Two criteria are used to decide what goes into the CPI basket – the </w:t>
      </w:r>
      <w:r w:rsidR="00400F49" w:rsidRPr="003F2A30">
        <w:rPr>
          <w:color w:val="000000" w:themeColor="text1"/>
        </w:rPr>
        <w:t>number of households purchasing the item and total expenditure on the item.</w:t>
      </w:r>
      <w:r w:rsidR="004E164F" w:rsidRPr="003F2A30">
        <w:rPr>
          <w:color w:val="000000" w:themeColor="text1"/>
        </w:rPr>
        <w:t xml:space="preserve"> </w:t>
      </w:r>
      <w:r w:rsidR="006E6982" w:rsidRPr="003F2A30">
        <w:rPr>
          <w:color w:val="000000" w:themeColor="text1"/>
          <w:shd w:val="clear" w:color="auto" w:fill="FFFFFF"/>
        </w:rPr>
        <w:t xml:space="preserve">The weighted sum of changes in the price of specific products and services in the CPI </w:t>
      </w:r>
      <w:r w:rsidR="006E6982" w:rsidRPr="003F2A30">
        <w:rPr>
          <w:color w:val="000000" w:themeColor="text1"/>
          <w:shd w:val="clear" w:color="auto" w:fill="FFFFFF"/>
        </w:rPr>
        <w:lastRenderedPageBreak/>
        <w:t>provides the rate of inflation. As a result, the inflation rate is based on the estimated total expenditure of all South African households.</w:t>
      </w:r>
    </w:p>
    <w:p w:rsidR="00312D2E" w:rsidRPr="002A1C63" w:rsidRDefault="00312D2E" w:rsidP="002A1C63">
      <w:pPr>
        <w:pStyle w:val="ListParagraph"/>
        <w:tabs>
          <w:tab w:val="center" w:pos="4510"/>
        </w:tabs>
        <w:spacing w:line="276" w:lineRule="auto"/>
        <w:jc w:val="both"/>
      </w:pPr>
    </w:p>
    <w:p w:rsidR="003F2A30" w:rsidRDefault="00312D2E" w:rsidP="004E164F">
      <w:pPr>
        <w:pStyle w:val="ListParagraph"/>
        <w:numPr>
          <w:ilvl w:val="0"/>
          <w:numId w:val="24"/>
        </w:numPr>
        <w:tabs>
          <w:tab w:val="center" w:pos="4510"/>
        </w:tabs>
        <w:spacing w:line="276" w:lineRule="auto"/>
        <w:jc w:val="both"/>
      </w:pPr>
      <w:r w:rsidRPr="002A1C63">
        <w:t>Th</w:t>
      </w:r>
      <w:r w:rsidR="005D2FF6">
        <w:t>e</w:t>
      </w:r>
      <w:r w:rsidRPr="002A1C63">
        <w:t xml:space="preserve"> SA </w:t>
      </w:r>
      <w:r w:rsidR="005A7596" w:rsidRPr="002A1C63">
        <w:t xml:space="preserve">Government </w:t>
      </w:r>
      <w:r w:rsidRPr="002A1C63">
        <w:t>stated</w:t>
      </w:r>
      <w:r w:rsidR="005A7596" w:rsidRPr="002A1C63">
        <w:t xml:space="preserve"> that the CPI serves as an instrument to inform economists and public policy makers</w:t>
      </w:r>
      <w:r w:rsidR="001F7F2E" w:rsidRPr="002A1C63">
        <w:t>’</w:t>
      </w:r>
      <w:r w:rsidR="005A7596" w:rsidRPr="002A1C63">
        <w:t xml:space="preserve"> decisions in matters such as adjusting social grants, </w:t>
      </w:r>
      <w:r w:rsidR="00C32F30">
        <w:t>child care</w:t>
      </w:r>
      <w:r w:rsidR="00C451BB">
        <w:t>,</w:t>
      </w:r>
      <w:r w:rsidR="00C32F30">
        <w:t xml:space="preserve"> </w:t>
      </w:r>
      <w:r w:rsidR="005A7596" w:rsidRPr="002A1C63">
        <w:t>and various monetary policy</w:t>
      </w:r>
      <w:r w:rsidR="00525696" w:rsidRPr="002A1C63">
        <w:t>.</w:t>
      </w:r>
      <w:r w:rsidR="00525696" w:rsidRPr="002A1C63">
        <w:rPr>
          <w:rStyle w:val="FootnoteReference"/>
        </w:rPr>
        <w:footnoteReference w:id="13"/>
      </w:r>
      <w:r w:rsidR="008D02DC" w:rsidRPr="002A1C63">
        <w:t xml:space="preserve"> </w:t>
      </w:r>
    </w:p>
    <w:p w:rsidR="003F2A30" w:rsidRDefault="003F2A30" w:rsidP="003F2A30">
      <w:pPr>
        <w:pStyle w:val="ListParagraph"/>
      </w:pPr>
    </w:p>
    <w:p w:rsidR="00BF7963" w:rsidRDefault="00964555" w:rsidP="004E164F">
      <w:pPr>
        <w:pStyle w:val="ListParagraph"/>
        <w:numPr>
          <w:ilvl w:val="0"/>
          <w:numId w:val="24"/>
        </w:numPr>
        <w:tabs>
          <w:tab w:val="center" w:pos="4510"/>
        </w:tabs>
        <w:spacing w:line="276" w:lineRule="auto"/>
        <w:jc w:val="both"/>
      </w:pPr>
      <w:r>
        <w:t>However, t</w:t>
      </w:r>
      <w:r w:rsidR="003F2A30">
        <w:t>he CPI cannot be used as an instrument to measure adequate standard of living</w:t>
      </w:r>
      <w:r w:rsidR="00120938">
        <w:t xml:space="preserve"> </w:t>
      </w:r>
      <w:r w:rsidR="003F2A30">
        <w:t xml:space="preserve">as </w:t>
      </w:r>
      <w:r w:rsidR="00520A30">
        <w:t>it is a measure of change</w:t>
      </w:r>
      <w:r w:rsidR="004B4DB3">
        <w:t>,</w:t>
      </w:r>
      <w:r w:rsidR="00520A30">
        <w:t xml:space="preserve"> not substance. </w:t>
      </w:r>
      <w:r w:rsidR="007C37EC">
        <w:t xml:space="preserve">Thus, </w:t>
      </w:r>
      <w:r w:rsidR="004B4DB3">
        <w:t xml:space="preserve">it </w:t>
      </w:r>
      <w:r w:rsidR="007C37EC">
        <w:t>f</w:t>
      </w:r>
      <w:r w:rsidR="008D02DC" w:rsidRPr="002A1C63">
        <w:t>all</w:t>
      </w:r>
      <w:r w:rsidR="004B4DB3">
        <w:t>s</w:t>
      </w:r>
      <w:r w:rsidR="008D02DC" w:rsidRPr="002A1C63">
        <w:t xml:space="preserve"> short</w:t>
      </w:r>
      <w:r w:rsidR="00A65DEE" w:rsidRPr="002A1C63">
        <w:t xml:space="preserve"> of measuring what a decent standard of living</w:t>
      </w:r>
      <w:r w:rsidR="003F4B0F" w:rsidRPr="002A1C63">
        <w:t xml:space="preserve"> means</w:t>
      </w:r>
      <w:r w:rsidR="00525696" w:rsidRPr="002A1C63">
        <w:t>.</w:t>
      </w:r>
      <w:r w:rsidR="003F4B0F" w:rsidRPr="002A1C63">
        <w:t xml:space="preserve"> </w:t>
      </w:r>
    </w:p>
    <w:p w:rsidR="002B7398" w:rsidRDefault="002B7398" w:rsidP="002B7398">
      <w:pPr>
        <w:pStyle w:val="ListParagraph"/>
      </w:pPr>
    </w:p>
    <w:p w:rsidR="007A4A97" w:rsidRPr="00C32F30" w:rsidRDefault="002B7398" w:rsidP="002A1C63">
      <w:pPr>
        <w:pStyle w:val="ListParagraph"/>
        <w:numPr>
          <w:ilvl w:val="0"/>
          <w:numId w:val="24"/>
        </w:numPr>
        <w:spacing w:line="276" w:lineRule="auto"/>
        <w:jc w:val="both"/>
      </w:pPr>
      <w:r>
        <w:t>To meet its obligations set out in the</w:t>
      </w:r>
      <w:r w:rsidR="00520A30">
        <w:t xml:space="preserve"> </w:t>
      </w:r>
      <w:r w:rsidR="00520A30" w:rsidRPr="002A1C63">
        <w:t>ICESCR</w:t>
      </w:r>
      <w:r w:rsidR="007C37EC">
        <w:t>,</w:t>
      </w:r>
      <w:r>
        <w:t xml:space="preserve"> it</w:t>
      </w:r>
      <w:r w:rsidR="007C37EC">
        <w:t xml:space="preserve"> i</w:t>
      </w:r>
      <w:r>
        <w:t>s imperative that the government designs and restructures the way</w:t>
      </w:r>
      <w:r w:rsidR="007C37EC">
        <w:t xml:space="preserve"> in</w:t>
      </w:r>
      <w:r>
        <w:t xml:space="preserve"> which it measures the cost of living. The use of the CPI cannot possibly adequately and accurately measure what a</w:t>
      </w:r>
      <w:r w:rsidR="004B4DB3">
        <w:t>n adequate or</w:t>
      </w:r>
      <w:r>
        <w:t xml:space="preserve"> decent standard of living in South Africa is</w:t>
      </w:r>
      <w:r w:rsidR="007C37EC">
        <w:t>, as it stands</w:t>
      </w:r>
      <w:r>
        <w:t>.</w:t>
      </w:r>
    </w:p>
    <w:p w:rsidR="008B24F6" w:rsidRPr="002A1C63" w:rsidRDefault="00A9268D" w:rsidP="002A1C63">
      <w:pPr>
        <w:spacing w:beforeAutospacing="1" w:afterAutospacing="1" w:line="276" w:lineRule="auto"/>
        <w:jc w:val="both"/>
        <w:rPr>
          <w:b/>
          <w:bCs/>
        </w:rPr>
      </w:pPr>
      <w:r w:rsidRPr="002A1C63">
        <w:rPr>
          <w:b/>
          <w:bCs/>
        </w:rPr>
        <w:t xml:space="preserve">General framework for </w:t>
      </w:r>
      <w:r w:rsidR="004B4DB3">
        <w:rPr>
          <w:b/>
          <w:bCs/>
        </w:rPr>
        <w:t>adequate standard of living</w:t>
      </w:r>
      <w:r w:rsidRPr="002A1C63">
        <w:rPr>
          <w:b/>
          <w:bCs/>
        </w:rPr>
        <w:t xml:space="preserve"> in South Africa</w:t>
      </w:r>
      <w:r w:rsidR="007C41BB" w:rsidRPr="002A1C63">
        <w:rPr>
          <w:b/>
          <w:bCs/>
        </w:rPr>
        <w:t>:</w:t>
      </w:r>
    </w:p>
    <w:p w:rsidR="00F67047" w:rsidRPr="002A1C63" w:rsidRDefault="00964555" w:rsidP="002A1C63">
      <w:pPr>
        <w:pStyle w:val="ListParagraph"/>
        <w:numPr>
          <w:ilvl w:val="0"/>
          <w:numId w:val="24"/>
        </w:numPr>
        <w:tabs>
          <w:tab w:val="center" w:pos="4510"/>
        </w:tabs>
        <w:spacing w:line="276" w:lineRule="auto"/>
        <w:jc w:val="both"/>
        <w:rPr>
          <w:color w:val="000000" w:themeColor="text1"/>
        </w:rPr>
      </w:pPr>
      <w:r>
        <w:rPr>
          <w:color w:val="000000" w:themeColor="text1"/>
        </w:rPr>
        <w:t>Moreover, t</w:t>
      </w:r>
      <w:r w:rsidR="00D74C5F" w:rsidRPr="002A1C63">
        <w:rPr>
          <w:color w:val="000000" w:themeColor="text1"/>
        </w:rPr>
        <w:t xml:space="preserve">here is no evidence that the South African government has </w:t>
      </w:r>
      <w:r w:rsidR="009C48FA" w:rsidRPr="002A1C63">
        <w:rPr>
          <w:color w:val="000000" w:themeColor="text1"/>
        </w:rPr>
        <w:t xml:space="preserve">taken the UN </w:t>
      </w:r>
      <w:r w:rsidR="009C48FA" w:rsidRPr="002A1C63">
        <w:t>CESCR recommendations on board</w:t>
      </w:r>
      <w:r w:rsidR="00674004" w:rsidRPr="002A1C63">
        <w:t xml:space="preserve"> with regard</w:t>
      </w:r>
      <w:r w:rsidR="00F67047" w:rsidRPr="002A1C63">
        <w:t>s</w:t>
      </w:r>
      <w:r w:rsidR="00674004" w:rsidRPr="002A1C63">
        <w:t xml:space="preserve"> to</w:t>
      </w:r>
      <w:r w:rsidR="00F67047" w:rsidRPr="002A1C63">
        <w:t xml:space="preserve"> </w:t>
      </w:r>
      <w:r w:rsidR="00120938">
        <w:t>“</w:t>
      </w:r>
      <w:r w:rsidR="00F67047" w:rsidRPr="00120938">
        <w:rPr>
          <w:i/>
          <w:color w:val="000000" w:themeColor="text1"/>
        </w:rPr>
        <w:t>designing and updating a composite index on the cost of living that provides the state with a benchmark to adequately set the levels of social benefits consistent with the requirement to ensure an adequate standard of living</w:t>
      </w:r>
      <w:r w:rsidR="00F67047" w:rsidRPr="00120938">
        <w:rPr>
          <w:color w:val="000000" w:themeColor="text1"/>
        </w:rPr>
        <w:t>.</w:t>
      </w:r>
      <w:r w:rsidR="00120938" w:rsidRPr="00120938">
        <w:rPr>
          <w:color w:val="000000" w:themeColor="text1"/>
        </w:rPr>
        <w:t xml:space="preserve">” </w:t>
      </w:r>
      <w:r>
        <w:t xml:space="preserve">As the </w:t>
      </w:r>
      <w:r w:rsidR="003F2A30">
        <w:t>CPI</w:t>
      </w:r>
      <w:r w:rsidR="006E6982" w:rsidRPr="002A1C63">
        <w:t xml:space="preserve"> mere</w:t>
      </w:r>
      <w:r w:rsidR="003F2A30">
        <w:t>ly</w:t>
      </w:r>
      <w:r>
        <w:t xml:space="preserve"> functions</w:t>
      </w:r>
      <w:r w:rsidR="003F2A30">
        <w:t xml:space="preserve"> as a</w:t>
      </w:r>
      <w:r w:rsidR="006E6982" w:rsidRPr="002A1C63">
        <w:t xml:space="preserve"> reference to increases in prices of goods and services, not what the goods and services are themselves, that is the very reason why the CPI cannot be the standard demanded by the UN CESCR.</w:t>
      </w:r>
      <w:r w:rsidR="00520A30">
        <w:t xml:space="preserve"> </w:t>
      </w:r>
    </w:p>
    <w:p w:rsidR="00F67047" w:rsidRPr="002A1C63" w:rsidRDefault="00F67047" w:rsidP="002A1C63">
      <w:pPr>
        <w:pStyle w:val="ListParagraph"/>
        <w:spacing w:line="276" w:lineRule="auto"/>
        <w:jc w:val="both"/>
        <w:rPr>
          <w:color w:val="000000" w:themeColor="text1"/>
        </w:rPr>
      </w:pPr>
    </w:p>
    <w:p w:rsidR="009C48FA" w:rsidRPr="002A1C63" w:rsidRDefault="00F67047" w:rsidP="002A1C63">
      <w:pPr>
        <w:pStyle w:val="ListParagraph"/>
        <w:numPr>
          <w:ilvl w:val="0"/>
          <w:numId w:val="24"/>
        </w:numPr>
        <w:tabs>
          <w:tab w:val="center" w:pos="4510"/>
        </w:tabs>
        <w:spacing w:line="276" w:lineRule="auto"/>
        <w:jc w:val="both"/>
        <w:rPr>
          <w:color w:val="000000" w:themeColor="text1"/>
        </w:rPr>
      </w:pPr>
      <w:r w:rsidRPr="002A1C63">
        <w:rPr>
          <w:color w:val="000000" w:themeColor="text1"/>
        </w:rPr>
        <w:t>I</w:t>
      </w:r>
      <w:r w:rsidR="009C48FA" w:rsidRPr="002A1C63">
        <w:rPr>
          <w:color w:val="000000" w:themeColor="text1"/>
        </w:rPr>
        <w:t xml:space="preserve">n a bid to create a people centred measure of cost of living. Studies in Inequality and Poverty Institute (SPII), The </w:t>
      </w:r>
      <w:r w:rsidR="00312D2E" w:rsidRPr="002A1C63">
        <w:rPr>
          <w:color w:val="000000" w:themeColor="text1"/>
        </w:rPr>
        <w:t>Labour Research Service</w:t>
      </w:r>
      <w:r w:rsidR="009C48FA" w:rsidRPr="002A1C63">
        <w:rPr>
          <w:color w:val="000000" w:themeColor="text1"/>
        </w:rPr>
        <w:t xml:space="preserve"> (LRS)</w:t>
      </w:r>
      <w:r w:rsidR="00312D2E" w:rsidRPr="002A1C63">
        <w:rPr>
          <w:color w:val="000000" w:themeColor="text1"/>
        </w:rPr>
        <w:t xml:space="preserve">, </w:t>
      </w:r>
      <w:r w:rsidR="009C48FA" w:rsidRPr="002A1C63">
        <w:rPr>
          <w:color w:val="000000" w:themeColor="text1"/>
        </w:rPr>
        <w:t xml:space="preserve">and the </w:t>
      </w:r>
      <w:r w:rsidR="00312D2E" w:rsidRPr="002A1C63">
        <w:rPr>
          <w:color w:val="000000" w:themeColor="text1"/>
        </w:rPr>
        <w:t>Southern African Social Policy Research Institute</w:t>
      </w:r>
      <w:r w:rsidR="009C48FA" w:rsidRPr="002A1C63">
        <w:rPr>
          <w:color w:val="000000" w:themeColor="text1"/>
        </w:rPr>
        <w:t xml:space="preserve"> (SASPRI)</w:t>
      </w:r>
      <w:r w:rsidR="00312D2E" w:rsidRPr="002A1C63">
        <w:rPr>
          <w:color w:val="000000" w:themeColor="text1"/>
        </w:rPr>
        <w:t xml:space="preserve"> through a collaborative research project created a</w:t>
      </w:r>
      <w:r w:rsidR="009C48FA" w:rsidRPr="002A1C63">
        <w:rPr>
          <w:color w:val="000000" w:themeColor="text1"/>
        </w:rPr>
        <w:t xml:space="preserve"> measure for a</w:t>
      </w:r>
      <w:r w:rsidR="00312D2E" w:rsidRPr="002A1C63">
        <w:rPr>
          <w:color w:val="000000" w:themeColor="text1"/>
        </w:rPr>
        <w:t xml:space="preserve"> Decent Standard of Living (DSL)</w:t>
      </w:r>
      <w:r w:rsidR="009C48FA" w:rsidRPr="002A1C63">
        <w:rPr>
          <w:color w:val="000000" w:themeColor="text1"/>
        </w:rPr>
        <w:t xml:space="preserve"> as well as a Decent Standard of Living Index (DSLI)</w:t>
      </w:r>
      <w:r w:rsidR="00312D2E" w:rsidRPr="002A1C63">
        <w:rPr>
          <w:color w:val="000000" w:themeColor="text1"/>
        </w:rPr>
        <w:t xml:space="preserve">. </w:t>
      </w:r>
      <w:r w:rsidR="00312D2E" w:rsidRPr="002A1C63">
        <w:rPr>
          <w:rStyle w:val="FootnoteReference"/>
          <w:color w:val="000000" w:themeColor="text1"/>
        </w:rPr>
        <w:footnoteReference w:id="14"/>
      </w:r>
      <w:r w:rsidR="00312D2E" w:rsidRPr="002A1C63">
        <w:rPr>
          <w:color w:val="000000" w:themeColor="text1"/>
        </w:rPr>
        <w:t xml:space="preserve"> </w:t>
      </w:r>
      <w:r w:rsidR="00B72050">
        <w:rPr>
          <w:color w:val="000000" w:themeColor="text1"/>
        </w:rPr>
        <w:t>This work was begun in 2012.</w:t>
      </w:r>
    </w:p>
    <w:p w:rsidR="009C48FA" w:rsidRPr="002A1C63" w:rsidRDefault="009C48FA" w:rsidP="002A1C63">
      <w:pPr>
        <w:tabs>
          <w:tab w:val="center" w:pos="4510"/>
        </w:tabs>
        <w:spacing w:line="276" w:lineRule="auto"/>
        <w:jc w:val="both"/>
        <w:rPr>
          <w:color w:val="000000" w:themeColor="text1"/>
        </w:rPr>
      </w:pPr>
    </w:p>
    <w:p w:rsidR="00964555" w:rsidRDefault="003F67EB" w:rsidP="002A1C63">
      <w:pPr>
        <w:pStyle w:val="ListParagraph"/>
        <w:numPr>
          <w:ilvl w:val="0"/>
          <w:numId w:val="24"/>
        </w:numPr>
        <w:tabs>
          <w:tab w:val="center" w:pos="4510"/>
        </w:tabs>
        <w:spacing w:line="276" w:lineRule="auto"/>
        <w:jc w:val="both"/>
        <w:rPr>
          <w:color w:val="000000" w:themeColor="text1"/>
        </w:rPr>
      </w:pPr>
      <w:r w:rsidRPr="002A1C63">
        <w:rPr>
          <w:color w:val="000000" w:themeColor="text1"/>
        </w:rPr>
        <w:t xml:space="preserve">The </w:t>
      </w:r>
      <w:r w:rsidR="00B72050">
        <w:rPr>
          <w:color w:val="000000" w:themeColor="text1"/>
        </w:rPr>
        <w:t xml:space="preserve">development of the </w:t>
      </w:r>
      <w:r w:rsidRPr="002A1C63">
        <w:rPr>
          <w:color w:val="000000" w:themeColor="text1"/>
        </w:rPr>
        <w:t xml:space="preserve">DSL </w:t>
      </w:r>
      <w:r w:rsidR="00B72050">
        <w:rPr>
          <w:color w:val="000000" w:themeColor="text1"/>
        </w:rPr>
        <w:t xml:space="preserve">methodology and the first population of the standard </w:t>
      </w:r>
      <w:r w:rsidR="00B72050" w:rsidRPr="002A1C63">
        <w:rPr>
          <w:color w:val="000000" w:themeColor="text1"/>
        </w:rPr>
        <w:t xml:space="preserve"> </w:t>
      </w:r>
      <w:r w:rsidRPr="002A1C63">
        <w:rPr>
          <w:color w:val="000000" w:themeColor="text1"/>
        </w:rPr>
        <w:t xml:space="preserve">was funded by the </w:t>
      </w:r>
      <w:r w:rsidR="009C48FA" w:rsidRPr="002A1C63">
        <w:rPr>
          <w:color w:val="000000" w:themeColor="text1"/>
        </w:rPr>
        <w:t>N</w:t>
      </w:r>
      <w:r w:rsidRPr="002A1C63">
        <w:rPr>
          <w:color w:val="000000" w:themeColor="text1"/>
        </w:rPr>
        <w:t>ational Department of Social Development</w:t>
      </w:r>
      <w:r w:rsidR="009C48FA" w:rsidRPr="002A1C63">
        <w:rPr>
          <w:color w:val="000000" w:themeColor="text1"/>
        </w:rPr>
        <w:t xml:space="preserve"> (DSD)</w:t>
      </w:r>
      <w:r w:rsidRPr="002A1C63">
        <w:rPr>
          <w:color w:val="000000" w:themeColor="text1"/>
        </w:rPr>
        <w:t>. The DSL provides</w:t>
      </w:r>
      <w:r w:rsidR="00AA7605" w:rsidRPr="002A1C63">
        <w:rPr>
          <w:color w:val="000000" w:themeColor="text1"/>
        </w:rPr>
        <w:t xml:space="preserve"> a</w:t>
      </w:r>
      <w:r w:rsidR="002361A9" w:rsidRPr="002A1C63">
        <w:rPr>
          <w:color w:val="000000" w:themeColor="text1"/>
        </w:rPr>
        <w:t xml:space="preserve"> people driven approach</w:t>
      </w:r>
      <w:r w:rsidR="00F76390" w:rsidRPr="002A1C63">
        <w:rPr>
          <w:color w:val="000000" w:themeColor="text1"/>
        </w:rPr>
        <w:t xml:space="preserve"> based on proxy indicators identified by ordinary people as being important to them to live a life of decency in South Africa</w:t>
      </w:r>
      <w:r w:rsidR="002361A9" w:rsidRPr="002A1C63">
        <w:rPr>
          <w:color w:val="000000" w:themeColor="text1"/>
        </w:rPr>
        <w:t>.</w:t>
      </w:r>
      <w:r w:rsidR="00BA006D" w:rsidRPr="002A1C63">
        <w:rPr>
          <w:color w:val="000000" w:themeColor="text1"/>
        </w:rPr>
        <w:t xml:space="preserve"> </w:t>
      </w:r>
      <w:r w:rsidRPr="002A1C63">
        <w:rPr>
          <w:color w:val="000000" w:themeColor="text1"/>
        </w:rPr>
        <w:t xml:space="preserve">The methodology used </w:t>
      </w:r>
      <w:r w:rsidR="00964555">
        <w:rPr>
          <w:color w:val="000000" w:themeColor="text1"/>
        </w:rPr>
        <w:t xml:space="preserve">outlines a set of indicators known as </w:t>
      </w:r>
      <w:r w:rsidRPr="002A1C63">
        <w:rPr>
          <w:color w:val="000000" w:themeColor="text1"/>
        </w:rPr>
        <w:t>Socially Perceived Necessities</w:t>
      </w:r>
      <w:r w:rsidR="009C48FA" w:rsidRPr="002A1C63">
        <w:rPr>
          <w:color w:val="000000" w:themeColor="text1"/>
        </w:rPr>
        <w:t xml:space="preserve"> (SPN)</w:t>
      </w:r>
      <w:r w:rsidR="00964555">
        <w:rPr>
          <w:color w:val="000000" w:themeColor="text1"/>
        </w:rPr>
        <w:t>.</w:t>
      </w:r>
      <w:r w:rsidR="00964555" w:rsidRPr="00964555">
        <w:rPr>
          <w:color w:val="000000" w:themeColor="text1"/>
        </w:rPr>
        <w:t xml:space="preserve"> </w:t>
      </w:r>
      <w:r w:rsidR="00964555">
        <w:rPr>
          <w:color w:val="000000" w:themeColor="text1"/>
        </w:rPr>
        <w:t xml:space="preserve">The SPNs are used to identify a </w:t>
      </w:r>
      <w:r w:rsidR="00964555" w:rsidRPr="006A0DC7">
        <w:rPr>
          <w:b/>
          <w:color w:val="000000" w:themeColor="text1"/>
        </w:rPr>
        <w:t>threshold of adequacy</w:t>
      </w:r>
      <w:r w:rsidR="00964555" w:rsidRPr="00E4545F">
        <w:rPr>
          <w:color w:val="000000" w:themeColor="text1"/>
        </w:rPr>
        <w:t xml:space="preserve">, rather than a long list of necessities. </w:t>
      </w:r>
      <w:r w:rsidR="00964555" w:rsidRPr="00E4545F">
        <w:rPr>
          <w:color w:val="000000" w:themeColor="text1"/>
        </w:rPr>
        <w:lastRenderedPageBreak/>
        <w:t>Such an approach moves away from establishing</w:t>
      </w:r>
      <w:bookmarkStart w:id="0" w:name="_GoBack"/>
      <w:bookmarkEnd w:id="0"/>
      <w:r w:rsidR="00964555" w:rsidRPr="00E4545F">
        <w:rPr>
          <w:color w:val="000000" w:themeColor="text1"/>
        </w:rPr>
        <w:t xml:space="preserve"> the quality and quantity of a finite basket of goods and services.</w:t>
      </w:r>
    </w:p>
    <w:p w:rsidR="00964555" w:rsidRPr="00964555" w:rsidRDefault="00964555" w:rsidP="00964555">
      <w:pPr>
        <w:pStyle w:val="ListParagraph"/>
        <w:rPr>
          <w:color w:val="000000" w:themeColor="text1"/>
        </w:rPr>
      </w:pPr>
    </w:p>
    <w:p w:rsidR="00924EC0" w:rsidRDefault="00924EC0" w:rsidP="00924EC0">
      <w:pPr>
        <w:pStyle w:val="ListParagraph"/>
        <w:numPr>
          <w:ilvl w:val="0"/>
          <w:numId w:val="24"/>
        </w:numPr>
        <w:spacing w:line="276" w:lineRule="auto"/>
        <w:jc w:val="both"/>
        <w:rPr>
          <w:color w:val="000000" w:themeColor="text1"/>
        </w:rPr>
      </w:pPr>
      <w:r w:rsidRPr="006A0DC7">
        <w:rPr>
          <w:color w:val="000000" w:themeColor="text1"/>
        </w:rPr>
        <w:t xml:space="preserve">The DSL aims to move away from </w:t>
      </w:r>
      <w:r w:rsidR="00B72050">
        <w:rPr>
          <w:color w:val="000000" w:themeColor="text1"/>
        </w:rPr>
        <w:t xml:space="preserve">survivalist poverty measures used by </w:t>
      </w:r>
      <w:r w:rsidR="00F80122" w:rsidRPr="00924EC0">
        <w:rPr>
          <w:color w:val="000000" w:themeColor="text1"/>
        </w:rPr>
        <w:t xml:space="preserve">Statistics South Africa’s </w:t>
      </w:r>
      <w:r w:rsidR="00F80122">
        <w:rPr>
          <w:color w:val="000000" w:themeColor="text1"/>
        </w:rPr>
        <w:t>(</w:t>
      </w:r>
      <w:proofErr w:type="spellStart"/>
      <w:r w:rsidR="00B72050">
        <w:rPr>
          <w:color w:val="000000" w:themeColor="text1"/>
        </w:rPr>
        <w:t>StatsSA</w:t>
      </w:r>
      <w:proofErr w:type="spellEnd"/>
      <w:r w:rsidR="00F80122">
        <w:rPr>
          <w:color w:val="000000" w:themeColor="text1"/>
        </w:rPr>
        <w:t xml:space="preserve">): </w:t>
      </w:r>
      <w:r w:rsidR="00B72050">
        <w:rPr>
          <w:color w:val="000000" w:themeColor="text1"/>
        </w:rPr>
        <w:t>the Food Poverty Line and the Lower and Upper Bound Poverty Lines</w:t>
      </w:r>
      <w:r w:rsidRPr="006A0DC7">
        <w:rPr>
          <w:color w:val="000000" w:themeColor="text1"/>
        </w:rPr>
        <w:t xml:space="preserve">. The DSL presents human centred values </w:t>
      </w:r>
      <w:r>
        <w:rPr>
          <w:color w:val="000000" w:themeColor="text1"/>
        </w:rPr>
        <w:t>by looking</w:t>
      </w:r>
      <w:r w:rsidRPr="002A1C63">
        <w:rPr>
          <w:color w:val="000000" w:themeColor="text1"/>
        </w:rPr>
        <w:t xml:space="preserve"> at different ways people acquire SPNs</w:t>
      </w:r>
      <w:r>
        <w:rPr>
          <w:color w:val="000000" w:themeColor="text1"/>
        </w:rPr>
        <w:t>. The</w:t>
      </w:r>
      <w:r w:rsidR="00120938">
        <w:rPr>
          <w:color w:val="000000" w:themeColor="text1"/>
        </w:rPr>
        <w:t xml:space="preserve"> SPNs are grouped into</w:t>
      </w:r>
      <w:r>
        <w:rPr>
          <w:color w:val="000000" w:themeColor="text1"/>
        </w:rPr>
        <w:t xml:space="preserve"> three broad categories</w:t>
      </w:r>
      <w:r w:rsidR="00120938">
        <w:rPr>
          <w:color w:val="000000" w:themeColor="text1"/>
        </w:rPr>
        <w:t xml:space="preserve"> </w:t>
      </w:r>
      <w:r>
        <w:rPr>
          <w:color w:val="000000" w:themeColor="text1"/>
        </w:rPr>
        <w:t xml:space="preserve">of acquisition </w:t>
      </w:r>
      <w:r w:rsidR="00120938">
        <w:rPr>
          <w:color w:val="000000" w:themeColor="text1"/>
        </w:rPr>
        <w:t xml:space="preserve">namely, </w:t>
      </w:r>
      <w:r>
        <w:rPr>
          <w:color w:val="000000" w:themeColor="text1"/>
        </w:rPr>
        <w:t>social networks, social wage, and through commodities.</w:t>
      </w:r>
      <w:r>
        <w:rPr>
          <w:rStyle w:val="FootnoteReference"/>
          <w:color w:val="000000" w:themeColor="text1"/>
        </w:rPr>
        <w:footnoteReference w:id="15"/>
      </w:r>
      <w:r>
        <w:rPr>
          <w:color w:val="000000" w:themeColor="text1"/>
        </w:rPr>
        <w:t xml:space="preserve"> Examples would be:</w:t>
      </w:r>
      <w:r w:rsidRPr="006A0DC7">
        <w:rPr>
          <w:color w:val="000000" w:themeColor="text1"/>
        </w:rPr>
        <w:t xml:space="preserve"> does one have mains electricity in the house, a flush toilet and a fridge? Do you have tarred roads close to the house and street lighting? Do you live in a neighbourhood without rubbish in the streets? etc. </w:t>
      </w:r>
    </w:p>
    <w:p w:rsidR="00924EC0" w:rsidRPr="00924EC0" w:rsidRDefault="00924EC0" w:rsidP="00924EC0">
      <w:pPr>
        <w:tabs>
          <w:tab w:val="center" w:pos="4510"/>
        </w:tabs>
        <w:spacing w:line="276" w:lineRule="auto"/>
        <w:ind w:left="360"/>
        <w:jc w:val="both"/>
        <w:rPr>
          <w:color w:val="000000" w:themeColor="text1"/>
        </w:rPr>
      </w:pPr>
    </w:p>
    <w:p w:rsidR="00C32F30" w:rsidRDefault="00924EC0" w:rsidP="00C32F30">
      <w:pPr>
        <w:pStyle w:val="ListParagraph"/>
        <w:numPr>
          <w:ilvl w:val="0"/>
          <w:numId w:val="24"/>
        </w:numPr>
        <w:tabs>
          <w:tab w:val="center" w:pos="4510"/>
        </w:tabs>
        <w:spacing w:line="276" w:lineRule="auto"/>
        <w:jc w:val="both"/>
        <w:rPr>
          <w:color w:val="000000" w:themeColor="text1"/>
        </w:rPr>
      </w:pPr>
      <w:r>
        <w:rPr>
          <w:color w:val="000000" w:themeColor="text1"/>
        </w:rPr>
        <w:t>T</w:t>
      </w:r>
      <w:r w:rsidR="002B7398" w:rsidRPr="002A1C63">
        <w:rPr>
          <w:color w:val="000000" w:themeColor="text1"/>
        </w:rPr>
        <w:t xml:space="preserve">here is a high level of agreement around a set of indicators </w:t>
      </w:r>
      <w:r w:rsidR="00120938">
        <w:rPr>
          <w:color w:val="000000" w:themeColor="text1"/>
        </w:rPr>
        <w:t xml:space="preserve">- </w:t>
      </w:r>
      <w:r w:rsidR="002B7398" w:rsidRPr="002A1C63">
        <w:rPr>
          <w:color w:val="000000" w:themeColor="text1"/>
        </w:rPr>
        <w:t xml:space="preserve">SPNs across various population groups, gender, income brackets, and area type. </w:t>
      </w:r>
      <w:r>
        <w:rPr>
          <w:color w:val="000000" w:themeColor="text1"/>
        </w:rPr>
        <w:t>So much so that t</w:t>
      </w:r>
      <w:r w:rsidR="00815A8B" w:rsidRPr="00924EC0">
        <w:rPr>
          <w:color w:val="000000" w:themeColor="text1"/>
        </w:rPr>
        <w:t>he SPNs have</w:t>
      </w:r>
      <w:r w:rsidR="003F2A30" w:rsidRPr="00924EC0">
        <w:rPr>
          <w:color w:val="000000" w:themeColor="text1"/>
        </w:rPr>
        <w:t xml:space="preserve"> been incorporated into</w:t>
      </w:r>
      <w:r w:rsidR="00815A8B" w:rsidRPr="00924EC0">
        <w:rPr>
          <w:color w:val="000000" w:themeColor="text1"/>
        </w:rPr>
        <w:t xml:space="preserve"> </w:t>
      </w:r>
      <w:r w:rsidR="003F2A30" w:rsidRPr="00924EC0">
        <w:rPr>
          <w:color w:val="000000" w:themeColor="text1"/>
        </w:rPr>
        <w:t>Stats SA</w:t>
      </w:r>
      <w:r w:rsidR="00F80122">
        <w:rPr>
          <w:color w:val="000000" w:themeColor="text1"/>
        </w:rPr>
        <w:t xml:space="preserve">’s </w:t>
      </w:r>
      <w:r w:rsidR="003F2A30" w:rsidRPr="00924EC0">
        <w:rPr>
          <w:color w:val="000000" w:themeColor="text1"/>
        </w:rPr>
        <w:t>Living Conditions Survey (LCS) 2008/09 and LCS 2014/15</w:t>
      </w:r>
      <w:r w:rsidR="003F2A30" w:rsidRPr="002A1C63">
        <w:rPr>
          <w:rStyle w:val="FootnoteReference"/>
          <w:color w:val="000000" w:themeColor="text1"/>
        </w:rPr>
        <w:footnoteReference w:id="16"/>
      </w:r>
      <w:r w:rsidR="003F2A30" w:rsidRPr="00924EC0">
        <w:rPr>
          <w:color w:val="000000" w:themeColor="text1"/>
        </w:rPr>
        <w:t xml:space="preserve"> to measure </w:t>
      </w:r>
      <w:r w:rsidR="00F80122">
        <w:rPr>
          <w:color w:val="000000" w:themeColor="text1"/>
        </w:rPr>
        <w:t xml:space="preserve">enjoyment </w:t>
      </w:r>
      <w:r w:rsidR="003F2A30" w:rsidRPr="00924EC0">
        <w:rPr>
          <w:color w:val="000000" w:themeColor="text1"/>
        </w:rPr>
        <w:t xml:space="preserve">of the SPNs across South Africa. </w:t>
      </w:r>
      <w:r>
        <w:rPr>
          <w:rStyle w:val="FootnoteReference"/>
          <w:color w:val="000000" w:themeColor="text1"/>
        </w:rPr>
        <w:footnoteReference w:id="17"/>
      </w:r>
      <w:r w:rsidR="00C32F30">
        <w:rPr>
          <w:color w:val="000000" w:themeColor="text1"/>
        </w:rPr>
        <w:t>.</w:t>
      </w:r>
    </w:p>
    <w:p w:rsidR="00C32F30" w:rsidRPr="00C32F30" w:rsidRDefault="00C32F30" w:rsidP="00C32F30">
      <w:pPr>
        <w:pStyle w:val="ListParagraph"/>
        <w:rPr>
          <w:color w:val="000000" w:themeColor="text1"/>
        </w:rPr>
      </w:pPr>
    </w:p>
    <w:p w:rsidR="00924EC0" w:rsidRPr="00C32F30" w:rsidRDefault="00B72050" w:rsidP="00C32F30">
      <w:pPr>
        <w:pStyle w:val="ListParagraph"/>
        <w:numPr>
          <w:ilvl w:val="0"/>
          <w:numId w:val="24"/>
        </w:numPr>
        <w:tabs>
          <w:tab w:val="center" w:pos="4510"/>
        </w:tabs>
        <w:spacing w:line="276" w:lineRule="auto"/>
        <w:jc w:val="both"/>
        <w:rPr>
          <w:color w:val="000000" w:themeColor="text1"/>
        </w:rPr>
      </w:pPr>
      <w:r w:rsidRPr="00C32F30">
        <w:rPr>
          <w:color w:val="000000" w:themeColor="text1"/>
        </w:rPr>
        <w:t>The</w:t>
      </w:r>
      <w:r w:rsidR="00924EC0" w:rsidRPr="00C32F30">
        <w:rPr>
          <w:color w:val="000000" w:themeColor="text1"/>
        </w:rPr>
        <w:t xml:space="preserve"> DS</w:t>
      </w:r>
      <w:r w:rsidR="00680521" w:rsidRPr="00C32F30">
        <w:rPr>
          <w:color w:val="000000" w:themeColor="text1"/>
        </w:rPr>
        <w:t>L</w:t>
      </w:r>
      <w:r w:rsidR="00924EC0" w:rsidRPr="00C32F30">
        <w:rPr>
          <w:color w:val="000000" w:themeColor="text1"/>
        </w:rPr>
        <w:t xml:space="preserve"> goes beyond existing </w:t>
      </w:r>
      <w:r w:rsidRPr="00C32F30">
        <w:rPr>
          <w:color w:val="000000" w:themeColor="text1"/>
        </w:rPr>
        <w:t>survivalist</w:t>
      </w:r>
      <w:r w:rsidR="00924EC0" w:rsidRPr="00C32F30">
        <w:rPr>
          <w:color w:val="000000" w:themeColor="text1"/>
        </w:rPr>
        <w:t xml:space="preserve"> poverty indicators by comprehensively addressing living conditions and the means for citizens to actively participate</w:t>
      </w:r>
      <w:r w:rsidR="00F80122" w:rsidRPr="00C32F30">
        <w:rPr>
          <w:color w:val="000000" w:themeColor="text1"/>
        </w:rPr>
        <w:t xml:space="preserve"> in society.</w:t>
      </w:r>
      <w:r w:rsidR="00924EC0" w:rsidRPr="00C32F30">
        <w:rPr>
          <w:color w:val="000000" w:themeColor="text1"/>
        </w:rPr>
        <w:t xml:space="preserve"> </w:t>
      </w:r>
      <w:r w:rsidR="00F80122" w:rsidRPr="00C32F30">
        <w:rPr>
          <w:color w:val="000000" w:themeColor="text1"/>
        </w:rPr>
        <w:t>It should</w:t>
      </w:r>
      <w:r w:rsidR="00924EC0" w:rsidRPr="00C32F30">
        <w:rPr>
          <w:color w:val="000000" w:themeColor="text1"/>
        </w:rPr>
        <w:t xml:space="preserve"> be adopted by </w:t>
      </w:r>
      <w:r w:rsidR="00F80122" w:rsidRPr="00C32F30">
        <w:rPr>
          <w:color w:val="000000" w:themeColor="text1"/>
        </w:rPr>
        <w:t xml:space="preserve">the </w:t>
      </w:r>
      <w:r w:rsidR="00924EC0" w:rsidRPr="00C32F30">
        <w:rPr>
          <w:color w:val="000000" w:themeColor="text1"/>
        </w:rPr>
        <w:t>South Africa</w:t>
      </w:r>
      <w:r w:rsidR="00F80122" w:rsidRPr="00C32F30">
        <w:rPr>
          <w:color w:val="000000" w:themeColor="text1"/>
        </w:rPr>
        <w:t xml:space="preserve"> government</w:t>
      </w:r>
      <w:r w:rsidR="00924EC0" w:rsidRPr="00C32F30">
        <w:rPr>
          <w:color w:val="000000" w:themeColor="text1"/>
        </w:rPr>
        <w:t>.</w:t>
      </w:r>
      <w:r w:rsidR="00924EC0" w:rsidRPr="00C32F30">
        <w:rPr>
          <w:rStyle w:val="FootnoteReference"/>
          <w:color w:val="000000" w:themeColor="text1"/>
        </w:rPr>
        <w:t xml:space="preserve"> </w:t>
      </w:r>
      <w:r w:rsidR="00924EC0" w:rsidRPr="002A1C63">
        <w:rPr>
          <w:rStyle w:val="FootnoteReference"/>
          <w:color w:val="000000" w:themeColor="text1"/>
        </w:rPr>
        <w:footnoteReference w:id="18"/>
      </w:r>
      <w:r w:rsidR="00924EC0" w:rsidRPr="00C32F30">
        <w:rPr>
          <w:color w:val="000000" w:themeColor="text1"/>
        </w:rPr>
        <w:t xml:space="preserve"> </w:t>
      </w:r>
      <w:r w:rsidR="00F80122" w:rsidRPr="00C32F30">
        <w:rPr>
          <w:color w:val="000000" w:themeColor="text1"/>
        </w:rPr>
        <w:t>T</w:t>
      </w:r>
      <w:r w:rsidRPr="00C32F30">
        <w:rPr>
          <w:color w:val="000000" w:themeColor="text1"/>
        </w:rPr>
        <w:t xml:space="preserve">he requirements of the CESCR </w:t>
      </w:r>
      <w:r w:rsidR="00F80122" w:rsidRPr="00C32F30">
        <w:rPr>
          <w:color w:val="000000" w:themeColor="text1"/>
        </w:rPr>
        <w:t>would be</w:t>
      </w:r>
      <w:r w:rsidRPr="00C32F30">
        <w:rPr>
          <w:color w:val="000000" w:themeColor="text1"/>
        </w:rPr>
        <w:t xml:space="preserve"> comprehensively met in the use of this standard and the Index that has been created to provide the annual increase using the weighted budgets.</w:t>
      </w:r>
    </w:p>
    <w:p w:rsidR="00A9268D" w:rsidRPr="002A1C63" w:rsidRDefault="00A9268D" w:rsidP="002A1C63">
      <w:pPr>
        <w:spacing w:beforeAutospacing="1" w:afterAutospacing="1" w:line="276" w:lineRule="auto"/>
        <w:jc w:val="both"/>
        <w:rPr>
          <w:b/>
        </w:rPr>
      </w:pPr>
      <w:r w:rsidRPr="002A1C63">
        <w:rPr>
          <w:b/>
        </w:rPr>
        <w:t>Recommendations</w:t>
      </w:r>
      <w:r w:rsidR="00DB44A8" w:rsidRPr="002A1C63">
        <w:rPr>
          <w:b/>
        </w:rPr>
        <w:t>:</w:t>
      </w:r>
    </w:p>
    <w:p w:rsidR="00713A3F" w:rsidRPr="002A1C63" w:rsidRDefault="00455360" w:rsidP="002A1C63">
      <w:pPr>
        <w:pStyle w:val="ListParagraph"/>
        <w:numPr>
          <w:ilvl w:val="0"/>
          <w:numId w:val="7"/>
        </w:numPr>
        <w:spacing w:line="276" w:lineRule="auto"/>
        <w:jc w:val="both"/>
      </w:pPr>
      <w:r w:rsidRPr="002A1C63">
        <w:t>CPI fails to provide any kind of budget reference for an adequate standard of living. It is merely a measure of price movement in any given time period.</w:t>
      </w:r>
    </w:p>
    <w:p w:rsidR="00DF140A" w:rsidRPr="002A1C63" w:rsidRDefault="00680521" w:rsidP="002A1C63">
      <w:pPr>
        <w:pStyle w:val="ListParagraph"/>
        <w:spacing w:line="276" w:lineRule="auto"/>
        <w:ind w:left="1440"/>
        <w:jc w:val="both"/>
      </w:pPr>
      <w:r>
        <w:t>W</w:t>
      </w:r>
      <w:r w:rsidR="00F80122">
        <w:t>hereas</w:t>
      </w:r>
      <w:r>
        <w:t xml:space="preserve"> t</w:t>
      </w:r>
      <w:r w:rsidR="00455360" w:rsidRPr="002A1C63">
        <w:t>he DSL</w:t>
      </w:r>
      <w:r w:rsidR="00F80122">
        <w:t xml:space="preserve"> </w:t>
      </w:r>
      <w:r w:rsidR="00455360" w:rsidRPr="002A1C63">
        <w:t xml:space="preserve">is already referenced by the </w:t>
      </w:r>
      <w:r w:rsidR="00F80122" w:rsidRPr="002A1C63">
        <w:t>Department of Social Development</w:t>
      </w:r>
      <w:r w:rsidR="00F80122">
        <w:t xml:space="preserve"> (</w:t>
      </w:r>
      <w:r w:rsidR="00455360" w:rsidRPr="002A1C63">
        <w:t>DSD</w:t>
      </w:r>
      <w:r w:rsidR="00F80122">
        <w:t>)</w:t>
      </w:r>
      <w:r w:rsidR="00455360" w:rsidRPr="002A1C63">
        <w:t xml:space="preserve"> in its annual setting of social grant increases and is also referenced in the recently published Green Paper on Comprehensive Social Security and Retirement Reform in the setting of a possible Basic Income Grant</w:t>
      </w:r>
      <w:r w:rsidR="00455360" w:rsidRPr="002A1C63">
        <w:rPr>
          <w:rStyle w:val="FootnoteReference"/>
        </w:rPr>
        <w:footnoteReference w:id="19"/>
      </w:r>
      <w:r w:rsidR="00455360" w:rsidRPr="002A1C63">
        <w:t>.</w:t>
      </w:r>
      <w:r w:rsidR="00CB0366" w:rsidRPr="002A1C63">
        <w:t xml:space="preserve"> It is also currently being considered by the National Minimum Wage Commission as constituting an aspirational standard for future wage increases.</w:t>
      </w:r>
    </w:p>
    <w:p w:rsidR="00CB0366" w:rsidRPr="002A1C63" w:rsidRDefault="00CB0366" w:rsidP="002A1C63">
      <w:pPr>
        <w:pStyle w:val="ListParagraph"/>
        <w:spacing w:line="276" w:lineRule="auto"/>
        <w:ind w:left="1440"/>
        <w:jc w:val="both"/>
      </w:pPr>
    </w:p>
    <w:p w:rsidR="00CB0366" w:rsidRDefault="00B72050" w:rsidP="002A1C63">
      <w:pPr>
        <w:pStyle w:val="ListParagraph"/>
        <w:spacing w:line="276" w:lineRule="auto"/>
        <w:ind w:left="1440"/>
        <w:jc w:val="both"/>
      </w:pPr>
      <w:r>
        <w:lastRenderedPageBreak/>
        <w:t xml:space="preserve">We recommend that South Africa </w:t>
      </w:r>
      <w:r w:rsidR="00CB0366" w:rsidRPr="002A1C63">
        <w:t xml:space="preserve"> formally adopt the </w:t>
      </w:r>
      <w:r>
        <w:t>Decent Standard of Living</w:t>
      </w:r>
      <w:r w:rsidR="00CB0366" w:rsidRPr="002A1C63">
        <w:t>, and the use of the DSL Index to provide an annual increase to the Standard</w:t>
      </w:r>
      <w:r w:rsidR="00680521">
        <w:t xml:space="preserve"> of living for all its citizens</w:t>
      </w:r>
      <w:r w:rsidR="00CB0366" w:rsidRPr="002A1C63">
        <w:t>.</w:t>
      </w:r>
    </w:p>
    <w:p w:rsidR="00C87DCA" w:rsidRDefault="00C87DCA" w:rsidP="002A1C63">
      <w:pPr>
        <w:pStyle w:val="ListParagraph"/>
        <w:spacing w:line="276" w:lineRule="auto"/>
        <w:ind w:left="1440"/>
        <w:jc w:val="both"/>
      </w:pPr>
    </w:p>
    <w:p w:rsidR="00C87DCA" w:rsidRPr="002A1C63" w:rsidRDefault="00C87DCA" w:rsidP="00C87DCA">
      <w:pPr>
        <w:pStyle w:val="ListParagraph"/>
        <w:numPr>
          <w:ilvl w:val="0"/>
          <w:numId w:val="7"/>
        </w:numPr>
        <w:spacing w:line="276" w:lineRule="auto"/>
        <w:jc w:val="both"/>
      </w:pPr>
      <w:r>
        <w:t xml:space="preserve">We would also recommend that South Africa </w:t>
      </w:r>
      <w:r w:rsidRPr="00C87DCA">
        <w:t>undertake a sufficiently participatory process via community-based groups and direct engagement with those who have the least access to social services in having a say in the design of a new composite index</w:t>
      </w:r>
      <w:r>
        <w:t xml:space="preserve">. </w:t>
      </w:r>
      <w:r w:rsidRPr="00C87DCA">
        <w:t xml:space="preserve">Such participation </w:t>
      </w:r>
      <w:r>
        <w:t>will allow the index to r</w:t>
      </w:r>
      <w:r w:rsidRPr="00C87DCA">
        <w:t>eflect the lived experiences of marginali</w:t>
      </w:r>
      <w:r>
        <w:t>s</w:t>
      </w:r>
      <w:r w:rsidRPr="00C87DCA">
        <w:t>ed groups such as LGBTQ+ individuals, wom</w:t>
      </w:r>
      <w:r>
        <w:t>a</w:t>
      </w:r>
      <w:r w:rsidRPr="00C87DCA">
        <w:t>n, people with disabilities etc.</w:t>
      </w:r>
    </w:p>
    <w:p w:rsidR="00263277" w:rsidRDefault="00263277" w:rsidP="00263277"/>
    <w:p w:rsidR="00263277" w:rsidRDefault="00263277" w:rsidP="00367B27">
      <w:pPr>
        <w:pStyle w:val="ListParagraph"/>
        <w:ind w:left="1440"/>
      </w:pPr>
    </w:p>
    <w:sectPr w:rsidR="00263277" w:rsidSect="00C32F30">
      <w:pgSz w:w="11900" w:h="16840"/>
      <w:pgMar w:top="1440" w:right="1440" w:bottom="1440" w:left="1440" w:header="708" w:footer="708" w:gutter="0"/>
      <w:pgNumType w:start="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D604D2" w16cex:dateUtc="2021-08-29T17:06:00Z"/>
  <w16cex:commentExtensible w16cex:durableId="24D3903E" w16cex:dateUtc="2021-08-27T14:24:00Z"/>
  <w16cex:commentExtensible w16cex:durableId="24D60208" w16cex:dateUtc="2021-08-29T16:54:00Z"/>
  <w16cex:commentExtensible w16cex:durableId="24D602AC" w16cex:dateUtc="2021-08-29T16:57:00Z"/>
  <w16cex:commentExtensible w16cex:durableId="24D605E3" w16cex:dateUtc="2021-08-29T17:10:00Z"/>
  <w16cex:commentExtensible w16cex:durableId="24D6024E" w16cex:dateUtc="2021-08-29T16:55:00Z"/>
  <w16cex:commentExtensible w16cex:durableId="24D6035F" w16cex:dateUtc="2021-08-29T17:00:00Z"/>
  <w16cex:commentExtensible w16cex:durableId="24D60435" w16cex:dateUtc="2021-08-29T17:03:00Z"/>
  <w16cex:commentExtensible w16cex:durableId="24D3923C" w16cex:dateUtc="2021-08-27T14:3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D5F" w:rsidRDefault="00617D5F" w:rsidP="003A33C6">
      <w:r>
        <w:separator/>
      </w:r>
    </w:p>
  </w:endnote>
  <w:endnote w:type="continuationSeparator" w:id="0">
    <w:p w:rsidR="00617D5F" w:rsidRDefault="00617D5F" w:rsidP="003A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altName w:val="Arial"/>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D5F" w:rsidRDefault="00617D5F" w:rsidP="003A33C6">
      <w:r>
        <w:separator/>
      </w:r>
    </w:p>
  </w:footnote>
  <w:footnote w:type="continuationSeparator" w:id="0">
    <w:p w:rsidR="00617D5F" w:rsidRDefault="00617D5F" w:rsidP="003A33C6">
      <w:r>
        <w:continuationSeparator/>
      </w:r>
    </w:p>
  </w:footnote>
  <w:footnote w:id="1">
    <w:p w:rsidR="00AD653B" w:rsidRPr="00C87DCA" w:rsidRDefault="00AD653B" w:rsidP="00AD653B">
      <w:pPr>
        <w:pStyle w:val="FootnoteText"/>
      </w:pPr>
      <w:r w:rsidRPr="001E4821">
        <w:rPr>
          <w:rStyle w:val="FootnoteReference"/>
          <w:rFonts w:ascii="Arial" w:hAnsi="Arial" w:cs="Arial"/>
        </w:rPr>
        <w:footnoteRef/>
      </w:r>
      <w:r w:rsidRPr="001E4821">
        <w:rPr>
          <w:rFonts w:ascii="Arial" w:hAnsi="Arial" w:cs="Arial"/>
        </w:rPr>
        <w:t xml:space="preserve"> </w:t>
      </w:r>
      <w:r w:rsidRPr="00C87DCA">
        <w:t>UN CESCR, Concluding observations on the initial report of South Africa</w:t>
      </w:r>
      <w:r w:rsidR="00894084" w:rsidRPr="00C87DCA">
        <w:t xml:space="preserve"> (November 2018), UN Doc No. E/C.12/ZAF/CO/1, para. 47, available at; </w:t>
      </w:r>
      <w:hyperlink r:id="rId1" w:history="1">
        <w:r w:rsidR="00894084" w:rsidRPr="00C87DCA">
          <w:rPr>
            <w:rStyle w:val="Hyperlink"/>
          </w:rPr>
          <w:t>https://undocs.org/en/E/C.12/ZAF/CO/1</w:t>
        </w:r>
      </w:hyperlink>
      <w:r w:rsidR="00894084" w:rsidRPr="00C87DCA">
        <w:t xml:space="preserve"> </w:t>
      </w:r>
    </w:p>
  </w:footnote>
  <w:footnote w:id="2">
    <w:p w:rsidR="004B1756" w:rsidRPr="00C87DCA" w:rsidRDefault="004B1756" w:rsidP="008909A6">
      <w:pPr>
        <w:pStyle w:val="NormalWeb"/>
        <w:spacing w:before="0" w:beforeAutospacing="0" w:after="0" w:afterAutospacing="0"/>
        <w:contextualSpacing/>
        <w:jc w:val="both"/>
        <w:rPr>
          <w:sz w:val="20"/>
          <w:szCs w:val="20"/>
        </w:rPr>
      </w:pPr>
      <w:r w:rsidRPr="00C87DCA">
        <w:rPr>
          <w:rStyle w:val="FootnoteReference"/>
          <w:sz w:val="20"/>
          <w:szCs w:val="20"/>
        </w:rPr>
        <w:footnoteRef/>
      </w:r>
      <w:r w:rsidRPr="00C87DCA">
        <w:rPr>
          <w:sz w:val="20"/>
          <w:szCs w:val="20"/>
        </w:rPr>
        <w:t xml:space="preserve"> The Constitution of the Republic of South Africa, Act No. 108 of 1996, (SA Constitution), chapter 2, available at: http://www.justice.gov.za/legislation/constitution/SAConstitution-web-eng.pdf. </w:t>
      </w:r>
    </w:p>
  </w:footnote>
  <w:footnote w:id="3">
    <w:p w:rsidR="009D4EF4" w:rsidRPr="00C87DCA" w:rsidRDefault="009D4EF4">
      <w:pPr>
        <w:pStyle w:val="FootnoteText"/>
      </w:pPr>
      <w:r w:rsidRPr="00C87DCA">
        <w:rPr>
          <w:rStyle w:val="FootnoteReference"/>
        </w:rPr>
        <w:footnoteRef/>
      </w:r>
      <w:r w:rsidRPr="00C87DCA">
        <w:t xml:space="preserve"> Section 7(2) of the Constitution of the Republic of South Africa.</w:t>
      </w:r>
    </w:p>
  </w:footnote>
  <w:footnote w:id="4">
    <w:p w:rsidR="00F65D6D" w:rsidRPr="00F65D6D" w:rsidRDefault="00F65D6D" w:rsidP="00F65D6D">
      <w:pPr>
        <w:pStyle w:val="FootnoteText"/>
      </w:pPr>
      <w:r w:rsidRPr="00C87DCA">
        <w:rPr>
          <w:rStyle w:val="FootnoteReference"/>
        </w:rPr>
        <w:footnoteRef/>
      </w:r>
      <w:r w:rsidRPr="00C87DCA">
        <w:t xml:space="preserve"> See for example the Con Court’s decision in Mahlangu v Minister of Labour: </w:t>
      </w:r>
      <w:hyperlink r:id="rId2" w:history="1">
        <w:r w:rsidRPr="00C87DCA">
          <w:rPr>
            <w:rStyle w:val="Hyperlink"/>
          </w:rPr>
          <w:t>http://www.saflii.org/cgi-bin/sinosrch-adw.cgi?query=Mahlangu+v+Minister+of+Labour&amp;submit=Search</w:t>
        </w:r>
      </w:hyperlink>
      <w:r w:rsidRPr="00C87DCA">
        <w:t xml:space="preserve">. Also see In Tshwane City v </w:t>
      </w:r>
      <w:proofErr w:type="spellStart"/>
      <w:r w:rsidRPr="00C87DCA">
        <w:t>Afriforum</w:t>
      </w:r>
      <w:proofErr w:type="spellEnd"/>
      <w:r w:rsidRPr="00C87DCA">
        <w:t xml:space="preserve"> [2016] ZACC 19; 2016 (6) SA 279 (CC); 2016 (9) BCLR 1133 (CC) at para 8 this Court remarked on this obligation as follows:“</w:t>
      </w:r>
      <w:r w:rsidR="00ED469F">
        <w:t xml:space="preserve"> </w:t>
      </w:r>
      <w:r w:rsidRPr="00C87DCA">
        <w:t>As a people who were not only acutely divided but were also at war with themselves primarily on the basis of race, one of several self-imposed obligations is healing the divisions of the past.  The effects of the system of racial, ethnic and tribal stratification of the past must thus be destroyed and buried permanently.  But the healing process will not even begin until we all make an effort to connect with the profound benefits of change.  We also need to take steps to breathe life into the underlying philosophy and constitutional vision we have crafted for our collective good and for the good of posterity.”</w:t>
      </w:r>
    </w:p>
  </w:footnote>
  <w:footnote w:id="5">
    <w:p w:rsidR="00F65D6D" w:rsidRPr="00C87DCA" w:rsidRDefault="00F65D6D" w:rsidP="00F65D6D">
      <w:pPr>
        <w:pStyle w:val="CommentText"/>
      </w:pPr>
      <w:r>
        <w:rPr>
          <w:rStyle w:val="FootnoteReference"/>
        </w:rPr>
        <w:footnoteRef/>
      </w:r>
      <w:r>
        <w:t xml:space="preserve"> </w:t>
      </w:r>
      <w:r w:rsidRPr="00C87DCA">
        <w:t xml:space="preserve">and See also Victor AJ’s elaboration on substantive equality and ubuntu in her concurring judgment in King N.O. v De Jager: </w:t>
      </w:r>
      <w:hyperlink r:id="rId3" w:history="1">
        <w:r w:rsidRPr="00C87DCA">
          <w:rPr>
            <w:rStyle w:val="Hyperlink"/>
          </w:rPr>
          <w:t>http://www.saflii.org/cgi-bin/disp.pl?file=za/cases/ZACC/2021/4.html&amp;query=King</w:t>
        </w:r>
      </w:hyperlink>
      <w:r w:rsidRPr="00C87DCA">
        <w:rPr>
          <w:rStyle w:val="Hyperlink"/>
        </w:rPr>
        <w:t xml:space="preserve">. </w:t>
      </w:r>
    </w:p>
    <w:p w:rsidR="00F65D6D" w:rsidRPr="00C87DCA" w:rsidRDefault="00F65D6D">
      <w:pPr>
        <w:pStyle w:val="FootnoteText"/>
        <w:rPr>
          <w:lang w:val="en-US"/>
        </w:rPr>
      </w:pPr>
    </w:p>
  </w:footnote>
  <w:footnote w:id="6">
    <w:p w:rsidR="001E4821" w:rsidRPr="00C87DCA" w:rsidRDefault="001E4821">
      <w:pPr>
        <w:pStyle w:val="FootnoteText"/>
        <w:rPr>
          <w:lang w:val="en-US"/>
        </w:rPr>
      </w:pPr>
      <w:r w:rsidRPr="00C87DCA">
        <w:rPr>
          <w:rStyle w:val="FootnoteReference"/>
        </w:rPr>
        <w:footnoteRef/>
      </w:r>
      <w:r w:rsidRPr="00C87DCA">
        <w:t xml:space="preserve"> Consideration of reports submitted by States parties under articles 16 and 17 of the International Covenant on Economic, Social and Cultural Rights, Initial reports of States parties due in 2017: South Africa (April 2017), UN DOC E/C.12/ZAF/1. Available at; </w:t>
      </w:r>
      <w:hyperlink r:id="rId4" w:history="1">
        <w:r w:rsidRPr="00C87DCA">
          <w:rPr>
            <w:rStyle w:val="Hyperlink"/>
          </w:rPr>
          <w:t>https://tbinternet.ohchr.org/_layouts/15/treatybodyexternal/Download.aspx?symbolno=E%2fC.12%2fZAF%2f1&amp;Lang=en</w:t>
        </w:r>
      </w:hyperlink>
      <w:r w:rsidRPr="00C87DCA">
        <w:t xml:space="preserve">  .</w:t>
      </w:r>
    </w:p>
  </w:footnote>
  <w:footnote w:id="7">
    <w:p w:rsidR="004B1756" w:rsidRPr="00C87DCA" w:rsidRDefault="004B1756" w:rsidP="008909A6">
      <w:pPr>
        <w:pStyle w:val="NormalWeb"/>
        <w:spacing w:before="0" w:beforeAutospacing="0" w:after="0" w:afterAutospacing="0"/>
        <w:contextualSpacing/>
        <w:jc w:val="both"/>
        <w:rPr>
          <w:sz w:val="20"/>
          <w:szCs w:val="20"/>
        </w:rPr>
      </w:pPr>
      <w:r w:rsidRPr="00C87DCA">
        <w:rPr>
          <w:rStyle w:val="FootnoteReference"/>
          <w:sz w:val="20"/>
          <w:szCs w:val="20"/>
        </w:rPr>
        <w:footnoteRef/>
      </w:r>
      <w:r w:rsidRPr="00C87DCA">
        <w:rPr>
          <w:sz w:val="20"/>
          <w:szCs w:val="20"/>
        </w:rPr>
        <w:t xml:space="preserve"> UN CESCR, </w:t>
      </w:r>
      <w:r w:rsidRPr="00C87DCA">
        <w:rPr>
          <w:i/>
          <w:iCs/>
          <w:sz w:val="20"/>
          <w:szCs w:val="20"/>
        </w:rPr>
        <w:t xml:space="preserve">Consideration of reports submitted by States parties under articles 16 and 17 of the International Covenant on Economic, Social and Cultural Rights: Initial reports of States parties due in 2017: South Africa </w:t>
      </w:r>
      <w:r w:rsidRPr="00C87DCA">
        <w:rPr>
          <w:sz w:val="20"/>
          <w:szCs w:val="20"/>
        </w:rPr>
        <w:t xml:space="preserve">(7 June 2017), UN Doc No. E/C.12/ZAF/1, para. 96, available at: https://tbinternet.ohchr.org/_layouts/treatybodyexternal/Download.aspx?symbolno=E%2fC.12%2fZAF%2f1&amp; Lang=en.  </w:t>
      </w:r>
    </w:p>
  </w:footnote>
  <w:footnote w:id="8">
    <w:p w:rsidR="00ED188F" w:rsidRPr="00C87DCA" w:rsidRDefault="00ED188F">
      <w:pPr>
        <w:pStyle w:val="FootnoteText"/>
        <w:rPr>
          <w:lang w:val="en-US"/>
        </w:rPr>
      </w:pPr>
      <w:r w:rsidRPr="00C87DCA">
        <w:rPr>
          <w:rStyle w:val="FootnoteReference"/>
        </w:rPr>
        <w:footnoteRef/>
      </w:r>
      <w:r w:rsidRPr="00C87DCA">
        <w:t xml:space="preserve"> National Development Plan 2030: Our future make it work (19 February 2013), </w:t>
      </w:r>
      <w:proofErr w:type="spellStart"/>
      <w:r w:rsidRPr="00C87DCA">
        <w:t>pg</w:t>
      </w:r>
      <w:proofErr w:type="spellEnd"/>
      <w:r w:rsidRPr="00C87DCA">
        <w:t xml:space="preserve"> 38, available at: </w:t>
      </w:r>
      <w:hyperlink r:id="rId5" w:history="1">
        <w:r w:rsidRPr="00C87DCA">
          <w:rPr>
            <w:rStyle w:val="Hyperlink"/>
          </w:rPr>
          <w:t>https://www.gov.za/sites/default/files/gcis_document/201409/ndp-2030-our-future-make-it-workr.pdf</w:t>
        </w:r>
      </w:hyperlink>
    </w:p>
  </w:footnote>
  <w:footnote w:id="9">
    <w:p w:rsidR="003917EC" w:rsidRPr="003917EC" w:rsidRDefault="003917EC">
      <w:pPr>
        <w:pStyle w:val="FootnoteText"/>
        <w:rPr>
          <w:lang w:val="en-US"/>
        </w:rPr>
      </w:pPr>
      <w:r w:rsidRPr="00C87DCA">
        <w:rPr>
          <w:rStyle w:val="FootnoteReference"/>
        </w:rPr>
        <w:footnoteRef/>
      </w:r>
      <w:r w:rsidRPr="00C87DCA">
        <w:t xml:space="preserve"> National Development Plan 2030: Our future make it work (19 February 2013), </w:t>
      </w:r>
      <w:proofErr w:type="spellStart"/>
      <w:r w:rsidRPr="00C87DCA">
        <w:t>pg</w:t>
      </w:r>
      <w:proofErr w:type="spellEnd"/>
      <w:r w:rsidRPr="00C87DCA">
        <w:t xml:space="preserve"> 64, available at: </w:t>
      </w:r>
      <w:hyperlink r:id="rId6" w:history="1">
        <w:r w:rsidRPr="00C87DCA">
          <w:rPr>
            <w:rStyle w:val="Hyperlink"/>
          </w:rPr>
          <w:t>https://www.gov.za/sites/default/files/gcis_document/201409/ndp-2030-our-future-make-it-workr.pdf</w:t>
        </w:r>
      </w:hyperlink>
      <w:r>
        <w:t xml:space="preserve"> </w:t>
      </w:r>
    </w:p>
  </w:footnote>
  <w:footnote w:id="10">
    <w:p w:rsidR="00BF7963" w:rsidRPr="00C87DCA" w:rsidRDefault="00BF7963" w:rsidP="00BF7963">
      <w:pPr>
        <w:pStyle w:val="NormalWeb"/>
        <w:spacing w:before="0" w:beforeAutospacing="0" w:after="0" w:afterAutospacing="0"/>
        <w:jc w:val="both"/>
        <w:rPr>
          <w:rFonts w:ascii="Arial" w:hAnsi="Arial" w:cs="Arial"/>
          <w:sz w:val="20"/>
          <w:szCs w:val="20"/>
        </w:rPr>
      </w:pPr>
      <w:r w:rsidRPr="00C87DCA">
        <w:rPr>
          <w:rStyle w:val="FootnoteReference"/>
          <w:rFonts w:ascii="Arial" w:hAnsi="Arial" w:cs="Arial"/>
          <w:sz w:val="20"/>
          <w:szCs w:val="20"/>
        </w:rPr>
        <w:footnoteRef/>
      </w:r>
      <w:r w:rsidRPr="00C87DCA">
        <w:rPr>
          <w:rFonts w:ascii="Arial" w:hAnsi="Arial" w:cs="Arial"/>
          <w:sz w:val="20"/>
          <w:szCs w:val="20"/>
        </w:rPr>
        <w:t xml:space="preserve"> UN CESCR, Concluding observations on the initial report of South Africa (12 October 2018) UN Doc No. E/C.12/2018/SR.42, 43 and 44), (E/C.12/ZAF/1) para. 47 (a), available at: </w:t>
      </w:r>
      <w:hyperlink r:id="rId7" w:history="1">
        <w:r w:rsidRPr="00C87DCA">
          <w:rPr>
            <w:rStyle w:val="Hyperlink"/>
            <w:rFonts w:ascii="Arial" w:hAnsi="Arial" w:cs="Arial"/>
            <w:sz w:val="20"/>
            <w:szCs w:val="20"/>
          </w:rPr>
          <w:t>https://tbinternet.ohchr.org/_layouts/15/treatybodyexternal/TBSearch.aspx?Lang=En&amp;CountryID=162</w:t>
        </w:r>
      </w:hyperlink>
      <w:r w:rsidRPr="00C87DCA">
        <w:rPr>
          <w:rFonts w:ascii="Arial" w:hAnsi="Arial" w:cs="Arial"/>
          <w:sz w:val="20"/>
          <w:szCs w:val="20"/>
        </w:rPr>
        <w:t xml:space="preserve"> </w:t>
      </w:r>
    </w:p>
  </w:footnote>
  <w:footnote w:id="11">
    <w:p w:rsidR="003F4B0F" w:rsidRPr="00C87DCA" w:rsidRDefault="003F4B0F" w:rsidP="00FA0BB5">
      <w:pPr>
        <w:pStyle w:val="FootnoteText"/>
        <w:jc w:val="both"/>
        <w:rPr>
          <w:rFonts w:ascii="Arial" w:hAnsi="Arial" w:cs="Arial"/>
          <w:lang w:val="es-ES"/>
        </w:rPr>
      </w:pPr>
      <w:r w:rsidRPr="00C87DCA">
        <w:rPr>
          <w:rStyle w:val="FootnoteReference"/>
          <w:rFonts w:ascii="Arial" w:hAnsi="Arial" w:cs="Arial"/>
        </w:rPr>
        <w:footnoteRef/>
      </w:r>
      <w:r w:rsidRPr="00C87DCA">
        <w:rPr>
          <w:rFonts w:ascii="Arial" w:hAnsi="Arial" w:cs="Arial"/>
        </w:rPr>
        <w:t xml:space="preserve"> Statistics South Africa (STATS SA): Consumer Price Index, The South African CPI Sources and Methods Manual.  </w:t>
      </w:r>
      <w:r w:rsidRPr="00C87DCA">
        <w:rPr>
          <w:rFonts w:ascii="Arial" w:hAnsi="Arial" w:cs="Arial"/>
          <w:lang w:val="es-ES"/>
        </w:rPr>
        <w:t>Para Available at:</w:t>
      </w:r>
      <w:hyperlink r:id="rId8" w:history="1">
        <w:r w:rsidRPr="00C87DCA">
          <w:rPr>
            <w:rStyle w:val="Hyperlink"/>
            <w:rFonts w:ascii="Arial" w:hAnsi="Arial" w:cs="Arial"/>
            <w:lang w:val="es-ES"/>
          </w:rPr>
          <w:t>http://www.statssa.gov.za/cpi/documents/The_South_African_CPI_sources_and_methods_26Feb13.pdf</w:t>
        </w:r>
      </w:hyperlink>
      <w:r w:rsidRPr="00C87DCA">
        <w:rPr>
          <w:rFonts w:ascii="Arial" w:hAnsi="Arial" w:cs="Arial"/>
          <w:lang w:val="es-ES"/>
        </w:rPr>
        <w:t xml:space="preserve"> </w:t>
      </w:r>
    </w:p>
    <w:p w:rsidR="003F4B0F" w:rsidRPr="00C87DCA" w:rsidRDefault="003F4B0F" w:rsidP="00FA0BB5">
      <w:pPr>
        <w:pStyle w:val="FootnoteText"/>
        <w:jc w:val="both"/>
        <w:rPr>
          <w:rFonts w:ascii="Arial" w:hAnsi="Arial" w:cs="Arial"/>
          <w:lang w:val="en-US"/>
        </w:rPr>
      </w:pPr>
      <w:r w:rsidRPr="00C87DCA">
        <w:rPr>
          <w:rFonts w:ascii="Arial" w:hAnsi="Arial" w:cs="Arial"/>
          <w:lang w:val="en-US"/>
        </w:rPr>
        <w:t>In the previous years, Stats SA has run two versions of a Household Expenditure Survey, the Income</w:t>
      </w:r>
    </w:p>
    <w:p w:rsidR="003F4B0F" w:rsidRPr="00C87DCA" w:rsidRDefault="003F4B0F" w:rsidP="00FA0BB5">
      <w:pPr>
        <w:pStyle w:val="FootnoteText"/>
        <w:jc w:val="both"/>
        <w:rPr>
          <w:rFonts w:ascii="Arial" w:hAnsi="Arial" w:cs="Arial"/>
          <w:lang w:val="en-US"/>
        </w:rPr>
      </w:pPr>
      <w:r w:rsidRPr="00C87DCA">
        <w:rPr>
          <w:rFonts w:ascii="Arial" w:hAnsi="Arial" w:cs="Arial"/>
          <w:lang w:val="en-US"/>
        </w:rPr>
        <w:t>and Expenditure Survey (IES) and Living Conditions Survey (LCS). The primary objective of both the</w:t>
      </w:r>
    </w:p>
    <w:p w:rsidR="003F4B0F" w:rsidRPr="00C87DCA" w:rsidRDefault="003F4B0F" w:rsidP="00FA0BB5">
      <w:pPr>
        <w:pStyle w:val="FootnoteText"/>
        <w:jc w:val="both"/>
        <w:rPr>
          <w:rFonts w:ascii="Arial" w:hAnsi="Arial" w:cs="Arial"/>
          <w:lang w:val="en-US"/>
        </w:rPr>
      </w:pPr>
      <w:r w:rsidRPr="00C87DCA">
        <w:rPr>
          <w:rFonts w:ascii="Arial" w:hAnsi="Arial" w:cs="Arial"/>
          <w:lang w:val="en-US"/>
        </w:rPr>
        <w:t>IES and LCS is to provide information on households’ consumption expenditure patterns. However,</w:t>
      </w:r>
    </w:p>
    <w:p w:rsidR="003F4B0F" w:rsidRPr="00C87DCA" w:rsidRDefault="003F4B0F" w:rsidP="00FA0BB5">
      <w:pPr>
        <w:pStyle w:val="FootnoteText"/>
        <w:jc w:val="both"/>
        <w:rPr>
          <w:rFonts w:ascii="Arial" w:hAnsi="Arial" w:cs="Arial"/>
          <w:lang w:val="en-US"/>
        </w:rPr>
      </w:pPr>
      <w:r w:rsidRPr="00C87DCA">
        <w:rPr>
          <w:rFonts w:ascii="Arial" w:hAnsi="Arial" w:cs="Arial"/>
          <w:lang w:val="en-US"/>
        </w:rPr>
        <w:t xml:space="preserve">the LCS also provides estimates for monitoring poverty levels. Successive </w:t>
      </w:r>
      <w:r w:rsidR="001F7F2E" w:rsidRPr="00C87DCA">
        <w:rPr>
          <w:rFonts w:ascii="Arial" w:hAnsi="Arial" w:cs="Arial"/>
          <w:lang w:val="en-US"/>
        </w:rPr>
        <w:t>I</w:t>
      </w:r>
      <w:r w:rsidRPr="00C87DCA">
        <w:rPr>
          <w:rFonts w:ascii="Arial" w:hAnsi="Arial" w:cs="Arial"/>
          <w:lang w:val="en-US"/>
        </w:rPr>
        <w:t>ES gauge changes in</w:t>
      </w:r>
    </w:p>
    <w:p w:rsidR="003F4B0F" w:rsidRPr="00C87DCA" w:rsidRDefault="003F4B0F" w:rsidP="00FA0BB5">
      <w:pPr>
        <w:pStyle w:val="FootnoteText"/>
        <w:jc w:val="both"/>
        <w:rPr>
          <w:rFonts w:ascii="Arial" w:hAnsi="Arial" w:cs="Arial"/>
          <w:lang w:val="en-US"/>
        </w:rPr>
      </w:pPr>
      <w:r w:rsidRPr="00C87DCA">
        <w:rPr>
          <w:rFonts w:ascii="Arial" w:hAnsi="Arial" w:cs="Arial"/>
          <w:lang w:val="en-US"/>
        </w:rPr>
        <w:t>household consumption patterns, levels of income and income distribution.</w:t>
      </w:r>
    </w:p>
  </w:footnote>
  <w:footnote w:id="12">
    <w:p w:rsidR="0072306C" w:rsidRPr="00520A30" w:rsidRDefault="0072306C">
      <w:pPr>
        <w:pStyle w:val="FootnoteText"/>
        <w:rPr>
          <w:rFonts w:ascii="Arial" w:hAnsi="Arial" w:cs="Arial"/>
          <w:lang w:val="en-US"/>
        </w:rPr>
      </w:pPr>
      <w:r w:rsidRPr="00C87DCA">
        <w:rPr>
          <w:rStyle w:val="FootnoteReference"/>
          <w:rFonts w:ascii="Arial" w:hAnsi="Arial" w:cs="Arial"/>
        </w:rPr>
        <w:footnoteRef/>
      </w:r>
      <w:r w:rsidRPr="00C87DCA">
        <w:rPr>
          <w:rFonts w:ascii="Arial" w:hAnsi="Arial" w:cs="Arial"/>
        </w:rPr>
        <w:t xml:space="preserve"> </w:t>
      </w:r>
      <w:r w:rsidRPr="00C87DCA">
        <w:rPr>
          <w:rFonts w:ascii="Arial" w:hAnsi="Arial" w:cs="Arial"/>
          <w:lang w:val="en-US"/>
        </w:rPr>
        <w:t xml:space="preserve">Ibid </w:t>
      </w:r>
      <w:r w:rsidR="00740724" w:rsidRPr="00C87DCA">
        <w:rPr>
          <w:rFonts w:ascii="Arial" w:hAnsi="Arial" w:cs="Arial"/>
          <w:lang w:val="en-US"/>
        </w:rPr>
        <w:t>p</w:t>
      </w:r>
      <w:r w:rsidRPr="00C87DCA">
        <w:rPr>
          <w:rFonts w:ascii="Arial" w:hAnsi="Arial" w:cs="Arial"/>
          <w:lang w:val="en-US"/>
        </w:rPr>
        <w:t>.8</w:t>
      </w:r>
    </w:p>
  </w:footnote>
  <w:footnote w:id="13">
    <w:p w:rsidR="00525696" w:rsidRPr="00C87DCA" w:rsidRDefault="00525696" w:rsidP="00FA0BB5">
      <w:pPr>
        <w:pStyle w:val="FootnoteText"/>
        <w:jc w:val="both"/>
        <w:rPr>
          <w:lang w:val="en-US"/>
        </w:rPr>
      </w:pPr>
      <w:r w:rsidRPr="00520A30">
        <w:rPr>
          <w:rStyle w:val="FootnoteReference"/>
          <w:rFonts w:ascii="Arial" w:hAnsi="Arial" w:cs="Arial"/>
        </w:rPr>
        <w:footnoteRef/>
      </w:r>
      <w:r w:rsidRPr="00520A30">
        <w:rPr>
          <w:rFonts w:ascii="Arial" w:hAnsi="Arial" w:cs="Arial"/>
        </w:rPr>
        <w:t xml:space="preserve"> </w:t>
      </w:r>
      <w:proofErr w:type="spellStart"/>
      <w:r w:rsidRPr="00C87DCA">
        <w:t>Boskin</w:t>
      </w:r>
      <w:proofErr w:type="spellEnd"/>
      <w:r w:rsidRPr="00C87DCA">
        <w:t xml:space="preserve">, Michael &amp; </w:t>
      </w:r>
      <w:proofErr w:type="spellStart"/>
      <w:r w:rsidRPr="00C87DCA">
        <w:t>Dulberger</w:t>
      </w:r>
      <w:proofErr w:type="spellEnd"/>
      <w:r w:rsidRPr="00C87DCA">
        <w:t xml:space="preserve">, Ellen &amp; Gordon, Robert &amp; </w:t>
      </w:r>
      <w:proofErr w:type="spellStart"/>
      <w:r w:rsidRPr="00C87DCA">
        <w:t>Griliches</w:t>
      </w:r>
      <w:proofErr w:type="spellEnd"/>
      <w:r w:rsidRPr="00C87DCA">
        <w:t xml:space="preserve">, </w:t>
      </w:r>
      <w:proofErr w:type="spellStart"/>
      <w:r w:rsidRPr="00C87DCA">
        <w:t>Zvi</w:t>
      </w:r>
      <w:proofErr w:type="spellEnd"/>
      <w:r w:rsidRPr="00C87DCA">
        <w:t xml:space="preserve"> &amp; Jorgenson, Dale. (1998). Consumer Prices, the Consumer Price Index, and the Cost of Living. Journal of Economic Perspectives. 12. 3-26. 10.1257/jep.12.1.3.</w:t>
      </w:r>
    </w:p>
  </w:footnote>
  <w:footnote w:id="14">
    <w:p w:rsidR="00312D2E" w:rsidRPr="00DB44A8" w:rsidRDefault="00312D2E" w:rsidP="00312D2E">
      <w:pPr>
        <w:pStyle w:val="FootnoteText"/>
        <w:rPr>
          <w:rFonts w:ascii="Arial" w:hAnsi="Arial" w:cs="Arial"/>
          <w:lang w:val="en-US"/>
        </w:rPr>
      </w:pPr>
      <w:r w:rsidRPr="00C87DCA">
        <w:rPr>
          <w:rStyle w:val="FootnoteReference"/>
        </w:rPr>
        <w:footnoteRef/>
      </w:r>
      <w:r w:rsidRPr="00C87DCA">
        <w:t xml:space="preserve"> I. Frye, G. Wright et al (2018)  Towards a Decent Life for All: Decent Standard of Living Index- Final Report</w:t>
      </w:r>
      <w:r w:rsidR="004E164F" w:rsidRPr="00C87DCA">
        <w:t xml:space="preserve">. Available at </w:t>
      </w:r>
      <w:hyperlink r:id="rId9" w:history="1">
        <w:r w:rsidR="004E164F" w:rsidRPr="00C87DCA">
          <w:rPr>
            <w:rStyle w:val="Hyperlink"/>
          </w:rPr>
          <w:t>http://spii.org.za/wp-content/uploads/2018/11/DSL-Report-SD-v3.doc.pdf</w:t>
        </w:r>
      </w:hyperlink>
      <w:r w:rsidR="004E164F">
        <w:rPr>
          <w:rFonts w:ascii="Arial" w:hAnsi="Arial" w:cs="Arial"/>
        </w:rPr>
        <w:t xml:space="preserve"> </w:t>
      </w:r>
    </w:p>
  </w:footnote>
  <w:footnote w:id="15">
    <w:p w:rsidR="00924EC0" w:rsidRPr="00C87DCA" w:rsidRDefault="00924EC0" w:rsidP="00924EC0">
      <w:pPr>
        <w:pStyle w:val="FootnoteText"/>
        <w:rPr>
          <w:lang w:val="en-US"/>
        </w:rPr>
      </w:pPr>
      <w:r w:rsidRPr="00C87DCA">
        <w:rPr>
          <w:rStyle w:val="FootnoteReference"/>
        </w:rPr>
        <w:footnoteRef/>
      </w:r>
      <w:r w:rsidRPr="00C87DCA">
        <w:t xml:space="preserve"> I. Frye, G. Wright et al (2018)  Towards a Decent Life for All: Decent Standard of Living Index- Final Report. P.12</w:t>
      </w:r>
    </w:p>
  </w:footnote>
  <w:footnote w:id="16">
    <w:p w:rsidR="003F2A30" w:rsidRPr="00C87DCA" w:rsidRDefault="003F2A30" w:rsidP="003F2A30">
      <w:pPr>
        <w:pStyle w:val="FootnoteText"/>
        <w:rPr>
          <w:lang w:val="en-US"/>
        </w:rPr>
      </w:pPr>
      <w:r w:rsidRPr="00C87DCA">
        <w:rPr>
          <w:rStyle w:val="FootnoteReference"/>
        </w:rPr>
        <w:footnoteRef/>
      </w:r>
      <w:r w:rsidRPr="00C87DCA">
        <w:t xml:space="preserve">Men, Women and Children: Findings of the Living Conditions Survey, 2015 (March 2018) (see explanatory notes p.52), available at: </w:t>
      </w:r>
      <w:hyperlink r:id="rId10" w:history="1">
        <w:r w:rsidRPr="00C87DCA">
          <w:rPr>
            <w:rStyle w:val="Hyperlink"/>
          </w:rPr>
          <w:t>http://www.statssa.gov.za/publications/Report-03-10-02%20/Report-03-10-02%202015.pdf</w:t>
        </w:r>
      </w:hyperlink>
      <w:r w:rsidRPr="00C87DCA">
        <w:t xml:space="preserve"> </w:t>
      </w:r>
    </w:p>
  </w:footnote>
  <w:footnote w:id="17">
    <w:p w:rsidR="00924EC0" w:rsidRPr="00C87DCA" w:rsidRDefault="00924EC0" w:rsidP="00924EC0">
      <w:pPr>
        <w:pStyle w:val="FootnoteText"/>
        <w:rPr>
          <w:lang w:val="en-US"/>
        </w:rPr>
      </w:pPr>
      <w:r w:rsidRPr="00C87DCA">
        <w:rPr>
          <w:rStyle w:val="FootnoteReference"/>
        </w:rPr>
        <w:footnoteRef/>
      </w:r>
      <w:r w:rsidRPr="00C87DCA">
        <w:t xml:space="preserve"> I. Frye, G. Wright et al (2018)  Towards a Decent Life for All: Decent Standard of Living Index- Final Report. p.6</w:t>
      </w:r>
    </w:p>
  </w:footnote>
  <w:footnote w:id="18">
    <w:p w:rsidR="00924EC0" w:rsidRPr="00C87DCA" w:rsidRDefault="00924EC0" w:rsidP="00924EC0">
      <w:pPr>
        <w:pStyle w:val="FootnoteText"/>
        <w:rPr>
          <w:lang w:val="en-US"/>
        </w:rPr>
      </w:pPr>
      <w:r w:rsidRPr="00C87DCA">
        <w:rPr>
          <w:rStyle w:val="FootnoteReference"/>
        </w:rPr>
        <w:footnoteRef/>
      </w:r>
      <w:r w:rsidRPr="00C87DCA">
        <w:t xml:space="preserve"> Rao, N.D., Min, J. Decent Living Standards: Material Prerequisites for Human Wellbeing. Soc Indic Res 138, 227 (2018). https://doi.org/10.1007/s11205-017-1650-0</w:t>
      </w:r>
    </w:p>
  </w:footnote>
  <w:footnote w:id="19">
    <w:p w:rsidR="00455360" w:rsidRDefault="00455360">
      <w:pPr>
        <w:pStyle w:val="FootnoteText"/>
      </w:pPr>
      <w:r w:rsidRPr="00C87DCA">
        <w:rPr>
          <w:rStyle w:val="FootnoteReference"/>
        </w:rPr>
        <w:footnoteRef/>
      </w:r>
      <w:r w:rsidRPr="00C87DCA">
        <w:t xml:space="preserve"> Green Paper on Comprehensive Social Security and retirement Reform, page 54.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D0BE9"/>
    <w:multiLevelType w:val="hybridMultilevel"/>
    <w:tmpl w:val="2DDCB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F40D40"/>
    <w:multiLevelType w:val="hybridMultilevel"/>
    <w:tmpl w:val="F5543178"/>
    <w:lvl w:ilvl="0" w:tplc="41C81168">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286FE7"/>
    <w:multiLevelType w:val="hybridMultilevel"/>
    <w:tmpl w:val="F5543178"/>
    <w:lvl w:ilvl="0" w:tplc="41C81168">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BF1F73"/>
    <w:multiLevelType w:val="hybridMultilevel"/>
    <w:tmpl w:val="2DDCB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6F467B"/>
    <w:multiLevelType w:val="hybridMultilevel"/>
    <w:tmpl w:val="5080A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8928E1"/>
    <w:multiLevelType w:val="hybridMultilevel"/>
    <w:tmpl w:val="F800C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826D41"/>
    <w:multiLevelType w:val="hybridMultilevel"/>
    <w:tmpl w:val="306CF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DEE0AF2"/>
    <w:multiLevelType w:val="hybridMultilevel"/>
    <w:tmpl w:val="F5543178"/>
    <w:lvl w:ilvl="0" w:tplc="41C81168">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D417B0"/>
    <w:multiLevelType w:val="hybridMultilevel"/>
    <w:tmpl w:val="C0809E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3F252AA"/>
    <w:multiLevelType w:val="hybridMultilevel"/>
    <w:tmpl w:val="39364B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5047A71"/>
    <w:multiLevelType w:val="hybridMultilevel"/>
    <w:tmpl w:val="4A3A20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C92BA8"/>
    <w:multiLevelType w:val="hybridMultilevel"/>
    <w:tmpl w:val="85B29432"/>
    <w:lvl w:ilvl="0" w:tplc="C63EB38C">
      <w:start w:val="1"/>
      <w:numFmt w:val="decimal"/>
      <w:lvlText w:val="%1."/>
      <w:lvlJc w:val="left"/>
      <w:pPr>
        <w:ind w:left="785" w:hanging="360"/>
      </w:pPr>
      <w:rPr>
        <w:rFonts w:ascii="Times New Roman" w:hAnsi="Times New Roman" w:cs="Times New Roman"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DC6A2C"/>
    <w:multiLevelType w:val="hybridMultilevel"/>
    <w:tmpl w:val="ACD8574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AAF3839"/>
    <w:multiLevelType w:val="hybridMultilevel"/>
    <w:tmpl w:val="405EA736"/>
    <w:lvl w:ilvl="0" w:tplc="0409000F">
      <w:start w:val="1"/>
      <w:numFmt w:val="decimal"/>
      <w:lvlText w:val="%1."/>
      <w:lvlJc w:val="left"/>
      <w:pPr>
        <w:ind w:left="781" w:hanging="360"/>
      </w:pPr>
    </w:lvl>
    <w:lvl w:ilvl="1" w:tplc="04090019" w:tentative="1">
      <w:start w:val="1"/>
      <w:numFmt w:val="lowerLetter"/>
      <w:lvlText w:val="%2."/>
      <w:lvlJc w:val="left"/>
      <w:pPr>
        <w:ind w:left="1501" w:hanging="360"/>
      </w:pPr>
    </w:lvl>
    <w:lvl w:ilvl="2" w:tplc="0409001B" w:tentative="1">
      <w:start w:val="1"/>
      <w:numFmt w:val="lowerRoman"/>
      <w:lvlText w:val="%3."/>
      <w:lvlJc w:val="right"/>
      <w:pPr>
        <w:ind w:left="2221" w:hanging="180"/>
      </w:pPr>
    </w:lvl>
    <w:lvl w:ilvl="3" w:tplc="0409000F" w:tentative="1">
      <w:start w:val="1"/>
      <w:numFmt w:val="decimal"/>
      <w:lvlText w:val="%4."/>
      <w:lvlJc w:val="left"/>
      <w:pPr>
        <w:ind w:left="2941" w:hanging="360"/>
      </w:pPr>
    </w:lvl>
    <w:lvl w:ilvl="4" w:tplc="04090019" w:tentative="1">
      <w:start w:val="1"/>
      <w:numFmt w:val="lowerLetter"/>
      <w:lvlText w:val="%5."/>
      <w:lvlJc w:val="left"/>
      <w:pPr>
        <w:ind w:left="3661" w:hanging="360"/>
      </w:pPr>
    </w:lvl>
    <w:lvl w:ilvl="5" w:tplc="0409001B" w:tentative="1">
      <w:start w:val="1"/>
      <w:numFmt w:val="lowerRoman"/>
      <w:lvlText w:val="%6."/>
      <w:lvlJc w:val="right"/>
      <w:pPr>
        <w:ind w:left="4381" w:hanging="180"/>
      </w:pPr>
    </w:lvl>
    <w:lvl w:ilvl="6" w:tplc="0409000F" w:tentative="1">
      <w:start w:val="1"/>
      <w:numFmt w:val="decimal"/>
      <w:lvlText w:val="%7."/>
      <w:lvlJc w:val="left"/>
      <w:pPr>
        <w:ind w:left="5101" w:hanging="360"/>
      </w:pPr>
    </w:lvl>
    <w:lvl w:ilvl="7" w:tplc="04090019" w:tentative="1">
      <w:start w:val="1"/>
      <w:numFmt w:val="lowerLetter"/>
      <w:lvlText w:val="%8."/>
      <w:lvlJc w:val="left"/>
      <w:pPr>
        <w:ind w:left="5821" w:hanging="360"/>
      </w:pPr>
    </w:lvl>
    <w:lvl w:ilvl="8" w:tplc="0409001B" w:tentative="1">
      <w:start w:val="1"/>
      <w:numFmt w:val="lowerRoman"/>
      <w:lvlText w:val="%9."/>
      <w:lvlJc w:val="right"/>
      <w:pPr>
        <w:ind w:left="6541" w:hanging="180"/>
      </w:pPr>
    </w:lvl>
  </w:abstractNum>
  <w:abstractNum w:abstractNumId="14" w15:restartNumberingAfterBreak="0">
    <w:nsid w:val="5BA50805"/>
    <w:multiLevelType w:val="hybridMultilevel"/>
    <w:tmpl w:val="B2AE2C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5D486939"/>
    <w:multiLevelType w:val="hybridMultilevel"/>
    <w:tmpl w:val="3D22A47C"/>
    <w:lvl w:ilvl="0" w:tplc="B1D84E4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0D6D3E"/>
    <w:multiLevelType w:val="hybridMultilevel"/>
    <w:tmpl w:val="77F2E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2EA6E02"/>
    <w:multiLevelType w:val="hybridMultilevel"/>
    <w:tmpl w:val="0952C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5AE1C64"/>
    <w:multiLevelType w:val="hybridMultilevel"/>
    <w:tmpl w:val="B52A9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5F43CB"/>
    <w:multiLevelType w:val="hybridMultilevel"/>
    <w:tmpl w:val="0936B9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B061510"/>
    <w:multiLevelType w:val="hybridMultilevel"/>
    <w:tmpl w:val="7A5C7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322179"/>
    <w:multiLevelType w:val="hybridMultilevel"/>
    <w:tmpl w:val="F98C16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BF15E24"/>
    <w:multiLevelType w:val="hybridMultilevel"/>
    <w:tmpl w:val="F5543178"/>
    <w:lvl w:ilvl="0" w:tplc="41C81168">
      <w:start w:val="1"/>
      <w:numFmt w:val="decimal"/>
      <w:lvlText w:val="%1."/>
      <w:lvlJc w:val="left"/>
      <w:pPr>
        <w:ind w:left="720" w:hanging="360"/>
      </w:pPr>
      <w:rPr>
        <w:rFonts w:ascii="Times New Roman" w:hAnsi="Times New Roman" w:cs="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855CB0"/>
    <w:multiLevelType w:val="hybridMultilevel"/>
    <w:tmpl w:val="DF382756"/>
    <w:lvl w:ilvl="0" w:tplc="FB1016E6">
      <w:start w:val="1"/>
      <w:numFmt w:val="bullet"/>
      <w:lvlText w:val="-"/>
      <w:lvlJc w:val="left"/>
      <w:pPr>
        <w:ind w:left="720" w:hanging="360"/>
      </w:pPr>
      <w:rPr>
        <w:rFonts w:ascii="Times New Roman" w:eastAsiaTheme="minorHAnsi" w:hAnsi="Times New Roman"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7EA437EB"/>
    <w:multiLevelType w:val="hybridMultilevel"/>
    <w:tmpl w:val="8E4A329A"/>
    <w:lvl w:ilvl="0" w:tplc="8AF45A38">
      <w:start w:val="1"/>
      <w:numFmt w:val="decimal"/>
      <w:lvlText w:val="%1."/>
      <w:lvlJc w:val="left"/>
      <w:pPr>
        <w:ind w:left="785" w:hanging="360"/>
      </w:pPr>
      <w:rPr>
        <w:b w:val="0"/>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17"/>
  </w:num>
  <w:num w:numId="2">
    <w:abstractNumId w:val="0"/>
  </w:num>
  <w:num w:numId="3">
    <w:abstractNumId w:val="5"/>
  </w:num>
  <w:num w:numId="4">
    <w:abstractNumId w:val="4"/>
  </w:num>
  <w:num w:numId="5">
    <w:abstractNumId w:val="8"/>
  </w:num>
  <w:num w:numId="6">
    <w:abstractNumId w:val="3"/>
  </w:num>
  <w:num w:numId="7">
    <w:abstractNumId w:val="21"/>
  </w:num>
  <w:num w:numId="8">
    <w:abstractNumId w:val="11"/>
  </w:num>
  <w:num w:numId="9">
    <w:abstractNumId w:val="24"/>
  </w:num>
  <w:num w:numId="10">
    <w:abstractNumId w:val="18"/>
  </w:num>
  <w:num w:numId="11">
    <w:abstractNumId w:val="6"/>
  </w:num>
  <w:num w:numId="12">
    <w:abstractNumId w:val="16"/>
  </w:num>
  <w:num w:numId="13">
    <w:abstractNumId w:val="19"/>
  </w:num>
  <w:num w:numId="14">
    <w:abstractNumId w:val="7"/>
  </w:num>
  <w:num w:numId="15">
    <w:abstractNumId w:val="13"/>
  </w:num>
  <w:num w:numId="16">
    <w:abstractNumId w:val="10"/>
  </w:num>
  <w:num w:numId="17">
    <w:abstractNumId w:val="12"/>
  </w:num>
  <w:num w:numId="18">
    <w:abstractNumId w:val="20"/>
  </w:num>
  <w:num w:numId="19">
    <w:abstractNumId w:val="1"/>
  </w:num>
  <w:num w:numId="20">
    <w:abstractNumId w:val="2"/>
  </w:num>
  <w:num w:numId="21">
    <w:abstractNumId w:val="15"/>
  </w:num>
  <w:num w:numId="22">
    <w:abstractNumId w:val="14"/>
  </w:num>
  <w:num w:numId="23">
    <w:abstractNumId w:val="9"/>
  </w:num>
  <w:num w:numId="24">
    <w:abstractNumId w:val="22"/>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5DB2"/>
    <w:rsid w:val="0001461B"/>
    <w:rsid w:val="0001554A"/>
    <w:rsid w:val="000269FF"/>
    <w:rsid w:val="00035662"/>
    <w:rsid w:val="00044F4D"/>
    <w:rsid w:val="00047737"/>
    <w:rsid w:val="00053A59"/>
    <w:rsid w:val="00077D27"/>
    <w:rsid w:val="000B5299"/>
    <w:rsid w:val="000C2D5C"/>
    <w:rsid w:val="000D00C3"/>
    <w:rsid w:val="00107B62"/>
    <w:rsid w:val="00120938"/>
    <w:rsid w:val="00127B91"/>
    <w:rsid w:val="00133723"/>
    <w:rsid w:val="0013664B"/>
    <w:rsid w:val="00140AF8"/>
    <w:rsid w:val="00142D36"/>
    <w:rsid w:val="00156F7A"/>
    <w:rsid w:val="001C1C32"/>
    <w:rsid w:val="001E4821"/>
    <w:rsid w:val="001E672C"/>
    <w:rsid w:val="001F7F2E"/>
    <w:rsid w:val="00206242"/>
    <w:rsid w:val="002156BC"/>
    <w:rsid w:val="002361A9"/>
    <w:rsid w:val="0025350A"/>
    <w:rsid w:val="00263277"/>
    <w:rsid w:val="00284F72"/>
    <w:rsid w:val="00290DA8"/>
    <w:rsid w:val="00295304"/>
    <w:rsid w:val="002A1C63"/>
    <w:rsid w:val="002B0240"/>
    <w:rsid w:val="002B7398"/>
    <w:rsid w:val="00312D2E"/>
    <w:rsid w:val="0034054C"/>
    <w:rsid w:val="003407D8"/>
    <w:rsid w:val="00354F6B"/>
    <w:rsid w:val="00366340"/>
    <w:rsid w:val="00367B27"/>
    <w:rsid w:val="00370193"/>
    <w:rsid w:val="00373F95"/>
    <w:rsid w:val="00377FBD"/>
    <w:rsid w:val="003917EC"/>
    <w:rsid w:val="003A33C6"/>
    <w:rsid w:val="003A3584"/>
    <w:rsid w:val="003F2A30"/>
    <w:rsid w:val="003F4B0F"/>
    <w:rsid w:val="003F67EB"/>
    <w:rsid w:val="00400F49"/>
    <w:rsid w:val="00421E3A"/>
    <w:rsid w:val="00446197"/>
    <w:rsid w:val="00455360"/>
    <w:rsid w:val="00476651"/>
    <w:rsid w:val="00482EA0"/>
    <w:rsid w:val="00483CC2"/>
    <w:rsid w:val="004B1756"/>
    <w:rsid w:val="004B4DB3"/>
    <w:rsid w:val="004B5BE1"/>
    <w:rsid w:val="004D0043"/>
    <w:rsid w:val="004D3C8C"/>
    <w:rsid w:val="004E013D"/>
    <w:rsid w:val="004E164F"/>
    <w:rsid w:val="00501595"/>
    <w:rsid w:val="00502C3B"/>
    <w:rsid w:val="00505FDA"/>
    <w:rsid w:val="005161EB"/>
    <w:rsid w:val="00520A30"/>
    <w:rsid w:val="00524E99"/>
    <w:rsid w:val="00525696"/>
    <w:rsid w:val="005455B9"/>
    <w:rsid w:val="005A674E"/>
    <w:rsid w:val="005A7596"/>
    <w:rsid w:val="005B365D"/>
    <w:rsid w:val="005B38B2"/>
    <w:rsid w:val="005B5D51"/>
    <w:rsid w:val="005D2FF6"/>
    <w:rsid w:val="005D454A"/>
    <w:rsid w:val="005E16EE"/>
    <w:rsid w:val="005E762B"/>
    <w:rsid w:val="005F37CB"/>
    <w:rsid w:val="00617D5F"/>
    <w:rsid w:val="00674004"/>
    <w:rsid w:val="00680521"/>
    <w:rsid w:val="00695DB3"/>
    <w:rsid w:val="006A0DC7"/>
    <w:rsid w:val="006A5517"/>
    <w:rsid w:val="006B1E63"/>
    <w:rsid w:val="006B53BF"/>
    <w:rsid w:val="006C1302"/>
    <w:rsid w:val="006E6982"/>
    <w:rsid w:val="0070278E"/>
    <w:rsid w:val="00703564"/>
    <w:rsid w:val="00713A3F"/>
    <w:rsid w:val="00721909"/>
    <w:rsid w:val="0072306C"/>
    <w:rsid w:val="00737FAA"/>
    <w:rsid w:val="00740724"/>
    <w:rsid w:val="00743E52"/>
    <w:rsid w:val="00753F1B"/>
    <w:rsid w:val="00765976"/>
    <w:rsid w:val="0078022D"/>
    <w:rsid w:val="0078354D"/>
    <w:rsid w:val="007960AC"/>
    <w:rsid w:val="007A3D79"/>
    <w:rsid w:val="007A4A97"/>
    <w:rsid w:val="007A5818"/>
    <w:rsid w:val="007B0CBD"/>
    <w:rsid w:val="007C37EC"/>
    <w:rsid w:val="007C41BB"/>
    <w:rsid w:val="007E0A85"/>
    <w:rsid w:val="007F327D"/>
    <w:rsid w:val="008026DC"/>
    <w:rsid w:val="00815A8B"/>
    <w:rsid w:val="00874374"/>
    <w:rsid w:val="00874722"/>
    <w:rsid w:val="008909A6"/>
    <w:rsid w:val="00894084"/>
    <w:rsid w:val="008A57E5"/>
    <w:rsid w:val="008B24F6"/>
    <w:rsid w:val="008C0089"/>
    <w:rsid w:val="008D02DC"/>
    <w:rsid w:val="008E6838"/>
    <w:rsid w:val="008E6FF3"/>
    <w:rsid w:val="00924EC0"/>
    <w:rsid w:val="009303BA"/>
    <w:rsid w:val="00950C45"/>
    <w:rsid w:val="009522C5"/>
    <w:rsid w:val="00955584"/>
    <w:rsid w:val="00955F29"/>
    <w:rsid w:val="00964555"/>
    <w:rsid w:val="009C48FA"/>
    <w:rsid w:val="009D4EF4"/>
    <w:rsid w:val="009E60D9"/>
    <w:rsid w:val="009E6ADE"/>
    <w:rsid w:val="009F06D5"/>
    <w:rsid w:val="009F06E2"/>
    <w:rsid w:val="00A125E0"/>
    <w:rsid w:val="00A65DEE"/>
    <w:rsid w:val="00A9268D"/>
    <w:rsid w:val="00A97614"/>
    <w:rsid w:val="00AA7605"/>
    <w:rsid w:val="00AB5DB2"/>
    <w:rsid w:val="00AC5232"/>
    <w:rsid w:val="00AD653B"/>
    <w:rsid w:val="00AF44F6"/>
    <w:rsid w:val="00B07212"/>
    <w:rsid w:val="00B13865"/>
    <w:rsid w:val="00B309A3"/>
    <w:rsid w:val="00B50367"/>
    <w:rsid w:val="00B72050"/>
    <w:rsid w:val="00B838BE"/>
    <w:rsid w:val="00BA006D"/>
    <w:rsid w:val="00BB31B6"/>
    <w:rsid w:val="00BB6B67"/>
    <w:rsid w:val="00BE23FC"/>
    <w:rsid w:val="00BF7963"/>
    <w:rsid w:val="00C135F3"/>
    <w:rsid w:val="00C14223"/>
    <w:rsid w:val="00C21D39"/>
    <w:rsid w:val="00C32F30"/>
    <w:rsid w:val="00C451BB"/>
    <w:rsid w:val="00C66FED"/>
    <w:rsid w:val="00C87DCA"/>
    <w:rsid w:val="00CB0366"/>
    <w:rsid w:val="00CB5B24"/>
    <w:rsid w:val="00CB69BC"/>
    <w:rsid w:val="00CF0B79"/>
    <w:rsid w:val="00D03B36"/>
    <w:rsid w:val="00D329A1"/>
    <w:rsid w:val="00D74C5F"/>
    <w:rsid w:val="00D97DD0"/>
    <w:rsid w:val="00DB44A8"/>
    <w:rsid w:val="00DC241A"/>
    <w:rsid w:val="00DD60F7"/>
    <w:rsid w:val="00DE2924"/>
    <w:rsid w:val="00DF140A"/>
    <w:rsid w:val="00E3602C"/>
    <w:rsid w:val="00E4545F"/>
    <w:rsid w:val="00E80E90"/>
    <w:rsid w:val="00EC0B20"/>
    <w:rsid w:val="00ED188F"/>
    <w:rsid w:val="00ED469F"/>
    <w:rsid w:val="00EF5642"/>
    <w:rsid w:val="00F005D7"/>
    <w:rsid w:val="00F315F0"/>
    <w:rsid w:val="00F463C4"/>
    <w:rsid w:val="00F62176"/>
    <w:rsid w:val="00F65D6D"/>
    <w:rsid w:val="00F67047"/>
    <w:rsid w:val="00F70A22"/>
    <w:rsid w:val="00F74343"/>
    <w:rsid w:val="00F74558"/>
    <w:rsid w:val="00F76390"/>
    <w:rsid w:val="00F80122"/>
    <w:rsid w:val="00F93FEB"/>
    <w:rsid w:val="00FA0BB5"/>
    <w:rsid w:val="00FB007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DF25C"/>
  <w15:chartTrackingRefBased/>
  <w15:docId w15:val="{53106908-F19D-CB40-9F17-E710790AB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3FE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5DB2"/>
    <w:pPr>
      <w:ind w:left="720"/>
      <w:contextualSpacing/>
    </w:pPr>
  </w:style>
  <w:style w:type="character" w:customStyle="1" w:styleId="apple-converted-space">
    <w:name w:val="apple-converted-space"/>
    <w:basedOn w:val="DefaultParagraphFont"/>
    <w:rsid w:val="00F74558"/>
  </w:style>
  <w:style w:type="paragraph" w:styleId="FootnoteText">
    <w:name w:val="footnote text"/>
    <w:basedOn w:val="Normal"/>
    <w:link w:val="FootnoteTextChar"/>
    <w:uiPriority w:val="99"/>
    <w:semiHidden/>
    <w:unhideWhenUsed/>
    <w:rsid w:val="003A33C6"/>
    <w:rPr>
      <w:sz w:val="20"/>
      <w:szCs w:val="20"/>
    </w:rPr>
  </w:style>
  <w:style w:type="character" w:customStyle="1" w:styleId="FootnoteTextChar">
    <w:name w:val="Footnote Text Char"/>
    <w:basedOn w:val="DefaultParagraphFont"/>
    <w:link w:val="FootnoteText"/>
    <w:uiPriority w:val="99"/>
    <w:semiHidden/>
    <w:rsid w:val="003A33C6"/>
    <w:rPr>
      <w:sz w:val="20"/>
      <w:szCs w:val="20"/>
      <w:lang w:val="en-GB"/>
    </w:rPr>
  </w:style>
  <w:style w:type="character" w:styleId="FootnoteReference">
    <w:name w:val="footnote reference"/>
    <w:basedOn w:val="DefaultParagraphFont"/>
    <w:uiPriority w:val="99"/>
    <w:semiHidden/>
    <w:unhideWhenUsed/>
    <w:rsid w:val="003A33C6"/>
    <w:rPr>
      <w:vertAlign w:val="superscript"/>
    </w:rPr>
  </w:style>
  <w:style w:type="paragraph" w:styleId="NormalWeb">
    <w:name w:val="Normal (Web)"/>
    <w:basedOn w:val="Normal"/>
    <w:uiPriority w:val="99"/>
    <w:unhideWhenUsed/>
    <w:rsid w:val="005161EB"/>
    <w:pPr>
      <w:spacing w:before="100" w:beforeAutospacing="1" w:after="100" w:afterAutospacing="1"/>
    </w:pPr>
  </w:style>
  <w:style w:type="character" w:styleId="Hyperlink">
    <w:name w:val="Hyperlink"/>
    <w:basedOn w:val="DefaultParagraphFont"/>
    <w:uiPriority w:val="99"/>
    <w:unhideWhenUsed/>
    <w:rsid w:val="005161EB"/>
    <w:rPr>
      <w:color w:val="0000FF"/>
      <w:u w:val="single"/>
    </w:rPr>
  </w:style>
  <w:style w:type="character" w:customStyle="1" w:styleId="UnresolvedMention1">
    <w:name w:val="Unresolved Mention1"/>
    <w:basedOn w:val="DefaultParagraphFont"/>
    <w:uiPriority w:val="99"/>
    <w:semiHidden/>
    <w:unhideWhenUsed/>
    <w:rsid w:val="00373F95"/>
    <w:rPr>
      <w:color w:val="605E5C"/>
      <w:shd w:val="clear" w:color="auto" w:fill="E1DFDD"/>
    </w:rPr>
  </w:style>
  <w:style w:type="character" w:styleId="FollowedHyperlink">
    <w:name w:val="FollowedHyperlink"/>
    <w:basedOn w:val="DefaultParagraphFont"/>
    <w:uiPriority w:val="99"/>
    <w:semiHidden/>
    <w:unhideWhenUsed/>
    <w:rsid w:val="006B53BF"/>
    <w:rPr>
      <w:color w:val="954F72" w:themeColor="followedHyperlink"/>
      <w:u w:val="single"/>
    </w:rPr>
  </w:style>
  <w:style w:type="character" w:styleId="CommentReference">
    <w:name w:val="annotation reference"/>
    <w:basedOn w:val="DefaultParagraphFont"/>
    <w:uiPriority w:val="99"/>
    <w:semiHidden/>
    <w:unhideWhenUsed/>
    <w:rsid w:val="001F7F2E"/>
    <w:rPr>
      <w:sz w:val="16"/>
      <w:szCs w:val="16"/>
    </w:rPr>
  </w:style>
  <w:style w:type="paragraph" w:styleId="CommentText">
    <w:name w:val="annotation text"/>
    <w:basedOn w:val="Normal"/>
    <w:link w:val="CommentTextChar"/>
    <w:uiPriority w:val="99"/>
    <w:semiHidden/>
    <w:unhideWhenUsed/>
    <w:rsid w:val="001F7F2E"/>
    <w:rPr>
      <w:sz w:val="20"/>
      <w:szCs w:val="20"/>
    </w:rPr>
  </w:style>
  <w:style w:type="character" w:customStyle="1" w:styleId="CommentTextChar">
    <w:name w:val="Comment Text Char"/>
    <w:basedOn w:val="DefaultParagraphFont"/>
    <w:link w:val="CommentText"/>
    <w:uiPriority w:val="99"/>
    <w:semiHidden/>
    <w:rsid w:val="001F7F2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F7F2E"/>
    <w:rPr>
      <w:b/>
      <w:bCs/>
    </w:rPr>
  </w:style>
  <w:style w:type="character" w:customStyle="1" w:styleId="CommentSubjectChar">
    <w:name w:val="Comment Subject Char"/>
    <w:basedOn w:val="CommentTextChar"/>
    <w:link w:val="CommentSubject"/>
    <w:uiPriority w:val="99"/>
    <w:semiHidden/>
    <w:rsid w:val="001F7F2E"/>
    <w:rPr>
      <w:rFonts w:ascii="Times New Roman" w:eastAsia="Times New Roman" w:hAnsi="Times New Roman" w:cs="Times New Roman"/>
      <w:b/>
      <w:bCs/>
      <w:sz w:val="20"/>
      <w:szCs w:val="20"/>
    </w:rPr>
  </w:style>
  <w:style w:type="paragraph" w:styleId="Revision">
    <w:name w:val="Revision"/>
    <w:hidden/>
    <w:uiPriority w:val="99"/>
    <w:semiHidden/>
    <w:rsid w:val="001F7F2E"/>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1F7F2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7F2E"/>
    <w:rPr>
      <w:rFonts w:ascii="Segoe UI" w:eastAsia="Times New Roman" w:hAnsi="Segoe UI" w:cs="Segoe UI"/>
      <w:sz w:val="18"/>
      <w:szCs w:val="18"/>
    </w:rPr>
  </w:style>
  <w:style w:type="character" w:customStyle="1" w:styleId="UnresolvedMention2">
    <w:name w:val="Unresolved Mention2"/>
    <w:basedOn w:val="DefaultParagraphFont"/>
    <w:uiPriority w:val="99"/>
    <w:semiHidden/>
    <w:unhideWhenUsed/>
    <w:rsid w:val="003917EC"/>
    <w:rPr>
      <w:color w:val="605E5C"/>
      <w:shd w:val="clear" w:color="auto" w:fill="E1DFDD"/>
    </w:rPr>
  </w:style>
  <w:style w:type="character" w:styleId="UnresolvedMention">
    <w:name w:val="Unresolved Mention"/>
    <w:basedOn w:val="DefaultParagraphFont"/>
    <w:uiPriority w:val="99"/>
    <w:semiHidden/>
    <w:unhideWhenUsed/>
    <w:rsid w:val="001E4821"/>
    <w:rPr>
      <w:color w:val="605E5C"/>
      <w:shd w:val="clear" w:color="auto" w:fill="E1DFDD"/>
    </w:rPr>
  </w:style>
  <w:style w:type="paragraph" w:styleId="NoSpacing">
    <w:name w:val="No Spacing"/>
    <w:link w:val="NoSpacingChar"/>
    <w:uiPriority w:val="1"/>
    <w:qFormat/>
    <w:rsid w:val="00C32F30"/>
    <w:rPr>
      <w:rFonts w:eastAsiaTheme="minorEastAsia"/>
      <w:sz w:val="22"/>
      <w:szCs w:val="22"/>
      <w:lang w:val="en-US" w:eastAsia="zh-CN"/>
    </w:rPr>
  </w:style>
  <w:style w:type="character" w:customStyle="1" w:styleId="NoSpacingChar">
    <w:name w:val="No Spacing Char"/>
    <w:basedOn w:val="DefaultParagraphFont"/>
    <w:link w:val="NoSpacing"/>
    <w:uiPriority w:val="1"/>
    <w:rsid w:val="00C32F3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4471">
      <w:bodyDiv w:val="1"/>
      <w:marLeft w:val="0"/>
      <w:marRight w:val="0"/>
      <w:marTop w:val="0"/>
      <w:marBottom w:val="0"/>
      <w:divBdr>
        <w:top w:val="none" w:sz="0" w:space="0" w:color="auto"/>
        <w:left w:val="none" w:sz="0" w:space="0" w:color="auto"/>
        <w:bottom w:val="none" w:sz="0" w:space="0" w:color="auto"/>
        <w:right w:val="none" w:sz="0" w:space="0" w:color="auto"/>
      </w:divBdr>
    </w:div>
    <w:div w:id="28531292">
      <w:bodyDiv w:val="1"/>
      <w:marLeft w:val="0"/>
      <w:marRight w:val="0"/>
      <w:marTop w:val="0"/>
      <w:marBottom w:val="0"/>
      <w:divBdr>
        <w:top w:val="none" w:sz="0" w:space="0" w:color="auto"/>
        <w:left w:val="none" w:sz="0" w:space="0" w:color="auto"/>
        <w:bottom w:val="none" w:sz="0" w:space="0" w:color="auto"/>
        <w:right w:val="none" w:sz="0" w:space="0" w:color="auto"/>
      </w:divBdr>
    </w:div>
    <w:div w:id="62804115">
      <w:bodyDiv w:val="1"/>
      <w:marLeft w:val="0"/>
      <w:marRight w:val="0"/>
      <w:marTop w:val="0"/>
      <w:marBottom w:val="0"/>
      <w:divBdr>
        <w:top w:val="none" w:sz="0" w:space="0" w:color="auto"/>
        <w:left w:val="none" w:sz="0" w:space="0" w:color="auto"/>
        <w:bottom w:val="none" w:sz="0" w:space="0" w:color="auto"/>
        <w:right w:val="none" w:sz="0" w:space="0" w:color="auto"/>
      </w:divBdr>
    </w:div>
    <w:div w:id="76562427">
      <w:bodyDiv w:val="1"/>
      <w:marLeft w:val="0"/>
      <w:marRight w:val="0"/>
      <w:marTop w:val="0"/>
      <w:marBottom w:val="0"/>
      <w:divBdr>
        <w:top w:val="none" w:sz="0" w:space="0" w:color="auto"/>
        <w:left w:val="none" w:sz="0" w:space="0" w:color="auto"/>
        <w:bottom w:val="none" w:sz="0" w:space="0" w:color="auto"/>
        <w:right w:val="none" w:sz="0" w:space="0" w:color="auto"/>
      </w:divBdr>
    </w:div>
    <w:div w:id="89280134">
      <w:bodyDiv w:val="1"/>
      <w:marLeft w:val="0"/>
      <w:marRight w:val="0"/>
      <w:marTop w:val="0"/>
      <w:marBottom w:val="0"/>
      <w:divBdr>
        <w:top w:val="none" w:sz="0" w:space="0" w:color="auto"/>
        <w:left w:val="none" w:sz="0" w:space="0" w:color="auto"/>
        <w:bottom w:val="none" w:sz="0" w:space="0" w:color="auto"/>
        <w:right w:val="none" w:sz="0" w:space="0" w:color="auto"/>
      </w:divBdr>
      <w:divsChild>
        <w:div w:id="35496606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903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835250">
      <w:bodyDiv w:val="1"/>
      <w:marLeft w:val="0"/>
      <w:marRight w:val="0"/>
      <w:marTop w:val="0"/>
      <w:marBottom w:val="0"/>
      <w:divBdr>
        <w:top w:val="none" w:sz="0" w:space="0" w:color="auto"/>
        <w:left w:val="none" w:sz="0" w:space="0" w:color="auto"/>
        <w:bottom w:val="none" w:sz="0" w:space="0" w:color="auto"/>
        <w:right w:val="none" w:sz="0" w:space="0" w:color="auto"/>
      </w:divBdr>
      <w:divsChild>
        <w:div w:id="1031998298">
          <w:marLeft w:val="0"/>
          <w:marRight w:val="0"/>
          <w:marTop w:val="0"/>
          <w:marBottom w:val="0"/>
          <w:divBdr>
            <w:top w:val="none" w:sz="0" w:space="0" w:color="auto"/>
            <w:left w:val="none" w:sz="0" w:space="0" w:color="auto"/>
            <w:bottom w:val="none" w:sz="0" w:space="0" w:color="auto"/>
            <w:right w:val="none" w:sz="0" w:space="0" w:color="auto"/>
          </w:divBdr>
          <w:divsChild>
            <w:div w:id="961763596">
              <w:marLeft w:val="0"/>
              <w:marRight w:val="0"/>
              <w:marTop w:val="0"/>
              <w:marBottom w:val="0"/>
              <w:divBdr>
                <w:top w:val="none" w:sz="0" w:space="0" w:color="auto"/>
                <w:left w:val="none" w:sz="0" w:space="0" w:color="auto"/>
                <w:bottom w:val="none" w:sz="0" w:space="0" w:color="auto"/>
                <w:right w:val="none" w:sz="0" w:space="0" w:color="auto"/>
              </w:divBdr>
              <w:divsChild>
                <w:div w:id="1134326934">
                  <w:marLeft w:val="0"/>
                  <w:marRight w:val="0"/>
                  <w:marTop w:val="0"/>
                  <w:marBottom w:val="0"/>
                  <w:divBdr>
                    <w:top w:val="none" w:sz="0" w:space="0" w:color="auto"/>
                    <w:left w:val="none" w:sz="0" w:space="0" w:color="auto"/>
                    <w:bottom w:val="none" w:sz="0" w:space="0" w:color="auto"/>
                    <w:right w:val="none" w:sz="0" w:space="0" w:color="auto"/>
                  </w:divBdr>
                  <w:divsChild>
                    <w:div w:id="805784656">
                      <w:marLeft w:val="0"/>
                      <w:marRight w:val="0"/>
                      <w:marTop w:val="0"/>
                      <w:marBottom w:val="0"/>
                      <w:divBdr>
                        <w:top w:val="none" w:sz="0" w:space="0" w:color="auto"/>
                        <w:left w:val="none" w:sz="0" w:space="0" w:color="auto"/>
                        <w:bottom w:val="none" w:sz="0" w:space="0" w:color="auto"/>
                        <w:right w:val="none" w:sz="0" w:space="0" w:color="auto"/>
                      </w:divBdr>
                      <w:divsChild>
                        <w:div w:id="23019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71307">
                  <w:marLeft w:val="0"/>
                  <w:marRight w:val="0"/>
                  <w:marTop w:val="0"/>
                  <w:marBottom w:val="0"/>
                  <w:divBdr>
                    <w:top w:val="none" w:sz="0" w:space="0" w:color="auto"/>
                    <w:left w:val="none" w:sz="0" w:space="0" w:color="auto"/>
                    <w:bottom w:val="none" w:sz="0" w:space="0" w:color="auto"/>
                    <w:right w:val="none" w:sz="0" w:space="0" w:color="auto"/>
                  </w:divBdr>
                  <w:divsChild>
                    <w:div w:id="357856348">
                      <w:marLeft w:val="0"/>
                      <w:marRight w:val="0"/>
                      <w:marTop w:val="0"/>
                      <w:marBottom w:val="0"/>
                      <w:divBdr>
                        <w:top w:val="none" w:sz="0" w:space="0" w:color="auto"/>
                        <w:left w:val="none" w:sz="0" w:space="0" w:color="auto"/>
                        <w:bottom w:val="none" w:sz="0" w:space="0" w:color="auto"/>
                        <w:right w:val="none" w:sz="0" w:space="0" w:color="auto"/>
                      </w:divBdr>
                      <w:divsChild>
                        <w:div w:id="140996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5525">
      <w:bodyDiv w:val="1"/>
      <w:marLeft w:val="0"/>
      <w:marRight w:val="0"/>
      <w:marTop w:val="0"/>
      <w:marBottom w:val="0"/>
      <w:divBdr>
        <w:top w:val="none" w:sz="0" w:space="0" w:color="auto"/>
        <w:left w:val="none" w:sz="0" w:space="0" w:color="auto"/>
        <w:bottom w:val="none" w:sz="0" w:space="0" w:color="auto"/>
        <w:right w:val="none" w:sz="0" w:space="0" w:color="auto"/>
      </w:divBdr>
    </w:div>
    <w:div w:id="168063521">
      <w:bodyDiv w:val="1"/>
      <w:marLeft w:val="0"/>
      <w:marRight w:val="0"/>
      <w:marTop w:val="0"/>
      <w:marBottom w:val="0"/>
      <w:divBdr>
        <w:top w:val="none" w:sz="0" w:space="0" w:color="auto"/>
        <w:left w:val="none" w:sz="0" w:space="0" w:color="auto"/>
        <w:bottom w:val="none" w:sz="0" w:space="0" w:color="auto"/>
        <w:right w:val="none" w:sz="0" w:space="0" w:color="auto"/>
      </w:divBdr>
    </w:div>
    <w:div w:id="214706375">
      <w:bodyDiv w:val="1"/>
      <w:marLeft w:val="0"/>
      <w:marRight w:val="0"/>
      <w:marTop w:val="0"/>
      <w:marBottom w:val="0"/>
      <w:divBdr>
        <w:top w:val="none" w:sz="0" w:space="0" w:color="auto"/>
        <w:left w:val="none" w:sz="0" w:space="0" w:color="auto"/>
        <w:bottom w:val="none" w:sz="0" w:space="0" w:color="auto"/>
        <w:right w:val="none" w:sz="0" w:space="0" w:color="auto"/>
      </w:divBdr>
    </w:div>
    <w:div w:id="216404882">
      <w:bodyDiv w:val="1"/>
      <w:marLeft w:val="0"/>
      <w:marRight w:val="0"/>
      <w:marTop w:val="0"/>
      <w:marBottom w:val="0"/>
      <w:divBdr>
        <w:top w:val="none" w:sz="0" w:space="0" w:color="auto"/>
        <w:left w:val="none" w:sz="0" w:space="0" w:color="auto"/>
        <w:bottom w:val="none" w:sz="0" w:space="0" w:color="auto"/>
        <w:right w:val="none" w:sz="0" w:space="0" w:color="auto"/>
      </w:divBdr>
    </w:div>
    <w:div w:id="236600123">
      <w:bodyDiv w:val="1"/>
      <w:marLeft w:val="0"/>
      <w:marRight w:val="0"/>
      <w:marTop w:val="0"/>
      <w:marBottom w:val="0"/>
      <w:divBdr>
        <w:top w:val="none" w:sz="0" w:space="0" w:color="auto"/>
        <w:left w:val="none" w:sz="0" w:space="0" w:color="auto"/>
        <w:bottom w:val="none" w:sz="0" w:space="0" w:color="auto"/>
        <w:right w:val="none" w:sz="0" w:space="0" w:color="auto"/>
      </w:divBdr>
    </w:div>
    <w:div w:id="272829398">
      <w:bodyDiv w:val="1"/>
      <w:marLeft w:val="0"/>
      <w:marRight w:val="0"/>
      <w:marTop w:val="0"/>
      <w:marBottom w:val="0"/>
      <w:divBdr>
        <w:top w:val="none" w:sz="0" w:space="0" w:color="auto"/>
        <w:left w:val="none" w:sz="0" w:space="0" w:color="auto"/>
        <w:bottom w:val="none" w:sz="0" w:space="0" w:color="auto"/>
        <w:right w:val="none" w:sz="0" w:space="0" w:color="auto"/>
      </w:divBdr>
      <w:divsChild>
        <w:div w:id="1809125030">
          <w:marLeft w:val="0"/>
          <w:marRight w:val="0"/>
          <w:marTop w:val="0"/>
          <w:marBottom w:val="0"/>
          <w:divBdr>
            <w:top w:val="none" w:sz="0" w:space="0" w:color="auto"/>
            <w:left w:val="none" w:sz="0" w:space="0" w:color="auto"/>
            <w:bottom w:val="none" w:sz="0" w:space="0" w:color="auto"/>
            <w:right w:val="none" w:sz="0" w:space="0" w:color="auto"/>
          </w:divBdr>
          <w:divsChild>
            <w:div w:id="489755265">
              <w:marLeft w:val="0"/>
              <w:marRight w:val="0"/>
              <w:marTop w:val="0"/>
              <w:marBottom w:val="0"/>
              <w:divBdr>
                <w:top w:val="none" w:sz="0" w:space="0" w:color="auto"/>
                <w:left w:val="none" w:sz="0" w:space="0" w:color="auto"/>
                <w:bottom w:val="none" w:sz="0" w:space="0" w:color="auto"/>
                <w:right w:val="none" w:sz="0" w:space="0" w:color="auto"/>
              </w:divBdr>
              <w:divsChild>
                <w:div w:id="117788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094623">
      <w:bodyDiv w:val="1"/>
      <w:marLeft w:val="0"/>
      <w:marRight w:val="0"/>
      <w:marTop w:val="0"/>
      <w:marBottom w:val="0"/>
      <w:divBdr>
        <w:top w:val="none" w:sz="0" w:space="0" w:color="auto"/>
        <w:left w:val="none" w:sz="0" w:space="0" w:color="auto"/>
        <w:bottom w:val="none" w:sz="0" w:space="0" w:color="auto"/>
        <w:right w:val="none" w:sz="0" w:space="0" w:color="auto"/>
      </w:divBdr>
      <w:divsChild>
        <w:div w:id="1098792077">
          <w:marLeft w:val="0"/>
          <w:marRight w:val="0"/>
          <w:marTop w:val="0"/>
          <w:marBottom w:val="0"/>
          <w:divBdr>
            <w:top w:val="none" w:sz="0" w:space="0" w:color="auto"/>
            <w:left w:val="none" w:sz="0" w:space="0" w:color="auto"/>
            <w:bottom w:val="none" w:sz="0" w:space="0" w:color="auto"/>
            <w:right w:val="none" w:sz="0" w:space="0" w:color="auto"/>
          </w:divBdr>
          <w:divsChild>
            <w:div w:id="328948507">
              <w:marLeft w:val="0"/>
              <w:marRight w:val="0"/>
              <w:marTop w:val="0"/>
              <w:marBottom w:val="0"/>
              <w:divBdr>
                <w:top w:val="none" w:sz="0" w:space="0" w:color="auto"/>
                <w:left w:val="none" w:sz="0" w:space="0" w:color="auto"/>
                <w:bottom w:val="none" w:sz="0" w:space="0" w:color="auto"/>
                <w:right w:val="none" w:sz="0" w:space="0" w:color="auto"/>
              </w:divBdr>
              <w:divsChild>
                <w:div w:id="180141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561798">
      <w:bodyDiv w:val="1"/>
      <w:marLeft w:val="0"/>
      <w:marRight w:val="0"/>
      <w:marTop w:val="0"/>
      <w:marBottom w:val="0"/>
      <w:divBdr>
        <w:top w:val="none" w:sz="0" w:space="0" w:color="auto"/>
        <w:left w:val="none" w:sz="0" w:space="0" w:color="auto"/>
        <w:bottom w:val="none" w:sz="0" w:space="0" w:color="auto"/>
        <w:right w:val="none" w:sz="0" w:space="0" w:color="auto"/>
      </w:divBdr>
      <w:divsChild>
        <w:div w:id="627856741">
          <w:marLeft w:val="0"/>
          <w:marRight w:val="0"/>
          <w:marTop w:val="0"/>
          <w:marBottom w:val="0"/>
          <w:divBdr>
            <w:top w:val="none" w:sz="0" w:space="0" w:color="auto"/>
            <w:left w:val="none" w:sz="0" w:space="0" w:color="auto"/>
            <w:bottom w:val="none" w:sz="0" w:space="0" w:color="auto"/>
            <w:right w:val="none" w:sz="0" w:space="0" w:color="auto"/>
          </w:divBdr>
          <w:divsChild>
            <w:div w:id="622809425">
              <w:marLeft w:val="0"/>
              <w:marRight w:val="0"/>
              <w:marTop w:val="0"/>
              <w:marBottom w:val="0"/>
              <w:divBdr>
                <w:top w:val="none" w:sz="0" w:space="0" w:color="auto"/>
                <w:left w:val="none" w:sz="0" w:space="0" w:color="auto"/>
                <w:bottom w:val="none" w:sz="0" w:space="0" w:color="auto"/>
                <w:right w:val="none" w:sz="0" w:space="0" w:color="auto"/>
              </w:divBdr>
              <w:divsChild>
                <w:div w:id="464469618">
                  <w:marLeft w:val="0"/>
                  <w:marRight w:val="0"/>
                  <w:marTop w:val="0"/>
                  <w:marBottom w:val="0"/>
                  <w:divBdr>
                    <w:top w:val="none" w:sz="0" w:space="0" w:color="auto"/>
                    <w:left w:val="none" w:sz="0" w:space="0" w:color="auto"/>
                    <w:bottom w:val="none" w:sz="0" w:space="0" w:color="auto"/>
                    <w:right w:val="none" w:sz="0" w:space="0" w:color="auto"/>
                  </w:divBdr>
                  <w:divsChild>
                    <w:div w:id="1822623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427127">
      <w:bodyDiv w:val="1"/>
      <w:marLeft w:val="0"/>
      <w:marRight w:val="0"/>
      <w:marTop w:val="0"/>
      <w:marBottom w:val="0"/>
      <w:divBdr>
        <w:top w:val="none" w:sz="0" w:space="0" w:color="auto"/>
        <w:left w:val="none" w:sz="0" w:space="0" w:color="auto"/>
        <w:bottom w:val="none" w:sz="0" w:space="0" w:color="auto"/>
        <w:right w:val="none" w:sz="0" w:space="0" w:color="auto"/>
      </w:divBdr>
    </w:div>
    <w:div w:id="494690867">
      <w:bodyDiv w:val="1"/>
      <w:marLeft w:val="0"/>
      <w:marRight w:val="0"/>
      <w:marTop w:val="0"/>
      <w:marBottom w:val="0"/>
      <w:divBdr>
        <w:top w:val="none" w:sz="0" w:space="0" w:color="auto"/>
        <w:left w:val="none" w:sz="0" w:space="0" w:color="auto"/>
        <w:bottom w:val="none" w:sz="0" w:space="0" w:color="auto"/>
        <w:right w:val="none" w:sz="0" w:space="0" w:color="auto"/>
      </w:divBdr>
      <w:divsChild>
        <w:div w:id="1295915137">
          <w:marLeft w:val="0"/>
          <w:marRight w:val="0"/>
          <w:marTop w:val="0"/>
          <w:marBottom w:val="0"/>
          <w:divBdr>
            <w:top w:val="none" w:sz="0" w:space="0" w:color="auto"/>
            <w:left w:val="none" w:sz="0" w:space="0" w:color="auto"/>
            <w:bottom w:val="none" w:sz="0" w:space="0" w:color="auto"/>
            <w:right w:val="none" w:sz="0" w:space="0" w:color="auto"/>
          </w:divBdr>
          <w:divsChild>
            <w:div w:id="1393887378">
              <w:marLeft w:val="0"/>
              <w:marRight w:val="0"/>
              <w:marTop w:val="0"/>
              <w:marBottom w:val="0"/>
              <w:divBdr>
                <w:top w:val="none" w:sz="0" w:space="0" w:color="auto"/>
                <w:left w:val="none" w:sz="0" w:space="0" w:color="auto"/>
                <w:bottom w:val="none" w:sz="0" w:space="0" w:color="auto"/>
                <w:right w:val="none" w:sz="0" w:space="0" w:color="auto"/>
              </w:divBdr>
              <w:divsChild>
                <w:div w:id="1348290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14200">
      <w:bodyDiv w:val="1"/>
      <w:marLeft w:val="0"/>
      <w:marRight w:val="0"/>
      <w:marTop w:val="0"/>
      <w:marBottom w:val="0"/>
      <w:divBdr>
        <w:top w:val="none" w:sz="0" w:space="0" w:color="auto"/>
        <w:left w:val="none" w:sz="0" w:space="0" w:color="auto"/>
        <w:bottom w:val="none" w:sz="0" w:space="0" w:color="auto"/>
        <w:right w:val="none" w:sz="0" w:space="0" w:color="auto"/>
      </w:divBdr>
      <w:divsChild>
        <w:div w:id="513762442">
          <w:marLeft w:val="0"/>
          <w:marRight w:val="0"/>
          <w:marTop w:val="0"/>
          <w:marBottom w:val="0"/>
          <w:divBdr>
            <w:top w:val="none" w:sz="0" w:space="0" w:color="auto"/>
            <w:left w:val="none" w:sz="0" w:space="0" w:color="auto"/>
            <w:bottom w:val="none" w:sz="0" w:space="0" w:color="auto"/>
            <w:right w:val="none" w:sz="0" w:space="0" w:color="auto"/>
          </w:divBdr>
          <w:divsChild>
            <w:div w:id="791678220">
              <w:marLeft w:val="0"/>
              <w:marRight w:val="0"/>
              <w:marTop w:val="0"/>
              <w:marBottom w:val="0"/>
              <w:divBdr>
                <w:top w:val="none" w:sz="0" w:space="0" w:color="auto"/>
                <w:left w:val="none" w:sz="0" w:space="0" w:color="auto"/>
                <w:bottom w:val="none" w:sz="0" w:space="0" w:color="auto"/>
                <w:right w:val="none" w:sz="0" w:space="0" w:color="auto"/>
              </w:divBdr>
              <w:divsChild>
                <w:div w:id="127875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3887322">
      <w:bodyDiv w:val="1"/>
      <w:marLeft w:val="0"/>
      <w:marRight w:val="0"/>
      <w:marTop w:val="0"/>
      <w:marBottom w:val="0"/>
      <w:divBdr>
        <w:top w:val="none" w:sz="0" w:space="0" w:color="auto"/>
        <w:left w:val="none" w:sz="0" w:space="0" w:color="auto"/>
        <w:bottom w:val="none" w:sz="0" w:space="0" w:color="auto"/>
        <w:right w:val="none" w:sz="0" w:space="0" w:color="auto"/>
      </w:divBdr>
      <w:divsChild>
        <w:div w:id="2051029367">
          <w:marLeft w:val="0"/>
          <w:marRight w:val="0"/>
          <w:marTop w:val="0"/>
          <w:marBottom w:val="0"/>
          <w:divBdr>
            <w:top w:val="none" w:sz="0" w:space="0" w:color="auto"/>
            <w:left w:val="none" w:sz="0" w:space="0" w:color="auto"/>
            <w:bottom w:val="none" w:sz="0" w:space="0" w:color="auto"/>
            <w:right w:val="none" w:sz="0" w:space="0" w:color="auto"/>
          </w:divBdr>
          <w:divsChild>
            <w:div w:id="153762036">
              <w:marLeft w:val="0"/>
              <w:marRight w:val="0"/>
              <w:marTop w:val="0"/>
              <w:marBottom w:val="0"/>
              <w:divBdr>
                <w:top w:val="none" w:sz="0" w:space="0" w:color="auto"/>
                <w:left w:val="none" w:sz="0" w:space="0" w:color="auto"/>
                <w:bottom w:val="none" w:sz="0" w:space="0" w:color="auto"/>
                <w:right w:val="none" w:sz="0" w:space="0" w:color="auto"/>
              </w:divBdr>
              <w:divsChild>
                <w:div w:id="14060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836417">
      <w:bodyDiv w:val="1"/>
      <w:marLeft w:val="0"/>
      <w:marRight w:val="0"/>
      <w:marTop w:val="0"/>
      <w:marBottom w:val="0"/>
      <w:divBdr>
        <w:top w:val="none" w:sz="0" w:space="0" w:color="auto"/>
        <w:left w:val="none" w:sz="0" w:space="0" w:color="auto"/>
        <w:bottom w:val="none" w:sz="0" w:space="0" w:color="auto"/>
        <w:right w:val="none" w:sz="0" w:space="0" w:color="auto"/>
      </w:divBdr>
    </w:div>
    <w:div w:id="574508243">
      <w:bodyDiv w:val="1"/>
      <w:marLeft w:val="0"/>
      <w:marRight w:val="0"/>
      <w:marTop w:val="0"/>
      <w:marBottom w:val="0"/>
      <w:divBdr>
        <w:top w:val="none" w:sz="0" w:space="0" w:color="auto"/>
        <w:left w:val="none" w:sz="0" w:space="0" w:color="auto"/>
        <w:bottom w:val="none" w:sz="0" w:space="0" w:color="auto"/>
        <w:right w:val="none" w:sz="0" w:space="0" w:color="auto"/>
      </w:divBdr>
    </w:div>
    <w:div w:id="662129746">
      <w:bodyDiv w:val="1"/>
      <w:marLeft w:val="0"/>
      <w:marRight w:val="0"/>
      <w:marTop w:val="0"/>
      <w:marBottom w:val="0"/>
      <w:divBdr>
        <w:top w:val="none" w:sz="0" w:space="0" w:color="auto"/>
        <w:left w:val="none" w:sz="0" w:space="0" w:color="auto"/>
        <w:bottom w:val="none" w:sz="0" w:space="0" w:color="auto"/>
        <w:right w:val="none" w:sz="0" w:space="0" w:color="auto"/>
      </w:divBdr>
    </w:div>
    <w:div w:id="684477204">
      <w:bodyDiv w:val="1"/>
      <w:marLeft w:val="0"/>
      <w:marRight w:val="0"/>
      <w:marTop w:val="0"/>
      <w:marBottom w:val="0"/>
      <w:divBdr>
        <w:top w:val="none" w:sz="0" w:space="0" w:color="auto"/>
        <w:left w:val="none" w:sz="0" w:space="0" w:color="auto"/>
        <w:bottom w:val="none" w:sz="0" w:space="0" w:color="auto"/>
        <w:right w:val="none" w:sz="0" w:space="0" w:color="auto"/>
      </w:divBdr>
      <w:divsChild>
        <w:div w:id="255943631">
          <w:marLeft w:val="0"/>
          <w:marRight w:val="0"/>
          <w:marTop w:val="0"/>
          <w:marBottom w:val="0"/>
          <w:divBdr>
            <w:top w:val="none" w:sz="0" w:space="0" w:color="auto"/>
            <w:left w:val="none" w:sz="0" w:space="0" w:color="auto"/>
            <w:bottom w:val="none" w:sz="0" w:space="0" w:color="auto"/>
            <w:right w:val="none" w:sz="0" w:space="0" w:color="auto"/>
          </w:divBdr>
          <w:divsChild>
            <w:div w:id="1525551943">
              <w:marLeft w:val="0"/>
              <w:marRight w:val="0"/>
              <w:marTop w:val="0"/>
              <w:marBottom w:val="0"/>
              <w:divBdr>
                <w:top w:val="none" w:sz="0" w:space="0" w:color="auto"/>
                <w:left w:val="none" w:sz="0" w:space="0" w:color="auto"/>
                <w:bottom w:val="none" w:sz="0" w:space="0" w:color="auto"/>
                <w:right w:val="none" w:sz="0" w:space="0" w:color="auto"/>
              </w:divBdr>
              <w:divsChild>
                <w:div w:id="204952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257669">
      <w:bodyDiv w:val="1"/>
      <w:marLeft w:val="0"/>
      <w:marRight w:val="0"/>
      <w:marTop w:val="0"/>
      <w:marBottom w:val="0"/>
      <w:divBdr>
        <w:top w:val="none" w:sz="0" w:space="0" w:color="auto"/>
        <w:left w:val="none" w:sz="0" w:space="0" w:color="auto"/>
        <w:bottom w:val="none" w:sz="0" w:space="0" w:color="auto"/>
        <w:right w:val="none" w:sz="0" w:space="0" w:color="auto"/>
      </w:divBdr>
      <w:divsChild>
        <w:div w:id="76199734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42842235">
              <w:marLeft w:val="0"/>
              <w:marRight w:val="0"/>
              <w:marTop w:val="0"/>
              <w:marBottom w:val="0"/>
              <w:divBdr>
                <w:top w:val="none" w:sz="0" w:space="0" w:color="auto"/>
                <w:left w:val="none" w:sz="0" w:space="0" w:color="auto"/>
                <w:bottom w:val="none" w:sz="0" w:space="0" w:color="auto"/>
                <w:right w:val="none" w:sz="0" w:space="0" w:color="auto"/>
              </w:divBdr>
              <w:divsChild>
                <w:div w:id="809320241">
                  <w:marLeft w:val="0"/>
                  <w:marRight w:val="0"/>
                  <w:marTop w:val="0"/>
                  <w:marBottom w:val="0"/>
                  <w:divBdr>
                    <w:top w:val="none" w:sz="0" w:space="0" w:color="auto"/>
                    <w:left w:val="none" w:sz="0" w:space="0" w:color="auto"/>
                    <w:bottom w:val="none" w:sz="0" w:space="0" w:color="auto"/>
                    <w:right w:val="none" w:sz="0" w:space="0" w:color="auto"/>
                  </w:divBdr>
                  <w:divsChild>
                    <w:div w:id="1905405956">
                      <w:blockQuote w:val="1"/>
                      <w:marLeft w:val="96"/>
                      <w:marRight w:val="0"/>
                      <w:marTop w:val="100"/>
                      <w:marBottom w:val="100"/>
                      <w:divBdr>
                        <w:top w:val="none" w:sz="0" w:space="0" w:color="auto"/>
                        <w:left w:val="single" w:sz="8" w:space="6" w:color="CCCCCC"/>
                        <w:bottom w:val="none" w:sz="0" w:space="0" w:color="auto"/>
                        <w:right w:val="none" w:sz="0" w:space="0" w:color="auto"/>
                      </w:divBdr>
                      <w:divsChild>
                        <w:div w:id="1911693564">
                          <w:marLeft w:val="0"/>
                          <w:marRight w:val="0"/>
                          <w:marTop w:val="0"/>
                          <w:marBottom w:val="0"/>
                          <w:divBdr>
                            <w:top w:val="none" w:sz="0" w:space="0" w:color="auto"/>
                            <w:left w:val="none" w:sz="0" w:space="0" w:color="auto"/>
                            <w:bottom w:val="none" w:sz="0" w:space="0" w:color="auto"/>
                            <w:right w:val="none" w:sz="0" w:space="0" w:color="auto"/>
                          </w:divBdr>
                          <w:divsChild>
                            <w:div w:id="1071733379">
                              <w:marLeft w:val="0"/>
                              <w:marRight w:val="0"/>
                              <w:marTop w:val="0"/>
                              <w:marBottom w:val="0"/>
                              <w:divBdr>
                                <w:top w:val="none" w:sz="0" w:space="0" w:color="auto"/>
                                <w:left w:val="none" w:sz="0" w:space="0" w:color="auto"/>
                                <w:bottom w:val="none" w:sz="0" w:space="0" w:color="auto"/>
                                <w:right w:val="none" w:sz="0" w:space="0" w:color="auto"/>
                              </w:divBdr>
                              <w:divsChild>
                                <w:div w:id="145167450">
                                  <w:marLeft w:val="0"/>
                                  <w:marRight w:val="0"/>
                                  <w:marTop w:val="0"/>
                                  <w:marBottom w:val="0"/>
                                  <w:divBdr>
                                    <w:top w:val="none" w:sz="0" w:space="0" w:color="auto"/>
                                    <w:left w:val="none" w:sz="0" w:space="0" w:color="auto"/>
                                    <w:bottom w:val="none" w:sz="0" w:space="0" w:color="auto"/>
                                    <w:right w:val="none" w:sz="0" w:space="0" w:color="auto"/>
                                  </w:divBdr>
                                  <w:divsChild>
                                    <w:div w:id="1469322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3968199">
      <w:bodyDiv w:val="1"/>
      <w:marLeft w:val="0"/>
      <w:marRight w:val="0"/>
      <w:marTop w:val="0"/>
      <w:marBottom w:val="0"/>
      <w:divBdr>
        <w:top w:val="none" w:sz="0" w:space="0" w:color="auto"/>
        <w:left w:val="none" w:sz="0" w:space="0" w:color="auto"/>
        <w:bottom w:val="none" w:sz="0" w:space="0" w:color="auto"/>
        <w:right w:val="none" w:sz="0" w:space="0" w:color="auto"/>
      </w:divBdr>
      <w:divsChild>
        <w:div w:id="949048911">
          <w:marLeft w:val="0"/>
          <w:marRight w:val="0"/>
          <w:marTop w:val="0"/>
          <w:marBottom w:val="0"/>
          <w:divBdr>
            <w:top w:val="none" w:sz="0" w:space="0" w:color="auto"/>
            <w:left w:val="none" w:sz="0" w:space="0" w:color="auto"/>
            <w:bottom w:val="none" w:sz="0" w:space="0" w:color="auto"/>
            <w:right w:val="none" w:sz="0" w:space="0" w:color="auto"/>
          </w:divBdr>
          <w:divsChild>
            <w:div w:id="1396539376">
              <w:marLeft w:val="0"/>
              <w:marRight w:val="0"/>
              <w:marTop w:val="0"/>
              <w:marBottom w:val="0"/>
              <w:divBdr>
                <w:top w:val="none" w:sz="0" w:space="0" w:color="auto"/>
                <w:left w:val="none" w:sz="0" w:space="0" w:color="auto"/>
                <w:bottom w:val="none" w:sz="0" w:space="0" w:color="auto"/>
                <w:right w:val="none" w:sz="0" w:space="0" w:color="auto"/>
              </w:divBdr>
              <w:divsChild>
                <w:div w:id="72418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035498">
      <w:bodyDiv w:val="1"/>
      <w:marLeft w:val="0"/>
      <w:marRight w:val="0"/>
      <w:marTop w:val="0"/>
      <w:marBottom w:val="0"/>
      <w:divBdr>
        <w:top w:val="none" w:sz="0" w:space="0" w:color="auto"/>
        <w:left w:val="none" w:sz="0" w:space="0" w:color="auto"/>
        <w:bottom w:val="none" w:sz="0" w:space="0" w:color="auto"/>
        <w:right w:val="none" w:sz="0" w:space="0" w:color="auto"/>
      </w:divBdr>
      <w:divsChild>
        <w:div w:id="662896698">
          <w:marLeft w:val="0"/>
          <w:marRight w:val="0"/>
          <w:marTop w:val="0"/>
          <w:marBottom w:val="0"/>
          <w:divBdr>
            <w:top w:val="none" w:sz="0" w:space="0" w:color="auto"/>
            <w:left w:val="none" w:sz="0" w:space="0" w:color="auto"/>
            <w:bottom w:val="none" w:sz="0" w:space="0" w:color="auto"/>
            <w:right w:val="none" w:sz="0" w:space="0" w:color="auto"/>
          </w:divBdr>
          <w:divsChild>
            <w:div w:id="825366384">
              <w:marLeft w:val="0"/>
              <w:marRight w:val="0"/>
              <w:marTop w:val="0"/>
              <w:marBottom w:val="0"/>
              <w:divBdr>
                <w:top w:val="none" w:sz="0" w:space="0" w:color="auto"/>
                <w:left w:val="none" w:sz="0" w:space="0" w:color="auto"/>
                <w:bottom w:val="none" w:sz="0" w:space="0" w:color="auto"/>
                <w:right w:val="none" w:sz="0" w:space="0" w:color="auto"/>
              </w:divBdr>
              <w:divsChild>
                <w:div w:id="93030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071086">
      <w:bodyDiv w:val="1"/>
      <w:marLeft w:val="0"/>
      <w:marRight w:val="0"/>
      <w:marTop w:val="0"/>
      <w:marBottom w:val="0"/>
      <w:divBdr>
        <w:top w:val="none" w:sz="0" w:space="0" w:color="auto"/>
        <w:left w:val="none" w:sz="0" w:space="0" w:color="auto"/>
        <w:bottom w:val="none" w:sz="0" w:space="0" w:color="auto"/>
        <w:right w:val="none" w:sz="0" w:space="0" w:color="auto"/>
      </w:divBdr>
    </w:div>
    <w:div w:id="778454998">
      <w:bodyDiv w:val="1"/>
      <w:marLeft w:val="0"/>
      <w:marRight w:val="0"/>
      <w:marTop w:val="0"/>
      <w:marBottom w:val="0"/>
      <w:divBdr>
        <w:top w:val="none" w:sz="0" w:space="0" w:color="auto"/>
        <w:left w:val="none" w:sz="0" w:space="0" w:color="auto"/>
        <w:bottom w:val="none" w:sz="0" w:space="0" w:color="auto"/>
        <w:right w:val="none" w:sz="0" w:space="0" w:color="auto"/>
      </w:divBdr>
    </w:div>
    <w:div w:id="796993441">
      <w:bodyDiv w:val="1"/>
      <w:marLeft w:val="0"/>
      <w:marRight w:val="0"/>
      <w:marTop w:val="0"/>
      <w:marBottom w:val="0"/>
      <w:divBdr>
        <w:top w:val="none" w:sz="0" w:space="0" w:color="auto"/>
        <w:left w:val="none" w:sz="0" w:space="0" w:color="auto"/>
        <w:bottom w:val="none" w:sz="0" w:space="0" w:color="auto"/>
        <w:right w:val="none" w:sz="0" w:space="0" w:color="auto"/>
      </w:divBdr>
    </w:div>
    <w:div w:id="806363775">
      <w:bodyDiv w:val="1"/>
      <w:marLeft w:val="0"/>
      <w:marRight w:val="0"/>
      <w:marTop w:val="0"/>
      <w:marBottom w:val="0"/>
      <w:divBdr>
        <w:top w:val="none" w:sz="0" w:space="0" w:color="auto"/>
        <w:left w:val="none" w:sz="0" w:space="0" w:color="auto"/>
        <w:bottom w:val="none" w:sz="0" w:space="0" w:color="auto"/>
        <w:right w:val="none" w:sz="0" w:space="0" w:color="auto"/>
      </w:divBdr>
      <w:divsChild>
        <w:div w:id="1914116923">
          <w:marLeft w:val="0"/>
          <w:marRight w:val="0"/>
          <w:marTop w:val="0"/>
          <w:marBottom w:val="0"/>
          <w:divBdr>
            <w:top w:val="none" w:sz="0" w:space="0" w:color="auto"/>
            <w:left w:val="none" w:sz="0" w:space="0" w:color="auto"/>
            <w:bottom w:val="none" w:sz="0" w:space="0" w:color="auto"/>
            <w:right w:val="none" w:sz="0" w:space="0" w:color="auto"/>
          </w:divBdr>
          <w:divsChild>
            <w:div w:id="1522627752">
              <w:marLeft w:val="0"/>
              <w:marRight w:val="0"/>
              <w:marTop w:val="0"/>
              <w:marBottom w:val="0"/>
              <w:divBdr>
                <w:top w:val="none" w:sz="0" w:space="0" w:color="auto"/>
                <w:left w:val="none" w:sz="0" w:space="0" w:color="auto"/>
                <w:bottom w:val="none" w:sz="0" w:space="0" w:color="auto"/>
                <w:right w:val="none" w:sz="0" w:space="0" w:color="auto"/>
              </w:divBdr>
              <w:divsChild>
                <w:div w:id="162719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91382">
      <w:bodyDiv w:val="1"/>
      <w:marLeft w:val="0"/>
      <w:marRight w:val="0"/>
      <w:marTop w:val="0"/>
      <w:marBottom w:val="0"/>
      <w:divBdr>
        <w:top w:val="none" w:sz="0" w:space="0" w:color="auto"/>
        <w:left w:val="none" w:sz="0" w:space="0" w:color="auto"/>
        <w:bottom w:val="none" w:sz="0" w:space="0" w:color="auto"/>
        <w:right w:val="none" w:sz="0" w:space="0" w:color="auto"/>
      </w:divBdr>
      <w:divsChild>
        <w:div w:id="2036957178">
          <w:marLeft w:val="0"/>
          <w:marRight w:val="0"/>
          <w:marTop w:val="0"/>
          <w:marBottom w:val="0"/>
          <w:divBdr>
            <w:top w:val="none" w:sz="0" w:space="0" w:color="auto"/>
            <w:left w:val="none" w:sz="0" w:space="0" w:color="auto"/>
            <w:bottom w:val="none" w:sz="0" w:space="0" w:color="auto"/>
            <w:right w:val="none" w:sz="0" w:space="0" w:color="auto"/>
          </w:divBdr>
          <w:divsChild>
            <w:div w:id="307712906">
              <w:marLeft w:val="0"/>
              <w:marRight w:val="0"/>
              <w:marTop w:val="0"/>
              <w:marBottom w:val="0"/>
              <w:divBdr>
                <w:top w:val="none" w:sz="0" w:space="0" w:color="auto"/>
                <w:left w:val="none" w:sz="0" w:space="0" w:color="auto"/>
                <w:bottom w:val="none" w:sz="0" w:space="0" w:color="auto"/>
                <w:right w:val="none" w:sz="0" w:space="0" w:color="auto"/>
              </w:divBdr>
              <w:divsChild>
                <w:div w:id="163879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56002">
      <w:bodyDiv w:val="1"/>
      <w:marLeft w:val="0"/>
      <w:marRight w:val="0"/>
      <w:marTop w:val="0"/>
      <w:marBottom w:val="0"/>
      <w:divBdr>
        <w:top w:val="none" w:sz="0" w:space="0" w:color="auto"/>
        <w:left w:val="none" w:sz="0" w:space="0" w:color="auto"/>
        <w:bottom w:val="none" w:sz="0" w:space="0" w:color="auto"/>
        <w:right w:val="none" w:sz="0" w:space="0" w:color="auto"/>
      </w:divBdr>
    </w:div>
    <w:div w:id="997463509">
      <w:bodyDiv w:val="1"/>
      <w:marLeft w:val="0"/>
      <w:marRight w:val="0"/>
      <w:marTop w:val="0"/>
      <w:marBottom w:val="0"/>
      <w:divBdr>
        <w:top w:val="none" w:sz="0" w:space="0" w:color="auto"/>
        <w:left w:val="none" w:sz="0" w:space="0" w:color="auto"/>
        <w:bottom w:val="none" w:sz="0" w:space="0" w:color="auto"/>
        <w:right w:val="none" w:sz="0" w:space="0" w:color="auto"/>
      </w:divBdr>
      <w:divsChild>
        <w:div w:id="1785922308">
          <w:marLeft w:val="0"/>
          <w:marRight w:val="0"/>
          <w:marTop w:val="0"/>
          <w:marBottom w:val="0"/>
          <w:divBdr>
            <w:top w:val="none" w:sz="0" w:space="0" w:color="auto"/>
            <w:left w:val="none" w:sz="0" w:space="0" w:color="auto"/>
            <w:bottom w:val="none" w:sz="0" w:space="0" w:color="auto"/>
            <w:right w:val="none" w:sz="0" w:space="0" w:color="auto"/>
          </w:divBdr>
          <w:divsChild>
            <w:div w:id="903179641">
              <w:marLeft w:val="0"/>
              <w:marRight w:val="0"/>
              <w:marTop w:val="0"/>
              <w:marBottom w:val="0"/>
              <w:divBdr>
                <w:top w:val="none" w:sz="0" w:space="0" w:color="auto"/>
                <w:left w:val="none" w:sz="0" w:space="0" w:color="auto"/>
                <w:bottom w:val="none" w:sz="0" w:space="0" w:color="auto"/>
                <w:right w:val="none" w:sz="0" w:space="0" w:color="auto"/>
              </w:divBdr>
              <w:divsChild>
                <w:div w:id="15128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4187495">
      <w:bodyDiv w:val="1"/>
      <w:marLeft w:val="0"/>
      <w:marRight w:val="0"/>
      <w:marTop w:val="0"/>
      <w:marBottom w:val="0"/>
      <w:divBdr>
        <w:top w:val="none" w:sz="0" w:space="0" w:color="auto"/>
        <w:left w:val="none" w:sz="0" w:space="0" w:color="auto"/>
        <w:bottom w:val="none" w:sz="0" w:space="0" w:color="auto"/>
        <w:right w:val="none" w:sz="0" w:space="0" w:color="auto"/>
      </w:divBdr>
    </w:div>
    <w:div w:id="1066149026">
      <w:bodyDiv w:val="1"/>
      <w:marLeft w:val="0"/>
      <w:marRight w:val="0"/>
      <w:marTop w:val="0"/>
      <w:marBottom w:val="0"/>
      <w:divBdr>
        <w:top w:val="none" w:sz="0" w:space="0" w:color="auto"/>
        <w:left w:val="none" w:sz="0" w:space="0" w:color="auto"/>
        <w:bottom w:val="none" w:sz="0" w:space="0" w:color="auto"/>
        <w:right w:val="none" w:sz="0" w:space="0" w:color="auto"/>
      </w:divBdr>
      <w:divsChild>
        <w:div w:id="776411142">
          <w:marLeft w:val="0"/>
          <w:marRight w:val="0"/>
          <w:marTop w:val="0"/>
          <w:marBottom w:val="0"/>
          <w:divBdr>
            <w:top w:val="none" w:sz="0" w:space="0" w:color="auto"/>
            <w:left w:val="none" w:sz="0" w:space="0" w:color="auto"/>
            <w:bottom w:val="none" w:sz="0" w:space="0" w:color="auto"/>
            <w:right w:val="none" w:sz="0" w:space="0" w:color="auto"/>
          </w:divBdr>
          <w:divsChild>
            <w:div w:id="2091920752">
              <w:marLeft w:val="0"/>
              <w:marRight w:val="0"/>
              <w:marTop w:val="0"/>
              <w:marBottom w:val="0"/>
              <w:divBdr>
                <w:top w:val="none" w:sz="0" w:space="0" w:color="auto"/>
                <w:left w:val="none" w:sz="0" w:space="0" w:color="auto"/>
                <w:bottom w:val="none" w:sz="0" w:space="0" w:color="auto"/>
                <w:right w:val="none" w:sz="0" w:space="0" w:color="auto"/>
              </w:divBdr>
              <w:divsChild>
                <w:div w:id="89365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868813">
      <w:bodyDiv w:val="1"/>
      <w:marLeft w:val="0"/>
      <w:marRight w:val="0"/>
      <w:marTop w:val="0"/>
      <w:marBottom w:val="0"/>
      <w:divBdr>
        <w:top w:val="none" w:sz="0" w:space="0" w:color="auto"/>
        <w:left w:val="none" w:sz="0" w:space="0" w:color="auto"/>
        <w:bottom w:val="none" w:sz="0" w:space="0" w:color="auto"/>
        <w:right w:val="none" w:sz="0" w:space="0" w:color="auto"/>
      </w:divBdr>
      <w:divsChild>
        <w:div w:id="1100643772">
          <w:marLeft w:val="0"/>
          <w:marRight w:val="0"/>
          <w:marTop w:val="0"/>
          <w:marBottom w:val="0"/>
          <w:divBdr>
            <w:top w:val="none" w:sz="0" w:space="0" w:color="auto"/>
            <w:left w:val="none" w:sz="0" w:space="0" w:color="auto"/>
            <w:bottom w:val="none" w:sz="0" w:space="0" w:color="auto"/>
            <w:right w:val="none" w:sz="0" w:space="0" w:color="auto"/>
          </w:divBdr>
          <w:divsChild>
            <w:div w:id="1521772950">
              <w:marLeft w:val="0"/>
              <w:marRight w:val="0"/>
              <w:marTop w:val="0"/>
              <w:marBottom w:val="0"/>
              <w:divBdr>
                <w:top w:val="none" w:sz="0" w:space="0" w:color="auto"/>
                <w:left w:val="none" w:sz="0" w:space="0" w:color="auto"/>
                <w:bottom w:val="none" w:sz="0" w:space="0" w:color="auto"/>
                <w:right w:val="none" w:sz="0" w:space="0" w:color="auto"/>
              </w:divBdr>
              <w:divsChild>
                <w:div w:id="26612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92295">
      <w:bodyDiv w:val="1"/>
      <w:marLeft w:val="0"/>
      <w:marRight w:val="0"/>
      <w:marTop w:val="0"/>
      <w:marBottom w:val="0"/>
      <w:divBdr>
        <w:top w:val="none" w:sz="0" w:space="0" w:color="auto"/>
        <w:left w:val="none" w:sz="0" w:space="0" w:color="auto"/>
        <w:bottom w:val="none" w:sz="0" w:space="0" w:color="auto"/>
        <w:right w:val="none" w:sz="0" w:space="0" w:color="auto"/>
      </w:divBdr>
    </w:div>
    <w:div w:id="1161584042">
      <w:bodyDiv w:val="1"/>
      <w:marLeft w:val="0"/>
      <w:marRight w:val="0"/>
      <w:marTop w:val="0"/>
      <w:marBottom w:val="0"/>
      <w:divBdr>
        <w:top w:val="none" w:sz="0" w:space="0" w:color="auto"/>
        <w:left w:val="none" w:sz="0" w:space="0" w:color="auto"/>
        <w:bottom w:val="none" w:sz="0" w:space="0" w:color="auto"/>
        <w:right w:val="none" w:sz="0" w:space="0" w:color="auto"/>
      </w:divBdr>
      <w:divsChild>
        <w:div w:id="163518351">
          <w:marLeft w:val="0"/>
          <w:marRight w:val="0"/>
          <w:marTop w:val="0"/>
          <w:marBottom w:val="0"/>
          <w:divBdr>
            <w:top w:val="none" w:sz="0" w:space="0" w:color="auto"/>
            <w:left w:val="none" w:sz="0" w:space="0" w:color="auto"/>
            <w:bottom w:val="none" w:sz="0" w:space="0" w:color="auto"/>
            <w:right w:val="none" w:sz="0" w:space="0" w:color="auto"/>
          </w:divBdr>
        </w:div>
      </w:divsChild>
    </w:div>
    <w:div w:id="1173834050">
      <w:bodyDiv w:val="1"/>
      <w:marLeft w:val="0"/>
      <w:marRight w:val="0"/>
      <w:marTop w:val="0"/>
      <w:marBottom w:val="0"/>
      <w:divBdr>
        <w:top w:val="none" w:sz="0" w:space="0" w:color="auto"/>
        <w:left w:val="none" w:sz="0" w:space="0" w:color="auto"/>
        <w:bottom w:val="none" w:sz="0" w:space="0" w:color="auto"/>
        <w:right w:val="none" w:sz="0" w:space="0" w:color="auto"/>
      </w:divBdr>
      <w:divsChild>
        <w:div w:id="1029842591">
          <w:marLeft w:val="0"/>
          <w:marRight w:val="0"/>
          <w:marTop w:val="0"/>
          <w:marBottom w:val="0"/>
          <w:divBdr>
            <w:top w:val="none" w:sz="0" w:space="0" w:color="auto"/>
            <w:left w:val="none" w:sz="0" w:space="0" w:color="auto"/>
            <w:bottom w:val="none" w:sz="0" w:space="0" w:color="auto"/>
            <w:right w:val="none" w:sz="0" w:space="0" w:color="auto"/>
          </w:divBdr>
          <w:divsChild>
            <w:div w:id="812678171">
              <w:marLeft w:val="0"/>
              <w:marRight w:val="0"/>
              <w:marTop w:val="0"/>
              <w:marBottom w:val="0"/>
              <w:divBdr>
                <w:top w:val="none" w:sz="0" w:space="0" w:color="auto"/>
                <w:left w:val="none" w:sz="0" w:space="0" w:color="auto"/>
                <w:bottom w:val="none" w:sz="0" w:space="0" w:color="auto"/>
                <w:right w:val="none" w:sz="0" w:space="0" w:color="auto"/>
              </w:divBdr>
              <w:divsChild>
                <w:div w:id="1438601670">
                  <w:marLeft w:val="0"/>
                  <w:marRight w:val="0"/>
                  <w:marTop w:val="0"/>
                  <w:marBottom w:val="0"/>
                  <w:divBdr>
                    <w:top w:val="none" w:sz="0" w:space="0" w:color="auto"/>
                    <w:left w:val="none" w:sz="0" w:space="0" w:color="auto"/>
                    <w:bottom w:val="none" w:sz="0" w:space="0" w:color="auto"/>
                    <w:right w:val="none" w:sz="0" w:space="0" w:color="auto"/>
                  </w:divBdr>
                  <w:divsChild>
                    <w:div w:id="52601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6353522">
      <w:bodyDiv w:val="1"/>
      <w:marLeft w:val="0"/>
      <w:marRight w:val="0"/>
      <w:marTop w:val="0"/>
      <w:marBottom w:val="0"/>
      <w:divBdr>
        <w:top w:val="none" w:sz="0" w:space="0" w:color="auto"/>
        <w:left w:val="none" w:sz="0" w:space="0" w:color="auto"/>
        <w:bottom w:val="none" w:sz="0" w:space="0" w:color="auto"/>
        <w:right w:val="none" w:sz="0" w:space="0" w:color="auto"/>
      </w:divBdr>
      <w:divsChild>
        <w:div w:id="1588733059">
          <w:marLeft w:val="0"/>
          <w:marRight w:val="0"/>
          <w:marTop w:val="0"/>
          <w:marBottom w:val="0"/>
          <w:divBdr>
            <w:top w:val="none" w:sz="0" w:space="0" w:color="auto"/>
            <w:left w:val="none" w:sz="0" w:space="0" w:color="auto"/>
            <w:bottom w:val="none" w:sz="0" w:space="0" w:color="auto"/>
            <w:right w:val="none" w:sz="0" w:space="0" w:color="auto"/>
          </w:divBdr>
          <w:divsChild>
            <w:div w:id="966156691">
              <w:marLeft w:val="0"/>
              <w:marRight w:val="0"/>
              <w:marTop w:val="0"/>
              <w:marBottom w:val="0"/>
              <w:divBdr>
                <w:top w:val="none" w:sz="0" w:space="0" w:color="auto"/>
                <w:left w:val="none" w:sz="0" w:space="0" w:color="auto"/>
                <w:bottom w:val="none" w:sz="0" w:space="0" w:color="auto"/>
                <w:right w:val="none" w:sz="0" w:space="0" w:color="auto"/>
              </w:divBdr>
              <w:divsChild>
                <w:div w:id="176124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291067">
      <w:bodyDiv w:val="1"/>
      <w:marLeft w:val="0"/>
      <w:marRight w:val="0"/>
      <w:marTop w:val="0"/>
      <w:marBottom w:val="0"/>
      <w:divBdr>
        <w:top w:val="none" w:sz="0" w:space="0" w:color="auto"/>
        <w:left w:val="none" w:sz="0" w:space="0" w:color="auto"/>
        <w:bottom w:val="none" w:sz="0" w:space="0" w:color="auto"/>
        <w:right w:val="none" w:sz="0" w:space="0" w:color="auto"/>
      </w:divBdr>
      <w:divsChild>
        <w:div w:id="412706698">
          <w:marLeft w:val="0"/>
          <w:marRight w:val="0"/>
          <w:marTop w:val="0"/>
          <w:marBottom w:val="0"/>
          <w:divBdr>
            <w:top w:val="none" w:sz="0" w:space="0" w:color="auto"/>
            <w:left w:val="none" w:sz="0" w:space="0" w:color="auto"/>
            <w:bottom w:val="none" w:sz="0" w:space="0" w:color="auto"/>
            <w:right w:val="none" w:sz="0" w:space="0" w:color="auto"/>
          </w:divBdr>
          <w:divsChild>
            <w:div w:id="1080173851">
              <w:marLeft w:val="0"/>
              <w:marRight w:val="0"/>
              <w:marTop w:val="0"/>
              <w:marBottom w:val="0"/>
              <w:divBdr>
                <w:top w:val="none" w:sz="0" w:space="0" w:color="auto"/>
                <w:left w:val="none" w:sz="0" w:space="0" w:color="auto"/>
                <w:bottom w:val="none" w:sz="0" w:space="0" w:color="auto"/>
                <w:right w:val="none" w:sz="0" w:space="0" w:color="auto"/>
              </w:divBdr>
              <w:divsChild>
                <w:div w:id="850145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366108">
      <w:bodyDiv w:val="1"/>
      <w:marLeft w:val="0"/>
      <w:marRight w:val="0"/>
      <w:marTop w:val="0"/>
      <w:marBottom w:val="0"/>
      <w:divBdr>
        <w:top w:val="none" w:sz="0" w:space="0" w:color="auto"/>
        <w:left w:val="none" w:sz="0" w:space="0" w:color="auto"/>
        <w:bottom w:val="none" w:sz="0" w:space="0" w:color="auto"/>
        <w:right w:val="none" w:sz="0" w:space="0" w:color="auto"/>
      </w:divBdr>
      <w:divsChild>
        <w:div w:id="12779029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4168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471472">
      <w:bodyDiv w:val="1"/>
      <w:marLeft w:val="0"/>
      <w:marRight w:val="0"/>
      <w:marTop w:val="0"/>
      <w:marBottom w:val="0"/>
      <w:divBdr>
        <w:top w:val="none" w:sz="0" w:space="0" w:color="auto"/>
        <w:left w:val="none" w:sz="0" w:space="0" w:color="auto"/>
        <w:bottom w:val="none" w:sz="0" w:space="0" w:color="auto"/>
        <w:right w:val="none" w:sz="0" w:space="0" w:color="auto"/>
      </w:divBdr>
    </w:div>
    <w:div w:id="1335381539">
      <w:bodyDiv w:val="1"/>
      <w:marLeft w:val="0"/>
      <w:marRight w:val="0"/>
      <w:marTop w:val="0"/>
      <w:marBottom w:val="0"/>
      <w:divBdr>
        <w:top w:val="none" w:sz="0" w:space="0" w:color="auto"/>
        <w:left w:val="none" w:sz="0" w:space="0" w:color="auto"/>
        <w:bottom w:val="none" w:sz="0" w:space="0" w:color="auto"/>
        <w:right w:val="none" w:sz="0" w:space="0" w:color="auto"/>
      </w:divBdr>
      <w:divsChild>
        <w:div w:id="1923173613">
          <w:marLeft w:val="0"/>
          <w:marRight w:val="0"/>
          <w:marTop w:val="0"/>
          <w:marBottom w:val="0"/>
          <w:divBdr>
            <w:top w:val="none" w:sz="0" w:space="0" w:color="auto"/>
            <w:left w:val="none" w:sz="0" w:space="0" w:color="auto"/>
            <w:bottom w:val="none" w:sz="0" w:space="0" w:color="auto"/>
            <w:right w:val="none" w:sz="0" w:space="0" w:color="auto"/>
          </w:divBdr>
          <w:divsChild>
            <w:div w:id="1375040229">
              <w:marLeft w:val="0"/>
              <w:marRight w:val="0"/>
              <w:marTop w:val="0"/>
              <w:marBottom w:val="0"/>
              <w:divBdr>
                <w:top w:val="none" w:sz="0" w:space="0" w:color="auto"/>
                <w:left w:val="none" w:sz="0" w:space="0" w:color="auto"/>
                <w:bottom w:val="none" w:sz="0" w:space="0" w:color="auto"/>
                <w:right w:val="none" w:sz="0" w:space="0" w:color="auto"/>
              </w:divBdr>
              <w:divsChild>
                <w:div w:id="172532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092457">
      <w:bodyDiv w:val="1"/>
      <w:marLeft w:val="0"/>
      <w:marRight w:val="0"/>
      <w:marTop w:val="0"/>
      <w:marBottom w:val="0"/>
      <w:divBdr>
        <w:top w:val="none" w:sz="0" w:space="0" w:color="auto"/>
        <w:left w:val="none" w:sz="0" w:space="0" w:color="auto"/>
        <w:bottom w:val="none" w:sz="0" w:space="0" w:color="auto"/>
        <w:right w:val="none" w:sz="0" w:space="0" w:color="auto"/>
      </w:divBdr>
    </w:div>
    <w:div w:id="1369990465">
      <w:bodyDiv w:val="1"/>
      <w:marLeft w:val="0"/>
      <w:marRight w:val="0"/>
      <w:marTop w:val="0"/>
      <w:marBottom w:val="0"/>
      <w:divBdr>
        <w:top w:val="none" w:sz="0" w:space="0" w:color="auto"/>
        <w:left w:val="none" w:sz="0" w:space="0" w:color="auto"/>
        <w:bottom w:val="none" w:sz="0" w:space="0" w:color="auto"/>
        <w:right w:val="none" w:sz="0" w:space="0" w:color="auto"/>
      </w:divBdr>
    </w:div>
    <w:div w:id="1431857367">
      <w:bodyDiv w:val="1"/>
      <w:marLeft w:val="0"/>
      <w:marRight w:val="0"/>
      <w:marTop w:val="0"/>
      <w:marBottom w:val="0"/>
      <w:divBdr>
        <w:top w:val="none" w:sz="0" w:space="0" w:color="auto"/>
        <w:left w:val="none" w:sz="0" w:space="0" w:color="auto"/>
        <w:bottom w:val="none" w:sz="0" w:space="0" w:color="auto"/>
        <w:right w:val="none" w:sz="0" w:space="0" w:color="auto"/>
      </w:divBdr>
      <w:divsChild>
        <w:div w:id="202523805">
          <w:marLeft w:val="0"/>
          <w:marRight w:val="0"/>
          <w:marTop w:val="0"/>
          <w:marBottom w:val="0"/>
          <w:divBdr>
            <w:top w:val="none" w:sz="0" w:space="0" w:color="auto"/>
            <w:left w:val="none" w:sz="0" w:space="0" w:color="auto"/>
            <w:bottom w:val="none" w:sz="0" w:space="0" w:color="auto"/>
            <w:right w:val="none" w:sz="0" w:space="0" w:color="auto"/>
          </w:divBdr>
          <w:divsChild>
            <w:div w:id="584729508">
              <w:marLeft w:val="0"/>
              <w:marRight w:val="0"/>
              <w:marTop w:val="0"/>
              <w:marBottom w:val="0"/>
              <w:divBdr>
                <w:top w:val="none" w:sz="0" w:space="0" w:color="auto"/>
                <w:left w:val="none" w:sz="0" w:space="0" w:color="auto"/>
                <w:bottom w:val="none" w:sz="0" w:space="0" w:color="auto"/>
                <w:right w:val="none" w:sz="0" w:space="0" w:color="auto"/>
              </w:divBdr>
              <w:divsChild>
                <w:div w:id="190494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6826">
      <w:bodyDiv w:val="1"/>
      <w:marLeft w:val="0"/>
      <w:marRight w:val="0"/>
      <w:marTop w:val="0"/>
      <w:marBottom w:val="0"/>
      <w:divBdr>
        <w:top w:val="none" w:sz="0" w:space="0" w:color="auto"/>
        <w:left w:val="none" w:sz="0" w:space="0" w:color="auto"/>
        <w:bottom w:val="none" w:sz="0" w:space="0" w:color="auto"/>
        <w:right w:val="none" w:sz="0" w:space="0" w:color="auto"/>
      </w:divBdr>
      <w:divsChild>
        <w:div w:id="872694844">
          <w:marLeft w:val="0"/>
          <w:marRight w:val="0"/>
          <w:marTop w:val="0"/>
          <w:marBottom w:val="0"/>
          <w:divBdr>
            <w:top w:val="none" w:sz="0" w:space="0" w:color="auto"/>
            <w:left w:val="none" w:sz="0" w:space="0" w:color="auto"/>
            <w:bottom w:val="none" w:sz="0" w:space="0" w:color="auto"/>
            <w:right w:val="none" w:sz="0" w:space="0" w:color="auto"/>
          </w:divBdr>
          <w:divsChild>
            <w:div w:id="1814178768">
              <w:marLeft w:val="0"/>
              <w:marRight w:val="0"/>
              <w:marTop w:val="0"/>
              <w:marBottom w:val="0"/>
              <w:divBdr>
                <w:top w:val="none" w:sz="0" w:space="0" w:color="auto"/>
                <w:left w:val="none" w:sz="0" w:space="0" w:color="auto"/>
                <w:bottom w:val="none" w:sz="0" w:space="0" w:color="auto"/>
                <w:right w:val="none" w:sz="0" w:space="0" w:color="auto"/>
              </w:divBdr>
              <w:divsChild>
                <w:div w:id="799569704">
                  <w:marLeft w:val="0"/>
                  <w:marRight w:val="0"/>
                  <w:marTop w:val="0"/>
                  <w:marBottom w:val="0"/>
                  <w:divBdr>
                    <w:top w:val="none" w:sz="0" w:space="0" w:color="auto"/>
                    <w:left w:val="none" w:sz="0" w:space="0" w:color="auto"/>
                    <w:bottom w:val="none" w:sz="0" w:space="0" w:color="auto"/>
                    <w:right w:val="none" w:sz="0" w:space="0" w:color="auto"/>
                  </w:divBdr>
                </w:div>
              </w:divsChild>
            </w:div>
            <w:div w:id="511073174">
              <w:marLeft w:val="0"/>
              <w:marRight w:val="0"/>
              <w:marTop w:val="0"/>
              <w:marBottom w:val="0"/>
              <w:divBdr>
                <w:top w:val="none" w:sz="0" w:space="0" w:color="auto"/>
                <w:left w:val="none" w:sz="0" w:space="0" w:color="auto"/>
                <w:bottom w:val="none" w:sz="0" w:space="0" w:color="auto"/>
                <w:right w:val="none" w:sz="0" w:space="0" w:color="auto"/>
              </w:divBdr>
              <w:divsChild>
                <w:div w:id="186189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361497">
      <w:bodyDiv w:val="1"/>
      <w:marLeft w:val="0"/>
      <w:marRight w:val="0"/>
      <w:marTop w:val="0"/>
      <w:marBottom w:val="0"/>
      <w:divBdr>
        <w:top w:val="none" w:sz="0" w:space="0" w:color="auto"/>
        <w:left w:val="none" w:sz="0" w:space="0" w:color="auto"/>
        <w:bottom w:val="none" w:sz="0" w:space="0" w:color="auto"/>
        <w:right w:val="none" w:sz="0" w:space="0" w:color="auto"/>
      </w:divBdr>
    </w:div>
    <w:div w:id="1475637722">
      <w:bodyDiv w:val="1"/>
      <w:marLeft w:val="0"/>
      <w:marRight w:val="0"/>
      <w:marTop w:val="0"/>
      <w:marBottom w:val="0"/>
      <w:divBdr>
        <w:top w:val="none" w:sz="0" w:space="0" w:color="auto"/>
        <w:left w:val="none" w:sz="0" w:space="0" w:color="auto"/>
        <w:bottom w:val="none" w:sz="0" w:space="0" w:color="auto"/>
        <w:right w:val="none" w:sz="0" w:space="0" w:color="auto"/>
      </w:divBdr>
    </w:div>
    <w:div w:id="1477333054">
      <w:bodyDiv w:val="1"/>
      <w:marLeft w:val="0"/>
      <w:marRight w:val="0"/>
      <w:marTop w:val="0"/>
      <w:marBottom w:val="0"/>
      <w:divBdr>
        <w:top w:val="none" w:sz="0" w:space="0" w:color="auto"/>
        <w:left w:val="none" w:sz="0" w:space="0" w:color="auto"/>
        <w:bottom w:val="none" w:sz="0" w:space="0" w:color="auto"/>
        <w:right w:val="none" w:sz="0" w:space="0" w:color="auto"/>
      </w:divBdr>
    </w:div>
    <w:div w:id="1490055841">
      <w:bodyDiv w:val="1"/>
      <w:marLeft w:val="0"/>
      <w:marRight w:val="0"/>
      <w:marTop w:val="0"/>
      <w:marBottom w:val="0"/>
      <w:divBdr>
        <w:top w:val="none" w:sz="0" w:space="0" w:color="auto"/>
        <w:left w:val="none" w:sz="0" w:space="0" w:color="auto"/>
        <w:bottom w:val="none" w:sz="0" w:space="0" w:color="auto"/>
        <w:right w:val="none" w:sz="0" w:space="0" w:color="auto"/>
      </w:divBdr>
      <w:divsChild>
        <w:div w:id="647444032">
          <w:marLeft w:val="0"/>
          <w:marRight w:val="0"/>
          <w:marTop w:val="0"/>
          <w:marBottom w:val="0"/>
          <w:divBdr>
            <w:top w:val="none" w:sz="0" w:space="0" w:color="auto"/>
            <w:left w:val="none" w:sz="0" w:space="0" w:color="auto"/>
            <w:bottom w:val="none" w:sz="0" w:space="0" w:color="auto"/>
            <w:right w:val="none" w:sz="0" w:space="0" w:color="auto"/>
          </w:divBdr>
          <w:divsChild>
            <w:div w:id="2146579657">
              <w:marLeft w:val="0"/>
              <w:marRight w:val="0"/>
              <w:marTop w:val="0"/>
              <w:marBottom w:val="0"/>
              <w:divBdr>
                <w:top w:val="none" w:sz="0" w:space="0" w:color="auto"/>
                <w:left w:val="none" w:sz="0" w:space="0" w:color="auto"/>
                <w:bottom w:val="none" w:sz="0" w:space="0" w:color="auto"/>
                <w:right w:val="none" w:sz="0" w:space="0" w:color="auto"/>
              </w:divBdr>
              <w:divsChild>
                <w:div w:id="1221133916">
                  <w:marLeft w:val="0"/>
                  <w:marRight w:val="0"/>
                  <w:marTop w:val="0"/>
                  <w:marBottom w:val="0"/>
                  <w:divBdr>
                    <w:top w:val="none" w:sz="0" w:space="0" w:color="auto"/>
                    <w:left w:val="none" w:sz="0" w:space="0" w:color="auto"/>
                    <w:bottom w:val="none" w:sz="0" w:space="0" w:color="auto"/>
                    <w:right w:val="none" w:sz="0" w:space="0" w:color="auto"/>
                  </w:divBdr>
                  <w:divsChild>
                    <w:div w:id="12639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7044525">
      <w:bodyDiv w:val="1"/>
      <w:marLeft w:val="0"/>
      <w:marRight w:val="0"/>
      <w:marTop w:val="0"/>
      <w:marBottom w:val="0"/>
      <w:divBdr>
        <w:top w:val="none" w:sz="0" w:space="0" w:color="auto"/>
        <w:left w:val="none" w:sz="0" w:space="0" w:color="auto"/>
        <w:bottom w:val="none" w:sz="0" w:space="0" w:color="auto"/>
        <w:right w:val="none" w:sz="0" w:space="0" w:color="auto"/>
      </w:divBdr>
    </w:div>
    <w:div w:id="1542669918">
      <w:bodyDiv w:val="1"/>
      <w:marLeft w:val="0"/>
      <w:marRight w:val="0"/>
      <w:marTop w:val="0"/>
      <w:marBottom w:val="0"/>
      <w:divBdr>
        <w:top w:val="none" w:sz="0" w:space="0" w:color="auto"/>
        <w:left w:val="none" w:sz="0" w:space="0" w:color="auto"/>
        <w:bottom w:val="none" w:sz="0" w:space="0" w:color="auto"/>
        <w:right w:val="none" w:sz="0" w:space="0" w:color="auto"/>
      </w:divBdr>
      <w:divsChild>
        <w:div w:id="18908006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653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588642">
      <w:bodyDiv w:val="1"/>
      <w:marLeft w:val="0"/>
      <w:marRight w:val="0"/>
      <w:marTop w:val="0"/>
      <w:marBottom w:val="0"/>
      <w:divBdr>
        <w:top w:val="none" w:sz="0" w:space="0" w:color="auto"/>
        <w:left w:val="none" w:sz="0" w:space="0" w:color="auto"/>
        <w:bottom w:val="none" w:sz="0" w:space="0" w:color="auto"/>
        <w:right w:val="none" w:sz="0" w:space="0" w:color="auto"/>
      </w:divBdr>
    </w:div>
    <w:div w:id="1585449990">
      <w:bodyDiv w:val="1"/>
      <w:marLeft w:val="0"/>
      <w:marRight w:val="0"/>
      <w:marTop w:val="0"/>
      <w:marBottom w:val="0"/>
      <w:divBdr>
        <w:top w:val="none" w:sz="0" w:space="0" w:color="auto"/>
        <w:left w:val="none" w:sz="0" w:space="0" w:color="auto"/>
        <w:bottom w:val="none" w:sz="0" w:space="0" w:color="auto"/>
        <w:right w:val="none" w:sz="0" w:space="0" w:color="auto"/>
      </w:divBdr>
      <w:divsChild>
        <w:div w:id="1495101233">
          <w:marLeft w:val="0"/>
          <w:marRight w:val="0"/>
          <w:marTop w:val="0"/>
          <w:marBottom w:val="0"/>
          <w:divBdr>
            <w:top w:val="none" w:sz="0" w:space="0" w:color="auto"/>
            <w:left w:val="none" w:sz="0" w:space="0" w:color="auto"/>
            <w:bottom w:val="none" w:sz="0" w:space="0" w:color="auto"/>
            <w:right w:val="none" w:sz="0" w:space="0" w:color="auto"/>
          </w:divBdr>
          <w:divsChild>
            <w:div w:id="214245354">
              <w:marLeft w:val="0"/>
              <w:marRight w:val="0"/>
              <w:marTop w:val="0"/>
              <w:marBottom w:val="0"/>
              <w:divBdr>
                <w:top w:val="none" w:sz="0" w:space="0" w:color="auto"/>
                <w:left w:val="none" w:sz="0" w:space="0" w:color="auto"/>
                <w:bottom w:val="none" w:sz="0" w:space="0" w:color="auto"/>
                <w:right w:val="none" w:sz="0" w:space="0" w:color="auto"/>
              </w:divBdr>
              <w:divsChild>
                <w:div w:id="17202672">
                  <w:marLeft w:val="0"/>
                  <w:marRight w:val="0"/>
                  <w:marTop w:val="0"/>
                  <w:marBottom w:val="0"/>
                  <w:divBdr>
                    <w:top w:val="none" w:sz="0" w:space="0" w:color="auto"/>
                    <w:left w:val="none" w:sz="0" w:space="0" w:color="auto"/>
                    <w:bottom w:val="none" w:sz="0" w:space="0" w:color="auto"/>
                    <w:right w:val="none" w:sz="0" w:space="0" w:color="auto"/>
                  </w:divBdr>
                  <w:divsChild>
                    <w:div w:id="174891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272490">
      <w:bodyDiv w:val="1"/>
      <w:marLeft w:val="0"/>
      <w:marRight w:val="0"/>
      <w:marTop w:val="0"/>
      <w:marBottom w:val="0"/>
      <w:divBdr>
        <w:top w:val="none" w:sz="0" w:space="0" w:color="auto"/>
        <w:left w:val="none" w:sz="0" w:space="0" w:color="auto"/>
        <w:bottom w:val="none" w:sz="0" w:space="0" w:color="auto"/>
        <w:right w:val="none" w:sz="0" w:space="0" w:color="auto"/>
      </w:divBdr>
      <w:divsChild>
        <w:div w:id="1658458466">
          <w:marLeft w:val="0"/>
          <w:marRight w:val="0"/>
          <w:marTop w:val="0"/>
          <w:marBottom w:val="0"/>
          <w:divBdr>
            <w:top w:val="none" w:sz="0" w:space="0" w:color="auto"/>
            <w:left w:val="none" w:sz="0" w:space="0" w:color="auto"/>
            <w:bottom w:val="none" w:sz="0" w:space="0" w:color="auto"/>
            <w:right w:val="none" w:sz="0" w:space="0" w:color="auto"/>
          </w:divBdr>
          <w:divsChild>
            <w:div w:id="324434021">
              <w:marLeft w:val="0"/>
              <w:marRight w:val="0"/>
              <w:marTop w:val="0"/>
              <w:marBottom w:val="0"/>
              <w:divBdr>
                <w:top w:val="none" w:sz="0" w:space="0" w:color="auto"/>
                <w:left w:val="none" w:sz="0" w:space="0" w:color="auto"/>
                <w:bottom w:val="none" w:sz="0" w:space="0" w:color="auto"/>
                <w:right w:val="none" w:sz="0" w:space="0" w:color="auto"/>
              </w:divBdr>
              <w:divsChild>
                <w:div w:id="139685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9484376">
      <w:bodyDiv w:val="1"/>
      <w:marLeft w:val="0"/>
      <w:marRight w:val="0"/>
      <w:marTop w:val="0"/>
      <w:marBottom w:val="0"/>
      <w:divBdr>
        <w:top w:val="none" w:sz="0" w:space="0" w:color="auto"/>
        <w:left w:val="none" w:sz="0" w:space="0" w:color="auto"/>
        <w:bottom w:val="none" w:sz="0" w:space="0" w:color="auto"/>
        <w:right w:val="none" w:sz="0" w:space="0" w:color="auto"/>
      </w:divBdr>
      <w:divsChild>
        <w:div w:id="487093475">
          <w:marLeft w:val="0"/>
          <w:marRight w:val="0"/>
          <w:marTop w:val="0"/>
          <w:marBottom w:val="0"/>
          <w:divBdr>
            <w:top w:val="none" w:sz="0" w:space="0" w:color="auto"/>
            <w:left w:val="none" w:sz="0" w:space="0" w:color="auto"/>
            <w:bottom w:val="none" w:sz="0" w:space="0" w:color="auto"/>
            <w:right w:val="none" w:sz="0" w:space="0" w:color="auto"/>
          </w:divBdr>
          <w:divsChild>
            <w:div w:id="1739941656">
              <w:marLeft w:val="0"/>
              <w:marRight w:val="0"/>
              <w:marTop w:val="0"/>
              <w:marBottom w:val="0"/>
              <w:divBdr>
                <w:top w:val="none" w:sz="0" w:space="0" w:color="auto"/>
                <w:left w:val="none" w:sz="0" w:space="0" w:color="auto"/>
                <w:bottom w:val="none" w:sz="0" w:space="0" w:color="auto"/>
                <w:right w:val="none" w:sz="0" w:space="0" w:color="auto"/>
              </w:divBdr>
              <w:divsChild>
                <w:div w:id="108726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030559">
      <w:bodyDiv w:val="1"/>
      <w:marLeft w:val="0"/>
      <w:marRight w:val="0"/>
      <w:marTop w:val="0"/>
      <w:marBottom w:val="0"/>
      <w:divBdr>
        <w:top w:val="none" w:sz="0" w:space="0" w:color="auto"/>
        <w:left w:val="none" w:sz="0" w:space="0" w:color="auto"/>
        <w:bottom w:val="none" w:sz="0" w:space="0" w:color="auto"/>
        <w:right w:val="none" w:sz="0" w:space="0" w:color="auto"/>
      </w:divBdr>
      <w:divsChild>
        <w:div w:id="1899440537">
          <w:marLeft w:val="0"/>
          <w:marRight w:val="0"/>
          <w:marTop w:val="0"/>
          <w:marBottom w:val="0"/>
          <w:divBdr>
            <w:top w:val="none" w:sz="0" w:space="0" w:color="auto"/>
            <w:left w:val="none" w:sz="0" w:space="0" w:color="auto"/>
            <w:bottom w:val="none" w:sz="0" w:space="0" w:color="auto"/>
            <w:right w:val="none" w:sz="0" w:space="0" w:color="auto"/>
          </w:divBdr>
          <w:divsChild>
            <w:div w:id="374425635">
              <w:marLeft w:val="0"/>
              <w:marRight w:val="0"/>
              <w:marTop w:val="0"/>
              <w:marBottom w:val="0"/>
              <w:divBdr>
                <w:top w:val="none" w:sz="0" w:space="0" w:color="auto"/>
                <w:left w:val="none" w:sz="0" w:space="0" w:color="auto"/>
                <w:bottom w:val="none" w:sz="0" w:space="0" w:color="auto"/>
                <w:right w:val="none" w:sz="0" w:space="0" w:color="auto"/>
              </w:divBdr>
              <w:divsChild>
                <w:div w:id="167853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348050">
      <w:bodyDiv w:val="1"/>
      <w:marLeft w:val="0"/>
      <w:marRight w:val="0"/>
      <w:marTop w:val="0"/>
      <w:marBottom w:val="0"/>
      <w:divBdr>
        <w:top w:val="none" w:sz="0" w:space="0" w:color="auto"/>
        <w:left w:val="none" w:sz="0" w:space="0" w:color="auto"/>
        <w:bottom w:val="none" w:sz="0" w:space="0" w:color="auto"/>
        <w:right w:val="none" w:sz="0" w:space="0" w:color="auto"/>
      </w:divBdr>
    </w:div>
    <w:div w:id="1699812392">
      <w:bodyDiv w:val="1"/>
      <w:marLeft w:val="0"/>
      <w:marRight w:val="0"/>
      <w:marTop w:val="0"/>
      <w:marBottom w:val="0"/>
      <w:divBdr>
        <w:top w:val="none" w:sz="0" w:space="0" w:color="auto"/>
        <w:left w:val="none" w:sz="0" w:space="0" w:color="auto"/>
        <w:bottom w:val="none" w:sz="0" w:space="0" w:color="auto"/>
        <w:right w:val="none" w:sz="0" w:space="0" w:color="auto"/>
      </w:divBdr>
      <w:divsChild>
        <w:div w:id="1007096556">
          <w:marLeft w:val="0"/>
          <w:marRight w:val="0"/>
          <w:marTop w:val="0"/>
          <w:marBottom w:val="0"/>
          <w:divBdr>
            <w:top w:val="none" w:sz="0" w:space="0" w:color="auto"/>
            <w:left w:val="none" w:sz="0" w:space="0" w:color="auto"/>
            <w:bottom w:val="none" w:sz="0" w:space="0" w:color="auto"/>
            <w:right w:val="none" w:sz="0" w:space="0" w:color="auto"/>
          </w:divBdr>
          <w:divsChild>
            <w:div w:id="1433747485">
              <w:marLeft w:val="0"/>
              <w:marRight w:val="0"/>
              <w:marTop w:val="0"/>
              <w:marBottom w:val="0"/>
              <w:divBdr>
                <w:top w:val="none" w:sz="0" w:space="0" w:color="auto"/>
                <w:left w:val="none" w:sz="0" w:space="0" w:color="auto"/>
                <w:bottom w:val="none" w:sz="0" w:space="0" w:color="auto"/>
                <w:right w:val="none" w:sz="0" w:space="0" w:color="auto"/>
              </w:divBdr>
              <w:divsChild>
                <w:div w:id="9335715">
                  <w:marLeft w:val="0"/>
                  <w:marRight w:val="0"/>
                  <w:marTop w:val="0"/>
                  <w:marBottom w:val="0"/>
                  <w:divBdr>
                    <w:top w:val="none" w:sz="0" w:space="0" w:color="auto"/>
                    <w:left w:val="none" w:sz="0" w:space="0" w:color="auto"/>
                    <w:bottom w:val="none" w:sz="0" w:space="0" w:color="auto"/>
                    <w:right w:val="none" w:sz="0" w:space="0" w:color="auto"/>
                  </w:divBdr>
                </w:div>
              </w:divsChild>
            </w:div>
            <w:div w:id="1309550853">
              <w:marLeft w:val="0"/>
              <w:marRight w:val="0"/>
              <w:marTop w:val="0"/>
              <w:marBottom w:val="0"/>
              <w:divBdr>
                <w:top w:val="none" w:sz="0" w:space="0" w:color="auto"/>
                <w:left w:val="none" w:sz="0" w:space="0" w:color="auto"/>
                <w:bottom w:val="none" w:sz="0" w:space="0" w:color="auto"/>
                <w:right w:val="none" w:sz="0" w:space="0" w:color="auto"/>
              </w:divBdr>
              <w:divsChild>
                <w:div w:id="64069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710171">
      <w:bodyDiv w:val="1"/>
      <w:marLeft w:val="0"/>
      <w:marRight w:val="0"/>
      <w:marTop w:val="0"/>
      <w:marBottom w:val="0"/>
      <w:divBdr>
        <w:top w:val="none" w:sz="0" w:space="0" w:color="auto"/>
        <w:left w:val="none" w:sz="0" w:space="0" w:color="auto"/>
        <w:bottom w:val="none" w:sz="0" w:space="0" w:color="auto"/>
        <w:right w:val="none" w:sz="0" w:space="0" w:color="auto"/>
      </w:divBdr>
      <w:divsChild>
        <w:div w:id="2030787386">
          <w:marLeft w:val="0"/>
          <w:marRight w:val="0"/>
          <w:marTop w:val="0"/>
          <w:marBottom w:val="0"/>
          <w:divBdr>
            <w:top w:val="none" w:sz="0" w:space="0" w:color="auto"/>
            <w:left w:val="none" w:sz="0" w:space="0" w:color="auto"/>
            <w:bottom w:val="none" w:sz="0" w:space="0" w:color="auto"/>
            <w:right w:val="none" w:sz="0" w:space="0" w:color="auto"/>
          </w:divBdr>
          <w:divsChild>
            <w:div w:id="340552291">
              <w:marLeft w:val="0"/>
              <w:marRight w:val="0"/>
              <w:marTop w:val="0"/>
              <w:marBottom w:val="0"/>
              <w:divBdr>
                <w:top w:val="none" w:sz="0" w:space="0" w:color="auto"/>
                <w:left w:val="none" w:sz="0" w:space="0" w:color="auto"/>
                <w:bottom w:val="none" w:sz="0" w:space="0" w:color="auto"/>
                <w:right w:val="none" w:sz="0" w:space="0" w:color="auto"/>
              </w:divBdr>
              <w:divsChild>
                <w:div w:id="1279991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368759">
      <w:bodyDiv w:val="1"/>
      <w:marLeft w:val="0"/>
      <w:marRight w:val="0"/>
      <w:marTop w:val="0"/>
      <w:marBottom w:val="0"/>
      <w:divBdr>
        <w:top w:val="none" w:sz="0" w:space="0" w:color="auto"/>
        <w:left w:val="none" w:sz="0" w:space="0" w:color="auto"/>
        <w:bottom w:val="none" w:sz="0" w:space="0" w:color="auto"/>
        <w:right w:val="none" w:sz="0" w:space="0" w:color="auto"/>
      </w:divBdr>
      <w:divsChild>
        <w:div w:id="428047295">
          <w:marLeft w:val="0"/>
          <w:marRight w:val="0"/>
          <w:marTop w:val="0"/>
          <w:marBottom w:val="0"/>
          <w:divBdr>
            <w:top w:val="none" w:sz="0" w:space="0" w:color="auto"/>
            <w:left w:val="none" w:sz="0" w:space="0" w:color="auto"/>
            <w:bottom w:val="none" w:sz="0" w:space="0" w:color="auto"/>
            <w:right w:val="none" w:sz="0" w:space="0" w:color="auto"/>
          </w:divBdr>
          <w:divsChild>
            <w:div w:id="151721956">
              <w:marLeft w:val="0"/>
              <w:marRight w:val="0"/>
              <w:marTop w:val="0"/>
              <w:marBottom w:val="0"/>
              <w:divBdr>
                <w:top w:val="none" w:sz="0" w:space="0" w:color="auto"/>
                <w:left w:val="none" w:sz="0" w:space="0" w:color="auto"/>
                <w:bottom w:val="none" w:sz="0" w:space="0" w:color="auto"/>
                <w:right w:val="none" w:sz="0" w:space="0" w:color="auto"/>
              </w:divBdr>
              <w:divsChild>
                <w:div w:id="78357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12328">
      <w:bodyDiv w:val="1"/>
      <w:marLeft w:val="0"/>
      <w:marRight w:val="0"/>
      <w:marTop w:val="0"/>
      <w:marBottom w:val="0"/>
      <w:divBdr>
        <w:top w:val="none" w:sz="0" w:space="0" w:color="auto"/>
        <w:left w:val="none" w:sz="0" w:space="0" w:color="auto"/>
        <w:bottom w:val="none" w:sz="0" w:space="0" w:color="auto"/>
        <w:right w:val="none" w:sz="0" w:space="0" w:color="auto"/>
      </w:divBdr>
    </w:div>
    <w:div w:id="1916669019">
      <w:bodyDiv w:val="1"/>
      <w:marLeft w:val="0"/>
      <w:marRight w:val="0"/>
      <w:marTop w:val="0"/>
      <w:marBottom w:val="0"/>
      <w:divBdr>
        <w:top w:val="none" w:sz="0" w:space="0" w:color="auto"/>
        <w:left w:val="none" w:sz="0" w:space="0" w:color="auto"/>
        <w:bottom w:val="none" w:sz="0" w:space="0" w:color="auto"/>
        <w:right w:val="none" w:sz="0" w:space="0" w:color="auto"/>
      </w:divBdr>
    </w:div>
    <w:div w:id="1950893284">
      <w:bodyDiv w:val="1"/>
      <w:marLeft w:val="0"/>
      <w:marRight w:val="0"/>
      <w:marTop w:val="0"/>
      <w:marBottom w:val="0"/>
      <w:divBdr>
        <w:top w:val="none" w:sz="0" w:space="0" w:color="auto"/>
        <w:left w:val="none" w:sz="0" w:space="0" w:color="auto"/>
        <w:bottom w:val="none" w:sz="0" w:space="0" w:color="auto"/>
        <w:right w:val="none" w:sz="0" w:space="0" w:color="auto"/>
      </w:divBdr>
    </w:div>
    <w:div w:id="1969238307">
      <w:bodyDiv w:val="1"/>
      <w:marLeft w:val="0"/>
      <w:marRight w:val="0"/>
      <w:marTop w:val="0"/>
      <w:marBottom w:val="0"/>
      <w:divBdr>
        <w:top w:val="none" w:sz="0" w:space="0" w:color="auto"/>
        <w:left w:val="none" w:sz="0" w:space="0" w:color="auto"/>
        <w:bottom w:val="none" w:sz="0" w:space="0" w:color="auto"/>
        <w:right w:val="none" w:sz="0" w:space="0" w:color="auto"/>
      </w:divBdr>
      <w:divsChild>
        <w:div w:id="2110927411">
          <w:marLeft w:val="0"/>
          <w:marRight w:val="0"/>
          <w:marTop w:val="0"/>
          <w:marBottom w:val="0"/>
          <w:divBdr>
            <w:top w:val="none" w:sz="0" w:space="0" w:color="auto"/>
            <w:left w:val="none" w:sz="0" w:space="0" w:color="auto"/>
            <w:bottom w:val="none" w:sz="0" w:space="0" w:color="auto"/>
            <w:right w:val="none" w:sz="0" w:space="0" w:color="auto"/>
          </w:divBdr>
          <w:divsChild>
            <w:div w:id="834879609">
              <w:marLeft w:val="0"/>
              <w:marRight w:val="0"/>
              <w:marTop w:val="0"/>
              <w:marBottom w:val="0"/>
              <w:divBdr>
                <w:top w:val="none" w:sz="0" w:space="0" w:color="auto"/>
                <w:left w:val="none" w:sz="0" w:space="0" w:color="auto"/>
                <w:bottom w:val="none" w:sz="0" w:space="0" w:color="auto"/>
                <w:right w:val="none" w:sz="0" w:space="0" w:color="auto"/>
              </w:divBdr>
              <w:divsChild>
                <w:div w:id="15738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593191">
      <w:bodyDiv w:val="1"/>
      <w:marLeft w:val="0"/>
      <w:marRight w:val="0"/>
      <w:marTop w:val="0"/>
      <w:marBottom w:val="0"/>
      <w:divBdr>
        <w:top w:val="none" w:sz="0" w:space="0" w:color="auto"/>
        <w:left w:val="none" w:sz="0" w:space="0" w:color="auto"/>
        <w:bottom w:val="none" w:sz="0" w:space="0" w:color="auto"/>
        <w:right w:val="none" w:sz="0" w:space="0" w:color="auto"/>
      </w:divBdr>
      <w:divsChild>
        <w:div w:id="1358697223">
          <w:marLeft w:val="0"/>
          <w:marRight w:val="0"/>
          <w:marTop w:val="0"/>
          <w:marBottom w:val="0"/>
          <w:divBdr>
            <w:top w:val="none" w:sz="0" w:space="0" w:color="auto"/>
            <w:left w:val="none" w:sz="0" w:space="0" w:color="auto"/>
            <w:bottom w:val="none" w:sz="0" w:space="0" w:color="auto"/>
            <w:right w:val="none" w:sz="0" w:space="0" w:color="auto"/>
          </w:divBdr>
          <w:divsChild>
            <w:div w:id="1696690002">
              <w:marLeft w:val="0"/>
              <w:marRight w:val="0"/>
              <w:marTop w:val="0"/>
              <w:marBottom w:val="0"/>
              <w:divBdr>
                <w:top w:val="none" w:sz="0" w:space="0" w:color="auto"/>
                <w:left w:val="none" w:sz="0" w:space="0" w:color="auto"/>
                <w:bottom w:val="none" w:sz="0" w:space="0" w:color="auto"/>
                <w:right w:val="none" w:sz="0" w:space="0" w:color="auto"/>
              </w:divBdr>
              <w:divsChild>
                <w:div w:id="1950623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0464">
      <w:bodyDiv w:val="1"/>
      <w:marLeft w:val="0"/>
      <w:marRight w:val="0"/>
      <w:marTop w:val="0"/>
      <w:marBottom w:val="0"/>
      <w:divBdr>
        <w:top w:val="none" w:sz="0" w:space="0" w:color="auto"/>
        <w:left w:val="none" w:sz="0" w:space="0" w:color="auto"/>
        <w:bottom w:val="none" w:sz="0" w:space="0" w:color="auto"/>
        <w:right w:val="none" w:sz="0" w:space="0" w:color="auto"/>
      </w:divBdr>
      <w:divsChild>
        <w:div w:id="113536605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7910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8189814">
      <w:bodyDiv w:val="1"/>
      <w:marLeft w:val="0"/>
      <w:marRight w:val="0"/>
      <w:marTop w:val="0"/>
      <w:marBottom w:val="0"/>
      <w:divBdr>
        <w:top w:val="none" w:sz="0" w:space="0" w:color="auto"/>
        <w:left w:val="none" w:sz="0" w:space="0" w:color="auto"/>
        <w:bottom w:val="none" w:sz="0" w:space="0" w:color="auto"/>
        <w:right w:val="none" w:sz="0" w:space="0" w:color="auto"/>
      </w:divBdr>
      <w:divsChild>
        <w:div w:id="1720858611">
          <w:marLeft w:val="0"/>
          <w:marRight w:val="0"/>
          <w:marTop w:val="0"/>
          <w:marBottom w:val="0"/>
          <w:divBdr>
            <w:top w:val="none" w:sz="0" w:space="0" w:color="auto"/>
            <w:left w:val="none" w:sz="0" w:space="0" w:color="auto"/>
            <w:bottom w:val="none" w:sz="0" w:space="0" w:color="auto"/>
            <w:right w:val="none" w:sz="0" w:space="0" w:color="auto"/>
          </w:divBdr>
          <w:divsChild>
            <w:div w:id="340011530">
              <w:marLeft w:val="0"/>
              <w:marRight w:val="0"/>
              <w:marTop w:val="0"/>
              <w:marBottom w:val="0"/>
              <w:divBdr>
                <w:top w:val="none" w:sz="0" w:space="0" w:color="auto"/>
                <w:left w:val="none" w:sz="0" w:space="0" w:color="auto"/>
                <w:bottom w:val="none" w:sz="0" w:space="0" w:color="auto"/>
                <w:right w:val="none" w:sz="0" w:space="0" w:color="auto"/>
              </w:divBdr>
              <w:divsChild>
                <w:div w:id="163613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861960">
      <w:bodyDiv w:val="1"/>
      <w:marLeft w:val="0"/>
      <w:marRight w:val="0"/>
      <w:marTop w:val="0"/>
      <w:marBottom w:val="0"/>
      <w:divBdr>
        <w:top w:val="none" w:sz="0" w:space="0" w:color="auto"/>
        <w:left w:val="none" w:sz="0" w:space="0" w:color="auto"/>
        <w:bottom w:val="none" w:sz="0" w:space="0" w:color="auto"/>
        <w:right w:val="none" w:sz="0" w:space="0" w:color="auto"/>
      </w:divBdr>
    </w:div>
    <w:div w:id="2121534036">
      <w:bodyDiv w:val="1"/>
      <w:marLeft w:val="0"/>
      <w:marRight w:val="0"/>
      <w:marTop w:val="0"/>
      <w:marBottom w:val="0"/>
      <w:divBdr>
        <w:top w:val="none" w:sz="0" w:space="0" w:color="auto"/>
        <w:left w:val="none" w:sz="0" w:space="0" w:color="auto"/>
        <w:bottom w:val="none" w:sz="0" w:space="0" w:color="auto"/>
        <w:right w:val="none" w:sz="0" w:space="0" w:color="auto"/>
      </w:divBdr>
    </w:div>
    <w:div w:id="2123377901">
      <w:bodyDiv w:val="1"/>
      <w:marLeft w:val="0"/>
      <w:marRight w:val="0"/>
      <w:marTop w:val="0"/>
      <w:marBottom w:val="0"/>
      <w:divBdr>
        <w:top w:val="none" w:sz="0" w:space="0" w:color="auto"/>
        <w:left w:val="none" w:sz="0" w:space="0" w:color="auto"/>
        <w:bottom w:val="none" w:sz="0" w:space="0" w:color="auto"/>
        <w:right w:val="none" w:sz="0" w:space="0" w:color="auto"/>
      </w:divBdr>
    </w:div>
    <w:div w:id="2147116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www.statssa.gov.za/cpi/documents/The_South_African_CPI_sources_and_methods_26Feb13.pdf" TargetMode="External"/><Relationship Id="rId3" Type="http://schemas.openxmlformats.org/officeDocument/2006/relationships/hyperlink" Target="http://www.saflii.org/cgi-bin/disp.pl?file=za/cases/ZACC/2021/4.html&amp;query=King" TargetMode="External"/><Relationship Id="rId7" Type="http://schemas.openxmlformats.org/officeDocument/2006/relationships/hyperlink" Target="https://tbinternet.ohchr.org/_layouts/15/treatybodyexternal/TBSearch.aspx?Lang=En&amp;CountryID=162" TargetMode="External"/><Relationship Id="rId2" Type="http://schemas.openxmlformats.org/officeDocument/2006/relationships/hyperlink" Target="http://www.saflii.org/cgi-bin/sinosrch-adw.cgi?query=Mahlangu+v+Minister+of+Labour&amp;submit=Search" TargetMode="External"/><Relationship Id="rId1" Type="http://schemas.openxmlformats.org/officeDocument/2006/relationships/hyperlink" Target="https://undocs.org/en/E/C.12/ZAF/CO/1" TargetMode="External"/><Relationship Id="rId6" Type="http://schemas.openxmlformats.org/officeDocument/2006/relationships/hyperlink" Target="https://www.gov.za/sites/default/files/gcis_document/201409/ndp-2030-our-future-make-it-workr.pdf" TargetMode="External"/><Relationship Id="rId5" Type="http://schemas.openxmlformats.org/officeDocument/2006/relationships/hyperlink" Target="https://www.gov.za/sites/default/files/gcis_document/201409/ndp-2030-our-future-make-it-workr.pdf" TargetMode="External"/><Relationship Id="rId10" Type="http://schemas.openxmlformats.org/officeDocument/2006/relationships/hyperlink" Target="http://www.statssa.gov.za/publications/Report-03-10-02%20/Report-03-10-02%202015.pdf" TargetMode="External"/><Relationship Id="rId4" Type="http://schemas.openxmlformats.org/officeDocument/2006/relationships/hyperlink" Target="https://tbinternet.ohchr.org/_layouts/15/treatybodyexternal/Download.aspx?symbolno=E%2fC.12%2fZAF%2f1&amp;Lang=en" TargetMode="External"/><Relationship Id="rId9" Type="http://schemas.openxmlformats.org/officeDocument/2006/relationships/hyperlink" Target="http://spii.org.za/wp-content/uploads/2018/11/DSL-Report-SD-v3.doc.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DD2CE2-E981-FF42-AD17-F2C671109BF3}">
  <ds:schemaRefs>
    <ds:schemaRef ds:uri="http://schemas.openxmlformats.org/officeDocument/2006/bibliography"/>
  </ds:schemaRefs>
</ds:datastoreItem>
</file>

<file path=customXml/itemProps3.xml><?xml version="1.0" encoding="utf-8"?>
<ds:datastoreItem xmlns:ds="http://schemas.openxmlformats.org/officeDocument/2006/customXml" ds:itemID="{72760A40-0A91-4225-89D9-2592AB7AEA30}"/>
</file>

<file path=customXml/itemProps4.xml><?xml version="1.0" encoding="utf-8"?>
<ds:datastoreItem xmlns:ds="http://schemas.openxmlformats.org/officeDocument/2006/customXml" ds:itemID="{10688DC0-435A-4F4C-AB5A-7D074EE6AEF0}"/>
</file>

<file path=customXml/itemProps5.xml><?xml version="1.0" encoding="utf-8"?>
<ds:datastoreItem xmlns:ds="http://schemas.openxmlformats.org/officeDocument/2006/customXml" ds:itemID="{AB94DF38-36FA-4F6D-B40B-C714DACFEA01}"/>
</file>

<file path=docProps/app.xml><?xml version="1.0" encoding="utf-8"?>
<Properties xmlns="http://schemas.openxmlformats.org/officeDocument/2006/extended-properties" xmlns:vt="http://schemas.openxmlformats.org/officeDocument/2006/docPropsVTypes">
  <Template>Normal.dotm</Template>
  <TotalTime>6</TotalTime>
  <Pages>7</Pages>
  <Words>1632</Words>
  <Characters>9304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SPII CONTRIBUTION</vt:lpstr>
    </vt:vector>
  </TitlesOfParts>
  <Company/>
  <LinksUpToDate>false</LinksUpToDate>
  <CharactersWithSpaces>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SPII’S CONTRIBUTION</dc:title>
  <dc:subject>SUBMISSION TO UN CESCR on South africa’s implementation of UN CESCR recommedations – composite INDEX on the COST OF LIVING</dc:subject>
  <dc:creator>Microsoft Office User</dc:creator>
  <cp:keywords/>
  <dc:description/>
  <cp:lastModifiedBy>Microsoft Office User</cp:lastModifiedBy>
  <cp:revision>2</cp:revision>
  <dcterms:created xsi:type="dcterms:W3CDTF">2021-08-30T17:45:00Z</dcterms:created>
  <dcterms:modified xsi:type="dcterms:W3CDTF">2021-08-30T17:45:00Z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