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F022F" w14:textId="015F6E6F" w:rsidR="00454743" w:rsidRPr="00AA005B" w:rsidRDefault="00454743" w:rsidP="00AA005B">
      <w:pPr>
        <w:pStyle w:val="Heading1"/>
        <w:rPr>
          <w:rFonts w:asciiTheme="minorHAnsi" w:hAnsiTheme="minorHAnsi" w:cstheme="minorHAnsi"/>
          <w:b/>
          <w:bCs/>
        </w:rPr>
      </w:pPr>
      <w:r w:rsidRPr="00AA005B">
        <w:rPr>
          <w:rFonts w:asciiTheme="minorHAnsi" w:hAnsiTheme="minorHAnsi" w:cstheme="minorHAnsi"/>
          <w:b/>
          <w:bCs/>
        </w:rPr>
        <w:t xml:space="preserve">Written evidence to the UNCRPD </w:t>
      </w:r>
      <w:r w:rsidR="00AA005B" w:rsidRPr="00AA005B">
        <w:rPr>
          <w:rFonts w:asciiTheme="minorHAnsi" w:hAnsiTheme="minorHAnsi" w:cstheme="minorHAnsi"/>
          <w:b/>
          <w:bCs/>
        </w:rPr>
        <w:t xml:space="preserve">for </w:t>
      </w:r>
      <w:r w:rsidRPr="00AA005B">
        <w:rPr>
          <w:rFonts w:asciiTheme="minorHAnsi" w:hAnsiTheme="minorHAnsi" w:cstheme="minorHAnsi"/>
          <w:b/>
          <w:bCs/>
        </w:rPr>
        <w:t xml:space="preserve">the follow-up process related to the inquiry conducted in September 2016 with respect </w:t>
      </w:r>
      <w:r w:rsidR="0043576B">
        <w:rPr>
          <w:rFonts w:asciiTheme="minorHAnsi" w:hAnsiTheme="minorHAnsi" w:cstheme="minorHAnsi"/>
          <w:b/>
          <w:bCs/>
        </w:rPr>
        <w:t>of</w:t>
      </w:r>
      <w:r w:rsidRPr="00AA005B">
        <w:rPr>
          <w:rFonts w:asciiTheme="minorHAnsi" w:hAnsiTheme="minorHAnsi" w:cstheme="minorHAnsi"/>
          <w:b/>
          <w:bCs/>
        </w:rPr>
        <w:t xml:space="preserve"> the UK.</w:t>
      </w:r>
    </w:p>
    <w:p w14:paraId="09835864" w14:textId="77777777" w:rsidR="000059E3" w:rsidRPr="00AA005B" w:rsidRDefault="000059E3" w:rsidP="00B11856">
      <w:pPr>
        <w:spacing w:line="240" w:lineRule="auto"/>
        <w:rPr>
          <w:rFonts w:cstheme="minorHAnsi"/>
        </w:rPr>
      </w:pPr>
    </w:p>
    <w:p w14:paraId="290CF2D8" w14:textId="5C152D3D" w:rsidR="000059E3" w:rsidRPr="00AD4494" w:rsidRDefault="00AA005B" w:rsidP="00AA005B">
      <w:pPr>
        <w:pStyle w:val="Heading2"/>
        <w:rPr>
          <w:b/>
          <w:bCs/>
        </w:rPr>
      </w:pPr>
      <w:r w:rsidRPr="00AD4494">
        <w:rPr>
          <w:b/>
          <w:bCs/>
        </w:rPr>
        <w:t>Introduction</w:t>
      </w:r>
    </w:p>
    <w:p w14:paraId="49E94C09" w14:textId="6D03644B" w:rsidR="00B11856" w:rsidRDefault="00B11856" w:rsidP="00B11856">
      <w:pPr>
        <w:spacing w:line="240" w:lineRule="auto"/>
      </w:pPr>
      <w:r>
        <w:t>Just Fair</w:t>
      </w:r>
      <w:r w:rsidR="009F3DCF">
        <w:t xml:space="preserve"> </w:t>
      </w:r>
      <w:r>
        <w:t>is a UK charity that is working to realise a fairer and more just society by monitoring and advocating for economic, social and cultural rights (ESCR) in the UK.</w:t>
      </w:r>
      <w:r w:rsidR="009F3DCF">
        <w:rPr>
          <w:rStyle w:val="FootnoteReference"/>
        </w:rPr>
        <w:footnoteReference w:id="1"/>
      </w:r>
      <w:r w:rsidR="009F3DCF">
        <w:t xml:space="preserve"> </w:t>
      </w:r>
      <w:r>
        <w:t xml:space="preserve"> </w:t>
      </w:r>
      <w:r w:rsidR="004C3C7E">
        <w:t>We want to live in a more just and compassionate UK, where everyone is guaranteed the basic requirements of a dignified and flourishing life</w:t>
      </w:r>
      <w:r w:rsidR="008370F3">
        <w:t xml:space="preserve">. </w:t>
      </w:r>
    </w:p>
    <w:p w14:paraId="778CE3F0" w14:textId="34B6697B" w:rsidR="000E48E8" w:rsidRDefault="00B11856" w:rsidP="004E2880">
      <w:pPr>
        <w:spacing w:line="240" w:lineRule="auto"/>
      </w:pPr>
      <w:r>
        <w:t xml:space="preserve">We welcome this opportunity to respond to the </w:t>
      </w:r>
      <w:r w:rsidR="008370F3">
        <w:t>follow-up inquiry by the UN Committee on the Rights of Persons with Disabilities (UNCRPD).</w:t>
      </w:r>
    </w:p>
    <w:p w14:paraId="18C78B40" w14:textId="713253E3" w:rsidR="00DD179C" w:rsidRDefault="000E48E8" w:rsidP="000E48E8">
      <w:r>
        <w:t xml:space="preserve">We are aware that the Committee will be receiving a large amount of evidence for the follow-up inquiry, and we are very conscious that while Just Fair works on disabled people’s human rights, we are not ourselves a </w:t>
      </w:r>
      <w:hyperlink r:id="rId11" w:history="1">
        <w:r w:rsidRPr="00497D48">
          <w:rPr>
            <w:rStyle w:val="Hyperlink"/>
          </w:rPr>
          <w:t>Disabled People’s Organisation</w:t>
        </w:r>
      </w:hyperlink>
      <w:r>
        <w:t>. Therefore, we want to be very careful about the space we take up and for this reason we have limited our evidence to a narrow area where we believe we can most usefully contribute our expertise</w:t>
      </w:r>
      <w:r w:rsidR="00DD179C">
        <w:t xml:space="preserve"> and add value</w:t>
      </w:r>
      <w:r>
        <w:t>. For this reason, our evidence will focus on the impact of the UK’s post-Brexit trajectory on the rights of disabled people, with particular reference to the right to work and employment.</w:t>
      </w:r>
      <w:r>
        <w:rPr>
          <w:rStyle w:val="FootnoteReference"/>
        </w:rPr>
        <w:footnoteReference w:id="2"/>
      </w:r>
    </w:p>
    <w:p w14:paraId="78CC194A" w14:textId="2A67D896" w:rsidR="006C0D63" w:rsidRDefault="00BE417C" w:rsidP="007E2750">
      <w:pPr>
        <w:rPr>
          <w:rFonts w:ascii="Calibri" w:hAnsi="Calibri" w:cs="Calibri"/>
        </w:rPr>
      </w:pPr>
      <w:r>
        <w:rPr>
          <w:rFonts w:ascii="Calibri" w:hAnsi="Calibri" w:cs="Calibri"/>
        </w:rPr>
        <w:t>O</w:t>
      </w:r>
      <w:r w:rsidR="00394331" w:rsidRPr="007E2750">
        <w:rPr>
          <w:rFonts w:ascii="Calibri" w:hAnsi="Calibri" w:cs="Calibri"/>
        </w:rPr>
        <w:t>n 31 January 2020 the United Kingdom exited the European Union</w:t>
      </w:r>
      <w:r>
        <w:rPr>
          <w:rFonts w:ascii="Calibri" w:hAnsi="Calibri" w:cs="Calibri"/>
        </w:rPr>
        <w:t>, following a referendum on the issue on</w:t>
      </w:r>
      <w:r w:rsidRPr="007E2750">
        <w:rPr>
          <w:rFonts w:ascii="Calibri" w:hAnsi="Calibri" w:cs="Calibri"/>
        </w:rPr>
        <w:t xml:space="preserve"> 23 June 2016</w:t>
      </w:r>
      <w:r w:rsidR="00394331" w:rsidRPr="007E2750">
        <w:rPr>
          <w:rFonts w:ascii="Calibri" w:hAnsi="Calibri" w:cs="Calibri"/>
        </w:rPr>
        <w:t xml:space="preserve">. </w:t>
      </w:r>
      <w:r w:rsidR="00797F19" w:rsidRPr="007E2750">
        <w:rPr>
          <w:rFonts w:ascii="Calibri" w:hAnsi="Calibri" w:cs="Calibri"/>
        </w:rPr>
        <w:t>T</w:t>
      </w:r>
      <w:r w:rsidR="00176965">
        <w:rPr>
          <w:rFonts w:ascii="Calibri" w:hAnsi="Calibri" w:cs="Calibri"/>
        </w:rPr>
        <w:t>he way in which the UK Government chose to ‘Brexit’ and the trajectory they have embarked upon since</w:t>
      </w:r>
      <w:r w:rsidR="0017258C">
        <w:rPr>
          <w:rFonts w:ascii="Calibri" w:hAnsi="Calibri" w:cs="Calibri"/>
        </w:rPr>
        <w:t>,</w:t>
      </w:r>
      <w:r w:rsidR="00176965">
        <w:rPr>
          <w:rFonts w:ascii="Calibri" w:hAnsi="Calibri" w:cs="Calibri"/>
        </w:rPr>
        <w:t xml:space="preserve"> </w:t>
      </w:r>
      <w:r w:rsidR="00797F19" w:rsidRPr="007E2750">
        <w:rPr>
          <w:rFonts w:ascii="Calibri" w:hAnsi="Calibri" w:cs="Calibri"/>
        </w:rPr>
        <w:t>ha</w:t>
      </w:r>
      <w:r w:rsidR="00595856">
        <w:rPr>
          <w:rFonts w:ascii="Calibri" w:hAnsi="Calibri" w:cs="Calibri"/>
        </w:rPr>
        <w:t>s</w:t>
      </w:r>
      <w:r w:rsidR="00797F19" w:rsidRPr="007E2750">
        <w:rPr>
          <w:rFonts w:ascii="Calibri" w:hAnsi="Calibri" w:cs="Calibri"/>
        </w:rPr>
        <w:t xml:space="preserve"> had huge implications for the rights of disabled people in the UK, both in terms </w:t>
      </w:r>
      <w:r w:rsidR="001F5EFF" w:rsidRPr="007E2750">
        <w:rPr>
          <w:rFonts w:ascii="Calibri" w:hAnsi="Calibri" w:cs="Calibri"/>
        </w:rPr>
        <w:t xml:space="preserve">of the loss of </w:t>
      </w:r>
      <w:r w:rsidR="009C3725" w:rsidRPr="007E2750">
        <w:rPr>
          <w:rFonts w:ascii="Calibri" w:hAnsi="Calibri" w:cs="Calibri"/>
        </w:rPr>
        <w:t>explicate</w:t>
      </w:r>
      <w:r w:rsidR="001F5EFF" w:rsidRPr="007E2750">
        <w:rPr>
          <w:rFonts w:ascii="Calibri" w:hAnsi="Calibri" w:cs="Calibri"/>
        </w:rPr>
        <w:t xml:space="preserve"> rights and protections, and also the ‘softer’ ways</w:t>
      </w:r>
      <w:r w:rsidR="00CD5B4A" w:rsidRPr="007E2750">
        <w:rPr>
          <w:rFonts w:ascii="Calibri" w:hAnsi="Calibri" w:cs="Calibri"/>
        </w:rPr>
        <w:t xml:space="preserve"> in which the EU supported </w:t>
      </w:r>
      <w:r w:rsidR="00595856">
        <w:rPr>
          <w:rFonts w:ascii="Calibri" w:hAnsi="Calibri" w:cs="Calibri"/>
        </w:rPr>
        <w:t xml:space="preserve">and helped to realise </w:t>
      </w:r>
      <w:r w:rsidR="00CD5B4A" w:rsidRPr="007E2750">
        <w:rPr>
          <w:rFonts w:ascii="Calibri" w:hAnsi="Calibri" w:cs="Calibri"/>
        </w:rPr>
        <w:t>disabled peopl</w:t>
      </w:r>
      <w:r w:rsidR="00595856">
        <w:rPr>
          <w:rFonts w:ascii="Calibri" w:hAnsi="Calibri" w:cs="Calibri"/>
        </w:rPr>
        <w:t>e</w:t>
      </w:r>
      <w:r w:rsidR="00CD5B4A" w:rsidRPr="007E2750">
        <w:rPr>
          <w:rFonts w:ascii="Calibri" w:hAnsi="Calibri" w:cs="Calibri"/>
        </w:rPr>
        <w:t>’s rights in the UK</w:t>
      </w:r>
      <w:r w:rsidR="00595856">
        <w:rPr>
          <w:rFonts w:ascii="Calibri" w:hAnsi="Calibri" w:cs="Calibri"/>
        </w:rPr>
        <w:t>, particularly in relation to work and employment</w:t>
      </w:r>
      <w:r w:rsidR="00CD5B4A" w:rsidRPr="007E2750">
        <w:rPr>
          <w:rFonts w:ascii="Calibri" w:hAnsi="Calibri" w:cs="Calibri"/>
        </w:rPr>
        <w:t>.</w:t>
      </w:r>
    </w:p>
    <w:p w14:paraId="2E34E4BD" w14:textId="77777777" w:rsidR="006C0D63" w:rsidRDefault="006C0D63">
      <w:pPr>
        <w:rPr>
          <w:rFonts w:ascii="Calibri" w:hAnsi="Calibri" w:cs="Calibri"/>
        </w:rPr>
      </w:pPr>
      <w:r>
        <w:rPr>
          <w:rFonts w:ascii="Calibri" w:hAnsi="Calibri" w:cs="Calibri"/>
        </w:rPr>
        <w:br w:type="page"/>
      </w:r>
    </w:p>
    <w:p w14:paraId="19207898" w14:textId="0506814A" w:rsidR="006C0D63" w:rsidRPr="00AD4494" w:rsidRDefault="006C0D63" w:rsidP="006C0D63">
      <w:pPr>
        <w:pStyle w:val="Heading2"/>
        <w:rPr>
          <w:b/>
          <w:bCs/>
        </w:rPr>
      </w:pPr>
      <w:r w:rsidRPr="00AD4494">
        <w:rPr>
          <w:b/>
          <w:bCs/>
        </w:rPr>
        <w:lastRenderedPageBreak/>
        <w:t>Background</w:t>
      </w:r>
      <w:r w:rsidR="00AD4494" w:rsidRPr="00AD4494">
        <w:rPr>
          <w:b/>
          <w:bCs/>
        </w:rPr>
        <w:t xml:space="preserve"> notes</w:t>
      </w:r>
    </w:p>
    <w:p w14:paraId="3FB4F841" w14:textId="718F14DE" w:rsidR="00CD5B4A" w:rsidRPr="00AB6E23" w:rsidRDefault="00AB6E23" w:rsidP="00AB6E23">
      <w:pPr>
        <w:rPr>
          <w:rFonts w:ascii="Calibri" w:hAnsi="Calibri" w:cs="Calibri"/>
          <w:b/>
          <w:bCs/>
        </w:rPr>
      </w:pPr>
      <w:r w:rsidRPr="00AB6E23">
        <w:rPr>
          <w:rFonts w:ascii="Calibri" w:hAnsi="Calibri" w:cs="Calibri"/>
          <w:b/>
          <w:bCs/>
        </w:rPr>
        <w:t>UNCRPD</w:t>
      </w:r>
    </w:p>
    <w:p w14:paraId="12F2749B" w14:textId="70124CB3" w:rsidR="001B76D0" w:rsidRDefault="00F66981" w:rsidP="001B76D0">
      <w:pPr>
        <w:rPr>
          <w:rFonts w:ascii="Calibri" w:hAnsi="Calibri" w:cs="Calibri"/>
        </w:rPr>
      </w:pPr>
      <w:r>
        <w:rPr>
          <w:rFonts w:ascii="Calibri" w:hAnsi="Calibri" w:cs="Calibri"/>
        </w:rPr>
        <w:t>While t</w:t>
      </w:r>
      <w:r w:rsidR="00BC486E">
        <w:rPr>
          <w:rFonts w:ascii="Calibri" w:hAnsi="Calibri" w:cs="Calibri"/>
        </w:rPr>
        <w:t xml:space="preserve">he UK </w:t>
      </w:r>
      <w:r>
        <w:rPr>
          <w:rFonts w:ascii="Calibri" w:hAnsi="Calibri" w:cs="Calibri"/>
        </w:rPr>
        <w:t xml:space="preserve">has ratified the UNCRPD, the EU is </w:t>
      </w:r>
      <w:r w:rsidR="00394331" w:rsidRPr="00595856">
        <w:rPr>
          <w:rFonts w:ascii="Calibri" w:hAnsi="Calibri" w:cs="Calibri"/>
        </w:rPr>
        <w:t>a signatory to the UNCRPD in its own right</w:t>
      </w:r>
      <w:r w:rsidR="00394331" w:rsidRPr="00487C80">
        <w:rPr>
          <w:rStyle w:val="FootnoteReference"/>
          <w:rFonts w:ascii="Calibri" w:hAnsi="Calibri" w:cs="Calibri"/>
        </w:rPr>
        <w:footnoteReference w:id="3"/>
      </w:r>
      <w:r w:rsidR="00394331" w:rsidRPr="00595856">
        <w:rPr>
          <w:rFonts w:ascii="Calibri" w:hAnsi="Calibri" w:cs="Calibri"/>
        </w:rPr>
        <w:t xml:space="preserve"> and</w:t>
      </w:r>
      <w:r>
        <w:rPr>
          <w:rFonts w:ascii="Calibri" w:hAnsi="Calibri" w:cs="Calibri"/>
        </w:rPr>
        <w:t xml:space="preserve"> additionally</w:t>
      </w:r>
      <w:r w:rsidR="00394331" w:rsidRPr="00595856">
        <w:rPr>
          <w:rFonts w:ascii="Calibri" w:hAnsi="Calibri" w:cs="Calibri"/>
        </w:rPr>
        <w:t xml:space="preserve"> has declared that, in all its law-making and policy development, it will give effect to the rights in UNCRPD.</w:t>
      </w:r>
      <w:r w:rsidR="00394331" w:rsidRPr="00487C80">
        <w:rPr>
          <w:rStyle w:val="FootnoteReference"/>
          <w:rFonts w:ascii="Calibri" w:hAnsi="Calibri" w:cs="Calibri"/>
        </w:rPr>
        <w:footnoteReference w:id="4"/>
      </w:r>
      <w:r w:rsidR="006024D9">
        <w:rPr>
          <w:rFonts w:ascii="Calibri" w:hAnsi="Calibri" w:cs="Calibri"/>
        </w:rPr>
        <w:t xml:space="preserve"> T</w:t>
      </w:r>
      <w:r w:rsidR="006024D9" w:rsidRPr="006024D9">
        <w:rPr>
          <w:rFonts w:ascii="Calibri" w:hAnsi="Calibri" w:cs="Calibri"/>
        </w:rPr>
        <w:t>he EU is required to give effect to the UNCPRD as part of EU law, but it does not have direct effect.</w:t>
      </w:r>
      <w:r w:rsidR="00A92BC8">
        <w:rPr>
          <w:rStyle w:val="FootnoteReference"/>
          <w:rFonts w:ascii="Calibri" w:hAnsi="Calibri" w:cs="Calibri"/>
        </w:rPr>
        <w:footnoteReference w:id="5"/>
      </w:r>
      <w:r w:rsidR="006024D9" w:rsidRPr="006024D9">
        <w:rPr>
          <w:rFonts w:ascii="Calibri" w:hAnsi="Calibri" w:cs="Calibri"/>
        </w:rPr>
        <w:t xml:space="preserve"> </w:t>
      </w:r>
    </w:p>
    <w:p w14:paraId="3DC9449E" w14:textId="63BA5A7A" w:rsidR="00AB6E23" w:rsidRPr="00D73E38" w:rsidRDefault="00AB6E23" w:rsidP="001B76D0">
      <w:pPr>
        <w:rPr>
          <w:rFonts w:ascii="Calibri" w:hAnsi="Calibri" w:cs="Calibri"/>
          <w:b/>
          <w:bCs/>
        </w:rPr>
      </w:pPr>
      <w:r w:rsidRPr="00D73E38">
        <w:rPr>
          <w:rFonts w:ascii="Calibri" w:hAnsi="Calibri" w:cs="Calibri"/>
          <w:b/>
          <w:bCs/>
        </w:rPr>
        <w:t>Disabled people’s concerns</w:t>
      </w:r>
    </w:p>
    <w:p w14:paraId="2BBC80D5" w14:textId="3BB44275" w:rsidR="00394331" w:rsidRPr="00487C80" w:rsidRDefault="001B76D0" w:rsidP="001B76D0">
      <w:pPr>
        <w:rPr>
          <w:rFonts w:ascii="Calibri" w:hAnsi="Calibri" w:cs="Calibri"/>
        </w:rPr>
      </w:pPr>
      <w:r>
        <w:rPr>
          <w:rFonts w:ascii="Calibri" w:hAnsi="Calibri" w:cs="Calibri"/>
        </w:rPr>
        <w:t xml:space="preserve">Disabled people’s concerns about the potential post-Brexit trajectory of the </w:t>
      </w:r>
      <w:r w:rsidR="00625A4D">
        <w:rPr>
          <w:rFonts w:ascii="Calibri" w:hAnsi="Calibri" w:cs="Calibri"/>
        </w:rPr>
        <w:t>UK</w:t>
      </w:r>
      <w:r>
        <w:rPr>
          <w:rFonts w:ascii="Calibri" w:hAnsi="Calibri" w:cs="Calibri"/>
        </w:rPr>
        <w:t xml:space="preserve"> </w:t>
      </w:r>
      <w:r w:rsidR="00CC0859">
        <w:rPr>
          <w:rFonts w:ascii="Calibri" w:hAnsi="Calibri" w:cs="Calibri"/>
        </w:rPr>
        <w:t xml:space="preserve">in relation to </w:t>
      </w:r>
      <w:r w:rsidR="00394331" w:rsidRPr="00487C80">
        <w:rPr>
          <w:rFonts w:ascii="Calibri" w:hAnsi="Calibri" w:cs="Calibri"/>
        </w:rPr>
        <w:t>their human rights and equality standards</w:t>
      </w:r>
      <w:r w:rsidR="00CC0859">
        <w:rPr>
          <w:rFonts w:ascii="Calibri" w:hAnsi="Calibri" w:cs="Calibri"/>
        </w:rPr>
        <w:t xml:space="preserve"> are long established</w:t>
      </w:r>
      <w:r w:rsidR="00394331" w:rsidRPr="00487C80">
        <w:rPr>
          <w:rFonts w:ascii="Calibri" w:hAnsi="Calibri" w:cs="Calibri"/>
        </w:rPr>
        <w:t>.</w:t>
      </w:r>
      <w:r w:rsidR="00394331" w:rsidRPr="00487C80">
        <w:rPr>
          <w:rStyle w:val="FootnoteReference"/>
          <w:rFonts w:ascii="Calibri" w:hAnsi="Calibri" w:cs="Calibri"/>
        </w:rPr>
        <w:footnoteReference w:id="6"/>
      </w:r>
      <w:r w:rsidR="00394331" w:rsidRPr="00487C80">
        <w:rPr>
          <w:rFonts w:ascii="Calibri" w:hAnsi="Calibri" w:cs="Calibri"/>
        </w:rPr>
        <w:t xml:space="preserve"> Indeed in 2017 UNCRPD made the following Concluding Recommendation in relation to the UK,</w:t>
      </w:r>
    </w:p>
    <w:p w14:paraId="79A73089" w14:textId="77777777" w:rsidR="00394331" w:rsidRDefault="00394331" w:rsidP="00394331">
      <w:pPr>
        <w:ind w:left="720"/>
        <w:rPr>
          <w:rFonts w:ascii="Calibri" w:hAnsi="Calibri" w:cs="Calibri"/>
          <w:i/>
          <w:iCs/>
        </w:rPr>
      </w:pPr>
      <w:r w:rsidRPr="00487C80">
        <w:rPr>
          <w:rFonts w:ascii="Calibri" w:hAnsi="Calibri" w:cs="Calibri"/>
          <w:i/>
          <w:iCs/>
        </w:rPr>
        <w:t>“7(f) Prevent any negative consequences for persons with disabilities resulting from the decision to trigger article 50 of the Treaty on European Union, in close consultation with organizations of persons with disabilities.”</w:t>
      </w:r>
    </w:p>
    <w:p w14:paraId="49E970F6" w14:textId="7F2DF50D" w:rsidR="00E57893" w:rsidRDefault="00E57893">
      <w:pPr>
        <w:rPr>
          <w:rFonts w:ascii="Calibri" w:hAnsi="Calibri" w:cs="Calibri"/>
          <w:i/>
          <w:iCs/>
        </w:rPr>
      </w:pPr>
      <w:r>
        <w:rPr>
          <w:rFonts w:ascii="Calibri" w:hAnsi="Calibri" w:cs="Calibri"/>
          <w:i/>
          <w:iCs/>
        </w:rPr>
        <w:br w:type="page"/>
      </w:r>
    </w:p>
    <w:p w14:paraId="1DFDEAB6" w14:textId="1A3EF5C8" w:rsidR="00394331" w:rsidRPr="00AD4494" w:rsidRDefault="00D73E38" w:rsidP="0091751B">
      <w:pPr>
        <w:pStyle w:val="Heading2"/>
        <w:rPr>
          <w:b/>
          <w:bCs/>
        </w:rPr>
      </w:pPr>
      <w:r w:rsidRPr="00AD4494">
        <w:rPr>
          <w:b/>
          <w:bCs/>
        </w:rPr>
        <w:lastRenderedPageBreak/>
        <w:t>Loss of explicit rights and protections</w:t>
      </w:r>
    </w:p>
    <w:p w14:paraId="75B5F62B" w14:textId="0434BCA9" w:rsidR="00A43C38" w:rsidRDefault="00A43C38" w:rsidP="00D73E38">
      <w:pPr>
        <w:rPr>
          <w:rFonts w:ascii="Calibri" w:hAnsi="Calibri" w:cs="Calibri"/>
          <w:b/>
          <w:bCs/>
        </w:rPr>
      </w:pPr>
      <w:r>
        <w:t>We deeply concerned that</w:t>
      </w:r>
      <w:r w:rsidR="007559B6">
        <w:t xml:space="preserve"> in relation to the </w:t>
      </w:r>
      <w:r w:rsidR="007559B6" w:rsidRPr="007559B6">
        <w:t xml:space="preserve">implementation of legislation, policies and programmes </w:t>
      </w:r>
      <w:r w:rsidR="007559B6">
        <w:t>(</w:t>
      </w:r>
      <w:r w:rsidR="004D11EF">
        <w:t>an area specially highlight</w:t>
      </w:r>
      <w:r w:rsidR="00FC602C">
        <w:t>ed</w:t>
      </w:r>
      <w:r w:rsidR="004D11EF">
        <w:t xml:space="preserve"> by</w:t>
      </w:r>
      <w:r>
        <w:t xml:space="preserve"> UNCRPD as part of their inquiry</w:t>
      </w:r>
      <w:r w:rsidR="004D11EF">
        <w:t>)</w:t>
      </w:r>
      <w:r>
        <w:t>,</w:t>
      </w:r>
      <w:r>
        <w:rPr>
          <w:rStyle w:val="FootnoteReference"/>
        </w:rPr>
        <w:footnoteReference w:id="7"/>
      </w:r>
      <w:r>
        <w:t xml:space="preserve"> there has been regress in the UK, </w:t>
      </w:r>
      <w:r w:rsidR="004D11EF">
        <w:t>particularly with reference to the UK’s post-Brexit trajectory.</w:t>
      </w:r>
    </w:p>
    <w:p w14:paraId="29A1451A" w14:textId="37313473" w:rsidR="00E57893" w:rsidRDefault="00E57893" w:rsidP="00D73E38">
      <w:pPr>
        <w:rPr>
          <w:rFonts w:ascii="Calibri" w:hAnsi="Calibri" w:cs="Calibri"/>
          <w:b/>
          <w:bCs/>
        </w:rPr>
      </w:pPr>
      <w:r w:rsidRPr="00D73E38">
        <w:rPr>
          <w:rFonts w:ascii="Calibri" w:hAnsi="Calibri" w:cs="Calibri"/>
          <w:b/>
          <w:bCs/>
        </w:rPr>
        <w:t xml:space="preserve">Court of Justice of the European Union </w:t>
      </w:r>
    </w:p>
    <w:p w14:paraId="389013B8" w14:textId="4F46288A" w:rsidR="00B97BD3" w:rsidRDefault="00394331" w:rsidP="00D73E38">
      <w:pPr>
        <w:rPr>
          <w:rFonts w:ascii="Calibri" w:hAnsi="Calibri" w:cs="Calibri"/>
        </w:rPr>
      </w:pPr>
      <w:r w:rsidRPr="00D73E38">
        <w:rPr>
          <w:rFonts w:ascii="Calibri" w:hAnsi="Calibri" w:cs="Calibri"/>
        </w:rPr>
        <w:t>In relation to protections under EU law, there have unfortunately already been negative consequences</w:t>
      </w:r>
      <w:r w:rsidR="006B48C2">
        <w:rPr>
          <w:rFonts w:ascii="Calibri" w:hAnsi="Calibri" w:cs="Calibri"/>
        </w:rPr>
        <w:t xml:space="preserve"> as a result of the UK Government’s post-Brexit trajectory</w:t>
      </w:r>
      <w:r w:rsidRPr="00D73E38">
        <w:rPr>
          <w:rFonts w:ascii="Calibri" w:hAnsi="Calibri" w:cs="Calibri"/>
        </w:rPr>
        <w:t>, including regressions and the loss of opportunity to keep pace with emerging developments</w:t>
      </w:r>
      <w:r w:rsidR="00503EE7">
        <w:rPr>
          <w:rFonts w:ascii="Calibri" w:hAnsi="Calibri" w:cs="Calibri"/>
        </w:rPr>
        <w:t xml:space="preserve"> in EU law.</w:t>
      </w:r>
    </w:p>
    <w:p w14:paraId="75440F16" w14:textId="77777777" w:rsidR="00996D6B" w:rsidRDefault="00394331" w:rsidP="00D73E38">
      <w:pPr>
        <w:rPr>
          <w:rFonts w:ascii="Calibri" w:hAnsi="Calibri" w:cs="Calibri"/>
        </w:rPr>
      </w:pPr>
      <w:r w:rsidRPr="00D73E38">
        <w:rPr>
          <w:rFonts w:ascii="Calibri" w:hAnsi="Calibri" w:cs="Calibri"/>
        </w:rPr>
        <w:t xml:space="preserve">The </w:t>
      </w:r>
      <w:r w:rsidRPr="00AD4494">
        <w:rPr>
          <w:rFonts w:ascii="Calibri" w:hAnsi="Calibri" w:cs="Calibri"/>
        </w:rPr>
        <w:t>Court of Justice of the European Union (CJEU)</w:t>
      </w:r>
      <w:r w:rsidRPr="00D73E38">
        <w:rPr>
          <w:rFonts w:ascii="Calibri" w:hAnsi="Calibri" w:cs="Calibri"/>
        </w:rPr>
        <w:t xml:space="preserve"> has been instrumental in driving forward domestic legislation in the UK to a more substantive application of equality and human rights for disabled people.</w:t>
      </w:r>
      <w:r w:rsidR="00600FCB">
        <w:rPr>
          <w:rFonts w:ascii="Calibri" w:hAnsi="Calibri" w:cs="Calibri"/>
        </w:rPr>
        <w:t xml:space="preserve"> Examples include</w:t>
      </w:r>
      <w:r w:rsidR="00600FCB">
        <w:t xml:space="preserve"> making indirect discrimination unlawful, recognising associative discrimination, and protecting access to disability benefits.</w:t>
      </w:r>
      <w:r w:rsidRPr="00487C80">
        <w:rPr>
          <w:rStyle w:val="FootnoteReference"/>
          <w:rFonts w:ascii="Calibri" w:hAnsi="Calibri" w:cs="Calibri"/>
        </w:rPr>
        <w:footnoteReference w:id="8"/>
      </w:r>
      <w:r w:rsidRPr="00D73E38">
        <w:rPr>
          <w:rFonts w:ascii="Calibri" w:hAnsi="Calibri" w:cs="Calibri"/>
        </w:rPr>
        <w:t xml:space="preserve"> </w:t>
      </w:r>
    </w:p>
    <w:p w14:paraId="3122142C" w14:textId="20DA643C" w:rsidR="00394331" w:rsidRPr="00E10488" w:rsidRDefault="00394331" w:rsidP="00D73E38">
      <w:pPr>
        <w:rPr>
          <w:rFonts w:ascii="Calibri" w:hAnsi="Calibri" w:cs="Calibri"/>
          <w:highlight w:val="yellow"/>
        </w:rPr>
      </w:pPr>
      <w:r w:rsidRPr="00D73E38">
        <w:rPr>
          <w:rFonts w:ascii="Calibri" w:hAnsi="Calibri" w:cs="Calibri"/>
        </w:rPr>
        <w:t xml:space="preserve">As Just Fair noted in January 2021 in </w:t>
      </w:r>
      <w:hyperlink r:id="rId12" w:history="1">
        <w:r w:rsidRPr="00D73E38">
          <w:rPr>
            <w:rStyle w:val="Hyperlink"/>
            <w:rFonts w:ascii="Calibri" w:hAnsi="Calibri" w:cs="Calibri"/>
          </w:rPr>
          <w:t>joint work</w:t>
        </w:r>
      </w:hyperlink>
      <w:r w:rsidRPr="00D73E38">
        <w:rPr>
          <w:rFonts w:ascii="Calibri" w:hAnsi="Calibri" w:cs="Calibri"/>
        </w:rPr>
        <w:t xml:space="preserve"> with Equally Ours, the EU (Withdrawal) Act 2018 did include an amendment that UK courts and tribunals could ‘have regard to’ its case law, but that it will no longer be on a statutory footing. </w:t>
      </w:r>
    </w:p>
    <w:p w14:paraId="79A0371A" w14:textId="31104FCF" w:rsidR="007F739D" w:rsidRPr="007F739D" w:rsidRDefault="00E2044B" w:rsidP="007F739D">
      <w:pPr>
        <w:rPr>
          <w:rFonts w:ascii="Calibri" w:hAnsi="Calibri" w:cs="Calibri"/>
        </w:rPr>
      </w:pPr>
      <w:r w:rsidRPr="00305D7A">
        <w:rPr>
          <w:rFonts w:ascii="Calibri" w:hAnsi="Calibri" w:cs="Calibri"/>
        </w:rPr>
        <w:t>In addition</w:t>
      </w:r>
      <w:r w:rsidR="00EA727A">
        <w:rPr>
          <w:rFonts w:ascii="Calibri" w:hAnsi="Calibri" w:cs="Calibri"/>
        </w:rPr>
        <w:t>,</w:t>
      </w:r>
      <w:r w:rsidRPr="00305D7A">
        <w:rPr>
          <w:rFonts w:ascii="Calibri" w:hAnsi="Calibri" w:cs="Calibri"/>
        </w:rPr>
        <w:t xml:space="preserve"> the Retained EU Law (Revocation and Reform) Act, which received Royal Assent on 29 June 2023,</w:t>
      </w:r>
      <w:r>
        <w:rPr>
          <w:rFonts w:ascii="Calibri" w:hAnsi="Calibri" w:cs="Calibri"/>
        </w:rPr>
        <w:t xml:space="preserve"> </w:t>
      </w:r>
      <w:r w:rsidR="007F739D" w:rsidRPr="007F739D">
        <w:rPr>
          <w:rFonts w:ascii="Calibri" w:hAnsi="Calibri" w:cs="Calibri"/>
        </w:rPr>
        <w:t xml:space="preserve">makes it easier for UK courts to depart from previous decisions of the </w:t>
      </w:r>
      <w:r w:rsidR="0042025A">
        <w:rPr>
          <w:rFonts w:ascii="Calibri" w:hAnsi="Calibri" w:cs="Calibri"/>
        </w:rPr>
        <w:t>CJEU</w:t>
      </w:r>
      <w:r w:rsidR="00305D7A">
        <w:rPr>
          <w:rFonts w:ascii="Calibri" w:hAnsi="Calibri" w:cs="Calibri"/>
        </w:rPr>
        <w:t>. For example</w:t>
      </w:r>
      <w:r w:rsidR="000E2947">
        <w:rPr>
          <w:rFonts w:ascii="Calibri" w:hAnsi="Calibri" w:cs="Calibri"/>
        </w:rPr>
        <w:t>,</w:t>
      </w:r>
      <w:r w:rsidR="00305D7A">
        <w:rPr>
          <w:rFonts w:ascii="Calibri" w:hAnsi="Calibri" w:cs="Calibri"/>
        </w:rPr>
        <w:t xml:space="preserve"> </w:t>
      </w:r>
      <w:r w:rsidR="009A5BB9">
        <w:rPr>
          <w:rFonts w:ascii="Calibri" w:hAnsi="Calibri" w:cs="Calibri"/>
        </w:rPr>
        <w:t xml:space="preserve">now higher courts must </w:t>
      </w:r>
      <w:r w:rsidR="007F739D" w:rsidRPr="007F739D">
        <w:rPr>
          <w:rFonts w:ascii="Calibri" w:hAnsi="Calibri" w:cs="Calibri"/>
        </w:rPr>
        <w:t xml:space="preserve">have regard </w:t>
      </w:r>
      <w:r w:rsidR="00305D7A">
        <w:rPr>
          <w:rFonts w:ascii="Calibri" w:hAnsi="Calibri" w:cs="Calibri"/>
        </w:rPr>
        <w:t xml:space="preserve">to </w:t>
      </w:r>
      <w:r w:rsidR="007F739D" w:rsidRPr="007F739D">
        <w:rPr>
          <w:rFonts w:ascii="Calibri" w:hAnsi="Calibri" w:cs="Calibri"/>
        </w:rPr>
        <w:t>(among other things):</w:t>
      </w:r>
    </w:p>
    <w:p w14:paraId="126EE8E5" w14:textId="77777777" w:rsidR="007F739D" w:rsidRPr="007F739D" w:rsidRDefault="007F739D" w:rsidP="007F739D">
      <w:pPr>
        <w:numPr>
          <w:ilvl w:val="0"/>
          <w:numId w:val="6"/>
        </w:numPr>
        <w:rPr>
          <w:rFonts w:ascii="Calibri" w:hAnsi="Calibri" w:cs="Calibri"/>
        </w:rPr>
      </w:pPr>
      <w:r w:rsidRPr="007F739D">
        <w:rPr>
          <w:rFonts w:ascii="Calibri" w:hAnsi="Calibri" w:cs="Calibri"/>
        </w:rPr>
        <w:t>The fact that decisions of a foreign court are not (unless otherwise provided) binding.</w:t>
      </w:r>
    </w:p>
    <w:p w14:paraId="43E943D3" w14:textId="77777777" w:rsidR="007F739D" w:rsidRPr="007F739D" w:rsidRDefault="007F739D" w:rsidP="007F739D">
      <w:pPr>
        <w:numPr>
          <w:ilvl w:val="0"/>
          <w:numId w:val="6"/>
        </w:numPr>
        <w:rPr>
          <w:rFonts w:ascii="Calibri" w:hAnsi="Calibri" w:cs="Calibri"/>
        </w:rPr>
      </w:pPr>
      <w:r w:rsidRPr="007F739D">
        <w:rPr>
          <w:rFonts w:ascii="Calibri" w:hAnsi="Calibri" w:cs="Calibri"/>
        </w:rPr>
        <w:t>Any changes of circumstances which are relevant to the retained EU case law.</w:t>
      </w:r>
    </w:p>
    <w:p w14:paraId="66DBDD0D" w14:textId="1C677228" w:rsidR="007F739D" w:rsidRPr="007F739D" w:rsidRDefault="007F739D" w:rsidP="007F739D">
      <w:pPr>
        <w:numPr>
          <w:ilvl w:val="0"/>
          <w:numId w:val="6"/>
        </w:numPr>
        <w:rPr>
          <w:rFonts w:ascii="Calibri" w:hAnsi="Calibri" w:cs="Calibri"/>
        </w:rPr>
      </w:pPr>
      <w:r w:rsidRPr="007F739D">
        <w:rPr>
          <w:rFonts w:ascii="Calibri" w:hAnsi="Calibri" w:cs="Calibri"/>
        </w:rPr>
        <w:t>The extent to which the retained EU case law restricts the proper development of domestic law.</w:t>
      </w:r>
      <w:r w:rsidR="002B12D8">
        <w:rPr>
          <w:rStyle w:val="FootnoteReference"/>
          <w:rFonts w:ascii="Calibri" w:hAnsi="Calibri" w:cs="Calibri"/>
        </w:rPr>
        <w:footnoteReference w:id="9"/>
      </w:r>
    </w:p>
    <w:p w14:paraId="6F6555D4" w14:textId="403D1483" w:rsidR="00E2044B" w:rsidRDefault="00305D7A" w:rsidP="00D73E38">
      <w:pPr>
        <w:rPr>
          <w:rFonts w:ascii="Calibri" w:hAnsi="Calibri" w:cs="Calibri"/>
        </w:rPr>
      </w:pPr>
      <w:r>
        <w:rPr>
          <w:rFonts w:ascii="Calibri" w:hAnsi="Calibri" w:cs="Calibri"/>
        </w:rPr>
        <w:t xml:space="preserve">The direction of travel means that </w:t>
      </w:r>
      <w:r w:rsidR="003D1EA7">
        <w:rPr>
          <w:rFonts w:ascii="Calibri" w:hAnsi="Calibri" w:cs="Calibri"/>
        </w:rPr>
        <w:t>it is now much easier to</w:t>
      </w:r>
      <w:r w:rsidR="007F739D" w:rsidRPr="00D73E38">
        <w:rPr>
          <w:rFonts w:ascii="Calibri" w:hAnsi="Calibri" w:cs="Calibri"/>
        </w:rPr>
        <w:t xml:space="preserve"> unpick existing laws on </w:t>
      </w:r>
      <w:r w:rsidR="003D1EA7">
        <w:rPr>
          <w:rFonts w:ascii="Calibri" w:hAnsi="Calibri" w:cs="Calibri"/>
        </w:rPr>
        <w:t xml:space="preserve">human </w:t>
      </w:r>
      <w:r w:rsidR="007F739D" w:rsidRPr="00D73E38">
        <w:rPr>
          <w:rFonts w:ascii="Calibri" w:hAnsi="Calibri" w:cs="Calibri"/>
        </w:rPr>
        <w:t xml:space="preserve">rights and </w:t>
      </w:r>
      <w:r w:rsidR="003D1EA7">
        <w:rPr>
          <w:rFonts w:ascii="Calibri" w:hAnsi="Calibri" w:cs="Calibri"/>
        </w:rPr>
        <w:t>equality standards for disabled people tha</w:t>
      </w:r>
      <w:r w:rsidR="002C4264">
        <w:rPr>
          <w:rFonts w:ascii="Calibri" w:hAnsi="Calibri" w:cs="Calibri"/>
        </w:rPr>
        <w:t>n</w:t>
      </w:r>
      <w:r w:rsidR="003D1EA7">
        <w:rPr>
          <w:rFonts w:ascii="Calibri" w:hAnsi="Calibri" w:cs="Calibri"/>
        </w:rPr>
        <w:t xml:space="preserve"> when the UK was a member of the EU.</w:t>
      </w:r>
      <w:r w:rsidR="0061005D">
        <w:rPr>
          <w:rStyle w:val="FootnoteReference"/>
          <w:rFonts w:ascii="Calibri" w:hAnsi="Calibri" w:cs="Calibri"/>
        </w:rPr>
        <w:footnoteReference w:id="10"/>
      </w:r>
    </w:p>
    <w:p w14:paraId="1EF47341" w14:textId="77777777" w:rsidR="00C22A41" w:rsidRDefault="00C22A41" w:rsidP="00D73E38">
      <w:pPr>
        <w:rPr>
          <w:rFonts w:ascii="Calibri" w:hAnsi="Calibri" w:cs="Calibri"/>
        </w:rPr>
      </w:pPr>
    </w:p>
    <w:p w14:paraId="5B0C1971" w14:textId="77777777" w:rsidR="00C22A41" w:rsidRPr="00D73E38" w:rsidRDefault="00C22A41" w:rsidP="00D73E38">
      <w:pPr>
        <w:rPr>
          <w:rFonts w:ascii="Calibri" w:hAnsi="Calibri" w:cs="Calibri"/>
        </w:rPr>
      </w:pPr>
    </w:p>
    <w:p w14:paraId="08773CC2" w14:textId="77777777" w:rsidR="00E57893" w:rsidRDefault="00E57893" w:rsidP="00B63031">
      <w:pPr>
        <w:rPr>
          <w:rFonts w:ascii="Calibri" w:hAnsi="Calibri" w:cs="Calibri"/>
        </w:rPr>
      </w:pPr>
      <w:r w:rsidRPr="00720EA2">
        <w:rPr>
          <w:rFonts w:ascii="Calibri" w:hAnsi="Calibri" w:cs="Calibri"/>
          <w:b/>
          <w:bCs/>
        </w:rPr>
        <w:t>Charter of Fundamental Rights of the European Union</w:t>
      </w:r>
      <w:r w:rsidRPr="00720EA2">
        <w:rPr>
          <w:rFonts w:ascii="Calibri" w:hAnsi="Calibri" w:cs="Calibri"/>
        </w:rPr>
        <w:t xml:space="preserve"> </w:t>
      </w:r>
    </w:p>
    <w:p w14:paraId="1074A814" w14:textId="7AE042FF" w:rsidR="00394331" w:rsidRPr="00B63031" w:rsidRDefault="00B63031" w:rsidP="00B63031">
      <w:pPr>
        <w:rPr>
          <w:rFonts w:ascii="Calibri" w:hAnsi="Calibri" w:cs="Calibri"/>
        </w:rPr>
      </w:pPr>
      <w:r>
        <w:rPr>
          <w:rFonts w:ascii="Calibri" w:hAnsi="Calibri" w:cs="Calibri"/>
        </w:rPr>
        <w:t>The</w:t>
      </w:r>
      <w:r w:rsidR="00394331" w:rsidRPr="00720EA2">
        <w:rPr>
          <w:rFonts w:ascii="Calibri" w:hAnsi="Calibri" w:cs="Calibri"/>
        </w:rPr>
        <w:t xml:space="preserve"> loss of statutory footing of caselaw from the CJEU and the loss of the </w:t>
      </w:r>
      <w:r w:rsidR="00394331" w:rsidRPr="00347DF1">
        <w:rPr>
          <w:rFonts w:ascii="Calibri" w:hAnsi="Calibri" w:cs="Calibri"/>
        </w:rPr>
        <w:t>Charter of Fundamental Rights of the European Union</w:t>
      </w:r>
      <w:r w:rsidR="00394331" w:rsidRPr="00720EA2">
        <w:rPr>
          <w:rFonts w:ascii="Calibri" w:hAnsi="Calibri" w:cs="Calibri"/>
        </w:rPr>
        <w:t xml:space="preserve"> (the Charter) were drawn as red lines by the UK in its White Paper on the Repeal Bill in March 2017.</w:t>
      </w:r>
      <w:r w:rsidR="00394331" w:rsidRPr="00487C80">
        <w:rPr>
          <w:rStyle w:val="FootnoteReference"/>
          <w:rFonts w:ascii="Calibri" w:hAnsi="Calibri" w:cs="Calibri"/>
        </w:rPr>
        <w:footnoteReference w:id="11"/>
      </w:r>
    </w:p>
    <w:p w14:paraId="6E8CB70E" w14:textId="77777777" w:rsidR="007C21E0" w:rsidRDefault="00394331" w:rsidP="00F67EE6">
      <w:pPr>
        <w:rPr>
          <w:rFonts w:ascii="Calibri" w:hAnsi="Calibri" w:cs="Calibri"/>
        </w:rPr>
      </w:pPr>
      <w:r w:rsidRPr="00F67EE6">
        <w:rPr>
          <w:rFonts w:ascii="Calibri" w:hAnsi="Calibri" w:cs="Calibri"/>
        </w:rPr>
        <w:t>The Charter brings together the fundamental rights of everyone living in the EU, including the rights protected by the E</w:t>
      </w:r>
      <w:r w:rsidR="002D7A5B">
        <w:rPr>
          <w:rFonts w:ascii="Calibri" w:hAnsi="Calibri" w:cs="Calibri"/>
        </w:rPr>
        <w:t xml:space="preserve">uropean </w:t>
      </w:r>
      <w:r w:rsidRPr="00F67EE6">
        <w:rPr>
          <w:rFonts w:ascii="Calibri" w:hAnsi="Calibri" w:cs="Calibri"/>
        </w:rPr>
        <w:t>C</w:t>
      </w:r>
      <w:r w:rsidR="002D7A5B">
        <w:rPr>
          <w:rFonts w:ascii="Calibri" w:hAnsi="Calibri" w:cs="Calibri"/>
        </w:rPr>
        <w:t xml:space="preserve">onvention on </w:t>
      </w:r>
      <w:r w:rsidRPr="00F67EE6">
        <w:rPr>
          <w:rFonts w:ascii="Calibri" w:hAnsi="Calibri" w:cs="Calibri"/>
        </w:rPr>
        <w:t>H</w:t>
      </w:r>
      <w:r w:rsidR="002D7A5B">
        <w:rPr>
          <w:rFonts w:ascii="Calibri" w:hAnsi="Calibri" w:cs="Calibri"/>
        </w:rPr>
        <w:t xml:space="preserve">uman </w:t>
      </w:r>
      <w:r w:rsidRPr="00F67EE6">
        <w:rPr>
          <w:rFonts w:ascii="Calibri" w:hAnsi="Calibri" w:cs="Calibri"/>
        </w:rPr>
        <w:t>R</w:t>
      </w:r>
      <w:r w:rsidR="002D7A5B">
        <w:rPr>
          <w:rFonts w:ascii="Calibri" w:hAnsi="Calibri" w:cs="Calibri"/>
        </w:rPr>
        <w:t>ights</w:t>
      </w:r>
      <w:r w:rsidRPr="00F67EE6">
        <w:rPr>
          <w:rFonts w:ascii="Calibri" w:hAnsi="Calibri" w:cs="Calibri"/>
        </w:rPr>
        <w:t>,</w:t>
      </w:r>
      <w:r w:rsidRPr="00487C80">
        <w:rPr>
          <w:rStyle w:val="FootnoteReference"/>
          <w:rFonts w:ascii="Calibri" w:hAnsi="Calibri" w:cs="Calibri"/>
        </w:rPr>
        <w:footnoteReference w:id="12"/>
      </w:r>
      <w:r w:rsidRPr="00F67EE6">
        <w:rPr>
          <w:rFonts w:ascii="Calibri" w:hAnsi="Calibri" w:cs="Calibri"/>
        </w:rPr>
        <w:t xml:space="preserve"> the constitutional traditions of the Member States, and the rights contained in other international conventions to which the EU or its Member States are parties. Unlike the Human Rights Act, the Charter contains a free-standing right to prohibition of discrimination.</w:t>
      </w:r>
      <w:r w:rsidRPr="00487C80">
        <w:rPr>
          <w:rStyle w:val="FootnoteReference"/>
          <w:rFonts w:ascii="Calibri" w:hAnsi="Calibri" w:cs="Calibri"/>
        </w:rPr>
        <w:footnoteReference w:id="13"/>
      </w:r>
      <w:r w:rsidRPr="00F67EE6">
        <w:rPr>
          <w:rFonts w:ascii="Calibri" w:hAnsi="Calibri" w:cs="Calibri"/>
        </w:rPr>
        <w:t xml:space="preserve"> </w:t>
      </w:r>
    </w:p>
    <w:p w14:paraId="11E33B46" w14:textId="77777777" w:rsidR="00823492" w:rsidRDefault="00394331" w:rsidP="00F67EE6">
      <w:pPr>
        <w:rPr>
          <w:rFonts w:ascii="Calibri" w:hAnsi="Calibri" w:cs="Calibri"/>
        </w:rPr>
      </w:pPr>
      <w:r w:rsidRPr="00F67EE6">
        <w:rPr>
          <w:rFonts w:ascii="Calibri" w:hAnsi="Calibri" w:cs="Calibri"/>
        </w:rPr>
        <w:t xml:space="preserve">The Charter reflects the indivisibility of civil, political, economic, and social rights. Title V (Solidarity) for example provides protections for a number of </w:t>
      </w:r>
      <w:r w:rsidR="007C21E0">
        <w:rPr>
          <w:rFonts w:ascii="Calibri" w:hAnsi="Calibri" w:cs="Calibri"/>
        </w:rPr>
        <w:t>economic and social</w:t>
      </w:r>
      <w:r w:rsidRPr="00F67EE6">
        <w:rPr>
          <w:rFonts w:ascii="Calibri" w:hAnsi="Calibri" w:cs="Calibri"/>
        </w:rPr>
        <w:t xml:space="preserve"> rights including collective bargaining and action,</w:t>
      </w:r>
      <w:r w:rsidRPr="00487C80">
        <w:rPr>
          <w:rStyle w:val="FootnoteReference"/>
          <w:rFonts w:ascii="Calibri" w:hAnsi="Calibri" w:cs="Calibri"/>
        </w:rPr>
        <w:footnoteReference w:id="14"/>
      </w:r>
      <w:r w:rsidRPr="00F67EE6">
        <w:rPr>
          <w:rFonts w:ascii="Calibri" w:hAnsi="Calibri" w:cs="Calibri"/>
        </w:rPr>
        <w:t xml:space="preserve"> fair and just working conditions,</w:t>
      </w:r>
      <w:r w:rsidRPr="00487C80">
        <w:rPr>
          <w:rStyle w:val="FootnoteReference"/>
          <w:rFonts w:ascii="Calibri" w:hAnsi="Calibri" w:cs="Calibri"/>
        </w:rPr>
        <w:footnoteReference w:id="15"/>
      </w:r>
      <w:r w:rsidRPr="00F67EE6">
        <w:rPr>
          <w:rFonts w:ascii="Calibri" w:hAnsi="Calibri" w:cs="Calibri"/>
        </w:rPr>
        <w:t xml:space="preserve"> prohibition of child labour and protection of young people at work,</w:t>
      </w:r>
      <w:r w:rsidRPr="00487C80">
        <w:rPr>
          <w:rStyle w:val="FootnoteReference"/>
          <w:rFonts w:ascii="Calibri" w:hAnsi="Calibri" w:cs="Calibri"/>
        </w:rPr>
        <w:footnoteReference w:id="16"/>
      </w:r>
      <w:r w:rsidRPr="00F67EE6">
        <w:rPr>
          <w:rFonts w:ascii="Calibri" w:hAnsi="Calibri" w:cs="Calibri"/>
        </w:rPr>
        <w:t xml:space="preserve"> social security and social assistance,</w:t>
      </w:r>
      <w:r w:rsidRPr="00487C80">
        <w:rPr>
          <w:rStyle w:val="FootnoteReference"/>
          <w:rFonts w:ascii="Calibri" w:hAnsi="Calibri" w:cs="Calibri"/>
        </w:rPr>
        <w:footnoteReference w:id="17"/>
      </w:r>
      <w:r w:rsidRPr="00F67EE6">
        <w:rPr>
          <w:rFonts w:ascii="Calibri" w:hAnsi="Calibri" w:cs="Calibri"/>
        </w:rPr>
        <w:t xml:space="preserve"> and healthcare.</w:t>
      </w:r>
      <w:r w:rsidRPr="00487C80">
        <w:rPr>
          <w:rStyle w:val="FootnoteReference"/>
          <w:rFonts w:ascii="Calibri" w:hAnsi="Calibri" w:cs="Calibri"/>
        </w:rPr>
        <w:footnoteReference w:id="18"/>
      </w:r>
      <w:r w:rsidRPr="00F67EE6">
        <w:rPr>
          <w:rFonts w:ascii="Calibri" w:hAnsi="Calibri" w:cs="Calibri"/>
        </w:rPr>
        <w:t xml:space="preserve"> </w:t>
      </w:r>
    </w:p>
    <w:p w14:paraId="6660CED2" w14:textId="7B088BAC" w:rsidR="00394331" w:rsidRDefault="00394331" w:rsidP="00F67EE6">
      <w:pPr>
        <w:rPr>
          <w:rFonts w:ascii="Calibri" w:hAnsi="Calibri" w:cs="Calibri"/>
        </w:rPr>
      </w:pPr>
      <w:r w:rsidRPr="00F67EE6">
        <w:rPr>
          <w:rFonts w:ascii="Calibri" w:hAnsi="Calibri" w:cs="Calibri"/>
        </w:rPr>
        <w:t xml:space="preserve">Article 26 of the Charter, entitled, ‘Integration of persons with disabilities’, states, </w:t>
      </w:r>
      <w:r w:rsidRPr="00F67EE6">
        <w:rPr>
          <w:rFonts w:ascii="Calibri" w:hAnsi="Calibri" w:cs="Calibri"/>
          <w:i/>
          <w:iCs/>
        </w:rPr>
        <w:t>“The Union recognises and respects the right of persons with disabilities to benefit from measures designed to ensure their independence, social and occupational integration and participation in the life of the community.”</w:t>
      </w:r>
      <w:r w:rsidRPr="00487C80">
        <w:rPr>
          <w:rStyle w:val="FootnoteReference"/>
          <w:rFonts w:ascii="Calibri" w:hAnsi="Calibri" w:cs="Calibri"/>
          <w:i/>
          <w:iCs/>
        </w:rPr>
        <w:footnoteReference w:id="19"/>
      </w:r>
      <w:r w:rsidRPr="00F67EE6">
        <w:rPr>
          <w:rFonts w:ascii="Calibri" w:hAnsi="Calibri" w:cs="Calibri"/>
        </w:rPr>
        <w:t xml:space="preserve"> This clarifies that the rights of disabled people are a core priority in the realisation of the Charter. </w:t>
      </w:r>
    </w:p>
    <w:p w14:paraId="2AEB3A0A" w14:textId="4AF18861" w:rsidR="00394331" w:rsidRPr="00347DF1" w:rsidRDefault="00010102" w:rsidP="00347DF1">
      <w:pPr>
        <w:rPr>
          <w:rFonts w:ascii="Calibri" w:hAnsi="Calibri" w:cs="Calibri"/>
        </w:rPr>
      </w:pPr>
      <w:r>
        <w:rPr>
          <w:rFonts w:ascii="Calibri" w:hAnsi="Calibri" w:cs="Calibri"/>
        </w:rPr>
        <w:t xml:space="preserve">However, as a result of the </w:t>
      </w:r>
      <w:r w:rsidR="001A09B3">
        <w:rPr>
          <w:rFonts w:ascii="Calibri" w:hAnsi="Calibri" w:cs="Calibri"/>
        </w:rPr>
        <w:t>choices of the UK Government as to what type of ‘Brexit’ they wished to pursue,</w:t>
      </w:r>
      <w:r>
        <w:rPr>
          <w:rFonts w:ascii="Calibri" w:hAnsi="Calibri" w:cs="Calibri"/>
        </w:rPr>
        <w:t xml:space="preserve"> the Charter no longer applies within the </w:t>
      </w:r>
      <w:r w:rsidR="00ED59DE">
        <w:rPr>
          <w:rFonts w:ascii="Calibri" w:hAnsi="Calibri" w:cs="Calibri"/>
        </w:rPr>
        <w:t>UK</w:t>
      </w:r>
      <w:r w:rsidR="00233E91">
        <w:rPr>
          <w:rFonts w:ascii="Calibri" w:hAnsi="Calibri" w:cs="Calibri"/>
        </w:rPr>
        <w:t xml:space="preserve"> generally</w:t>
      </w:r>
      <w:r w:rsidR="00450FB1">
        <w:rPr>
          <w:rFonts w:ascii="Calibri" w:hAnsi="Calibri" w:cs="Calibri"/>
        </w:rPr>
        <w:t>,</w:t>
      </w:r>
      <w:r w:rsidR="00015ED9">
        <w:rPr>
          <w:rStyle w:val="FootnoteReference"/>
          <w:rFonts w:ascii="Calibri" w:hAnsi="Calibri" w:cs="Calibri"/>
        </w:rPr>
        <w:footnoteReference w:id="20"/>
      </w:r>
      <w:r w:rsidR="00450FB1">
        <w:rPr>
          <w:rFonts w:ascii="Calibri" w:hAnsi="Calibri" w:cs="Calibri"/>
        </w:rPr>
        <w:t xml:space="preserve"> (though the Northern Ireland Human Rights Commission notes that,</w:t>
      </w:r>
      <w:r w:rsidR="00450FB1">
        <w:t xml:space="preserve"> in accordance with Windsor Framework Article 2, Charter continues to have relevance in Northern Ireland).</w:t>
      </w:r>
      <w:r w:rsidR="00450FB1">
        <w:rPr>
          <w:rStyle w:val="FootnoteReference"/>
        </w:rPr>
        <w:footnoteReference w:id="21"/>
      </w:r>
    </w:p>
    <w:p w14:paraId="5FEE437A" w14:textId="77777777" w:rsidR="00F67EE6" w:rsidRPr="000D3CFE" w:rsidRDefault="00F67EE6" w:rsidP="00F67EE6">
      <w:pPr>
        <w:rPr>
          <w:rFonts w:ascii="Calibri" w:hAnsi="Calibri" w:cs="Calibri"/>
          <w:b/>
          <w:bCs/>
        </w:rPr>
      </w:pPr>
      <w:r w:rsidRPr="000D3CFE">
        <w:rPr>
          <w:rFonts w:ascii="Calibri" w:hAnsi="Calibri" w:cs="Calibri"/>
          <w:b/>
          <w:bCs/>
        </w:rPr>
        <w:t xml:space="preserve">Directives </w:t>
      </w:r>
    </w:p>
    <w:p w14:paraId="2E7347A7" w14:textId="4736EC36" w:rsidR="00394331" w:rsidRPr="00DD2339" w:rsidRDefault="00394331" w:rsidP="00DD2339">
      <w:pPr>
        <w:rPr>
          <w:rFonts w:ascii="Calibri" w:hAnsi="Calibri" w:cs="Calibri"/>
        </w:rPr>
      </w:pPr>
      <w:r w:rsidRPr="00F67EE6">
        <w:rPr>
          <w:rFonts w:ascii="Calibri" w:hAnsi="Calibri" w:cs="Calibri"/>
        </w:rPr>
        <w:t>As noted by Disability Action,</w:t>
      </w:r>
      <w:r w:rsidR="00A12D73">
        <w:rPr>
          <w:rStyle w:val="FootnoteReference"/>
          <w:rFonts w:ascii="Calibri" w:hAnsi="Calibri" w:cs="Calibri"/>
        </w:rPr>
        <w:footnoteReference w:id="22"/>
      </w:r>
      <w:r w:rsidRPr="00F67EE6">
        <w:rPr>
          <w:rFonts w:ascii="Calibri" w:hAnsi="Calibri" w:cs="Calibri"/>
        </w:rPr>
        <w:t xml:space="preserve"> many examples of the protections disabled people currently enjoy in the UK are thanks to legislation and policies introduced by the EU, including actions by the CJEU and the scope of the Charter, as noted above, but also </w:t>
      </w:r>
      <w:r w:rsidRPr="00347DF1">
        <w:rPr>
          <w:rFonts w:ascii="Calibri" w:hAnsi="Calibri" w:cs="Calibri"/>
        </w:rPr>
        <w:t>through landmark directives</w:t>
      </w:r>
      <w:r w:rsidRPr="00F67EE6">
        <w:rPr>
          <w:rFonts w:ascii="Calibri" w:hAnsi="Calibri" w:cs="Calibri"/>
        </w:rPr>
        <w:t xml:space="preserve"> including the Framework Directive for Equal Treatment in Employment and Occupation in 2000. This set out to protect individuals in employment against direct and indirect discrimination on account of race, sexual orientation, religion</w:t>
      </w:r>
      <w:r w:rsidR="007E1064">
        <w:rPr>
          <w:rFonts w:ascii="Calibri" w:hAnsi="Calibri" w:cs="Calibri"/>
        </w:rPr>
        <w:t>,</w:t>
      </w:r>
      <w:r w:rsidRPr="00F67EE6">
        <w:rPr>
          <w:rFonts w:ascii="Calibri" w:hAnsi="Calibri" w:cs="Calibri"/>
        </w:rPr>
        <w:t xml:space="preserve"> and disability.</w:t>
      </w:r>
      <w:r w:rsidRPr="00487C80">
        <w:rPr>
          <w:rStyle w:val="FootnoteReference"/>
          <w:rFonts w:ascii="Calibri" w:hAnsi="Calibri" w:cs="Calibri"/>
        </w:rPr>
        <w:footnoteReference w:id="23"/>
      </w:r>
    </w:p>
    <w:p w14:paraId="1790ACB5" w14:textId="6DDF033B" w:rsidR="00394331" w:rsidRDefault="00394331" w:rsidP="00F67EE6">
      <w:pPr>
        <w:rPr>
          <w:rFonts w:ascii="Calibri" w:hAnsi="Calibri" w:cs="Calibri"/>
          <w:i/>
          <w:iCs/>
        </w:rPr>
      </w:pPr>
      <w:r w:rsidRPr="00F67EE6">
        <w:rPr>
          <w:rFonts w:ascii="Calibri" w:hAnsi="Calibri" w:cs="Calibri"/>
        </w:rPr>
        <w:t>We are now in a more perilous situation in relation to rights and equalities protections, as noted by Murray, O’Donoghue</w:t>
      </w:r>
      <w:r w:rsidR="007E1064">
        <w:rPr>
          <w:rFonts w:ascii="Calibri" w:hAnsi="Calibri" w:cs="Calibri"/>
        </w:rPr>
        <w:t>,</w:t>
      </w:r>
      <w:r w:rsidRPr="00F67EE6">
        <w:rPr>
          <w:rFonts w:ascii="Calibri" w:hAnsi="Calibri" w:cs="Calibri"/>
        </w:rPr>
        <w:t xml:space="preserve"> and Warwick, </w:t>
      </w:r>
      <w:r w:rsidRPr="00F67EE6">
        <w:rPr>
          <w:rFonts w:ascii="Calibri" w:hAnsi="Calibri" w:cs="Calibri"/>
          <w:i/>
          <w:iCs/>
        </w:rPr>
        <w:t>“The UK Parliament will be able post Brexit to alter any retained EU law by standard processes of law making, and thereby diminish rights protections.”</w:t>
      </w:r>
      <w:r w:rsidRPr="00487C80">
        <w:rPr>
          <w:rStyle w:val="FootnoteReference"/>
          <w:rFonts w:ascii="Calibri" w:hAnsi="Calibri" w:cs="Calibri"/>
          <w:i/>
          <w:iCs/>
        </w:rPr>
        <w:footnoteReference w:id="24"/>
      </w:r>
    </w:p>
    <w:p w14:paraId="1971C8D8" w14:textId="17F7EDD1" w:rsidR="00D520CA" w:rsidRDefault="00D520CA" w:rsidP="004D298D">
      <w:pPr>
        <w:rPr>
          <w:rFonts w:ascii="Calibri" w:hAnsi="Calibri" w:cs="Calibri"/>
          <w:i/>
          <w:iCs/>
        </w:rPr>
      </w:pPr>
      <w:r w:rsidRPr="007A7A0B">
        <w:rPr>
          <w:rFonts w:ascii="Calibri" w:hAnsi="Calibri" w:cs="Calibri"/>
        </w:rPr>
        <w:t xml:space="preserve">Indeed, the most recent iteration of this is the REUL (R&amp;R) Act </w:t>
      </w:r>
      <w:r>
        <w:rPr>
          <w:rFonts w:ascii="Calibri" w:hAnsi="Calibri" w:cs="Calibri"/>
        </w:rPr>
        <w:t>202</w:t>
      </w:r>
      <w:r w:rsidR="004C0959">
        <w:rPr>
          <w:rFonts w:ascii="Calibri" w:hAnsi="Calibri" w:cs="Calibri"/>
        </w:rPr>
        <w:t>3</w:t>
      </w:r>
      <w:r>
        <w:rPr>
          <w:rFonts w:ascii="Calibri" w:hAnsi="Calibri" w:cs="Calibri"/>
        </w:rPr>
        <w:t xml:space="preserve">. </w:t>
      </w:r>
      <w:r w:rsidR="007E53A9">
        <w:rPr>
          <w:rFonts w:ascii="Calibri" w:hAnsi="Calibri" w:cs="Calibri"/>
        </w:rPr>
        <w:t xml:space="preserve">While directives such as the </w:t>
      </w:r>
      <w:r w:rsidR="00814531">
        <w:rPr>
          <w:rFonts w:ascii="Calibri" w:hAnsi="Calibri" w:cs="Calibri"/>
        </w:rPr>
        <w:t>F</w:t>
      </w:r>
      <w:r w:rsidR="007E53A9">
        <w:rPr>
          <w:rFonts w:ascii="Calibri" w:hAnsi="Calibri" w:cs="Calibri"/>
        </w:rPr>
        <w:t>ramework</w:t>
      </w:r>
      <w:r w:rsidR="00C2327A">
        <w:rPr>
          <w:rFonts w:ascii="Calibri" w:hAnsi="Calibri" w:cs="Calibri"/>
        </w:rPr>
        <w:t xml:space="preserve"> Directive</w:t>
      </w:r>
      <w:r w:rsidR="007E53A9">
        <w:rPr>
          <w:rFonts w:ascii="Calibri" w:hAnsi="Calibri" w:cs="Calibri"/>
        </w:rPr>
        <w:t xml:space="preserve"> mentioned above are safe for now, the risk remains.</w:t>
      </w:r>
      <w:r w:rsidR="00F5402F">
        <w:rPr>
          <w:rStyle w:val="FootnoteReference"/>
          <w:rFonts w:ascii="Calibri" w:hAnsi="Calibri" w:cs="Calibri"/>
        </w:rPr>
        <w:footnoteReference w:id="25"/>
      </w:r>
      <w:r w:rsidR="007E53A9">
        <w:rPr>
          <w:rFonts w:ascii="Calibri" w:hAnsi="Calibri" w:cs="Calibri"/>
        </w:rPr>
        <w:t xml:space="preserve"> As noted by the Trade Unions Congress, </w:t>
      </w:r>
      <w:r w:rsidR="007E53A9" w:rsidRPr="00C54820">
        <w:rPr>
          <w:rFonts w:ascii="Calibri" w:hAnsi="Calibri" w:cs="Calibri"/>
          <w:i/>
          <w:iCs/>
        </w:rPr>
        <w:t>“</w:t>
      </w:r>
      <w:r w:rsidR="004D298D" w:rsidRPr="00C54820">
        <w:rPr>
          <w:rFonts w:ascii="Calibri" w:hAnsi="Calibri" w:cs="Calibri"/>
          <w:i/>
          <w:iCs/>
        </w:rPr>
        <w:t>As it stands, ministers will gain so-called Henry VIII powers that allow them to revoke legislation via regulation. So holiday pay, parental rights and health and safety protections remain vulnerable to the whims of a Secretary of State.</w:t>
      </w:r>
      <w:r w:rsidR="00C54820" w:rsidRPr="00C54820">
        <w:rPr>
          <w:rFonts w:ascii="Calibri" w:hAnsi="Calibri" w:cs="Calibri"/>
          <w:i/>
          <w:iCs/>
        </w:rPr>
        <w:t>”</w:t>
      </w:r>
      <w:r w:rsidR="00C54820">
        <w:rPr>
          <w:rStyle w:val="FootnoteReference"/>
          <w:rFonts w:ascii="Calibri" w:hAnsi="Calibri" w:cs="Calibri"/>
          <w:i/>
          <w:iCs/>
        </w:rPr>
        <w:footnoteReference w:id="26"/>
      </w:r>
    </w:p>
    <w:p w14:paraId="54442F63" w14:textId="33786108" w:rsidR="00D43F65" w:rsidRDefault="00E12235" w:rsidP="004D298D">
      <w:pPr>
        <w:rPr>
          <w:rFonts w:ascii="Calibri" w:hAnsi="Calibri" w:cs="Calibri"/>
        </w:rPr>
      </w:pPr>
      <w:r>
        <w:rPr>
          <w:rFonts w:ascii="Calibri" w:hAnsi="Calibri" w:cs="Calibri"/>
        </w:rPr>
        <w:t xml:space="preserve">The </w:t>
      </w:r>
      <w:r w:rsidR="002F7FE3">
        <w:rPr>
          <w:rFonts w:ascii="Calibri" w:hAnsi="Calibri" w:cs="Calibri"/>
        </w:rPr>
        <w:t xml:space="preserve">UK Government </w:t>
      </w:r>
      <w:r w:rsidR="006B7F4C">
        <w:rPr>
          <w:rFonts w:ascii="Calibri" w:hAnsi="Calibri" w:cs="Calibri"/>
        </w:rPr>
        <w:t>has repeatedly talked about their desire to</w:t>
      </w:r>
      <w:r w:rsidR="006B7F4C" w:rsidRPr="006B7F4C">
        <w:rPr>
          <w:rFonts w:ascii="Calibri" w:hAnsi="Calibri" w:cs="Calibri"/>
        </w:rPr>
        <w:t xml:space="preserve"> lighten the regulatory burden on businesses</w:t>
      </w:r>
      <w:r w:rsidR="00847F1A">
        <w:rPr>
          <w:rFonts w:ascii="Calibri" w:hAnsi="Calibri" w:cs="Calibri"/>
        </w:rPr>
        <w:t>.</w:t>
      </w:r>
      <w:r w:rsidR="006116D1">
        <w:rPr>
          <w:rStyle w:val="FootnoteReference"/>
          <w:rFonts w:ascii="Calibri" w:hAnsi="Calibri" w:cs="Calibri"/>
        </w:rPr>
        <w:footnoteReference w:id="27"/>
      </w:r>
      <w:r w:rsidR="00847F1A">
        <w:rPr>
          <w:rFonts w:ascii="Calibri" w:hAnsi="Calibri" w:cs="Calibri"/>
        </w:rPr>
        <w:t xml:space="preserve"> We know that at times ‘</w:t>
      </w:r>
      <w:r w:rsidR="00713F66">
        <w:rPr>
          <w:rFonts w:ascii="Calibri" w:hAnsi="Calibri" w:cs="Calibri"/>
        </w:rPr>
        <w:t>regulatory</w:t>
      </w:r>
      <w:r w:rsidR="00847F1A">
        <w:rPr>
          <w:rFonts w:ascii="Calibri" w:hAnsi="Calibri" w:cs="Calibri"/>
        </w:rPr>
        <w:t xml:space="preserve"> burdens’ can be conflated with laws that are designed to protect groups who </w:t>
      </w:r>
      <w:r w:rsidR="00713F66">
        <w:rPr>
          <w:rFonts w:ascii="Calibri" w:hAnsi="Calibri" w:cs="Calibri"/>
        </w:rPr>
        <w:t xml:space="preserve">disproportionately </w:t>
      </w:r>
      <w:r w:rsidR="00847F1A">
        <w:rPr>
          <w:rFonts w:ascii="Calibri" w:hAnsi="Calibri" w:cs="Calibri"/>
        </w:rPr>
        <w:t xml:space="preserve">experience barriers </w:t>
      </w:r>
      <w:r w:rsidR="00713F66">
        <w:rPr>
          <w:rFonts w:ascii="Calibri" w:hAnsi="Calibri" w:cs="Calibri"/>
        </w:rPr>
        <w:t xml:space="preserve">to equal treatment at work (including disabled people), such as the Framework Directive. </w:t>
      </w:r>
    </w:p>
    <w:p w14:paraId="1B8C2A2C" w14:textId="5CAF96E5" w:rsidR="00D44384" w:rsidRDefault="00D44384" w:rsidP="004D298D">
      <w:pPr>
        <w:rPr>
          <w:rFonts w:ascii="Calibri" w:hAnsi="Calibri" w:cs="Calibri"/>
        </w:rPr>
      </w:pPr>
      <w:r>
        <w:rPr>
          <w:rFonts w:ascii="Calibri" w:hAnsi="Calibri" w:cs="Calibri"/>
        </w:rPr>
        <w:t xml:space="preserve">The has forcefully been brought home through a </w:t>
      </w:r>
      <w:hyperlink r:id="rId13" w:history="1">
        <w:r w:rsidRPr="008279AE">
          <w:rPr>
            <w:rStyle w:val="Hyperlink"/>
            <w:rFonts w:ascii="Calibri" w:hAnsi="Calibri" w:cs="Calibri"/>
          </w:rPr>
          <w:t>recent consultation</w:t>
        </w:r>
      </w:hyperlink>
      <w:r>
        <w:rPr>
          <w:rFonts w:ascii="Calibri" w:hAnsi="Calibri" w:cs="Calibri"/>
        </w:rPr>
        <w:t xml:space="preserve"> held by the UK Government </w:t>
      </w:r>
      <w:r w:rsidR="008279AE">
        <w:rPr>
          <w:rFonts w:ascii="Calibri" w:hAnsi="Calibri" w:cs="Calibri"/>
        </w:rPr>
        <w:t>on r</w:t>
      </w:r>
      <w:r w:rsidR="008279AE" w:rsidRPr="008279AE">
        <w:rPr>
          <w:rFonts w:ascii="Calibri" w:hAnsi="Calibri" w:cs="Calibri"/>
        </w:rPr>
        <w:t>etained EU employment law reforms</w:t>
      </w:r>
      <w:r w:rsidR="008279AE">
        <w:rPr>
          <w:rFonts w:ascii="Calibri" w:hAnsi="Calibri" w:cs="Calibri"/>
        </w:rPr>
        <w:t xml:space="preserve">. The consultation, </w:t>
      </w:r>
      <w:r w:rsidR="007C7878">
        <w:rPr>
          <w:rFonts w:ascii="Calibri" w:hAnsi="Calibri" w:cs="Calibri"/>
        </w:rPr>
        <w:t xml:space="preserve">which closed on 7 July 2023, </w:t>
      </w:r>
      <w:r w:rsidR="00823BC6">
        <w:rPr>
          <w:rFonts w:ascii="Calibri" w:hAnsi="Calibri" w:cs="Calibri"/>
        </w:rPr>
        <w:t xml:space="preserve">was framed as </w:t>
      </w:r>
      <w:r w:rsidR="00C757BE">
        <w:rPr>
          <w:rFonts w:ascii="Calibri" w:hAnsi="Calibri" w:cs="Calibri"/>
        </w:rPr>
        <w:t>‘</w:t>
      </w:r>
      <w:r w:rsidR="00823BC6">
        <w:rPr>
          <w:rFonts w:ascii="Calibri" w:hAnsi="Calibri" w:cs="Calibri"/>
        </w:rPr>
        <w:t>seeking to reduce the administrative burden</w:t>
      </w:r>
      <w:r w:rsidR="00C757BE">
        <w:rPr>
          <w:rFonts w:ascii="Calibri" w:hAnsi="Calibri" w:cs="Calibri"/>
        </w:rPr>
        <w:t>’</w:t>
      </w:r>
      <w:r w:rsidR="00823BC6">
        <w:rPr>
          <w:rFonts w:ascii="Calibri" w:hAnsi="Calibri" w:cs="Calibri"/>
        </w:rPr>
        <w:t xml:space="preserve"> </w:t>
      </w:r>
      <w:r w:rsidR="00423257">
        <w:rPr>
          <w:rFonts w:ascii="Calibri" w:hAnsi="Calibri" w:cs="Calibri"/>
        </w:rPr>
        <w:t>by</w:t>
      </w:r>
      <w:r w:rsidR="00423257" w:rsidRPr="00423257">
        <w:rPr>
          <w:rFonts w:ascii="Calibri" w:hAnsi="Calibri" w:cs="Calibri"/>
        </w:rPr>
        <w:t xml:space="preserve"> reform</w:t>
      </w:r>
      <w:r w:rsidR="00423257">
        <w:rPr>
          <w:rFonts w:ascii="Calibri" w:hAnsi="Calibri" w:cs="Calibri"/>
        </w:rPr>
        <w:t>ing</w:t>
      </w:r>
      <w:r w:rsidR="00423257" w:rsidRPr="00423257">
        <w:rPr>
          <w:rFonts w:ascii="Calibri" w:hAnsi="Calibri" w:cs="Calibri"/>
        </w:rPr>
        <w:t xml:space="preserve"> the working time regulations, holiday pay, and the Transfer of Undertakings (Protection of Employment) Regulations (TUPE)</w:t>
      </w:r>
      <w:r w:rsidR="00423257">
        <w:rPr>
          <w:rFonts w:ascii="Calibri" w:hAnsi="Calibri" w:cs="Calibri"/>
        </w:rPr>
        <w:t>, all of which provide important protections for workers.</w:t>
      </w:r>
    </w:p>
    <w:p w14:paraId="5B955D82" w14:textId="143DA543" w:rsidR="00530DA3" w:rsidRPr="00D520CA" w:rsidRDefault="00713F66" w:rsidP="004D298D">
      <w:pPr>
        <w:rPr>
          <w:rFonts w:ascii="Calibri" w:hAnsi="Calibri" w:cs="Calibri"/>
        </w:rPr>
      </w:pPr>
      <w:r>
        <w:rPr>
          <w:rFonts w:ascii="Calibri" w:hAnsi="Calibri" w:cs="Calibri"/>
        </w:rPr>
        <w:t>We are deeply concerned that the UK Government’s action</w:t>
      </w:r>
      <w:r w:rsidR="00045208">
        <w:rPr>
          <w:rFonts w:ascii="Calibri" w:hAnsi="Calibri" w:cs="Calibri"/>
        </w:rPr>
        <w:t>s</w:t>
      </w:r>
      <w:r>
        <w:rPr>
          <w:rFonts w:ascii="Calibri" w:hAnsi="Calibri" w:cs="Calibri"/>
        </w:rPr>
        <w:t xml:space="preserve"> and words have provided no reassurance that protections</w:t>
      </w:r>
      <w:r w:rsidR="00257F95">
        <w:rPr>
          <w:rFonts w:ascii="Calibri" w:hAnsi="Calibri" w:cs="Calibri"/>
        </w:rPr>
        <w:t xml:space="preserve"> people in the UK have enjoyed</w:t>
      </w:r>
      <w:r>
        <w:rPr>
          <w:rFonts w:ascii="Calibri" w:hAnsi="Calibri" w:cs="Calibri"/>
        </w:rPr>
        <w:t xml:space="preserve"> </w:t>
      </w:r>
      <w:r w:rsidR="006B03F4">
        <w:rPr>
          <w:rFonts w:ascii="Calibri" w:hAnsi="Calibri" w:cs="Calibri"/>
        </w:rPr>
        <w:t xml:space="preserve">will be preserved in future efforts to lighten so-called regulatory burdens. </w:t>
      </w:r>
    </w:p>
    <w:p w14:paraId="0722AE15" w14:textId="657660CE" w:rsidR="00F67EE6" w:rsidRPr="00D808C3" w:rsidRDefault="00F67EE6" w:rsidP="00F67EE6">
      <w:pPr>
        <w:rPr>
          <w:rFonts w:ascii="Calibri" w:hAnsi="Calibri" w:cs="Calibri"/>
          <w:b/>
          <w:bCs/>
        </w:rPr>
      </w:pPr>
      <w:r w:rsidRPr="00D808C3">
        <w:rPr>
          <w:rFonts w:ascii="Calibri" w:hAnsi="Calibri" w:cs="Calibri"/>
          <w:b/>
          <w:bCs/>
        </w:rPr>
        <w:t xml:space="preserve">Falling behind </w:t>
      </w:r>
    </w:p>
    <w:p w14:paraId="096ECE33" w14:textId="77777777" w:rsidR="00394331" w:rsidRPr="00F353E6" w:rsidRDefault="00394331" w:rsidP="00F353E6">
      <w:pPr>
        <w:rPr>
          <w:rFonts w:ascii="Calibri" w:hAnsi="Calibri" w:cs="Calibri"/>
        </w:rPr>
      </w:pPr>
      <w:r w:rsidRPr="00F353E6">
        <w:rPr>
          <w:rFonts w:ascii="Calibri" w:hAnsi="Calibri" w:cs="Calibri"/>
        </w:rPr>
        <w:t xml:space="preserve">We are already falling behind the EU in terms of the realisation of the rights of disabled people in the UK. An example of this is the </w:t>
      </w:r>
      <w:hyperlink r:id="rId14" w:history="1">
        <w:r w:rsidRPr="00F353E6">
          <w:rPr>
            <w:rStyle w:val="Hyperlink"/>
            <w:rFonts w:ascii="Calibri" w:hAnsi="Calibri" w:cs="Calibri"/>
          </w:rPr>
          <w:t>European Accessibility Act 2019</w:t>
        </w:r>
      </w:hyperlink>
      <w:r w:rsidRPr="00F353E6">
        <w:rPr>
          <w:rFonts w:ascii="Calibri" w:hAnsi="Calibri" w:cs="Calibri"/>
        </w:rPr>
        <w:t>, which will not be implemented in the UK.</w:t>
      </w:r>
      <w:r w:rsidRPr="00487C80">
        <w:rPr>
          <w:rStyle w:val="FootnoteReference"/>
          <w:rFonts w:ascii="Calibri" w:hAnsi="Calibri" w:cs="Calibri"/>
        </w:rPr>
        <w:footnoteReference w:id="28"/>
      </w:r>
      <w:r w:rsidRPr="00F353E6">
        <w:rPr>
          <w:rFonts w:ascii="Calibri" w:hAnsi="Calibri" w:cs="Calibri"/>
        </w:rPr>
        <w:t xml:space="preserve"> The act covers products and services identified as being most important to disabled people including:</w:t>
      </w:r>
    </w:p>
    <w:p w14:paraId="7AE92861"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computers and operating systems</w:t>
      </w:r>
    </w:p>
    <w:p w14:paraId="5DBF17BC"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ATMs, ticketing and check-in machines</w:t>
      </w:r>
    </w:p>
    <w:p w14:paraId="06FE62F0"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smartphones</w:t>
      </w:r>
    </w:p>
    <w:p w14:paraId="68264A48"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TV equipment related to digital television services</w:t>
      </w:r>
    </w:p>
    <w:p w14:paraId="1FFC95BC"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telephony services and related equipment</w:t>
      </w:r>
    </w:p>
    <w:p w14:paraId="3808FE27"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access to audio-visual media services such as television broadcast and related consumer equipment</w:t>
      </w:r>
    </w:p>
    <w:p w14:paraId="4C0AE221"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services related to air, bus, rail and waterborne passenger transport</w:t>
      </w:r>
    </w:p>
    <w:p w14:paraId="5891DC29"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banking services</w:t>
      </w:r>
    </w:p>
    <w:p w14:paraId="6EB7F85E" w14:textId="77777777" w:rsidR="00394331" w:rsidRPr="00487C80" w:rsidRDefault="00394331" w:rsidP="00394331">
      <w:pPr>
        <w:pStyle w:val="ListParagraph"/>
        <w:numPr>
          <w:ilvl w:val="0"/>
          <w:numId w:val="2"/>
        </w:numPr>
        <w:rPr>
          <w:rFonts w:ascii="Calibri" w:hAnsi="Calibri" w:cs="Calibri"/>
        </w:rPr>
      </w:pPr>
      <w:r w:rsidRPr="00487C80">
        <w:rPr>
          <w:rFonts w:ascii="Calibri" w:hAnsi="Calibri" w:cs="Calibri"/>
        </w:rPr>
        <w:t>e-books</w:t>
      </w:r>
    </w:p>
    <w:p w14:paraId="22C0286F" w14:textId="4196660B" w:rsidR="00530DA3" w:rsidRDefault="00394331" w:rsidP="00394331">
      <w:pPr>
        <w:pStyle w:val="ListParagraph"/>
        <w:numPr>
          <w:ilvl w:val="0"/>
          <w:numId w:val="2"/>
        </w:numPr>
        <w:rPr>
          <w:rFonts w:ascii="Calibri" w:hAnsi="Calibri" w:cs="Calibri"/>
        </w:rPr>
      </w:pPr>
      <w:r w:rsidRPr="00487C80">
        <w:rPr>
          <w:rFonts w:ascii="Calibri" w:hAnsi="Calibri" w:cs="Calibri"/>
        </w:rPr>
        <w:t>e-commerce</w:t>
      </w:r>
    </w:p>
    <w:p w14:paraId="4F8AFE6B" w14:textId="2A44E2C9" w:rsidR="00D33CAF" w:rsidRDefault="000B7D95">
      <w:pPr>
        <w:rPr>
          <w:rFonts w:ascii="Calibri" w:hAnsi="Calibri" w:cs="Calibri"/>
        </w:rPr>
      </w:pPr>
      <w:r>
        <w:rPr>
          <w:rFonts w:ascii="Calibri" w:hAnsi="Calibri" w:cs="Calibri"/>
        </w:rPr>
        <w:t xml:space="preserve">As evidenced above, the UK is not only falling behind the EU in </w:t>
      </w:r>
      <w:r w:rsidR="00505089">
        <w:rPr>
          <w:rFonts w:ascii="Calibri" w:hAnsi="Calibri" w:cs="Calibri"/>
        </w:rPr>
        <w:t xml:space="preserve">terms of the realisation of the rights of disabled people, but also actively carving away at the protections that did exist during our membership of the EU – most notably through the axing of the EU Charter. </w:t>
      </w:r>
    </w:p>
    <w:p w14:paraId="59603520" w14:textId="77777777" w:rsidR="00044DC9" w:rsidRPr="00D33CAF" w:rsidRDefault="00044DC9" w:rsidP="00D33CAF">
      <w:pPr>
        <w:pStyle w:val="Heading3"/>
        <w:rPr>
          <w:b/>
          <w:bCs/>
        </w:rPr>
      </w:pPr>
      <w:r w:rsidRPr="00D33CAF">
        <w:rPr>
          <w:b/>
          <w:bCs/>
        </w:rPr>
        <w:t>Recommendation</w:t>
      </w:r>
    </w:p>
    <w:p w14:paraId="27194DDF" w14:textId="1DC5832F" w:rsidR="00044DC9" w:rsidRPr="002A5FAD" w:rsidRDefault="00044DC9" w:rsidP="00044DC9">
      <w:pPr>
        <w:pStyle w:val="ListParagraph"/>
        <w:ind w:left="360"/>
        <w:rPr>
          <w:rFonts w:eastAsiaTheme="minorEastAsia"/>
          <w:i/>
          <w:iCs/>
        </w:rPr>
      </w:pPr>
      <w:r w:rsidRPr="002A5FAD">
        <w:rPr>
          <w:rFonts w:ascii="Calibri" w:eastAsiaTheme="minorEastAsia" w:hAnsi="Calibri" w:cs="Calibri"/>
          <w:i/>
          <w:iCs/>
        </w:rPr>
        <w:t xml:space="preserve">The Committee </w:t>
      </w:r>
      <w:r w:rsidR="00DF4B69">
        <w:rPr>
          <w:rFonts w:ascii="Calibri" w:eastAsiaTheme="minorEastAsia" w:hAnsi="Calibri" w:cs="Calibri"/>
          <w:i/>
          <w:iCs/>
        </w:rPr>
        <w:t>should</w:t>
      </w:r>
      <w:r w:rsidRPr="002A5FAD">
        <w:rPr>
          <w:rFonts w:ascii="Calibri" w:eastAsiaTheme="minorEastAsia" w:hAnsi="Calibri" w:cs="Calibri"/>
          <w:i/>
          <w:iCs/>
        </w:rPr>
        <w:t xml:space="preserve"> ask the UK Government to ensure that there is no further loss of rights and equalities protections for disabled people as a result of the UK’s exit from the EU. In addition, the UK should ensure that it remains a world leader in terms of the protections of the rights and equalities of disabled people, including by taking steps to implement the rights within UNCRPD in domestic legislation across the UK. </w:t>
      </w:r>
    </w:p>
    <w:p w14:paraId="41D584EB" w14:textId="10CD1D56" w:rsidR="00530DA3" w:rsidRDefault="00530DA3">
      <w:pPr>
        <w:rPr>
          <w:rFonts w:ascii="Calibri" w:hAnsi="Calibri" w:cs="Calibri"/>
          <w:kern w:val="0"/>
          <w14:ligatures w14:val="none"/>
        </w:rPr>
      </w:pPr>
      <w:r>
        <w:rPr>
          <w:rFonts w:ascii="Calibri" w:hAnsi="Calibri" w:cs="Calibri"/>
        </w:rPr>
        <w:br w:type="page"/>
      </w:r>
    </w:p>
    <w:p w14:paraId="6FF9F628" w14:textId="7DEE101E" w:rsidR="00326A63" w:rsidRPr="00D33CAF" w:rsidRDefault="00326A63" w:rsidP="00326A63">
      <w:pPr>
        <w:pStyle w:val="Heading2"/>
        <w:rPr>
          <w:rFonts w:eastAsiaTheme="minorEastAsia"/>
          <w:b/>
          <w:bCs/>
        </w:rPr>
      </w:pPr>
      <w:r w:rsidRPr="00D33CAF">
        <w:rPr>
          <w:rFonts w:eastAsiaTheme="minorEastAsia"/>
          <w:b/>
          <w:bCs/>
        </w:rPr>
        <w:t>Soft powers</w:t>
      </w:r>
    </w:p>
    <w:p w14:paraId="11E1C44D" w14:textId="0412246C" w:rsidR="00326A63" w:rsidRDefault="00326A63" w:rsidP="00326A63">
      <w:r>
        <w:t>Soft</w:t>
      </w:r>
      <w:r w:rsidR="00E93D98">
        <w:t xml:space="preserve"> power mechanisms, including EU funding and pan-EU networks have also been important resources </w:t>
      </w:r>
      <w:r w:rsidR="001F2E68">
        <w:t xml:space="preserve">used by disabled people’s organisations across the UK to better realise rights. </w:t>
      </w:r>
    </w:p>
    <w:p w14:paraId="2F0A8C8D" w14:textId="3606C216" w:rsidR="001F2E68" w:rsidRPr="00326A63" w:rsidRDefault="001F2E68" w:rsidP="00326A63">
      <w:r>
        <w:t xml:space="preserve">However, along with explicit legal protections, </w:t>
      </w:r>
      <w:r w:rsidR="009A2FB4">
        <w:t xml:space="preserve">access to these mechanisms has also been impacted negatively by the chosen </w:t>
      </w:r>
      <w:r w:rsidR="00401758">
        <w:t xml:space="preserve">post-Brexit trajectory of the UK Government. </w:t>
      </w:r>
    </w:p>
    <w:p w14:paraId="2FC064C1" w14:textId="6BB5A751" w:rsidR="00326A63" w:rsidRDefault="00326A63" w:rsidP="00947E5B">
      <w:pPr>
        <w:rPr>
          <w:b/>
          <w:bCs/>
        </w:rPr>
      </w:pPr>
      <w:r w:rsidRPr="00947E5B">
        <w:rPr>
          <w:b/>
          <w:bCs/>
        </w:rPr>
        <w:t>EU funding</w:t>
      </w:r>
      <w:r w:rsidR="003E63F5">
        <w:rPr>
          <w:rStyle w:val="FootnoteReference"/>
          <w:b/>
          <w:bCs/>
        </w:rPr>
        <w:footnoteReference w:id="29"/>
      </w:r>
    </w:p>
    <w:p w14:paraId="301B01C3" w14:textId="099134DA" w:rsidR="00CF7B74" w:rsidRDefault="00CF7B74" w:rsidP="00CF7B74">
      <w:r>
        <w:t>We are</w:t>
      </w:r>
      <w:r w:rsidR="005E3387">
        <w:t xml:space="preserve"> </w:t>
      </w:r>
      <w:r>
        <w:t>deeply concerned that rather than making the progress recommended by UNCRPD</w:t>
      </w:r>
      <w:r w:rsidR="00FE2620">
        <w:t xml:space="preserve"> as part of their inquiry</w:t>
      </w:r>
      <w:r>
        <w:t>,</w:t>
      </w:r>
      <w:r w:rsidR="009A0CF8" w:rsidRPr="009A0CF8">
        <w:rPr>
          <w:rStyle w:val="FootnoteTextChar"/>
        </w:rPr>
        <w:t xml:space="preserve"> </w:t>
      </w:r>
      <w:r w:rsidR="009A0CF8">
        <w:rPr>
          <w:rStyle w:val="FootnoteReference"/>
        </w:rPr>
        <w:footnoteReference w:id="30"/>
      </w:r>
      <w:r>
        <w:t xml:space="preserve"> there has been regress in the UK in relation to employment/unemployment-related support services</w:t>
      </w:r>
      <w:r w:rsidR="00FE2620">
        <w:t>.</w:t>
      </w:r>
    </w:p>
    <w:p w14:paraId="4CD41CB8" w14:textId="30A7BD0E" w:rsidR="00947E5B" w:rsidRDefault="00C54DC4" w:rsidP="00947E5B">
      <w:r>
        <w:t>As far back as 2017, groups such as Disability Action</w:t>
      </w:r>
      <w:r w:rsidR="006A68B6">
        <w:t xml:space="preserve"> </w:t>
      </w:r>
      <w:r>
        <w:t>expressed concern about what the decision to leave the EU would mean for EU-derived funding streams.</w:t>
      </w:r>
      <w:r w:rsidR="00076AE9">
        <w:rPr>
          <w:rStyle w:val="FootnoteReference"/>
        </w:rPr>
        <w:footnoteReference w:id="31"/>
      </w:r>
      <w:r w:rsidR="00F60AC3">
        <w:t xml:space="preserve"> </w:t>
      </w:r>
      <w:r w:rsidR="00B41F41" w:rsidRPr="009C44E6">
        <w:t>The European Social Fund</w:t>
      </w:r>
      <w:r w:rsidR="008023D9">
        <w:t xml:space="preserve"> (ESF)</w:t>
      </w:r>
      <w:r w:rsidR="00B41F41" w:rsidRPr="009C44E6">
        <w:t xml:space="preserve"> </w:t>
      </w:r>
      <w:r w:rsidR="00071BAC" w:rsidRPr="009C44E6">
        <w:t>is aimed at</w:t>
      </w:r>
      <w:r w:rsidR="00B41F41" w:rsidRPr="009C44E6">
        <w:t xml:space="preserve"> supporting jobs, helping people get better jobs</w:t>
      </w:r>
      <w:r w:rsidR="00187BE8">
        <w:t>,</w:t>
      </w:r>
      <w:r w:rsidR="00B41F41" w:rsidRPr="009C44E6">
        <w:t xml:space="preserve"> and ensuring fairer job opportunities for all EU citizens. </w:t>
      </w:r>
      <w:r w:rsidR="00071BAC" w:rsidRPr="009C44E6">
        <w:t>With a budget of</w:t>
      </w:r>
      <w:r w:rsidR="00D243F3">
        <w:t xml:space="preserve"> €</w:t>
      </w:r>
      <w:r w:rsidR="00B41F41" w:rsidRPr="009C44E6">
        <w:t>10 billion a year</w:t>
      </w:r>
      <w:r w:rsidR="00071BAC" w:rsidRPr="009C44E6">
        <w:t xml:space="preserve">, </w:t>
      </w:r>
      <w:r w:rsidR="00026C5B">
        <w:t>the</w:t>
      </w:r>
      <w:r w:rsidR="009C44E6" w:rsidRPr="009C44E6">
        <w:t xml:space="preserve"> goal is to improve job prospects for </w:t>
      </w:r>
      <w:r w:rsidR="00B41F41" w:rsidRPr="009C44E6">
        <w:t>Europeans, in particular those who find it difficult to get work.</w:t>
      </w:r>
      <w:r w:rsidR="00D243F3">
        <w:rPr>
          <w:rStyle w:val="FootnoteReference"/>
        </w:rPr>
        <w:footnoteReference w:id="32"/>
      </w:r>
    </w:p>
    <w:p w14:paraId="47CC5374" w14:textId="0A7D8A07" w:rsidR="00F661ED" w:rsidRDefault="0045126C" w:rsidP="00947E5B">
      <w:r>
        <w:t xml:space="preserve">In 2019, Inclusion Scotland </w:t>
      </w:r>
      <w:r w:rsidR="00FF364B">
        <w:t xml:space="preserve">stated that as </w:t>
      </w:r>
      <w:r>
        <w:t>much as 19</w:t>
      </w:r>
      <w:r w:rsidR="00187BE8">
        <w:t xml:space="preserve"> per cent</w:t>
      </w:r>
      <w:r>
        <w:t xml:space="preserve"> of EU structural funds directly support disabled people.</w:t>
      </w:r>
      <w:r w:rsidR="00FF364B">
        <w:t xml:space="preserve"> This is a hugely significant amount.</w:t>
      </w:r>
      <w:r w:rsidR="000B1362">
        <w:rPr>
          <w:rStyle w:val="FootnoteReference"/>
        </w:rPr>
        <w:footnoteReference w:id="33"/>
      </w:r>
      <w:r w:rsidR="00FF364B">
        <w:t xml:space="preserve"> </w:t>
      </w:r>
    </w:p>
    <w:p w14:paraId="3A21073A" w14:textId="458F53E6" w:rsidR="00026C5B" w:rsidRDefault="008023D9" w:rsidP="00947E5B">
      <w:r>
        <w:t>A recent report commissioned by the Equality Commission for Northern Ireland (ECNI)</w:t>
      </w:r>
      <w:r w:rsidR="00380F94">
        <w:t xml:space="preserve"> </w:t>
      </w:r>
      <w:r w:rsidR="00366185">
        <w:t xml:space="preserve">demonstrated that </w:t>
      </w:r>
      <w:r w:rsidR="001403D5">
        <w:t xml:space="preserve">the impact of the ESF has been much more beneficial than </w:t>
      </w:r>
      <w:r w:rsidR="000B1362">
        <w:t>just improving job prospects</w:t>
      </w:r>
      <w:r w:rsidR="00E870D4">
        <w:t>. One interviewee for the report noted</w:t>
      </w:r>
      <w:r w:rsidR="00DD1FC3">
        <w:t xml:space="preserve"> that </w:t>
      </w:r>
      <w:r w:rsidR="00A533EB">
        <w:t xml:space="preserve">it also fostered social inclusion, and importantly enabled disabled people to </w:t>
      </w:r>
      <w:r w:rsidR="005435B0">
        <w:t>educate</w:t>
      </w:r>
      <w:r w:rsidR="00EA5229">
        <w:t xml:space="preserve"> employers about disability</w:t>
      </w:r>
      <w:r w:rsidR="00E04E0F">
        <w:t>,</w:t>
      </w:r>
    </w:p>
    <w:p w14:paraId="21E69FEA" w14:textId="3EA0E9CA" w:rsidR="007D442A" w:rsidRDefault="007D442A" w:rsidP="00947E5B">
      <w:pPr>
        <w:rPr>
          <w:i/>
          <w:iCs/>
        </w:rPr>
      </w:pPr>
      <w:r w:rsidRPr="00E04E0F">
        <w:rPr>
          <w:i/>
          <w:iCs/>
        </w:rPr>
        <w:t>“</w:t>
      </w:r>
      <w:r w:rsidR="00E870D4" w:rsidRPr="00E04E0F">
        <w:rPr>
          <w:i/>
          <w:iCs/>
        </w:rPr>
        <w:t>Edyth Dunlop (Regional Manager, NIUSE), stressed that the ESF programme was wider than employability; it was also about social inclusion – projects aimed at helping people to become included in society as a whole. The most recent ESF programme has supported 22 projects - a third of the total – working to support people with disabilities to learn new skills, develop their employability and find new employment. For this interviewee, the aim of the programmes was also to empower individuals and to help educate employers about disability. This highlights the wider significance of the ESF funding; as well as helping people to find employment, it also supported them in their personal development and provided an opportunity to effect wider change among employers.</w:t>
      </w:r>
      <w:r w:rsidR="00E04E0F" w:rsidRPr="00E04E0F">
        <w:rPr>
          <w:i/>
          <w:iCs/>
        </w:rPr>
        <w:t>”</w:t>
      </w:r>
      <w:r w:rsidR="003F34D7">
        <w:rPr>
          <w:rStyle w:val="FootnoteReference"/>
          <w:i/>
          <w:iCs/>
        </w:rPr>
        <w:footnoteReference w:id="34"/>
      </w:r>
    </w:p>
    <w:p w14:paraId="7F6D178B" w14:textId="42540A5D" w:rsidR="005435B0" w:rsidRDefault="00D16F46" w:rsidP="00947E5B">
      <w:r>
        <w:t xml:space="preserve">Another, sometimes overlooked, benefit of ESF was </w:t>
      </w:r>
      <w:r w:rsidR="0028749B">
        <w:t>that it didn’t just focus on, “</w:t>
      </w:r>
      <w:r w:rsidR="0028749B" w:rsidRPr="000D2555">
        <w:rPr>
          <w:i/>
          <w:iCs/>
        </w:rPr>
        <w:t>easy ‘wins’ by helping people who were already closer to being employed</w:t>
      </w:r>
      <w:r w:rsidR="000D2555">
        <w:t>.”</w:t>
      </w:r>
      <w:r w:rsidR="00E93E1E">
        <w:rPr>
          <w:rStyle w:val="FootnoteReference"/>
        </w:rPr>
        <w:footnoteReference w:id="35"/>
      </w:r>
      <w:r w:rsidR="000D2555">
        <w:t xml:space="preserve"> Rather, it wa</w:t>
      </w:r>
      <w:r w:rsidR="007D5326">
        <w:t>s used to also help those further from employment. Another interviewee in the report reference</w:t>
      </w:r>
      <w:r w:rsidR="00325799">
        <w:t>d</w:t>
      </w:r>
      <w:r w:rsidR="007D5326">
        <w:t xml:space="preserve"> above</w:t>
      </w:r>
      <w:r w:rsidR="00344ED3">
        <w:t>,</w:t>
      </w:r>
    </w:p>
    <w:p w14:paraId="3F0F2318" w14:textId="0FDD67BC" w:rsidR="00344ED3" w:rsidRDefault="00344ED3" w:rsidP="00947E5B">
      <w:pPr>
        <w:rPr>
          <w:i/>
          <w:iCs/>
        </w:rPr>
      </w:pPr>
      <w:r w:rsidRPr="00E93E1E">
        <w:rPr>
          <w:i/>
          <w:iCs/>
        </w:rPr>
        <w:t>“highlighted how ESF funding had enabled their organisation to work with individuals with disabilities who were furthest from the labour market and help them move close to a position where they could benefit from supported employment</w:t>
      </w:r>
      <w:r w:rsidR="00E93E1E" w:rsidRPr="00E93E1E">
        <w:rPr>
          <w:i/>
          <w:iCs/>
        </w:rPr>
        <w:t>.”</w:t>
      </w:r>
      <w:r w:rsidR="00F734E5">
        <w:rPr>
          <w:rStyle w:val="FootnoteReference"/>
          <w:i/>
          <w:iCs/>
        </w:rPr>
        <w:footnoteReference w:id="36"/>
      </w:r>
    </w:p>
    <w:p w14:paraId="69F84FA9" w14:textId="7AFFA4AF" w:rsidR="00F734E5" w:rsidRPr="00F734E5" w:rsidRDefault="00837287" w:rsidP="00947E5B">
      <w:r>
        <w:t xml:space="preserve">O’Connell and Cunningham rightly reflect upon the importance of the ESF in not focusing </w:t>
      </w:r>
      <w:r w:rsidR="0081702F">
        <w:t xml:space="preserve">on the easy wins and </w:t>
      </w:r>
      <w:r w:rsidR="001D5A4E">
        <w:t>quantifiable</w:t>
      </w:r>
      <w:r w:rsidR="0081702F">
        <w:t xml:space="preserve"> objectives, but creating a space where things like the ‘distance travelled’ </w:t>
      </w:r>
      <w:r w:rsidR="001D5A4E">
        <w:t>by participants is itself an important outcome, even if it doesn’t result in employment, but does bring them closer to that goal.</w:t>
      </w:r>
      <w:r w:rsidR="001D5A4E">
        <w:rPr>
          <w:rStyle w:val="FootnoteReference"/>
        </w:rPr>
        <w:footnoteReference w:id="37"/>
      </w:r>
    </w:p>
    <w:p w14:paraId="3D4D8BD9" w14:textId="5108BDE2" w:rsidR="00EA5229" w:rsidRPr="00EA5229" w:rsidRDefault="00EA5229" w:rsidP="00947E5B">
      <w:r w:rsidRPr="00EA5229">
        <w:t>From the perspective of funding recipients</w:t>
      </w:r>
      <w:r w:rsidR="00767015">
        <w:t xml:space="preserve"> a</w:t>
      </w:r>
      <w:r w:rsidR="005E028A">
        <w:t xml:space="preserve">n important </w:t>
      </w:r>
      <w:r w:rsidR="00767015">
        <w:t xml:space="preserve">benefit of EU funding was </w:t>
      </w:r>
      <w:r w:rsidR="005E028A">
        <w:t xml:space="preserve">that it is based on multi-year grants, </w:t>
      </w:r>
      <w:r w:rsidR="00982B90">
        <w:t>allowing for longer-term planning</w:t>
      </w:r>
      <w:r w:rsidR="003F34D7">
        <w:t xml:space="preserve"> and providing more consistency and sustainability tha</w:t>
      </w:r>
      <w:r w:rsidR="00120735">
        <w:t>n</w:t>
      </w:r>
      <w:r w:rsidR="003F34D7">
        <w:t xml:space="preserve"> non-EU funding, which tends to run over a short funding cycle.</w:t>
      </w:r>
      <w:r w:rsidR="00207714">
        <w:rPr>
          <w:rStyle w:val="FootnoteReference"/>
        </w:rPr>
        <w:footnoteReference w:id="38"/>
      </w:r>
      <w:r w:rsidR="003F34D7">
        <w:t xml:space="preserve"> </w:t>
      </w:r>
    </w:p>
    <w:p w14:paraId="516C97B7" w14:textId="0285CBDF" w:rsidR="00D05ADA" w:rsidRDefault="00725213" w:rsidP="00D05ADA">
      <w:r w:rsidRPr="004D29C4">
        <w:t xml:space="preserve">Given the benefits of EU funding such as the ESF, it is understandable that there has been a high degree of anxiety, including amongst </w:t>
      </w:r>
      <w:r w:rsidR="00D05ADA" w:rsidRPr="004D29C4">
        <w:t>disabled people’s organisations</w:t>
      </w:r>
      <w:r w:rsidR="00150FBA">
        <w:t>,</w:t>
      </w:r>
      <w:r w:rsidR="00D05ADA" w:rsidRPr="004D29C4">
        <w:t xml:space="preserve"> about what will replace it.</w:t>
      </w:r>
      <w:r w:rsidR="00D05ADA">
        <w:rPr>
          <w:b/>
          <w:bCs/>
        </w:rPr>
        <w:t xml:space="preserve"> </w:t>
      </w:r>
      <w:r w:rsidR="00D05ADA">
        <w:t xml:space="preserve">The UK </w:t>
      </w:r>
      <w:r w:rsidR="004D1D61">
        <w:t>G</w:t>
      </w:r>
      <w:r w:rsidR="00D05ADA">
        <w:t xml:space="preserve">overnment has announced several different funding streams to replace this funding, including the Levelling Up Fund, the Community Renewal Fund, the Community Ownership Fund, and the Shared Prosperity Fund. </w:t>
      </w:r>
      <w:r w:rsidR="004D29C4">
        <w:t>While these schemes are welcomed, serious concerns remain – mainly around a lack of clarity</w:t>
      </w:r>
      <w:r w:rsidR="00B326FF">
        <w:t xml:space="preserve"> including in relation to:</w:t>
      </w:r>
    </w:p>
    <w:p w14:paraId="41FF4630" w14:textId="7F3C945C" w:rsidR="00F95DD7" w:rsidRDefault="00B326FF" w:rsidP="00503138">
      <w:pPr>
        <w:pStyle w:val="ListParagraph"/>
        <w:numPr>
          <w:ilvl w:val="0"/>
          <w:numId w:val="4"/>
        </w:numPr>
      </w:pPr>
      <w:r>
        <w:t>the relationship between these different funding mechanisms</w:t>
      </w:r>
    </w:p>
    <w:p w14:paraId="1378E4F6" w14:textId="5D27A6E1" w:rsidR="00B326FF" w:rsidRDefault="00B326FF" w:rsidP="00503138">
      <w:pPr>
        <w:pStyle w:val="ListParagraph"/>
        <w:numPr>
          <w:ilvl w:val="0"/>
          <w:numId w:val="4"/>
        </w:numPr>
      </w:pPr>
      <w:r>
        <w:t>the focus of each fund</w:t>
      </w:r>
    </w:p>
    <w:p w14:paraId="76075D95" w14:textId="65B263A7" w:rsidR="00F95DD7" w:rsidRDefault="00F95DD7" w:rsidP="00503138">
      <w:pPr>
        <w:pStyle w:val="ListParagraph"/>
        <w:numPr>
          <w:ilvl w:val="0"/>
          <w:numId w:val="4"/>
        </w:numPr>
      </w:pPr>
      <w:r>
        <w:t>how they will work in practice</w:t>
      </w:r>
    </w:p>
    <w:p w14:paraId="133D7B32" w14:textId="60596F63" w:rsidR="00503138" w:rsidRDefault="00503138" w:rsidP="00503138">
      <w:pPr>
        <w:pStyle w:val="ListParagraph"/>
        <w:numPr>
          <w:ilvl w:val="0"/>
          <w:numId w:val="4"/>
        </w:numPr>
      </w:pPr>
      <w:r>
        <w:t>how these different funds will address the gap left by the ending of EU funding.</w:t>
      </w:r>
      <w:r w:rsidR="0096608A">
        <w:rPr>
          <w:rStyle w:val="FootnoteReference"/>
        </w:rPr>
        <w:footnoteReference w:id="39"/>
      </w:r>
    </w:p>
    <w:p w14:paraId="025D2FFA" w14:textId="05E10E66" w:rsidR="00BF2938" w:rsidRDefault="00BF2938" w:rsidP="00B326FF">
      <w:r>
        <w:t xml:space="preserve">In addition, in relation to the Shared Prosperity Fund, additional </w:t>
      </w:r>
      <w:r w:rsidR="00EC7386">
        <w:t>areas where clarity has been called for include,</w:t>
      </w:r>
    </w:p>
    <w:p w14:paraId="54D744E5" w14:textId="45185CB8" w:rsidR="00EC7386" w:rsidRDefault="00B326FF" w:rsidP="00CB28D9">
      <w:pPr>
        <w:pStyle w:val="ListParagraph"/>
        <w:numPr>
          <w:ilvl w:val="0"/>
          <w:numId w:val="5"/>
        </w:numPr>
      </w:pPr>
      <w:r>
        <w:t xml:space="preserve">how much money will be available for </w:t>
      </w:r>
      <w:r w:rsidR="00F95DD7">
        <w:t>different parts of the UK</w:t>
      </w:r>
    </w:p>
    <w:p w14:paraId="7F181544" w14:textId="0CDDA4C4" w:rsidR="00B326FF" w:rsidRDefault="00B326FF" w:rsidP="00CB28D9">
      <w:pPr>
        <w:pStyle w:val="ListParagraph"/>
        <w:numPr>
          <w:ilvl w:val="0"/>
          <w:numId w:val="5"/>
        </w:numPr>
      </w:pPr>
      <w:r>
        <w:t>how that money will be distributed.</w:t>
      </w:r>
      <w:r w:rsidR="00973218">
        <w:rPr>
          <w:rStyle w:val="FootnoteReference"/>
        </w:rPr>
        <w:footnoteReference w:id="40"/>
      </w:r>
    </w:p>
    <w:p w14:paraId="16B83BC1" w14:textId="22074C3A" w:rsidR="00973218" w:rsidRDefault="00027FE7" w:rsidP="00973218">
      <w:r>
        <w:t xml:space="preserve">In order to realise the rights of disabled people in the UK to work and </w:t>
      </w:r>
      <w:r w:rsidR="004D1D61">
        <w:t xml:space="preserve">to </w:t>
      </w:r>
      <w:r>
        <w:t xml:space="preserve">an adequate standard of living, the UK Government must ensure that </w:t>
      </w:r>
      <w:r w:rsidR="00C45889">
        <w:t xml:space="preserve">replacement funding is not only adequate, but that clarity is urgently </w:t>
      </w:r>
      <w:r w:rsidR="00973E88">
        <w:t>provided</w:t>
      </w:r>
      <w:r w:rsidR="006B0347">
        <w:t xml:space="preserve"> on the points raised above. As </w:t>
      </w:r>
      <w:r w:rsidR="00973E88">
        <w:t>a priority</w:t>
      </w:r>
      <w:r w:rsidR="006B0347">
        <w:t>,</w:t>
      </w:r>
      <w:r w:rsidR="00973E88">
        <w:t xml:space="preserve"> gaps left by the loss of funds such as ESF</w:t>
      </w:r>
      <w:r w:rsidR="006B0347">
        <w:t>,</w:t>
      </w:r>
      <w:r w:rsidR="00973E88">
        <w:t xml:space="preserve"> </w:t>
      </w:r>
      <w:r w:rsidR="006B0347">
        <w:t>must be</w:t>
      </w:r>
      <w:r w:rsidR="00973E88">
        <w:t xml:space="preserve"> plugged. </w:t>
      </w:r>
    </w:p>
    <w:p w14:paraId="7612C850" w14:textId="2248C715" w:rsidR="00973E88" w:rsidRDefault="00973E88" w:rsidP="00973218">
      <w:pPr>
        <w:rPr>
          <w:b/>
          <w:bCs/>
        </w:rPr>
      </w:pPr>
      <w:r w:rsidRPr="00973E88">
        <w:rPr>
          <w:b/>
          <w:bCs/>
        </w:rPr>
        <w:t>Pan-European networks</w:t>
      </w:r>
    </w:p>
    <w:p w14:paraId="7A0011C1" w14:textId="34EDC7F8" w:rsidR="009E7176" w:rsidRDefault="00CE522C" w:rsidP="00E870D5">
      <w:r w:rsidRPr="006C0D63">
        <w:t xml:space="preserve">A potentially overlooked, but important soft power resource used by civil society organisations </w:t>
      </w:r>
      <w:r w:rsidR="00B83C4E" w:rsidRPr="006C0D63">
        <w:t>in Europe across different sectors, has been the establishment and growth of pan-European networks</w:t>
      </w:r>
      <w:r w:rsidR="00EF4FD6">
        <w:t>,</w:t>
      </w:r>
      <w:r w:rsidR="00B83C4E" w:rsidRPr="006C0D63">
        <w:t xml:space="preserve"> and the disability sector is no different. </w:t>
      </w:r>
      <w:r w:rsidR="009F4B60" w:rsidRPr="006C0D63">
        <w:t>These networks are used to share learning and best practice across Europe.</w:t>
      </w:r>
      <w:r w:rsidR="009F4B60">
        <w:rPr>
          <w:b/>
          <w:bCs/>
        </w:rPr>
        <w:t xml:space="preserve"> </w:t>
      </w:r>
      <w:r w:rsidR="00E870D5">
        <w:t xml:space="preserve">The European Disability Forum is an independent INGO which is funded through the EU and has facilitated disability groups from across Europe working together and sharing experiences in order to amplify the voices of disabled people and to coordinate actions on Europe-wide campaigns and assist groups and individuals </w:t>
      </w:r>
      <w:r w:rsidR="00016292">
        <w:t>to realise</w:t>
      </w:r>
      <w:r w:rsidR="00E870D5">
        <w:t xml:space="preserve"> their rights.</w:t>
      </w:r>
      <w:r w:rsidR="006F04A7">
        <w:rPr>
          <w:rStyle w:val="FootnoteReference"/>
        </w:rPr>
        <w:footnoteReference w:id="41"/>
      </w:r>
    </w:p>
    <w:p w14:paraId="29D88E68" w14:textId="3AD61297" w:rsidR="00E870D5" w:rsidRDefault="00E870D5" w:rsidP="00E870D5">
      <w:r>
        <w:t xml:space="preserve">It also has an important role in supporting disabled people and groups to engage with the UN Convention on the Rights of People with Disabilities (UNCPRD). </w:t>
      </w:r>
      <w:r w:rsidR="00CF3804">
        <w:t xml:space="preserve">While groups in Northern Ireland have praised the informal support EDF has provided in the past, </w:t>
      </w:r>
      <w:r w:rsidR="009C48D3">
        <w:t>Disability Action have not engaged with them post-Brexit.</w:t>
      </w:r>
      <w:r w:rsidR="00501B3B">
        <w:t xml:space="preserve"> The loss of such networks is </w:t>
      </w:r>
      <w:r w:rsidR="008849D7">
        <w:t xml:space="preserve">another regrettable outcome of </w:t>
      </w:r>
      <w:r w:rsidR="006233F7">
        <w:t>the UK’s</w:t>
      </w:r>
      <w:r w:rsidR="008849D7">
        <w:t xml:space="preserve"> post-Brexit trajectory.</w:t>
      </w:r>
    </w:p>
    <w:p w14:paraId="6768EC63" w14:textId="19F85222" w:rsidR="008849D7" w:rsidRPr="00540D7F" w:rsidRDefault="008849D7" w:rsidP="00540D7F">
      <w:pPr>
        <w:pStyle w:val="Heading3"/>
        <w:rPr>
          <w:b/>
          <w:bCs/>
        </w:rPr>
      </w:pPr>
      <w:r w:rsidRPr="00540D7F">
        <w:rPr>
          <w:b/>
          <w:bCs/>
        </w:rPr>
        <w:t>Recommendation</w:t>
      </w:r>
    </w:p>
    <w:p w14:paraId="684006A5" w14:textId="21B9C57A" w:rsidR="001F0185" w:rsidRPr="009C29BE" w:rsidRDefault="004C573D" w:rsidP="006233F7">
      <w:pPr>
        <w:pStyle w:val="ListParagraph"/>
        <w:ind w:left="360"/>
        <w:rPr>
          <w:i/>
          <w:iCs/>
        </w:rPr>
      </w:pPr>
      <w:r w:rsidRPr="002A5FAD">
        <w:rPr>
          <w:rFonts w:ascii="Calibri" w:eastAsiaTheme="minorEastAsia" w:hAnsi="Calibri" w:cs="Calibri"/>
          <w:i/>
          <w:iCs/>
        </w:rPr>
        <w:t xml:space="preserve">The Committee </w:t>
      </w:r>
      <w:r w:rsidR="006233F7">
        <w:rPr>
          <w:rFonts w:ascii="Calibri" w:eastAsiaTheme="minorEastAsia" w:hAnsi="Calibri" w:cs="Calibri"/>
          <w:i/>
          <w:iCs/>
        </w:rPr>
        <w:t>should</w:t>
      </w:r>
      <w:r w:rsidRPr="002A5FAD">
        <w:rPr>
          <w:rFonts w:ascii="Calibri" w:eastAsiaTheme="minorEastAsia" w:hAnsi="Calibri" w:cs="Calibri"/>
          <w:i/>
          <w:iCs/>
        </w:rPr>
        <w:t xml:space="preserve"> ask the UK Government </w:t>
      </w:r>
      <w:r>
        <w:rPr>
          <w:rFonts w:ascii="Calibri" w:eastAsiaTheme="minorEastAsia" w:hAnsi="Calibri" w:cs="Calibri"/>
          <w:i/>
          <w:iCs/>
        </w:rPr>
        <w:t xml:space="preserve">as a matter of urgency to provide clarity </w:t>
      </w:r>
      <w:r w:rsidR="00307855">
        <w:rPr>
          <w:rFonts w:ascii="Calibri" w:eastAsiaTheme="minorEastAsia" w:hAnsi="Calibri" w:cs="Calibri"/>
          <w:i/>
          <w:iCs/>
        </w:rPr>
        <w:t>in relation to replacement funding, including on issues outline</w:t>
      </w:r>
      <w:r w:rsidR="006233F7">
        <w:rPr>
          <w:rFonts w:ascii="Calibri" w:eastAsiaTheme="minorEastAsia" w:hAnsi="Calibri" w:cs="Calibri"/>
          <w:i/>
          <w:iCs/>
        </w:rPr>
        <w:t>d</w:t>
      </w:r>
      <w:r w:rsidR="00307855">
        <w:rPr>
          <w:rFonts w:ascii="Calibri" w:eastAsiaTheme="minorEastAsia" w:hAnsi="Calibri" w:cs="Calibri"/>
          <w:i/>
          <w:iCs/>
        </w:rPr>
        <w:t xml:space="preserve"> above such as the focus of each fund, how they will operate in practice </w:t>
      </w:r>
      <w:r w:rsidR="001F0185">
        <w:rPr>
          <w:rFonts w:ascii="Calibri" w:eastAsiaTheme="minorEastAsia" w:hAnsi="Calibri" w:cs="Calibri"/>
          <w:i/>
          <w:iCs/>
        </w:rPr>
        <w:t xml:space="preserve">and any gaps left </w:t>
      </w:r>
      <w:r w:rsidR="001F0185" w:rsidRPr="001F0185">
        <w:rPr>
          <w:rFonts w:ascii="Calibri" w:eastAsiaTheme="minorEastAsia" w:hAnsi="Calibri" w:cs="Calibri"/>
          <w:i/>
          <w:iCs/>
        </w:rPr>
        <w:t xml:space="preserve">by the loss of funds such as ESF, </w:t>
      </w:r>
      <w:r w:rsidR="001F0185">
        <w:rPr>
          <w:rFonts w:ascii="Calibri" w:eastAsiaTheme="minorEastAsia" w:hAnsi="Calibri" w:cs="Calibri"/>
          <w:i/>
          <w:iCs/>
        </w:rPr>
        <w:t>are plugged</w:t>
      </w:r>
      <w:r w:rsidR="001F0185" w:rsidRPr="009C29BE">
        <w:rPr>
          <w:rFonts w:ascii="Calibri" w:eastAsiaTheme="minorEastAsia" w:hAnsi="Calibri" w:cs="Calibri"/>
          <w:i/>
          <w:iCs/>
        </w:rPr>
        <w:t>.</w:t>
      </w:r>
      <w:r w:rsidR="006233F7" w:rsidRPr="009C29BE">
        <w:rPr>
          <w:rFonts w:ascii="Calibri" w:eastAsiaTheme="minorEastAsia" w:hAnsi="Calibri" w:cs="Calibri"/>
          <w:i/>
          <w:iCs/>
        </w:rPr>
        <w:t xml:space="preserve"> </w:t>
      </w:r>
      <w:r w:rsidR="001F0185" w:rsidRPr="009C29BE">
        <w:rPr>
          <w:i/>
          <w:iCs/>
        </w:rPr>
        <w:t>In addition</w:t>
      </w:r>
      <w:r w:rsidR="00540D7F" w:rsidRPr="009C29BE">
        <w:rPr>
          <w:i/>
          <w:iCs/>
        </w:rPr>
        <w:t>,</w:t>
      </w:r>
      <w:r w:rsidR="001F0185" w:rsidRPr="009C29BE">
        <w:rPr>
          <w:i/>
          <w:iCs/>
        </w:rPr>
        <w:t xml:space="preserve"> the</w:t>
      </w:r>
      <w:r w:rsidR="00DC1141" w:rsidRPr="009C29BE">
        <w:rPr>
          <w:i/>
          <w:iCs/>
        </w:rPr>
        <w:t xml:space="preserve"> Committee </w:t>
      </w:r>
      <w:r w:rsidR="006233F7" w:rsidRPr="009C29BE">
        <w:rPr>
          <w:i/>
          <w:iCs/>
        </w:rPr>
        <w:t>should</w:t>
      </w:r>
      <w:r w:rsidR="00DC1141" w:rsidRPr="009C29BE">
        <w:rPr>
          <w:i/>
          <w:iCs/>
        </w:rPr>
        <w:t xml:space="preserve"> recommend </w:t>
      </w:r>
      <w:r w:rsidR="006233F7" w:rsidRPr="009C29BE">
        <w:rPr>
          <w:i/>
          <w:iCs/>
        </w:rPr>
        <w:t xml:space="preserve">that </w:t>
      </w:r>
      <w:r w:rsidR="00DC1141" w:rsidRPr="009C29BE">
        <w:rPr>
          <w:i/>
          <w:iCs/>
        </w:rPr>
        <w:t>the UK Government seeks avenues to continue supporting DPOs in the UK to engage in pan-</w:t>
      </w:r>
      <w:r w:rsidR="00EE2EF8" w:rsidRPr="009C29BE">
        <w:rPr>
          <w:i/>
          <w:iCs/>
        </w:rPr>
        <w:t>European</w:t>
      </w:r>
      <w:r w:rsidR="00DC1141" w:rsidRPr="009C29BE">
        <w:rPr>
          <w:i/>
          <w:iCs/>
        </w:rPr>
        <w:t xml:space="preserve"> networks (including through funding) to ensure they can continue to </w:t>
      </w:r>
      <w:r w:rsidR="00EE2EF8" w:rsidRPr="009C29BE">
        <w:rPr>
          <w:i/>
          <w:iCs/>
        </w:rPr>
        <w:t xml:space="preserve">share learning and best practice. </w:t>
      </w:r>
    </w:p>
    <w:p w14:paraId="7A78C0FF" w14:textId="77777777" w:rsidR="008849D7" w:rsidRDefault="008849D7" w:rsidP="00E870D5"/>
    <w:p w14:paraId="0E9E87A5" w14:textId="77777777" w:rsidR="006C45AD" w:rsidRDefault="006C45AD" w:rsidP="00973218">
      <w:pPr>
        <w:rPr>
          <w:b/>
          <w:bCs/>
        </w:rPr>
      </w:pPr>
    </w:p>
    <w:p w14:paraId="41C760E6" w14:textId="77777777" w:rsidR="006C45AD" w:rsidRPr="00973E88" w:rsidRDefault="006C45AD" w:rsidP="00973218">
      <w:pPr>
        <w:rPr>
          <w:b/>
          <w:bCs/>
        </w:rPr>
      </w:pPr>
    </w:p>
    <w:p w14:paraId="0995B95A" w14:textId="4E0519AD" w:rsidR="00947E5B" w:rsidRDefault="00947E5B" w:rsidP="00947E5B">
      <w:pPr>
        <w:rPr>
          <w:b/>
          <w:bCs/>
        </w:rPr>
      </w:pPr>
    </w:p>
    <w:p w14:paraId="0CB8B93A" w14:textId="77777777" w:rsidR="00947E5B" w:rsidRDefault="00947E5B" w:rsidP="00947E5B">
      <w:pPr>
        <w:rPr>
          <w:b/>
          <w:bCs/>
        </w:rPr>
      </w:pPr>
    </w:p>
    <w:p w14:paraId="0166582B" w14:textId="77777777" w:rsidR="00947E5B" w:rsidRDefault="00947E5B" w:rsidP="00947E5B">
      <w:pPr>
        <w:rPr>
          <w:b/>
          <w:bCs/>
        </w:rPr>
      </w:pPr>
    </w:p>
    <w:p w14:paraId="179CC7DB" w14:textId="77777777" w:rsidR="00947E5B" w:rsidRDefault="00947E5B" w:rsidP="00947E5B">
      <w:pPr>
        <w:rPr>
          <w:b/>
          <w:bCs/>
        </w:rPr>
      </w:pPr>
    </w:p>
    <w:p w14:paraId="7E52FB32" w14:textId="77777777" w:rsidR="00947E5B" w:rsidRDefault="00947E5B" w:rsidP="00947E5B">
      <w:pPr>
        <w:rPr>
          <w:b/>
          <w:bCs/>
        </w:rPr>
      </w:pPr>
    </w:p>
    <w:p w14:paraId="34E1B372" w14:textId="77777777" w:rsidR="00947E5B" w:rsidRDefault="00947E5B" w:rsidP="00947E5B">
      <w:pPr>
        <w:rPr>
          <w:b/>
          <w:bCs/>
        </w:rPr>
      </w:pPr>
    </w:p>
    <w:p w14:paraId="420D33EC" w14:textId="77777777" w:rsidR="00B72FCF" w:rsidRDefault="00B72FCF" w:rsidP="00B72FCF">
      <w:pPr>
        <w:spacing w:after="0" w:line="240" w:lineRule="auto"/>
        <w:rPr>
          <w:rFonts w:cstheme="minorHAnsi"/>
          <w:b/>
          <w:bCs/>
        </w:rPr>
      </w:pPr>
    </w:p>
    <w:p w14:paraId="0F8DB3A3" w14:textId="77777777" w:rsidR="00B72FCF" w:rsidRPr="00303519" w:rsidRDefault="00B72FCF" w:rsidP="00B72FCF">
      <w:pPr>
        <w:spacing w:after="0" w:line="240" w:lineRule="auto"/>
        <w:rPr>
          <w:rFonts w:cstheme="minorHAnsi"/>
          <w:b/>
          <w:bCs/>
        </w:rPr>
      </w:pPr>
      <w:r w:rsidRPr="00303519">
        <w:rPr>
          <w:rFonts w:cstheme="minorHAnsi"/>
          <w:b/>
          <w:bCs/>
        </w:rPr>
        <w:t>Further information and contact</w:t>
      </w:r>
    </w:p>
    <w:p w14:paraId="4A3131F5" w14:textId="77777777" w:rsidR="00B72FCF" w:rsidRPr="00303519" w:rsidRDefault="00B72FCF" w:rsidP="00B72FCF">
      <w:pPr>
        <w:spacing w:after="0" w:line="240" w:lineRule="auto"/>
        <w:rPr>
          <w:rFonts w:cstheme="minorHAnsi"/>
          <w:lang w:val="en-US"/>
        </w:rPr>
      </w:pPr>
      <w:r w:rsidRPr="00303519">
        <w:rPr>
          <w:rFonts w:cstheme="minorHAnsi"/>
        </w:rPr>
        <w:t xml:space="preserve">Just Fair: </w:t>
      </w:r>
      <w:hyperlink r:id="rId15" w:history="1">
        <w:r w:rsidRPr="00303519">
          <w:rPr>
            <w:rStyle w:val="Hyperlink"/>
            <w:rFonts w:cstheme="minorHAnsi"/>
          </w:rPr>
          <w:t>www.justfair.org.uk</w:t>
        </w:r>
      </w:hyperlink>
      <w:r w:rsidRPr="00303519">
        <w:rPr>
          <w:rFonts w:cstheme="minorHAnsi"/>
        </w:rPr>
        <w:t xml:space="preserve"> </w:t>
      </w:r>
    </w:p>
    <w:p w14:paraId="5C565141" w14:textId="77777777" w:rsidR="00B72FCF" w:rsidRPr="00303519" w:rsidRDefault="00B72FCF" w:rsidP="00B72FCF">
      <w:pPr>
        <w:spacing w:after="0" w:line="240" w:lineRule="auto"/>
        <w:rPr>
          <w:rFonts w:cstheme="minorHAnsi"/>
        </w:rPr>
      </w:pPr>
      <w:r w:rsidRPr="00303519">
        <w:rPr>
          <w:rFonts w:cstheme="minorHAnsi"/>
        </w:rPr>
        <w:t>Charity number: 1141484; Company number: 07394478</w:t>
      </w:r>
    </w:p>
    <w:p w14:paraId="76780EDD" w14:textId="77777777" w:rsidR="00B72FCF" w:rsidRPr="00303519" w:rsidRDefault="00B72FCF" w:rsidP="00B72FCF">
      <w:pPr>
        <w:spacing w:after="0" w:line="240" w:lineRule="auto"/>
        <w:rPr>
          <w:rFonts w:cstheme="minorHAnsi"/>
        </w:rPr>
      </w:pPr>
    </w:p>
    <w:p w14:paraId="76DF35D5" w14:textId="77777777" w:rsidR="00B72FCF" w:rsidRPr="00303519" w:rsidRDefault="00B72FCF" w:rsidP="00B72FCF">
      <w:pPr>
        <w:spacing w:after="0" w:line="240" w:lineRule="auto"/>
        <w:rPr>
          <w:rFonts w:cstheme="minorHAnsi"/>
        </w:rPr>
      </w:pPr>
      <w:r w:rsidRPr="00303519">
        <w:rPr>
          <w:rFonts w:cstheme="minorHAnsi"/>
        </w:rPr>
        <w:t>Helen Flynn</w:t>
      </w:r>
      <w:r w:rsidRPr="00303519">
        <w:rPr>
          <w:rFonts w:cstheme="minorHAnsi"/>
          <w:lang w:val="en-US"/>
        </w:rPr>
        <w:t xml:space="preserve">, </w:t>
      </w:r>
      <w:r w:rsidRPr="00303519">
        <w:rPr>
          <w:rFonts w:cstheme="minorHAnsi"/>
        </w:rPr>
        <w:t xml:space="preserve">Head of Policy, Research and Campaigns </w:t>
      </w:r>
    </w:p>
    <w:p w14:paraId="6C212ED4" w14:textId="77777777" w:rsidR="00B72FCF" w:rsidRDefault="00913A7B" w:rsidP="00B72FCF">
      <w:pPr>
        <w:spacing w:line="240" w:lineRule="auto"/>
      </w:pPr>
      <w:hyperlink r:id="rId16" w:history="1">
        <w:r w:rsidR="00B72FCF" w:rsidRPr="00303519">
          <w:rPr>
            <w:rStyle w:val="Hyperlink"/>
            <w:rFonts w:cstheme="minorHAnsi"/>
          </w:rPr>
          <w:t>helen.flynn@JustFair.org.uk</w:t>
        </w:r>
      </w:hyperlink>
    </w:p>
    <w:p w14:paraId="4BD4693C" w14:textId="77777777" w:rsidR="00742984" w:rsidRDefault="00742984"/>
    <w:sectPr w:rsidR="00742984">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306C7" w14:textId="77777777" w:rsidR="004D1206" w:rsidRDefault="004D1206" w:rsidP="000E48E8">
      <w:pPr>
        <w:spacing w:after="0" w:line="240" w:lineRule="auto"/>
      </w:pPr>
      <w:r>
        <w:separator/>
      </w:r>
    </w:p>
  </w:endnote>
  <w:endnote w:type="continuationSeparator" w:id="0">
    <w:p w14:paraId="028D0E85" w14:textId="77777777" w:rsidR="004D1206" w:rsidRDefault="004D1206" w:rsidP="000E4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2B49B" w14:textId="77777777" w:rsidR="004D1206" w:rsidRDefault="004D1206" w:rsidP="000E48E8">
      <w:pPr>
        <w:spacing w:after="0" w:line="240" w:lineRule="auto"/>
      </w:pPr>
      <w:r>
        <w:separator/>
      </w:r>
    </w:p>
  </w:footnote>
  <w:footnote w:type="continuationSeparator" w:id="0">
    <w:p w14:paraId="758F42CA" w14:textId="77777777" w:rsidR="004D1206" w:rsidRDefault="004D1206" w:rsidP="000E48E8">
      <w:pPr>
        <w:spacing w:after="0" w:line="240" w:lineRule="auto"/>
      </w:pPr>
      <w:r>
        <w:continuationSeparator/>
      </w:r>
    </w:p>
  </w:footnote>
  <w:footnote w:id="1">
    <w:p w14:paraId="28A5777A" w14:textId="77777777" w:rsidR="009F3DCF" w:rsidRDefault="009F3DCF" w:rsidP="009F3DCF">
      <w:pPr>
        <w:pStyle w:val="FootnoteText"/>
      </w:pPr>
      <w:r>
        <w:rPr>
          <w:rStyle w:val="FootnoteReference"/>
        </w:rPr>
        <w:footnoteRef/>
      </w:r>
      <w:r>
        <w:t xml:space="preserve"> </w:t>
      </w:r>
      <w:hyperlink r:id="rId1" w:history="1">
        <w:r w:rsidRPr="00140BB9">
          <w:rPr>
            <w:rStyle w:val="Hyperlink"/>
          </w:rPr>
          <w:t>https://justfair.org.uk/</w:t>
        </w:r>
      </w:hyperlink>
      <w:r>
        <w:t xml:space="preserve"> </w:t>
      </w:r>
    </w:p>
  </w:footnote>
  <w:footnote w:id="2">
    <w:p w14:paraId="3C254B50" w14:textId="34449644" w:rsidR="000E48E8" w:rsidRDefault="000E48E8" w:rsidP="000E48E8">
      <w:pPr>
        <w:pStyle w:val="FootnoteText"/>
      </w:pPr>
      <w:r>
        <w:rPr>
          <w:rStyle w:val="FootnoteReference"/>
        </w:rPr>
        <w:footnoteRef/>
      </w:r>
      <w:r>
        <w:t xml:space="preserve"> Article 27</w:t>
      </w:r>
      <w:r w:rsidR="00AC64E3">
        <w:t>,</w:t>
      </w:r>
      <w:r>
        <w:t xml:space="preserve"> UN Convention on the Rights of Persons with Disabilities</w:t>
      </w:r>
      <w:r w:rsidR="00AC64E3">
        <w:t>.</w:t>
      </w:r>
    </w:p>
  </w:footnote>
  <w:footnote w:id="3">
    <w:p w14:paraId="6EA2F0FF" w14:textId="77777777" w:rsidR="00394331" w:rsidRPr="005F0707" w:rsidRDefault="00394331" w:rsidP="00394331">
      <w:pPr>
        <w:pStyle w:val="FootnoteText"/>
        <w:rPr>
          <w:rFonts w:ascii="Calibri" w:hAnsi="Calibri" w:cs="Calibri"/>
        </w:rPr>
      </w:pPr>
      <w:r>
        <w:rPr>
          <w:rStyle w:val="FootnoteReference"/>
        </w:rPr>
        <w:footnoteRef/>
      </w:r>
      <w:r>
        <w:t xml:space="preserve"> </w:t>
      </w:r>
      <w:hyperlink r:id="rId2" w:history="1">
        <w:r w:rsidRPr="005F0707">
          <w:rPr>
            <w:rStyle w:val="Hyperlink"/>
            <w:rFonts w:ascii="Calibri" w:hAnsi="Calibri" w:cs="Calibri"/>
          </w:rPr>
          <w:t>https://treaties.un.org/Pages/ViewDetails.aspx?src=TREATY&amp;mtdsg_no=IV-15&amp;chapter=4&amp;clang=_en</w:t>
        </w:r>
      </w:hyperlink>
      <w:r w:rsidRPr="005F0707">
        <w:rPr>
          <w:rFonts w:ascii="Calibri" w:hAnsi="Calibri" w:cs="Calibri"/>
        </w:rPr>
        <w:t xml:space="preserve"> </w:t>
      </w:r>
    </w:p>
  </w:footnote>
  <w:footnote w:id="4">
    <w:p w14:paraId="7C044D0F" w14:textId="77777777" w:rsidR="00394331" w:rsidRPr="005F0707" w:rsidRDefault="00394331" w:rsidP="00394331">
      <w:pPr>
        <w:pStyle w:val="FootnoteText"/>
        <w:rPr>
          <w:rFonts w:ascii="Calibri" w:hAnsi="Calibri" w:cs="Calibri"/>
        </w:rPr>
      </w:pPr>
      <w:r w:rsidRPr="005F0707">
        <w:rPr>
          <w:rStyle w:val="FootnoteReference"/>
          <w:rFonts w:ascii="Calibri" w:hAnsi="Calibri" w:cs="Calibri"/>
        </w:rPr>
        <w:footnoteRef/>
      </w:r>
      <w:r w:rsidRPr="005F0707">
        <w:rPr>
          <w:rFonts w:ascii="Calibri" w:hAnsi="Calibri" w:cs="Calibri"/>
        </w:rPr>
        <w:t xml:space="preserve"> </w:t>
      </w:r>
      <w:hyperlink r:id="rId3" w:anchor="EndDec" w:history="1">
        <w:r w:rsidRPr="005F0707">
          <w:rPr>
            <w:rStyle w:val="Hyperlink"/>
            <w:rFonts w:ascii="Calibri" w:hAnsi="Calibri" w:cs="Calibri"/>
          </w:rPr>
          <w:t>https://treaties.un.org/Pages/ViewDetails.aspx?src=TREATY&amp;mtdsg_no=IV-15&amp;chapter=4&amp;clang=_en#EndDec</w:t>
        </w:r>
      </w:hyperlink>
      <w:r w:rsidRPr="005F0707">
        <w:rPr>
          <w:rFonts w:ascii="Calibri" w:hAnsi="Calibri" w:cs="Calibri"/>
        </w:rPr>
        <w:t xml:space="preserve"> </w:t>
      </w:r>
    </w:p>
  </w:footnote>
  <w:footnote w:id="5">
    <w:p w14:paraId="607C94EB" w14:textId="099AAD0E" w:rsidR="00A92BC8" w:rsidRPr="005F0707" w:rsidRDefault="00A92BC8">
      <w:pPr>
        <w:pStyle w:val="FootnoteText"/>
        <w:rPr>
          <w:rFonts w:ascii="Calibri" w:hAnsi="Calibri" w:cs="Calibri"/>
        </w:rPr>
      </w:pPr>
      <w:r w:rsidRPr="005F0707">
        <w:rPr>
          <w:rStyle w:val="FootnoteReference"/>
          <w:rFonts w:ascii="Calibri" w:hAnsi="Calibri" w:cs="Calibri"/>
        </w:rPr>
        <w:footnoteRef/>
      </w:r>
      <w:r w:rsidRPr="005F0707">
        <w:rPr>
          <w:rFonts w:ascii="Calibri" w:hAnsi="Calibri" w:cs="Calibri"/>
        </w:rPr>
        <w:t xml:space="preserve"> See for example HK Danmark </w:t>
      </w:r>
      <w:r w:rsidRPr="00A92BC8">
        <w:rPr>
          <w:rFonts w:ascii="Calibri" w:hAnsi="Calibri" w:cs="Calibri"/>
        </w:rPr>
        <w:t>v</w:t>
      </w:r>
      <w:r w:rsidRPr="005F0707">
        <w:rPr>
          <w:rFonts w:ascii="Calibri" w:hAnsi="Calibri" w:cs="Calibri"/>
        </w:rPr>
        <w:t xml:space="preserve"> </w:t>
      </w:r>
      <w:r w:rsidRPr="00A92BC8">
        <w:rPr>
          <w:rFonts w:ascii="Calibri" w:hAnsi="Calibri" w:cs="Calibri"/>
        </w:rPr>
        <w:t>Dansk almennyttigt Boligselskab (C-335/11),</w:t>
      </w:r>
      <w:r w:rsidRPr="005F0707">
        <w:rPr>
          <w:rFonts w:ascii="Calibri" w:hAnsi="Calibri" w:cs="Calibri"/>
        </w:rPr>
        <w:t xml:space="preserve"> </w:t>
      </w:r>
      <w:r w:rsidRPr="00A92BC8">
        <w:rPr>
          <w:rFonts w:ascii="Calibri" w:hAnsi="Calibri" w:cs="Calibri"/>
        </w:rPr>
        <w:t>HK Danmark </w:t>
      </w:r>
      <w:r w:rsidR="004C6BAA" w:rsidRPr="005F0707">
        <w:rPr>
          <w:rFonts w:ascii="Calibri" w:hAnsi="Calibri" w:cs="Calibri"/>
        </w:rPr>
        <w:t xml:space="preserve">v </w:t>
      </w:r>
      <w:r w:rsidRPr="00A92BC8">
        <w:rPr>
          <w:rFonts w:ascii="Calibri" w:hAnsi="Calibri" w:cs="Calibri"/>
        </w:rPr>
        <w:t>Dansk Arbejdsgiverforening (C-337/11)</w:t>
      </w:r>
      <w:r w:rsidR="004C6BAA" w:rsidRPr="005F0707">
        <w:rPr>
          <w:rFonts w:ascii="Calibri" w:hAnsi="Calibri" w:cs="Calibri"/>
        </w:rPr>
        <w:t xml:space="preserve">, and </w:t>
      </w:r>
      <w:r w:rsidR="006059D7" w:rsidRPr="005F0707">
        <w:rPr>
          <w:rFonts w:ascii="Calibri" w:hAnsi="Calibri" w:cs="Calibri"/>
        </w:rPr>
        <w:t>Z v A Government department (</w:t>
      </w:r>
      <w:r w:rsidR="006059D7" w:rsidRPr="005F0707">
        <w:rPr>
          <w:rFonts w:ascii="Calibri" w:hAnsi="Calibri" w:cs="Calibri"/>
          <w:color w:val="000000"/>
        </w:rPr>
        <w:t>C</w:t>
      </w:r>
      <w:r w:rsidR="006059D7" w:rsidRPr="005F0707">
        <w:rPr>
          <w:rFonts w:ascii="Calibri" w:hAnsi="Calibri" w:cs="Calibri"/>
          <w:color w:val="000000"/>
        </w:rPr>
        <w:noBreakHyphen/>
        <w:t>363/12)</w:t>
      </w:r>
    </w:p>
  </w:footnote>
  <w:footnote w:id="6">
    <w:p w14:paraId="4C0D4457" w14:textId="77777777" w:rsidR="00394331" w:rsidRDefault="00394331" w:rsidP="00394331">
      <w:pPr>
        <w:pStyle w:val="FootnoteText"/>
      </w:pPr>
      <w:r w:rsidRPr="005F0707">
        <w:rPr>
          <w:rStyle w:val="FootnoteReference"/>
          <w:rFonts w:ascii="Calibri" w:hAnsi="Calibri" w:cs="Calibri"/>
        </w:rPr>
        <w:footnoteRef/>
      </w:r>
      <w:r w:rsidRPr="005F0707">
        <w:rPr>
          <w:rFonts w:ascii="Calibri" w:hAnsi="Calibri" w:cs="Calibri"/>
        </w:rPr>
        <w:t xml:space="preserve"> ‘</w:t>
      </w:r>
      <w:hyperlink r:id="rId4" w:history="1">
        <w:r w:rsidRPr="005F0707">
          <w:rPr>
            <w:rStyle w:val="Hyperlink"/>
            <w:rFonts w:ascii="Calibri" w:hAnsi="Calibri" w:cs="Calibri"/>
          </w:rPr>
          <w:t>Exiting the EU - Concerns for Disabled People in Northern Ireland’</w:t>
        </w:r>
      </w:hyperlink>
      <w:r w:rsidRPr="005F0707">
        <w:rPr>
          <w:rFonts w:ascii="Calibri" w:hAnsi="Calibri" w:cs="Calibri"/>
        </w:rPr>
        <w:t xml:space="preserve"> Disability Action, March 2017 and ‘</w:t>
      </w:r>
      <w:hyperlink r:id="rId5" w:history="1">
        <w:r w:rsidRPr="005F0707">
          <w:rPr>
            <w:rStyle w:val="Hyperlink"/>
            <w:rFonts w:ascii="Calibri" w:hAnsi="Calibri" w:cs="Calibri"/>
          </w:rPr>
          <w:t>Brexit Manifesto</w:t>
        </w:r>
      </w:hyperlink>
      <w:r w:rsidRPr="005F0707">
        <w:rPr>
          <w:rFonts w:ascii="Calibri" w:hAnsi="Calibri" w:cs="Calibri"/>
        </w:rPr>
        <w:t>’, Disability Rights, June 2017</w:t>
      </w:r>
    </w:p>
  </w:footnote>
  <w:footnote w:id="7">
    <w:p w14:paraId="1D3A28F6" w14:textId="7FC3179B" w:rsidR="00A43C38" w:rsidRPr="005F0707" w:rsidRDefault="00A43C38" w:rsidP="00A43C38">
      <w:pPr>
        <w:pStyle w:val="FootnoteText"/>
        <w:rPr>
          <w:rFonts w:cstheme="minorHAnsi"/>
        </w:rPr>
      </w:pPr>
      <w:r w:rsidRPr="005F0707">
        <w:rPr>
          <w:rStyle w:val="FootnoteReference"/>
          <w:rFonts w:cstheme="minorHAnsi"/>
        </w:rPr>
        <w:footnoteRef/>
      </w:r>
      <w:r w:rsidRPr="005F0707">
        <w:rPr>
          <w:rFonts w:cstheme="minorHAnsi"/>
        </w:rPr>
        <w:t xml:space="preserve"> Committee on the Rights of Persons with Disabilities, Inquiry concerning the United Kingdom of Great Britain and Northern Ireland carried out by the Committee under article 6 of the Optional Protocol to the Convention, 24 October 2017, at paragraph 114(</w:t>
      </w:r>
      <w:r w:rsidR="00970276" w:rsidRPr="005F0707">
        <w:rPr>
          <w:rFonts w:cstheme="minorHAnsi"/>
        </w:rPr>
        <w:t>i</w:t>
      </w:r>
      <w:r w:rsidRPr="005F0707">
        <w:rPr>
          <w:rFonts w:cstheme="minorHAnsi"/>
        </w:rPr>
        <w:t xml:space="preserve">), </w:t>
      </w:r>
      <w:r w:rsidRPr="005F0707">
        <w:rPr>
          <w:rFonts w:cstheme="minorHAnsi"/>
          <w:i/>
          <w:iCs/>
        </w:rPr>
        <w:t>“</w:t>
      </w:r>
      <w:r w:rsidR="00970276" w:rsidRPr="005F0707">
        <w:rPr>
          <w:rFonts w:cstheme="minorHAnsi"/>
          <w:i/>
          <w:iCs/>
        </w:rPr>
        <w:t>Ensure that, in the implementation of legislation, policies and programmes, special attention is paid to persons with disabilities living on a low income or in poverty and to persons with disabilities at higher risk of exclusion, such as persons with intellectual, psychosocial or multiple disabilities and women, children and older persons with disabilities. Those measures should be put in place within contributive and non-contributive regimes</w:t>
      </w:r>
      <w:r w:rsidRPr="005F0707">
        <w:rPr>
          <w:rFonts w:cstheme="minorHAnsi"/>
          <w:i/>
          <w:iCs/>
        </w:rPr>
        <w:t>;”</w:t>
      </w:r>
    </w:p>
  </w:footnote>
  <w:footnote w:id="8">
    <w:p w14:paraId="098DB9D0" w14:textId="7A99D98B" w:rsidR="00394331" w:rsidRPr="005F0707" w:rsidRDefault="00394331" w:rsidP="00394331">
      <w:pPr>
        <w:pStyle w:val="FootnoteText"/>
        <w:rPr>
          <w:rFonts w:cstheme="minorHAnsi"/>
        </w:rPr>
      </w:pPr>
      <w:r w:rsidRPr="005F0707">
        <w:rPr>
          <w:rStyle w:val="FootnoteReference"/>
          <w:rFonts w:cstheme="minorHAnsi"/>
        </w:rPr>
        <w:footnoteRef/>
      </w:r>
      <w:r w:rsidRPr="005F0707">
        <w:rPr>
          <w:rFonts w:cstheme="minorHAnsi"/>
        </w:rPr>
        <w:t xml:space="preserve"> For more information see for example ‘</w:t>
      </w:r>
      <w:hyperlink r:id="rId6" w:history="1">
        <w:r w:rsidRPr="005F0707">
          <w:rPr>
            <w:rStyle w:val="Hyperlink"/>
            <w:rFonts w:cstheme="minorHAnsi"/>
          </w:rPr>
          <w:t>Exiting the EU - Concerns for Disabled People in Northern Ireland’</w:t>
        </w:r>
      </w:hyperlink>
      <w:r w:rsidRPr="005F0707">
        <w:rPr>
          <w:rFonts w:cstheme="minorHAnsi"/>
        </w:rPr>
        <w:t xml:space="preserve"> Disability Action, March 2017 and </w:t>
      </w:r>
      <w:hyperlink r:id="rId7" w:history="1">
        <w:r w:rsidRPr="005F0707">
          <w:rPr>
            <w:rStyle w:val="Hyperlink"/>
            <w:rFonts w:cstheme="minorHAnsi"/>
          </w:rPr>
          <w:t>‘Rights at Risk: Brexit, Human Rights and Northern Ireland</w:t>
        </w:r>
      </w:hyperlink>
      <w:r w:rsidRPr="005F0707">
        <w:rPr>
          <w:rFonts w:cstheme="minorHAnsi"/>
        </w:rPr>
        <w:t>’, Human Rights Consortium, January 2018</w:t>
      </w:r>
      <w:r w:rsidR="00DA3BFD" w:rsidRPr="005F0707">
        <w:rPr>
          <w:rFonts w:cstheme="minorHAnsi"/>
        </w:rPr>
        <w:t>.</w:t>
      </w:r>
    </w:p>
  </w:footnote>
  <w:footnote w:id="9">
    <w:p w14:paraId="479320CD" w14:textId="4E8A778C" w:rsidR="002B12D8" w:rsidRPr="005F0707" w:rsidRDefault="002B12D8">
      <w:pPr>
        <w:pStyle w:val="FootnoteText"/>
        <w:rPr>
          <w:rFonts w:cstheme="minorHAnsi"/>
        </w:rPr>
      </w:pPr>
      <w:r w:rsidRPr="005F0707">
        <w:rPr>
          <w:rStyle w:val="FootnoteReference"/>
          <w:rFonts w:cstheme="minorHAnsi"/>
        </w:rPr>
        <w:footnoteRef/>
      </w:r>
      <w:r w:rsidRPr="005F0707">
        <w:rPr>
          <w:rFonts w:cstheme="minorHAnsi"/>
        </w:rPr>
        <w:t xml:space="preserve"> See </w:t>
      </w:r>
      <w:hyperlink r:id="rId8" w:history="1">
        <w:r w:rsidR="009C1FB4" w:rsidRPr="005F0707">
          <w:rPr>
            <w:rStyle w:val="Hyperlink"/>
            <w:rFonts w:cstheme="minorHAnsi"/>
          </w:rPr>
          <w:t>Retained EU Law (Revocation and Reform) Act 2023</w:t>
        </w:r>
      </w:hyperlink>
      <w:r w:rsidR="006163D2" w:rsidRPr="005F0707">
        <w:rPr>
          <w:rFonts w:cstheme="minorHAnsi"/>
        </w:rPr>
        <w:t>, at para 6 ‘Role of Courts’ (3)(5)</w:t>
      </w:r>
      <w:r w:rsidR="00DA3BFD" w:rsidRPr="005F0707">
        <w:rPr>
          <w:rFonts w:cstheme="minorHAnsi"/>
        </w:rPr>
        <w:t>.</w:t>
      </w:r>
    </w:p>
  </w:footnote>
  <w:footnote w:id="10">
    <w:p w14:paraId="0248AA4E" w14:textId="21B2A7AB" w:rsidR="0061005D" w:rsidRDefault="0061005D">
      <w:pPr>
        <w:pStyle w:val="FootnoteText"/>
      </w:pPr>
      <w:r w:rsidRPr="005F0707">
        <w:rPr>
          <w:rStyle w:val="FootnoteReference"/>
          <w:rFonts w:cstheme="minorHAnsi"/>
        </w:rPr>
        <w:footnoteRef/>
      </w:r>
      <w:r w:rsidRPr="005F0707">
        <w:rPr>
          <w:rFonts w:cstheme="minorHAnsi"/>
        </w:rPr>
        <w:t xml:space="preserve"> </w:t>
      </w:r>
      <w:r w:rsidRPr="005F0707">
        <w:rPr>
          <w:rStyle w:val="cf01"/>
          <w:rFonts w:asciiTheme="minorHAnsi" w:hAnsiTheme="minorHAnsi" w:cstheme="minorHAnsi"/>
          <w:sz w:val="20"/>
          <w:szCs w:val="20"/>
        </w:rPr>
        <w:t xml:space="preserve">There are specific arrangements for Northern Ireland following Brexit, including </w:t>
      </w:r>
      <w:r w:rsidR="005C738B" w:rsidRPr="005F0707">
        <w:rPr>
          <w:rFonts w:cstheme="minorHAnsi"/>
        </w:rPr>
        <w:t>the Windsor Framework (</w:t>
      </w:r>
      <w:hyperlink r:id="rId9" w:history="1">
        <w:r w:rsidR="00410F3C" w:rsidRPr="005F0707">
          <w:rPr>
            <w:rStyle w:val="Hyperlink"/>
            <w:rFonts w:cstheme="minorHAnsi"/>
          </w:rPr>
          <w:t>Decision No 1/2023 of the Joint Committee established by the Agreement on the Withdrawal of the United Kingdom of Great Britain and Northern Ireland from the European Union and the European Atomic Energy Community of 24 March 2023 laying down arrangements relating to the Windsor Framework</w:t>
        </w:r>
      </w:hyperlink>
      <w:r w:rsidR="00F624EB" w:rsidRPr="005F0707">
        <w:rPr>
          <w:rFonts w:cstheme="minorHAnsi"/>
        </w:rPr>
        <w:t>)</w:t>
      </w:r>
      <w:r w:rsidR="003E2A4D" w:rsidRPr="005F0707">
        <w:rPr>
          <w:rFonts w:cstheme="minorHAnsi"/>
        </w:rPr>
        <w:t xml:space="preserve">. </w:t>
      </w:r>
      <w:r w:rsidR="00874BD0" w:rsidRPr="005F0707">
        <w:rPr>
          <w:rFonts w:cstheme="minorHAnsi"/>
        </w:rPr>
        <w:t>Please note that this submission does not address these</w:t>
      </w:r>
      <w:r w:rsidR="00CA6500" w:rsidRPr="005F0707">
        <w:rPr>
          <w:rFonts w:cstheme="minorHAnsi"/>
        </w:rPr>
        <w:t xml:space="preserve"> in detail</w:t>
      </w:r>
      <w:r w:rsidR="00874BD0" w:rsidRPr="005F0707">
        <w:rPr>
          <w:rFonts w:cstheme="minorHAnsi"/>
        </w:rPr>
        <w:t>.</w:t>
      </w:r>
    </w:p>
  </w:footnote>
  <w:footnote w:id="11">
    <w:p w14:paraId="1D1E1863" w14:textId="1613FD06" w:rsidR="00394331" w:rsidRDefault="00394331" w:rsidP="00394331">
      <w:pPr>
        <w:pStyle w:val="FootnoteText"/>
      </w:pPr>
      <w:r>
        <w:rPr>
          <w:rStyle w:val="FootnoteReference"/>
        </w:rPr>
        <w:footnoteRef/>
      </w:r>
      <w:r>
        <w:t xml:space="preserve">  Department for Exiting the European Union, ‘The Repeal Bill: White Paper’, Cm 9446 (March 2017), </w:t>
      </w:r>
      <w:hyperlink r:id="rId10" w:history="1">
        <w:r w:rsidRPr="00B2012E">
          <w:rPr>
            <w:rStyle w:val="Hyperlink"/>
          </w:rPr>
          <w:t>https://bit.ly/3d6mETP</w:t>
        </w:r>
      </w:hyperlink>
      <w:r>
        <w:t xml:space="preserve"> particularly para 2.3 on the ECJ and 2.23 on the Charter</w:t>
      </w:r>
      <w:r w:rsidR="00DA3BFD">
        <w:t>.</w:t>
      </w:r>
    </w:p>
  </w:footnote>
  <w:footnote w:id="12">
    <w:p w14:paraId="269A4DCE" w14:textId="30296AD0" w:rsidR="00394331" w:rsidRDefault="00394331" w:rsidP="00394331">
      <w:pPr>
        <w:pStyle w:val="FootnoteText"/>
      </w:pPr>
      <w:r>
        <w:rPr>
          <w:rStyle w:val="FootnoteReference"/>
        </w:rPr>
        <w:footnoteRef/>
      </w:r>
      <w:r>
        <w:t xml:space="preserve"> Article 52(3) of the Charter clarifies that the ECHR is a floor not a ceiling, so rights protections may be more extensive under the Charter than in the ECHR, but must not fall below it</w:t>
      </w:r>
      <w:r w:rsidR="00DA3BFD">
        <w:t>.</w:t>
      </w:r>
    </w:p>
  </w:footnote>
  <w:footnote w:id="13">
    <w:p w14:paraId="08A7A863" w14:textId="3B928A5C" w:rsidR="00394331" w:rsidRPr="009F3DCF" w:rsidRDefault="00394331" w:rsidP="00394331">
      <w:pPr>
        <w:pStyle w:val="FootnoteText"/>
        <w:rPr>
          <w:lang w:val="fr-FR"/>
        </w:rPr>
      </w:pPr>
      <w:r>
        <w:rPr>
          <w:rStyle w:val="FootnoteReference"/>
        </w:rPr>
        <w:footnoteRef/>
      </w:r>
      <w:r w:rsidRPr="009F3DCF">
        <w:rPr>
          <w:lang w:val="fr-FR"/>
        </w:rPr>
        <w:t xml:space="preserve"> Article 21</w:t>
      </w:r>
      <w:r w:rsidR="00DA3BFD">
        <w:rPr>
          <w:lang w:val="fr-FR"/>
        </w:rPr>
        <w:t>.</w:t>
      </w:r>
    </w:p>
  </w:footnote>
  <w:footnote w:id="14">
    <w:p w14:paraId="22F39B8F" w14:textId="7991E16A" w:rsidR="00394331" w:rsidRPr="009F3DCF" w:rsidRDefault="00394331" w:rsidP="00394331">
      <w:pPr>
        <w:pStyle w:val="FootnoteText"/>
        <w:rPr>
          <w:lang w:val="fr-FR"/>
        </w:rPr>
      </w:pPr>
      <w:r>
        <w:rPr>
          <w:rStyle w:val="FootnoteReference"/>
        </w:rPr>
        <w:footnoteRef/>
      </w:r>
      <w:r w:rsidRPr="009F3DCF">
        <w:rPr>
          <w:lang w:val="fr-FR"/>
        </w:rPr>
        <w:t xml:space="preserve"> Article 28</w:t>
      </w:r>
      <w:r w:rsidR="000A55D1">
        <w:rPr>
          <w:lang w:val="fr-FR"/>
        </w:rPr>
        <w:t>.</w:t>
      </w:r>
    </w:p>
  </w:footnote>
  <w:footnote w:id="15">
    <w:p w14:paraId="76A37C43" w14:textId="5C748786" w:rsidR="00394331" w:rsidRPr="009F3DCF" w:rsidRDefault="00394331" w:rsidP="00394331">
      <w:pPr>
        <w:pStyle w:val="FootnoteText"/>
        <w:rPr>
          <w:lang w:val="fr-FR"/>
        </w:rPr>
      </w:pPr>
      <w:r>
        <w:rPr>
          <w:rStyle w:val="FootnoteReference"/>
        </w:rPr>
        <w:footnoteRef/>
      </w:r>
      <w:r w:rsidRPr="009F3DCF">
        <w:rPr>
          <w:lang w:val="fr-FR"/>
        </w:rPr>
        <w:t xml:space="preserve"> Article 31</w:t>
      </w:r>
      <w:r w:rsidR="000A55D1">
        <w:rPr>
          <w:lang w:val="fr-FR"/>
        </w:rPr>
        <w:t>.</w:t>
      </w:r>
    </w:p>
  </w:footnote>
  <w:footnote w:id="16">
    <w:p w14:paraId="78E302D5" w14:textId="56E67734" w:rsidR="00394331" w:rsidRPr="009F3DCF" w:rsidRDefault="00394331" w:rsidP="00394331">
      <w:pPr>
        <w:pStyle w:val="FootnoteText"/>
        <w:rPr>
          <w:lang w:val="fr-FR"/>
        </w:rPr>
      </w:pPr>
      <w:r>
        <w:rPr>
          <w:rStyle w:val="FootnoteReference"/>
        </w:rPr>
        <w:footnoteRef/>
      </w:r>
      <w:r w:rsidRPr="009F3DCF">
        <w:rPr>
          <w:lang w:val="fr-FR"/>
        </w:rPr>
        <w:t xml:space="preserve"> Article 32</w:t>
      </w:r>
      <w:r w:rsidR="000A55D1">
        <w:rPr>
          <w:lang w:val="fr-FR"/>
        </w:rPr>
        <w:t>.</w:t>
      </w:r>
    </w:p>
  </w:footnote>
  <w:footnote w:id="17">
    <w:p w14:paraId="37F0A62E" w14:textId="79F2694A" w:rsidR="00394331" w:rsidRPr="009F3DCF" w:rsidRDefault="00394331" w:rsidP="00394331">
      <w:pPr>
        <w:pStyle w:val="FootnoteText"/>
        <w:rPr>
          <w:lang w:val="fr-FR"/>
        </w:rPr>
      </w:pPr>
      <w:r>
        <w:rPr>
          <w:rStyle w:val="FootnoteReference"/>
        </w:rPr>
        <w:footnoteRef/>
      </w:r>
      <w:r w:rsidRPr="009F3DCF">
        <w:rPr>
          <w:lang w:val="fr-FR"/>
        </w:rPr>
        <w:t xml:space="preserve"> Article 34</w:t>
      </w:r>
      <w:r w:rsidR="000A55D1">
        <w:rPr>
          <w:lang w:val="fr-FR"/>
        </w:rPr>
        <w:t>.</w:t>
      </w:r>
    </w:p>
  </w:footnote>
  <w:footnote w:id="18">
    <w:p w14:paraId="262415D8" w14:textId="0AD39A44" w:rsidR="00394331" w:rsidRDefault="00394331" w:rsidP="00394331">
      <w:pPr>
        <w:pStyle w:val="FootnoteText"/>
      </w:pPr>
      <w:r>
        <w:rPr>
          <w:rStyle w:val="FootnoteReference"/>
        </w:rPr>
        <w:footnoteRef/>
      </w:r>
      <w:r>
        <w:t xml:space="preserve"> Article 35</w:t>
      </w:r>
      <w:r w:rsidR="000A55D1">
        <w:t>.</w:t>
      </w:r>
    </w:p>
  </w:footnote>
  <w:footnote w:id="19">
    <w:p w14:paraId="5166BEDB" w14:textId="6F7FF1D1" w:rsidR="00394331" w:rsidRDefault="00394331" w:rsidP="00394331">
      <w:pPr>
        <w:pStyle w:val="FootnoteText"/>
      </w:pPr>
      <w:r>
        <w:rPr>
          <w:rStyle w:val="FootnoteReference"/>
        </w:rPr>
        <w:footnoteRef/>
      </w:r>
      <w:r>
        <w:t xml:space="preserve"> </w:t>
      </w:r>
      <w:hyperlink r:id="rId11" w:history="1">
        <w:r w:rsidRPr="007E1949">
          <w:rPr>
            <w:rStyle w:val="Hyperlink"/>
          </w:rPr>
          <w:t>Article 26 of the Charter of Fundamental Right</w:t>
        </w:r>
        <w:r>
          <w:rPr>
            <w:rStyle w:val="Hyperlink"/>
          </w:rPr>
          <w:t>s of the European Union</w:t>
        </w:r>
      </w:hyperlink>
      <w:r w:rsidR="000A55D1">
        <w:rPr>
          <w:rStyle w:val="Hyperlink"/>
        </w:rPr>
        <w:t>.</w:t>
      </w:r>
    </w:p>
  </w:footnote>
  <w:footnote w:id="20">
    <w:p w14:paraId="6389BF5B" w14:textId="333D2049" w:rsidR="00015ED9" w:rsidRPr="00E12D09" w:rsidRDefault="00015ED9">
      <w:pPr>
        <w:pStyle w:val="FootnoteText"/>
        <w:rPr>
          <w:i/>
          <w:iCs/>
        </w:rPr>
      </w:pPr>
      <w:r>
        <w:rPr>
          <w:rStyle w:val="FootnoteReference"/>
        </w:rPr>
        <w:footnoteRef/>
      </w:r>
      <w:r>
        <w:t xml:space="preserve"> As noted by the Equality and Human Rights</w:t>
      </w:r>
      <w:r w:rsidR="00AC03CF">
        <w:t xml:space="preserve"> </w:t>
      </w:r>
      <w:r>
        <w:t xml:space="preserve">Commission on their </w:t>
      </w:r>
      <w:hyperlink r:id="rId12" w:history="1">
        <w:r w:rsidRPr="00AC03CF">
          <w:rPr>
            <w:rStyle w:val="Hyperlink"/>
          </w:rPr>
          <w:t>Human Rights Tracker</w:t>
        </w:r>
      </w:hyperlink>
      <w:r>
        <w:t>,</w:t>
      </w:r>
      <w:r w:rsidR="00AC03CF">
        <w:t xml:space="preserve"> </w:t>
      </w:r>
      <w:r>
        <w:t xml:space="preserve"> </w:t>
      </w:r>
      <w:r w:rsidRPr="00E12D09">
        <w:rPr>
          <w:i/>
          <w:iCs/>
        </w:rPr>
        <w:t>“The </w:t>
      </w:r>
      <w:hyperlink r:id="rId13" w:history="1">
        <w:r w:rsidRPr="00E12D09">
          <w:rPr>
            <w:rStyle w:val="Hyperlink"/>
            <w:i/>
            <w:iCs/>
          </w:rPr>
          <w:t>European Union (Withdrawal) Act 2018</w:t>
        </w:r>
      </w:hyperlink>
      <w:r w:rsidRPr="00E12D09">
        <w:rPr>
          <w:i/>
          <w:iCs/>
        </w:rPr>
        <w:t> excludes the </w:t>
      </w:r>
      <w:hyperlink r:id="rId14" w:history="1">
        <w:r w:rsidRPr="00E12D09">
          <w:rPr>
            <w:rStyle w:val="Hyperlink"/>
            <w:i/>
            <w:iCs/>
          </w:rPr>
          <w:t>EU Charter of Fundamental Rights</w:t>
        </w:r>
      </w:hyperlink>
      <w:r w:rsidRPr="00E12D09">
        <w:rPr>
          <w:i/>
          <w:iCs/>
        </w:rPr>
        <w:t> from domestic law, </w:t>
      </w:r>
      <w:hyperlink r:id="rId15" w:history="1">
        <w:r w:rsidRPr="00E12D09">
          <w:rPr>
            <w:rStyle w:val="Hyperlink"/>
            <w:i/>
            <w:iCs/>
          </w:rPr>
          <w:t>resulting in the loss of some rights protections</w:t>
        </w:r>
      </w:hyperlink>
      <w:r w:rsidRPr="00E12D09">
        <w:rPr>
          <w:i/>
          <w:iCs/>
        </w:rPr>
        <w:t>, including the freestanding right to equality of treatment. We are concerned that the loss of some of these rights will make it harder for individuals to enforce their fundamental rights.”</w:t>
      </w:r>
    </w:p>
  </w:footnote>
  <w:footnote w:id="21">
    <w:p w14:paraId="2F09D1D2" w14:textId="17366CAE" w:rsidR="00450FB1" w:rsidRDefault="00450FB1">
      <w:pPr>
        <w:pStyle w:val="FootnoteText"/>
      </w:pPr>
      <w:r>
        <w:rPr>
          <w:rStyle w:val="FootnoteReference"/>
        </w:rPr>
        <w:footnoteRef/>
      </w:r>
      <w:r>
        <w:t xml:space="preserve"> </w:t>
      </w:r>
      <w:r w:rsidR="00F52A79">
        <w:t>Northern Ireland Human Rights Commission, ‘</w:t>
      </w:r>
      <w:hyperlink r:id="rId16" w:history="1">
        <w:r w:rsidR="00F52A79" w:rsidRPr="00B84474">
          <w:rPr>
            <w:rStyle w:val="Hyperlink"/>
          </w:rPr>
          <w:t>Response to the Consultation on Human Rights Act Reform: A Modern Bill of Rights</w:t>
        </w:r>
      </w:hyperlink>
      <w:r w:rsidR="00F52A79">
        <w:t>’ (NIHRC, 2022).</w:t>
      </w:r>
    </w:p>
  </w:footnote>
  <w:footnote w:id="22">
    <w:p w14:paraId="260A1C2F" w14:textId="57C95C9B" w:rsidR="00A12D73" w:rsidRDefault="00A12D73">
      <w:pPr>
        <w:pStyle w:val="FootnoteText"/>
      </w:pPr>
      <w:r>
        <w:rPr>
          <w:rStyle w:val="FootnoteReference"/>
        </w:rPr>
        <w:footnoteRef/>
      </w:r>
      <w:r>
        <w:t xml:space="preserve"> </w:t>
      </w:r>
      <w:r w:rsidR="005C5E88">
        <w:t>‘</w:t>
      </w:r>
      <w:hyperlink r:id="rId17" w:history="1">
        <w:r w:rsidR="005C5E88" w:rsidRPr="005C5E88">
          <w:rPr>
            <w:rStyle w:val="Hyperlink"/>
          </w:rPr>
          <w:t>Exiting the EU - Concerns for Disabled People in Northern Ireland’</w:t>
        </w:r>
      </w:hyperlink>
      <w:r w:rsidR="005C5E88">
        <w:t xml:space="preserve"> Disability Action, March 2017</w:t>
      </w:r>
      <w:r w:rsidR="000A55D1">
        <w:t>.</w:t>
      </w:r>
    </w:p>
  </w:footnote>
  <w:footnote w:id="23">
    <w:p w14:paraId="6DB4CB05" w14:textId="655FD987" w:rsidR="00394331" w:rsidRDefault="00394331" w:rsidP="00394331">
      <w:pPr>
        <w:pStyle w:val="FootnoteText"/>
      </w:pPr>
      <w:r>
        <w:rPr>
          <w:rStyle w:val="FootnoteReference"/>
        </w:rPr>
        <w:footnoteRef/>
      </w:r>
      <w:r>
        <w:t xml:space="preserve"> </w:t>
      </w:r>
      <w:r w:rsidR="005C5E88" w:rsidRPr="005C5E88">
        <w:rPr>
          <w:i/>
          <w:iCs/>
        </w:rPr>
        <w:t>Ibid</w:t>
      </w:r>
      <w:r w:rsidR="000A55D1">
        <w:rPr>
          <w:i/>
          <w:iCs/>
        </w:rPr>
        <w:t>.</w:t>
      </w:r>
    </w:p>
  </w:footnote>
  <w:footnote w:id="24">
    <w:p w14:paraId="4BDD7B7F" w14:textId="0473C37D" w:rsidR="00394331" w:rsidRDefault="00394331" w:rsidP="00394331">
      <w:pPr>
        <w:pStyle w:val="FootnoteText"/>
      </w:pPr>
      <w:r>
        <w:rPr>
          <w:rStyle w:val="FootnoteReference"/>
        </w:rPr>
        <w:footnoteRef/>
      </w:r>
      <w:r>
        <w:t xml:space="preserve"> </w:t>
      </w:r>
      <w:r w:rsidRPr="00220B15">
        <w:t>Murray, C., O’Donoghue, A. and Warwick, B., ‘Discussion Paper on Brexit’ (NIHRC, IHREC, 2018), p.16</w:t>
      </w:r>
      <w:r>
        <w:t xml:space="preserve">, available </w:t>
      </w:r>
      <w:hyperlink r:id="rId18" w:history="1">
        <w:r w:rsidRPr="00823648">
          <w:rPr>
            <w:rStyle w:val="Hyperlink"/>
          </w:rPr>
          <w:t>here</w:t>
        </w:r>
      </w:hyperlink>
      <w:r w:rsidR="000A55D1">
        <w:rPr>
          <w:rStyle w:val="Hyperlink"/>
        </w:rPr>
        <w:t>.</w:t>
      </w:r>
    </w:p>
  </w:footnote>
  <w:footnote w:id="25">
    <w:p w14:paraId="1D6B290B" w14:textId="2B9AE8AF" w:rsidR="00F5402F" w:rsidRDefault="00F5402F">
      <w:pPr>
        <w:pStyle w:val="FootnoteText"/>
      </w:pPr>
      <w:r>
        <w:rPr>
          <w:rStyle w:val="FootnoteReference"/>
        </w:rPr>
        <w:footnoteRef/>
      </w:r>
      <w:r>
        <w:t xml:space="preserve"> Though do note that because </w:t>
      </w:r>
      <w:r w:rsidRPr="00F5402F">
        <w:t xml:space="preserve">this is one of the </w:t>
      </w:r>
      <w:r w:rsidR="00557AC6">
        <w:t xml:space="preserve">Directives </w:t>
      </w:r>
      <w:r w:rsidR="00987002">
        <w:t xml:space="preserve">listed in </w:t>
      </w:r>
      <w:r w:rsidRPr="00F5402F">
        <w:t xml:space="preserve">Annex </w:t>
      </w:r>
      <w:r w:rsidR="00987002">
        <w:t xml:space="preserve">of the </w:t>
      </w:r>
      <w:r w:rsidRPr="00F5402F">
        <w:t xml:space="preserve">Windsor Framework, </w:t>
      </w:r>
      <w:r w:rsidR="00987002">
        <w:t>the</w:t>
      </w:r>
      <w:r w:rsidRPr="00F5402F">
        <w:t xml:space="preserve"> law </w:t>
      </w:r>
      <w:r w:rsidR="00987002">
        <w:t xml:space="preserve">in Northern Ireland </w:t>
      </w:r>
      <w:r w:rsidRPr="00F5402F">
        <w:t xml:space="preserve">will have to align with relevant changes to this </w:t>
      </w:r>
      <w:r w:rsidR="00987002">
        <w:t>D</w:t>
      </w:r>
      <w:r w:rsidRPr="00F5402F">
        <w:t>irective which enhance rights.</w:t>
      </w:r>
    </w:p>
  </w:footnote>
  <w:footnote w:id="26">
    <w:p w14:paraId="0EAD6A43" w14:textId="7811D032" w:rsidR="00C54820" w:rsidRDefault="00C54820">
      <w:pPr>
        <w:pStyle w:val="FootnoteText"/>
      </w:pPr>
      <w:r>
        <w:rPr>
          <w:rStyle w:val="FootnoteReference"/>
        </w:rPr>
        <w:footnoteRef/>
      </w:r>
      <w:r>
        <w:t xml:space="preserve"> Sharp, T., </w:t>
      </w:r>
      <w:r w:rsidR="00C627D1">
        <w:t>“</w:t>
      </w:r>
      <w:hyperlink r:id="rId19" w:history="1">
        <w:r w:rsidR="00C627D1" w:rsidRPr="004C0959">
          <w:rPr>
            <w:rStyle w:val="Hyperlink"/>
          </w:rPr>
          <w:t>Government does U-turn but rights still at risk</w:t>
        </w:r>
      </w:hyperlink>
      <w:r w:rsidR="00C627D1">
        <w:t>”, Trade Unions Congress, 12 May 2023</w:t>
      </w:r>
      <w:r w:rsidR="000A55D1">
        <w:t>.</w:t>
      </w:r>
    </w:p>
  </w:footnote>
  <w:footnote w:id="27">
    <w:p w14:paraId="5E2FF9C1" w14:textId="272B0A4D" w:rsidR="006116D1" w:rsidRDefault="006116D1">
      <w:pPr>
        <w:pStyle w:val="FootnoteText"/>
      </w:pPr>
      <w:r>
        <w:rPr>
          <w:rStyle w:val="FootnoteReference"/>
        </w:rPr>
        <w:footnoteRef/>
      </w:r>
      <w:r>
        <w:t xml:space="preserve"> </w:t>
      </w:r>
      <w:r w:rsidR="00F56586">
        <w:t>Department for Business and Trade,</w:t>
      </w:r>
      <w:r w:rsidR="0002668D">
        <w:t xml:space="preserve"> ‘</w:t>
      </w:r>
      <w:hyperlink r:id="rId20" w:anchor=":~:text=The%20Retained%20EU%20Law%20(Revocation,easily%20amended%2C%20revoked%20and%20replaced." w:history="1">
        <w:r w:rsidR="0002668D" w:rsidRPr="0002668D">
          <w:rPr>
            <w:rStyle w:val="Hyperlink"/>
          </w:rPr>
          <w:t>Guidance:</w:t>
        </w:r>
        <w:r w:rsidR="00F56586" w:rsidRPr="0002668D">
          <w:rPr>
            <w:rStyle w:val="Hyperlink"/>
          </w:rPr>
          <w:t xml:space="preserve"> Schedule of </w:t>
        </w:r>
        <w:r w:rsidR="00FB0779" w:rsidRPr="0002668D">
          <w:rPr>
            <w:rStyle w:val="Hyperlink"/>
          </w:rPr>
          <w:t>r</w:t>
        </w:r>
        <w:r w:rsidR="00F56586" w:rsidRPr="0002668D">
          <w:rPr>
            <w:rStyle w:val="Hyperlink"/>
          </w:rPr>
          <w:t xml:space="preserve">etained EU </w:t>
        </w:r>
        <w:r w:rsidR="00FB0779" w:rsidRPr="0002668D">
          <w:rPr>
            <w:rStyle w:val="Hyperlink"/>
          </w:rPr>
          <w:t>l</w:t>
        </w:r>
        <w:r w:rsidR="00F56586" w:rsidRPr="0002668D">
          <w:rPr>
            <w:rStyle w:val="Hyperlink"/>
          </w:rPr>
          <w:t>aw</w:t>
        </w:r>
        <w:r w:rsidR="0002668D" w:rsidRPr="0002668D">
          <w:rPr>
            <w:rStyle w:val="Hyperlink"/>
          </w:rPr>
          <w:t>’</w:t>
        </w:r>
      </w:hyperlink>
      <w:r w:rsidR="0002668D">
        <w:t>, May 2023</w:t>
      </w:r>
      <w:r w:rsidR="000A55D1">
        <w:t>.</w:t>
      </w:r>
    </w:p>
  </w:footnote>
  <w:footnote w:id="28">
    <w:p w14:paraId="0AD79A92" w14:textId="77777777" w:rsidR="00394331" w:rsidRDefault="00394331" w:rsidP="00394331">
      <w:pPr>
        <w:pStyle w:val="FootnoteText"/>
      </w:pPr>
      <w:r>
        <w:rPr>
          <w:rStyle w:val="FootnoteReference"/>
        </w:rPr>
        <w:footnoteRef/>
      </w:r>
      <w:r>
        <w:t xml:space="preserve"> See UK Government response to Parliamentary questions on 12 March 2020: </w:t>
      </w:r>
      <w:hyperlink r:id="rId21" w:history="1">
        <w:r w:rsidRPr="00E30143">
          <w:rPr>
            <w:rStyle w:val="Hyperlink"/>
          </w:rPr>
          <w:t>https://questions-statements.parliament.uk/written-questions/detail/2020-03-09/26878</w:t>
        </w:r>
      </w:hyperlink>
      <w:r>
        <w:t xml:space="preserve"> </w:t>
      </w:r>
    </w:p>
  </w:footnote>
  <w:footnote w:id="29">
    <w:p w14:paraId="32E0AE2F" w14:textId="78EF3598" w:rsidR="003E63F5" w:rsidRDefault="003E63F5">
      <w:pPr>
        <w:pStyle w:val="FootnoteText"/>
      </w:pPr>
      <w:r>
        <w:rPr>
          <w:rStyle w:val="FootnoteReference"/>
        </w:rPr>
        <w:footnoteRef/>
      </w:r>
      <w:r>
        <w:t xml:space="preserve"> While </w:t>
      </w:r>
      <w:r w:rsidR="00D71054">
        <w:t>groups in the U</w:t>
      </w:r>
      <w:r w:rsidR="0092797C">
        <w:t>K</w:t>
      </w:r>
      <w:r w:rsidR="00D71054">
        <w:t xml:space="preserve"> have received funding from a wide range of European Structural and Investment Funds</w:t>
      </w:r>
      <w:r w:rsidR="0092797C">
        <w:t xml:space="preserve">, the one that has arguably been most impactful for disabled people, particularly in terms of </w:t>
      </w:r>
      <w:r w:rsidR="00165394">
        <w:t xml:space="preserve">the </w:t>
      </w:r>
      <w:r w:rsidR="00165394" w:rsidRPr="00165394">
        <w:t>right to work and employment</w:t>
      </w:r>
      <w:r w:rsidR="00165394">
        <w:t xml:space="preserve"> and </w:t>
      </w:r>
      <w:r w:rsidR="00165394" w:rsidRPr="00165394">
        <w:t>right to adequate standard of living and social protection</w:t>
      </w:r>
      <w:r w:rsidR="00165394">
        <w:t xml:space="preserve">, is the European Social Fund. </w:t>
      </w:r>
      <w:r w:rsidR="00843CA8">
        <w:t>For that reason</w:t>
      </w:r>
      <w:r w:rsidR="00F60AC3">
        <w:t>,</w:t>
      </w:r>
      <w:r w:rsidR="00843CA8">
        <w:t xml:space="preserve"> we will focus on this funding stream in our submission. </w:t>
      </w:r>
    </w:p>
  </w:footnote>
  <w:footnote w:id="30">
    <w:p w14:paraId="523A7805" w14:textId="77777777" w:rsidR="009A0CF8" w:rsidRDefault="009A0CF8" w:rsidP="009A0CF8">
      <w:pPr>
        <w:pStyle w:val="FootnoteText"/>
      </w:pPr>
      <w:r>
        <w:rPr>
          <w:rStyle w:val="FootnoteReference"/>
        </w:rPr>
        <w:footnoteRef/>
      </w:r>
      <w:r>
        <w:t xml:space="preserve"> </w:t>
      </w:r>
      <w:r w:rsidRPr="006379C7">
        <w:t>Committee on the Rights of Persons with Disabilities</w:t>
      </w:r>
      <w:r>
        <w:t xml:space="preserve">, </w:t>
      </w:r>
      <w:r w:rsidRPr="006379C7">
        <w:t>Inquiry concerning the United Kingdom of Great Britain and Northern Ireland carried out by the Committee under article 6 of the Optional Protocol to the Convention</w:t>
      </w:r>
      <w:r>
        <w:t xml:space="preserve">, 24 October 2017, at paragraph 114(e), </w:t>
      </w:r>
      <w:r w:rsidRPr="00361016">
        <w:rPr>
          <w:i/>
          <w:iCs/>
        </w:rPr>
        <w:t>“Introduce the adjustments necessary to make all information, communications, administrative and legal procedures in relation to social security entitlements, independent living schemes and employment/unemployment-related support services fully accessible to all persons with disabilities;”</w:t>
      </w:r>
    </w:p>
  </w:footnote>
  <w:footnote w:id="31">
    <w:p w14:paraId="059F64AE" w14:textId="476FDBD5" w:rsidR="00076AE9" w:rsidRPr="00076AE9" w:rsidRDefault="00076AE9">
      <w:pPr>
        <w:pStyle w:val="FootnoteText"/>
      </w:pPr>
      <w:r>
        <w:rPr>
          <w:rStyle w:val="FootnoteReference"/>
        </w:rPr>
        <w:footnoteRef/>
      </w:r>
      <w:r>
        <w:t xml:space="preserve"> “</w:t>
      </w:r>
      <w:r w:rsidRPr="00076AE9">
        <w:rPr>
          <w:i/>
          <w:iCs/>
        </w:rPr>
        <w:t>The concerns are that the funding will be reduced or non-existent.”</w:t>
      </w:r>
      <w:r>
        <w:rPr>
          <w:i/>
          <w:iCs/>
        </w:rPr>
        <w:t xml:space="preserve"> </w:t>
      </w:r>
      <w:r>
        <w:t>Disability Action, ‘</w:t>
      </w:r>
      <w:hyperlink r:id="rId22" w:history="1">
        <w:r w:rsidRPr="005C5E88">
          <w:rPr>
            <w:rStyle w:val="Hyperlink"/>
          </w:rPr>
          <w:t>Exiting the EU - Concerns for Disabled People in Northern Ireland’</w:t>
        </w:r>
      </w:hyperlink>
      <w:r>
        <w:t>, March 2017</w:t>
      </w:r>
      <w:r w:rsidR="00F32D9C">
        <w:t>; As noted by the Equality and Human Rights Commission in 2019, “</w:t>
      </w:r>
      <w:r w:rsidR="00F32D9C" w:rsidRPr="000E406E">
        <w:rPr>
          <w:i/>
          <w:iCs/>
        </w:rPr>
        <w:t>The ESF and ERDF (European Regional Development Fund) are used to provide funding to some of the most disadvantaged groups in the UK. As such, they have significant implications for people with certain protected characteristics under the Equality Act 2010, such as women, people from ethnic minorities, disabled people and older and younger people</w:t>
      </w:r>
      <w:r w:rsidR="00F32D9C">
        <w:t xml:space="preserve">.” </w:t>
      </w:r>
      <w:hyperlink r:id="rId23" w:history="1">
        <w:r w:rsidR="00F32D9C" w:rsidRPr="000E406E">
          <w:rPr>
            <w:rStyle w:val="Hyperlink"/>
          </w:rPr>
          <w:t>The future of funding for equality and human rights,</w:t>
        </w:r>
      </w:hyperlink>
      <w:r w:rsidR="00F32D9C">
        <w:t xml:space="preserve"> p.8</w:t>
      </w:r>
    </w:p>
  </w:footnote>
  <w:footnote w:id="32">
    <w:p w14:paraId="27CA2C32" w14:textId="7C3D9BC2" w:rsidR="00D243F3" w:rsidRDefault="00D243F3">
      <w:pPr>
        <w:pStyle w:val="FootnoteText"/>
      </w:pPr>
      <w:r>
        <w:rPr>
          <w:rStyle w:val="FootnoteReference"/>
        </w:rPr>
        <w:footnoteRef/>
      </w:r>
      <w:r>
        <w:t xml:space="preserve"> </w:t>
      </w:r>
      <w:hyperlink r:id="rId24" w:history="1">
        <w:r w:rsidR="00573D22" w:rsidRPr="00007686">
          <w:rPr>
            <w:rStyle w:val="Hyperlink"/>
          </w:rPr>
          <w:t>https://ec.europa.eu/esf/main.jsp?catId=35&amp;langId=en</w:t>
        </w:r>
      </w:hyperlink>
      <w:r w:rsidR="00573D22">
        <w:t xml:space="preserve"> </w:t>
      </w:r>
    </w:p>
  </w:footnote>
  <w:footnote w:id="33">
    <w:p w14:paraId="26A728E3" w14:textId="0980BC76" w:rsidR="000B1362" w:rsidRDefault="000B1362">
      <w:pPr>
        <w:pStyle w:val="FootnoteText"/>
      </w:pPr>
      <w:r>
        <w:rPr>
          <w:rStyle w:val="FootnoteReference"/>
        </w:rPr>
        <w:footnoteRef/>
      </w:r>
      <w:r>
        <w:t xml:space="preserve"> </w:t>
      </w:r>
      <w:r w:rsidR="008E458E">
        <w:t xml:space="preserve">Inclusion quoted in, </w:t>
      </w:r>
      <w:r w:rsidR="0033443B">
        <w:t>‘</w:t>
      </w:r>
      <w:hyperlink r:id="rId25" w:history="1">
        <w:r w:rsidR="0033443B" w:rsidRPr="000E406E">
          <w:rPr>
            <w:rStyle w:val="Hyperlink"/>
          </w:rPr>
          <w:t>The future of funding for equality and human rights</w:t>
        </w:r>
        <w:r w:rsidR="0033443B">
          <w:rPr>
            <w:rStyle w:val="Hyperlink"/>
          </w:rPr>
          <w:t>’</w:t>
        </w:r>
        <w:r w:rsidR="0033443B" w:rsidRPr="000E406E">
          <w:rPr>
            <w:rStyle w:val="Hyperlink"/>
          </w:rPr>
          <w:t>,</w:t>
        </w:r>
      </w:hyperlink>
      <w:r w:rsidR="0033443B">
        <w:t xml:space="preserve"> The Equality and Human Rights Commission, 2019, p.</w:t>
      </w:r>
      <w:r w:rsidR="008E458E">
        <w:t>41</w:t>
      </w:r>
      <w:r w:rsidR="00FD5FED">
        <w:t>.</w:t>
      </w:r>
    </w:p>
  </w:footnote>
  <w:footnote w:id="34">
    <w:p w14:paraId="3E35AFC4" w14:textId="2249CB99" w:rsidR="003F34D7" w:rsidRDefault="003F34D7" w:rsidP="004A2997">
      <w:pPr>
        <w:pStyle w:val="FootnoteText"/>
      </w:pPr>
      <w:r>
        <w:rPr>
          <w:rStyle w:val="FootnoteReference"/>
        </w:rPr>
        <w:footnoteRef/>
      </w:r>
      <w:r>
        <w:t xml:space="preserve"> </w:t>
      </w:r>
      <w:r w:rsidR="000B0D5B">
        <w:t xml:space="preserve">O’Connell R., and Cunningham, T., </w:t>
      </w:r>
      <w:r w:rsidR="004A2997">
        <w:t>‘</w:t>
      </w:r>
      <w:hyperlink r:id="rId26" w:history="1">
        <w:r w:rsidR="004A2997" w:rsidRPr="00F9489E">
          <w:rPr>
            <w:rStyle w:val="Hyperlink"/>
            <w:i/>
            <w:iCs/>
          </w:rPr>
          <w:t>Impact of Brexit on Section 75 Equality Groups in Northern Ireland: EU Funding</w:t>
        </w:r>
      </w:hyperlink>
      <w:r w:rsidR="004A2997">
        <w:t xml:space="preserve">’, </w:t>
      </w:r>
      <w:r w:rsidR="000B0D5B">
        <w:t>Equality Commission for Northern Ireland, April 2022</w:t>
      </w:r>
      <w:r w:rsidR="007C21ED">
        <w:t xml:space="preserve"> p. 37</w:t>
      </w:r>
      <w:r w:rsidR="00FD5FED">
        <w:t>.</w:t>
      </w:r>
    </w:p>
  </w:footnote>
  <w:footnote w:id="35">
    <w:p w14:paraId="375B8B70" w14:textId="7A00E851" w:rsidR="00E93E1E" w:rsidRDefault="00E93E1E">
      <w:pPr>
        <w:pStyle w:val="FootnoteText"/>
      </w:pPr>
      <w:r>
        <w:rPr>
          <w:rStyle w:val="FootnoteReference"/>
        </w:rPr>
        <w:footnoteRef/>
      </w:r>
      <w:r>
        <w:t xml:space="preserve"> </w:t>
      </w:r>
      <w:r w:rsidRPr="00F734E5">
        <w:rPr>
          <w:i/>
          <w:iCs/>
        </w:rPr>
        <w:t>Ibid</w:t>
      </w:r>
      <w:r>
        <w:t xml:space="preserve">., p. </w:t>
      </w:r>
      <w:r w:rsidR="00F734E5">
        <w:t>57</w:t>
      </w:r>
    </w:p>
  </w:footnote>
  <w:footnote w:id="36">
    <w:p w14:paraId="3BE157F6" w14:textId="50B650C5" w:rsidR="00F734E5" w:rsidRDefault="00F734E5">
      <w:pPr>
        <w:pStyle w:val="FootnoteText"/>
      </w:pPr>
      <w:r>
        <w:rPr>
          <w:rStyle w:val="FootnoteReference"/>
        </w:rPr>
        <w:footnoteRef/>
      </w:r>
      <w:r>
        <w:t xml:space="preserve"> </w:t>
      </w:r>
      <w:r w:rsidRPr="00F734E5">
        <w:rPr>
          <w:i/>
          <w:iCs/>
        </w:rPr>
        <w:t>Ibid</w:t>
      </w:r>
    </w:p>
  </w:footnote>
  <w:footnote w:id="37">
    <w:p w14:paraId="21701109" w14:textId="3162A86F" w:rsidR="001D5A4E" w:rsidRDefault="001D5A4E">
      <w:pPr>
        <w:pStyle w:val="FootnoteText"/>
      </w:pPr>
      <w:r>
        <w:rPr>
          <w:rStyle w:val="FootnoteReference"/>
        </w:rPr>
        <w:footnoteRef/>
      </w:r>
      <w:r>
        <w:t xml:space="preserve"> </w:t>
      </w:r>
      <w:r w:rsidRPr="001D5A4E">
        <w:rPr>
          <w:i/>
          <w:iCs/>
        </w:rPr>
        <w:t>Ibid</w:t>
      </w:r>
    </w:p>
  </w:footnote>
  <w:footnote w:id="38">
    <w:p w14:paraId="7AC56DD1" w14:textId="4207E781" w:rsidR="00207714" w:rsidRDefault="00207714">
      <w:pPr>
        <w:pStyle w:val="FootnoteText"/>
      </w:pPr>
      <w:r>
        <w:rPr>
          <w:rStyle w:val="FootnoteReference"/>
        </w:rPr>
        <w:footnoteRef/>
      </w:r>
      <w:r>
        <w:t xml:space="preserve"> </w:t>
      </w:r>
      <w:r w:rsidRPr="00207714">
        <w:rPr>
          <w:i/>
          <w:iCs/>
        </w:rPr>
        <w:t>Ibid.,</w:t>
      </w:r>
      <w:r>
        <w:t xml:space="preserve"> p.22</w:t>
      </w:r>
    </w:p>
  </w:footnote>
  <w:footnote w:id="39">
    <w:p w14:paraId="62131B27" w14:textId="7E5456D8" w:rsidR="0096608A" w:rsidRDefault="0096608A">
      <w:pPr>
        <w:pStyle w:val="FootnoteText"/>
      </w:pPr>
      <w:r>
        <w:rPr>
          <w:rStyle w:val="FootnoteReference"/>
        </w:rPr>
        <w:footnoteRef/>
      </w:r>
      <w:r w:rsidRPr="0096608A">
        <w:rPr>
          <w:i/>
          <w:iCs/>
        </w:rPr>
        <w:t xml:space="preserve"> Ibid</w:t>
      </w:r>
      <w:r>
        <w:t>., p 8-9 and 23</w:t>
      </w:r>
    </w:p>
  </w:footnote>
  <w:footnote w:id="40">
    <w:p w14:paraId="2E06A70E" w14:textId="5A3CCC2A" w:rsidR="00973218" w:rsidRDefault="00973218">
      <w:pPr>
        <w:pStyle w:val="FootnoteText"/>
      </w:pPr>
      <w:r>
        <w:rPr>
          <w:rStyle w:val="FootnoteReference"/>
        </w:rPr>
        <w:footnoteRef/>
      </w:r>
      <w:r>
        <w:t xml:space="preserve"> </w:t>
      </w:r>
      <w:r w:rsidRPr="00207714">
        <w:rPr>
          <w:i/>
          <w:iCs/>
        </w:rPr>
        <w:t>Ibid.,</w:t>
      </w:r>
      <w:r>
        <w:t xml:space="preserve"> p.22</w:t>
      </w:r>
    </w:p>
  </w:footnote>
  <w:footnote w:id="41">
    <w:p w14:paraId="0544084E" w14:textId="4DD86BFC" w:rsidR="006F04A7" w:rsidRDefault="006F04A7">
      <w:pPr>
        <w:pStyle w:val="FootnoteText"/>
      </w:pPr>
      <w:r>
        <w:rPr>
          <w:rStyle w:val="FootnoteReference"/>
        </w:rPr>
        <w:footnoteRef/>
      </w:r>
      <w:r>
        <w:t xml:space="preserve"> </w:t>
      </w:r>
      <w:hyperlink r:id="rId27" w:history="1">
        <w:r w:rsidRPr="00007686">
          <w:rPr>
            <w:rStyle w:val="Hyperlink"/>
          </w:rPr>
          <w:t>https://www.edf-feph.org/un-crpd/</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8AF16" w14:textId="7ABA948D" w:rsidR="000059E3" w:rsidRPr="000059E3" w:rsidRDefault="000059E3" w:rsidP="000059E3">
    <w:pPr>
      <w:pStyle w:val="Header"/>
      <w:jc w:val="right"/>
    </w:pPr>
    <w:r>
      <w:rPr>
        <w:noProof/>
      </w:rPr>
      <w:drawing>
        <wp:inline distT="0" distB="0" distL="0" distR="0" wp14:anchorId="62E1DEAE" wp14:editId="0E28A3FD">
          <wp:extent cx="1823085" cy="597535"/>
          <wp:effectExtent l="0" t="0" r="5715" b="0"/>
          <wp:docPr id="1" name="Picture 1" descr="Blu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 letters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085" cy="5975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7441C"/>
    <w:multiLevelType w:val="hybridMultilevel"/>
    <w:tmpl w:val="4682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F3740"/>
    <w:multiLevelType w:val="multilevel"/>
    <w:tmpl w:val="B058B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8E66EE"/>
    <w:multiLevelType w:val="multilevel"/>
    <w:tmpl w:val="2D08E5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57CF610A"/>
    <w:multiLevelType w:val="hybridMultilevel"/>
    <w:tmpl w:val="31DC115E"/>
    <w:lvl w:ilvl="0" w:tplc="0809000F">
      <w:start w:val="1"/>
      <w:numFmt w:val="decimal"/>
      <w:lvlText w:val="%1."/>
      <w:lvlJc w:val="left"/>
      <w:pPr>
        <w:ind w:left="360" w:hanging="360"/>
      </w:pPr>
    </w:lvl>
    <w:lvl w:ilvl="1" w:tplc="81E23964">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B18041B"/>
    <w:multiLevelType w:val="hybridMultilevel"/>
    <w:tmpl w:val="6E10D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2201F3"/>
    <w:multiLevelType w:val="hybridMultilevel"/>
    <w:tmpl w:val="F8D23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5928667">
    <w:abstractNumId w:val="3"/>
  </w:num>
  <w:num w:numId="2" w16cid:durableId="307326065">
    <w:abstractNumId w:val="5"/>
  </w:num>
  <w:num w:numId="3" w16cid:durableId="1961644594">
    <w:abstractNumId w:val="1"/>
  </w:num>
  <w:num w:numId="4" w16cid:durableId="955867877">
    <w:abstractNumId w:val="0"/>
  </w:num>
  <w:num w:numId="5" w16cid:durableId="1243952747">
    <w:abstractNumId w:val="4"/>
  </w:num>
  <w:num w:numId="6" w16cid:durableId="2024361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F9"/>
    <w:rsid w:val="000059E3"/>
    <w:rsid w:val="00010102"/>
    <w:rsid w:val="00015ED9"/>
    <w:rsid w:val="00016292"/>
    <w:rsid w:val="0002668D"/>
    <w:rsid w:val="00026C5B"/>
    <w:rsid w:val="00027FE7"/>
    <w:rsid w:val="00044DC9"/>
    <w:rsid w:val="00045208"/>
    <w:rsid w:val="0004578A"/>
    <w:rsid w:val="00047F1D"/>
    <w:rsid w:val="00050350"/>
    <w:rsid w:val="00053405"/>
    <w:rsid w:val="00071BAC"/>
    <w:rsid w:val="00076AE9"/>
    <w:rsid w:val="000A55D1"/>
    <w:rsid w:val="000B0D5B"/>
    <w:rsid w:val="000B1362"/>
    <w:rsid w:val="000B7D95"/>
    <w:rsid w:val="000C79F5"/>
    <w:rsid w:val="000D2555"/>
    <w:rsid w:val="000D3CFE"/>
    <w:rsid w:val="000E2947"/>
    <w:rsid w:val="000E406E"/>
    <w:rsid w:val="000E48E8"/>
    <w:rsid w:val="000F3CF6"/>
    <w:rsid w:val="001125D2"/>
    <w:rsid w:val="00117552"/>
    <w:rsid w:val="00120735"/>
    <w:rsid w:val="001403D5"/>
    <w:rsid w:val="00150FBA"/>
    <w:rsid w:val="00152D6F"/>
    <w:rsid w:val="00165394"/>
    <w:rsid w:val="0017258C"/>
    <w:rsid w:val="00176965"/>
    <w:rsid w:val="00187BE8"/>
    <w:rsid w:val="001A09B3"/>
    <w:rsid w:val="001B76D0"/>
    <w:rsid w:val="001D5A4E"/>
    <w:rsid w:val="001F0185"/>
    <w:rsid w:val="001F2E68"/>
    <w:rsid w:val="001F5EFF"/>
    <w:rsid w:val="00207714"/>
    <w:rsid w:val="00217178"/>
    <w:rsid w:val="00233E91"/>
    <w:rsid w:val="00252D10"/>
    <w:rsid w:val="00257F95"/>
    <w:rsid w:val="0028749B"/>
    <w:rsid w:val="002A5FAD"/>
    <w:rsid w:val="002A7A58"/>
    <w:rsid w:val="002B12D8"/>
    <w:rsid w:val="002C41EE"/>
    <w:rsid w:val="002C4264"/>
    <w:rsid w:val="002D27D6"/>
    <w:rsid w:val="002D7A5B"/>
    <w:rsid w:val="002F459E"/>
    <w:rsid w:val="002F7FE3"/>
    <w:rsid w:val="00305D7A"/>
    <w:rsid w:val="00307855"/>
    <w:rsid w:val="00325799"/>
    <w:rsid w:val="00326A63"/>
    <w:rsid w:val="0033443B"/>
    <w:rsid w:val="00334634"/>
    <w:rsid w:val="00344ED3"/>
    <w:rsid w:val="00345C76"/>
    <w:rsid w:val="00347292"/>
    <w:rsid w:val="00347DF1"/>
    <w:rsid w:val="00361016"/>
    <w:rsid w:val="00366185"/>
    <w:rsid w:val="00380F94"/>
    <w:rsid w:val="00384774"/>
    <w:rsid w:val="00394331"/>
    <w:rsid w:val="003A47E4"/>
    <w:rsid w:val="003D1EA7"/>
    <w:rsid w:val="003E2A4D"/>
    <w:rsid w:val="003E63F5"/>
    <w:rsid w:val="003F16F4"/>
    <w:rsid w:val="003F34D7"/>
    <w:rsid w:val="00401758"/>
    <w:rsid w:val="00410F3C"/>
    <w:rsid w:val="00412E98"/>
    <w:rsid w:val="0042025A"/>
    <w:rsid w:val="00423257"/>
    <w:rsid w:val="0043576B"/>
    <w:rsid w:val="00450FB1"/>
    <w:rsid w:val="0045126C"/>
    <w:rsid w:val="00454743"/>
    <w:rsid w:val="0045629C"/>
    <w:rsid w:val="00497D48"/>
    <w:rsid w:val="004A2997"/>
    <w:rsid w:val="004A2A57"/>
    <w:rsid w:val="004C01DD"/>
    <w:rsid w:val="004C0959"/>
    <w:rsid w:val="004C3C7E"/>
    <w:rsid w:val="004C573D"/>
    <w:rsid w:val="004C6BAA"/>
    <w:rsid w:val="004D11EF"/>
    <w:rsid w:val="004D1206"/>
    <w:rsid w:val="004D1D61"/>
    <w:rsid w:val="004D298D"/>
    <w:rsid w:val="004D29C4"/>
    <w:rsid w:val="004E2880"/>
    <w:rsid w:val="00501ABB"/>
    <w:rsid w:val="00501B3B"/>
    <w:rsid w:val="00503138"/>
    <w:rsid w:val="00503EE7"/>
    <w:rsid w:val="00505089"/>
    <w:rsid w:val="00512301"/>
    <w:rsid w:val="00530DA3"/>
    <w:rsid w:val="00540D7F"/>
    <w:rsid w:val="005435B0"/>
    <w:rsid w:val="00556518"/>
    <w:rsid w:val="00557AC6"/>
    <w:rsid w:val="00573D22"/>
    <w:rsid w:val="00595856"/>
    <w:rsid w:val="005A7CCC"/>
    <w:rsid w:val="005C5E88"/>
    <w:rsid w:val="005C738B"/>
    <w:rsid w:val="005E028A"/>
    <w:rsid w:val="005E3387"/>
    <w:rsid w:val="005F0707"/>
    <w:rsid w:val="005F4922"/>
    <w:rsid w:val="005F6726"/>
    <w:rsid w:val="00600FCB"/>
    <w:rsid w:val="006024D9"/>
    <w:rsid w:val="006059D7"/>
    <w:rsid w:val="0061005D"/>
    <w:rsid w:val="006116D1"/>
    <w:rsid w:val="006163D2"/>
    <w:rsid w:val="006233F7"/>
    <w:rsid w:val="00625A4D"/>
    <w:rsid w:val="0063116B"/>
    <w:rsid w:val="006379C7"/>
    <w:rsid w:val="006444F5"/>
    <w:rsid w:val="006449A5"/>
    <w:rsid w:val="00692826"/>
    <w:rsid w:val="006A68B6"/>
    <w:rsid w:val="006B0347"/>
    <w:rsid w:val="006B03F4"/>
    <w:rsid w:val="006B48C2"/>
    <w:rsid w:val="006B7F4C"/>
    <w:rsid w:val="006C0D63"/>
    <w:rsid w:val="006C2423"/>
    <w:rsid w:val="006C45AD"/>
    <w:rsid w:val="006E295B"/>
    <w:rsid w:val="006F04A7"/>
    <w:rsid w:val="006F2B4C"/>
    <w:rsid w:val="00711E9C"/>
    <w:rsid w:val="00713F66"/>
    <w:rsid w:val="00720EA2"/>
    <w:rsid w:val="00725213"/>
    <w:rsid w:val="00740B6E"/>
    <w:rsid w:val="00742458"/>
    <w:rsid w:val="00742984"/>
    <w:rsid w:val="007559B6"/>
    <w:rsid w:val="00767015"/>
    <w:rsid w:val="00797F19"/>
    <w:rsid w:val="007A7A0B"/>
    <w:rsid w:val="007B398C"/>
    <w:rsid w:val="007B6E59"/>
    <w:rsid w:val="007C21E0"/>
    <w:rsid w:val="007C21ED"/>
    <w:rsid w:val="007C7878"/>
    <w:rsid w:val="007D442A"/>
    <w:rsid w:val="007D5326"/>
    <w:rsid w:val="007E1064"/>
    <w:rsid w:val="007E2750"/>
    <w:rsid w:val="007E53A9"/>
    <w:rsid w:val="007F0F81"/>
    <w:rsid w:val="007F739D"/>
    <w:rsid w:val="008005E4"/>
    <w:rsid w:val="008023D9"/>
    <w:rsid w:val="008115BD"/>
    <w:rsid w:val="00814531"/>
    <w:rsid w:val="0081702F"/>
    <w:rsid w:val="00817AB2"/>
    <w:rsid w:val="00823492"/>
    <w:rsid w:val="00823BC6"/>
    <w:rsid w:val="008279AE"/>
    <w:rsid w:val="008370F3"/>
    <w:rsid w:val="00837287"/>
    <w:rsid w:val="00843CA8"/>
    <w:rsid w:val="00847F1A"/>
    <w:rsid w:val="00873835"/>
    <w:rsid w:val="00874BD0"/>
    <w:rsid w:val="008762A9"/>
    <w:rsid w:val="008849D7"/>
    <w:rsid w:val="008A37AF"/>
    <w:rsid w:val="008E458E"/>
    <w:rsid w:val="008F0DF9"/>
    <w:rsid w:val="00913A7B"/>
    <w:rsid w:val="00917078"/>
    <w:rsid w:val="0091751B"/>
    <w:rsid w:val="0092797C"/>
    <w:rsid w:val="00947E5B"/>
    <w:rsid w:val="00952907"/>
    <w:rsid w:val="0096608A"/>
    <w:rsid w:val="00970276"/>
    <w:rsid w:val="00973218"/>
    <w:rsid w:val="00973E88"/>
    <w:rsid w:val="00982B90"/>
    <w:rsid w:val="00987002"/>
    <w:rsid w:val="009929C8"/>
    <w:rsid w:val="00996D6B"/>
    <w:rsid w:val="00997090"/>
    <w:rsid w:val="009A0CF8"/>
    <w:rsid w:val="009A2FB4"/>
    <w:rsid w:val="009A5BB9"/>
    <w:rsid w:val="009B2FED"/>
    <w:rsid w:val="009C1FB4"/>
    <w:rsid w:val="009C29BE"/>
    <w:rsid w:val="009C3725"/>
    <w:rsid w:val="009C44E6"/>
    <w:rsid w:val="009C48D3"/>
    <w:rsid w:val="009E7176"/>
    <w:rsid w:val="009F3DCF"/>
    <w:rsid w:val="009F3DF5"/>
    <w:rsid w:val="009F4B60"/>
    <w:rsid w:val="00A01008"/>
    <w:rsid w:val="00A12D73"/>
    <w:rsid w:val="00A43C38"/>
    <w:rsid w:val="00A533EB"/>
    <w:rsid w:val="00A702D9"/>
    <w:rsid w:val="00A92BC8"/>
    <w:rsid w:val="00A97969"/>
    <w:rsid w:val="00AA005B"/>
    <w:rsid w:val="00AB6E23"/>
    <w:rsid w:val="00AC03CF"/>
    <w:rsid w:val="00AC64E3"/>
    <w:rsid w:val="00AD0BD4"/>
    <w:rsid w:val="00AD4494"/>
    <w:rsid w:val="00B11856"/>
    <w:rsid w:val="00B326FF"/>
    <w:rsid w:val="00B41F41"/>
    <w:rsid w:val="00B510E0"/>
    <w:rsid w:val="00B63031"/>
    <w:rsid w:val="00B72FCF"/>
    <w:rsid w:val="00B83C4E"/>
    <w:rsid w:val="00B84474"/>
    <w:rsid w:val="00B97BD3"/>
    <w:rsid w:val="00BC486E"/>
    <w:rsid w:val="00BE417C"/>
    <w:rsid w:val="00BF2938"/>
    <w:rsid w:val="00C22A41"/>
    <w:rsid w:val="00C2327A"/>
    <w:rsid w:val="00C44110"/>
    <w:rsid w:val="00C45889"/>
    <w:rsid w:val="00C54820"/>
    <w:rsid w:val="00C54DC4"/>
    <w:rsid w:val="00C627D1"/>
    <w:rsid w:val="00C706CD"/>
    <w:rsid w:val="00C757BE"/>
    <w:rsid w:val="00CA6500"/>
    <w:rsid w:val="00CB28D9"/>
    <w:rsid w:val="00CC0859"/>
    <w:rsid w:val="00CD5B4A"/>
    <w:rsid w:val="00CE522C"/>
    <w:rsid w:val="00CF3804"/>
    <w:rsid w:val="00CF7B74"/>
    <w:rsid w:val="00D05ADA"/>
    <w:rsid w:val="00D071A4"/>
    <w:rsid w:val="00D16F46"/>
    <w:rsid w:val="00D243F3"/>
    <w:rsid w:val="00D33CAF"/>
    <w:rsid w:val="00D43F65"/>
    <w:rsid w:val="00D44384"/>
    <w:rsid w:val="00D452D7"/>
    <w:rsid w:val="00D520CA"/>
    <w:rsid w:val="00D64533"/>
    <w:rsid w:val="00D71054"/>
    <w:rsid w:val="00D73E38"/>
    <w:rsid w:val="00D808C3"/>
    <w:rsid w:val="00DA3BFD"/>
    <w:rsid w:val="00DC1141"/>
    <w:rsid w:val="00DD179C"/>
    <w:rsid w:val="00DD1FC3"/>
    <w:rsid w:val="00DD2339"/>
    <w:rsid w:val="00DF388E"/>
    <w:rsid w:val="00DF4B69"/>
    <w:rsid w:val="00E04E0F"/>
    <w:rsid w:val="00E10488"/>
    <w:rsid w:val="00E12235"/>
    <w:rsid w:val="00E12D09"/>
    <w:rsid w:val="00E2044B"/>
    <w:rsid w:val="00E31676"/>
    <w:rsid w:val="00E50EBE"/>
    <w:rsid w:val="00E55632"/>
    <w:rsid w:val="00E57893"/>
    <w:rsid w:val="00E617D2"/>
    <w:rsid w:val="00E870D4"/>
    <w:rsid w:val="00E870D5"/>
    <w:rsid w:val="00E93D98"/>
    <w:rsid w:val="00E93E1E"/>
    <w:rsid w:val="00EA5229"/>
    <w:rsid w:val="00EA727A"/>
    <w:rsid w:val="00EC7386"/>
    <w:rsid w:val="00ED107E"/>
    <w:rsid w:val="00ED59DE"/>
    <w:rsid w:val="00EE2EF8"/>
    <w:rsid w:val="00EF4FD6"/>
    <w:rsid w:val="00F1691C"/>
    <w:rsid w:val="00F32D9C"/>
    <w:rsid w:val="00F353E6"/>
    <w:rsid w:val="00F52A79"/>
    <w:rsid w:val="00F5402F"/>
    <w:rsid w:val="00F561D3"/>
    <w:rsid w:val="00F56586"/>
    <w:rsid w:val="00F60AC3"/>
    <w:rsid w:val="00F624EB"/>
    <w:rsid w:val="00F661ED"/>
    <w:rsid w:val="00F66981"/>
    <w:rsid w:val="00F67EE6"/>
    <w:rsid w:val="00F734E5"/>
    <w:rsid w:val="00F9489E"/>
    <w:rsid w:val="00F95DD7"/>
    <w:rsid w:val="00FB0779"/>
    <w:rsid w:val="00FC5CE6"/>
    <w:rsid w:val="00FC602C"/>
    <w:rsid w:val="00FD5FED"/>
    <w:rsid w:val="00FE2620"/>
    <w:rsid w:val="00FF3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85FCA9"/>
  <w15:chartTrackingRefBased/>
  <w15:docId w15:val="{B77CC770-9D26-4025-8BE5-B359F1AE6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0D5"/>
  </w:style>
  <w:style w:type="paragraph" w:styleId="Heading1">
    <w:name w:val="heading 1"/>
    <w:basedOn w:val="Normal"/>
    <w:next w:val="Normal"/>
    <w:link w:val="Heading1Char"/>
    <w:uiPriority w:val="9"/>
    <w:qFormat/>
    <w:rsid w:val="006C0D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75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3C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8E8"/>
    <w:rPr>
      <w:color w:val="0563C1" w:themeColor="hyperlink"/>
      <w:u w:val="single"/>
    </w:rPr>
  </w:style>
  <w:style w:type="paragraph" w:styleId="FootnoteText">
    <w:name w:val="footnote text"/>
    <w:basedOn w:val="Normal"/>
    <w:link w:val="FootnoteTextChar"/>
    <w:uiPriority w:val="99"/>
    <w:unhideWhenUsed/>
    <w:rsid w:val="000E48E8"/>
    <w:pPr>
      <w:spacing w:after="0" w:line="240" w:lineRule="auto"/>
    </w:pPr>
    <w:rPr>
      <w:sz w:val="20"/>
      <w:szCs w:val="20"/>
    </w:rPr>
  </w:style>
  <w:style w:type="character" w:customStyle="1" w:styleId="FootnoteTextChar">
    <w:name w:val="Footnote Text Char"/>
    <w:basedOn w:val="DefaultParagraphFont"/>
    <w:link w:val="FootnoteText"/>
    <w:uiPriority w:val="99"/>
    <w:rsid w:val="000E48E8"/>
    <w:rPr>
      <w:sz w:val="20"/>
      <w:szCs w:val="20"/>
    </w:rPr>
  </w:style>
  <w:style w:type="character" w:styleId="FootnoteReference">
    <w:name w:val="footnote reference"/>
    <w:basedOn w:val="DefaultParagraphFont"/>
    <w:uiPriority w:val="99"/>
    <w:semiHidden/>
    <w:unhideWhenUsed/>
    <w:rsid w:val="000E48E8"/>
    <w:rPr>
      <w:vertAlign w:val="superscript"/>
    </w:rPr>
  </w:style>
  <w:style w:type="character" w:styleId="UnresolvedMention">
    <w:name w:val="Unresolved Mention"/>
    <w:basedOn w:val="DefaultParagraphFont"/>
    <w:uiPriority w:val="99"/>
    <w:semiHidden/>
    <w:unhideWhenUsed/>
    <w:rsid w:val="00497D48"/>
    <w:rPr>
      <w:color w:val="605E5C"/>
      <w:shd w:val="clear" w:color="auto" w:fill="E1DFDD"/>
    </w:rPr>
  </w:style>
  <w:style w:type="paragraph" w:styleId="Subtitle">
    <w:name w:val="Subtitle"/>
    <w:basedOn w:val="Normal"/>
    <w:next w:val="Normal"/>
    <w:link w:val="SubtitleChar"/>
    <w:uiPriority w:val="11"/>
    <w:qFormat/>
    <w:rsid w:val="00394331"/>
    <w:pPr>
      <w:numPr>
        <w:ilvl w:val="1"/>
      </w:numPr>
    </w:pPr>
    <w:rPr>
      <w:rFonts w:eastAsiaTheme="minorEastAsia"/>
      <w:color w:val="5A5A5A" w:themeColor="text1" w:themeTint="A5"/>
      <w:spacing w:val="15"/>
      <w:kern w:val="0"/>
      <w14:ligatures w14:val="none"/>
    </w:rPr>
  </w:style>
  <w:style w:type="character" w:customStyle="1" w:styleId="SubtitleChar">
    <w:name w:val="Subtitle Char"/>
    <w:basedOn w:val="DefaultParagraphFont"/>
    <w:link w:val="Subtitle"/>
    <w:uiPriority w:val="11"/>
    <w:rsid w:val="00394331"/>
    <w:rPr>
      <w:rFonts w:eastAsiaTheme="minorEastAsia"/>
      <w:color w:val="5A5A5A" w:themeColor="text1" w:themeTint="A5"/>
      <w:spacing w:val="15"/>
      <w:kern w:val="0"/>
      <w14:ligatures w14:val="none"/>
    </w:rPr>
  </w:style>
  <w:style w:type="paragraph" w:styleId="ListParagraph">
    <w:name w:val="List Paragraph"/>
    <w:basedOn w:val="Normal"/>
    <w:uiPriority w:val="34"/>
    <w:qFormat/>
    <w:rsid w:val="00394331"/>
    <w:pPr>
      <w:ind w:left="720"/>
      <w:contextualSpacing/>
    </w:pPr>
    <w:rPr>
      <w:kern w:val="0"/>
      <w14:ligatures w14:val="none"/>
    </w:rPr>
  </w:style>
  <w:style w:type="character" w:styleId="FollowedHyperlink">
    <w:name w:val="FollowedHyperlink"/>
    <w:basedOn w:val="DefaultParagraphFont"/>
    <w:uiPriority w:val="99"/>
    <w:semiHidden/>
    <w:unhideWhenUsed/>
    <w:rsid w:val="006C2423"/>
    <w:rPr>
      <w:color w:val="954F72" w:themeColor="followedHyperlink"/>
      <w:u w:val="single"/>
    </w:rPr>
  </w:style>
  <w:style w:type="character" w:styleId="CommentReference">
    <w:name w:val="annotation reference"/>
    <w:basedOn w:val="DefaultParagraphFont"/>
    <w:uiPriority w:val="99"/>
    <w:semiHidden/>
    <w:unhideWhenUsed/>
    <w:rsid w:val="00720EA2"/>
    <w:rPr>
      <w:sz w:val="16"/>
      <w:szCs w:val="16"/>
    </w:rPr>
  </w:style>
  <w:style w:type="paragraph" w:styleId="CommentText">
    <w:name w:val="annotation text"/>
    <w:basedOn w:val="Normal"/>
    <w:link w:val="CommentTextChar"/>
    <w:uiPriority w:val="99"/>
    <w:unhideWhenUsed/>
    <w:rsid w:val="00720EA2"/>
    <w:pPr>
      <w:spacing w:line="240" w:lineRule="auto"/>
    </w:pPr>
    <w:rPr>
      <w:sz w:val="20"/>
      <w:szCs w:val="20"/>
    </w:rPr>
  </w:style>
  <w:style w:type="character" w:customStyle="1" w:styleId="CommentTextChar">
    <w:name w:val="Comment Text Char"/>
    <w:basedOn w:val="DefaultParagraphFont"/>
    <w:link w:val="CommentText"/>
    <w:uiPriority w:val="99"/>
    <w:rsid w:val="00720EA2"/>
    <w:rPr>
      <w:sz w:val="20"/>
      <w:szCs w:val="20"/>
    </w:rPr>
  </w:style>
  <w:style w:type="paragraph" w:styleId="CommentSubject">
    <w:name w:val="annotation subject"/>
    <w:basedOn w:val="CommentText"/>
    <w:next w:val="CommentText"/>
    <w:link w:val="CommentSubjectChar"/>
    <w:uiPriority w:val="99"/>
    <w:semiHidden/>
    <w:unhideWhenUsed/>
    <w:rsid w:val="00720EA2"/>
    <w:rPr>
      <w:b/>
      <w:bCs/>
    </w:rPr>
  </w:style>
  <w:style w:type="character" w:customStyle="1" w:styleId="CommentSubjectChar">
    <w:name w:val="Comment Subject Char"/>
    <w:basedOn w:val="CommentTextChar"/>
    <w:link w:val="CommentSubject"/>
    <w:uiPriority w:val="99"/>
    <w:semiHidden/>
    <w:rsid w:val="00720EA2"/>
    <w:rPr>
      <w:b/>
      <w:bCs/>
      <w:sz w:val="20"/>
      <w:szCs w:val="20"/>
    </w:rPr>
  </w:style>
  <w:style w:type="character" w:customStyle="1" w:styleId="Heading2Char">
    <w:name w:val="Heading 2 Char"/>
    <w:basedOn w:val="DefaultParagraphFont"/>
    <w:link w:val="Heading2"/>
    <w:uiPriority w:val="9"/>
    <w:rsid w:val="0091751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C0D6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059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9E3"/>
  </w:style>
  <w:style w:type="paragraph" w:styleId="Footer">
    <w:name w:val="footer"/>
    <w:basedOn w:val="Normal"/>
    <w:link w:val="FooterChar"/>
    <w:uiPriority w:val="99"/>
    <w:unhideWhenUsed/>
    <w:rsid w:val="000059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9E3"/>
  </w:style>
  <w:style w:type="character" w:customStyle="1" w:styleId="Heading3Char">
    <w:name w:val="Heading 3 Char"/>
    <w:basedOn w:val="DefaultParagraphFont"/>
    <w:link w:val="Heading3"/>
    <w:uiPriority w:val="9"/>
    <w:rsid w:val="00D33CAF"/>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512301"/>
    <w:pPr>
      <w:spacing w:after="0" w:line="240" w:lineRule="auto"/>
    </w:pPr>
  </w:style>
  <w:style w:type="character" w:customStyle="1" w:styleId="cf01">
    <w:name w:val="cf01"/>
    <w:basedOn w:val="DefaultParagraphFont"/>
    <w:rsid w:val="0061005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8012">
      <w:bodyDiv w:val="1"/>
      <w:marLeft w:val="0"/>
      <w:marRight w:val="0"/>
      <w:marTop w:val="0"/>
      <w:marBottom w:val="0"/>
      <w:divBdr>
        <w:top w:val="none" w:sz="0" w:space="0" w:color="auto"/>
        <w:left w:val="none" w:sz="0" w:space="0" w:color="auto"/>
        <w:bottom w:val="none" w:sz="0" w:space="0" w:color="auto"/>
        <w:right w:val="none" w:sz="0" w:space="0" w:color="auto"/>
      </w:divBdr>
    </w:div>
    <w:div w:id="104468818">
      <w:bodyDiv w:val="1"/>
      <w:marLeft w:val="0"/>
      <w:marRight w:val="0"/>
      <w:marTop w:val="0"/>
      <w:marBottom w:val="0"/>
      <w:divBdr>
        <w:top w:val="none" w:sz="0" w:space="0" w:color="auto"/>
        <w:left w:val="none" w:sz="0" w:space="0" w:color="auto"/>
        <w:bottom w:val="none" w:sz="0" w:space="0" w:color="auto"/>
        <w:right w:val="none" w:sz="0" w:space="0" w:color="auto"/>
      </w:divBdr>
      <w:divsChild>
        <w:div w:id="971710953">
          <w:marLeft w:val="0"/>
          <w:marRight w:val="0"/>
          <w:marTop w:val="60"/>
          <w:marBottom w:val="0"/>
          <w:divBdr>
            <w:top w:val="none" w:sz="0" w:space="0" w:color="auto"/>
            <w:left w:val="none" w:sz="0" w:space="0" w:color="auto"/>
            <w:bottom w:val="none" w:sz="0" w:space="0" w:color="auto"/>
            <w:right w:val="none" w:sz="0" w:space="0" w:color="auto"/>
          </w:divBdr>
        </w:div>
      </w:divsChild>
    </w:div>
    <w:div w:id="227300240">
      <w:bodyDiv w:val="1"/>
      <w:marLeft w:val="0"/>
      <w:marRight w:val="0"/>
      <w:marTop w:val="0"/>
      <w:marBottom w:val="0"/>
      <w:divBdr>
        <w:top w:val="none" w:sz="0" w:space="0" w:color="auto"/>
        <w:left w:val="none" w:sz="0" w:space="0" w:color="auto"/>
        <w:bottom w:val="none" w:sz="0" w:space="0" w:color="auto"/>
        <w:right w:val="none" w:sz="0" w:space="0" w:color="auto"/>
      </w:divBdr>
    </w:div>
    <w:div w:id="620461189">
      <w:bodyDiv w:val="1"/>
      <w:marLeft w:val="0"/>
      <w:marRight w:val="0"/>
      <w:marTop w:val="0"/>
      <w:marBottom w:val="0"/>
      <w:divBdr>
        <w:top w:val="none" w:sz="0" w:space="0" w:color="auto"/>
        <w:left w:val="none" w:sz="0" w:space="0" w:color="auto"/>
        <w:bottom w:val="none" w:sz="0" w:space="0" w:color="auto"/>
        <w:right w:val="none" w:sz="0" w:space="0" w:color="auto"/>
      </w:divBdr>
    </w:div>
    <w:div w:id="899680105">
      <w:bodyDiv w:val="1"/>
      <w:marLeft w:val="0"/>
      <w:marRight w:val="0"/>
      <w:marTop w:val="0"/>
      <w:marBottom w:val="0"/>
      <w:divBdr>
        <w:top w:val="none" w:sz="0" w:space="0" w:color="auto"/>
        <w:left w:val="none" w:sz="0" w:space="0" w:color="auto"/>
        <w:bottom w:val="none" w:sz="0" w:space="0" w:color="auto"/>
        <w:right w:val="none" w:sz="0" w:space="0" w:color="auto"/>
      </w:divBdr>
      <w:divsChild>
        <w:div w:id="126748130">
          <w:marLeft w:val="0"/>
          <w:marRight w:val="0"/>
          <w:marTop w:val="60"/>
          <w:marBottom w:val="0"/>
          <w:divBdr>
            <w:top w:val="none" w:sz="0" w:space="0" w:color="auto"/>
            <w:left w:val="none" w:sz="0" w:space="0" w:color="auto"/>
            <w:bottom w:val="none" w:sz="0" w:space="0" w:color="auto"/>
            <w:right w:val="none" w:sz="0" w:space="0" w:color="auto"/>
          </w:divBdr>
        </w:div>
      </w:divsChild>
    </w:div>
    <w:div w:id="997537085">
      <w:bodyDiv w:val="1"/>
      <w:marLeft w:val="0"/>
      <w:marRight w:val="0"/>
      <w:marTop w:val="0"/>
      <w:marBottom w:val="0"/>
      <w:divBdr>
        <w:top w:val="none" w:sz="0" w:space="0" w:color="auto"/>
        <w:left w:val="none" w:sz="0" w:space="0" w:color="auto"/>
        <w:bottom w:val="none" w:sz="0" w:space="0" w:color="auto"/>
        <w:right w:val="none" w:sz="0" w:space="0" w:color="auto"/>
      </w:divBdr>
    </w:div>
    <w:div w:id="1049694314">
      <w:bodyDiv w:val="1"/>
      <w:marLeft w:val="0"/>
      <w:marRight w:val="0"/>
      <w:marTop w:val="0"/>
      <w:marBottom w:val="0"/>
      <w:divBdr>
        <w:top w:val="none" w:sz="0" w:space="0" w:color="auto"/>
        <w:left w:val="none" w:sz="0" w:space="0" w:color="auto"/>
        <w:bottom w:val="none" w:sz="0" w:space="0" w:color="auto"/>
        <w:right w:val="none" w:sz="0" w:space="0" w:color="auto"/>
      </w:divBdr>
    </w:div>
    <w:div w:id="1276064614">
      <w:bodyDiv w:val="1"/>
      <w:marLeft w:val="0"/>
      <w:marRight w:val="0"/>
      <w:marTop w:val="0"/>
      <w:marBottom w:val="0"/>
      <w:divBdr>
        <w:top w:val="none" w:sz="0" w:space="0" w:color="auto"/>
        <w:left w:val="none" w:sz="0" w:space="0" w:color="auto"/>
        <w:bottom w:val="none" w:sz="0" w:space="0" w:color="auto"/>
        <w:right w:val="none" w:sz="0" w:space="0" w:color="auto"/>
      </w:divBdr>
    </w:div>
    <w:div w:id="1781290521">
      <w:bodyDiv w:val="1"/>
      <w:marLeft w:val="0"/>
      <w:marRight w:val="0"/>
      <w:marTop w:val="0"/>
      <w:marBottom w:val="0"/>
      <w:divBdr>
        <w:top w:val="none" w:sz="0" w:space="0" w:color="auto"/>
        <w:left w:val="none" w:sz="0" w:space="0" w:color="auto"/>
        <w:bottom w:val="none" w:sz="0" w:space="0" w:color="auto"/>
        <w:right w:val="none" w:sz="0" w:space="0" w:color="auto"/>
      </w:divBdr>
    </w:div>
    <w:div w:id="1857234983">
      <w:bodyDiv w:val="1"/>
      <w:marLeft w:val="0"/>
      <w:marRight w:val="0"/>
      <w:marTop w:val="0"/>
      <w:marBottom w:val="0"/>
      <w:divBdr>
        <w:top w:val="none" w:sz="0" w:space="0" w:color="auto"/>
        <w:left w:val="none" w:sz="0" w:space="0" w:color="auto"/>
        <w:bottom w:val="none" w:sz="0" w:space="0" w:color="auto"/>
        <w:right w:val="none" w:sz="0" w:space="0" w:color="auto"/>
      </w:divBdr>
    </w:div>
    <w:div w:id="1942255345">
      <w:bodyDiv w:val="1"/>
      <w:marLeft w:val="0"/>
      <w:marRight w:val="0"/>
      <w:marTop w:val="0"/>
      <w:marBottom w:val="0"/>
      <w:divBdr>
        <w:top w:val="none" w:sz="0" w:space="0" w:color="auto"/>
        <w:left w:val="none" w:sz="0" w:space="0" w:color="auto"/>
        <w:bottom w:val="none" w:sz="0" w:space="0" w:color="auto"/>
        <w:right w:val="none" w:sz="0" w:space="0" w:color="auto"/>
      </w:divBdr>
    </w:div>
    <w:div w:id="209119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nsultations/retained-eu-employment-law-reform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ustfair.org.uk/our-rights-after-brexi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helen.flynn@JustFair.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llfie.org.uk/definitions/what-is-a-dpo/" TargetMode="External"/><Relationship Id="rId5" Type="http://schemas.openxmlformats.org/officeDocument/2006/relationships/numbering" Target="numbering.xml"/><Relationship Id="rId15" Type="http://schemas.openxmlformats.org/officeDocument/2006/relationships/hyperlink" Target="http://www.justfair.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EN/TXT/?uri=CELEX%3A32019L088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egislation.gov.uk/ukpga/2023/28/enacted" TargetMode="External"/><Relationship Id="rId13" Type="http://schemas.openxmlformats.org/officeDocument/2006/relationships/hyperlink" Target="https://www.legislation.gov.uk/ukpga/2018/16/enacted/data.pdf" TargetMode="External"/><Relationship Id="rId18" Type="http://schemas.openxmlformats.org/officeDocument/2006/relationships/hyperlink" Target="https://www.ihrec.ie/app/uploads/2018/03/Discussion-Paper-on-Brexit.pdf" TargetMode="External"/><Relationship Id="rId26" Type="http://schemas.openxmlformats.org/officeDocument/2006/relationships/hyperlink" Target="https://www.equalityni.org/ECNI/media/ECNI/Publications/Delivering%20Equality/DMU/BrexitImpact-EU-funding.pdf" TargetMode="External"/><Relationship Id="rId3" Type="http://schemas.openxmlformats.org/officeDocument/2006/relationships/hyperlink" Target="https://treaties.un.org/Pages/ViewDetails.aspx?src=TREATY&amp;mtdsg_no=IV-15&amp;chapter=4&amp;clang=_en" TargetMode="External"/><Relationship Id="rId21" Type="http://schemas.openxmlformats.org/officeDocument/2006/relationships/hyperlink" Target="https://questions-statements.parliament.uk/written-questions/detail/2020-03-09/26878" TargetMode="External"/><Relationship Id="rId7" Type="http://schemas.openxmlformats.org/officeDocument/2006/relationships/hyperlink" Target="http://www.humanrightsconsortium.org/wp-content/uploads/2018/01/RIGHTS-AT-RISK-Final.pdf" TargetMode="External"/><Relationship Id="rId12" Type="http://schemas.openxmlformats.org/officeDocument/2006/relationships/hyperlink" Target="https://humanrightstracker.com/en/progress-assessment/equality-and-human-rights-legal-framework-uk-government-assessment-2/" TargetMode="External"/><Relationship Id="rId17" Type="http://schemas.openxmlformats.org/officeDocument/2006/relationships/hyperlink" Target="https://www.disabilityaction.org/Handlers/Download.ashx?IDMF=3cc41f78-c96a-411a-ae20-2bb0034d864a" TargetMode="External"/><Relationship Id="rId25" Type="http://schemas.openxmlformats.org/officeDocument/2006/relationships/hyperlink" Target="https://www.equalityhumanrights.com/sites/default/files/the-future-of_funding-for-equality-and-human-rights.pdf" TargetMode="External"/><Relationship Id="rId2" Type="http://schemas.openxmlformats.org/officeDocument/2006/relationships/hyperlink" Target="https://treaties.un.org/Pages/ViewDetails.aspx?src=TREATY&amp;mtdsg_no=IV-15&amp;chapter=4&amp;clang=_en" TargetMode="External"/><Relationship Id="rId16" Type="http://schemas.openxmlformats.org/officeDocument/2006/relationships/hyperlink" Target="https://nihrc.org/uploads/publications/NIHRC-response-Reform-of-the-Human-Rights-Act-08.03.22.pdf" TargetMode="External"/><Relationship Id="rId20" Type="http://schemas.openxmlformats.org/officeDocument/2006/relationships/hyperlink" Target="https://www.gov.uk/government/publications/schedule-of-retained-eu-law" TargetMode="External"/><Relationship Id="rId1" Type="http://schemas.openxmlformats.org/officeDocument/2006/relationships/hyperlink" Target="https://justfair.org.uk/" TargetMode="External"/><Relationship Id="rId6" Type="http://schemas.openxmlformats.org/officeDocument/2006/relationships/hyperlink" Target="https://www.disabilityaction.org/Handlers/Download.ashx?IDMF=3cc41f78-c96a-411a-ae20-2bb0034d864a" TargetMode="External"/><Relationship Id="rId11" Type="http://schemas.openxmlformats.org/officeDocument/2006/relationships/hyperlink" Target="https://eur-lex.europa.eu/legal-content/EN/TXT/?uri=CELEX:12012P/TXT" TargetMode="External"/><Relationship Id="rId24" Type="http://schemas.openxmlformats.org/officeDocument/2006/relationships/hyperlink" Target="https://ec.europa.eu/esf/main.jsp?catId=35&amp;langId=en" TargetMode="External"/><Relationship Id="rId5" Type="http://schemas.openxmlformats.org/officeDocument/2006/relationships/hyperlink" Target="https://www.disabilityrightsuk.org/brexit-manifesto" TargetMode="External"/><Relationship Id="rId15" Type="http://schemas.openxmlformats.org/officeDocument/2006/relationships/hyperlink" Target="https://www.equalityhumanrights.com/sites/default/files/eu-withdrawal-bill-legal-advice-jason-coppel-qc.pdf" TargetMode="External"/><Relationship Id="rId23" Type="http://schemas.openxmlformats.org/officeDocument/2006/relationships/hyperlink" Target="https://www.equalityhumanrights.com/sites/default/files/the-future-of_funding-for-equality-and-human-rights.pdf" TargetMode="External"/><Relationship Id="rId10" Type="http://schemas.openxmlformats.org/officeDocument/2006/relationships/hyperlink" Target="https://bit.ly/3d6mETP" TargetMode="External"/><Relationship Id="rId19" Type="http://schemas.openxmlformats.org/officeDocument/2006/relationships/hyperlink" Target="https://www.tuc.org.uk/blogs/government-does-u-turn-rights-still-risk" TargetMode="External"/><Relationship Id="rId4" Type="http://schemas.openxmlformats.org/officeDocument/2006/relationships/hyperlink" Target="https://www.disabilityaction.org/Handlers/Download.ashx?IDMF=3cc41f78-c96a-411a-ae20-2bb0034d864a" TargetMode="External"/><Relationship Id="rId9" Type="http://schemas.openxmlformats.org/officeDocument/2006/relationships/hyperlink" Target="https://eur-lex.europa.eu/legal-content/EN/TXT/?toc=OJ%3AL%3A2023%3A102%3ATOC&amp;uri=uriserv%3AOJ.L_.2023.102.01.0061.01.ENG" TargetMode="External"/><Relationship Id="rId14" Type="http://schemas.openxmlformats.org/officeDocument/2006/relationships/hyperlink" Target="https://eur-lex.europa.eu/legal-content/EN/TXT/?uri=CELEX:12012P/TXT" TargetMode="External"/><Relationship Id="rId22" Type="http://schemas.openxmlformats.org/officeDocument/2006/relationships/hyperlink" Target="https://www.disabilityaction.org/Handlers/Download.ashx?IDMF=3cc41f78-c96a-411a-ae20-2bb0034d864a" TargetMode="External"/><Relationship Id="rId27" Type="http://schemas.openxmlformats.org/officeDocument/2006/relationships/hyperlink" Target="https://www.edf-feph.org/un-crp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edfe54a-d178-44ff-bb36-b8173598cb52" xsi:nil="true"/>
    <DateandTime xmlns="7cc3fa9c-3d27-408c-8448-4e73239719f0" xsi:nil="true"/>
    <lcf76f155ced4ddcb4097134ff3c332f xmlns="7cc3fa9c-3d27-408c-8448-4e73239719f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0EDFC0249ED845AFFD00727EE264ED" ma:contentTypeVersion="18" ma:contentTypeDescription="Create a new document." ma:contentTypeScope="" ma:versionID="1750969c6265011cd691669e11474023">
  <xsd:schema xmlns:xsd="http://www.w3.org/2001/XMLSchema" xmlns:xs="http://www.w3.org/2001/XMLSchema" xmlns:p="http://schemas.microsoft.com/office/2006/metadata/properties" xmlns:ns2="7cc3fa9c-3d27-408c-8448-4e73239719f0" xmlns:ns3="9edfe54a-d178-44ff-bb36-b8173598cb52" targetNamespace="http://schemas.microsoft.com/office/2006/metadata/properties" ma:root="true" ma:fieldsID="a5aa28a085fe4aea0f97ca7607f15483" ns2:_="" ns3:_="">
    <xsd:import namespace="7cc3fa9c-3d27-408c-8448-4e73239719f0"/>
    <xsd:import namespace="9edfe54a-d178-44ff-bb36-b8173598cb5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DateandTim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3fa9c-3d27-408c-8448-4e7323971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3e63102-cfd0-4fb1-adfa-76c5de795815" ma:termSetId="09814cd3-568e-fe90-9814-8d621ff8fb84" ma:anchorId="fba54fb3-c3e1-fe81-a776-ca4b69148c4d" ma:open="true" ma:isKeyword="false">
      <xsd:complexType>
        <xsd:sequence>
          <xsd:element ref="pc:Terms" minOccurs="0" maxOccurs="1"/>
        </xsd:sequence>
      </xsd:complexType>
    </xsd:element>
    <xsd:element name="DateandTime" ma:index="24" nillable="true" ma:displayName="Date and Time" ma:format="DateTime" ma:internalName="DateandTime">
      <xsd:simpleType>
        <xsd:restriction base="dms:DateTim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dfe54a-d178-44ff-bb36-b8173598cb5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649ae26-3f89-4119-932b-fe81a8956afa}" ma:internalName="TaxCatchAll" ma:showField="CatchAllData" ma:web="9edfe54a-d178-44ff-bb36-b8173598cb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7E8E5-3468-471C-BB19-6C718BB235E8}">
  <ds:schemaRefs>
    <ds:schemaRef ds:uri="http://schemas.microsoft.com/office/2006/metadata/properties"/>
    <ds:schemaRef ds:uri="http://schemas.microsoft.com/office/infopath/2007/PartnerControls"/>
    <ds:schemaRef ds:uri="9edfe54a-d178-44ff-bb36-b8173598cb52"/>
    <ds:schemaRef ds:uri="7cc3fa9c-3d27-408c-8448-4e73239719f0"/>
  </ds:schemaRefs>
</ds:datastoreItem>
</file>

<file path=customXml/itemProps2.xml><?xml version="1.0" encoding="utf-8"?>
<ds:datastoreItem xmlns:ds="http://schemas.openxmlformats.org/officeDocument/2006/customXml" ds:itemID="{F1DED193-DAA9-4796-9FE3-04B2594C1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3fa9c-3d27-408c-8448-4e73239719f0"/>
    <ds:schemaRef ds:uri="9edfe54a-d178-44ff-bb36-b8173598c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A7886A-544F-48B3-9C90-118D98873590}">
  <ds:schemaRefs>
    <ds:schemaRef ds:uri="http://schemas.microsoft.com/sharepoint/v3/contenttype/forms"/>
  </ds:schemaRefs>
</ds:datastoreItem>
</file>

<file path=customXml/itemProps4.xml><?xml version="1.0" encoding="utf-8"?>
<ds:datastoreItem xmlns:ds="http://schemas.openxmlformats.org/officeDocument/2006/customXml" ds:itemID="{B7E60BCE-C093-4C37-9097-DB412F7D9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2539</Words>
  <Characters>14478</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Flynn</dc:creator>
  <cp:keywords/>
  <dc:description/>
  <cp:lastModifiedBy>Robert</cp:lastModifiedBy>
  <cp:revision>2</cp:revision>
  <dcterms:created xsi:type="dcterms:W3CDTF">2023-08-04T11:59:00Z</dcterms:created>
  <dcterms:modified xsi:type="dcterms:W3CDTF">2023-08-04T11:59:00Z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0x010100310EDFC0249ED845AFFD00727EE264ED</vt:lpwstr>
  </property>
  <property fmtid="{D5CDD505-2E9C-101B-9397-08002B2CF9AE}" pid="3" name="MediaServiceImageTags">
    <vt:lpwstr/>
  </property>
</Properties>
</file>