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89CFE5" w14:textId="77777777" w:rsidR="0093239E" w:rsidRPr="0093239E" w:rsidRDefault="0093239E" w:rsidP="0093239E">
      <w:pPr>
        <w:spacing w:line="20" w:lineRule="exact"/>
        <w:rPr>
          <w:b/>
          <w:sz w:val="2"/>
          <w:szCs w:val="24"/>
        </w:rPr>
      </w:pPr>
    </w:p>
    <w:p w14:paraId="7E89CFE6" w14:textId="77777777" w:rsidR="005E1A26" w:rsidRPr="00AC5D9B" w:rsidRDefault="005E1A26" w:rsidP="005E1A26">
      <w:pPr>
        <w:spacing w:before="120"/>
        <w:rPr>
          <w:b/>
          <w:sz w:val="24"/>
          <w:szCs w:val="24"/>
        </w:rPr>
      </w:pPr>
      <w:r>
        <w:rPr>
          <w:b/>
          <w:sz w:val="24"/>
          <w:szCs w:val="24"/>
        </w:rPr>
        <w:t>Committee against Torture</w:t>
      </w:r>
    </w:p>
    <w:p w14:paraId="7E89CFEA" w14:textId="77777777" w:rsidR="005E1A26" w:rsidRDefault="005E1A26" w:rsidP="005E1A26">
      <w:pPr>
        <w:pStyle w:val="HChG"/>
      </w:pPr>
      <w:r>
        <w:tab/>
      </w:r>
      <w:r>
        <w:tab/>
      </w:r>
      <w:r w:rsidRPr="00FD290A">
        <w:t xml:space="preserve">List of </w:t>
      </w:r>
      <w:r w:rsidR="00A82B26">
        <w:t>issues in relation to the fifth</w:t>
      </w:r>
      <w:r w:rsidR="000F46D0">
        <w:rPr>
          <w:bCs/>
        </w:rPr>
        <w:t xml:space="preserve"> periodic report of Sri Lanka</w:t>
      </w:r>
      <w:r w:rsidRPr="00F32106">
        <w:rPr>
          <w:rStyle w:val="FootnoteReference"/>
          <w:sz w:val="20"/>
          <w:vertAlign w:val="baseline"/>
        </w:rPr>
        <w:footnoteReference w:customMarkFollows="1" w:id="2"/>
        <w:t>*</w:t>
      </w:r>
    </w:p>
    <w:p w14:paraId="7E89CFEB" w14:textId="0E5BD8B2" w:rsidR="005E1A26" w:rsidRPr="003117DC" w:rsidRDefault="005E1A26" w:rsidP="005E1A26">
      <w:pPr>
        <w:pStyle w:val="H1G"/>
      </w:pPr>
      <w:r>
        <w:tab/>
      </w:r>
      <w:r>
        <w:tab/>
      </w:r>
      <w:r w:rsidR="000B04F4">
        <w:t>Advance Unedited Version</w:t>
      </w:r>
    </w:p>
    <w:p w14:paraId="7E89CFEC" w14:textId="77777777" w:rsidR="000F46D0" w:rsidRPr="000F46D0" w:rsidRDefault="000F46D0" w:rsidP="000F46D0">
      <w:pPr>
        <w:pStyle w:val="H23G"/>
      </w:pPr>
      <w:r>
        <w:tab/>
      </w:r>
      <w:r>
        <w:tab/>
      </w:r>
      <w:r w:rsidRPr="000F46D0">
        <w:t>Articles 1 and 4</w:t>
      </w:r>
    </w:p>
    <w:p w14:paraId="7E89CFED" w14:textId="77777777" w:rsidR="000F46D0" w:rsidRPr="00092F19" w:rsidRDefault="000F46D0" w:rsidP="00092F19">
      <w:pPr>
        <w:pStyle w:val="SingleTxtG"/>
        <w:numPr>
          <w:ilvl w:val="0"/>
          <w:numId w:val="49"/>
        </w:numPr>
        <w:ind w:left="1134" w:firstLine="0"/>
        <w:rPr>
          <w:rStyle w:val="SingleTxtGChar"/>
        </w:rPr>
      </w:pPr>
      <w:r w:rsidRPr="00092F19">
        <w:t xml:space="preserve">In </w:t>
      </w:r>
      <w:r w:rsidRPr="00092F19">
        <w:rPr>
          <w:rStyle w:val="SingleTxtGChar"/>
        </w:rPr>
        <w:t>light of the previous concluding observations adopted by the Committee (para. 25),</w:t>
      </w:r>
      <w:r w:rsidRPr="00FB66E9">
        <w:rPr>
          <w:rStyle w:val="SingleTxtGChar"/>
          <w:vertAlign w:val="superscript"/>
        </w:rPr>
        <w:footnoteReference w:id="3"/>
      </w:r>
      <w:r w:rsidRPr="00092F19">
        <w:rPr>
          <w:rStyle w:val="SingleTxtGChar"/>
        </w:rPr>
        <w:t xml:space="preserve"> and bearing in mind that the definition of torture contained in Section 12 of the Convention on Cruel, Inhuman or Degrading Treatment or Punishment Act No. 22 of 1994 still omits the term “suffering”,</w:t>
      </w:r>
      <w:r w:rsidRPr="00FB66E9">
        <w:rPr>
          <w:rStyle w:val="SingleTxtGChar"/>
          <w:vertAlign w:val="superscript"/>
        </w:rPr>
        <w:footnoteReference w:id="4"/>
      </w:r>
      <w:r w:rsidRPr="00092F19" w:rsidDel="007B6ABF">
        <w:rPr>
          <w:rStyle w:val="SingleTxtGChar"/>
        </w:rPr>
        <w:t xml:space="preserve"> </w:t>
      </w:r>
      <w:r w:rsidRPr="00092F19">
        <w:rPr>
          <w:rStyle w:val="SingleTxtGChar"/>
        </w:rPr>
        <w:t>please detail whether the State party intends to amend the definition of torture to include acts that cause severe mental suffering, in line with Article 1 of the Convention. With reference to the information provided by the State party regarding the judicial decision in De Silva v. Fertilizer Corporation [1989] 2 SLR 393 finding that mental aggression can constitute torture,</w:t>
      </w:r>
      <w:r w:rsidRPr="00FB66E9">
        <w:rPr>
          <w:rStyle w:val="SingleTxtGChar"/>
          <w:vertAlign w:val="superscript"/>
        </w:rPr>
        <w:footnoteReference w:id="5"/>
      </w:r>
      <w:r w:rsidRPr="00FB66E9">
        <w:rPr>
          <w:rStyle w:val="SingleTxtGChar"/>
          <w:vertAlign w:val="superscript"/>
        </w:rPr>
        <w:t xml:space="preserve"> </w:t>
      </w:r>
      <w:r w:rsidRPr="00092F19">
        <w:rPr>
          <w:rStyle w:val="SingleTxtGChar"/>
        </w:rPr>
        <w:t>please indicate whether any individual has been convicted of torture on these grounds.</w:t>
      </w:r>
    </w:p>
    <w:p w14:paraId="7E89CFEE" w14:textId="77777777" w:rsidR="000F46D0" w:rsidRPr="000F46D0" w:rsidRDefault="000F46D0" w:rsidP="00092F19">
      <w:pPr>
        <w:pStyle w:val="SingleTxtG"/>
        <w:numPr>
          <w:ilvl w:val="0"/>
          <w:numId w:val="49"/>
        </w:numPr>
        <w:ind w:left="1134" w:firstLine="0"/>
        <w:rPr>
          <w:lang w:val="en-AU"/>
        </w:rPr>
      </w:pPr>
      <w:r w:rsidRPr="000F46D0">
        <w:rPr>
          <w:lang w:val="en-AU"/>
        </w:rPr>
        <w:t>With regard to the Committee’s previous concluding observations expressing serious concern about continued and consistent allegations of widespread use of torture and other cruel, inhuman or degrading treatment of suspects in police custody (para. 6), and noting the information provided in the State party’s report,</w:t>
      </w:r>
      <w:r w:rsidRPr="000F46D0">
        <w:rPr>
          <w:sz w:val="18"/>
          <w:vertAlign w:val="superscript"/>
          <w:lang w:val="en-AU"/>
        </w:rPr>
        <w:footnoteReference w:id="6"/>
      </w:r>
      <w:r w:rsidR="000E7749">
        <w:rPr>
          <w:lang w:val="en-AU"/>
        </w:rPr>
        <w:t xml:space="preserve"> please provide:</w:t>
      </w:r>
    </w:p>
    <w:p w14:paraId="7E89CFEF" w14:textId="527DB07A" w:rsidR="000F46D0" w:rsidRPr="000F46D0" w:rsidRDefault="000E7749" w:rsidP="000E7749">
      <w:pPr>
        <w:pStyle w:val="SingleTxtG"/>
        <w:rPr>
          <w:lang w:val="en-AU"/>
        </w:rPr>
      </w:pPr>
      <w:r>
        <w:rPr>
          <w:lang w:val="en-AU"/>
        </w:rPr>
        <w:tab/>
      </w:r>
      <w:r w:rsidR="000F46D0" w:rsidRPr="000F46D0">
        <w:rPr>
          <w:lang w:val="en-AU"/>
        </w:rPr>
        <w:t>(a)</w:t>
      </w:r>
      <w:r w:rsidR="000F46D0" w:rsidRPr="000F46D0">
        <w:rPr>
          <w:lang w:val="en-AU"/>
        </w:rPr>
        <w:tab/>
        <w:t xml:space="preserve">Additional information concerning the reported cases of alleged torture attributed to the Sri Lanka police, as reflected in para. 12 of the State party’s report, including how many of these cases </w:t>
      </w:r>
      <w:r w:rsidR="000F46D0" w:rsidRPr="000F46D0">
        <w:t>led to a criminal or disciplinary investigation, and by which authority; how many have led to prosecutions; how many have led to convictions; and the criminal and disciplinary sanctions that have been imposed.  Please also provide updated data on allegations of torture received in 2015</w:t>
      </w:r>
      <w:r w:rsidR="00FF2343">
        <w:t>;</w:t>
      </w:r>
    </w:p>
    <w:p w14:paraId="7E89CFF0" w14:textId="7571F087" w:rsidR="000F46D0" w:rsidRPr="000F46D0" w:rsidRDefault="000E7749" w:rsidP="000E7749">
      <w:pPr>
        <w:pStyle w:val="SingleTxtG"/>
        <w:rPr>
          <w:lang w:val="en-AU"/>
        </w:rPr>
      </w:pPr>
      <w:r>
        <w:rPr>
          <w:lang w:val="en-AU"/>
        </w:rPr>
        <w:tab/>
      </w:r>
      <w:r w:rsidR="000F46D0" w:rsidRPr="000F46D0">
        <w:rPr>
          <w:lang w:val="en-AU"/>
        </w:rPr>
        <w:t>(b)</w:t>
      </w:r>
      <w:r w:rsidR="000F46D0" w:rsidRPr="000F46D0">
        <w:rPr>
          <w:lang w:val="en-AU"/>
        </w:rPr>
        <w:tab/>
        <w:t>Annual statistical data on complaints of torture and ill-treatment received during the reporting period and attributed to public officials other than the Sri Lanka police,</w:t>
      </w:r>
      <w:r w:rsidR="000F46D0" w:rsidRPr="000F46D0">
        <w:rPr>
          <w:sz w:val="18"/>
          <w:vertAlign w:val="superscript"/>
          <w:lang w:val="en-AU"/>
        </w:rPr>
        <w:footnoteReference w:id="7"/>
      </w:r>
      <w:r w:rsidR="000F46D0" w:rsidRPr="000F46D0">
        <w:rPr>
          <w:lang w:val="en-AU"/>
        </w:rPr>
        <w:t xml:space="preserve"> detailing: (i) the number of complaints relating to torture and ill-treatment, including sexual violence, received</w:t>
      </w:r>
      <w:r w:rsidR="000F46D0" w:rsidRPr="000F46D0">
        <w:t>; (ii) how many of these complaints have led to a criminal or disciplinary investigation, and by which authority; (iii) how many have led to prosecutions; (iv) how many have led to convictions; and (vi) the criminal and disciplinary sanctions that have been imposed, specifying the length of prison sentences</w:t>
      </w:r>
      <w:r w:rsidR="00FF2343">
        <w:t>;</w:t>
      </w:r>
    </w:p>
    <w:p w14:paraId="7E89CFF1" w14:textId="1437B341" w:rsidR="000F46D0" w:rsidRPr="000F46D0" w:rsidRDefault="000E7749" w:rsidP="000E7749">
      <w:pPr>
        <w:pStyle w:val="SingleTxtG"/>
      </w:pPr>
      <w:r>
        <w:tab/>
      </w:r>
      <w:r w:rsidR="000F46D0" w:rsidRPr="000F46D0">
        <w:t>(c)</w:t>
      </w:r>
      <w:r w:rsidR="000F46D0" w:rsidRPr="000F46D0">
        <w:tab/>
        <w:t xml:space="preserve">Information on any </w:t>
      </w:r>
      <w:r w:rsidR="000F46D0" w:rsidRPr="000F46D0">
        <w:rPr>
          <w:i/>
        </w:rPr>
        <w:t xml:space="preserve">ex officio </w:t>
      </w:r>
      <w:r w:rsidR="000F46D0" w:rsidRPr="000F46D0">
        <w:t xml:space="preserve">investigations undertaken by the authorities concerning places where allegations of torture have been particularly numerous, such as the TID and CID Headquarters (the so-called “Fourth Floor”), Joseph Camp, Boosa Detention Camp,  Manik Farm, Trincomalee Naval Dockyard, </w:t>
      </w:r>
      <w:r w:rsidR="000F46D0" w:rsidRPr="000F46D0">
        <w:rPr>
          <w:lang w:val="en-AU"/>
        </w:rPr>
        <w:t>“rehabilitation” camps for suspected former LTTE members in Vayu</w:t>
      </w:r>
      <w:r w:rsidR="000F46D0" w:rsidRPr="000F46D0">
        <w:t xml:space="preserve">vuniya and Jaffna; and </w:t>
      </w:r>
      <w:r w:rsidR="000F46D0" w:rsidRPr="000F46D0">
        <w:rPr>
          <w:lang w:val="en-AU"/>
        </w:rPr>
        <w:t>Thanthirimale Army Camp;</w:t>
      </w:r>
    </w:p>
    <w:p w14:paraId="7E89CFF2" w14:textId="77777777" w:rsidR="000F46D0" w:rsidRPr="000F46D0" w:rsidRDefault="000E7749" w:rsidP="000E7749">
      <w:pPr>
        <w:pStyle w:val="SingleTxtG"/>
      </w:pPr>
      <w:r>
        <w:lastRenderedPageBreak/>
        <w:tab/>
        <w:t>(d)</w:t>
      </w:r>
      <w:r w:rsidR="000F46D0" w:rsidRPr="000F46D0">
        <w:tab/>
        <w:t>Updated information on the status of any ongoing investigations or prosecutions concerning allegations of torture and ill-treatment in the following cases:</w:t>
      </w:r>
    </w:p>
    <w:p w14:paraId="7E89CFF3" w14:textId="77777777" w:rsidR="000F46D0" w:rsidRPr="000F46D0" w:rsidRDefault="000E7749" w:rsidP="00FB66E9">
      <w:pPr>
        <w:pStyle w:val="SingleTxtG"/>
        <w:ind w:left="1701" w:hanging="567"/>
      </w:pPr>
      <w:r>
        <w:tab/>
      </w:r>
      <w:r w:rsidR="000F46D0" w:rsidRPr="000F46D0">
        <w:t>(i)</w:t>
      </w:r>
      <w:r w:rsidR="000F46D0" w:rsidRPr="000F46D0">
        <w:tab/>
        <w:t>The disappearance of journalist Prageeth Eknaligoda, the subject of an investigation as referred to in para. 40 of the State party’s report;</w:t>
      </w:r>
    </w:p>
    <w:p w14:paraId="7E89CFF4" w14:textId="77777777" w:rsidR="000F46D0" w:rsidRPr="000F46D0" w:rsidRDefault="000F46D0" w:rsidP="00FB66E9">
      <w:pPr>
        <w:pStyle w:val="SingleTxtG"/>
        <w:ind w:left="1701"/>
      </w:pPr>
      <w:r w:rsidRPr="000F46D0">
        <w:t>(ii)</w:t>
      </w:r>
      <w:r w:rsidRPr="000F46D0">
        <w:tab/>
        <w:t>The trial of a Deputy Inspector General of Police on charges of conspiracy, abduction and murder as referred to in para. 9 of the State party’s report;</w:t>
      </w:r>
    </w:p>
    <w:p w14:paraId="7E89CFF5" w14:textId="37E481AE" w:rsidR="000F46D0" w:rsidRPr="000F46D0" w:rsidRDefault="000E7749" w:rsidP="00FB66E9">
      <w:pPr>
        <w:pStyle w:val="SingleTxtG"/>
        <w:ind w:left="1701" w:hanging="567"/>
        <w:rPr>
          <w:rFonts w:ascii="Times" w:hAnsi="Times"/>
        </w:rPr>
      </w:pPr>
      <w:r>
        <w:rPr>
          <w:rFonts w:ascii="Times" w:hAnsi="Times"/>
        </w:rPr>
        <w:tab/>
      </w:r>
      <w:r w:rsidR="000F46D0" w:rsidRPr="000F46D0">
        <w:rPr>
          <w:rFonts w:ascii="Times" w:hAnsi="Times"/>
        </w:rPr>
        <w:t>(iii)</w:t>
      </w:r>
      <w:r w:rsidR="000F46D0" w:rsidRPr="000F46D0">
        <w:rPr>
          <w:rFonts w:ascii="Times" w:hAnsi="Times"/>
        </w:rPr>
        <w:tab/>
        <w:t>The alleged severe torture of Liyanarachchilage Samantha by a group of six police officers in Sooriyawewa Police Station on 19 February 2015, resulting in his subsequent death.</w:t>
      </w:r>
    </w:p>
    <w:p w14:paraId="7E89CFF6" w14:textId="77777777" w:rsidR="000F46D0" w:rsidRPr="000F46D0" w:rsidRDefault="000F46D0" w:rsidP="000E7749">
      <w:pPr>
        <w:pStyle w:val="H23G"/>
      </w:pPr>
      <w:r w:rsidRPr="000F46D0">
        <w:tab/>
      </w:r>
      <w:r w:rsidRPr="000F46D0">
        <w:tab/>
        <w:t>Article 2</w:t>
      </w:r>
      <w:r w:rsidRPr="000F46D0">
        <w:rPr>
          <w:rFonts w:eastAsia="SimSun"/>
          <w:sz w:val="18"/>
          <w:vertAlign w:val="superscript"/>
        </w:rPr>
        <w:footnoteReference w:id="8"/>
      </w:r>
    </w:p>
    <w:p w14:paraId="7E89CFF7" w14:textId="77777777" w:rsidR="000F46D0" w:rsidRPr="000F46D0" w:rsidRDefault="000F46D0" w:rsidP="00092F19">
      <w:pPr>
        <w:pStyle w:val="SingleTxtG"/>
        <w:numPr>
          <w:ilvl w:val="0"/>
          <w:numId w:val="49"/>
        </w:numPr>
        <w:ind w:left="1134" w:firstLine="0"/>
      </w:pPr>
      <w:r w:rsidRPr="000F46D0">
        <w:t>With reference to the recommendations of the OHCHR Investigation on Sri Lanka (OISL), and the information provided in the State party’s report</w:t>
      </w:r>
      <w:r w:rsidRPr="000F46D0">
        <w:rPr>
          <w:sz w:val="18"/>
          <w:vertAlign w:val="superscript"/>
        </w:rPr>
        <w:footnoteReference w:id="9"/>
      </w:r>
      <w:r w:rsidRPr="000F46D0">
        <w:t xml:space="preserve"> please detail any </w:t>
      </w:r>
      <w:r w:rsidRPr="000F46D0">
        <w:rPr>
          <w:lang w:val="en-AU"/>
        </w:rPr>
        <w:t>measures</w:t>
      </w:r>
      <w:r w:rsidRPr="000F46D0">
        <w:t xml:space="preserve"> taken by the State party to ensure that military and security forces are informed and given clear and unequivocal instructions that torture and rape and other forms of sexual violence are prohibited and those responsible, either directly or as commander or superior, will be investigated and punished.</w:t>
      </w:r>
      <w:r w:rsidRPr="000F46D0">
        <w:rPr>
          <w:vertAlign w:val="superscript"/>
        </w:rPr>
        <w:footnoteReference w:id="10"/>
      </w:r>
    </w:p>
    <w:p w14:paraId="7E89CFF8" w14:textId="77777777" w:rsidR="000F46D0" w:rsidRPr="000F46D0" w:rsidRDefault="000F46D0" w:rsidP="00092F19">
      <w:pPr>
        <w:pStyle w:val="SingleTxtG"/>
        <w:numPr>
          <w:ilvl w:val="0"/>
          <w:numId w:val="49"/>
        </w:numPr>
        <w:ind w:left="1134" w:firstLine="0"/>
      </w:pPr>
      <w:r w:rsidRPr="000F46D0">
        <w:t xml:space="preserve">Bearing in mind </w:t>
      </w:r>
      <w:r w:rsidRPr="000F46D0">
        <w:rPr>
          <w:lang w:eastAsia="es-ES"/>
        </w:rPr>
        <w:t xml:space="preserve">the Committee’s previous concluding observations expressing serious concern at the State party’s failure to provide all detainees with all fundamental safeguards against torture and ill-treatment from the very outset of their detention (paras. 7 and 12) and </w:t>
      </w:r>
      <w:r w:rsidRPr="000F46D0">
        <w:rPr>
          <w:lang w:val="en-AU"/>
        </w:rPr>
        <w:t>the information provided by the State party in its report</w:t>
      </w:r>
      <w:r w:rsidRPr="000F46D0">
        <w:rPr>
          <w:sz w:val="18"/>
          <w:vertAlign w:val="superscript"/>
          <w:lang w:eastAsia="es-ES"/>
        </w:rPr>
        <w:footnoteReference w:id="11"/>
      </w:r>
      <w:r w:rsidRPr="000F46D0">
        <w:rPr>
          <w:lang w:val="en-AU"/>
        </w:rPr>
        <w:t xml:space="preserve"> and its</w:t>
      </w:r>
      <w:r w:rsidRPr="000F46D0">
        <w:rPr>
          <w:lang w:eastAsia="es-ES"/>
        </w:rPr>
        <w:t xml:space="preserve"> follow-up replies to the concluding observations,</w:t>
      </w:r>
      <w:r w:rsidRPr="000F46D0">
        <w:rPr>
          <w:sz w:val="18"/>
          <w:vertAlign w:val="superscript"/>
          <w:lang w:eastAsia="es-ES"/>
        </w:rPr>
        <w:footnoteReference w:id="12"/>
      </w:r>
      <w:r w:rsidRPr="000F46D0">
        <w:rPr>
          <w:lang w:val="en-AU"/>
        </w:rPr>
        <w:t xml:space="preserve"> please provide information r</w:t>
      </w:r>
      <w:r w:rsidR="000E7749">
        <w:rPr>
          <w:lang w:val="en-AU"/>
        </w:rPr>
        <w:t>egarding the following issues:</w:t>
      </w:r>
    </w:p>
    <w:p w14:paraId="7E89CFF9" w14:textId="544FCB79" w:rsidR="000F46D0" w:rsidRPr="000F46D0" w:rsidRDefault="000E7749" w:rsidP="000E7749">
      <w:pPr>
        <w:pStyle w:val="SingleTxtG"/>
      </w:pPr>
      <w:r>
        <w:tab/>
      </w:r>
      <w:r w:rsidR="000F46D0" w:rsidRPr="000F46D0">
        <w:t>(a)</w:t>
      </w:r>
      <w:r w:rsidR="000F46D0" w:rsidRPr="000F46D0">
        <w:tab/>
        <w:t>Please indicate if</w:t>
      </w:r>
      <w:r w:rsidR="000F46D0" w:rsidRPr="000F46D0">
        <w:rPr>
          <w:lang w:val="en-AU"/>
        </w:rPr>
        <w:t xml:space="preserve"> the comprehensive database of all arrested suspects mentioned in paragraph 34 of the State report is operational, the information  recorded about each detained person, and whether persons in all places of custody, </w:t>
      </w:r>
      <w:r w:rsidR="000F46D0" w:rsidRPr="000F46D0">
        <w:rPr>
          <w:i/>
          <w:lang w:val="en-AU"/>
        </w:rPr>
        <w:t>inter alia</w:t>
      </w:r>
      <w:r w:rsidR="000F46D0" w:rsidRPr="000F46D0">
        <w:rPr>
          <w:lang w:val="en-AU"/>
        </w:rPr>
        <w:t>, in prisons, police stations and “rehabilitation centres” are included in the database. Please indicate whether relatives of detainees can access the database and the procedure for doing so. Please also provide information about any cases in which officers have been disciplined for failing to properly register detained persons in the databa</w:t>
      </w:r>
      <w:r>
        <w:rPr>
          <w:lang w:val="en-AU"/>
        </w:rPr>
        <w:t>se during the reporting period;</w:t>
      </w:r>
    </w:p>
    <w:p w14:paraId="7E89CFFA" w14:textId="143DC3F1" w:rsidR="000F46D0" w:rsidRPr="000F46D0" w:rsidRDefault="000E7749" w:rsidP="000E7749">
      <w:pPr>
        <w:pStyle w:val="SingleTxtG"/>
      </w:pPr>
      <w:r>
        <w:tab/>
      </w:r>
      <w:r w:rsidR="000F46D0" w:rsidRPr="000F46D0">
        <w:t>(b)</w:t>
      </w:r>
      <w:r w:rsidR="000F46D0" w:rsidRPr="000F46D0">
        <w:tab/>
        <w:t xml:space="preserve">Please indicate what </w:t>
      </w:r>
      <w:r w:rsidR="000F46D0" w:rsidRPr="000F46D0">
        <w:rPr>
          <w:lang w:val="en-AU"/>
        </w:rPr>
        <w:t>measures</w:t>
      </w:r>
      <w:r w:rsidR="000F46D0" w:rsidRPr="000F46D0">
        <w:t xml:space="preserve"> the State party is taking to ensure that all detainees are afforded the right to access a lawyer of their choice </w:t>
      </w:r>
      <w:r w:rsidR="000F46D0" w:rsidRPr="000F46D0">
        <w:rPr>
          <w:lang w:val="en-AU"/>
        </w:rPr>
        <w:t xml:space="preserve">from the very outset of deprivation of liberty, including during the initial interrogation by the police. </w:t>
      </w:r>
      <w:r w:rsidR="000F46D0" w:rsidRPr="000F46D0">
        <w:rPr>
          <w:rFonts w:ascii="Times" w:hAnsi="Times"/>
        </w:rPr>
        <w:t xml:space="preserve">Please also indicate </w:t>
      </w:r>
      <w:r w:rsidR="000F46D0" w:rsidRPr="000F46D0">
        <w:t xml:space="preserve">whether the State party envisages providing increased resources to the Legal Aid </w:t>
      </w:r>
      <w:r w:rsidR="000F46D0" w:rsidRPr="000F46D0">
        <w:lastRenderedPageBreak/>
        <w:t>Commission to ensure that all persons deprived of their liberty have effective access to counsel;</w:t>
      </w:r>
      <w:r w:rsidR="000F46D0" w:rsidRPr="000F46D0">
        <w:rPr>
          <w:sz w:val="18"/>
          <w:vertAlign w:val="superscript"/>
        </w:rPr>
        <w:footnoteReference w:id="13"/>
      </w:r>
    </w:p>
    <w:p w14:paraId="7E89CFFB" w14:textId="34F749B5" w:rsidR="000F46D0" w:rsidRPr="000F46D0" w:rsidRDefault="000E7749" w:rsidP="000E7749">
      <w:pPr>
        <w:pStyle w:val="SingleTxtG"/>
      </w:pPr>
      <w:r>
        <w:tab/>
      </w:r>
      <w:r w:rsidR="000F46D0" w:rsidRPr="000F46D0">
        <w:t>(c)</w:t>
      </w:r>
      <w:r w:rsidR="000F46D0" w:rsidRPr="000F46D0">
        <w:tab/>
        <w:t xml:space="preserve">Please indicate whether medical officers are available to conduct initial medical examinations in all detention centres and prisons, and if not, what </w:t>
      </w:r>
      <w:r w:rsidR="000F46D0" w:rsidRPr="000F46D0">
        <w:rPr>
          <w:lang w:val="en-AU"/>
        </w:rPr>
        <w:t>measures</w:t>
      </w:r>
      <w:r w:rsidR="000F46D0" w:rsidRPr="000F46D0">
        <w:t xml:space="preserve"> have been taken to ensure that all persons deprived of their liberty receive a prompt medical examination.</w:t>
      </w:r>
      <w:r w:rsidR="000F46D0" w:rsidRPr="000F46D0">
        <w:rPr>
          <w:sz w:val="18"/>
          <w:vertAlign w:val="superscript"/>
        </w:rPr>
        <w:footnoteReference w:id="14"/>
      </w:r>
      <w:r w:rsidR="000F46D0" w:rsidRPr="000F46D0">
        <w:t xml:space="preserve"> Please indicate if safeguards are in place to ensure that medical officers </w:t>
      </w:r>
      <w:r w:rsidR="000F46D0" w:rsidRPr="000F46D0">
        <w:rPr>
          <w:lang w:eastAsia="es-ES"/>
        </w:rPr>
        <w:t xml:space="preserve">are able to examine detained persons out of the hearing and sight of custodial staff, </w:t>
      </w:r>
      <w:r w:rsidR="000F46D0" w:rsidRPr="000F46D0">
        <w:t>and the measures in place that allow medical officers to confidentially report incidents of suspected torture and ill-treatment to prosecuting authorities</w:t>
      </w:r>
      <w:r w:rsidR="000F46D0" w:rsidRPr="000F46D0">
        <w:rPr>
          <w:lang w:eastAsia="es-ES"/>
        </w:rPr>
        <w:t>. Please provide data on cases in which medical officers raised concerns about torture and ill-treatment on the basis of such examinations during the reporting period</w:t>
      </w:r>
      <w:r w:rsidR="00FF2343">
        <w:rPr>
          <w:lang w:eastAsia="es-ES"/>
        </w:rPr>
        <w:t>;</w:t>
      </w:r>
    </w:p>
    <w:p w14:paraId="7E89CFFC" w14:textId="77777777" w:rsidR="000F46D0" w:rsidRPr="000F46D0" w:rsidRDefault="000E7749" w:rsidP="000E7749">
      <w:pPr>
        <w:pStyle w:val="SingleTxtG"/>
        <w:rPr>
          <w:lang w:val="en-AU"/>
        </w:rPr>
      </w:pPr>
      <w:r>
        <w:rPr>
          <w:lang w:val="en-AU"/>
        </w:rPr>
        <w:tab/>
      </w:r>
      <w:r w:rsidR="000F46D0" w:rsidRPr="000F46D0">
        <w:rPr>
          <w:lang w:val="en-AU"/>
        </w:rPr>
        <w:t>(d)</w:t>
      </w:r>
      <w:r w:rsidR="000F46D0" w:rsidRPr="000F46D0">
        <w:rPr>
          <w:lang w:val="en-AU"/>
        </w:rPr>
        <w:tab/>
        <w:t>Please describe measures taken by the State party to ensure that the families and next of kin of all persons deprived of their liberty are expeditiously informed of their detention and the place of detention, including transfers, from the moment of the deprivation of liberty. Please indicate whether any State officials have been disciplined for failing to expeditiously inform family members of the arrest or transfer of a person deprived of his or her liberty during the reporting period;</w:t>
      </w:r>
      <w:r w:rsidR="000F46D0" w:rsidRPr="000F46D0">
        <w:rPr>
          <w:vertAlign w:val="superscript"/>
          <w:lang w:val="en-AU"/>
        </w:rPr>
        <w:footnoteReference w:id="15"/>
      </w:r>
    </w:p>
    <w:p w14:paraId="7E89CFFD" w14:textId="0DD37A53" w:rsidR="000F46D0" w:rsidRPr="000F46D0" w:rsidRDefault="000E7749" w:rsidP="000E7749">
      <w:pPr>
        <w:pStyle w:val="SingleTxtG"/>
        <w:rPr>
          <w:lang w:val="en-AU"/>
        </w:rPr>
      </w:pPr>
      <w:r>
        <w:rPr>
          <w:lang w:val="en-AU"/>
        </w:rPr>
        <w:tab/>
      </w:r>
      <w:r w:rsidR="000F46D0" w:rsidRPr="000F46D0">
        <w:rPr>
          <w:lang w:val="en-AU"/>
        </w:rPr>
        <w:t>(e)</w:t>
      </w:r>
      <w:r w:rsidR="000F46D0" w:rsidRPr="000F46D0">
        <w:rPr>
          <w:lang w:val="en-AU"/>
        </w:rPr>
        <w:tab/>
      </w:r>
      <w:r w:rsidR="000F46D0" w:rsidRPr="000F46D0">
        <w:t xml:space="preserve">Please indicate </w:t>
      </w:r>
      <w:r w:rsidR="000F46D0" w:rsidRPr="000F46D0">
        <w:rPr>
          <w:lang w:val="en-AU"/>
        </w:rPr>
        <w:t>whether any officials have been disciplined for holding persons in detention prior to presenting them before a magistrate for longer than the 24-hour limit prescribed by the law during the reporting period;</w:t>
      </w:r>
    </w:p>
    <w:p w14:paraId="7E89CFFE" w14:textId="77777777" w:rsidR="000F46D0" w:rsidRPr="000F46D0" w:rsidRDefault="000E7749" w:rsidP="000E7749">
      <w:pPr>
        <w:pStyle w:val="SingleTxtG"/>
        <w:rPr>
          <w:rFonts w:ascii="Times" w:hAnsi="Times"/>
        </w:rPr>
      </w:pPr>
      <w:r>
        <w:rPr>
          <w:lang w:val="en-AU"/>
        </w:rPr>
        <w:tab/>
      </w:r>
      <w:r w:rsidR="000F46D0" w:rsidRPr="000F46D0">
        <w:rPr>
          <w:lang w:val="en-AU"/>
        </w:rPr>
        <w:t>(f)</w:t>
      </w:r>
      <w:r w:rsidR="000F46D0" w:rsidRPr="000F46D0">
        <w:rPr>
          <w:lang w:val="en-AU"/>
        </w:rPr>
        <w:tab/>
        <w:t xml:space="preserve">Please provide annual statistical data on the total number of </w:t>
      </w:r>
      <w:r w:rsidR="000F46D0" w:rsidRPr="000F46D0">
        <w:rPr>
          <w:rFonts w:ascii="Times" w:hAnsi="Times"/>
        </w:rPr>
        <w:t xml:space="preserve">claims for </w:t>
      </w:r>
      <w:r w:rsidR="000F46D0" w:rsidRPr="000F46D0">
        <w:rPr>
          <w:rFonts w:ascii="Times" w:hAnsi="Times"/>
          <w:i/>
        </w:rPr>
        <w:t>habeas corpus</w:t>
      </w:r>
      <w:r w:rsidR="000F46D0" w:rsidRPr="000F46D0">
        <w:rPr>
          <w:rFonts w:ascii="Times" w:hAnsi="Times"/>
        </w:rPr>
        <w:t xml:space="preserve"> brought before the High Court and the Court of Appeal, as well as fundamental rights applications alleging arbitrary detention brought before the Supreme Court during the reporting period, and indicate the number of successful claims.  Please provide information on any </w:t>
      </w:r>
      <w:r w:rsidR="000F46D0" w:rsidRPr="000F46D0">
        <w:rPr>
          <w:lang w:val="en-AU"/>
        </w:rPr>
        <w:t>measures</w:t>
      </w:r>
      <w:r w:rsidR="000F46D0" w:rsidRPr="000F46D0">
        <w:rPr>
          <w:rFonts w:ascii="Times" w:hAnsi="Times"/>
        </w:rPr>
        <w:t xml:space="preserve"> taken by the State party to address reports of exceedingly long delays in the processing of </w:t>
      </w:r>
      <w:r w:rsidR="000F46D0" w:rsidRPr="000F46D0">
        <w:rPr>
          <w:i/>
          <w:lang w:val="en-AU"/>
        </w:rPr>
        <w:t>habeas corpus</w:t>
      </w:r>
      <w:r w:rsidR="000F46D0" w:rsidRPr="000F46D0">
        <w:rPr>
          <w:lang w:val="en-AU"/>
        </w:rPr>
        <w:t xml:space="preserve"> claims and </w:t>
      </w:r>
      <w:r w:rsidR="000F46D0" w:rsidRPr="000F46D0">
        <w:rPr>
          <w:rFonts w:ascii="Times" w:hAnsi="Times"/>
        </w:rPr>
        <w:t>fundamental rights applications before the Supreme Court;</w:t>
      </w:r>
      <w:r w:rsidR="000F46D0" w:rsidRPr="000F46D0">
        <w:rPr>
          <w:sz w:val="18"/>
          <w:vertAlign w:val="superscript"/>
          <w:lang w:val="en-AU"/>
        </w:rPr>
        <w:footnoteReference w:id="16"/>
      </w:r>
    </w:p>
    <w:p w14:paraId="7E89CFFF" w14:textId="05088644" w:rsidR="000F46D0" w:rsidRPr="000F46D0" w:rsidRDefault="000E7749" w:rsidP="000E7749">
      <w:pPr>
        <w:pStyle w:val="SingleTxtG"/>
        <w:rPr>
          <w:rFonts w:ascii="Times" w:hAnsi="Times"/>
        </w:rPr>
      </w:pPr>
      <w:r>
        <w:rPr>
          <w:rFonts w:ascii="Times" w:hAnsi="Times"/>
        </w:rPr>
        <w:tab/>
      </w:r>
      <w:r w:rsidR="000F46D0" w:rsidRPr="000F46D0">
        <w:rPr>
          <w:rFonts w:ascii="Times" w:hAnsi="Times"/>
        </w:rPr>
        <w:t>(g)</w:t>
      </w:r>
      <w:r w:rsidR="000F46D0" w:rsidRPr="000F46D0">
        <w:rPr>
          <w:rFonts w:ascii="Times" w:hAnsi="Times"/>
        </w:rPr>
        <w:tab/>
        <w:t>P</w:t>
      </w:r>
      <w:r w:rsidR="000F46D0" w:rsidRPr="000F46D0">
        <w:t>lease provide details on any cases in which the Supreme Court has ordered disciplinary action against a State official for failure to comply with any of the legal safeguards described above during the reporting period, and indicate how the State party has ensured that all such orders are enforced.</w:t>
      </w:r>
    </w:p>
    <w:p w14:paraId="7E89D000" w14:textId="77777777" w:rsidR="000F46D0" w:rsidRPr="000F46D0" w:rsidRDefault="000F46D0" w:rsidP="00092F19">
      <w:pPr>
        <w:pStyle w:val="SingleTxtG"/>
        <w:numPr>
          <w:ilvl w:val="0"/>
          <w:numId w:val="49"/>
        </w:numPr>
        <w:ind w:left="1134" w:firstLine="0"/>
        <w:rPr>
          <w:lang w:val="en-AU"/>
        </w:rPr>
      </w:pPr>
      <w:r w:rsidRPr="000F46D0">
        <w:rPr>
          <w:lang w:val="en-AU"/>
        </w:rPr>
        <w:t xml:space="preserve">With regard to the Committee’s </w:t>
      </w:r>
      <w:r w:rsidRPr="000F46D0">
        <w:rPr>
          <w:lang w:eastAsia="es-ES"/>
        </w:rPr>
        <w:t xml:space="preserve">previous concluding observations expressing concern that the Prevention of Terrorism Act No. 48 of 1979 (PTA) unduly restricts legal safeguards against torture and ill-treatment for persons charged with terrorism or related crimes (para. 10), and </w:t>
      </w:r>
      <w:r w:rsidRPr="000F46D0">
        <w:rPr>
          <w:lang w:val="en-AU"/>
        </w:rPr>
        <w:t>the information provided in the State party’s report,</w:t>
      </w:r>
      <w:r w:rsidRPr="000F46D0">
        <w:rPr>
          <w:sz w:val="18"/>
          <w:vertAlign w:val="superscript"/>
          <w:lang w:eastAsia="es-ES"/>
        </w:rPr>
        <w:footnoteReference w:id="17"/>
      </w:r>
      <w:r w:rsidRPr="000F46D0">
        <w:rPr>
          <w:lang w:val="en-AU"/>
        </w:rPr>
        <w:t xml:space="preserve"> please provide the following information:</w:t>
      </w:r>
    </w:p>
    <w:p w14:paraId="7E89D001" w14:textId="33139673" w:rsidR="000F46D0" w:rsidRPr="000F46D0" w:rsidRDefault="000E7749" w:rsidP="000E7749">
      <w:pPr>
        <w:pStyle w:val="SingleTxtG"/>
        <w:rPr>
          <w:lang w:val="en-AU"/>
        </w:rPr>
      </w:pPr>
      <w:r>
        <w:rPr>
          <w:lang w:val="en-AU"/>
        </w:rPr>
        <w:tab/>
      </w:r>
      <w:r w:rsidR="000F46D0" w:rsidRPr="000F46D0">
        <w:rPr>
          <w:lang w:val="en-AU"/>
        </w:rPr>
        <w:t>(a)</w:t>
      </w:r>
      <w:r w:rsidR="000F46D0" w:rsidRPr="000F46D0">
        <w:rPr>
          <w:lang w:val="en-AU"/>
        </w:rPr>
        <w:tab/>
        <w:t xml:space="preserve">Please indicate whether the State party has repealed or amended the provisions of the PTA that subject detainees’ </w:t>
      </w:r>
      <w:r w:rsidR="000F46D0" w:rsidRPr="000F46D0">
        <w:rPr>
          <w:rFonts w:ascii="Times" w:hAnsi="Times"/>
        </w:rPr>
        <w:t>access to a lawyer to the discretion of the Chief of the Terrorism Investigation Division;</w:t>
      </w:r>
    </w:p>
    <w:p w14:paraId="7E89D002" w14:textId="671DDCC2" w:rsidR="000F46D0" w:rsidRPr="000F46D0" w:rsidRDefault="000E7749" w:rsidP="000E7749">
      <w:pPr>
        <w:pStyle w:val="SingleTxtG"/>
        <w:rPr>
          <w:rFonts w:ascii="Times" w:hAnsi="Times"/>
        </w:rPr>
      </w:pPr>
      <w:r>
        <w:rPr>
          <w:lang w:val="en-AU"/>
        </w:rPr>
        <w:tab/>
      </w:r>
      <w:r w:rsidR="000F46D0" w:rsidRPr="000F46D0">
        <w:rPr>
          <w:lang w:val="en-AU"/>
        </w:rPr>
        <w:t>(b)</w:t>
      </w:r>
      <w:r w:rsidR="000F46D0" w:rsidRPr="000F46D0">
        <w:rPr>
          <w:lang w:val="en-AU"/>
        </w:rPr>
        <w:tab/>
      </w:r>
      <w:r w:rsidR="000F46D0" w:rsidRPr="000F46D0">
        <w:rPr>
          <w:rFonts w:ascii="Times" w:hAnsi="Times"/>
        </w:rPr>
        <w:t xml:space="preserve">Please note how many </w:t>
      </w:r>
      <w:r w:rsidR="000F46D0" w:rsidRPr="000F46D0">
        <w:rPr>
          <w:rFonts w:ascii="Times" w:hAnsi="Times"/>
          <w:i/>
        </w:rPr>
        <w:t>habeas corpus</w:t>
      </w:r>
      <w:r w:rsidR="000F46D0" w:rsidRPr="000F46D0">
        <w:rPr>
          <w:rFonts w:ascii="Times" w:hAnsi="Times"/>
        </w:rPr>
        <w:t xml:space="preserve"> claims have been brought in relation to detention under the PTA and the number of these claims that have been successful;</w:t>
      </w:r>
      <w:r w:rsidR="000F46D0" w:rsidRPr="000F46D0">
        <w:rPr>
          <w:vertAlign w:val="superscript"/>
          <w:lang w:val="en-AU"/>
        </w:rPr>
        <w:footnoteReference w:id="18"/>
      </w:r>
      <w:r w:rsidR="000F46D0" w:rsidRPr="000F46D0">
        <w:rPr>
          <w:rFonts w:ascii="Times" w:hAnsi="Times"/>
        </w:rPr>
        <w:t xml:space="preserve"> and </w:t>
      </w:r>
      <w:r w:rsidR="000F46D0" w:rsidRPr="000F46D0">
        <w:rPr>
          <w:rFonts w:ascii="Times" w:hAnsi="Times"/>
        </w:rPr>
        <w:lastRenderedPageBreak/>
        <w:t xml:space="preserve">indicate whether the State party has taken </w:t>
      </w:r>
      <w:r w:rsidR="000F46D0" w:rsidRPr="000F46D0">
        <w:rPr>
          <w:lang w:val="en-AU"/>
        </w:rPr>
        <w:t>measures</w:t>
      </w:r>
      <w:r w:rsidR="000F46D0" w:rsidRPr="000F46D0">
        <w:rPr>
          <w:rFonts w:ascii="Times" w:hAnsi="Times"/>
        </w:rPr>
        <w:t xml:space="preserve"> to ensure that detention orders issued under section 9(1) of the PTA can be challenged before the courts</w:t>
      </w:r>
      <w:r w:rsidR="00FF2343">
        <w:rPr>
          <w:rFonts w:ascii="Times" w:hAnsi="Times"/>
        </w:rPr>
        <w:t>;</w:t>
      </w:r>
      <w:r w:rsidR="00FF2343" w:rsidRPr="000F46D0">
        <w:rPr>
          <w:sz w:val="18"/>
          <w:vertAlign w:val="superscript"/>
          <w:lang w:val="en-AU"/>
        </w:rPr>
        <w:footnoteReference w:id="19"/>
      </w:r>
    </w:p>
    <w:p w14:paraId="7E89D003" w14:textId="7FAAE20D" w:rsidR="000F46D0" w:rsidRPr="000F46D0" w:rsidRDefault="000E7749" w:rsidP="000E7749">
      <w:pPr>
        <w:pStyle w:val="SingleTxtG"/>
        <w:rPr>
          <w:lang w:val="en-AU"/>
        </w:rPr>
      </w:pPr>
      <w:r>
        <w:rPr>
          <w:rFonts w:ascii="Times" w:hAnsi="Times"/>
        </w:rPr>
        <w:tab/>
      </w:r>
      <w:r w:rsidR="000F46D0" w:rsidRPr="000F46D0">
        <w:rPr>
          <w:rFonts w:ascii="Times" w:hAnsi="Times"/>
        </w:rPr>
        <w:t>(c)</w:t>
      </w:r>
      <w:r w:rsidR="000F46D0" w:rsidRPr="000F46D0">
        <w:rPr>
          <w:rFonts w:ascii="Times" w:hAnsi="Times"/>
        </w:rPr>
        <w:tab/>
      </w:r>
      <w:r w:rsidR="000F46D0" w:rsidRPr="000F46D0">
        <w:rPr>
          <w:lang w:val="en-AU"/>
        </w:rPr>
        <w:t>Please provide information, disaggregated by sex and ethnicity of the detainees, as well as the place of detention, on: i) the number of persons detained under the PTA without charge and the average and maximum duration of detention of persons within this category;</w:t>
      </w:r>
      <w:r w:rsidR="000F46D0" w:rsidRPr="000F46D0">
        <w:rPr>
          <w:vertAlign w:val="superscript"/>
          <w:lang w:val="en-AU"/>
        </w:rPr>
        <w:footnoteReference w:id="20"/>
      </w:r>
      <w:r w:rsidR="000F46D0" w:rsidRPr="000F46D0">
        <w:rPr>
          <w:lang w:val="en-AU"/>
        </w:rPr>
        <w:t xml:space="preserve"> and ii) the number of persons detained under the PTA pending trial, and the average and maximum duration of detention of persons within this category.  Please describe any other measures taken to review the cases of all persons deprived of their liberty under the PTA and ensure that they are either promptly formally charged and remanded pending trial or released;</w:t>
      </w:r>
      <w:r w:rsidR="000F46D0" w:rsidRPr="000F46D0">
        <w:rPr>
          <w:sz w:val="18"/>
          <w:vertAlign w:val="superscript"/>
          <w:lang w:eastAsia="es-ES"/>
        </w:rPr>
        <w:footnoteReference w:id="21"/>
      </w:r>
    </w:p>
    <w:p w14:paraId="7E89D004" w14:textId="59AF1C49" w:rsidR="000F46D0" w:rsidRPr="000F46D0" w:rsidRDefault="000E7749" w:rsidP="000E7749">
      <w:pPr>
        <w:pStyle w:val="SingleTxtG"/>
        <w:rPr>
          <w:lang w:val="en-AU"/>
        </w:rPr>
      </w:pPr>
      <w:r>
        <w:rPr>
          <w:lang w:val="en-AU"/>
        </w:rPr>
        <w:tab/>
      </w:r>
      <w:r w:rsidR="000F46D0" w:rsidRPr="000F46D0">
        <w:rPr>
          <w:lang w:val="en-AU"/>
        </w:rPr>
        <w:t>(d)</w:t>
      </w:r>
      <w:r w:rsidR="000F46D0" w:rsidRPr="000F46D0">
        <w:rPr>
          <w:lang w:val="en-AU"/>
        </w:rPr>
        <w:tab/>
        <w:t xml:space="preserve">Please indicate any measures taken to ensure that persons suspected of terrorism or related offenses can only be detained in officially designated detention centres or prisons, in contrast to apparent deviations from this principle permitted under sections 7(3) and 9 of the PTA; </w:t>
      </w:r>
    </w:p>
    <w:p w14:paraId="7E89D005" w14:textId="77777777" w:rsidR="000F46D0" w:rsidRPr="000F46D0" w:rsidRDefault="000E7749" w:rsidP="000E7749">
      <w:pPr>
        <w:pStyle w:val="SingleTxtG"/>
      </w:pPr>
      <w:r>
        <w:rPr>
          <w:lang w:val="en-AU"/>
        </w:rPr>
        <w:tab/>
      </w:r>
      <w:r w:rsidR="000F46D0" w:rsidRPr="000F46D0">
        <w:rPr>
          <w:lang w:val="en-AU"/>
        </w:rPr>
        <w:t>(e)</w:t>
      </w:r>
      <w:r w:rsidR="000F46D0" w:rsidRPr="000F46D0">
        <w:rPr>
          <w:lang w:val="en-AU"/>
        </w:rPr>
        <w:tab/>
        <w:t xml:space="preserve">Please indicate when the </w:t>
      </w:r>
      <w:r w:rsidR="000F46D0" w:rsidRPr="000F46D0">
        <w:t>State party intends to repeal the PTA, as noted in its report,</w:t>
      </w:r>
      <w:r w:rsidR="000F46D0" w:rsidRPr="000F46D0">
        <w:rPr>
          <w:sz w:val="18"/>
          <w:vertAlign w:val="superscript"/>
        </w:rPr>
        <w:footnoteReference w:id="22"/>
      </w:r>
      <w:r w:rsidR="000F46D0" w:rsidRPr="000F46D0">
        <w:t xml:space="preserve"> and to replace it with legislation that conforms to the State party’s obligations under the Convention.</w:t>
      </w:r>
    </w:p>
    <w:p w14:paraId="7E89D006" w14:textId="77777777" w:rsidR="000F46D0" w:rsidRPr="000F46D0" w:rsidRDefault="000F46D0" w:rsidP="00092F19">
      <w:pPr>
        <w:pStyle w:val="SingleTxtG"/>
        <w:numPr>
          <w:ilvl w:val="0"/>
          <w:numId w:val="49"/>
        </w:numPr>
        <w:ind w:left="1134" w:firstLine="0"/>
        <w:rPr>
          <w:lang w:val="en-AU"/>
        </w:rPr>
      </w:pPr>
      <w:r w:rsidRPr="000F46D0">
        <w:rPr>
          <w:lang w:val="en-AU"/>
        </w:rPr>
        <w:t xml:space="preserve">With reference to the Committee’s </w:t>
      </w:r>
      <w:r w:rsidRPr="000F46D0">
        <w:rPr>
          <w:lang w:eastAsia="es-ES"/>
        </w:rPr>
        <w:t xml:space="preserve">previous concluding observations expressing concern about the reported inactivity of and challenges to the independence and impartiality of the Human Rights Commission of Sri Lanka (HRCSL) (paras. 16, 17), and </w:t>
      </w:r>
      <w:r w:rsidRPr="000F46D0">
        <w:rPr>
          <w:lang w:val="en-AU"/>
        </w:rPr>
        <w:t>the information provided in the State party report,</w:t>
      </w:r>
      <w:r w:rsidRPr="000F46D0">
        <w:rPr>
          <w:sz w:val="18"/>
          <w:vertAlign w:val="superscript"/>
          <w:lang w:eastAsia="es-ES"/>
        </w:rPr>
        <w:footnoteReference w:id="23"/>
      </w:r>
      <w:r w:rsidRPr="000F46D0">
        <w:rPr>
          <w:lang w:val="en-AU"/>
        </w:rPr>
        <w:t xml:space="preserve"> please provide the following information:</w:t>
      </w:r>
    </w:p>
    <w:p w14:paraId="7E89D007" w14:textId="1106778C" w:rsidR="000F46D0" w:rsidRPr="000F46D0" w:rsidRDefault="000E7749" w:rsidP="000E7749">
      <w:pPr>
        <w:pStyle w:val="SingleTxtG"/>
        <w:rPr>
          <w:lang w:val="en-AU"/>
        </w:rPr>
      </w:pPr>
      <w:r>
        <w:rPr>
          <w:lang w:val="en-AU"/>
        </w:rPr>
        <w:tab/>
      </w:r>
      <w:r w:rsidR="000F46D0" w:rsidRPr="000F46D0">
        <w:rPr>
          <w:lang w:val="en-AU"/>
        </w:rPr>
        <w:t>(a)</w:t>
      </w:r>
      <w:r w:rsidR="000F46D0" w:rsidRPr="000F46D0">
        <w:rPr>
          <w:lang w:val="en-AU"/>
        </w:rPr>
        <w:tab/>
        <w:t>Please detail any measures taken to strengthen the HRCSL’s independence during the reporting period.  Please indicate if following the adoption of the 19</w:t>
      </w:r>
      <w:r w:rsidR="000F46D0" w:rsidRPr="000F46D0">
        <w:rPr>
          <w:vertAlign w:val="superscript"/>
          <w:lang w:val="en-AU"/>
        </w:rPr>
        <w:t>th</w:t>
      </w:r>
      <w:r w:rsidR="000F46D0" w:rsidRPr="000F46D0">
        <w:rPr>
          <w:lang w:val="en-AU"/>
        </w:rPr>
        <w:t xml:space="preserve"> Amendment to the Constitution, a clear, transparent and participatory selection and appointment process for members of the HRCSL has been adopted and implemented</w:t>
      </w:r>
      <w:r w:rsidR="00FF2343">
        <w:rPr>
          <w:lang w:val="en-AU"/>
        </w:rPr>
        <w:t>;</w:t>
      </w:r>
    </w:p>
    <w:p w14:paraId="7E89D008" w14:textId="615DADD4" w:rsidR="000F46D0" w:rsidRPr="000F46D0" w:rsidRDefault="000E7749" w:rsidP="000E7749">
      <w:pPr>
        <w:pStyle w:val="SingleTxtG"/>
        <w:rPr>
          <w:lang w:val="en-AU"/>
        </w:rPr>
      </w:pPr>
      <w:r>
        <w:rPr>
          <w:lang w:val="en-AU"/>
        </w:rPr>
        <w:tab/>
      </w:r>
      <w:r w:rsidR="000F46D0" w:rsidRPr="000F46D0">
        <w:rPr>
          <w:lang w:val="en-AU"/>
        </w:rPr>
        <w:t>(b)</w:t>
      </w:r>
      <w:r w:rsidR="000F46D0" w:rsidRPr="000F46D0">
        <w:rPr>
          <w:lang w:val="en-AU"/>
        </w:rPr>
        <w:tab/>
        <w:t>Please provide an update on any measures taken to ensure that State authorities implement the HRCSL’s recommendations and provide examples of recommendations made by the HRCSL relating to the prevention, investigation, or prosecution of torture and ill-treatment that have been implemented by the authorities during the reporting period</w:t>
      </w:r>
      <w:r w:rsidR="00FF2343">
        <w:rPr>
          <w:lang w:val="en-AU"/>
        </w:rPr>
        <w:t>;</w:t>
      </w:r>
    </w:p>
    <w:p w14:paraId="7E89D009" w14:textId="61E28C3C" w:rsidR="000F46D0" w:rsidRPr="000F46D0" w:rsidRDefault="000E7749" w:rsidP="000E7749">
      <w:pPr>
        <w:pStyle w:val="SingleTxtG"/>
        <w:rPr>
          <w:lang w:val="en-AU"/>
        </w:rPr>
      </w:pPr>
      <w:r>
        <w:rPr>
          <w:lang w:val="en-AU"/>
        </w:rPr>
        <w:tab/>
      </w:r>
      <w:r w:rsidR="000F46D0" w:rsidRPr="000F46D0">
        <w:rPr>
          <w:lang w:val="en-AU"/>
        </w:rPr>
        <w:t>(c)</w:t>
      </w:r>
      <w:r w:rsidR="000F46D0" w:rsidRPr="000F46D0">
        <w:rPr>
          <w:lang w:val="en-AU"/>
        </w:rPr>
        <w:tab/>
        <w:t>With reference to paragraph 74 of the State party’s report, please provide details concerning any matters that the High Court has referred to the HRCSL concerning allegations of torture and ill-treatment</w:t>
      </w:r>
      <w:r w:rsidR="00FF2343">
        <w:rPr>
          <w:lang w:val="en-AU"/>
        </w:rPr>
        <w:t>;</w:t>
      </w:r>
    </w:p>
    <w:p w14:paraId="7E89D00A" w14:textId="4B2ABB0E" w:rsidR="000F46D0" w:rsidRPr="000F46D0" w:rsidRDefault="000E7749" w:rsidP="000E7749">
      <w:pPr>
        <w:pStyle w:val="SingleTxtG"/>
        <w:rPr>
          <w:lang w:val="en-AU"/>
        </w:rPr>
      </w:pPr>
      <w:r>
        <w:rPr>
          <w:lang w:val="en-AU"/>
        </w:rPr>
        <w:tab/>
      </w:r>
      <w:r w:rsidR="000F46D0" w:rsidRPr="000F46D0">
        <w:rPr>
          <w:lang w:val="en-AU"/>
        </w:rPr>
        <w:t>(d)</w:t>
      </w:r>
      <w:r w:rsidR="000F46D0" w:rsidRPr="000F46D0">
        <w:rPr>
          <w:lang w:val="en-AU"/>
        </w:rPr>
        <w:tab/>
        <w:t>Notwithstanding the information provided in paragraph 67 of the State party’s report, please respond to reports that, in practice, the Commission is not always informed of arrests within 48 hours and that it has been denied access to places of detention, including military premises.</w:t>
      </w:r>
      <w:r w:rsidR="000F46D0" w:rsidRPr="000F46D0">
        <w:rPr>
          <w:sz w:val="18"/>
          <w:vertAlign w:val="superscript"/>
          <w:lang w:val="en-AU"/>
        </w:rPr>
        <w:footnoteReference w:id="24"/>
      </w:r>
      <w:r w:rsidR="000F46D0" w:rsidRPr="000F46D0">
        <w:rPr>
          <w:lang w:val="en-AU"/>
        </w:rPr>
        <w:t xml:space="preserve"> Please provide data on the number of visits to places of detention that the HRCSL has undertaken during the reporting period, specifying the number that were unannounced in advance, and provide examples of the results of these visits</w:t>
      </w:r>
      <w:r w:rsidR="00FF2343">
        <w:rPr>
          <w:lang w:val="en-AU"/>
        </w:rPr>
        <w:t>;</w:t>
      </w:r>
    </w:p>
    <w:p w14:paraId="7E89D00B" w14:textId="3BD2E208" w:rsidR="000F46D0" w:rsidRPr="000F46D0" w:rsidRDefault="000E7749" w:rsidP="000E7749">
      <w:pPr>
        <w:pStyle w:val="SingleTxtG"/>
      </w:pPr>
      <w:r>
        <w:rPr>
          <w:lang w:val="en-AU"/>
        </w:rPr>
        <w:lastRenderedPageBreak/>
        <w:tab/>
      </w:r>
      <w:r w:rsidR="000F46D0" w:rsidRPr="000F46D0">
        <w:rPr>
          <w:lang w:val="en-AU"/>
        </w:rPr>
        <w:t>(e)</w:t>
      </w:r>
      <w:r w:rsidR="000F46D0" w:rsidRPr="000F46D0">
        <w:rPr>
          <w:lang w:val="en-AU"/>
        </w:rPr>
        <w:tab/>
        <w:t>Please provide information on measures taken to ensure that the HRCSL has sufficient resources to conduct independent investigations and to alleviate its backlog of complaints</w:t>
      </w:r>
      <w:r w:rsidR="00FF2343">
        <w:rPr>
          <w:lang w:val="en-AU"/>
        </w:rPr>
        <w:t>;</w:t>
      </w:r>
    </w:p>
    <w:p w14:paraId="7E89D00C" w14:textId="77777777" w:rsidR="000F46D0" w:rsidRPr="000F46D0" w:rsidRDefault="000E7749" w:rsidP="000E7749">
      <w:pPr>
        <w:pStyle w:val="SingleTxtG"/>
        <w:rPr>
          <w:lang w:val="en-AU"/>
        </w:rPr>
      </w:pPr>
      <w:r>
        <w:tab/>
      </w:r>
      <w:r w:rsidR="000F46D0" w:rsidRPr="000F46D0">
        <w:t>(f)</w:t>
      </w:r>
      <w:r w:rsidR="000F46D0" w:rsidRPr="000F46D0">
        <w:tab/>
        <w:t>Please provide annual statistical data for the period under review on the number of complaints of torture and ill-treatment received by the HRCSL; on investigations into allegations of torture and ill-treatment conducted by the HRCSL on its own initiative or upon request; and the results of such investigations.</w:t>
      </w:r>
      <w:r w:rsidR="000F46D0" w:rsidRPr="000F46D0">
        <w:rPr>
          <w:vertAlign w:val="superscript"/>
          <w:lang w:val="en-AU"/>
        </w:rPr>
        <w:footnoteReference w:id="25"/>
      </w:r>
      <w:r w:rsidR="000F46D0" w:rsidRPr="000F46D0">
        <w:rPr>
          <w:lang w:val="en-AU"/>
        </w:rPr>
        <w:t xml:space="preserve"> Please indicate if the results of the HRCSL’s investigations are made public.</w:t>
      </w:r>
    </w:p>
    <w:p w14:paraId="7E89D00D" w14:textId="77777777" w:rsidR="000F46D0" w:rsidRPr="000F46D0" w:rsidRDefault="000F46D0" w:rsidP="00092F19">
      <w:pPr>
        <w:pStyle w:val="SingleTxtG"/>
        <w:numPr>
          <w:ilvl w:val="0"/>
          <w:numId w:val="49"/>
        </w:numPr>
        <w:ind w:left="1134" w:firstLine="0"/>
        <w:rPr>
          <w:strike/>
          <w:lang w:val="en-AU"/>
        </w:rPr>
      </w:pPr>
      <w:r w:rsidRPr="000F46D0">
        <w:rPr>
          <w:lang w:val="en-AU"/>
        </w:rPr>
        <w:t xml:space="preserve">With reference to the Committee’s previous concluding observations (para. 18), </w:t>
      </w:r>
      <w:r w:rsidRPr="000F46D0">
        <w:t>please describe measures taken during the reporting period to strengthen the independence of the judiciary vis-à-vis the executive,</w:t>
      </w:r>
      <w:r w:rsidRPr="000F46D0">
        <w:rPr>
          <w:sz w:val="18"/>
          <w:vertAlign w:val="superscript"/>
        </w:rPr>
        <w:footnoteReference w:id="26"/>
      </w:r>
      <w:r w:rsidRPr="000F46D0">
        <w:t xml:space="preserve"> including changes to the process of appointment, transfer, discipline and removal of judges </w:t>
      </w:r>
      <w:r w:rsidRPr="000F46D0">
        <w:rPr>
          <w:lang w:val="en-AU"/>
        </w:rPr>
        <w:t>following the adoption of the 19</w:t>
      </w:r>
      <w:r w:rsidRPr="000F46D0">
        <w:rPr>
          <w:vertAlign w:val="superscript"/>
          <w:lang w:val="en-AU"/>
        </w:rPr>
        <w:t>th</w:t>
      </w:r>
      <w:r w:rsidRPr="000F46D0">
        <w:rPr>
          <w:lang w:val="en-AU"/>
        </w:rPr>
        <w:t xml:space="preserve"> Amendment to the Constitution</w:t>
      </w:r>
      <w:r w:rsidRPr="000F46D0">
        <w:t>.</w:t>
      </w:r>
      <w:r w:rsidRPr="000F46D0">
        <w:rPr>
          <w:sz w:val="18"/>
          <w:vertAlign w:val="superscript"/>
        </w:rPr>
        <w:footnoteReference w:id="27"/>
      </w:r>
      <w:r w:rsidRPr="000F46D0">
        <w:t xml:space="preserve"> Please comment on the impeachment of the Chief Justice in 2013 and provide information on </w:t>
      </w:r>
      <w:r w:rsidRPr="000F46D0">
        <w:rPr>
          <w:lang w:val="en-AU"/>
        </w:rPr>
        <w:t>measures</w:t>
      </w:r>
      <w:r w:rsidRPr="000F46D0">
        <w:t xml:space="preserve"> taken to ensure that in the future, proceedings which might lead to the removal of a judicial officer are independent, impartial, and include appropriate safeguards to ensure fairness.</w:t>
      </w:r>
      <w:r w:rsidRPr="000F46D0">
        <w:rPr>
          <w:sz w:val="18"/>
          <w:vertAlign w:val="superscript"/>
        </w:rPr>
        <w:footnoteReference w:id="28"/>
      </w:r>
    </w:p>
    <w:p w14:paraId="7E89D00E" w14:textId="243619DC" w:rsidR="000F46D0" w:rsidRPr="000F46D0" w:rsidRDefault="000F46D0" w:rsidP="00092F19">
      <w:pPr>
        <w:pStyle w:val="SingleTxtG"/>
        <w:numPr>
          <w:ilvl w:val="0"/>
          <w:numId w:val="49"/>
        </w:numPr>
        <w:ind w:left="1134" w:firstLine="0"/>
      </w:pPr>
      <w:r w:rsidRPr="000F46D0">
        <w:rPr>
          <w:lang w:val="en-AU"/>
        </w:rPr>
        <w:t xml:space="preserve">Recalling the Committee’s previous concluding observations (para. 22), please provide further information on </w:t>
      </w:r>
      <w:r w:rsidRPr="000F46D0">
        <w:t xml:space="preserve">the </w:t>
      </w:r>
      <w:r w:rsidRPr="000F46D0">
        <w:rPr>
          <w:lang w:val="en-AU"/>
        </w:rPr>
        <w:t>measures</w:t>
      </w:r>
      <w:r w:rsidRPr="000F46D0">
        <w:t xml:space="preserve"> taken to combat violence against women,</w:t>
      </w:r>
      <w:r w:rsidR="000E7749">
        <w:t xml:space="preserve"> in particular:</w:t>
      </w:r>
    </w:p>
    <w:p w14:paraId="7E89D00F" w14:textId="77777777" w:rsidR="000F46D0" w:rsidRPr="000F46D0" w:rsidRDefault="000E7749" w:rsidP="000E7749">
      <w:pPr>
        <w:pStyle w:val="SingleTxtG"/>
        <w:rPr>
          <w:bCs/>
        </w:rPr>
      </w:pPr>
      <w:r>
        <w:rPr>
          <w:lang w:val="en-AU"/>
        </w:rPr>
        <w:tab/>
      </w:r>
      <w:r w:rsidR="000F46D0" w:rsidRPr="000F46D0">
        <w:rPr>
          <w:lang w:val="en-AU"/>
        </w:rPr>
        <w:t>(a)</w:t>
      </w:r>
      <w:r w:rsidR="000F46D0" w:rsidRPr="000F46D0">
        <w:rPr>
          <w:lang w:val="en-AU"/>
        </w:rPr>
        <w:tab/>
        <w:t xml:space="preserve">Information on whether the State party </w:t>
      </w:r>
      <w:r w:rsidR="000F46D0" w:rsidRPr="000F46D0">
        <w:t xml:space="preserve">will reconsider amending its legislation so that a judge’s legal recognition of the separation of spouses is not required in order for a husband to be charged with </w:t>
      </w:r>
      <w:r w:rsidR="000F46D0" w:rsidRPr="000F46D0">
        <w:rPr>
          <w:bCs/>
        </w:rPr>
        <w:t>domestic violence against or rape of his wife, as recommended by several UN treaty bodies;</w:t>
      </w:r>
      <w:r w:rsidR="000F46D0" w:rsidRPr="000F46D0">
        <w:rPr>
          <w:bCs/>
          <w:sz w:val="18"/>
          <w:vertAlign w:val="superscript"/>
        </w:rPr>
        <w:footnoteReference w:id="29"/>
      </w:r>
    </w:p>
    <w:p w14:paraId="7E89D010" w14:textId="77777777" w:rsidR="000F46D0" w:rsidRPr="000F46D0" w:rsidRDefault="000E7749" w:rsidP="000E7749">
      <w:pPr>
        <w:pStyle w:val="SingleTxtG"/>
        <w:rPr>
          <w:lang w:val="en-AU"/>
        </w:rPr>
      </w:pPr>
      <w:r>
        <w:rPr>
          <w:lang w:val="en-AU"/>
        </w:rPr>
        <w:tab/>
      </w:r>
      <w:r w:rsidR="000F46D0" w:rsidRPr="000F46D0">
        <w:rPr>
          <w:lang w:val="en-AU"/>
        </w:rPr>
        <w:t>(b)</w:t>
      </w:r>
      <w:r w:rsidR="000F46D0" w:rsidRPr="000F46D0">
        <w:rPr>
          <w:lang w:val="en-AU"/>
        </w:rPr>
        <w:tab/>
        <w:t xml:space="preserve">Annual statistical data from 2011 onwards, </w:t>
      </w:r>
      <w:r w:rsidR="000F46D0" w:rsidRPr="000F46D0">
        <w:rPr>
          <w:lang w:eastAsia="es-ES"/>
        </w:rPr>
        <w:t xml:space="preserve">disaggregated according to the type of crime, </w:t>
      </w:r>
      <w:r w:rsidR="000F46D0" w:rsidRPr="000F46D0">
        <w:rPr>
          <w:lang w:val="en-AU"/>
        </w:rPr>
        <w:t xml:space="preserve">on the number of complaints of violence against women </w:t>
      </w:r>
      <w:r w:rsidR="000F46D0" w:rsidRPr="000F46D0">
        <w:rPr>
          <w:lang w:eastAsia="es-ES"/>
        </w:rPr>
        <w:t>registered by the police</w:t>
      </w:r>
      <w:r w:rsidR="000F46D0" w:rsidRPr="000F46D0">
        <w:t xml:space="preserve">, the number of such complaints that were investigated, how many of those complaints led to prosecutions and convictions and the punishment imposed in those cases. </w:t>
      </w:r>
      <w:r w:rsidR="000F46D0" w:rsidRPr="000F46D0">
        <w:rPr>
          <w:lang w:val="en-AU"/>
        </w:rPr>
        <w:t>Please also indicate the average period of time that elapsed between the filing of a complaint and the conclusion of the trial;</w:t>
      </w:r>
    </w:p>
    <w:p w14:paraId="7E89D011" w14:textId="77777777" w:rsidR="000F46D0" w:rsidRPr="000F46D0" w:rsidRDefault="000E7749" w:rsidP="000E7749">
      <w:pPr>
        <w:pStyle w:val="SingleTxtG"/>
        <w:rPr>
          <w:lang w:val="en-AU"/>
        </w:rPr>
      </w:pPr>
      <w:r>
        <w:tab/>
      </w:r>
      <w:r w:rsidR="000F46D0" w:rsidRPr="000F46D0">
        <w:t>(c)</w:t>
      </w:r>
      <w:r w:rsidR="000F46D0" w:rsidRPr="000F46D0">
        <w:tab/>
        <w:t xml:space="preserve">Information on measures </w:t>
      </w:r>
      <w:r w:rsidR="000F46D0" w:rsidRPr="000F46D0">
        <w:rPr>
          <w:lang w:val="en-AU"/>
        </w:rPr>
        <w:t xml:space="preserve">taken to train </w:t>
      </w:r>
      <w:r w:rsidR="000F46D0" w:rsidRPr="000F46D0">
        <w:rPr>
          <w:lang w:eastAsia="es-ES"/>
        </w:rPr>
        <w:t>law enforcement personnel, prosecutors and judges</w:t>
      </w:r>
      <w:r w:rsidR="000F46D0" w:rsidRPr="000F46D0">
        <w:rPr>
          <w:lang w:val="en-AU"/>
        </w:rPr>
        <w:t xml:space="preserve"> on the provisions of the Domestic Violence Act and in preventing, detecting and responding to incidents of domestic violence;</w:t>
      </w:r>
      <w:r w:rsidR="000F46D0" w:rsidRPr="000F46D0">
        <w:rPr>
          <w:vertAlign w:val="superscript"/>
          <w:lang w:val="en-AU"/>
        </w:rPr>
        <w:footnoteReference w:id="30"/>
      </w:r>
    </w:p>
    <w:p w14:paraId="7E89D012" w14:textId="77777777" w:rsidR="000F46D0" w:rsidRPr="000F46D0" w:rsidRDefault="000E7749" w:rsidP="000E7749">
      <w:pPr>
        <w:pStyle w:val="SingleTxtG"/>
        <w:rPr>
          <w:lang w:val="en-AU"/>
        </w:rPr>
      </w:pPr>
      <w:r>
        <w:rPr>
          <w:lang w:val="en-AU"/>
        </w:rPr>
        <w:tab/>
      </w:r>
      <w:r w:rsidR="000F46D0" w:rsidRPr="000F46D0">
        <w:rPr>
          <w:lang w:val="en-AU"/>
        </w:rPr>
        <w:t>(d)</w:t>
      </w:r>
      <w:r w:rsidR="000F46D0" w:rsidRPr="000F46D0">
        <w:rPr>
          <w:lang w:val="en-AU"/>
        </w:rPr>
        <w:tab/>
      </w:r>
      <w:r w:rsidR="000F46D0" w:rsidRPr="000F46D0">
        <w:rPr>
          <w:lang w:eastAsia="es-ES"/>
        </w:rPr>
        <w:t>Information on redress provided to women victims of violence, including the number of cases in which women</w:t>
      </w:r>
      <w:r w:rsidR="000F46D0" w:rsidRPr="000F46D0">
        <w:t xml:space="preserve"> victims of violence</w:t>
      </w:r>
      <w:r w:rsidR="000F46D0" w:rsidRPr="000F46D0">
        <w:rPr>
          <w:lang w:eastAsia="es-ES"/>
        </w:rPr>
        <w:t xml:space="preserve"> have received compensation</w:t>
      </w:r>
      <w:r w:rsidR="000F46D0" w:rsidRPr="000F46D0">
        <w:t xml:space="preserve"> and the </w:t>
      </w:r>
      <w:r w:rsidR="000F46D0" w:rsidRPr="000F46D0">
        <w:rPr>
          <w:lang w:eastAsia="es-ES"/>
        </w:rPr>
        <w:t>amount awarded;</w:t>
      </w:r>
    </w:p>
    <w:p w14:paraId="7E89D013" w14:textId="4B25D6A5" w:rsidR="000F46D0" w:rsidRPr="000F46D0" w:rsidRDefault="000E7749" w:rsidP="000E7749">
      <w:pPr>
        <w:pStyle w:val="SingleTxtG"/>
        <w:rPr>
          <w:lang w:val="en-AU"/>
        </w:rPr>
      </w:pPr>
      <w:r>
        <w:rPr>
          <w:lang w:val="en-AU"/>
        </w:rPr>
        <w:tab/>
      </w:r>
      <w:r w:rsidR="000F46D0" w:rsidRPr="000F46D0">
        <w:rPr>
          <w:lang w:val="en-AU"/>
        </w:rPr>
        <w:t>(e)</w:t>
      </w:r>
      <w:r w:rsidR="000F46D0" w:rsidRPr="000F46D0">
        <w:rPr>
          <w:lang w:val="en-AU"/>
        </w:rPr>
        <w:tab/>
        <w:t xml:space="preserve">Information regarding measures taken to protect women from violence, including the </w:t>
      </w:r>
      <w:r w:rsidR="000F46D0" w:rsidRPr="000F46D0">
        <w:t>number of protection orders requested and the number granted during the reporting period,</w:t>
      </w:r>
      <w:r w:rsidR="000F46D0" w:rsidRPr="000F46D0">
        <w:rPr>
          <w:lang w:eastAsia="es-ES"/>
        </w:rPr>
        <w:t xml:space="preserve"> and the number of shelters in the country and their capacity</w:t>
      </w:r>
      <w:r w:rsidR="00FF2343">
        <w:rPr>
          <w:lang w:val="en-AU"/>
        </w:rPr>
        <w:t>.</w:t>
      </w:r>
    </w:p>
    <w:p w14:paraId="7E89D014" w14:textId="77777777" w:rsidR="000F46D0" w:rsidRPr="000F46D0" w:rsidRDefault="000F46D0" w:rsidP="00092F19">
      <w:pPr>
        <w:pStyle w:val="SingleTxtG"/>
        <w:numPr>
          <w:ilvl w:val="0"/>
          <w:numId w:val="49"/>
        </w:numPr>
        <w:ind w:left="1134" w:firstLine="0"/>
      </w:pPr>
      <w:r w:rsidRPr="000F46D0">
        <w:rPr>
          <w:lang w:val="en-AU"/>
        </w:rPr>
        <w:t xml:space="preserve">With reference to the Committee’s </w:t>
      </w:r>
      <w:r w:rsidRPr="000F46D0">
        <w:rPr>
          <w:lang w:eastAsia="es-ES"/>
        </w:rPr>
        <w:t xml:space="preserve">previous concluding observations (para. 24), and noting that </w:t>
      </w:r>
      <w:r w:rsidRPr="000F46D0">
        <w:rPr>
          <w:lang w:val="en-AU"/>
        </w:rPr>
        <w:t xml:space="preserve">the State party has acknowledged that </w:t>
      </w:r>
      <w:r w:rsidRPr="000F46D0">
        <w:t xml:space="preserve">many victims of trafficking “are </w:t>
      </w:r>
      <w:r w:rsidRPr="000F46D0">
        <w:lastRenderedPageBreak/>
        <w:t>dissuaded from complaining in fear of reprisals,”</w:t>
      </w:r>
      <w:r w:rsidRPr="000F46D0">
        <w:rPr>
          <w:sz w:val="18"/>
          <w:vertAlign w:val="superscript"/>
        </w:rPr>
        <w:footnoteReference w:id="31"/>
      </w:r>
      <w:r w:rsidRPr="000F46D0">
        <w:t xml:space="preserve"> please provide the following information:</w:t>
      </w:r>
    </w:p>
    <w:p w14:paraId="7E89D015" w14:textId="77777777" w:rsidR="000F46D0" w:rsidRPr="000F46D0" w:rsidRDefault="000F46D0" w:rsidP="000E7749">
      <w:pPr>
        <w:pStyle w:val="SingleTxtG"/>
      </w:pPr>
      <w:r w:rsidRPr="000F46D0">
        <w:tab/>
        <w:t>(a)</w:t>
      </w:r>
      <w:r w:rsidRPr="000F46D0">
        <w:tab/>
      </w:r>
      <w:r w:rsidRPr="000F46D0">
        <w:rPr>
          <w:lang w:val="en-AU"/>
        </w:rPr>
        <w:t>Whether the Protection of Victims of Crime and Witnesses Act No. 4 of 2015 offers protectio</w:t>
      </w:r>
      <w:r w:rsidR="000E7749">
        <w:rPr>
          <w:lang w:val="en-AU"/>
        </w:rPr>
        <w:t>n to victims of trafficking;</w:t>
      </w:r>
    </w:p>
    <w:p w14:paraId="7E89D016" w14:textId="77777777" w:rsidR="000F46D0" w:rsidRPr="000F46D0" w:rsidRDefault="000F46D0" w:rsidP="000E7749">
      <w:pPr>
        <w:pStyle w:val="SingleTxtG"/>
        <w:rPr>
          <w:lang w:eastAsia="es-ES"/>
        </w:rPr>
      </w:pPr>
      <w:r w:rsidRPr="000F46D0">
        <w:tab/>
        <w:t>(b)</w:t>
      </w:r>
      <w:r w:rsidRPr="000F46D0">
        <w:tab/>
        <w:t>Information on measures taken to prevent victims of trafficking from being detained or prosecuted for acts committed as a direct consequence of their situation;</w:t>
      </w:r>
      <w:r w:rsidRPr="000F46D0">
        <w:rPr>
          <w:sz w:val="18"/>
          <w:vertAlign w:val="superscript"/>
        </w:rPr>
        <w:footnoteReference w:id="32"/>
      </w:r>
    </w:p>
    <w:p w14:paraId="7E89D017" w14:textId="77777777" w:rsidR="000F46D0" w:rsidRPr="000F46D0" w:rsidRDefault="000F46D0" w:rsidP="000E7749">
      <w:pPr>
        <w:pStyle w:val="SingleTxtG"/>
        <w:rPr>
          <w:lang w:eastAsia="es-ES"/>
        </w:rPr>
      </w:pPr>
      <w:r w:rsidRPr="000F46D0">
        <w:rPr>
          <w:lang w:eastAsia="es-ES"/>
        </w:rPr>
        <w:tab/>
        <w:t>(c)</w:t>
      </w:r>
      <w:r w:rsidRPr="000F46D0">
        <w:rPr>
          <w:lang w:eastAsia="es-ES"/>
        </w:rPr>
        <w:tab/>
        <w:t>Information on any efforts undertaken to provide victims of trafficking with residence permits and protection against return to their countries of origin, particularly where they would be in danger of torture, ill-treatment, or exploitation;</w:t>
      </w:r>
    </w:p>
    <w:p w14:paraId="7E89D018" w14:textId="77777777" w:rsidR="000F46D0" w:rsidRPr="000F46D0" w:rsidRDefault="000F46D0" w:rsidP="000E7749">
      <w:pPr>
        <w:pStyle w:val="SingleTxtG"/>
        <w:rPr>
          <w:lang w:eastAsia="es-ES"/>
        </w:rPr>
      </w:pPr>
      <w:r w:rsidRPr="000F46D0">
        <w:rPr>
          <w:lang w:eastAsia="es-ES"/>
        </w:rPr>
        <w:tab/>
        <w:t>(d)</w:t>
      </w:r>
      <w:r w:rsidRPr="000F46D0">
        <w:rPr>
          <w:lang w:eastAsia="es-ES"/>
        </w:rPr>
        <w:tab/>
        <w:t>Updates on redress provided to victims of trafficking, including the procedure for obtaining compensation, the number of cases in which compensation was awarded and the compensation granted;</w:t>
      </w:r>
      <w:r w:rsidRPr="000F46D0">
        <w:rPr>
          <w:sz w:val="18"/>
          <w:vertAlign w:val="superscript"/>
        </w:rPr>
        <w:footnoteReference w:id="33"/>
      </w:r>
    </w:p>
    <w:p w14:paraId="7E89D019" w14:textId="77777777" w:rsidR="000F46D0" w:rsidRPr="000F46D0" w:rsidRDefault="000F46D0" w:rsidP="000E7749">
      <w:pPr>
        <w:pStyle w:val="SingleTxtG"/>
      </w:pPr>
      <w:r w:rsidRPr="000F46D0">
        <w:tab/>
        <w:t>(e)</w:t>
      </w:r>
      <w:r w:rsidRPr="000F46D0">
        <w:tab/>
        <w:t xml:space="preserve">Additional information on prosecutions for trafficking offenses, with reference to that provided in paragraph 121 of the State party’s report, </w:t>
      </w:r>
      <w:r w:rsidRPr="000F46D0">
        <w:rPr>
          <w:lang w:eastAsia="es-ES"/>
        </w:rPr>
        <w:t>in particular on:</w:t>
      </w:r>
      <w:r w:rsidRPr="000F46D0">
        <w:t xml:space="preserve"> (i) how many prosecutions led to convictions; (ii) </w:t>
      </w:r>
      <w:r w:rsidRPr="000F46D0">
        <w:rPr>
          <w:bCs/>
        </w:rPr>
        <w:t xml:space="preserve">the sentences and </w:t>
      </w:r>
      <w:r w:rsidRPr="000F46D0">
        <w:t xml:space="preserve">penalties imposed; (iii) and whether compensation was provided to victims; (iv) and any </w:t>
      </w:r>
      <w:r w:rsidRPr="000F46D0">
        <w:rPr>
          <w:lang w:val="en-AU"/>
        </w:rPr>
        <w:t>measures</w:t>
      </w:r>
      <w:r w:rsidRPr="000F46D0">
        <w:t xml:space="preserve"> taken to expedite the pending investigations.</w:t>
      </w:r>
      <w:r w:rsidRPr="000F46D0">
        <w:rPr>
          <w:sz w:val="18"/>
          <w:vertAlign w:val="superscript"/>
        </w:rPr>
        <w:footnoteReference w:id="34"/>
      </w:r>
      <w:r w:rsidRPr="000F46D0">
        <w:t xml:space="preserve"> </w:t>
      </w:r>
    </w:p>
    <w:p w14:paraId="7E89D01A" w14:textId="77777777" w:rsidR="000F46D0" w:rsidRPr="000F46D0" w:rsidRDefault="000E7749" w:rsidP="000E7749">
      <w:pPr>
        <w:pStyle w:val="H23G"/>
      </w:pPr>
      <w:r>
        <w:tab/>
      </w:r>
      <w:r>
        <w:tab/>
      </w:r>
      <w:r w:rsidR="000F46D0" w:rsidRPr="000F46D0">
        <w:t>Articl</w:t>
      </w:r>
      <w:r w:rsidR="000F46D0" w:rsidRPr="000F46D0">
        <w:rPr>
          <w:rFonts w:hint="eastAsia"/>
        </w:rPr>
        <w:t>e</w:t>
      </w:r>
      <w:r>
        <w:t xml:space="preserve"> 3</w:t>
      </w:r>
    </w:p>
    <w:p w14:paraId="7E89D01B" w14:textId="77777777" w:rsidR="000F46D0" w:rsidRPr="000F46D0" w:rsidRDefault="000F46D0" w:rsidP="00092F19">
      <w:pPr>
        <w:pStyle w:val="SingleTxtG"/>
        <w:numPr>
          <w:ilvl w:val="0"/>
          <w:numId w:val="49"/>
        </w:numPr>
        <w:ind w:left="1134" w:firstLine="0"/>
      </w:pPr>
      <w:r w:rsidRPr="000F46D0">
        <w:t>With reference to the Committee’s previous concluding observations (para. 27), please provide information on:</w:t>
      </w:r>
      <w:r w:rsidRPr="000F46D0">
        <w:rPr>
          <w:rFonts w:eastAsia="SimSun"/>
          <w:sz w:val="18"/>
          <w:vertAlign w:val="superscript"/>
        </w:rPr>
        <w:t xml:space="preserve"> </w:t>
      </w:r>
    </w:p>
    <w:p w14:paraId="7E89D01C" w14:textId="46543489" w:rsidR="000F46D0" w:rsidRPr="000F46D0" w:rsidRDefault="000F46D0" w:rsidP="000E7749">
      <w:pPr>
        <w:pStyle w:val="SingleTxtG"/>
      </w:pPr>
      <w:r w:rsidRPr="000F46D0">
        <w:tab/>
        <w:t>(a)</w:t>
      </w:r>
      <w:r w:rsidRPr="000F46D0">
        <w:tab/>
        <w:t>Measures taken to explicitly incorporate in national legislation the prohibition of returning a person to a country where he or she would face a substantial risk of torture;</w:t>
      </w:r>
    </w:p>
    <w:p w14:paraId="7E89D01D" w14:textId="27704922" w:rsidR="000F46D0" w:rsidRPr="000F46D0" w:rsidRDefault="000F46D0" w:rsidP="000E7749">
      <w:pPr>
        <w:pStyle w:val="SingleTxtG"/>
      </w:pPr>
      <w:r w:rsidRPr="000F46D0">
        <w:tab/>
        <w:t>(b)</w:t>
      </w:r>
      <w:r w:rsidRPr="000F46D0">
        <w:tab/>
      </w:r>
      <w:r w:rsidRPr="000F46D0">
        <w:rPr>
          <w:lang w:val="en-AU"/>
        </w:rPr>
        <w:t xml:space="preserve"> Measures</w:t>
      </w:r>
      <w:r w:rsidRPr="000F46D0" w:rsidDel="00FE2AFE">
        <w:t xml:space="preserve"> </w:t>
      </w:r>
      <w:r w:rsidRPr="000F46D0">
        <w:t>taken to establish a national asylum procedure with an adequate screening process to determine whether persons subject to return face a substantial risk of torture;</w:t>
      </w:r>
      <w:r w:rsidR="00213784" w:rsidRPr="00213784">
        <w:rPr>
          <w:rStyle w:val="FootnoteReference"/>
        </w:rPr>
        <w:t xml:space="preserve"> </w:t>
      </w:r>
    </w:p>
    <w:p w14:paraId="7E89D01E" w14:textId="77777777" w:rsidR="000F46D0" w:rsidRPr="000F46D0" w:rsidRDefault="000E7749" w:rsidP="000E7749">
      <w:pPr>
        <w:pStyle w:val="SingleTxtG"/>
      </w:pPr>
      <w:r>
        <w:tab/>
      </w:r>
      <w:r w:rsidR="000F46D0" w:rsidRPr="000F46D0">
        <w:t>(c)</w:t>
      </w:r>
      <w:r w:rsidR="000F46D0" w:rsidRPr="000F46D0">
        <w:tab/>
        <w:t>Whether individuals are able to appeal expulsion orders against them, and whether the expulsion proceedings are suspended pending the resolution of the appeal;</w:t>
      </w:r>
    </w:p>
    <w:p w14:paraId="7E89D01F" w14:textId="77777777" w:rsidR="000F46D0" w:rsidRPr="000F46D0" w:rsidRDefault="000F46D0" w:rsidP="000E7749">
      <w:pPr>
        <w:pStyle w:val="SingleTxtG"/>
      </w:pPr>
      <w:r w:rsidRPr="000F46D0">
        <w:tab/>
        <w:t>(d)</w:t>
      </w:r>
      <w:r w:rsidRPr="000F46D0">
        <w:tab/>
        <w:t>Whether asylum seekers and persons subject to extradition have access to independent legal assistance free of charge, including during the appeals process.  If so, please provide data on the number of cases in which free legal assistance was provided to asylum seekers during the reporting period, disaggregated by year.</w:t>
      </w:r>
    </w:p>
    <w:p w14:paraId="7E89D020" w14:textId="77777777" w:rsidR="000F46D0" w:rsidRPr="000F46D0" w:rsidRDefault="000F46D0" w:rsidP="00092F19">
      <w:pPr>
        <w:pStyle w:val="SingleTxtG"/>
        <w:numPr>
          <w:ilvl w:val="0"/>
          <w:numId w:val="49"/>
        </w:numPr>
        <w:ind w:left="1134" w:firstLine="0"/>
      </w:pPr>
      <w:r w:rsidRPr="000F46D0">
        <w:rPr>
          <w:lang w:val="en-AU"/>
        </w:rPr>
        <w:t>P</w:t>
      </w:r>
      <w:r w:rsidRPr="000F46D0">
        <w:t>lease provide statistical data for the period under review, disaggregated by year and country of origin, on:</w:t>
      </w:r>
    </w:p>
    <w:p w14:paraId="7E89D021" w14:textId="77777777" w:rsidR="000F46D0" w:rsidRPr="000F46D0" w:rsidRDefault="000F46D0" w:rsidP="000E7749">
      <w:pPr>
        <w:pStyle w:val="SingleTxtG"/>
      </w:pPr>
      <w:r w:rsidRPr="000F46D0">
        <w:tab/>
        <w:t>(a)</w:t>
      </w:r>
      <w:r w:rsidRPr="000F46D0">
        <w:tab/>
        <w:t>The number of asylum requests registered during the reporting period;</w:t>
      </w:r>
    </w:p>
    <w:p w14:paraId="7E89D022" w14:textId="77777777" w:rsidR="000F46D0" w:rsidRPr="000F46D0" w:rsidRDefault="000F46D0" w:rsidP="000E7749">
      <w:pPr>
        <w:pStyle w:val="SingleTxtG"/>
      </w:pPr>
      <w:r w:rsidRPr="000F46D0">
        <w:tab/>
        <w:t>(b)</w:t>
      </w:r>
      <w:r w:rsidRPr="000F46D0">
        <w:tab/>
        <w:t>The number of requests for asylum, refugee status or other forms of humanitarian protection granted during the reporting period;</w:t>
      </w:r>
    </w:p>
    <w:p w14:paraId="7E89D023" w14:textId="77777777" w:rsidR="000F46D0" w:rsidRPr="000F46D0" w:rsidRDefault="000E7749" w:rsidP="000E7749">
      <w:pPr>
        <w:pStyle w:val="SingleTxtG"/>
      </w:pPr>
      <w:r>
        <w:lastRenderedPageBreak/>
        <w:tab/>
      </w:r>
      <w:r w:rsidR="000F46D0" w:rsidRPr="000F46D0">
        <w:t>(c)</w:t>
      </w:r>
      <w:r w:rsidR="000F46D0" w:rsidRPr="000F46D0">
        <w:tab/>
        <w:t>The number of torture victims identified among asylum seekers, the procedures applied to undertake such identification and the measures taken towards those identified as torture victims;</w:t>
      </w:r>
    </w:p>
    <w:p w14:paraId="7E89D024" w14:textId="05A85275" w:rsidR="000F46D0" w:rsidRPr="000F46D0" w:rsidRDefault="000F46D0" w:rsidP="000E7749">
      <w:pPr>
        <w:pStyle w:val="SingleTxtG"/>
      </w:pPr>
      <w:r w:rsidRPr="000F46D0">
        <w:tab/>
        <w:t>(d)</w:t>
      </w:r>
      <w:r w:rsidRPr="000F46D0">
        <w:tab/>
        <w:t>The number of persons extradited, expelled or returned and the countries to which they were removed</w:t>
      </w:r>
      <w:r w:rsidR="00FF2343">
        <w:t>.</w:t>
      </w:r>
    </w:p>
    <w:p w14:paraId="7E89D025" w14:textId="2570162B" w:rsidR="000F46D0" w:rsidRPr="000F46D0" w:rsidRDefault="000F46D0" w:rsidP="00092F19">
      <w:pPr>
        <w:pStyle w:val="SingleTxtG"/>
        <w:numPr>
          <w:ilvl w:val="0"/>
          <w:numId w:val="49"/>
        </w:numPr>
        <w:ind w:left="1134" w:firstLine="0"/>
      </w:pPr>
      <w:r w:rsidRPr="000F46D0">
        <w:t xml:space="preserve">Please provide information concerning reports that in 2014 </w:t>
      </w:r>
      <w:r w:rsidRPr="000F46D0">
        <w:rPr>
          <w:lang w:val="en-AU"/>
        </w:rPr>
        <w:t>the State party forcibly returned 183 asylum seekers to Afghanistan and Pakistan who had been registered with UNHCR and who were at risk of being persecuted in their country of origin because of their religion.</w:t>
      </w:r>
    </w:p>
    <w:p w14:paraId="7E89D026" w14:textId="77777777" w:rsidR="000F46D0" w:rsidRPr="000F46D0" w:rsidRDefault="009519F5" w:rsidP="009519F5">
      <w:pPr>
        <w:pStyle w:val="H23G"/>
      </w:pPr>
      <w:r>
        <w:tab/>
      </w:r>
      <w:r>
        <w:tab/>
        <w:t>Articles 5 to 9</w:t>
      </w:r>
    </w:p>
    <w:p w14:paraId="7E89D027" w14:textId="77777777" w:rsidR="000F46D0" w:rsidRPr="000F46D0" w:rsidRDefault="000F46D0" w:rsidP="00092F19">
      <w:pPr>
        <w:pStyle w:val="SingleTxtG"/>
        <w:numPr>
          <w:ilvl w:val="0"/>
          <w:numId w:val="49"/>
        </w:numPr>
        <w:ind w:left="1134" w:firstLine="0"/>
      </w:pPr>
      <w:r w:rsidRPr="000F46D0">
        <w:rPr>
          <w:lang w:val="en-AU"/>
        </w:rPr>
        <w:t>P</w:t>
      </w:r>
      <w:r w:rsidRPr="000F46D0">
        <w:t>lease indicate whether the State party has rejected, for any reason, the request of a State for the extradition of an individual suspected of having committed torture and whether it has started prosecution proceedings against such an individual as a result. If so, please provide information on the status a</w:t>
      </w:r>
      <w:r w:rsidR="009519F5">
        <w:t>nd outcome of such proceedings.</w:t>
      </w:r>
    </w:p>
    <w:p w14:paraId="7E89D028" w14:textId="77777777" w:rsidR="000F46D0" w:rsidRPr="000F46D0" w:rsidRDefault="000F46D0" w:rsidP="000E7749">
      <w:pPr>
        <w:pStyle w:val="H23G"/>
      </w:pPr>
      <w:r w:rsidRPr="000F46D0">
        <w:tab/>
      </w:r>
      <w:r w:rsidRPr="000F46D0">
        <w:tab/>
        <w:t>Article 10</w:t>
      </w:r>
    </w:p>
    <w:p w14:paraId="7E89D029" w14:textId="77777777" w:rsidR="000F46D0" w:rsidRPr="000F46D0" w:rsidRDefault="000F46D0" w:rsidP="00092F19">
      <w:pPr>
        <w:pStyle w:val="SingleTxtG"/>
        <w:numPr>
          <w:ilvl w:val="0"/>
          <w:numId w:val="49"/>
        </w:numPr>
        <w:ind w:left="1134" w:firstLine="0"/>
      </w:pPr>
      <w:r w:rsidRPr="000F46D0">
        <w:t>With reference to the Committee’s previous concluding observations (para. 28), and the information provided in the</w:t>
      </w:r>
      <w:r w:rsidRPr="000F46D0">
        <w:rPr>
          <w:lang w:val="en-AU"/>
        </w:rPr>
        <w:t xml:space="preserve"> State party’s report,</w:t>
      </w:r>
      <w:r w:rsidRPr="000F46D0">
        <w:rPr>
          <w:sz w:val="18"/>
          <w:vertAlign w:val="superscript"/>
          <w:lang w:val="en-AU"/>
        </w:rPr>
        <w:footnoteReference w:id="35"/>
      </w:r>
      <w:r w:rsidRPr="000F46D0">
        <w:rPr>
          <w:lang w:val="en-AU"/>
        </w:rPr>
        <w:t xml:space="preserve"> please provide information </w:t>
      </w:r>
      <w:r w:rsidRPr="000F46D0">
        <w:t xml:space="preserve">on any training provided </w:t>
      </w:r>
      <w:r w:rsidRPr="000F46D0">
        <w:rPr>
          <w:noProof/>
        </w:rPr>
        <w:t xml:space="preserve">for </w:t>
      </w:r>
      <w:r w:rsidRPr="000F46D0">
        <w:t>any State agents involved in holding persons in custody, interrogation or treatment of any individual under any form of detention or imprisonment, with respect to:</w:t>
      </w:r>
    </w:p>
    <w:p w14:paraId="7E89D02A" w14:textId="580F23EB" w:rsidR="000F46D0" w:rsidRPr="000F46D0" w:rsidRDefault="000E7749" w:rsidP="000E7749">
      <w:pPr>
        <w:pStyle w:val="SingleTxtG"/>
      </w:pPr>
      <w:r>
        <w:tab/>
      </w:r>
      <w:r w:rsidR="000F46D0" w:rsidRPr="000F46D0">
        <w:t>(a)</w:t>
      </w:r>
      <w:r w:rsidR="000F46D0" w:rsidRPr="000F46D0">
        <w:tab/>
        <w:t>The provisions of the Convention</w:t>
      </w:r>
      <w:r w:rsidR="000F46D0" w:rsidRPr="000F46D0">
        <w:rPr>
          <w:lang w:val="en-AU"/>
        </w:rPr>
        <w:t xml:space="preserve"> against Torture </w:t>
      </w:r>
      <w:r w:rsidR="000F46D0" w:rsidRPr="000F46D0">
        <w:t>and Other Cruel, Inhuman or Degrading Treatment or Punishment</w:t>
      </w:r>
      <w:r w:rsidR="00FF2343">
        <w:t>;</w:t>
      </w:r>
      <w:r w:rsidR="000F46D0" w:rsidRPr="000F46D0">
        <w:rPr>
          <w:vertAlign w:val="superscript"/>
        </w:rPr>
        <w:footnoteReference w:id="36"/>
      </w:r>
    </w:p>
    <w:p w14:paraId="7E89D02B" w14:textId="77777777" w:rsidR="000F46D0" w:rsidRPr="000F46D0" w:rsidRDefault="000E7749" w:rsidP="000E7749">
      <w:pPr>
        <w:pStyle w:val="SingleTxtG"/>
        <w:rPr>
          <w:lang w:val="fr-FR"/>
        </w:rPr>
      </w:pPr>
      <w:r w:rsidRPr="002905F4">
        <w:tab/>
      </w:r>
      <w:r w:rsidR="000F46D0" w:rsidRPr="000F46D0">
        <w:rPr>
          <w:lang w:val="fr-FR"/>
        </w:rPr>
        <w:t>(b)</w:t>
      </w:r>
      <w:r w:rsidR="000F46D0" w:rsidRPr="000F46D0">
        <w:rPr>
          <w:lang w:val="fr-FR"/>
        </w:rPr>
        <w:tab/>
        <w:t>Non-coe</w:t>
      </w:r>
      <w:r>
        <w:rPr>
          <w:lang w:val="fr-FR"/>
        </w:rPr>
        <w:t>rcive investigatory techniques;</w:t>
      </w:r>
    </w:p>
    <w:p w14:paraId="7E89D02C" w14:textId="77777777" w:rsidR="000F46D0" w:rsidRPr="000F46D0" w:rsidRDefault="000E7749" w:rsidP="000E7749">
      <w:pPr>
        <w:pStyle w:val="SingleTxtG"/>
      </w:pPr>
      <w:r w:rsidRPr="002905F4">
        <w:rPr>
          <w:lang w:val="fr-FR"/>
        </w:rPr>
        <w:tab/>
      </w:r>
      <w:r w:rsidR="000F46D0" w:rsidRPr="000F46D0">
        <w:t>(c)</w:t>
      </w:r>
      <w:r w:rsidR="000F46D0" w:rsidRPr="000F46D0">
        <w:tab/>
        <w:t>Guidelines for the detection of signs of torture and ill-treatment reflecting the standards outlined in the Istanbul Protocol (Manual on the Effective Investigation and Documentation of Torture and Other Cruel, Inhuman or Degrading Treatment or Punishment);</w:t>
      </w:r>
    </w:p>
    <w:p w14:paraId="7E89D02D" w14:textId="77777777" w:rsidR="000F46D0" w:rsidRPr="000F46D0" w:rsidRDefault="000F46D0" w:rsidP="000E7749">
      <w:pPr>
        <w:pStyle w:val="SingleTxtG"/>
        <w:rPr>
          <w:lang w:val="en-AU"/>
        </w:rPr>
      </w:pPr>
      <w:r w:rsidRPr="000F46D0">
        <w:tab/>
        <w:t>(d)</w:t>
      </w:r>
      <w:r w:rsidRPr="000F46D0">
        <w:tab/>
      </w:r>
      <w:r w:rsidRPr="000F46D0">
        <w:rPr>
          <w:color w:val="000000"/>
        </w:rPr>
        <w:t>Identification of victims of trafficking, torture and sexual violence among asylum seekers.</w:t>
      </w:r>
    </w:p>
    <w:p w14:paraId="7E89D02E" w14:textId="77777777" w:rsidR="000F46D0" w:rsidRPr="000F46D0" w:rsidRDefault="000F46D0" w:rsidP="00092F19">
      <w:pPr>
        <w:pStyle w:val="SingleTxtG"/>
        <w:numPr>
          <w:ilvl w:val="0"/>
          <w:numId w:val="49"/>
        </w:numPr>
        <w:ind w:left="1134" w:firstLine="0"/>
        <w:rPr>
          <w:bCs/>
        </w:rPr>
      </w:pPr>
      <w:r w:rsidRPr="000F46D0">
        <w:rPr>
          <w:bCs/>
        </w:rPr>
        <w:t xml:space="preserve">Please outline </w:t>
      </w:r>
      <w:r w:rsidRPr="000F46D0">
        <w:rPr>
          <w:lang w:val="en-AU"/>
        </w:rPr>
        <w:t xml:space="preserve">any measures taken </w:t>
      </w:r>
      <w:r w:rsidRPr="000F46D0">
        <w:rPr>
          <w:bCs/>
        </w:rPr>
        <w:t xml:space="preserve">to develop and implement a methodology to monitor and assess the effectiveness of </w:t>
      </w:r>
      <w:r w:rsidRPr="000F46D0">
        <w:rPr>
          <w:lang w:val="en-AU"/>
        </w:rPr>
        <w:t>these training programmes in reducing the incidence of torture and ill-treatment.</w:t>
      </w:r>
    </w:p>
    <w:p w14:paraId="7E89D02F" w14:textId="77777777" w:rsidR="000F46D0" w:rsidRPr="000F46D0" w:rsidRDefault="000F46D0" w:rsidP="009519F5">
      <w:pPr>
        <w:pStyle w:val="H23G"/>
        <w:rPr>
          <w:rFonts w:eastAsia="SimSun"/>
        </w:rPr>
      </w:pPr>
      <w:r w:rsidRPr="000F46D0">
        <w:rPr>
          <w:rFonts w:eastAsia="SimSun"/>
        </w:rPr>
        <w:tab/>
      </w:r>
      <w:r w:rsidRPr="000F46D0">
        <w:rPr>
          <w:rFonts w:eastAsia="SimSun"/>
        </w:rPr>
        <w:tab/>
        <w:t>Article 11</w:t>
      </w:r>
    </w:p>
    <w:p w14:paraId="7E89D030" w14:textId="77777777" w:rsidR="000F46D0" w:rsidRPr="000F46D0" w:rsidRDefault="000F46D0" w:rsidP="00092F19">
      <w:pPr>
        <w:pStyle w:val="SingleTxtG"/>
        <w:numPr>
          <w:ilvl w:val="0"/>
          <w:numId w:val="49"/>
        </w:numPr>
        <w:ind w:left="1134" w:firstLine="0"/>
        <w:rPr>
          <w:lang w:val="en-AU"/>
        </w:rPr>
      </w:pPr>
      <w:r w:rsidRPr="000F46D0">
        <w:rPr>
          <w:lang w:val="en-AU"/>
        </w:rPr>
        <w:t>With reference to the Committee’s previous concluding observations (para. 20) and the information provided in the State party’s report that at the end of June 2015 there were 44,934 remaining internally displaced persons living in Welfare Centres or with friends and relatives,</w:t>
      </w:r>
      <w:r w:rsidRPr="000F46D0">
        <w:rPr>
          <w:sz w:val="18"/>
          <w:vertAlign w:val="superscript"/>
          <w:lang w:val="en-AU"/>
        </w:rPr>
        <w:footnoteReference w:id="37"/>
      </w:r>
      <w:r w:rsidRPr="000F46D0">
        <w:rPr>
          <w:lang w:val="en-AU"/>
        </w:rPr>
        <w:t xml:space="preserve"> please provide information on the number of persons currently living in Welfare Centres and whether there is a deadline for their resettlement.</w:t>
      </w:r>
      <w:r w:rsidRPr="000F46D0">
        <w:rPr>
          <w:sz w:val="18"/>
          <w:vertAlign w:val="superscript"/>
          <w:lang w:val="en-AU"/>
        </w:rPr>
        <w:footnoteReference w:id="38"/>
      </w:r>
      <w:r w:rsidRPr="000F46D0">
        <w:rPr>
          <w:lang w:val="en-AU"/>
        </w:rPr>
        <w:t xml:space="preserve"> In particular, please </w:t>
      </w:r>
      <w:r w:rsidRPr="000F46D0">
        <w:rPr>
          <w:lang w:val="en-AU"/>
        </w:rPr>
        <w:lastRenderedPageBreak/>
        <w:t>comment on measures taken to address the findings of the OISL regarding the lack of medical care, overcrowding and poor living conditions in these centres.</w:t>
      </w:r>
      <w:r w:rsidRPr="000F46D0">
        <w:rPr>
          <w:sz w:val="18"/>
          <w:vertAlign w:val="superscript"/>
          <w:lang w:val="en-AU"/>
        </w:rPr>
        <w:footnoteReference w:id="39"/>
      </w:r>
    </w:p>
    <w:p w14:paraId="7E89D031" w14:textId="57E1E655" w:rsidR="000F46D0" w:rsidRPr="000F46D0" w:rsidRDefault="000F46D0" w:rsidP="00092F19">
      <w:pPr>
        <w:pStyle w:val="SingleTxtG"/>
        <w:numPr>
          <w:ilvl w:val="0"/>
          <w:numId w:val="49"/>
        </w:numPr>
        <w:ind w:left="1134" w:firstLine="0"/>
        <w:rPr>
          <w:lang w:val="en-AU"/>
        </w:rPr>
      </w:pPr>
      <w:r w:rsidRPr="000F46D0">
        <w:t>With reference to the Committee’s previous concluding observations (para. 8) and the information provided in the State party’s report,</w:t>
      </w:r>
      <w:r w:rsidRPr="000F46D0">
        <w:rPr>
          <w:sz w:val="18"/>
          <w:vertAlign w:val="superscript"/>
        </w:rPr>
        <w:footnoteReference w:id="40"/>
      </w:r>
      <w:r w:rsidRPr="000F46D0">
        <w:t xml:space="preserve"> please provide an update on the status of the investigation into the existence of secret detention centres allegedly run by the Sri Lankan military intelligence and paramilitary groups. In this regard, please comment on reports alleging the existence and continued use of</w:t>
      </w:r>
      <w:r w:rsidRPr="000F46D0">
        <w:rPr>
          <w:b/>
        </w:rPr>
        <w:t xml:space="preserve"> </w:t>
      </w:r>
      <w:r w:rsidRPr="000F46D0">
        <w:t>secret detention centres.</w:t>
      </w:r>
    </w:p>
    <w:p w14:paraId="7E89D032" w14:textId="77777777" w:rsidR="000F46D0" w:rsidRPr="000F46D0" w:rsidRDefault="000F46D0" w:rsidP="00092F19">
      <w:pPr>
        <w:pStyle w:val="SingleTxtG"/>
        <w:numPr>
          <w:ilvl w:val="0"/>
          <w:numId w:val="49"/>
        </w:numPr>
        <w:ind w:left="1134" w:firstLine="0"/>
        <w:rPr>
          <w:rFonts w:ascii="Times" w:hAnsi="Times"/>
        </w:rPr>
      </w:pPr>
      <w:r w:rsidRPr="000F46D0">
        <w:t>With reference to the rehabilitation of persons detained under the PTA,</w:t>
      </w:r>
      <w:r w:rsidRPr="000F46D0">
        <w:rPr>
          <w:sz w:val="18"/>
          <w:vertAlign w:val="superscript"/>
        </w:rPr>
        <w:footnoteReference w:id="41"/>
      </w:r>
      <w:r w:rsidRPr="000F46D0">
        <w:t xml:space="preserve"> please provide updated information regarding </w:t>
      </w:r>
      <w:r w:rsidRPr="000F46D0">
        <w:rPr>
          <w:rFonts w:ascii="Times" w:hAnsi="Times"/>
        </w:rPr>
        <w:t xml:space="preserve">the number of persons currently subjected to rehabilitation and the average and maximum duration of their detention in rehabilitation centres. Please also comment on reports </w:t>
      </w:r>
      <w:r w:rsidRPr="000F46D0">
        <w:rPr>
          <w:lang w:val="en-AU"/>
        </w:rPr>
        <w:t>documenting torture and ill-treatment in rehabilitation centres perpetrated by State officials</w:t>
      </w:r>
      <w:r w:rsidRPr="000F46D0">
        <w:rPr>
          <w:sz w:val="18"/>
          <w:vertAlign w:val="superscript"/>
          <w:lang w:val="en-AU"/>
        </w:rPr>
        <w:footnoteReference w:id="42"/>
      </w:r>
      <w:r w:rsidRPr="000F46D0">
        <w:rPr>
          <w:lang w:val="en-AU"/>
        </w:rPr>
        <w:t xml:space="preserve"> and whether investigations have been undertaken into these reports and their outcome. With reference to the State party’s assertion that rehabilitation is conducted only where the suspect voluntarily agrees to it, please describe the procedure whereby persons may petition to be released from rehabilitation and </w:t>
      </w:r>
      <w:r w:rsidRPr="000F46D0">
        <w:rPr>
          <w:rFonts w:ascii="Times" w:hAnsi="Times"/>
        </w:rPr>
        <w:t>the maximum legal period during which rehabilitation can be imposed.</w:t>
      </w:r>
    </w:p>
    <w:p w14:paraId="7E89D033" w14:textId="77777777" w:rsidR="000F46D0" w:rsidRPr="000F46D0" w:rsidRDefault="000F46D0" w:rsidP="00092F19">
      <w:pPr>
        <w:pStyle w:val="SingleTxtG"/>
        <w:numPr>
          <w:ilvl w:val="0"/>
          <w:numId w:val="49"/>
        </w:numPr>
        <w:ind w:left="1134" w:firstLine="0"/>
        <w:rPr>
          <w:lang w:val="en-AU"/>
        </w:rPr>
      </w:pPr>
      <w:r w:rsidRPr="000F46D0">
        <w:rPr>
          <w:lang w:val="en-AU"/>
        </w:rPr>
        <w:t>In light of the Committee’s previous concluding observations (para. 15) and with reference to paragraphs 63-65 of the State party’s report on dea</w:t>
      </w:r>
      <w:r w:rsidR="000E7749">
        <w:rPr>
          <w:lang w:val="en-AU"/>
        </w:rPr>
        <w:t>ths in custody, please provide:</w:t>
      </w:r>
    </w:p>
    <w:p w14:paraId="7E89D034" w14:textId="104E1D4E" w:rsidR="000F46D0" w:rsidRPr="000F46D0" w:rsidRDefault="000E7749" w:rsidP="000E7749">
      <w:pPr>
        <w:pStyle w:val="SingleTxtG"/>
      </w:pPr>
      <w:r>
        <w:rPr>
          <w:lang w:val="en-AU"/>
        </w:rPr>
        <w:tab/>
      </w:r>
      <w:r w:rsidR="000F46D0" w:rsidRPr="000F46D0">
        <w:rPr>
          <w:lang w:val="en-AU"/>
        </w:rPr>
        <w:t>(a)</w:t>
      </w:r>
      <w:r w:rsidR="000F46D0" w:rsidRPr="000F46D0">
        <w:rPr>
          <w:lang w:val="en-AU"/>
        </w:rPr>
        <w:tab/>
        <w:t xml:space="preserve">Annual data from 2011, </w:t>
      </w:r>
      <w:r w:rsidR="000F46D0" w:rsidRPr="000F46D0">
        <w:t xml:space="preserve">disaggregated by the place of deprivation of liberty, </w:t>
      </w:r>
      <w:r w:rsidR="000F46D0" w:rsidRPr="000F46D0">
        <w:rPr>
          <w:lang w:val="en-AU"/>
        </w:rPr>
        <w:t xml:space="preserve">on </w:t>
      </w:r>
      <w:r w:rsidR="000F46D0" w:rsidRPr="000F46D0">
        <w:t>the number of deaths in custody attributed to public officials or other prisoners, the number of investigations opened into cases of death in custody, and whether prosecutions were instituted and the</w:t>
      </w:r>
      <w:r>
        <w:t>ir outcomes</w:t>
      </w:r>
      <w:r w:rsidR="00FF2343">
        <w:t>;</w:t>
      </w:r>
    </w:p>
    <w:p w14:paraId="7E89D035" w14:textId="77777777" w:rsidR="000F46D0" w:rsidRPr="000F46D0" w:rsidRDefault="000E7749" w:rsidP="000E7749">
      <w:pPr>
        <w:pStyle w:val="SingleTxtG"/>
        <w:rPr>
          <w:lang w:val="en-AU"/>
        </w:rPr>
      </w:pPr>
      <w:r>
        <w:tab/>
      </w:r>
      <w:r w:rsidR="000F46D0" w:rsidRPr="000F46D0">
        <w:t>(b)</w:t>
      </w:r>
      <w:r w:rsidR="000F46D0" w:rsidRPr="000F46D0">
        <w:tab/>
        <w:t xml:space="preserve">Information on the outcome of any investigations and penalties imposed for deaths in </w:t>
      </w:r>
      <w:r>
        <w:t>custody in the following cases:</w:t>
      </w:r>
    </w:p>
    <w:p w14:paraId="7E89D036" w14:textId="1FC6E552" w:rsidR="000F46D0" w:rsidRPr="000F46D0" w:rsidRDefault="000F46D0" w:rsidP="00FB66E9">
      <w:pPr>
        <w:pStyle w:val="SingleTxtG"/>
        <w:ind w:left="1701"/>
      </w:pPr>
      <w:r w:rsidRPr="000F46D0">
        <w:rPr>
          <w:lang w:val="en-AU"/>
        </w:rPr>
        <w:t>(i)</w:t>
      </w:r>
      <w:r w:rsidRPr="000F46D0">
        <w:rPr>
          <w:lang w:val="en-AU"/>
        </w:rPr>
        <w:tab/>
        <w:t xml:space="preserve">The death of </w:t>
      </w:r>
      <w:r w:rsidRPr="000F46D0">
        <w:t>Chandrasiri Dassanayake, a witness in a human rights case, who was allegedly beaten by police and died in police custody on 15 April 2013;</w:t>
      </w:r>
    </w:p>
    <w:p w14:paraId="7E89D037" w14:textId="2C58462B" w:rsidR="000F46D0" w:rsidRPr="000F46D0" w:rsidRDefault="000F46D0" w:rsidP="00FB66E9">
      <w:pPr>
        <w:pStyle w:val="SingleTxtG"/>
        <w:ind w:left="1701"/>
        <w:rPr>
          <w:bCs/>
          <w:lang w:val="en-US"/>
        </w:rPr>
      </w:pPr>
      <w:r w:rsidRPr="000F46D0">
        <w:rPr>
          <w:lang w:val="en-AU"/>
        </w:rPr>
        <w:t>(ii)</w:t>
      </w:r>
      <w:r w:rsidRPr="000F46D0">
        <w:rPr>
          <w:lang w:val="en-AU"/>
        </w:rPr>
        <w:tab/>
        <w:t xml:space="preserve">The deaths of four suspects arrested </w:t>
      </w:r>
      <w:r w:rsidRPr="000F46D0">
        <w:rPr>
          <w:bCs/>
          <w:lang w:val="en-US"/>
        </w:rPr>
        <w:t>in connection with the killing of a police officer and his wife at Kamburupitiya in 2013;</w:t>
      </w:r>
    </w:p>
    <w:p w14:paraId="7E89D038" w14:textId="5188AF1F" w:rsidR="000F46D0" w:rsidRPr="000F46D0" w:rsidRDefault="000F46D0" w:rsidP="00FB66E9">
      <w:pPr>
        <w:pStyle w:val="SingleTxtG"/>
        <w:ind w:left="1701"/>
        <w:rPr>
          <w:lang w:val="en-AU"/>
        </w:rPr>
      </w:pPr>
      <w:r w:rsidRPr="000F46D0">
        <w:rPr>
          <w:lang w:val="en-AU"/>
        </w:rPr>
        <w:t>(iii)</w:t>
      </w:r>
      <w:r w:rsidRPr="000F46D0">
        <w:rPr>
          <w:lang w:val="en-AU"/>
        </w:rPr>
        <w:tab/>
        <w:t>The death of P.H. Sandun Malinga on 9 May 2014 due to injuries allegedly sustained from beatings;</w:t>
      </w:r>
    </w:p>
    <w:p w14:paraId="7E89D039" w14:textId="062F339D" w:rsidR="000F46D0" w:rsidRPr="000F46D0" w:rsidRDefault="000F46D0" w:rsidP="00FB66E9">
      <w:pPr>
        <w:pStyle w:val="SingleTxtG"/>
        <w:ind w:left="1701"/>
        <w:rPr>
          <w:rFonts w:ascii="Times" w:hAnsi="Times"/>
          <w:bCs/>
          <w:lang w:val="en-AU"/>
        </w:rPr>
      </w:pPr>
      <w:r w:rsidRPr="000F46D0">
        <w:rPr>
          <w:lang w:val="en-AU"/>
        </w:rPr>
        <w:t>(iv)</w:t>
      </w:r>
      <w:r w:rsidRPr="000F46D0">
        <w:rPr>
          <w:lang w:val="en-AU"/>
        </w:rPr>
        <w:tab/>
        <w:t>The death of M.D. Chaminda Pushpakumara, who was reportedly arrested on 4 March 2015 and died while in police custody with allegedly apparent injuries from torture</w:t>
      </w:r>
      <w:r w:rsidR="00FF2343">
        <w:rPr>
          <w:lang w:val="en-AU"/>
        </w:rPr>
        <w:t>.</w:t>
      </w:r>
    </w:p>
    <w:p w14:paraId="7E89D03A" w14:textId="77777777" w:rsidR="000F46D0" w:rsidRPr="000F46D0" w:rsidRDefault="000F46D0" w:rsidP="00092F19">
      <w:pPr>
        <w:pStyle w:val="SingleTxtG"/>
        <w:numPr>
          <w:ilvl w:val="0"/>
          <w:numId w:val="49"/>
        </w:numPr>
        <w:ind w:left="1134" w:firstLine="0"/>
        <w:rPr>
          <w:lang w:val="en-AU"/>
        </w:rPr>
      </w:pPr>
      <w:r w:rsidRPr="000F46D0">
        <w:rPr>
          <w:lang w:val="en-AU"/>
        </w:rPr>
        <w:t>With reference to the Committee’s previous concluding observations (para. 14) and the information provided in the State party’s report addressing conditions of detention,</w:t>
      </w:r>
      <w:r w:rsidRPr="000F46D0">
        <w:rPr>
          <w:sz w:val="18"/>
          <w:vertAlign w:val="superscript"/>
          <w:lang w:val="en-AU"/>
        </w:rPr>
        <w:footnoteReference w:id="43"/>
      </w:r>
      <w:r w:rsidRPr="000F46D0">
        <w:rPr>
          <w:lang w:val="en-AU"/>
        </w:rPr>
        <w:t xml:space="preserve"> please provide the following updated information:</w:t>
      </w:r>
    </w:p>
    <w:p w14:paraId="7E89D03B" w14:textId="77777777" w:rsidR="000F46D0" w:rsidRPr="000F46D0" w:rsidRDefault="000E7749" w:rsidP="000E7749">
      <w:pPr>
        <w:pStyle w:val="SingleTxtG"/>
      </w:pPr>
      <w:r>
        <w:rPr>
          <w:lang w:val="en-AU"/>
        </w:rPr>
        <w:tab/>
      </w:r>
      <w:r w:rsidR="000F46D0" w:rsidRPr="000F46D0">
        <w:rPr>
          <w:lang w:val="en-AU"/>
        </w:rPr>
        <w:t>(a)</w:t>
      </w:r>
      <w:r w:rsidR="000F46D0" w:rsidRPr="000F46D0">
        <w:rPr>
          <w:lang w:val="en-AU"/>
        </w:rPr>
        <w:tab/>
        <w:t xml:space="preserve">Annual statistical data since 2011, </w:t>
      </w:r>
      <w:r w:rsidR="000F46D0" w:rsidRPr="000F46D0">
        <w:rPr>
          <w:lang w:eastAsia="es-ES"/>
        </w:rPr>
        <w:t>disaggregated by the place of detention,</w:t>
      </w:r>
      <w:r w:rsidR="000F46D0" w:rsidRPr="000F46D0">
        <w:rPr>
          <w:lang w:val="en-AU"/>
        </w:rPr>
        <w:t xml:space="preserve"> on </w:t>
      </w:r>
      <w:r w:rsidR="000F46D0" w:rsidRPr="000F46D0">
        <w:t>the capacity and occupancy rates of all places of detention, indicating the number of pre-trial detainees at each place of detention;</w:t>
      </w:r>
    </w:p>
    <w:p w14:paraId="7E89D03C" w14:textId="1A9E191D" w:rsidR="000F46D0" w:rsidRPr="000F46D0" w:rsidRDefault="000F46D0" w:rsidP="000E7749">
      <w:pPr>
        <w:pStyle w:val="SingleTxtG"/>
      </w:pPr>
      <w:r w:rsidRPr="000F46D0">
        <w:lastRenderedPageBreak/>
        <w:tab/>
        <w:t>(b)</w:t>
      </w:r>
      <w:r w:rsidRPr="000F46D0">
        <w:tab/>
        <w:t>Information on measures taken to address</w:t>
      </w:r>
      <w:r w:rsidRPr="000F46D0">
        <w:rPr>
          <w:lang w:val="en-AU"/>
        </w:rPr>
        <w:t xml:space="preserve"> reports of extremely poor conditions in places of detention, including severe overcrowding, unsanitary facilities, and insufficient access to medical facilities, including </w:t>
      </w:r>
      <w:r w:rsidRPr="000F46D0">
        <w:t>updates on the impact of the “Urban Prison Relocation Program” on overcrowding in prisons</w:t>
      </w:r>
      <w:r w:rsidRPr="000F46D0">
        <w:rPr>
          <w:sz w:val="18"/>
          <w:vertAlign w:val="superscript"/>
        </w:rPr>
        <w:footnoteReference w:id="44"/>
      </w:r>
      <w:r w:rsidRPr="000F46D0">
        <w:t xml:space="preserve"> and information on whether the proposed </w:t>
      </w:r>
      <w:r w:rsidRPr="000F46D0">
        <w:rPr>
          <w:lang w:val="en-AU"/>
        </w:rPr>
        <w:t>draft amendments to the Prison Ordinance and the New Prison Administration Bill address these concerns and, if so, whether they have been adopted</w:t>
      </w:r>
      <w:r w:rsidR="00FF2343">
        <w:rPr>
          <w:lang w:val="en-AU"/>
        </w:rPr>
        <w:t>;</w:t>
      </w:r>
      <w:r w:rsidRPr="000F46D0">
        <w:rPr>
          <w:sz w:val="18"/>
          <w:vertAlign w:val="superscript"/>
          <w:lang w:val="en-AU"/>
        </w:rPr>
        <w:footnoteReference w:id="45"/>
      </w:r>
    </w:p>
    <w:p w14:paraId="7E89D03D" w14:textId="3E363E29" w:rsidR="000F46D0" w:rsidRPr="000F46D0" w:rsidRDefault="000F46D0" w:rsidP="000E7749">
      <w:pPr>
        <w:pStyle w:val="SingleTxtG"/>
      </w:pPr>
      <w:r w:rsidRPr="000F46D0">
        <w:tab/>
        <w:t>(c)</w:t>
      </w:r>
      <w:r w:rsidRPr="000F46D0">
        <w:tab/>
        <w:t>Details on measures taken to reduce long-term pre-trial detention,</w:t>
      </w:r>
      <w:r w:rsidRPr="000F46D0">
        <w:rPr>
          <w:sz w:val="18"/>
          <w:vertAlign w:val="superscript"/>
        </w:rPr>
        <w:footnoteReference w:id="46"/>
      </w:r>
      <w:r w:rsidRPr="000F46D0">
        <w:t xml:space="preserve"> including </w:t>
      </w:r>
      <w:r w:rsidRPr="000F46D0">
        <w:rPr>
          <w:lang w:eastAsia="es-ES"/>
        </w:rPr>
        <w:t>the use of alternative measures to detention,</w:t>
      </w:r>
      <w:r w:rsidRPr="000F46D0">
        <w:t xml:space="preserve"> including data on the number of cases in which alternatives to pre-trial detention have been implemented</w:t>
      </w:r>
      <w:r w:rsidR="00FF2343">
        <w:t>.</w:t>
      </w:r>
    </w:p>
    <w:p w14:paraId="7E89D03E" w14:textId="77777777" w:rsidR="000F46D0" w:rsidRPr="000F46D0" w:rsidRDefault="000F46D0" w:rsidP="00092F19">
      <w:pPr>
        <w:pStyle w:val="SingleTxtG"/>
        <w:numPr>
          <w:ilvl w:val="0"/>
          <w:numId w:val="49"/>
        </w:numPr>
        <w:ind w:left="1134" w:firstLine="0"/>
        <w:rPr>
          <w:lang w:val="en-AU"/>
        </w:rPr>
      </w:pPr>
      <w:r w:rsidRPr="000F46D0">
        <w:rPr>
          <w:lang w:val="en-AU"/>
        </w:rPr>
        <w:t>With reference to the Committee’s previous concluding observations (para. 16) and the information provided in the State party’s report,</w:t>
      </w:r>
      <w:r w:rsidRPr="000F46D0">
        <w:rPr>
          <w:sz w:val="18"/>
          <w:vertAlign w:val="superscript"/>
          <w:lang w:val="en-AU"/>
        </w:rPr>
        <w:footnoteReference w:id="47"/>
      </w:r>
      <w:r w:rsidRPr="000F46D0">
        <w:rPr>
          <w:lang w:val="en-AU"/>
        </w:rPr>
        <w:t xml:space="preserve"> </w:t>
      </w:r>
      <w:r w:rsidRPr="000F46D0">
        <w:rPr>
          <w:rFonts w:ascii="Times" w:hAnsi="Times"/>
          <w:bCs/>
          <w:lang w:val="en-AU"/>
        </w:rPr>
        <w:t>please</w:t>
      </w:r>
      <w:r w:rsidRPr="000F46D0">
        <w:t xml:space="preserve"> provide details of the number of visits to places of detention conducted by the </w:t>
      </w:r>
      <w:r w:rsidRPr="000F46D0">
        <w:rPr>
          <w:lang w:eastAsia="es-ES"/>
        </w:rPr>
        <w:t>HRCSL</w:t>
      </w:r>
      <w:r w:rsidRPr="000F46D0">
        <w:t>,</w:t>
      </w:r>
      <w:r w:rsidRPr="000F46D0">
        <w:rPr>
          <w:vertAlign w:val="superscript"/>
          <w:lang w:val="en-AU"/>
        </w:rPr>
        <w:footnoteReference w:id="48"/>
      </w:r>
      <w:r w:rsidRPr="000F46D0">
        <w:t xml:space="preserve"> non-governmental organizations, and the International Committee of the Red Cross (ICRC), disaggregated by location. Do these entities have access to facilities holding internally displaced persons and former LTTE members? </w:t>
      </w:r>
      <w:r w:rsidRPr="000F46D0">
        <w:rPr>
          <w:rFonts w:ascii="Times" w:hAnsi="Times"/>
          <w:bCs/>
          <w:lang w:val="en-AU"/>
        </w:rPr>
        <w:t xml:space="preserve">What </w:t>
      </w:r>
      <w:r w:rsidRPr="000F46D0">
        <w:rPr>
          <w:lang w:val="en-AU"/>
        </w:rPr>
        <w:t>measures</w:t>
      </w:r>
      <w:r w:rsidRPr="000F46D0">
        <w:rPr>
          <w:rFonts w:ascii="Times" w:hAnsi="Times"/>
          <w:bCs/>
          <w:lang w:val="en-AU"/>
        </w:rPr>
        <w:t xml:space="preserve"> </w:t>
      </w:r>
      <w:r w:rsidRPr="000F46D0">
        <w:rPr>
          <w:lang w:val="en-AU"/>
        </w:rPr>
        <w:t>have been taken to establish an independent and systematic monitoring system at the national level for all detention facilities?</w:t>
      </w:r>
      <w:r w:rsidRPr="000F46D0" w:rsidDel="00C7297A">
        <w:t xml:space="preserve"> </w:t>
      </w:r>
      <w:r w:rsidRPr="000F46D0">
        <w:t xml:space="preserve">Please also indicate whether the State party envisages ratifying the Optional Protocol to </w:t>
      </w:r>
      <w:r w:rsidR="000E7749">
        <w:t>the Convention against Torture.</w:t>
      </w:r>
    </w:p>
    <w:p w14:paraId="7E89D03F" w14:textId="77777777" w:rsidR="000F46D0" w:rsidRPr="000F46D0" w:rsidRDefault="000277C0" w:rsidP="000E7749">
      <w:pPr>
        <w:pStyle w:val="H23G"/>
        <w:rPr>
          <w:u w:val="single"/>
          <w:lang w:val="en-AU"/>
        </w:rPr>
      </w:pPr>
      <w:r>
        <w:rPr>
          <w:rFonts w:eastAsia="SimSun"/>
        </w:rPr>
        <w:tab/>
      </w:r>
      <w:r>
        <w:rPr>
          <w:rFonts w:eastAsia="SimSun"/>
        </w:rPr>
        <w:tab/>
        <w:t>Article 12</w:t>
      </w:r>
    </w:p>
    <w:p w14:paraId="7E89D040" w14:textId="77777777" w:rsidR="000F46D0" w:rsidRPr="000F46D0" w:rsidRDefault="000F46D0" w:rsidP="00092F19">
      <w:pPr>
        <w:pStyle w:val="SingleTxtG"/>
        <w:numPr>
          <w:ilvl w:val="0"/>
          <w:numId w:val="49"/>
        </w:numPr>
        <w:ind w:left="1134" w:firstLine="0"/>
        <w:rPr>
          <w:lang w:val="en-AU"/>
        </w:rPr>
      </w:pPr>
      <w:r w:rsidRPr="000F46D0">
        <w:rPr>
          <w:lang w:val="en-AU"/>
        </w:rPr>
        <w:t xml:space="preserve">With reference to the Committee’s previous concluding observations (para. 18), and the information </w:t>
      </w:r>
      <w:r w:rsidRPr="000F46D0">
        <w:rPr>
          <w:lang w:eastAsia="es-ES"/>
        </w:rPr>
        <w:t>received from the State party on follow-up to the concluding observations</w:t>
      </w:r>
      <w:r w:rsidRPr="000F46D0">
        <w:rPr>
          <w:sz w:val="18"/>
          <w:vertAlign w:val="superscript"/>
          <w:lang w:eastAsia="es-ES"/>
        </w:rPr>
        <w:footnoteReference w:id="49"/>
      </w:r>
      <w:r w:rsidRPr="000F46D0">
        <w:rPr>
          <w:lang w:val="en-AU"/>
        </w:rPr>
        <w:t xml:space="preserve"> indicating</w:t>
      </w:r>
      <w:r w:rsidRPr="000F46D0">
        <w:rPr>
          <w:szCs w:val="18"/>
          <w:lang w:val="en-AU"/>
        </w:rPr>
        <w:t xml:space="preserve"> that </w:t>
      </w:r>
      <w:r w:rsidRPr="000F46D0">
        <w:rPr>
          <w:lang w:val="en-AU"/>
        </w:rPr>
        <w:t>“all investigations are conducted by the officers attached to the police”,</w:t>
      </w:r>
      <w:r w:rsidRPr="000F46D0">
        <w:rPr>
          <w:vertAlign w:val="superscript"/>
          <w:lang w:val="en-AU"/>
        </w:rPr>
        <w:footnoteReference w:id="50"/>
      </w:r>
      <w:r w:rsidRPr="000F46D0">
        <w:rPr>
          <w:lang w:val="en-AU"/>
        </w:rPr>
        <w:t xml:space="preserve"> please explain:</w:t>
      </w:r>
    </w:p>
    <w:p w14:paraId="7E89D041" w14:textId="77777777" w:rsidR="000F46D0" w:rsidRPr="000F46D0" w:rsidRDefault="000E7749" w:rsidP="000E7749">
      <w:pPr>
        <w:pStyle w:val="SingleTxtG"/>
      </w:pPr>
      <w:r>
        <w:rPr>
          <w:lang w:val="en-AU"/>
        </w:rPr>
        <w:tab/>
      </w:r>
      <w:r w:rsidR="000F46D0" w:rsidRPr="000F46D0">
        <w:rPr>
          <w:lang w:val="en-AU"/>
        </w:rPr>
        <w:t>(a)</w:t>
      </w:r>
      <w:r w:rsidR="000F46D0" w:rsidRPr="000F46D0">
        <w:rPr>
          <w:lang w:val="en-AU"/>
        </w:rPr>
        <w:tab/>
        <w:t xml:space="preserve">Whether the State party is taking measures to create an independent body to </w:t>
      </w:r>
      <w:r w:rsidR="000F46D0" w:rsidRPr="000F46D0">
        <w:t>investigate</w:t>
      </w:r>
      <w:r w:rsidR="000F46D0" w:rsidRPr="000F46D0">
        <w:rPr>
          <w:lang w:eastAsia="zh-CN"/>
        </w:rPr>
        <w:t xml:space="preserve"> allegations of torture or ill-treatment by police officers</w:t>
      </w:r>
      <w:r w:rsidR="000F46D0" w:rsidRPr="000F46D0">
        <w:t xml:space="preserve"> in order to ensure that there is no hierarchical or institutional link between the suspected perpetrators and the investigators. In this regard, please address concerns that the Special Investigation Unit (SIU)</w:t>
      </w:r>
      <w:r w:rsidR="000F46D0" w:rsidRPr="000F46D0">
        <w:rPr>
          <w:lang w:eastAsia="zh-CN"/>
        </w:rPr>
        <w:t xml:space="preserve"> of </w:t>
      </w:r>
      <w:r w:rsidR="000F46D0" w:rsidRPr="000F46D0">
        <w:t xml:space="preserve">the </w:t>
      </w:r>
      <w:r w:rsidR="000F46D0" w:rsidRPr="000F46D0">
        <w:rPr>
          <w:lang w:eastAsia="zh-CN"/>
        </w:rPr>
        <w:t>Department of Police</w:t>
      </w:r>
      <w:r w:rsidR="000F46D0" w:rsidRPr="000F46D0">
        <w:t xml:space="preserve"> is not sufficiently independent from the police to carry out this function.  Please also clarify whether the Prosecution of Torture Perpetrators Unit of the Attorney General’s Department supervises all SIU investigations into allegations of torture and ill-treatment;</w:t>
      </w:r>
    </w:p>
    <w:p w14:paraId="7E89D042" w14:textId="77777777" w:rsidR="000F46D0" w:rsidRPr="000F46D0" w:rsidRDefault="000E7749" w:rsidP="000E7749">
      <w:pPr>
        <w:pStyle w:val="SingleTxtG"/>
      </w:pPr>
      <w:r>
        <w:tab/>
      </w:r>
      <w:r w:rsidR="000F46D0" w:rsidRPr="000F46D0">
        <w:t>(b)</w:t>
      </w:r>
      <w:r w:rsidR="000F46D0" w:rsidRPr="000F46D0">
        <w:tab/>
      </w:r>
      <w:r w:rsidR="000F46D0" w:rsidRPr="000F46D0">
        <w:rPr>
          <w:lang w:val="en-AU"/>
        </w:rPr>
        <w:t xml:space="preserve">Whether the State party is taking measures to respond to reports that police and other officials who have been credibly accused of torture are permitted to maintain their posts </w:t>
      </w:r>
      <w:r w:rsidR="000F46D0" w:rsidRPr="000F46D0">
        <w:t>during the process of investigation and are not suspended or reassigned pending the investigation of the allegations</w:t>
      </w:r>
      <w:r w:rsidR="000F46D0" w:rsidRPr="000F46D0">
        <w:rPr>
          <w:lang w:val="en-AU"/>
        </w:rPr>
        <w:t>;</w:t>
      </w:r>
      <w:r w:rsidR="000F46D0" w:rsidRPr="000F46D0">
        <w:rPr>
          <w:sz w:val="18"/>
          <w:vertAlign w:val="superscript"/>
          <w:lang w:val="en-AU"/>
        </w:rPr>
        <w:footnoteReference w:id="51"/>
      </w:r>
    </w:p>
    <w:p w14:paraId="7E89D043" w14:textId="41FB6F74" w:rsidR="000F46D0" w:rsidRPr="000F46D0" w:rsidRDefault="000E7749" w:rsidP="000E7749">
      <w:pPr>
        <w:pStyle w:val="SingleTxtG"/>
        <w:rPr>
          <w:lang w:val="en-AU"/>
        </w:rPr>
      </w:pPr>
      <w:r>
        <w:rPr>
          <w:szCs w:val="18"/>
          <w:lang w:val="en-AU"/>
        </w:rPr>
        <w:tab/>
      </w:r>
      <w:r w:rsidR="000F46D0" w:rsidRPr="000F46D0">
        <w:rPr>
          <w:szCs w:val="18"/>
          <w:lang w:val="en-AU"/>
        </w:rPr>
        <w:t>(c)</w:t>
      </w:r>
      <w:r w:rsidR="000F46D0" w:rsidRPr="000F46D0">
        <w:rPr>
          <w:szCs w:val="18"/>
          <w:lang w:val="en-AU"/>
        </w:rPr>
        <w:tab/>
        <w:t xml:space="preserve">Whether the National Police Commission is currently active, the </w:t>
      </w:r>
      <w:r w:rsidR="000F46D0" w:rsidRPr="000F46D0">
        <w:rPr>
          <w:lang w:val="en-AU"/>
        </w:rPr>
        <w:t>measures</w:t>
      </w:r>
      <w:r w:rsidR="000F46D0" w:rsidRPr="000F46D0">
        <w:rPr>
          <w:szCs w:val="18"/>
          <w:lang w:val="en-AU"/>
        </w:rPr>
        <w:t xml:space="preserve"> taken to ensure its independence, the number of complaints it has received, the number of investigations conducted into allegations torture or ill-treatment by police officers, and whether any investigations have resulted in prosecutions or disciplinary action.</w:t>
      </w:r>
    </w:p>
    <w:p w14:paraId="7E89D044" w14:textId="77777777" w:rsidR="000F46D0" w:rsidRPr="000F46D0" w:rsidRDefault="000F46D0" w:rsidP="000277C0">
      <w:pPr>
        <w:pStyle w:val="SingleTxtG"/>
        <w:numPr>
          <w:ilvl w:val="0"/>
          <w:numId w:val="49"/>
        </w:numPr>
        <w:ind w:left="1134" w:firstLine="0"/>
        <w:rPr>
          <w:lang w:val="en-AU"/>
        </w:rPr>
      </w:pPr>
      <w:r w:rsidRPr="000F46D0">
        <w:lastRenderedPageBreak/>
        <w:t>With reference to the Committee’s previous concluding observations (para. 21) and noting the information provided in the State party’s report,</w:t>
      </w:r>
      <w:r w:rsidRPr="000F46D0">
        <w:rPr>
          <w:sz w:val="18"/>
          <w:vertAlign w:val="superscript"/>
        </w:rPr>
        <w:footnoteReference w:id="52"/>
      </w:r>
      <w:r w:rsidRPr="000F46D0">
        <w:t xml:space="preserve"> please provide updated information on measures taken to investigate allegations of torture and ill-treatment committed in the course of the armed conflict during the period covered by the Lessons Learned and Reconciliation Commission (LLRC) (</w:t>
      </w:r>
      <w:r w:rsidRPr="000F46D0">
        <w:rPr>
          <w:lang w:val="en-AU"/>
        </w:rPr>
        <w:t>21 February 2002 – 19 May 2009).</w:t>
      </w:r>
      <w:r w:rsidRPr="000F46D0">
        <w:rPr>
          <w:sz w:val="18"/>
          <w:vertAlign w:val="superscript"/>
        </w:rPr>
        <w:footnoteReference w:id="53"/>
      </w:r>
      <w:r w:rsidRPr="000F46D0">
        <w:rPr>
          <w:rFonts w:ascii="Times" w:hAnsi="Times"/>
        </w:rPr>
        <w:t xml:space="preserve"> In particular, please provide </w:t>
      </w:r>
      <w:r w:rsidRPr="000F46D0">
        <w:t xml:space="preserve">updated </w:t>
      </w:r>
      <w:r w:rsidRPr="000F46D0">
        <w:rPr>
          <w:lang w:val="en-AU"/>
        </w:rPr>
        <w:t>information and details on the</w:t>
      </w:r>
      <w:r w:rsidRPr="000F46D0">
        <w:rPr>
          <w:rFonts w:ascii="Times" w:hAnsi="Times"/>
        </w:rPr>
        <w:t xml:space="preserve"> investigations conducted or reopened with respect </w:t>
      </w:r>
      <w:r w:rsidR="000E7749">
        <w:rPr>
          <w:lang w:val="en-AU"/>
        </w:rPr>
        <w:t>to:</w:t>
      </w:r>
    </w:p>
    <w:p w14:paraId="7E89D045" w14:textId="77777777" w:rsidR="000F46D0" w:rsidRPr="000F46D0" w:rsidRDefault="000E7749" w:rsidP="000E7749">
      <w:pPr>
        <w:pStyle w:val="SingleTxtG"/>
        <w:rPr>
          <w:lang w:val="en-AU"/>
        </w:rPr>
      </w:pPr>
      <w:r>
        <w:rPr>
          <w:lang w:val="en-US"/>
        </w:rPr>
        <w:tab/>
      </w:r>
      <w:r w:rsidR="000F46D0" w:rsidRPr="000F46D0">
        <w:rPr>
          <w:lang w:val="en-US"/>
        </w:rPr>
        <w:t>(a)</w:t>
      </w:r>
      <w:r w:rsidR="000F46D0" w:rsidRPr="000F46D0">
        <w:rPr>
          <w:lang w:val="en-US"/>
        </w:rPr>
        <w:tab/>
        <w:t xml:space="preserve">The murder of five students in Trincomalee in 2006, which according to the State party’s report was to be the subject of proceedings at </w:t>
      </w:r>
      <w:r w:rsidR="000F46D0" w:rsidRPr="000F46D0">
        <w:rPr>
          <w:lang w:val="en-AU"/>
        </w:rPr>
        <w:t>the Magistrates Court of Trincomalee on 7 December 2015;</w:t>
      </w:r>
      <w:r w:rsidR="000F46D0" w:rsidRPr="000F46D0">
        <w:rPr>
          <w:vertAlign w:val="superscript"/>
          <w:lang w:val="en-AU"/>
        </w:rPr>
        <w:footnoteReference w:id="54"/>
      </w:r>
    </w:p>
    <w:p w14:paraId="7E89D046" w14:textId="65EF96B2" w:rsidR="000F46D0" w:rsidRPr="000F46D0" w:rsidRDefault="000E7749" w:rsidP="000E7749">
      <w:pPr>
        <w:pStyle w:val="SingleTxtG"/>
        <w:rPr>
          <w:lang w:val="en-AU"/>
        </w:rPr>
      </w:pPr>
      <w:r>
        <w:rPr>
          <w:lang w:val="en-AU"/>
        </w:rPr>
        <w:tab/>
      </w:r>
      <w:r w:rsidR="000F46D0" w:rsidRPr="000F46D0">
        <w:rPr>
          <w:lang w:val="en-AU"/>
        </w:rPr>
        <w:t>(b)</w:t>
      </w:r>
      <w:r w:rsidR="000F46D0" w:rsidRPr="000F46D0">
        <w:rPr>
          <w:lang w:val="en-AU"/>
        </w:rPr>
        <w:tab/>
        <w:t>The death of 17 aid workers of Action Contre La Faim (ACF) in 2006, which according to the State party’s report is the subject of an ongoing investigation</w:t>
      </w:r>
      <w:r w:rsidR="00FF2343">
        <w:rPr>
          <w:lang w:val="en-AU"/>
        </w:rPr>
        <w:t>;</w:t>
      </w:r>
      <w:r w:rsidR="000F46D0" w:rsidRPr="000F46D0">
        <w:rPr>
          <w:vertAlign w:val="superscript"/>
          <w:lang w:val="en-AU"/>
        </w:rPr>
        <w:footnoteReference w:id="55"/>
      </w:r>
    </w:p>
    <w:p w14:paraId="7E89D047" w14:textId="33751789" w:rsidR="000F46D0" w:rsidRPr="000F46D0" w:rsidRDefault="000E7749" w:rsidP="000E7749">
      <w:pPr>
        <w:pStyle w:val="SingleTxtG"/>
      </w:pPr>
      <w:r>
        <w:rPr>
          <w:lang w:val="en-AU"/>
        </w:rPr>
        <w:tab/>
      </w:r>
      <w:r w:rsidR="000F46D0" w:rsidRPr="000F46D0">
        <w:rPr>
          <w:lang w:val="en-AU"/>
        </w:rPr>
        <w:t>(c)</w:t>
      </w:r>
      <w:r w:rsidR="000F46D0" w:rsidRPr="000F46D0">
        <w:rPr>
          <w:lang w:val="en-AU"/>
        </w:rPr>
        <w:tab/>
        <w:t>Alleged cases of executions by Sri Lanka Army personnel of persons who had surrendered,</w:t>
      </w:r>
      <w:r w:rsidR="000F46D0" w:rsidRPr="000F46D0">
        <w:rPr>
          <w:vertAlign w:val="superscript"/>
        </w:rPr>
        <w:footnoteReference w:id="56"/>
      </w:r>
      <w:r w:rsidR="000F46D0" w:rsidRPr="000F46D0">
        <w:rPr>
          <w:lang w:val="en-AU"/>
        </w:rPr>
        <w:t xml:space="preserve"> including (i)  </w:t>
      </w:r>
      <w:r w:rsidR="000F46D0" w:rsidRPr="000F46D0">
        <w:t>Balachandran Prabhakaran, the 12-year old son of the LTTE leader Villupillai Prabhakaran; (ii) T. Thurairajasingham (alias Colonel Ramesh); (iii) Shoba (alias Isaipriya); (iv) the high-level LTTE leaders allegedly executed on 18 May 2009 in the “White flag” incident;</w:t>
      </w:r>
      <w:r w:rsidR="000F46D0" w:rsidRPr="000F46D0">
        <w:rPr>
          <w:vertAlign w:val="superscript"/>
        </w:rPr>
        <w:footnoteReference w:id="57"/>
      </w:r>
      <w:r w:rsidR="000F46D0" w:rsidRPr="000F46D0">
        <w:t xml:space="preserve"> and (v) the Tamil captives depicted in </w:t>
      </w:r>
      <w:r w:rsidR="000F46D0" w:rsidRPr="000F46D0">
        <w:rPr>
          <w:lang w:val="en-AU"/>
        </w:rPr>
        <w:t>video and photographic material broadcast by United Kingdom Channel 4 news</w:t>
      </w:r>
      <w:r w:rsidR="00FF2343">
        <w:rPr>
          <w:lang w:val="en-AU"/>
        </w:rPr>
        <w:t>.</w:t>
      </w:r>
      <w:r w:rsidR="000F46D0" w:rsidRPr="000F46D0">
        <w:rPr>
          <w:vertAlign w:val="superscript"/>
          <w:lang w:val="en-AU"/>
        </w:rPr>
        <w:footnoteReference w:id="58"/>
      </w:r>
    </w:p>
    <w:p w14:paraId="7E89D048" w14:textId="77777777" w:rsidR="000F46D0" w:rsidRPr="000F46D0" w:rsidRDefault="000F46D0" w:rsidP="00092F19">
      <w:pPr>
        <w:pStyle w:val="SingleTxtG"/>
        <w:numPr>
          <w:ilvl w:val="0"/>
          <w:numId w:val="49"/>
        </w:numPr>
        <w:ind w:left="1134" w:firstLine="0"/>
        <w:rPr>
          <w:rFonts w:ascii="Times" w:hAnsi="Times"/>
          <w:szCs w:val="18"/>
          <w:lang w:val="en-US"/>
        </w:rPr>
      </w:pPr>
      <w:r w:rsidRPr="000F46D0">
        <w:t xml:space="preserve">Please comment on reports questioning the independence of military courts </w:t>
      </w:r>
      <w:r w:rsidRPr="000F46D0">
        <w:rPr>
          <w:rFonts w:ascii="Times" w:hAnsi="Times"/>
          <w:szCs w:val="18"/>
          <w:lang w:val="en-US"/>
        </w:rPr>
        <w:t>of inquiry</w:t>
      </w:r>
      <w:r w:rsidRPr="000F46D0">
        <w:rPr>
          <w:sz w:val="18"/>
          <w:vertAlign w:val="superscript"/>
          <w:lang w:val="en-AU"/>
        </w:rPr>
        <w:footnoteReference w:id="59"/>
      </w:r>
      <w:r w:rsidRPr="000F46D0">
        <w:rPr>
          <w:rFonts w:ascii="Times" w:hAnsi="Times"/>
          <w:szCs w:val="18"/>
          <w:lang w:val="en-US"/>
        </w:rPr>
        <w:t xml:space="preserve"> </w:t>
      </w:r>
      <w:r w:rsidRPr="000F46D0">
        <w:rPr>
          <w:lang w:val="en-AU"/>
        </w:rPr>
        <w:t>and indicate whether civilian authorities will reopen investigations into allegations of torture and ill-treatment</w:t>
      </w:r>
      <w:r w:rsidRPr="000F46D0">
        <w:rPr>
          <w:rFonts w:ascii="Times" w:hAnsi="Times"/>
          <w:szCs w:val="18"/>
          <w:lang w:val="en-US"/>
        </w:rPr>
        <w:t xml:space="preserve"> referred to in the LLRC report that are</w:t>
      </w:r>
      <w:r w:rsidRPr="000F46D0">
        <w:rPr>
          <w:lang w:val="en-AU"/>
        </w:rPr>
        <w:t xml:space="preserve"> alleged to have been perpetrated by</w:t>
      </w:r>
      <w:r w:rsidR="000E7749">
        <w:rPr>
          <w:lang w:val="en-AU"/>
        </w:rPr>
        <w:t xml:space="preserve"> the military or armed forces.</w:t>
      </w:r>
    </w:p>
    <w:p w14:paraId="7E89D049" w14:textId="2E14B9B0" w:rsidR="000F46D0" w:rsidRPr="000F46D0" w:rsidRDefault="000F46D0" w:rsidP="00092F19">
      <w:pPr>
        <w:pStyle w:val="SingleTxtG"/>
        <w:numPr>
          <w:ilvl w:val="0"/>
          <w:numId w:val="49"/>
        </w:numPr>
        <w:ind w:left="1134" w:firstLine="0"/>
        <w:rPr>
          <w:lang w:val="en-AU"/>
        </w:rPr>
      </w:pPr>
      <w:r w:rsidRPr="000F46D0">
        <w:t>P</w:t>
      </w:r>
      <w:r w:rsidRPr="000F46D0">
        <w:rPr>
          <w:lang w:val="en-AU"/>
        </w:rPr>
        <w:t xml:space="preserve">lease provide an update on the progress made in relation to the establishment of the envisaged </w:t>
      </w:r>
      <w:r w:rsidRPr="000F46D0">
        <w:t xml:space="preserve">Judicial Mechanism with a Special Counsel referenced </w:t>
      </w:r>
      <w:r w:rsidRPr="000F46D0">
        <w:rPr>
          <w:rFonts w:ascii="Times" w:hAnsi="Times"/>
        </w:rPr>
        <w:t xml:space="preserve">in paragraph 7 of the State party’s report </w:t>
      </w:r>
      <w:r w:rsidRPr="000F46D0">
        <w:rPr>
          <w:lang w:val="en-AU"/>
        </w:rPr>
        <w:t>and whether it will have jurisdiction in relation to crimes of torture, sexual violence, and enforced disappearances, including the principle of command responsibility,</w:t>
      </w:r>
      <w:r w:rsidRPr="000F46D0">
        <w:rPr>
          <w:vertAlign w:val="superscript"/>
          <w:lang w:val="en-AU"/>
        </w:rPr>
        <w:footnoteReference w:id="60"/>
      </w:r>
      <w:r w:rsidRPr="000F46D0">
        <w:rPr>
          <w:lang w:val="en-AU"/>
        </w:rPr>
        <w:t xml:space="preserve"> and also clarify its temporal jurisdiction.</w:t>
      </w:r>
      <w:r w:rsidRPr="000F46D0">
        <w:rPr>
          <w:sz w:val="18"/>
          <w:vertAlign w:val="superscript"/>
        </w:rPr>
        <w:footnoteReference w:id="61"/>
      </w:r>
      <w:r w:rsidRPr="000F46D0">
        <w:rPr>
          <w:lang w:val="en-AU"/>
        </w:rPr>
        <w:t xml:space="preserve"> Please also indicate how the independence of this mechanism will be ensured. Please clarify whether the Judicial Mechanism will integrate international judges, prosecutors, lawyers and investigators, as recommended by the OISL.</w:t>
      </w:r>
      <w:r w:rsidRPr="000F46D0">
        <w:rPr>
          <w:sz w:val="18"/>
          <w:vertAlign w:val="superscript"/>
          <w:lang w:val="en-AU"/>
        </w:rPr>
        <w:footnoteReference w:id="62"/>
      </w:r>
    </w:p>
    <w:p w14:paraId="7E89D04A" w14:textId="77777777" w:rsidR="000F46D0" w:rsidRPr="000F46D0" w:rsidRDefault="000F46D0" w:rsidP="00092F19">
      <w:pPr>
        <w:pStyle w:val="SingleTxtG"/>
        <w:numPr>
          <w:ilvl w:val="0"/>
          <w:numId w:val="49"/>
        </w:numPr>
        <w:ind w:left="1134" w:firstLine="0"/>
        <w:rPr>
          <w:lang w:val="en-AU"/>
        </w:rPr>
      </w:pPr>
      <w:r w:rsidRPr="000F46D0">
        <w:rPr>
          <w:lang w:val="en-AU"/>
        </w:rPr>
        <w:t xml:space="preserve">Please provide an update on the progress made in relation to the establishment of </w:t>
      </w:r>
      <w:r w:rsidRPr="000F46D0">
        <w:t>a Commission for Truth, Justice, Reconciliation and Non-recurrence as referenced in the State party’s report (para. 7), and indicate: (i) whether it will have jurisdiction in relation to the crimes of torture, sexual violence, and enforced disappearance; (ii) its temporal jurisdiction; and (iii) its envisaged relationship with the Judicial Mechanism with a Special Counsel, also referred to in the State party’s report.</w:t>
      </w:r>
    </w:p>
    <w:p w14:paraId="7E89D04B" w14:textId="6C246363" w:rsidR="000F46D0" w:rsidRPr="000F46D0" w:rsidRDefault="000F46D0" w:rsidP="00092F19">
      <w:pPr>
        <w:pStyle w:val="SingleTxtG"/>
        <w:numPr>
          <w:ilvl w:val="0"/>
          <w:numId w:val="49"/>
        </w:numPr>
        <w:ind w:left="1134" w:firstLine="0"/>
        <w:rPr>
          <w:rFonts w:ascii="Times" w:hAnsi="Times"/>
        </w:rPr>
      </w:pPr>
      <w:r w:rsidRPr="000F46D0">
        <w:rPr>
          <w:lang w:val="en-AU"/>
        </w:rPr>
        <w:lastRenderedPageBreak/>
        <w:t xml:space="preserve">Please indicate what measures the State party has taken to investigate allegations that </w:t>
      </w:r>
      <w:r w:rsidRPr="000F46D0">
        <w:t>State agents</w:t>
      </w:r>
      <w:r w:rsidRPr="000F46D0">
        <w:rPr>
          <w:lang w:val="en-AU"/>
        </w:rPr>
        <w:t xml:space="preserve"> have engaged in increased levels of torture and ill-treatment, including sexual violence and abuse, a</w:t>
      </w:r>
      <w:r w:rsidRPr="000F46D0">
        <w:t xml:space="preserve">gainst suspected supporters of the LTTE during the post-conflict period, including as described in the </w:t>
      </w:r>
      <w:r w:rsidRPr="000F46D0">
        <w:rPr>
          <w:lang w:val="en-AU"/>
        </w:rPr>
        <w:t xml:space="preserve">March 2015 report of the </w:t>
      </w:r>
      <w:r w:rsidRPr="000F46D0">
        <w:rPr>
          <w:rFonts w:ascii="Times" w:hAnsi="Times"/>
          <w:szCs w:val="18"/>
          <w:lang w:val="en-US"/>
        </w:rPr>
        <w:t>United Nations Secretary-General on conflict-related sexual violence (S/2015/203).</w:t>
      </w:r>
      <w:r w:rsidRPr="000F46D0">
        <w:rPr>
          <w:vertAlign w:val="superscript"/>
          <w:lang w:val="en-AU"/>
        </w:rPr>
        <w:footnoteReference w:id="63"/>
      </w:r>
      <w:r w:rsidRPr="000F46D0">
        <w:rPr>
          <w:lang w:val="en-AU"/>
        </w:rPr>
        <w:t xml:space="preserve"> In this respect, please explain whether any investigations have been conducted so far concerning allegations of torture and ill-treatment allegedly perpetrated by the Sri Lankan security forces after 18 May 2009.</w:t>
      </w:r>
      <w:r w:rsidRPr="000F46D0">
        <w:rPr>
          <w:vertAlign w:val="superscript"/>
          <w:lang w:val="en-AU"/>
        </w:rPr>
        <w:footnoteReference w:id="64"/>
      </w:r>
    </w:p>
    <w:p w14:paraId="7E89D04C" w14:textId="77777777" w:rsidR="000F46D0" w:rsidRPr="000F46D0" w:rsidRDefault="000F46D0" w:rsidP="00092F19">
      <w:pPr>
        <w:pStyle w:val="SingleTxtG"/>
        <w:numPr>
          <w:ilvl w:val="0"/>
          <w:numId w:val="49"/>
        </w:numPr>
        <w:ind w:left="1134" w:firstLine="0"/>
        <w:rPr>
          <w:lang w:val="en-AU"/>
        </w:rPr>
      </w:pPr>
      <w:r w:rsidRPr="000F46D0">
        <w:rPr>
          <w:lang w:val="en-AU"/>
        </w:rPr>
        <w:t xml:space="preserve">With reference to the Committee’s previous concluding observations (para. 9), and the information provided </w:t>
      </w:r>
      <w:r w:rsidRPr="000F46D0">
        <w:rPr>
          <w:lang w:eastAsia="es-ES"/>
        </w:rPr>
        <w:t xml:space="preserve">in the </w:t>
      </w:r>
      <w:r w:rsidRPr="000F46D0">
        <w:rPr>
          <w:lang w:val="en-AU"/>
        </w:rPr>
        <w:t>State party’s report,</w:t>
      </w:r>
      <w:r w:rsidRPr="000F46D0">
        <w:rPr>
          <w:sz w:val="18"/>
          <w:vertAlign w:val="superscript"/>
          <w:lang w:val="en-AU"/>
        </w:rPr>
        <w:footnoteReference w:id="65"/>
      </w:r>
      <w:r w:rsidRPr="000F46D0">
        <w:rPr>
          <w:lang w:val="en-AU"/>
        </w:rPr>
        <w:t xml:space="preserve"> please provide updated information on:</w:t>
      </w:r>
    </w:p>
    <w:p w14:paraId="7E89D04D" w14:textId="77777777" w:rsidR="000F46D0" w:rsidRPr="000F46D0" w:rsidRDefault="00EC1ABC" w:rsidP="00EC1ABC">
      <w:pPr>
        <w:pStyle w:val="SingleTxtG"/>
        <w:rPr>
          <w:lang w:val="en-AU"/>
        </w:rPr>
      </w:pPr>
      <w:r>
        <w:rPr>
          <w:lang w:val="en-AU"/>
        </w:rPr>
        <w:tab/>
      </w:r>
      <w:r w:rsidR="000F46D0" w:rsidRPr="000F46D0">
        <w:rPr>
          <w:lang w:val="en-AU"/>
        </w:rPr>
        <w:t>(a)</w:t>
      </w:r>
      <w:r w:rsidR="000F46D0" w:rsidRPr="000F46D0">
        <w:rPr>
          <w:lang w:val="en-AU"/>
        </w:rPr>
        <w:tab/>
        <w:t>The State party’s plans to make enforced disappearances a separate offence in the criminal code;</w:t>
      </w:r>
      <w:r w:rsidR="000F46D0" w:rsidRPr="000F46D0">
        <w:rPr>
          <w:sz w:val="18"/>
          <w:vertAlign w:val="superscript"/>
          <w:lang w:val="en-AU"/>
        </w:rPr>
        <w:footnoteReference w:id="66"/>
      </w:r>
    </w:p>
    <w:p w14:paraId="7E89D04E" w14:textId="77777777" w:rsidR="000F46D0" w:rsidRPr="000F46D0" w:rsidRDefault="00EC1ABC" w:rsidP="00EC1ABC">
      <w:pPr>
        <w:pStyle w:val="SingleTxtG"/>
        <w:rPr>
          <w:lang w:val="en-AU"/>
        </w:rPr>
      </w:pPr>
      <w:r>
        <w:rPr>
          <w:lang w:val="en-AU"/>
        </w:rPr>
        <w:tab/>
      </w:r>
      <w:r w:rsidR="000F46D0" w:rsidRPr="000F46D0">
        <w:rPr>
          <w:lang w:val="en-AU"/>
        </w:rPr>
        <w:t>(b)</w:t>
      </w:r>
      <w:r w:rsidR="000F46D0" w:rsidRPr="000F46D0">
        <w:rPr>
          <w:lang w:val="en-AU"/>
        </w:rPr>
        <w:tab/>
        <w:t>The findings of the report submitted by the Commission of Inquiry to Investigate into Complaints regarding Missing Persons in the Northern and Eastern Providence (Paranagama Commission) to the President of Sri Lanka and the Parliament, indicating what measures have been taken to investigate the 18,099 complaints received;</w:t>
      </w:r>
      <w:r w:rsidR="000F46D0" w:rsidRPr="000F46D0">
        <w:rPr>
          <w:sz w:val="18"/>
          <w:vertAlign w:val="superscript"/>
          <w:lang w:val="en-AU"/>
        </w:rPr>
        <w:footnoteReference w:id="67"/>
      </w:r>
    </w:p>
    <w:p w14:paraId="7E89D04F" w14:textId="4B05AD9F" w:rsidR="000F46D0" w:rsidRPr="000F46D0" w:rsidRDefault="00EC1ABC" w:rsidP="00EC1ABC">
      <w:pPr>
        <w:pStyle w:val="SingleTxtG"/>
      </w:pPr>
      <w:r>
        <w:rPr>
          <w:lang w:val="en-AU"/>
        </w:rPr>
        <w:tab/>
      </w:r>
      <w:r w:rsidR="000F46D0" w:rsidRPr="000F46D0">
        <w:rPr>
          <w:lang w:val="en-AU"/>
        </w:rPr>
        <w:t>(c)</w:t>
      </w:r>
      <w:r w:rsidR="000F46D0" w:rsidRPr="000F46D0">
        <w:rPr>
          <w:lang w:val="en-AU"/>
        </w:rPr>
        <w:tab/>
        <w:t xml:space="preserve">Any progress in cases of enforced disappearances, including the so-called “white van” abductions, including whether perpetrators have been held accountable in any such cases. </w:t>
      </w:r>
      <w:r w:rsidR="000F46D0" w:rsidRPr="000F46D0">
        <w:t xml:space="preserve">With reference to the 604 investigations completed and the 1,688 cases referred to the State party by the </w:t>
      </w:r>
      <w:r w:rsidR="000F46D0" w:rsidRPr="000F46D0">
        <w:rPr>
          <w:rFonts w:ascii="Times" w:hAnsi="Times"/>
          <w:szCs w:val="18"/>
          <w:lang w:val="en-US"/>
        </w:rPr>
        <w:t>Working Group on Enforced or Involuntary Disappearances (WGEID) that have been solved,</w:t>
      </w:r>
      <w:r w:rsidR="000F46D0" w:rsidRPr="000F46D0">
        <w:rPr>
          <w:sz w:val="18"/>
          <w:szCs w:val="18"/>
          <w:vertAlign w:val="superscript"/>
          <w:lang w:val="en-US"/>
        </w:rPr>
        <w:footnoteReference w:id="68"/>
      </w:r>
      <w:r w:rsidR="000F46D0" w:rsidRPr="000F46D0">
        <w:rPr>
          <w:rFonts w:ascii="Times" w:hAnsi="Times"/>
          <w:szCs w:val="18"/>
          <w:lang w:val="en-US"/>
        </w:rPr>
        <w:t xml:space="preserve"> please indicate how many of these cases led to prosecutions and convictions and their outcome. </w:t>
      </w:r>
      <w:r w:rsidR="000F46D0" w:rsidRPr="000F46D0">
        <w:rPr>
          <w:lang w:val="en-AU"/>
        </w:rPr>
        <w:t>Please clarify whether the investigation of all cases of disappearances is carried out by the Terrorist Investigation Division, and explain h</w:t>
      </w:r>
      <w:r w:rsidR="000F46D0" w:rsidRPr="000F46D0">
        <w:t>ow the independence of this body</w:t>
      </w:r>
      <w:r w:rsidR="000F46D0" w:rsidRPr="000F46D0">
        <w:rPr>
          <w:lang w:eastAsia="zh-CN"/>
        </w:rPr>
        <w:t xml:space="preserve"> </w:t>
      </w:r>
      <w:r w:rsidR="000F46D0" w:rsidRPr="000F46D0">
        <w:t>is guaranteed so that there is no hierarchical or institutional link between the suspected perpetrators and the investigators;</w:t>
      </w:r>
    </w:p>
    <w:p w14:paraId="7E89D050" w14:textId="33E292BD" w:rsidR="000F46D0" w:rsidRPr="000F46D0" w:rsidRDefault="00EC1ABC" w:rsidP="00EC1ABC">
      <w:pPr>
        <w:pStyle w:val="SingleTxtG"/>
        <w:rPr>
          <w:lang w:val="en-AU"/>
        </w:rPr>
      </w:pPr>
      <w:r>
        <w:tab/>
      </w:r>
      <w:r w:rsidR="000F46D0" w:rsidRPr="000F46D0">
        <w:t>(d)</w:t>
      </w:r>
      <w:r w:rsidR="000F46D0" w:rsidRPr="000F46D0">
        <w:tab/>
        <w:t xml:space="preserve">Please indicate whether the State party has </w:t>
      </w:r>
      <w:r w:rsidR="000F46D0" w:rsidRPr="000F46D0">
        <w:rPr>
          <w:lang w:val="en-AU"/>
        </w:rPr>
        <w:t>established an Office on Missing Persons,</w:t>
      </w:r>
      <w:r w:rsidR="000F46D0" w:rsidRPr="000F46D0">
        <w:rPr>
          <w:sz w:val="18"/>
          <w:vertAlign w:val="superscript"/>
          <w:lang w:val="en-AU"/>
        </w:rPr>
        <w:footnoteReference w:id="69"/>
      </w:r>
      <w:r w:rsidR="000F46D0" w:rsidRPr="000F46D0">
        <w:rPr>
          <w:lang w:val="en-AU"/>
        </w:rPr>
        <w:t xml:space="preserve"> and any measures taken to ensure the independence of this body;</w:t>
      </w:r>
    </w:p>
    <w:p w14:paraId="7E89D051" w14:textId="16243EAB" w:rsidR="000F46D0" w:rsidRPr="000F46D0" w:rsidRDefault="00EC1ABC" w:rsidP="00EC1ABC">
      <w:pPr>
        <w:pStyle w:val="SingleTxtG"/>
        <w:rPr>
          <w:lang w:val="en-AU"/>
        </w:rPr>
      </w:pPr>
      <w:r>
        <w:rPr>
          <w:lang w:val="en-AU"/>
        </w:rPr>
        <w:tab/>
      </w:r>
      <w:r w:rsidR="000F46D0" w:rsidRPr="000F46D0">
        <w:rPr>
          <w:lang w:val="en-AU"/>
        </w:rPr>
        <w:t>(e)</w:t>
      </w:r>
      <w:r w:rsidR="000F46D0" w:rsidRPr="000F46D0">
        <w:rPr>
          <w:lang w:val="en-AU"/>
        </w:rPr>
        <w:tab/>
        <w:t>Please describe measures to ensure that relatives of persons disappeared receive prompt, full and integral reparation without any type of discrimination.</w:t>
      </w:r>
    </w:p>
    <w:p w14:paraId="7E89D052" w14:textId="77777777" w:rsidR="000F46D0" w:rsidRPr="000F46D0" w:rsidRDefault="00EC1ABC" w:rsidP="00EC1ABC">
      <w:pPr>
        <w:pStyle w:val="H23G"/>
      </w:pPr>
      <w:r>
        <w:tab/>
      </w:r>
      <w:r>
        <w:tab/>
        <w:t>Article 13</w:t>
      </w:r>
    </w:p>
    <w:p w14:paraId="7E89D053" w14:textId="77777777" w:rsidR="000F46D0" w:rsidRPr="000F46D0" w:rsidRDefault="000F46D0" w:rsidP="00092F19">
      <w:pPr>
        <w:pStyle w:val="SingleTxtG"/>
        <w:numPr>
          <w:ilvl w:val="0"/>
          <w:numId w:val="49"/>
        </w:numPr>
        <w:ind w:left="1134" w:firstLine="0"/>
        <w:rPr>
          <w:lang w:val="en-AU"/>
        </w:rPr>
      </w:pPr>
      <w:r w:rsidRPr="000F46D0">
        <w:rPr>
          <w:lang w:val="en-AU"/>
        </w:rPr>
        <w:t xml:space="preserve">In light of the Committee’s previous concluding observations (para. 19), and the information provided </w:t>
      </w:r>
      <w:r w:rsidRPr="000F46D0">
        <w:rPr>
          <w:lang w:eastAsia="es-ES"/>
        </w:rPr>
        <w:t xml:space="preserve">in the </w:t>
      </w:r>
      <w:r w:rsidRPr="000F46D0">
        <w:rPr>
          <w:lang w:val="en-AU"/>
        </w:rPr>
        <w:t>State party’s report,</w:t>
      </w:r>
      <w:r w:rsidRPr="000F46D0">
        <w:rPr>
          <w:sz w:val="18"/>
          <w:vertAlign w:val="superscript"/>
          <w:lang w:val="en-AU"/>
        </w:rPr>
        <w:footnoteReference w:id="70"/>
      </w:r>
      <w:r w:rsidRPr="000F46D0">
        <w:rPr>
          <w:lang w:val="en-AU"/>
        </w:rPr>
        <w:t xml:space="preserve"> please explain measures taken by the State party to protect victims and witnesses of torture and ill-treatment from reprisals including:</w:t>
      </w:r>
    </w:p>
    <w:p w14:paraId="7E89D054" w14:textId="11FAED76" w:rsidR="000F46D0" w:rsidRPr="000F46D0" w:rsidRDefault="00EC1ABC" w:rsidP="00EC1ABC">
      <w:pPr>
        <w:pStyle w:val="SingleTxtG"/>
      </w:pPr>
      <w:r>
        <w:tab/>
      </w:r>
      <w:r w:rsidR="000F46D0" w:rsidRPr="000F46D0">
        <w:t>(a)</w:t>
      </w:r>
      <w:r w:rsidR="000F46D0" w:rsidRPr="000F46D0">
        <w:tab/>
        <w:t xml:space="preserve">Any </w:t>
      </w:r>
      <w:r w:rsidR="000F46D0" w:rsidRPr="000F46D0">
        <w:rPr>
          <w:lang w:val="en-AU"/>
        </w:rPr>
        <w:t>measures</w:t>
      </w:r>
      <w:r w:rsidR="000F46D0" w:rsidRPr="000F46D0">
        <w:t xml:space="preserve"> taken to investigate the death in police custody of Chandrasiri Dassanayake, a witness in a human rights case, at Wadduwa Police Station on 15 April 2012</w:t>
      </w:r>
      <w:r w:rsidR="00FF2343">
        <w:t>;</w:t>
      </w:r>
    </w:p>
    <w:p w14:paraId="7E89D055" w14:textId="77777777" w:rsidR="000F46D0" w:rsidRPr="000F46D0" w:rsidRDefault="00EC1ABC" w:rsidP="00EC1ABC">
      <w:pPr>
        <w:pStyle w:val="SingleTxtG"/>
        <w:rPr>
          <w:lang w:val="en-AU"/>
        </w:rPr>
      </w:pPr>
      <w:r>
        <w:rPr>
          <w:lang w:val="en-AU"/>
        </w:rPr>
        <w:lastRenderedPageBreak/>
        <w:tab/>
      </w:r>
      <w:r w:rsidR="000F46D0" w:rsidRPr="000F46D0">
        <w:rPr>
          <w:lang w:val="en-AU"/>
        </w:rPr>
        <w:t>(b)</w:t>
      </w:r>
      <w:r w:rsidR="000F46D0" w:rsidRPr="000F46D0">
        <w:rPr>
          <w:lang w:val="en-AU"/>
        </w:rPr>
        <w:tab/>
        <w:t xml:space="preserve">Whether the National Authority for the Protection of Victims of Crime and Witnesses called for by the Assistance to and Protection of Victims of Crimes and Witnesses Act No.4 of 2015 </w:t>
      </w:r>
      <w:r w:rsidR="000F46D0" w:rsidRPr="000F46D0">
        <w:t xml:space="preserve">has </w:t>
      </w:r>
      <w:r w:rsidR="000F46D0" w:rsidRPr="000F46D0">
        <w:rPr>
          <w:lang w:val="en-AU"/>
        </w:rPr>
        <w:t>been set up, indicating the measures taken to ensure the independence and integrity of its members, and to ensure that it is properly equipped and financed to protect victims, including children and victims of sexual violence;</w:t>
      </w:r>
      <w:r w:rsidR="000F46D0" w:rsidRPr="000F46D0">
        <w:rPr>
          <w:sz w:val="18"/>
          <w:vertAlign w:val="superscript"/>
          <w:lang w:val="en-AU"/>
        </w:rPr>
        <w:footnoteReference w:id="71"/>
      </w:r>
    </w:p>
    <w:p w14:paraId="7E89D056" w14:textId="62747233" w:rsidR="000F46D0" w:rsidRPr="000F46D0" w:rsidRDefault="00EC1ABC" w:rsidP="00EC1ABC">
      <w:pPr>
        <w:pStyle w:val="SingleTxtG"/>
        <w:rPr>
          <w:lang w:val="en-AU"/>
        </w:rPr>
      </w:pPr>
      <w:r>
        <w:rPr>
          <w:lang w:val="en-AU"/>
        </w:rPr>
        <w:tab/>
      </w:r>
      <w:r w:rsidR="000F46D0" w:rsidRPr="000F46D0">
        <w:rPr>
          <w:lang w:val="en-AU"/>
        </w:rPr>
        <w:t>(c)</w:t>
      </w:r>
      <w:r w:rsidR="000F46D0" w:rsidRPr="000F46D0">
        <w:rPr>
          <w:lang w:val="en-AU"/>
        </w:rPr>
        <w:tab/>
      </w:r>
      <w:r w:rsidR="000F46D0" w:rsidRPr="000F46D0">
        <w:t>The measures in place to protect victims of and witnesses to torture and ill-treatment from reprisals,</w:t>
      </w:r>
      <w:r w:rsidR="000F46D0" w:rsidRPr="000F46D0">
        <w:rPr>
          <w:lang w:val="en-AU"/>
        </w:rPr>
        <w:t xml:space="preserve"> and the number of victims and witnesses that have rec</w:t>
      </w:r>
      <w:r>
        <w:rPr>
          <w:lang w:val="en-AU"/>
        </w:rPr>
        <w:t>eived such protective measures;</w:t>
      </w:r>
    </w:p>
    <w:p w14:paraId="7E89D057" w14:textId="284E006C" w:rsidR="000F46D0" w:rsidRPr="000F46D0" w:rsidRDefault="00EC1ABC" w:rsidP="00EC1ABC">
      <w:pPr>
        <w:pStyle w:val="SingleTxtG"/>
        <w:rPr>
          <w:lang w:val="en-AU"/>
        </w:rPr>
      </w:pPr>
      <w:r>
        <w:rPr>
          <w:lang w:val="en-AU"/>
        </w:rPr>
        <w:tab/>
      </w:r>
      <w:r w:rsidR="000F46D0" w:rsidRPr="000F46D0">
        <w:rPr>
          <w:lang w:val="en-AU"/>
        </w:rPr>
        <w:t>(d)</w:t>
      </w:r>
      <w:r w:rsidR="000F46D0" w:rsidRPr="000F46D0">
        <w:rPr>
          <w:lang w:val="en-AU"/>
        </w:rPr>
        <w:tab/>
        <w:t>Statistics, disaggregated by the gender, age, and ethnicity of the complainant, on: (i) the number of complaints received pertaining to threats or reprisals against victims of or witnesses to torture and ill-treatment; (ii) the number of investigations or inquiries conducted by the National Authority into complaints of alleged infringements of a right or entitlement of a victim of crime or of a witness; and (iii) the o</w:t>
      </w:r>
      <w:r>
        <w:rPr>
          <w:lang w:val="en-AU"/>
        </w:rPr>
        <w:t>utcome of those investigations;</w:t>
      </w:r>
    </w:p>
    <w:p w14:paraId="7E89D058" w14:textId="77777777" w:rsidR="000F46D0" w:rsidRPr="000F46D0" w:rsidRDefault="00EC1ABC" w:rsidP="00EC1ABC">
      <w:pPr>
        <w:pStyle w:val="SingleTxtG"/>
      </w:pPr>
      <w:r>
        <w:rPr>
          <w:lang w:val="en-AU"/>
        </w:rPr>
        <w:tab/>
      </w:r>
      <w:r w:rsidR="000F46D0" w:rsidRPr="000F46D0">
        <w:rPr>
          <w:lang w:val="en-AU"/>
        </w:rPr>
        <w:t>(e)</w:t>
      </w:r>
      <w:r w:rsidR="000F46D0" w:rsidRPr="000F46D0">
        <w:rPr>
          <w:lang w:val="en-AU"/>
        </w:rPr>
        <w:tab/>
        <w:t xml:space="preserve">The measures in place to ensure the </w:t>
      </w:r>
      <w:r w:rsidR="000F46D0" w:rsidRPr="000F46D0">
        <w:t>confidentiality and independence of the mechanism for filing complaints of torture and ill-treatment, particularly when the victims are deprived of their liberty.</w:t>
      </w:r>
      <w:r w:rsidR="000F46D0" w:rsidRPr="000F46D0">
        <w:tab/>
      </w:r>
    </w:p>
    <w:p w14:paraId="7E89D059" w14:textId="77777777" w:rsidR="000F46D0" w:rsidRPr="000F46D0" w:rsidRDefault="009519F5" w:rsidP="00FF7884">
      <w:pPr>
        <w:pStyle w:val="H23G"/>
      </w:pPr>
      <w:r>
        <w:tab/>
      </w:r>
      <w:r>
        <w:tab/>
        <w:t>Article 14</w:t>
      </w:r>
    </w:p>
    <w:p w14:paraId="7E89D05A" w14:textId="79FA2B94" w:rsidR="000F46D0" w:rsidRPr="000F46D0" w:rsidRDefault="000F46D0" w:rsidP="00092F19">
      <w:pPr>
        <w:pStyle w:val="SingleTxtG"/>
        <w:numPr>
          <w:ilvl w:val="0"/>
          <w:numId w:val="49"/>
        </w:numPr>
        <w:ind w:left="1134" w:firstLine="0"/>
      </w:pPr>
      <w:r w:rsidRPr="000F46D0">
        <w:rPr>
          <w:lang w:val="en-AU"/>
        </w:rPr>
        <w:t xml:space="preserve">With reference to the Committee’s previous concluding observations (para. 29), </w:t>
      </w:r>
      <w:r w:rsidRPr="000F46D0">
        <w:t>please provide statistical data on the redress and compensation measures granted per year, including the means of rehabilitation, ordered by the courts and actually provided to victims of torture or ill-treatment and their families, since the examination of the last periodic report in 2011. That should include the number of applications for State compensation for torture and abuse lodged, the number of applications time-barred due to courts’ inaction, the number of applications granted, and what were the range of awards for successful cases.</w:t>
      </w:r>
    </w:p>
    <w:p w14:paraId="7E89D05B" w14:textId="77777777" w:rsidR="000F46D0" w:rsidRPr="000F46D0" w:rsidRDefault="000F46D0" w:rsidP="00092F19">
      <w:pPr>
        <w:pStyle w:val="SingleTxtG"/>
        <w:numPr>
          <w:ilvl w:val="0"/>
          <w:numId w:val="49"/>
        </w:numPr>
        <w:ind w:left="1134" w:firstLine="0"/>
        <w:rPr>
          <w:lang w:val="en-AU"/>
        </w:rPr>
      </w:pPr>
      <w:r w:rsidRPr="000F46D0">
        <w:rPr>
          <w:lang w:val="en-AU"/>
        </w:rPr>
        <w:t xml:space="preserve">Please clarify whether the </w:t>
      </w:r>
      <w:r w:rsidRPr="000F46D0">
        <w:rPr>
          <w:rFonts w:ascii="Times" w:hAnsi="Times"/>
        </w:rPr>
        <w:t xml:space="preserve">Victims of Crimes and Witnesses Assistance and Protection Fund (“Protection Fund”), foreseen in section 29 of the </w:t>
      </w:r>
      <w:r w:rsidRPr="000F46D0">
        <w:rPr>
          <w:lang w:val="en-AU"/>
        </w:rPr>
        <w:t xml:space="preserve">Protection of Victims of Crimes and Witnesses Act No. 4 of 2015, </w:t>
      </w:r>
      <w:r w:rsidRPr="000F46D0">
        <w:rPr>
          <w:rFonts w:ascii="Times" w:hAnsi="Times"/>
        </w:rPr>
        <w:t>has already been established.</w:t>
      </w:r>
      <w:r w:rsidRPr="000F46D0">
        <w:rPr>
          <w:lang w:val="en-AU"/>
        </w:rPr>
        <w:t xml:space="preserve"> If so, please indicate the number of claims for compensation lodged under this Act by victims of torture and ill-treatment, including sexual violence and enforced disappearances, and wh</w:t>
      </w:r>
      <w:r w:rsidR="00EC1ABC">
        <w:rPr>
          <w:lang w:val="en-AU"/>
        </w:rPr>
        <w:t>ether redress has been awarded.</w:t>
      </w:r>
    </w:p>
    <w:p w14:paraId="7E89D05C" w14:textId="3ADAE2F7" w:rsidR="000F46D0" w:rsidRPr="000F46D0" w:rsidRDefault="000F46D0" w:rsidP="00092F19">
      <w:pPr>
        <w:pStyle w:val="SingleTxtG"/>
        <w:numPr>
          <w:ilvl w:val="0"/>
          <w:numId w:val="49"/>
        </w:numPr>
        <w:ind w:left="1134" w:firstLine="0"/>
        <w:rPr>
          <w:strike/>
          <w:lang w:val="en-AU"/>
        </w:rPr>
      </w:pPr>
      <w:r w:rsidRPr="000F46D0">
        <w:rPr>
          <w:lang w:val="en-AU"/>
        </w:rPr>
        <w:t xml:space="preserve">Please indicate if the State party is taking measures to address reports that many victims of torture are unable to access redress and compensation, for example by ensuring that victims can obtain compensation even in cases where a perpetrator is not identified and ensuring that claims </w:t>
      </w:r>
      <w:r w:rsidRPr="000F46D0">
        <w:t xml:space="preserve">for redress for torture are not subject to statute of limitations. Please also </w:t>
      </w:r>
      <w:r w:rsidRPr="000F46D0">
        <w:rPr>
          <w:lang w:val="en-AU"/>
        </w:rPr>
        <w:t>provide an update as to whether the Office for Reparations, mentioned in paragraph 7 of the State party’s report has been established, and provide data on redress awards it has made concerning torture and ill-treatment.</w:t>
      </w:r>
    </w:p>
    <w:p w14:paraId="7E89D05D" w14:textId="77777777" w:rsidR="000F46D0" w:rsidRPr="000F46D0" w:rsidRDefault="000F46D0" w:rsidP="00092F19">
      <w:pPr>
        <w:pStyle w:val="SingleTxtG"/>
        <w:numPr>
          <w:ilvl w:val="0"/>
          <w:numId w:val="49"/>
        </w:numPr>
        <w:ind w:left="1134" w:firstLine="0"/>
        <w:rPr>
          <w:lang w:val="en-AU"/>
        </w:rPr>
      </w:pPr>
      <w:r w:rsidRPr="000F46D0">
        <w:rPr>
          <w:lang w:val="en-AU"/>
        </w:rPr>
        <w:t>With reference to paragraph 149 of the State party’s report, according to which there are “no programs specifically aimed at rehabilitation of torture victims”, please clarify whether the State party intends to introduce a rehabilitation programme specifically aimed at torture victim</w:t>
      </w:r>
      <w:r w:rsidR="00092F19">
        <w:rPr>
          <w:lang w:val="en-AU"/>
        </w:rPr>
        <w:t>s.</w:t>
      </w:r>
    </w:p>
    <w:p w14:paraId="7E89D05E" w14:textId="77777777" w:rsidR="000F46D0" w:rsidRPr="00EC1ABC" w:rsidRDefault="000F46D0" w:rsidP="00EC1ABC">
      <w:pPr>
        <w:pStyle w:val="H23G"/>
      </w:pPr>
      <w:r w:rsidRPr="00EC1ABC">
        <w:lastRenderedPageBreak/>
        <w:tab/>
      </w:r>
      <w:r w:rsidRPr="00EC1ABC">
        <w:tab/>
        <w:t>Article 15</w:t>
      </w:r>
    </w:p>
    <w:p w14:paraId="7E89D05F" w14:textId="4C5C74E5" w:rsidR="000F46D0" w:rsidRPr="000F46D0" w:rsidRDefault="000F46D0" w:rsidP="00092F19">
      <w:pPr>
        <w:pStyle w:val="SingleTxtG"/>
        <w:numPr>
          <w:ilvl w:val="0"/>
          <w:numId w:val="49"/>
        </w:numPr>
        <w:ind w:left="1134" w:firstLine="0"/>
        <w:rPr>
          <w:rFonts w:ascii="Times" w:hAnsi="Times"/>
        </w:rPr>
      </w:pPr>
      <w:r w:rsidRPr="000F46D0">
        <w:t xml:space="preserve">In light of the Committee’s previous concluding observations (para. 11) expressing concern that in certain cases </w:t>
      </w:r>
      <w:r w:rsidRPr="000F46D0">
        <w:rPr>
          <w:lang w:val="en-AU"/>
        </w:rPr>
        <w:t xml:space="preserve">PTA places the burden of proof on the accused to show that a confession was obtained by the police under duress, </w:t>
      </w:r>
      <w:r w:rsidRPr="000F46D0">
        <w:t>and noting the information received from the State party on follow-up to the concluding observations,</w:t>
      </w:r>
      <w:r w:rsidRPr="000F46D0">
        <w:rPr>
          <w:sz w:val="18"/>
          <w:vertAlign w:val="superscript"/>
        </w:rPr>
        <w:footnoteReference w:id="72"/>
      </w:r>
      <w:r w:rsidRPr="000F46D0">
        <w:t xml:space="preserve"> please provide updated </w:t>
      </w:r>
      <w:r w:rsidRPr="000F46D0">
        <w:rPr>
          <w:lang w:val="en-AU"/>
        </w:rPr>
        <w:t>information on whether measures have been taken to bring the provisions of the PTA in line with the provisions in Article 15 of the Convention,</w:t>
      </w:r>
      <w:r w:rsidRPr="000F46D0">
        <w:rPr>
          <w:vertAlign w:val="superscript"/>
          <w:lang w:val="en-AU"/>
        </w:rPr>
        <w:footnoteReference w:id="73"/>
      </w:r>
      <w:r w:rsidRPr="000F46D0">
        <w:rPr>
          <w:lang w:val="en-AU"/>
        </w:rPr>
        <w:t xml:space="preserve"> such that State officials always bear the burden of proof to establish </w:t>
      </w:r>
      <w:r w:rsidRPr="000F46D0">
        <w:rPr>
          <w:rFonts w:ascii="Times" w:hAnsi="Times"/>
        </w:rPr>
        <w:t>that a confession has not been produced through torture or ill-treatment.</w:t>
      </w:r>
      <w:r w:rsidRPr="000F46D0">
        <w:rPr>
          <w:rFonts w:ascii="Times" w:hAnsi="Times"/>
          <w:sz w:val="18"/>
          <w:vertAlign w:val="superscript"/>
        </w:rPr>
        <w:footnoteReference w:id="74"/>
      </w:r>
      <w:r w:rsidRPr="000F46D0">
        <w:rPr>
          <w:rFonts w:ascii="Times" w:hAnsi="Times"/>
        </w:rPr>
        <w:t xml:space="preserve"> P</w:t>
      </w:r>
      <w:r w:rsidRPr="000F46D0">
        <w:t>lease also indicate whether the State party plans to amend or repeal the PTA so that confessions are not regarded as dispositive evidence unless made in the presence of a magistrate, as provided in Sri Lanka’s Evidence Ordinanc</w:t>
      </w:r>
      <w:r w:rsidR="004B6D4C">
        <w:t>e.</w:t>
      </w:r>
    </w:p>
    <w:p w14:paraId="7E89D060" w14:textId="11FD63B7" w:rsidR="000F46D0" w:rsidRPr="000F46D0" w:rsidRDefault="000F46D0" w:rsidP="00092F19">
      <w:pPr>
        <w:pStyle w:val="SingleTxtG"/>
        <w:numPr>
          <w:ilvl w:val="0"/>
          <w:numId w:val="49"/>
        </w:numPr>
        <w:ind w:left="1134" w:firstLine="0"/>
      </w:pPr>
      <w:r w:rsidRPr="000F46D0">
        <w:rPr>
          <w:lang w:val="en-AU"/>
        </w:rPr>
        <w:t>In light of recent reports by non-governmental organizations alleging that members of the police force routinely torture</w:t>
      </w:r>
      <w:r w:rsidRPr="000F46D0">
        <w:t xml:space="preserve"> criminal suspects to coerce confessions, please provide statistical information for the period under review on the number of cases in which detainees have alleged that their confessions were extracted through torture, the number of such complaints which have led to investigations, and their outcomes, including punishments meted out to convicted perpetrators, if any, and reparations and compensation offered to victims. In particular, please indicate whether investigations on the use of torture and ill-treatment to extract confessions were opened in relation to the following cases:</w:t>
      </w:r>
    </w:p>
    <w:p w14:paraId="7E89D061" w14:textId="40E713E2" w:rsidR="000F46D0" w:rsidRPr="000F46D0" w:rsidRDefault="00EC1ABC" w:rsidP="00EC1ABC">
      <w:pPr>
        <w:pStyle w:val="SingleTxtG"/>
        <w:rPr>
          <w:lang w:val="en-AU"/>
        </w:rPr>
      </w:pPr>
      <w:r>
        <w:tab/>
      </w:r>
      <w:r w:rsidR="000F46D0" w:rsidRPr="000F46D0">
        <w:t>(a)</w:t>
      </w:r>
      <w:r w:rsidR="000F46D0" w:rsidRPr="000F46D0">
        <w:tab/>
        <w:t>Jeevandarage Ashan Tharanga, a 17-year-old juvenile from the Gampaha District who was reportedly arrested on 9 March 2015 by police officers attached to Meegahawatte Police Station and severely beaten until he confessed to the charge of stealing a vehicle;</w:t>
      </w:r>
    </w:p>
    <w:p w14:paraId="7E89D062" w14:textId="7BF2ABFA" w:rsidR="000F46D0" w:rsidRPr="000F46D0" w:rsidRDefault="00EC1ABC" w:rsidP="00EC1ABC">
      <w:pPr>
        <w:pStyle w:val="SingleTxtG"/>
      </w:pPr>
      <w:r>
        <w:rPr>
          <w:lang w:val="en-AU"/>
        </w:rPr>
        <w:tab/>
      </w:r>
      <w:r w:rsidR="000F46D0" w:rsidRPr="000F46D0">
        <w:rPr>
          <w:lang w:val="en-AU"/>
        </w:rPr>
        <w:t>(b)</w:t>
      </w:r>
      <w:r w:rsidR="000F46D0" w:rsidRPr="000F46D0">
        <w:rPr>
          <w:lang w:val="en-AU"/>
        </w:rPr>
        <w:tab/>
        <w:t>W.T. Presley Fernando, who was allegedly arrested on 10 May 2014 and beaten and tortured by police at Chilaw police station to compel his confession to a robbery;</w:t>
      </w:r>
    </w:p>
    <w:p w14:paraId="7E89D063" w14:textId="27BC7EB9" w:rsidR="000F46D0" w:rsidRPr="000F46D0" w:rsidRDefault="00EC1ABC" w:rsidP="00EC1ABC">
      <w:pPr>
        <w:pStyle w:val="SingleTxtG"/>
      </w:pPr>
      <w:r>
        <w:tab/>
      </w:r>
      <w:r w:rsidR="000F46D0" w:rsidRPr="000F46D0">
        <w:t>(c)</w:t>
      </w:r>
      <w:r w:rsidR="000F46D0" w:rsidRPr="000F46D0">
        <w:tab/>
        <w:t>H.M. Ajith and H.M .Akila, who were reportedly severely assaulted by the police in Matara district on September 10, 2013 as punishment for having damaged private property.</w:t>
      </w:r>
    </w:p>
    <w:p w14:paraId="7E89D064" w14:textId="77777777" w:rsidR="000F46D0" w:rsidRPr="000F46D0" w:rsidRDefault="000F46D0" w:rsidP="00092F19">
      <w:pPr>
        <w:pStyle w:val="H23G"/>
      </w:pPr>
      <w:r w:rsidRPr="000F46D0">
        <w:tab/>
      </w:r>
      <w:r w:rsidRPr="000F46D0">
        <w:tab/>
        <w:t>Article 16</w:t>
      </w:r>
    </w:p>
    <w:p w14:paraId="7E89D065" w14:textId="05563E13" w:rsidR="000F46D0" w:rsidRPr="000F46D0" w:rsidRDefault="000F46D0" w:rsidP="00092F19">
      <w:pPr>
        <w:pStyle w:val="SingleTxtG"/>
        <w:numPr>
          <w:ilvl w:val="0"/>
          <w:numId w:val="49"/>
        </w:numPr>
        <w:ind w:left="1134" w:firstLine="0"/>
      </w:pPr>
      <w:r w:rsidRPr="000F46D0">
        <w:rPr>
          <w:lang w:val="en-AU"/>
        </w:rPr>
        <w:t xml:space="preserve">With reference to </w:t>
      </w:r>
      <w:r w:rsidRPr="000F46D0">
        <w:t>the Committee’s previous concluding observations (para. 13), and the information provided in the State party’s report</w:t>
      </w:r>
      <w:r w:rsidRPr="000F46D0">
        <w:rPr>
          <w:lang w:val="en-AU"/>
        </w:rPr>
        <w:t>,</w:t>
      </w:r>
      <w:r w:rsidRPr="000F46D0">
        <w:rPr>
          <w:vertAlign w:val="superscript"/>
          <w:lang w:val="en-AU"/>
        </w:rPr>
        <w:footnoteReference w:id="75"/>
      </w:r>
      <w:r w:rsidRPr="000F46D0">
        <w:rPr>
          <w:lang w:val="en-AU"/>
        </w:rPr>
        <w:t xml:space="preserve"> </w:t>
      </w:r>
      <w:r w:rsidRPr="000F46D0">
        <w:t>please comment on continued reports of intimidation and harassment, including physical attacks and administrative detention by State officials, against human rights defenders, lawyers, and journalists and their family members.  Please also provide the following information:</w:t>
      </w:r>
    </w:p>
    <w:p w14:paraId="7E89D066" w14:textId="77777777" w:rsidR="000F46D0" w:rsidRPr="000F46D0" w:rsidRDefault="00EC1ABC" w:rsidP="00EC1ABC">
      <w:pPr>
        <w:pStyle w:val="SingleTxtG"/>
      </w:pPr>
      <w:r>
        <w:tab/>
      </w:r>
      <w:r w:rsidR="000F46D0" w:rsidRPr="000F46D0">
        <w:t>(a)</w:t>
      </w:r>
      <w:r w:rsidR="000F46D0" w:rsidRPr="000F46D0">
        <w:tab/>
        <w:t>Examples of investigations undertaken by the State party into complaints of such intimidation and harassment and information on any resulting prosecutions, trials and penalties;</w:t>
      </w:r>
      <w:r w:rsidR="000F46D0" w:rsidRPr="000F46D0">
        <w:rPr>
          <w:vertAlign w:val="superscript"/>
        </w:rPr>
        <w:footnoteReference w:id="76"/>
      </w:r>
    </w:p>
    <w:p w14:paraId="7E89D067" w14:textId="77777777" w:rsidR="000F46D0" w:rsidRPr="000F46D0" w:rsidRDefault="00EC1ABC" w:rsidP="00EC1ABC">
      <w:pPr>
        <w:pStyle w:val="SingleTxtG"/>
      </w:pPr>
      <w:r>
        <w:tab/>
      </w:r>
      <w:r w:rsidR="000F46D0" w:rsidRPr="000F46D0">
        <w:t>(b)</w:t>
      </w:r>
      <w:r w:rsidR="000F46D0" w:rsidRPr="000F46D0">
        <w:tab/>
        <w:t>Information on progress in any investigations undertaken by the State party into the following cases of allege</w:t>
      </w:r>
      <w:r>
        <w:t>d intimidation and harassment:</w:t>
      </w:r>
    </w:p>
    <w:p w14:paraId="7E89D068" w14:textId="77777777" w:rsidR="000F46D0" w:rsidRPr="000F46D0" w:rsidRDefault="000F46D0" w:rsidP="00FB66E9">
      <w:pPr>
        <w:pStyle w:val="SingleTxtG"/>
        <w:ind w:left="1701"/>
      </w:pPr>
      <w:r w:rsidRPr="000F46D0">
        <w:lastRenderedPageBreak/>
        <w:t>(i)</w:t>
      </w:r>
      <w:r w:rsidRPr="000F46D0">
        <w:tab/>
        <w:t>Alleged attacks against journalists Poddala Jayantha, Lasantha Wickrematunge, and J.S. Tissainaygam, as well as against the lawyer J.C. Welliamuna;</w:t>
      </w:r>
      <w:r w:rsidRPr="000F46D0">
        <w:rPr>
          <w:vertAlign w:val="superscript"/>
        </w:rPr>
        <w:footnoteReference w:id="77"/>
      </w:r>
      <w:r w:rsidRPr="000F46D0">
        <w:t xml:space="preserve"> </w:t>
      </w:r>
    </w:p>
    <w:p w14:paraId="7E89D069" w14:textId="58982196" w:rsidR="000F46D0" w:rsidRPr="000F46D0" w:rsidRDefault="000F46D0" w:rsidP="00FB66E9">
      <w:pPr>
        <w:pStyle w:val="SingleTxtG"/>
        <w:ind w:left="1701"/>
        <w:rPr>
          <w:rFonts w:ascii="Times" w:hAnsi="Times"/>
          <w:lang w:val="en-US"/>
        </w:rPr>
      </w:pPr>
      <w:r w:rsidRPr="000F46D0">
        <w:t>(ii)</w:t>
      </w:r>
      <w:r w:rsidRPr="000F46D0">
        <w:rPr>
          <w:lang w:val="en-AU"/>
        </w:rPr>
        <w:tab/>
        <w:t xml:space="preserve">Alleged cases of threats and harassment of </w:t>
      </w:r>
      <w:r w:rsidRPr="000F46D0">
        <w:rPr>
          <w:rFonts w:ascii="Times" w:hAnsi="Times"/>
          <w:lang w:val="en-US"/>
        </w:rPr>
        <w:t>persons who cooperated with the WGEID during its country visit in November 2015;</w:t>
      </w:r>
    </w:p>
    <w:p w14:paraId="7E89D06A" w14:textId="77777777" w:rsidR="000F46D0" w:rsidRPr="000F46D0" w:rsidRDefault="000F46D0" w:rsidP="00FB66E9">
      <w:pPr>
        <w:pStyle w:val="SingleTxtG"/>
        <w:ind w:left="1701"/>
        <w:rPr>
          <w:lang w:val="en-AU"/>
        </w:rPr>
      </w:pPr>
      <w:r w:rsidRPr="000F46D0">
        <w:rPr>
          <w:rFonts w:ascii="Times" w:hAnsi="Times"/>
          <w:lang w:val="en-US"/>
        </w:rPr>
        <w:t>(iii)</w:t>
      </w:r>
      <w:r w:rsidRPr="000F46D0">
        <w:rPr>
          <w:lang w:val="en-AU"/>
        </w:rPr>
        <w:tab/>
        <w:t xml:space="preserve">Alleged harassment </w:t>
      </w:r>
      <w:r w:rsidRPr="000F46D0">
        <w:t>and intimidation against individuals and groups who met or attempted to meet with the High Commissioner for Human Rights on her visit to Sri Lanka in August 2013;</w:t>
      </w:r>
      <w:r w:rsidRPr="000F46D0">
        <w:rPr>
          <w:vertAlign w:val="superscript"/>
        </w:rPr>
        <w:footnoteReference w:id="78"/>
      </w:r>
    </w:p>
    <w:p w14:paraId="7E89D06B" w14:textId="5F4D6AA8" w:rsidR="000F46D0" w:rsidRPr="000F46D0" w:rsidRDefault="000F46D0" w:rsidP="00FB66E9">
      <w:pPr>
        <w:pStyle w:val="SingleTxtG"/>
        <w:ind w:left="1701" w:hanging="567"/>
        <w:rPr>
          <w:lang w:val="en-AU"/>
        </w:rPr>
      </w:pPr>
      <w:r w:rsidRPr="000F46D0">
        <w:rPr>
          <w:lang w:val="en-AU"/>
        </w:rPr>
        <w:tab/>
        <w:t>(iv)</w:t>
      </w:r>
      <w:r w:rsidRPr="000F46D0">
        <w:rPr>
          <w:lang w:val="en-AU"/>
        </w:rPr>
        <w:tab/>
        <w:t xml:space="preserve">The alleged </w:t>
      </w:r>
      <w:r w:rsidRPr="000F46D0">
        <w:t>targeting of Ms Nimalka Fernando, a human rights defender who, on 4 November 2013, was allegedly subjected to threats during a radio broadcast hosted by the State-owned Sri Lankan Broadcasting Corporation</w:t>
      </w:r>
      <w:r w:rsidR="00342658">
        <w:t>.</w:t>
      </w:r>
      <w:r w:rsidRPr="000F46D0">
        <w:rPr>
          <w:vertAlign w:val="superscript"/>
        </w:rPr>
        <w:footnoteReference w:id="79"/>
      </w:r>
    </w:p>
    <w:p w14:paraId="7E89D06C" w14:textId="77777777" w:rsidR="000F46D0" w:rsidRPr="000F46D0" w:rsidRDefault="000F46D0" w:rsidP="00092F19">
      <w:pPr>
        <w:pStyle w:val="SingleTxtG"/>
        <w:numPr>
          <w:ilvl w:val="0"/>
          <w:numId w:val="49"/>
        </w:numPr>
        <w:ind w:left="1134" w:firstLine="0"/>
      </w:pPr>
      <w:r w:rsidRPr="000F46D0">
        <w:t>Please detail the measures taken to ensure prompt, impartial and effective investigations into acts of violence by the police or private persons against members of ethnic and religious minority groups, including the members of the Tamil, Muslim, and Christian communities.</w:t>
      </w:r>
      <w:r w:rsidRPr="000F46D0">
        <w:rPr>
          <w:rFonts w:ascii="Times" w:hAnsi="Times"/>
          <w:vertAlign w:val="superscript"/>
        </w:rPr>
        <w:footnoteReference w:id="80"/>
      </w:r>
      <w:r w:rsidRPr="000F46D0">
        <w:t xml:space="preserve"> In particular, please detail whether investigations and prosecutions have been conducted in relation to the attacks by the Buddhist group Bodu Bala Sena on the Muslim community in Aluthgama in June 2014, where four people were reportedly killed and 80 injured.</w:t>
      </w:r>
      <w:r w:rsidRPr="000F46D0">
        <w:rPr>
          <w:sz w:val="18"/>
          <w:vertAlign w:val="superscript"/>
        </w:rPr>
        <w:footnoteReference w:id="81"/>
      </w:r>
    </w:p>
    <w:p w14:paraId="7E89D06D" w14:textId="77777777" w:rsidR="000F46D0" w:rsidRPr="000F46D0" w:rsidRDefault="000F46D0" w:rsidP="00092F19">
      <w:pPr>
        <w:pStyle w:val="SingleTxtG"/>
        <w:numPr>
          <w:ilvl w:val="0"/>
          <w:numId w:val="49"/>
        </w:numPr>
        <w:ind w:left="1134" w:firstLine="0"/>
        <w:rPr>
          <w:lang w:val="en-AU"/>
        </w:rPr>
      </w:pPr>
      <w:r w:rsidRPr="000F46D0">
        <w:t>With regard to the Committee’s previous concluding observations (para. 30), and the information provided in the State party’s report</w:t>
      </w:r>
      <w:r w:rsidRPr="000F46D0">
        <w:rPr>
          <w:lang w:val="en-AU"/>
        </w:rPr>
        <w:t>,</w:t>
      </w:r>
      <w:r w:rsidRPr="000F46D0">
        <w:rPr>
          <w:vertAlign w:val="superscript"/>
          <w:lang w:val="en-AU"/>
        </w:rPr>
        <w:footnoteReference w:id="82"/>
      </w:r>
      <w:r w:rsidRPr="000F46D0">
        <w:rPr>
          <w:lang w:val="en-AU"/>
        </w:rPr>
        <w:t xml:space="preserve"> </w:t>
      </w:r>
      <w:r w:rsidRPr="000F46D0">
        <w:t xml:space="preserve">please detail any </w:t>
      </w:r>
      <w:r w:rsidRPr="000F46D0">
        <w:rPr>
          <w:lang w:val="en-AU"/>
        </w:rPr>
        <w:t>measures taken to explicitly prohibit corporal punishment in all settings.</w:t>
      </w:r>
      <w:r w:rsidRPr="000F46D0">
        <w:rPr>
          <w:vertAlign w:val="superscript"/>
          <w:lang w:val="en-AU"/>
        </w:rPr>
        <w:footnoteReference w:id="83"/>
      </w:r>
      <w:r w:rsidRPr="000F46D0">
        <w:rPr>
          <w:vertAlign w:val="superscript"/>
        </w:rPr>
        <w:t xml:space="preserve"> </w:t>
      </w:r>
      <w:r w:rsidRPr="000F46D0">
        <w:rPr>
          <w:lang w:val="en-AU"/>
        </w:rPr>
        <w:t>P</w:t>
      </w:r>
      <w:r w:rsidRPr="000F46D0">
        <w:t>lease provide annual statistical data on the number of complaints received on the use of corporal punishment and information on any punishments imposed as a result. Please also indicate any measures taken to encourage non-violent forms of discipline and to raise awareness about its harmful effects.</w:t>
      </w:r>
    </w:p>
    <w:p w14:paraId="7E89D06E" w14:textId="77777777" w:rsidR="000F46D0" w:rsidRPr="000F46D0" w:rsidRDefault="000F46D0" w:rsidP="00092F19">
      <w:pPr>
        <w:pStyle w:val="H23G"/>
      </w:pPr>
      <w:r w:rsidRPr="000F46D0">
        <w:tab/>
      </w:r>
      <w:r w:rsidRPr="000F46D0">
        <w:tab/>
        <w:t>Other issues</w:t>
      </w:r>
    </w:p>
    <w:p w14:paraId="7E89D06F" w14:textId="77777777" w:rsidR="00EC1ABC" w:rsidRDefault="000F46D0" w:rsidP="00EC1ABC">
      <w:pPr>
        <w:pStyle w:val="SingleTxtG"/>
        <w:numPr>
          <w:ilvl w:val="0"/>
          <w:numId w:val="49"/>
        </w:numPr>
        <w:ind w:left="1134" w:firstLine="0"/>
      </w:pPr>
      <w:r w:rsidRPr="00EC1ABC">
        <w:t>Please indicate whether the State party is considering accepting the competence of the Committee under articl</w:t>
      </w:r>
      <w:r w:rsidR="00EC1ABC" w:rsidRPr="00EC1ABC">
        <w:t>es 21 and 22 of the Convention.</w:t>
      </w:r>
    </w:p>
    <w:p w14:paraId="7E89D070" w14:textId="77777777" w:rsidR="00EC1ABC" w:rsidRPr="00EC1ABC" w:rsidRDefault="00EC1ABC" w:rsidP="00EC1ABC">
      <w:pPr>
        <w:pStyle w:val="SingleTxtG"/>
        <w:spacing w:before="240" w:after="0"/>
        <w:jc w:val="center"/>
        <w:rPr>
          <w:u w:val="single"/>
        </w:rPr>
      </w:pPr>
      <w:r>
        <w:rPr>
          <w:u w:val="single"/>
        </w:rPr>
        <w:tab/>
      </w:r>
      <w:r>
        <w:rPr>
          <w:u w:val="single"/>
        </w:rPr>
        <w:tab/>
      </w:r>
      <w:r>
        <w:rPr>
          <w:u w:val="single"/>
        </w:rPr>
        <w:tab/>
      </w:r>
    </w:p>
    <w:sectPr w:rsidR="00EC1ABC" w:rsidRPr="00EC1ABC" w:rsidSect="0093239E">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BBF072" w14:textId="77777777" w:rsidR="00020748" w:rsidRDefault="00020748"/>
  </w:endnote>
  <w:endnote w:type="continuationSeparator" w:id="0">
    <w:p w14:paraId="2DA7DED1" w14:textId="77777777" w:rsidR="00020748" w:rsidRDefault="00020748"/>
  </w:endnote>
  <w:endnote w:type="continuationNotice" w:id="1">
    <w:p w14:paraId="6DE45091" w14:textId="77777777" w:rsidR="00020748" w:rsidRDefault="000207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9D07E" w14:textId="77777777" w:rsidR="00092F19" w:rsidRPr="0019081C" w:rsidRDefault="00092F19" w:rsidP="0019081C">
    <w:pPr>
      <w:pStyle w:val="Footer"/>
      <w:tabs>
        <w:tab w:val="right" w:pos="9638"/>
      </w:tabs>
    </w:pPr>
    <w:r w:rsidRPr="0019081C">
      <w:rPr>
        <w:b/>
        <w:sz w:val="18"/>
      </w:rPr>
      <w:fldChar w:fldCharType="begin"/>
    </w:r>
    <w:r w:rsidRPr="0019081C">
      <w:rPr>
        <w:b/>
        <w:sz w:val="18"/>
      </w:rPr>
      <w:instrText xml:space="preserve"> PAGE  \* MERGEFORMAT </w:instrText>
    </w:r>
    <w:r w:rsidRPr="0019081C">
      <w:rPr>
        <w:b/>
        <w:sz w:val="18"/>
      </w:rPr>
      <w:fldChar w:fldCharType="separate"/>
    </w:r>
    <w:r w:rsidR="000B04F4">
      <w:rPr>
        <w:b/>
        <w:noProof/>
        <w:sz w:val="18"/>
      </w:rPr>
      <w:t>2</w:t>
    </w:r>
    <w:r w:rsidRPr="0019081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9D07F" w14:textId="77777777" w:rsidR="00092F19" w:rsidRPr="0019081C" w:rsidRDefault="00092F19" w:rsidP="0019081C">
    <w:pPr>
      <w:pStyle w:val="Footer"/>
      <w:tabs>
        <w:tab w:val="right" w:pos="9638"/>
      </w:tabs>
      <w:rPr>
        <w:b/>
        <w:sz w:val="18"/>
      </w:rPr>
    </w:pPr>
    <w:r>
      <w:tab/>
    </w:r>
    <w:r w:rsidRPr="0019081C">
      <w:rPr>
        <w:b/>
        <w:sz w:val="18"/>
      </w:rPr>
      <w:fldChar w:fldCharType="begin"/>
    </w:r>
    <w:r w:rsidRPr="0019081C">
      <w:rPr>
        <w:b/>
        <w:sz w:val="18"/>
      </w:rPr>
      <w:instrText xml:space="preserve"> PAGE  \* MERGEFORMAT </w:instrText>
    </w:r>
    <w:r w:rsidRPr="0019081C">
      <w:rPr>
        <w:b/>
        <w:sz w:val="18"/>
      </w:rPr>
      <w:fldChar w:fldCharType="separate"/>
    </w:r>
    <w:r w:rsidR="000B04F4">
      <w:rPr>
        <w:b/>
        <w:noProof/>
        <w:sz w:val="18"/>
      </w:rPr>
      <w:t>3</w:t>
    </w:r>
    <w:r w:rsidRPr="001908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9D084" w14:textId="77777777" w:rsidR="0093239E" w:rsidRPr="0093239E" w:rsidRDefault="0093239E" w:rsidP="0093239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D62CE7" w14:textId="77777777" w:rsidR="00020748" w:rsidRPr="000B175B" w:rsidRDefault="00020748" w:rsidP="000B175B">
      <w:pPr>
        <w:tabs>
          <w:tab w:val="right" w:pos="2155"/>
        </w:tabs>
        <w:spacing w:after="80"/>
        <w:ind w:left="680"/>
        <w:rPr>
          <w:u w:val="single"/>
        </w:rPr>
      </w:pPr>
      <w:r>
        <w:rPr>
          <w:u w:val="single"/>
        </w:rPr>
        <w:tab/>
      </w:r>
    </w:p>
  </w:footnote>
  <w:footnote w:type="continuationSeparator" w:id="0">
    <w:p w14:paraId="19841E0D" w14:textId="77777777" w:rsidR="00020748" w:rsidRPr="00FC68B7" w:rsidRDefault="00020748" w:rsidP="00FC68B7">
      <w:pPr>
        <w:tabs>
          <w:tab w:val="left" w:pos="2155"/>
        </w:tabs>
        <w:spacing w:after="80"/>
        <w:ind w:left="680"/>
        <w:rPr>
          <w:u w:val="single"/>
        </w:rPr>
      </w:pPr>
      <w:r>
        <w:rPr>
          <w:u w:val="single"/>
        </w:rPr>
        <w:tab/>
      </w:r>
    </w:p>
  </w:footnote>
  <w:footnote w:type="continuationNotice" w:id="1">
    <w:p w14:paraId="10093C6B" w14:textId="77777777" w:rsidR="00020748" w:rsidRDefault="00020748"/>
  </w:footnote>
  <w:footnote w:id="2">
    <w:p w14:paraId="7E89D089" w14:textId="2EF7F8A8" w:rsidR="00092F19" w:rsidRPr="00FF7884" w:rsidRDefault="00092F19" w:rsidP="00FF7884">
      <w:pPr>
        <w:pStyle w:val="FootnoteText"/>
      </w:pPr>
      <w:r w:rsidRPr="009519F5">
        <w:rPr>
          <w:rStyle w:val="FootnoteReference"/>
        </w:rPr>
        <w:tab/>
        <w:t>*</w:t>
      </w:r>
      <w:r w:rsidRPr="00FF7884">
        <w:rPr>
          <w:rStyle w:val="FootnoteReference"/>
          <w:vertAlign w:val="baseline"/>
        </w:rPr>
        <w:tab/>
      </w:r>
      <w:r w:rsidR="00A21D53" w:rsidRPr="00A21D53">
        <w:t>Adopted by the Committee at its fifty-seventh session ( (18 April- 13 May 2016)</w:t>
      </w:r>
      <w:r w:rsidR="00A21D53">
        <w:t>.</w:t>
      </w:r>
    </w:p>
  </w:footnote>
  <w:footnote w:id="3">
    <w:p w14:paraId="7E89D08A" w14:textId="77777777" w:rsidR="00092F19" w:rsidRPr="00FF7884" w:rsidRDefault="00FF7884" w:rsidP="00FF7884">
      <w:pPr>
        <w:pStyle w:val="FootnoteText"/>
      </w:pPr>
      <w:r>
        <w:tab/>
      </w:r>
      <w:r w:rsidR="00092F19" w:rsidRPr="009519F5">
        <w:rPr>
          <w:rStyle w:val="FootnoteReference"/>
        </w:rPr>
        <w:footnoteRef/>
      </w:r>
      <w:r w:rsidRPr="009519F5">
        <w:rPr>
          <w:rStyle w:val="FootnoteReference"/>
        </w:rPr>
        <w:tab/>
      </w:r>
      <w:r w:rsidR="00092F19" w:rsidRPr="00FF7884">
        <w:t>Paragraph numbers in brackets refer to the previous concluding observations adopted by the Committee, published under the symbol CAT/C/LKA/CO/3-4.</w:t>
      </w:r>
    </w:p>
  </w:footnote>
  <w:footnote w:id="4">
    <w:p w14:paraId="7E89D08B" w14:textId="77777777" w:rsidR="00092F19" w:rsidRPr="00F71B15" w:rsidRDefault="00FF7884" w:rsidP="00FF7884">
      <w:pPr>
        <w:pStyle w:val="FootnoteText"/>
        <w:rPr>
          <w:lang w:val="es-ES"/>
        </w:rPr>
      </w:pPr>
      <w:r>
        <w:tab/>
      </w:r>
      <w:r w:rsidR="00092F19" w:rsidRPr="009519F5">
        <w:rPr>
          <w:rStyle w:val="FootnoteReference"/>
        </w:rPr>
        <w:footnoteRef/>
      </w:r>
      <w:r w:rsidR="00092F19" w:rsidRPr="00F71B15">
        <w:rPr>
          <w:rStyle w:val="FootnoteReference"/>
          <w:lang w:val="es-ES"/>
        </w:rPr>
        <w:tab/>
      </w:r>
      <w:hyperlink r:id="rId1" w:history="1">
        <w:r w:rsidR="00092F19" w:rsidRPr="00F71B15">
          <w:rPr>
            <w:rStyle w:val="Hyperlink"/>
            <w:lang w:val="es-ES"/>
          </w:rPr>
          <w:t>CAT/C/LKA/5</w:t>
        </w:r>
      </w:hyperlink>
      <w:r w:rsidRPr="00F71B15">
        <w:rPr>
          <w:lang w:val="es-ES"/>
        </w:rPr>
        <w:t>, para.132.</w:t>
      </w:r>
    </w:p>
  </w:footnote>
  <w:footnote w:id="5">
    <w:p w14:paraId="7E89D08C" w14:textId="77777777" w:rsidR="00092F19" w:rsidRPr="00F71B15" w:rsidRDefault="00FF7884" w:rsidP="00FF7884">
      <w:pPr>
        <w:pStyle w:val="FootnoteText"/>
        <w:rPr>
          <w:lang w:val="es-ES"/>
        </w:rPr>
      </w:pPr>
      <w:r w:rsidRPr="00F71B15">
        <w:rPr>
          <w:lang w:val="es-ES"/>
        </w:rPr>
        <w:tab/>
      </w:r>
      <w:r w:rsidR="00092F19" w:rsidRPr="009519F5">
        <w:rPr>
          <w:rStyle w:val="FootnoteReference"/>
        </w:rPr>
        <w:footnoteRef/>
      </w:r>
      <w:r w:rsidRPr="00F71B15">
        <w:rPr>
          <w:rStyle w:val="FootnoteReference"/>
          <w:lang w:val="es-ES"/>
        </w:rPr>
        <w:tab/>
      </w:r>
      <w:hyperlink r:id="rId2" w:history="1">
        <w:r w:rsidR="00092F19" w:rsidRPr="00F71B15">
          <w:rPr>
            <w:rStyle w:val="Hyperlink"/>
            <w:lang w:val="es-ES"/>
          </w:rPr>
          <w:t>CAT/C/LKA/5</w:t>
        </w:r>
      </w:hyperlink>
      <w:r w:rsidRPr="00F71B15">
        <w:rPr>
          <w:lang w:val="es-ES"/>
        </w:rPr>
        <w:t>, para.133.</w:t>
      </w:r>
    </w:p>
  </w:footnote>
  <w:footnote w:id="6">
    <w:p w14:paraId="7E89D08D" w14:textId="77777777" w:rsidR="00092F19" w:rsidRPr="00F71B15" w:rsidRDefault="00FF7884" w:rsidP="00FF7884">
      <w:pPr>
        <w:pStyle w:val="FootnoteText"/>
        <w:rPr>
          <w:lang w:val="es-ES"/>
        </w:rPr>
      </w:pPr>
      <w:r w:rsidRPr="00F71B15">
        <w:rPr>
          <w:lang w:val="es-ES"/>
        </w:rPr>
        <w:tab/>
      </w:r>
      <w:r w:rsidR="00092F19" w:rsidRPr="009519F5">
        <w:rPr>
          <w:rStyle w:val="FootnoteReference"/>
        </w:rPr>
        <w:footnoteRef/>
      </w:r>
      <w:r w:rsidRPr="00F71B15">
        <w:rPr>
          <w:rStyle w:val="FootnoteReference"/>
          <w:lang w:val="es-ES"/>
        </w:rPr>
        <w:tab/>
      </w:r>
      <w:r w:rsidRPr="00F71B15">
        <w:rPr>
          <w:lang w:val="es-ES"/>
        </w:rPr>
        <w:t>CAT/C/LKA/5, paras. 9-12.</w:t>
      </w:r>
    </w:p>
  </w:footnote>
  <w:footnote w:id="7">
    <w:p w14:paraId="7E89D08E" w14:textId="17A942D1" w:rsidR="00092F19" w:rsidRPr="00FF7884" w:rsidRDefault="00FF7884" w:rsidP="00FF7884">
      <w:pPr>
        <w:pStyle w:val="FootnoteText"/>
      </w:pPr>
      <w:r w:rsidRPr="00F71B15">
        <w:rPr>
          <w:lang w:val="es-ES"/>
        </w:rPr>
        <w:tab/>
      </w:r>
      <w:r w:rsidR="00092F19" w:rsidRPr="009519F5">
        <w:rPr>
          <w:rStyle w:val="FootnoteReference"/>
        </w:rPr>
        <w:footnoteRef/>
      </w:r>
      <w:r w:rsidRPr="00F71B15">
        <w:rPr>
          <w:rStyle w:val="FootnoteReference"/>
          <w:lang w:val="es-ES"/>
        </w:rPr>
        <w:tab/>
      </w:r>
      <w:r w:rsidR="00092F19" w:rsidRPr="00F71B15">
        <w:rPr>
          <w:lang w:val="es-ES"/>
        </w:rPr>
        <w:t xml:space="preserve">CAT/C/LKA/5, para. </w:t>
      </w:r>
      <w:r w:rsidR="00092F19" w:rsidRPr="00FF7884">
        <w:t>12</w:t>
      </w:r>
      <w:r>
        <w:t>.</w:t>
      </w:r>
    </w:p>
  </w:footnote>
  <w:footnote w:id="8">
    <w:p w14:paraId="7E89D095" w14:textId="77777777" w:rsidR="00092F19" w:rsidRPr="00FF7884" w:rsidRDefault="00FF7884" w:rsidP="00FF7884">
      <w:pPr>
        <w:pStyle w:val="FootnoteText"/>
      </w:pPr>
      <w:r>
        <w:tab/>
      </w:r>
      <w:r w:rsidR="00092F19" w:rsidRPr="009519F5">
        <w:rPr>
          <w:rStyle w:val="FootnoteReference"/>
        </w:rPr>
        <w:footnoteRef/>
      </w:r>
      <w:r w:rsidRPr="009519F5">
        <w:rPr>
          <w:rStyle w:val="FootnoteReference"/>
        </w:rPr>
        <w:tab/>
      </w:r>
      <w:r w:rsidR="00092F19" w:rsidRPr="00FF7884">
        <w:t>The issues raised under article 2 may also imply other articles of the Convention, including but not limited to article 16. As stated in general comment No. 2 (CAT/C/GC/2), paragraph 3,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 w:id="9">
    <w:p w14:paraId="7E89D096" w14:textId="77777777" w:rsidR="00092F19" w:rsidRPr="00FF7884" w:rsidRDefault="00FF7884" w:rsidP="00FF7884">
      <w:pPr>
        <w:pStyle w:val="FootnoteText"/>
      </w:pPr>
      <w:r>
        <w:tab/>
      </w:r>
      <w:r w:rsidR="00092F19" w:rsidRPr="009519F5">
        <w:rPr>
          <w:rStyle w:val="FootnoteReference"/>
        </w:rPr>
        <w:footnoteRef/>
      </w:r>
      <w:r w:rsidRPr="009519F5">
        <w:rPr>
          <w:rStyle w:val="FootnoteReference"/>
        </w:rPr>
        <w:tab/>
      </w:r>
      <w:r w:rsidR="00092F19" w:rsidRPr="00FF7884">
        <w:t>CAT/C/LKA/5, paras 10-11.</w:t>
      </w:r>
    </w:p>
  </w:footnote>
  <w:footnote w:id="10">
    <w:p w14:paraId="7E89D097" w14:textId="77777777" w:rsidR="00092F19" w:rsidRPr="00FF7884" w:rsidRDefault="00FF7884" w:rsidP="00FF7884">
      <w:pPr>
        <w:pStyle w:val="FootnoteText"/>
      </w:pPr>
      <w:r>
        <w:tab/>
      </w:r>
      <w:r w:rsidR="00092F19" w:rsidRPr="009519F5">
        <w:rPr>
          <w:rStyle w:val="FootnoteReference"/>
        </w:rPr>
        <w:footnoteRef/>
      </w:r>
      <w:r>
        <w:tab/>
      </w:r>
      <w:r w:rsidR="00092F19" w:rsidRPr="00FF7884">
        <w:t>Ibid</w:t>
      </w:r>
      <w:r>
        <w:t>.</w:t>
      </w:r>
    </w:p>
  </w:footnote>
  <w:footnote w:id="11">
    <w:p w14:paraId="7E89D098" w14:textId="77777777" w:rsidR="00092F19" w:rsidRPr="00FF7884" w:rsidRDefault="00FF7884" w:rsidP="00FF7884">
      <w:pPr>
        <w:pStyle w:val="FootnoteText"/>
      </w:pPr>
      <w:r>
        <w:tab/>
      </w:r>
      <w:r w:rsidR="00092F19" w:rsidRPr="009519F5">
        <w:rPr>
          <w:rStyle w:val="FootnoteReference"/>
        </w:rPr>
        <w:footnoteRef/>
      </w:r>
      <w:r>
        <w:tab/>
      </w:r>
      <w:hyperlink r:id="rId3" w:history="1">
        <w:r w:rsidR="00092F19" w:rsidRPr="00FF7884">
          <w:rPr>
            <w:rStyle w:val="Hyperlink"/>
          </w:rPr>
          <w:t>CAT/C/LKA/5</w:t>
        </w:r>
      </w:hyperlink>
      <w:r w:rsidR="00092F19" w:rsidRPr="00FF7884">
        <w:t>, paras.13 and 29.</w:t>
      </w:r>
    </w:p>
  </w:footnote>
  <w:footnote w:id="12">
    <w:p w14:paraId="7E89D099" w14:textId="77777777" w:rsidR="00092F19" w:rsidRPr="00FF7884" w:rsidRDefault="00FF7884" w:rsidP="00FF7884">
      <w:pPr>
        <w:pStyle w:val="FootnoteText"/>
      </w:pPr>
      <w:r>
        <w:tab/>
      </w:r>
      <w:r w:rsidR="00092F19" w:rsidRPr="009519F5">
        <w:rPr>
          <w:rStyle w:val="FootnoteReference"/>
        </w:rPr>
        <w:footnoteRef/>
      </w:r>
      <w:r>
        <w:tab/>
      </w:r>
      <w:r w:rsidR="00092F19" w:rsidRPr="00FF7884">
        <w:t>CAT/C/LKA/CO/3-4/Add.1, paras. 5-11.</w:t>
      </w:r>
    </w:p>
  </w:footnote>
  <w:footnote w:id="13">
    <w:p w14:paraId="7E89D09C" w14:textId="77777777" w:rsidR="00092F19" w:rsidRPr="00FF7884" w:rsidRDefault="00FF7884" w:rsidP="00FF7884">
      <w:pPr>
        <w:pStyle w:val="FootnoteText"/>
      </w:pPr>
      <w:r>
        <w:tab/>
      </w:r>
      <w:r w:rsidR="00092F19" w:rsidRPr="009519F5">
        <w:rPr>
          <w:rStyle w:val="FootnoteReference"/>
        </w:rPr>
        <w:footnoteRef/>
      </w:r>
      <w:r>
        <w:tab/>
      </w:r>
      <w:r w:rsidR="00092F19" w:rsidRPr="00FF7884">
        <w:t>CAT/C/LKA/CO/3-4/Add.1, para. 7.</w:t>
      </w:r>
    </w:p>
  </w:footnote>
  <w:footnote w:id="14">
    <w:p w14:paraId="7E89D09D" w14:textId="4B069DA0" w:rsidR="00092F19" w:rsidRPr="00FF7884" w:rsidRDefault="00FF7884" w:rsidP="00FF7884">
      <w:pPr>
        <w:pStyle w:val="FootnoteText"/>
      </w:pPr>
      <w:r>
        <w:tab/>
      </w:r>
      <w:r w:rsidR="00092F19" w:rsidRPr="009519F5">
        <w:rPr>
          <w:rStyle w:val="FootnoteReference"/>
        </w:rPr>
        <w:footnoteRef/>
      </w:r>
      <w:r>
        <w:tab/>
      </w:r>
      <w:r w:rsidR="00092F19" w:rsidRPr="00FF7884">
        <w:t>CAT/C/LKA/CO/3-4/Add.1, para. 7.</w:t>
      </w:r>
    </w:p>
  </w:footnote>
  <w:footnote w:id="15">
    <w:p w14:paraId="7E89D09F" w14:textId="28150DF7" w:rsidR="00092F19" w:rsidRPr="00FF7884" w:rsidRDefault="00FF7884" w:rsidP="00FF7884">
      <w:pPr>
        <w:pStyle w:val="FootnoteText"/>
      </w:pPr>
      <w:r>
        <w:tab/>
      </w:r>
      <w:r w:rsidR="00092F19" w:rsidRPr="009519F5">
        <w:rPr>
          <w:rStyle w:val="FootnoteReference"/>
        </w:rPr>
        <w:footnoteRef/>
      </w:r>
      <w:r w:rsidRPr="009519F5">
        <w:rPr>
          <w:rStyle w:val="FootnoteReference"/>
        </w:rPr>
        <w:tab/>
      </w:r>
      <w:r w:rsidR="00092F19" w:rsidRPr="00FF7884">
        <w:t xml:space="preserve">CAT/C/LKA/CO/3-4/Add.1, para. </w:t>
      </w:r>
      <w:r w:rsidR="00092F19" w:rsidRPr="00F71B15">
        <w:rPr>
          <w:lang w:val="es-ES"/>
        </w:rPr>
        <w:t xml:space="preserve">7; </w:t>
      </w:r>
      <w:hyperlink r:id="rId4" w:history="1">
        <w:r w:rsidR="00092F19" w:rsidRPr="00F71B15">
          <w:rPr>
            <w:rStyle w:val="Hyperlink"/>
            <w:lang w:val="es-ES"/>
          </w:rPr>
          <w:t>CAT/C/LKA/5</w:t>
        </w:r>
      </w:hyperlink>
      <w:r w:rsidR="00092F19" w:rsidRPr="00F71B15">
        <w:rPr>
          <w:lang w:val="es-ES"/>
        </w:rPr>
        <w:t xml:space="preserve">, para. 29; CCPR/C/LKA/CO/5, para. </w:t>
      </w:r>
      <w:r w:rsidR="00092F19" w:rsidRPr="00FF7884">
        <w:t>17</w:t>
      </w:r>
      <w:r w:rsidR="00130CD1">
        <w:t>.</w:t>
      </w:r>
      <w:r w:rsidR="00092F19" w:rsidRPr="00FF7884">
        <w:t>.</w:t>
      </w:r>
    </w:p>
  </w:footnote>
  <w:footnote w:id="16">
    <w:p w14:paraId="7E89D0A1" w14:textId="37E72B78" w:rsidR="00092F19" w:rsidRPr="00FF7884" w:rsidRDefault="00FF7884" w:rsidP="00FF7884">
      <w:pPr>
        <w:pStyle w:val="FootnoteText"/>
      </w:pPr>
      <w:r>
        <w:tab/>
      </w:r>
      <w:r w:rsidR="00092F19" w:rsidRPr="009519F5">
        <w:rPr>
          <w:rStyle w:val="FootnoteReference"/>
        </w:rPr>
        <w:footnoteRef/>
      </w:r>
      <w:r>
        <w:tab/>
      </w:r>
      <w:r w:rsidR="00092F19" w:rsidRPr="00FF7884">
        <w:t>A/HRC/WG.6/14/LKA/3, para.39.</w:t>
      </w:r>
    </w:p>
  </w:footnote>
  <w:footnote w:id="17">
    <w:p w14:paraId="7E89D0A3" w14:textId="77777777" w:rsidR="00092F19" w:rsidRPr="00FF7884" w:rsidRDefault="00FF7884" w:rsidP="00FF7884">
      <w:pPr>
        <w:pStyle w:val="FootnoteText"/>
      </w:pPr>
      <w:r>
        <w:tab/>
      </w:r>
      <w:r w:rsidR="00092F19" w:rsidRPr="009519F5">
        <w:rPr>
          <w:rStyle w:val="FootnoteReference"/>
        </w:rPr>
        <w:footnoteRef/>
      </w:r>
      <w:r w:rsidRPr="009519F5">
        <w:rPr>
          <w:rStyle w:val="FootnoteReference"/>
        </w:rPr>
        <w:tab/>
      </w:r>
      <w:hyperlink r:id="rId5" w:history="1">
        <w:r w:rsidR="00092F19" w:rsidRPr="00FF7884">
          <w:rPr>
            <w:rStyle w:val="Hyperlink"/>
          </w:rPr>
          <w:t>CAT/C/LKA/5</w:t>
        </w:r>
      </w:hyperlink>
      <w:r w:rsidR="00092F19" w:rsidRPr="00FF7884">
        <w:t>, paras. 23-32.</w:t>
      </w:r>
    </w:p>
  </w:footnote>
  <w:footnote w:id="18">
    <w:p w14:paraId="7E89D0A5" w14:textId="77777777" w:rsidR="00092F19" w:rsidRPr="00FF7884" w:rsidRDefault="000277C0" w:rsidP="00FF7884">
      <w:pPr>
        <w:pStyle w:val="FootnoteText"/>
      </w:pPr>
      <w:r>
        <w:tab/>
      </w:r>
      <w:r w:rsidR="00092F19" w:rsidRPr="009519F5">
        <w:rPr>
          <w:rStyle w:val="FootnoteReference"/>
        </w:rPr>
        <w:footnoteRef/>
      </w:r>
      <w:r w:rsidRPr="009519F5">
        <w:rPr>
          <w:rStyle w:val="FootnoteReference"/>
        </w:rPr>
        <w:tab/>
      </w:r>
      <w:hyperlink r:id="rId6" w:history="1">
        <w:r w:rsidR="00092F19" w:rsidRPr="00FF7884">
          <w:rPr>
            <w:rStyle w:val="Hyperlink"/>
          </w:rPr>
          <w:t>CAT/C/LKA/5</w:t>
        </w:r>
      </w:hyperlink>
      <w:r w:rsidR="00092F19" w:rsidRPr="00FF7884">
        <w:t>, paras. 23, 26.</w:t>
      </w:r>
    </w:p>
  </w:footnote>
  <w:footnote w:id="19">
    <w:p w14:paraId="4720B828" w14:textId="2D6C7518" w:rsidR="00FF2343" w:rsidRPr="00FF7884" w:rsidRDefault="00FF2343" w:rsidP="00FF7884">
      <w:pPr>
        <w:pStyle w:val="FootnoteText"/>
      </w:pPr>
      <w:r>
        <w:tab/>
      </w:r>
      <w:r w:rsidRPr="009519F5">
        <w:rPr>
          <w:rStyle w:val="FootnoteReference"/>
        </w:rPr>
        <w:footnoteRef/>
      </w:r>
      <w:r>
        <w:tab/>
      </w:r>
      <w:r w:rsidRPr="00FF7884">
        <w:t>A/HRC/30/CRP.2, para. 340</w:t>
      </w:r>
      <w:r w:rsidRPr="00FF7884" w:rsidDel="00130CD1">
        <w:t>.</w:t>
      </w:r>
    </w:p>
  </w:footnote>
  <w:footnote w:id="20">
    <w:p w14:paraId="7E89D0A7" w14:textId="2EBE2605" w:rsidR="00092F19" w:rsidRPr="00FF7884" w:rsidRDefault="000277C0" w:rsidP="00FF7884">
      <w:pPr>
        <w:pStyle w:val="FootnoteText"/>
      </w:pPr>
      <w:r>
        <w:tab/>
      </w:r>
      <w:r w:rsidR="00092F19" w:rsidRPr="009519F5">
        <w:rPr>
          <w:rStyle w:val="FootnoteReference"/>
        </w:rPr>
        <w:footnoteRef/>
      </w:r>
      <w:r>
        <w:tab/>
      </w:r>
      <w:r w:rsidR="00092F19" w:rsidRPr="00FF7884">
        <w:t>A/HRC/30/61, para. 19.</w:t>
      </w:r>
    </w:p>
  </w:footnote>
  <w:footnote w:id="21">
    <w:p w14:paraId="7E89D0A8" w14:textId="4D2097C3" w:rsidR="00092F19" w:rsidRPr="00FF7884" w:rsidRDefault="000277C0" w:rsidP="00FF7884">
      <w:pPr>
        <w:pStyle w:val="FootnoteText"/>
      </w:pPr>
      <w:r>
        <w:tab/>
      </w:r>
      <w:r w:rsidR="00092F19" w:rsidRPr="009519F5">
        <w:rPr>
          <w:rStyle w:val="FootnoteReference"/>
        </w:rPr>
        <w:footnoteRef/>
      </w:r>
      <w:r>
        <w:tab/>
      </w:r>
      <w:hyperlink r:id="rId7" w:history="1">
        <w:r w:rsidR="00092F19" w:rsidRPr="00FF7884">
          <w:rPr>
            <w:rStyle w:val="Hyperlink"/>
          </w:rPr>
          <w:t>CAT/C/LKA/5</w:t>
        </w:r>
      </w:hyperlink>
      <w:r w:rsidR="00092F19" w:rsidRPr="00FF7884">
        <w:t>, para. 29</w:t>
      </w:r>
      <w:r w:rsidR="00130CD1">
        <w:t xml:space="preserve">; </w:t>
      </w:r>
      <w:r w:rsidR="00092F19" w:rsidRPr="00FF7884">
        <w:t>A/HRC/30/CRP.2, Recommendation 24; A/HRC/24/CRP.3/Rev.1, para. 14; CCPR/C/LKA/CO/5, paras. 11, 17.</w:t>
      </w:r>
    </w:p>
  </w:footnote>
  <w:footnote w:id="22">
    <w:p w14:paraId="7E89D0AA" w14:textId="7F01DFD2" w:rsidR="00092F19" w:rsidRPr="005E4661" w:rsidRDefault="000277C0" w:rsidP="00FF7884">
      <w:pPr>
        <w:pStyle w:val="FootnoteText"/>
        <w:rPr>
          <w:lang w:val="en-AU"/>
        </w:rPr>
      </w:pPr>
      <w:r>
        <w:rPr>
          <w:lang w:val="en-AU"/>
        </w:rPr>
        <w:tab/>
      </w:r>
      <w:r w:rsidR="00092F19" w:rsidRPr="004A18BE">
        <w:rPr>
          <w:rStyle w:val="FootnoteReference"/>
          <w:szCs w:val="18"/>
          <w:lang w:val="en-AU"/>
        </w:rPr>
        <w:footnoteRef/>
      </w:r>
      <w:r w:rsidRPr="000B04F4">
        <w:tab/>
      </w:r>
      <w:r w:rsidR="00092F19" w:rsidRPr="000B04F4">
        <w:t xml:space="preserve">CAT/C/LKA/5, para. </w:t>
      </w:r>
      <w:r w:rsidR="00092F19" w:rsidRPr="000B04F4">
        <w:rPr>
          <w:lang w:val="es-ES"/>
        </w:rPr>
        <w:t>32</w:t>
      </w:r>
      <w:r w:rsidR="00130CD1" w:rsidRPr="000B04F4">
        <w:rPr>
          <w:lang w:val="es-ES"/>
        </w:rPr>
        <w:t xml:space="preserve">; </w:t>
      </w:r>
      <w:r w:rsidR="00092F19" w:rsidRPr="000B04F4">
        <w:rPr>
          <w:lang w:val="es-ES"/>
        </w:rPr>
        <w:t xml:space="preserve">A/HRC/25/23, para. </w:t>
      </w:r>
      <w:r w:rsidR="00092F19" w:rsidRPr="004A18BE">
        <w:rPr>
          <w:lang w:val="en-AU"/>
        </w:rPr>
        <w:t>18 and A/HRC/24/CRP.3/Rev.1, para. 14.</w:t>
      </w:r>
    </w:p>
  </w:footnote>
  <w:footnote w:id="23">
    <w:p w14:paraId="7E89D0AB" w14:textId="77777777" w:rsidR="00092F19" w:rsidRPr="00DE4828" w:rsidRDefault="000277C0" w:rsidP="00FF7884">
      <w:pPr>
        <w:pStyle w:val="FootnoteText"/>
      </w:pPr>
      <w:r>
        <w:tab/>
      </w:r>
      <w:r w:rsidR="00092F19" w:rsidRPr="004A18BE">
        <w:rPr>
          <w:rStyle w:val="FootnoteReference"/>
          <w:szCs w:val="18"/>
        </w:rPr>
        <w:footnoteRef/>
      </w:r>
      <w:r>
        <w:tab/>
      </w:r>
      <w:hyperlink r:id="rId8" w:history="1">
        <w:r w:rsidR="00092F19" w:rsidRPr="005709DF">
          <w:rPr>
            <w:rStyle w:val="Hyperlink"/>
            <w:szCs w:val="18"/>
          </w:rPr>
          <w:t>CAT/C/LKA/5</w:t>
        </w:r>
      </w:hyperlink>
      <w:r w:rsidR="00092F19" w:rsidRPr="005709DF">
        <w:t xml:space="preserve">, paras. 67, </w:t>
      </w:r>
      <w:r w:rsidR="00092F19" w:rsidRPr="005E4661">
        <w:t>69-77</w:t>
      </w:r>
      <w:r w:rsidR="00092F19" w:rsidRPr="00DE4828">
        <w:rPr>
          <w:rFonts w:ascii="Times" w:hAnsi="Times"/>
        </w:rPr>
        <w:t>.</w:t>
      </w:r>
    </w:p>
  </w:footnote>
  <w:footnote w:id="24">
    <w:p w14:paraId="7E89D0AD" w14:textId="72BE9596" w:rsidR="00092F19" w:rsidRPr="000B04F4" w:rsidRDefault="000277C0" w:rsidP="00FF7884">
      <w:pPr>
        <w:pStyle w:val="FootnoteText"/>
        <w:rPr>
          <w:lang w:val="es-ES"/>
        </w:rPr>
      </w:pPr>
      <w:r>
        <w:tab/>
      </w:r>
      <w:r w:rsidR="00092F19" w:rsidRPr="00031E80">
        <w:rPr>
          <w:rStyle w:val="FootnoteReference"/>
          <w:szCs w:val="18"/>
        </w:rPr>
        <w:footnoteRef/>
      </w:r>
      <w:r w:rsidRPr="000B04F4">
        <w:rPr>
          <w:lang w:val="es-ES"/>
        </w:rPr>
        <w:tab/>
      </w:r>
      <w:r w:rsidR="00092F19" w:rsidRPr="000B04F4">
        <w:rPr>
          <w:rFonts w:ascii="Times" w:hAnsi="Times"/>
          <w:lang w:val="es-ES"/>
        </w:rPr>
        <w:t>A/HRC/30/CRP.2, para. 378</w:t>
      </w:r>
      <w:r w:rsidR="00130CD1" w:rsidRPr="000B04F4">
        <w:rPr>
          <w:rFonts w:ascii="Times" w:hAnsi="Times"/>
          <w:lang w:val="es-ES"/>
        </w:rPr>
        <w:t>.</w:t>
      </w:r>
    </w:p>
  </w:footnote>
  <w:footnote w:id="25">
    <w:p w14:paraId="7E89D0AF" w14:textId="295C9AF3" w:rsidR="00092F19" w:rsidRPr="00031E80" w:rsidRDefault="000277C0" w:rsidP="00FF7884">
      <w:pPr>
        <w:pStyle w:val="FootnoteText"/>
        <w:rPr>
          <w:rFonts w:ascii="Times" w:hAnsi="Times"/>
          <w:lang w:val="en-AU"/>
        </w:rPr>
      </w:pPr>
      <w:r w:rsidRPr="000B04F4">
        <w:rPr>
          <w:rFonts w:ascii="Times" w:hAnsi="Times"/>
          <w:lang w:val="es-ES"/>
        </w:rPr>
        <w:tab/>
      </w:r>
      <w:r w:rsidR="00092F19" w:rsidRPr="000277C0">
        <w:rPr>
          <w:rStyle w:val="FootnoteReference"/>
        </w:rPr>
        <w:footnoteRef/>
      </w:r>
      <w:r w:rsidRPr="000B04F4">
        <w:rPr>
          <w:rFonts w:ascii="Times" w:hAnsi="Times"/>
          <w:lang w:val="es-ES"/>
        </w:rPr>
        <w:tab/>
      </w:r>
      <w:r w:rsidR="00092F19" w:rsidRPr="000B04F4">
        <w:rPr>
          <w:rFonts w:ascii="Times" w:hAnsi="Times"/>
          <w:lang w:val="es-ES"/>
        </w:rPr>
        <w:t xml:space="preserve">CAT/C/LKA/5, para. </w:t>
      </w:r>
      <w:r w:rsidR="00092F19" w:rsidRPr="00031E80">
        <w:rPr>
          <w:rFonts w:ascii="Times" w:hAnsi="Times"/>
          <w:lang w:val="en-AU"/>
        </w:rPr>
        <w:t>76.</w:t>
      </w:r>
    </w:p>
  </w:footnote>
  <w:footnote w:id="26">
    <w:p w14:paraId="7E89D0B0" w14:textId="77777777" w:rsidR="00092F19" w:rsidRPr="00F71B15" w:rsidRDefault="000277C0" w:rsidP="00FF7884">
      <w:pPr>
        <w:pStyle w:val="FootnoteText"/>
        <w:rPr>
          <w:lang w:val="es-ES"/>
        </w:rPr>
      </w:pPr>
      <w:r>
        <w:tab/>
      </w:r>
      <w:r w:rsidR="00092F19" w:rsidRPr="000277C0">
        <w:rPr>
          <w:rStyle w:val="FootnoteReference"/>
        </w:rPr>
        <w:footnoteRef/>
      </w:r>
      <w:r w:rsidRPr="00F71B15">
        <w:rPr>
          <w:rStyle w:val="FootnoteReference"/>
          <w:lang w:val="es-ES"/>
        </w:rPr>
        <w:tab/>
      </w:r>
      <w:r w:rsidR="00FF7884" w:rsidRPr="00F71B15">
        <w:rPr>
          <w:lang w:val="es-ES"/>
        </w:rPr>
        <w:t>CAT/C/LKA/5, para. 5.</w:t>
      </w:r>
    </w:p>
  </w:footnote>
  <w:footnote w:id="27">
    <w:p w14:paraId="7E89D0B1" w14:textId="77777777" w:rsidR="00092F19" w:rsidRPr="00FF7884" w:rsidRDefault="000277C0" w:rsidP="00FF7884">
      <w:pPr>
        <w:pStyle w:val="FootnoteText"/>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CCPR/C/LKA/CO/5, para. </w:t>
      </w:r>
      <w:r w:rsidR="00FF7884">
        <w:t>5.</w:t>
      </w:r>
    </w:p>
  </w:footnote>
  <w:footnote w:id="28">
    <w:p w14:paraId="7E89D0B2" w14:textId="77777777" w:rsidR="00092F19" w:rsidRPr="00FF7884" w:rsidRDefault="000277C0" w:rsidP="00FF7884">
      <w:pPr>
        <w:pStyle w:val="FootnoteText"/>
      </w:pPr>
      <w:r>
        <w:tab/>
      </w:r>
      <w:r w:rsidR="00092F19" w:rsidRPr="009519F5">
        <w:rPr>
          <w:rStyle w:val="FootnoteReference"/>
        </w:rPr>
        <w:footnoteRef/>
      </w:r>
      <w:r>
        <w:tab/>
      </w:r>
      <w:r w:rsidR="00092F19" w:rsidRPr="00FF7884">
        <w:t>Ibid.</w:t>
      </w:r>
    </w:p>
  </w:footnote>
  <w:footnote w:id="29">
    <w:p w14:paraId="7E89D0B4" w14:textId="77777777" w:rsidR="00092F19" w:rsidRPr="00FF7884" w:rsidRDefault="000277C0" w:rsidP="00FF7884">
      <w:pPr>
        <w:pStyle w:val="FootnoteText"/>
      </w:pPr>
      <w:r>
        <w:tab/>
      </w:r>
      <w:r w:rsidR="00092F19" w:rsidRPr="009519F5">
        <w:rPr>
          <w:rStyle w:val="FootnoteReference"/>
        </w:rPr>
        <w:footnoteRef/>
      </w:r>
      <w:r w:rsidRPr="00F71B15">
        <w:rPr>
          <w:rStyle w:val="FootnoteReference"/>
          <w:lang w:val="es-ES"/>
        </w:rPr>
        <w:tab/>
      </w:r>
      <w:r w:rsidR="00092F19" w:rsidRPr="00F71B15">
        <w:rPr>
          <w:lang w:val="es-ES"/>
        </w:rPr>
        <w:t xml:space="preserve">CCPR/C/LKA/CO/5, para. </w:t>
      </w:r>
      <w:r w:rsidR="00092F19" w:rsidRPr="00FF7884">
        <w:t xml:space="preserve">9; CEDAW/C/LKA/CO/7, paras. 24 and 25(d); </w:t>
      </w:r>
      <w:r w:rsidR="00FF7884">
        <w:t>E/C.12/LKA/CO/2-4, para. 25.</w:t>
      </w:r>
    </w:p>
  </w:footnote>
  <w:footnote w:id="30">
    <w:p w14:paraId="7E89D0B5" w14:textId="3FF16603" w:rsidR="00092F19" w:rsidRPr="00FF7884" w:rsidRDefault="000277C0" w:rsidP="00FF7884">
      <w:pPr>
        <w:pStyle w:val="FootnoteText"/>
      </w:pPr>
      <w:r>
        <w:tab/>
      </w:r>
      <w:r w:rsidR="00092F19" w:rsidRPr="009519F5">
        <w:rPr>
          <w:rStyle w:val="FootnoteReference"/>
        </w:rPr>
        <w:footnoteRef/>
      </w:r>
      <w:r w:rsidRPr="000B04F4">
        <w:rPr>
          <w:lang w:val="es-ES"/>
        </w:rPr>
        <w:tab/>
      </w:r>
      <w:r w:rsidR="00FF7884" w:rsidRPr="000B04F4">
        <w:rPr>
          <w:lang w:val="es-ES"/>
        </w:rPr>
        <w:t xml:space="preserve">CCPR/C/LKA/CO/5, para. </w:t>
      </w:r>
      <w:r w:rsidR="00FF7884">
        <w:t>9.</w:t>
      </w:r>
    </w:p>
  </w:footnote>
  <w:footnote w:id="31">
    <w:p w14:paraId="7E89D0B7" w14:textId="77777777" w:rsidR="00092F19" w:rsidRPr="00F71B15" w:rsidRDefault="000277C0" w:rsidP="00FF7884">
      <w:pPr>
        <w:pStyle w:val="FootnoteText"/>
        <w:rPr>
          <w:lang w:val="es-ES"/>
        </w:rPr>
      </w:pPr>
      <w:r>
        <w:tab/>
      </w:r>
      <w:r w:rsidR="00092F19" w:rsidRPr="009519F5">
        <w:rPr>
          <w:rStyle w:val="FootnoteReference"/>
        </w:rPr>
        <w:footnoteRef/>
      </w:r>
      <w:r w:rsidRPr="00F71B15">
        <w:rPr>
          <w:lang w:val="es-ES"/>
        </w:rPr>
        <w:tab/>
      </w:r>
      <w:r w:rsidR="00FF7884" w:rsidRPr="00F71B15">
        <w:rPr>
          <w:lang w:val="es-ES"/>
        </w:rPr>
        <w:t>CAT/C/LKA/5, para. 116.</w:t>
      </w:r>
    </w:p>
  </w:footnote>
  <w:footnote w:id="32">
    <w:p w14:paraId="7E89D0B8" w14:textId="77777777" w:rsidR="00092F19" w:rsidRPr="00F71B15" w:rsidRDefault="000277C0" w:rsidP="00FF7884">
      <w:pPr>
        <w:pStyle w:val="FootnoteText"/>
        <w:rPr>
          <w:lang w:val="es-ES"/>
        </w:rPr>
      </w:pPr>
      <w:r w:rsidRPr="00F71B15">
        <w:rPr>
          <w:lang w:val="es-ES"/>
        </w:rPr>
        <w:tab/>
      </w:r>
      <w:r w:rsidR="00092F19" w:rsidRPr="009519F5">
        <w:rPr>
          <w:rStyle w:val="FootnoteReference"/>
        </w:rPr>
        <w:footnoteRef/>
      </w:r>
      <w:r w:rsidRPr="00F71B15">
        <w:rPr>
          <w:rStyle w:val="FootnoteReference"/>
          <w:lang w:val="es-ES"/>
        </w:rPr>
        <w:tab/>
      </w:r>
      <w:r w:rsidR="00FF7884" w:rsidRPr="00F71B15">
        <w:rPr>
          <w:lang w:val="es-ES"/>
        </w:rPr>
        <w:t>CCPR/C/LKA/CO/5, para. 20.</w:t>
      </w:r>
    </w:p>
  </w:footnote>
  <w:footnote w:id="33">
    <w:p w14:paraId="7E89D0B9" w14:textId="77777777" w:rsidR="00092F19" w:rsidRPr="00F71B15" w:rsidRDefault="000277C0" w:rsidP="00FF7884">
      <w:pPr>
        <w:pStyle w:val="FootnoteText"/>
        <w:rPr>
          <w:lang w:val="es-ES"/>
        </w:rPr>
      </w:pPr>
      <w:r w:rsidRPr="00F71B15">
        <w:rPr>
          <w:lang w:val="es-ES"/>
        </w:rPr>
        <w:tab/>
      </w:r>
      <w:r w:rsidR="00092F19" w:rsidRPr="009519F5">
        <w:rPr>
          <w:rStyle w:val="FootnoteReference"/>
        </w:rPr>
        <w:footnoteRef/>
      </w:r>
      <w:r w:rsidRPr="00F71B15">
        <w:rPr>
          <w:lang w:val="es-ES"/>
        </w:rPr>
        <w:tab/>
      </w:r>
      <w:r w:rsidR="00FF7884" w:rsidRPr="00F71B15">
        <w:rPr>
          <w:lang w:val="es-ES"/>
        </w:rPr>
        <w:t>CCPR/C/LKA/CO/5, para. 20.</w:t>
      </w:r>
    </w:p>
  </w:footnote>
  <w:footnote w:id="34">
    <w:p w14:paraId="7E89D0BA" w14:textId="77777777" w:rsidR="00092F19" w:rsidRPr="00FF7884" w:rsidRDefault="000277C0" w:rsidP="00FF7884">
      <w:pPr>
        <w:pStyle w:val="FootnoteText"/>
      </w:pPr>
      <w:r w:rsidRPr="00F71B15">
        <w:rPr>
          <w:lang w:val="es-ES"/>
        </w:rPr>
        <w:tab/>
      </w:r>
      <w:r w:rsidR="00092F19" w:rsidRPr="009519F5">
        <w:rPr>
          <w:rStyle w:val="FootnoteReference"/>
        </w:rPr>
        <w:footnoteRef/>
      </w:r>
      <w:r w:rsidRPr="00F71B15">
        <w:rPr>
          <w:rStyle w:val="FootnoteReference"/>
          <w:lang w:val="es-ES"/>
        </w:rPr>
        <w:tab/>
      </w:r>
      <w:r w:rsidR="00092F19" w:rsidRPr="00F71B15">
        <w:rPr>
          <w:lang w:val="es-ES"/>
        </w:rPr>
        <w:t xml:space="preserve">CCPR/C/LKA/CO/5, para. </w:t>
      </w:r>
      <w:r w:rsidR="00092F19" w:rsidRPr="00FF7884">
        <w:t>20; CEDAW/C/LKA/CO/7, para. 26.</w:t>
      </w:r>
    </w:p>
  </w:footnote>
  <w:footnote w:id="35">
    <w:p w14:paraId="7E89D0BC" w14:textId="77777777" w:rsidR="00092F19" w:rsidRPr="00FF7884" w:rsidRDefault="000277C0" w:rsidP="00FF7884">
      <w:pPr>
        <w:pStyle w:val="FootnoteText"/>
      </w:pPr>
      <w:r>
        <w:tab/>
      </w:r>
      <w:r w:rsidR="00092F19" w:rsidRPr="009519F5">
        <w:rPr>
          <w:rStyle w:val="FootnoteReference"/>
        </w:rPr>
        <w:footnoteRef/>
      </w:r>
      <w:r>
        <w:tab/>
      </w:r>
      <w:r w:rsidR="00092F19" w:rsidRPr="00FF7884">
        <w:t>CAT/C/LKA/5, paras. 140-148.</w:t>
      </w:r>
    </w:p>
  </w:footnote>
  <w:footnote w:id="36">
    <w:p w14:paraId="7E89D0BD" w14:textId="77777777" w:rsidR="00092F19" w:rsidRPr="00FF7884" w:rsidRDefault="000277C0" w:rsidP="00FF7884">
      <w:pPr>
        <w:pStyle w:val="FootnoteText"/>
      </w:pPr>
      <w:r>
        <w:tab/>
      </w:r>
      <w:r w:rsidR="00092F19" w:rsidRPr="009519F5">
        <w:rPr>
          <w:rStyle w:val="FootnoteReference"/>
        </w:rPr>
        <w:footnoteRef/>
      </w:r>
      <w:r w:rsidRPr="009519F5">
        <w:rPr>
          <w:rStyle w:val="FootnoteReference"/>
        </w:rPr>
        <w:tab/>
      </w:r>
      <w:r w:rsidR="00092F19" w:rsidRPr="00FF7884">
        <w:t>A/H</w:t>
      </w:r>
      <w:r w:rsidR="00FF7884">
        <w:t>RC/30/CRCP.2, Recommendation 9.</w:t>
      </w:r>
    </w:p>
  </w:footnote>
  <w:footnote w:id="37">
    <w:p w14:paraId="7E89D0BE" w14:textId="77777777" w:rsidR="00092F19" w:rsidRPr="00FF7884" w:rsidRDefault="000277C0" w:rsidP="00FF7884">
      <w:pPr>
        <w:pStyle w:val="FootnoteText"/>
      </w:pPr>
      <w:r>
        <w:tab/>
      </w:r>
      <w:r w:rsidR="00092F19" w:rsidRPr="009519F5">
        <w:rPr>
          <w:rStyle w:val="FootnoteReference"/>
        </w:rPr>
        <w:footnoteRef/>
      </w:r>
      <w:r w:rsidRPr="009519F5">
        <w:rPr>
          <w:rStyle w:val="FootnoteReference"/>
        </w:rPr>
        <w:tab/>
      </w:r>
      <w:r w:rsidR="00FF7884">
        <w:t>CAT/C/LKA/5, para. 82.</w:t>
      </w:r>
    </w:p>
  </w:footnote>
  <w:footnote w:id="38">
    <w:p w14:paraId="7E89D0BF" w14:textId="3E13EEAC" w:rsidR="00092F19" w:rsidRPr="00FF7884" w:rsidRDefault="000277C0" w:rsidP="00FF7884">
      <w:pPr>
        <w:pStyle w:val="FootnoteText"/>
      </w:pPr>
      <w:r>
        <w:tab/>
      </w:r>
      <w:r w:rsidR="00092F19" w:rsidRPr="009519F5">
        <w:rPr>
          <w:rStyle w:val="FootnoteReference"/>
        </w:rPr>
        <w:footnoteRef/>
      </w:r>
      <w:r w:rsidRPr="009519F5">
        <w:rPr>
          <w:rStyle w:val="FootnoteReference"/>
        </w:rPr>
        <w:tab/>
      </w:r>
      <w:r w:rsidR="00092F19" w:rsidRPr="00FF7884">
        <w:t>A/HRC/30/CRP.2, para. 1110</w:t>
      </w:r>
      <w:r w:rsidR="00FF7884">
        <w:t>.</w:t>
      </w:r>
    </w:p>
  </w:footnote>
  <w:footnote w:id="39">
    <w:p w14:paraId="7E89D0C0" w14:textId="77777777" w:rsidR="00092F19" w:rsidRPr="00F71B15" w:rsidRDefault="000277C0" w:rsidP="00FF7884">
      <w:pPr>
        <w:pStyle w:val="FootnoteText"/>
        <w:rPr>
          <w:lang w:val="es-ES"/>
        </w:rPr>
      </w:pPr>
      <w:r>
        <w:tab/>
      </w:r>
      <w:r w:rsidR="00092F19" w:rsidRPr="009519F5">
        <w:rPr>
          <w:rStyle w:val="FootnoteReference"/>
        </w:rPr>
        <w:footnoteRef/>
      </w:r>
      <w:r w:rsidRPr="00F71B15">
        <w:rPr>
          <w:lang w:val="es-ES"/>
        </w:rPr>
        <w:tab/>
      </w:r>
      <w:r w:rsidR="00092F19" w:rsidRPr="00F71B15">
        <w:rPr>
          <w:lang w:val="es-ES"/>
        </w:rPr>
        <w:t>A/H</w:t>
      </w:r>
      <w:r w:rsidR="00FF7884" w:rsidRPr="00F71B15">
        <w:rPr>
          <w:lang w:val="es-ES"/>
        </w:rPr>
        <w:t>RC/30/CRP.2, paras. 1081-1105.</w:t>
      </w:r>
    </w:p>
  </w:footnote>
  <w:footnote w:id="40">
    <w:p w14:paraId="7E89D0C1" w14:textId="77777777" w:rsidR="00092F19" w:rsidRPr="00FF7884" w:rsidRDefault="000277C0" w:rsidP="00FF7884">
      <w:pPr>
        <w:pStyle w:val="FootnoteText"/>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CAT/C/LKA/5, para. </w:t>
      </w:r>
      <w:r w:rsidR="00092F19" w:rsidRPr="00FF7884">
        <w:t>14.</w:t>
      </w:r>
    </w:p>
  </w:footnote>
  <w:footnote w:id="41">
    <w:p w14:paraId="7E89D0C3" w14:textId="77777777" w:rsidR="00092F19" w:rsidRPr="00F71B15" w:rsidRDefault="000277C0" w:rsidP="00FF7884">
      <w:pPr>
        <w:pStyle w:val="FootnoteText"/>
        <w:rPr>
          <w:lang w:val="es-ES"/>
        </w:rPr>
      </w:pPr>
      <w:r>
        <w:tab/>
      </w:r>
      <w:r w:rsidR="00092F19" w:rsidRPr="009519F5">
        <w:rPr>
          <w:rStyle w:val="FootnoteReference"/>
        </w:rPr>
        <w:footnoteRef/>
      </w:r>
      <w:r w:rsidRPr="00F71B15">
        <w:rPr>
          <w:lang w:val="es-ES"/>
        </w:rPr>
        <w:tab/>
      </w:r>
      <w:r w:rsidR="00092F19" w:rsidRPr="00F71B15">
        <w:rPr>
          <w:lang w:val="es-ES"/>
        </w:rPr>
        <w:t>CAT/C/LKA/5, paras. 30-31.</w:t>
      </w:r>
    </w:p>
  </w:footnote>
  <w:footnote w:id="42">
    <w:p w14:paraId="7E89D0C4" w14:textId="6DA8AA13" w:rsidR="00092F19" w:rsidRPr="00FF7884" w:rsidRDefault="000277C0" w:rsidP="00FF7884">
      <w:pPr>
        <w:pStyle w:val="FootnoteText"/>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A/HRC/30/CRP.2, para. </w:t>
      </w:r>
      <w:r w:rsidR="00092F19" w:rsidRPr="00FF7884">
        <w:t>372</w:t>
      </w:r>
      <w:r w:rsidR="00341A40">
        <w:t>.</w:t>
      </w:r>
    </w:p>
  </w:footnote>
  <w:footnote w:id="43">
    <w:p w14:paraId="7E89D0C9" w14:textId="77777777" w:rsidR="00092F19" w:rsidRPr="005E4661" w:rsidRDefault="000277C0" w:rsidP="00FF7884">
      <w:pPr>
        <w:pStyle w:val="FootnoteText"/>
      </w:pPr>
      <w:r>
        <w:tab/>
      </w:r>
      <w:r w:rsidR="00092F19" w:rsidRPr="004A18BE">
        <w:rPr>
          <w:rStyle w:val="FootnoteReference"/>
        </w:rPr>
        <w:footnoteRef/>
      </w:r>
      <w:r>
        <w:tab/>
      </w:r>
      <w:r w:rsidR="00092F19" w:rsidRPr="004A18BE">
        <w:t>CAT/C/LKA/5, paras. 43-62.</w:t>
      </w:r>
    </w:p>
  </w:footnote>
  <w:footnote w:id="44">
    <w:p w14:paraId="7E89D0CB" w14:textId="77777777" w:rsidR="00092F19" w:rsidRPr="004A18BE" w:rsidRDefault="000277C0" w:rsidP="00FF7884">
      <w:pPr>
        <w:pStyle w:val="FootnoteText"/>
        <w:rPr>
          <w:lang w:val="es-ES"/>
        </w:rPr>
      </w:pPr>
      <w:r w:rsidRPr="00F71B15">
        <w:tab/>
      </w:r>
      <w:r w:rsidR="00092F19" w:rsidRPr="004A18BE">
        <w:rPr>
          <w:rStyle w:val="FootnoteReference"/>
          <w:rFonts w:ascii="Times" w:hAnsi="Times"/>
          <w:szCs w:val="18"/>
        </w:rPr>
        <w:footnoteRef/>
      </w:r>
      <w:r>
        <w:rPr>
          <w:lang w:val="es-ES"/>
        </w:rPr>
        <w:tab/>
      </w:r>
      <w:r w:rsidR="00092F19" w:rsidRPr="004A18BE">
        <w:rPr>
          <w:lang w:val="es-ES"/>
        </w:rPr>
        <w:t>CAT/C/LKA/5, paras. 50-52.</w:t>
      </w:r>
    </w:p>
  </w:footnote>
  <w:footnote w:id="45">
    <w:p w14:paraId="7E89D0CC" w14:textId="77777777" w:rsidR="00092F19" w:rsidRPr="0076190A" w:rsidRDefault="000277C0" w:rsidP="00FF7884">
      <w:pPr>
        <w:pStyle w:val="FootnoteText"/>
        <w:rPr>
          <w:lang w:val="es-ES"/>
        </w:rPr>
      </w:pPr>
      <w:r>
        <w:rPr>
          <w:lang w:val="es-ES"/>
        </w:rPr>
        <w:tab/>
      </w:r>
      <w:r w:rsidR="00092F19" w:rsidRPr="004A18BE">
        <w:rPr>
          <w:rStyle w:val="FootnoteReference"/>
        </w:rPr>
        <w:footnoteRef/>
      </w:r>
      <w:r>
        <w:rPr>
          <w:lang w:val="es-ES"/>
        </w:rPr>
        <w:tab/>
      </w:r>
      <w:r w:rsidR="00092F19" w:rsidRPr="0076190A">
        <w:rPr>
          <w:lang w:val="es-ES"/>
        </w:rPr>
        <w:t>CAT/C/LKA/5, paras. 43-45.</w:t>
      </w:r>
    </w:p>
  </w:footnote>
  <w:footnote w:id="46">
    <w:p w14:paraId="7E89D0CD" w14:textId="77777777" w:rsidR="00092F19" w:rsidRPr="00A0024F" w:rsidRDefault="000277C0" w:rsidP="00FF7884">
      <w:pPr>
        <w:pStyle w:val="FootnoteText"/>
        <w:rPr>
          <w:lang w:val="es-ES"/>
        </w:rPr>
      </w:pPr>
      <w:r>
        <w:rPr>
          <w:lang w:val="es-ES"/>
        </w:rPr>
        <w:tab/>
      </w:r>
      <w:r w:rsidR="00092F19" w:rsidRPr="004A18BE">
        <w:rPr>
          <w:rStyle w:val="FootnoteReference"/>
          <w:rFonts w:ascii="Times" w:hAnsi="Times"/>
          <w:szCs w:val="18"/>
        </w:rPr>
        <w:footnoteRef/>
      </w:r>
      <w:r>
        <w:rPr>
          <w:lang w:val="es-ES"/>
        </w:rPr>
        <w:tab/>
      </w:r>
      <w:r w:rsidR="00092F19" w:rsidRPr="004A18BE">
        <w:rPr>
          <w:lang w:val="es-ES"/>
        </w:rPr>
        <w:t xml:space="preserve">CAT/C/LKA/5, para. </w:t>
      </w:r>
      <w:r w:rsidR="00FF7884">
        <w:rPr>
          <w:lang w:val="es-ES"/>
        </w:rPr>
        <w:t>54.</w:t>
      </w:r>
    </w:p>
  </w:footnote>
  <w:footnote w:id="47">
    <w:p w14:paraId="7E89D0CE" w14:textId="77777777" w:rsidR="00092F19" w:rsidRPr="0076190A" w:rsidRDefault="000A4341" w:rsidP="00FF7884">
      <w:pPr>
        <w:pStyle w:val="FootnoteText"/>
        <w:rPr>
          <w:lang w:val="es-ES"/>
        </w:rPr>
      </w:pPr>
      <w:r>
        <w:rPr>
          <w:lang w:val="es-ES"/>
        </w:rPr>
        <w:tab/>
      </w:r>
      <w:r w:rsidR="00092F19" w:rsidRPr="004A18BE">
        <w:rPr>
          <w:rStyle w:val="FootnoteReference"/>
        </w:rPr>
        <w:footnoteRef/>
      </w:r>
      <w:r>
        <w:rPr>
          <w:lang w:val="es-ES"/>
        </w:rPr>
        <w:tab/>
      </w:r>
      <w:r w:rsidR="00092F19" w:rsidRPr="00A0024F">
        <w:rPr>
          <w:lang w:val="es-ES"/>
        </w:rPr>
        <w:t xml:space="preserve">CAT/C/LKA/5, paras. </w:t>
      </w:r>
      <w:r w:rsidR="00092F19" w:rsidRPr="0076190A">
        <w:rPr>
          <w:lang w:val="es-ES"/>
        </w:rPr>
        <w:t>66-67.</w:t>
      </w:r>
    </w:p>
  </w:footnote>
  <w:footnote w:id="48">
    <w:p w14:paraId="7E89D0CF" w14:textId="44057325" w:rsidR="00092F19" w:rsidRPr="00FF7884" w:rsidRDefault="000A4341" w:rsidP="00FF7884">
      <w:pPr>
        <w:pStyle w:val="FootnoteText"/>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A/HRC/30/CRP.2, para. </w:t>
      </w:r>
      <w:r w:rsidR="00092F19" w:rsidRPr="00FF7884">
        <w:t>378</w:t>
      </w:r>
      <w:r w:rsidR="00FF7884">
        <w:t>.</w:t>
      </w:r>
    </w:p>
  </w:footnote>
  <w:footnote w:id="49">
    <w:p w14:paraId="7E89D0D0" w14:textId="77777777" w:rsidR="00092F19" w:rsidRPr="00FF7884" w:rsidRDefault="000A4341" w:rsidP="00FF7884">
      <w:pPr>
        <w:pStyle w:val="FootnoteText"/>
      </w:pPr>
      <w:r>
        <w:tab/>
      </w:r>
      <w:r w:rsidR="00092F19" w:rsidRPr="009519F5">
        <w:rPr>
          <w:rStyle w:val="FootnoteReference"/>
        </w:rPr>
        <w:footnoteRef/>
      </w:r>
      <w:r>
        <w:tab/>
      </w:r>
      <w:r w:rsidR="00092F19" w:rsidRPr="00FF7884">
        <w:t>CAT/C/LKA/CO/3-4/Add.1, paras. 17-25.</w:t>
      </w:r>
    </w:p>
  </w:footnote>
  <w:footnote w:id="50">
    <w:p w14:paraId="7E89D0D1" w14:textId="77777777" w:rsidR="00092F19" w:rsidRPr="00FF7884" w:rsidRDefault="000A4341" w:rsidP="00FF7884">
      <w:pPr>
        <w:pStyle w:val="FootnoteText"/>
      </w:pPr>
      <w:r>
        <w:tab/>
      </w:r>
      <w:r w:rsidR="00092F19" w:rsidRPr="009519F5">
        <w:rPr>
          <w:rStyle w:val="FootnoteReference"/>
        </w:rPr>
        <w:footnoteRef/>
      </w:r>
      <w:r w:rsidRPr="009519F5">
        <w:rPr>
          <w:rStyle w:val="FootnoteReference"/>
        </w:rPr>
        <w:tab/>
      </w:r>
      <w:r w:rsidR="00092F19" w:rsidRPr="00FF7884">
        <w:t xml:space="preserve">CAT/C/LKA/CO/3-4/Add.1, para. 21. </w:t>
      </w:r>
    </w:p>
  </w:footnote>
  <w:footnote w:id="51">
    <w:p w14:paraId="7E89D0D2" w14:textId="77777777" w:rsidR="00092F19" w:rsidRPr="00FF7884" w:rsidRDefault="000A4341" w:rsidP="00FF7884">
      <w:pPr>
        <w:pStyle w:val="FootnoteText"/>
      </w:pPr>
      <w:r>
        <w:tab/>
      </w:r>
      <w:r w:rsidR="00092F19" w:rsidRPr="009519F5">
        <w:rPr>
          <w:rStyle w:val="FootnoteReference"/>
        </w:rPr>
        <w:footnoteRef/>
      </w:r>
      <w:r>
        <w:tab/>
      </w:r>
      <w:r w:rsidR="00092F19" w:rsidRPr="00FF7884">
        <w:t>A/</w:t>
      </w:r>
      <w:r w:rsidR="00FF7884">
        <w:t>HRC/30/CRP.2, paras. 621, 624.</w:t>
      </w:r>
    </w:p>
  </w:footnote>
  <w:footnote w:id="52">
    <w:p w14:paraId="7E89D0D4" w14:textId="77777777" w:rsidR="00092F19" w:rsidRPr="00FF7884" w:rsidRDefault="000A4341" w:rsidP="00FF7884">
      <w:pPr>
        <w:pStyle w:val="FootnoteText"/>
      </w:pPr>
      <w:r>
        <w:tab/>
      </w:r>
      <w:r w:rsidR="00092F19" w:rsidRPr="009519F5">
        <w:rPr>
          <w:rStyle w:val="FootnoteReference"/>
        </w:rPr>
        <w:footnoteRef/>
      </w:r>
      <w:r>
        <w:tab/>
      </w:r>
      <w:r w:rsidR="00092F19" w:rsidRPr="00FF7884">
        <w:t>CAT/C/LKA/5, paras. 90-95, 106-107.</w:t>
      </w:r>
    </w:p>
  </w:footnote>
  <w:footnote w:id="53">
    <w:p w14:paraId="7E89D0D5" w14:textId="3372043C" w:rsidR="00092F19" w:rsidRPr="00FF7884" w:rsidRDefault="000A4341" w:rsidP="00FF7884">
      <w:pPr>
        <w:pStyle w:val="FootnoteText"/>
      </w:pPr>
      <w:r>
        <w:tab/>
      </w:r>
      <w:r w:rsidR="00092F19" w:rsidRPr="009519F5">
        <w:rPr>
          <w:rStyle w:val="FootnoteReference"/>
        </w:rPr>
        <w:footnoteRef/>
      </w:r>
      <w:r w:rsidRPr="009519F5">
        <w:rPr>
          <w:rStyle w:val="FootnoteReference"/>
        </w:rPr>
        <w:tab/>
      </w:r>
      <w:r w:rsidR="00092F19" w:rsidRPr="00FF7884">
        <w:t>CAT/C/LKA/Q/3-4/Add.1, para. 100</w:t>
      </w:r>
      <w:r w:rsidR="00342658">
        <w:t>.</w:t>
      </w:r>
    </w:p>
  </w:footnote>
  <w:footnote w:id="54">
    <w:p w14:paraId="7E89D0D6" w14:textId="77777777" w:rsidR="00092F19" w:rsidRPr="00F71B15" w:rsidRDefault="000A4341" w:rsidP="00FF7884">
      <w:pPr>
        <w:pStyle w:val="FootnoteText"/>
        <w:rPr>
          <w:lang w:val="es-ES"/>
        </w:rPr>
      </w:pPr>
      <w:r>
        <w:tab/>
      </w:r>
      <w:r w:rsidR="00092F19" w:rsidRPr="009519F5">
        <w:rPr>
          <w:rStyle w:val="FootnoteReference"/>
        </w:rPr>
        <w:footnoteRef/>
      </w:r>
      <w:r w:rsidRPr="00F71B15">
        <w:rPr>
          <w:rStyle w:val="FootnoteReference"/>
          <w:lang w:val="es-ES"/>
        </w:rPr>
        <w:tab/>
      </w:r>
      <w:r w:rsidR="00092F19" w:rsidRPr="00F71B15">
        <w:rPr>
          <w:lang w:val="es-ES"/>
        </w:rPr>
        <w:t>CAT/C/LKA/5, paras</w:t>
      </w:r>
      <w:r w:rsidR="00FF7884" w:rsidRPr="00F71B15">
        <w:rPr>
          <w:lang w:val="es-ES"/>
        </w:rPr>
        <w:t>. 91-94.</w:t>
      </w:r>
    </w:p>
  </w:footnote>
  <w:footnote w:id="55">
    <w:p w14:paraId="7E89D0D7" w14:textId="77777777" w:rsidR="00092F19" w:rsidRPr="00FF7884" w:rsidRDefault="000A4341" w:rsidP="00FF7884">
      <w:pPr>
        <w:pStyle w:val="FootnoteText"/>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CAT/C/LKA/5, para. </w:t>
      </w:r>
      <w:r w:rsidR="00FF7884">
        <w:t>95.</w:t>
      </w:r>
    </w:p>
  </w:footnote>
  <w:footnote w:id="56">
    <w:p w14:paraId="7E89D0D8" w14:textId="38193F59" w:rsidR="00092F19" w:rsidRPr="00FF7884" w:rsidRDefault="000A4341" w:rsidP="00FF7884">
      <w:pPr>
        <w:pStyle w:val="FootnoteText"/>
      </w:pPr>
      <w:r>
        <w:tab/>
      </w:r>
      <w:r w:rsidR="00092F19" w:rsidRPr="009519F5">
        <w:rPr>
          <w:rStyle w:val="FootnoteReference"/>
        </w:rPr>
        <w:footnoteRef/>
      </w:r>
      <w:r w:rsidRPr="000B04F4">
        <w:rPr>
          <w:lang w:val="es-ES"/>
        </w:rPr>
        <w:tab/>
      </w:r>
      <w:r w:rsidR="00092F19" w:rsidRPr="000B04F4">
        <w:rPr>
          <w:lang w:val="es-ES"/>
        </w:rPr>
        <w:t xml:space="preserve">A/HRC/25/23, paras. 56-64; A/HRC/30/61, para. </w:t>
      </w:r>
      <w:r w:rsidR="00092F19" w:rsidRPr="00FF7884">
        <w:t>27.</w:t>
      </w:r>
    </w:p>
  </w:footnote>
  <w:footnote w:id="57">
    <w:p w14:paraId="7E89D0D9" w14:textId="693FAB41" w:rsidR="00092F19" w:rsidRPr="00FF7884" w:rsidRDefault="000A4341" w:rsidP="00FF7884">
      <w:pPr>
        <w:pStyle w:val="FootnoteText"/>
      </w:pPr>
      <w:r>
        <w:tab/>
      </w:r>
      <w:r w:rsidR="00092F19" w:rsidRPr="009519F5">
        <w:rPr>
          <w:rStyle w:val="FootnoteReference"/>
        </w:rPr>
        <w:footnoteRef/>
      </w:r>
      <w:r>
        <w:tab/>
      </w:r>
      <w:r w:rsidR="00092F19" w:rsidRPr="00FF7884">
        <w:t>A/HRC/25/G/9 at para. 82</w:t>
      </w:r>
      <w:r w:rsidR="00342658">
        <w:t>.</w:t>
      </w:r>
    </w:p>
  </w:footnote>
  <w:footnote w:id="58">
    <w:p w14:paraId="7E89D0DA" w14:textId="7AECA717" w:rsidR="00092F19" w:rsidRPr="00FF7884" w:rsidRDefault="000A4341" w:rsidP="00FF7884">
      <w:pPr>
        <w:pStyle w:val="FootnoteText"/>
      </w:pPr>
      <w:r>
        <w:tab/>
      </w:r>
      <w:r w:rsidR="00092F19" w:rsidRPr="009519F5">
        <w:rPr>
          <w:rStyle w:val="FootnoteReference"/>
        </w:rPr>
        <w:footnoteRef/>
      </w:r>
      <w:r w:rsidRPr="000B04F4">
        <w:rPr>
          <w:lang w:val="es-ES"/>
        </w:rPr>
        <w:tab/>
      </w:r>
      <w:r w:rsidR="00092F19" w:rsidRPr="000B04F4">
        <w:rPr>
          <w:lang w:val="es-ES"/>
        </w:rPr>
        <w:t>A/HRC/25/23, paras. 56-64</w:t>
      </w:r>
      <w:r w:rsidR="00D12F70" w:rsidRPr="000B04F4">
        <w:rPr>
          <w:lang w:val="es-ES"/>
        </w:rPr>
        <w:t xml:space="preserve">; </w:t>
      </w:r>
      <w:r w:rsidR="00092F19" w:rsidRPr="000B04F4">
        <w:rPr>
          <w:lang w:val="es-ES"/>
        </w:rPr>
        <w:t xml:space="preserve">A/HRC/30/CRP.2, para. </w:t>
      </w:r>
      <w:r w:rsidR="00092F19" w:rsidRPr="00FF7884">
        <w:t>285</w:t>
      </w:r>
      <w:r w:rsidR="00D12F70">
        <w:t>.</w:t>
      </w:r>
    </w:p>
  </w:footnote>
  <w:footnote w:id="59">
    <w:p w14:paraId="7E89D0DB" w14:textId="7D918B64" w:rsidR="00092F19" w:rsidRPr="00FF7884" w:rsidRDefault="000A4341" w:rsidP="00FF7884">
      <w:pPr>
        <w:pStyle w:val="FootnoteText"/>
      </w:pPr>
      <w:r>
        <w:tab/>
      </w:r>
      <w:r w:rsidR="00092F19" w:rsidRPr="009519F5">
        <w:rPr>
          <w:rStyle w:val="FootnoteReference"/>
        </w:rPr>
        <w:footnoteRef/>
      </w:r>
      <w:r w:rsidRPr="009519F5">
        <w:rPr>
          <w:rStyle w:val="FootnoteReference"/>
        </w:rPr>
        <w:tab/>
      </w:r>
      <w:r w:rsidR="00092F19" w:rsidRPr="00FF7884">
        <w:t>A/HRC/25/23, para. 39</w:t>
      </w:r>
      <w:r w:rsidR="00342658">
        <w:t>.</w:t>
      </w:r>
    </w:p>
  </w:footnote>
  <w:footnote w:id="60">
    <w:p w14:paraId="7E89D0DC" w14:textId="3029E0EB" w:rsidR="00092F19" w:rsidRPr="00FF7884" w:rsidRDefault="000A4341" w:rsidP="00FF7884">
      <w:pPr>
        <w:pStyle w:val="FootnoteText"/>
      </w:pPr>
      <w:r>
        <w:tab/>
      </w:r>
      <w:r w:rsidR="00092F19" w:rsidRPr="009519F5">
        <w:rPr>
          <w:rStyle w:val="FootnoteReference"/>
        </w:rPr>
        <w:footnoteRef/>
      </w:r>
      <w:r w:rsidRPr="009519F5">
        <w:rPr>
          <w:rStyle w:val="FootnoteReference"/>
        </w:rPr>
        <w:tab/>
      </w:r>
      <w:r w:rsidR="00092F19" w:rsidRPr="00FF7884">
        <w:t xml:space="preserve">A/HRC/30/CRP.2, recommendation 18. </w:t>
      </w:r>
    </w:p>
  </w:footnote>
  <w:footnote w:id="61">
    <w:p w14:paraId="7E89D0DD" w14:textId="77777777" w:rsidR="00092F19" w:rsidRPr="00FF7884" w:rsidRDefault="000A4341" w:rsidP="00FF7884">
      <w:pPr>
        <w:pStyle w:val="FootnoteText"/>
      </w:pPr>
      <w:r>
        <w:tab/>
      </w:r>
      <w:r w:rsidR="00092F19" w:rsidRPr="009519F5">
        <w:rPr>
          <w:rStyle w:val="FootnoteReference"/>
        </w:rPr>
        <w:footnoteRef/>
      </w:r>
      <w:r w:rsidRPr="000B04F4">
        <w:tab/>
      </w:r>
      <w:r w:rsidR="00092F19" w:rsidRPr="000B04F4">
        <w:t xml:space="preserve">A/HRC/30/CRP.2, paras. 6-6, 1113; A/HRC/30/61, paras. </w:t>
      </w:r>
      <w:r w:rsidR="00FF7884">
        <w:t>1, 24.</w:t>
      </w:r>
    </w:p>
  </w:footnote>
  <w:footnote w:id="62">
    <w:p w14:paraId="7E89D0DF" w14:textId="77777777" w:rsidR="00092F19" w:rsidRPr="00FF7884" w:rsidRDefault="00092F19" w:rsidP="00FF7884">
      <w:pPr>
        <w:pStyle w:val="FootnoteText"/>
      </w:pPr>
      <w:r w:rsidRPr="009519F5">
        <w:rPr>
          <w:rStyle w:val="FootnoteReference"/>
        </w:rPr>
        <w:tab/>
      </w:r>
      <w:r w:rsidRPr="009519F5">
        <w:rPr>
          <w:rStyle w:val="FootnoteReference"/>
        </w:rPr>
        <w:footnoteRef/>
      </w:r>
      <w:r w:rsidR="009519F5">
        <w:rPr>
          <w:rStyle w:val="FootnoteReference"/>
        </w:rPr>
        <w:tab/>
      </w:r>
      <w:r w:rsidRPr="00FF7884">
        <w:t>A/HRC/30/CRP.2, para</w:t>
      </w:r>
      <w:r w:rsidR="00FF7884" w:rsidRPr="00FF7884">
        <w:t>. 1278 and recommendation 20.</w:t>
      </w:r>
    </w:p>
  </w:footnote>
  <w:footnote w:id="63">
    <w:p w14:paraId="7E89D0E1" w14:textId="19033AE7" w:rsidR="00092F19" w:rsidRPr="00FF7884" w:rsidRDefault="000A4341" w:rsidP="00FF7884">
      <w:pPr>
        <w:pStyle w:val="FootnoteText"/>
      </w:pPr>
      <w:r>
        <w:tab/>
      </w:r>
      <w:r w:rsidR="00092F19" w:rsidRPr="009519F5">
        <w:rPr>
          <w:rStyle w:val="FootnoteReference"/>
        </w:rPr>
        <w:footnoteRef/>
      </w:r>
      <w:r w:rsidRPr="009519F5">
        <w:rPr>
          <w:rStyle w:val="FootnoteReference"/>
        </w:rPr>
        <w:tab/>
      </w:r>
      <w:r w:rsidR="00092F19" w:rsidRPr="00FF7884">
        <w:t>S/2015/203, para. 77, A/HRC/30/CRP.2, para. 573</w:t>
      </w:r>
      <w:r w:rsidR="00D12F70">
        <w:t xml:space="preserve">, </w:t>
      </w:r>
      <w:r w:rsidR="00092F19" w:rsidRPr="00FF7884">
        <w:t>591</w:t>
      </w:r>
      <w:r w:rsidR="00D12F70">
        <w:t>.</w:t>
      </w:r>
    </w:p>
  </w:footnote>
  <w:footnote w:id="64">
    <w:p w14:paraId="7E89D0E2" w14:textId="44F05D2E" w:rsidR="00092F19" w:rsidRPr="00F71B15" w:rsidRDefault="000A4341" w:rsidP="00FF7884">
      <w:pPr>
        <w:pStyle w:val="FootnoteText"/>
        <w:rPr>
          <w:lang w:val="es-ES"/>
        </w:rPr>
      </w:pPr>
      <w:r>
        <w:tab/>
      </w:r>
      <w:r w:rsidR="00092F19" w:rsidRPr="009519F5">
        <w:rPr>
          <w:rStyle w:val="FootnoteReference"/>
        </w:rPr>
        <w:footnoteRef/>
      </w:r>
      <w:r w:rsidRPr="00F71B15">
        <w:rPr>
          <w:rStyle w:val="FootnoteReference"/>
          <w:lang w:val="es-ES"/>
        </w:rPr>
        <w:tab/>
      </w:r>
      <w:r w:rsidR="00FF7884" w:rsidRPr="00F71B15">
        <w:rPr>
          <w:lang w:val="es-ES"/>
        </w:rPr>
        <w:t>A/HRC/30/CRP.2, para</w:t>
      </w:r>
      <w:r w:rsidR="00D12F70">
        <w:rPr>
          <w:lang w:val="es-ES"/>
        </w:rPr>
        <w:t>s</w:t>
      </w:r>
      <w:r w:rsidR="00FF7884" w:rsidRPr="00F71B15">
        <w:rPr>
          <w:lang w:val="es-ES"/>
        </w:rPr>
        <w:t>. 540-544.</w:t>
      </w:r>
    </w:p>
  </w:footnote>
  <w:footnote w:id="65">
    <w:p w14:paraId="7E89D0E3" w14:textId="77777777" w:rsidR="00092F19" w:rsidRPr="00F71B15" w:rsidRDefault="000A4341" w:rsidP="00FF7884">
      <w:pPr>
        <w:pStyle w:val="FootnoteText"/>
        <w:rPr>
          <w:lang w:val="es-ES"/>
        </w:rPr>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CAT/C/LKA/5, paras. </w:t>
      </w:r>
      <w:r w:rsidR="00FF7884" w:rsidRPr="00F71B15">
        <w:rPr>
          <w:lang w:val="es-ES"/>
        </w:rPr>
        <w:t>7, 15-22.</w:t>
      </w:r>
    </w:p>
  </w:footnote>
  <w:footnote w:id="66">
    <w:p w14:paraId="7E89D0E4" w14:textId="77777777" w:rsidR="00092F19" w:rsidRPr="00F71B15" w:rsidRDefault="000A4341" w:rsidP="00FF7884">
      <w:pPr>
        <w:pStyle w:val="FootnoteText"/>
        <w:rPr>
          <w:lang w:val="es-ES"/>
        </w:rPr>
      </w:pPr>
      <w:r w:rsidRPr="00F71B15">
        <w:rPr>
          <w:lang w:val="es-ES"/>
        </w:rPr>
        <w:tab/>
      </w:r>
      <w:r w:rsidR="00092F19" w:rsidRPr="009519F5">
        <w:rPr>
          <w:rStyle w:val="FootnoteReference"/>
        </w:rPr>
        <w:footnoteRef/>
      </w:r>
      <w:r w:rsidRPr="00F71B15">
        <w:rPr>
          <w:rStyle w:val="FootnoteReference"/>
          <w:lang w:val="es-ES"/>
        </w:rPr>
        <w:tab/>
      </w:r>
      <w:r w:rsidR="00092F19" w:rsidRPr="00F71B15">
        <w:rPr>
          <w:lang w:val="es-ES"/>
        </w:rPr>
        <w:t xml:space="preserve">CAT/C/LKA/5, para. </w:t>
      </w:r>
      <w:r w:rsidR="00FF7884" w:rsidRPr="00F71B15">
        <w:rPr>
          <w:lang w:val="es-ES"/>
        </w:rPr>
        <w:t>15.</w:t>
      </w:r>
    </w:p>
  </w:footnote>
  <w:footnote w:id="67">
    <w:p w14:paraId="7E89D0E5" w14:textId="77777777" w:rsidR="00092F19" w:rsidRPr="00FF7884" w:rsidRDefault="000A4341" w:rsidP="00FF7884">
      <w:pPr>
        <w:pStyle w:val="FootnoteText"/>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CAT/C/LKA/5, paras. </w:t>
      </w:r>
      <w:r w:rsidR="00092F19" w:rsidRPr="00FF7884">
        <w:t>19-20, 22.</w:t>
      </w:r>
    </w:p>
  </w:footnote>
  <w:footnote w:id="68">
    <w:p w14:paraId="7E89D0E7" w14:textId="77777777" w:rsidR="00092F19" w:rsidRPr="00F71B15" w:rsidRDefault="000A4341" w:rsidP="00FF7884">
      <w:pPr>
        <w:pStyle w:val="FootnoteText"/>
        <w:rPr>
          <w:lang w:val="es-ES"/>
        </w:rPr>
      </w:pPr>
      <w:r>
        <w:tab/>
      </w:r>
      <w:r w:rsidR="00092F19" w:rsidRPr="009519F5">
        <w:rPr>
          <w:rStyle w:val="FootnoteReference"/>
        </w:rPr>
        <w:footnoteRef/>
      </w:r>
      <w:r w:rsidRPr="00F71B15">
        <w:rPr>
          <w:lang w:val="es-ES"/>
        </w:rPr>
        <w:tab/>
      </w:r>
      <w:r w:rsidR="00092F19" w:rsidRPr="00F71B15">
        <w:rPr>
          <w:lang w:val="es-ES"/>
        </w:rPr>
        <w:t>CAT/C/LKA/5</w:t>
      </w:r>
      <w:r w:rsidR="00FF7884" w:rsidRPr="00F71B15">
        <w:rPr>
          <w:lang w:val="es-ES"/>
        </w:rPr>
        <w:t>, para. 16.</w:t>
      </w:r>
    </w:p>
  </w:footnote>
  <w:footnote w:id="69">
    <w:p w14:paraId="7E89D0E8" w14:textId="77777777" w:rsidR="00092F19" w:rsidRPr="00FF7884" w:rsidRDefault="000A4341" w:rsidP="00FF7884">
      <w:pPr>
        <w:pStyle w:val="FootnoteText"/>
      </w:pPr>
      <w:r w:rsidRPr="00F71B15">
        <w:rPr>
          <w:lang w:val="es-ES"/>
        </w:rPr>
        <w:tab/>
      </w:r>
      <w:r w:rsidR="00092F19" w:rsidRPr="009519F5">
        <w:rPr>
          <w:rStyle w:val="FootnoteReference"/>
        </w:rPr>
        <w:footnoteRef/>
      </w:r>
      <w:r w:rsidRPr="00F71B15">
        <w:rPr>
          <w:lang w:val="es-ES"/>
        </w:rPr>
        <w:tab/>
      </w:r>
      <w:r w:rsidR="00092F19" w:rsidRPr="00F71B15">
        <w:rPr>
          <w:lang w:val="es-ES"/>
        </w:rPr>
        <w:t xml:space="preserve">CAT/C/LKA/5, para. </w:t>
      </w:r>
      <w:r w:rsidR="00092F19" w:rsidRPr="00FF7884">
        <w:t>18.</w:t>
      </w:r>
    </w:p>
  </w:footnote>
  <w:footnote w:id="70">
    <w:p w14:paraId="7E89D0EB" w14:textId="77777777" w:rsidR="00092F19" w:rsidRPr="00FF7884" w:rsidRDefault="000A4341" w:rsidP="00FF7884">
      <w:pPr>
        <w:pStyle w:val="FootnoteText"/>
      </w:pPr>
      <w:r>
        <w:tab/>
      </w:r>
      <w:r w:rsidR="00092F19" w:rsidRPr="009519F5">
        <w:rPr>
          <w:rStyle w:val="FootnoteReference"/>
        </w:rPr>
        <w:footnoteRef/>
      </w:r>
      <w:r>
        <w:tab/>
      </w:r>
      <w:r w:rsidR="00FF7884">
        <w:t>CAT/C/LKA/5, paras. 78-80.</w:t>
      </w:r>
    </w:p>
  </w:footnote>
  <w:footnote w:id="71">
    <w:p w14:paraId="7E89D0ED" w14:textId="77777777" w:rsidR="00092F19" w:rsidRPr="00FF7884" w:rsidRDefault="000A4341" w:rsidP="00FF7884">
      <w:pPr>
        <w:pStyle w:val="FootnoteText"/>
      </w:pPr>
      <w:r>
        <w:tab/>
      </w:r>
      <w:r w:rsidR="00092F19" w:rsidRPr="009519F5">
        <w:rPr>
          <w:rStyle w:val="FootnoteReference"/>
        </w:rPr>
        <w:footnoteRef/>
      </w:r>
      <w:r w:rsidRPr="009519F5">
        <w:rPr>
          <w:rStyle w:val="FootnoteReference"/>
        </w:rPr>
        <w:tab/>
      </w:r>
      <w:r w:rsidR="00092F19" w:rsidRPr="00FF7884">
        <w:t xml:space="preserve">A/HRC/30/CRP.2, </w:t>
      </w:r>
      <w:r w:rsidR="00FF7884">
        <w:t>Recommendation 17.</w:t>
      </w:r>
    </w:p>
  </w:footnote>
  <w:footnote w:id="72">
    <w:p w14:paraId="7E89D0F4" w14:textId="77777777" w:rsidR="00092F19" w:rsidRPr="00212648" w:rsidRDefault="000A4341" w:rsidP="00212648">
      <w:pPr>
        <w:pStyle w:val="FootnoteText"/>
      </w:pPr>
      <w:r>
        <w:tab/>
      </w:r>
      <w:r w:rsidR="00092F19" w:rsidRPr="009519F5">
        <w:rPr>
          <w:rStyle w:val="FootnoteReference"/>
        </w:rPr>
        <w:footnoteRef/>
      </w:r>
      <w:r w:rsidRPr="009519F5">
        <w:rPr>
          <w:rStyle w:val="FootnoteReference"/>
        </w:rPr>
        <w:tab/>
      </w:r>
      <w:r w:rsidR="00092F19" w:rsidRPr="00212648">
        <w:t>CAT/C/</w:t>
      </w:r>
      <w:r w:rsidR="00212648">
        <w:t>LKA/CO/3-4/Add.1, paras. 12-16.</w:t>
      </w:r>
    </w:p>
  </w:footnote>
  <w:footnote w:id="73">
    <w:p w14:paraId="7E89D0F5" w14:textId="6CD814A5" w:rsidR="00092F19" w:rsidRPr="00212648" w:rsidRDefault="000A4341" w:rsidP="00212648">
      <w:pPr>
        <w:pStyle w:val="FootnoteText"/>
      </w:pPr>
      <w:r>
        <w:tab/>
      </w:r>
      <w:r w:rsidR="00092F19" w:rsidRPr="009519F5">
        <w:rPr>
          <w:rStyle w:val="FootnoteReference"/>
        </w:rPr>
        <w:footnoteRef/>
      </w:r>
      <w:r w:rsidRPr="009519F5">
        <w:rPr>
          <w:rStyle w:val="FootnoteReference"/>
        </w:rPr>
        <w:tab/>
      </w:r>
      <w:r w:rsidR="00092F19" w:rsidRPr="00212648">
        <w:t>CAT/C/LKA/CO/-3-4, para. 11.</w:t>
      </w:r>
    </w:p>
  </w:footnote>
  <w:footnote w:id="74">
    <w:p w14:paraId="7E89D0F6" w14:textId="40ADCD12" w:rsidR="00092F19" w:rsidRPr="00212648" w:rsidRDefault="000A4341" w:rsidP="00212648">
      <w:pPr>
        <w:pStyle w:val="FootnoteText"/>
      </w:pPr>
      <w:r>
        <w:tab/>
      </w:r>
      <w:r w:rsidR="00092F19" w:rsidRPr="009519F5">
        <w:rPr>
          <w:rStyle w:val="FootnoteReference"/>
        </w:rPr>
        <w:footnoteRef/>
      </w:r>
      <w:r w:rsidRPr="00F71B15">
        <w:rPr>
          <w:rStyle w:val="FootnoteReference"/>
          <w:lang w:val="es-ES"/>
        </w:rPr>
        <w:tab/>
      </w:r>
      <w:r w:rsidR="00092F19" w:rsidRPr="00F71B15">
        <w:rPr>
          <w:lang w:val="es-ES"/>
        </w:rPr>
        <w:t xml:space="preserve">CCPR/C/LKA/CO/5, paras. </w:t>
      </w:r>
      <w:r w:rsidR="00092F19" w:rsidRPr="00212648">
        <w:t xml:space="preserve">11 and 16(b); CAT/C/LKA/CO/3-4, para. 11. </w:t>
      </w:r>
    </w:p>
  </w:footnote>
  <w:footnote w:id="75">
    <w:p w14:paraId="7E89D0FC" w14:textId="77777777" w:rsidR="00092F19" w:rsidRPr="00212648" w:rsidRDefault="000A4341" w:rsidP="00212648">
      <w:pPr>
        <w:pStyle w:val="FootnoteText"/>
      </w:pPr>
      <w:r>
        <w:tab/>
      </w:r>
      <w:r w:rsidR="00092F19" w:rsidRPr="009519F5">
        <w:rPr>
          <w:rStyle w:val="FootnoteReference"/>
        </w:rPr>
        <w:footnoteRef/>
      </w:r>
      <w:r w:rsidRPr="009519F5">
        <w:rPr>
          <w:rStyle w:val="FootnoteReference"/>
        </w:rPr>
        <w:tab/>
      </w:r>
      <w:r w:rsidR="00092F19" w:rsidRPr="00212648">
        <w:t>CAT/C/LKA/5, para</w:t>
      </w:r>
      <w:r w:rsidR="00212648">
        <w:t>s. 39-42.</w:t>
      </w:r>
    </w:p>
  </w:footnote>
  <w:footnote w:id="76">
    <w:p w14:paraId="7E89D0FE" w14:textId="201805F8" w:rsidR="00092F19" w:rsidRPr="000B04F4" w:rsidRDefault="000A4341" w:rsidP="00212648">
      <w:pPr>
        <w:pStyle w:val="FootnoteText"/>
        <w:rPr>
          <w:lang w:val="es-ES"/>
        </w:rPr>
      </w:pPr>
      <w:r>
        <w:tab/>
      </w:r>
      <w:r w:rsidR="00092F19" w:rsidRPr="009519F5">
        <w:rPr>
          <w:rStyle w:val="FootnoteReference"/>
        </w:rPr>
        <w:footnoteRef/>
      </w:r>
      <w:r w:rsidRPr="000B04F4">
        <w:rPr>
          <w:rStyle w:val="FootnoteReference"/>
          <w:lang w:val="es-ES"/>
        </w:rPr>
        <w:tab/>
      </w:r>
      <w:r w:rsidR="00092F19" w:rsidRPr="000B04F4">
        <w:rPr>
          <w:lang w:val="es-ES"/>
        </w:rPr>
        <w:t>A/HRC/WG.6/14/LKA/1, para. 48(f)</w:t>
      </w:r>
      <w:r w:rsidR="004B6D4C" w:rsidRPr="000B04F4">
        <w:rPr>
          <w:lang w:val="es-ES"/>
        </w:rPr>
        <w:t>.</w:t>
      </w:r>
    </w:p>
  </w:footnote>
  <w:footnote w:id="77">
    <w:p w14:paraId="7E89D0FF" w14:textId="6F483AA5" w:rsidR="00092F19" w:rsidRPr="00212648" w:rsidRDefault="000A4341" w:rsidP="00212648">
      <w:pPr>
        <w:pStyle w:val="FootnoteText"/>
      </w:pPr>
      <w:r w:rsidRPr="000B04F4">
        <w:rPr>
          <w:lang w:val="es-ES"/>
        </w:rPr>
        <w:tab/>
      </w:r>
      <w:r w:rsidR="00092F19" w:rsidRPr="009519F5">
        <w:rPr>
          <w:rStyle w:val="FootnoteReference"/>
        </w:rPr>
        <w:footnoteRef/>
      </w:r>
      <w:r w:rsidRPr="00F71B15">
        <w:rPr>
          <w:rStyle w:val="FootnoteReference"/>
          <w:lang w:val="es-ES"/>
        </w:rPr>
        <w:tab/>
      </w:r>
      <w:r w:rsidR="00092F19" w:rsidRPr="00F71B15">
        <w:rPr>
          <w:lang w:val="es-ES"/>
        </w:rPr>
        <w:t xml:space="preserve">CCPR/CLKA/CO/5, para. 21; A/HRC/24/CRP.3/Rev.1, para. </w:t>
      </w:r>
      <w:r w:rsidR="00092F19" w:rsidRPr="00212648">
        <w:t>25</w:t>
      </w:r>
      <w:r w:rsidR="004B6D4C">
        <w:t>;</w:t>
      </w:r>
      <w:r w:rsidR="00092F19" w:rsidRPr="00212648">
        <w:t xml:space="preserve">A/HRC/25/23, para. 21 </w:t>
      </w:r>
    </w:p>
  </w:footnote>
  <w:footnote w:id="78">
    <w:p w14:paraId="7E89D101" w14:textId="0552CE03" w:rsidR="00092F19" w:rsidRPr="009519F5" w:rsidRDefault="000A4341" w:rsidP="00212648">
      <w:pPr>
        <w:pStyle w:val="FootnoteText"/>
      </w:pPr>
      <w:r>
        <w:tab/>
      </w:r>
      <w:r w:rsidR="00092F19" w:rsidRPr="009519F5">
        <w:rPr>
          <w:rStyle w:val="FootnoteReference"/>
        </w:rPr>
        <w:footnoteRef/>
      </w:r>
      <w:r w:rsidRPr="009519F5">
        <w:tab/>
      </w:r>
      <w:r w:rsidR="00212648" w:rsidRPr="009519F5">
        <w:t>A/HRC/25/23.</w:t>
      </w:r>
    </w:p>
  </w:footnote>
  <w:footnote w:id="79">
    <w:p w14:paraId="7E89D102" w14:textId="54B5F9A4" w:rsidR="00092F19" w:rsidRPr="000A3A14" w:rsidRDefault="000277C0" w:rsidP="000A3A14">
      <w:pPr>
        <w:pStyle w:val="FootnoteText"/>
      </w:pPr>
      <w:r>
        <w:tab/>
      </w:r>
      <w:r w:rsidR="00092F19" w:rsidRPr="009519F5">
        <w:rPr>
          <w:rStyle w:val="FootnoteReference"/>
        </w:rPr>
        <w:footnoteRef/>
      </w:r>
      <w:r w:rsidRPr="009519F5">
        <w:rPr>
          <w:rStyle w:val="FootnoteReference"/>
        </w:rPr>
        <w:tab/>
      </w:r>
      <w:r w:rsidR="00092F19" w:rsidRPr="000A3A14">
        <w:t xml:space="preserve">A/HRC/29/50, p. 75 and </w:t>
      </w:r>
      <w:r w:rsidR="000A3A14">
        <w:t>A/HRC/25/23, para. 21.</w:t>
      </w:r>
    </w:p>
  </w:footnote>
  <w:footnote w:id="80">
    <w:p w14:paraId="7E89D103" w14:textId="07EE2C2C" w:rsidR="00092F19" w:rsidRPr="000B04F4" w:rsidRDefault="000277C0" w:rsidP="000A3A14">
      <w:pPr>
        <w:pStyle w:val="FootnoteText"/>
        <w:rPr>
          <w:lang w:val="es-ES"/>
        </w:rPr>
      </w:pPr>
      <w:r>
        <w:tab/>
      </w:r>
      <w:r w:rsidR="00092F19" w:rsidRPr="009519F5">
        <w:rPr>
          <w:rStyle w:val="FootnoteReference"/>
        </w:rPr>
        <w:footnoteRef/>
      </w:r>
      <w:r w:rsidRPr="000B04F4">
        <w:rPr>
          <w:rStyle w:val="FootnoteReference"/>
          <w:lang w:val="es-ES"/>
        </w:rPr>
        <w:tab/>
      </w:r>
      <w:r w:rsidR="00092F19" w:rsidRPr="000B04F4">
        <w:rPr>
          <w:lang w:val="es-ES"/>
        </w:rPr>
        <w:t>A/HRC/30/61, paras. 22-23</w:t>
      </w:r>
      <w:r w:rsidR="004B6D4C" w:rsidRPr="000B04F4">
        <w:rPr>
          <w:lang w:val="es-ES"/>
        </w:rPr>
        <w:t>.</w:t>
      </w:r>
    </w:p>
  </w:footnote>
  <w:footnote w:id="81">
    <w:p w14:paraId="7E89D104" w14:textId="35BBE924" w:rsidR="00092F19" w:rsidRPr="000A3A14" w:rsidRDefault="000277C0" w:rsidP="000A3A14">
      <w:pPr>
        <w:pStyle w:val="FootnoteText"/>
      </w:pPr>
      <w:r w:rsidRPr="000B04F4">
        <w:rPr>
          <w:lang w:val="es-ES"/>
        </w:rPr>
        <w:tab/>
      </w:r>
      <w:r w:rsidR="00092F19" w:rsidRPr="009519F5">
        <w:rPr>
          <w:rStyle w:val="FootnoteReference"/>
        </w:rPr>
        <w:footnoteRef/>
      </w:r>
      <w:r w:rsidRPr="000B04F4">
        <w:rPr>
          <w:rStyle w:val="FootnoteReference"/>
          <w:lang w:val="es-ES"/>
        </w:rPr>
        <w:tab/>
      </w:r>
      <w:r w:rsidR="00092F19" w:rsidRPr="000B04F4">
        <w:rPr>
          <w:lang w:val="es-ES"/>
        </w:rPr>
        <w:t xml:space="preserve">A/HRC/30/61, para. </w:t>
      </w:r>
      <w:r w:rsidR="00092F19" w:rsidRPr="000A3A14">
        <w:t>23</w:t>
      </w:r>
      <w:r w:rsidR="000A3A14">
        <w:t>.</w:t>
      </w:r>
    </w:p>
  </w:footnote>
  <w:footnote w:id="82">
    <w:p w14:paraId="7E89D105" w14:textId="04EBCD71" w:rsidR="00092F19" w:rsidRPr="000B04F4" w:rsidRDefault="000277C0" w:rsidP="000A3A14">
      <w:pPr>
        <w:pStyle w:val="FootnoteText"/>
        <w:rPr>
          <w:lang w:val="es-ES"/>
        </w:rPr>
      </w:pPr>
      <w:r>
        <w:tab/>
      </w:r>
      <w:r w:rsidR="00092F19" w:rsidRPr="009519F5">
        <w:rPr>
          <w:rStyle w:val="FootnoteReference"/>
        </w:rPr>
        <w:footnoteRef/>
      </w:r>
      <w:r w:rsidRPr="000B04F4">
        <w:rPr>
          <w:rStyle w:val="FootnoteReference"/>
          <w:lang w:val="es-ES"/>
        </w:rPr>
        <w:tab/>
      </w:r>
      <w:r w:rsidR="00092F19" w:rsidRPr="000B04F4">
        <w:rPr>
          <w:lang w:val="es-ES"/>
        </w:rPr>
        <w:t>CAT/C/LKA/5, para</w:t>
      </w:r>
      <w:r w:rsidR="000A3A14" w:rsidRPr="000B04F4">
        <w:rPr>
          <w:lang w:val="es-ES"/>
        </w:rPr>
        <w:t>s. 153-160.</w:t>
      </w:r>
    </w:p>
  </w:footnote>
  <w:footnote w:id="83">
    <w:p w14:paraId="7E89D106" w14:textId="653526D7" w:rsidR="00092F19" w:rsidRPr="000A3A14" w:rsidRDefault="000277C0" w:rsidP="000A3A14">
      <w:pPr>
        <w:pStyle w:val="FootnoteText"/>
      </w:pPr>
      <w:r w:rsidRPr="000B04F4">
        <w:rPr>
          <w:lang w:val="es-ES"/>
        </w:rPr>
        <w:tab/>
      </w:r>
      <w:r w:rsidR="00092F19" w:rsidRPr="009519F5">
        <w:rPr>
          <w:rStyle w:val="FootnoteReference"/>
        </w:rPr>
        <w:footnoteRef/>
      </w:r>
      <w:r w:rsidRPr="000B04F4">
        <w:rPr>
          <w:lang w:val="es-ES"/>
        </w:rPr>
        <w:tab/>
      </w:r>
      <w:r w:rsidR="00092F19" w:rsidRPr="000B04F4">
        <w:rPr>
          <w:lang w:val="es-ES"/>
        </w:rPr>
        <w:t>CAT/C/LKA/CO/3-4, para</w:t>
      </w:r>
      <w:r w:rsidR="000A3A14" w:rsidRPr="000B04F4">
        <w:rPr>
          <w:lang w:val="es-ES"/>
        </w:rPr>
        <w:t xml:space="preserve">. </w:t>
      </w:r>
      <w:r w:rsidR="000A3A14">
        <w:t>30; CRC/LKA/CO/3-4, para. 41.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9D07C" w14:textId="1D68565C" w:rsidR="00092F19" w:rsidRPr="000B04F4" w:rsidRDefault="00092F19" w:rsidP="000B04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9D07D" w14:textId="46C5D499" w:rsidR="00092F19" w:rsidRPr="000B04F4" w:rsidRDefault="00092F19" w:rsidP="000B04F4">
    <w:pPr>
      <w:pStyle w:val="Header"/>
    </w:pP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1D8447" w14:textId="77777777" w:rsidR="000B04F4" w:rsidRDefault="000B04F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0C4F1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B615B0"/>
    <w:multiLevelType w:val="hybridMultilevel"/>
    <w:tmpl w:val="65F86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26426F"/>
    <w:multiLevelType w:val="hybridMultilevel"/>
    <w:tmpl w:val="8B48C8A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04DA3"/>
    <w:multiLevelType w:val="hybridMultilevel"/>
    <w:tmpl w:val="B6D22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A52BB9"/>
    <w:multiLevelType w:val="hybridMultilevel"/>
    <w:tmpl w:val="D958B0B4"/>
    <w:lvl w:ilvl="0" w:tplc="40F2FF1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91690A"/>
    <w:multiLevelType w:val="hybridMultilevel"/>
    <w:tmpl w:val="6B5C4232"/>
    <w:lvl w:ilvl="0" w:tplc="311C76AE">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16BD77E0"/>
    <w:multiLevelType w:val="hybridMultilevel"/>
    <w:tmpl w:val="BDD2AADE"/>
    <w:lvl w:ilvl="0" w:tplc="BC8032C2">
      <w:start w:val="1"/>
      <w:numFmt w:val="lowerRoman"/>
      <w:lvlText w:val="(%1)"/>
      <w:lvlJc w:val="left"/>
      <w:pPr>
        <w:ind w:left="2421" w:hanging="72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8">
    <w:nsid w:val="16D34D04"/>
    <w:multiLevelType w:val="hybridMultilevel"/>
    <w:tmpl w:val="2F08B2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7F0085B"/>
    <w:multiLevelType w:val="hybridMultilevel"/>
    <w:tmpl w:val="B3DA237A"/>
    <w:lvl w:ilvl="0" w:tplc="3D1CD5DA">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0">
    <w:nsid w:val="18FC29B5"/>
    <w:multiLevelType w:val="hybridMultilevel"/>
    <w:tmpl w:val="9904D2BC"/>
    <w:lvl w:ilvl="0" w:tplc="5108016A">
      <w:start w:val="1"/>
      <w:numFmt w:val="decimal"/>
      <w:lvlText w:val="%1."/>
      <w:lvlJc w:val="left"/>
      <w:pPr>
        <w:ind w:left="1700" w:hanging="6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9CC6B3E"/>
    <w:multiLevelType w:val="hybridMultilevel"/>
    <w:tmpl w:val="13CE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575BA7"/>
    <w:multiLevelType w:val="hybridMultilevel"/>
    <w:tmpl w:val="2F124692"/>
    <w:lvl w:ilvl="0" w:tplc="A44C7BA4">
      <w:start w:val="1"/>
      <w:numFmt w:val="lowerLetter"/>
      <w:lvlText w:val="(%1)"/>
      <w:lvlJc w:val="left"/>
      <w:pPr>
        <w:ind w:left="2421" w:hanging="720"/>
      </w:pPr>
      <w:rPr>
        <w:rFonts w:ascii="Times" w:eastAsia="Times New Roman" w:hAnsi="Times" w:cs="Times New Roman"/>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3">
    <w:nsid w:val="1F6233DD"/>
    <w:multiLevelType w:val="hybridMultilevel"/>
    <w:tmpl w:val="ACEE9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7B03EB0"/>
    <w:multiLevelType w:val="hybridMultilevel"/>
    <w:tmpl w:val="35F42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94D341D"/>
    <w:multiLevelType w:val="hybridMultilevel"/>
    <w:tmpl w:val="FE2A2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AC7B3E"/>
    <w:multiLevelType w:val="hybridMultilevel"/>
    <w:tmpl w:val="B212CE8E"/>
    <w:lvl w:ilvl="0" w:tplc="B0C4CEA2">
      <w:start w:val="2"/>
      <w:numFmt w:val="bullet"/>
      <w:lvlText w:val="-"/>
      <w:lvlJc w:val="left"/>
      <w:pPr>
        <w:ind w:left="1494" w:hanging="36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7">
    <w:nsid w:val="30AE4F98"/>
    <w:multiLevelType w:val="hybridMultilevel"/>
    <w:tmpl w:val="57606C5A"/>
    <w:lvl w:ilvl="0" w:tplc="0F0221A0">
      <w:start w:val="1"/>
      <w:numFmt w:val="decimal"/>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31FB147B"/>
    <w:multiLevelType w:val="hybridMultilevel"/>
    <w:tmpl w:val="E1B434CC"/>
    <w:lvl w:ilvl="0" w:tplc="B612873E">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nsid w:val="34F55F7E"/>
    <w:multiLevelType w:val="hybridMultilevel"/>
    <w:tmpl w:val="D2D25C08"/>
    <w:lvl w:ilvl="0" w:tplc="0809000F">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nsid w:val="34FA1154"/>
    <w:multiLevelType w:val="hybridMultilevel"/>
    <w:tmpl w:val="39D4CA62"/>
    <w:lvl w:ilvl="0" w:tplc="E42630D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1">
    <w:nsid w:val="373A6555"/>
    <w:multiLevelType w:val="hybridMultilevel"/>
    <w:tmpl w:val="6FDE248E"/>
    <w:lvl w:ilvl="0" w:tplc="1A3E27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A772B74"/>
    <w:multiLevelType w:val="hybridMultilevel"/>
    <w:tmpl w:val="752CA1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D7305C"/>
    <w:multiLevelType w:val="hybridMultilevel"/>
    <w:tmpl w:val="F934F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5F0B41"/>
    <w:multiLevelType w:val="hybridMultilevel"/>
    <w:tmpl w:val="05D03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9460F1"/>
    <w:multiLevelType w:val="hybridMultilevel"/>
    <w:tmpl w:val="72F0E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ABD7923"/>
    <w:multiLevelType w:val="hybridMultilevel"/>
    <w:tmpl w:val="389ABD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B4F4764"/>
    <w:multiLevelType w:val="hybridMultilevel"/>
    <w:tmpl w:val="844A7198"/>
    <w:lvl w:ilvl="0" w:tplc="25AEEFA8">
      <w:start w:val="1"/>
      <w:numFmt w:val="lowerLetter"/>
      <w:lvlText w:val="(%1)"/>
      <w:lvlJc w:val="left"/>
      <w:pPr>
        <w:ind w:left="2261" w:hanging="5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8">
    <w:nsid w:val="4C632F6A"/>
    <w:multiLevelType w:val="hybridMultilevel"/>
    <w:tmpl w:val="5D46B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2103C4"/>
    <w:multiLevelType w:val="hybridMultilevel"/>
    <w:tmpl w:val="2D5A1D7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EA2665C"/>
    <w:multiLevelType w:val="hybridMultilevel"/>
    <w:tmpl w:val="CEC87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F71AD9"/>
    <w:multiLevelType w:val="hybridMultilevel"/>
    <w:tmpl w:val="4DC29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F1B756F"/>
    <w:multiLevelType w:val="hybridMultilevel"/>
    <w:tmpl w:val="3AE238DE"/>
    <w:lvl w:ilvl="0" w:tplc="EB2EE4F2">
      <w:start w:val="1"/>
      <w:numFmt w:val="decimal"/>
      <w:lvlText w:val="%1."/>
      <w:lvlJc w:val="left"/>
      <w:pPr>
        <w:ind w:left="1636" w:hanging="360"/>
      </w:pPr>
      <w:rPr>
        <w:rFonts w:ascii="Times New Roman" w:hAnsi="Times New Roman" w:hint="default"/>
        <w:b w:val="0"/>
        <w:i w:val="0"/>
        <w:color w:val="auto"/>
        <w:sz w:val="18"/>
      </w:rPr>
    </w:lvl>
    <w:lvl w:ilvl="1" w:tplc="5B1EFFB6">
      <w:start w:val="1"/>
      <w:numFmt w:val="decimal"/>
      <w:lvlText w:val="%2)"/>
      <w:lvlJc w:val="left"/>
      <w:pPr>
        <w:ind w:left="2574" w:hanging="360"/>
      </w:pPr>
      <w:rPr>
        <w:rFonts w:hint="default"/>
      </w:rPr>
    </w:lvl>
    <w:lvl w:ilvl="2" w:tplc="0809001B">
      <w:start w:val="1"/>
      <w:numFmt w:val="lowerRoman"/>
      <w:lvlText w:val="%3."/>
      <w:lvlJc w:val="right"/>
      <w:pPr>
        <w:ind w:left="3294" w:hanging="180"/>
      </w:pPr>
    </w:lvl>
    <w:lvl w:ilvl="3" w:tplc="C6321CE4">
      <w:start w:val="18"/>
      <w:numFmt w:val="bullet"/>
      <w:lvlText w:val="-"/>
      <w:lvlJc w:val="left"/>
      <w:pPr>
        <w:ind w:left="4230" w:hanging="576"/>
      </w:pPr>
      <w:rPr>
        <w:rFonts w:ascii="Times New Roman" w:eastAsia="Times New Roman" w:hAnsi="Times New Roman" w:cs="Times New Roman" w:hint="default"/>
      </w:rPr>
    </w:lvl>
    <w:lvl w:ilvl="4" w:tplc="FD485C94">
      <w:start w:val="1"/>
      <w:numFmt w:val="lowerLetter"/>
      <w:lvlText w:val="(%5)"/>
      <w:lvlJc w:val="left"/>
      <w:pPr>
        <w:ind w:left="4734" w:hanging="360"/>
      </w:pPr>
      <w:rPr>
        <w:rFonts w:hint="default"/>
        <w:i/>
      </w:r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1100BAF"/>
    <w:multiLevelType w:val="hybridMultilevel"/>
    <w:tmpl w:val="DEA85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6D2033A"/>
    <w:multiLevelType w:val="hybridMultilevel"/>
    <w:tmpl w:val="9D3A209E"/>
    <w:lvl w:ilvl="0" w:tplc="B3ECF54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5">
    <w:nsid w:val="5B6500D1"/>
    <w:multiLevelType w:val="hybridMultilevel"/>
    <w:tmpl w:val="74EAC336"/>
    <w:lvl w:ilvl="0" w:tplc="1CB22DF4">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6">
    <w:nsid w:val="5B7D0B49"/>
    <w:multiLevelType w:val="hybridMultilevel"/>
    <w:tmpl w:val="B5367876"/>
    <w:lvl w:ilvl="0" w:tplc="BCDE4974">
      <w:start w:val="1"/>
      <w:numFmt w:val="lowerLetter"/>
      <w:lvlText w:val="(%1)"/>
      <w:lvlJc w:val="left"/>
      <w:pPr>
        <w:ind w:left="1908" w:hanging="360"/>
      </w:pPr>
      <w:rPr>
        <w:rFonts w:ascii="Times" w:eastAsia="Times New Roman" w:hAnsi="Times" w:cs="Times New Roman"/>
        <w:b w:val="0"/>
      </w:rPr>
    </w:lvl>
    <w:lvl w:ilvl="1" w:tplc="04090019" w:tentative="1">
      <w:start w:val="1"/>
      <w:numFmt w:val="lowerLetter"/>
      <w:lvlText w:val="%2."/>
      <w:lvlJc w:val="left"/>
      <w:pPr>
        <w:ind w:left="2628" w:hanging="360"/>
      </w:pPr>
    </w:lvl>
    <w:lvl w:ilvl="2" w:tplc="0409001B" w:tentative="1">
      <w:start w:val="1"/>
      <w:numFmt w:val="lowerRoman"/>
      <w:lvlText w:val="%3."/>
      <w:lvlJc w:val="right"/>
      <w:pPr>
        <w:ind w:left="3348" w:hanging="180"/>
      </w:pPr>
    </w:lvl>
    <w:lvl w:ilvl="3" w:tplc="0409000F" w:tentative="1">
      <w:start w:val="1"/>
      <w:numFmt w:val="decimal"/>
      <w:lvlText w:val="%4."/>
      <w:lvlJc w:val="left"/>
      <w:pPr>
        <w:ind w:left="4068" w:hanging="360"/>
      </w:pPr>
    </w:lvl>
    <w:lvl w:ilvl="4" w:tplc="04090019" w:tentative="1">
      <w:start w:val="1"/>
      <w:numFmt w:val="lowerLetter"/>
      <w:lvlText w:val="%5."/>
      <w:lvlJc w:val="left"/>
      <w:pPr>
        <w:ind w:left="4788" w:hanging="360"/>
      </w:pPr>
    </w:lvl>
    <w:lvl w:ilvl="5" w:tplc="0409001B" w:tentative="1">
      <w:start w:val="1"/>
      <w:numFmt w:val="lowerRoman"/>
      <w:lvlText w:val="%6."/>
      <w:lvlJc w:val="right"/>
      <w:pPr>
        <w:ind w:left="5508" w:hanging="180"/>
      </w:pPr>
    </w:lvl>
    <w:lvl w:ilvl="6" w:tplc="0409000F" w:tentative="1">
      <w:start w:val="1"/>
      <w:numFmt w:val="decimal"/>
      <w:lvlText w:val="%7."/>
      <w:lvlJc w:val="left"/>
      <w:pPr>
        <w:ind w:left="6228" w:hanging="360"/>
      </w:pPr>
    </w:lvl>
    <w:lvl w:ilvl="7" w:tplc="04090019" w:tentative="1">
      <w:start w:val="1"/>
      <w:numFmt w:val="lowerLetter"/>
      <w:lvlText w:val="%8."/>
      <w:lvlJc w:val="left"/>
      <w:pPr>
        <w:ind w:left="6948" w:hanging="360"/>
      </w:pPr>
    </w:lvl>
    <w:lvl w:ilvl="8" w:tplc="0409001B" w:tentative="1">
      <w:start w:val="1"/>
      <w:numFmt w:val="lowerRoman"/>
      <w:lvlText w:val="%9."/>
      <w:lvlJc w:val="right"/>
      <w:pPr>
        <w:ind w:left="7668" w:hanging="180"/>
      </w:pPr>
    </w:lvl>
  </w:abstractNum>
  <w:abstractNum w:abstractNumId="37">
    <w:nsid w:val="5BB7556D"/>
    <w:multiLevelType w:val="hybridMultilevel"/>
    <w:tmpl w:val="92847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C3F2C90"/>
    <w:multiLevelType w:val="hybridMultilevel"/>
    <w:tmpl w:val="1F5EBEE6"/>
    <w:lvl w:ilvl="0" w:tplc="9B9C57C2">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nsid w:val="5E564E26"/>
    <w:multiLevelType w:val="hybridMultilevel"/>
    <w:tmpl w:val="2F6006B0"/>
    <w:lvl w:ilvl="0" w:tplc="6A6C4272">
      <w:start w:val="1"/>
      <w:numFmt w:val="lowerLetter"/>
      <w:pStyle w:val="StyleStyleNumeringa12ptComplexBold1Complex10pt"/>
      <w:lvlText w:val="%1)"/>
      <w:lvlJc w:val="left"/>
      <w:pPr>
        <w:tabs>
          <w:tab w:val="num" w:pos="1304"/>
        </w:tabs>
        <w:ind w:left="907"/>
      </w:pPr>
      <w:rPr>
        <w:rFonts w:cs="Times New Roman" w:hint="default"/>
      </w:rPr>
    </w:lvl>
    <w:lvl w:ilvl="1" w:tplc="04090019">
      <w:start w:val="1"/>
      <w:numFmt w:val="lowerLetter"/>
      <w:pStyle w:val="StyleNumeringa12ptComplexBold"/>
      <w:lvlText w:val="%2)"/>
      <w:lvlJc w:val="left"/>
      <w:pPr>
        <w:tabs>
          <w:tab w:val="num" w:pos="1304"/>
        </w:tabs>
        <w:ind w:left="907"/>
      </w:pPr>
      <w:rPr>
        <w:rFonts w:cs="Times New Roman" w:hint="default"/>
      </w:rPr>
    </w:lvl>
    <w:lvl w:ilvl="2" w:tplc="0409001B">
      <w:start w:val="1"/>
      <w:numFmt w:val="decimal"/>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nsid w:val="5EF40175"/>
    <w:multiLevelType w:val="hybridMultilevel"/>
    <w:tmpl w:val="8A323B32"/>
    <w:lvl w:ilvl="0" w:tplc="565EE45A">
      <w:start w:val="1"/>
      <w:numFmt w:val="decimal"/>
      <w:lvlText w:val="%1."/>
      <w:lvlJc w:val="left"/>
      <w:pPr>
        <w:tabs>
          <w:tab w:val="num" w:pos="720"/>
        </w:tabs>
        <w:ind w:left="0" w:firstLine="0"/>
      </w:pPr>
      <w:rPr>
        <w:rFonts w:hint="default"/>
        <w:color w:val="auto"/>
      </w:rPr>
    </w:lvl>
    <w:lvl w:ilvl="1" w:tplc="3A727E0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5FD37AB8"/>
    <w:multiLevelType w:val="hybridMultilevel"/>
    <w:tmpl w:val="38F44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45275E1"/>
    <w:multiLevelType w:val="hybridMultilevel"/>
    <w:tmpl w:val="2DF8F844"/>
    <w:lvl w:ilvl="0" w:tplc="5A3AF62A">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3">
    <w:nsid w:val="64736545"/>
    <w:multiLevelType w:val="hybridMultilevel"/>
    <w:tmpl w:val="C1A674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64820D76"/>
    <w:multiLevelType w:val="hybridMultilevel"/>
    <w:tmpl w:val="B54E151E"/>
    <w:lvl w:ilvl="0" w:tplc="5EBCEB98">
      <w:start w:val="1"/>
      <w:numFmt w:val="decimal"/>
      <w:lvlText w:val="%1."/>
      <w:lvlJc w:val="left"/>
      <w:pPr>
        <w:ind w:left="1689" w:hanging="555"/>
      </w:pPr>
      <w:rPr>
        <w:rFonts w:hint="default"/>
        <w:strike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5A91A72"/>
    <w:multiLevelType w:val="hybridMultilevel"/>
    <w:tmpl w:val="69B6F092"/>
    <w:lvl w:ilvl="0" w:tplc="51BAE50A">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7">
    <w:nsid w:val="7B2B60C4"/>
    <w:multiLevelType w:val="hybridMultilevel"/>
    <w:tmpl w:val="32926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B972293"/>
    <w:multiLevelType w:val="hybridMultilevel"/>
    <w:tmpl w:val="74EAC336"/>
    <w:lvl w:ilvl="0" w:tplc="1CB22DF4">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1"/>
  </w:num>
  <w:num w:numId="2">
    <w:abstractNumId w:val="45"/>
  </w:num>
  <w:num w:numId="3">
    <w:abstractNumId w:val="40"/>
  </w:num>
  <w:num w:numId="4">
    <w:abstractNumId w:val="39"/>
  </w:num>
  <w:num w:numId="5">
    <w:abstractNumId w:val="0"/>
  </w:num>
  <w:num w:numId="6">
    <w:abstractNumId w:val="21"/>
  </w:num>
  <w:num w:numId="7">
    <w:abstractNumId w:val="43"/>
  </w:num>
  <w:num w:numId="8">
    <w:abstractNumId w:val="4"/>
  </w:num>
  <w:num w:numId="9">
    <w:abstractNumId w:val="33"/>
  </w:num>
  <w:num w:numId="10">
    <w:abstractNumId w:val="8"/>
  </w:num>
  <w:num w:numId="11">
    <w:abstractNumId w:val="5"/>
  </w:num>
  <w:num w:numId="12">
    <w:abstractNumId w:val="28"/>
  </w:num>
  <w:num w:numId="13">
    <w:abstractNumId w:val="31"/>
  </w:num>
  <w:num w:numId="14">
    <w:abstractNumId w:val="41"/>
  </w:num>
  <w:num w:numId="15">
    <w:abstractNumId w:val="25"/>
  </w:num>
  <w:num w:numId="16">
    <w:abstractNumId w:val="46"/>
  </w:num>
  <w:num w:numId="17">
    <w:abstractNumId w:val="22"/>
  </w:num>
  <w:num w:numId="18">
    <w:abstractNumId w:val="14"/>
  </w:num>
  <w:num w:numId="19">
    <w:abstractNumId w:val="26"/>
  </w:num>
  <w:num w:numId="20">
    <w:abstractNumId w:val="42"/>
  </w:num>
  <w:num w:numId="21">
    <w:abstractNumId w:val="13"/>
  </w:num>
  <w:num w:numId="22">
    <w:abstractNumId w:val="36"/>
  </w:num>
  <w:num w:numId="23">
    <w:abstractNumId w:val="47"/>
  </w:num>
  <w:num w:numId="24">
    <w:abstractNumId w:val="16"/>
  </w:num>
  <w:num w:numId="25">
    <w:abstractNumId w:val="23"/>
  </w:num>
  <w:num w:numId="26">
    <w:abstractNumId w:val="15"/>
  </w:num>
  <w:num w:numId="27">
    <w:abstractNumId w:val="48"/>
  </w:num>
  <w:num w:numId="28">
    <w:abstractNumId w:val="6"/>
  </w:num>
  <w:num w:numId="29">
    <w:abstractNumId w:val="3"/>
  </w:num>
  <w:num w:numId="30">
    <w:abstractNumId w:val="12"/>
  </w:num>
  <w:num w:numId="31">
    <w:abstractNumId w:val="9"/>
  </w:num>
  <w:num w:numId="32">
    <w:abstractNumId w:val="2"/>
  </w:num>
  <w:num w:numId="33">
    <w:abstractNumId w:val="37"/>
  </w:num>
  <w:num w:numId="34">
    <w:abstractNumId w:val="11"/>
  </w:num>
  <w:num w:numId="35">
    <w:abstractNumId w:val="19"/>
  </w:num>
  <w:num w:numId="36">
    <w:abstractNumId w:val="27"/>
  </w:num>
  <w:num w:numId="37">
    <w:abstractNumId w:val="20"/>
  </w:num>
  <w:num w:numId="38">
    <w:abstractNumId w:val="18"/>
  </w:num>
  <w:num w:numId="39">
    <w:abstractNumId w:val="7"/>
  </w:num>
  <w:num w:numId="40">
    <w:abstractNumId w:val="24"/>
  </w:num>
  <w:num w:numId="41">
    <w:abstractNumId w:val="35"/>
  </w:num>
  <w:num w:numId="42">
    <w:abstractNumId w:val="30"/>
  </w:num>
  <w:num w:numId="43">
    <w:abstractNumId w:val="32"/>
  </w:num>
  <w:num w:numId="44">
    <w:abstractNumId w:val="10"/>
  </w:num>
  <w:num w:numId="45">
    <w:abstractNumId w:val="38"/>
  </w:num>
  <w:num w:numId="46">
    <w:abstractNumId w:val="34"/>
  </w:num>
  <w:num w:numId="47">
    <w:abstractNumId w:val="17"/>
  </w:num>
  <w:num w:numId="48">
    <w:abstractNumId w:val="29"/>
  </w:num>
  <w:num w:numId="49">
    <w:abstractNumId w:val="4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081C"/>
    <w:rsid w:val="0000248A"/>
    <w:rsid w:val="00020748"/>
    <w:rsid w:val="000277C0"/>
    <w:rsid w:val="00050F6B"/>
    <w:rsid w:val="00057E97"/>
    <w:rsid w:val="000722C6"/>
    <w:rsid w:val="00072C8C"/>
    <w:rsid w:val="000733B5"/>
    <w:rsid w:val="00081815"/>
    <w:rsid w:val="00092F19"/>
    <w:rsid w:val="000931C0"/>
    <w:rsid w:val="00094B47"/>
    <w:rsid w:val="000A3A14"/>
    <w:rsid w:val="000A4341"/>
    <w:rsid w:val="000B04F4"/>
    <w:rsid w:val="000B175B"/>
    <w:rsid w:val="000B3A0F"/>
    <w:rsid w:val="000B4EF7"/>
    <w:rsid w:val="000C2C03"/>
    <w:rsid w:val="000C2D2E"/>
    <w:rsid w:val="000E0415"/>
    <w:rsid w:val="000E7749"/>
    <w:rsid w:val="000F46D0"/>
    <w:rsid w:val="001103AA"/>
    <w:rsid w:val="00130CD1"/>
    <w:rsid w:val="001450BD"/>
    <w:rsid w:val="00153179"/>
    <w:rsid w:val="00165F3A"/>
    <w:rsid w:val="00183227"/>
    <w:rsid w:val="0019081C"/>
    <w:rsid w:val="00197B02"/>
    <w:rsid w:val="001B1FE3"/>
    <w:rsid w:val="001B4B04"/>
    <w:rsid w:val="001C6663"/>
    <w:rsid w:val="001C7895"/>
    <w:rsid w:val="001D0C8C"/>
    <w:rsid w:val="001D26DF"/>
    <w:rsid w:val="001D3A03"/>
    <w:rsid w:val="00202DA8"/>
    <w:rsid w:val="00211E0B"/>
    <w:rsid w:val="00212648"/>
    <w:rsid w:val="00213784"/>
    <w:rsid w:val="00267CF0"/>
    <w:rsid w:val="00267F5F"/>
    <w:rsid w:val="002834B6"/>
    <w:rsid w:val="00286B4D"/>
    <w:rsid w:val="002905F4"/>
    <w:rsid w:val="002955D6"/>
    <w:rsid w:val="00297799"/>
    <w:rsid w:val="002B3C39"/>
    <w:rsid w:val="002B466B"/>
    <w:rsid w:val="002F175C"/>
    <w:rsid w:val="002F1A00"/>
    <w:rsid w:val="002F4A6E"/>
    <w:rsid w:val="003229D8"/>
    <w:rsid w:val="00341A40"/>
    <w:rsid w:val="00342658"/>
    <w:rsid w:val="00352709"/>
    <w:rsid w:val="00371178"/>
    <w:rsid w:val="003A6810"/>
    <w:rsid w:val="003C2CC4"/>
    <w:rsid w:val="003D4B23"/>
    <w:rsid w:val="00410C89"/>
    <w:rsid w:val="00416EAF"/>
    <w:rsid w:val="00426B9B"/>
    <w:rsid w:val="004325CB"/>
    <w:rsid w:val="00442A83"/>
    <w:rsid w:val="004437F2"/>
    <w:rsid w:val="0045495B"/>
    <w:rsid w:val="00475072"/>
    <w:rsid w:val="004B4C23"/>
    <w:rsid w:val="004B6D4C"/>
    <w:rsid w:val="004B7802"/>
    <w:rsid w:val="004D0D0F"/>
    <w:rsid w:val="005045AB"/>
    <w:rsid w:val="0052136D"/>
    <w:rsid w:val="0052775E"/>
    <w:rsid w:val="005420F2"/>
    <w:rsid w:val="005628B6"/>
    <w:rsid w:val="005B3DB3"/>
    <w:rsid w:val="005D0FDF"/>
    <w:rsid w:val="005E1A26"/>
    <w:rsid w:val="005F7B75"/>
    <w:rsid w:val="006001EE"/>
    <w:rsid w:val="00605042"/>
    <w:rsid w:val="00611FC4"/>
    <w:rsid w:val="006176FB"/>
    <w:rsid w:val="00640B26"/>
    <w:rsid w:val="00652D0A"/>
    <w:rsid w:val="00662BB6"/>
    <w:rsid w:val="00683C39"/>
    <w:rsid w:val="00684C21"/>
    <w:rsid w:val="006B2B77"/>
    <w:rsid w:val="006C19AB"/>
    <w:rsid w:val="006D37AF"/>
    <w:rsid w:val="006D51D0"/>
    <w:rsid w:val="006E564B"/>
    <w:rsid w:val="006E7191"/>
    <w:rsid w:val="006F5689"/>
    <w:rsid w:val="00703577"/>
    <w:rsid w:val="0072632A"/>
    <w:rsid w:val="007327D5"/>
    <w:rsid w:val="007337CD"/>
    <w:rsid w:val="0074249B"/>
    <w:rsid w:val="007629C8"/>
    <w:rsid w:val="007B6BA5"/>
    <w:rsid w:val="007C3390"/>
    <w:rsid w:val="007C36FB"/>
    <w:rsid w:val="007C4F4B"/>
    <w:rsid w:val="007F6611"/>
    <w:rsid w:val="00812A3B"/>
    <w:rsid w:val="008242D7"/>
    <w:rsid w:val="008257B1"/>
    <w:rsid w:val="00843086"/>
    <w:rsid w:val="00843767"/>
    <w:rsid w:val="008679D9"/>
    <w:rsid w:val="00882F71"/>
    <w:rsid w:val="008979B1"/>
    <w:rsid w:val="008A6B25"/>
    <w:rsid w:val="008A6C4F"/>
    <w:rsid w:val="008B2335"/>
    <w:rsid w:val="008E0678"/>
    <w:rsid w:val="008E4285"/>
    <w:rsid w:val="009223CA"/>
    <w:rsid w:val="0093239E"/>
    <w:rsid w:val="00940F93"/>
    <w:rsid w:val="00945D3C"/>
    <w:rsid w:val="009519F5"/>
    <w:rsid w:val="009760F3"/>
    <w:rsid w:val="009A0E8D"/>
    <w:rsid w:val="009A78EB"/>
    <w:rsid w:val="009B26E7"/>
    <w:rsid w:val="009F28F0"/>
    <w:rsid w:val="00A00A3F"/>
    <w:rsid w:val="00A01489"/>
    <w:rsid w:val="00A069A6"/>
    <w:rsid w:val="00A21BE6"/>
    <w:rsid w:val="00A21D53"/>
    <w:rsid w:val="00A338F1"/>
    <w:rsid w:val="00A5214F"/>
    <w:rsid w:val="00A618E1"/>
    <w:rsid w:val="00A72F22"/>
    <w:rsid w:val="00A7360F"/>
    <w:rsid w:val="00A748A6"/>
    <w:rsid w:val="00A769F4"/>
    <w:rsid w:val="00A776B4"/>
    <w:rsid w:val="00A82B26"/>
    <w:rsid w:val="00A94361"/>
    <w:rsid w:val="00A94975"/>
    <w:rsid w:val="00AA293C"/>
    <w:rsid w:val="00B30179"/>
    <w:rsid w:val="00B502F4"/>
    <w:rsid w:val="00B54F31"/>
    <w:rsid w:val="00B56E4A"/>
    <w:rsid w:val="00B56E9C"/>
    <w:rsid w:val="00B64B1F"/>
    <w:rsid w:val="00B6553F"/>
    <w:rsid w:val="00B77D05"/>
    <w:rsid w:val="00B81206"/>
    <w:rsid w:val="00B81E12"/>
    <w:rsid w:val="00B92937"/>
    <w:rsid w:val="00B97EE2"/>
    <w:rsid w:val="00BC74E9"/>
    <w:rsid w:val="00BF68A8"/>
    <w:rsid w:val="00C11A03"/>
    <w:rsid w:val="00C42634"/>
    <w:rsid w:val="00C463DD"/>
    <w:rsid w:val="00C4724C"/>
    <w:rsid w:val="00C629A0"/>
    <w:rsid w:val="00C745C3"/>
    <w:rsid w:val="00CE4A8F"/>
    <w:rsid w:val="00D12F70"/>
    <w:rsid w:val="00D2031B"/>
    <w:rsid w:val="00D21697"/>
    <w:rsid w:val="00D25FE2"/>
    <w:rsid w:val="00D43252"/>
    <w:rsid w:val="00D47706"/>
    <w:rsid w:val="00D47EEA"/>
    <w:rsid w:val="00D93CC8"/>
    <w:rsid w:val="00D95303"/>
    <w:rsid w:val="00D978C6"/>
    <w:rsid w:val="00DA3C1C"/>
    <w:rsid w:val="00DC1764"/>
    <w:rsid w:val="00DF16C8"/>
    <w:rsid w:val="00E27346"/>
    <w:rsid w:val="00E32EFC"/>
    <w:rsid w:val="00E71BC8"/>
    <w:rsid w:val="00E7260F"/>
    <w:rsid w:val="00E96630"/>
    <w:rsid w:val="00EC1ABC"/>
    <w:rsid w:val="00ED7A2A"/>
    <w:rsid w:val="00EF1D7F"/>
    <w:rsid w:val="00F34539"/>
    <w:rsid w:val="00F71B15"/>
    <w:rsid w:val="00F93781"/>
    <w:rsid w:val="00FA5869"/>
    <w:rsid w:val="00FB613B"/>
    <w:rsid w:val="00FB66E9"/>
    <w:rsid w:val="00FC68B7"/>
    <w:rsid w:val="00FE106A"/>
    <w:rsid w:val="00FF2343"/>
    <w:rsid w:val="00FF788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89C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 Char Char Char,f"/>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Footnotes refss"/>
    <w:link w:val="ftrefCharCharChar"/>
    <w:qFormat/>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5E1A26"/>
    <w:rPr>
      <w:sz w:val="18"/>
      <w:lang w:eastAsia="en-US"/>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uiPriority w:val="99"/>
    <w:rsid w:val="005E1A26"/>
    <w:pPr>
      <w:suppressAutoHyphens w:val="0"/>
      <w:spacing w:after="160" w:line="240" w:lineRule="exact"/>
    </w:pPr>
    <w:rPr>
      <w:sz w:val="18"/>
      <w:vertAlign w:val="superscript"/>
      <w:lang w:eastAsia="en-GB"/>
    </w:rPr>
  </w:style>
  <w:style w:type="paragraph" w:styleId="BalloonText">
    <w:name w:val="Balloon Text"/>
    <w:basedOn w:val="Normal"/>
    <w:link w:val="BalloonTextChar"/>
    <w:rsid w:val="000F46D0"/>
    <w:rPr>
      <w:rFonts w:ascii="Tahoma" w:hAnsi="Tahoma" w:cs="Tahoma"/>
      <w:sz w:val="16"/>
      <w:szCs w:val="16"/>
    </w:rPr>
  </w:style>
  <w:style w:type="character" w:customStyle="1" w:styleId="BalloonTextChar">
    <w:name w:val="Balloon Text Char"/>
    <w:link w:val="BalloonText"/>
    <w:rsid w:val="000F46D0"/>
    <w:rPr>
      <w:rFonts w:ascii="Tahoma" w:hAnsi="Tahoma" w:cs="Tahoma"/>
      <w:sz w:val="16"/>
      <w:szCs w:val="16"/>
      <w:lang w:eastAsia="en-US"/>
    </w:rPr>
  </w:style>
  <w:style w:type="character" w:customStyle="1" w:styleId="Style12ptBoldIndigo">
    <w:name w:val="Style 12 pt Bold Indigo"/>
    <w:rsid w:val="000F46D0"/>
    <w:rPr>
      <w:rFonts w:ascii="Times New Roman Bold" w:hAnsi="Times New Roman Bold"/>
      <w:b/>
      <w:color w:val="auto"/>
      <w:sz w:val="24"/>
    </w:rPr>
  </w:style>
  <w:style w:type="character" w:styleId="Strong">
    <w:name w:val="Strong"/>
    <w:qFormat/>
    <w:rsid w:val="000F46D0"/>
    <w:rPr>
      <w:rFonts w:cs="Times New Roman"/>
      <w:b/>
      <w:bCs/>
    </w:rPr>
  </w:style>
  <w:style w:type="paragraph" w:customStyle="1" w:styleId="footnote">
    <w:name w:val="footnote"/>
    <w:basedOn w:val="Normal"/>
    <w:link w:val="footnoteChar"/>
    <w:rsid w:val="000F46D0"/>
    <w:pPr>
      <w:suppressAutoHyphens w:val="0"/>
      <w:spacing w:after="180" w:line="240" w:lineRule="auto"/>
    </w:pPr>
    <w:rPr>
      <w:rFonts w:eastAsia="SimSun"/>
      <w:color w:val="000000"/>
      <w:szCs w:val="21"/>
      <w:lang w:val="en-US" w:eastAsia="zh-CN"/>
    </w:rPr>
  </w:style>
  <w:style w:type="character" w:customStyle="1" w:styleId="footnoteChar">
    <w:name w:val="footnote Char"/>
    <w:link w:val="footnote"/>
    <w:locked/>
    <w:rsid w:val="000F46D0"/>
    <w:rPr>
      <w:rFonts w:eastAsia="SimSun"/>
      <w:color w:val="000000"/>
      <w:szCs w:val="21"/>
      <w:lang w:val="en-US" w:eastAsia="zh-CN"/>
    </w:rPr>
  </w:style>
  <w:style w:type="paragraph" w:customStyle="1" w:styleId="StyleNumeringa12ptComplexBold">
    <w:name w:val="Style Numering_a) + 12 pt (Complex) Bold"/>
    <w:basedOn w:val="Normal"/>
    <w:link w:val="StyleNumeringa12ptComplexBoldChar"/>
    <w:rsid w:val="000F46D0"/>
    <w:pPr>
      <w:numPr>
        <w:ilvl w:val="1"/>
        <w:numId w:val="4"/>
      </w:numPr>
      <w:suppressAutoHyphens w:val="0"/>
      <w:spacing w:line="240" w:lineRule="auto"/>
    </w:pPr>
    <w:rPr>
      <w:rFonts w:eastAsia="SimSun"/>
      <w:bCs/>
      <w:sz w:val="24"/>
      <w:szCs w:val="24"/>
      <w:lang w:val="en-US" w:eastAsia="zh-CN"/>
    </w:rPr>
  </w:style>
  <w:style w:type="character" w:customStyle="1" w:styleId="StyleNumeringa12ptComplexBoldChar">
    <w:name w:val="Style Numering_a) + 12 pt (Complex) Bold Char"/>
    <w:link w:val="StyleNumeringa12ptComplexBold"/>
    <w:locked/>
    <w:rsid w:val="000F46D0"/>
    <w:rPr>
      <w:rFonts w:eastAsia="SimSun"/>
      <w:bCs/>
      <w:sz w:val="24"/>
      <w:szCs w:val="24"/>
      <w:lang w:val="en-US" w:eastAsia="zh-CN"/>
    </w:rPr>
  </w:style>
  <w:style w:type="paragraph" w:customStyle="1" w:styleId="StyleStyleNumeringa12ptComplexBold1Complex10pt">
    <w:name w:val="Style Style Numering_a) + 12 pt (Complex) Bold1 + (Complex) 10 pt"/>
    <w:basedOn w:val="Normal"/>
    <w:link w:val="StyleStyleNumeringa12ptComplexBold1Complex10ptChar"/>
    <w:rsid w:val="000F46D0"/>
    <w:pPr>
      <w:numPr>
        <w:numId w:val="4"/>
      </w:numPr>
      <w:suppressAutoHyphens w:val="0"/>
      <w:spacing w:line="240" w:lineRule="auto"/>
    </w:pPr>
    <w:rPr>
      <w:rFonts w:eastAsia="SimSun"/>
      <w:bCs/>
      <w:sz w:val="24"/>
      <w:lang w:val="en-US" w:eastAsia="zh-CN"/>
    </w:rPr>
  </w:style>
  <w:style w:type="character" w:customStyle="1" w:styleId="StyleStyleNumeringa12ptComplexBold1Complex10ptChar">
    <w:name w:val="Style Style Numering_a) + 12 pt (Complex) Bold1 + (Complex) 10 pt Char"/>
    <w:link w:val="StyleStyleNumeringa12ptComplexBold1Complex10pt"/>
    <w:locked/>
    <w:rsid w:val="000F46D0"/>
    <w:rPr>
      <w:rFonts w:eastAsia="SimSun"/>
      <w:bCs/>
      <w:sz w:val="24"/>
      <w:lang w:val="en-US" w:eastAsia="zh-CN"/>
    </w:rPr>
  </w:style>
  <w:style w:type="paragraph" w:customStyle="1" w:styleId="StyleHeading2AsianSimSun12ptComplexBoldIndigo">
    <w:name w:val="Style Heading 2 + (Asian) SimSun 12 pt (Complex) Bold Indigo"/>
    <w:basedOn w:val="Heading2"/>
    <w:link w:val="StyleHeading2AsianSimSun12ptComplexBoldIndigoChar"/>
    <w:rsid w:val="000F46D0"/>
    <w:pPr>
      <w:keepNext/>
      <w:suppressAutoHyphens w:val="0"/>
      <w:spacing w:after="240"/>
      <w:jc w:val="center"/>
    </w:pPr>
    <w:rPr>
      <w:rFonts w:ascii="Times New Roman Bold" w:eastAsia="SimSun" w:hAnsi="Times New Roman Bold" w:cs="Times New Roman Bold"/>
      <w:b/>
      <w:bCs/>
      <w:sz w:val="24"/>
      <w:szCs w:val="24"/>
    </w:rPr>
  </w:style>
  <w:style w:type="character" w:customStyle="1" w:styleId="StyleHeading2AsianSimSun12ptComplexBoldIndigoChar">
    <w:name w:val="Style Heading 2 + (Asian) SimSun 12 pt (Complex) Bold Indigo Char"/>
    <w:link w:val="StyleHeading2AsianSimSun12ptComplexBoldIndigo"/>
    <w:locked/>
    <w:rsid w:val="000F46D0"/>
    <w:rPr>
      <w:rFonts w:ascii="Times New Roman Bold" w:eastAsia="SimSun" w:hAnsi="Times New Roman Bold" w:cs="Times New Roman Bold"/>
      <w:b/>
      <w:bCs/>
      <w:sz w:val="24"/>
      <w:szCs w:val="24"/>
      <w:lang w:eastAsia="en-US"/>
    </w:rPr>
  </w:style>
  <w:style w:type="paragraph" w:customStyle="1" w:styleId="Default">
    <w:name w:val="Default"/>
    <w:rsid w:val="000F46D0"/>
    <w:pPr>
      <w:autoSpaceDE w:val="0"/>
      <w:autoSpaceDN w:val="0"/>
      <w:adjustRightInd w:val="0"/>
    </w:pPr>
    <w:rPr>
      <w:color w:val="000000"/>
      <w:sz w:val="24"/>
      <w:szCs w:val="24"/>
      <w:lang w:val="fr-FR" w:eastAsia="fr-FR"/>
    </w:rPr>
  </w:style>
  <w:style w:type="character" w:styleId="CommentReference">
    <w:name w:val="annotation reference"/>
    <w:uiPriority w:val="99"/>
    <w:rsid w:val="000F46D0"/>
    <w:rPr>
      <w:sz w:val="16"/>
      <w:szCs w:val="16"/>
    </w:rPr>
  </w:style>
  <w:style w:type="paragraph" w:styleId="CommentText">
    <w:name w:val="annotation text"/>
    <w:basedOn w:val="Normal"/>
    <w:link w:val="CommentTextChar"/>
    <w:uiPriority w:val="99"/>
    <w:rsid w:val="000F46D0"/>
  </w:style>
  <w:style w:type="character" w:customStyle="1" w:styleId="CommentTextChar">
    <w:name w:val="Comment Text Char"/>
    <w:link w:val="CommentText"/>
    <w:uiPriority w:val="99"/>
    <w:rsid w:val="000F46D0"/>
    <w:rPr>
      <w:lang w:eastAsia="en-US"/>
    </w:rPr>
  </w:style>
  <w:style w:type="paragraph" w:styleId="CommentSubject">
    <w:name w:val="annotation subject"/>
    <w:basedOn w:val="CommentText"/>
    <w:next w:val="CommentText"/>
    <w:link w:val="CommentSubjectChar"/>
    <w:rsid w:val="000F46D0"/>
    <w:rPr>
      <w:b/>
      <w:bCs/>
    </w:rPr>
  </w:style>
  <w:style w:type="character" w:customStyle="1" w:styleId="CommentSubjectChar">
    <w:name w:val="Comment Subject Char"/>
    <w:link w:val="CommentSubject"/>
    <w:rsid w:val="000F46D0"/>
    <w:rPr>
      <w:b/>
      <w:bCs/>
      <w:lang w:eastAsia="en-US"/>
    </w:rPr>
  </w:style>
  <w:style w:type="paragraph" w:customStyle="1" w:styleId="LightGrid-Accent31">
    <w:name w:val="Light Grid - Accent 31"/>
    <w:basedOn w:val="Normal"/>
    <w:uiPriority w:val="34"/>
    <w:qFormat/>
    <w:rsid w:val="000F46D0"/>
    <w:pPr>
      <w:suppressAutoHyphens w:val="0"/>
      <w:spacing w:line="240" w:lineRule="auto"/>
      <w:ind w:left="720"/>
      <w:contextualSpacing/>
    </w:pPr>
    <w:rPr>
      <w:rFonts w:ascii="Cambria" w:eastAsia="MS Mincho" w:hAnsi="Cambria"/>
      <w:sz w:val="24"/>
      <w:szCs w:val="24"/>
      <w:lang w:val="en-AU"/>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autoRedefine/>
    <w:uiPriority w:val="99"/>
    <w:qFormat/>
    <w:rsid w:val="000F46D0"/>
    <w:pPr>
      <w:suppressAutoHyphens w:val="0"/>
      <w:spacing w:after="160" w:line="240" w:lineRule="exact"/>
    </w:pPr>
    <w:rPr>
      <w:sz w:val="18"/>
      <w:vertAlign w:val="superscript"/>
      <w:lang w:val="en-US"/>
    </w:rPr>
  </w:style>
  <w:style w:type="paragraph" w:customStyle="1" w:styleId="MediumGrid2-Accent11">
    <w:name w:val="Medium Grid 2 - Accent 11"/>
    <w:uiPriority w:val="1"/>
    <w:qFormat/>
    <w:rsid w:val="000F46D0"/>
    <w:rPr>
      <w:rFonts w:ascii="Cambria" w:eastAsia="MS Mincho" w:hAnsi="Cambria"/>
      <w:sz w:val="24"/>
      <w:szCs w:val="24"/>
      <w:lang w:val="en-AU" w:eastAsia="en-US"/>
    </w:rPr>
  </w:style>
  <w:style w:type="paragraph" w:customStyle="1" w:styleId="MediumShading2-Accent31">
    <w:name w:val="Medium Shading 2 - Accent 31"/>
    <w:basedOn w:val="Normal"/>
    <w:next w:val="Normal"/>
    <w:link w:val="MediumShading2-Accent3Char"/>
    <w:uiPriority w:val="30"/>
    <w:qFormat/>
    <w:rsid w:val="000F46D0"/>
    <w:pPr>
      <w:pBdr>
        <w:bottom w:val="single" w:sz="4" w:space="4" w:color="4F81BD"/>
      </w:pBdr>
      <w:suppressAutoHyphens w:val="0"/>
      <w:spacing w:before="200" w:after="280" w:line="276" w:lineRule="auto"/>
      <w:ind w:left="936" w:right="936"/>
    </w:pPr>
    <w:rPr>
      <w:rFonts w:ascii="Calibri" w:eastAsia="Calibri" w:hAnsi="Calibri"/>
      <w:b/>
      <w:bCs/>
      <w:i/>
      <w:iCs/>
      <w:color w:val="4F81BD"/>
      <w:sz w:val="22"/>
      <w:szCs w:val="22"/>
      <w:lang w:val="fr-FR"/>
    </w:rPr>
  </w:style>
  <w:style w:type="character" w:customStyle="1" w:styleId="MediumShading2-Accent3Char">
    <w:name w:val="Medium Shading 2 - Accent 3 Char"/>
    <w:link w:val="MediumShading2-Accent31"/>
    <w:uiPriority w:val="30"/>
    <w:rsid w:val="000F46D0"/>
    <w:rPr>
      <w:rFonts w:ascii="Calibri" w:eastAsia="Calibri" w:hAnsi="Calibri"/>
      <w:b/>
      <w:bCs/>
      <w:i/>
      <w:iCs/>
      <w:color w:val="4F81BD"/>
      <w:sz w:val="22"/>
      <w:szCs w:val="22"/>
      <w:lang w:val="fr-FR" w:eastAsia="en-US"/>
    </w:rPr>
  </w:style>
  <w:style w:type="paragraph" w:styleId="NormalWeb">
    <w:name w:val="Normal (Web)"/>
    <w:basedOn w:val="Normal"/>
    <w:uiPriority w:val="99"/>
    <w:unhideWhenUsed/>
    <w:rsid w:val="000F46D0"/>
    <w:pPr>
      <w:suppressAutoHyphens w:val="0"/>
      <w:spacing w:before="100" w:beforeAutospacing="1" w:after="100" w:afterAutospacing="1" w:line="240" w:lineRule="auto"/>
    </w:pPr>
    <w:rPr>
      <w:rFonts w:ascii="Times" w:hAnsi="Times"/>
      <w:lang w:val="en-US"/>
    </w:rPr>
  </w:style>
  <w:style w:type="character" w:customStyle="1" w:styleId="apple-converted-space">
    <w:name w:val="apple-converted-space"/>
    <w:rsid w:val="000F46D0"/>
  </w:style>
  <w:style w:type="paragraph" w:customStyle="1" w:styleId="MediumList2-Accent21">
    <w:name w:val="Medium List 2 - Accent 21"/>
    <w:hidden/>
    <w:uiPriority w:val="71"/>
    <w:rsid w:val="000F46D0"/>
    <w:rPr>
      <w:lang w:eastAsia="en-US"/>
    </w:rPr>
  </w:style>
  <w:style w:type="paragraph" w:customStyle="1" w:styleId="MediumGrid1-Accent21">
    <w:name w:val="Medium Grid 1 - Accent 21"/>
    <w:basedOn w:val="Normal"/>
    <w:uiPriority w:val="34"/>
    <w:qFormat/>
    <w:rsid w:val="000F46D0"/>
    <w:pPr>
      <w:suppressAutoHyphens w:val="0"/>
      <w:spacing w:line="240" w:lineRule="auto"/>
      <w:ind w:left="720"/>
      <w:contextualSpacing/>
    </w:pPr>
    <w:rPr>
      <w:rFonts w:ascii="Cambria" w:eastAsia="MS Mincho" w:hAnsi="Cambria"/>
      <w:sz w:val="24"/>
      <w:szCs w:val="24"/>
      <w:lang w:val="en-AU"/>
    </w:rPr>
  </w:style>
  <w:style w:type="character" w:customStyle="1" w:styleId="SingleTxtGChar">
    <w:name w:val="_ Single Txt_G Char"/>
    <w:link w:val="SingleTxtG"/>
    <w:rsid w:val="000F46D0"/>
    <w:rPr>
      <w:lang w:eastAsia="en-US"/>
    </w:rPr>
  </w:style>
  <w:style w:type="paragraph" w:customStyle="1" w:styleId="ColorfulShading-Accent11">
    <w:name w:val="Colorful Shading - Accent 11"/>
    <w:hidden/>
    <w:uiPriority w:val="99"/>
    <w:semiHidden/>
    <w:rsid w:val="000F46D0"/>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otnote Text Char Char Char Char Char,f"/>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Footnote,4_G Char,4_G Char Char,4_G Char Char Char,ftref Char Char Char Char,ftref Char Char Char Char Char,Heading 2 Char1 Char Char Char Char Char,Heading 2 Char2 Char Char Char Char Char Char,Footnote number,Footnotes refss"/>
    <w:link w:val="ftrefCharCharChar"/>
    <w:qFormat/>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uiPriority w:val="99"/>
    <w:locked/>
    <w:rsid w:val="005E1A26"/>
    <w:rPr>
      <w:sz w:val="18"/>
      <w:lang w:eastAsia="en-US"/>
    </w:rPr>
  </w:style>
  <w:style w:type="paragraph" w:customStyle="1" w:styleId="ftrefCharCharChar">
    <w:name w:val="ftref Char Char Char"/>
    <w:aliases w:val="Heading 2 Char1 Char Char Char Char,Heading 2 Char2 Char Char Char Char Char,Heading 2 Char Char Char Char Char1 Char Char"/>
    <w:basedOn w:val="Normal"/>
    <w:link w:val="FootnoteReference"/>
    <w:uiPriority w:val="99"/>
    <w:rsid w:val="005E1A26"/>
    <w:pPr>
      <w:suppressAutoHyphens w:val="0"/>
      <w:spacing w:after="160" w:line="240" w:lineRule="exact"/>
    </w:pPr>
    <w:rPr>
      <w:sz w:val="18"/>
      <w:vertAlign w:val="superscript"/>
      <w:lang w:eastAsia="en-GB"/>
    </w:rPr>
  </w:style>
  <w:style w:type="paragraph" w:styleId="BalloonText">
    <w:name w:val="Balloon Text"/>
    <w:basedOn w:val="Normal"/>
    <w:link w:val="BalloonTextChar"/>
    <w:rsid w:val="000F46D0"/>
    <w:rPr>
      <w:rFonts w:ascii="Tahoma" w:hAnsi="Tahoma" w:cs="Tahoma"/>
      <w:sz w:val="16"/>
      <w:szCs w:val="16"/>
    </w:rPr>
  </w:style>
  <w:style w:type="character" w:customStyle="1" w:styleId="BalloonTextChar">
    <w:name w:val="Balloon Text Char"/>
    <w:link w:val="BalloonText"/>
    <w:rsid w:val="000F46D0"/>
    <w:rPr>
      <w:rFonts w:ascii="Tahoma" w:hAnsi="Tahoma" w:cs="Tahoma"/>
      <w:sz w:val="16"/>
      <w:szCs w:val="16"/>
      <w:lang w:eastAsia="en-US"/>
    </w:rPr>
  </w:style>
  <w:style w:type="character" w:customStyle="1" w:styleId="Style12ptBoldIndigo">
    <w:name w:val="Style 12 pt Bold Indigo"/>
    <w:rsid w:val="000F46D0"/>
    <w:rPr>
      <w:rFonts w:ascii="Times New Roman Bold" w:hAnsi="Times New Roman Bold"/>
      <w:b/>
      <w:color w:val="auto"/>
      <w:sz w:val="24"/>
    </w:rPr>
  </w:style>
  <w:style w:type="character" w:styleId="Strong">
    <w:name w:val="Strong"/>
    <w:qFormat/>
    <w:rsid w:val="000F46D0"/>
    <w:rPr>
      <w:rFonts w:cs="Times New Roman"/>
      <w:b/>
      <w:bCs/>
    </w:rPr>
  </w:style>
  <w:style w:type="paragraph" w:customStyle="1" w:styleId="footnote">
    <w:name w:val="footnote"/>
    <w:basedOn w:val="Normal"/>
    <w:link w:val="footnoteChar"/>
    <w:rsid w:val="000F46D0"/>
    <w:pPr>
      <w:suppressAutoHyphens w:val="0"/>
      <w:spacing w:after="180" w:line="240" w:lineRule="auto"/>
    </w:pPr>
    <w:rPr>
      <w:rFonts w:eastAsia="SimSun"/>
      <w:color w:val="000000"/>
      <w:szCs w:val="21"/>
      <w:lang w:val="en-US" w:eastAsia="zh-CN"/>
    </w:rPr>
  </w:style>
  <w:style w:type="character" w:customStyle="1" w:styleId="footnoteChar">
    <w:name w:val="footnote Char"/>
    <w:link w:val="footnote"/>
    <w:locked/>
    <w:rsid w:val="000F46D0"/>
    <w:rPr>
      <w:rFonts w:eastAsia="SimSun"/>
      <w:color w:val="000000"/>
      <w:szCs w:val="21"/>
      <w:lang w:val="en-US" w:eastAsia="zh-CN"/>
    </w:rPr>
  </w:style>
  <w:style w:type="paragraph" w:customStyle="1" w:styleId="StyleNumeringa12ptComplexBold">
    <w:name w:val="Style Numering_a) + 12 pt (Complex) Bold"/>
    <w:basedOn w:val="Normal"/>
    <w:link w:val="StyleNumeringa12ptComplexBoldChar"/>
    <w:rsid w:val="000F46D0"/>
    <w:pPr>
      <w:numPr>
        <w:ilvl w:val="1"/>
        <w:numId w:val="4"/>
      </w:numPr>
      <w:suppressAutoHyphens w:val="0"/>
      <w:spacing w:line="240" w:lineRule="auto"/>
    </w:pPr>
    <w:rPr>
      <w:rFonts w:eastAsia="SimSun"/>
      <w:bCs/>
      <w:sz w:val="24"/>
      <w:szCs w:val="24"/>
      <w:lang w:val="en-US" w:eastAsia="zh-CN"/>
    </w:rPr>
  </w:style>
  <w:style w:type="character" w:customStyle="1" w:styleId="StyleNumeringa12ptComplexBoldChar">
    <w:name w:val="Style Numering_a) + 12 pt (Complex) Bold Char"/>
    <w:link w:val="StyleNumeringa12ptComplexBold"/>
    <w:locked/>
    <w:rsid w:val="000F46D0"/>
    <w:rPr>
      <w:rFonts w:eastAsia="SimSun"/>
      <w:bCs/>
      <w:sz w:val="24"/>
      <w:szCs w:val="24"/>
      <w:lang w:val="en-US" w:eastAsia="zh-CN"/>
    </w:rPr>
  </w:style>
  <w:style w:type="paragraph" w:customStyle="1" w:styleId="StyleStyleNumeringa12ptComplexBold1Complex10pt">
    <w:name w:val="Style Style Numering_a) + 12 pt (Complex) Bold1 + (Complex) 10 pt"/>
    <w:basedOn w:val="Normal"/>
    <w:link w:val="StyleStyleNumeringa12ptComplexBold1Complex10ptChar"/>
    <w:rsid w:val="000F46D0"/>
    <w:pPr>
      <w:numPr>
        <w:numId w:val="4"/>
      </w:numPr>
      <w:suppressAutoHyphens w:val="0"/>
      <w:spacing w:line="240" w:lineRule="auto"/>
    </w:pPr>
    <w:rPr>
      <w:rFonts w:eastAsia="SimSun"/>
      <w:bCs/>
      <w:sz w:val="24"/>
      <w:lang w:val="en-US" w:eastAsia="zh-CN"/>
    </w:rPr>
  </w:style>
  <w:style w:type="character" w:customStyle="1" w:styleId="StyleStyleNumeringa12ptComplexBold1Complex10ptChar">
    <w:name w:val="Style Style Numering_a) + 12 pt (Complex) Bold1 + (Complex) 10 pt Char"/>
    <w:link w:val="StyleStyleNumeringa12ptComplexBold1Complex10pt"/>
    <w:locked/>
    <w:rsid w:val="000F46D0"/>
    <w:rPr>
      <w:rFonts w:eastAsia="SimSun"/>
      <w:bCs/>
      <w:sz w:val="24"/>
      <w:lang w:val="en-US" w:eastAsia="zh-CN"/>
    </w:rPr>
  </w:style>
  <w:style w:type="paragraph" w:customStyle="1" w:styleId="StyleHeading2AsianSimSun12ptComplexBoldIndigo">
    <w:name w:val="Style Heading 2 + (Asian) SimSun 12 pt (Complex) Bold Indigo"/>
    <w:basedOn w:val="Heading2"/>
    <w:link w:val="StyleHeading2AsianSimSun12ptComplexBoldIndigoChar"/>
    <w:rsid w:val="000F46D0"/>
    <w:pPr>
      <w:keepNext/>
      <w:suppressAutoHyphens w:val="0"/>
      <w:spacing w:after="240"/>
      <w:jc w:val="center"/>
    </w:pPr>
    <w:rPr>
      <w:rFonts w:ascii="Times New Roman Bold" w:eastAsia="SimSun" w:hAnsi="Times New Roman Bold" w:cs="Times New Roman Bold"/>
      <w:b/>
      <w:bCs/>
      <w:sz w:val="24"/>
      <w:szCs w:val="24"/>
    </w:rPr>
  </w:style>
  <w:style w:type="character" w:customStyle="1" w:styleId="StyleHeading2AsianSimSun12ptComplexBoldIndigoChar">
    <w:name w:val="Style Heading 2 + (Asian) SimSun 12 pt (Complex) Bold Indigo Char"/>
    <w:link w:val="StyleHeading2AsianSimSun12ptComplexBoldIndigo"/>
    <w:locked/>
    <w:rsid w:val="000F46D0"/>
    <w:rPr>
      <w:rFonts w:ascii="Times New Roman Bold" w:eastAsia="SimSun" w:hAnsi="Times New Roman Bold" w:cs="Times New Roman Bold"/>
      <w:b/>
      <w:bCs/>
      <w:sz w:val="24"/>
      <w:szCs w:val="24"/>
      <w:lang w:eastAsia="en-US"/>
    </w:rPr>
  </w:style>
  <w:style w:type="paragraph" w:customStyle="1" w:styleId="Default">
    <w:name w:val="Default"/>
    <w:rsid w:val="000F46D0"/>
    <w:pPr>
      <w:autoSpaceDE w:val="0"/>
      <w:autoSpaceDN w:val="0"/>
      <w:adjustRightInd w:val="0"/>
    </w:pPr>
    <w:rPr>
      <w:color w:val="000000"/>
      <w:sz w:val="24"/>
      <w:szCs w:val="24"/>
      <w:lang w:val="fr-FR" w:eastAsia="fr-FR"/>
    </w:rPr>
  </w:style>
  <w:style w:type="character" w:styleId="CommentReference">
    <w:name w:val="annotation reference"/>
    <w:uiPriority w:val="99"/>
    <w:rsid w:val="000F46D0"/>
    <w:rPr>
      <w:sz w:val="16"/>
      <w:szCs w:val="16"/>
    </w:rPr>
  </w:style>
  <w:style w:type="paragraph" w:styleId="CommentText">
    <w:name w:val="annotation text"/>
    <w:basedOn w:val="Normal"/>
    <w:link w:val="CommentTextChar"/>
    <w:uiPriority w:val="99"/>
    <w:rsid w:val="000F46D0"/>
  </w:style>
  <w:style w:type="character" w:customStyle="1" w:styleId="CommentTextChar">
    <w:name w:val="Comment Text Char"/>
    <w:link w:val="CommentText"/>
    <w:uiPriority w:val="99"/>
    <w:rsid w:val="000F46D0"/>
    <w:rPr>
      <w:lang w:eastAsia="en-US"/>
    </w:rPr>
  </w:style>
  <w:style w:type="paragraph" w:styleId="CommentSubject">
    <w:name w:val="annotation subject"/>
    <w:basedOn w:val="CommentText"/>
    <w:next w:val="CommentText"/>
    <w:link w:val="CommentSubjectChar"/>
    <w:rsid w:val="000F46D0"/>
    <w:rPr>
      <w:b/>
      <w:bCs/>
    </w:rPr>
  </w:style>
  <w:style w:type="character" w:customStyle="1" w:styleId="CommentSubjectChar">
    <w:name w:val="Comment Subject Char"/>
    <w:link w:val="CommentSubject"/>
    <w:rsid w:val="000F46D0"/>
    <w:rPr>
      <w:b/>
      <w:bCs/>
      <w:lang w:eastAsia="en-US"/>
    </w:rPr>
  </w:style>
  <w:style w:type="paragraph" w:customStyle="1" w:styleId="LightGrid-Accent31">
    <w:name w:val="Light Grid - Accent 31"/>
    <w:basedOn w:val="Normal"/>
    <w:uiPriority w:val="34"/>
    <w:qFormat/>
    <w:rsid w:val="000F46D0"/>
    <w:pPr>
      <w:suppressAutoHyphens w:val="0"/>
      <w:spacing w:line="240" w:lineRule="auto"/>
      <w:ind w:left="720"/>
      <w:contextualSpacing/>
    </w:pPr>
    <w:rPr>
      <w:rFonts w:ascii="Cambria" w:eastAsia="MS Mincho" w:hAnsi="Cambria"/>
      <w:sz w:val="24"/>
      <w:szCs w:val="24"/>
      <w:lang w:val="en-AU"/>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autoRedefine/>
    <w:uiPriority w:val="99"/>
    <w:qFormat/>
    <w:rsid w:val="000F46D0"/>
    <w:pPr>
      <w:suppressAutoHyphens w:val="0"/>
      <w:spacing w:after="160" w:line="240" w:lineRule="exact"/>
    </w:pPr>
    <w:rPr>
      <w:sz w:val="18"/>
      <w:vertAlign w:val="superscript"/>
      <w:lang w:val="en-US"/>
    </w:rPr>
  </w:style>
  <w:style w:type="paragraph" w:customStyle="1" w:styleId="MediumGrid2-Accent11">
    <w:name w:val="Medium Grid 2 - Accent 11"/>
    <w:uiPriority w:val="1"/>
    <w:qFormat/>
    <w:rsid w:val="000F46D0"/>
    <w:rPr>
      <w:rFonts w:ascii="Cambria" w:eastAsia="MS Mincho" w:hAnsi="Cambria"/>
      <w:sz w:val="24"/>
      <w:szCs w:val="24"/>
      <w:lang w:val="en-AU" w:eastAsia="en-US"/>
    </w:rPr>
  </w:style>
  <w:style w:type="paragraph" w:customStyle="1" w:styleId="MediumShading2-Accent31">
    <w:name w:val="Medium Shading 2 - Accent 31"/>
    <w:basedOn w:val="Normal"/>
    <w:next w:val="Normal"/>
    <w:link w:val="MediumShading2-Accent3Char"/>
    <w:uiPriority w:val="30"/>
    <w:qFormat/>
    <w:rsid w:val="000F46D0"/>
    <w:pPr>
      <w:pBdr>
        <w:bottom w:val="single" w:sz="4" w:space="4" w:color="4F81BD"/>
      </w:pBdr>
      <w:suppressAutoHyphens w:val="0"/>
      <w:spacing w:before="200" w:after="280" w:line="276" w:lineRule="auto"/>
      <w:ind w:left="936" w:right="936"/>
    </w:pPr>
    <w:rPr>
      <w:rFonts w:ascii="Calibri" w:eastAsia="Calibri" w:hAnsi="Calibri"/>
      <w:b/>
      <w:bCs/>
      <w:i/>
      <w:iCs/>
      <w:color w:val="4F81BD"/>
      <w:sz w:val="22"/>
      <w:szCs w:val="22"/>
      <w:lang w:val="fr-FR"/>
    </w:rPr>
  </w:style>
  <w:style w:type="character" w:customStyle="1" w:styleId="MediumShading2-Accent3Char">
    <w:name w:val="Medium Shading 2 - Accent 3 Char"/>
    <w:link w:val="MediumShading2-Accent31"/>
    <w:uiPriority w:val="30"/>
    <w:rsid w:val="000F46D0"/>
    <w:rPr>
      <w:rFonts w:ascii="Calibri" w:eastAsia="Calibri" w:hAnsi="Calibri"/>
      <w:b/>
      <w:bCs/>
      <w:i/>
      <w:iCs/>
      <w:color w:val="4F81BD"/>
      <w:sz w:val="22"/>
      <w:szCs w:val="22"/>
      <w:lang w:val="fr-FR" w:eastAsia="en-US"/>
    </w:rPr>
  </w:style>
  <w:style w:type="paragraph" w:styleId="NormalWeb">
    <w:name w:val="Normal (Web)"/>
    <w:basedOn w:val="Normal"/>
    <w:uiPriority w:val="99"/>
    <w:unhideWhenUsed/>
    <w:rsid w:val="000F46D0"/>
    <w:pPr>
      <w:suppressAutoHyphens w:val="0"/>
      <w:spacing w:before="100" w:beforeAutospacing="1" w:after="100" w:afterAutospacing="1" w:line="240" w:lineRule="auto"/>
    </w:pPr>
    <w:rPr>
      <w:rFonts w:ascii="Times" w:hAnsi="Times"/>
      <w:lang w:val="en-US"/>
    </w:rPr>
  </w:style>
  <w:style w:type="character" w:customStyle="1" w:styleId="apple-converted-space">
    <w:name w:val="apple-converted-space"/>
    <w:rsid w:val="000F46D0"/>
  </w:style>
  <w:style w:type="paragraph" w:customStyle="1" w:styleId="MediumList2-Accent21">
    <w:name w:val="Medium List 2 - Accent 21"/>
    <w:hidden/>
    <w:uiPriority w:val="71"/>
    <w:rsid w:val="000F46D0"/>
    <w:rPr>
      <w:lang w:eastAsia="en-US"/>
    </w:rPr>
  </w:style>
  <w:style w:type="paragraph" w:customStyle="1" w:styleId="MediumGrid1-Accent21">
    <w:name w:val="Medium Grid 1 - Accent 21"/>
    <w:basedOn w:val="Normal"/>
    <w:uiPriority w:val="34"/>
    <w:qFormat/>
    <w:rsid w:val="000F46D0"/>
    <w:pPr>
      <w:suppressAutoHyphens w:val="0"/>
      <w:spacing w:line="240" w:lineRule="auto"/>
      <w:ind w:left="720"/>
      <w:contextualSpacing/>
    </w:pPr>
    <w:rPr>
      <w:rFonts w:ascii="Cambria" w:eastAsia="MS Mincho" w:hAnsi="Cambria"/>
      <w:sz w:val="24"/>
      <w:szCs w:val="24"/>
      <w:lang w:val="en-AU"/>
    </w:rPr>
  </w:style>
  <w:style w:type="character" w:customStyle="1" w:styleId="SingleTxtGChar">
    <w:name w:val="_ Single Txt_G Char"/>
    <w:link w:val="SingleTxtG"/>
    <w:rsid w:val="000F46D0"/>
    <w:rPr>
      <w:lang w:eastAsia="en-US"/>
    </w:rPr>
  </w:style>
  <w:style w:type="paragraph" w:customStyle="1" w:styleId="ColorfulShading-Accent11">
    <w:name w:val="Colorful Shading - Accent 11"/>
    <w:hidden/>
    <w:uiPriority w:val="99"/>
    <w:semiHidden/>
    <w:rsid w:val="000F46D0"/>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CAT%2fC%2fLKA%2f5&amp;Lang=en" TargetMode="External"/><Relationship Id="rId3" Type="http://schemas.openxmlformats.org/officeDocument/2006/relationships/hyperlink" Target="http://tbinternet.ohchr.org/_layouts/treatybodyexternal/Download.aspx?symbolno=CAT%2fC%2fLKA%2f5&amp;Lang=en" TargetMode="External"/><Relationship Id="rId7" Type="http://schemas.openxmlformats.org/officeDocument/2006/relationships/hyperlink" Target="http://tbinternet.ohchr.org/_layouts/treatybodyexternal/Download.aspx?symbolno=CAT%2fC%2fLKA%2f5&amp;Lang=en" TargetMode="External"/><Relationship Id="rId2" Type="http://schemas.openxmlformats.org/officeDocument/2006/relationships/hyperlink" Target="http://tbinternet.ohchr.org/_layouts/treatybodyexternal/Download.aspx?symbolno=CAT%2fC%2fLKA%2f5&amp;Lang=en" TargetMode="External"/><Relationship Id="rId1" Type="http://schemas.openxmlformats.org/officeDocument/2006/relationships/hyperlink" Target="http://tbinternet.ohchr.org/_layouts/treatybodyexternal/Download.aspx?symbolno=CAT%2fC%2fLKA%2f5&amp;Lang=en" TargetMode="External"/><Relationship Id="rId6" Type="http://schemas.openxmlformats.org/officeDocument/2006/relationships/hyperlink" Target="http://tbinternet.ohchr.org/_layouts/treatybodyexternal/Download.aspx?symbolno=CAT%2fC%2fLKA%2f5&amp;Lang=en" TargetMode="External"/><Relationship Id="rId5" Type="http://schemas.openxmlformats.org/officeDocument/2006/relationships/hyperlink" Target="http://tbinternet.ohchr.org/_layouts/treatybodyexternal/Download.aspx?symbolno=CAT%2fC%2fLKA%2f5&amp;Lang=en" TargetMode="External"/><Relationship Id="rId4" Type="http://schemas.openxmlformats.org/officeDocument/2006/relationships/hyperlink" Target="http://tbinternet.ohchr.org/_layouts/treatybodyexternal/Download.aspx?symbolno=CAT%2fC%2fLKA%2f5&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CE3394-AEA7-4F52-896A-8FE3CAAE4E11}"/>
</file>

<file path=customXml/itemProps2.xml><?xml version="1.0" encoding="utf-8"?>
<ds:datastoreItem xmlns:ds="http://schemas.openxmlformats.org/officeDocument/2006/customXml" ds:itemID="{8A178246-B3D3-4EEE-AD59-F23A4CF227DB}"/>
</file>

<file path=customXml/itemProps3.xml><?xml version="1.0" encoding="utf-8"?>
<ds:datastoreItem xmlns:ds="http://schemas.openxmlformats.org/officeDocument/2006/customXml" ds:itemID="{D9AD6BF8-D5C1-47CC-8D06-3C6FC88F0F83}"/>
</file>

<file path=customXml/itemProps4.xml><?xml version="1.0" encoding="utf-8"?>
<ds:datastoreItem xmlns:ds="http://schemas.openxmlformats.org/officeDocument/2006/customXml" ds:itemID="{07CCC2BF-05DF-4B41-A231-D3FC4B679058}"/>
</file>

<file path=docProps/app.xml><?xml version="1.0" encoding="utf-8"?>
<Properties xmlns="http://schemas.openxmlformats.org/officeDocument/2006/extended-properties" xmlns:vt="http://schemas.openxmlformats.org/officeDocument/2006/docPropsVTypes">
  <Template>CAT_E.dotm</Template>
  <TotalTime>0</TotalTime>
  <Pages>14</Pages>
  <Words>5855</Words>
  <Characters>33375</Characters>
  <Application>Microsoft Office Word</Application>
  <DocSecurity>0</DocSecurity>
  <Lines>278</Lines>
  <Paragraphs>78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39152</CharactersWithSpaces>
  <SharedDoc>false</SharedDoc>
  <HLinks>
    <vt:vector size="132" baseType="variant">
      <vt:variant>
        <vt:i4>458827</vt:i4>
      </vt:variant>
      <vt:variant>
        <vt:i4>63</vt:i4>
      </vt:variant>
      <vt:variant>
        <vt:i4>0</vt:i4>
      </vt:variant>
      <vt:variant>
        <vt:i4>5</vt:i4>
      </vt:variant>
      <vt:variant>
        <vt:lpwstr>https://www.amnesty.org/en/latest/news/2014/06/sri-lanka-act-now-prevent-further-bloodshed-anti-muslim-violence/</vt:lpwstr>
      </vt:variant>
      <vt:variant>
        <vt:lpwstr/>
      </vt:variant>
      <vt:variant>
        <vt:i4>5111895</vt:i4>
      </vt:variant>
      <vt:variant>
        <vt:i4>60</vt:i4>
      </vt:variant>
      <vt:variant>
        <vt:i4>0</vt:i4>
      </vt:variant>
      <vt:variant>
        <vt:i4>5</vt:i4>
      </vt:variant>
      <vt:variant>
        <vt:lpwstr>http://nceasl.org/category/incident-reports/</vt:lpwstr>
      </vt:variant>
      <vt:variant>
        <vt:lpwstr/>
      </vt:variant>
      <vt:variant>
        <vt:i4>2621473</vt:i4>
      </vt:variant>
      <vt:variant>
        <vt:i4>57</vt:i4>
      </vt:variant>
      <vt:variant>
        <vt:i4>0</vt:i4>
      </vt:variant>
      <vt:variant>
        <vt:i4>5</vt:i4>
      </vt:variant>
      <vt:variant>
        <vt:lpwstr>http://www.ohchr.org/en/NewsEvents/Pages/DisplayNews.aspx?NewsID=16771&amp;LangID=E</vt:lpwstr>
      </vt:variant>
      <vt:variant>
        <vt:lpwstr>sthash.OM7VSBAg.dpuf</vt:lpwstr>
      </vt:variant>
      <vt:variant>
        <vt:i4>2556008</vt:i4>
      </vt:variant>
      <vt:variant>
        <vt:i4>54</vt:i4>
      </vt:variant>
      <vt:variant>
        <vt:i4>0</vt:i4>
      </vt:variant>
      <vt:variant>
        <vt:i4>5</vt:i4>
      </vt:variant>
      <vt:variant>
        <vt:lpwstr>http://www.ohchr.org/en/NewsEvents/Pages/DisplayNews.aspx?NewsID=16771&amp;LangID=E</vt:lpwstr>
      </vt:variant>
      <vt:variant>
        <vt:lpwstr/>
      </vt:variant>
      <vt:variant>
        <vt:i4>2556008</vt:i4>
      </vt:variant>
      <vt:variant>
        <vt:i4>51</vt:i4>
      </vt:variant>
      <vt:variant>
        <vt:i4>0</vt:i4>
      </vt:variant>
      <vt:variant>
        <vt:i4>5</vt:i4>
      </vt:variant>
      <vt:variant>
        <vt:lpwstr>http://www.ohchr.org/en/NewsEvents/Pages/DisplayNews.aspx?NewsID=16771&amp;LangID=E</vt:lpwstr>
      </vt:variant>
      <vt:variant>
        <vt:lpwstr/>
      </vt:variant>
      <vt:variant>
        <vt:i4>2556008</vt:i4>
      </vt:variant>
      <vt:variant>
        <vt:i4>48</vt:i4>
      </vt:variant>
      <vt:variant>
        <vt:i4>0</vt:i4>
      </vt:variant>
      <vt:variant>
        <vt:i4>5</vt:i4>
      </vt:variant>
      <vt:variant>
        <vt:lpwstr>http://www.ohchr.org/en/NewsEvents/Pages/DisplayNews.aspx?NewsID=16771&amp;LangID=E</vt:lpwstr>
      </vt:variant>
      <vt:variant>
        <vt:lpwstr/>
      </vt:variant>
      <vt:variant>
        <vt:i4>2556008</vt:i4>
      </vt:variant>
      <vt:variant>
        <vt:i4>45</vt:i4>
      </vt:variant>
      <vt:variant>
        <vt:i4>0</vt:i4>
      </vt:variant>
      <vt:variant>
        <vt:i4>5</vt:i4>
      </vt:variant>
      <vt:variant>
        <vt:lpwstr>http://www.ohchr.org/en/NewsEvents/Pages/DisplayNews.aspx?NewsID=16771&amp;LangID=E</vt:lpwstr>
      </vt:variant>
      <vt:variant>
        <vt:lpwstr/>
      </vt:variant>
      <vt:variant>
        <vt:i4>2687086</vt:i4>
      </vt:variant>
      <vt:variant>
        <vt:i4>42</vt:i4>
      </vt:variant>
      <vt:variant>
        <vt:i4>0</vt:i4>
      </vt:variant>
      <vt:variant>
        <vt:i4>5</vt:i4>
      </vt:variant>
      <vt:variant>
        <vt:lpwstr>http://www.ohchr.org/en/NewsEvents/Pages/DisplayNews.aspx?NewsID=15820&amp;LangID=E</vt:lpwstr>
      </vt:variant>
      <vt:variant>
        <vt:lpwstr/>
      </vt:variant>
      <vt:variant>
        <vt:i4>1114125</vt:i4>
      </vt:variant>
      <vt:variant>
        <vt:i4>39</vt:i4>
      </vt:variant>
      <vt:variant>
        <vt:i4>0</vt:i4>
      </vt:variant>
      <vt:variant>
        <vt:i4>5</vt:i4>
      </vt:variant>
      <vt:variant>
        <vt:lpwstr>https://www.amnesty.org/download/Documents/.../asa370082012en.pdf</vt:lpwstr>
      </vt:variant>
      <vt:variant>
        <vt:lpwstr/>
      </vt:variant>
      <vt:variant>
        <vt:i4>8126557</vt:i4>
      </vt:variant>
      <vt:variant>
        <vt:i4>36</vt:i4>
      </vt:variant>
      <vt:variant>
        <vt:i4>0</vt:i4>
      </vt:variant>
      <vt:variant>
        <vt:i4>5</vt:i4>
      </vt:variant>
      <vt:variant>
        <vt:lpwstr>http://www.bbc.com/sinhala/news/story/2011/11/111108_torture.shtml</vt:lpwstr>
      </vt:variant>
      <vt:variant>
        <vt:lpwstr/>
      </vt:variant>
      <vt:variant>
        <vt:i4>1179720</vt:i4>
      </vt:variant>
      <vt:variant>
        <vt:i4>33</vt:i4>
      </vt:variant>
      <vt:variant>
        <vt:i4>0</vt:i4>
      </vt:variant>
      <vt:variant>
        <vt:i4>5</vt:i4>
      </vt:variant>
      <vt:variant>
        <vt:lpwstr>http://www.bbc.com/news/34470053</vt:lpwstr>
      </vt:variant>
      <vt:variant>
        <vt:lpwstr/>
      </vt:variant>
      <vt:variant>
        <vt:i4>7209027</vt:i4>
      </vt:variant>
      <vt:variant>
        <vt:i4>30</vt:i4>
      </vt:variant>
      <vt:variant>
        <vt:i4>0</vt:i4>
      </vt:variant>
      <vt:variant>
        <vt:i4>5</vt:i4>
      </vt:variant>
      <vt:variant>
        <vt:lpwstr>http://www.defence.lk/new.asp?fname=20070425_02</vt:lpwstr>
      </vt:variant>
      <vt:variant>
        <vt:lpwstr/>
      </vt:variant>
      <vt:variant>
        <vt:i4>4587632</vt:i4>
      </vt:variant>
      <vt:variant>
        <vt:i4>27</vt:i4>
      </vt:variant>
      <vt:variant>
        <vt:i4>0</vt:i4>
      </vt:variant>
      <vt:variant>
        <vt:i4>5</vt:i4>
      </vt:variant>
      <vt:variant>
        <vt:lpwstr>http://tbinternet.ohchr.org/_layouts/treatybodyexternal/Download.aspx?symbolno=CAT%2fC%2fLKA%2f5&amp;Lang=en</vt:lpwstr>
      </vt:variant>
      <vt:variant>
        <vt:lpwstr/>
      </vt:variant>
      <vt:variant>
        <vt:i4>4587632</vt:i4>
      </vt:variant>
      <vt:variant>
        <vt:i4>24</vt:i4>
      </vt:variant>
      <vt:variant>
        <vt:i4>0</vt:i4>
      </vt:variant>
      <vt:variant>
        <vt:i4>5</vt:i4>
      </vt:variant>
      <vt:variant>
        <vt:lpwstr>http://tbinternet.ohchr.org/_layouts/treatybodyexternal/Download.aspx?symbolno=CAT%2fC%2fLKA%2f5&amp;Lang=en</vt:lpwstr>
      </vt:variant>
      <vt:variant>
        <vt:lpwstr/>
      </vt:variant>
      <vt:variant>
        <vt:i4>4587632</vt:i4>
      </vt:variant>
      <vt:variant>
        <vt:i4>21</vt:i4>
      </vt:variant>
      <vt:variant>
        <vt:i4>0</vt:i4>
      </vt:variant>
      <vt:variant>
        <vt:i4>5</vt:i4>
      </vt:variant>
      <vt:variant>
        <vt:lpwstr>http://tbinternet.ohchr.org/_layouts/treatybodyexternal/Download.aspx?symbolno=CAT%2fC%2fLKA%2f5&amp;Lang=en</vt:lpwstr>
      </vt:variant>
      <vt:variant>
        <vt:lpwstr/>
      </vt:variant>
      <vt:variant>
        <vt:i4>2556008</vt:i4>
      </vt:variant>
      <vt:variant>
        <vt:i4>18</vt:i4>
      </vt:variant>
      <vt:variant>
        <vt:i4>0</vt:i4>
      </vt:variant>
      <vt:variant>
        <vt:i4>5</vt:i4>
      </vt:variant>
      <vt:variant>
        <vt:lpwstr>http://www.ohchr.org/en/NewsEvents/Pages/DisplayNews.aspx?NewsID=16771&amp;LangID=E</vt:lpwstr>
      </vt:variant>
      <vt:variant>
        <vt:lpwstr/>
      </vt:variant>
      <vt:variant>
        <vt:i4>4587632</vt:i4>
      </vt:variant>
      <vt:variant>
        <vt:i4>15</vt:i4>
      </vt:variant>
      <vt:variant>
        <vt:i4>0</vt:i4>
      </vt:variant>
      <vt:variant>
        <vt:i4>5</vt:i4>
      </vt:variant>
      <vt:variant>
        <vt:lpwstr>http://tbinternet.ohchr.org/_layouts/treatybodyexternal/Download.aspx?symbolno=CAT%2fC%2fLKA%2f5&amp;Lang=en</vt:lpwstr>
      </vt:variant>
      <vt:variant>
        <vt:lpwstr/>
      </vt:variant>
      <vt:variant>
        <vt:i4>2556008</vt:i4>
      </vt:variant>
      <vt:variant>
        <vt:i4>12</vt:i4>
      </vt:variant>
      <vt:variant>
        <vt:i4>0</vt:i4>
      </vt:variant>
      <vt:variant>
        <vt:i4>5</vt:i4>
      </vt:variant>
      <vt:variant>
        <vt:lpwstr>http://www.ohchr.org/en/NewsEvents/Pages/DisplayNews.aspx?NewsID=16771&amp;LangID=E</vt:lpwstr>
      </vt:variant>
      <vt:variant>
        <vt:lpwstr/>
      </vt:variant>
      <vt:variant>
        <vt:i4>4587632</vt:i4>
      </vt:variant>
      <vt:variant>
        <vt:i4>9</vt:i4>
      </vt:variant>
      <vt:variant>
        <vt:i4>0</vt:i4>
      </vt:variant>
      <vt:variant>
        <vt:i4>5</vt:i4>
      </vt:variant>
      <vt:variant>
        <vt:lpwstr>http://tbinternet.ohchr.org/_layouts/treatybodyexternal/Download.aspx?symbolno=CAT%2fC%2fLKA%2f5&amp;Lang=en</vt:lpwstr>
      </vt:variant>
      <vt:variant>
        <vt:lpwstr/>
      </vt:variant>
      <vt:variant>
        <vt:i4>4587632</vt:i4>
      </vt:variant>
      <vt:variant>
        <vt:i4>6</vt:i4>
      </vt:variant>
      <vt:variant>
        <vt:i4>0</vt:i4>
      </vt:variant>
      <vt:variant>
        <vt:i4>5</vt:i4>
      </vt:variant>
      <vt:variant>
        <vt:lpwstr>http://tbinternet.ohchr.org/_layouts/treatybodyexternal/Download.aspx?symbolno=CAT%2fC%2fLKA%2f5&amp;Lang=en</vt:lpwstr>
      </vt:variant>
      <vt:variant>
        <vt:lpwstr/>
      </vt:variant>
      <vt:variant>
        <vt:i4>4587632</vt:i4>
      </vt:variant>
      <vt:variant>
        <vt:i4>3</vt:i4>
      </vt:variant>
      <vt:variant>
        <vt:i4>0</vt:i4>
      </vt:variant>
      <vt:variant>
        <vt:i4>5</vt:i4>
      </vt:variant>
      <vt:variant>
        <vt:lpwstr>http://tbinternet.ohchr.org/_layouts/treatybodyexternal/Download.aspx?symbolno=CAT%2fC%2fLKA%2f5&amp;Lang=en</vt:lpwstr>
      </vt:variant>
      <vt:variant>
        <vt:lpwstr/>
      </vt:variant>
      <vt:variant>
        <vt:i4>4587632</vt:i4>
      </vt:variant>
      <vt:variant>
        <vt:i4>0</vt:i4>
      </vt:variant>
      <vt:variant>
        <vt:i4>0</vt:i4>
      </vt:variant>
      <vt:variant>
        <vt:i4>5</vt:i4>
      </vt:variant>
      <vt:variant>
        <vt:lpwstr>http://tbinternet.ohchr.org/_layouts/treatybodyexternal/Download.aspx?symbolno=CAT%2fC%2fLKA%2f5&amp;Lang=en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Helen Brown</cp:lastModifiedBy>
  <cp:revision>2</cp:revision>
  <cp:lastPrinted>2008-01-29T10:04:00Z</cp:lastPrinted>
  <dcterms:created xsi:type="dcterms:W3CDTF">2016-05-19T13:54:00Z</dcterms:created>
  <dcterms:modified xsi:type="dcterms:W3CDTF">2016-05-19T13:54:00Z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