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C19" w:rsidRPr="00EC4DFD" w:rsidRDefault="00CF0C19" w:rsidP="00CF0C19">
      <w:pPr>
        <w:pStyle w:val="paragraph"/>
        <w:spacing w:before="0" w:beforeAutospacing="0" w:after="0" w:afterAutospacing="0"/>
        <w:textAlignment w:val="baseline"/>
        <w:rPr>
          <w:rFonts w:asciiTheme="majorHAnsi" w:hAnsiTheme="majorHAnsi" w:cs="Segoe UI"/>
          <w:sz w:val="18"/>
          <w:szCs w:val="18"/>
        </w:rPr>
      </w:pPr>
      <w:bookmarkStart w:id="0" w:name="_Hlk72341094"/>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r w:rsidRPr="00D22E55">
        <w:rPr>
          <w:rFonts w:asciiTheme="minorHAnsi" w:hAnsiTheme="minorHAnsi" w:cstheme="minorHAnsi"/>
          <w:b/>
          <w:bCs/>
          <w:noProof/>
          <w:sz w:val="32"/>
          <w:szCs w:val="32"/>
          <w:lang w:val="en-US"/>
        </w:rPr>
        <w:drawing>
          <wp:inline distT="0" distB="0" distL="0" distR="0" wp14:anchorId="5CEF20C9" wp14:editId="5CC99EC7">
            <wp:extent cx="4114800" cy="1714500"/>
            <wp:effectExtent l="0" t="0" r="0" b="0"/>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14800" cy="1714500"/>
                    </a:xfrm>
                    <a:prstGeom prst="rect">
                      <a:avLst/>
                    </a:prstGeom>
                  </pic:spPr>
                </pic:pic>
              </a:graphicData>
            </a:graphic>
          </wp:inline>
        </w:drawing>
      </w: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Omnes-Bold" w:hAnsi="Omnes-Bold" w:cs="Segoe UI"/>
          <w:b/>
          <w:bCs/>
          <w:sz w:val="72"/>
          <w:szCs w:val="72"/>
        </w:rPr>
      </w:pPr>
      <w:r w:rsidRPr="002A717F">
        <w:rPr>
          <w:rStyle w:val="normaltextrun"/>
          <w:rFonts w:ascii="Omnes-Bold" w:hAnsi="Omnes-Bold" w:cs="Segoe UI"/>
          <w:b/>
          <w:bCs/>
          <w:sz w:val="72"/>
          <w:szCs w:val="72"/>
        </w:rPr>
        <w:t>CEDAW SHADOW REPORT</w:t>
      </w:r>
      <w:r>
        <w:rPr>
          <w:rStyle w:val="normaltextrun"/>
          <w:rFonts w:ascii="Omnes-Bold" w:hAnsi="Omnes-Bold" w:cs="Segoe UI"/>
          <w:b/>
          <w:bCs/>
          <w:sz w:val="72"/>
          <w:szCs w:val="72"/>
        </w:rPr>
        <w:t>, WOMEN’S SECTOR (ENGLAND) SUBMISSION,</w:t>
      </w:r>
    </w:p>
    <w:p w:rsidR="00CF0C19" w:rsidRPr="002A717F" w:rsidRDefault="00CF0C19" w:rsidP="00CF0C19">
      <w:pPr>
        <w:pStyle w:val="paragraph"/>
        <w:spacing w:before="0" w:beforeAutospacing="0" w:after="0" w:afterAutospacing="0"/>
        <w:textAlignment w:val="baseline"/>
        <w:rPr>
          <w:rStyle w:val="normaltextrun"/>
          <w:rFonts w:ascii="Omnes-Bold" w:hAnsi="Omnes-Bold" w:cs="Segoe UI"/>
          <w:b/>
          <w:bCs/>
          <w:sz w:val="72"/>
          <w:szCs w:val="72"/>
        </w:rPr>
      </w:pPr>
      <w:r w:rsidRPr="002A717F">
        <w:rPr>
          <w:rStyle w:val="normaltextrun"/>
          <w:rFonts w:ascii="Omnes-Bold" w:hAnsi="Omnes-Bold" w:cs="Segoe UI"/>
          <w:b/>
          <w:bCs/>
          <w:sz w:val="72"/>
          <w:szCs w:val="72"/>
        </w:rPr>
        <w:t>2021</w:t>
      </w: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Theme="majorHAnsi" w:hAnsiTheme="majorHAnsi" w:cs="Segoe UI"/>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p w:rsidR="00CF0C19" w:rsidRDefault="00CF0C19" w:rsidP="00CF0C19">
      <w:pPr>
        <w:pStyle w:val="paragraph"/>
        <w:spacing w:before="0" w:beforeAutospacing="0" w:after="0" w:afterAutospacing="0"/>
        <w:textAlignment w:val="baseline"/>
        <w:rPr>
          <w:rStyle w:val="normaltextrun"/>
          <w:rFonts w:ascii="Arial" w:hAnsi="Arial" w:cs="Arial"/>
          <w:b/>
          <w:bCs/>
          <w:sz w:val="22"/>
          <w:szCs w:val="22"/>
        </w:rPr>
      </w:pPr>
    </w:p>
    <w:bookmarkEnd w:id="0"/>
    <w:p w:rsidR="00CF0C19" w:rsidRDefault="00CF0C19" w:rsidP="00CF0C19">
      <w:pPr>
        <w:rPr>
          <w:rFonts w:asciiTheme="majorHAnsi" w:hAnsiTheme="majorHAnsi"/>
          <w:b/>
          <w:bCs/>
          <w:sz w:val="28"/>
          <w:szCs w:val="28"/>
        </w:rPr>
      </w:pPr>
    </w:p>
    <w:p w:rsidR="00CF0C19" w:rsidRDefault="00CF0C19" w:rsidP="00CF0C19">
      <w:pPr>
        <w:rPr>
          <w:rFonts w:asciiTheme="majorHAnsi" w:hAnsiTheme="majorHAnsi"/>
          <w:b/>
          <w:bCs/>
          <w:sz w:val="28"/>
          <w:szCs w:val="28"/>
        </w:rPr>
      </w:pPr>
    </w:p>
    <w:p w:rsidR="00CF0C19" w:rsidRDefault="00CF0C19" w:rsidP="00CF0C19">
      <w:pPr>
        <w:rPr>
          <w:rFonts w:asciiTheme="majorHAnsi" w:hAnsiTheme="majorHAnsi"/>
          <w:b/>
          <w:bCs/>
          <w:sz w:val="28"/>
          <w:szCs w:val="28"/>
        </w:rPr>
      </w:pPr>
    </w:p>
    <w:p w:rsidR="00CF0C19" w:rsidRDefault="00CF0C19" w:rsidP="00CF0C19">
      <w:pPr>
        <w:rPr>
          <w:rFonts w:asciiTheme="majorHAnsi" w:hAnsiTheme="majorHAnsi"/>
          <w:b/>
          <w:bCs/>
          <w:sz w:val="28"/>
          <w:szCs w:val="28"/>
        </w:rPr>
      </w:pPr>
      <w:r>
        <w:rPr>
          <w:rFonts w:asciiTheme="majorHAnsi" w:hAnsiTheme="majorHAnsi"/>
          <w:b/>
          <w:bCs/>
          <w:sz w:val="28"/>
          <w:szCs w:val="28"/>
        </w:rPr>
        <w:lastRenderedPageBreak/>
        <w:t xml:space="preserve">Introduction </w:t>
      </w:r>
    </w:p>
    <w:p w:rsidR="00CF0C19" w:rsidRDefault="00CF0C19" w:rsidP="00CF0C19">
      <w:pPr>
        <w:rPr>
          <w:rFonts w:asciiTheme="majorHAnsi" w:hAnsiTheme="majorHAnsi" w:cstheme="majorHAnsi"/>
          <w:shd w:val="clear" w:color="auto" w:fill="FFFFFF"/>
        </w:rPr>
      </w:pPr>
      <w:r w:rsidRPr="00B7524F">
        <w:rPr>
          <w:rFonts w:asciiTheme="majorHAnsi" w:hAnsiTheme="majorHAnsi" w:cstheme="majorHAnsi"/>
        </w:rPr>
        <w:t xml:space="preserve">The pandemic is exposing and deepening existing divisions in society. </w:t>
      </w:r>
      <w:r>
        <w:rPr>
          <w:rFonts w:asciiTheme="majorHAnsi" w:hAnsiTheme="majorHAnsi" w:cstheme="majorHAnsi"/>
        </w:rPr>
        <w:t>In February 2021, t</w:t>
      </w:r>
      <w:r w:rsidRPr="00B7524F">
        <w:rPr>
          <w:rFonts w:asciiTheme="majorHAnsi" w:hAnsiTheme="majorHAnsi" w:cstheme="majorHAnsi"/>
        </w:rPr>
        <w:t>he Women and Equalities Commons Select Committee reported that the government</w:t>
      </w:r>
      <w:r w:rsidRPr="00B7524F">
        <w:rPr>
          <w:rFonts w:asciiTheme="majorHAnsi" w:hAnsiTheme="majorHAnsi" w:cstheme="majorHAnsi"/>
          <w:shd w:val="clear" w:color="auto" w:fill="FFFFFF"/>
        </w:rPr>
        <w:t> risks “turning the clock back” on gender equality by overlooking the labour market and caring inequalities faced by women during the pandemic.</w:t>
      </w:r>
      <w:r w:rsidRPr="00B7524F">
        <w:rPr>
          <w:rStyle w:val="FootnoteReference"/>
          <w:rFonts w:asciiTheme="majorHAnsi" w:hAnsiTheme="majorHAnsi" w:cstheme="majorHAnsi"/>
          <w:shd w:val="clear" w:color="auto" w:fill="FFFFFF"/>
        </w:rPr>
        <w:footnoteReference w:id="1"/>
      </w:r>
      <w:r w:rsidRPr="00B7524F">
        <w:rPr>
          <w:rFonts w:asciiTheme="majorHAnsi" w:hAnsiTheme="majorHAnsi" w:cstheme="majorHAnsi"/>
          <w:shd w:val="clear" w:color="auto" w:fill="FFFFFF"/>
        </w:rPr>
        <w:t xml:space="preserve"> We support all the recommendations in their report and </w:t>
      </w:r>
      <w:r>
        <w:rPr>
          <w:rFonts w:asciiTheme="majorHAnsi" w:hAnsiTheme="majorHAnsi" w:cstheme="majorHAnsi"/>
          <w:shd w:val="clear" w:color="auto" w:fill="FFFFFF"/>
        </w:rPr>
        <w:t>more.</w:t>
      </w:r>
      <w:r w:rsidRPr="00B7524F">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(Please see our separate ‘recommendations’ paper). </w:t>
      </w:r>
    </w:p>
    <w:p w:rsidR="00CF0C19" w:rsidRPr="00A3223B" w:rsidRDefault="00CF0C19" w:rsidP="00CF0C19">
      <w:pPr>
        <w:rPr>
          <w:rFonts w:asciiTheme="majorHAnsi" w:hAnsiTheme="majorHAnsi" w:cstheme="majorHAnsi"/>
          <w:shd w:val="clear" w:color="auto" w:fill="FFFFFF"/>
        </w:rPr>
      </w:pPr>
    </w:p>
    <w:p w:rsidR="00CF0C19" w:rsidRPr="0073243A" w:rsidRDefault="00CF0C19" w:rsidP="00CF0C19">
      <w:pPr>
        <w:jc w:val="center"/>
        <w:rPr>
          <w:rFonts w:asciiTheme="majorHAnsi" w:eastAsia="Arial" w:hAnsiTheme="majorHAnsi" w:cs="Arial"/>
          <w:b/>
          <w:bCs/>
          <w:color w:val="0070C0"/>
          <w:sz w:val="28"/>
          <w:szCs w:val="28"/>
        </w:rPr>
      </w:pPr>
      <w:r w:rsidRPr="0073243A">
        <w:rPr>
          <w:rFonts w:asciiTheme="majorHAnsi" w:hAnsiTheme="majorHAnsi"/>
          <w:b/>
          <w:bCs/>
          <w:color w:val="0070C0"/>
          <w:sz w:val="28"/>
          <w:szCs w:val="28"/>
        </w:rPr>
        <w:t>CEDAW recommendation: Incorporating International Human Rights Law in Domestic Law for the Protection of Women’s Human Rights</w:t>
      </w:r>
    </w:p>
    <w:p w:rsidR="00CF0C19" w:rsidRPr="00EC4DFD" w:rsidRDefault="00CF0C19" w:rsidP="00CF0C19">
      <w:pPr>
        <w:rPr>
          <w:rFonts w:asciiTheme="majorHAnsi" w:eastAsia="Arial" w:hAnsiTheme="majorHAnsi" w:cs="Arial"/>
          <w:b/>
          <w:bCs/>
          <w:sz w:val="24"/>
          <w:szCs w:val="24"/>
        </w:rPr>
      </w:pPr>
      <w:r w:rsidRPr="00EC4DFD">
        <w:rPr>
          <w:rFonts w:asciiTheme="majorHAnsi" w:hAnsiTheme="majorHAnsi"/>
          <w:b/>
          <w:bCs/>
          <w:sz w:val="24"/>
          <w:szCs w:val="24"/>
        </w:rPr>
        <w:t xml:space="preserve">The current situation </w:t>
      </w:r>
    </w:p>
    <w:p w:rsidR="00CF0C19" w:rsidRPr="00B7524F" w:rsidRDefault="00CF0C19" w:rsidP="00CF0C19">
      <w:pPr>
        <w:rPr>
          <w:rFonts w:asciiTheme="majorHAnsi" w:hAnsiTheme="majorHAnsi" w:cstheme="majorHAnsi"/>
        </w:rPr>
      </w:pPr>
      <w:r w:rsidRPr="00B7524F">
        <w:rPr>
          <w:rFonts w:asciiTheme="majorHAnsi" w:hAnsiTheme="majorHAnsi" w:cstheme="majorHAnsi"/>
        </w:rPr>
        <w:t xml:space="preserve">Women’s human rights are currently at an unprecedented risk. </w:t>
      </w:r>
      <w:r>
        <w:rPr>
          <w:rFonts w:asciiTheme="majorHAnsi" w:hAnsiTheme="majorHAnsi"/>
        </w:rPr>
        <w:t>T</w:t>
      </w:r>
      <w:r w:rsidRPr="00EC4DFD">
        <w:rPr>
          <w:rFonts w:asciiTheme="majorHAnsi" w:hAnsiTheme="majorHAnsi"/>
        </w:rPr>
        <w:t>he UK government has maintained an ambivalent attitude to human rights and international law</w:t>
      </w:r>
      <w:r>
        <w:rPr>
          <w:rFonts w:asciiTheme="majorHAnsi" w:hAnsiTheme="majorHAnsi"/>
        </w:rPr>
        <w:t>,</w:t>
      </w:r>
      <w:r>
        <w:rPr>
          <w:rStyle w:val="FootnoteReference"/>
          <w:rFonts w:asciiTheme="majorHAnsi" w:hAnsiTheme="majorHAnsi"/>
        </w:rPr>
        <w:footnoteReference w:id="2"/>
      </w:r>
      <w:r w:rsidRPr="00EC4DFD">
        <w:rPr>
          <w:rFonts w:asciiTheme="majorHAnsi" w:hAnsiTheme="majorHAnsi"/>
        </w:rPr>
        <w:t xml:space="preserve"> </w:t>
      </w:r>
      <w:r>
        <w:rPr>
          <w:rFonts w:asciiTheme="majorHAnsi" w:hAnsiTheme="majorHAnsi"/>
        </w:rPr>
        <w:t xml:space="preserve">and </w:t>
      </w:r>
      <w:r w:rsidRPr="00EC4DFD">
        <w:rPr>
          <w:rFonts w:asciiTheme="majorHAnsi" w:hAnsiTheme="majorHAnsi"/>
        </w:rPr>
        <w:t>the UK has still not ratifie</w:t>
      </w:r>
      <w:r>
        <w:rPr>
          <w:rFonts w:asciiTheme="majorHAnsi" w:hAnsiTheme="majorHAnsi"/>
        </w:rPr>
        <w:t>d the Istanbul Convention.</w:t>
      </w:r>
      <w:r w:rsidRPr="00EC4DFD">
        <w:rPr>
          <w:rFonts w:asciiTheme="majorHAnsi" w:hAnsiTheme="majorHAnsi"/>
        </w:rPr>
        <w:t xml:space="preserve"> CEDAW is currently one of the few, if not only, legal and procedural mechanisms to hold the Government to account in its duty to safeguard and strengthen women’s rights. </w:t>
      </w:r>
    </w:p>
    <w:p w:rsidR="00CF0C19" w:rsidRPr="00EC4DFD" w:rsidRDefault="00CF0C19" w:rsidP="00CF0C19">
      <w:pPr>
        <w:rPr>
          <w:rFonts w:asciiTheme="majorHAnsi" w:eastAsia="Arial" w:hAnsiTheme="majorHAnsi" w:cs="Arial"/>
        </w:rPr>
      </w:pPr>
      <w:r w:rsidRPr="00EC4DFD">
        <w:rPr>
          <w:rFonts w:asciiTheme="majorHAnsi" w:hAnsiTheme="majorHAnsi"/>
        </w:rPr>
        <w:t>However, CEDAW is still not as effective as it could be without</w:t>
      </w:r>
      <w:r>
        <w:rPr>
          <w:rFonts w:asciiTheme="majorHAnsi" w:hAnsiTheme="majorHAnsi"/>
        </w:rPr>
        <w:t xml:space="preserve"> the full incorporation</w:t>
      </w:r>
      <w:r w:rsidRPr="00EC4DFD">
        <w:rPr>
          <w:rFonts w:asciiTheme="majorHAnsi" w:hAnsiTheme="majorHAnsi"/>
        </w:rPr>
        <w:t xml:space="preserve"> into domestic law. </w:t>
      </w:r>
      <w:r>
        <w:rPr>
          <w:rFonts w:asciiTheme="majorHAnsi" w:hAnsiTheme="majorHAnsi"/>
        </w:rPr>
        <w:t>S</w:t>
      </w:r>
      <w:r w:rsidRPr="00EC4DFD">
        <w:rPr>
          <w:rFonts w:asciiTheme="majorHAnsi" w:hAnsiTheme="majorHAnsi"/>
        </w:rPr>
        <w:t>o far, the government has expressed no interest in doing so</w:t>
      </w:r>
      <w:r>
        <w:rPr>
          <w:rFonts w:asciiTheme="majorHAnsi" w:hAnsiTheme="majorHAnsi"/>
        </w:rPr>
        <w:t>,</w:t>
      </w:r>
      <w:r w:rsidRPr="002B31CF">
        <w:rPr>
          <w:rFonts w:asciiTheme="majorHAnsi" w:hAnsiTheme="majorHAnsi"/>
          <w:b/>
          <w:bCs/>
          <w:color w:val="FF0000"/>
        </w:rPr>
        <w:t xml:space="preserve"> </w:t>
      </w:r>
      <w:bookmarkStart w:id="1" w:name="_Hlk72341580"/>
      <w:r>
        <w:rPr>
          <w:rFonts w:asciiTheme="majorHAnsi" w:hAnsiTheme="majorHAnsi"/>
        </w:rPr>
        <w:t>unlike</w:t>
      </w:r>
      <w:r w:rsidRPr="00B65E31">
        <w:rPr>
          <w:rFonts w:asciiTheme="majorHAnsi" w:hAnsiTheme="majorHAnsi"/>
        </w:rPr>
        <w:t xml:space="preserve"> the Scottish and Welsh governments.</w:t>
      </w:r>
      <w:r w:rsidRPr="00B65E31">
        <w:rPr>
          <w:rStyle w:val="FootnoteReference"/>
          <w:rFonts w:asciiTheme="majorHAnsi" w:hAnsiTheme="majorHAnsi"/>
        </w:rPr>
        <w:footnoteReference w:id="3"/>
      </w:r>
      <w:r w:rsidRPr="00B65E31">
        <w:rPr>
          <w:rFonts w:asciiTheme="majorHAnsi" w:hAnsiTheme="majorHAnsi"/>
        </w:rPr>
        <w:t xml:space="preserve"> </w:t>
      </w:r>
      <w:bookmarkEnd w:id="1"/>
      <w:r w:rsidRPr="00EC4DFD">
        <w:rPr>
          <w:rFonts w:asciiTheme="majorHAnsi" w:hAnsiTheme="majorHAnsi"/>
        </w:rPr>
        <w:t>A letter written to us by Victoria Atkins MP in June 2019 was quite clear</w:t>
      </w:r>
      <w:r>
        <w:rPr>
          <w:rFonts w:asciiTheme="majorHAnsi" w:hAnsiTheme="majorHAnsi"/>
        </w:rPr>
        <w:t>:</w:t>
      </w:r>
    </w:p>
    <w:p w:rsidR="00CF0C19" w:rsidRPr="00EC4DFD" w:rsidRDefault="00CF0C19" w:rsidP="00CF0C19">
      <w:pPr>
        <w:rPr>
          <w:rFonts w:asciiTheme="majorHAnsi" w:eastAsia="Arial" w:hAnsiTheme="majorHAnsi" w:cs="Arial"/>
          <w:i/>
          <w:iCs/>
        </w:rPr>
      </w:pPr>
      <w:r w:rsidRPr="00EC4DFD">
        <w:rPr>
          <w:rFonts w:asciiTheme="majorHAnsi" w:hAnsiTheme="majorHAnsi"/>
          <w:i/>
          <w:iCs/>
        </w:rPr>
        <w:t>“</w:t>
      </w:r>
      <w:r>
        <w:rPr>
          <w:rFonts w:asciiTheme="majorHAnsi" w:hAnsiTheme="majorHAnsi"/>
          <w:i/>
          <w:iCs/>
        </w:rPr>
        <w:t>…</w:t>
      </w:r>
      <w:r w:rsidRPr="00EC4DFD">
        <w:rPr>
          <w:rFonts w:asciiTheme="majorHAnsi" w:hAnsiTheme="majorHAnsi"/>
          <w:i/>
          <w:iCs/>
        </w:rPr>
        <w:t xml:space="preserve"> we do not agree that we need to undertake new domestic legislation to incorporate all the provisions of CEDAW. In fact, to do so would risk creating a hierarchy of rights given the wider structure and scope of the Equality Act 2010.” </w:t>
      </w:r>
    </w:p>
    <w:p w:rsidR="00CF0C19" w:rsidRPr="00EC4DFD" w:rsidRDefault="00CF0C19" w:rsidP="00CF0C19">
      <w:pPr>
        <w:rPr>
          <w:rFonts w:asciiTheme="majorHAnsi" w:eastAsia="Arial" w:hAnsiTheme="majorHAnsi" w:cs="Arial"/>
        </w:rPr>
      </w:pPr>
      <w:r w:rsidRPr="00EC4DFD">
        <w:rPr>
          <w:rFonts w:asciiTheme="majorHAnsi" w:hAnsiTheme="majorHAnsi"/>
        </w:rPr>
        <w:t>There are several problems here. Firstly, the continued existence of the H</w:t>
      </w:r>
      <w:r>
        <w:rPr>
          <w:rFonts w:asciiTheme="majorHAnsi" w:hAnsiTheme="majorHAnsi"/>
        </w:rPr>
        <w:t xml:space="preserve">uman </w:t>
      </w:r>
      <w:r w:rsidRPr="00EC4DFD">
        <w:rPr>
          <w:rFonts w:asciiTheme="majorHAnsi" w:hAnsiTheme="majorHAnsi"/>
        </w:rPr>
        <w:t>R</w:t>
      </w:r>
      <w:r>
        <w:rPr>
          <w:rFonts w:asciiTheme="majorHAnsi" w:hAnsiTheme="majorHAnsi"/>
        </w:rPr>
        <w:t xml:space="preserve">ights </w:t>
      </w:r>
      <w:r w:rsidRPr="00EC4DFD">
        <w:rPr>
          <w:rFonts w:asciiTheme="majorHAnsi" w:hAnsiTheme="majorHAnsi"/>
        </w:rPr>
        <w:t>A</w:t>
      </w:r>
      <w:r>
        <w:rPr>
          <w:rFonts w:asciiTheme="majorHAnsi" w:hAnsiTheme="majorHAnsi"/>
        </w:rPr>
        <w:t xml:space="preserve">ct (HRA) </w:t>
      </w:r>
      <w:r w:rsidRPr="00EC4DFD">
        <w:rPr>
          <w:rFonts w:asciiTheme="majorHAnsi" w:hAnsiTheme="majorHAnsi"/>
        </w:rPr>
        <w:t xml:space="preserve">cannot be taken for granted. </w:t>
      </w:r>
      <w:bookmarkStart w:id="2" w:name="_Hlk72341642"/>
      <w:r w:rsidRPr="00EE1A60">
        <w:rPr>
          <w:rFonts w:asciiTheme="majorHAnsi" w:hAnsiTheme="majorHAnsi"/>
        </w:rPr>
        <w:t>The government has repeatedly failed to give assurances that it will not be repealed or watered</w:t>
      </w:r>
      <w:r>
        <w:rPr>
          <w:rFonts w:asciiTheme="majorHAnsi" w:hAnsiTheme="majorHAnsi"/>
        </w:rPr>
        <w:t>-</w:t>
      </w:r>
      <w:r w:rsidRPr="00EE1A60">
        <w:rPr>
          <w:rFonts w:asciiTheme="majorHAnsi" w:hAnsiTheme="majorHAnsi"/>
        </w:rPr>
        <w:t>down</w:t>
      </w:r>
      <w:r>
        <w:rPr>
          <w:rFonts w:asciiTheme="majorHAnsi" w:hAnsiTheme="majorHAnsi"/>
        </w:rPr>
        <w:t xml:space="preserve"> post-Brexit</w:t>
      </w:r>
      <w:r w:rsidRPr="00EE1A60">
        <w:rPr>
          <w:rFonts w:asciiTheme="majorHAnsi" w:hAnsiTheme="majorHAnsi"/>
        </w:rPr>
        <w:t>.</w:t>
      </w:r>
      <w:r w:rsidRPr="00EE1A60">
        <w:rPr>
          <w:rStyle w:val="FootnoteReference"/>
          <w:rFonts w:asciiTheme="majorHAnsi" w:hAnsiTheme="majorHAnsi"/>
        </w:rPr>
        <w:footnoteReference w:id="4"/>
      </w:r>
      <w:r w:rsidRPr="00EE1A60">
        <w:rPr>
          <w:rFonts w:asciiTheme="majorHAnsi" w:hAnsiTheme="majorHAnsi"/>
        </w:rPr>
        <w:t xml:space="preserve"> </w:t>
      </w:r>
      <w:bookmarkEnd w:id="2"/>
      <w:r w:rsidRPr="00EC4DFD">
        <w:rPr>
          <w:rFonts w:asciiTheme="majorHAnsi" w:hAnsiTheme="majorHAnsi"/>
        </w:rPr>
        <w:t>Secondly, the Equality Act is not sufficiently focused on women to enact all the CEDAW provisions.</w:t>
      </w:r>
      <w:r>
        <w:rPr>
          <w:rFonts w:asciiTheme="majorHAnsi" w:hAnsiTheme="majorHAnsi"/>
        </w:rPr>
        <w:t xml:space="preserve"> </w:t>
      </w:r>
      <w:bookmarkStart w:id="3" w:name="_Hlk72341683"/>
      <w:r>
        <w:rPr>
          <w:rFonts w:ascii="Calibri" w:hAnsi="Calibri" w:cs="Calibri"/>
          <w:color w:val="000000"/>
          <w:shd w:val="clear" w:color="auto" w:fill="FFFFFF"/>
        </w:rPr>
        <w:t>Section 14 of the Equality Act, which provides protection for a person who is discriminated against “because of a combination of two relevant protected characteristics”, has still not been brought into force. This means women cannot bring cases of dual discrimination to the courts or tribunals, and the complex harm caused by intersectional discrimination continues.</w:t>
      </w:r>
      <w:r>
        <w:rPr>
          <w:rStyle w:val="FootnoteReference"/>
          <w:rFonts w:ascii="Calibri" w:hAnsi="Calibri" w:cs="Calibri"/>
          <w:color w:val="000000"/>
          <w:shd w:val="clear" w:color="auto" w:fill="FFFFFF"/>
        </w:rPr>
        <w:footnoteReference w:id="5"/>
      </w:r>
      <w:r>
        <w:rPr>
          <w:rFonts w:asciiTheme="majorHAnsi" w:hAnsiTheme="majorHAnsi"/>
        </w:rPr>
        <w:t xml:space="preserve"> </w:t>
      </w:r>
      <w:bookmarkEnd w:id="3"/>
      <w:r w:rsidRPr="00EC4DFD">
        <w:rPr>
          <w:rFonts w:asciiTheme="majorHAnsi" w:hAnsiTheme="majorHAnsi"/>
        </w:rPr>
        <w:t xml:space="preserve">Lastly, the belief that promoting women’s rights will be at the expense of other equality groups is misguided and </w:t>
      </w:r>
      <w:r>
        <w:rPr>
          <w:rFonts w:asciiTheme="majorHAnsi" w:hAnsiTheme="majorHAnsi"/>
        </w:rPr>
        <w:t>shows</w:t>
      </w:r>
      <w:r w:rsidRPr="00EC4DFD">
        <w:rPr>
          <w:rFonts w:asciiTheme="majorHAnsi" w:hAnsiTheme="majorHAnsi"/>
        </w:rPr>
        <w:t xml:space="preserve"> a lack of understanding of how multiple oppressions work. </w:t>
      </w:r>
    </w:p>
    <w:p w:rsidR="00CF0C19" w:rsidRPr="00EC4DFD" w:rsidRDefault="00CF0C19" w:rsidP="00CF0C19">
      <w:pPr>
        <w:rPr>
          <w:rFonts w:asciiTheme="majorHAnsi" w:eastAsia="Arial" w:hAnsiTheme="majorHAnsi" w:cs="Arial"/>
          <w:b/>
          <w:bCs/>
        </w:rPr>
      </w:pPr>
      <w:r w:rsidRPr="00EC4DFD">
        <w:rPr>
          <w:rFonts w:asciiTheme="majorHAnsi" w:hAnsiTheme="majorHAnsi"/>
          <w:b/>
          <w:bCs/>
        </w:rPr>
        <w:t>Migrant women</w:t>
      </w:r>
    </w:p>
    <w:p w:rsidR="00CF0C19" w:rsidRPr="00EC4DFD" w:rsidRDefault="00CF0C19" w:rsidP="00CF0C19">
      <w:pPr>
        <w:rPr>
          <w:rFonts w:asciiTheme="majorHAnsi" w:eastAsia="Arial" w:hAnsiTheme="majorHAnsi" w:cs="Arial"/>
        </w:rPr>
      </w:pPr>
      <w:r w:rsidRPr="00EC4DFD">
        <w:rPr>
          <w:rFonts w:asciiTheme="majorHAnsi" w:hAnsiTheme="majorHAnsi"/>
        </w:rPr>
        <w:t>The main area where existing domestic law does not promote and protect all women is when it comes to migrant women. ‘Hostile environment’ policies, austerity, and the coronavirus pandemic have hit the most vulnerable women the hardest in the following ways:</w:t>
      </w:r>
    </w:p>
    <w:p w:rsidR="00CF0C19" w:rsidRPr="00EC4DFD" w:rsidRDefault="00CF0C19" w:rsidP="00CF0C19">
      <w:pPr>
        <w:rPr>
          <w:rFonts w:asciiTheme="majorHAnsi" w:hAnsiTheme="majorHAnsi"/>
          <w:i/>
          <w:iCs/>
        </w:rPr>
      </w:pPr>
      <w:r w:rsidRPr="00EC4DFD">
        <w:rPr>
          <w:rFonts w:asciiTheme="majorHAnsi" w:hAnsiTheme="majorHAnsi"/>
          <w:i/>
          <w:iCs/>
        </w:rPr>
        <w:t>No Recourse to Public Funds (NRPF)</w:t>
      </w:r>
    </w:p>
    <w:p w:rsidR="00CF0C19" w:rsidRPr="00EC4DFD" w:rsidRDefault="00CF0C19" w:rsidP="00CF0C19">
      <w:pPr>
        <w:rPr>
          <w:rFonts w:asciiTheme="majorHAnsi" w:eastAsia="Arial" w:hAnsiTheme="majorHAnsi" w:cs="Arial"/>
        </w:rPr>
      </w:pPr>
      <w:r w:rsidRPr="00EC4DFD">
        <w:rPr>
          <w:rFonts w:asciiTheme="majorHAnsi" w:hAnsiTheme="majorHAnsi"/>
        </w:rPr>
        <w:t xml:space="preserve">While Local Authorities have an obligation to support vulnerable people with NRPF, they receive no funding from central government to do this. </w:t>
      </w:r>
      <w:r>
        <w:rPr>
          <w:rFonts w:asciiTheme="majorHAnsi" w:hAnsiTheme="majorHAnsi"/>
        </w:rPr>
        <w:t>After Brexit</w:t>
      </w:r>
      <w:r w:rsidRPr="00EC4DFD">
        <w:rPr>
          <w:rFonts w:asciiTheme="majorHAnsi" w:hAnsiTheme="majorHAnsi"/>
        </w:rPr>
        <w:t>, EEA nationals become subject to the UK’s Immigration Rules, meaning that those that fail to obtain leave to remain under the EU Settlement Scheme and future arrivals may also be at risk of destitution if they are excluded from</w:t>
      </w:r>
      <w:r>
        <w:rPr>
          <w:rFonts w:asciiTheme="majorHAnsi" w:hAnsiTheme="majorHAnsi"/>
        </w:rPr>
        <w:t xml:space="preserve"> certain</w:t>
      </w:r>
      <w:r w:rsidRPr="00EC4DFD">
        <w:rPr>
          <w:rFonts w:asciiTheme="majorHAnsi" w:hAnsiTheme="majorHAnsi"/>
        </w:rPr>
        <w:t xml:space="preserve"> services</w:t>
      </w:r>
      <w:r>
        <w:rPr>
          <w:rFonts w:asciiTheme="majorHAnsi" w:hAnsiTheme="majorHAnsi"/>
        </w:rPr>
        <w:t xml:space="preserve"> (e.g. local authority housing, secondary healthcare) and benefits</w:t>
      </w:r>
      <w:r w:rsidRPr="00EC4DFD">
        <w:rPr>
          <w:rFonts w:asciiTheme="majorHAnsi" w:hAnsiTheme="majorHAnsi"/>
        </w:rPr>
        <w:t>.</w:t>
      </w:r>
      <w:r w:rsidRPr="00EC4DFD">
        <w:rPr>
          <w:rStyle w:val="FootnoteReference"/>
          <w:rFonts w:asciiTheme="majorHAnsi" w:eastAsia="Times New Roman" w:hAnsiTheme="majorHAnsi" w:cs="Times New Roman"/>
          <w:sz w:val="20"/>
          <w:szCs w:val="20"/>
        </w:rPr>
        <w:footnoteReference w:id="6"/>
      </w:r>
      <w:r w:rsidRPr="00EC4DFD">
        <w:rPr>
          <w:rFonts w:asciiTheme="majorHAnsi" w:hAnsiTheme="majorHAnsi"/>
        </w:rPr>
        <w:t xml:space="preserve"> </w:t>
      </w:r>
      <w:r>
        <w:rPr>
          <w:rFonts w:asciiTheme="majorHAnsi" w:hAnsiTheme="majorHAnsi"/>
        </w:rPr>
        <w:t xml:space="preserve">While the </w:t>
      </w:r>
      <w:r w:rsidRPr="00EC4DFD">
        <w:rPr>
          <w:rFonts w:asciiTheme="majorHAnsi" w:hAnsiTheme="majorHAnsi"/>
        </w:rPr>
        <w:t>NRPF is a gateway to a host of personal and socio-economic problems that lone mothers in particular experience the wors</w:t>
      </w:r>
      <w:r w:rsidRPr="00D92F04">
        <w:rPr>
          <w:rFonts w:asciiTheme="majorHAnsi" w:hAnsiTheme="majorHAnsi"/>
        </w:rPr>
        <w:t>t.</w:t>
      </w:r>
      <w:r w:rsidRPr="00D92F04">
        <w:rPr>
          <w:rFonts w:asciiTheme="majorHAnsi" w:hAnsiTheme="majorHAnsi"/>
          <w:color w:val="0070C0"/>
        </w:rPr>
        <w:t xml:space="preserve"> [Appendix - 1]</w:t>
      </w:r>
    </w:p>
    <w:p w:rsidR="00CF0C19" w:rsidRPr="00D92F04" w:rsidRDefault="00CF0C19" w:rsidP="00CF0C19">
      <w:pPr>
        <w:rPr>
          <w:rFonts w:asciiTheme="majorHAnsi" w:hAnsiTheme="majorHAnsi"/>
          <w:i/>
          <w:iCs/>
          <w:color w:val="0070C0"/>
        </w:rPr>
      </w:pPr>
      <w:r w:rsidRPr="00D92F04">
        <w:rPr>
          <w:rFonts w:asciiTheme="majorHAnsi" w:hAnsiTheme="majorHAnsi"/>
          <w:i/>
          <w:iCs/>
          <w:color w:val="0070C0"/>
        </w:rPr>
        <w:t>Lone mothers with NRPF are routinely turned away by local authorities when seeking safe accommodation and financial support, despite the state’s legal obligations under Section 17 of the Children’s Act 1989 and under Human Rights Law. Between July and September 2019, Southall Black Sisters had to initiate legal proceedings against local authorities on 18 occasions for refusing to provide assistance to lone mothers with children. [Southall Black Sisters]</w:t>
      </w:r>
    </w:p>
    <w:p w:rsidR="00CF0C19" w:rsidRPr="006C0E38" w:rsidRDefault="00CF0C19" w:rsidP="00CF0C19">
      <w:pPr>
        <w:pStyle w:val="NormalWeb"/>
        <w:rPr>
          <w:rFonts w:asciiTheme="majorHAnsi" w:eastAsia="Times New Roman" w:hAnsiTheme="majorHAnsi" w:cstheme="majorHAnsi"/>
          <w:sz w:val="22"/>
          <w:szCs w:val="22"/>
          <w:lang w:eastAsia="en-GB"/>
        </w:rPr>
      </w:pPr>
      <w:bookmarkStart w:id="4" w:name="_Hlk69739871"/>
      <w:r w:rsidRPr="006C0E38">
        <w:rPr>
          <w:rFonts w:asciiTheme="majorHAnsi" w:hAnsiTheme="majorHAnsi" w:cstheme="majorHAnsi"/>
          <w:sz w:val="22"/>
          <w:szCs w:val="22"/>
        </w:rPr>
        <w:t xml:space="preserve">In April 2021, the government </w:t>
      </w:r>
      <w:hyperlink r:id="rId8" w:history="1">
        <w:r w:rsidRPr="006C0E38">
          <w:rPr>
            <w:rStyle w:val="Hyperlink"/>
            <w:rFonts w:asciiTheme="majorHAnsi" w:hAnsiTheme="majorHAnsi" w:cstheme="majorHAnsi"/>
            <w:sz w:val="22"/>
            <w:szCs w:val="22"/>
          </w:rPr>
          <w:t>voted down amendments to the Domestic Abuse Bill</w:t>
        </w:r>
      </w:hyperlink>
      <w:r w:rsidRPr="006C0E38">
        <w:rPr>
          <w:rFonts w:asciiTheme="majorHAnsi" w:hAnsiTheme="majorHAnsi" w:cstheme="majorHAnsi"/>
          <w:sz w:val="22"/>
          <w:szCs w:val="22"/>
        </w:rPr>
        <w:t xml:space="preserve"> that would have seen protections extended to migrant women</w:t>
      </w:r>
      <w:r>
        <w:rPr>
          <w:rFonts w:asciiTheme="majorHAnsi" w:hAnsiTheme="majorHAnsi" w:cstheme="majorHAnsi"/>
          <w:sz w:val="22"/>
          <w:szCs w:val="22"/>
        </w:rPr>
        <w:t xml:space="preserve">, </w:t>
      </w:r>
      <w:r w:rsidRPr="006C0E38">
        <w:rPr>
          <w:rFonts w:asciiTheme="majorHAnsi" w:eastAsia="Times New Roman" w:hAnsiTheme="majorHAnsi" w:cstheme="majorHAnsi"/>
          <w:sz w:val="22"/>
          <w:szCs w:val="22"/>
          <w:lang w:eastAsia="en-GB"/>
        </w:rPr>
        <w:t>despite being advised of the impact by civil society organisations</w:t>
      </w:r>
      <w:r w:rsidRPr="006C0E38">
        <w:rPr>
          <w:rFonts w:asciiTheme="majorHAnsi" w:hAnsiTheme="majorHAnsi" w:cstheme="majorHAnsi"/>
          <w:sz w:val="22"/>
          <w:szCs w:val="22"/>
        </w:rPr>
        <w:t xml:space="preserve">.  </w:t>
      </w:r>
    </w:p>
    <w:bookmarkEnd w:id="4"/>
    <w:p w:rsidR="00CF0C19" w:rsidRPr="00EC4DFD" w:rsidRDefault="00CF0C19" w:rsidP="00CF0C19">
      <w:pPr>
        <w:rPr>
          <w:rFonts w:asciiTheme="majorHAnsi" w:eastAsia="Arial" w:hAnsiTheme="majorHAnsi" w:cs="Arial"/>
          <w:color w:val="0070C0"/>
        </w:rPr>
      </w:pPr>
      <w:r>
        <w:rPr>
          <w:rFonts w:asciiTheme="majorHAnsi" w:hAnsiTheme="majorHAnsi"/>
          <w:i/>
          <w:iCs/>
        </w:rPr>
        <w:t>Detention</w:t>
      </w:r>
      <w:r w:rsidRPr="00EC4DFD">
        <w:rPr>
          <w:rFonts w:asciiTheme="majorHAnsi" w:hAnsiTheme="majorHAnsi"/>
          <w:i/>
          <w:iCs/>
        </w:rPr>
        <w:t xml:space="preserve"> centres</w:t>
      </w:r>
      <w:r w:rsidRPr="00EC4DFD">
        <w:rPr>
          <w:rFonts w:asciiTheme="majorHAnsi" w:hAnsiTheme="majorHAnsi"/>
        </w:rPr>
        <w:t xml:space="preserve"> </w:t>
      </w:r>
      <w:r w:rsidRPr="00AC198B">
        <w:rPr>
          <w:rFonts w:asciiTheme="majorHAnsi" w:hAnsiTheme="majorHAnsi"/>
          <w:i/>
        </w:rPr>
        <w:t>and asylum system</w:t>
      </w:r>
    </w:p>
    <w:p w:rsidR="00CF0C19" w:rsidRDefault="00CF0C19" w:rsidP="00CF0C19">
      <w:pPr>
        <w:rPr>
          <w:rFonts w:asciiTheme="majorHAnsi" w:hAnsiTheme="majorHAnsi"/>
        </w:rPr>
      </w:pPr>
      <w:r w:rsidRPr="00EC4DFD">
        <w:rPr>
          <w:rFonts w:asciiTheme="majorHAnsi" w:hAnsiTheme="majorHAnsi"/>
        </w:rPr>
        <w:t>Yarl’s Wood detention centre was dogged by accusations of sexual abuse,</w:t>
      </w:r>
      <w:r w:rsidRPr="00EC4DFD">
        <w:rPr>
          <w:rStyle w:val="FootnoteReference"/>
          <w:rFonts w:asciiTheme="majorHAnsi" w:hAnsiTheme="majorHAnsi"/>
        </w:rPr>
        <w:footnoteReference w:id="7"/>
      </w:r>
      <w:r w:rsidRPr="00EC4DFD">
        <w:rPr>
          <w:rFonts w:asciiTheme="majorHAnsi" w:hAnsiTheme="majorHAnsi"/>
        </w:rPr>
        <w:t xml:space="preserve"> hunger strikes</w:t>
      </w:r>
      <w:r w:rsidRPr="00EC4DFD">
        <w:rPr>
          <w:rStyle w:val="FootnoteReference"/>
          <w:rFonts w:asciiTheme="majorHAnsi" w:hAnsiTheme="majorHAnsi"/>
        </w:rPr>
        <w:footnoteReference w:id="8"/>
      </w:r>
      <w:r w:rsidRPr="00EC4DFD">
        <w:rPr>
          <w:rFonts w:asciiTheme="majorHAnsi" w:hAnsiTheme="majorHAnsi"/>
        </w:rPr>
        <w:t xml:space="preserve"> and critical inspection reports</w:t>
      </w:r>
      <w:r w:rsidRPr="00EC4DFD">
        <w:rPr>
          <w:rStyle w:val="FootnoteReference"/>
          <w:rFonts w:asciiTheme="majorHAnsi" w:hAnsiTheme="majorHAnsi"/>
        </w:rPr>
        <w:footnoteReference w:id="9"/>
      </w:r>
      <w:r w:rsidRPr="00EC4DFD">
        <w:rPr>
          <w:rFonts w:asciiTheme="majorHAnsi" w:hAnsiTheme="majorHAnsi"/>
        </w:rPr>
        <w:t xml:space="preserve">. </w:t>
      </w:r>
      <w:r>
        <w:rPr>
          <w:rFonts w:asciiTheme="majorHAnsi" w:hAnsiTheme="majorHAnsi"/>
        </w:rPr>
        <w:t>It has since closed,</w:t>
      </w:r>
      <w:r w:rsidRPr="00EC4DFD">
        <w:rPr>
          <w:rFonts w:asciiTheme="majorHAnsi" w:hAnsiTheme="majorHAnsi"/>
        </w:rPr>
        <w:t xml:space="preserve"> but the treatment of women within the asylum system continues to be of great concern</w:t>
      </w:r>
      <w:bookmarkStart w:id="5" w:name="_Hlk69739908"/>
      <w:r>
        <w:rPr>
          <w:rFonts w:asciiTheme="majorHAnsi" w:hAnsiTheme="majorHAnsi"/>
        </w:rPr>
        <w:t xml:space="preserve">. </w:t>
      </w:r>
      <w:hyperlink r:id="rId9" w:history="1">
        <w:r>
          <w:rPr>
            <w:rStyle w:val="Hyperlink"/>
            <w:rFonts w:asciiTheme="majorHAnsi" w:hAnsiTheme="majorHAnsi"/>
          </w:rPr>
          <w:t>N</w:t>
        </w:r>
        <w:r w:rsidRPr="00DD1D81">
          <w:rPr>
            <w:rStyle w:val="Hyperlink"/>
            <w:rFonts w:asciiTheme="majorHAnsi" w:hAnsiTheme="majorHAnsi"/>
          </w:rPr>
          <w:t>ew detention for women are being planned</w:t>
        </w:r>
      </w:hyperlink>
      <w:r w:rsidRPr="00EC4DFD">
        <w:rPr>
          <w:rFonts w:asciiTheme="majorHAnsi" w:hAnsiTheme="majorHAnsi"/>
        </w:rPr>
        <w:t xml:space="preserve">. </w:t>
      </w:r>
      <w:hyperlink r:id="rId10" w:history="1">
        <w:r w:rsidRPr="00456454">
          <w:rPr>
            <w:rStyle w:val="Hyperlink"/>
            <w:rFonts w:asciiTheme="majorHAnsi" w:hAnsiTheme="majorHAnsi"/>
          </w:rPr>
          <w:t>New proposals</w:t>
        </w:r>
      </w:hyperlink>
      <w:r>
        <w:rPr>
          <w:rFonts w:asciiTheme="majorHAnsi" w:hAnsiTheme="majorHAnsi"/>
        </w:rPr>
        <w:t xml:space="preserve"> will make it even more difficult to claim asylum. </w:t>
      </w:r>
      <w:bookmarkEnd w:id="5"/>
    </w:p>
    <w:p w:rsidR="00CF0C19" w:rsidRPr="00EC4DFD" w:rsidRDefault="00CF0C19" w:rsidP="00CF0C19">
      <w:pPr>
        <w:rPr>
          <w:rFonts w:asciiTheme="majorHAnsi" w:hAnsiTheme="majorHAnsi"/>
        </w:rPr>
      </w:pPr>
      <w:r w:rsidRPr="00EC4DFD">
        <w:rPr>
          <w:rFonts w:asciiTheme="majorHAnsi" w:hAnsiTheme="majorHAnsi"/>
        </w:rPr>
        <w:t>Homelessness, hunger, inability to access basic needs and even longer delays to asylum applications since the start of the pandemic has meant that many women asylum seekers are facing severe physical and mental health crises.</w:t>
      </w:r>
      <w:r w:rsidRPr="00EC4DFD">
        <w:rPr>
          <w:rStyle w:val="FootnoteReference"/>
          <w:rFonts w:asciiTheme="majorHAnsi" w:hAnsiTheme="majorHAnsi"/>
        </w:rPr>
        <w:footnoteReference w:id="10"/>
      </w:r>
      <w:r w:rsidRPr="00EC4DFD">
        <w:rPr>
          <w:rFonts w:asciiTheme="majorHAnsi" w:hAnsiTheme="majorHAnsi"/>
        </w:rPr>
        <w:t xml:space="preserve"> Not being able to work and having to </w:t>
      </w:r>
      <w:r w:rsidRPr="00E56E50">
        <w:rPr>
          <w:rFonts w:asciiTheme="majorHAnsi" w:hAnsiTheme="majorHAnsi" w:cstheme="majorHAnsi"/>
        </w:rPr>
        <w:t>subsist on £39.63</w:t>
      </w:r>
      <w:r>
        <w:rPr>
          <w:rStyle w:val="FootnoteReference"/>
          <w:rFonts w:asciiTheme="majorHAnsi" w:hAnsiTheme="majorHAnsi" w:cstheme="majorHAnsi"/>
        </w:rPr>
        <w:footnoteReference w:id="11"/>
      </w:r>
      <w:r w:rsidRPr="00E56E50">
        <w:rPr>
          <w:rFonts w:asciiTheme="majorHAnsi" w:hAnsiTheme="majorHAnsi" w:cstheme="majorHAnsi"/>
        </w:rPr>
        <w:t xml:space="preserve"> a</w:t>
      </w:r>
      <w:r w:rsidRPr="00EC4DFD">
        <w:rPr>
          <w:rFonts w:asciiTheme="majorHAnsi" w:hAnsiTheme="majorHAnsi"/>
        </w:rPr>
        <w:t xml:space="preserve"> week is a disastrous policy that undermines our human rights. </w:t>
      </w:r>
      <w:r>
        <w:rPr>
          <w:rStyle w:val="FootnoteReference"/>
          <w:rFonts w:asciiTheme="majorHAnsi" w:hAnsiTheme="majorHAnsi"/>
        </w:rPr>
        <w:footnoteReference w:id="12"/>
      </w:r>
    </w:p>
    <w:p w:rsidR="00CF0C19" w:rsidRPr="00EC4DFD" w:rsidRDefault="00CF0C19" w:rsidP="00CF0C19">
      <w:pPr>
        <w:rPr>
          <w:rFonts w:asciiTheme="majorHAnsi" w:eastAsia="Arial" w:hAnsiTheme="majorHAnsi" w:cs="Arial"/>
          <w:color w:val="0070C0"/>
        </w:rPr>
      </w:pPr>
      <w:r w:rsidRPr="00EC4DFD">
        <w:rPr>
          <w:rFonts w:asciiTheme="majorHAnsi" w:hAnsiTheme="majorHAnsi"/>
          <w:i/>
          <w:iCs/>
        </w:rPr>
        <w:t>Access to legal aid</w:t>
      </w:r>
      <w:r>
        <w:rPr>
          <w:rFonts w:asciiTheme="majorHAnsi" w:hAnsiTheme="majorHAnsi"/>
          <w:i/>
          <w:iCs/>
        </w:rPr>
        <w:t xml:space="preserve"> </w:t>
      </w:r>
    </w:p>
    <w:p w:rsidR="00CF0C19" w:rsidRPr="00EC4DFD" w:rsidRDefault="00CF0C19" w:rsidP="00CF0C19">
      <w:pPr>
        <w:rPr>
          <w:rFonts w:asciiTheme="majorHAnsi" w:hAnsiTheme="majorHAnsi"/>
        </w:rPr>
      </w:pPr>
      <w:r w:rsidRPr="00EC4DFD">
        <w:rPr>
          <w:rFonts w:asciiTheme="majorHAnsi" w:hAnsiTheme="majorHAnsi"/>
        </w:rPr>
        <w:t>In June 2020, new rules</w:t>
      </w:r>
      <w:r w:rsidRPr="00EC4DFD">
        <w:rPr>
          <w:rStyle w:val="FootnoteReference"/>
          <w:rFonts w:asciiTheme="majorHAnsi" w:eastAsia="Times New Roman" w:hAnsiTheme="majorHAnsi" w:cs="Times New Roman"/>
          <w:color w:val="292929"/>
        </w:rPr>
        <w:footnoteReference w:id="13"/>
      </w:r>
      <w:r w:rsidRPr="00EC4DFD">
        <w:rPr>
          <w:rFonts w:asciiTheme="majorHAnsi" w:hAnsiTheme="majorHAnsi"/>
        </w:rPr>
        <w:t xml:space="preserve"> came into force that further limited access to legal aid for immigration and asylum cases by making it financially impossible for lawyers to take on complex cases. Victims of trafficking and LGBT+ asylum seekers will be the worst affected. These rules came in before a full consultation had taken place, and without a full impact assessment being carried out.</w:t>
      </w:r>
      <w:r w:rsidRPr="00EC4DFD">
        <w:rPr>
          <w:rStyle w:val="FootnoteReference"/>
          <w:rFonts w:asciiTheme="majorHAnsi" w:eastAsia="Times New Roman" w:hAnsiTheme="majorHAnsi" w:cs="Times New Roman"/>
          <w:color w:val="292929"/>
        </w:rPr>
        <w:footnoteReference w:id="14"/>
      </w:r>
      <w:r w:rsidRPr="00EC4DFD">
        <w:rPr>
          <w:rFonts w:asciiTheme="majorHAnsi" w:hAnsiTheme="majorHAnsi"/>
        </w:rPr>
        <w:t xml:space="preserve"> </w:t>
      </w:r>
      <w:r w:rsidRPr="00826485">
        <w:rPr>
          <w:rFonts w:asciiTheme="majorHAnsi" w:hAnsiTheme="majorHAnsi"/>
          <w:color w:val="3366FF"/>
        </w:rPr>
        <w:t>[Appendix - 2]</w:t>
      </w:r>
      <w:r>
        <w:rPr>
          <w:rStyle w:val="FootnoteReference"/>
          <w:rFonts w:asciiTheme="majorHAnsi" w:hAnsiTheme="majorHAnsi"/>
          <w:color w:val="3366FF"/>
        </w:rPr>
        <w:footnoteReference w:id="15"/>
      </w:r>
    </w:p>
    <w:p w:rsidR="00CF0C19" w:rsidRPr="00EC4DFD" w:rsidRDefault="00CF0C19" w:rsidP="00CF0C19">
      <w:pPr>
        <w:rPr>
          <w:rFonts w:asciiTheme="majorHAnsi" w:hAnsiTheme="majorHAnsi"/>
          <w:i/>
          <w:iCs/>
        </w:rPr>
      </w:pPr>
      <w:r w:rsidRPr="00EC4DFD">
        <w:rPr>
          <w:rFonts w:asciiTheme="majorHAnsi" w:hAnsiTheme="majorHAnsi"/>
          <w:i/>
          <w:iCs/>
        </w:rPr>
        <w:t>Healthcare</w:t>
      </w:r>
    </w:p>
    <w:p w:rsidR="00CF0C19" w:rsidRDefault="00CF0C19" w:rsidP="00CF0C19">
      <w:pPr>
        <w:rPr>
          <w:rFonts w:asciiTheme="majorHAnsi" w:hAnsiTheme="majorHAnsi"/>
          <w:color w:val="3366FF"/>
        </w:rPr>
      </w:pPr>
      <w:r>
        <w:rPr>
          <w:rFonts w:asciiTheme="majorHAnsi" w:hAnsiTheme="majorHAnsi"/>
        </w:rPr>
        <w:t>E</w:t>
      </w:r>
      <w:r w:rsidRPr="00EC4DFD">
        <w:rPr>
          <w:rFonts w:asciiTheme="majorHAnsi" w:hAnsiTheme="majorHAnsi"/>
        </w:rPr>
        <w:t>xcessiv</w:t>
      </w:r>
      <w:r>
        <w:rPr>
          <w:rFonts w:asciiTheme="majorHAnsi" w:hAnsiTheme="majorHAnsi"/>
        </w:rPr>
        <w:t xml:space="preserve">e COVID-related </w:t>
      </w:r>
      <w:r w:rsidRPr="00EC4DFD">
        <w:rPr>
          <w:rFonts w:asciiTheme="majorHAnsi" w:hAnsiTheme="majorHAnsi"/>
        </w:rPr>
        <w:t>deaths</w:t>
      </w:r>
      <w:r>
        <w:rPr>
          <w:rFonts w:asciiTheme="majorHAnsi" w:hAnsiTheme="majorHAnsi"/>
        </w:rPr>
        <w:t xml:space="preserve"> in</w:t>
      </w:r>
      <w:r w:rsidRPr="00EC4DFD">
        <w:rPr>
          <w:rFonts w:asciiTheme="majorHAnsi" w:hAnsiTheme="majorHAnsi"/>
        </w:rPr>
        <w:t xml:space="preserve"> the UK</w:t>
      </w:r>
      <w:r>
        <w:rPr>
          <w:rFonts w:asciiTheme="majorHAnsi" w:hAnsiTheme="majorHAnsi"/>
        </w:rPr>
        <w:t xml:space="preserve"> and skyrocketing mental health cases</w:t>
      </w:r>
      <w:r>
        <w:rPr>
          <w:rStyle w:val="FootnoteReference"/>
          <w:rFonts w:asciiTheme="majorHAnsi" w:hAnsiTheme="majorHAnsi"/>
        </w:rPr>
        <w:footnoteReference w:id="16"/>
      </w:r>
      <w:r w:rsidRPr="00EC4DFD">
        <w:rPr>
          <w:rFonts w:asciiTheme="majorHAnsi" w:hAnsiTheme="majorHAnsi"/>
        </w:rPr>
        <w:t xml:space="preserve"> ha</w:t>
      </w:r>
      <w:r>
        <w:rPr>
          <w:rFonts w:asciiTheme="majorHAnsi" w:hAnsiTheme="majorHAnsi"/>
        </w:rPr>
        <w:t>ve</w:t>
      </w:r>
      <w:r w:rsidRPr="00EC4DFD">
        <w:rPr>
          <w:rFonts w:asciiTheme="majorHAnsi" w:hAnsiTheme="majorHAnsi"/>
        </w:rPr>
        <w:t xml:space="preserve"> highlighted the deep, existing structural health inequalities in this country.</w:t>
      </w:r>
      <w:r w:rsidRPr="00EC4DFD">
        <w:rPr>
          <w:rStyle w:val="FootnoteReference"/>
          <w:rFonts w:asciiTheme="majorHAnsi" w:hAnsiTheme="majorHAnsi"/>
        </w:rPr>
        <w:footnoteReference w:id="17"/>
      </w:r>
      <w:r w:rsidRPr="00EC4DFD">
        <w:rPr>
          <w:rFonts w:asciiTheme="majorHAnsi" w:hAnsiTheme="majorHAnsi"/>
        </w:rPr>
        <w:t xml:space="preserve"> </w:t>
      </w:r>
      <w:r w:rsidRPr="005247A6">
        <w:rPr>
          <w:rFonts w:asciiTheme="majorHAnsi" w:hAnsiTheme="majorHAnsi"/>
          <w:color w:val="3366FF"/>
        </w:rPr>
        <w:t>[Appendix</w:t>
      </w:r>
      <w:r>
        <w:rPr>
          <w:rFonts w:asciiTheme="majorHAnsi" w:hAnsiTheme="majorHAnsi"/>
          <w:color w:val="3366FF"/>
        </w:rPr>
        <w:t xml:space="preserve"> </w:t>
      </w:r>
      <w:r w:rsidRPr="005247A6">
        <w:rPr>
          <w:rFonts w:asciiTheme="majorHAnsi" w:hAnsiTheme="majorHAnsi"/>
          <w:color w:val="3366FF"/>
        </w:rPr>
        <w:t xml:space="preserve">- </w:t>
      </w:r>
      <w:r>
        <w:rPr>
          <w:rFonts w:asciiTheme="majorHAnsi" w:hAnsiTheme="majorHAnsi"/>
          <w:color w:val="3366FF"/>
        </w:rPr>
        <w:t>3</w:t>
      </w:r>
      <w:r w:rsidRPr="005247A6">
        <w:rPr>
          <w:rFonts w:asciiTheme="majorHAnsi" w:hAnsiTheme="majorHAnsi"/>
          <w:color w:val="3366FF"/>
        </w:rPr>
        <w:t>]</w:t>
      </w:r>
    </w:p>
    <w:p w:rsidR="00CF0C19" w:rsidRPr="00D92F04" w:rsidRDefault="00CF0C19" w:rsidP="00CF0C19">
      <w:pPr>
        <w:rPr>
          <w:rFonts w:asciiTheme="majorHAnsi" w:hAnsiTheme="majorHAnsi"/>
          <w:i/>
          <w:iCs/>
          <w:color w:val="0070C0"/>
        </w:rPr>
      </w:pPr>
      <w:r w:rsidRPr="00D92F04">
        <w:rPr>
          <w:rFonts w:asciiTheme="majorHAnsi" w:hAnsiTheme="majorHAnsi"/>
          <w:i/>
          <w:iCs/>
          <w:color w:val="0070C0"/>
        </w:rPr>
        <w:t>Black women face five times more risk of dying in pregnancy or up to 6 weeks postpartum compared with white women...NHS charges are a big barrier to minoritised women accessing healthcare. Maternity Action took the government to court over their charges to pregnant women</w:t>
      </w:r>
      <w:r>
        <w:rPr>
          <w:rFonts w:asciiTheme="majorHAnsi" w:hAnsiTheme="majorHAnsi"/>
          <w:i/>
          <w:iCs/>
          <w:color w:val="0070C0"/>
        </w:rPr>
        <w:t>,</w:t>
      </w:r>
      <w:r w:rsidRPr="00D92F04">
        <w:rPr>
          <w:rFonts w:asciiTheme="majorHAnsi" w:hAnsiTheme="majorHAnsi"/>
          <w:i/>
          <w:iCs/>
          <w:color w:val="0070C0"/>
        </w:rPr>
        <w:t xml:space="preserve"> but the courts rejected it…Doctors of the World reported that a £500+ NHS debt gets reported to the Home Office after 2 months, placing their immigration status at risk...This is a deterrent for many of the poorest families from the African diaspora from accessing healthcare, thus causing health problems to deteriorate.  [Mama Health and Poverty Partnership]</w:t>
      </w:r>
    </w:p>
    <w:p w:rsidR="00CF0C19" w:rsidRPr="00EC4DFD" w:rsidRDefault="00CF0C19" w:rsidP="00CF0C19">
      <w:pPr>
        <w:rPr>
          <w:rStyle w:val="FootnoteReference"/>
          <w:rFonts w:asciiTheme="majorHAnsi" w:hAnsiTheme="majorHAnsi"/>
        </w:rPr>
      </w:pPr>
      <w:r w:rsidRPr="00EC4DFD">
        <w:rPr>
          <w:rFonts w:asciiTheme="majorHAnsi" w:hAnsiTheme="majorHAnsi"/>
          <w:i/>
          <w:iCs/>
        </w:rPr>
        <w:t>Access to services</w:t>
      </w:r>
      <w:r w:rsidRPr="00EC4DFD">
        <w:rPr>
          <w:rFonts w:asciiTheme="majorHAnsi" w:hAnsiTheme="majorHAnsi"/>
        </w:rPr>
        <w:t>.</w:t>
      </w:r>
      <w:r>
        <w:rPr>
          <w:rStyle w:val="FootnoteReference"/>
          <w:rFonts w:asciiTheme="majorHAnsi" w:hAnsiTheme="majorHAnsi"/>
        </w:rPr>
        <w:footnoteReference w:id="18"/>
      </w:r>
      <w:r w:rsidRPr="00EC4DFD">
        <w:rPr>
          <w:rFonts w:asciiTheme="majorHAnsi" w:hAnsiTheme="majorHAnsi"/>
        </w:rPr>
        <w:t xml:space="preserve"> </w:t>
      </w:r>
    </w:p>
    <w:p w:rsidR="00CF0C19" w:rsidRPr="00EC4DFD" w:rsidRDefault="00CF0C19" w:rsidP="00CF0C19">
      <w:pPr>
        <w:rPr>
          <w:rStyle w:val="FootnoteReference"/>
          <w:rFonts w:asciiTheme="majorHAnsi" w:hAnsiTheme="majorHAnsi"/>
        </w:rPr>
      </w:pPr>
      <w:r w:rsidRPr="005247A6">
        <w:rPr>
          <w:rFonts w:asciiTheme="majorHAnsi" w:hAnsiTheme="majorHAnsi"/>
          <w:color w:val="3366FF"/>
        </w:rPr>
        <w:t>[Appendix</w:t>
      </w:r>
      <w:r>
        <w:rPr>
          <w:rFonts w:asciiTheme="majorHAnsi" w:hAnsiTheme="majorHAnsi"/>
          <w:color w:val="3366FF"/>
        </w:rPr>
        <w:t xml:space="preserve"> </w:t>
      </w:r>
      <w:r w:rsidRPr="005247A6">
        <w:rPr>
          <w:rFonts w:asciiTheme="majorHAnsi" w:hAnsiTheme="majorHAnsi"/>
          <w:color w:val="3366FF"/>
        </w:rPr>
        <w:t xml:space="preserve">- </w:t>
      </w:r>
      <w:r>
        <w:rPr>
          <w:rFonts w:asciiTheme="majorHAnsi" w:hAnsiTheme="majorHAnsi"/>
          <w:color w:val="3366FF"/>
        </w:rPr>
        <w:t>4</w:t>
      </w:r>
      <w:r w:rsidRPr="005247A6">
        <w:rPr>
          <w:rFonts w:asciiTheme="majorHAnsi" w:hAnsiTheme="majorHAnsi"/>
          <w:color w:val="3366FF"/>
        </w:rPr>
        <w:t>]</w:t>
      </w:r>
    </w:p>
    <w:p w:rsidR="00CF0C19" w:rsidRPr="0073589C" w:rsidDel="00887251" w:rsidRDefault="00CF0C19" w:rsidP="00CF0C19">
      <w:pPr>
        <w:rPr>
          <w:rFonts w:asciiTheme="majorHAnsi" w:hAnsiTheme="majorHAnsi"/>
          <w:i/>
          <w:iCs/>
          <w:color w:val="0070C0"/>
        </w:rPr>
      </w:pPr>
      <w:r w:rsidRPr="0073589C">
        <w:rPr>
          <w:rFonts w:asciiTheme="majorHAnsi" w:hAnsiTheme="majorHAnsi"/>
          <w:i/>
          <w:iCs/>
          <w:color w:val="0070C0"/>
        </w:rPr>
        <w:t>Yasmin was a recovering alcoholic with liver problems and NRPF. She was sleeping rough after fleeing an abusive husband. When Safety4Sisters advocacy workers asked the local domestic violence service why her care needs were not considered by social services (as a route to identify her as eligible for accommodation under the Care Act 2014), we were told that social workers had assessed that because she was using the 24-hour McDonald’s next to the park for toilet access, Yasmin’s needs were “being met.” [Safety4Sisters]</w:t>
      </w:r>
    </w:p>
    <w:p w:rsidR="00CF0C19" w:rsidRPr="00EC4DFD" w:rsidDel="00887251" w:rsidRDefault="00CF0C19" w:rsidP="00CF0C19">
      <w:pPr>
        <w:rPr>
          <w:rFonts w:asciiTheme="majorHAnsi" w:eastAsia="Arial" w:hAnsiTheme="majorHAnsi" w:cs="Arial"/>
          <w:b/>
          <w:bCs/>
        </w:rPr>
      </w:pPr>
      <w:r w:rsidRPr="00EC4DFD">
        <w:rPr>
          <w:rFonts w:asciiTheme="majorHAnsi" w:hAnsiTheme="majorHAnsi"/>
          <w:b/>
          <w:bCs/>
        </w:rPr>
        <w:t>Public Sector Equality Duty failures</w:t>
      </w:r>
    </w:p>
    <w:p w:rsidR="00CF0C19" w:rsidRPr="00EC4DFD" w:rsidDel="00A802A2" w:rsidRDefault="00CF0C19" w:rsidP="00CF0C19">
      <w:pPr>
        <w:rPr>
          <w:rFonts w:asciiTheme="majorHAnsi" w:hAnsiTheme="majorHAnsi"/>
          <w:lang w:val="en-US"/>
        </w:rPr>
      </w:pPr>
      <w:r w:rsidRPr="00EC4DFD">
        <w:rPr>
          <w:rFonts w:asciiTheme="majorHAnsi" w:hAnsiTheme="majorHAnsi"/>
        </w:rPr>
        <w:t xml:space="preserve">During the pandemic, the obligation to report on compliance with the Public Sector Equality Duty (PSED) </w:t>
      </w:r>
      <w:r>
        <w:rPr>
          <w:rFonts w:asciiTheme="majorHAnsi" w:hAnsiTheme="majorHAnsi"/>
        </w:rPr>
        <w:t>was</w:t>
      </w:r>
      <w:r w:rsidRPr="00EC4DFD">
        <w:rPr>
          <w:rFonts w:asciiTheme="majorHAnsi" w:hAnsiTheme="majorHAnsi"/>
        </w:rPr>
        <w:t xml:space="preserve"> suspended.</w:t>
      </w:r>
      <w:r w:rsidRPr="00EC4DFD">
        <w:rPr>
          <w:rStyle w:val="FootnoteReference"/>
          <w:rFonts w:asciiTheme="majorHAnsi" w:hAnsiTheme="majorHAnsi"/>
        </w:rPr>
        <w:footnoteReference w:id="19"/>
      </w:r>
      <w:r w:rsidRPr="00EC4DFD">
        <w:rPr>
          <w:rFonts w:asciiTheme="majorHAnsi" w:hAnsiTheme="majorHAnsi"/>
        </w:rPr>
        <w:t xml:space="preserve"> This followed the decision to suspend the enforcement of gender pay gap reporting in 2019/2020.</w:t>
      </w:r>
      <w:r w:rsidRPr="00EC4DFD">
        <w:rPr>
          <w:rStyle w:val="FootnoteReference"/>
          <w:rFonts w:asciiTheme="majorHAnsi" w:hAnsiTheme="majorHAnsi"/>
        </w:rPr>
        <w:footnoteReference w:id="20"/>
      </w:r>
      <w:r w:rsidRPr="00EC4DFD">
        <w:rPr>
          <w:rFonts w:asciiTheme="majorHAnsi" w:hAnsiTheme="majorHAnsi"/>
        </w:rPr>
        <w:t xml:space="preserve"> </w:t>
      </w:r>
      <w:r w:rsidRPr="00EC4DFD">
        <w:rPr>
          <w:rFonts w:asciiTheme="majorHAnsi" w:hAnsiTheme="majorHAnsi"/>
          <w:lang w:val="en-US"/>
        </w:rPr>
        <w:t xml:space="preserve">The Coronavirus Act 2020 has allowed the downgrading of several aspects of the Care Act 2014, undermining council’s duties to assess the needs of individuals and carers, affecting many (disabled) women. </w:t>
      </w:r>
    </w:p>
    <w:p w:rsidR="00CF0C19" w:rsidRDefault="00CF0C19" w:rsidP="00CF0C19">
      <w:pPr>
        <w:rPr>
          <w:rFonts w:asciiTheme="majorHAnsi" w:hAnsiTheme="majorHAnsi"/>
        </w:rPr>
      </w:pPr>
      <w:bookmarkStart w:id="7" w:name="_Hlk72341975"/>
      <w:r>
        <w:rPr>
          <w:rFonts w:asciiTheme="majorHAnsi" w:hAnsiTheme="majorHAnsi"/>
        </w:rPr>
        <w:t xml:space="preserve">The PSED was </w:t>
      </w:r>
      <w:r w:rsidRPr="00EC4DFD">
        <w:rPr>
          <w:rFonts w:asciiTheme="majorHAnsi" w:hAnsiTheme="majorHAnsi"/>
        </w:rPr>
        <w:t xml:space="preserve">being undermined before the pandemic. </w:t>
      </w:r>
      <w:r>
        <w:rPr>
          <w:rFonts w:asciiTheme="majorHAnsi" w:hAnsiTheme="majorHAnsi"/>
        </w:rPr>
        <w:t xml:space="preserve">PSED enforcement has been left to women’s organisations. They  must challenge illegal decisions through the courts, whilst </w:t>
      </w:r>
      <w:r>
        <w:rPr>
          <w:rFonts w:ascii="Calibri" w:hAnsi="Calibri" w:cs="Calibri"/>
          <w:color w:val="000000"/>
          <w:shd w:val="clear" w:color="auto" w:fill="FFFFFF"/>
        </w:rPr>
        <w:t>little use has been made of EHRC powers to take enforcement action against public authorities that have failed to comply.</w:t>
      </w:r>
      <w:r>
        <w:rPr>
          <w:rFonts w:asciiTheme="majorHAnsi" w:hAnsiTheme="majorHAnsi"/>
        </w:rPr>
        <w:t xml:space="preserve"> </w:t>
      </w:r>
    </w:p>
    <w:p w:rsidR="00CF0C19" w:rsidRPr="007C72E7" w:rsidRDefault="00CF0C19" w:rsidP="00CF0C19">
      <w:pPr>
        <w:rPr>
          <w:rFonts w:asciiTheme="majorHAnsi" w:eastAsia="Arial" w:hAnsiTheme="majorHAnsi" w:cs="Arial"/>
        </w:rPr>
      </w:pPr>
      <w:r w:rsidRPr="00EC4DFD">
        <w:rPr>
          <w:rFonts w:asciiTheme="majorHAnsi" w:hAnsiTheme="majorHAnsi"/>
        </w:rPr>
        <w:t>The following areas have also seen</w:t>
      </w:r>
      <w:r>
        <w:rPr>
          <w:rFonts w:asciiTheme="majorHAnsi" w:hAnsiTheme="majorHAnsi"/>
        </w:rPr>
        <w:t xml:space="preserve"> the</w:t>
      </w:r>
      <w:r w:rsidRPr="00EC4DFD">
        <w:rPr>
          <w:rFonts w:asciiTheme="majorHAnsi" w:hAnsiTheme="majorHAnsi"/>
        </w:rPr>
        <w:t xml:space="preserve"> PSED being undermined:</w:t>
      </w:r>
    </w:p>
    <w:p w:rsidR="00CF0C19" w:rsidRPr="007C72E7" w:rsidRDefault="00CF0C19" w:rsidP="00CF0C19">
      <w:pPr>
        <w:rPr>
          <w:rFonts w:asciiTheme="majorHAnsi" w:hAnsiTheme="majorHAnsi"/>
          <w:i/>
          <w:iCs/>
        </w:rPr>
      </w:pPr>
      <w:r w:rsidRPr="007C72E7">
        <w:rPr>
          <w:rFonts w:asciiTheme="majorHAnsi" w:hAnsiTheme="majorHAnsi"/>
          <w:i/>
          <w:iCs/>
        </w:rPr>
        <w:t>PSED and the ‘hostile environment’</w:t>
      </w:r>
      <w:r w:rsidRPr="007C72E7">
        <w:rPr>
          <w:rStyle w:val="FootnoteReference"/>
          <w:rFonts w:asciiTheme="majorHAnsi" w:hAnsiTheme="majorHAnsi"/>
          <w:i/>
          <w:iCs/>
        </w:rPr>
        <w:footnoteReference w:id="21"/>
      </w:r>
      <w:r w:rsidRPr="007C72E7">
        <w:rPr>
          <w:rFonts w:asciiTheme="majorHAnsi" w:hAnsiTheme="majorHAnsi"/>
          <w:i/>
          <w:iCs/>
        </w:rPr>
        <w:t xml:space="preserve"> </w:t>
      </w:r>
    </w:p>
    <w:p w:rsidR="00CF0C19" w:rsidRPr="00EC4DFD" w:rsidRDefault="00CF0C19" w:rsidP="00CF0C19">
      <w:pPr>
        <w:rPr>
          <w:rFonts w:asciiTheme="majorHAnsi" w:hAnsiTheme="majorHAnsi"/>
        </w:rPr>
      </w:pPr>
      <w:r>
        <w:rPr>
          <w:rFonts w:asciiTheme="majorHAnsi" w:hAnsiTheme="majorHAnsi"/>
        </w:rPr>
        <w:t xml:space="preserve">The ‘hostile environment’ has </w:t>
      </w:r>
      <w:r w:rsidRPr="00EC4DFD">
        <w:rPr>
          <w:rFonts w:asciiTheme="majorHAnsi" w:hAnsiTheme="majorHAnsi"/>
        </w:rPr>
        <w:t xml:space="preserve">compounded the effects of austerity policies that have hit (minoritised and poor) women the hardest. </w:t>
      </w:r>
    </w:p>
    <w:p w:rsidR="00CF0C19" w:rsidRDefault="00CF0C19" w:rsidP="00CF0C19">
      <w:pPr>
        <w:rPr>
          <w:rFonts w:asciiTheme="majorHAnsi" w:eastAsia="Calibri" w:hAnsiTheme="majorHAnsi"/>
          <w:i/>
          <w:color w:val="0070C0"/>
        </w:rPr>
      </w:pPr>
      <w:r w:rsidRPr="0073589C">
        <w:rPr>
          <w:rFonts w:asciiTheme="majorHAnsi" w:eastAsia="Calibri" w:hAnsiTheme="majorHAnsi"/>
          <w:i/>
          <w:color w:val="0070C0"/>
        </w:rPr>
        <w:t xml:space="preserve">During the pandemic we have had to challenge 12 commissioned refuges, 4 police areas and 5 out of area adult social care services in relation to their exclusion of women who had access to DDVC (destitution domestic violence concession). </w:t>
      </w:r>
      <w:r>
        <w:rPr>
          <w:rFonts w:asciiTheme="majorHAnsi" w:eastAsia="Calibri" w:hAnsiTheme="majorHAnsi"/>
          <w:i/>
          <w:color w:val="0070C0"/>
        </w:rPr>
        <w:t xml:space="preserve">[There is] </w:t>
      </w:r>
      <w:r w:rsidRPr="0073589C">
        <w:rPr>
          <w:rFonts w:asciiTheme="majorHAnsi" w:eastAsia="Calibri" w:hAnsiTheme="majorHAnsi"/>
          <w:i/>
          <w:color w:val="0070C0"/>
        </w:rPr>
        <w:t>Regular exclusion of migrant and multi-lingual women from commissioned DV services based on not having funding to provide an interpreter. [Angelou Centre]</w:t>
      </w:r>
    </w:p>
    <w:p w:rsidR="00CF0C19" w:rsidRDefault="00CF0C19" w:rsidP="00CF0C19">
      <w:pPr>
        <w:rPr>
          <w:rFonts w:asciiTheme="majorHAnsi" w:eastAsia="Calibri" w:hAnsiTheme="majorHAnsi"/>
          <w:i/>
          <w:color w:val="0070C0"/>
        </w:rPr>
      </w:pPr>
    </w:p>
    <w:p w:rsidR="00CF0C19" w:rsidRPr="007C72E7" w:rsidRDefault="00CF0C19" w:rsidP="00CF0C19">
      <w:pPr>
        <w:rPr>
          <w:rFonts w:asciiTheme="majorHAnsi" w:eastAsia="Calibri" w:hAnsiTheme="majorHAnsi"/>
          <w:i/>
          <w:color w:val="0070C0"/>
        </w:rPr>
      </w:pPr>
    </w:p>
    <w:bookmarkEnd w:id="7"/>
    <w:p w:rsidR="00CF0C19" w:rsidRPr="00EC4DFD" w:rsidRDefault="00CF0C19" w:rsidP="00CF0C19">
      <w:pPr>
        <w:rPr>
          <w:rFonts w:asciiTheme="majorHAnsi" w:eastAsia="Arial" w:hAnsiTheme="majorHAnsi" w:cs="Arial"/>
          <w:color w:val="0070C0"/>
        </w:rPr>
      </w:pPr>
      <w:r w:rsidRPr="00EC4DFD">
        <w:rPr>
          <w:rFonts w:asciiTheme="majorHAnsi" w:hAnsiTheme="majorHAnsi"/>
          <w:i/>
          <w:iCs/>
        </w:rPr>
        <w:t>PSED in relation to tax and welfare policies</w:t>
      </w:r>
      <w:r w:rsidRPr="00EC4DFD">
        <w:rPr>
          <w:rFonts w:asciiTheme="majorHAnsi" w:hAnsiTheme="majorHAnsi"/>
        </w:rPr>
        <w:t xml:space="preserve"> </w:t>
      </w:r>
    </w:p>
    <w:p w:rsidR="00CF0C19" w:rsidRPr="00EC4DFD" w:rsidRDefault="00CF0C19" w:rsidP="00CF0C19">
      <w:pPr>
        <w:rPr>
          <w:rFonts w:asciiTheme="majorHAnsi" w:eastAsia="Arial" w:hAnsiTheme="majorHAnsi" w:cs="Arial"/>
          <w:color w:val="0070C0"/>
        </w:rPr>
      </w:pPr>
      <w:r w:rsidRPr="00EC4DFD">
        <w:rPr>
          <w:rFonts w:asciiTheme="majorHAnsi" w:hAnsiTheme="majorHAnsi"/>
        </w:rPr>
        <w:t>A regressive tax system and punitive welfare system disproportionately hit</w:t>
      </w:r>
      <w:r>
        <w:rPr>
          <w:rFonts w:asciiTheme="majorHAnsi" w:hAnsiTheme="majorHAnsi"/>
        </w:rPr>
        <w:t>s</w:t>
      </w:r>
      <w:r w:rsidRPr="00EC4DFD">
        <w:rPr>
          <w:rFonts w:asciiTheme="majorHAnsi" w:hAnsiTheme="majorHAnsi"/>
        </w:rPr>
        <w:t xml:space="preserve"> women, particularly single mothers, disabled</w:t>
      </w:r>
      <w:r w:rsidRPr="00DA25B9">
        <w:rPr>
          <w:rFonts w:asciiTheme="majorHAnsi" w:hAnsiTheme="majorHAnsi" w:cstheme="majorHAnsi"/>
        </w:rPr>
        <w:t xml:space="preserve"> and minoritised women, not least due to the two</w:t>
      </w:r>
      <w:r>
        <w:rPr>
          <w:rFonts w:asciiTheme="majorHAnsi" w:hAnsiTheme="majorHAnsi" w:cstheme="majorHAnsi"/>
        </w:rPr>
        <w:t>-</w:t>
      </w:r>
      <w:r w:rsidRPr="00DA25B9">
        <w:rPr>
          <w:rFonts w:asciiTheme="majorHAnsi" w:hAnsiTheme="majorHAnsi" w:cstheme="majorHAnsi"/>
        </w:rPr>
        <w:t>child</w:t>
      </w:r>
      <w:r>
        <w:rPr>
          <w:rFonts w:asciiTheme="majorHAnsi" w:hAnsiTheme="majorHAnsi" w:cstheme="majorHAnsi"/>
        </w:rPr>
        <w:t xml:space="preserve"> limit for child tax credit and Universal Credit</w:t>
      </w:r>
      <w:r w:rsidRPr="00DA25B9">
        <w:rPr>
          <w:rFonts w:asciiTheme="majorHAnsi" w:hAnsiTheme="majorHAnsi" w:cstheme="majorHAnsi"/>
        </w:rPr>
        <w:t>, and the so-called “rape exemption.</w:t>
      </w:r>
      <w:r>
        <w:rPr>
          <w:rFonts w:asciiTheme="majorHAnsi" w:hAnsiTheme="majorHAnsi" w:cstheme="majorHAnsi"/>
        </w:rPr>
        <w:t>”</w:t>
      </w:r>
      <w:r>
        <w:rPr>
          <w:rStyle w:val="FootnoteReference"/>
          <w:rFonts w:asciiTheme="majorHAnsi" w:hAnsiTheme="majorHAnsi" w:cstheme="majorHAnsi"/>
        </w:rPr>
        <w:footnoteReference w:id="22"/>
      </w:r>
      <w:r w:rsidRPr="00DA25B9">
        <w:rPr>
          <w:rFonts w:asciiTheme="majorHAnsi" w:hAnsiTheme="majorHAnsi"/>
          <w:color w:val="0070C0"/>
        </w:rPr>
        <w:t xml:space="preserve"> [Appendix – 5]</w:t>
      </w:r>
    </w:p>
    <w:p w:rsidR="00CF0C19" w:rsidRPr="0073589C" w:rsidRDefault="00CF0C19" w:rsidP="00CF0C19">
      <w:pPr>
        <w:rPr>
          <w:rFonts w:asciiTheme="majorHAnsi" w:eastAsia="Calibri" w:hAnsiTheme="majorHAnsi" w:cs="Calibri"/>
          <w:i/>
          <w:iCs/>
          <w:color w:val="0070C0"/>
        </w:rPr>
      </w:pPr>
      <w:r w:rsidRPr="0073589C">
        <w:rPr>
          <w:rFonts w:asciiTheme="majorHAnsi" w:eastAsia="Calibri" w:hAnsiTheme="majorHAnsi" w:cs="Calibri"/>
          <w:i/>
          <w:iCs/>
          <w:color w:val="0070C0"/>
        </w:rPr>
        <w:t>Over twice as many disabled or retired Black, Asian and ethnic minority women and men reported that they had recently lost support from the government (43% and 48%) than white women and men in these groups (13% and 21%).</w:t>
      </w:r>
      <w:r w:rsidRPr="0073589C">
        <w:rPr>
          <w:rStyle w:val="FootnoteReference"/>
          <w:rFonts w:asciiTheme="majorHAnsi" w:eastAsia="Calibri" w:hAnsiTheme="majorHAnsi" w:cs="Calibri"/>
          <w:i/>
          <w:iCs/>
          <w:color w:val="0070C0"/>
        </w:rPr>
        <w:footnoteReference w:id="23"/>
      </w:r>
      <w:r w:rsidRPr="0073589C">
        <w:rPr>
          <w:rFonts w:asciiTheme="majorHAnsi" w:eastAsia="Calibri" w:hAnsiTheme="majorHAnsi" w:cs="Calibri"/>
          <w:i/>
          <w:iCs/>
          <w:color w:val="0070C0"/>
        </w:rPr>
        <w:t xml:space="preserve"> [The Fawcett Society]</w:t>
      </w:r>
    </w:p>
    <w:p w:rsidR="00CF0C19" w:rsidRPr="00EC4DFD" w:rsidRDefault="00CF0C19" w:rsidP="00CF0C19">
      <w:pPr>
        <w:rPr>
          <w:rFonts w:asciiTheme="majorHAnsi" w:eastAsia="Arial" w:hAnsiTheme="majorHAnsi" w:cs="Arial"/>
          <w:color w:val="0070C0"/>
        </w:rPr>
      </w:pPr>
      <w:r w:rsidRPr="00EC4DFD">
        <w:rPr>
          <w:rFonts w:asciiTheme="majorHAnsi" w:hAnsiTheme="majorHAnsi"/>
          <w:i/>
          <w:iCs/>
        </w:rPr>
        <w:t>PSED in relation to asylum and immigration policy</w:t>
      </w:r>
      <w:r w:rsidRPr="00EC4DFD">
        <w:rPr>
          <w:rFonts w:asciiTheme="majorHAnsi" w:hAnsiTheme="majorHAnsi"/>
        </w:rPr>
        <w:t xml:space="preserve"> </w:t>
      </w:r>
    </w:p>
    <w:p w:rsidR="00CF0C19" w:rsidRPr="00EC4DFD" w:rsidRDefault="00CF0C19" w:rsidP="00CF0C19">
      <w:pPr>
        <w:rPr>
          <w:rFonts w:asciiTheme="majorHAnsi" w:eastAsia="Calibri" w:hAnsiTheme="majorHAnsi" w:cs="Calibri"/>
          <w:sz w:val="24"/>
          <w:szCs w:val="24"/>
        </w:rPr>
      </w:pPr>
      <w:bookmarkStart w:id="8" w:name="_Hlk72342048"/>
      <w:r w:rsidRPr="00EC4DFD">
        <w:rPr>
          <w:rFonts w:asciiTheme="majorHAnsi" w:hAnsiTheme="majorHAnsi"/>
        </w:rPr>
        <w:t xml:space="preserve">The EHRC stated that </w:t>
      </w:r>
      <w:r w:rsidRPr="00EC4DFD">
        <w:rPr>
          <w:rFonts w:asciiTheme="majorHAnsi" w:eastAsia="Calibri" w:hAnsiTheme="majorHAnsi" w:cs="Calibri"/>
        </w:rPr>
        <w:t>the Home Office did not comply with section 149 of the Equality Act 2010 (the Public Sector Equality Duty)</w:t>
      </w:r>
      <w:r w:rsidRPr="00EC4DFD">
        <w:rPr>
          <w:rStyle w:val="FootnoteReference"/>
          <w:rFonts w:asciiTheme="majorHAnsi" w:eastAsia="Calibri" w:hAnsiTheme="majorHAnsi" w:cs="Calibri"/>
        </w:rPr>
        <w:footnoteReference w:id="24"/>
      </w:r>
      <w:r>
        <w:rPr>
          <w:rFonts w:asciiTheme="majorHAnsi" w:eastAsia="Calibri" w:hAnsiTheme="majorHAnsi" w:cs="Calibri"/>
        </w:rPr>
        <w:t xml:space="preserve"> in the Windrush scandal.</w:t>
      </w:r>
      <w:r>
        <w:rPr>
          <w:rStyle w:val="FootnoteReference"/>
          <w:rFonts w:asciiTheme="majorHAnsi" w:eastAsia="Calibri" w:hAnsiTheme="majorHAnsi" w:cs="Calibri"/>
        </w:rPr>
        <w:footnoteReference w:id="25"/>
      </w:r>
      <w:r w:rsidRPr="00EC4DFD">
        <w:rPr>
          <w:rFonts w:asciiTheme="majorHAnsi" w:eastAsia="Calibri" w:hAnsiTheme="majorHAnsi" w:cs="Calibri"/>
        </w:rPr>
        <w:t xml:space="preserve"> </w:t>
      </w:r>
      <w:bookmarkEnd w:id="8"/>
    </w:p>
    <w:p w:rsidR="00CF0C19" w:rsidRPr="0073589C" w:rsidRDefault="00CF0C19" w:rsidP="00CF0C19">
      <w:pPr>
        <w:rPr>
          <w:rFonts w:asciiTheme="majorHAnsi" w:eastAsia="Calibri" w:hAnsiTheme="majorHAnsi" w:cs="Calibri"/>
          <w:i/>
          <w:color w:val="0070C0"/>
        </w:rPr>
      </w:pPr>
      <w:r w:rsidRPr="0073589C">
        <w:rPr>
          <w:rFonts w:asciiTheme="majorHAnsi" w:eastAsia="Calibri" w:hAnsiTheme="majorHAnsi" w:cs="Calibri"/>
          <w:i/>
          <w:color w:val="0070C0"/>
        </w:rPr>
        <w:t>Refuges are rejecting asylum-seeking victim/survivors despite guidance outlining that Migrant Help can cover the cost of refuge space as they would for other accommodation. There is a routine lack of understanding about migrant women seeking asylum rights, and a presumption of NRPF despite seeking asylum status. [Angelou Centre]</w:t>
      </w:r>
    </w:p>
    <w:p w:rsidR="00CF0C19" w:rsidRPr="00EC4DFD" w:rsidRDefault="00CF0C19" w:rsidP="00CF0C19">
      <w:pPr>
        <w:rPr>
          <w:rFonts w:asciiTheme="majorHAnsi" w:eastAsia="Arial" w:hAnsiTheme="majorHAnsi" w:cs="Arial"/>
          <w:color w:val="0070C0"/>
        </w:rPr>
      </w:pPr>
      <w:r w:rsidRPr="00EC4DFD">
        <w:rPr>
          <w:rFonts w:asciiTheme="majorHAnsi" w:hAnsiTheme="majorHAnsi"/>
          <w:i/>
          <w:iCs/>
        </w:rPr>
        <w:t>PSED alongside the rise of gender neutrality</w:t>
      </w:r>
      <w:r>
        <w:rPr>
          <w:rFonts w:asciiTheme="majorHAnsi" w:hAnsiTheme="majorHAnsi"/>
          <w:i/>
          <w:iCs/>
        </w:rPr>
        <w:t xml:space="preserve"> </w:t>
      </w:r>
    </w:p>
    <w:p w:rsidR="00CF0C19" w:rsidRPr="00EC4DFD" w:rsidRDefault="00CF0C19" w:rsidP="00CF0C19">
      <w:pPr>
        <w:rPr>
          <w:rFonts w:asciiTheme="majorHAnsi" w:eastAsia="Arial" w:hAnsiTheme="majorHAnsi" w:cs="Arial"/>
          <w:color w:val="0070C0"/>
        </w:rPr>
      </w:pPr>
      <w:r w:rsidRPr="00EC4DFD">
        <w:rPr>
          <w:rFonts w:asciiTheme="majorHAnsi" w:hAnsiTheme="majorHAnsi"/>
        </w:rPr>
        <w:t xml:space="preserve">The government states that domestic legislation is enough with respects to safeguarding women and addressing their needs. However, women’s organisations have been reporting a trend of ‘gender neutrality’ in policy for many years now. This was </w:t>
      </w:r>
      <w:r>
        <w:rPr>
          <w:rFonts w:asciiTheme="majorHAnsi" w:hAnsiTheme="majorHAnsi"/>
        </w:rPr>
        <w:t>recognised</w:t>
      </w:r>
      <w:r w:rsidRPr="00EC4DFD">
        <w:rPr>
          <w:rFonts w:asciiTheme="majorHAnsi" w:hAnsiTheme="majorHAnsi"/>
        </w:rPr>
        <w:t xml:space="preserve"> by the UN Special Rapporteur’s report in 2014.</w:t>
      </w:r>
      <w:r w:rsidRPr="00EC4DFD">
        <w:rPr>
          <w:rStyle w:val="FootnoteReference"/>
          <w:rFonts w:asciiTheme="majorHAnsi" w:hAnsiTheme="majorHAnsi"/>
        </w:rPr>
        <w:footnoteReference w:id="26"/>
      </w:r>
      <w:r w:rsidRPr="00EC4DFD">
        <w:rPr>
          <w:rFonts w:asciiTheme="majorHAnsi" w:hAnsiTheme="majorHAnsi"/>
        </w:rPr>
        <w:t xml:space="preserve"> </w:t>
      </w:r>
    </w:p>
    <w:p w:rsidR="00CF0C19" w:rsidRPr="00EC4DFD" w:rsidRDefault="00CF0C19" w:rsidP="00CF0C19">
      <w:pPr>
        <w:rPr>
          <w:rFonts w:asciiTheme="majorHAnsi" w:hAnsiTheme="majorHAnsi"/>
          <w:i/>
          <w:iCs/>
        </w:rPr>
      </w:pPr>
      <w:r w:rsidRPr="00EC4DFD">
        <w:rPr>
          <w:rFonts w:asciiTheme="majorHAnsi" w:hAnsiTheme="majorHAnsi"/>
          <w:i/>
          <w:iCs/>
        </w:rPr>
        <w:t>CASE STUDY: The Domestic Abuse Bill came into force in 202</w:t>
      </w:r>
      <w:r>
        <w:rPr>
          <w:rFonts w:asciiTheme="majorHAnsi" w:hAnsiTheme="majorHAnsi"/>
          <w:i/>
          <w:iCs/>
        </w:rPr>
        <w:t>1. However, there are still</w:t>
      </w:r>
      <w:r w:rsidRPr="00EC4DFD">
        <w:rPr>
          <w:rFonts w:asciiTheme="majorHAnsi" w:hAnsiTheme="majorHAnsi"/>
          <w:i/>
          <w:iCs/>
        </w:rPr>
        <w:t xml:space="preserve"> gaps that domestic legislation continues to have around: the lack of resourcing for specialist service provision to meet women’s needs (which is part of the Istanbul Convention); the focus on narrow, single issue understandings of women’s issues</w:t>
      </w:r>
      <w:r>
        <w:rPr>
          <w:rFonts w:asciiTheme="majorHAnsi" w:hAnsiTheme="majorHAnsi"/>
          <w:i/>
          <w:iCs/>
        </w:rPr>
        <w:t xml:space="preserve">, for example, </w:t>
      </w:r>
      <w:r w:rsidRPr="00EC4DFD">
        <w:rPr>
          <w:rFonts w:asciiTheme="majorHAnsi" w:hAnsiTheme="majorHAnsi"/>
          <w:i/>
          <w:iCs/>
        </w:rPr>
        <w:t xml:space="preserve">there is no </w:t>
      </w:r>
      <w:r>
        <w:rPr>
          <w:rFonts w:asciiTheme="majorHAnsi" w:hAnsiTheme="majorHAnsi"/>
          <w:i/>
          <w:iCs/>
        </w:rPr>
        <w:t>recognition</w:t>
      </w:r>
      <w:r w:rsidRPr="00EC4DFD">
        <w:rPr>
          <w:rFonts w:asciiTheme="majorHAnsi" w:hAnsiTheme="majorHAnsi"/>
          <w:i/>
          <w:iCs/>
        </w:rPr>
        <w:t xml:space="preserve"> of sexual violence</w:t>
      </w:r>
      <w:r>
        <w:rPr>
          <w:rFonts w:asciiTheme="majorHAnsi" w:hAnsiTheme="majorHAnsi"/>
          <w:i/>
          <w:iCs/>
        </w:rPr>
        <w:t xml:space="preserve"> as a factor within domestic abuse</w:t>
      </w:r>
      <w:r w:rsidRPr="00EC4DFD">
        <w:rPr>
          <w:rFonts w:asciiTheme="majorHAnsi" w:hAnsiTheme="majorHAnsi"/>
          <w:i/>
          <w:iCs/>
        </w:rPr>
        <w:t xml:space="preserve"> in the legislation or that domestic abuse is part of the spectrum of VAWG; the lack of concern with women wi</w:t>
      </w:r>
      <w:r>
        <w:rPr>
          <w:rFonts w:asciiTheme="majorHAnsi" w:hAnsiTheme="majorHAnsi"/>
          <w:i/>
          <w:iCs/>
        </w:rPr>
        <w:t>th NRPF</w:t>
      </w:r>
      <w:r w:rsidRPr="00EC4DFD">
        <w:rPr>
          <w:rFonts w:asciiTheme="majorHAnsi" w:hAnsiTheme="majorHAnsi"/>
          <w:i/>
          <w:iCs/>
        </w:rPr>
        <w:t>; and its gender-neutral approach. This is despite clear recommendations from the VAWG sector and a joint-parliamentary pre-legislative scrutiny committee</w:t>
      </w:r>
      <w:bookmarkStart w:id="9" w:name="_Hlk72395611"/>
      <w:r>
        <w:rPr>
          <w:rFonts w:asciiTheme="majorHAnsi" w:hAnsiTheme="majorHAnsi"/>
          <w:i/>
          <w:iCs/>
        </w:rPr>
        <w:t>.</w:t>
      </w:r>
      <w:r w:rsidRPr="00EC4DFD">
        <w:rPr>
          <w:rStyle w:val="FootnoteReference"/>
          <w:rFonts w:asciiTheme="majorHAnsi" w:hAnsiTheme="majorHAnsi"/>
          <w:i/>
          <w:iCs/>
        </w:rPr>
        <w:footnoteReference w:id="27"/>
      </w:r>
      <w:r w:rsidRPr="00EC4DFD">
        <w:rPr>
          <w:rFonts w:asciiTheme="majorHAnsi" w:hAnsiTheme="majorHAnsi"/>
          <w:i/>
          <w:iCs/>
        </w:rPr>
        <w:t xml:space="preserve"> </w:t>
      </w:r>
      <w:r>
        <w:rPr>
          <w:rFonts w:asciiTheme="majorHAnsi" w:hAnsiTheme="majorHAnsi"/>
          <w:i/>
          <w:iCs/>
        </w:rPr>
        <w:t>In October 2020, t</w:t>
      </w:r>
      <w:r w:rsidRPr="00EC4DFD">
        <w:rPr>
          <w:rFonts w:asciiTheme="majorHAnsi" w:hAnsiTheme="majorHAnsi"/>
          <w:i/>
          <w:iCs/>
        </w:rPr>
        <w:t>he government</w:t>
      </w:r>
      <w:r>
        <w:rPr>
          <w:rFonts w:asciiTheme="majorHAnsi" w:hAnsiTheme="majorHAnsi"/>
          <w:i/>
          <w:iCs/>
        </w:rPr>
        <w:t xml:space="preserve"> </w:t>
      </w:r>
      <w:r w:rsidRPr="00EC4DFD">
        <w:rPr>
          <w:rFonts w:asciiTheme="majorHAnsi" w:hAnsiTheme="majorHAnsi"/>
          <w:i/>
          <w:iCs/>
        </w:rPr>
        <w:t>announced plans to separate domestic abuse from the cross-government VAWG strategy in 2021</w:t>
      </w:r>
      <w:r>
        <w:rPr>
          <w:rFonts w:asciiTheme="majorHAnsi" w:hAnsiTheme="majorHAnsi"/>
          <w:i/>
          <w:iCs/>
        </w:rPr>
        <w:t xml:space="preserve"> without prior</w:t>
      </w:r>
      <w:r w:rsidRPr="00EC4DFD">
        <w:rPr>
          <w:rFonts w:asciiTheme="majorHAnsi" w:hAnsiTheme="majorHAnsi"/>
          <w:i/>
          <w:iCs/>
        </w:rPr>
        <w:t xml:space="preserve"> consult</w:t>
      </w:r>
      <w:r>
        <w:rPr>
          <w:rFonts w:asciiTheme="majorHAnsi" w:hAnsiTheme="majorHAnsi"/>
          <w:i/>
          <w:iCs/>
        </w:rPr>
        <w:t>ation.</w:t>
      </w:r>
      <w:r w:rsidRPr="00EC4DFD">
        <w:rPr>
          <w:rFonts w:asciiTheme="majorHAnsi" w:hAnsiTheme="majorHAnsi"/>
          <w:i/>
          <w:iCs/>
        </w:rPr>
        <w:t xml:space="preserve"> </w:t>
      </w:r>
      <w:bookmarkEnd w:id="9"/>
      <w:r w:rsidRPr="005247A6">
        <w:rPr>
          <w:rFonts w:asciiTheme="majorHAnsi" w:hAnsiTheme="majorHAnsi"/>
          <w:color w:val="3366FF"/>
        </w:rPr>
        <w:t>[Appendix</w:t>
      </w:r>
      <w:r>
        <w:rPr>
          <w:rFonts w:asciiTheme="majorHAnsi" w:hAnsiTheme="majorHAnsi"/>
          <w:color w:val="3366FF"/>
        </w:rPr>
        <w:t xml:space="preserve"> </w:t>
      </w:r>
      <w:r w:rsidRPr="005247A6">
        <w:rPr>
          <w:rFonts w:asciiTheme="majorHAnsi" w:hAnsiTheme="majorHAnsi"/>
          <w:color w:val="3366FF"/>
        </w:rPr>
        <w:t xml:space="preserve">- </w:t>
      </w:r>
      <w:r>
        <w:rPr>
          <w:rFonts w:asciiTheme="majorHAnsi" w:hAnsiTheme="majorHAnsi"/>
          <w:color w:val="3366FF"/>
        </w:rPr>
        <w:t>6</w:t>
      </w:r>
      <w:r w:rsidRPr="005247A6">
        <w:rPr>
          <w:rFonts w:asciiTheme="majorHAnsi" w:hAnsiTheme="majorHAnsi"/>
          <w:color w:val="3366FF"/>
        </w:rPr>
        <w:t>]</w:t>
      </w:r>
    </w:p>
    <w:p w:rsidR="00CF0C19" w:rsidRDefault="00CF0C19" w:rsidP="00CF0C19">
      <w:pPr>
        <w:rPr>
          <w:rFonts w:asciiTheme="majorHAnsi" w:eastAsia="Arial" w:hAnsiTheme="majorHAnsi" w:cs="Arial"/>
          <w:b/>
          <w:bCs/>
        </w:rPr>
      </w:pPr>
      <w:r w:rsidRPr="00EC4DFD">
        <w:rPr>
          <w:rFonts w:asciiTheme="majorHAnsi" w:hAnsiTheme="majorHAnsi"/>
          <w:b/>
          <w:bCs/>
        </w:rPr>
        <w:t>Women and Poverty</w:t>
      </w:r>
    </w:p>
    <w:p w:rsidR="00CF0C19" w:rsidRPr="004A0523" w:rsidRDefault="00CF0C19" w:rsidP="00CF0C19">
      <w:pPr>
        <w:rPr>
          <w:rFonts w:asciiTheme="majorHAnsi" w:eastAsia="Arial" w:hAnsiTheme="majorHAnsi" w:cs="Arial"/>
          <w:b/>
          <w:bCs/>
        </w:rPr>
      </w:pPr>
      <w:r w:rsidRPr="00EC4DFD">
        <w:rPr>
          <w:rFonts w:asciiTheme="majorHAnsi" w:hAnsiTheme="majorHAnsi"/>
        </w:rPr>
        <w:t>Rates of destitution were rising even before the pandemic</w:t>
      </w:r>
      <w:r w:rsidRPr="00EC4DFD">
        <w:rPr>
          <w:rStyle w:val="FootnoteReference"/>
          <w:rFonts w:asciiTheme="majorHAnsi" w:hAnsiTheme="majorHAnsi" w:cs="Arial"/>
        </w:rPr>
        <w:footnoteReference w:id="28"/>
      </w:r>
      <w:r w:rsidRPr="00EC4DFD">
        <w:rPr>
          <w:rFonts w:asciiTheme="majorHAnsi" w:hAnsiTheme="majorHAnsi"/>
        </w:rPr>
        <w:t xml:space="preserve">, although the </w:t>
      </w:r>
      <w:r>
        <w:rPr>
          <w:rFonts w:asciiTheme="majorHAnsi" w:hAnsiTheme="majorHAnsi"/>
        </w:rPr>
        <w:t>pandemic</w:t>
      </w:r>
      <w:r w:rsidRPr="00EC4DFD">
        <w:rPr>
          <w:rFonts w:asciiTheme="majorHAnsi" w:hAnsiTheme="majorHAnsi"/>
        </w:rPr>
        <w:t xml:space="preserve"> </w:t>
      </w:r>
      <w:r>
        <w:rPr>
          <w:rFonts w:asciiTheme="majorHAnsi" w:hAnsiTheme="majorHAnsi"/>
        </w:rPr>
        <w:t>is likely to</w:t>
      </w:r>
      <w:r w:rsidRPr="00EC4DFD">
        <w:rPr>
          <w:rFonts w:asciiTheme="majorHAnsi" w:hAnsiTheme="majorHAnsi"/>
        </w:rPr>
        <w:t xml:space="preserve"> push an extra two million families into poverty.</w:t>
      </w:r>
      <w:r>
        <w:rPr>
          <w:rStyle w:val="FootnoteReference"/>
          <w:rFonts w:asciiTheme="majorHAnsi" w:hAnsiTheme="majorHAnsi"/>
        </w:rPr>
        <w:footnoteReference w:id="29"/>
      </w:r>
      <w:r w:rsidRPr="00EC4DFD">
        <w:rPr>
          <w:rFonts w:asciiTheme="majorHAnsi" w:hAnsiTheme="majorHAnsi"/>
        </w:rPr>
        <w:t xml:space="preserve"> Lone mothers, migrants with NRPF, and B</w:t>
      </w:r>
      <w:r>
        <w:rPr>
          <w:rFonts w:asciiTheme="majorHAnsi" w:hAnsiTheme="majorHAnsi"/>
        </w:rPr>
        <w:t>lack and minoritised</w:t>
      </w:r>
      <w:r w:rsidRPr="00EC4DFD">
        <w:rPr>
          <w:rFonts w:asciiTheme="majorHAnsi" w:hAnsiTheme="majorHAnsi"/>
        </w:rPr>
        <w:t xml:space="preserve"> women are increasingly at risk.</w:t>
      </w:r>
      <w:r w:rsidRPr="00EC4DFD">
        <w:rPr>
          <w:rStyle w:val="FootnoteReference"/>
          <w:rFonts w:asciiTheme="majorHAnsi" w:hAnsiTheme="majorHAnsi" w:cs="Arial"/>
        </w:rPr>
        <w:footnoteReference w:id="30"/>
      </w:r>
      <w:r w:rsidRPr="00EC4DFD">
        <w:rPr>
          <w:rFonts w:asciiTheme="majorHAnsi" w:hAnsiTheme="majorHAnsi"/>
        </w:rPr>
        <w:t xml:space="preserve"> </w:t>
      </w:r>
      <w:bookmarkStart w:id="10" w:name="_Hlk64542366"/>
      <w:r>
        <w:rPr>
          <w:rFonts w:asciiTheme="majorHAnsi" w:hAnsiTheme="majorHAnsi"/>
        </w:rPr>
        <w:t>Having to home-school during the pandemic,</w:t>
      </w:r>
      <w:r>
        <w:rPr>
          <w:rStyle w:val="FootnoteReference"/>
          <w:rFonts w:asciiTheme="majorHAnsi" w:hAnsiTheme="majorHAnsi"/>
        </w:rPr>
        <w:footnoteReference w:id="31"/>
      </w:r>
      <w:bookmarkEnd w:id="10"/>
      <w:r>
        <w:rPr>
          <w:rFonts w:asciiTheme="majorHAnsi" w:hAnsiTheme="majorHAnsi"/>
        </w:rPr>
        <w:t xml:space="preserve"> as well as s</w:t>
      </w:r>
      <w:r w:rsidRPr="00EC4DFD">
        <w:rPr>
          <w:rFonts w:asciiTheme="majorHAnsi" w:hAnsiTheme="majorHAnsi"/>
        </w:rPr>
        <w:t>hortages of free and affordable childcare are severely impacting on women’s position in the labour market</w:t>
      </w:r>
      <w:r w:rsidRPr="00EC4DFD">
        <w:rPr>
          <w:rStyle w:val="FootnoteReference"/>
          <w:rFonts w:asciiTheme="majorHAnsi" w:hAnsiTheme="majorHAnsi"/>
        </w:rPr>
        <w:footnoteReference w:id="32"/>
      </w:r>
      <w:r w:rsidRPr="00EC4DFD">
        <w:rPr>
          <w:rFonts w:asciiTheme="majorHAnsi" w:hAnsiTheme="majorHAnsi"/>
        </w:rPr>
        <w:t xml:space="preserve"> - mothers are one-and-a-half times more likely to have lost their jobs or quit than fathers since the start of the pandemic.</w:t>
      </w:r>
      <w:r w:rsidRPr="00EC4DFD">
        <w:rPr>
          <w:rStyle w:val="FootnoteReference"/>
          <w:rFonts w:asciiTheme="majorHAnsi" w:hAnsiTheme="majorHAnsi"/>
        </w:rPr>
        <w:footnoteReference w:id="33"/>
      </w:r>
      <w:r w:rsidRPr="00EC4DFD">
        <w:rPr>
          <w:rFonts w:asciiTheme="majorHAnsi" w:hAnsiTheme="majorHAnsi"/>
        </w:rPr>
        <w:t xml:space="preserve"> 71% of working mothers have been refused furlough.</w:t>
      </w:r>
      <w:r w:rsidRPr="00EC4DFD">
        <w:rPr>
          <w:rStyle w:val="FootnoteReference"/>
          <w:rFonts w:asciiTheme="majorHAnsi" w:hAnsiTheme="majorHAnsi"/>
        </w:rPr>
        <w:footnoteReference w:id="34"/>
      </w:r>
      <w:r w:rsidRPr="00EC4DFD">
        <w:rPr>
          <w:rFonts w:asciiTheme="majorHAnsi" w:hAnsiTheme="majorHAnsi"/>
        </w:rPr>
        <w:t xml:space="preserve"> One in seven destitute people were in insecure work or on zero-hours contracts</w:t>
      </w:r>
      <w:r>
        <w:rPr>
          <w:rFonts w:asciiTheme="majorHAnsi" w:hAnsiTheme="majorHAnsi"/>
        </w:rPr>
        <w:t>,</w:t>
      </w:r>
      <w:r>
        <w:rPr>
          <w:rStyle w:val="FootnoteReference"/>
          <w:rFonts w:asciiTheme="majorHAnsi" w:hAnsiTheme="majorHAnsi"/>
        </w:rPr>
        <w:footnoteReference w:id="35"/>
      </w:r>
      <w:r w:rsidRPr="00EC4DFD">
        <w:rPr>
          <w:rFonts w:asciiTheme="majorHAnsi" w:hAnsiTheme="majorHAnsi"/>
        </w:rPr>
        <w:t xml:space="preserve"> of which the majority are women.</w:t>
      </w:r>
      <w:r w:rsidRPr="00EC4DFD">
        <w:rPr>
          <w:rStyle w:val="FootnoteReference"/>
          <w:rFonts w:asciiTheme="majorHAnsi" w:hAnsiTheme="majorHAnsi"/>
        </w:rPr>
        <w:footnoteReference w:id="36"/>
      </w:r>
      <w:r w:rsidRPr="00EC4DFD">
        <w:rPr>
          <w:rFonts w:asciiTheme="majorHAnsi" w:hAnsiTheme="majorHAnsi"/>
        </w:rPr>
        <w:t xml:space="preserve"> </w:t>
      </w:r>
      <w:r w:rsidRPr="00EC4DFD">
        <w:rPr>
          <w:rFonts w:asciiTheme="majorHAnsi" w:eastAsia="Times New Roman" w:hAnsiTheme="majorHAnsi" w:cs="Times New Roman"/>
          <w:bCs/>
          <w:color w:val="000000"/>
        </w:rPr>
        <w:t>Prostitution is increasing because poverty is increasing.</w:t>
      </w:r>
      <w:r w:rsidRPr="00EC4DFD">
        <w:rPr>
          <w:rFonts w:asciiTheme="majorHAnsi" w:eastAsia="Times New Roman" w:hAnsiTheme="majorHAnsi" w:cs="Times New Roman"/>
          <w:color w:val="000000"/>
        </w:rPr>
        <w:t> 89% of austerity cuts have targeted women.</w:t>
      </w:r>
      <w:bookmarkStart w:id="11" w:name="_ednref3"/>
      <w:bookmarkEnd w:id="11"/>
      <w:r w:rsidRPr="00EC4DFD">
        <w:rPr>
          <w:rStyle w:val="FootnoteReference"/>
          <w:rFonts w:asciiTheme="majorHAnsi" w:eastAsia="Times New Roman" w:hAnsiTheme="majorHAnsi" w:cs="Times New Roman"/>
          <w:color w:val="000000"/>
        </w:rPr>
        <w:footnoteReference w:id="37"/>
      </w:r>
      <w:r w:rsidRPr="00EC4DFD">
        <w:rPr>
          <w:rFonts w:asciiTheme="majorHAnsi" w:eastAsia="Times New Roman" w:hAnsiTheme="majorHAnsi" w:cs="Times New Roman"/>
          <w:color w:val="000000"/>
        </w:rPr>
        <w:t xml:space="preserve"> Benefit</w:t>
      </w:r>
      <w:r>
        <w:rPr>
          <w:rFonts w:asciiTheme="majorHAnsi" w:eastAsia="Times New Roman" w:hAnsiTheme="majorHAnsi" w:cs="Times New Roman"/>
          <w:color w:val="000000"/>
        </w:rPr>
        <w:t xml:space="preserve"> </w:t>
      </w:r>
      <w:r w:rsidRPr="00EC4DFD">
        <w:rPr>
          <w:rFonts w:asciiTheme="majorHAnsi" w:eastAsia="Times New Roman" w:hAnsiTheme="majorHAnsi" w:cs="Times New Roman"/>
          <w:color w:val="000000"/>
        </w:rPr>
        <w:t>sanctions and the introduction of universal credit</w:t>
      </w:r>
      <w:bookmarkStart w:id="12" w:name="_ednref4"/>
      <w:bookmarkEnd w:id="12"/>
      <w:r w:rsidRPr="00EC4DFD">
        <w:rPr>
          <w:rStyle w:val="FootnoteReference"/>
          <w:rFonts w:asciiTheme="majorHAnsi" w:eastAsia="Times New Roman" w:hAnsiTheme="majorHAnsi" w:cs="Times New Roman"/>
          <w:i/>
          <w:color w:val="000000"/>
        </w:rPr>
        <w:footnoteReference w:id="38"/>
      </w:r>
      <w:r w:rsidRPr="00EC4DFD">
        <w:rPr>
          <w:rFonts w:asciiTheme="majorHAnsi" w:eastAsia="Times New Roman" w:hAnsiTheme="majorHAnsi" w:cs="Times New Roman"/>
          <w:i/>
          <w:color w:val="000000"/>
        </w:rPr>
        <w:t xml:space="preserve"> </w:t>
      </w:r>
      <w:r w:rsidRPr="00EC4DFD">
        <w:rPr>
          <w:rFonts w:asciiTheme="majorHAnsi" w:eastAsia="Times New Roman" w:hAnsiTheme="majorHAnsi" w:cs="Times New Roman"/>
          <w:color w:val="000000"/>
        </w:rPr>
        <w:t>caused destitution and pushed more women, particularly mothers</w:t>
      </w:r>
      <w:bookmarkStart w:id="13" w:name="_ednref5"/>
      <w:bookmarkEnd w:id="13"/>
      <w:r w:rsidRPr="00EC4DFD">
        <w:rPr>
          <w:rStyle w:val="FootnoteReference"/>
          <w:rFonts w:asciiTheme="majorHAnsi" w:eastAsia="Times New Roman" w:hAnsiTheme="majorHAnsi" w:cs="Times New Roman"/>
          <w:color w:val="000000"/>
        </w:rPr>
        <w:footnoteReference w:id="39"/>
      </w:r>
      <w:r w:rsidRPr="00EC4DFD">
        <w:rPr>
          <w:rFonts w:asciiTheme="majorHAnsi" w:eastAsia="Times New Roman" w:hAnsiTheme="majorHAnsi" w:cs="Times New Roman"/>
          <w:color w:val="0000FF" w:themeColor="hyperlink"/>
        </w:rPr>
        <w:t xml:space="preserve"> </w:t>
      </w:r>
      <w:r w:rsidRPr="00EC4DFD">
        <w:rPr>
          <w:rFonts w:asciiTheme="majorHAnsi" w:eastAsia="Times New Roman" w:hAnsiTheme="majorHAnsi" w:cs="Times New Roman"/>
          <w:color w:val="000000"/>
        </w:rPr>
        <w:t>into prostitution to feed themselves and their families.</w:t>
      </w:r>
      <w:bookmarkStart w:id="15" w:name="_ednref7"/>
      <w:bookmarkEnd w:id="15"/>
      <w:r w:rsidRPr="00EC4DFD">
        <w:rPr>
          <w:rStyle w:val="FootnoteReference"/>
          <w:rFonts w:asciiTheme="majorHAnsi" w:eastAsia="Times New Roman" w:hAnsiTheme="majorHAnsi" w:cs="Times New Roman"/>
          <w:color w:val="000000"/>
        </w:rPr>
        <w:footnoteReference w:id="40"/>
      </w:r>
      <w:r w:rsidRPr="00EC4DFD">
        <w:rPr>
          <w:rFonts w:asciiTheme="majorHAnsi" w:eastAsia="Times New Roman" w:hAnsiTheme="majorHAnsi" w:cs="Times New Roman"/>
          <w:color w:val="000000"/>
          <w:sz w:val="24"/>
          <w:szCs w:val="24"/>
        </w:rPr>
        <w:t xml:space="preserve"> </w:t>
      </w:r>
    </w:p>
    <w:p w:rsidR="00CF0C19" w:rsidRPr="00EC4DFD" w:rsidRDefault="00CF0C19" w:rsidP="00CF0C19">
      <w:pPr>
        <w:rPr>
          <w:rFonts w:asciiTheme="majorHAnsi" w:eastAsia="Arial" w:hAnsiTheme="majorHAnsi" w:cs="Arial"/>
        </w:rPr>
      </w:pPr>
      <w:r w:rsidRPr="00BA771B">
        <w:rPr>
          <w:rFonts w:asciiTheme="majorHAnsi" w:eastAsia="Times New Roman" w:hAnsiTheme="majorHAnsi" w:cstheme="majorHAnsi"/>
          <w:color w:val="000000"/>
        </w:rPr>
        <w:t>The universal credit single payment</w:t>
      </w:r>
      <w:r>
        <w:rPr>
          <w:rStyle w:val="FootnoteReference"/>
          <w:rFonts w:asciiTheme="majorHAnsi" w:eastAsia="Times New Roman" w:hAnsiTheme="majorHAnsi" w:cstheme="majorHAnsi"/>
          <w:color w:val="000000"/>
        </w:rPr>
        <w:footnoteReference w:id="41"/>
      </w:r>
      <w:r w:rsidRPr="00BA771B">
        <w:rPr>
          <w:rFonts w:asciiTheme="majorHAnsi" w:eastAsia="Times New Roman" w:hAnsiTheme="majorHAnsi" w:cstheme="majorHAnsi"/>
          <w:color w:val="000000"/>
        </w:rPr>
        <w:t xml:space="preserve"> and women’s wider economic vulnerabilities can make it more difficult for women to </w:t>
      </w:r>
      <w:r w:rsidRPr="00BA771B">
        <w:rPr>
          <w:rFonts w:asciiTheme="majorHAnsi" w:hAnsiTheme="majorHAnsi" w:cstheme="majorHAnsi"/>
        </w:rPr>
        <w:t>leave an abusive partner</w:t>
      </w:r>
      <w:r>
        <w:rPr>
          <w:rFonts w:asciiTheme="majorHAnsi" w:hAnsiTheme="majorHAnsi" w:cstheme="majorHAnsi"/>
        </w:rPr>
        <w:t>, at the same time that violence against women</w:t>
      </w:r>
      <w:r w:rsidRPr="00BA771B">
        <w:rPr>
          <w:rFonts w:asciiTheme="majorHAnsi" w:hAnsiTheme="majorHAnsi" w:cstheme="majorHAnsi"/>
        </w:rPr>
        <w:t xml:space="preserve"> itself is</w:t>
      </w:r>
      <w:r w:rsidRPr="00EC4DFD">
        <w:rPr>
          <w:rFonts w:asciiTheme="majorHAnsi" w:hAnsiTheme="majorHAnsi"/>
        </w:rPr>
        <w:t xml:space="preserve"> on the rise.</w:t>
      </w:r>
      <w:r w:rsidRPr="00EC4DFD">
        <w:rPr>
          <w:rStyle w:val="FootnoteReference"/>
          <w:rFonts w:asciiTheme="majorHAnsi" w:hAnsiTheme="majorHAnsi"/>
        </w:rPr>
        <w:footnoteReference w:id="42"/>
      </w:r>
      <w:r w:rsidRPr="00EC4DFD">
        <w:rPr>
          <w:rFonts w:asciiTheme="majorHAnsi" w:hAnsiTheme="majorHAnsi"/>
        </w:rPr>
        <w:t xml:space="preserve"> This, along with the deteriorating mental health of women,</w:t>
      </w:r>
      <w:r w:rsidRPr="00EC4DFD">
        <w:rPr>
          <w:rStyle w:val="FootnoteReference"/>
          <w:rFonts w:asciiTheme="majorHAnsi" w:hAnsiTheme="majorHAnsi"/>
        </w:rPr>
        <w:footnoteReference w:id="43"/>
      </w:r>
      <w:r w:rsidRPr="00EC4DFD">
        <w:rPr>
          <w:rFonts w:asciiTheme="majorHAnsi" w:hAnsiTheme="majorHAnsi"/>
        </w:rPr>
        <w:t xml:space="preserve"> has seen the numbers of children going into care increase, with a 50% referral increase during lockdown.</w:t>
      </w:r>
      <w:r w:rsidRPr="00EC4DFD">
        <w:rPr>
          <w:rStyle w:val="FootnoteReference"/>
          <w:rFonts w:asciiTheme="majorHAnsi" w:eastAsia="Times New Roman" w:hAnsiTheme="majorHAnsi" w:cs="Arial"/>
          <w:color w:val="333333"/>
          <w:shd w:val="clear" w:color="auto" w:fill="F3F4F7"/>
        </w:rPr>
        <w:footnoteReference w:id="44"/>
      </w:r>
      <w:r w:rsidRPr="00EC4DFD">
        <w:rPr>
          <w:rFonts w:asciiTheme="majorHAnsi" w:hAnsiTheme="majorHAnsi"/>
        </w:rPr>
        <w:t xml:space="preserve"> All of this has a knock-on effect on health, education and housing. These socioeconomic issues cannot be seen separately, but feed into each, have a cumulatively negative effect, and are part of the systemic nature of discrimination and cycles of poverty. </w:t>
      </w:r>
      <w:r w:rsidRPr="008158DC">
        <w:rPr>
          <w:rFonts w:asciiTheme="majorHAnsi" w:hAnsiTheme="majorHAnsi"/>
          <w:color w:val="0070C0"/>
        </w:rPr>
        <w:t>[Appendix – 7]</w:t>
      </w:r>
    </w:p>
    <w:p w:rsidR="00CF0C19" w:rsidRPr="00826485" w:rsidRDefault="00CF0C19" w:rsidP="00CF0C19">
      <w:pPr>
        <w:rPr>
          <w:rFonts w:asciiTheme="majorHAnsi" w:hAnsiTheme="majorHAnsi"/>
          <w:i/>
          <w:color w:val="0070C0"/>
        </w:rPr>
      </w:pPr>
      <w:r w:rsidRPr="0073589C">
        <w:rPr>
          <w:rFonts w:asciiTheme="majorHAnsi" w:eastAsia="Calibri" w:hAnsiTheme="majorHAnsi" w:cs="Calibri"/>
          <w:i/>
          <w:color w:val="0070C0"/>
        </w:rPr>
        <w:t>Tech poverty has been particularly evident during the pandemic. At the beginning of the lockdown, 25% of Angelou Centre service users did not have access to a mobile phone but were reliant on perpetrators to use their phone.</w:t>
      </w:r>
      <w:r w:rsidRPr="0073589C">
        <w:rPr>
          <w:rFonts w:asciiTheme="majorHAnsi" w:eastAsia="Calibri" w:hAnsiTheme="majorHAnsi" w:cs="Calibri"/>
          <w:color w:val="0070C0"/>
        </w:rPr>
        <w:t xml:space="preserve"> </w:t>
      </w:r>
      <w:r w:rsidRPr="0073589C">
        <w:rPr>
          <w:rFonts w:asciiTheme="majorHAnsi" w:hAnsiTheme="majorHAnsi"/>
          <w:i/>
          <w:color w:val="0070C0"/>
        </w:rPr>
        <w:t>Our needs assessment showed that women’s added responsibilities like home schooling, extra precautions to keep their families and children safe, lack of digital skills and uncertainty about the whole COVID-19 situation, meant that they and couldn’t prioritise their own learning (and future economic independence). [Angelou Centre]</w:t>
      </w:r>
    </w:p>
    <w:p w:rsidR="00CF0C19" w:rsidRPr="00EC4DFD" w:rsidRDefault="00CF0C19" w:rsidP="00CF0C19">
      <w:pPr>
        <w:rPr>
          <w:rFonts w:asciiTheme="majorHAnsi" w:eastAsia="Arial" w:hAnsiTheme="majorHAnsi" w:cs="Arial"/>
          <w:b/>
          <w:bCs/>
        </w:rPr>
      </w:pPr>
      <w:r w:rsidRPr="00EC4DFD">
        <w:rPr>
          <w:rFonts w:asciiTheme="majorHAnsi" w:hAnsiTheme="majorHAnsi"/>
          <w:b/>
          <w:bCs/>
        </w:rPr>
        <w:t xml:space="preserve">Women and the </w:t>
      </w:r>
      <w:r>
        <w:rPr>
          <w:rFonts w:asciiTheme="majorHAnsi" w:hAnsiTheme="majorHAnsi"/>
          <w:b/>
          <w:bCs/>
        </w:rPr>
        <w:t xml:space="preserve">Criminal </w:t>
      </w:r>
      <w:r w:rsidRPr="00EC4DFD">
        <w:rPr>
          <w:rFonts w:asciiTheme="majorHAnsi" w:hAnsiTheme="majorHAnsi"/>
          <w:b/>
          <w:bCs/>
        </w:rPr>
        <w:t>Justice</w:t>
      </w:r>
      <w:r>
        <w:rPr>
          <w:rFonts w:asciiTheme="majorHAnsi" w:hAnsiTheme="majorHAnsi"/>
          <w:b/>
          <w:bCs/>
        </w:rPr>
        <w:t>/Legal/family court</w:t>
      </w:r>
      <w:r w:rsidRPr="00EC4DFD">
        <w:rPr>
          <w:rFonts w:asciiTheme="majorHAnsi" w:hAnsiTheme="majorHAnsi"/>
          <w:b/>
          <w:bCs/>
        </w:rPr>
        <w:t xml:space="preserve"> System</w:t>
      </w:r>
    </w:p>
    <w:p w:rsidR="00CF0C19" w:rsidRDefault="00CF0C19" w:rsidP="00CF0C19">
      <w:pPr>
        <w:shd w:val="clear" w:color="auto" w:fill="FFFFFF"/>
        <w:spacing w:after="0" w:line="240" w:lineRule="auto"/>
        <w:textAlignment w:val="baseline"/>
        <w:rPr>
          <w:rFonts w:asciiTheme="majorHAnsi" w:hAnsiTheme="majorHAnsi"/>
        </w:rPr>
      </w:pPr>
      <w:bookmarkStart w:id="16" w:name="_Hlk72342890"/>
      <w:r w:rsidRPr="00EC4DFD">
        <w:rPr>
          <w:rFonts w:asciiTheme="majorHAnsi" w:hAnsiTheme="majorHAnsi"/>
        </w:rPr>
        <w:t xml:space="preserve">Even before the pandemic, punitive legislation, including changes to the legal aid system, has resulted in </w:t>
      </w:r>
      <w:r>
        <w:rPr>
          <w:rFonts w:asciiTheme="majorHAnsi" w:hAnsiTheme="majorHAnsi"/>
        </w:rPr>
        <w:t xml:space="preserve">huge backlogs for the family court system, </w:t>
      </w:r>
      <w:bookmarkEnd w:id="16"/>
      <w:r>
        <w:rPr>
          <w:rFonts w:asciiTheme="majorHAnsi" w:hAnsiTheme="majorHAnsi"/>
        </w:rPr>
        <w:t>with only 20% of both parties having</w:t>
      </w:r>
      <w:r w:rsidRPr="00EC4DFD">
        <w:rPr>
          <w:rFonts w:asciiTheme="majorHAnsi" w:hAnsiTheme="majorHAnsi"/>
        </w:rPr>
        <w:t xml:space="preserve"> representation.</w:t>
      </w:r>
      <w:r w:rsidRPr="00EC4DFD">
        <w:rPr>
          <w:rStyle w:val="FootnoteReference"/>
          <w:rFonts w:asciiTheme="majorHAnsi" w:hAnsiTheme="majorHAnsi"/>
        </w:rPr>
        <w:footnoteReference w:id="45"/>
      </w:r>
      <w:r w:rsidRPr="00EC4DFD">
        <w:rPr>
          <w:rFonts w:asciiTheme="majorHAnsi" w:hAnsiTheme="majorHAnsi"/>
        </w:rPr>
        <w:t xml:space="preserve"> </w:t>
      </w:r>
      <w:bookmarkStart w:id="17" w:name="_Hlk64542610"/>
      <w:r>
        <w:rPr>
          <w:rFonts w:asciiTheme="majorHAnsi" w:hAnsiTheme="majorHAnsi"/>
        </w:rPr>
        <w:t>Remote family court hearings are also making it more difficult for women to access justice.</w:t>
      </w:r>
      <w:r>
        <w:rPr>
          <w:rStyle w:val="FootnoteReference"/>
          <w:rFonts w:asciiTheme="majorHAnsi" w:hAnsiTheme="majorHAnsi"/>
        </w:rPr>
        <w:footnoteReference w:id="46"/>
      </w:r>
      <w:r>
        <w:rPr>
          <w:rFonts w:asciiTheme="majorHAnsi" w:hAnsiTheme="majorHAnsi"/>
        </w:rPr>
        <w:t xml:space="preserve"> </w:t>
      </w:r>
      <w:bookmarkEnd w:id="17"/>
      <w:r>
        <w:rPr>
          <w:rFonts w:asciiTheme="majorHAnsi" w:hAnsiTheme="majorHAnsi"/>
        </w:rPr>
        <w:t>F</w:t>
      </w:r>
      <w:r w:rsidRPr="00EC4DFD">
        <w:rPr>
          <w:rFonts w:asciiTheme="majorHAnsi" w:hAnsiTheme="majorHAnsi"/>
        </w:rPr>
        <w:t>amily courts are “traumatic” for many women, which abusers are using as another platform where their abuse and control of women can continue.</w:t>
      </w:r>
      <w:r w:rsidRPr="00EC4DFD">
        <w:rPr>
          <w:rStyle w:val="FootnoteReference"/>
          <w:rFonts w:asciiTheme="majorHAnsi" w:hAnsiTheme="majorHAnsi"/>
        </w:rPr>
        <w:footnoteReference w:id="47"/>
      </w:r>
    </w:p>
    <w:p w:rsidR="00CF0C19" w:rsidRDefault="00CF0C19" w:rsidP="00CF0C19">
      <w:pPr>
        <w:shd w:val="clear" w:color="auto" w:fill="FFFFFF"/>
        <w:spacing w:after="0" w:line="240" w:lineRule="auto"/>
        <w:textAlignment w:val="baseline"/>
        <w:rPr>
          <w:rFonts w:asciiTheme="majorHAnsi" w:hAnsiTheme="majorHAnsi"/>
        </w:rPr>
      </w:pPr>
    </w:p>
    <w:p w:rsidR="00CF0C19" w:rsidRDefault="00CF0C19" w:rsidP="00CF0C19">
      <w:pPr>
        <w:shd w:val="clear" w:color="auto" w:fill="FFFFFF"/>
        <w:spacing w:after="0" w:line="240" w:lineRule="auto"/>
        <w:textAlignment w:val="baseline"/>
        <w:rPr>
          <w:rFonts w:asciiTheme="majorHAnsi" w:hAnsiTheme="majorHAnsi"/>
        </w:rPr>
      </w:pPr>
      <w:r>
        <w:rPr>
          <w:rFonts w:asciiTheme="majorHAnsi" w:hAnsiTheme="majorHAnsi"/>
        </w:rPr>
        <w:t>There is an</w:t>
      </w:r>
      <w:r w:rsidRPr="00EC4DFD">
        <w:rPr>
          <w:rFonts w:asciiTheme="majorHAnsi" w:hAnsiTheme="majorHAnsi"/>
        </w:rPr>
        <w:t xml:space="preserve"> increasing female </w:t>
      </w:r>
      <w:r w:rsidRPr="0024202B">
        <w:rPr>
          <w:rFonts w:asciiTheme="majorHAnsi" w:hAnsiTheme="majorHAnsi"/>
        </w:rPr>
        <w:t>prison population suffering from high rates of depression, self-harm</w:t>
      </w:r>
      <w:r w:rsidRPr="0024202B">
        <w:rPr>
          <w:rStyle w:val="FootnoteReference"/>
          <w:rFonts w:asciiTheme="majorHAnsi" w:hAnsiTheme="majorHAnsi"/>
        </w:rPr>
        <w:footnoteReference w:id="48"/>
      </w:r>
      <w:r w:rsidRPr="0024202B">
        <w:rPr>
          <w:rFonts w:asciiTheme="majorHAnsi" w:hAnsiTheme="majorHAnsi"/>
        </w:rPr>
        <w:t xml:space="preserve"> and experiences of abuse and trauma.</w:t>
      </w:r>
      <w:r w:rsidRPr="0024202B">
        <w:rPr>
          <w:rStyle w:val="FootnoteReference"/>
          <w:rFonts w:asciiTheme="majorHAnsi" w:hAnsiTheme="majorHAnsi" w:cs="Arial"/>
        </w:rPr>
        <w:footnoteReference w:id="49"/>
      </w:r>
      <w:r w:rsidRPr="0024202B">
        <w:rPr>
          <w:rFonts w:asciiTheme="majorHAnsi" w:hAnsiTheme="majorHAnsi"/>
        </w:rPr>
        <w:t xml:space="preserve"> </w:t>
      </w:r>
      <w:bookmarkStart w:id="18" w:name="_Hlk72342771"/>
      <w:r w:rsidRPr="0024202B">
        <w:rPr>
          <w:rFonts w:asciiTheme="majorHAnsi" w:hAnsiTheme="majorHAnsi" w:cstheme="majorHAnsi"/>
        </w:rPr>
        <w:t>Despite</w:t>
      </w:r>
      <w:r w:rsidRPr="0024202B">
        <w:rPr>
          <w:rFonts w:asciiTheme="majorHAnsi" w:eastAsia="Times New Roman" w:hAnsiTheme="majorHAnsi" w:cstheme="majorHAnsi"/>
          <w:spacing w:val="3"/>
          <w:bdr w:val="none" w:sz="0" w:space="0" w:color="auto" w:frame="1"/>
          <w:shd w:val="clear" w:color="auto" w:fill="FFFFFF"/>
          <w:lang w:eastAsia="en-GB"/>
        </w:rPr>
        <w:t xml:space="preserve"> evidence that community settings rather than prisons are more successful at addressing the root causes of women's offending,</w:t>
      </w:r>
      <w:r w:rsidRPr="0024202B">
        <w:rPr>
          <w:rStyle w:val="FootnoteReference"/>
          <w:rFonts w:asciiTheme="majorHAnsi" w:eastAsia="Times New Roman" w:hAnsiTheme="majorHAnsi" w:cstheme="majorHAnsi"/>
          <w:spacing w:val="3"/>
          <w:bdr w:val="none" w:sz="0" w:space="0" w:color="auto" w:frame="1"/>
          <w:shd w:val="clear" w:color="auto" w:fill="FFFFFF"/>
          <w:lang w:eastAsia="en-GB"/>
        </w:rPr>
        <w:footnoteReference w:id="50"/>
      </w:r>
      <w:r w:rsidRPr="0024202B">
        <w:rPr>
          <w:rFonts w:asciiTheme="majorHAnsi" w:eastAsia="Times New Roman" w:hAnsiTheme="majorHAnsi" w:cstheme="majorHAnsi"/>
          <w:spacing w:val="3"/>
          <w:bdr w:val="none" w:sz="0" w:space="0" w:color="auto" w:frame="1"/>
          <w:shd w:val="clear" w:color="auto" w:fill="FFFFFF"/>
          <w:lang w:eastAsia="en-GB"/>
        </w:rPr>
        <w:t xml:space="preserve"> in January 2021</w:t>
      </w:r>
      <w:r>
        <w:rPr>
          <w:rFonts w:asciiTheme="majorHAnsi" w:eastAsia="Times New Roman" w:hAnsiTheme="majorHAnsi" w:cstheme="majorHAnsi"/>
          <w:spacing w:val="3"/>
          <w:bdr w:val="none" w:sz="0" w:space="0" w:color="auto" w:frame="1"/>
          <w:shd w:val="clear" w:color="auto" w:fill="FFFFFF"/>
          <w:lang w:eastAsia="en-GB"/>
        </w:rPr>
        <w:t>,</w:t>
      </w:r>
      <w:r w:rsidRPr="0024202B">
        <w:rPr>
          <w:rFonts w:asciiTheme="majorHAnsi" w:eastAsia="Times New Roman" w:hAnsiTheme="majorHAnsi" w:cstheme="majorHAnsi"/>
          <w:spacing w:val="3"/>
          <w:bdr w:val="none" w:sz="0" w:space="0" w:color="auto" w:frame="1"/>
          <w:shd w:val="clear" w:color="auto" w:fill="FFFFFF"/>
          <w:lang w:eastAsia="en-GB"/>
        </w:rPr>
        <w:t xml:space="preserve"> the government announced 500 extra prison places for women.</w:t>
      </w:r>
      <w:r>
        <w:rPr>
          <w:rFonts w:ascii="Calibri" w:eastAsia="Times New Roman" w:hAnsi="Calibri" w:cs="Calibri"/>
          <w:color w:val="000000"/>
          <w:sz w:val="24"/>
          <w:szCs w:val="24"/>
          <w:lang w:eastAsia="en-GB"/>
        </w:rPr>
        <w:t xml:space="preserve"> </w:t>
      </w:r>
      <w:bookmarkStart w:id="19" w:name="_Hlk72749882"/>
      <w:bookmarkEnd w:id="18"/>
      <w:r w:rsidRPr="00266039">
        <w:rPr>
          <w:rFonts w:ascii="Calibri" w:eastAsia="Times New Roman" w:hAnsi="Calibri" w:cs="Calibri"/>
          <w:color w:val="000000"/>
          <w:lang w:eastAsia="en-GB"/>
        </w:rPr>
        <w:t>This is a reversal of the key aim of the government’s Female Offender Strategy, of which only 31 of 65 commitments have been implemented to date, three years after its publication</w:t>
      </w:r>
      <w:bookmarkEnd w:id="19"/>
      <w:r>
        <w:rPr>
          <w:rFonts w:ascii="Calibri" w:eastAsia="Times New Roman" w:hAnsi="Calibri" w:cs="Calibri"/>
          <w:color w:val="000000"/>
          <w:sz w:val="24"/>
          <w:szCs w:val="24"/>
          <w:lang w:eastAsia="en-GB"/>
        </w:rPr>
        <w:t>.</w:t>
      </w:r>
      <w:r>
        <w:rPr>
          <w:rStyle w:val="FootnoteReference"/>
          <w:rFonts w:ascii="Calibri" w:eastAsia="Times New Roman" w:hAnsi="Calibri" w:cs="Calibri"/>
          <w:color w:val="000000"/>
          <w:sz w:val="24"/>
          <w:szCs w:val="24"/>
          <w:lang w:eastAsia="en-GB"/>
        </w:rPr>
        <w:footnoteReference w:id="51"/>
      </w:r>
      <w:r>
        <w:rPr>
          <w:rFonts w:ascii="Calibri" w:eastAsia="Times New Roman" w:hAnsi="Calibri" w:cs="Calibri"/>
          <w:color w:val="000000"/>
          <w:sz w:val="24"/>
          <w:szCs w:val="24"/>
          <w:lang w:eastAsia="en-GB"/>
        </w:rPr>
        <w:t xml:space="preserve"> </w:t>
      </w:r>
      <w:r w:rsidRPr="00EC4DFD">
        <w:rPr>
          <w:rFonts w:asciiTheme="majorHAnsi" w:hAnsiTheme="majorHAnsi"/>
        </w:rPr>
        <w:t>90% of women in prison for life on ‘joint enterprise’ did not themselves engage in any violence at all;</w:t>
      </w:r>
      <w:r w:rsidRPr="00EC4DFD">
        <w:rPr>
          <w:rStyle w:val="FootnoteReference"/>
          <w:rFonts w:asciiTheme="majorHAnsi" w:hAnsiTheme="majorHAnsi"/>
        </w:rPr>
        <w:footnoteReference w:id="52"/>
      </w:r>
      <w:r w:rsidRPr="00EC4DFD">
        <w:rPr>
          <w:rFonts w:asciiTheme="majorHAnsi" w:hAnsiTheme="majorHAnsi"/>
        </w:rPr>
        <w:t xml:space="preserve"> there is still a disproportionate number of </w:t>
      </w:r>
      <w:r>
        <w:rPr>
          <w:rFonts w:asciiTheme="majorHAnsi" w:hAnsiTheme="majorHAnsi"/>
        </w:rPr>
        <w:t>B</w:t>
      </w:r>
      <w:r w:rsidRPr="00EC4DFD">
        <w:rPr>
          <w:rFonts w:asciiTheme="majorHAnsi" w:hAnsiTheme="majorHAnsi"/>
        </w:rPr>
        <w:t>lack and minoritised women in prison;</w:t>
      </w:r>
      <w:r w:rsidRPr="00EC4DFD">
        <w:rPr>
          <w:rStyle w:val="FootnoteReference"/>
          <w:rFonts w:asciiTheme="majorHAnsi" w:hAnsiTheme="majorHAnsi"/>
        </w:rPr>
        <w:footnoteReference w:id="53"/>
      </w:r>
      <w:r w:rsidRPr="00EC4DFD">
        <w:rPr>
          <w:rFonts w:asciiTheme="majorHAnsi" w:hAnsiTheme="majorHAnsi"/>
        </w:rPr>
        <w:t xml:space="preserve"> </w:t>
      </w:r>
      <w:r>
        <w:rPr>
          <w:rFonts w:asciiTheme="majorHAnsi" w:hAnsiTheme="majorHAnsi"/>
        </w:rPr>
        <w:t>there is discrimination and harm to women survivors in asylum and immigration proceedings.</w:t>
      </w:r>
      <w:r w:rsidRPr="00EC4DFD">
        <w:rPr>
          <w:rStyle w:val="FootnoteReference"/>
          <w:rFonts w:asciiTheme="majorHAnsi" w:hAnsiTheme="majorHAnsi" w:cs="Arial"/>
        </w:rPr>
        <w:footnoteReference w:id="54"/>
      </w:r>
      <w:r w:rsidRPr="00EC4DFD">
        <w:rPr>
          <w:rFonts w:asciiTheme="majorHAnsi" w:hAnsiTheme="majorHAnsi"/>
        </w:rPr>
        <w:t xml:space="preserve"> </w:t>
      </w:r>
    </w:p>
    <w:p w:rsidR="00CF0C19" w:rsidRDefault="00CF0C19" w:rsidP="00CF0C19">
      <w:pPr>
        <w:shd w:val="clear" w:color="auto" w:fill="FFFFFF"/>
        <w:spacing w:after="0" w:line="240" w:lineRule="auto"/>
        <w:textAlignment w:val="baseline"/>
        <w:rPr>
          <w:rFonts w:asciiTheme="majorHAnsi" w:hAnsiTheme="majorHAnsi"/>
        </w:rPr>
      </w:pPr>
    </w:p>
    <w:p w:rsidR="00CF0C19" w:rsidRDefault="00CF0C19" w:rsidP="00CF0C19">
      <w:pPr>
        <w:shd w:val="clear" w:color="auto" w:fill="FFFFFF"/>
        <w:spacing w:after="0" w:line="240" w:lineRule="auto"/>
        <w:textAlignment w:val="baseline"/>
        <w:rPr>
          <w:rFonts w:ascii="Calibri" w:eastAsia="Times New Roman" w:hAnsi="Calibri" w:cs="Calibri"/>
          <w:color w:val="000000"/>
          <w:sz w:val="24"/>
          <w:szCs w:val="24"/>
          <w:lang w:eastAsia="en-GB"/>
        </w:rPr>
      </w:pPr>
      <w:r w:rsidRPr="00EC4DFD">
        <w:rPr>
          <w:rFonts w:asciiTheme="majorHAnsi" w:eastAsia="Times New Roman" w:hAnsiTheme="majorHAnsi" w:cs="Times New Roman"/>
        </w:rPr>
        <w:t>Rape and sexual abuse have been effectively decriminalised as a victim/survivor reporting rape had around a one in 70 chance of the case being charged, and actual convictions are at their lowest numbers on record.</w:t>
      </w:r>
      <w:r w:rsidRPr="00EC4DFD">
        <w:rPr>
          <w:rStyle w:val="FootnoteReference"/>
          <w:rFonts w:asciiTheme="majorHAnsi" w:eastAsia="Times New Roman" w:hAnsiTheme="majorHAnsi" w:cs="Times New Roman"/>
        </w:rPr>
        <w:footnoteReference w:id="55"/>
      </w:r>
      <w:r w:rsidRPr="00EC4DFD">
        <w:rPr>
          <w:rFonts w:asciiTheme="majorHAnsi" w:eastAsia="Times New Roman" w:hAnsiTheme="majorHAnsi" w:cs="Times New Roman"/>
        </w:rPr>
        <w:t xml:space="preserve"> The Crown Prosecution Service (CPS) </w:t>
      </w:r>
      <w:r>
        <w:rPr>
          <w:rFonts w:asciiTheme="majorHAnsi" w:eastAsia="Times New Roman" w:hAnsiTheme="majorHAnsi" w:cs="Times New Roman"/>
        </w:rPr>
        <w:t>were recently</w:t>
      </w:r>
      <w:r w:rsidRPr="00EC4DFD">
        <w:rPr>
          <w:rFonts w:asciiTheme="majorHAnsi" w:eastAsia="Times New Roman" w:hAnsiTheme="majorHAnsi" w:cs="Times New Roman"/>
        </w:rPr>
        <w:t xml:space="preserve"> challenged </w:t>
      </w:r>
      <w:r w:rsidRPr="00275193">
        <w:rPr>
          <w:rFonts w:asciiTheme="majorHAnsi" w:eastAsia="Times New Roman" w:hAnsiTheme="majorHAnsi" w:cstheme="majorHAnsi"/>
        </w:rPr>
        <w:t>at the Court of Appeal</w:t>
      </w:r>
      <w:r>
        <w:rPr>
          <w:rFonts w:asciiTheme="majorHAnsi" w:eastAsia="Times New Roman" w:hAnsiTheme="majorHAnsi" w:cstheme="majorHAnsi"/>
        </w:rPr>
        <w:t xml:space="preserve"> over this</w:t>
      </w:r>
      <w:r w:rsidRPr="00275193">
        <w:rPr>
          <w:rFonts w:asciiTheme="majorHAnsi" w:eastAsia="Times New Roman" w:hAnsiTheme="majorHAnsi" w:cstheme="majorHAnsi"/>
        </w:rPr>
        <w:t>.</w:t>
      </w:r>
      <w:r w:rsidRPr="00275193">
        <w:rPr>
          <w:rStyle w:val="FootnoteReference"/>
          <w:rFonts w:asciiTheme="majorHAnsi" w:eastAsia="Times New Roman" w:hAnsiTheme="majorHAnsi" w:cstheme="majorHAnsi"/>
        </w:rPr>
        <w:t xml:space="preserve"> </w:t>
      </w:r>
      <w:r w:rsidRPr="00275193">
        <w:rPr>
          <w:rStyle w:val="FootnoteReference"/>
          <w:rFonts w:asciiTheme="majorHAnsi" w:eastAsia="Times New Roman" w:hAnsiTheme="majorHAnsi" w:cstheme="majorHAnsi"/>
        </w:rPr>
        <w:footnoteReference w:id="56"/>
      </w:r>
      <w:bookmarkStart w:id="21" w:name="_Hlk64534470"/>
    </w:p>
    <w:p w:rsidR="00CF0C19" w:rsidRPr="00AB2912" w:rsidRDefault="00CF0C19" w:rsidP="00CF0C19">
      <w:pPr>
        <w:shd w:val="clear" w:color="auto" w:fill="FFFFFF"/>
        <w:spacing w:after="0" w:line="240" w:lineRule="auto"/>
        <w:textAlignment w:val="baseline"/>
        <w:rPr>
          <w:rFonts w:ascii="Calibri" w:eastAsia="Times New Roman" w:hAnsi="Calibri" w:cs="Calibri"/>
          <w:color w:val="000000"/>
          <w:sz w:val="24"/>
          <w:szCs w:val="24"/>
          <w:lang w:eastAsia="en-GB"/>
        </w:rPr>
      </w:pPr>
    </w:p>
    <w:p w:rsidR="00CF0C19" w:rsidRPr="00EC4DFD" w:rsidRDefault="00CF0C19" w:rsidP="00CF0C19">
      <w:pPr>
        <w:rPr>
          <w:rFonts w:asciiTheme="majorHAnsi" w:eastAsia="Arial" w:hAnsiTheme="majorHAnsi" w:cs="Arial"/>
        </w:rPr>
      </w:pPr>
      <w:r w:rsidRPr="00EC4DFD">
        <w:rPr>
          <w:rFonts w:asciiTheme="majorHAnsi" w:hAnsiTheme="majorHAnsi"/>
        </w:rPr>
        <w:t>Given this</w:t>
      </w:r>
      <w:r>
        <w:rPr>
          <w:rFonts w:asciiTheme="majorHAnsi" w:hAnsiTheme="majorHAnsi"/>
        </w:rPr>
        <w:t xml:space="preserve"> evidence</w:t>
      </w:r>
      <w:r w:rsidRPr="00EC4DFD">
        <w:rPr>
          <w:rFonts w:asciiTheme="majorHAnsi" w:hAnsiTheme="majorHAnsi"/>
        </w:rPr>
        <w:t xml:space="preserve">, we do not trust the </w:t>
      </w:r>
      <w:r>
        <w:rPr>
          <w:rFonts w:asciiTheme="majorHAnsi" w:hAnsiTheme="majorHAnsi"/>
        </w:rPr>
        <w:t>legal/</w:t>
      </w:r>
      <w:r w:rsidRPr="00EC4DFD">
        <w:rPr>
          <w:rFonts w:asciiTheme="majorHAnsi" w:hAnsiTheme="majorHAnsi"/>
        </w:rPr>
        <w:t>justice system</w:t>
      </w:r>
      <w:r>
        <w:rPr>
          <w:rFonts w:asciiTheme="majorHAnsi" w:hAnsiTheme="majorHAnsi"/>
        </w:rPr>
        <w:t>,</w:t>
      </w:r>
      <w:r w:rsidRPr="00EC4DFD">
        <w:rPr>
          <w:rFonts w:asciiTheme="majorHAnsi" w:hAnsiTheme="majorHAnsi"/>
        </w:rPr>
        <w:t xml:space="preserve"> as it stands</w:t>
      </w:r>
      <w:r>
        <w:rPr>
          <w:rFonts w:asciiTheme="majorHAnsi" w:hAnsiTheme="majorHAnsi"/>
        </w:rPr>
        <w:t>,</w:t>
      </w:r>
      <w:r w:rsidRPr="00EC4DFD">
        <w:rPr>
          <w:rFonts w:asciiTheme="majorHAnsi" w:hAnsiTheme="majorHAnsi"/>
        </w:rPr>
        <w:t xml:space="preserve"> to promote CEDAW or international human rights</w:t>
      </w:r>
      <w:r>
        <w:rPr>
          <w:rFonts w:asciiTheme="majorHAnsi" w:hAnsiTheme="majorHAnsi"/>
        </w:rPr>
        <w:t>’</w:t>
      </w:r>
      <w:r w:rsidRPr="00EC4DFD">
        <w:rPr>
          <w:rFonts w:asciiTheme="majorHAnsi" w:hAnsiTheme="majorHAnsi"/>
        </w:rPr>
        <w:t xml:space="preserve"> law.  </w:t>
      </w:r>
      <w:bookmarkEnd w:id="21"/>
      <w:r w:rsidRPr="00C57B05">
        <w:rPr>
          <w:rFonts w:asciiTheme="majorHAnsi" w:hAnsiTheme="majorHAnsi"/>
          <w:color w:val="0070C0"/>
        </w:rPr>
        <w:t>[Appendix – 8]</w:t>
      </w:r>
      <w:r>
        <w:rPr>
          <w:rStyle w:val="FootnoteReference"/>
          <w:rFonts w:asciiTheme="majorHAnsi" w:hAnsiTheme="majorHAnsi"/>
          <w:color w:val="0070C0"/>
        </w:rPr>
        <w:footnoteReference w:id="57"/>
      </w:r>
    </w:p>
    <w:p w:rsidR="00CF0C19" w:rsidRPr="00F86FE0" w:rsidRDefault="00CF0C19" w:rsidP="00CF0C19">
      <w:pPr>
        <w:rPr>
          <w:rFonts w:asciiTheme="majorHAnsi" w:hAnsiTheme="majorHAnsi"/>
          <w:i/>
          <w:iCs/>
          <w:color w:val="0070C0"/>
        </w:rPr>
      </w:pPr>
      <w:bookmarkStart w:id="22" w:name="_Hlk63866163"/>
      <w:r w:rsidRPr="00EC4DFD">
        <w:rPr>
          <w:rFonts w:asciiTheme="majorHAnsi" w:hAnsiTheme="majorHAnsi"/>
          <w:b/>
          <w:bCs/>
        </w:rPr>
        <w:t>Intersectionality and substantive equality</w:t>
      </w:r>
    </w:p>
    <w:p w:rsidR="00CF0C19" w:rsidRPr="00F86FE0" w:rsidRDefault="00CF0C19" w:rsidP="00CF0C19">
      <w:pPr>
        <w:rPr>
          <w:rFonts w:asciiTheme="majorHAnsi" w:eastAsia="Arial" w:hAnsiTheme="majorHAnsi" w:cs="Arial"/>
          <w:b/>
          <w:bCs/>
        </w:rPr>
      </w:pPr>
      <w:r>
        <w:rPr>
          <w:rFonts w:asciiTheme="majorHAnsi" w:hAnsiTheme="majorHAnsi"/>
        </w:rPr>
        <w:t>Women can face multiple disadvantage.</w:t>
      </w:r>
      <w:r>
        <w:rPr>
          <w:rStyle w:val="FootnoteReference"/>
          <w:rFonts w:asciiTheme="majorHAnsi" w:hAnsiTheme="majorHAnsi"/>
        </w:rPr>
        <w:footnoteReference w:id="58"/>
      </w:r>
      <w:r>
        <w:rPr>
          <w:rFonts w:asciiTheme="majorHAnsi" w:hAnsiTheme="majorHAnsi"/>
        </w:rPr>
        <w:t xml:space="preserve"> </w:t>
      </w:r>
      <w:bookmarkStart w:id="23" w:name="_Hlk69740020"/>
      <w:bookmarkEnd w:id="22"/>
      <w:r>
        <w:rPr>
          <w:rFonts w:asciiTheme="majorHAnsi" w:hAnsiTheme="majorHAnsi"/>
        </w:rPr>
        <w:t xml:space="preserve">The </w:t>
      </w:r>
      <w:hyperlink r:id="rId11" w:history="1">
        <w:r w:rsidRPr="008B055A">
          <w:rPr>
            <w:rStyle w:val="Hyperlink"/>
            <w:rFonts w:asciiTheme="majorHAnsi" w:hAnsiTheme="majorHAnsi"/>
          </w:rPr>
          <w:t>government’s recent report into race</w:t>
        </w:r>
      </w:hyperlink>
      <w:r>
        <w:rPr>
          <w:rFonts w:asciiTheme="majorHAnsi" w:hAnsiTheme="majorHAnsi"/>
        </w:rPr>
        <w:t xml:space="preserve">, however, denied the realities of ‘structural racism’. It </w:t>
      </w:r>
      <w:r w:rsidRPr="00EC4DFD">
        <w:rPr>
          <w:rFonts w:asciiTheme="majorHAnsi" w:hAnsiTheme="majorHAnsi"/>
        </w:rPr>
        <w:t>is not eas</w:t>
      </w:r>
      <w:r>
        <w:rPr>
          <w:rFonts w:asciiTheme="majorHAnsi" w:hAnsiTheme="majorHAnsi"/>
        </w:rPr>
        <w:t>y to</w:t>
      </w:r>
      <w:r w:rsidRPr="00EC4DFD">
        <w:rPr>
          <w:rFonts w:asciiTheme="majorHAnsi" w:hAnsiTheme="majorHAnsi"/>
        </w:rPr>
        <w:t xml:space="preserve"> see</w:t>
      </w:r>
      <w:r>
        <w:rPr>
          <w:rFonts w:asciiTheme="majorHAnsi" w:hAnsiTheme="majorHAnsi"/>
        </w:rPr>
        <w:t xml:space="preserve"> how overlapping factors affect outcomes</w:t>
      </w:r>
      <w:r w:rsidRPr="00EC4DFD">
        <w:rPr>
          <w:rFonts w:asciiTheme="majorHAnsi" w:hAnsiTheme="majorHAnsi"/>
        </w:rPr>
        <w:t xml:space="preserve"> in government data, which only disaggregates data into separate equalities strands. </w:t>
      </w:r>
      <w:bookmarkEnd w:id="23"/>
      <w:r w:rsidRPr="00EC4DFD">
        <w:rPr>
          <w:rFonts w:asciiTheme="majorHAnsi" w:hAnsiTheme="majorHAnsi"/>
        </w:rPr>
        <w:t xml:space="preserve">This makes minoritised women – who would be in both categories - invisible. It is not surprising then that the references to </w:t>
      </w:r>
      <w:r>
        <w:rPr>
          <w:rFonts w:asciiTheme="majorHAnsi" w:hAnsiTheme="majorHAnsi"/>
        </w:rPr>
        <w:t>Black, minoritised and refugee</w:t>
      </w:r>
      <w:r w:rsidRPr="00EC4DFD">
        <w:rPr>
          <w:rFonts w:asciiTheme="majorHAnsi" w:hAnsiTheme="majorHAnsi"/>
        </w:rPr>
        <w:t xml:space="preserve"> women in the UK State Report 2018 are ‘add-ons’; nor is it surprising that the State Report 2018 shows a total lack of awareness that women are present in all of the equalities groups, and what ‘substantive equality’ actually means:</w:t>
      </w:r>
    </w:p>
    <w:p w:rsidR="00CF0C19" w:rsidRPr="00EC4DFD" w:rsidRDefault="00CF0C19" w:rsidP="00CF0C19">
      <w:pPr>
        <w:rPr>
          <w:rFonts w:asciiTheme="majorHAnsi" w:hAnsiTheme="majorHAnsi"/>
          <w:i/>
          <w:iCs/>
        </w:rPr>
      </w:pPr>
      <w:r w:rsidRPr="00EC4DFD">
        <w:rPr>
          <w:rFonts w:asciiTheme="majorHAnsi" w:hAnsiTheme="majorHAnsi"/>
          <w:i/>
          <w:iCs/>
        </w:rPr>
        <w:t>“Noting the Committee’s recommendation, UK Government does not agree that the Equality Act 2010 should incorporate all the provisions of the Convention. This would make it disproportionate in terms of gender, giving women more rights than others, e.g. disabled people or people from different BAME groups.”</w:t>
      </w:r>
    </w:p>
    <w:p w:rsidR="00CF0C19" w:rsidRPr="00EC4DFD" w:rsidRDefault="00CF0C19" w:rsidP="00CF0C19">
      <w:pPr>
        <w:rPr>
          <w:rFonts w:asciiTheme="majorHAnsi" w:hAnsiTheme="majorHAnsi"/>
        </w:rPr>
      </w:pPr>
      <w:r w:rsidRPr="00EC4DFD">
        <w:rPr>
          <w:rFonts w:asciiTheme="majorHAnsi" w:hAnsiTheme="majorHAnsi"/>
        </w:rPr>
        <w:t>It also demonstrates that the UK Government’s is not upholding Article 4 (1) of the Convention.</w:t>
      </w:r>
      <w:r w:rsidRPr="00EC4DFD">
        <w:rPr>
          <w:rStyle w:val="FootnoteReference"/>
          <w:rFonts w:asciiTheme="majorHAnsi" w:eastAsia="Arial" w:hAnsiTheme="majorHAnsi" w:cs="Arial"/>
        </w:rPr>
        <w:footnoteReference w:id="59"/>
      </w:r>
      <w:r w:rsidRPr="00EC4DFD">
        <w:rPr>
          <w:rFonts w:asciiTheme="majorHAnsi" w:hAnsiTheme="majorHAnsi"/>
        </w:rPr>
        <w:t xml:space="preserve"> </w:t>
      </w:r>
    </w:p>
    <w:p w:rsidR="00CF0C19" w:rsidRDefault="00CF0C19" w:rsidP="00CF0C19">
      <w:pPr>
        <w:rPr>
          <w:rFonts w:asciiTheme="majorHAnsi" w:hAnsiTheme="majorHAnsi"/>
          <w:b/>
          <w:bCs/>
          <w:sz w:val="24"/>
          <w:szCs w:val="24"/>
        </w:rPr>
      </w:pPr>
    </w:p>
    <w:p w:rsidR="00CF0C19" w:rsidRDefault="00CF0C19" w:rsidP="00CF0C19">
      <w:pPr>
        <w:rPr>
          <w:rFonts w:asciiTheme="majorHAnsi" w:hAnsiTheme="majorHAnsi"/>
          <w:b/>
          <w:bCs/>
          <w:sz w:val="24"/>
          <w:szCs w:val="24"/>
        </w:rPr>
      </w:pPr>
    </w:p>
    <w:p w:rsidR="00CF0C19" w:rsidRDefault="00CF0C19" w:rsidP="00CF0C19">
      <w:pPr>
        <w:rPr>
          <w:rFonts w:asciiTheme="majorHAnsi" w:hAnsiTheme="majorHAnsi"/>
          <w:b/>
          <w:bCs/>
          <w:sz w:val="24"/>
          <w:szCs w:val="24"/>
        </w:rPr>
      </w:pPr>
    </w:p>
    <w:p w:rsidR="00CF0C19" w:rsidRPr="00EC4DFD" w:rsidRDefault="00CF0C19" w:rsidP="00CF0C19">
      <w:pPr>
        <w:rPr>
          <w:rFonts w:asciiTheme="majorHAnsi" w:eastAsia="Arial" w:hAnsiTheme="majorHAnsi" w:cs="Arial"/>
          <w:b/>
          <w:bCs/>
          <w:sz w:val="24"/>
          <w:szCs w:val="24"/>
        </w:rPr>
      </w:pPr>
      <w:r w:rsidRPr="00EC4DFD">
        <w:rPr>
          <w:rFonts w:asciiTheme="majorHAnsi" w:hAnsiTheme="majorHAnsi"/>
          <w:b/>
          <w:bCs/>
          <w:sz w:val="24"/>
          <w:szCs w:val="24"/>
        </w:rPr>
        <w:t>In summary</w:t>
      </w:r>
    </w:p>
    <w:p w:rsidR="00CF0C19" w:rsidRPr="00EC4DFD" w:rsidRDefault="00CF0C19" w:rsidP="00CF0C19">
      <w:pPr>
        <w:rPr>
          <w:rFonts w:asciiTheme="majorHAnsi" w:eastAsia="Arial" w:hAnsiTheme="majorHAnsi" w:cs="Arial"/>
        </w:rPr>
      </w:pPr>
      <w:r w:rsidRPr="00EC4DFD">
        <w:rPr>
          <w:rFonts w:asciiTheme="majorHAnsi" w:hAnsiTheme="majorHAnsi"/>
        </w:rPr>
        <w:t>The C</w:t>
      </w:r>
      <w:r>
        <w:rPr>
          <w:rFonts w:asciiTheme="majorHAnsi" w:hAnsiTheme="majorHAnsi"/>
        </w:rPr>
        <w:t>OVID</w:t>
      </w:r>
      <w:r w:rsidRPr="00EC4DFD">
        <w:rPr>
          <w:rFonts w:asciiTheme="majorHAnsi" w:hAnsiTheme="majorHAnsi"/>
        </w:rPr>
        <w:t>-19 pandemic has led to an increase in violence against women and children</w:t>
      </w:r>
      <w:r>
        <w:rPr>
          <w:rFonts w:asciiTheme="majorHAnsi" w:hAnsiTheme="majorHAnsi"/>
        </w:rPr>
        <w:t xml:space="preserve">, </w:t>
      </w:r>
      <w:r w:rsidRPr="00EC4DFD">
        <w:rPr>
          <w:rFonts w:asciiTheme="majorHAnsi" w:hAnsiTheme="majorHAnsi"/>
        </w:rPr>
        <w:t>including sexual violence as part of domestic abuse</w:t>
      </w:r>
      <w:r w:rsidRPr="00EC4DFD">
        <w:rPr>
          <w:rStyle w:val="FootnoteReference"/>
          <w:rFonts w:asciiTheme="majorHAnsi" w:hAnsiTheme="majorHAnsi" w:cs="Arial"/>
        </w:rPr>
        <w:footnoteReference w:id="60"/>
      </w:r>
      <w:r w:rsidRPr="00EC4DFD">
        <w:rPr>
          <w:rFonts w:asciiTheme="majorHAnsi" w:hAnsiTheme="majorHAnsi"/>
        </w:rPr>
        <w:t>, increased poverty,</w:t>
      </w:r>
      <w:r w:rsidRPr="00EC4DFD">
        <w:rPr>
          <w:rStyle w:val="FootnoteReference"/>
          <w:rFonts w:asciiTheme="majorHAnsi" w:hAnsiTheme="majorHAnsi"/>
        </w:rPr>
        <w:footnoteReference w:id="61"/>
      </w:r>
      <w:r w:rsidRPr="00EC4DFD">
        <w:rPr>
          <w:rFonts w:asciiTheme="majorHAnsi" w:hAnsiTheme="majorHAnsi"/>
        </w:rPr>
        <w:t xml:space="preserve"> a widening digital divide,</w:t>
      </w:r>
      <w:r w:rsidRPr="00EC4DFD">
        <w:rPr>
          <w:rStyle w:val="FootnoteReference"/>
          <w:rFonts w:asciiTheme="majorHAnsi" w:hAnsiTheme="majorHAnsi"/>
        </w:rPr>
        <w:footnoteReference w:id="62"/>
      </w:r>
      <w:r w:rsidRPr="00EC4DFD">
        <w:rPr>
          <w:rFonts w:asciiTheme="majorHAnsi" w:hAnsiTheme="majorHAnsi"/>
        </w:rPr>
        <w:t xml:space="preserve"> increased homelessness,</w:t>
      </w:r>
      <w:r w:rsidRPr="00EC4DFD">
        <w:rPr>
          <w:rStyle w:val="FootnoteReference"/>
          <w:rFonts w:asciiTheme="majorHAnsi" w:hAnsiTheme="majorHAnsi"/>
        </w:rPr>
        <w:footnoteReference w:id="63"/>
      </w:r>
      <w:r w:rsidRPr="00EC4DFD">
        <w:rPr>
          <w:rFonts w:asciiTheme="majorHAnsi" w:hAnsiTheme="majorHAnsi"/>
        </w:rPr>
        <w:t xml:space="preserve"> and crucially, a much-diminished ability for women (especially migrant and disabled women) to access the services they need.</w:t>
      </w:r>
      <w:r w:rsidRPr="00EC4DFD">
        <w:rPr>
          <w:rStyle w:val="FootnoteReference"/>
          <w:rFonts w:asciiTheme="majorHAnsi" w:hAnsiTheme="majorHAnsi"/>
        </w:rPr>
        <w:footnoteReference w:id="64"/>
      </w:r>
      <w:r w:rsidRPr="00EC4DFD">
        <w:rPr>
          <w:rFonts w:asciiTheme="majorHAnsi" w:hAnsiTheme="majorHAnsi"/>
        </w:rPr>
        <w:t xml:space="preserve"> Women have become collateral damage in domestic policies that seek to manage the financial and health crisis</w:t>
      </w:r>
      <w:r>
        <w:rPr>
          <w:rFonts w:asciiTheme="majorHAnsi" w:hAnsiTheme="majorHAnsi"/>
        </w:rPr>
        <w:t xml:space="preserve">, which we consider to be a breach of the government’s duties under CEDAW. </w:t>
      </w:r>
    </w:p>
    <w:p w:rsidR="00CF0C19" w:rsidRPr="00EC4DFD" w:rsidRDefault="00CF0C19" w:rsidP="00CF0C19">
      <w:pPr>
        <w:rPr>
          <w:rFonts w:asciiTheme="majorHAnsi" w:hAnsiTheme="majorHAnsi"/>
        </w:rPr>
      </w:pPr>
    </w:p>
    <w:p w:rsidR="00CF0C19" w:rsidRPr="00A3210B" w:rsidRDefault="00CF0C19" w:rsidP="00CF0C19">
      <w:pPr>
        <w:jc w:val="center"/>
        <w:rPr>
          <w:rFonts w:asciiTheme="majorHAnsi" w:eastAsia="Arial" w:hAnsiTheme="majorHAnsi" w:cs="Arial"/>
          <w:b/>
          <w:bCs/>
          <w:color w:val="0070C0"/>
          <w:sz w:val="28"/>
          <w:szCs w:val="28"/>
          <w:highlight w:val="magenta"/>
        </w:rPr>
      </w:pPr>
      <w:r w:rsidRPr="00A3210B">
        <w:rPr>
          <w:rFonts w:asciiTheme="majorHAnsi" w:hAnsiTheme="majorHAnsi"/>
          <w:b/>
          <w:bCs/>
          <w:color w:val="0070C0"/>
          <w:sz w:val="28"/>
          <w:szCs w:val="28"/>
        </w:rPr>
        <w:t>CEDAW recommendation: Assessing the Impact of Brexit on Women’s Human Rights and Adopt Accurate Measures</w:t>
      </w:r>
    </w:p>
    <w:p w:rsidR="00CF0C19" w:rsidRPr="00EC4DFD" w:rsidRDefault="00CF0C19" w:rsidP="00CF0C19">
      <w:pPr>
        <w:rPr>
          <w:rFonts w:asciiTheme="majorHAnsi" w:eastAsia="Arial" w:hAnsiTheme="majorHAnsi" w:cs="Arial"/>
          <w:b/>
          <w:bCs/>
          <w:sz w:val="24"/>
          <w:szCs w:val="24"/>
        </w:rPr>
      </w:pPr>
      <w:r w:rsidRPr="00EC4DFD">
        <w:rPr>
          <w:rFonts w:asciiTheme="majorHAnsi" w:hAnsiTheme="majorHAnsi"/>
          <w:b/>
          <w:bCs/>
          <w:sz w:val="24"/>
          <w:szCs w:val="24"/>
        </w:rPr>
        <w:t xml:space="preserve">The current situation </w:t>
      </w:r>
    </w:p>
    <w:p w:rsidR="00CF0C19" w:rsidRPr="00EC4DFD" w:rsidRDefault="00CF0C19" w:rsidP="00CF0C19">
      <w:pPr>
        <w:rPr>
          <w:rFonts w:asciiTheme="majorHAnsi" w:eastAsia="Arial" w:hAnsiTheme="majorHAnsi" w:cs="Arial"/>
        </w:rPr>
      </w:pPr>
      <w:r w:rsidRPr="00EC4DFD">
        <w:rPr>
          <w:rFonts w:asciiTheme="majorHAnsi" w:hAnsiTheme="majorHAnsi"/>
        </w:rPr>
        <w:t>Whilst the Scottish government published an independent report into the social and equality impacts of Brexit,</w:t>
      </w:r>
      <w:r>
        <w:rPr>
          <w:rStyle w:val="FootnoteReference"/>
          <w:rFonts w:asciiTheme="majorHAnsi" w:hAnsiTheme="majorHAnsi"/>
        </w:rPr>
        <w:footnoteReference w:id="65"/>
      </w:r>
      <w:r w:rsidRPr="00EC4DFD">
        <w:rPr>
          <w:rFonts w:asciiTheme="majorHAnsi" w:hAnsiTheme="majorHAnsi"/>
        </w:rPr>
        <w:t xml:space="preserve"> the British government has refused to do the same. The impact of C</w:t>
      </w:r>
      <w:r>
        <w:rPr>
          <w:rFonts w:asciiTheme="majorHAnsi" w:hAnsiTheme="majorHAnsi"/>
        </w:rPr>
        <w:t>OVID</w:t>
      </w:r>
      <w:r w:rsidRPr="00EC4DFD">
        <w:rPr>
          <w:rFonts w:asciiTheme="majorHAnsi" w:hAnsiTheme="majorHAnsi"/>
        </w:rPr>
        <w:t xml:space="preserve">-19 and Brexit cannot be separated. Both crises have exposed the deep divisions in the UK, with the gaps between poor and minoritised women and other groups widening further. While the government has introduced some mitigating policies, such as furlough, our evidence shows that the scope and scale of the effects are nowhere near enough as to comply with CEDAW. </w:t>
      </w:r>
    </w:p>
    <w:p w:rsidR="00CF0C19" w:rsidRPr="00EC4DFD" w:rsidRDefault="00CF0C19" w:rsidP="00CF0C19">
      <w:pPr>
        <w:rPr>
          <w:rFonts w:asciiTheme="majorHAnsi" w:eastAsia="Arial" w:hAnsiTheme="majorHAnsi" w:cs="Arial"/>
        </w:rPr>
      </w:pPr>
      <w:r w:rsidRPr="00EC4DFD">
        <w:rPr>
          <w:rFonts w:asciiTheme="majorHAnsi" w:hAnsiTheme="majorHAnsi"/>
          <w:i/>
          <w:iCs/>
        </w:rPr>
        <w:t>Violence and Abuse</w:t>
      </w:r>
    </w:p>
    <w:p w:rsidR="00CF0C19" w:rsidRPr="00595BB9" w:rsidRDefault="00CF0C19" w:rsidP="00CF0C19">
      <w:pPr>
        <w:rPr>
          <w:rFonts w:asciiTheme="majorHAnsi" w:hAnsiTheme="majorHAnsi"/>
          <w:color w:val="0000FF"/>
        </w:rPr>
      </w:pPr>
      <w:r w:rsidRPr="00EC4DFD">
        <w:rPr>
          <w:rFonts w:asciiTheme="majorHAnsi" w:hAnsiTheme="majorHAnsi"/>
        </w:rPr>
        <w:t>The economic fallout of the pandemic ha</w:t>
      </w:r>
      <w:r>
        <w:rPr>
          <w:rFonts w:asciiTheme="majorHAnsi" w:hAnsiTheme="majorHAnsi"/>
        </w:rPr>
        <w:t>s</w:t>
      </w:r>
      <w:r w:rsidRPr="00EC4DFD">
        <w:rPr>
          <w:rFonts w:asciiTheme="majorHAnsi" w:hAnsiTheme="majorHAnsi"/>
        </w:rPr>
        <w:t xml:space="preserve"> meant a higher risk of violence and abuse. </w:t>
      </w:r>
      <w:r w:rsidRPr="00996D5D">
        <w:rPr>
          <w:rFonts w:asciiTheme="majorHAnsi" w:hAnsiTheme="majorHAnsi"/>
          <w:color w:val="0070C0"/>
        </w:rPr>
        <w:t>[Appendix - 9]</w:t>
      </w:r>
    </w:p>
    <w:p w:rsidR="00CF0C19" w:rsidRPr="00595BB9" w:rsidRDefault="00CF0C19" w:rsidP="00CF0C19">
      <w:pPr>
        <w:rPr>
          <w:rFonts w:asciiTheme="majorHAnsi" w:hAnsiTheme="majorHAnsi"/>
          <w:color w:val="0000FF"/>
        </w:rPr>
      </w:pPr>
      <w:r w:rsidRPr="00EC4DFD">
        <w:rPr>
          <w:rFonts w:asciiTheme="majorHAnsi" w:hAnsiTheme="majorHAnsi"/>
        </w:rPr>
        <w:t>The government did supply some emergency funding to frontline domestic violence services</w:t>
      </w:r>
      <w:r>
        <w:rPr>
          <w:rFonts w:asciiTheme="majorHAnsi" w:hAnsiTheme="majorHAnsi"/>
        </w:rPr>
        <w:t>,</w:t>
      </w:r>
      <w:r w:rsidRPr="00EC4DFD">
        <w:rPr>
          <w:rFonts w:asciiTheme="majorHAnsi" w:hAnsiTheme="majorHAnsi"/>
        </w:rPr>
        <w:t xml:space="preserve"> after </w:t>
      </w:r>
      <w:hyperlink r:id="rId12" w:history="1">
        <w:r w:rsidRPr="008B055A">
          <w:rPr>
            <w:rStyle w:val="Hyperlink"/>
            <w:rFonts w:asciiTheme="majorHAnsi" w:hAnsiTheme="majorHAnsi"/>
          </w:rPr>
          <w:t>Southall Black Sisters launched a legal challenge</w:t>
        </w:r>
      </w:hyperlink>
      <w:r w:rsidRPr="00EC4DFD">
        <w:rPr>
          <w:rFonts w:asciiTheme="majorHAnsi" w:hAnsiTheme="majorHAnsi"/>
        </w:rPr>
        <w:t xml:space="preserve"> against the government for their failure to provide emergency funding for abused women during the pandemic</w:t>
      </w:r>
      <w:r>
        <w:rPr>
          <w:rFonts w:asciiTheme="majorHAnsi" w:hAnsiTheme="majorHAnsi"/>
        </w:rPr>
        <w:t xml:space="preserve">. However, </w:t>
      </w:r>
      <w:r w:rsidRPr="00EC4DFD">
        <w:rPr>
          <w:rFonts w:asciiTheme="majorHAnsi" w:hAnsiTheme="majorHAnsi"/>
        </w:rPr>
        <w:t>there was no ring-fenced funding for organisations supporting migrant women and those with NRPF. The extra funding that was released, while welcome, was still a drop in the ocean of actual need.</w:t>
      </w:r>
      <w:r>
        <w:rPr>
          <w:rStyle w:val="FootnoteReference"/>
          <w:rFonts w:asciiTheme="majorHAnsi" w:hAnsiTheme="majorHAnsi"/>
        </w:rPr>
        <w:footnoteReference w:id="66"/>
      </w:r>
      <w:r w:rsidRPr="00EC4DFD">
        <w:rPr>
          <w:rFonts w:asciiTheme="majorHAnsi" w:hAnsiTheme="majorHAnsi"/>
        </w:rPr>
        <w:t xml:space="preserve"> </w:t>
      </w:r>
      <w:r w:rsidRPr="00996D5D">
        <w:rPr>
          <w:rFonts w:asciiTheme="majorHAnsi" w:hAnsiTheme="majorHAnsi"/>
          <w:color w:val="0070C0"/>
        </w:rPr>
        <w:t>[Appendix - 10]</w:t>
      </w:r>
    </w:p>
    <w:p w:rsidR="00CF0C19" w:rsidRPr="00C57B05" w:rsidRDefault="00CF0C19" w:rsidP="00CF0C19">
      <w:pPr>
        <w:rPr>
          <w:rFonts w:asciiTheme="majorHAnsi" w:eastAsia="Calibri" w:hAnsiTheme="majorHAnsi" w:cs="Calibri"/>
          <w:i/>
          <w:iCs/>
          <w:color w:val="0070C0"/>
        </w:rPr>
      </w:pPr>
      <w:r w:rsidRPr="00C57B05">
        <w:rPr>
          <w:rFonts w:asciiTheme="majorHAnsi" w:hAnsiTheme="majorHAnsi"/>
          <w:i/>
          <w:iCs/>
          <w:color w:val="0070C0"/>
        </w:rPr>
        <w:t>67% of survivors who are currently experiencing abuse told us it had gotten worse since COVID. 78% stated that COVID has made it harder to leave. 72% of women said abusers, who are using the pandemic to their advantage, are exerting more control over their lives.</w:t>
      </w:r>
      <w:r w:rsidRPr="00C57B05">
        <w:rPr>
          <w:rStyle w:val="FootnoteReference"/>
          <w:rFonts w:asciiTheme="majorHAnsi" w:hAnsiTheme="majorHAnsi"/>
          <w:i/>
          <w:iCs/>
          <w:color w:val="0070C0"/>
        </w:rPr>
        <w:footnoteReference w:id="67"/>
      </w:r>
      <w:r w:rsidRPr="00C57B05">
        <w:rPr>
          <w:rFonts w:asciiTheme="majorHAnsi" w:hAnsiTheme="majorHAnsi"/>
          <w:i/>
          <w:iCs/>
          <w:color w:val="0070C0"/>
        </w:rPr>
        <w:t xml:space="preserve"> Cases are increasingly complex, and women need support for longer. The government’s £37 million in emergency funding for domestic and sexual violence services in England and Wales was therefore welcome. However, funding was split over three government departments, with a range of application processes – creating a stressful, difficult, and exclusionary process for frontline services to navigate during a time of crisis. Less than half of services responding to our June survey had experienced an overall increase in funding/income during the pandemic… [Women’s Aid Federation of England]</w:t>
      </w:r>
    </w:p>
    <w:p w:rsidR="00CF0C19" w:rsidRPr="00EC4DFD" w:rsidRDefault="00CF0C19" w:rsidP="00CF0C19">
      <w:pPr>
        <w:rPr>
          <w:rFonts w:asciiTheme="majorHAnsi" w:hAnsiTheme="majorHAnsi"/>
          <w:i/>
          <w:iCs/>
        </w:rPr>
      </w:pPr>
      <w:r w:rsidRPr="00EC4DFD">
        <w:rPr>
          <w:rFonts w:asciiTheme="majorHAnsi" w:hAnsiTheme="majorHAnsi"/>
          <w:i/>
          <w:iCs/>
        </w:rPr>
        <w:t>Immigration</w:t>
      </w:r>
    </w:p>
    <w:p w:rsidR="00CF0C19" w:rsidRPr="00595BB9" w:rsidRDefault="00CF0C19" w:rsidP="00CF0C19">
      <w:pPr>
        <w:rPr>
          <w:rFonts w:asciiTheme="majorHAnsi" w:hAnsiTheme="majorHAnsi"/>
          <w:color w:val="0000FF"/>
        </w:rPr>
      </w:pPr>
      <w:r w:rsidRPr="00EC4DFD">
        <w:rPr>
          <w:rFonts w:asciiTheme="majorHAnsi" w:hAnsiTheme="majorHAnsi"/>
        </w:rPr>
        <w:t xml:space="preserve">EU migrant women are at risk of becoming undocumented because of the many barriers they are facing such as: language difficulties; lack of access to computers; being in abusive relationships; and having </w:t>
      </w:r>
      <w:r>
        <w:rPr>
          <w:rFonts w:asciiTheme="majorHAnsi" w:hAnsiTheme="majorHAnsi"/>
        </w:rPr>
        <w:t>NRPF</w:t>
      </w:r>
      <w:r w:rsidRPr="00EC4DFD">
        <w:rPr>
          <w:rFonts w:asciiTheme="majorHAnsi" w:hAnsiTheme="majorHAnsi"/>
        </w:rPr>
        <w:t>.</w:t>
      </w:r>
      <w:r>
        <w:rPr>
          <w:rFonts w:asciiTheme="majorHAnsi" w:hAnsiTheme="majorHAnsi"/>
        </w:rPr>
        <w:t xml:space="preserve"> </w:t>
      </w:r>
      <w:r w:rsidRPr="00996D5D">
        <w:rPr>
          <w:rFonts w:asciiTheme="majorHAnsi" w:hAnsiTheme="majorHAnsi"/>
          <w:color w:val="0070C0"/>
        </w:rPr>
        <w:t>[Appendix - 11]</w:t>
      </w:r>
    </w:p>
    <w:p w:rsidR="00CF0C19" w:rsidRPr="00826485" w:rsidRDefault="00CF0C19" w:rsidP="00CF0C19">
      <w:pPr>
        <w:rPr>
          <w:rFonts w:asciiTheme="majorHAnsi" w:hAnsiTheme="majorHAnsi"/>
          <w:i/>
          <w:iCs/>
          <w:color w:val="0070C0"/>
        </w:rPr>
      </w:pPr>
      <w:r w:rsidRPr="00C57B05">
        <w:rPr>
          <w:rFonts w:asciiTheme="majorHAnsi" w:hAnsiTheme="majorHAnsi"/>
          <w:i/>
          <w:iCs/>
          <w:color w:val="0070C0"/>
        </w:rPr>
        <w:t>The government have set up their Migrant Victims Scheme, a pilot project aimed at supporting migrant women with NRPF. However, this will only last one year and with only £1.4 million, it is unlikely to reach more than a fraction of the numbers at risk of serious harm and destitution. [Southall Black Sisters]</w:t>
      </w:r>
    </w:p>
    <w:p w:rsidR="00CF0C19" w:rsidRPr="00EC4DFD" w:rsidRDefault="00CF0C19" w:rsidP="00CF0C19">
      <w:pPr>
        <w:rPr>
          <w:rFonts w:asciiTheme="majorHAnsi" w:hAnsiTheme="majorHAnsi"/>
          <w:i/>
          <w:iCs/>
        </w:rPr>
      </w:pPr>
      <w:r w:rsidRPr="00EC4DFD">
        <w:rPr>
          <w:rFonts w:asciiTheme="majorHAnsi" w:hAnsiTheme="majorHAnsi"/>
          <w:i/>
          <w:iCs/>
        </w:rPr>
        <w:t>Jobs</w:t>
      </w:r>
    </w:p>
    <w:p w:rsidR="00CF0C19" w:rsidRPr="00EC4DFD" w:rsidRDefault="00CF0C19" w:rsidP="00CF0C19">
      <w:pPr>
        <w:rPr>
          <w:rFonts w:asciiTheme="majorHAnsi" w:hAnsiTheme="majorHAnsi"/>
        </w:rPr>
      </w:pPr>
      <w:r w:rsidRPr="00EC4DFD">
        <w:rPr>
          <w:rFonts w:asciiTheme="majorHAnsi" w:hAnsiTheme="majorHAnsi"/>
        </w:rPr>
        <w:t>Jobs that are being lost are largely held by women becaus</w:t>
      </w:r>
      <w:r>
        <w:rPr>
          <w:rFonts w:asciiTheme="majorHAnsi" w:hAnsiTheme="majorHAnsi"/>
        </w:rPr>
        <w:t xml:space="preserve">e they make up the majority of </w:t>
      </w:r>
      <w:r w:rsidRPr="00EC4DFD">
        <w:rPr>
          <w:rFonts w:asciiTheme="majorHAnsi" w:hAnsiTheme="majorHAnsi"/>
        </w:rPr>
        <w:t>hospitality and retail workers.</w:t>
      </w:r>
      <w:r w:rsidRPr="00EC4DFD">
        <w:rPr>
          <w:rStyle w:val="FootnoteReference"/>
          <w:rFonts w:asciiTheme="majorHAnsi" w:hAnsiTheme="majorHAnsi"/>
        </w:rPr>
        <w:footnoteReference w:id="68"/>
      </w:r>
      <w:r w:rsidRPr="00EC4DFD">
        <w:rPr>
          <w:rFonts w:asciiTheme="majorHAnsi" w:hAnsiTheme="majorHAnsi"/>
        </w:rPr>
        <w:t xml:space="preserve"> Public sector workers, two-thirds of whom are women, are subject to a pay freeze,</w:t>
      </w:r>
      <w:r w:rsidRPr="00EC4DFD">
        <w:rPr>
          <w:rStyle w:val="FootnoteReference"/>
          <w:rFonts w:asciiTheme="majorHAnsi" w:hAnsiTheme="majorHAnsi"/>
        </w:rPr>
        <w:footnoteReference w:id="69"/>
      </w:r>
      <w:r w:rsidRPr="00EC4DFD">
        <w:rPr>
          <w:rFonts w:asciiTheme="majorHAnsi" w:hAnsiTheme="majorHAnsi"/>
        </w:rPr>
        <w:t xml:space="preserve"> affecting low paid women like carers, teaching assistants and nurses the most. An increase in the National Minimum Wage would have a big impact on women’s lives,</w:t>
      </w:r>
      <w:r w:rsidRPr="00EC4DFD">
        <w:rPr>
          <w:rStyle w:val="FootnoteReference"/>
          <w:rFonts w:asciiTheme="majorHAnsi" w:hAnsiTheme="majorHAnsi"/>
        </w:rPr>
        <w:footnoteReference w:id="70"/>
      </w:r>
      <w:r w:rsidRPr="00EC4DFD">
        <w:rPr>
          <w:rFonts w:asciiTheme="majorHAnsi" w:hAnsiTheme="majorHAnsi"/>
        </w:rPr>
        <w:t xml:space="preserve"> but the 5.6% increase recommended for 2021 has now been revised down to 2.2.%.</w:t>
      </w:r>
      <w:r w:rsidRPr="00EC4DFD">
        <w:rPr>
          <w:rStyle w:val="FootnoteReference"/>
          <w:rFonts w:asciiTheme="majorHAnsi" w:hAnsiTheme="majorHAnsi"/>
        </w:rPr>
        <w:footnoteReference w:id="71"/>
      </w:r>
      <w:r w:rsidRPr="00EC4DFD">
        <w:rPr>
          <w:rFonts w:asciiTheme="majorHAnsi" w:hAnsiTheme="majorHAnsi"/>
        </w:rPr>
        <w:t xml:space="preserve"> </w:t>
      </w:r>
    </w:p>
    <w:p w:rsidR="00CF0C19" w:rsidRPr="00451595" w:rsidRDefault="00CF0C19" w:rsidP="00CF0C19">
      <w:pPr>
        <w:rPr>
          <w:rFonts w:asciiTheme="majorHAnsi" w:hAnsiTheme="majorHAnsi"/>
          <w:color w:val="0000FF"/>
        </w:rPr>
      </w:pPr>
      <w:r w:rsidRPr="00EC4DFD">
        <w:rPr>
          <w:rFonts w:asciiTheme="majorHAnsi" w:hAnsiTheme="majorHAnsi"/>
        </w:rPr>
        <w:t xml:space="preserve">Since the last recession, there has been a large increase in the casualisation of labour, with women overrepresented in insecure and low-paid jobs. </w:t>
      </w:r>
      <w:r w:rsidRPr="00EC4DFD">
        <w:rPr>
          <w:rStyle w:val="FootnoteReference"/>
          <w:rFonts w:asciiTheme="majorHAnsi" w:hAnsiTheme="majorHAnsi"/>
        </w:rPr>
        <w:footnoteReference w:id="72"/>
      </w:r>
      <w:r w:rsidRPr="00EC4DFD">
        <w:rPr>
          <w:rFonts w:asciiTheme="majorHAnsi" w:hAnsiTheme="majorHAnsi"/>
        </w:rPr>
        <w:t xml:space="preserve"> There is added concern about increasing vulnerabilities to trafficking and labour exploitation, particularly for (EU) migrant women.</w:t>
      </w:r>
      <w:r w:rsidRPr="00EC4DFD">
        <w:rPr>
          <w:rStyle w:val="FootnoteReference"/>
          <w:rFonts w:asciiTheme="majorHAnsi" w:hAnsiTheme="majorHAnsi"/>
        </w:rPr>
        <w:footnoteReference w:id="73"/>
      </w:r>
      <w:r w:rsidRPr="00EC4DFD">
        <w:rPr>
          <w:rFonts w:asciiTheme="majorHAnsi" w:hAnsiTheme="majorHAnsi"/>
        </w:rPr>
        <w:t xml:space="preserve"> </w:t>
      </w:r>
      <w:r w:rsidRPr="00996D5D">
        <w:rPr>
          <w:rFonts w:asciiTheme="majorHAnsi" w:hAnsiTheme="majorHAnsi"/>
          <w:color w:val="0070C0"/>
        </w:rPr>
        <w:t>[Appendix - 12]</w:t>
      </w:r>
    </w:p>
    <w:p w:rsidR="00CF0C19" w:rsidRDefault="00CF0C19" w:rsidP="00CF0C19">
      <w:pPr>
        <w:rPr>
          <w:rFonts w:asciiTheme="majorHAnsi" w:hAnsiTheme="majorHAnsi"/>
          <w:i/>
          <w:iCs/>
          <w:color w:val="0070C0"/>
        </w:rPr>
      </w:pPr>
      <w:r w:rsidRPr="00C57B05">
        <w:rPr>
          <w:rFonts w:asciiTheme="majorHAnsi" w:hAnsiTheme="majorHAnsi"/>
          <w:i/>
          <w:iCs/>
          <w:color w:val="0070C0"/>
        </w:rPr>
        <w:t>African women with limited leave to remain are vulnerable and report being exploited by unscrupulous landlords who demand sexual favours in exchange for rent. [Mama Health &amp; Poverty Partnership]</w:t>
      </w:r>
    </w:p>
    <w:p w:rsidR="00CF0C19" w:rsidRDefault="00CF0C19" w:rsidP="00CF0C19">
      <w:pPr>
        <w:rPr>
          <w:rFonts w:asciiTheme="majorHAnsi" w:hAnsiTheme="majorHAnsi"/>
          <w:i/>
          <w:iCs/>
          <w:color w:val="0070C0"/>
        </w:rPr>
      </w:pPr>
    </w:p>
    <w:p w:rsidR="00CF0C19" w:rsidRPr="00C57B05" w:rsidRDefault="00CF0C19" w:rsidP="00CF0C19">
      <w:pPr>
        <w:rPr>
          <w:rFonts w:asciiTheme="majorHAnsi" w:hAnsiTheme="majorHAnsi"/>
          <w:i/>
          <w:iCs/>
          <w:color w:val="0070C0"/>
        </w:rPr>
      </w:pPr>
    </w:p>
    <w:p w:rsidR="00CF0C19" w:rsidRPr="00EC4DFD" w:rsidRDefault="00CF0C19" w:rsidP="00CF0C19">
      <w:pPr>
        <w:rPr>
          <w:rFonts w:asciiTheme="majorHAnsi" w:hAnsiTheme="majorHAnsi"/>
          <w:i/>
          <w:iCs/>
        </w:rPr>
      </w:pPr>
      <w:r w:rsidRPr="00EC4DFD">
        <w:rPr>
          <w:rFonts w:asciiTheme="majorHAnsi" w:hAnsiTheme="majorHAnsi"/>
          <w:i/>
          <w:iCs/>
        </w:rPr>
        <w:t>Access to specialised services</w:t>
      </w:r>
    </w:p>
    <w:p w:rsidR="00CF0C19" w:rsidRPr="00E433B5" w:rsidRDefault="00CF0C19" w:rsidP="00CF0C19">
      <w:pPr>
        <w:rPr>
          <w:rFonts w:asciiTheme="majorHAnsi" w:hAnsiTheme="majorHAnsi"/>
        </w:rPr>
      </w:pPr>
      <w:r w:rsidRPr="00EC4DFD">
        <w:rPr>
          <w:rFonts w:asciiTheme="majorHAnsi" w:hAnsiTheme="majorHAnsi"/>
        </w:rPr>
        <w:t>Leaving the EU, together with the increased demand for services</w:t>
      </w:r>
      <w:r>
        <w:rPr>
          <w:rStyle w:val="FootnoteReference"/>
          <w:rFonts w:asciiTheme="majorHAnsi" w:hAnsiTheme="majorHAnsi"/>
        </w:rPr>
        <w:footnoteReference w:id="74"/>
      </w:r>
      <w:r w:rsidRPr="00EC4DFD">
        <w:rPr>
          <w:rFonts w:asciiTheme="majorHAnsi" w:hAnsiTheme="majorHAnsi"/>
        </w:rPr>
        <w:t xml:space="preserve"> with no specialised and sustainable funding, also poses risks for the women’s sector. The sector is facing an estimated loss of £250m in funding after Brexit, with no guarantee that the UK Prosperity Fund</w:t>
      </w:r>
      <w:r>
        <w:rPr>
          <w:rStyle w:val="FootnoteReference"/>
          <w:rFonts w:asciiTheme="majorHAnsi" w:hAnsiTheme="majorHAnsi"/>
        </w:rPr>
        <w:footnoteReference w:id="75"/>
      </w:r>
      <w:r w:rsidRPr="00EC4DFD">
        <w:rPr>
          <w:rFonts w:asciiTheme="majorHAnsi" w:hAnsiTheme="majorHAnsi"/>
        </w:rPr>
        <w:t xml:space="preserve"> will plug the gap.</w:t>
      </w:r>
    </w:p>
    <w:p w:rsidR="00CF0C19" w:rsidRPr="00EC4DFD" w:rsidRDefault="00CF0C19" w:rsidP="00CF0C19">
      <w:pPr>
        <w:rPr>
          <w:rFonts w:asciiTheme="majorHAnsi" w:eastAsia="Arial" w:hAnsiTheme="majorHAnsi" w:cs="Arial"/>
          <w:b/>
          <w:bCs/>
          <w:sz w:val="24"/>
          <w:szCs w:val="24"/>
        </w:rPr>
      </w:pPr>
      <w:r w:rsidRPr="00EC4DFD">
        <w:rPr>
          <w:rFonts w:asciiTheme="majorHAnsi" w:hAnsiTheme="majorHAnsi"/>
          <w:b/>
          <w:bCs/>
          <w:sz w:val="24"/>
          <w:szCs w:val="24"/>
        </w:rPr>
        <w:t>In summary</w:t>
      </w:r>
    </w:p>
    <w:p w:rsidR="00CF0C19" w:rsidRDefault="00CF0C19" w:rsidP="00CF0C19">
      <w:pPr>
        <w:rPr>
          <w:rFonts w:asciiTheme="majorHAnsi" w:hAnsiTheme="majorHAnsi"/>
        </w:rPr>
      </w:pPr>
      <w:r w:rsidRPr="008C3951">
        <w:rPr>
          <w:rFonts w:asciiTheme="majorHAnsi" w:hAnsiTheme="majorHAnsi" w:cstheme="majorHAnsi"/>
        </w:rPr>
        <w:t xml:space="preserve">The increased vulnerability and disadvantage of women due to Brexit is not something the women’s sector fear </w:t>
      </w:r>
      <w:r w:rsidRPr="008C3951">
        <w:rPr>
          <w:rFonts w:asciiTheme="majorHAnsi" w:hAnsiTheme="majorHAnsi" w:cstheme="majorHAnsi"/>
          <w:i/>
          <w:iCs/>
        </w:rPr>
        <w:t>is going</w:t>
      </w:r>
      <w:r w:rsidRPr="008C3951">
        <w:rPr>
          <w:rFonts w:asciiTheme="majorHAnsi" w:hAnsiTheme="majorHAnsi" w:cstheme="majorHAnsi"/>
        </w:rPr>
        <w:t xml:space="preserve"> to happen. It is happening already, and</w:t>
      </w:r>
      <w:r w:rsidRPr="00EC4DFD">
        <w:rPr>
          <w:rFonts w:asciiTheme="majorHAnsi" w:hAnsiTheme="majorHAnsi"/>
        </w:rPr>
        <w:t xml:space="preserve"> it started before the referendum in 2016. All indicators point to the fact that Brexit will lead to an extension of the ‘hostile environment’, which undermines human rights</w:t>
      </w:r>
      <w:r>
        <w:rPr>
          <w:rFonts w:asciiTheme="majorHAnsi" w:hAnsiTheme="majorHAnsi"/>
        </w:rPr>
        <w:t>’</w:t>
      </w:r>
      <w:r w:rsidRPr="00EC4DFD">
        <w:rPr>
          <w:rFonts w:asciiTheme="majorHAnsi" w:hAnsiTheme="majorHAnsi"/>
        </w:rPr>
        <w:t xml:space="preserve"> law and further marg</w:t>
      </w:r>
      <w:r>
        <w:rPr>
          <w:rFonts w:asciiTheme="majorHAnsi" w:hAnsiTheme="majorHAnsi"/>
        </w:rPr>
        <w:t>i</w:t>
      </w:r>
      <w:r w:rsidRPr="00EC4DFD">
        <w:rPr>
          <w:rFonts w:asciiTheme="majorHAnsi" w:hAnsiTheme="majorHAnsi"/>
        </w:rPr>
        <w:t>nalises those on the fringes of society.</w:t>
      </w:r>
      <w:r w:rsidRPr="00EC4DFD">
        <w:rPr>
          <w:rStyle w:val="FootnoteReference"/>
          <w:rFonts w:asciiTheme="majorHAnsi" w:hAnsiTheme="majorHAnsi"/>
        </w:rPr>
        <w:footnoteReference w:id="76"/>
      </w:r>
      <w:r w:rsidRPr="00EC4DFD">
        <w:rPr>
          <w:rFonts w:asciiTheme="majorHAnsi" w:hAnsiTheme="majorHAnsi"/>
        </w:rPr>
        <w:t xml:space="preserve"> The outcomes we have outlined above show a disregard for proper planning and of the </w:t>
      </w:r>
      <w:r>
        <w:rPr>
          <w:rFonts w:asciiTheme="majorHAnsi" w:hAnsiTheme="majorHAnsi"/>
        </w:rPr>
        <w:t>E</w:t>
      </w:r>
      <w:r w:rsidRPr="00EC4DFD">
        <w:rPr>
          <w:rFonts w:asciiTheme="majorHAnsi" w:hAnsiTheme="majorHAnsi"/>
        </w:rPr>
        <w:t xml:space="preserve">qualities </w:t>
      </w:r>
      <w:r>
        <w:rPr>
          <w:rFonts w:asciiTheme="majorHAnsi" w:hAnsiTheme="majorHAnsi"/>
        </w:rPr>
        <w:t>A</w:t>
      </w:r>
      <w:r w:rsidRPr="00EC4DFD">
        <w:rPr>
          <w:rFonts w:asciiTheme="majorHAnsi" w:hAnsiTheme="majorHAnsi"/>
        </w:rPr>
        <w:t>genda more broadly.</w:t>
      </w:r>
    </w:p>
    <w:p w:rsidR="00CF0C19" w:rsidRPr="00EC4DFD" w:rsidRDefault="00CF0C19" w:rsidP="00CF0C19">
      <w:pPr>
        <w:rPr>
          <w:rFonts w:asciiTheme="majorHAnsi" w:hAnsiTheme="majorHAnsi"/>
        </w:rPr>
      </w:pPr>
    </w:p>
    <w:p w:rsidR="00CF0C19" w:rsidRPr="00E433B5" w:rsidRDefault="00CF0C19" w:rsidP="00CF0C19">
      <w:pPr>
        <w:jc w:val="center"/>
        <w:rPr>
          <w:rFonts w:asciiTheme="majorHAnsi" w:eastAsia="Arial" w:hAnsiTheme="majorHAnsi" w:cs="Arial"/>
          <w:b/>
          <w:bCs/>
          <w:color w:val="0070C0"/>
          <w:highlight w:val="magenta"/>
        </w:rPr>
      </w:pPr>
      <w:r w:rsidRPr="00E433B5">
        <w:rPr>
          <w:rFonts w:asciiTheme="majorHAnsi" w:hAnsiTheme="majorHAnsi"/>
          <w:b/>
          <w:bCs/>
          <w:color w:val="0070C0"/>
          <w:sz w:val="32"/>
          <w:szCs w:val="32"/>
        </w:rPr>
        <w:t>CEDAW recommendation:</w:t>
      </w:r>
      <w:r w:rsidRPr="00E433B5">
        <w:rPr>
          <w:rFonts w:asciiTheme="majorHAnsi" w:hAnsiTheme="majorHAnsi"/>
          <w:b/>
          <w:bCs/>
          <w:color w:val="0070C0"/>
          <w:sz w:val="28"/>
          <w:szCs w:val="28"/>
        </w:rPr>
        <w:t xml:space="preserve"> </w:t>
      </w:r>
      <w:r w:rsidRPr="00E433B5">
        <w:rPr>
          <w:rFonts w:asciiTheme="majorHAnsi" w:hAnsiTheme="majorHAnsi"/>
          <w:b/>
          <w:bCs/>
          <w:color w:val="0070C0"/>
          <w:sz w:val="32"/>
          <w:szCs w:val="32"/>
        </w:rPr>
        <w:t>Establish a National Machinery for the Advancement of Women</w:t>
      </w:r>
    </w:p>
    <w:p w:rsidR="00CF0C19" w:rsidRPr="00EC4DFD" w:rsidRDefault="00CF0C19" w:rsidP="00CF0C19">
      <w:pPr>
        <w:rPr>
          <w:rFonts w:asciiTheme="majorHAnsi" w:eastAsia="Arial" w:hAnsiTheme="majorHAnsi" w:cs="Arial"/>
          <w:b/>
          <w:bCs/>
          <w:sz w:val="24"/>
          <w:szCs w:val="24"/>
        </w:rPr>
      </w:pPr>
      <w:r w:rsidRPr="00EC4DFD">
        <w:rPr>
          <w:rFonts w:asciiTheme="majorHAnsi" w:hAnsiTheme="majorHAnsi"/>
          <w:b/>
          <w:bCs/>
          <w:sz w:val="24"/>
          <w:szCs w:val="24"/>
        </w:rPr>
        <w:t xml:space="preserve">The Current Situation </w:t>
      </w:r>
    </w:p>
    <w:p w:rsidR="00CF0C19" w:rsidRDefault="00CF0C19" w:rsidP="00CF0C19">
      <w:pPr>
        <w:rPr>
          <w:rFonts w:asciiTheme="majorHAnsi" w:hAnsiTheme="majorHAnsi"/>
        </w:rPr>
      </w:pPr>
      <w:r w:rsidRPr="00EC4DFD">
        <w:rPr>
          <w:rFonts w:asciiTheme="majorHAnsi" w:hAnsiTheme="majorHAnsi"/>
        </w:rPr>
        <w:t>Currently, the women’s sector has no strong national voice in public policy.</w:t>
      </w:r>
    </w:p>
    <w:p w:rsidR="00CF0C19" w:rsidRPr="00C57B05" w:rsidRDefault="00CF0C19" w:rsidP="00CF0C19">
      <w:pPr>
        <w:rPr>
          <w:rFonts w:asciiTheme="majorHAnsi" w:hAnsiTheme="majorHAnsi"/>
          <w:i/>
          <w:iCs/>
          <w:color w:val="0070C0"/>
        </w:rPr>
      </w:pPr>
      <w:r w:rsidRPr="00C57B05">
        <w:rPr>
          <w:rFonts w:asciiTheme="majorHAnsi" w:hAnsiTheme="majorHAnsi"/>
          <w:i/>
          <w:iCs/>
          <w:color w:val="0070C0"/>
        </w:rPr>
        <w:t>The VAWG sector compiled detailed recommendations</w:t>
      </w:r>
      <w:r w:rsidRPr="00C57B05">
        <w:rPr>
          <w:rStyle w:val="FootnoteReference"/>
          <w:rFonts w:asciiTheme="majorHAnsi" w:hAnsiTheme="majorHAnsi"/>
          <w:i/>
          <w:iCs/>
          <w:color w:val="0070C0"/>
        </w:rPr>
        <w:footnoteReference w:id="77"/>
      </w:r>
      <w:r w:rsidRPr="00C57B05">
        <w:rPr>
          <w:rFonts w:asciiTheme="majorHAnsi" w:hAnsiTheme="majorHAnsi"/>
          <w:i/>
          <w:iCs/>
          <w:color w:val="0070C0"/>
        </w:rPr>
        <w:t xml:space="preserve"> to feed into the P</w:t>
      </w:r>
      <w:r>
        <w:rPr>
          <w:rFonts w:asciiTheme="majorHAnsi" w:hAnsiTheme="majorHAnsi"/>
          <w:i/>
          <w:iCs/>
          <w:color w:val="0070C0"/>
        </w:rPr>
        <w:t xml:space="preserve">rime </w:t>
      </w:r>
      <w:r w:rsidRPr="00C57B05">
        <w:rPr>
          <w:rFonts w:asciiTheme="majorHAnsi" w:hAnsiTheme="majorHAnsi"/>
          <w:i/>
          <w:iCs/>
          <w:color w:val="0070C0"/>
        </w:rPr>
        <w:t>M</w:t>
      </w:r>
      <w:r>
        <w:rPr>
          <w:rFonts w:asciiTheme="majorHAnsi" w:hAnsiTheme="majorHAnsi"/>
          <w:i/>
          <w:iCs/>
          <w:color w:val="0070C0"/>
        </w:rPr>
        <w:t>inister</w:t>
      </w:r>
      <w:r w:rsidRPr="00C57B05">
        <w:rPr>
          <w:rFonts w:asciiTheme="majorHAnsi" w:hAnsiTheme="majorHAnsi"/>
          <w:i/>
          <w:iCs/>
          <w:color w:val="0070C0"/>
        </w:rPr>
        <w:t>’s Hidden Harms Summit Action Plan, which have not been adopted. [Women’s Aid Federation of England]</w:t>
      </w:r>
    </w:p>
    <w:p w:rsidR="00CF0C19" w:rsidRPr="00C57B05" w:rsidRDefault="00CF0C19" w:rsidP="00CF0C19">
      <w:pPr>
        <w:rPr>
          <w:rFonts w:asciiTheme="majorHAnsi" w:hAnsiTheme="majorHAnsi"/>
          <w:i/>
          <w:iCs/>
          <w:color w:val="0070C0"/>
        </w:rPr>
      </w:pPr>
      <w:r w:rsidRPr="00C57B05">
        <w:rPr>
          <w:rFonts w:asciiTheme="majorHAnsi" w:hAnsiTheme="majorHAnsi"/>
          <w:i/>
          <w:iCs/>
          <w:color w:val="0070C0"/>
        </w:rPr>
        <w:t>SBS has run their NRPF campaign for many years. So far, the government has refused to introduce measures for their protection... [Southall Black Sisters]</w:t>
      </w:r>
    </w:p>
    <w:p w:rsidR="00CF0C19" w:rsidRPr="00EC4DFD" w:rsidRDefault="00CF0C19" w:rsidP="00CF0C19">
      <w:pPr>
        <w:rPr>
          <w:rFonts w:asciiTheme="majorHAnsi" w:hAnsiTheme="majorHAnsi"/>
        </w:rPr>
      </w:pPr>
      <w:r w:rsidRPr="00EC4DFD">
        <w:rPr>
          <w:rFonts w:asciiTheme="majorHAnsi" w:hAnsiTheme="majorHAnsi"/>
        </w:rPr>
        <w:t>There is no organisation with the powers required to ensure the UK is following its obligations under CEDAW.</w:t>
      </w:r>
      <w:r>
        <w:rPr>
          <w:rStyle w:val="FootnoteReference"/>
          <w:rFonts w:asciiTheme="majorHAnsi" w:hAnsiTheme="majorHAnsi"/>
        </w:rPr>
        <w:footnoteReference w:id="78"/>
      </w:r>
      <w:r w:rsidRPr="00EC4DFD">
        <w:rPr>
          <w:rFonts w:asciiTheme="majorHAnsi" w:hAnsiTheme="majorHAnsi"/>
        </w:rPr>
        <w:t xml:space="preserve"> EHRC’s budget has dwindled from £70 to £17 million since its inception in 2007. There is also concern about the increasingly ‘political’ appointments to the Board of the EHRC, that undermines the government’s assertions that ‘data’ and ‘evidence’ should guide policy, rather than ‘ideology’.</w:t>
      </w:r>
      <w:r w:rsidRPr="00EC4DFD">
        <w:rPr>
          <w:rStyle w:val="FootnoteReference"/>
          <w:rFonts w:asciiTheme="majorHAnsi" w:hAnsiTheme="majorHAnsi"/>
        </w:rPr>
        <w:footnoteReference w:id="79"/>
      </w:r>
    </w:p>
    <w:p w:rsidR="00CF0C19" w:rsidRPr="00EC4DFD" w:rsidRDefault="00CF0C19" w:rsidP="00CF0C19">
      <w:pPr>
        <w:rPr>
          <w:rFonts w:asciiTheme="majorHAnsi" w:hAnsiTheme="majorHAnsi"/>
        </w:rPr>
      </w:pPr>
      <w:r w:rsidRPr="00EC4DFD">
        <w:rPr>
          <w:rFonts w:asciiTheme="majorHAnsi" w:hAnsiTheme="majorHAnsi"/>
        </w:rPr>
        <w:t>Regional, diverse and minoritised voices (such as disabled</w:t>
      </w:r>
      <w:r>
        <w:rPr>
          <w:rStyle w:val="FootnoteReference"/>
          <w:rFonts w:asciiTheme="majorHAnsi" w:hAnsiTheme="majorHAnsi"/>
        </w:rPr>
        <w:footnoteReference w:id="80"/>
      </w:r>
      <w:r w:rsidRPr="00EC4DFD">
        <w:rPr>
          <w:rFonts w:asciiTheme="majorHAnsi" w:hAnsiTheme="majorHAnsi"/>
        </w:rPr>
        <w:t xml:space="preserve"> and traveller groups</w:t>
      </w:r>
      <w:r>
        <w:rPr>
          <w:rStyle w:val="FootnoteReference"/>
          <w:rFonts w:asciiTheme="majorHAnsi" w:hAnsiTheme="majorHAnsi"/>
        </w:rPr>
        <w:footnoteReference w:id="81"/>
      </w:r>
      <w:r w:rsidRPr="00EC4DFD">
        <w:rPr>
          <w:rFonts w:asciiTheme="majorHAnsi" w:hAnsiTheme="majorHAnsi"/>
        </w:rPr>
        <w:t xml:space="preserve">) are not finding their way to the higher tiers of governmental power. There </w:t>
      </w:r>
      <w:r>
        <w:rPr>
          <w:rFonts w:asciiTheme="majorHAnsi" w:hAnsiTheme="majorHAnsi"/>
        </w:rPr>
        <w:t>is</w:t>
      </w:r>
      <w:r w:rsidRPr="00EC4DFD">
        <w:rPr>
          <w:rFonts w:asciiTheme="majorHAnsi" w:hAnsiTheme="majorHAnsi"/>
        </w:rPr>
        <w:t xml:space="preserve"> a minority of women in positions of power at government level,</w:t>
      </w:r>
      <w:r w:rsidRPr="00EC4DFD">
        <w:rPr>
          <w:rStyle w:val="FootnoteReference"/>
          <w:rFonts w:asciiTheme="majorHAnsi" w:hAnsiTheme="majorHAnsi"/>
        </w:rPr>
        <w:footnoteReference w:id="82"/>
      </w:r>
      <w:r w:rsidRPr="00EC4DFD">
        <w:rPr>
          <w:rFonts w:asciiTheme="majorHAnsi" w:hAnsiTheme="majorHAnsi"/>
        </w:rPr>
        <w:t xml:space="preserve"> and despite being hit hardest by the pandemic, they were conspicuously absent during</w:t>
      </w:r>
      <w:r>
        <w:rPr>
          <w:rFonts w:asciiTheme="majorHAnsi" w:hAnsiTheme="majorHAnsi"/>
        </w:rPr>
        <w:t xml:space="preserve"> </w:t>
      </w:r>
      <w:r w:rsidRPr="00EC4DFD">
        <w:rPr>
          <w:rFonts w:asciiTheme="majorHAnsi" w:hAnsiTheme="majorHAnsi"/>
        </w:rPr>
        <w:t>C</w:t>
      </w:r>
      <w:r>
        <w:rPr>
          <w:rFonts w:asciiTheme="majorHAnsi" w:hAnsiTheme="majorHAnsi"/>
        </w:rPr>
        <w:t>OVID</w:t>
      </w:r>
      <w:r w:rsidRPr="00EC4DFD">
        <w:rPr>
          <w:rFonts w:asciiTheme="majorHAnsi" w:hAnsiTheme="majorHAnsi"/>
        </w:rPr>
        <w:t xml:space="preserve"> decision-making processes. </w:t>
      </w:r>
    </w:p>
    <w:p w:rsidR="00CF0C19" w:rsidRPr="00E433B5" w:rsidRDefault="00CF0C19" w:rsidP="00CF0C19">
      <w:pPr>
        <w:rPr>
          <w:rFonts w:asciiTheme="majorHAnsi" w:eastAsia="Arial" w:hAnsiTheme="majorHAnsi" w:cs="Arial"/>
        </w:rPr>
      </w:pPr>
      <w:r w:rsidRPr="00EC4DFD">
        <w:rPr>
          <w:rFonts w:asciiTheme="majorHAnsi" w:hAnsiTheme="majorHAnsi"/>
        </w:rPr>
        <w:t>When we spoke to women’s organisations, they told us that they wanted to see the national mechanism as a way of strengthening the Equality Act and the P</w:t>
      </w:r>
      <w:r>
        <w:rPr>
          <w:rFonts w:asciiTheme="majorHAnsi" w:hAnsiTheme="majorHAnsi"/>
        </w:rPr>
        <w:t>SED</w:t>
      </w:r>
      <w:r w:rsidRPr="00EC4DFD">
        <w:rPr>
          <w:rFonts w:asciiTheme="majorHAnsi" w:hAnsiTheme="majorHAnsi"/>
        </w:rPr>
        <w:t xml:space="preserve">. Now, the government framework in terms of women’s rights is lacking an evidence-based analysis (even though much evidence exists) and coordinated implementation, which is something that a national mechanism </w:t>
      </w:r>
      <w:r>
        <w:rPr>
          <w:rFonts w:asciiTheme="majorHAnsi" w:hAnsiTheme="majorHAnsi"/>
        </w:rPr>
        <w:t xml:space="preserve">should </w:t>
      </w:r>
      <w:r w:rsidRPr="00EC4DFD">
        <w:rPr>
          <w:rFonts w:asciiTheme="majorHAnsi" w:hAnsiTheme="majorHAnsi"/>
        </w:rPr>
        <w:t>have powers to address. Government</w:t>
      </w:r>
      <w:r>
        <w:rPr>
          <w:rFonts w:asciiTheme="majorHAnsi" w:hAnsiTheme="majorHAnsi"/>
        </w:rPr>
        <w:t>-</w:t>
      </w:r>
      <w:r w:rsidRPr="00EC4DFD">
        <w:rPr>
          <w:rFonts w:asciiTheme="majorHAnsi" w:hAnsiTheme="majorHAnsi"/>
        </w:rPr>
        <w:t xml:space="preserve">appointed independent commissioners are fragmenting women’s experiences. </w:t>
      </w:r>
      <w:r>
        <w:rPr>
          <w:rFonts w:asciiTheme="majorHAnsi" w:hAnsiTheme="majorHAnsi"/>
        </w:rPr>
        <w:t xml:space="preserve"> W</w:t>
      </w:r>
      <w:r w:rsidRPr="00EC4DFD">
        <w:rPr>
          <w:rFonts w:asciiTheme="majorHAnsi" w:hAnsiTheme="majorHAnsi"/>
        </w:rPr>
        <w:t xml:space="preserve">omen’s </w:t>
      </w:r>
      <w:r>
        <w:rPr>
          <w:rFonts w:asciiTheme="majorHAnsi" w:hAnsiTheme="majorHAnsi"/>
        </w:rPr>
        <w:t>needs should be placed at the heart of public policy.</w:t>
      </w:r>
      <w:r w:rsidRPr="00EC4DFD">
        <w:rPr>
          <w:rFonts w:asciiTheme="majorHAnsi" w:hAnsiTheme="majorHAnsi"/>
        </w:rPr>
        <w:t xml:space="preserve"> A national mechanism, that pulls all these different strands together, would need to demonstrate a real improvement in outcomes for </w:t>
      </w:r>
      <w:r w:rsidRPr="00EC4DFD">
        <w:rPr>
          <w:rFonts w:asciiTheme="majorHAnsi" w:hAnsiTheme="majorHAnsi"/>
          <w:i/>
          <w:iCs/>
        </w:rPr>
        <w:t>all</w:t>
      </w:r>
      <w:r w:rsidRPr="00EC4DFD">
        <w:rPr>
          <w:rFonts w:asciiTheme="majorHAnsi" w:hAnsiTheme="majorHAnsi"/>
        </w:rPr>
        <w:t xml:space="preserve"> women. </w:t>
      </w:r>
    </w:p>
    <w:p w:rsidR="00CF0C19" w:rsidRPr="00EC4DFD" w:rsidRDefault="00CF0C19" w:rsidP="00CF0C19">
      <w:pPr>
        <w:rPr>
          <w:rFonts w:asciiTheme="majorHAnsi" w:hAnsiTheme="majorHAnsi"/>
        </w:rPr>
      </w:pPr>
    </w:p>
    <w:p w:rsidR="00CF0C19" w:rsidRPr="00EC4DFD" w:rsidRDefault="00CF0C19" w:rsidP="00CF0C19">
      <w:pPr>
        <w:rPr>
          <w:rFonts w:asciiTheme="majorHAnsi" w:hAnsiTheme="majorHAnsi"/>
        </w:rPr>
      </w:pPr>
    </w:p>
    <w:p w:rsidR="00CF0C19" w:rsidRPr="00EC4DFD" w:rsidRDefault="00CF0C19" w:rsidP="00CF0C19">
      <w:pPr>
        <w:rPr>
          <w:rFonts w:asciiTheme="majorHAnsi" w:hAnsiTheme="majorHAnsi"/>
        </w:rPr>
      </w:pPr>
    </w:p>
    <w:p w:rsidR="00D60C70" w:rsidRDefault="00D60C70">
      <w:bookmarkStart w:id="25" w:name="_GoBack"/>
      <w:bookmarkEnd w:id="25"/>
    </w:p>
    <w:sectPr w:rsidR="00D60C70">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C19" w:rsidRDefault="00CF0C19" w:rsidP="00CF0C19">
      <w:pPr>
        <w:spacing w:after="0" w:line="240" w:lineRule="auto"/>
      </w:pPr>
      <w:r>
        <w:separator/>
      </w:r>
    </w:p>
  </w:endnote>
  <w:endnote w:type="continuationSeparator" w:id="0">
    <w:p w:rsidR="00CF0C19" w:rsidRDefault="00CF0C19" w:rsidP="00CF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egoe UI">
    <w:altName w:val="Sylfaen"/>
    <w:charset w:val="00"/>
    <w:family w:val="swiss"/>
    <w:pitch w:val="variable"/>
    <w:sig w:usb0="E4002EFF" w:usb1="C000E47F" w:usb2="00000009" w:usb3="00000000" w:csb0="000001FF" w:csb1="00000000"/>
  </w:font>
  <w:font w:name="Omnes-Bold">
    <w:altName w:val="Calibri"/>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454" w:rsidRDefault="00CF0C19" w:rsidP="005247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56454" w:rsidRDefault="00CF0C19" w:rsidP="005247A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454" w:rsidRDefault="00CF0C19" w:rsidP="005247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56454" w:rsidRDefault="00CF0C1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C19" w:rsidRDefault="00CF0C19" w:rsidP="00CF0C19">
      <w:pPr>
        <w:spacing w:after="0" w:line="240" w:lineRule="auto"/>
      </w:pPr>
      <w:r>
        <w:separator/>
      </w:r>
    </w:p>
  </w:footnote>
  <w:footnote w:type="continuationSeparator" w:id="0">
    <w:p w:rsidR="00CF0C19" w:rsidRDefault="00CF0C19" w:rsidP="00CF0C19">
      <w:pPr>
        <w:spacing w:after="0" w:line="240" w:lineRule="auto"/>
      </w:pPr>
      <w:r>
        <w:continuationSeparator/>
      </w:r>
    </w:p>
  </w:footnote>
  <w:footnote w:id="1">
    <w:p w:rsidR="00CF0C19" w:rsidRPr="00B7524F" w:rsidRDefault="00CF0C19" w:rsidP="00CF0C19">
      <w:pPr>
        <w:pStyle w:val="FootnoteText"/>
        <w:rPr>
          <w:rFonts w:asciiTheme="majorHAnsi" w:hAnsiTheme="majorHAnsi" w:cstheme="majorHAnsi"/>
          <w:sz w:val="18"/>
          <w:szCs w:val="18"/>
        </w:rPr>
      </w:pPr>
      <w:r w:rsidRPr="00B7524F">
        <w:rPr>
          <w:rStyle w:val="FootnoteReference"/>
          <w:rFonts w:asciiTheme="majorHAnsi" w:hAnsiTheme="majorHAnsi" w:cstheme="majorHAnsi"/>
          <w:sz w:val="18"/>
          <w:szCs w:val="18"/>
        </w:rPr>
        <w:footnoteRef/>
      </w:r>
      <w:r w:rsidRPr="00B7524F">
        <w:rPr>
          <w:rFonts w:asciiTheme="majorHAnsi" w:hAnsiTheme="majorHAnsi" w:cstheme="majorHAnsi"/>
          <w:sz w:val="18"/>
          <w:szCs w:val="18"/>
        </w:rPr>
        <w:t xml:space="preserve"> </w:t>
      </w:r>
      <w:hyperlink r:id="rId1" w:history="1">
        <w:r w:rsidRPr="00B7524F">
          <w:rPr>
            <w:rStyle w:val="Hyperlink"/>
            <w:rFonts w:asciiTheme="majorHAnsi" w:hAnsiTheme="majorHAnsi" w:cstheme="majorHAnsi"/>
            <w:sz w:val="18"/>
            <w:szCs w:val="18"/>
          </w:rPr>
          <w:t>Women and Equalities Select Committee (2021) Unequal impact? Coronavirus and the gendered economic impact.</w:t>
        </w:r>
      </w:hyperlink>
      <w:r w:rsidRPr="00B7524F">
        <w:rPr>
          <w:rFonts w:asciiTheme="majorHAnsi" w:hAnsiTheme="majorHAnsi" w:cstheme="majorHAnsi"/>
          <w:sz w:val="18"/>
          <w:szCs w:val="18"/>
        </w:rPr>
        <w:t xml:space="preserve"> </w:t>
      </w:r>
    </w:p>
  </w:footnote>
  <w:footnote w:id="2">
    <w:p w:rsidR="00CF0C19" w:rsidRDefault="00CF0C19" w:rsidP="00CF0C19">
      <w:pPr>
        <w:pStyle w:val="FootnoteText"/>
        <w:rPr>
          <w:rFonts w:asciiTheme="majorHAnsi" w:hAnsiTheme="majorHAnsi"/>
          <w:sz w:val="18"/>
          <w:szCs w:val="18"/>
        </w:rPr>
      </w:pPr>
      <w:r w:rsidRPr="00BA0477">
        <w:rPr>
          <w:rStyle w:val="FootnoteReference"/>
          <w:sz w:val="18"/>
          <w:szCs w:val="18"/>
        </w:rPr>
        <w:footnoteRef/>
      </w:r>
      <w:r w:rsidRPr="00BA0477">
        <w:rPr>
          <w:sz w:val="18"/>
          <w:szCs w:val="18"/>
        </w:rPr>
        <w:t xml:space="preserve"> </w:t>
      </w:r>
      <w:r>
        <w:rPr>
          <w:rFonts w:asciiTheme="majorHAnsi" w:hAnsiTheme="majorHAnsi"/>
          <w:sz w:val="18"/>
          <w:szCs w:val="18"/>
        </w:rPr>
        <w:t>Firstly, t</w:t>
      </w:r>
      <w:r w:rsidRPr="00BA0477">
        <w:rPr>
          <w:rFonts w:asciiTheme="majorHAnsi" w:hAnsiTheme="majorHAnsi"/>
          <w:sz w:val="18"/>
          <w:szCs w:val="18"/>
        </w:rPr>
        <w:t xml:space="preserve">he UK government chose not to incorporate the EU Charter of Fundamental Rights into domestic law. This would have ensured that workers’ and other EU-derived rights, such as the Pregnant Workers’ Directive and equal treatment for part-time workers, remain protected in the future. With women occupying the most precarious rungs of the labour market, this will compromise their job security even further. </w:t>
      </w:r>
    </w:p>
    <w:p w:rsidR="00CF0C19" w:rsidRDefault="00CF0C19" w:rsidP="00CF0C19">
      <w:pPr>
        <w:pStyle w:val="FootnoteText"/>
        <w:rPr>
          <w:rFonts w:asciiTheme="majorHAnsi" w:hAnsiTheme="majorHAnsi" w:cstheme="majorHAnsi"/>
          <w:sz w:val="18"/>
          <w:szCs w:val="18"/>
        </w:rPr>
      </w:pPr>
      <w:r>
        <w:rPr>
          <w:rFonts w:asciiTheme="majorHAnsi" w:hAnsiTheme="majorHAnsi"/>
          <w:sz w:val="18"/>
          <w:szCs w:val="18"/>
        </w:rPr>
        <w:t>Secondly, t</w:t>
      </w:r>
      <w:r w:rsidRPr="00BA0477">
        <w:rPr>
          <w:rFonts w:asciiTheme="majorHAnsi" w:hAnsiTheme="majorHAnsi"/>
          <w:sz w:val="18"/>
          <w:szCs w:val="18"/>
        </w:rPr>
        <w:t>he</w:t>
      </w:r>
      <w:r>
        <w:rPr>
          <w:rFonts w:asciiTheme="majorHAnsi" w:hAnsiTheme="majorHAnsi"/>
          <w:sz w:val="18"/>
          <w:szCs w:val="18"/>
        </w:rPr>
        <w:t xml:space="preserve"> UK government</w:t>
      </w:r>
      <w:r w:rsidRPr="00BA0477">
        <w:rPr>
          <w:rFonts w:asciiTheme="majorHAnsi" w:hAnsiTheme="majorHAnsi"/>
          <w:sz w:val="18"/>
          <w:szCs w:val="18"/>
        </w:rPr>
        <w:t xml:space="preserve"> w</w:t>
      </w:r>
      <w:r>
        <w:rPr>
          <w:rFonts w:asciiTheme="majorHAnsi" w:hAnsiTheme="majorHAnsi"/>
          <w:sz w:val="18"/>
          <w:szCs w:val="18"/>
        </w:rPr>
        <w:t>as</w:t>
      </w:r>
      <w:r w:rsidRPr="00BA0477">
        <w:rPr>
          <w:rFonts w:asciiTheme="majorHAnsi" w:hAnsiTheme="majorHAnsi"/>
          <w:sz w:val="18"/>
          <w:szCs w:val="18"/>
        </w:rPr>
        <w:t xml:space="preserve"> prepared to break international law with the Internal Market Bill as part of Brexit negotiations</w:t>
      </w:r>
      <w:r>
        <w:rPr>
          <w:rFonts w:asciiTheme="majorHAnsi" w:hAnsiTheme="majorHAnsi"/>
          <w:sz w:val="18"/>
          <w:szCs w:val="18"/>
        </w:rPr>
        <w:t xml:space="preserve">: </w:t>
      </w:r>
      <w:hyperlink r:id="rId2" w:history="1">
        <w:r w:rsidRPr="006D1D7E">
          <w:rPr>
            <w:rStyle w:val="Hyperlink"/>
            <w:rFonts w:asciiTheme="majorHAnsi" w:hAnsiTheme="majorHAnsi" w:cstheme="majorHAnsi"/>
            <w:sz w:val="18"/>
            <w:szCs w:val="18"/>
          </w:rPr>
          <w:t>https://www.instituteforgovernment.org.uk/blog/internal-market-bill-breaks-international-law</w:t>
        </w:r>
      </w:hyperlink>
    </w:p>
    <w:p w:rsidR="00CF0C19" w:rsidRDefault="00CF0C19" w:rsidP="00CF0C19">
      <w:pPr>
        <w:pStyle w:val="FootnoteText"/>
        <w:rPr>
          <w:rFonts w:asciiTheme="majorHAnsi" w:hAnsiTheme="majorHAnsi" w:cstheme="majorHAnsi"/>
          <w:sz w:val="18"/>
          <w:szCs w:val="18"/>
        </w:rPr>
      </w:pPr>
      <w:r>
        <w:rPr>
          <w:rFonts w:asciiTheme="majorHAnsi" w:hAnsiTheme="majorHAnsi"/>
          <w:sz w:val="18"/>
          <w:szCs w:val="18"/>
        </w:rPr>
        <w:t>T</w:t>
      </w:r>
      <w:r w:rsidRPr="00BA0477">
        <w:rPr>
          <w:rFonts w:asciiTheme="majorHAnsi" w:hAnsiTheme="majorHAnsi"/>
          <w:sz w:val="18"/>
          <w:szCs w:val="18"/>
        </w:rPr>
        <w:t>hey have repeatedly asserted their intentions to abolish the Human Rights Act (HRA) 1998 after Brexit</w:t>
      </w:r>
      <w:r>
        <w:rPr>
          <w:rFonts w:asciiTheme="majorHAnsi" w:hAnsiTheme="majorHAnsi"/>
          <w:sz w:val="18"/>
          <w:szCs w:val="18"/>
        </w:rPr>
        <w:t xml:space="preserve">: </w:t>
      </w:r>
      <w:hyperlink r:id="rId3" w:history="1">
        <w:r w:rsidRPr="006A6662">
          <w:rPr>
            <w:rStyle w:val="Hyperlink"/>
            <w:rFonts w:asciiTheme="majorHAnsi" w:hAnsiTheme="majorHAnsi" w:cstheme="majorHAnsi"/>
            <w:sz w:val="18"/>
            <w:szCs w:val="18"/>
          </w:rPr>
          <w:t>https://www.theguardian.com/law/2020/sep/13/uk-government-plans-to-remove-key-human-rights-protections</w:t>
        </w:r>
      </w:hyperlink>
      <w:r w:rsidRPr="006A6662">
        <w:rPr>
          <w:rFonts w:asciiTheme="majorHAnsi" w:hAnsiTheme="majorHAnsi" w:cstheme="majorHAnsi"/>
          <w:sz w:val="18"/>
          <w:szCs w:val="18"/>
        </w:rPr>
        <w:t xml:space="preserve"> </w:t>
      </w:r>
    </w:p>
    <w:p w:rsidR="00CF0C19" w:rsidRDefault="00CF0C19" w:rsidP="00CF0C19">
      <w:pPr>
        <w:pStyle w:val="FootnoteText"/>
        <w:rPr>
          <w:rFonts w:asciiTheme="majorHAnsi" w:hAnsiTheme="majorHAnsi" w:cstheme="majorHAnsi"/>
          <w:sz w:val="18"/>
          <w:szCs w:val="18"/>
        </w:rPr>
      </w:pPr>
      <w:hyperlink r:id="rId4" w:history="1">
        <w:r w:rsidRPr="009B44FD">
          <w:rPr>
            <w:rStyle w:val="Hyperlink"/>
            <w:rFonts w:asciiTheme="majorHAnsi" w:hAnsiTheme="majorHAnsi" w:cstheme="majorHAnsi"/>
            <w:sz w:val="18"/>
            <w:szCs w:val="18"/>
          </w:rPr>
          <w:t>https://www.parliament.uk/business/lords/media-centre/house-of-lords-media-notices/2019/january-2019/human-rights-act-is-not-safe-after-brexit/</w:t>
        </w:r>
      </w:hyperlink>
    </w:p>
    <w:p w:rsidR="00CF0C19" w:rsidRPr="00AC198B" w:rsidRDefault="00CF0C19" w:rsidP="00CF0C19">
      <w:pPr>
        <w:pStyle w:val="FootnoteText"/>
        <w:rPr>
          <w:rFonts w:asciiTheme="majorHAnsi" w:hAnsiTheme="majorHAnsi"/>
          <w:sz w:val="18"/>
          <w:szCs w:val="18"/>
        </w:rPr>
      </w:pPr>
      <w:hyperlink r:id="rId5" w:history="1">
        <w:r w:rsidRPr="00AC198B">
          <w:rPr>
            <w:rStyle w:val="Hyperlink"/>
            <w:rFonts w:asciiTheme="majorHAnsi" w:eastAsia="Calibri" w:hAnsiTheme="majorHAnsi" w:cs="Calibri"/>
            <w:sz w:val="18"/>
            <w:szCs w:val="18"/>
          </w:rPr>
          <w:t>https://www.parliament.uk/business/lords/media-centre/house-of-lords-media-notices/2019/january-2019/human-rights-act-is-not-safe-after-brexit/</w:t>
        </w:r>
      </w:hyperlink>
      <w:r w:rsidRPr="00AC198B">
        <w:rPr>
          <w:rFonts w:asciiTheme="majorHAnsi" w:eastAsia="Calibri" w:hAnsiTheme="majorHAnsi" w:cs="Calibri"/>
          <w:sz w:val="18"/>
          <w:szCs w:val="18"/>
        </w:rPr>
        <w:t>;</w:t>
      </w:r>
    </w:p>
    <w:p w:rsidR="00CF0C19" w:rsidRPr="00AC198B" w:rsidRDefault="00CF0C19" w:rsidP="00CF0C19">
      <w:pPr>
        <w:pStyle w:val="FootnoteText"/>
        <w:rPr>
          <w:rFonts w:asciiTheme="majorHAnsi" w:hAnsiTheme="majorHAnsi"/>
          <w:sz w:val="18"/>
          <w:szCs w:val="18"/>
        </w:rPr>
      </w:pPr>
      <w:hyperlink r:id="rId6">
        <w:r w:rsidRPr="00AC198B">
          <w:rPr>
            <w:rStyle w:val="Hyperlink"/>
            <w:rFonts w:asciiTheme="majorHAnsi" w:eastAsia="Calibri" w:hAnsiTheme="majorHAnsi" w:cs="Calibri"/>
            <w:sz w:val="18"/>
            <w:szCs w:val="18"/>
          </w:rPr>
          <w:t>https://www.theguardian.com/law/2020/sep/13/uk-government-plans-to-remove-key-human-rights-protections</w:t>
        </w:r>
      </w:hyperlink>
    </w:p>
    <w:p w:rsidR="00CF0C19" w:rsidRPr="00AC198B" w:rsidRDefault="00CF0C19" w:rsidP="00CF0C19">
      <w:pPr>
        <w:pStyle w:val="FootnoteText"/>
        <w:rPr>
          <w:rFonts w:asciiTheme="majorHAnsi" w:hAnsiTheme="majorHAnsi"/>
          <w:sz w:val="16"/>
          <w:szCs w:val="16"/>
        </w:rPr>
      </w:pPr>
      <w:hyperlink r:id="rId7" w:history="1">
        <w:r w:rsidRPr="00AC198B">
          <w:rPr>
            <w:rStyle w:val="Hyperlink"/>
            <w:rFonts w:asciiTheme="majorHAnsi" w:hAnsiTheme="majorHAnsi"/>
            <w:sz w:val="16"/>
            <w:szCs w:val="16"/>
          </w:rPr>
          <w:t>https://www.lawgazette.co.uk/news/government-to-review-human-rights-act/5105899.article</w:t>
        </w:r>
      </w:hyperlink>
    </w:p>
    <w:p w:rsidR="00CF0C19" w:rsidRPr="00EE1A60" w:rsidRDefault="00CF0C19" w:rsidP="00CF0C19">
      <w:pPr>
        <w:pStyle w:val="FootnoteText"/>
        <w:rPr>
          <w:rFonts w:asciiTheme="majorHAnsi" w:hAnsiTheme="majorHAnsi" w:cstheme="majorHAnsi"/>
          <w:sz w:val="18"/>
          <w:szCs w:val="18"/>
        </w:rPr>
      </w:pPr>
      <w:r>
        <w:rPr>
          <w:rFonts w:asciiTheme="majorHAnsi" w:hAnsiTheme="majorHAnsi"/>
          <w:sz w:val="18"/>
          <w:szCs w:val="18"/>
        </w:rPr>
        <w:t>T</w:t>
      </w:r>
      <w:r w:rsidRPr="00BA0477">
        <w:rPr>
          <w:rFonts w:asciiTheme="majorHAnsi" w:hAnsiTheme="majorHAnsi"/>
          <w:sz w:val="18"/>
          <w:szCs w:val="18"/>
        </w:rPr>
        <w:t>he</w:t>
      </w:r>
      <w:r>
        <w:rPr>
          <w:rFonts w:asciiTheme="majorHAnsi" w:hAnsiTheme="majorHAnsi"/>
          <w:sz w:val="18"/>
          <w:szCs w:val="18"/>
        </w:rPr>
        <w:t xml:space="preserve"> UK government</w:t>
      </w:r>
      <w:r w:rsidRPr="00BA0477">
        <w:rPr>
          <w:rFonts w:asciiTheme="majorHAnsi" w:hAnsiTheme="majorHAnsi"/>
          <w:sz w:val="18"/>
          <w:szCs w:val="18"/>
        </w:rPr>
        <w:t xml:space="preserve"> </w:t>
      </w:r>
      <w:r>
        <w:rPr>
          <w:rFonts w:asciiTheme="majorHAnsi" w:hAnsiTheme="majorHAnsi"/>
          <w:sz w:val="18"/>
          <w:szCs w:val="18"/>
        </w:rPr>
        <w:t>is</w:t>
      </w:r>
      <w:r w:rsidRPr="00BA0477">
        <w:rPr>
          <w:rFonts w:asciiTheme="majorHAnsi" w:hAnsiTheme="majorHAnsi"/>
          <w:sz w:val="18"/>
          <w:szCs w:val="18"/>
        </w:rPr>
        <w:t xml:space="preserve"> currently reviewing Judicial Review</w:t>
      </w:r>
      <w:r>
        <w:rPr>
          <w:rFonts w:asciiTheme="majorHAnsi" w:hAnsiTheme="majorHAnsi"/>
          <w:sz w:val="18"/>
          <w:szCs w:val="18"/>
        </w:rPr>
        <w:t xml:space="preserve">: </w:t>
      </w:r>
      <w:hyperlink r:id="rId8" w:history="1">
        <w:r w:rsidRPr="00EE1A60">
          <w:rPr>
            <w:rStyle w:val="Hyperlink"/>
            <w:rFonts w:asciiTheme="majorHAnsi" w:hAnsiTheme="majorHAnsi" w:cstheme="majorHAnsi"/>
            <w:sz w:val="18"/>
            <w:szCs w:val="18"/>
          </w:rPr>
          <w:t>https://www.lawgazette.co.uk/news/former-tory-justice-minister-to-chair-independent-jr-review/5105251.article</w:t>
        </w:r>
      </w:hyperlink>
    </w:p>
  </w:footnote>
  <w:footnote w:id="3">
    <w:p w:rsidR="00CF0C19" w:rsidRPr="00B65E31" w:rsidRDefault="00CF0C19" w:rsidP="00CF0C19">
      <w:pPr>
        <w:pStyle w:val="FootnoteText"/>
        <w:rPr>
          <w:rFonts w:asciiTheme="majorHAnsi" w:hAnsiTheme="majorHAnsi" w:cstheme="majorHAnsi"/>
          <w:sz w:val="18"/>
          <w:szCs w:val="18"/>
        </w:rPr>
      </w:pPr>
      <w:r w:rsidRPr="00B65E31">
        <w:rPr>
          <w:rStyle w:val="FootnoteReference"/>
          <w:rFonts w:asciiTheme="majorHAnsi" w:hAnsiTheme="majorHAnsi" w:cstheme="majorHAnsi"/>
          <w:sz w:val="18"/>
          <w:szCs w:val="18"/>
        </w:rPr>
        <w:footnoteRef/>
      </w:r>
      <w:r w:rsidRPr="00B65E31">
        <w:rPr>
          <w:rFonts w:asciiTheme="majorHAnsi" w:hAnsiTheme="majorHAnsi" w:cstheme="majorHAnsi"/>
          <w:sz w:val="18"/>
          <w:szCs w:val="18"/>
        </w:rPr>
        <w:t xml:space="preserve"> The </w:t>
      </w:r>
      <w:r w:rsidRPr="00B65E31">
        <w:rPr>
          <w:rFonts w:asciiTheme="majorHAnsi" w:hAnsiTheme="majorHAnsi" w:cstheme="majorHAnsi"/>
          <w:color w:val="000000"/>
          <w:sz w:val="18"/>
          <w:szCs w:val="18"/>
        </w:rPr>
        <w:t xml:space="preserve">Scottish Government has indicated its desire to situate Scotland as a world-leader in human rights protection and realisation. </w:t>
      </w:r>
      <w:hyperlink r:id="rId9" w:history="1">
        <w:r w:rsidRPr="00B65E31">
          <w:rPr>
            <w:rStyle w:val="Hyperlink"/>
            <w:rFonts w:asciiTheme="majorHAnsi" w:hAnsiTheme="majorHAnsi" w:cstheme="majorHAnsi"/>
            <w:sz w:val="18"/>
            <w:szCs w:val="18"/>
          </w:rPr>
          <w:t>A National Taskforce on Leadership in Human Rights has recently recommended</w:t>
        </w:r>
      </w:hyperlink>
      <w:r w:rsidRPr="00B65E31">
        <w:rPr>
          <w:rFonts w:asciiTheme="majorHAnsi" w:hAnsiTheme="majorHAnsi" w:cstheme="majorHAnsi"/>
          <w:color w:val="000000"/>
          <w:sz w:val="18"/>
          <w:szCs w:val="18"/>
        </w:rPr>
        <w:t xml:space="preserve"> a new a single framework within the constitutional arrangements. </w:t>
      </w:r>
      <w:r w:rsidRPr="00B65E31">
        <w:rPr>
          <w:rFonts w:asciiTheme="majorHAnsi" w:eastAsia="Times New Roman" w:hAnsiTheme="majorHAnsi" w:cstheme="majorHAnsi"/>
          <w:color w:val="000000"/>
          <w:sz w:val="18"/>
          <w:szCs w:val="18"/>
          <w:lang w:eastAsia="en-GB"/>
        </w:rPr>
        <w:t xml:space="preserve">The report makes clear that the framework should </w:t>
      </w:r>
      <w:r w:rsidRPr="00C263FD">
        <w:rPr>
          <w:rFonts w:asciiTheme="majorHAnsi" w:eastAsia="Times New Roman" w:hAnsiTheme="majorHAnsi" w:cstheme="majorHAnsi"/>
          <w:color w:val="000000"/>
          <w:sz w:val="18"/>
          <w:szCs w:val="18"/>
          <w:lang w:eastAsia="en-GB"/>
        </w:rPr>
        <w:t>include CEDAW and other international conventions for the rights of other groups</w:t>
      </w:r>
      <w:r w:rsidRPr="00B65E31">
        <w:rPr>
          <w:rFonts w:asciiTheme="majorHAnsi" w:eastAsia="Times New Roman" w:hAnsiTheme="majorHAnsi" w:cstheme="majorHAnsi"/>
          <w:color w:val="000000"/>
          <w:sz w:val="18"/>
          <w:szCs w:val="18"/>
          <w:lang w:eastAsia="en-GB"/>
        </w:rPr>
        <w:t xml:space="preserve">. </w:t>
      </w:r>
      <w:r w:rsidRPr="00B65E31">
        <w:rPr>
          <w:rFonts w:asciiTheme="majorHAnsi" w:hAnsiTheme="majorHAnsi" w:cstheme="majorHAnsi"/>
          <w:color w:val="000000"/>
          <w:sz w:val="18"/>
          <w:szCs w:val="18"/>
        </w:rPr>
        <w:t xml:space="preserve">At the recent Scottish Parliament election a majority of the parties elected indicated support for incorporation. Similarly in Wales, three parties have committed to incorporation of the principles of CEDAW into legislation regarding devolved matters, including the previous Welsh Government. The previous Welsh Government convened a </w:t>
      </w:r>
      <w:hyperlink r:id="rId10" w:history="1">
        <w:r w:rsidRPr="00B65E31">
          <w:rPr>
            <w:rStyle w:val="Hyperlink"/>
            <w:rFonts w:asciiTheme="majorHAnsi" w:hAnsiTheme="majorHAnsi" w:cstheme="majorHAnsi"/>
            <w:sz w:val="18"/>
            <w:szCs w:val="18"/>
          </w:rPr>
          <w:t>Strengthening Human Rights Steering Group</w:t>
        </w:r>
      </w:hyperlink>
      <w:r w:rsidRPr="00B65E31">
        <w:rPr>
          <w:rFonts w:asciiTheme="majorHAnsi" w:hAnsiTheme="majorHAnsi" w:cstheme="majorHAnsi"/>
          <w:color w:val="000000"/>
          <w:sz w:val="18"/>
          <w:szCs w:val="18"/>
        </w:rPr>
        <w:t xml:space="preserve"> and commissioned research into the feasibility of incorporating UN treaties into Welsh law, where competence allows.</w:t>
      </w:r>
    </w:p>
  </w:footnote>
  <w:footnote w:id="4">
    <w:p w:rsidR="00CF0C19" w:rsidRDefault="00CF0C19" w:rsidP="00CF0C19">
      <w:pPr>
        <w:pStyle w:val="FootnoteText"/>
      </w:pPr>
      <w:r w:rsidRPr="00EE1A60">
        <w:rPr>
          <w:rStyle w:val="FootnoteReference"/>
          <w:rFonts w:asciiTheme="majorHAnsi" w:hAnsiTheme="majorHAnsi" w:cstheme="majorHAnsi"/>
          <w:sz w:val="18"/>
          <w:szCs w:val="18"/>
        </w:rPr>
        <w:footnoteRef/>
      </w:r>
      <w:r w:rsidRPr="00EE1A60">
        <w:rPr>
          <w:rFonts w:asciiTheme="majorHAnsi" w:hAnsiTheme="majorHAnsi" w:cstheme="majorHAnsi"/>
          <w:sz w:val="18"/>
          <w:szCs w:val="18"/>
        </w:rPr>
        <w:t xml:space="preserve"> </w:t>
      </w:r>
      <w:hyperlink r:id="rId11" w:history="1">
        <w:r w:rsidRPr="00EE1A60">
          <w:rPr>
            <w:rStyle w:val="Hyperlink"/>
            <w:rFonts w:asciiTheme="majorHAnsi" w:hAnsiTheme="majorHAnsi" w:cstheme="majorHAnsi"/>
            <w:sz w:val="18"/>
            <w:szCs w:val="18"/>
          </w:rPr>
          <w:t>https://www.parliament.uk/business/lords/media-centre/house-of-lords-media-notices/2019/january-2019/human-rights-act-is-not-safe-after-brexit/</w:t>
        </w:r>
      </w:hyperlink>
      <w:r>
        <w:t xml:space="preserve"> </w:t>
      </w:r>
    </w:p>
  </w:footnote>
  <w:footnote w:id="5">
    <w:p w:rsidR="00CF0C19" w:rsidRPr="00E45F63" w:rsidRDefault="00CF0C19" w:rsidP="00CF0C19">
      <w:pPr>
        <w:pStyle w:val="FootnoteText"/>
        <w:rPr>
          <w:rFonts w:asciiTheme="majorHAnsi" w:hAnsiTheme="majorHAnsi" w:cstheme="majorHAnsi"/>
          <w:sz w:val="18"/>
          <w:szCs w:val="18"/>
        </w:rPr>
      </w:pPr>
      <w:r w:rsidRPr="00E45F63">
        <w:rPr>
          <w:rStyle w:val="FootnoteReference"/>
          <w:rFonts w:asciiTheme="majorHAnsi" w:hAnsiTheme="majorHAnsi" w:cstheme="majorHAnsi"/>
          <w:sz w:val="18"/>
          <w:szCs w:val="18"/>
        </w:rPr>
        <w:footnoteRef/>
      </w:r>
      <w:r w:rsidRPr="00E45F63">
        <w:rPr>
          <w:rFonts w:asciiTheme="majorHAnsi" w:hAnsiTheme="majorHAnsi" w:cstheme="majorHAnsi"/>
          <w:sz w:val="18"/>
          <w:szCs w:val="18"/>
        </w:rPr>
        <w:t xml:space="preserve"> Runnymede Trust’s CERD Joint NGO Shadow Report, 2021</w:t>
      </w:r>
    </w:p>
  </w:footnote>
  <w:footnote w:id="6">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eastAsia="Calibri" w:hAnsiTheme="majorHAnsi" w:cs="Calibri"/>
          <w:sz w:val="18"/>
          <w:szCs w:val="18"/>
        </w:rPr>
        <w:t xml:space="preserve"> </w:t>
      </w:r>
      <w:hyperlink r:id="rId12" w:history="1">
        <w:r w:rsidRPr="00AC198B">
          <w:rPr>
            <w:rStyle w:val="Hyperlink"/>
            <w:rFonts w:asciiTheme="majorHAnsi" w:hAnsiTheme="majorHAnsi"/>
            <w:sz w:val="18"/>
            <w:szCs w:val="18"/>
          </w:rPr>
          <w:t>https://www.nrpfnetwork.org.uk/-/media/microsites/nrpf/documents/policy/policy-issues-and-nrpf-overview.pdf?la=en&amp;hash=C78B5C26A9AF924764084F0CA6D31D651BBF8FAD</w:t>
        </w:r>
      </w:hyperlink>
      <w:r w:rsidRPr="00AC198B">
        <w:rPr>
          <w:rFonts w:asciiTheme="majorHAnsi" w:eastAsia="Calibri" w:hAnsiTheme="majorHAnsi" w:cs="Calibri"/>
          <w:sz w:val="18"/>
          <w:szCs w:val="18"/>
        </w:rPr>
        <w:t xml:space="preserve"> </w:t>
      </w:r>
    </w:p>
  </w:footnote>
  <w:footnote w:id="7">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13">
        <w:r w:rsidRPr="00AC198B">
          <w:rPr>
            <w:rStyle w:val="Hyperlink"/>
            <w:rFonts w:asciiTheme="majorHAnsi" w:hAnsiTheme="majorHAnsi"/>
            <w:sz w:val="18"/>
            <w:szCs w:val="18"/>
          </w:rPr>
          <w:t>https://www.theguardian.com/uk-news/2013/sep/21/sexual-abuse-yarls-wood-immigration</w:t>
        </w:r>
      </w:hyperlink>
      <w:r w:rsidRPr="00AC198B">
        <w:rPr>
          <w:rFonts w:asciiTheme="majorHAnsi" w:hAnsiTheme="majorHAnsi"/>
          <w:sz w:val="18"/>
          <w:szCs w:val="18"/>
        </w:rPr>
        <w:t xml:space="preserve"> </w:t>
      </w:r>
    </w:p>
  </w:footnote>
  <w:footnote w:id="8">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14">
        <w:r w:rsidRPr="00AC198B">
          <w:rPr>
            <w:rStyle w:val="Hyperlink"/>
            <w:rFonts w:asciiTheme="majorHAnsi" w:hAnsiTheme="majorHAnsi"/>
            <w:sz w:val="18"/>
            <w:szCs w:val="18"/>
          </w:rPr>
          <w:t>https://www.theguardian.com/uk-news/2018/mar/06/minister-defends-deportation-threats-over-yarls-wood-hunger-strike</w:t>
        </w:r>
      </w:hyperlink>
      <w:r w:rsidRPr="00AC198B">
        <w:rPr>
          <w:rFonts w:asciiTheme="majorHAnsi" w:hAnsiTheme="majorHAnsi"/>
          <w:sz w:val="18"/>
          <w:szCs w:val="18"/>
        </w:rPr>
        <w:t xml:space="preserve"> </w:t>
      </w:r>
    </w:p>
  </w:footnote>
  <w:footnote w:id="9">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15">
        <w:r w:rsidRPr="00AC198B">
          <w:rPr>
            <w:rStyle w:val="Hyperlink"/>
            <w:rFonts w:asciiTheme="majorHAnsi" w:hAnsiTheme="majorHAnsi"/>
            <w:sz w:val="18"/>
            <w:szCs w:val="18"/>
          </w:rPr>
          <w:t>https://www.theguardian.com/uk-news/2017/nov/15/yarls-wood-chief-inspector-prisons-report-rape-torture</w:t>
        </w:r>
      </w:hyperlink>
      <w:r w:rsidRPr="00AC198B">
        <w:rPr>
          <w:rFonts w:asciiTheme="majorHAnsi" w:hAnsiTheme="majorHAnsi"/>
          <w:sz w:val="18"/>
          <w:szCs w:val="18"/>
        </w:rPr>
        <w:t xml:space="preserve"> </w:t>
      </w:r>
    </w:p>
  </w:footnote>
  <w:footnote w:id="10">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Sisters Not Strangers coalition (2020) Hear us: The experiences of refugee and asylum seeker women during the pandemic</w:t>
      </w:r>
    </w:p>
  </w:footnote>
  <w:footnote w:id="11">
    <w:p w:rsidR="00CF0C19" w:rsidRPr="00447E18" w:rsidRDefault="00CF0C19" w:rsidP="00CF0C19">
      <w:pPr>
        <w:pStyle w:val="FootnoteText"/>
        <w:rPr>
          <w:rFonts w:asciiTheme="majorHAnsi" w:hAnsiTheme="majorHAnsi" w:cstheme="majorHAnsi"/>
          <w:sz w:val="18"/>
          <w:szCs w:val="18"/>
        </w:rPr>
      </w:pPr>
      <w:r w:rsidRPr="00447E18">
        <w:rPr>
          <w:rStyle w:val="FootnoteReference"/>
          <w:rFonts w:asciiTheme="majorHAnsi" w:hAnsiTheme="majorHAnsi" w:cstheme="majorHAnsi"/>
          <w:sz w:val="18"/>
          <w:szCs w:val="18"/>
        </w:rPr>
        <w:footnoteRef/>
      </w:r>
      <w:r w:rsidRPr="00447E18">
        <w:rPr>
          <w:rFonts w:asciiTheme="majorHAnsi" w:hAnsiTheme="majorHAnsi" w:cstheme="majorHAnsi"/>
          <w:sz w:val="18"/>
          <w:szCs w:val="18"/>
        </w:rPr>
        <w:t xml:space="preserve"> </w:t>
      </w:r>
      <w:bookmarkStart w:id="6" w:name="_Hlk64286790"/>
      <w:r w:rsidRPr="00447E18">
        <w:rPr>
          <w:rFonts w:asciiTheme="majorHAnsi" w:hAnsiTheme="majorHAnsi" w:cstheme="majorHAnsi"/>
          <w:sz w:val="18"/>
          <w:szCs w:val="18"/>
        </w:rPr>
        <w:t xml:space="preserve">This was an increase from £37.75 announced as a COVID measure. </w:t>
      </w:r>
      <w:hyperlink r:id="rId16" w:history="1">
        <w:r w:rsidRPr="00447E18">
          <w:rPr>
            <w:rStyle w:val="Hyperlink"/>
            <w:rFonts w:asciiTheme="majorHAnsi" w:hAnsiTheme="majorHAnsi" w:cstheme="majorHAnsi"/>
            <w:sz w:val="18"/>
            <w:szCs w:val="18"/>
          </w:rPr>
          <w:t xml:space="preserve">Groups like </w:t>
        </w:r>
        <w:r>
          <w:rPr>
            <w:rStyle w:val="Hyperlink"/>
            <w:rFonts w:asciiTheme="majorHAnsi" w:hAnsiTheme="majorHAnsi" w:cstheme="majorHAnsi"/>
            <w:sz w:val="18"/>
            <w:szCs w:val="18"/>
          </w:rPr>
          <w:t xml:space="preserve">The </w:t>
        </w:r>
        <w:r w:rsidRPr="00447E18">
          <w:rPr>
            <w:rStyle w:val="Hyperlink"/>
            <w:rFonts w:asciiTheme="majorHAnsi" w:hAnsiTheme="majorHAnsi" w:cstheme="majorHAnsi"/>
            <w:sz w:val="18"/>
            <w:szCs w:val="18"/>
          </w:rPr>
          <w:t xml:space="preserve">Refugee </w:t>
        </w:r>
        <w:r>
          <w:rPr>
            <w:rStyle w:val="Hyperlink"/>
            <w:rFonts w:asciiTheme="majorHAnsi" w:hAnsiTheme="majorHAnsi" w:cstheme="majorHAnsi"/>
            <w:sz w:val="18"/>
            <w:szCs w:val="18"/>
          </w:rPr>
          <w:t>Council</w:t>
        </w:r>
        <w:r w:rsidRPr="00447E18">
          <w:rPr>
            <w:rStyle w:val="Hyperlink"/>
            <w:rFonts w:asciiTheme="majorHAnsi" w:hAnsiTheme="majorHAnsi" w:cstheme="majorHAnsi"/>
            <w:sz w:val="18"/>
            <w:szCs w:val="18"/>
          </w:rPr>
          <w:t xml:space="preserve"> called this “deeply insulting.”</w:t>
        </w:r>
      </w:hyperlink>
      <w:r w:rsidRPr="00447E18">
        <w:rPr>
          <w:rFonts w:asciiTheme="majorHAnsi" w:hAnsiTheme="majorHAnsi" w:cstheme="majorHAnsi"/>
          <w:sz w:val="18"/>
          <w:szCs w:val="18"/>
        </w:rPr>
        <w:t xml:space="preserve"> There was an announcement in October 2020 of an extra £8 per week on clothing, travel and non-prescription medication for those in full-board accommodation under section 95 or section 4(2) of the Immigration and Asylum Act 1999. It will not apply to those who are on s98.  </w:t>
      </w:r>
      <w:bookmarkEnd w:id="6"/>
    </w:p>
  </w:footnote>
  <w:footnote w:id="12">
    <w:p w:rsidR="00CF0C19" w:rsidRPr="00456454" w:rsidRDefault="00CF0C19" w:rsidP="00CF0C19">
      <w:pPr>
        <w:rPr>
          <w:rFonts w:asciiTheme="majorHAnsi" w:eastAsia="Calibri" w:hAnsiTheme="majorHAnsi" w:cs="Calibri"/>
          <w:i/>
          <w:sz w:val="18"/>
          <w:szCs w:val="18"/>
        </w:rPr>
      </w:pPr>
      <w:r w:rsidRPr="00456454">
        <w:rPr>
          <w:rStyle w:val="FootnoteReference"/>
          <w:sz w:val="18"/>
          <w:szCs w:val="18"/>
        </w:rPr>
        <w:footnoteRef/>
      </w:r>
      <w:r w:rsidRPr="00456454">
        <w:rPr>
          <w:sz w:val="18"/>
          <w:szCs w:val="18"/>
        </w:rPr>
        <w:t xml:space="preserve"> “</w:t>
      </w:r>
      <w:r w:rsidRPr="00456454">
        <w:rPr>
          <w:rFonts w:asciiTheme="majorHAnsi" w:eastAsia="Calibri" w:hAnsiTheme="majorHAnsi" w:cs="Calibri"/>
          <w:i/>
          <w:sz w:val="18"/>
          <w:szCs w:val="18"/>
        </w:rPr>
        <w:t>100% of women we have worked with who have been detained have accessed therapeutic support to specifically address the re-traumatisation of being imprisoned in detention as survivors of VAWG, including domestic slavery, and trafficking where they have been imprisoned as part of the abuse. In detention they received no additional assessment of mental health support.” [Angelou Centre]</w:t>
      </w:r>
    </w:p>
  </w:footnote>
  <w:footnote w:id="13">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eastAsia="Calibri" w:hAnsiTheme="majorHAnsi" w:cs="Calibri"/>
          <w:sz w:val="18"/>
          <w:szCs w:val="18"/>
        </w:rPr>
        <w:t xml:space="preserve"> </w:t>
      </w:r>
      <w:r w:rsidRPr="00A3223B">
        <w:rPr>
          <w:rFonts w:asciiTheme="majorHAnsi" w:eastAsia="Calibri" w:hAnsiTheme="majorHAnsi" w:cs="Calibri"/>
          <w:color w:val="0000FF"/>
          <w:sz w:val="18"/>
          <w:szCs w:val="18"/>
          <w:u w:val="single"/>
        </w:rPr>
        <w:t>C</w:t>
      </w:r>
      <w:r w:rsidRPr="00A3223B">
        <w:rPr>
          <w:color w:val="0000FF"/>
        </w:rPr>
        <w:fldChar w:fldCharType="begin"/>
      </w:r>
      <w:r w:rsidRPr="00A3223B">
        <w:rPr>
          <w:color w:val="0000FF"/>
        </w:rPr>
        <w:instrText xml:space="preserve"> HYPERLINK "http://www.legislation.gov.uk/uksi/2020/515/made" \t "_blank" </w:instrText>
      </w:r>
      <w:r w:rsidRPr="00A3223B">
        <w:rPr>
          <w:color w:val="0000FF"/>
        </w:rPr>
        <w:fldChar w:fldCharType="separate"/>
      </w:r>
      <w:r w:rsidRPr="00A3223B">
        <w:rPr>
          <w:rStyle w:val="Hyperlink"/>
          <w:rFonts w:asciiTheme="majorHAnsi" w:eastAsia="Times New Roman" w:hAnsiTheme="majorHAnsi"/>
          <w:color w:val="0000FF"/>
          <w:sz w:val="18"/>
          <w:szCs w:val="18"/>
        </w:rPr>
        <w:t>ivil Legal Aid (Remuneration) (Amendment) (Coronavirus) Regulations 2020</w:t>
      </w:r>
      <w:r w:rsidRPr="00A3223B">
        <w:rPr>
          <w:rStyle w:val="Hyperlink"/>
          <w:rFonts w:asciiTheme="majorHAnsi" w:eastAsia="Times New Roman" w:hAnsiTheme="majorHAnsi"/>
          <w:color w:val="0000FF"/>
          <w:sz w:val="18"/>
          <w:szCs w:val="18"/>
        </w:rPr>
        <w:fldChar w:fldCharType="end"/>
      </w:r>
      <w:r w:rsidRPr="00A3223B">
        <w:rPr>
          <w:rFonts w:asciiTheme="majorHAnsi" w:eastAsiaTheme="minorEastAsia" w:hAnsiTheme="majorHAnsi"/>
          <w:color w:val="0000FF"/>
          <w:sz w:val="18"/>
          <w:szCs w:val="18"/>
          <w:u w:val="single"/>
        </w:rPr>
        <w:t>.</w:t>
      </w:r>
      <w:r w:rsidRPr="00A3223B">
        <w:rPr>
          <w:rFonts w:asciiTheme="majorHAnsi" w:eastAsiaTheme="minorEastAsia" w:hAnsiTheme="majorHAnsi"/>
          <w:color w:val="0000FF"/>
          <w:sz w:val="18"/>
          <w:szCs w:val="18"/>
        </w:rPr>
        <w:t xml:space="preserve"> </w:t>
      </w:r>
      <w:r w:rsidRPr="00142015">
        <w:rPr>
          <w:rFonts w:asciiTheme="majorHAnsi" w:eastAsiaTheme="minorEastAsia" w:hAnsiTheme="majorHAnsi"/>
          <w:sz w:val="18"/>
          <w:szCs w:val="18"/>
        </w:rPr>
        <w:t xml:space="preserve">Even before this </w:t>
      </w:r>
      <w:r w:rsidRPr="00142015">
        <w:rPr>
          <w:rFonts w:asciiTheme="majorHAnsi" w:hAnsiTheme="majorHAnsi"/>
          <w:sz w:val="18"/>
          <w:szCs w:val="18"/>
        </w:rPr>
        <w:t xml:space="preserve">minoritised women who are subjected to VAWG including so-called honour-based violence, forced marriage, and trafficking, will continue to </w:t>
      </w:r>
      <w:r>
        <w:rPr>
          <w:rFonts w:asciiTheme="majorHAnsi" w:hAnsiTheme="majorHAnsi"/>
          <w:sz w:val="18"/>
          <w:szCs w:val="18"/>
        </w:rPr>
        <w:t>face barriers to legal support with a</w:t>
      </w:r>
      <w:r w:rsidRPr="00142015">
        <w:rPr>
          <w:rFonts w:asciiTheme="majorHAnsi" w:eastAsiaTheme="minorEastAsia" w:hAnsiTheme="majorHAnsi"/>
          <w:sz w:val="18"/>
          <w:szCs w:val="18"/>
        </w:rPr>
        <w:t xml:space="preserve"> 56% drop in the number of asylum and immigration legal aid providers since 2005. </w:t>
      </w:r>
      <w:hyperlink r:id="rId17" w:history="1">
        <w:r w:rsidRPr="00B05D2F">
          <w:rPr>
            <w:rStyle w:val="Hyperlink"/>
            <w:rFonts w:asciiTheme="majorHAnsi" w:eastAsiaTheme="minorEastAsia" w:hAnsiTheme="majorHAnsi"/>
            <w:sz w:val="18"/>
            <w:szCs w:val="18"/>
          </w:rPr>
          <w:t>Refugee Action and NACCOM, (2018) Tipping the Scales: Access to Justice in the Asylum System.</w:t>
        </w:r>
      </w:hyperlink>
      <w:r>
        <w:rPr>
          <w:rFonts w:asciiTheme="majorHAnsi" w:eastAsiaTheme="minorEastAsia" w:hAnsiTheme="majorHAnsi"/>
          <w:sz w:val="18"/>
          <w:szCs w:val="18"/>
        </w:rPr>
        <w:t xml:space="preserve"> </w:t>
      </w:r>
    </w:p>
  </w:footnote>
  <w:footnote w:id="14">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sz w:val="18"/>
          <w:szCs w:val="18"/>
        </w:rPr>
        <w:footnoteRef/>
      </w:r>
      <w:r w:rsidRPr="00AC198B">
        <w:rPr>
          <w:rFonts w:asciiTheme="majorHAnsi" w:eastAsia="Calibri" w:hAnsiTheme="majorHAnsi" w:cs="Calibri"/>
          <w:sz w:val="18"/>
          <w:szCs w:val="18"/>
        </w:rPr>
        <w:t xml:space="preserve"> </w:t>
      </w:r>
      <w:hyperlink r:id="rId18" w:history="1">
        <w:r w:rsidRPr="006D1D7E">
          <w:rPr>
            <w:rStyle w:val="Hyperlink"/>
            <w:rFonts w:asciiTheme="majorHAnsi" w:eastAsia="Calibri" w:hAnsiTheme="majorHAnsi" w:cs="Calibri"/>
            <w:sz w:val="18"/>
            <w:szCs w:val="18"/>
          </w:rPr>
          <w:t>https://www.legalcheek.com/2020/06/new-legal-aid-rules-threaten-access-to-justice-for-asylum-seekers-and-vulnerable-migrants-young-lawyers-warn/</w:t>
        </w:r>
      </w:hyperlink>
      <w:r w:rsidRPr="00AC198B">
        <w:rPr>
          <w:rFonts w:asciiTheme="majorHAnsi" w:eastAsia="Calibri" w:hAnsiTheme="majorHAnsi" w:cs="Calibri"/>
          <w:sz w:val="18"/>
          <w:szCs w:val="18"/>
        </w:rPr>
        <w:t xml:space="preserve"> </w:t>
      </w:r>
    </w:p>
  </w:footnote>
  <w:footnote w:id="15">
    <w:p w:rsidR="00CF0C19" w:rsidRPr="00456454" w:rsidRDefault="00CF0C19" w:rsidP="00CF0C19">
      <w:pPr>
        <w:rPr>
          <w:rFonts w:asciiTheme="majorHAnsi" w:hAnsiTheme="majorHAnsi"/>
          <w:i/>
          <w:iCs/>
          <w:sz w:val="18"/>
          <w:szCs w:val="18"/>
        </w:rPr>
      </w:pPr>
      <w:r>
        <w:rPr>
          <w:rStyle w:val="FootnoteReference"/>
        </w:rPr>
        <w:footnoteRef/>
      </w:r>
      <w:r>
        <w:t xml:space="preserve"> “</w:t>
      </w:r>
      <w:r w:rsidRPr="00456454">
        <w:rPr>
          <w:rFonts w:asciiTheme="majorHAnsi" w:hAnsiTheme="majorHAnsi"/>
          <w:i/>
          <w:iCs/>
          <w:sz w:val="18"/>
          <w:szCs w:val="18"/>
        </w:rPr>
        <w:t>SBS struggles daily to obtain access to high quality, legal aided advice and representation for survivors of domestic abuse, particularly since changes to the Legal Aid, Sentencing and Punishing of Offenders Act in 2013...We are increasingly compelled to complete Exceptional Case Funding applications, which only serve to delay access to legal advice and representation.</w:t>
      </w:r>
      <w:r>
        <w:rPr>
          <w:rFonts w:asciiTheme="majorHAnsi" w:hAnsiTheme="majorHAnsi"/>
          <w:i/>
          <w:iCs/>
          <w:sz w:val="18"/>
          <w:szCs w:val="18"/>
        </w:rPr>
        <w:t>”</w:t>
      </w:r>
      <w:r w:rsidRPr="00456454">
        <w:rPr>
          <w:rFonts w:asciiTheme="majorHAnsi" w:hAnsiTheme="majorHAnsi"/>
          <w:i/>
          <w:iCs/>
          <w:sz w:val="18"/>
          <w:szCs w:val="18"/>
        </w:rPr>
        <w:t xml:space="preserve"> [Southall Black Sisters]</w:t>
      </w:r>
    </w:p>
  </w:footnote>
  <w:footnote w:id="16">
    <w:p w:rsidR="00CF0C19" w:rsidRPr="00DA25B9" w:rsidRDefault="00CF0C19" w:rsidP="00CF0C19">
      <w:pPr>
        <w:pStyle w:val="FootnoteText"/>
        <w:rPr>
          <w:rFonts w:asciiTheme="majorHAnsi" w:hAnsiTheme="majorHAnsi" w:cstheme="majorHAnsi"/>
          <w:sz w:val="18"/>
          <w:szCs w:val="18"/>
        </w:rPr>
      </w:pPr>
      <w:r w:rsidRPr="00DA25B9">
        <w:rPr>
          <w:rStyle w:val="FootnoteReference"/>
          <w:rFonts w:asciiTheme="majorHAnsi" w:hAnsiTheme="majorHAnsi" w:cstheme="majorHAnsi"/>
          <w:sz w:val="18"/>
          <w:szCs w:val="18"/>
        </w:rPr>
        <w:footnoteRef/>
      </w:r>
      <w:r w:rsidRPr="00DA25B9">
        <w:rPr>
          <w:rFonts w:asciiTheme="majorHAnsi" w:hAnsiTheme="majorHAnsi" w:cstheme="majorHAnsi"/>
          <w:sz w:val="18"/>
          <w:szCs w:val="18"/>
        </w:rPr>
        <w:t xml:space="preserve"> WRC (2021) </w:t>
      </w:r>
      <w:hyperlink r:id="rId19" w:history="1">
        <w:r w:rsidRPr="00DA25B9">
          <w:rPr>
            <w:rStyle w:val="Hyperlink"/>
            <w:rFonts w:asciiTheme="majorHAnsi" w:hAnsiTheme="majorHAnsi" w:cstheme="majorHAnsi"/>
            <w:sz w:val="18"/>
            <w:szCs w:val="18"/>
          </w:rPr>
          <w:t>The Covid-19 Crisis and the Women’s Sector: One Year Later</w:t>
        </w:r>
      </w:hyperlink>
      <w:r w:rsidRPr="00DA25B9">
        <w:rPr>
          <w:rFonts w:asciiTheme="majorHAnsi" w:hAnsiTheme="majorHAnsi" w:cstheme="majorHAnsi"/>
          <w:sz w:val="18"/>
          <w:szCs w:val="18"/>
        </w:rPr>
        <w:t>. p.24-26</w:t>
      </w:r>
    </w:p>
  </w:footnote>
  <w:footnote w:id="17">
    <w:p w:rsidR="00CF0C19"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A third of people critically ill with COVID-19 are from ethnic minorities, even though they make up only 13% of the population (Mama Health and Poverty Partnership</w:t>
      </w:r>
      <w:r>
        <w:rPr>
          <w:rFonts w:asciiTheme="majorHAnsi" w:hAnsiTheme="majorHAnsi"/>
          <w:sz w:val="18"/>
          <w:szCs w:val="18"/>
        </w:rPr>
        <w:t xml:space="preserve"> and WRC submission to Mayor of Manchester</w:t>
      </w:r>
      <w:r w:rsidRPr="00AC198B">
        <w:rPr>
          <w:rFonts w:asciiTheme="majorHAnsi" w:hAnsiTheme="majorHAnsi"/>
          <w:sz w:val="18"/>
          <w:szCs w:val="18"/>
        </w:rPr>
        <w:t xml:space="preserve"> p.2) </w:t>
      </w:r>
      <w:hyperlink r:id="rId20">
        <w:r w:rsidRPr="00AC198B">
          <w:rPr>
            <w:rStyle w:val="Hyperlink"/>
            <w:rFonts w:asciiTheme="majorHAnsi" w:hAnsiTheme="majorHAnsi"/>
            <w:sz w:val="18"/>
            <w:szCs w:val="18"/>
          </w:rPr>
          <w:t>https://www.theguardian.com/commentisfree/2020/dec/15/health-inequalities-covid-ucl-government-policymaking</w:t>
        </w:r>
      </w:hyperlink>
      <w:r w:rsidRPr="00AC198B">
        <w:rPr>
          <w:rFonts w:asciiTheme="majorHAnsi" w:hAnsiTheme="majorHAnsi"/>
          <w:sz w:val="18"/>
          <w:szCs w:val="18"/>
        </w:rPr>
        <w:t xml:space="preserve">. </w:t>
      </w:r>
    </w:p>
    <w:p w:rsidR="00CF0C19" w:rsidRDefault="00CF0C19" w:rsidP="00CF0C19">
      <w:pPr>
        <w:pStyle w:val="FootnoteText"/>
        <w:rPr>
          <w:rFonts w:asciiTheme="majorHAnsi" w:hAnsiTheme="majorHAnsi"/>
          <w:sz w:val="18"/>
          <w:szCs w:val="18"/>
        </w:rPr>
      </w:pPr>
      <w:hyperlink r:id="rId21" w:history="1">
        <w:r w:rsidRPr="00142015">
          <w:rPr>
            <w:rStyle w:val="Hyperlink"/>
            <w:rFonts w:asciiTheme="majorHAnsi" w:eastAsia="Calibri" w:hAnsiTheme="majorHAnsi" w:cs="Calibri"/>
            <w:sz w:val="18"/>
            <w:szCs w:val="18"/>
          </w:rPr>
          <w:t>WRC (2020) The Crisis of COVID-19 and UK Women’s Charities, Survey Responses and Findings</w:t>
        </w:r>
      </w:hyperlink>
      <w:r w:rsidRPr="00AC198B">
        <w:rPr>
          <w:rFonts w:asciiTheme="majorHAnsi" w:hAnsiTheme="majorHAnsi"/>
          <w:sz w:val="18"/>
          <w:szCs w:val="18"/>
        </w:rPr>
        <w:t xml:space="preserve"> found that minoritised </w:t>
      </w:r>
      <w:r w:rsidRPr="006A1E4C">
        <w:rPr>
          <w:rFonts w:asciiTheme="majorHAnsi" w:hAnsiTheme="majorHAnsi"/>
          <w:sz w:val="18"/>
          <w:szCs w:val="18"/>
        </w:rPr>
        <w:t>people, and women in particular, face increased barriers to accessing healthcare because of things like extra caring responsibilities and more limited access to computers. It also showed that 84% of the respondents said that a decline in mental health was one of the three most pressing issues for BME women.</w:t>
      </w:r>
    </w:p>
    <w:p w:rsidR="00CF0C19" w:rsidRPr="005920FF" w:rsidRDefault="00CF0C19" w:rsidP="00CF0C19">
      <w:pPr>
        <w:rPr>
          <w:rFonts w:asciiTheme="majorHAnsi" w:hAnsiTheme="majorHAnsi"/>
          <w:color w:val="0070C0"/>
        </w:rPr>
      </w:pPr>
      <w:r>
        <w:rPr>
          <w:rFonts w:ascii="Calibri" w:eastAsia="Calibri" w:hAnsi="Calibri" w:cs="Times New Roman"/>
          <w:i/>
          <w:iCs/>
          <w:sz w:val="18"/>
          <w:szCs w:val="18"/>
        </w:rPr>
        <w:t>“</w:t>
      </w:r>
      <w:r w:rsidRPr="005920FF">
        <w:rPr>
          <w:rFonts w:ascii="Calibri" w:eastAsia="Calibri" w:hAnsi="Calibri" w:cs="Times New Roman"/>
          <w:i/>
          <w:iCs/>
          <w:sz w:val="18"/>
          <w:szCs w:val="18"/>
        </w:rPr>
        <w:t>Rates of suicide and self-harm for South Asian women are up to 3 times the national average. This is compounded for women with insecure immigration status.</w:t>
      </w:r>
      <w:r>
        <w:rPr>
          <w:rFonts w:ascii="Calibri" w:eastAsia="Calibri" w:hAnsi="Calibri" w:cs="Times New Roman"/>
          <w:i/>
          <w:iCs/>
          <w:sz w:val="18"/>
          <w:szCs w:val="18"/>
        </w:rPr>
        <w:t>”</w:t>
      </w:r>
      <w:r w:rsidRPr="005920FF">
        <w:rPr>
          <w:rFonts w:ascii="Calibri" w:eastAsia="Calibri" w:hAnsi="Calibri" w:cs="Times New Roman"/>
          <w:i/>
          <w:iCs/>
          <w:sz w:val="18"/>
          <w:szCs w:val="18"/>
        </w:rPr>
        <w:t xml:space="preserve"> [Southall Black Sisters]</w:t>
      </w:r>
      <w:r>
        <w:rPr>
          <w:rFonts w:ascii="Calibri" w:eastAsia="Calibri" w:hAnsi="Calibri" w:cs="Times New Roman"/>
          <w:i/>
          <w:iCs/>
          <w:color w:val="0070C0"/>
        </w:rPr>
        <w:t xml:space="preserve"> </w:t>
      </w:r>
      <w:hyperlink r:id="rId22" w:history="1">
        <w:r w:rsidRPr="006A1E4C">
          <w:rPr>
            <w:rStyle w:val="Hyperlink"/>
            <w:rFonts w:asciiTheme="majorHAnsi" w:hAnsiTheme="majorHAnsi"/>
            <w:sz w:val="18"/>
            <w:szCs w:val="18"/>
          </w:rPr>
          <w:t>Southall Black Sisters (2010) Safe and Sane: A model of intervention on domestic violence and mental health, suicide and self-harm amongst Black and minority ethnic women.</w:t>
        </w:r>
      </w:hyperlink>
    </w:p>
  </w:footnote>
  <w:footnote w:id="18">
    <w:p w:rsidR="00CF0C19" w:rsidRPr="005920FF" w:rsidRDefault="00CF0C19" w:rsidP="00CF0C19">
      <w:pPr>
        <w:pStyle w:val="FootnoteText"/>
        <w:rPr>
          <w:sz w:val="18"/>
          <w:szCs w:val="18"/>
          <w:lang w:val="en-US"/>
        </w:rPr>
      </w:pPr>
      <w:r w:rsidRPr="005920FF">
        <w:rPr>
          <w:rStyle w:val="FootnoteReference"/>
          <w:sz w:val="18"/>
          <w:szCs w:val="18"/>
        </w:rPr>
        <w:footnoteRef/>
      </w:r>
      <w:r w:rsidRPr="005920FF">
        <w:rPr>
          <w:sz w:val="18"/>
          <w:szCs w:val="18"/>
        </w:rPr>
        <w:t xml:space="preserve"> </w:t>
      </w:r>
      <w:r w:rsidRPr="005920FF">
        <w:rPr>
          <w:rFonts w:asciiTheme="majorHAnsi" w:hAnsiTheme="majorHAnsi"/>
          <w:i/>
          <w:iCs/>
          <w:sz w:val="18"/>
          <w:szCs w:val="18"/>
        </w:rPr>
        <w:t xml:space="preserve">“The hostile </w:t>
      </w:r>
      <w:r w:rsidRPr="005920FF">
        <w:rPr>
          <w:rFonts w:asciiTheme="majorHAnsi" w:hAnsiTheme="majorHAnsi" w:cstheme="majorHAnsi"/>
          <w:i/>
          <w:iCs/>
          <w:sz w:val="18"/>
          <w:szCs w:val="18"/>
        </w:rPr>
        <w:t>environment and the two pandemics mean that migrant women and black and minoritised women who are subjected to VAWG including so-called honour-based violence, forced marriage, and trafficking, will continue to experience barriers in access to services as inequalities are exacerbated. This is an issue of rights and</w:t>
      </w:r>
      <w:r w:rsidRPr="005920FF">
        <w:rPr>
          <w:rFonts w:asciiTheme="majorHAnsi" w:hAnsiTheme="majorHAnsi"/>
          <w:i/>
          <w:iCs/>
          <w:sz w:val="18"/>
          <w:szCs w:val="18"/>
        </w:rPr>
        <w:t xml:space="preserve"> protections that has never been addressed in UK law.” </w:t>
      </w:r>
      <w:r w:rsidRPr="005920FF">
        <w:rPr>
          <w:rFonts w:asciiTheme="majorHAnsi" w:hAnsiTheme="majorHAnsi"/>
          <w:iCs/>
          <w:sz w:val="18"/>
          <w:szCs w:val="18"/>
        </w:rPr>
        <w:t>{Southall Black Sisters]</w:t>
      </w:r>
    </w:p>
  </w:footnote>
  <w:footnote w:id="19">
    <w:p w:rsidR="00CF0C19" w:rsidRPr="006A1E4C" w:rsidRDefault="00CF0C19" w:rsidP="00CF0C19">
      <w:pPr>
        <w:pStyle w:val="FootnoteText"/>
        <w:rPr>
          <w:rFonts w:asciiTheme="majorHAnsi" w:hAnsiTheme="majorHAnsi"/>
          <w:sz w:val="18"/>
          <w:szCs w:val="18"/>
          <w:lang w:val="en-US"/>
        </w:rPr>
      </w:pPr>
      <w:r w:rsidRPr="006A1E4C">
        <w:rPr>
          <w:rStyle w:val="FootnoteReference"/>
          <w:rFonts w:asciiTheme="majorHAnsi" w:hAnsiTheme="majorHAnsi"/>
          <w:sz w:val="18"/>
          <w:szCs w:val="18"/>
        </w:rPr>
        <w:footnoteRef/>
      </w:r>
      <w:r w:rsidRPr="006A1E4C">
        <w:rPr>
          <w:rFonts w:asciiTheme="majorHAnsi" w:hAnsiTheme="majorHAnsi"/>
          <w:sz w:val="18"/>
          <w:szCs w:val="18"/>
        </w:rPr>
        <w:t xml:space="preserve"> The PSED is the obligation on public bodies to have ‘due regard’ to the need to eliminate discrimination; advance equality of opportunity and foster good relations.</w:t>
      </w:r>
    </w:p>
  </w:footnote>
  <w:footnote w:id="20">
    <w:p w:rsidR="00CF0C19" w:rsidRPr="006A1E4C" w:rsidRDefault="00CF0C19" w:rsidP="00CF0C19">
      <w:pPr>
        <w:pStyle w:val="FootnoteText"/>
        <w:rPr>
          <w:rFonts w:asciiTheme="majorHAnsi" w:hAnsiTheme="majorHAnsi"/>
          <w:sz w:val="18"/>
          <w:szCs w:val="18"/>
        </w:rPr>
      </w:pPr>
      <w:r w:rsidRPr="006A1E4C">
        <w:rPr>
          <w:rStyle w:val="FootnoteReference"/>
          <w:rFonts w:asciiTheme="majorHAnsi" w:hAnsiTheme="majorHAnsi"/>
          <w:sz w:val="18"/>
          <w:szCs w:val="18"/>
        </w:rPr>
        <w:footnoteRef/>
      </w:r>
      <w:r w:rsidRPr="006A1E4C">
        <w:rPr>
          <w:rFonts w:asciiTheme="majorHAnsi" w:hAnsiTheme="majorHAnsi"/>
          <w:sz w:val="18"/>
          <w:szCs w:val="18"/>
        </w:rPr>
        <w:t xml:space="preserve"> </w:t>
      </w:r>
      <w:hyperlink r:id="rId23" w:history="1">
        <w:r w:rsidRPr="006A1E4C">
          <w:rPr>
            <w:rStyle w:val="Hyperlink"/>
            <w:rFonts w:asciiTheme="majorHAnsi" w:hAnsiTheme="majorHAnsi"/>
            <w:sz w:val="18"/>
            <w:szCs w:val="18"/>
          </w:rPr>
          <w:t>https://www.gov.uk/government/news/employers-do-not-have-to-report-gender-pay-gaps</w:t>
        </w:r>
      </w:hyperlink>
      <w:r w:rsidRPr="006A1E4C">
        <w:rPr>
          <w:rFonts w:asciiTheme="majorHAnsi" w:hAnsiTheme="majorHAnsi"/>
          <w:sz w:val="18"/>
          <w:szCs w:val="18"/>
        </w:rPr>
        <w:t xml:space="preserve"> </w:t>
      </w:r>
    </w:p>
    <w:p w:rsidR="00CF0C19" w:rsidRPr="00AC198B" w:rsidRDefault="00CF0C19" w:rsidP="00CF0C19">
      <w:pPr>
        <w:pStyle w:val="FootnoteText"/>
        <w:rPr>
          <w:rFonts w:asciiTheme="majorHAnsi" w:hAnsiTheme="majorHAnsi"/>
          <w:sz w:val="18"/>
          <w:szCs w:val="18"/>
          <w:lang w:val="en-US"/>
        </w:rPr>
      </w:pPr>
      <w:hyperlink r:id="rId24" w:history="1">
        <w:r w:rsidRPr="006A1E4C">
          <w:rPr>
            <w:rStyle w:val="Hyperlink"/>
            <w:rFonts w:asciiTheme="majorHAnsi" w:hAnsiTheme="majorHAnsi" w:cstheme="majorHAnsi"/>
            <w:sz w:val="18"/>
            <w:szCs w:val="18"/>
          </w:rPr>
          <w:t>https://www.theguardian.com/world/2021/feb/09/uk-ministers-face-pressure-over-gender-pay-gap-reporting-delay</w:t>
        </w:r>
      </w:hyperlink>
    </w:p>
  </w:footnote>
  <w:footnote w:id="21">
    <w:p w:rsidR="00CF0C19" w:rsidRPr="00215675" w:rsidRDefault="00CF0C19" w:rsidP="00CF0C19">
      <w:pPr>
        <w:pStyle w:val="FootnoteText"/>
        <w:rPr>
          <w:rFonts w:asciiTheme="majorHAnsi" w:hAnsiTheme="majorHAnsi"/>
          <w:sz w:val="18"/>
          <w:szCs w:val="18"/>
        </w:rPr>
      </w:pPr>
      <w:hyperlink r:id="rId25" w:history="1">
        <w:r w:rsidRPr="00447E18">
          <w:rPr>
            <w:rStyle w:val="Hyperlink"/>
            <w:rFonts w:asciiTheme="majorHAnsi" w:hAnsiTheme="majorHAnsi"/>
            <w:sz w:val="18"/>
            <w:szCs w:val="18"/>
            <w:vertAlign w:val="superscript"/>
          </w:rPr>
          <w:footnoteRef/>
        </w:r>
        <w:r w:rsidRPr="00447E18">
          <w:rPr>
            <w:rStyle w:val="Hyperlink"/>
            <w:rFonts w:asciiTheme="majorHAnsi" w:hAnsiTheme="majorHAnsi"/>
            <w:sz w:val="18"/>
            <w:szCs w:val="18"/>
          </w:rPr>
          <w:t xml:space="preserve"> The Equality and Human Rights Commission (EHRC) published a report in November</w:t>
        </w:r>
      </w:hyperlink>
      <w:r w:rsidRPr="00AC198B">
        <w:rPr>
          <w:rFonts w:asciiTheme="majorHAnsi" w:hAnsiTheme="majorHAnsi"/>
          <w:sz w:val="18"/>
          <w:szCs w:val="18"/>
        </w:rPr>
        <w:t xml:space="preserve"> that strongly criticised the government’s lack of adherence to the Public Sector Equality Duty (PSED) in their ‘hostile environment’ policies.</w:t>
      </w:r>
      <w:r w:rsidRPr="00AC198B">
        <w:rPr>
          <w:rFonts w:asciiTheme="majorHAnsi" w:eastAsia="Calibri" w:hAnsiTheme="majorHAnsi" w:cs="Calibri"/>
          <w:sz w:val="18"/>
          <w:szCs w:val="18"/>
        </w:rPr>
        <w:t xml:space="preserve"> </w:t>
      </w:r>
      <w:hyperlink r:id="rId26">
        <w:r w:rsidRPr="00215675">
          <w:rPr>
            <w:rStyle w:val="Hyperlink"/>
            <w:rFonts w:asciiTheme="majorHAnsi" w:eastAsia="Calibri" w:hAnsiTheme="majorHAnsi" w:cs="Calibri"/>
            <w:sz w:val="18"/>
            <w:szCs w:val="18"/>
          </w:rPr>
          <w:t>https://www.equalityhumanrights.com/sites/default/files/public-sector-equality-duty-assessment-of-hostile-environment-policies.pdf</w:t>
        </w:r>
      </w:hyperlink>
      <w:r w:rsidRPr="00215675">
        <w:rPr>
          <w:rFonts w:asciiTheme="majorHAnsi" w:eastAsia="Calibri" w:hAnsiTheme="majorHAnsi" w:cs="Calibri"/>
          <w:sz w:val="18"/>
          <w:szCs w:val="18"/>
        </w:rPr>
        <w:t xml:space="preserve"> </w:t>
      </w:r>
    </w:p>
  </w:footnote>
  <w:footnote w:id="22">
    <w:p w:rsidR="00CF0C19" w:rsidRPr="00215675" w:rsidRDefault="00CF0C19" w:rsidP="00CF0C19">
      <w:pPr>
        <w:pStyle w:val="FootnoteText"/>
        <w:rPr>
          <w:rFonts w:asciiTheme="majorHAnsi" w:hAnsiTheme="majorHAnsi"/>
          <w:sz w:val="18"/>
          <w:szCs w:val="18"/>
        </w:rPr>
      </w:pPr>
      <w:r w:rsidRPr="00215675">
        <w:rPr>
          <w:rStyle w:val="FootnoteReference"/>
          <w:rFonts w:asciiTheme="majorHAnsi" w:hAnsiTheme="majorHAnsi"/>
          <w:sz w:val="18"/>
          <w:szCs w:val="18"/>
        </w:rPr>
        <w:footnoteRef/>
      </w:r>
      <w:r w:rsidRPr="00215675">
        <w:rPr>
          <w:rFonts w:asciiTheme="majorHAnsi" w:hAnsiTheme="majorHAnsi"/>
          <w:sz w:val="18"/>
          <w:szCs w:val="18"/>
        </w:rPr>
        <w:t xml:space="preserve"> </w:t>
      </w:r>
      <w:hyperlink r:id="rId27" w:history="1">
        <w:r w:rsidRPr="00215675">
          <w:rPr>
            <w:rStyle w:val="Hyperlink"/>
            <w:rFonts w:asciiTheme="majorHAnsi" w:hAnsiTheme="majorHAnsi" w:cstheme="majorHAnsi"/>
            <w:sz w:val="18"/>
            <w:szCs w:val="18"/>
          </w:rPr>
          <w:t>https://cpag.org.uk/sites/default/files/Two%20child%20limit%20consultation_CPAG%20response.pdf</w:t>
        </w:r>
      </w:hyperlink>
      <w:r w:rsidRPr="00215675">
        <w:rPr>
          <w:rFonts w:asciiTheme="majorHAnsi" w:hAnsiTheme="majorHAnsi"/>
          <w:sz w:val="18"/>
          <w:szCs w:val="18"/>
        </w:rPr>
        <w:t xml:space="preserve"> </w:t>
      </w:r>
    </w:p>
  </w:footnote>
  <w:footnote w:id="23">
    <w:p w:rsidR="00CF0C19" w:rsidRPr="00AC198B" w:rsidRDefault="00CF0C19" w:rsidP="00CF0C19">
      <w:pPr>
        <w:pStyle w:val="FootnoteText"/>
        <w:rPr>
          <w:rFonts w:asciiTheme="majorHAnsi" w:eastAsia="Calibri" w:hAnsiTheme="majorHAnsi" w:cs="Calibri"/>
          <w:color w:val="000000" w:themeColor="text1"/>
          <w:sz w:val="18"/>
          <w:szCs w:val="18"/>
        </w:rPr>
      </w:pPr>
      <w:r w:rsidRPr="00215675">
        <w:rPr>
          <w:rStyle w:val="FootnoteReference"/>
          <w:rFonts w:asciiTheme="majorHAnsi" w:eastAsia="Calibri" w:hAnsiTheme="majorHAnsi" w:cs="Calibri"/>
          <w:sz w:val="18"/>
          <w:szCs w:val="18"/>
        </w:rPr>
        <w:footnoteRef/>
      </w:r>
      <w:r w:rsidRPr="00215675">
        <w:rPr>
          <w:rFonts w:asciiTheme="majorHAnsi" w:eastAsia="Calibri" w:hAnsiTheme="majorHAnsi" w:cs="Calibri"/>
          <w:sz w:val="18"/>
          <w:szCs w:val="18"/>
        </w:rPr>
        <w:t xml:space="preserve"> </w:t>
      </w:r>
      <w:hyperlink r:id="rId28" w:history="1">
        <w:r w:rsidRPr="00215675">
          <w:rPr>
            <w:rStyle w:val="Hyperlink"/>
            <w:rFonts w:asciiTheme="majorHAnsi" w:eastAsia="Calibri" w:hAnsiTheme="majorHAnsi" w:cs="Calibri"/>
            <w:sz w:val="18"/>
            <w:szCs w:val="18"/>
          </w:rPr>
          <w:t>Joint Coronavirus research from The Fawcett Society, Women’s Budget Group, LSE and Queen Mary joint research (2020), BAME Women and Coivd-19 – Research Evidence.</w:t>
        </w:r>
      </w:hyperlink>
      <w:r w:rsidRPr="00AC198B">
        <w:rPr>
          <w:rFonts w:asciiTheme="majorHAnsi" w:eastAsia="Calibri" w:hAnsiTheme="majorHAnsi" w:cs="Calibri"/>
          <w:color w:val="000000" w:themeColor="text1"/>
          <w:sz w:val="18"/>
          <w:szCs w:val="18"/>
        </w:rPr>
        <w:t xml:space="preserve"> </w:t>
      </w:r>
    </w:p>
  </w:footnote>
  <w:footnote w:id="24">
    <w:p w:rsidR="00CF0C19" w:rsidRPr="00AC198B" w:rsidRDefault="00CF0C19" w:rsidP="00CF0C19">
      <w:pPr>
        <w:pStyle w:val="FootnoteText"/>
        <w:rPr>
          <w:rFonts w:asciiTheme="majorHAnsi" w:hAnsiTheme="majorHAnsi"/>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29">
        <w:r w:rsidRPr="00AC198B">
          <w:rPr>
            <w:rStyle w:val="Hyperlink"/>
            <w:rFonts w:asciiTheme="majorHAnsi" w:hAnsiTheme="majorHAnsi"/>
            <w:sz w:val="18"/>
            <w:szCs w:val="18"/>
          </w:rPr>
          <w:t>https://www.equalityhumanrights.com/sites/default/files/public-sector-equality-duty-assessment-of-hostile-environment-policies.pdf</w:t>
        </w:r>
      </w:hyperlink>
      <w:r w:rsidRPr="00AC198B">
        <w:rPr>
          <w:rFonts w:asciiTheme="majorHAnsi" w:hAnsiTheme="majorHAnsi"/>
        </w:rPr>
        <w:t xml:space="preserve"> </w:t>
      </w:r>
    </w:p>
  </w:footnote>
  <w:footnote w:id="25">
    <w:p w:rsidR="00CF0C19" w:rsidRDefault="00CF0C19" w:rsidP="00CF0C19">
      <w:pPr>
        <w:pStyle w:val="FootnoteText"/>
      </w:pPr>
      <w:r w:rsidRPr="00215675">
        <w:rPr>
          <w:rStyle w:val="FootnoteReference"/>
          <w:rFonts w:asciiTheme="majorHAnsi" w:hAnsiTheme="majorHAnsi"/>
          <w:sz w:val="18"/>
          <w:szCs w:val="18"/>
        </w:rPr>
        <w:footnoteRef/>
      </w:r>
      <w:r w:rsidRPr="00215675">
        <w:rPr>
          <w:rFonts w:asciiTheme="majorHAnsi" w:hAnsiTheme="majorHAnsi"/>
          <w:sz w:val="18"/>
          <w:szCs w:val="18"/>
        </w:rPr>
        <w:t xml:space="preserve"> </w:t>
      </w:r>
      <w:hyperlink r:id="rId30">
        <w:r w:rsidRPr="00AC198B">
          <w:rPr>
            <w:rStyle w:val="Hyperlink"/>
            <w:rFonts w:asciiTheme="majorHAnsi" w:hAnsiTheme="majorHAnsi"/>
            <w:sz w:val="18"/>
            <w:szCs w:val="18"/>
          </w:rPr>
          <w:t>https://www.gov.uk/government/publications/windrush-lessons-learned-review</w:t>
        </w:r>
      </w:hyperlink>
    </w:p>
  </w:footnote>
  <w:footnote w:id="26">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2014 UN Special Rapporteur’s report on violence against women in the UK concluded that policies and practices on violence against women are increasingly gender neutral and aim for equal treatment for all, thereby disregarding the need for special measures that acknowledge difference and recognise that women are disproportionately impacted by violence, inequality and discrimination. The report also highlights that the shift from gender specificity to gender neutrality has occurred to the detriment of gender-specific initiatives and programmes. (A/HRC/29/27/Add.2)</w:t>
      </w:r>
    </w:p>
  </w:footnote>
  <w:footnote w:id="27">
    <w:p w:rsidR="00CF0C19" w:rsidRPr="00AC198B" w:rsidRDefault="00CF0C19" w:rsidP="00CF0C19">
      <w:pPr>
        <w:pStyle w:val="FootnoteText"/>
        <w:rPr>
          <w:rFonts w:asciiTheme="majorHAnsi" w:eastAsia="Arial" w:hAnsiTheme="majorHAnsi" w:cs="Arial"/>
          <w:color w:val="0070C0"/>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HL Paper 378, HC 2075, Joint Committee on the Draft Domestic Abuse Bill, June 2020</w:t>
      </w:r>
    </w:p>
  </w:footnote>
  <w:footnote w:id="28">
    <w:p w:rsidR="00CF0C19" w:rsidRPr="00AC198B" w:rsidRDefault="00CF0C19" w:rsidP="00CF0C19">
      <w:pPr>
        <w:pStyle w:val="FootnoteText"/>
        <w:rPr>
          <w:rStyle w:val="FootnoteReference"/>
          <w:rFonts w:asciiTheme="majorHAnsi" w:eastAsia="Times New Roman" w:hAnsiTheme="majorHAnsi"/>
          <w:lang w:val="en-US"/>
        </w:rPr>
      </w:pPr>
      <w:r w:rsidRPr="00AC198B">
        <w:rPr>
          <w:rStyle w:val="FootnoteReference"/>
          <w:rFonts w:asciiTheme="majorHAnsi" w:hAnsiTheme="majorHAnsi"/>
        </w:rPr>
        <w:footnoteRef/>
      </w:r>
      <w:r w:rsidRPr="00AC198B">
        <w:rPr>
          <w:rFonts w:asciiTheme="majorHAnsi" w:eastAsia="Calibri" w:hAnsiTheme="majorHAnsi" w:cs="Calibri"/>
          <w:sz w:val="18"/>
          <w:szCs w:val="18"/>
        </w:rPr>
        <w:t xml:space="preserve"> </w:t>
      </w:r>
      <w:r w:rsidRPr="00AC198B">
        <w:rPr>
          <w:rFonts w:asciiTheme="majorHAnsi" w:eastAsia="Calibri" w:hAnsiTheme="majorHAnsi" w:cs="Calibri"/>
          <w:sz w:val="18"/>
          <w:szCs w:val="18"/>
          <w:lang w:val="en-US"/>
        </w:rPr>
        <w:t xml:space="preserve">Joseph Rowntree Foundation Destitution in the UK reports.  </w:t>
      </w:r>
      <w:r w:rsidRPr="00AC198B">
        <w:rPr>
          <w:rFonts w:asciiTheme="majorHAnsi" w:eastAsia="Calibri" w:hAnsiTheme="majorHAnsi" w:cs="Calibri"/>
          <w:sz w:val="18"/>
          <w:szCs w:val="18"/>
        </w:rPr>
        <w:t>Relative child poverty, which is a good indicator of socioeconomic deprivation amongst adults, increased by 600,000 between 2011/12 and 2018/19,</w:t>
      </w:r>
      <w:r>
        <w:rPr>
          <w:rFonts w:asciiTheme="majorHAnsi" w:eastAsia="Calibri" w:hAnsiTheme="majorHAnsi" w:cs="Calibri"/>
          <w:sz w:val="18"/>
          <w:szCs w:val="18"/>
        </w:rPr>
        <w:t xml:space="preserve"> </w:t>
      </w:r>
      <w:r w:rsidRPr="00AC198B">
        <w:rPr>
          <w:rFonts w:asciiTheme="majorHAnsi" w:eastAsia="Calibri" w:hAnsiTheme="majorHAnsi" w:cs="Calibri"/>
          <w:sz w:val="18"/>
          <w:szCs w:val="18"/>
          <w:lang w:val="en-US"/>
        </w:rPr>
        <w:t>Social Mobility Commission report (2020) referenced here: https://www.childrenscommissioner.gov.uk/2020/06/22/fact-checking-claims-about-child-poverty/</w:t>
      </w:r>
      <w:r w:rsidRPr="00AC198B">
        <w:rPr>
          <w:rFonts w:asciiTheme="majorHAnsi" w:eastAsia="Calibri" w:hAnsiTheme="majorHAnsi" w:cs="Calibri"/>
          <w:sz w:val="18"/>
          <w:szCs w:val="18"/>
        </w:rPr>
        <w:t xml:space="preserve"> with an additional 200,000 since the pandemic.</w:t>
      </w:r>
      <w:r>
        <w:rPr>
          <w:rFonts w:asciiTheme="majorHAnsi" w:eastAsia="Calibri" w:hAnsiTheme="majorHAnsi" w:cs="Calibri"/>
          <w:sz w:val="18"/>
          <w:szCs w:val="18"/>
        </w:rPr>
        <w:t xml:space="preserve"> </w:t>
      </w:r>
      <w:r w:rsidRPr="00AC198B">
        <w:rPr>
          <w:rFonts w:asciiTheme="majorHAnsi" w:eastAsia="Calibri" w:hAnsiTheme="majorHAnsi" w:cs="Calibri"/>
          <w:sz w:val="18"/>
          <w:szCs w:val="18"/>
        </w:rPr>
        <w:t>Institute for Public Policy Research</w:t>
      </w:r>
    </w:p>
  </w:footnote>
  <w:footnote w:id="29">
    <w:p w:rsidR="00CF0C19" w:rsidRPr="00B7524F" w:rsidRDefault="00CF0C19" w:rsidP="00CF0C19">
      <w:pPr>
        <w:pStyle w:val="FootnoteText"/>
        <w:rPr>
          <w:rFonts w:asciiTheme="majorHAnsi" w:hAnsiTheme="majorHAnsi" w:cstheme="majorHAnsi"/>
          <w:sz w:val="18"/>
          <w:szCs w:val="18"/>
        </w:rPr>
      </w:pPr>
      <w:r w:rsidRPr="00B7524F">
        <w:rPr>
          <w:rStyle w:val="FootnoteReference"/>
          <w:rFonts w:asciiTheme="majorHAnsi" w:hAnsiTheme="majorHAnsi" w:cstheme="majorHAnsi"/>
          <w:sz w:val="18"/>
          <w:szCs w:val="18"/>
        </w:rPr>
        <w:footnoteRef/>
      </w:r>
      <w:r w:rsidRPr="00B7524F">
        <w:rPr>
          <w:rFonts w:asciiTheme="majorHAnsi" w:hAnsiTheme="majorHAnsi" w:cstheme="majorHAnsi"/>
          <w:sz w:val="18"/>
          <w:szCs w:val="18"/>
        </w:rPr>
        <w:t xml:space="preserve"> </w:t>
      </w:r>
      <w:hyperlink r:id="rId31" w:history="1">
        <w:r w:rsidRPr="00B7524F">
          <w:rPr>
            <w:rStyle w:val="Hyperlink"/>
            <w:rFonts w:asciiTheme="majorHAnsi" w:hAnsiTheme="majorHAnsi" w:cstheme="majorHAnsi"/>
            <w:sz w:val="18"/>
            <w:szCs w:val="18"/>
          </w:rPr>
          <w:t>https://www.theguardian.com/society/2020/dec/09/covid-driven-recession-likely-to-push-2m-uk-families-into-poverty</w:t>
        </w:r>
      </w:hyperlink>
      <w:r w:rsidRPr="00B7524F">
        <w:rPr>
          <w:rFonts w:asciiTheme="majorHAnsi" w:hAnsiTheme="majorHAnsi" w:cstheme="majorHAnsi"/>
          <w:sz w:val="18"/>
          <w:szCs w:val="18"/>
        </w:rPr>
        <w:t xml:space="preserve"> </w:t>
      </w:r>
    </w:p>
  </w:footnote>
  <w:footnote w:id="30">
    <w:p w:rsidR="00CF0C19" w:rsidRPr="00AC198B" w:rsidRDefault="00CF0C19" w:rsidP="00CF0C19">
      <w:pPr>
        <w:rPr>
          <w:rFonts w:asciiTheme="majorHAnsi" w:eastAsiaTheme="minorEastAsia" w:hAnsiTheme="majorHAnsi"/>
          <w:sz w:val="18"/>
          <w:szCs w:val="18"/>
        </w:rPr>
      </w:pPr>
      <w:r w:rsidRPr="00AC198B">
        <w:rPr>
          <w:rStyle w:val="FootnoteReference"/>
          <w:rFonts w:asciiTheme="majorHAnsi" w:hAnsiTheme="majorHAnsi"/>
        </w:rPr>
        <w:footnoteRef/>
      </w:r>
      <w:r w:rsidRPr="00AC198B">
        <w:rPr>
          <w:rFonts w:asciiTheme="majorHAnsi" w:eastAsiaTheme="minorEastAsia" w:hAnsiTheme="majorHAnsi"/>
          <w:sz w:val="18"/>
          <w:szCs w:val="18"/>
        </w:rPr>
        <w:t xml:space="preserve"> </w:t>
      </w:r>
      <w:r w:rsidRPr="00AC198B">
        <w:rPr>
          <w:rFonts w:asciiTheme="majorHAnsi" w:eastAsiaTheme="minorEastAsia" w:hAnsiTheme="majorHAnsi"/>
          <w:color w:val="121212"/>
          <w:sz w:val="18"/>
          <w:szCs w:val="18"/>
        </w:rPr>
        <w:t>The research into destitution was carried out by the Institute for Social Policy, Housing, Equalities Research at Heriot-Watt</w:t>
      </w:r>
      <w:r w:rsidRPr="00AC198B">
        <w:rPr>
          <w:rFonts w:asciiTheme="majorHAnsi" w:eastAsia="Calibri" w:hAnsiTheme="majorHAnsi" w:cs="Calibri"/>
          <w:color w:val="121212"/>
          <w:sz w:val="18"/>
          <w:szCs w:val="18"/>
        </w:rPr>
        <w:t xml:space="preserve"> University, its third such study since 2015. Around 1m households experienced destitution in 2019, up 35%</w:t>
      </w:r>
      <w:r w:rsidRPr="00AC198B">
        <w:rPr>
          <w:rFonts w:asciiTheme="majorHAnsi" w:eastAsia="Calibri" w:hAnsiTheme="majorHAnsi" w:cs="Calibri"/>
          <w:color w:val="121212"/>
          <w:sz w:val="18"/>
          <w:szCs w:val="18"/>
          <w:shd w:val="clear" w:color="auto" w:fill="FFFFFF"/>
        </w:rPr>
        <w:t xml:space="preserve"> </w:t>
      </w:r>
      <w:r w:rsidRPr="002443A5">
        <w:rPr>
          <w:rFonts w:asciiTheme="majorHAnsi" w:eastAsia="Times New Roman" w:hAnsiTheme="majorHAnsi"/>
          <w:sz w:val="18"/>
          <w:szCs w:val="18"/>
          <w:shd w:val="clear" w:color="auto" w:fill="FFFFFF"/>
        </w:rPr>
        <w:t> since 2017</w:t>
      </w:r>
      <w:r w:rsidRPr="00AC198B">
        <w:rPr>
          <w:rFonts w:asciiTheme="majorHAnsi" w:eastAsia="Calibri" w:hAnsiTheme="majorHAnsi" w:cs="Calibri"/>
          <w:color w:val="121212"/>
          <w:sz w:val="18"/>
          <w:szCs w:val="18"/>
        </w:rPr>
        <w:t>,</w:t>
      </w:r>
      <w:r w:rsidRPr="00AC198B">
        <w:rPr>
          <w:rFonts w:asciiTheme="majorHAnsi" w:eastAsiaTheme="minorEastAsia" w:hAnsiTheme="majorHAnsi"/>
          <w:color w:val="121212"/>
          <w:sz w:val="18"/>
          <w:szCs w:val="18"/>
        </w:rPr>
        <w:t xml:space="preserve"> equivalent to 2.4 million people. These rates were likely to have doubled in recent months</w:t>
      </w:r>
      <w:r w:rsidRPr="00AC198B">
        <w:rPr>
          <w:rFonts w:asciiTheme="majorHAnsi" w:eastAsiaTheme="minorEastAsia" w:hAnsiTheme="majorHAnsi"/>
          <w:color w:val="121212"/>
          <w:sz w:val="18"/>
          <w:szCs w:val="18"/>
          <w:shd w:val="clear" w:color="auto" w:fill="FFFFFF"/>
        </w:rPr>
        <w:t xml:space="preserve">. </w:t>
      </w:r>
      <w:r w:rsidRPr="00AC198B">
        <w:rPr>
          <w:rFonts w:asciiTheme="majorHAnsi" w:eastAsiaTheme="minorEastAsia" w:hAnsiTheme="majorHAnsi"/>
          <w:sz w:val="18"/>
          <w:szCs w:val="18"/>
        </w:rPr>
        <w:t>88% of BME women’s organisations WRC surveyed reported that increased poverty was a main cause for concern for their service-users, which is a higher rate than non BME organisations. Almost a third of women’s organisations in our survey reported that access to Universal Credit was an urgent and critical need for their service-users. There was a 15% variance in the number of BME organisations that reported an increase in poverty as the main issues affecting their service-users compared to non BME women’s organisations.  The survey also showed that there is a more urgent need for emergency supplies to basic living needs such as safety, food and personal care. Over half of BME women’s organisations we surveyed said homelessness was a pressing issue for their service-users. See WRC (2020) The Crisis of COVID-19 and UK Women’s Charities. Survey Responses and Findings.</w:t>
      </w:r>
    </w:p>
  </w:footnote>
  <w:footnote w:id="31">
    <w:p w:rsidR="00CF0C19" w:rsidRPr="00BB1F78" w:rsidRDefault="00CF0C19" w:rsidP="00CF0C19">
      <w:pPr>
        <w:pStyle w:val="FootnoteText"/>
        <w:rPr>
          <w:rFonts w:asciiTheme="majorHAnsi" w:hAnsiTheme="majorHAnsi" w:cstheme="majorHAnsi"/>
          <w:sz w:val="18"/>
          <w:szCs w:val="18"/>
        </w:rPr>
      </w:pPr>
      <w:r w:rsidRPr="00BB1F78">
        <w:rPr>
          <w:rStyle w:val="FootnoteReference"/>
          <w:rFonts w:asciiTheme="majorHAnsi" w:hAnsiTheme="majorHAnsi" w:cstheme="majorHAnsi"/>
          <w:sz w:val="18"/>
          <w:szCs w:val="18"/>
        </w:rPr>
        <w:footnoteRef/>
      </w:r>
      <w:r w:rsidRPr="00BB1F78">
        <w:rPr>
          <w:rFonts w:asciiTheme="majorHAnsi" w:hAnsiTheme="majorHAnsi" w:cstheme="majorHAnsi"/>
          <w:sz w:val="18"/>
          <w:szCs w:val="18"/>
        </w:rPr>
        <w:t xml:space="preserve"> </w:t>
      </w:r>
      <w:hyperlink r:id="rId32" w:history="1">
        <w:r w:rsidRPr="00BB1F78">
          <w:rPr>
            <w:rStyle w:val="Hyperlink"/>
            <w:rFonts w:asciiTheme="majorHAnsi" w:hAnsiTheme="majorHAnsi" w:cstheme="majorHAnsi"/>
            <w:sz w:val="18"/>
            <w:szCs w:val="18"/>
            <w:shd w:val="clear" w:color="auto" w:fill="FCFCFC"/>
          </w:rPr>
          <w:t>Del Boca, D., Oggero, N., Profeta, P. </w:t>
        </w:r>
        <w:r w:rsidRPr="00BB1F78">
          <w:rPr>
            <w:rStyle w:val="Hyperlink"/>
            <w:rFonts w:asciiTheme="majorHAnsi" w:hAnsiTheme="majorHAnsi" w:cstheme="majorHAnsi"/>
            <w:i/>
            <w:iCs/>
            <w:sz w:val="18"/>
            <w:szCs w:val="18"/>
            <w:shd w:val="clear" w:color="auto" w:fill="FCFCFC"/>
          </w:rPr>
          <w:t>et al.</w:t>
        </w:r>
        <w:r w:rsidRPr="00BB1F78">
          <w:rPr>
            <w:rStyle w:val="Hyperlink"/>
            <w:rFonts w:asciiTheme="majorHAnsi" w:hAnsiTheme="majorHAnsi" w:cstheme="majorHAnsi"/>
            <w:sz w:val="18"/>
            <w:szCs w:val="18"/>
            <w:shd w:val="clear" w:color="auto" w:fill="FCFCFC"/>
          </w:rPr>
          <w:t> (2020) Women’s and men’s work, housework and childcare, before and during COVID-19. </w:t>
        </w:r>
        <w:r w:rsidRPr="00BB1F78">
          <w:rPr>
            <w:rStyle w:val="Hyperlink"/>
            <w:rFonts w:asciiTheme="majorHAnsi" w:hAnsiTheme="majorHAnsi" w:cstheme="majorHAnsi"/>
            <w:i/>
            <w:iCs/>
            <w:sz w:val="18"/>
            <w:szCs w:val="18"/>
            <w:shd w:val="clear" w:color="auto" w:fill="FCFCFC"/>
          </w:rPr>
          <w:t>Rev Econ Household</w:t>
        </w:r>
      </w:hyperlink>
    </w:p>
  </w:footnote>
  <w:footnote w:id="32">
    <w:p w:rsidR="00CF0C19" w:rsidRPr="00AC198B" w:rsidRDefault="00CF0C19" w:rsidP="00CF0C19">
      <w:pPr>
        <w:pStyle w:val="FootnoteText"/>
        <w:rPr>
          <w:rFonts w:asciiTheme="majorHAnsi" w:eastAsia="Calibri" w:hAnsiTheme="majorHAnsi" w:cs="Calibri"/>
          <w:sz w:val="18"/>
          <w:szCs w:val="18"/>
        </w:rPr>
      </w:pPr>
      <w:r w:rsidRPr="00AC198B">
        <w:rPr>
          <w:rStyle w:val="FootnoteReference"/>
          <w:rFonts w:asciiTheme="majorHAnsi" w:hAnsiTheme="majorHAnsi"/>
        </w:rPr>
        <w:footnoteRef/>
      </w:r>
      <w:r w:rsidRPr="00AC198B">
        <w:rPr>
          <w:rFonts w:asciiTheme="majorHAnsi" w:hAnsiTheme="majorHAnsi"/>
        </w:rPr>
        <w:t xml:space="preserve"> </w:t>
      </w:r>
      <w:hyperlink r:id="rId33" w:history="1">
        <w:r w:rsidRPr="000B3098">
          <w:rPr>
            <w:rStyle w:val="Hyperlink"/>
            <w:rFonts w:asciiTheme="majorHAnsi" w:eastAsia="Calibri" w:hAnsiTheme="majorHAnsi" w:cs="Calibri"/>
            <w:sz w:val="18"/>
            <w:szCs w:val="18"/>
          </w:rPr>
          <w:t>WRC (2020) The Crisis of COVID-19 and UK Women’s Charities. Survey Responses and Findings</w:t>
        </w:r>
      </w:hyperlink>
      <w:r w:rsidRPr="00AC198B">
        <w:rPr>
          <w:rFonts w:asciiTheme="majorHAnsi" w:eastAsia="Calibri" w:hAnsiTheme="majorHAnsi" w:cs="Calibri"/>
          <w:sz w:val="18"/>
          <w:szCs w:val="18"/>
        </w:rPr>
        <w:t xml:space="preserve">. This report showed that almost half of women’s organisations surveyed reported that their service users had a </w:t>
      </w:r>
      <w:r>
        <w:rPr>
          <w:rFonts w:asciiTheme="majorHAnsi" w:eastAsia="Calibri" w:hAnsiTheme="majorHAnsi" w:cs="Calibri"/>
          <w:sz w:val="18"/>
          <w:szCs w:val="18"/>
        </w:rPr>
        <w:t>‘</w:t>
      </w:r>
      <w:r w:rsidRPr="00AC198B">
        <w:rPr>
          <w:rFonts w:asciiTheme="majorHAnsi" w:eastAsia="Calibri" w:hAnsiTheme="majorHAnsi" w:cs="Calibri"/>
          <w:sz w:val="18"/>
          <w:szCs w:val="18"/>
        </w:rPr>
        <w:t>substantial</w:t>
      </w:r>
      <w:r>
        <w:rPr>
          <w:rFonts w:asciiTheme="majorHAnsi" w:eastAsia="Calibri" w:hAnsiTheme="majorHAnsi" w:cs="Calibri"/>
          <w:sz w:val="18"/>
          <w:szCs w:val="18"/>
        </w:rPr>
        <w:t>’</w:t>
      </w:r>
      <w:r w:rsidRPr="00AC198B">
        <w:rPr>
          <w:rFonts w:asciiTheme="majorHAnsi" w:eastAsia="Calibri" w:hAnsiTheme="majorHAnsi" w:cs="Calibri"/>
          <w:sz w:val="18"/>
          <w:szCs w:val="18"/>
        </w:rPr>
        <w:t xml:space="preserve"> and ‘high priority</w:t>
      </w:r>
      <w:r>
        <w:rPr>
          <w:rFonts w:asciiTheme="majorHAnsi" w:eastAsia="Calibri" w:hAnsiTheme="majorHAnsi" w:cs="Calibri"/>
          <w:sz w:val="18"/>
          <w:szCs w:val="18"/>
        </w:rPr>
        <w:t xml:space="preserve">’ </w:t>
      </w:r>
      <w:r w:rsidRPr="00AC198B">
        <w:rPr>
          <w:rFonts w:asciiTheme="majorHAnsi" w:eastAsia="Calibri" w:hAnsiTheme="majorHAnsi" w:cs="Calibri"/>
          <w:sz w:val="18"/>
          <w:szCs w:val="18"/>
        </w:rPr>
        <w:t xml:space="preserve">need to access childcare. This TUC report reports on the crisis in affordable childcare in the UK: </w:t>
      </w:r>
      <w:hyperlink r:id="rId34">
        <w:r w:rsidRPr="00AC198B">
          <w:rPr>
            <w:rStyle w:val="Hyperlink"/>
            <w:rFonts w:asciiTheme="majorHAnsi" w:eastAsia="Calibri" w:hAnsiTheme="majorHAnsi" w:cs="Calibri"/>
            <w:sz w:val="18"/>
            <w:szCs w:val="18"/>
          </w:rPr>
          <w:t>https://www.tuc.org.uk/news/2-5-working-mums-face-childcare-crisis-when-new-term-starts-tuc-poll</w:t>
        </w:r>
      </w:hyperlink>
      <w:r w:rsidRPr="00AC198B">
        <w:rPr>
          <w:rFonts w:asciiTheme="majorHAnsi" w:eastAsia="Calibri" w:hAnsiTheme="majorHAnsi" w:cs="Calibri"/>
          <w:sz w:val="18"/>
          <w:szCs w:val="18"/>
        </w:rPr>
        <w:t xml:space="preserve">  </w:t>
      </w:r>
    </w:p>
  </w:footnote>
  <w:footnote w:id="33">
    <w:p w:rsidR="00CF0C19" w:rsidRPr="00AC198B" w:rsidRDefault="00CF0C19" w:rsidP="00CF0C19">
      <w:pPr>
        <w:pStyle w:val="FootnoteText"/>
        <w:rPr>
          <w:rFonts w:asciiTheme="majorHAnsi" w:eastAsia="Calibri" w:hAnsiTheme="majorHAnsi" w:cs="Calibri"/>
          <w:color w:val="000000" w:themeColor="text1"/>
          <w:sz w:val="18"/>
          <w:szCs w:val="18"/>
        </w:rPr>
      </w:pPr>
      <w:r w:rsidRPr="00AC198B">
        <w:rPr>
          <w:rStyle w:val="FootnoteReference"/>
          <w:rFonts w:asciiTheme="majorHAnsi" w:eastAsia="Calibri" w:hAnsiTheme="majorHAnsi" w:cs="Calibri"/>
          <w:sz w:val="18"/>
          <w:szCs w:val="18"/>
        </w:rPr>
        <w:footnoteRef/>
      </w:r>
      <w:r w:rsidRPr="00AC198B">
        <w:rPr>
          <w:rFonts w:asciiTheme="majorHAnsi" w:eastAsia="Calibri" w:hAnsiTheme="majorHAnsi" w:cs="Calibri"/>
          <w:sz w:val="18"/>
          <w:szCs w:val="18"/>
        </w:rPr>
        <w:t xml:space="preserve"> </w:t>
      </w:r>
      <w:hyperlink r:id="rId35" w:history="1">
        <w:r w:rsidRPr="000B3098">
          <w:rPr>
            <w:rStyle w:val="Hyperlink"/>
            <w:rFonts w:asciiTheme="majorHAnsi" w:eastAsia="Calibri" w:hAnsiTheme="majorHAnsi" w:cs="Calibri"/>
            <w:sz w:val="18"/>
            <w:szCs w:val="18"/>
          </w:rPr>
          <w:t>Alison Andrew et. al. (2020) ‘How are mothers and fathers balancing work and family under lockdown’ IFS Briefing Note BN290</w:t>
        </w:r>
      </w:hyperlink>
      <w:r w:rsidRPr="00AC198B">
        <w:rPr>
          <w:rFonts w:asciiTheme="majorHAnsi" w:eastAsia="Calibri" w:hAnsiTheme="majorHAnsi" w:cs="Calibri"/>
          <w:color w:val="000000" w:themeColor="text1"/>
          <w:sz w:val="18"/>
          <w:szCs w:val="18"/>
        </w:rPr>
        <w:t xml:space="preserve"> </w:t>
      </w:r>
    </w:p>
  </w:footnote>
  <w:footnote w:id="34">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36" w:history="1">
        <w:r w:rsidRPr="000B3098">
          <w:rPr>
            <w:rStyle w:val="Hyperlink"/>
            <w:rFonts w:asciiTheme="majorHAnsi" w:hAnsiTheme="majorHAnsi"/>
            <w:sz w:val="18"/>
            <w:szCs w:val="18"/>
            <w:lang w:val="en-US"/>
          </w:rPr>
          <w:t>TUC (2021) Working Mums Paying the Price. London.</w:t>
        </w:r>
      </w:hyperlink>
      <w:r w:rsidRPr="00AC198B">
        <w:rPr>
          <w:rFonts w:asciiTheme="majorHAnsi" w:hAnsiTheme="majorHAnsi"/>
          <w:sz w:val="18"/>
          <w:szCs w:val="18"/>
          <w:lang w:val="en-US"/>
        </w:rPr>
        <w:t xml:space="preserve"> </w:t>
      </w:r>
    </w:p>
  </w:footnote>
  <w:footnote w:id="35">
    <w:p w:rsidR="00CF0C19" w:rsidRPr="004A0523" w:rsidRDefault="00CF0C19" w:rsidP="00CF0C19">
      <w:pPr>
        <w:pStyle w:val="FootnoteText"/>
        <w:rPr>
          <w:rFonts w:asciiTheme="majorHAnsi" w:hAnsiTheme="majorHAnsi" w:cstheme="majorHAnsi"/>
          <w:sz w:val="18"/>
          <w:szCs w:val="18"/>
        </w:rPr>
      </w:pPr>
      <w:hyperlink r:id="rId37" w:history="1">
        <w:r w:rsidRPr="004A0523">
          <w:rPr>
            <w:rStyle w:val="Hyperlink"/>
            <w:rFonts w:asciiTheme="majorHAnsi" w:hAnsiTheme="majorHAnsi" w:cstheme="majorHAnsi"/>
            <w:sz w:val="18"/>
            <w:szCs w:val="18"/>
            <w:vertAlign w:val="superscript"/>
          </w:rPr>
          <w:footnoteRef/>
        </w:r>
        <w:r w:rsidRPr="004A0523">
          <w:rPr>
            <w:rStyle w:val="Hyperlink"/>
            <w:rFonts w:asciiTheme="majorHAnsi" w:hAnsiTheme="majorHAnsi" w:cstheme="majorHAnsi"/>
            <w:sz w:val="18"/>
            <w:szCs w:val="18"/>
          </w:rPr>
          <w:t xml:space="preserve"> TUC, (2020) Insecure work, Why decent work needs to be at the heart of the UK’s recovery from corona virus</w:t>
        </w:r>
      </w:hyperlink>
    </w:p>
  </w:footnote>
  <w:footnote w:id="36">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38" w:history="1">
        <w:r w:rsidRPr="00AC198B">
          <w:rPr>
            <w:rStyle w:val="Hyperlink"/>
            <w:rFonts w:asciiTheme="majorHAnsi" w:eastAsia="Calibri" w:hAnsiTheme="majorHAnsi" w:cs="Calibri"/>
            <w:sz w:val="18"/>
            <w:szCs w:val="18"/>
            <w:lang w:val="en-US"/>
          </w:rPr>
          <w:t>https://www.peoplemanagement.co.uk/news/articles/women-young-people-on-zero-hours-contracts</w:t>
        </w:r>
      </w:hyperlink>
      <w:r w:rsidRPr="00AC198B">
        <w:rPr>
          <w:rFonts w:asciiTheme="majorHAnsi" w:eastAsia="Calibri" w:hAnsiTheme="majorHAnsi" w:cs="Calibri"/>
          <w:sz w:val="18"/>
          <w:szCs w:val="18"/>
          <w:lang w:val="en-US"/>
        </w:rPr>
        <w:t xml:space="preserve"> </w:t>
      </w:r>
    </w:p>
  </w:footnote>
  <w:footnote w:id="37">
    <w:p w:rsidR="00CF0C19" w:rsidRPr="00AC198B" w:rsidRDefault="00CF0C19" w:rsidP="00CF0C19">
      <w:pPr>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[38-41 taken from </w:t>
      </w:r>
      <w:hyperlink r:id="rId39" w:history="1">
        <w:r w:rsidRPr="000B3098">
          <w:rPr>
            <w:rStyle w:val="Hyperlink"/>
            <w:rFonts w:asciiTheme="majorHAnsi" w:hAnsiTheme="majorHAnsi"/>
            <w:sz w:val="18"/>
            <w:szCs w:val="18"/>
          </w:rPr>
          <w:t>English Collective of Prostitutes submission to the Women and Equalities Select Committee Inquiry into Prostitution: tackling inequalities and harm</w:t>
        </w:r>
      </w:hyperlink>
      <w:r w:rsidRPr="00AC198B">
        <w:rPr>
          <w:rFonts w:asciiTheme="majorHAnsi" w:hAnsiTheme="majorHAnsi"/>
          <w:sz w:val="18"/>
          <w:szCs w:val="18"/>
        </w:rPr>
        <w:t xml:space="preserve"> in 2019] </w:t>
      </w:r>
    </w:p>
    <w:p w:rsidR="00CF0C19" w:rsidRPr="00AC198B" w:rsidRDefault="00CF0C19" w:rsidP="00CF0C19">
      <w:pPr>
        <w:rPr>
          <w:rFonts w:asciiTheme="majorHAnsi" w:eastAsia="Times New Roman" w:hAnsiTheme="majorHAnsi" w:cs="Times New Roman"/>
          <w:sz w:val="18"/>
          <w:szCs w:val="18"/>
        </w:rPr>
      </w:pPr>
      <w:r w:rsidRPr="00AC198B">
        <w:rPr>
          <w:rFonts w:asciiTheme="majorHAnsi" w:eastAsia="Times New Roman" w:hAnsiTheme="majorHAnsi" w:cs="Times New Roman"/>
          <w:color w:val="000000"/>
          <w:sz w:val="18"/>
          <w:szCs w:val="18"/>
        </w:rPr>
        <w:t>The Guardian, 9 March 2017. </w:t>
      </w:r>
      <w:hyperlink r:id="rId40" w:history="1">
        <w:r w:rsidRPr="00AC198B">
          <w:rPr>
            <w:rFonts w:asciiTheme="majorHAnsi" w:eastAsia="Times New Roman" w:hAnsiTheme="majorHAnsi" w:cs="Times New Roman"/>
            <w:color w:val="0000FF" w:themeColor="hyperlink"/>
            <w:sz w:val="18"/>
            <w:szCs w:val="18"/>
            <w:u w:val="single"/>
          </w:rPr>
          <w:t>https://www.theguardian.com/world/2017/mar/09/women-bearing-86-of-austerity-burden-labour-research-reveals</w:t>
        </w:r>
      </w:hyperlink>
    </w:p>
  </w:footnote>
  <w:footnote w:id="38">
    <w:p w:rsidR="00CF0C19" w:rsidRPr="00AC198B" w:rsidRDefault="00CF0C19" w:rsidP="00CF0C19">
      <w:pPr>
        <w:rPr>
          <w:rFonts w:asciiTheme="majorHAnsi" w:eastAsia="Times New Roman" w:hAnsiTheme="majorHAnsi" w:cs="Times New Roman"/>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r w:rsidRPr="00AC198B">
        <w:rPr>
          <w:rFonts w:asciiTheme="majorHAnsi" w:eastAsia="Times New Roman" w:hAnsiTheme="majorHAnsi" w:cs="Times New Roman"/>
          <w:color w:val="000000"/>
          <w:sz w:val="18"/>
          <w:szCs w:val="18"/>
        </w:rPr>
        <w:t>The Guardian, 22 May 2019. </w:t>
      </w:r>
      <w:hyperlink r:id="rId41" w:history="1">
        <w:r w:rsidRPr="00AC198B">
          <w:rPr>
            <w:rFonts w:asciiTheme="majorHAnsi" w:eastAsia="Times New Roman" w:hAnsiTheme="majorHAnsi" w:cs="Times New Roman"/>
            <w:color w:val="0000FF" w:themeColor="hyperlink"/>
            <w:sz w:val="18"/>
            <w:szCs w:val="18"/>
            <w:u w:val="single"/>
          </w:rPr>
          <w:t>https://www.theguardian.com/society/2019/may/22/universal-credit-hardship-linked-to-prostitution</w:t>
        </w:r>
      </w:hyperlink>
    </w:p>
  </w:footnote>
  <w:footnote w:id="39">
    <w:p w:rsidR="00CF0C19" w:rsidRPr="00AC198B" w:rsidRDefault="00CF0C19" w:rsidP="00CF0C19">
      <w:pPr>
        <w:pStyle w:val="NormalWeb"/>
        <w:spacing w:before="0" w:beforeAutospacing="0" w:after="0" w:afterAutospacing="0"/>
        <w:rPr>
          <w:rFonts w:asciiTheme="majorHAnsi" w:hAnsiTheme="majorHAnsi"/>
          <w:color w:val="000000"/>
          <w:sz w:val="27"/>
          <w:szCs w:val="27"/>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r w:rsidRPr="00AC198B">
        <w:rPr>
          <w:rFonts w:asciiTheme="majorHAnsi" w:hAnsiTheme="majorHAnsi"/>
          <w:color w:val="000000"/>
          <w:sz w:val="18"/>
          <w:szCs w:val="18"/>
        </w:rPr>
        <w:t>Most sex workers are mothers working to support families.</w:t>
      </w:r>
      <w:r w:rsidRPr="00AC198B">
        <w:rPr>
          <w:rFonts w:asciiTheme="majorHAnsi" w:hAnsiTheme="majorHAnsi"/>
          <w:color w:val="000000"/>
          <w:sz w:val="18"/>
          <w:szCs w:val="18"/>
          <w:vertAlign w:val="superscript"/>
        </w:rPr>
        <w:t> </w:t>
      </w:r>
      <w:r w:rsidRPr="00AC198B">
        <w:rPr>
          <w:rFonts w:asciiTheme="majorHAnsi" w:hAnsiTheme="majorHAnsi"/>
          <w:color w:val="000000"/>
          <w:sz w:val="18"/>
          <w:szCs w:val="18"/>
        </w:rPr>
        <w:t>74% of off-street sex workers cited the need to pay household expenses and support their children. </w:t>
      </w:r>
      <w:hyperlink r:id="rId42" w:history="1">
        <w:r w:rsidRPr="000B3098">
          <w:rPr>
            <w:rStyle w:val="Hyperlink"/>
            <w:rFonts w:asciiTheme="majorHAnsi" w:hAnsiTheme="majorHAnsi"/>
            <w:sz w:val="18"/>
            <w:szCs w:val="18"/>
          </w:rPr>
          <w:t>Home Office. (2004). Paying the Price: A Consultation Paper on Prostitution</w:t>
        </w:r>
      </w:hyperlink>
      <w:r w:rsidRPr="00AC198B">
        <w:rPr>
          <w:rFonts w:asciiTheme="majorHAnsi" w:hAnsiTheme="majorHAnsi"/>
          <w:color w:val="000000"/>
          <w:sz w:val="18"/>
          <w:szCs w:val="18"/>
        </w:rPr>
        <w:t>.</w:t>
      </w:r>
      <w:bookmarkStart w:id="14" w:name="_edn6"/>
      <w:bookmarkEnd w:id="14"/>
      <w:r w:rsidRPr="00AC198B">
        <w:rPr>
          <w:rFonts w:asciiTheme="majorHAnsi" w:hAnsiTheme="majorHAnsi"/>
          <w:color w:val="000000"/>
          <w:sz w:val="18"/>
          <w:szCs w:val="18"/>
        </w:rPr>
        <w:t xml:space="preserve"> Single mothers (along with people with disabilities) have been disproportionately targeted by the austerity cuts. The Guardian, 4 January 2019.</w:t>
      </w:r>
    </w:p>
  </w:footnote>
  <w:footnote w:id="40">
    <w:p w:rsidR="00CF0C19" w:rsidRPr="00AC198B" w:rsidRDefault="00CF0C19" w:rsidP="00CF0C19">
      <w:pPr>
        <w:rPr>
          <w:rFonts w:asciiTheme="majorHAnsi" w:eastAsia="Times New Roman" w:hAnsiTheme="majorHAnsi" w:cs="Times New Roman"/>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r w:rsidRPr="00AC198B">
        <w:rPr>
          <w:rFonts w:asciiTheme="majorHAnsi" w:eastAsia="Times New Roman" w:hAnsiTheme="majorHAnsi" w:cs="Times New Roman"/>
          <w:color w:val="000000"/>
          <w:sz w:val="18"/>
          <w:szCs w:val="18"/>
        </w:rPr>
        <w:t>Doncaster reports a 60% increase in prostitution with charities saying: “Women are being forced to sell sex for £5 because of benefit sanctions.” Sheffield reports a 166% increase, while charity workers in Hull report: “ . . . women who are literally starving and they are out there to feed themselves. People are turning to prostitution to pay for gas and electricity because they are being left without money under current regulations.” </w:t>
      </w:r>
      <w:hyperlink r:id="rId43" w:history="1">
        <w:r w:rsidRPr="00AC198B">
          <w:rPr>
            <w:rFonts w:asciiTheme="majorHAnsi" w:eastAsia="Times New Roman" w:hAnsiTheme="majorHAnsi" w:cs="Times New Roman"/>
            <w:color w:val="0000FF" w:themeColor="hyperlink"/>
            <w:sz w:val="18"/>
            <w:szCs w:val="18"/>
            <w:u w:val="single"/>
          </w:rPr>
          <w:t>https://www.ohchr.org/Documents/Issues/EPoverty/UnitedKingdom/2018/NGOS/English_CollectiveofProstitutes.pdf</w:t>
        </w:r>
      </w:hyperlink>
    </w:p>
  </w:footnote>
  <w:footnote w:id="41">
    <w:p w:rsidR="00CF0C19" w:rsidRDefault="00CF0C19" w:rsidP="00CF0C19">
      <w:pPr>
        <w:pStyle w:val="FootnoteText"/>
      </w:pPr>
      <w:r>
        <w:rPr>
          <w:rStyle w:val="FootnoteReference"/>
        </w:rPr>
        <w:footnoteRef/>
      </w:r>
      <w:r>
        <w:t xml:space="preserve"> </w:t>
      </w:r>
      <w:r>
        <w:fldChar w:fldCharType="begin"/>
      </w:r>
      <w:r>
        <w:instrText xml:space="preserve"> HYPERLINK "https://wbg.org.uk/wp-content/uploads/2018/09/FINAL-full-report-financial-abuse-and-uc.pdf" \t "_blank" </w:instrText>
      </w:r>
      <w:r>
        <w:fldChar w:fldCharType="separate"/>
      </w:r>
      <w:r>
        <w:rPr>
          <w:rStyle w:val="Hyperlink"/>
          <w:rFonts w:ascii="Calibri" w:hAnsi="Calibri" w:cs="Calibri"/>
          <w:bdr w:val="none" w:sz="0" w:space="0" w:color="auto" w:frame="1"/>
        </w:rPr>
        <w:t>https://wbg.org.uk/wp-content/uploads/2018/09/FINAL-full-report-financial-abuse-and-uc.pdf</w:t>
      </w:r>
      <w:r>
        <w:rPr>
          <w:rStyle w:val="Hyperlink"/>
          <w:rFonts w:ascii="Calibri" w:hAnsi="Calibri" w:cs="Calibri"/>
          <w:bdr w:val="none" w:sz="0" w:space="0" w:color="auto" w:frame="1"/>
        </w:rPr>
        <w:fldChar w:fldCharType="end"/>
      </w:r>
    </w:p>
  </w:footnote>
  <w:footnote w:id="42">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rPr>
        <w:footnoteRef/>
      </w:r>
      <w:r w:rsidRPr="00AC198B">
        <w:rPr>
          <w:rFonts w:asciiTheme="majorHAnsi" w:hAnsiTheme="majorHAnsi"/>
        </w:rPr>
        <w:t xml:space="preserve"> </w:t>
      </w:r>
      <w:r w:rsidRPr="00AC198B">
        <w:rPr>
          <w:rFonts w:asciiTheme="majorHAnsi" w:eastAsia="Calibri" w:hAnsiTheme="majorHAnsi" w:cs="Calibri"/>
          <w:sz w:val="18"/>
          <w:szCs w:val="18"/>
        </w:rPr>
        <w:t xml:space="preserve">The UK’s National Domestic Abuse line saw a 25% increase in online requests and calls since the lockdown. Johnson, J. (2020) ‘Coronavirus: 'More homes needed' for domestic abuse victims’. BBC News, 7 May 2020. Available here: </w:t>
      </w:r>
      <w:hyperlink r:id="rId44">
        <w:r w:rsidRPr="00AC198B">
          <w:rPr>
            <w:rStyle w:val="Hyperlink"/>
            <w:rFonts w:asciiTheme="majorHAnsi" w:eastAsia="Calibri" w:hAnsiTheme="majorHAnsi" w:cs="Calibri"/>
            <w:sz w:val="18"/>
            <w:szCs w:val="18"/>
          </w:rPr>
          <w:t>https://www.bbc.com/news/uk-wales-52561749</w:t>
        </w:r>
      </w:hyperlink>
    </w:p>
  </w:footnote>
  <w:footnote w:id="43">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rPr>
        <w:footnoteRef/>
      </w:r>
      <w:r w:rsidRPr="00AC198B">
        <w:rPr>
          <w:rFonts w:asciiTheme="majorHAnsi" w:hAnsiTheme="majorHAnsi"/>
        </w:rPr>
        <w:t xml:space="preserve"> </w:t>
      </w:r>
      <w:hyperlink r:id="rId45" w:history="1">
        <w:r w:rsidRPr="000B3098">
          <w:rPr>
            <w:rStyle w:val="Hyperlink"/>
            <w:rFonts w:asciiTheme="majorHAnsi" w:eastAsia="Calibri" w:hAnsiTheme="majorHAnsi" w:cs="Calibri"/>
            <w:sz w:val="18"/>
            <w:szCs w:val="18"/>
          </w:rPr>
          <w:t>WRC (2020) The Crisis of COVID-19 and UK Women’s Charities, Survey Responses and Findings.</w:t>
        </w:r>
      </w:hyperlink>
      <w:r w:rsidRPr="00AC198B">
        <w:rPr>
          <w:rFonts w:asciiTheme="majorHAnsi" w:eastAsia="Calibri" w:hAnsiTheme="majorHAnsi" w:cs="Calibri"/>
          <w:sz w:val="18"/>
          <w:szCs w:val="18"/>
        </w:rPr>
        <w:t xml:space="preserve"> 92% of respondents said that the decline in women’s mental health was the biggest cause for concern in the next 3-6 months of the pandemic</w:t>
      </w:r>
    </w:p>
  </w:footnote>
  <w:footnote w:id="44">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rPr>
        <w:footnoteRef/>
      </w:r>
      <w:r w:rsidRPr="00AC198B">
        <w:rPr>
          <w:rFonts w:asciiTheme="majorHAnsi" w:eastAsia="Calibri" w:hAnsiTheme="majorHAnsi" w:cs="Calibri"/>
          <w:sz w:val="18"/>
          <w:szCs w:val="18"/>
        </w:rPr>
        <w:t xml:space="preserve"> </w:t>
      </w:r>
      <w:hyperlink r:id="rId46" w:history="1">
        <w:r w:rsidRPr="005772B3">
          <w:rPr>
            <w:rStyle w:val="Hyperlink"/>
            <w:rFonts w:asciiTheme="majorHAnsi" w:eastAsia="Calibri" w:hAnsiTheme="majorHAnsi" w:cs="Calibri"/>
            <w:sz w:val="18"/>
            <w:szCs w:val="18"/>
          </w:rPr>
          <w:t>https://www.independent.co.uk/news/uk/home-news/children-care-mothers-coronavirus-lockdown-a9651586.html</w:t>
        </w:r>
      </w:hyperlink>
      <w:r>
        <w:rPr>
          <w:rFonts w:asciiTheme="majorHAnsi" w:eastAsia="Calibri" w:hAnsiTheme="majorHAnsi" w:cs="Calibri"/>
          <w:sz w:val="18"/>
          <w:szCs w:val="18"/>
        </w:rPr>
        <w:t xml:space="preserve"> </w:t>
      </w:r>
    </w:p>
  </w:footnote>
  <w:footnote w:id="45">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rPr>
        <w:footnoteRef/>
      </w:r>
      <w:r w:rsidRPr="00AC198B">
        <w:rPr>
          <w:rFonts w:asciiTheme="majorHAnsi" w:hAnsiTheme="majorHAnsi"/>
        </w:rPr>
        <w:t xml:space="preserve"> </w:t>
      </w:r>
      <w:hyperlink r:id="rId47" w:history="1">
        <w:r w:rsidRPr="00AC198B">
          <w:rPr>
            <w:rStyle w:val="Hyperlink"/>
            <w:rFonts w:asciiTheme="majorHAnsi" w:hAnsiTheme="majorHAnsi"/>
            <w:sz w:val="18"/>
            <w:szCs w:val="18"/>
          </w:rPr>
          <w:t>https://www.theguardian.com/law/2018/dec/26/how-legal-aid-cuts-filled-family-courts-with-bewildered-litigants</w:t>
        </w:r>
      </w:hyperlink>
      <w:r w:rsidRPr="00AC198B">
        <w:rPr>
          <w:rFonts w:asciiTheme="majorHAnsi" w:hAnsiTheme="majorHAnsi"/>
        </w:rPr>
        <w:t xml:space="preserve"> </w:t>
      </w:r>
    </w:p>
  </w:footnote>
  <w:footnote w:id="46">
    <w:p w:rsidR="00CF0C19" w:rsidRPr="00BB1F78" w:rsidRDefault="00CF0C19" w:rsidP="00CF0C19">
      <w:pPr>
        <w:pStyle w:val="FootnoteText"/>
        <w:rPr>
          <w:rFonts w:asciiTheme="majorHAnsi" w:hAnsiTheme="majorHAnsi" w:cstheme="majorHAnsi"/>
          <w:sz w:val="18"/>
          <w:szCs w:val="18"/>
        </w:rPr>
      </w:pPr>
      <w:r w:rsidRPr="00BB1F78">
        <w:rPr>
          <w:rStyle w:val="FootnoteReference"/>
          <w:rFonts w:asciiTheme="majorHAnsi" w:hAnsiTheme="majorHAnsi" w:cstheme="majorHAnsi"/>
          <w:sz w:val="18"/>
          <w:szCs w:val="18"/>
        </w:rPr>
        <w:footnoteRef/>
      </w:r>
      <w:r w:rsidRPr="00BB1F78">
        <w:rPr>
          <w:rFonts w:asciiTheme="majorHAnsi" w:hAnsiTheme="majorHAnsi" w:cstheme="majorHAnsi"/>
          <w:sz w:val="18"/>
          <w:szCs w:val="18"/>
        </w:rPr>
        <w:t xml:space="preserve"> </w:t>
      </w:r>
      <w:hyperlink r:id="rId48" w:history="1">
        <w:r w:rsidRPr="00BB1F78">
          <w:rPr>
            <w:rStyle w:val="Hyperlink"/>
            <w:rFonts w:asciiTheme="majorHAnsi" w:hAnsiTheme="majorHAnsi" w:cstheme="majorHAnsi"/>
            <w:sz w:val="18"/>
            <w:szCs w:val="18"/>
          </w:rPr>
          <w:t>https://supportnotseparation.blog/2020/10/07/remote-hearings-adding-injustice-in-family-courts/</w:t>
        </w:r>
      </w:hyperlink>
      <w:r w:rsidRPr="00BB1F78">
        <w:rPr>
          <w:rFonts w:asciiTheme="majorHAnsi" w:hAnsiTheme="majorHAnsi" w:cstheme="majorHAnsi"/>
          <w:sz w:val="18"/>
          <w:szCs w:val="18"/>
        </w:rPr>
        <w:t xml:space="preserve"> </w:t>
      </w:r>
    </w:p>
  </w:footnote>
  <w:footnote w:id="47">
    <w:p w:rsidR="00CF0C19" w:rsidRDefault="00CF0C19" w:rsidP="00CF0C19">
      <w:pPr>
        <w:pStyle w:val="FootnoteText"/>
        <w:rPr>
          <w:rFonts w:asciiTheme="majorHAnsi" w:hAnsiTheme="majorHAnsi"/>
        </w:rPr>
      </w:pPr>
      <w:r w:rsidRPr="00AC198B">
        <w:rPr>
          <w:rStyle w:val="FootnoteReference"/>
          <w:rFonts w:asciiTheme="majorHAnsi" w:hAnsiTheme="majorHAnsi"/>
        </w:rPr>
        <w:footnoteRef/>
      </w:r>
      <w:r w:rsidRPr="00AC198B">
        <w:rPr>
          <w:rFonts w:asciiTheme="majorHAnsi" w:hAnsiTheme="majorHAnsi"/>
        </w:rPr>
        <w:t xml:space="preserve"> </w:t>
      </w:r>
      <w:hyperlink r:id="rId49" w:history="1">
        <w:r w:rsidRPr="00AC198B">
          <w:rPr>
            <w:rStyle w:val="Hyperlink"/>
            <w:rFonts w:asciiTheme="majorHAnsi" w:hAnsiTheme="majorHAnsi"/>
            <w:sz w:val="18"/>
            <w:szCs w:val="18"/>
          </w:rPr>
          <w:t>https://www.womensaid.org.uk/wp-content/uploads/2015/11/APPG-Inquiry-report-domestic-abuse-child-contact-and-the-family-courts.pdf</w:t>
        </w:r>
      </w:hyperlink>
      <w:r w:rsidRPr="00AC198B">
        <w:rPr>
          <w:rFonts w:asciiTheme="majorHAnsi" w:hAnsiTheme="majorHAnsi"/>
        </w:rPr>
        <w:t xml:space="preserve"> </w:t>
      </w:r>
    </w:p>
    <w:p w:rsidR="00CF0C19" w:rsidRPr="00AC198B" w:rsidRDefault="00CF0C19" w:rsidP="00CF0C19">
      <w:pPr>
        <w:pStyle w:val="FootnoteText"/>
        <w:rPr>
          <w:rFonts w:asciiTheme="majorHAnsi" w:hAnsiTheme="majorHAnsi"/>
          <w:lang w:val="en-US"/>
        </w:rPr>
      </w:pPr>
      <w:hyperlink r:id="rId50" w:history="1">
        <w:r w:rsidRPr="00AC198B">
          <w:rPr>
            <w:rStyle w:val="Hyperlink"/>
            <w:rFonts w:asciiTheme="majorHAnsi" w:eastAsia="Calibri" w:hAnsiTheme="majorHAnsi" w:cs="Calibri"/>
            <w:sz w:val="18"/>
            <w:szCs w:val="18"/>
          </w:rPr>
          <w:t>https://www.endviolenceagainstwomen.org.uk/wp-content/uploads/Access-to-Justice-for-Women-Girls-during-Covid-19-Pandemic.pdf</w:t>
        </w:r>
      </w:hyperlink>
    </w:p>
  </w:footnote>
  <w:footnote w:id="48">
    <w:p w:rsidR="00CF0C19" w:rsidRDefault="00CF0C19" w:rsidP="00CF0C19">
      <w:pPr>
        <w:pStyle w:val="FootnoteText"/>
      </w:pPr>
      <w:r>
        <w:rPr>
          <w:rStyle w:val="FootnoteReference"/>
        </w:rPr>
        <w:footnoteRef/>
      </w:r>
      <w:r>
        <w:t xml:space="preserve"> </w:t>
      </w:r>
      <w:r w:rsidRPr="00550066">
        <w:rPr>
          <w:rFonts w:ascii="Calibri" w:hAnsi="Calibri" w:cs="Calibri"/>
          <w:color w:val="000000"/>
          <w:sz w:val="18"/>
          <w:szCs w:val="18"/>
        </w:rPr>
        <w:t>Rates of self-harm in prison have increased, by 35% in cases requiring hospital care, and by 8% overall. Concluding Observations para 57 &amp; 58, </w:t>
      </w:r>
      <w:r>
        <w:fldChar w:fldCharType="begin"/>
      </w:r>
      <w:r>
        <w:instrText xml:space="preserve"> HYPERLINK "https://www.womeninprison.org.uk/news/women-in-prison-respond-to-the-devastating-increase-in-self-harm-in-womens-prisons" \t "_blank" </w:instrText>
      </w:r>
      <w:r>
        <w:fldChar w:fldCharType="separate"/>
      </w:r>
      <w:r w:rsidRPr="00550066">
        <w:rPr>
          <w:rStyle w:val="Hyperlink"/>
          <w:rFonts w:ascii="Calibri" w:hAnsi="Calibri" w:cs="Calibri"/>
          <w:sz w:val="18"/>
          <w:szCs w:val="18"/>
          <w:bdr w:val="none" w:sz="0" w:space="0" w:color="auto" w:frame="1"/>
        </w:rPr>
        <w:t>https://www.womeninprison.org.uk/news/women-in-prison-respond-to-the-devastating-increase-in-self-harm-in-womens-prisons</w:t>
      </w:r>
      <w:r>
        <w:rPr>
          <w:rStyle w:val="Hyperlink"/>
          <w:rFonts w:ascii="Calibri" w:hAnsi="Calibri" w:cs="Calibri"/>
          <w:sz w:val="18"/>
          <w:szCs w:val="18"/>
          <w:bdr w:val="none" w:sz="0" w:space="0" w:color="auto" w:frame="1"/>
        </w:rPr>
        <w:fldChar w:fldCharType="end"/>
      </w:r>
      <w:r w:rsidRPr="00550066">
        <w:rPr>
          <w:rFonts w:ascii="Calibri" w:hAnsi="Calibri" w:cs="Calibri"/>
          <w:color w:val="000000"/>
          <w:sz w:val="18"/>
          <w:szCs w:val="18"/>
        </w:rPr>
        <w:t> 28 January 2021</w:t>
      </w:r>
    </w:p>
  </w:footnote>
  <w:footnote w:id="49">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hyperlink r:id="rId51" w:history="1">
        <w:r w:rsidRPr="005772B3">
          <w:rPr>
            <w:rStyle w:val="Hyperlink"/>
            <w:rFonts w:asciiTheme="majorHAnsi" w:eastAsia="Calibri" w:hAnsiTheme="majorHAnsi" w:cs="Calibri"/>
            <w:sz w:val="18"/>
            <w:szCs w:val="18"/>
          </w:rPr>
          <w:t>http://www.prisonreformtrust.org.uk/Portals/0/Documents/Women/Why%20Women%20England%20and%20Wales%202018%20data.pdf</w:t>
        </w:r>
      </w:hyperlink>
      <w:r>
        <w:rPr>
          <w:rFonts w:asciiTheme="majorHAnsi" w:eastAsia="Calibri" w:hAnsiTheme="majorHAnsi" w:cs="Calibri"/>
          <w:sz w:val="18"/>
          <w:szCs w:val="18"/>
        </w:rPr>
        <w:t xml:space="preserve"> </w:t>
      </w:r>
    </w:p>
  </w:footnote>
  <w:footnote w:id="50">
    <w:p w:rsidR="00CF0C19" w:rsidRPr="00266039" w:rsidRDefault="00CF0C19" w:rsidP="00CF0C19">
      <w:pPr>
        <w:pStyle w:val="FootnoteText"/>
        <w:rPr>
          <w:rFonts w:asciiTheme="majorHAnsi" w:hAnsiTheme="majorHAnsi" w:cstheme="majorHAnsi"/>
          <w:sz w:val="18"/>
          <w:szCs w:val="18"/>
        </w:rPr>
      </w:pPr>
      <w:r w:rsidRPr="0073589C">
        <w:rPr>
          <w:rStyle w:val="FootnoteReference"/>
          <w:rFonts w:asciiTheme="majorHAnsi" w:hAnsiTheme="majorHAnsi" w:cstheme="majorHAnsi"/>
          <w:sz w:val="18"/>
          <w:szCs w:val="18"/>
        </w:rPr>
        <w:footnoteRef/>
      </w:r>
      <w:r w:rsidRPr="0073589C">
        <w:rPr>
          <w:rFonts w:asciiTheme="majorHAnsi" w:hAnsiTheme="majorHAnsi" w:cstheme="majorHAnsi"/>
          <w:sz w:val="18"/>
          <w:szCs w:val="18"/>
        </w:rPr>
        <w:t xml:space="preserve"> Women’s Justice Taskforce, made up</w:t>
      </w:r>
      <w:r w:rsidRPr="0073589C">
        <w:rPr>
          <w:rFonts w:asciiTheme="majorHAnsi" w:hAnsiTheme="majorHAnsi" w:cstheme="majorHAnsi"/>
          <w:sz w:val="18"/>
          <w:szCs w:val="18"/>
          <w:shd w:val="clear" w:color="auto" w:fill="FFFFFF"/>
        </w:rPr>
        <w:t xml:space="preserve"> of senior police officers, magistrates, economists and penal reformers, was set up in 2010 by the Prison Reform Trust and the</w:t>
      </w:r>
      <w:r>
        <w:rPr>
          <w:rFonts w:asciiTheme="majorHAnsi" w:hAnsiTheme="majorHAnsi" w:cstheme="majorHAnsi"/>
          <w:sz w:val="18"/>
          <w:szCs w:val="18"/>
          <w:shd w:val="clear" w:color="auto" w:fill="FFFFFF"/>
        </w:rPr>
        <w:t>ir report</w:t>
      </w:r>
      <w:r w:rsidRPr="0073589C">
        <w:rPr>
          <w:rFonts w:asciiTheme="majorHAnsi" w:hAnsiTheme="majorHAnsi" w:cstheme="majorHAnsi"/>
          <w:sz w:val="18"/>
          <w:szCs w:val="18"/>
          <w:shd w:val="clear" w:color="auto" w:fill="FFFFFF"/>
        </w:rPr>
        <w:t xml:space="preserve"> recommended to the Ministry of Justice that all women’s prisons should be closed. </w:t>
      </w:r>
      <w:hyperlink r:id="rId52" w:history="1">
        <w:r w:rsidRPr="00266039">
          <w:rPr>
            <w:rStyle w:val="Hyperlink"/>
            <w:rFonts w:asciiTheme="majorHAnsi" w:hAnsiTheme="majorHAnsi" w:cstheme="majorHAnsi"/>
            <w:sz w:val="18"/>
            <w:szCs w:val="18"/>
            <w:shd w:val="clear" w:color="auto" w:fill="FFFFFF"/>
          </w:rPr>
          <w:t>https://www.bl.uk/collection-items/reforming-womens-justice-final-report-of-the-womens-justice-taskforce</w:t>
        </w:r>
      </w:hyperlink>
      <w:r w:rsidRPr="00266039">
        <w:rPr>
          <w:rFonts w:asciiTheme="majorHAnsi" w:hAnsiTheme="majorHAnsi" w:cstheme="majorHAnsi"/>
          <w:sz w:val="18"/>
          <w:szCs w:val="18"/>
          <w:shd w:val="clear" w:color="auto" w:fill="FFFFFF"/>
        </w:rPr>
        <w:t xml:space="preserve"> </w:t>
      </w:r>
    </w:p>
  </w:footnote>
  <w:footnote w:id="51">
    <w:p w:rsidR="00CF0C19" w:rsidRDefault="00CF0C19" w:rsidP="00CF0C19">
      <w:pPr>
        <w:pStyle w:val="FootnoteText"/>
      </w:pPr>
      <w:r w:rsidRPr="00266039">
        <w:rPr>
          <w:rStyle w:val="FootnoteReference"/>
          <w:rFonts w:asciiTheme="majorHAnsi" w:hAnsiTheme="majorHAnsi" w:cstheme="majorHAnsi"/>
          <w:sz w:val="18"/>
          <w:szCs w:val="18"/>
        </w:rPr>
        <w:footnoteRef/>
      </w:r>
      <w:r w:rsidRPr="00266039">
        <w:rPr>
          <w:rFonts w:asciiTheme="majorHAnsi" w:hAnsiTheme="majorHAnsi" w:cstheme="majorHAnsi"/>
          <w:sz w:val="18"/>
          <w:szCs w:val="18"/>
        </w:rPr>
        <w:t xml:space="preserve"> </w:t>
      </w:r>
      <w:bookmarkStart w:id="20" w:name="_Hlk72749936"/>
      <w:r w:rsidRPr="00266039">
        <w:rPr>
          <w:rFonts w:asciiTheme="majorHAnsi" w:hAnsiTheme="majorHAnsi" w:cstheme="majorHAnsi"/>
          <w:sz w:val="18"/>
          <w:szCs w:val="18"/>
        </w:rPr>
        <w:fldChar w:fldCharType="begin"/>
      </w:r>
      <w:r w:rsidRPr="00266039">
        <w:rPr>
          <w:rFonts w:asciiTheme="majorHAnsi" w:hAnsiTheme="majorHAnsi" w:cstheme="majorHAnsi"/>
          <w:sz w:val="18"/>
          <w:szCs w:val="18"/>
        </w:rPr>
        <w:instrText xml:space="preserve"> HYPERLINK "http://www.prisonreformtrust.org.uk/PressPolicy/News/vw/1/ItemID/1011" </w:instrText>
      </w:r>
      <w:r w:rsidRPr="00266039">
        <w:rPr>
          <w:rFonts w:asciiTheme="majorHAnsi" w:hAnsiTheme="majorHAnsi" w:cstheme="majorHAnsi"/>
          <w:sz w:val="18"/>
          <w:szCs w:val="18"/>
        </w:rPr>
        <w:fldChar w:fldCharType="separate"/>
      </w:r>
      <w:r w:rsidRPr="00266039">
        <w:rPr>
          <w:rStyle w:val="Hyperlink"/>
          <w:rFonts w:asciiTheme="majorHAnsi" w:hAnsiTheme="majorHAnsi" w:cstheme="majorHAnsi"/>
          <w:sz w:val="18"/>
          <w:szCs w:val="18"/>
        </w:rPr>
        <w:t>http://www.prisonreformtrust.org.uk/PressPolicy/News/vw/1/ItemID/1011</w:t>
      </w:r>
      <w:r w:rsidRPr="00266039">
        <w:rPr>
          <w:rFonts w:asciiTheme="majorHAnsi" w:hAnsiTheme="majorHAnsi" w:cstheme="majorHAnsi"/>
          <w:sz w:val="18"/>
          <w:szCs w:val="18"/>
        </w:rPr>
        <w:fldChar w:fldCharType="end"/>
      </w:r>
      <w:r>
        <w:t xml:space="preserve"> </w:t>
      </w:r>
      <w:bookmarkEnd w:id="20"/>
    </w:p>
  </w:footnote>
  <w:footnote w:id="52">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53" w:history="1">
        <w:r w:rsidRPr="00447E18">
          <w:rPr>
            <w:rStyle w:val="Hyperlink"/>
            <w:rFonts w:asciiTheme="majorHAnsi" w:hAnsiTheme="majorHAnsi"/>
            <w:sz w:val="18"/>
            <w:szCs w:val="18"/>
            <w:lang w:val="en-US"/>
          </w:rPr>
          <w:t>B. Clarke and Dr. K. Chadwick (2020) Stories of Injustice. The criminalisation of women convicted under joint enterprise laws. Manchester Metropolitan University</w:t>
        </w:r>
      </w:hyperlink>
    </w:p>
  </w:footnote>
  <w:footnote w:id="53">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54" w:history="1">
        <w:r w:rsidRPr="00AC198B">
          <w:rPr>
            <w:rStyle w:val="Hyperlink"/>
            <w:rFonts w:asciiTheme="majorHAnsi" w:hAnsiTheme="majorHAnsi"/>
            <w:sz w:val="18"/>
            <w:szCs w:val="18"/>
          </w:rPr>
          <w:t>http://www.prisonreformtrust.org.uk/Portals/0/Documents/Counted%20Out.pdf</w:t>
        </w:r>
      </w:hyperlink>
      <w:r w:rsidRPr="00AC198B">
        <w:rPr>
          <w:rFonts w:asciiTheme="majorHAnsi" w:hAnsiTheme="majorHAnsi"/>
          <w:sz w:val="18"/>
          <w:szCs w:val="18"/>
        </w:rPr>
        <w:t xml:space="preserve"> </w:t>
      </w:r>
    </w:p>
  </w:footnote>
  <w:footnote w:id="54">
    <w:p w:rsidR="00CF0C19" w:rsidRPr="00F453A4" w:rsidRDefault="00CF0C19" w:rsidP="00CF0C19">
      <w:pPr>
        <w:pStyle w:val="FootnoteText"/>
        <w:rPr>
          <w:rFonts w:asciiTheme="majorHAnsi" w:eastAsia="Calibri" w:hAnsiTheme="majorHAnsi" w:cs="Calibri"/>
          <w:sz w:val="18"/>
          <w:szCs w:val="18"/>
        </w:rPr>
      </w:pPr>
      <w:r w:rsidRPr="00AC198B">
        <w:rPr>
          <w:rStyle w:val="FootnoteReference"/>
          <w:rFonts w:asciiTheme="majorHAnsi" w:hAnsiTheme="majorHAnsi"/>
          <w:sz w:val="18"/>
          <w:szCs w:val="18"/>
        </w:rPr>
        <w:footnoteRef/>
      </w:r>
      <w:r w:rsidRPr="00AC198B">
        <w:rPr>
          <w:rFonts w:asciiTheme="majorHAnsi" w:eastAsia="Calibri" w:hAnsiTheme="majorHAnsi" w:cs="Calibri"/>
          <w:sz w:val="18"/>
          <w:szCs w:val="18"/>
        </w:rPr>
        <w:t xml:space="preserve"> </w:t>
      </w:r>
      <w:hyperlink r:id="rId55" w:history="1">
        <w:r w:rsidRPr="00AC198B">
          <w:rPr>
            <w:rStyle w:val="Hyperlink"/>
            <w:rFonts w:asciiTheme="majorHAnsi" w:eastAsia="Calibri" w:hAnsiTheme="majorHAnsi" w:cs="Calibri"/>
            <w:sz w:val="18"/>
            <w:szCs w:val="18"/>
          </w:rPr>
          <w:t>https://domide.colmex.mx/Archivos/Doc_5136.pdf</w:t>
        </w:r>
      </w:hyperlink>
    </w:p>
  </w:footnote>
  <w:footnote w:id="55">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r w:rsidRPr="00AC198B">
        <w:rPr>
          <w:rFonts w:asciiTheme="majorHAnsi" w:hAnsiTheme="majorHAnsi"/>
          <w:sz w:val="18"/>
          <w:szCs w:val="18"/>
          <w:lang w:val="en-US"/>
        </w:rPr>
        <w:t xml:space="preserve"> </w:t>
      </w:r>
      <w:hyperlink r:id="rId56" w:history="1">
        <w:r w:rsidRPr="000B3098">
          <w:rPr>
            <w:rStyle w:val="Hyperlink"/>
            <w:rFonts w:asciiTheme="majorHAnsi" w:hAnsiTheme="majorHAnsi"/>
            <w:sz w:val="18"/>
            <w:szCs w:val="18"/>
            <w:lang w:val="en-US"/>
          </w:rPr>
          <w:t>Centre for Women’s Justice, Imkaan, Rape Crisis and EVAW (2020) The Decriminalisation of Rape: Why the justice system is failing rape survivors and what needs to change.</w:t>
        </w:r>
      </w:hyperlink>
      <w:r w:rsidRPr="00AC198B">
        <w:rPr>
          <w:rFonts w:asciiTheme="majorHAnsi" w:hAnsiTheme="majorHAnsi"/>
          <w:sz w:val="18"/>
          <w:szCs w:val="18"/>
          <w:lang w:val="en-US"/>
        </w:rPr>
        <w:t xml:space="preserve"> </w:t>
      </w:r>
    </w:p>
  </w:footnote>
  <w:footnote w:id="56">
    <w:p w:rsidR="00CF0C19" w:rsidRPr="0073589C" w:rsidRDefault="00CF0C19" w:rsidP="00CF0C19">
      <w:pPr>
        <w:pStyle w:val="FootnoteText"/>
        <w:rPr>
          <w:rFonts w:asciiTheme="majorHAnsi" w:hAnsiTheme="majorHAnsi" w:cstheme="majorHAnsi"/>
          <w:sz w:val="18"/>
          <w:szCs w:val="18"/>
          <w:lang w:val="en-US"/>
        </w:rPr>
      </w:pPr>
      <w:r w:rsidRPr="0073589C">
        <w:rPr>
          <w:rStyle w:val="FootnoteReference"/>
          <w:rFonts w:asciiTheme="majorHAnsi" w:hAnsiTheme="majorHAnsi" w:cstheme="majorHAnsi"/>
          <w:sz w:val="18"/>
          <w:szCs w:val="18"/>
        </w:rPr>
        <w:footnoteRef/>
      </w:r>
      <w:r w:rsidRPr="0073589C">
        <w:rPr>
          <w:rFonts w:asciiTheme="majorHAnsi" w:hAnsiTheme="majorHAnsi" w:cstheme="majorHAnsi"/>
          <w:sz w:val="18"/>
          <w:szCs w:val="18"/>
        </w:rPr>
        <w:t xml:space="preserve"> </w:t>
      </w:r>
      <w:hyperlink r:id="rId57" w:history="1">
        <w:r w:rsidRPr="0073589C">
          <w:rPr>
            <w:rStyle w:val="Hyperlink"/>
            <w:rFonts w:asciiTheme="majorHAnsi" w:hAnsiTheme="majorHAnsi" w:cstheme="majorHAnsi"/>
            <w:sz w:val="18"/>
            <w:szCs w:val="18"/>
          </w:rPr>
          <w:t>https://www.theguardian.com/society/2021/jan/27/cps-denies-major-change-in-charging-policy-despite-falling-rates-rape</w:t>
        </w:r>
      </w:hyperlink>
      <w:r w:rsidRPr="0073589C">
        <w:rPr>
          <w:rFonts w:asciiTheme="majorHAnsi" w:hAnsiTheme="majorHAnsi" w:cstheme="majorHAnsi"/>
          <w:sz w:val="18"/>
          <w:szCs w:val="18"/>
        </w:rPr>
        <w:t xml:space="preserve"> Unfortunately, this appeal was dismissed: </w:t>
      </w:r>
      <w:hyperlink r:id="rId58" w:history="1">
        <w:r w:rsidRPr="0073589C">
          <w:rPr>
            <w:rStyle w:val="Hyperlink"/>
            <w:rFonts w:asciiTheme="majorHAnsi" w:hAnsiTheme="majorHAnsi" w:cstheme="majorHAnsi"/>
            <w:sz w:val="18"/>
            <w:szCs w:val="18"/>
          </w:rPr>
          <w:t>https://www.theguardian.com/law/2021/mar/15/legal-challenge-over-cps-policy-on-prosecuting-cases-dismissed</w:t>
        </w:r>
      </w:hyperlink>
      <w:r w:rsidRPr="0073589C">
        <w:rPr>
          <w:rFonts w:asciiTheme="majorHAnsi" w:hAnsiTheme="majorHAnsi" w:cstheme="majorHAnsi"/>
          <w:sz w:val="18"/>
          <w:szCs w:val="18"/>
        </w:rPr>
        <w:t xml:space="preserve"> </w:t>
      </w:r>
    </w:p>
  </w:footnote>
  <w:footnote w:id="57">
    <w:p w:rsidR="00CF0C19" w:rsidRPr="00A3223B" w:rsidRDefault="00CF0C19" w:rsidP="00CF0C19">
      <w:pPr>
        <w:rPr>
          <w:rFonts w:asciiTheme="majorHAnsi" w:hAnsiTheme="majorHAnsi"/>
          <w:i/>
          <w:iCs/>
          <w:sz w:val="18"/>
          <w:szCs w:val="18"/>
        </w:rPr>
      </w:pPr>
      <w:r>
        <w:rPr>
          <w:rStyle w:val="FootnoteReference"/>
        </w:rPr>
        <w:footnoteRef/>
      </w:r>
      <w:r>
        <w:t xml:space="preserve"> “</w:t>
      </w:r>
      <w:r w:rsidRPr="00A3223B">
        <w:rPr>
          <w:rFonts w:asciiTheme="majorHAnsi" w:hAnsiTheme="majorHAnsi"/>
          <w:i/>
          <w:iCs/>
          <w:sz w:val="18"/>
          <w:szCs w:val="18"/>
        </w:rPr>
        <w:t>A recent investigation into the first ever police super-complaint submitted by SBS and Liberty found that the police practice of sharing the data of migrant victims with the Home Office causes significant public harm and recommended immediate suspension of the practice. Without this, we are not confident the practice will stop.</w:t>
      </w:r>
      <w:r>
        <w:rPr>
          <w:rFonts w:asciiTheme="majorHAnsi" w:hAnsiTheme="majorHAnsi"/>
          <w:i/>
          <w:iCs/>
          <w:sz w:val="18"/>
          <w:szCs w:val="18"/>
        </w:rPr>
        <w:t>”</w:t>
      </w:r>
      <w:r w:rsidRPr="00A3223B">
        <w:rPr>
          <w:rFonts w:asciiTheme="majorHAnsi" w:hAnsiTheme="majorHAnsi"/>
          <w:i/>
          <w:iCs/>
          <w:sz w:val="18"/>
          <w:szCs w:val="18"/>
        </w:rPr>
        <w:t xml:space="preserve"> [Southall Black Sisters]</w:t>
      </w:r>
    </w:p>
  </w:footnote>
  <w:footnote w:id="58">
    <w:p w:rsidR="00CF0C19" w:rsidRPr="0073589C" w:rsidRDefault="00CF0C19" w:rsidP="00CF0C19">
      <w:pPr>
        <w:pStyle w:val="FootnoteText"/>
        <w:rPr>
          <w:rFonts w:asciiTheme="majorHAnsi" w:hAnsiTheme="majorHAnsi" w:cstheme="majorHAnsi"/>
          <w:sz w:val="18"/>
          <w:szCs w:val="18"/>
        </w:rPr>
      </w:pPr>
      <w:r w:rsidRPr="0073589C">
        <w:rPr>
          <w:rStyle w:val="FootnoteReference"/>
          <w:rFonts w:asciiTheme="majorHAnsi" w:hAnsiTheme="majorHAnsi" w:cstheme="majorHAnsi"/>
          <w:sz w:val="18"/>
          <w:szCs w:val="18"/>
        </w:rPr>
        <w:footnoteRef/>
      </w:r>
      <w:r w:rsidRPr="0073589C">
        <w:rPr>
          <w:rFonts w:asciiTheme="majorHAnsi" w:hAnsiTheme="majorHAnsi" w:cstheme="majorHAnsi"/>
          <w:sz w:val="18"/>
          <w:szCs w:val="18"/>
        </w:rPr>
        <w:t xml:space="preserve"> Back to 60, (2020) Addressing the economic and social impact of COVID-19 on 1950s born women. Submission of evidence to the Women and Equalities Committee</w:t>
      </w:r>
      <w:r>
        <w:rPr>
          <w:rFonts w:asciiTheme="majorHAnsi" w:hAnsiTheme="majorHAnsi" w:cstheme="majorHAnsi"/>
          <w:sz w:val="18"/>
          <w:szCs w:val="18"/>
        </w:rPr>
        <w:t xml:space="preserve">. See </w:t>
      </w:r>
      <w:hyperlink r:id="rId59" w:history="1">
        <w:r w:rsidRPr="006A1E4C">
          <w:rPr>
            <w:rStyle w:val="Hyperlink"/>
            <w:rFonts w:asciiTheme="majorHAnsi" w:hAnsiTheme="majorHAnsi" w:cstheme="majorHAnsi"/>
            <w:sz w:val="18"/>
            <w:szCs w:val="18"/>
          </w:rPr>
          <w:t>also Sisters of Frida (2020) The Impact of Covid-19 on Disabled Women: Voices of Disabled Women in the pandemic</w:t>
        </w:r>
      </w:hyperlink>
      <w:r>
        <w:rPr>
          <w:rFonts w:asciiTheme="majorHAnsi" w:hAnsiTheme="majorHAnsi" w:cstheme="majorHAnsi"/>
          <w:sz w:val="18"/>
          <w:szCs w:val="18"/>
        </w:rPr>
        <w:t>.</w:t>
      </w:r>
    </w:p>
  </w:footnote>
  <w:footnote w:id="59">
    <w:p w:rsidR="00CF0C19" w:rsidRPr="00D8265C" w:rsidRDefault="00CF0C19" w:rsidP="00CF0C19">
      <w:pPr>
        <w:rPr>
          <w:rFonts w:asciiTheme="majorHAnsi" w:hAnsiTheme="majorHAnsi" w:cstheme="majorHAnsi"/>
          <w:sz w:val="18"/>
          <w:szCs w:val="18"/>
        </w:rPr>
      </w:pPr>
      <w:r w:rsidRPr="0073589C">
        <w:rPr>
          <w:rStyle w:val="FootnoteReference"/>
          <w:rFonts w:asciiTheme="majorHAnsi" w:hAnsiTheme="majorHAnsi" w:cstheme="majorHAnsi"/>
          <w:sz w:val="18"/>
          <w:szCs w:val="18"/>
        </w:rPr>
        <w:footnoteRef/>
      </w:r>
      <w:r w:rsidRPr="0073589C">
        <w:rPr>
          <w:rFonts w:asciiTheme="majorHAnsi" w:hAnsiTheme="majorHAnsi" w:cstheme="majorHAnsi"/>
          <w:sz w:val="18"/>
          <w:szCs w:val="18"/>
        </w:rPr>
        <w:t xml:space="preserve"> The Convention states that: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footnote>
  <w:footnote w:id="60">
    <w:p w:rsidR="00CF0C19" w:rsidRPr="00D8265C" w:rsidRDefault="00CF0C19" w:rsidP="00CF0C19">
      <w:pPr>
        <w:shd w:val="clear" w:color="auto" w:fill="FFFFFF" w:themeFill="background1"/>
        <w:spacing w:after="72" w:line="240" w:lineRule="auto"/>
        <w:rPr>
          <w:rFonts w:asciiTheme="majorHAnsi" w:eastAsia="Calibri" w:hAnsiTheme="majorHAnsi" w:cstheme="majorHAnsi"/>
          <w:color w:val="333333"/>
          <w:sz w:val="18"/>
          <w:szCs w:val="18"/>
        </w:rPr>
      </w:pPr>
      <w:r w:rsidRPr="00D8265C">
        <w:rPr>
          <w:rStyle w:val="FootnoteReference"/>
          <w:rFonts w:asciiTheme="majorHAnsi" w:hAnsiTheme="majorHAnsi" w:cstheme="majorHAnsi"/>
          <w:sz w:val="18"/>
          <w:szCs w:val="18"/>
        </w:rPr>
        <w:footnoteRef/>
      </w:r>
      <w:r>
        <w:rPr>
          <w:rFonts w:asciiTheme="majorHAnsi" w:eastAsia="Calibri" w:hAnsiTheme="majorHAnsi" w:cstheme="majorHAnsi"/>
          <w:sz w:val="18"/>
          <w:szCs w:val="18"/>
        </w:rPr>
        <w:t xml:space="preserve"> </w:t>
      </w:r>
      <w:hyperlink r:id="rId60" w:history="1">
        <w:r w:rsidRPr="00D8265C">
          <w:rPr>
            <w:rStyle w:val="Hyperlink"/>
            <w:rFonts w:asciiTheme="majorHAnsi" w:eastAsia="Calibri" w:hAnsiTheme="majorHAnsi" w:cstheme="majorHAnsi"/>
            <w:sz w:val="18"/>
            <w:szCs w:val="18"/>
          </w:rPr>
          <w:t xml:space="preserve">Baljit Banga and Sumanta Roy, (2020) The Impact of the Two Pandemics: VAWG and COVID-19 on Black and Minoritised Women and Girls. Imkaan </w:t>
        </w:r>
      </w:hyperlink>
      <w:r w:rsidRPr="00D8265C">
        <w:rPr>
          <w:rFonts w:asciiTheme="majorHAnsi" w:eastAsia="Calibri" w:hAnsiTheme="majorHAnsi" w:cstheme="majorHAnsi"/>
          <w:sz w:val="18"/>
          <w:szCs w:val="18"/>
        </w:rPr>
        <w:t xml:space="preserve"> </w:t>
      </w:r>
    </w:p>
    <w:p w:rsidR="00CF0C19" w:rsidRPr="00D8265C" w:rsidRDefault="00CF0C19" w:rsidP="00CF0C19">
      <w:pPr>
        <w:shd w:val="clear" w:color="auto" w:fill="FFFFFF" w:themeFill="background1"/>
        <w:spacing w:after="72" w:line="240" w:lineRule="auto"/>
        <w:rPr>
          <w:rFonts w:asciiTheme="majorHAnsi" w:eastAsia="Times New Roman" w:hAnsiTheme="majorHAnsi" w:cstheme="majorHAnsi"/>
          <w:bCs/>
          <w:color w:val="333333"/>
          <w:sz w:val="18"/>
          <w:szCs w:val="18"/>
        </w:rPr>
      </w:pPr>
      <w:hyperlink r:id="rId61" w:history="1">
        <w:r w:rsidRPr="00D8265C">
          <w:rPr>
            <w:rStyle w:val="Hyperlink"/>
            <w:rFonts w:asciiTheme="majorHAnsi" w:eastAsia="Calibri" w:hAnsiTheme="majorHAnsi" w:cstheme="majorHAnsi"/>
            <w:sz w:val="18"/>
            <w:szCs w:val="18"/>
          </w:rPr>
          <w:t>A Perfect Storm – The impact of the Covid-19 pandemic on domestic abuse survivors and the services supporting them. 2020 (c) Women’s Aid</w:t>
        </w:r>
      </w:hyperlink>
    </w:p>
    <w:p w:rsidR="00CF0C19" w:rsidRPr="00D8265C" w:rsidRDefault="00CF0C19" w:rsidP="00CF0C19">
      <w:pPr>
        <w:shd w:val="clear" w:color="auto" w:fill="FFFFFF" w:themeFill="background1"/>
        <w:spacing w:after="72" w:line="240" w:lineRule="auto"/>
        <w:rPr>
          <w:rFonts w:asciiTheme="majorHAnsi" w:eastAsia="Calibri" w:hAnsiTheme="majorHAnsi" w:cstheme="majorHAnsi"/>
          <w:sz w:val="18"/>
          <w:szCs w:val="18"/>
        </w:rPr>
      </w:pPr>
      <w:r w:rsidRPr="00D8265C">
        <w:rPr>
          <w:rFonts w:asciiTheme="majorHAnsi" w:eastAsia="Calibri" w:hAnsiTheme="majorHAnsi" w:cstheme="majorHAnsi"/>
          <w:sz w:val="18"/>
          <w:szCs w:val="18"/>
        </w:rPr>
        <w:t xml:space="preserve">Southall Black Sisters saw a 20% rise in calls to their helpline since lockdown began as stated here: </w:t>
      </w:r>
      <w:hyperlink r:id="rId62" w:history="1">
        <w:r w:rsidRPr="009B44FD">
          <w:rPr>
            <w:rStyle w:val="Hyperlink"/>
            <w:rFonts w:asciiTheme="majorHAnsi" w:eastAsia="Times New Roman" w:hAnsiTheme="majorHAnsi" w:cstheme="majorHAnsi"/>
            <w:sz w:val="18"/>
            <w:szCs w:val="18"/>
          </w:rPr>
          <w:t>https://www.tnlcommunityfund.org.uk/news/press-releases/2020-06-16/covid-19-bme-womens-organisation-able-to-meet-increasing-demand-from-domestic-abuse-victims-thanks-to-national-lottery-funding</w:t>
        </w:r>
      </w:hyperlink>
    </w:p>
    <w:p w:rsidR="00CF0C19" w:rsidRPr="00C57B05" w:rsidRDefault="00CF0C19" w:rsidP="00CF0C19">
      <w:pPr>
        <w:shd w:val="clear" w:color="auto" w:fill="FFFFFF" w:themeFill="background1"/>
        <w:spacing w:after="72" w:line="240" w:lineRule="auto"/>
        <w:rPr>
          <w:rFonts w:asciiTheme="majorHAnsi" w:hAnsiTheme="majorHAnsi" w:cstheme="majorHAnsi"/>
          <w:color w:val="002060"/>
          <w:sz w:val="18"/>
          <w:szCs w:val="18"/>
          <w:lang w:val="en-US"/>
        </w:rPr>
      </w:pPr>
      <w:hyperlink r:id="rId63">
        <w:r w:rsidRPr="00C57B05">
          <w:rPr>
            <w:rStyle w:val="Hyperlink"/>
            <w:rFonts w:asciiTheme="majorHAnsi" w:eastAsia="Calibri" w:hAnsiTheme="majorHAnsi" w:cstheme="majorHAnsi"/>
            <w:color w:val="002060"/>
            <w:sz w:val="18"/>
            <w:szCs w:val="18"/>
          </w:rPr>
          <w:t>https://www.birmingham.ac.uk/research/applied-health/news/2020/09/sexual-violence-and-covid-19.aspx</w:t>
        </w:r>
      </w:hyperlink>
    </w:p>
  </w:footnote>
  <w:footnote w:id="61">
    <w:p w:rsidR="00CF0C19" w:rsidRPr="00543413" w:rsidRDefault="00CF0C19" w:rsidP="00CF0C19">
      <w:pPr>
        <w:pStyle w:val="FootnoteText"/>
        <w:rPr>
          <w:rFonts w:asciiTheme="majorHAnsi" w:hAnsiTheme="majorHAnsi" w:cstheme="majorHAnsi"/>
          <w:sz w:val="18"/>
          <w:szCs w:val="18"/>
        </w:rPr>
      </w:pPr>
      <w:r w:rsidRPr="00543413">
        <w:rPr>
          <w:rStyle w:val="FootnoteReference"/>
          <w:rFonts w:asciiTheme="majorHAnsi" w:hAnsiTheme="majorHAnsi" w:cstheme="majorHAnsi"/>
          <w:sz w:val="18"/>
          <w:szCs w:val="18"/>
        </w:rPr>
        <w:footnoteRef/>
      </w:r>
      <w:r w:rsidRPr="00543413">
        <w:rPr>
          <w:rFonts w:asciiTheme="majorHAnsi" w:hAnsiTheme="majorHAnsi" w:cstheme="majorHAnsi"/>
          <w:sz w:val="18"/>
          <w:szCs w:val="18"/>
        </w:rPr>
        <w:t xml:space="preserve"> </w:t>
      </w:r>
      <w:hyperlink r:id="rId64" w:history="1">
        <w:r w:rsidRPr="00543413">
          <w:rPr>
            <w:rStyle w:val="Hyperlink"/>
            <w:rFonts w:asciiTheme="majorHAnsi" w:hAnsiTheme="majorHAnsi" w:cstheme="majorHAnsi"/>
            <w:sz w:val="18"/>
            <w:szCs w:val="18"/>
          </w:rPr>
          <w:t>CPAG (2020) Poverty in the Pandemic: The Impact of Coronavirus on low-income families and children</w:t>
        </w:r>
      </w:hyperlink>
    </w:p>
    <w:p w:rsidR="00CF0C19" w:rsidRDefault="00CF0C19" w:rsidP="00CF0C19">
      <w:pPr>
        <w:pStyle w:val="FootnoteText"/>
        <w:rPr>
          <w:rFonts w:asciiTheme="majorHAnsi" w:hAnsiTheme="majorHAnsi" w:cstheme="majorHAnsi"/>
          <w:sz w:val="18"/>
          <w:szCs w:val="18"/>
        </w:rPr>
      </w:pPr>
      <w:hyperlink r:id="rId65" w:history="1">
        <w:r w:rsidRPr="00543413">
          <w:rPr>
            <w:rStyle w:val="Hyperlink"/>
            <w:rFonts w:asciiTheme="majorHAnsi" w:hAnsiTheme="majorHAnsi" w:cstheme="majorHAnsi"/>
            <w:sz w:val="18"/>
            <w:szCs w:val="18"/>
          </w:rPr>
          <w:t>WRC (2020) Women and Poverty during the pandemic</w:t>
        </w:r>
      </w:hyperlink>
    </w:p>
    <w:p w:rsidR="00CF0C19" w:rsidRPr="00543413" w:rsidRDefault="00CF0C19" w:rsidP="00CF0C19">
      <w:pPr>
        <w:pStyle w:val="FootnoteText"/>
        <w:rPr>
          <w:rFonts w:asciiTheme="majorHAnsi" w:hAnsiTheme="majorHAnsi" w:cstheme="majorHAnsi"/>
          <w:sz w:val="18"/>
          <w:szCs w:val="18"/>
        </w:rPr>
      </w:pPr>
      <w:hyperlink r:id="rId66" w:history="1">
        <w:r w:rsidRPr="00D82E72">
          <w:rPr>
            <w:rStyle w:val="Hyperlink"/>
            <w:rFonts w:asciiTheme="majorHAnsi" w:hAnsiTheme="majorHAnsi" w:cstheme="majorHAnsi"/>
            <w:sz w:val="18"/>
            <w:szCs w:val="18"/>
          </w:rPr>
          <w:t>https://www.trusselltrust.org/2020/09/14/new-report-reveals-how-coronavirus-has-affected-food-bank-use/</w:t>
        </w:r>
      </w:hyperlink>
      <w:r>
        <w:rPr>
          <w:rFonts w:asciiTheme="majorHAnsi" w:hAnsiTheme="majorHAnsi" w:cstheme="majorHAnsi"/>
          <w:sz w:val="18"/>
          <w:szCs w:val="18"/>
        </w:rPr>
        <w:t xml:space="preserve"> </w:t>
      </w:r>
    </w:p>
  </w:footnote>
  <w:footnote w:id="62">
    <w:p w:rsidR="00CF0C19" w:rsidRPr="00543413" w:rsidRDefault="00CF0C19" w:rsidP="00CF0C19">
      <w:pPr>
        <w:pStyle w:val="FootnoteText"/>
        <w:rPr>
          <w:rFonts w:asciiTheme="majorHAnsi" w:hAnsiTheme="majorHAnsi" w:cstheme="majorHAnsi"/>
          <w:sz w:val="18"/>
          <w:szCs w:val="18"/>
        </w:rPr>
      </w:pPr>
      <w:r w:rsidRPr="00543413">
        <w:rPr>
          <w:rStyle w:val="FootnoteReference"/>
          <w:rFonts w:asciiTheme="majorHAnsi" w:hAnsiTheme="majorHAnsi" w:cstheme="majorHAnsi"/>
          <w:sz w:val="18"/>
          <w:szCs w:val="18"/>
        </w:rPr>
        <w:footnoteRef/>
      </w:r>
      <w:r w:rsidRPr="00543413">
        <w:rPr>
          <w:rFonts w:asciiTheme="majorHAnsi" w:hAnsiTheme="majorHAnsi" w:cstheme="majorHAnsi"/>
          <w:sz w:val="18"/>
          <w:szCs w:val="18"/>
        </w:rPr>
        <w:t xml:space="preserve"> </w:t>
      </w:r>
      <w:hyperlink r:id="rId67" w:history="1">
        <w:r w:rsidRPr="00543413">
          <w:rPr>
            <w:rStyle w:val="Hyperlink"/>
            <w:rFonts w:asciiTheme="majorHAnsi" w:hAnsiTheme="majorHAnsi" w:cstheme="majorHAnsi"/>
            <w:sz w:val="18"/>
            <w:szCs w:val="18"/>
          </w:rPr>
          <w:t>Lloyds Bank (2018) UK Consumer Digital Index 2018</w:t>
        </w:r>
      </w:hyperlink>
    </w:p>
    <w:p w:rsidR="00CF0C19" w:rsidRPr="00543413" w:rsidRDefault="00CF0C19" w:rsidP="00CF0C19">
      <w:pPr>
        <w:pStyle w:val="FootnoteText"/>
        <w:rPr>
          <w:rFonts w:asciiTheme="majorHAnsi" w:hAnsiTheme="majorHAnsi" w:cstheme="majorHAnsi"/>
          <w:sz w:val="18"/>
          <w:szCs w:val="18"/>
        </w:rPr>
      </w:pPr>
      <w:hyperlink r:id="rId68" w:history="1">
        <w:r w:rsidRPr="00543413">
          <w:rPr>
            <w:rStyle w:val="Hyperlink"/>
            <w:rFonts w:asciiTheme="majorHAnsi" w:hAnsiTheme="majorHAnsi" w:cstheme="majorHAnsi"/>
            <w:sz w:val="18"/>
            <w:szCs w:val="18"/>
          </w:rPr>
          <w:t>https://www.theguardian.com/world/2020/apr/28/digital-divide-isolates-and-endangers-millions-of-uk-poorest</w:t>
        </w:r>
      </w:hyperlink>
    </w:p>
  </w:footnote>
  <w:footnote w:id="63">
    <w:p w:rsidR="00CF0C19" w:rsidRPr="00543413" w:rsidRDefault="00CF0C19" w:rsidP="00CF0C19">
      <w:pPr>
        <w:pStyle w:val="FootnoteText"/>
        <w:rPr>
          <w:rFonts w:asciiTheme="majorHAnsi" w:hAnsiTheme="majorHAnsi" w:cstheme="majorHAnsi"/>
          <w:sz w:val="18"/>
          <w:szCs w:val="18"/>
        </w:rPr>
      </w:pPr>
      <w:r w:rsidRPr="00543413">
        <w:rPr>
          <w:rStyle w:val="FootnoteReference"/>
          <w:rFonts w:asciiTheme="majorHAnsi" w:hAnsiTheme="majorHAnsi" w:cstheme="majorHAnsi"/>
          <w:sz w:val="18"/>
          <w:szCs w:val="18"/>
        </w:rPr>
        <w:footnoteRef/>
      </w:r>
      <w:r w:rsidRPr="00543413">
        <w:rPr>
          <w:rFonts w:asciiTheme="majorHAnsi" w:hAnsiTheme="majorHAnsi" w:cstheme="majorHAnsi"/>
          <w:sz w:val="18"/>
          <w:szCs w:val="18"/>
        </w:rPr>
        <w:t xml:space="preserve"> </w:t>
      </w:r>
      <w:hyperlink r:id="rId69" w:history="1">
        <w:r w:rsidRPr="00543413">
          <w:rPr>
            <w:rStyle w:val="Hyperlink"/>
            <w:rFonts w:asciiTheme="majorHAnsi" w:hAnsiTheme="majorHAnsi" w:cstheme="majorHAnsi"/>
            <w:sz w:val="18"/>
            <w:szCs w:val="18"/>
          </w:rPr>
          <w:t>http://genesistrust.org.uk/news/gender-and-homelessness/</w:t>
        </w:r>
      </w:hyperlink>
      <w:r w:rsidRPr="00543413">
        <w:rPr>
          <w:rFonts w:asciiTheme="majorHAnsi" w:hAnsiTheme="majorHAnsi" w:cstheme="majorHAnsi"/>
          <w:sz w:val="18"/>
          <w:szCs w:val="18"/>
        </w:rPr>
        <w:t xml:space="preserve"> </w:t>
      </w:r>
    </w:p>
    <w:p w:rsidR="00CF0C19" w:rsidRPr="00B7524F" w:rsidRDefault="00CF0C19" w:rsidP="00CF0C19">
      <w:pPr>
        <w:pStyle w:val="FootnoteText"/>
        <w:rPr>
          <w:rFonts w:asciiTheme="majorHAnsi" w:hAnsiTheme="majorHAnsi" w:cstheme="majorHAnsi"/>
          <w:sz w:val="18"/>
          <w:szCs w:val="18"/>
        </w:rPr>
      </w:pPr>
      <w:hyperlink r:id="rId70" w:history="1">
        <w:r w:rsidRPr="00543413">
          <w:rPr>
            <w:rStyle w:val="Hyperlink"/>
            <w:rFonts w:asciiTheme="majorHAnsi" w:hAnsiTheme="majorHAnsi" w:cstheme="majorHAnsi"/>
            <w:sz w:val="18"/>
            <w:szCs w:val="18"/>
          </w:rPr>
          <w:t>https://www.theguardian.com/housing-network/2017/feb/14/homelessness-women-disadvantaged-channel-4-councils</w:t>
        </w:r>
      </w:hyperlink>
    </w:p>
  </w:footnote>
  <w:footnote w:id="64">
    <w:p w:rsidR="00CF0C19" w:rsidRPr="00AC198B" w:rsidRDefault="00CF0C19" w:rsidP="00CF0C19">
      <w:pPr>
        <w:pStyle w:val="FootnoteText"/>
        <w:rPr>
          <w:rFonts w:asciiTheme="majorHAnsi" w:hAnsiTheme="majorHAnsi"/>
          <w:lang w:val="en-US"/>
        </w:rPr>
      </w:pPr>
      <w:r w:rsidRPr="00D8265C">
        <w:rPr>
          <w:rStyle w:val="FootnoteReference"/>
          <w:rFonts w:asciiTheme="majorHAnsi" w:hAnsiTheme="majorHAnsi" w:cstheme="majorHAnsi"/>
          <w:sz w:val="18"/>
          <w:szCs w:val="18"/>
        </w:rPr>
        <w:footnoteRef/>
      </w:r>
      <w:r w:rsidRPr="00D8265C">
        <w:rPr>
          <w:rFonts w:asciiTheme="majorHAnsi" w:hAnsiTheme="majorHAnsi" w:cstheme="majorHAnsi"/>
          <w:sz w:val="18"/>
          <w:szCs w:val="18"/>
        </w:rPr>
        <w:t xml:space="preserve"> </w:t>
      </w:r>
      <w:hyperlink r:id="rId71" w:history="1">
        <w:r w:rsidRPr="00D8265C">
          <w:rPr>
            <w:rStyle w:val="Hyperlink"/>
            <w:rFonts w:asciiTheme="majorHAnsi" w:eastAsia="Calibri" w:hAnsiTheme="majorHAnsi" w:cstheme="majorHAnsi"/>
            <w:sz w:val="18"/>
            <w:szCs w:val="18"/>
          </w:rPr>
          <w:t xml:space="preserve">Baljit Banga and Sumanta Roy, (2020) The Impact of the Two Pandemics: VAWG and COVID-19 on Black and Minoritised Women and Girls. Imkaan </w:t>
        </w:r>
      </w:hyperlink>
    </w:p>
  </w:footnote>
  <w:footnote w:id="65">
    <w:p w:rsidR="00CF0C19" w:rsidRPr="000A1838" w:rsidRDefault="00CF0C19" w:rsidP="00CF0C19">
      <w:pPr>
        <w:pStyle w:val="FootnoteText"/>
        <w:rPr>
          <w:rFonts w:asciiTheme="majorHAnsi" w:hAnsiTheme="majorHAnsi" w:cstheme="majorHAnsi"/>
          <w:sz w:val="18"/>
          <w:szCs w:val="18"/>
        </w:rPr>
      </w:pPr>
      <w:hyperlink r:id="rId72" w:history="1">
        <w:r w:rsidRPr="000A1838">
          <w:rPr>
            <w:rStyle w:val="Hyperlink"/>
            <w:rFonts w:asciiTheme="majorHAnsi" w:hAnsiTheme="majorHAnsi" w:cstheme="majorHAnsi"/>
            <w:sz w:val="18"/>
            <w:szCs w:val="18"/>
            <w:vertAlign w:val="superscript"/>
          </w:rPr>
          <w:footnoteRef/>
        </w:r>
        <w:r w:rsidRPr="000A1838">
          <w:rPr>
            <w:rStyle w:val="Hyperlink"/>
            <w:rFonts w:asciiTheme="majorHAnsi" w:hAnsiTheme="majorHAnsi" w:cstheme="majorHAnsi"/>
            <w:sz w:val="18"/>
            <w:szCs w:val="18"/>
          </w:rPr>
          <w:t xml:space="preserve"> Scottish Government, (2020) Brexit: social and equality impacts</w:t>
        </w:r>
      </w:hyperlink>
    </w:p>
  </w:footnote>
  <w:footnote w:id="66">
    <w:p w:rsidR="00CF0C19" w:rsidRPr="008B055A" w:rsidRDefault="00CF0C19" w:rsidP="00CF0C19">
      <w:pPr>
        <w:pStyle w:val="FootnoteText"/>
        <w:rPr>
          <w:rFonts w:asciiTheme="majorHAnsi" w:hAnsiTheme="majorHAnsi" w:cstheme="majorHAnsi"/>
          <w:sz w:val="18"/>
          <w:szCs w:val="18"/>
        </w:rPr>
      </w:pPr>
      <w:r w:rsidRPr="008B055A">
        <w:rPr>
          <w:rStyle w:val="FootnoteReference"/>
          <w:rFonts w:asciiTheme="majorHAnsi" w:hAnsiTheme="majorHAnsi" w:cstheme="majorHAnsi"/>
          <w:sz w:val="18"/>
          <w:szCs w:val="18"/>
        </w:rPr>
        <w:footnoteRef/>
      </w:r>
      <w:r w:rsidRPr="008B055A">
        <w:rPr>
          <w:rFonts w:asciiTheme="majorHAnsi" w:hAnsiTheme="majorHAnsi" w:cstheme="majorHAnsi"/>
          <w:sz w:val="18"/>
          <w:szCs w:val="18"/>
        </w:rPr>
        <w:t xml:space="preserve"> </w:t>
      </w:r>
      <w:r>
        <w:rPr>
          <w:rFonts w:asciiTheme="majorHAnsi" w:hAnsiTheme="majorHAnsi" w:cstheme="majorHAnsi"/>
          <w:sz w:val="18"/>
          <w:szCs w:val="18"/>
        </w:rPr>
        <w:t xml:space="preserve">The increase in demand for services was the top cited most pressing challenge facing women’s organisations in the UK according to survey findings: </w:t>
      </w:r>
      <w:r w:rsidRPr="00D10596">
        <w:rPr>
          <w:rFonts w:asciiTheme="majorHAnsi" w:hAnsiTheme="majorHAnsi" w:cstheme="majorHAnsi"/>
          <w:sz w:val="18"/>
          <w:szCs w:val="18"/>
        </w:rPr>
        <w:t>WRC (2021) The</w:t>
      </w:r>
      <w:r>
        <w:rPr>
          <w:rFonts w:asciiTheme="majorHAnsi" w:hAnsiTheme="majorHAnsi" w:cstheme="majorHAnsi"/>
          <w:sz w:val="18"/>
          <w:szCs w:val="18"/>
        </w:rPr>
        <w:t xml:space="preserve"> Covid-19 Crisis and the</w:t>
      </w:r>
      <w:r w:rsidRPr="00D10596">
        <w:rPr>
          <w:rFonts w:asciiTheme="majorHAnsi" w:hAnsiTheme="majorHAnsi" w:cstheme="majorHAnsi"/>
          <w:sz w:val="18"/>
          <w:szCs w:val="18"/>
        </w:rPr>
        <w:t xml:space="preserve"> Women’s </w:t>
      </w:r>
      <w:r>
        <w:rPr>
          <w:rFonts w:asciiTheme="majorHAnsi" w:hAnsiTheme="majorHAnsi" w:cstheme="majorHAnsi"/>
          <w:sz w:val="18"/>
          <w:szCs w:val="18"/>
        </w:rPr>
        <w:t>Sector: One Year on. Survey Responses and Findings</w:t>
      </w:r>
    </w:p>
  </w:footnote>
  <w:footnote w:id="67">
    <w:p w:rsidR="00CF0C19" w:rsidRPr="00AC198B" w:rsidRDefault="00CF0C19" w:rsidP="00CF0C19">
      <w:pPr>
        <w:pStyle w:val="FootnoteText"/>
        <w:rPr>
          <w:rFonts w:asciiTheme="majorHAnsi" w:hAnsiTheme="majorHAnsi"/>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73" w:history="1">
        <w:r w:rsidRPr="000A1838">
          <w:rPr>
            <w:rStyle w:val="Hyperlink"/>
            <w:rFonts w:asciiTheme="majorHAnsi" w:hAnsiTheme="majorHAnsi"/>
            <w:sz w:val="18"/>
            <w:szCs w:val="18"/>
          </w:rPr>
          <w:t>Women’s Aid. (2020) A Perfect Storm: The Impact of the C</w:t>
        </w:r>
        <w:r>
          <w:rPr>
            <w:rStyle w:val="Hyperlink"/>
            <w:rFonts w:asciiTheme="majorHAnsi" w:hAnsiTheme="majorHAnsi"/>
            <w:sz w:val="18"/>
            <w:szCs w:val="18"/>
          </w:rPr>
          <w:t>OVID</w:t>
        </w:r>
        <w:r w:rsidRPr="000A1838">
          <w:rPr>
            <w:rStyle w:val="Hyperlink"/>
            <w:rFonts w:asciiTheme="majorHAnsi" w:hAnsiTheme="majorHAnsi"/>
            <w:sz w:val="18"/>
            <w:szCs w:val="18"/>
          </w:rPr>
          <w:t>-19 Pandemic on Domestic Abuse Survivors and the Services Supporting Them. Bristol: Women’s Aid</w:t>
        </w:r>
      </w:hyperlink>
    </w:p>
  </w:footnote>
  <w:footnote w:id="68">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74" w:history="1">
        <w:r w:rsidRPr="00AC198B">
          <w:rPr>
            <w:rStyle w:val="Hyperlink"/>
            <w:rFonts w:asciiTheme="majorHAnsi" w:hAnsiTheme="majorHAnsi"/>
            <w:sz w:val="18"/>
            <w:szCs w:val="18"/>
          </w:rPr>
          <w:t>https://www.theguardian.com/business/2019/apr/26/women-bear-the-brunt-of-high-street-closures-and-job-losses</w:t>
        </w:r>
      </w:hyperlink>
    </w:p>
    <w:p w:rsidR="00CF0C19" w:rsidRPr="00AC198B" w:rsidRDefault="00CF0C19" w:rsidP="00CF0C19">
      <w:pPr>
        <w:pStyle w:val="FootnoteText"/>
        <w:rPr>
          <w:rFonts w:asciiTheme="majorHAnsi" w:hAnsiTheme="majorHAnsi"/>
          <w:sz w:val="18"/>
          <w:szCs w:val="18"/>
          <w:lang w:val="en-US"/>
        </w:rPr>
      </w:pPr>
      <w:hyperlink r:id="rId75" w:history="1">
        <w:r w:rsidRPr="00AC198B">
          <w:rPr>
            <w:rStyle w:val="Hyperlink"/>
            <w:rFonts w:asciiTheme="majorHAnsi" w:hAnsiTheme="majorHAnsi"/>
            <w:sz w:val="18"/>
            <w:szCs w:val="18"/>
            <w:lang w:val="en-US"/>
          </w:rPr>
          <w:t>https://www.reuters.com/article/britain-retail-women/women-bear-brunt-of-job-losses-as-uk-retail-shuts-up-shop-idUSL8N2IH4IL</w:t>
        </w:r>
      </w:hyperlink>
      <w:r w:rsidRPr="00AC198B">
        <w:rPr>
          <w:rFonts w:asciiTheme="majorHAnsi" w:hAnsiTheme="majorHAnsi"/>
          <w:sz w:val="18"/>
          <w:szCs w:val="18"/>
          <w:lang w:val="en-US"/>
        </w:rPr>
        <w:t xml:space="preserve"> </w:t>
      </w:r>
    </w:p>
  </w:footnote>
  <w:footnote w:id="69">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76">
        <w:r w:rsidRPr="00AC198B">
          <w:rPr>
            <w:rStyle w:val="Hyperlink"/>
            <w:rFonts w:asciiTheme="majorHAnsi" w:hAnsiTheme="majorHAnsi"/>
            <w:sz w:val="18"/>
            <w:szCs w:val="18"/>
          </w:rPr>
          <w:t>https://www.unison.org.uk/news/article/2020/12/reality-check-public-sector-pay-freeze/</w:t>
        </w:r>
      </w:hyperlink>
      <w:r w:rsidRPr="00AC198B">
        <w:rPr>
          <w:rFonts w:asciiTheme="majorHAnsi" w:hAnsiTheme="majorHAnsi"/>
          <w:sz w:val="18"/>
          <w:szCs w:val="18"/>
        </w:rPr>
        <w:t xml:space="preserve"> </w:t>
      </w:r>
    </w:p>
  </w:footnote>
  <w:footnote w:id="70">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Minimum wage workers are more likely to be women, more likely to be in part-time work and more likely to be in short-term employment. </w:t>
      </w:r>
      <w:hyperlink r:id="rId77">
        <w:r w:rsidRPr="00AC198B">
          <w:rPr>
            <w:rStyle w:val="Hyperlink"/>
            <w:rFonts w:asciiTheme="majorHAnsi" w:hAnsiTheme="majorHAnsi"/>
            <w:sz w:val="18"/>
            <w:szCs w:val="18"/>
          </w:rPr>
          <w:t>https://assets.publishing.service.gov.uk/government/uploads/system/uploads/attachment_data/file/856590/LPC_Report_2019.pdf</w:t>
        </w:r>
      </w:hyperlink>
      <w:r w:rsidRPr="00AC198B">
        <w:rPr>
          <w:rFonts w:asciiTheme="majorHAnsi" w:hAnsiTheme="majorHAnsi"/>
          <w:sz w:val="18"/>
          <w:szCs w:val="18"/>
        </w:rPr>
        <w:t xml:space="preserve"> </w:t>
      </w:r>
    </w:p>
  </w:footnote>
  <w:footnote w:id="71">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78">
        <w:r w:rsidRPr="00AC198B">
          <w:rPr>
            <w:rStyle w:val="Hyperlink"/>
            <w:rFonts w:asciiTheme="majorHAnsi" w:hAnsiTheme="majorHAnsi"/>
            <w:sz w:val="18"/>
            <w:szCs w:val="18"/>
          </w:rPr>
          <w:t>https://www.yourmoney.com/household-bills/minimum-wage-rise-set-to-be-shelved-next-year/</w:t>
        </w:r>
      </w:hyperlink>
      <w:r w:rsidRPr="00AC198B">
        <w:rPr>
          <w:rFonts w:asciiTheme="majorHAnsi" w:hAnsiTheme="majorHAnsi"/>
          <w:sz w:val="18"/>
          <w:szCs w:val="18"/>
        </w:rPr>
        <w:t xml:space="preserve"> </w:t>
      </w:r>
    </w:p>
  </w:footnote>
  <w:footnote w:id="72">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79" w:history="1">
        <w:r w:rsidRPr="000B3098">
          <w:rPr>
            <w:rStyle w:val="Hyperlink"/>
            <w:rFonts w:asciiTheme="majorHAnsi" w:hAnsiTheme="majorHAnsi"/>
            <w:sz w:val="18"/>
            <w:szCs w:val="18"/>
          </w:rPr>
          <w:t>Women’s Budget Group (2020) Gender, Employment &amp; Earnings</w:t>
        </w:r>
      </w:hyperlink>
      <w:r w:rsidRPr="00AC198B">
        <w:rPr>
          <w:rFonts w:asciiTheme="majorHAnsi" w:hAnsiTheme="majorHAnsi"/>
          <w:sz w:val="18"/>
          <w:szCs w:val="18"/>
        </w:rPr>
        <w:t xml:space="preserve"> </w:t>
      </w:r>
    </w:p>
  </w:footnote>
  <w:footnote w:id="73">
    <w:p w:rsidR="00CF0C19" w:rsidRPr="00AC198B" w:rsidRDefault="00CF0C19" w:rsidP="00CF0C19">
      <w:pPr>
        <w:pStyle w:val="FootnoteText"/>
        <w:rPr>
          <w:rFonts w:asciiTheme="majorHAnsi" w:hAnsiTheme="majorHAnsi"/>
          <w:lang w:val="en-US"/>
        </w:rPr>
      </w:pPr>
      <w:r w:rsidRPr="00AC198B">
        <w:rPr>
          <w:rStyle w:val="FootnoteReference"/>
          <w:rFonts w:asciiTheme="majorHAnsi" w:hAnsiTheme="majorHAnsi"/>
        </w:rPr>
        <w:footnoteRef/>
      </w:r>
      <w:r w:rsidRPr="00AC198B">
        <w:rPr>
          <w:rFonts w:asciiTheme="majorHAnsi" w:hAnsiTheme="majorHAnsi"/>
        </w:rPr>
        <w:t xml:space="preserve"> </w:t>
      </w:r>
      <w:hyperlink r:id="rId80" w:history="1">
        <w:r w:rsidRPr="000B3098">
          <w:rPr>
            <w:rStyle w:val="Hyperlink"/>
            <w:rFonts w:asciiTheme="majorHAnsi" w:eastAsia="Calibri" w:hAnsiTheme="majorHAnsi" w:cs="Calibri"/>
            <w:sz w:val="18"/>
            <w:szCs w:val="18"/>
          </w:rPr>
          <w:t>Labour Exploitation Advisory Group (2017) Lost in Transition: Brexit and Labour Exploitation</w:t>
        </w:r>
      </w:hyperlink>
      <w:r w:rsidRPr="00AC198B">
        <w:rPr>
          <w:rFonts w:asciiTheme="majorHAnsi" w:eastAsia="Calibri" w:hAnsiTheme="majorHAnsi" w:cs="Calibri"/>
          <w:sz w:val="18"/>
          <w:szCs w:val="18"/>
        </w:rPr>
        <w:t xml:space="preserve"> </w:t>
      </w:r>
    </w:p>
  </w:footnote>
  <w:footnote w:id="74">
    <w:p w:rsidR="00CF0C19" w:rsidRPr="00D10596" w:rsidRDefault="00CF0C19" w:rsidP="00CF0C19">
      <w:pPr>
        <w:pStyle w:val="FootnoteText"/>
        <w:rPr>
          <w:rFonts w:asciiTheme="majorHAnsi" w:hAnsiTheme="majorHAnsi" w:cstheme="majorHAnsi"/>
          <w:sz w:val="18"/>
          <w:szCs w:val="18"/>
        </w:rPr>
      </w:pPr>
      <w:r w:rsidRPr="00D10596">
        <w:rPr>
          <w:rStyle w:val="FootnoteReference"/>
          <w:rFonts w:asciiTheme="majorHAnsi" w:hAnsiTheme="majorHAnsi" w:cstheme="majorHAnsi"/>
          <w:sz w:val="18"/>
          <w:szCs w:val="18"/>
        </w:rPr>
        <w:footnoteRef/>
      </w:r>
      <w:r w:rsidRPr="00D10596">
        <w:rPr>
          <w:rFonts w:asciiTheme="majorHAnsi" w:hAnsiTheme="majorHAnsi" w:cstheme="majorHAnsi"/>
          <w:sz w:val="18"/>
          <w:szCs w:val="18"/>
        </w:rPr>
        <w:t xml:space="preserve"> </w:t>
      </w:r>
      <w:r>
        <w:rPr>
          <w:rFonts w:asciiTheme="majorHAnsi" w:hAnsiTheme="majorHAnsi" w:cstheme="majorHAnsi"/>
          <w:sz w:val="18"/>
          <w:szCs w:val="18"/>
        </w:rPr>
        <w:t xml:space="preserve">The increase in demand for services was the top cited most pressing challenge facing women’s organisations in the UK according to survey findings: </w:t>
      </w:r>
      <w:r w:rsidRPr="00D10596">
        <w:rPr>
          <w:rFonts w:asciiTheme="majorHAnsi" w:hAnsiTheme="majorHAnsi" w:cstheme="majorHAnsi"/>
          <w:sz w:val="18"/>
          <w:szCs w:val="18"/>
        </w:rPr>
        <w:t>WRC (2021) The</w:t>
      </w:r>
      <w:r>
        <w:rPr>
          <w:rFonts w:asciiTheme="majorHAnsi" w:hAnsiTheme="majorHAnsi" w:cstheme="majorHAnsi"/>
          <w:sz w:val="18"/>
          <w:szCs w:val="18"/>
        </w:rPr>
        <w:t xml:space="preserve"> Covid-19 Crisis and the</w:t>
      </w:r>
      <w:r w:rsidRPr="00D10596">
        <w:rPr>
          <w:rFonts w:asciiTheme="majorHAnsi" w:hAnsiTheme="majorHAnsi" w:cstheme="majorHAnsi"/>
          <w:sz w:val="18"/>
          <w:szCs w:val="18"/>
        </w:rPr>
        <w:t xml:space="preserve"> Women’s </w:t>
      </w:r>
      <w:r>
        <w:rPr>
          <w:rFonts w:asciiTheme="majorHAnsi" w:hAnsiTheme="majorHAnsi" w:cstheme="majorHAnsi"/>
          <w:sz w:val="18"/>
          <w:szCs w:val="18"/>
        </w:rPr>
        <w:t>Sector: One Year on. London: WRC</w:t>
      </w:r>
    </w:p>
  </w:footnote>
  <w:footnote w:id="75">
    <w:p w:rsidR="00CF0C19" w:rsidRPr="00450CD7" w:rsidRDefault="00CF0C19" w:rsidP="00CF0C19">
      <w:pPr>
        <w:pStyle w:val="FootnoteText"/>
        <w:rPr>
          <w:sz w:val="18"/>
          <w:szCs w:val="18"/>
        </w:rPr>
      </w:pPr>
      <w:r w:rsidRPr="00450CD7">
        <w:rPr>
          <w:rStyle w:val="FootnoteReference"/>
          <w:sz w:val="18"/>
          <w:szCs w:val="18"/>
        </w:rPr>
        <w:footnoteRef/>
      </w:r>
      <w:r w:rsidRPr="00450CD7">
        <w:rPr>
          <w:sz w:val="18"/>
          <w:szCs w:val="18"/>
        </w:rPr>
        <w:t xml:space="preserve"> </w:t>
      </w:r>
      <w:hyperlink r:id="rId81" w:history="1">
        <w:r w:rsidRPr="00450CD7">
          <w:rPr>
            <w:rStyle w:val="Hyperlink"/>
            <w:rFonts w:asciiTheme="majorHAnsi" w:hAnsiTheme="majorHAnsi" w:cstheme="majorHAnsi"/>
            <w:sz w:val="18"/>
            <w:szCs w:val="18"/>
          </w:rPr>
          <w:t>Equally Ours, (2020) Shared Prosperity Fund: Equal By Design</w:t>
        </w:r>
      </w:hyperlink>
    </w:p>
  </w:footnote>
  <w:footnote w:id="76">
    <w:p w:rsidR="00CF0C19" w:rsidRPr="00AC198B" w:rsidRDefault="00CF0C19" w:rsidP="00CF0C19">
      <w:pPr>
        <w:pStyle w:val="FootnoteText"/>
        <w:rPr>
          <w:rFonts w:asciiTheme="majorHAnsi" w:hAnsiTheme="majorHAnsi"/>
          <w:sz w:val="18"/>
          <w:szCs w:val="18"/>
          <w:lang w:val="en-US"/>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82" w:history="1">
        <w:r w:rsidRPr="009B44FD">
          <w:rPr>
            <w:rStyle w:val="Hyperlink"/>
            <w:rFonts w:asciiTheme="majorHAnsi" w:hAnsiTheme="majorHAnsi"/>
            <w:sz w:val="18"/>
            <w:szCs w:val="18"/>
          </w:rPr>
          <w:t>https://www.theguardian.com/uk-news/2021/jan/31/asylum-seekers-dire-conditions-kent-napier-barracks-fire</w:t>
        </w:r>
      </w:hyperlink>
      <w:r>
        <w:rPr>
          <w:rFonts w:asciiTheme="majorHAnsi" w:hAnsiTheme="majorHAnsi"/>
          <w:sz w:val="18"/>
          <w:szCs w:val="18"/>
        </w:rPr>
        <w:t xml:space="preserve"> </w:t>
      </w:r>
    </w:p>
  </w:footnote>
  <w:footnote w:id="77">
    <w:p w:rsidR="00CF0C19" w:rsidRPr="00AC198B" w:rsidRDefault="00CF0C19" w:rsidP="00CF0C19">
      <w:pPr>
        <w:pStyle w:val="FootnoteText"/>
        <w:rPr>
          <w:rFonts w:asciiTheme="majorHAnsi" w:hAnsiTheme="majorHAnsi"/>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83">
        <w:r w:rsidRPr="00AC198B">
          <w:rPr>
            <w:rStyle w:val="Hyperlink"/>
            <w:rFonts w:asciiTheme="majorHAnsi" w:hAnsiTheme="majorHAnsi"/>
            <w:sz w:val="18"/>
            <w:szCs w:val="18"/>
          </w:rPr>
          <w:t>https://www.womensaid.org.uk/wp-content/uploads/2020/06/Action-Plan-VAWG-Sector-Recommendations-Final.pdf</w:t>
        </w:r>
      </w:hyperlink>
      <w:r w:rsidRPr="00AC198B">
        <w:rPr>
          <w:rFonts w:asciiTheme="majorHAnsi" w:hAnsiTheme="majorHAnsi"/>
          <w:sz w:val="18"/>
          <w:szCs w:val="18"/>
        </w:rPr>
        <w:t xml:space="preserve"> </w:t>
      </w:r>
    </w:p>
  </w:footnote>
  <w:footnote w:id="78">
    <w:p w:rsidR="00CF0C19" w:rsidRDefault="00CF0C19" w:rsidP="00CF0C19">
      <w:pPr>
        <w:pStyle w:val="FootnoteText"/>
      </w:pPr>
      <w:r w:rsidRPr="00D670FD">
        <w:rPr>
          <w:rStyle w:val="FootnoteReference"/>
          <w:sz w:val="18"/>
          <w:szCs w:val="18"/>
        </w:rPr>
        <w:footnoteRef/>
      </w:r>
      <w:r w:rsidRPr="00D670FD">
        <w:rPr>
          <w:sz w:val="18"/>
          <w:szCs w:val="18"/>
        </w:rPr>
        <w:t xml:space="preserve"> </w:t>
      </w:r>
      <w:r w:rsidRPr="00D670FD">
        <w:rPr>
          <w:rFonts w:asciiTheme="majorHAnsi" w:hAnsiTheme="majorHAnsi"/>
          <w:sz w:val="18"/>
          <w:szCs w:val="18"/>
        </w:rPr>
        <w:t>We share the CEDAW Committee’s concern that the mandate of the GEO is broad and not specifically aimed at advancing the rights of women. There is a lack of a unified and comprehensive national strategy or an effective coordinating and monitoring mechanism for the implementation of the Convention. While the GEO does convene a Gender Directors’ Network to bring together those responsible for gender equality in England, Northern Ireland, Scotland and Wales, we share the Committee’s previous concerns of 1999</w:t>
      </w:r>
      <w:r w:rsidRPr="00AC198B">
        <w:rPr>
          <w:rFonts w:asciiTheme="majorHAnsi" w:hAnsiTheme="majorHAnsi"/>
          <w:sz w:val="18"/>
          <w:szCs w:val="18"/>
        </w:rPr>
        <w:t>, 2008 and 2013 regarding the lack of a coordinated national strategy</w:t>
      </w:r>
      <w:r>
        <w:rPr>
          <w:rFonts w:asciiTheme="majorHAnsi" w:hAnsiTheme="majorHAnsi"/>
          <w:sz w:val="18"/>
          <w:szCs w:val="18"/>
        </w:rPr>
        <w:t>.</w:t>
      </w:r>
    </w:p>
  </w:footnote>
  <w:footnote w:id="79">
    <w:p w:rsidR="00CF0C19" w:rsidRPr="00AC198B" w:rsidRDefault="00CF0C19" w:rsidP="00CF0C19">
      <w:pPr>
        <w:pStyle w:val="FootnoteText"/>
        <w:rPr>
          <w:rFonts w:asciiTheme="majorHAnsi" w:hAnsiTheme="majorHAnsi"/>
          <w:sz w:val="18"/>
          <w:szCs w:val="18"/>
        </w:rPr>
      </w:pPr>
      <w:r w:rsidRPr="00AC198B">
        <w:rPr>
          <w:rStyle w:val="FootnoteReference"/>
          <w:rFonts w:asciiTheme="majorHAnsi" w:hAnsiTheme="majorHAnsi"/>
          <w:sz w:val="18"/>
          <w:szCs w:val="18"/>
        </w:rPr>
        <w:footnoteRef/>
      </w:r>
      <w:r w:rsidRPr="00AC198B">
        <w:rPr>
          <w:rFonts w:asciiTheme="majorHAnsi" w:hAnsiTheme="majorHAnsi"/>
          <w:sz w:val="18"/>
          <w:szCs w:val="18"/>
        </w:rPr>
        <w:t xml:space="preserve"> </w:t>
      </w:r>
      <w:hyperlink r:id="rId84">
        <w:r w:rsidRPr="00AC198B">
          <w:rPr>
            <w:rStyle w:val="Hyperlink"/>
            <w:rFonts w:asciiTheme="majorHAnsi" w:hAnsiTheme="majorHAnsi"/>
            <w:sz w:val="18"/>
            <w:szCs w:val="18"/>
          </w:rPr>
          <w:t>https://www.theguardian.com/society/2020/nov/30/politicising-ehrc-five-controversial-appointments</w:t>
        </w:r>
      </w:hyperlink>
      <w:r w:rsidRPr="00AC198B">
        <w:rPr>
          <w:rFonts w:asciiTheme="majorHAnsi" w:hAnsiTheme="majorHAnsi"/>
          <w:sz w:val="18"/>
          <w:szCs w:val="18"/>
        </w:rPr>
        <w:t xml:space="preserve"> </w:t>
      </w:r>
    </w:p>
  </w:footnote>
  <w:footnote w:id="80">
    <w:p w:rsidR="00CF0C19" w:rsidRPr="000F2422" w:rsidRDefault="00CF0C19" w:rsidP="00CF0C19">
      <w:pPr>
        <w:pStyle w:val="FootnoteText"/>
        <w:rPr>
          <w:rFonts w:asciiTheme="majorHAnsi" w:hAnsiTheme="majorHAnsi" w:cstheme="majorHAnsi"/>
          <w:sz w:val="18"/>
          <w:szCs w:val="18"/>
        </w:rPr>
      </w:pPr>
      <w:r w:rsidRPr="000F2422">
        <w:rPr>
          <w:rStyle w:val="FootnoteReference"/>
          <w:rFonts w:asciiTheme="majorHAnsi" w:hAnsiTheme="majorHAnsi" w:cstheme="majorHAnsi"/>
          <w:sz w:val="18"/>
          <w:szCs w:val="18"/>
        </w:rPr>
        <w:footnoteRef/>
      </w:r>
      <w:r w:rsidRPr="000F2422">
        <w:rPr>
          <w:rFonts w:asciiTheme="majorHAnsi" w:hAnsiTheme="majorHAnsi" w:cstheme="majorHAnsi"/>
          <w:sz w:val="18"/>
          <w:szCs w:val="18"/>
        </w:rPr>
        <w:t xml:space="preserve"> </w:t>
      </w:r>
      <w:hyperlink r:id="rId85" w:history="1">
        <w:r w:rsidRPr="000F2422">
          <w:rPr>
            <w:rStyle w:val="Hyperlink"/>
            <w:rFonts w:asciiTheme="majorHAnsi" w:hAnsiTheme="majorHAnsi" w:cstheme="majorHAnsi"/>
            <w:sz w:val="18"/>
            <w:szCs w:val="18"/>
          </w:rPr>
          <w:t>https://www.sisofrida.org/wp-content/uploads/2017/08/Disabled-women-Facts-and-Stats-2017.pdf</w:t>
        </w:r>
      </w:hyperlink>
      <w:r w:rsidRPr="000F2422">
        <w:rPr>
          <w:rFonts w:asciiTheme="majorHAnsi" w:hAnsiTheme="majorHAnsi" w:cstheme="majorHAnsi"/>
          <w:sz w:val="18"/>
          <w:szCs w:val="18"/>
        </w:rPr>
        <w:t xml:space="preserve"> </w:t>
      </w:r>
    </w:p>
  </w:footnote>
  <w:footnote w:id="81">
    <w:p w:rsidR="00CF0C19" w:rsidRPr="000F2422" w:rsidRDefault="00CF0C19" w:rsidP="00CF0C19">
      <w:pPr>
        <w:pStyle w:val="FootnoteText"/>
        <w:rPr>
          <w:rFonts w:asciiTheme="majorHAnsi" w:hAnsiTheme="majorHAnsi" w:cstheme="majorHAnsi"/>
          <w:sz w:val="18"/>
          <w:szCs w:val="18"/>
        </w:rPr>
      </w:pPr>
      <w:r w:rsidRPr="000F2422">
        <w:rPr>
          <w:rStyle w:val="FootnoteReference"/>
          <w:rFonts w:asciiTheme="majorHAnsi" w:hAnsiTheme="majorHAnsi" w:cstheme="majorHAnsi"/>
          <w:sz w:val="18"/>
          <w:szCs w:val="18"/>
        </w:rPr>
        <w:footnoteRef/>
      </w:r>
      <w:r w:rsidRPr="000F2422">
        <w:rPr>
          <w:rFonts w:asciiTheme="majorHAnsi" w:hAnsiTheme="majorHAnsi" w:cstheme="majorHAnsi"/>
          <w:sz w:val="18"/>
          <w:szCs w:val="18"/>
        </w:rPr>
        <w:t xml:space="preserve"> </w:t>
      </w:r>
      <w:bookmarkStart w:id="24" w:name="_Hlk64042093"/>
      <w:r w:rsidRPr="000F2422">
        <w:rPr>
          <w:rFonts w:asciiTheme="majorHAnsi" w:hAnsiTheme="majorHAnsi" w:cstheme="majorHAnsi"/>
          <w:sz w:val="18"/>
          <w:szCs w:val="18"/>
        </w:rPr>
        <w:t xml:space="preserve">The </w:t>
      </w:r>
      <w:hyperlink r:id="rId86" w:anchor="heading-10" w:history="1">
        <w:r w:rsidRPr="000F2422">
          <w:rPr>
            <w:rStyle w:val="Hyperlink"/>
            <w:rFonts w:asciiTheme="majorHAnsi" w:hAnsiTheme="majorHAnsi" w:cstheme="majorHAnsi"/>
            <w:sz w:val="18"/>
            <w:szCs w:val="18"/>
          </w:rPr>
          <w:t>Women and Equality Committee s.6 of their report</w:t>
        </w:r>
      </w:hyperlink>
      <w:r w:rsidRPr="000F2422">
        <w:rPr>
          <w:rFonts w:asciiTheme="majorHAnsi" w:hAnsiTheme="majorHAnsi" w:cstheme="majorHAnsi"/>
          <w:sz w:val="18"/>
          <w:szCs w:val="18"/>
        </w:rPr>
        <w:t xml:space="preserve"> on the inequalities faced by Gypsy, Roma, and Traveller communities makes recommendations for change that this VAWG Strategy has the opportunity to act upon.</w:t>
      </w:r>
      <w:bookmarkEnd w:id="24"/>
    </w:p>
  </w:footnote>
  <w:footnote w:id="82">
    <w:p w:rsidR="00CF0C19" w:rsidRPr="00AC198B" w:rsidRDefault="00CF0C19" w:rsidP="00CF0C19">
      <w:pPr>
        <w:pStyle w:val="FootnoteText"/>
        <w:rPr>
          <w:rFonts w:asciiTheme="majorHAnsi" w:eastAsia="Calibri" w:hAnsiTheme="majorHAnsi" w:cs="Calibri"/>
          <w:color w:val="000000" w:themeColor="text1"/>
          <w:sz w:val="18"/>
          <w:szCs w:val="18"/>
        </w:rPr>
      </w:pPr>
      <w:r w:rsidRPr="00AC198B">
        <w:rPr>
          <w:rStyle w:val="FootnoteReference"/>
          <w:rFonts w:asciiTheme="majorHAnsi" w:eastAsia="Calibri" w:hAnsiTheme="majorHAnsi" w:cs="Calibri"/>
          <w:sz w:val="18"/>
          <w:szCs w:val="18"/>
        </w:rPr>
        <w:footnoteRef/>
      </w:r>
      <w:r w:rsidRPr="00AC198B">
        <w:rPr>
          <w:rFonts w:asciiTheme="majorHAnsi" w:eastAsia="Calibri" w:hAnsiTheme="majorHAnsi" w:cs="Calibri"/>
          <w:sz w:val="18"/>
          <w:szCs w:val="18"/>
        </w:rPr>
        <w:t xml:space="preserve"> </w:t>
      </w:r>
      <w:hyperlink r:id="rId87" w:history="1">
        <w:r w:rsidRPr="00D670FD">
          <w:rPr>
            <w:rStyle w:val="Hyperlink"/>
            <w:rFonts w:asciiTheme="majorHAnsi" w:eastAsia="Calibri" w:hAnsiTheme="majorHAnsi" w:cs="Calibri"/>
            <w:sz w:val="18"/>
            <w:szCs w:val="18"/>
          </w:rPr>
          <w:t>The Fawcett Society (2020), Sex and Power 2020</w:t>
        </w:r>
      </w:hyperlink>
      <w:r w:rsidRPr="00AC198B">
        <w:rPr>
          <w:rFonts w:asciiTheme="majorHAnsi" w:eastAsia="Calibri" w:hAnsiTheme="majorHAnsi" w:cs="Calibri"/>
          <w:color w:val="000000" w:themeColor="text1"/>
          <w:sz w:val="18"/>
          <w:szCs w:val="18"/>
        </w:rPr>
        <w:t xml:space="preserve"> states that we have only </w:t>
      </w:r>
      <w:r w:rsidRPr="00AC198B">
        <w:rPr>
          <w:rFonts w:asciiTheme="majorHAnsi" w:hAnsiTheme="majorHAnsi"/>
          <w:sz w:val="18"/>
          <w:szCs w:val="18"/>
        </w:rPr>
        <w:t xml:space="preserve">34% women MPs, 30% women Cabinet Ministers and just 21% women on the Civil Service Board. </w:t>
      </w:r>
      <w:hyperlink r:id="rId88">
        <w:r w:rsidRPr="00AC198B">
          <w:rPr>
            <w:rStyle w:val="Hyperlink"/>
            <w:rFonts w:asciiTheme="majorHAnsi" w:eastAsia="Calibri" w:hAnsiTheme="majorHAnsi" w:cs="Calibri"/>
            <w:sz w:val="18"/>
            <w:szCs w:val="18"/>
          </w:rPr>
          <w:t>https://www.fawcettsociety.org.uk/Handlers/Download.ashx?IDMF=bdb30c2d-7b79-4b02-af09-72d0e25545b5</w:t>
        </w:r>
      </w:hyperlink>
      <w:r w:rsidRPr="00AC198B">
        <w:rPr>
          <w:rFonts w:asciiTheme="majorHAnsi" w:eastAsia="Calibri" w:hAnsiTheme="majorHAnsi" w:cs="Calibri"/>
          <w:color w:val="000000" w:themeColor="text1"/>
          <w:sz w:val="18"/>
          <w:szCs w:val="18"/>
        </w:rPr>
        <w:t xml:space="preserve"> </w:t>
      </w:r>
      <w:r w:rsidRPr="00AC198B">
        <w:rPr>
          <w:rFonts w:asciiTheme="majorHAnsi" w:hAnsiTheme="majorHAnsi"/>
          <w:sz w:val="18"/>
          <w:szCs w:val="18"/>
        </w:rPr>
        <w:t>Women make up only 35% of local councillors.</w:t>
      </w:r>
      <w:r w:rsidRPr="00AC198B">
        <w:rPr>
          <w:rFonts w:asciiTheme="majorHAnsi" w:eastAsia="Calibri" w:hAnsiTheme="majorHAnsi" w:cs="Calibri"/>
          <w:sz w:val="18"/>
          <w:szCs w:val="18"/>
        </w:rPr>
        <w:t xml:space="preserve"> </w:t>
      </w:r>
      <w:hyperlink r:id="rId89">
        <w:r w:rsidRPr="00AC198B">
          <w:rPr>
            <w:rStyle w:val="Hyperlink"/>
            <w:rFonts w:asciiTheme="majorHAnsi" w:eastAsia="Calibri" w:hAnsiTheme="majorHAnsi" w:cs="Calibri"/>
            <w:sz w:val="18"/>
            <w:szCs w:val="18"/>
          </w:rPr>
          <w:t>https://www.fawcettsociety.org.uk/news/new-fawcett-data-reveals-that-womens-representation-in-local-government-at-a-standstill</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454" w:rsidRDefault="00CF0C19">
    <w:pPr>
      <w:pStyle w:val="Header"/>
    </w:pPr>
    <w:r>
      <w:t>W</w:t>
    </w:r>
    <w:r>
      <w:t>ord count</w:t>
    </w:r>
    <w:r>
      <w:t>: 3,</w:t>
    </w:r>
    <w:r>
      <w:t>471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C19"/>
    <w:rsid w:val="00CF0C19"/>
    <w:rsid w:val="00D60C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E38FF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C19"/>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F0C19"/>
    <w:pPr>
      <w:spacing w:after="0" w:line="240" w:lineRule="auto"/>
    </w:pPr>
    <w:rPr>
      <w:sz w:val="20"/>
      <w:szCs w:val="20"/>
    </w:rPr>
  </w:style>
  <w:style w:type="character" w:customStyle="1" w:styleId="FootnoteTextChar">
    <w:name w:val="Footnote Text Char"/>
    <w:basedOn w:val="DefaultParagraphFont"/>
    <w:link w:val="FootnoteText"/>
    <w:uiPriority w:val="99"/>
    <w:rsid w:val="00CF0C19"/>
    <w:rPr>
      <w:rFonts w:eastAsiaTheme="minorHAnsi"/>
      <w:sz w:val="20"/>
      <w:szCs w:val="20"/>
      <w:lang w:val="en-GB"/>
    </w:rPr>
  </w:style>
  <w:style w:type="character" w:styleId="FootnoteReference">
    <w:name w:val="footnote reference"/>
    <w:basedOn w:val="DefaultParagraphFont"/>
    <w:uiPriority w:val="99"/>
    <w:unhideWhenUsed/>
    <w:rsid w:val="00CF0C19"/>
    <w:rPr>
      <w:vertAlign w:val="superscript"/>
    </w:rPr>
  </w:style>
  <w:style w:type="character" w:styleId="Hyperlink">
    <w:name w:val="Hyperlink"/>
    <w:basedOn w:val="DefaultParagraphFont"/>
    <w:uiPriority w:val="99"/>
    <w:unhideWhenUsed/>
    <w:rsid w:val="00CF0C19"/>
    <w:rPr>
      <w:color w:val="0000FF" w:themeColor="hyperlink"/>
      <w:u w:val="single"/>
    </w:rPr>
  </w:style>
  <w:style w:type="paragraph" w:styleId="Header">
    <w:name w:val="header"/>
    <w:basedOn w:val="Normal"/>
    <w:link w:val="HeaderChar"/>
    <w:uiPriority w:val="99"/>
    <w:unhideWhenUsed/>
    <w:rsid w:val="00CF0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C19"/>
    <w:rPr>
      <w:rFonts w:eastAsiaTheme="minorHAnsi"/>
      <w:sz w:val="22"/>
      <w:szCs w:val="22"/>
      <w:lang w:val="en-GB"/>
    </w:rPr>
  </w:style>
  <w:style w:type="paragraph" w:styleId="Footer">
    <w:name w:val="footer"/>
    <w:basedOn w:val="Normal"/>
    <w:link w:val="FooterChar"/>
    <w:uiPriority w:val="99"/>
    <w:unhideWhenUsed/>
    <w:rsid w:val="00CF0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C19"/>
    <w:rPr>
      <w:rFonts w:eastAsiaTheme="minorHAnsi"/>
      <w:sz w:val="22"/>
      <w:szCs w:val="22"/>
      <w:lang w:val="en-GB"/>
    </w:rPr>
  </w:style>
  <w:style w:type="paragraph" w:customStyle="1" w:styleId="paragraph">
    <w:name w:val="paragraph"/>
    <w:basedOn w:val="Normal"/>
    <w:rsid w:val="00CF0C19"/>
    <w:pPr>
      <w:spacing w:before="100" w:beforeAutospacing="1" w:after="100" w:afterAutospacing="1" w:line="240" w:lineRule="auto"/>
    </w:pPr>
    <w:rPr>
      <w:rFonts w:ascii="Times New Roman" w:hAnsi="Times New Roman" w:cs="Times New Roman"/>
      <w:sz w:val="20"/>
      <w:szCs w:val="20"/>
    </w:rPr>
  </w:style>
  <w:style w:type="character" w:customStyle="1" w:styleId="normaltextrun">
    <w:name w:val="normaltextrun"/>
    <w:basedOn w:val="DefaultParagraphFont"/>
    <w:rsid w:val="00CF0C19"/>
  </w:style>
  <w:style w:type="character" w:styleId="PageNumber">
    <w:name w:val="page number"/>
    <w:basedOn w:val="DefaultParagraphFont"/>
    <w:uiPriority w:val="99"/>
    <w:semiHidden/>
    <w:unhideWhenUsed/>
    <w:rsid w:val="00CF0C19"/>
  </w:style>
  <w:style w:type="paragraph" w:styleId="NormalWeb">
    <w:name w:val="Normal (Web)"/>
    <w:basedOn w:val="Normal"/>
    <w:uiPriority w:val="99"/>
    <w:unhideWhenUsed/>
    <w:rsid w:val="00CF0C19"/>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CF0C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0C19"/>
    <w:rPr>
      <w:rFonts w:ascii="Lucida Grande" w:eastAsiaTheme="minorHAnsi"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C19"/>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F0C19"/>
    <w:pPr>
      <w:spacing w:after="0" w:line="240" w:lineRule="auto"/>
    </w:pPr>
    <w:rPr>
      <w:sz w:val="20"/>
      <w:szCs w:val="20"/>
    </w:rPr>
  </w:style>
  <w:style w:type="character" w:customStyle="1" w:styleId="FootnoteTextChar">
    <w:name w:val="Footnote Text Char"/>
    <w:basedOn w:val="DefaultParagraphFont"/>
    <w:link w:val="FootnoteText"/>
    <w:uiPriority w:val="99"/>
    <w:rsid w:val="00CF0C19"/>
    <w:rPr>
      <w:rFonts w:eastAsiaTheme="minorHAnsi"/>
      <w:sz w:val="20"/>
      <w:szCs w:val="20"/>
      <w:lang w:val="en-GB"/>
    </w:rPr>
  </w:style>
  <w:style w:type="character" w:styleId="FootnoteReference">
    <w:name w:val="footnote reference"/>
    <w:basedOn w:val="DefaultParagraphFont"/>
    <w:uiPriority w:val="99"/>
    <w:unhideWhenUsed/>
    <w:rsid w:val="00CF0C19"/>
    <w:rPr>
      <w:vertAlign w:val="superscript"/>
    </w:rPr>
  </w:style>
  <w:style w:type="character" w:styleId="Hyperlink">
    <w:name w:val="Hyperlink"/>
    <w:basedOn w:val="DefaultParagraphFont"/>
    <w:uiPriority w:val="99"/>
    <w:unhideWhenUsed/>
    <w:rsid w:val="00CF0C19"/>
    <w:rPr>
      <w:color w:val="0000FF" w:themeColor="hyperlink"/>
      <w:u w:val="single"/>
    </w:rPr>
  </w:style>
  <w:style w:type="paragraph" w:styleId="Header">
    <w:name w:val="header"/>
    <w:basedOn w:val="Normal"/>
    <w:link w:val="HeaderChar"/>
    <w:uiPriority w:val="99"/>
    <w:unhideWhenUsed/>
    <w:rsid w:val="00CF0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C19"/>
    <w:rPr>
      <w:rFonts w:eastAsiaTheme="minorHAnsi"/>
      <w:sz w:val="22"/>
      <w:szCs w:val="22"/>
      <w:lang w:val="en-GB"/>
    </w:rPr>
  </w:style>
  <w:style w:type="paragraph" w:styleId="Footer">
    <w:name w:val="footer"/>
    <w:basedOn w:val="Normal"/>
    <w:link w:val="FooterChar"/>
    <w:uiPriority w:val="99"/>
    <w:unhideWhenUsed/>
    <w:rsid w:val="00CF0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C19"/>
    <w:rPr>
      <w:rFonts w:eastAsiaTheme="minorHAnsi"/>
      <w:sz w:val="22"/>
      <w:szCs w:val="22"/>
      <w:lang w:val="en-GB"/>
    </w:rPr>
  </w:style>
  <w:style w:type="paragraph" w:customStyle="1" w:styleId="paragraph">
    <w:name w:val="paragraph"/>
    <w:basedOn w:val="Normal"/>
    <w:rsid w:val="00CF0C19"/>
    <w:pPr>
      <w:spacing w:before="100" w:beforeAutospacing="1" w:after="100" w:afterAutospacing="1" w:line="240" w:lineRule="auto"/>
    </w:pPr>
    <w:rPr>
      <w:rFonts w:ascii="Times New Roman" w:hAnsi="Times New Roman" w:cs="Times New Roman"/>
      <w:sz w:val="20"/>
      <w:szCs w:val="20"/>
    </w:rPr>
  </w:style>
  <w:style w:type="character" w:customStyle="1" w:styleId="normaltextrun">
    <w:name w:val="normaltextrun"/>
    <w:basedOn w:val="DefaultParagraphFont"/>
    <w:rsid w:val="00CF0C19"/>
  </w:style>
  <w:style w:type="character" w:styleId="PageNumber">
    <w:name w:val="page number"/>
    <w:basedOn w:val="DefaultParagraphFont"/>
    <w:uiPriority w:val="99"/>
    <w:semiHidden/>
    <w:unhideWhenUsed/>
    <w:rsid w:val="00CF0C19"/>
  </w:style>
  <w:style w:type="paragraph" w:styleId="NormalWeb">
    <w:name w:val="Normal (Web)"/>
    <w:basedOn w:val="Normal"/>
    <w:uiPriority w:val="99"/>
    <w:unhideWhenUsed/>
    <w:rsid w:val="00CF0C19"/>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CF0C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0C19"/>
    <w:rPr>
      <w:rFonts w:ascii="Lucida Grande" w:eastAsiaTheme="minorHAnsi"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hyperlink" Target="https://southallblacksisters.org.uk/news/the-struggle-continues-sbs-responds-to-gov-rejection-of-amendments-to-protect-migrant-women/" TargetMode="External"/><Relationship Id="rId18"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hyperlink" Target="https://www.newstatesman.com/2020/04/domestic-violence-funding-legal-challenged-launched" TargetMode="External"/><Relationship Id="rId17" Type="http://schemas.openxmlformats.org/officeDocument/2006/relationships/theme" Target="theme/theme1.xml"/><Relationship Id="rId7" Type="http://schemas.openxmlformats.org/officeDocument/2006/relationships/image" Target="media/image1.png"/><Relationship Id="rId16" Type="http://schemas.openxmlformats.org/officeDocument/2006/relationships/fontTable" Target="fontTable.xml"/><Relationship Id="rId2" Type="http://schemas.microsoft.com/office/2007/relationships/stylesWithEffects" Target="stylesWithEffects.xml"/><Relationship Id="rId20" Type="http://schemas.openxmlformats.org/officeDocument/2006/relationships/customXml" Target="../customXml/item3.xml"/><Relationship Id="rId11" Type="http://schemas.openxmlformats.org/officeDocument/2006/relationships/hyperlink" Target="https://www.gov.uk/government/publications/the-report-of-the-commission-on-race-and-ethnic-disparities"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refugeewomen.co.uk/womens-safety-threatened-by-new-asylum-proposals/" TargetMode="External"/><Relationship Id="rId19" Type="http://schemas.openxmlformats.org/officeDocument/2006/relationships/customXml" Target="../customXml/item2.xml"/><Relationship Id="rId1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fugeewomen.co.uk/stop-the-new-detention-centr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ommittees.parliament.uk/publications/4597/documents/46478/default/" TargetMode="External"/><Relationship Id="rId2" Type="http://schemas.openxmlformats.org/officeDocument/2006/relationships/hyperlink" Target="https://www.instituteforgovernment.org.uk/blog/internal-market-bill-breaks-international-law" TargetMode="External"/><Relationship Id="rId3" Type="http://schemas.openxmlformats.org/officeDocument/2006/relationships/hyperlink" Target="https://www.theguardian.com/law/2020/sep/13/uk-government-plans-to-remove-key-human-rights-protections" TargetMode="External"/><Relationship Id="rId4" Type="http://schemas.openxmlformats.org/officeDocument/2006/relationships/hyperlink" Target="https://www.parliament.uk/business/lords/media-centre/house-of-lords-media-notices/2019/january-2019/human-rights-act-is-not-safe-after-brexit/" TargetMode="External"/><Relationship Id="rId5" Type="http://schemas.openxmlformats.org/officeDocument/2006/relationships/hyperlink" Target="https://www.parliament.uk/business/lords/media-centre/house-of-lords-media-notices/2019/january-2019/human-rights-act-is-not-safe-after-brexit/" TargetMode="External"/><Relationship Id="rId6" Type="http://schemas.openxmlformats.org/officeDocument/2006/relationships/hyperlink" Target="https://www.theguardian.com/law/2020/sep/13/uk-government-plans-to-remove-key-human-rights-protections" TargetMode="External"/><Relationship Id="rId7" Type="http://schemas.openxmlformats.org/officeDocument/2006/relationships/hyperlink" Target="https://www.lawgazette.co.uk/news/government-to-review-human-rights-act/5105899.article" TargetMode="External"/><Relationship Id="rId8" Type="http://schemas.openxmlformats.org/officeDocument/2006/relationships/hyperlink" Target="https://www.lawgazette.co.uk/news/former-tory-justice-minister-to-chair-independent-jr-review/5105251.article" TargetMode="External"/><Relationship Id="rId9" Type="http://schemas.openxmlformats.org/officeDocument/2006/relationships/hyperlink" Target="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 TargetMode="External"/><Relationship Id="rId10" Type="http://schemas.openxmlformats.org/officeDocument/2006/relationships/hyperlink" Target="https://gov.wales/strengthening-and-advancing-equality-and-human-rights-steering-group-0" TargetMode="External"/><Relationship Id="rId11" Type="http://schemas.openxmlformats.org/officeDocument/2006/relationships/hyperlink" Target="https://www.parliament.uk/business/lords/media-centre/house-of-lords-media-notices/2019/january-2019/human-rights-act-is-not-safe-after-brexit/" TargetMode="External"/><Relationship Id="rId12" Type="http://schemas.openxmlformats.org/officeDocument/2006/relationships/hyperlink" Target="https://www.nrpfnetwork.org.uk/-/media/microsites/nrpf/documents/policy/policy-issues-and-nrpf-overview.pdf?la=en&amp;hash=C78B5C26A9AF924764084F0CA6D31D651BBF8FAD" TargetMode="External"/><Relationship Id="rId13" Type="http://schemas.openxmlformats.org/officeDocument/2006/relationships/hyperlink" Target="https://www.theguardian.com/uk-news/2013/sep/21/sexual-abuse-yarls-wood-immigration" TargetMode="External"/><Relationship Id="rId14" Type="http://schemas.openxmlformats.org/officeDocument/2006/relationships/hyperlink" Target="https://www.theguardian.com/uk-news/2018/mar/06/minister-defends-deportation-threats-over-yarls-wood-hunger-strike" TargetMode="External"/><Relationship Id="rId15" Type="http://schemas.openxmlformats.org/officeDocument/2006/relationships/hyperlink" Target="https://www.theguardian.com/uk-news/2017/nov/15/yarls-wood-chief-inspector-prisons-report-rape-torture" TargetMode="External"/><Relationship Id="rId16" Type="http://schemas.openxmlformats.org/officeDocument/2006/relationships/hyperlink" Target="https://www.refugeecouncil.org.uk/latest/news/refugee-council-says-26p-daily-increase-to-asylum-support-allowance-is-deeply-insulting-to-people-seeking-asylum/" TargetMode="External"/><Relationship Id="rId17" Type="http://schemas.openxmlformats.org/officeDocument/2006/relationships/hyperlink" Target="https://www.refugee-action.org.uk/wp-content/uploads/2018/07/Access-to-Justice-July-18-1.pdf" TargetMode="External"/><Relationship Id="rId18" Type="http://schemas.openxmlformats.org/officeDocument/2006/relationships/hyperlink" Target="https://www.legalcheek.com/2020/06/new-legal-aid-rules-threaten-access-to-justice-for-asylum-seekers-and-vulnerable-migrants-young-lawyers-warn/" TargetMode="External"/><Relationship Id="rId19" Type="http://schemas.openxmlformats.org/officeDocument/2006/relationships/hyperlink" Target="https://www.wrc.org.uk/Handlers/Download.ashx?IDMF=8683fd98-b697-47dc-b387-14ad6e777338" TargetMode="External"/><Relationship Id="rId30" Type="http://schemas.openxmlformats.org/officeDocument/2006/relationships/hyperlink" Target="https://www.gov.uk/government/publications/windrush-lessons-learned-review" TargetMode="External"/><Relationship Id="rId31" Type="http://schemas.openxmlformats.org/officeDocument/2006/relationships/hyperlink" Target="https://www.theguardian.com/society/2020/dec/09/covid-driven-recession-likely-to-push-2m-uk-families-into-poverty" TargetMode="External"/><Relationship Id="rId32" Type="http://schemas.openxmlformats.org/officeDocument/2006/relationships/hyperlink" Target="https://link.springer.com/article/10.1007/s11150-020-09502-1" TargetMode="External"/><Relationship Id="rId33" Type="http://schemas.openxmlformats.org/officeDocument/2006/relationships/hyperlink" Target="https://www.wrc.org.uk/the-impact-of-the-covid-19-crisis-on-the-uk-womens-sector" TargetMode="External"/><Relationship Id="rId34" Type="http://schemas.openxmlformats.org/officeDocument/2006/relationships/hyperlink" Target="https://www.tuc.org.uk/news/2-5-working-mums-face-childcare-crisis-when-new-term-starts-tuc-poll" TargetMode="External"/><Relationship Id="rId35" Type="http://schemas.openxmlformats.org/officeDocument/2006/relationships/hyperlink" Target="https://www.ifs.org.uk/publications/14860" TargetMode="External"/><Relationship Id="rId36" Type="http://schemas.openxmlformats.org/officeDocument/2006/relationships/hyperlink" Target="https://www.tuc.org.uk/workingparents" TargetMode="External"/><Relationship Id="rId37" Type="http://schemas.openxmlformats.org/officeDocument/2006/relationships/hyperlink" Target="https://www.tuc.org.uk/sites/default/files/2020-08/Insecurework%20report%202020_0.pdf" TargetMode="External"/><Relationship Id="rId38" Type="http://schemas.openxmlformats.org/officeDocument/2006/relationships/hyperlink" Target="https://www.peoplemanagement.co.uk/news/articles/women-young-people-on-zero-hours-contracts" TargetMode="External"/><Relationship Id="rId39" Type="http://schemas.openxmlformats.org/officeDocument/2006/relationships/hyperlink" Target="https://prostitutescollective.net/women-and-equalities-select-committee-wec-inquiry-into-prostitution-how-can-we-tackle-inequalities-and-harm-2019/" TargetMode="External"/><Relationship Id="rId50" Type="http://schemas.openxmlformats.org/officeDocument/2006/relationships/hyperlink" Target="https://www.endviolenceagainstwomen.org.uk/wp-content/uploads/Access-to-Justice-for-Women-Girls-during-Covid-19-Pandemic.pdf" TargetMode="External"/><Relationship Id="rId51" Type="http://schemas.openxmlformats.org/officeDocument/2006/relationships/hyperlink" Target="http://www.prisonreformtrust.org.uk/Portals/0/Documents/Women/Why%20Women%20England%20and%20Wales%202018%20data.pdf" TargetMode="External"/><Relationship Id="rId52" Type="http://schemas.openxmlformats.org/officeDocument/2006/relationships/hyperlink" Target="https://www.bl.uk/collection-items/reforming-womens-justice-final-report-of-the-womens-justice-taskforce" TargetMode="External"/><Relationship Id="rId53" Type="http://schemas.openxmlformats.org/officeDocument/2006/relationships/hyperlink" Target="https://barrowcadbury.org.uk/wp-content/uploads/2020/11/Stories-of-Injustice-women-and-JE.pdf" TargetMode="External"/><Relationship Id="rId54" Type="http://schemas.openxmlformats.org/officeDocument/2006/relationships/hyperlink" Target="http://www.prisonreformtrust.org.uk/Portals/0/Documents/Counted%20Out.pdf" TargetMode="External"/><Relationship Id="rId55" Type="http://schemas.openxmlformats.org/officeDocument/2006/relationships/hyperlink" Target="https://domide.colmex.mx/Archivos/Doc_5136.pdf" TargetMode="External"/><Relationship Id="rId56" Type="http://schemas.openxmlformats.org/officeDocument/2006/relationships/hyperlink" Target="https://829ef90d-0745-49b2-b404-cbea85f15fda.filesusr.com/ugd/f98049_8f180d085f694cc1a8b301e7192157dc.pdf" TargetMode="External"/><Relationship Id="rId57" Type="http://schemas.openxmlformats.org/officeDocument/2006/relationships/hyperlink" Target="https://www.theguardian.com/society/2021/jan/27/cps-denies-major-change-in-charging-policy-despite-falling-rates-rape" TargetMode="External"/><Relationship Id="rId58" Type="http://schemas.openxmlformats.org/officeDocument/2006/relationships/hyperlink" Target="https://www.theguardian.com/law/2021/mar/15/legal-challenge-over-cps-policy-on-prosecuting-cases-dismissed" TargetMode="External"/><Relationship Id="rId59" Type="http://schemas.openxmlformats.org/officeDocument/2006/relationships/hyperlink" Target="https://www.sisofrida.org/wp-content/uploads/2020/05/The-impact-of-COVID-19-on-Disabled-women-from-Sisters-of-Frida.pdf" TargetMode="External"/><Relationship Id="rId70" Type="http://schemas.openxmlformats.org/officeDocument/2006/relationships/hyperlink" Target="https://www.theguardian.com/housing-network/2017/feb/14/homelessness-women-disadvantaged-channel-4-councils" TargetMode="External"/><Relationship Id="rId71" Type="http://schemas.openxmlformats.org/officeDocument/2006/relationships/hyperlink" Target="https://829ef90d-0745-49b2-b404-cbea85f15fda.filesusr.com/ugd/2f475d_2c6797da42c6454f933837a7290ffe21.pdf" TargetMode="External"/><Relationship Id="rId72" Type="http://schemas.openxmlformats.org/officeDocument/2006/relationships/hyperlink" Target="https://www.gov.scot/publications/social-equality-impacts-brexit/pages/5/" TargetMode="External"/><Relationship Id="rId73" Type="http://schemas.openxmlformats.org/officeDocument/2006/relationships/hyperlink" Target="https://www.womensaid.org.uk/a-perfect-storm-the-impact-of-the-covid-19-pandemic-on-domestic-abuse-survivors-and-the-services-supporting-them/" TargetMode="External"/><Relationship Id="rId74" Type="http://schemas.openxmlformats.org/officeDocument/2006/relationships/hyperlink" Target="https://www.theguardian.com/business/2019/apr/26/women-bear-the-brunt-of-high-street-closures-and-job-losses" TargetMode="External"/><Relationship Id="rId75" Type="http://schemas.openxmlformats.org/officeDocument/2006/relationships/hyperlink" Target="https://www.reuters.com/article/britain-retail-women/women-bear-brunt-of-job-losses-as-uk-retail-shuts-up-shop-idUSL8N2IH4IL" TargetMode="External"/><Relationship Id="rId76" Type="http://schemas.openxmlformats.org/officeDocument/2006/relationships/hyperlink" Target="https://www.unison.org.uk/news/article/2020/12/reality-check-public-sector-pay-freeze/" TargetMode="External"/><Relationship Id="rId77" Type="http://schemas.openxmlformats.org/officeDocument/2006/relationships/hyperlink" Target="https://assets.publishing.service.gov.uk/government/uploads/system/uploads/attachment_data/file/856590/LPC_Report_2019.pdf" TargetMode="External"/><Relationship Id="rId78" Type="http://schemas.openxmlformats.org/officeDocument/2006/relationships/hyperlink" Target="https://www.yourmoney.com/household-bills/minimum-wage-rise-set-to-be-shelved-next-year/" TargetMode="External"/><Relationship Id="rId79" Type="http://schemas.openxmlformats.org/officeDocument/2006/relationships/hyperlink" Target="https://wbg.org.uk/analysis/uk-policy-briefings/2019-wbg-briefing-gender-employment-and-earnings/" TargetMode="External"/><Relationship Id="rId20" Type="http://schemas.openxmlformats.org/officeDocument/2006/relationships/hyperlink" Target="https://www.theguardian.com/commentisfree/2020/dec/15/health-inequalities-covid-ucl-government-policymaking" TargetMode="External"/><Relationship Id="rId21" Type="http://schemas.openxmlformats.org/officeDocument/2006/relationships/hyperlink" Target="https://www.wrc.org.uk/the-impact-of-the-covid-19-crisis-on-the-uk-womens-sector" TargetMode="External"/><Relationship Id="rId22" Type="http://schemas.openxmlformats.org/officeDocument/2006/relationships/hyperlink" Target="https://southallblacksisters.org.uk/news/download-safe-and-sane-report/" TargetMode="External"/><Relationship Id="rId23" Type="http://schemas.openxmlformats.org/officeDocument/2006/relationships/hyperlink" Target="https://www.gov.uk/government/news/employers-do-not-have-to-report-gender-pay-gaps" TargetMode="External"/><Relationship Id="rId24" Type="http://schemas.openxmlformats.org/officeDocument/2006/relationships/hyperlink" Target="https://www.theguardian.com/world/2021/feb/09/uk-ministers-face-pressure-over-gender-pay-gap-reporting-delay" TargetMode="External"/><Relationship Id="rId25" Type="http://schemas.openxmlformats.org/officeDocument/2006/relationships/hyperlink" Target="https://www.equalityhumanrights.com/en/publication-download/public-sector-equality-duty-assessment-hostile-environment-policies" TargetMode="External"/><Relationship Id="rId26" Type="http://schemas.openxmlformats.org/officeDocument/2006/relationships/hyperlink" Target="https://www.equalityhumanrights.com/sites/default/files/public-sector-equality-duty-assessment-of-hostile-environment-policies.pdf" TargetMode="External"/><Relationship Id="rId27" Type="http://schemas.openxmlformats.org/officeDocument/2006/relationships/hyperlink" Target="https://cpag.org.uk/sites/default/files/Two%20child%20limit%20consultation_CPAG%20response.pdf" TargetMode="External"/><Relationship Id="rId28" Type="http://schemas.openxmlformats.org/officeDocument/2006/relationships/hyperlink" Target="https://www.fawcettsociety.org.uk/Handlers/Download.ashx?IDMF=cae4917f-1df3-4ab8-94e7-550c23bdc9cf" TargetMode="External"/><Relationship Id="rId29" Type="http://schemas.openxmlformats.org/officeDocument/2006/relationships/hyperlink" Target="https://www.equalityhumanrights.com/sites/default/files/public-sector-equality-duty-assessment-of-hostile-environment-policies.pdf" TargetMode="External"/><Relationship Id="rId40" Type="http://schemas.openxmlformats.org/officeDocument/2006/relationships/hyperlink" Target="https://www.theguardian.com/world/2017/mar/09/women-bearing-86-of-austerity-burden-labour-research-reveals" TargetMode="External"/><Relationship Id="rId41" Type="http://schemas.openxmlformats.org/officeDocument/2006/relationships/hyperlink" Target="https://www.theguardian.com/society/2019/may/22/universal-credit-hardship-linked-to-prostitution" TargetMode="External"/><Relationship Id="rId42" Type="http://schemas.openxmlformats.org/officeDocument/2006/relationships/hyperlink" Target="https://www.scie-socialcareonline.org.uk/paying-the-price-a-consultation-paper-on-prostitution/r/a11G00000017txVIAQ" TargetMode="External"/><Relationship Id="rId43" Type="http://schemas.openxmlformats.org/officeDocument/2006/relationships/hyperlink" Target="https://www.ohchr.org/Documents/Issues/EPoverty/UnitedKingdom/2018/NGOS/English_CollectiveofProstitutes.pdf" TargetMode="External"/><Relationship Id="rId44" Type="http://schemas.openxmlformats.org/officeDocument/2006/relationships/hyperlink" Target="https://www.bbc.com/news/uk-wales-52561749" TargetMode="External"/><Relationship Id="rId45" Type="http://schemas.openxmlformats.org/officeDocument/2006/relationships/hyperlink" Target="https://www.wrc.org.uk/the-impact-of-the-covid-19-crisis-on-the-uk-womens-sector" TargetMode="External"/><Relationship Id="rId46" Type="http://schemas.openxmlformats.org/officeDocument/2006/relationships/hyperlink" Target="https://www.independent.co.uk/news/uk/home-news/children-care-mothers-coronavirus-lockdown-a9651586.html" TargetMode="External"/><Relationship Id="rId47" Type="http://schemas.openxmlformats.org/officeDocument/2006/relationships/hyperlink" Target="https://www.theguardian.com/law/2018/dec/26/how-legal-aid-cuts-filled-family-courts-with-bewildered-litigants" TargetMode="External"/><Relationship Id="rId48" Type="http://schemas.openxmlformats.org/officeDocument/2006/relationships/hyperlink" Target="https://supportnotseparation.blog/2020/10/07/remote-hearings-adding-injustice-in-family-courts/" TargetMode="External"/><Relationship Id="rId49" Type="http://schemas.openxmlformats.org/officeDocument/2006/relationships/hyperlink" Target="https://www.womensaid.org.uk/wp-content/uploads/2015/11/APPG-Inquiry-report-domestic-abuse-child-contact-and-the-family-courts.pdf" TargetMode="External"/><Relationship Id="rId60" Type="http://schemas.openxmlformats.org/officeDocument/2006/relationships/hyperlink" Target="https://829ef90d-0745-49b2-b404-cbea85f15fda.filesusr.com/ugd/2f475d_2c6797da42c6454f933837a7290ffe21.pdf" TargetMode="External"/><Relationship Id="rId61" Type="http://schemas.openxmlformats.org/officeDocument/2006/relationships/hyperlink" Target="https://www.womensaid.org.uk/a-perfect-storm-the-impact-of-the-covid-19-pandemic-on-domestic-abuse-survivors-and-the-services-supporting-them/" TargetMode="External"/><Relationship Id="rId62" Type="http://schemas.openxmlformats.org/officeDocument/2006/relationships/hyperlink" Target="https://www.tnlcommunityfund.org.uk/news/press-releases/2020-06-16/covid-19-bme-womens-organisation-able-to-meet-increasing-demand-from-domestic-abuse-victims-thanks-to-national-lottery-funding" TargetMode="External"/><Relationship Id="rId63" Type="http://schemas.openxmlformats.org/officeDocument/2006/relationships/hyperlink" Target="https://www.birmingham.ac.uk/research/applied-health/news/2020/09/sexual-violence-and-covid-19.aspx" TargetMode="External"/><Relationship Id="rId64" Type="http://schemas.openxmlformats.org/officeDocument/2006/relationships/hyperlink" Target="https://cpag.org.uk/policy-and-campaigns/report/poverty-pandemic-impact-coronavirus-low-income-families-and-children" TargetMode="External"/><Relationship Id="rId65" Type="http://schemas.openxmlformats.org/officeDocument/2006/relationships/hyperlink" Target="https://www.wrc.org.uk/women-and-poverty-during-the-pandemic" TargetMode="External"/><Relationship Id="rId66" Type="http://schemas.openxmlformats.org/officeDocument/2006/relationships/hyperlink" Target="https://www.trusselltrust.org/2020/09/14/new-report-reveals-how-coronavirus-has-affected-food-bank-use/" TargetMode="External"/><Relationship Id="rId67" Type="http://schemas.openxmlformats.org/officeDocument/2006/relationships/hyperlink" Target="https://www.lloydsbank.com/assets/media/pdfs/banking_with_us/whats-happening/LB-Consumer-Digital-Index-2018-Report.pdf" TargetMode="External"/><Relationship Id="rId68" Type="http://schemas.openxmlformats.org/officeDocument/2006/relationships/hyperlink" Target="https://www.theguardian.com/world/2020/apr/28/digital-divide-isolates-and-endangers-millions-of-uk-poorest" TargetMode="External"/><Relationship Id="rId69" Type="http://schemas.openxmlformats.org/officeDocument/2006/relationships/hyperlink" Target="http://genesistrust.org.uk/news/gender-and-homelessness/" TargetMode="External"/><Relationship Id="rId80" Type="http://schemas.openxmlformats.org/officeDocument/2006/relationships/hyperlink" Target="C://Users/Kiran/Downloads/LEAG%20POSITION%20Impacts%20of%20Brexit-Final.pdf" TargetMode="External"/><Relationship Id="rId81" Type="http://schemas.openxmlformats.org/officeDocument/2006/relationships/hyperlink" Target="https://www.equallyours.org.uk/wp-content/uploads/2020/12/Equally-Ours-UKSPF-briefing-February-2020.pdf" TargetMode="External"/><Relationship Id="rId82" Type="http://schemas.openxmlformats.org/officeDocument/2006/relationships/hyperlink" Target="https://www.theguardian.com/uk-news/2021/jan/31/asylum-seekers-dire-conditions-kent-napier-barracks-fire" TargetMode="External"/><Relationship Id="rId83" Type="http://schemas.openxmlformats.org/officeDocument/2006/relationships/hyperlink" Target="https://www.womensaid.org.uk/wp-content/uploads/2020/06/Action-Plan-VAWG-Sector-Recommendations-Final.pdf" TargetMode="External"/><Relationship Id="rId84" Type="http://schemas.openxmlformats.org/officeDocument/2006/relationships/hyperlink" Target="https://www.theguardian.com/society/2020/nov/30/politicising-ehrc-five-controversial-appointments" TargetMode="External"/><Relationship Id="rId85" Type="http://schemas.openxmlformats.org/officeDocument/2006/relationships/hyperlink" Target="https://www.sisofrida.org/wp-content/uploads/2017/08/Disabled-women-Facts-and-Stats-2017.pdf" TargetMode="External"/><Relationship Id="rId86" Type="http://schemas.openxmlformats.org/officeDocument/2006/relationships/hyperlink" Target="https://publications.parliament.uk/pa/cm201719/cmselect/cmwomeq/360/full-report.html" TargetMode="External"/><Relationship Id="rId87" Type="http://schemas.openxmlformats.org/officeDocument/2006/relationships/hyperlink" Target="https://www.fawcettsociety.org.uk/sex-and-power-2020" TargetMode="External"/><Relationship Id="rId88" Type="http://schemas.openxmlformats.org/officeDocument/2006/relationships/hyperlink" Target="https://www.fawcettsociety.org.uk/Handlers/Download.ashx?IDMF=bdb30c2d-7b79-4b02-af09-72d0e25545b5" TargetMode="External"/><Relationship Id="rId89" Type="http://schemas.openxmlformats.org/officeDocument/2006/relationships/hyperlink" Target="https://www.fawcettsociety.org.uk/news/new-fawcett-data-reveals-that-womens-representation-in-local-government-at-a-standst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71B9E4-F3D6-4547-9046-A6E2392C6B5A}"/>
</file>

<file path=customXml/itemProps2.xml><?xml version="1.0" encoding="utf-8"?>
<ds:datastoreItem xmlns:ds="http://schemas.openxmlformats.org/officeDocument/2006/customXml" ds:itemID="{5D6E507B-A121-4C12-8B9E-38A88B0006D0}"/>
</file>

<file path=customXml/itemProps3.xml><?xml version="1.0" encoding="utf-8"?>
<ds:datastoreItem xmlns:ds="http://schemas.openxmlformats.org/officeDocument/2006/customXml" ds:itemID="{818BBA42-0AEC-4902-B88F-A4F4EB8BFA63}"/>
</file>

<file path=docProps/app.xml><?xml version="1.0" encoding="utf-8"?>
<Properties xmlns="http://schemas.openxmlformats.org/officeDocument/2006/extended-properties" xmlns:vt="http://schemas.openxmlformats.org/officeDocument/2006/docPropsVTypes">
  <Template>Normal.dotm</Template>
  <TotalTime>2</TotalTime>
  <Pages>13</Pages>
  <Words>3574</Words>
  <Characters>19338</Characters>
  <Application>Microsoft Macintosh Word</Application>
  <DocSecurity>0</DocSecurity>
  <Lines>339</Lines>
  <Paragraphs>103</Paragraphs>
  <ScaleCrop>false</ScaleCrop>
  <Company/>
  <LinksUpToDate>false</LinksUpToDate>
  <CharactersWithSpaces>22809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User</dc:creator>
  <cp:keywords/>
  <dc:description/>
  <cp:lastModifiedBy>Kiran User</cp:lastModifiedBy>
  <cp:revision>1</cp:revision>
  <dcterms:created xsi:type="dcterms:W3CDTF">2021-06-10T08:58:00Z</dcterms:created>
  <dcterms:modified xsi:type="dcterms:W3CDTF">2021-06-10T09:00:00Z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