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19E11" w14:textId="77777777" w:rsidR="003E4EAB" w:rsidRPr="004D2D78" w:rsidRDefault="003E4EAB" w:rsidP="003E4EAB">
      <w:pPr>
        <w:pStyle w:val="HChG"/>
      </w:pPr>
      <w:r w:rsidRPr="004D2D78">
        <w:t>Annex I: Tokelau</w:t>
      </w:r>
    </w:p>
    <w:p w14:paraId="6FC9C08C" w14:textId="77777777" w:rsidR="003E4EAB" w:rsidRPr="004D2D78" w:rsidRDefault="003E4EAB" w:rsidP="003E4EAB">
      <w:pPr>
        <w:pStyle w:val="ICESCR-numberedpara"/>
        <w:numPr>
          <w:ilvl w:val="0"/>
          <w:numId w:val="3"/>
        </w:numPr>
      </w:pPr>
      <w:r w:rsidRPr="004D2D78">
        <w:t>References should be made to previous reports on the situation in Tokelau, particularly New Zealand’s Fourth Periodic Report on the Covenant (CCPR/C/NZL/2001/4). For further background information, reference should be made to annual reports to Parliament by the Ministry of Foreign Affairs and Trade and the Office of the Auditor-General and to the working papers issued each year by the UN Special Committee on Decolonisation.</w:t>
      </w:r>
    </w:p>
    <w:p w14:paraId="29ECBAEA" w14:textId="77777777" w:rsidR="003E4EAB" w:rsidRPr="004D2D78" w:rsidRDefault="003E4EAB" w:rsidP="003E4EAB">
      <w:pPr>
        <w:pStyle w:val="ICESCR-numberedpara"/>
        <w:numPr>
          <w:ilvl w:val="0"/>
          <w:numId w:val="3"/>
        </w:numPr>
      </w:pPr>
      <w:r w:rsidRPr="004D2D78">
        <w:t>The people of Tokelau live in villages on three widely separated atolls. In each village/atoll, the focus is on caring for individual members of the community in a communal manner.</w:t>
      </w:r>
    </w:p>
    <w:p w14:paraId="79CB66D1" w14:textId="77777777" w:rsidR="003E4EAB" w:rsidRPr="004D2D78" w:rsidRDefault="003E4EAB" w:rsidP="003E4EAB">
      <w:pPr>
        <w:pStyle w:val="ICESCR-numberedpara"/>
        <w:numPr>
          <w:ilvl w:val="0"/>
          <w:numId w:val="3"/>
        </w:numPr>
      </w:pPr>
      <w:r w:rsidRPr="004D2D78">
        <w:t>Tokelau’s constitution recognises that individual human rights for all people in Tokelau are those stated in the Universal Declaration of Human Rights and reflected in the Covenant. The Constitution also recognises that the rights of individuals in Tokelau shall be exercised having proper regard to the duties of other individuals, and to the community to which the individual belongs. The Constitution affirms Tokelau’s commitment to the Universal Declaration on Human Rights and the Covenant.</w:t>
      </w:r>
    </w:p>
    <w:p w14:paraId="0B344887" w14:textId="77777777" w:rsidR="003E4EAB" w:rsidRPr="004D2D78" w:rsidRDefault="003E4EAB" w:rsidP="003E4EAB">
      <w:pPr>
        <w:pStyle w:val="ICESCR-numberedpara"/>
        <w:numPr>
          <w:ilvl w:val="0"/>
          <w:numId w:val="3"/>
        </w:numPr>
      </w:pPr>
      <w:r w:rsidRPr="004D2D78">
        <w:t>Tokelau has a specific criminal code set out in the Crimes, Procedure and Evidence Rules 2003 (the Rules). The Rules were developed in close consultation with the elders of each atoll to ensure that it reflects actual Tokelau needs, is consistent with Tokelau custom, and is determined by what is appropriate for Tokelau. The Rules are consistent with Tokelau’s obligations under international law regarding human rights issues, including the Covenant. They contain, for example:</w:t>
      </w:r>
    </w:p>
    <w:p w14:paraId="6FCF2C65" w14:textId="77777777" w:rsidR="003E4EAB" w:rsidRPr="004D2D78" w:rsidRDefault="003E4EAB" w:rsidP="003E4EAB">
      <w:pPr>
        <w:pStyle w:val="ListParagraph"/>
        <w:numPr>
          <w:ilvl w:val="0"/>
          <w:numId w:val="2"/>
        </w:numPr>
        <w:spacing w:after="200" w:line="276" w:lineRule="auto"/>
        <w:ind w:left="1077" w:hanging="357"/>
        <w:contextualSpacing w:val="0"/>
        <w:jc w:val="both"/>
        <w:rPr>
          <w:rFonts w:ascii="Times New Roman" w:hAnsi="Times New Roman" w:cs="Times New Roman"/>
        </w:rPr>
      </w:pPr>
      <w:r w:rsidRPr="004D2D78">
        <w:rPr>
          <w:rFonts w:ascii="Times New Roman" w:hAnsi="Times New Roman" w:cs="Times New Roman"/>
        </w:rPr>
        <w:t>a rule against double jeopardy</w:t>
      </w:r>
    </w:p>
    <w:p w14:paraId="79E71839" w14:textId="77777777" w:rsidR="003E4EAB" w:rsidRPr="004D2D78" w:rsidRDefault="003E4EAB" w:rsidP="003E4EAB">
      <w:pPr>
        <w:pStyle w:val="ListParagraph"/>
        <w:numPr>
          <w:ilvl w:val="0"/>
          <w:numId w:val="2"/>
        </w:numPr>
        <w:spacing w:after="200" w:line="276" w:lineRule="auto"/>
        <w:ind w:left="1077" w:hanging="357"/>
        <w:contextualSpacing w:val="0"/>
        <w:jc w:val="both"/>
        <w:rPr>
          <w:rFonts w:ascii="Times New Roman" w:hAnsi="Times New Roman" w:cs="Times New Roman"/>
        </w:rPr>
      </w:pPr>
      <w:r w:rsidRPr="004D2D78">
        <w:rPr>
          <w:rFonts w:ascii="Times New Roman" w:hAnsi="Times New Roman" w:cs="Times New Roman"/>
        </w:rPr>
        <w:t>provision for a speedy trial</w:t>
      </w:r>
    </w:p>
    <w:p w14:paraId="31993486" w14:textId="77777777" w:rsidR="003E4EAB" w:rsidRPr="004D2D78" w:rsidRDefault="003E4EAB" w:rsidP="003E4EAB">
      <w:pPr>
        <w:pStyle w:val="ListParagraph"/>
        <w:numPr>
          <w:ilvl w:val="0"/>
          <w:numId w:val="2"/>
        </w:numPr>
        <w:spacing w:after="200" w:line="276" w:lineRule="auto"/>
        <w:ind w:left="1077" w:hanging="357"/>
        <w:contextualSpacing w:val="0"/>
        <w:jc w:val="both"/>
        <w:rPr>
          <w:rFonts w:ascii="Times New Roman" w:hAnsi="Times New Roman" w:cs="Times New Roman"/>
        </w:rPr>
      </w:pPr>
      <w:r w:rsidRPr="004D2D78">
        <w:rPr>
          <w:rFonts w:ascii="Times New Roman" w:hAnsi="Times New Roman" w:cs="Times New Roman"/>
        </w:rPr>
        <w:t xml:space="preserve">procedures in relation to arrest and detention </w:t>
      </w:r>
    </w:p>
    <w:p w14:paraId="5D80CF38" w14:textId="77777777" w:rsidR="003E4EAB" w:rsidRPr="004D2D78" w:rsidRDefault="003E4EAB" w:rsidP="003E4EAB">
      <w:pPr>
        <w:pStyle w:val="ListParagraph"/>
        <w:numPr>
          <w:ilvl w:val="0"/>
          <w:numId w:val="2"/>
        </w:numPr>
        <w:spacing w:after="200" w:line="276" w:lineRule="auto"/>
        <w:ind w:left="1077" w:hanging="357"/>
        <w:contextualSpacing w:val="0"/>
        <w:jc w:val="both"/>
        <w:rPr>
          <w:rFonts w:ascii="Times New Roman" w:hAnsi="Times New Roman" w:cs="Times New Roman"/>
        </w:rPr>
      </w:pPr>
      <w:r w:rsidRPr="004D2D78">
        <w:rPr>
          <w:rFonts w:ascii="Times New Roman" w:hAnsi="Times New Roman" w:cs="Times New Roman"/>
        </w:rPr>
        <w:t>maximum penalties for criminal offences.</w:t>
      </w:r>
    </w:p>
    <w:p w14:paraId="319A8FAE" w14:textId="77777777" w:rsidR="003E4EAB" w:rsidRPr="004D2D78" w:rsidRDefault="003E4EAB" w:rsidP="003E4EAB">
      <w:pPr>
        <w:pStyle w:val="ICESCR-numberedpara"/>
        <w:numPr>
          <w:ilvl w:val="0"/>
          <w:numId w:val="3"/>
        </w:numPr>
      </w:pPr>
      <w:r w:rsidRPr="004D2D78">
        <w:t>Tokelau at the same time seeks understanding of its situation, and particularly of the challenge inherent in moving from socially known rules in an oral tradition to written law of the Western conception. As Tokelau considers its commitment to basic human rights, it is mindful that human rights promote the imported notion of individuality, while the idea of community, with which Tokelauans are familiar, promotes a sense of unity and sharing.</w:t>
      </w:r>
    </w:p>
    <w:p w14:paraId="1186D51D" w14:textId="77777777" w:rsidR="003E4EAB" w:rsidRPr="004D2D78" w:rsidRDefault="003E4EAB" w:rsidP="003E4EAB">
      <w:pPr>
        <w:pStyle w:val="ICESCR-numberedpara"/>
        <w:numPr>
          <w:ilvl w:val="0"/>
          <w:numId w:val="3"/>
        </w:numPr>
      </w:pPr>
      <w:r w:rsidRPr="004D2D78">
        <w:t>What is involved is a considerable evolution away from tradition. For Tokelauans this means a move away from following a particular set of rules and practices within their cultural setting, to following a set of rules and practices recognisable as consistent with life in the international community, and the rules and practices of other States.</w:t>
      </w:r>
    </w:p>
    <w:p w14:paraId="7CAA7746" w14:textId="77777777" w:rsidR="003E4EAB" w:rsidRPr="004D2D78" w:rsidRDefault="003E4EAB" w:rsidP="003E4EAB">
      <w:pPr>
        <w:pStyle w:val="ICESCR-numberedpara"/>
        <w:numPr>
          <w:ilvl w:val="0"/>
          <w:numId w:val="3"/>
        </w:numPr>
      </w:pPr>
      <w:r w:rsidRPr="004D2D78">
        <w:t>Tokelau is assured of the continuing interest and support of the New Zealand Government in its development.</w:t>
      </w:r>
    </w:p>
    <w:p w14:paraId="32AEAC0C" w14:textId="77777777" w:rsidR="003E4EAB" w:rsidRPr="004D2D78" w:rsidRDefault="003E4EAB" w:rsidP="003E4EAB">
      <w:pPr>
        <w:pStyle w:val="H23G"/>
        <w:ind w:left="709" w:hanging="709"/>
        <w:rPr>
          <w:i/>
          <w:iCs/>
          <w:sz w:val="22"/>
          <w:szCs w:val="22"/>
        </w:rPr>
      </w:pPr>
      <w:r w:rsidRPr="004D2D78">
        <w:rPr>
          <w:sz w:val="22"/>
          <w:szCs w:val="22"/>
        </w:rPr>
        <w:lastRenderedPageBreak/>
        <w:tab/>
      </w:r>
      <w:r w:rsidRPr="004D2D78">
        <w:rPr>
          <w:i/>
          <w:iCs/>
          <w:sz w:val="22"/>
          <w:szCs w:val="22"/>
        </w:rPr>
        <w:tab/>
        <w:t>Information on Tokelau relating to specific articles of the Covenant</w:t>
      </w:r>
    </w:p>
    <w:p w14:paraId="720B0653" w14:textId="77777777" w:rsidR="003E4EAB" w:rsidRPr="004D2D78" w:rsidRDefault="003E4EAB" w:rsidP="003E4EAB">
      <w:pPr>
        <w:pStyle w:val="ICESCR-numberedpara"/>
        <w:numPr>
          <w:ilvl w:val="0"/>
          <w:numId w:val="3"/>
        </w:numPr>
      </w:pPr>
      <w:r w:rsidRPr="004D2D78">
        <w:t>This section does not report on all the individual articles of the Covenant. The Constitution and, where applicable, the Rules apply more generally in relation to these articles.</w:t>
      </w:r>
    </w:p>
    <w:p w14:paraId="2BFE804F" w14:textId="77777777" w:rsidR="003E4EAB" w:rsidRPr="004D2D78" w:rsidRDefault="003E4EAB" w:rsidP="003E4EAB">
      <w:pPr>
        <w:pStyle w:val="H4G"/>
        <w:ind w:left="709"/>
        <w:rPr>
          <w:sz w:val="22"/>
          <w:szCs w:val="22"/>
        </w:rPr>
      </w:pPr>
      <w:r w:rsidRPr="004D2D78">
        <w:rPr>
          <w:sz w:val="22"/>
          <w:szCs w:val="22"/>
        </w:rPr>
        <w:tab/>
      </w:r>
      <w:r w:rsidRPr="004D2D78">
        <w:rPr>
          <w:sz w:val="22"/>
          <w:szCs w:val="22"/>
        </w:rPr>
        <w:tab/>
        <w:t>Article 1</w:t>
      </w:r>
    </w:p>
    <w:p w14:paraId="5D8D2EBD" w14:textId="77777777" w:rsidR="003E4EAB" w:rsidRPr="004D2D78" w:rsidRDefault="003E4EAB" w:rsidP="003E4EAB">
      <w:pPr>
        <w:pStyle w:val="ICESCR-numberedpara"/>
        <w:numPr>
          <w:ilvl w:val="0"/>
          <w:numId w:val="3"/>
        </w:numPr>
      </w:pPr>
      <w:r w:rsidRPr="004D2D78">
        <w:t xml:space="preserve">Under a programme of constitutional devolution developed in discussions with Tokelau leaders in 1992, Tokelau, with New Zealand’s support, has developed institutions and patterns of self-government. As a first step, that part of Government which deals with the interests of all of Tokelau was returned to Tokelau in 1994. In 2003, most of the Administrator’s powers were formally delegated to the three Village Councils, the General </w:t>
      </w:r>
      <w:proofErr w:type="spellStart"/>
      <w:r w:rsidRPr="004D2D78">
        <w:t>Fono</w:t>
      </w:r>
      <w:proofErr w:type="spellEnd"/>
      <w:r w:rsidRPr="004D2D78">
        <w:t xml:space="preserve"> (the national legislative and executive body) and the Council for Ongoing Government (which conducts the executive business of the General </w:t>
      </w:r>
      <w:proofErr w:type="spellStart"/>
      <w:r w:rsidRPr="004D2D78">
        <w:t>Fono</w:t>
      </w:r>
      <w:proofErr w:type="spellEnd"/>
      <w:r w:rsidRPr="004D2D78">
        <w:t xml:space="preserve"> when it is not in session). In 2012 a decision was made not to delegate the Administrator’s powers under the Tokelau (Exclusive Economic Zone) Fishing Regulations 2012.</w:t>
      </w:r>
    </w:p>
    <w:p w14:paraId="0C46F2E9" w14:textId="77777777" w:rsidR="003E4EAB" w:rsidRPr="004D2D78" w:rsidRDefault="003E4EAB" w:rsidP="003E4EAB">
      <w:pPr>
        <w:pStyle w:val="ICESCR-numberedpara"/>
        <w:numPr>
          <w:ilvl w:val="0"/>
          <w:numId w:val="3"/>
        </w:numPr>
      </w:pPr>
      <w:r w:rsidRPr="004D2D78">
        <w:t>In 2006 and 2007, self-determination referenda were held under UN supervision. On both occasions, the requisite two-thirds majority for a change in status was not reached. Tokelau therefore remains a non-self-governing territory under the administration of New Zealand.</w:t>
      </w:r>
    </w:p>
    <w:p w14:paraId="18E19DDA" w14:textId="77777777" w:rsidR="003E4EAB" w:rsidRPr="004D2D78" w:rsidRDefault="003E4EAB" w:rsidP="003E4EAB">
      <w:pPr>
        <w:pStyle w:val="H4G"/>
        <w:ind w:left="709"/>
        <w:rPr>
          <w:sz w:val="22"/>
          <w:szCs w:val="22"/>
        </w:rPr>
      </w:pPr>
      <w:r w:rsidRPr="004D2D78">
        <w:rPr>
          <w:sz w:val="22"/>
          <w:szCs w:val="22"/>
        </w:rPr>
        <w:tab/>
        <w:t>Article 2</w:t>
      </w:r>
    </w:p>
    <w:p w14:paraId="2271796E" w14:textId="77777777" w:rsidR="003E4EAB" w:rsidRPr="004D2D78" w:rsidRDefault="003E4EAB" w:rsidP="003E4EAB">
      <w:pPr>
        <w:pStyle w:val="ICESCR-numberedpara"/>
        <w:numPr>
          <w:ilvl w:val="0"/>
          <w:numId w:val="3"/>
        </w:numPr>
      </w:pPr>
      <w:r w:rsidRPr="004D2D78">
        <w:t>Tokelau’s Constitution accords generally with article 2 of the Covenant by recognising the human rights contained in the Universal Declaration of Human Rights and reflected in the Covenant for all people in Tokelau. The Rules also provide for a person to apply to Tokelau’s Council for Ongoing Government for protection of that right.</w:t>
      </w:r>
    </w:p>
    <w:p w14:paraId="764C4481" w14:textId="77777777" w:rsidR="003E4EAB" w:rsidRPr="004D2D78" w:rsidRDefault="003E4EAB" w:rsidP="003E4EAB">
      <w:pPr>
        <w:pStyle w:val="H4G"/>
        <w:ind w:left="709"/>
        <w:rPr>
          <w:sz w:val="22"/>
          <w:szCs w:val="22"/>
        </w:rPr>
      </w:pPr>
      <w:r w:rsidRPr="004D2D78">
        <w:rPr>
          <w:sz w:val="22"/>
          <w:szCs w:val="22"/>
        </w:rPr>
        <w:tab/>
      </w:r>
      <w:r w:rsidRPr="004D2D78">
        <w:rPr>
          <w:sz w:val="22"/>
          <w:szCs w:val="22"/>
        </w:rPr>
        <w:tab/>
        <w:t>Article 3</w:t>
      </w:r>
    </w:p>
    <w:p w14:paraId="66ECF701" w14:textId="77777777" w:rsidR="003E4EAB" w:rsidRPr="004D2D78" w:rsidRDefault="003E4EAB" w:rsidP="003E4EAB">
      <w:pPr>
        <w:pStyle w:val="ICESCR-numberedpara"/>
        <w:numPr>
          <w:ilvl w:val="0"/>
          <w:numId w:val="3"/>
        </w:numPr>
      </w:pPr>
      <w:r w:rsidRPr="004D2D78">
        <w:t>Developments in the equal rights of men and women to the enjoyment of all civil and political rights during the report period in Tokelau are covered by Appendix Two of New Zealand’s Ninth Periodic Report to the Committee on the Elimination of Discrimination against Women (CEDAW/C/NZ/9).</w:t>
      </w:r>
    </w:p>
    <w:p w14:paraId="2BCCE22B" w14:textId="77777777" w:rsidR="003E4EAB" w:rsidRPr="004D2D78" w:rsidRDefault="003E4EAB" w:rsidP="003E4EAB">
      <w:pPr>
        <w:pStyle w:val="ICESCR-numberedpara"/>
        <w:numPr>
          <w:ilvl w:val="0"/>
          <w:numId w:val="3"/>
        </w:numPr>
      </w:pPr>
      <w:r w:rsidRPr="004D2D78">
        <w:t>Tokelau has a National Policy for Women and National Plan of Action that will assist the Government’s response to women’s development issues. Tokelau’s women’s groups (</w:t>
      </w:r>
      <w:proofErr w:type="spellStart"/>
      <w:r w:rsidRPr="004D2D78">
        <w:t>Fatupaepae</w:t>
      </w:r>
      <w:proofErr w:type="spellEnd"/>
      <w:r w:rsidRPr="004D2D78">
        <w:t xml:space="preserve">) are currently involved in implementing the Government’s project to Stop Violence against Women and Young Girls. This involves raising awareness among women of their rights under the law as well as suggestions for amendments to Tokelau laws as they affect women. </w:t>
      </w:r>
    </w:p>
    <w:p w14:paraId="6E0D484F" w14:textId="77777777" w:rsidR="003E4EAB" w:rsidRPr="004D2D78" w:rsidRDefault="003E4EAB" w:rsidP="003E4EAB">
      <w:pPr>
        <w:pStyle w:val="H4G"/>
        <w:ind w:left="709"/>
        <w:rPr>
          <w:sz w:val="22"/>
          <w:szCs w:val="22"/>
        </w:rPr>
      </w:pPr>
      <w:r w:rsidRPr="004D2D78">
        <w:rPr>
          <w:sz w:val="22"/>
          <w:szCs w:val="22"/>
        </w:rPr>
        <w:tab/>
      </w:r>
      <w:r w:rsidRPr="004D2D78">
        <w:rPr>
          <w:sz w:val="22"/>
          <w:szCs w:val="22"/>
        </w:rPr>
        <w:tab/>
        <w:t>Article 14</w:t>
      </w:r>
    </w:p>
    <w:p w14:paraId="0E9C03DA" w14:textId="77777777" w:rsidR="003E4EAB" w:rsidRPr="004D2D78" w:rsidRDefault="003E4EAB" w:rsidP="003E4EAB">
      <w:pPr>
        <w:pStyle w:val="ICESCR-numberedpara"/>
        <w:numPr>
          <w:ilvl w:val="0"/>
          <w:numId w:val="3"/>
        </w:numPr>
      </w:pPr>
      <w:r w:rsidRPr="004D2D78">
        <w:t>Tokelau’s judicial system formally consists of the Commissioner’s Court and Appeal Committee of each village, the High Court and the Court of Appeal.</w:t>
      </w:r>
    </w:p>
    <w:p w14:paraId="124C6D22" w14:textId="77777777" w:rsidR="003E4EAB" w:rsidRPr="004D2D78" w:rsidRDefault="003E4EAB" w:rsidP="003E4EAB">
      <w:pPr>
        <w:pStyle w:val="ICESCR-numberedpara"/>
        <w:numPr>
          <w:ilvl w:val="0"/>
          <w:numId w:val="3"/>
        </w:numPr>
      </w:pPr>
      <w:r w:rsidRPr="004D2D78">
        <w:t xml:space="preserve">Currently the judges of Tokelau are the Law Commissioners of each island. These are lay officers who perform their duties with the village councils in the context of the village structures and local tradition. In the fulfilment of their roles, Commissioners typically are informed more by custom than legislation. Although, as discussed, the Rules have, where possible, incorporated these customs. The Commissioners are concerned primarily with criminal offences of a minor nature and, in cooperation with the local police officers, deal with offenders </w:t>
      </w:r>
      <w:r w:rsidRPr="004D2D78">
        <w:lastRenderedPageBreak/>
        <w:t>by way of reprimand, sentences of community service or fines. There are no prisons in Tokelau. In case of need, major criminal or civil matters would be dealt with by the High Court of New Zealand acting as a Court for Tokelau. An appeal committee may hear appeals from the Tokelau Law Commissioners.</w:t>
      </w:r>
    </w:p>
    <w:p w14:paraId="190367E7" w14:textId="77777777" w:rsidR="003E4EAB" w:rsidRPr="004D2D78" w:rsidRDefault="003E4EAB" w:rsidP="003E4EAB">
      <w:pPr>
        <w:pStyle w:val="ICESCR-numberedpara"/>
        <w:numPr>
          <w:ilvl w:val="0"/>
          <w:numId w:val="3"/>
        </w:numPr>
      </w:pPr>
      <w:r w:rsidRPr="004D2D78">
        <w:t>The Tokelau Law Commissioners’ Handbook was first published in 2008 and was intended to be a source of useful guidance to the Law Commissioners, written with the needs of those Law Commissioners and the circumstances of the villages of Tokelau in mind. In 2024 the Tokelau Law Commissioners’ Handbook was updated, printed, and delivered to the Law Commissioners in-country in March 2025 and published digitally in April 2025.</w:t>
      </w:r>
    </w:p>
    <w:p w14:paraId="32B5C563" w14:textId="77777777" w:rsidR="003E4EAB" w:rsidRPr="004D2D78" w:rsidRDefault="003E4EAB" w:rsidP="003E4EAB">
      <w:pPr>
        <w:pStyle w:val="ICESCR-numberedpara"/>
        <w:numPr>
          <w:ilvl w:val="0"/>
          <w:numId w:val="3"/>
        </w:numPr>
      </w:pPr>
      <w:r w:rsidRPr="004D2D78">
        <w:t xml:space="preserve">The requirement of the availability of defence counsel, at public cost, if necessary, presents practical problems for a community of Tokelau’s type, given its small population (1460 people in the 2022 census) and physical isolation. However, there is provision in Rule 94 of the Rules for the grant of legal aid, considering the means of the applicant and the nature of the case. Under Rule 95 of the Rules the prior written approval of the Council for Ongoing Government is required to be able to practise law in Tokelau or before a court of Tokelau. </w:t>
      </w:r>
    </w:p>
    <w:p w14:paraId="026230D9" w14:textId="77777777" w:rsidR="003E4EAB" w:rsidRPr="004D2D78" w:rsidRDefault="003E4EAB" w:rsidP="003E4EAB">
      <w:pPr>
        <w:pStyle w:val="H4G"/>
        <w:ind w:left="709" w:hanging="709"/>
        <w:rPr>
          <w:sz w:val="22"/>
          <w:szCs w:val="22"/>
        </w:rPr>
      </w:pPr>
      <w:r w:rsidRPr="004D2D78">
        <w:rPr>
          <w:sz w:val="22"/>
          <w:szCs w:val="22"/>
        </w:rPr>
        <w:tab/>
      </w:r>
      <w:r w:rsidRPr="004D2D78">
        <w:rPr>
          <w:sz w:val="22"/>
          <w:szCs w:val="22"/>
        </w:rPr>
        <w:tab/>
        <w:t>Article 25</w:t>
      </w:r>
    </w:p>
    <w:p w14:paraId="0BF8AC0F" w14:textId="77777777" w:rsidR="003E4EAB" w:rsidRPr="004D2D78" w:rsidRDefault="003E4EAB" w:rsidP="003E4EAB">
      <w:pPr>
        <w:pStyle w:val="ICESCR-numberedpara"/>
        <w:numPr>
          <w:ilvl w:val="0"/>
          <w:numId w:val="3"/>
        </w:numPr>
        <w:rPr>
          <w:lang w:val="en-GB"/>
        </w:rPr>
      </w:pPr>
      <w:r w:rsidRPr="004D2D78">
        <w:t xml:space="preserve">Under long-standing practice, two village leadership positions — </w:t>
      </w:r>
      <w:proofErr w:type="spellStart"/>
      <w:r w:rsidRPr="004D2D78">
        <w:t>Faipule</w:t>
      </w:r>
      <w:proofErr w:type="spellEnd"/>
      <w:r w:rsidRPr="004D2D78">
        <w:t xml:space="preserve"> and </w:t>
      </w:r>
      <w:proofErr w:type="spellStart"/>
      <w:r w:rsidRPr="004D2D78">
        <w:t>Pulenuku</w:t>
      </w:r>
      <w:proofErr w:type="spellEnd"/>
      <w:r w:rsidRPr="004D2D78">
        <w:t xml:space="preserve"> (one with external focus and the other with internal focus) — are filled based on three-yearly elections, by universal adult suffrage. In 1998, Tokelau moved from a system of appointment by each village of its delegates to the General Fono, to a system of election of delegates. The first such elections were held in January 1999, when each village elected delegates proportionate to its overall population for three-year terms. The most recent election took place in January 2023 in accordance with the Tokelau National Elections Rules 2022.</w:t>
      </w:r>
    </w:p>
    <w:p w14:paraId="5DED69E8" w14:textId="77777777" w:rsidR="003E4EAB" w:rsidRPr="004D2D78" w:rsidRDefault="003E4EAB" w:rsidP="003E4EAB">
      <w:pPr>
        <w:pStyle w:val="ICESCR-numberedpara"/>
        <w:numPr>
          <w:ilvl w:val="0"/>
          <w:numId w:val="3"/>
        </w:numPr>
        <w:sectPr w:rsidR="003E4EAB" w:rsidRPr="004D2D78" w:rsidSect="003E4EAB">
          <w:headerReference w:type="even" r:id="rId10"/>
          <w:footerReference w:type="default" r:id="rId11"/>
          <w:headerReference w:type="first" r:id="rId12"/>
          <w:pgSz w:w="11906" w:h="16838"/>
          <w:pgMar w:top="1440" w:right="1440" w:bottom="1440" w:left="1440" w:header="708" w:footer="708" w:gutter="0"/>
          <w:cols w:space="708"/>
          <w:docGrid w:linePitch="360"/>
        </w:sectPr>
      </w:pPr>
    </w:p>
    <w:p w14:paraId="61C6D856" w14:textId="77777777" w:rsidR="00F12AAB" w:rsidRDefault="00F12AAB" w:rsidP="00AE27FA"/>
    <w:sectPr w:rsidR="00F12AAB" w:rsidSect="003E4EAB">
      <w:headerReference w:type="even" r:id="rId13"/>
      <w:headerReference w:type="default" r:id="rId14"/>
      <w:footerReference w:type="default" r:id="rId15"/>
      <w:headerReference w:type="first" r:id="rId16"/>
      <w:footnotePr>
        <w:numRestart w:val="eachSect"/>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A4F2B" w14:textId="77777777" w:rsidR="00147841" w:rsidRDefault="00147841">
      <w:pPr>
        <w:spacing w:after="0" w:line="240" w:lineRule="auto"/>
      </w:pPr>
      <w:r>
        <w:separator/>
      </w:r>
    </w:p>
  </w:endnote>
  <w:endnote w:type="continuationSeparator" w:id="0">
    <w:p w14:paraId="69B81B9A" w14:textId="77777777" w:rsidR="00147841" w:rsidRDefault="00147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899899"/>
      <w:docPartObj>
        <w:docPartGallery w:val="Page Numbers (Bottom of Page)"/>
        <w:docPartUnique/>
      </w:docPartObj>
    </w:sdtPr>
    <w:sdtEndPr>
      <w:rPr>
        <w:rFonts w:ascii="Times New Roman" w:hAnsi="Times New Roman" w:cs="Times New Roman"/>
        <w:noProof/>
      </w:rPr>
    </w:sdtEndPr>
    <w:sdtContent>
      <w:p w14:paraId="00351040" w14:textId="77777777" w:rsidR="00000000" w:rsidRPr="00B21872" w:rsidRDefault="00000000">
        <w:pPr>
          <w:pStyle w:val="Footer"/>
          <w:jc w:val="right"/>
          <w:rPr>
            <w:rFonts w:ascii="Times New Roman" w:hAnsi="Times New Roman" w:cs="Times New Roman"/>
          </w:rPr>
        </w:pPr>
        <w:r w:rsidRPr="00B21872">
          <w:rPr>
            <w:rFonts w:ascii="Times New Roman" w:hAnsi="Times New Roman" w:cs="Times New Roman"/>
          </w:rPr>
          <w:fldChar w:fldCharType="begin"/>
        </w:r>
        <w:r w:rsidRPr="00B21872">
          <w:rPr>
            <w:rFonts w:ascii="Times New Roman" w:hAnsi="Times New Roman" w:cs="Times New Roman"/>
          </w:rPr>
          <w:instrText xml:space="preserve"> PAGE   \* MERGEFORMAT </w:instrText>
        </w:r>
        <w:r w:rsidRPr="00B21872">
          <w:rPr>
            <w:rFonts w:ascii="Times New Roman" w:hAnsi="Times New Roman" w:cs="Times New Roman"/>
          </w:rPr>
          <w:fldChar w:fldCharType="separate"/>
        </w:r>
        <w:r w:rsidRPr="00B21872">
          <w:rPr>
            <w:rFonts w:ascii="Times New Roman" w:hAnsi="Times New Roman" w:cs="Times New Roman"/>
          </w:rPr>
          <w:t>2</w:t>
        </w:r>
        <w:r w:rsidRPr="00B21872">
          <w:rPr>
            <w:rFonts w:ascii="Times New Roman" w:hAnsi="Times New Roman" w:cs="Times New Roman"/>
          </w:rPr>
          <w:fldChar w:fldCharType="end"/>
        </w:r>
      </w:p>
    </w:sdtContent>
  </w:sdt>
  <w:p w14:paraId="0EBD0620"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618380"/>
      <w:docPartObj>
        <w:docPartGallery w:val="Page Numbers (Bottom of Page)"/>
        <w:docPartUnique/>
      </w:docPartObj>
    </w:sdtPr>
    <w:sdtEndPr>
      <w:rPr>
        <w:rFonts w:ascii="Times New Roman" w:hAnsi="Times New Roman" w:cs="Times New Roman"/>
        <w:noProof/>
      </w:rPr>
    </w:sdtEndPr>
    <w:sdtContent>
      <w:p w14:paraId="4F9763A4" w14:textId="77777777" w:rsidR="00000000" w:rsidRPr="00B21872" w:rsidRDefault="00000000">
        <w:pPr>
          <w:pStyle w:val="Footer"/>
          <w:jc w:val="right"/>
          <w:rPr>
            <w:rFonts w:ascii="Times New Roman" w:hAnsi="Times New Roman" w:cs="Times New Roman"/>
          </w:rPr>
        </w:pPr>
        <w:r w:rsidRPr="00B21872">
          <w:rPr>
            <w:rFonts w:ascii="Times New Roman" w:hAnsi="Times New Roman" w:cs="Times New Roman"/>
          </w:rPr>
          <w:fldChar w:fldCharType="begin"/>
        </w:r>
        <w:r w:rsidRPr="00B21872">
          <w:rPr>
            <w:rFonts w:ascii="Times New Roman" w:hAnsi="Times New Roman" w:cs="Times New Roman"/>
          </w:rPr>
          <w:instrText xml:space="preserve"> PAGE   \* MERGEFORMAT </w:instrText>
        </w:r>
        <w:r w:rsidRPr="00B21872">
          <w:rPr>
            <w:rFonts w:ascii="Times New Roman" w:hAnsi="Times New Roman" w:cs="Times New Roman"/>
          </w:rPr>
          <w:fldChar w:fldCharType="separate"/>
        </w:r>
        <w:r w:rsidRPr="00B21872">
          <w:rPr>
            <w:rFonts w:ascii="Times New Roman" w:hAnsi="Times New Roman" w:cs="Times New Roman"/>
          </w:rPr>
          <w:t>2</w:t>
        </w:r>
        <w:r w:rsidRPr="00B21872">
          <w:rPr>
            <w:rFonts w:ascii="Times New Roman" w:hAnsi="Times New Roman" w:cs="Times New Roman"/>
          </w:rPr>
          <w:fldChar w:fldCharType="end"/>
        </w:r>
      </w:p>
    </w:sdtContent>
  </w:sdt>
  <w:p w14:paraId="7DD67AD2" w14:textId="77777777" w:rsidR="00000000" w:rsidRDefault="00000000">
    <w:pPr>
      <w:pStyle w:val="Footer"/>
    </w:pPr>
  </w:p>
  <w:p w14:paraId="2832B357"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9E874" w14:textId="77777777" w:rsidR="00147841" w:rsidRDefault="00147841">
      <w:pPr>
        <w:spacing w:after="0" w:line="240" w:lineRule="auto"/>
      </w:pPr>
      <w:r>
        <w:separator/>
      </w:r>
    </w:p>
  </w:footnote>
  <w:footnote w:type="continuationSeparator" w:id="0">
    <w:p w14:paraId="31D61560" w14:textId="77777777" w:rsidR="00147841" w:rsidRDefault="001478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B7B1" w14:textId="77777777" w:rsidR="00000000" w:rsidRDefault="00000000">
    <w:pPr>
      <w:pStyle w:val="Header"/>
    </w:pPr>
    <w:r>
      <w:rPr>
        <w:noProof/>
      </w:rPr>
      <mc:AlternateContent>
        <mc:Choice Requires="wps">
          <w:drawing>
            <wp:anchor distT="0" distB="0" distL="114300" distR="114300" simplePos="0" relativeHeight="251657216" behindDoc="1" locked="0" layoutInCell="0" allowOverlap="1" wp14:anchorId="5D2E6CA1" wp14:editId="590A36C7">
              <wp:simplePos x="0" y="0"/>
              <wp:positionH relativeFrom="margin">
                <wp:align>center</wp:align>
              </wp:positionH>
              <wp:positionV relativeFrom="margin">
                <wp:align>center</wp:align>
              </wp:positionV>
              <wp:extent cx="5050790" cy="3030220"/>
              <wp:effectExtent l="0" t="1104900" r="0" b="636905"/>
              <wp:wrapNone/>
              <wp:docPr id="818374370"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61DEC75" w14:textId="77777777" w:rsidR="00000000" w:rsidRDefault="00000000"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D2E6CA1" id="_x0000_t202" coordsize="21600,21600" o:spt="202" path="m,l,21600r21600,l21600,xe">
              <v:stroke joinstyle="miter"/>
              <v:path gradientshapeok="t" o:connecttype="rect"/>
            </v:shapetype>
            <v:shape id="WordArt 7" o:spid="_x0000_s1026" type="#_x0000_t202" style="position:absolute;margin-left:0;margin-top:0;width:397.7pt;height:238.6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" o:allowincell="f" filled="f" stroked="f">
              <v:stroke joinstyle="round"/>
              <o:lock v:ext="edit" shapetype="t"/>
              <v:textbox style="mso-fit-shape-to-text:t">
                <w:txbxContent>
                  <w:p w14:paraId="061DEC75" w14:textId="77777777" w:rsidR="00AD2818" w:rsidRDefault="00AD2818"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C295A" w14:textId="77777777" w:rsidR="00000000" w:rsidRDefault="00000000">
    <w:pPr>
      <w:pStyle w:val="Header"/>
    </w:pPr>
    <w:r>
      <w:rPr>
        <w:noProof/>
      </w:rPr>
      <mc:AlternateContent>
        <mc:Choice Requires="wps">
          <w:drawing>
            <wp:anchor distT="0" distB="0" distL="114300" distR="114300" simplePos="0" relativeHeight="251658240" behindDoc="1" locked="0" layoutInCell="0" allowOverlap="1" wp14:anchorId="77E44569" wp14:editId="0B47B42D">
              <wp:simplePos x="0" y="0"/>
              <wp:positionH relativeFrom="margin">
                <wp:align>center</wp:align>
              </wp:positionH>
              <wp:positionV relativeFrom="margin">
                <wp:align>center</wp:align>
              </wp:positionV>
              <wp:extent cx="5050790" cy="3030220"/>
              <wp:effectExtent l="0" t="1104900" r="0" b="636905"/>
              <wp:wrapNone/>
              <wp:docPr id="127049202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39B7E0" w14:textId="77777777" w:rsidR="00000000" w:rsidRDefault="00000000"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7E44569" id="_x0000_t202" coordsize="21600,21600" o:spt="202" path="m,l,21600r21600,l21600,xe">
              <v:stroke joinstyle="miter"/>
              <v:path gradientshapeok="t" o:connecttype="rect"/>
            </v:shapetype>
            <v:shape id="WordArt 9" o:spid="_x0000_s1027" type="#_x0000_t202" style="position:absolute;margin-left:0;margin-top:0;width:397.7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" o:allowincell="f" filled="f" stroked="f">
              <v:stroke joinstyle="round"/>
              <o:lock v:ext="edit" shapetype="t"/>
              <v:textbox style="mso-fit-shape-to-text:t">
                <w:txbxContent>
                  <w:p w14:paraId="6C39B7E0" w14:textId="77777777" w:rsidR="00AD2818" w:rsidRDefault="00AD2818"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7334" w14:textId="77777777" w:rsidR="00000000" w:rsidRDefault="00000000">
    <w:pPr>
      <w:pStyle w:val="Header"/>
    </w:pPr>
    <w:r>
      <w:rPr>
        <w:noProof/>
      </w:rPr>
      <mc:AlternateContent>
        <mc:Choice Requires="wps">
          <w:drawing>
            <wp:anchor distT="0" distB="0" distL="114300" distR="114300" simplePos="0" relativeHeight="251656192" behindDoc="1" locked="0" layoutInCell="0" allowOverlap="1" wp14:anchorId="4678FCF3" wp14:editId="2A8CE04D">
              <wp:simplePos x="0" y="0"/>
              <wp:positionH relativeFrom="margin">
                <wp:align>center</wp:align>
              </wp:positionH>
              <wp:positionV relativeFrom="margin">
                <wp:align>center</wp:align>
              </wp:positionV>
              <wp:extent cx="5050790" cy="3030220"/>
              <wp:effectExtent l="0" t="1104900" r="0" b="636905"/>
              <wp:wrapNone/>
              <wp:docPr id="810062769"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D7CC88" w14:textId="77777777" w:rsidR="00000000" w:rsidRDefault="00000000"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678FCF3" id="_x0000_t202" coordsize="21600,21600" o:spt="202" path="m,l,21600r21600,l21600,xe">
              <v:stroke joinstyle="miter"/>
              <v:path gradientshapeok="t" o:connecttype="rect"/>
            </v:shapetype>
            <v:shape id="WordArt 12" o:spid="_x0000_s1028" type="#_x0000_t202" style="position:absolute;margin-left:0;margin-top:0;width:397.7pt;height:238.6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" o:allowincell="f" filled="f" stroked="f">
              <v:stroke joinstyle="round"/>
              <o:lock v:ext="edit" shapetype="t"/>
              <v:textbox style="mso-fit-shape-to-text:t">
                <w:txbxContent>
                  <w:p w14:paraId="58D7CC88" w14:textId="77777777" w:rsidR="00AD2818" w:rsidRDefault="00AD2818"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p w14:paraId="751574F1" w14:textId="77777777" w:rsidR="00000000" w:rsidRDefault="000000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1254" w14:textId="77777777" w:rsidR="00000000" w:rsidRDefault="0000000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E7F54" w14:textId="77777777" w:rsidR="00000000" w:rsidRDefault="00000000">
    <w:pPr>
      <w:pStyle w:val="Header"/>
    </w:pPr>
    <w:r>
      <w:rPr>
        <w:noProof/>
      </w:rPr>
      <mc:AlternateContent>
        <mc:Choice Requires="wps">
          <w:drawing>
            <wp:anchor distT="0" distB="0" distL="114300" distR="114300" simplePos="0" relativeHeight="251659264" behindDoc="1" locked="0" layoutInCell="0" allowOverlap="1" wp14:anchorId="7985C4A2" wp14:editId="1BD572D0">
              <wp:simplePos x="0" y="0"/>
              <wp:positionH relativeFrom="margin">
                <wp:align>center</wp:align>
              </wp:positionH>
              <wp:positionV relativeFrom="margin">
                <wp:align>center</wp:align>
              </wp:positionV>
              <wp:extent cx="5050790" cy="3030220"/>
              <wp:effectExtent l="0" t="1104900" r="0" b="636905"/>
              <wp:wrapNone/>
              <wp:docPr id="1365658928"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D79EC1A" w14:textId="77777777" w:rsidR="00000000" w:rsidRDefault="00000000"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985C4A2" id="_x0000_t202" coordsize="21600,21600" o:spt="202" path="m,l,21600r21600,l21600,xe">
              <v:stroke joinstyle="miter"/>
              <v:path gradientshapeok="t" o:connecttype="rect"/>
            </v:shapetype>
            <v:shape id="WordArt 10" o:spid="_x0000_s1029" type="#_x0000_t202" style="position:absolute;margin-left:0;margin-top:0;width:397.7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" o:allowincell="f" filled="f" stroked="f">
              <v:stroke joinstyle="round"/>
              <o:lock v:ext="edit" shapetype="t"/>
              <v:textbox style="mso-fit-shape-to-text:t">
                <w:txbxContent>
                  <w:p w14:paraId="2D79EC1A" w14:textId="77777777" w:rsidR="00AD2818" w:rsidRDefault="00AD2818" w:rsidP="002360BF">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A1F09"/>
    <w:multiLevelType w:val="hybridMultilevel"/>
    <w:tmpl w:val="C99864A2"/>
    <w:lvl w:ilvl="0" w:tplc="FFFFFFFF">
      <w:start w:val="1"/>
      <w:numFmt w:val="decimal"/>
      <w:lvlText w:val="%1."/>
      <w:lvlJc w:val="left"/>
      <w:pPr>
        <w:ind w:left="720" w:hanging="720"/>
      </w:pPr>
      <w:rPr>
        <w:rFonts w:ascii="Times New Roman" w:hAnsi="Times New Roman" w:cs="Times New Roman" w:hint="default"/>
        <w:b w:val="0"/>
        <w:bCs w:val="0"/>
        <w:i w:val="0"/>
        <w:iCs w:val="0"/>
        <w:sz w:val="22"/>
        <w:szCs w:val="22"/>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2AD85BE1"/>
    <w:multiLevelType w:val="hybridMultilevel"/>
    <w:tmpl w:val="A5D2D620"/>
    <w:lvl w:ilvl="0" w:tplc="14090001">
      <w:start w:val="1"/>
      <w:numFmt w:val="bullet"/>
      <w:lvlText w:val=""/>
      <w:lvlJc w:val="left"/>
      <w:pPr>
        <w:ind w:left="1800" w:hanging="360"/>
      </w:pPr>
      <w:rPr>
        <w:rFonts w:ascii="Symbol" w:hAnsi="Symbol" w:hint="default"/>
      </w:rPr>
    </w:lvl>
    <w:lvl w:ilvl="1" w:tplc="14090003" w:tentative="1">
      <w:start w:val="1"/>
      <w:numFmt w:val="bullet"/>
      <w:lvlText w:val="o"/>
      <w:lvlJc w:val="left"/>
      <w:pPr>
        <w:ind w:left="2520" w:hanging="360"/>
      </w:pPr>
      <w:rPr>
        <w:rFonts w:ascii="Courier New" w:hAnsi="Courier New" w:cs="Courier New" w:hint="default"/>
      </w:rPr>
    </w:lvl>
    <w:lvl w:ilvl="2" w:tplc="14090005" w:tentative="1">
      <w:start w:val="1"/>
      <w:numFmt w:val="bullet"/>
      <w:lvlText w:val=""/>
      <w:lvlJc w:val="left"/>
      <w:pPr>
        <w:ind w:left="3240" w:hanging="360"/>
      </w:pPr>
      <w:rPr>
        <w:rFonts w:ascii="Wingdings" w:hAnsi="Wingdings" w:hint="default"/>
      </w:rPr>
    </w:lvl>
    <w:lvl w:ilvl="3" w:tplc="14090001" w:tentative="1">
      <w:start w:val="1"/>
      <w:numFmt w:val="bullet"/>
      <w:lvlText w:val=""/>
      <w:lvlJc w:val="left"/>
      <w:pPr>
        <w:ind w:left="3960" w:hanging="360"/>
      </w:pPr>
      <w:rPr>
        <w:rFonts w:ascii="Symbol" w:hAnsi="Symbol" w:hint="default"/>
      </w:rPr>
    </w:lvl>
    <w:lvl w:ilvl="4" w:tplc="14090003" w:tentative="1">
      <w:start w:val="1"/>
      <w:numFmt w:val="bullet"/>
      <w:lvlText w:val="o"/>
      <w:lvlJc w:val="left"/>
      <w:pPr>
        <w:ind w:left="4680" w:hanging="360"/>
      </w:pPr>
      <w:rPr>
        <w:rFonts w:ascii="Courier New" w:hAnsi="Courier New" w:cs="Courier New" w:hint="default"/>
      </w:rPr>
    </w:lvl>
    <w:lvl w:ilvl="5" w:tplc="14090005" w:tentative="1">
      <w:start w:val="1"/>
      <w:numFmt w:val="bullet"/>
      <w:lvlText w:val=""/>
      <w:lvlJc w:val="left"/>
      <w:pPr>
        <w:ind w:left="5400" w:hanging="360"/>
      </w:pPr>
      <w:rPr>
        <w:rFonts w:ascii="Wingdings" w:hAnsi="Wingdings" w:hint="default"/>
      </w:rPr>
    </w:lvl>
    <w:lvl w:ilvl="6" w:tplc="14090001" w:tentative="1">
      <w:start w:val="1"/>
      <w:numFmt w:val="bullet"/>
      <w:lvlText w:val=""/>
      <w:lvlJc w:val="left"/>
      <w:pPr>
        <w:ind w:left="6120" w:hanging="360"/>
      </w:pPr>
      <w:rPr>
        <w:rFonts w:ascii="Symbol" w:hAnsi="Symbol" w:hint="default"/>
      </w:rPr>
    </w:lvl>
    <w:lvl w:ilvl="7" w:tplc="14090003" w:tentative="1">
      <w:start w:val="1"/>
      <w:numFmt w:val="bullet"/>
      <w:lvlText w:val="o"/>
      <w:lvlJc w:val="left"/>
      <w:pPr>
        <w:ind w:left="6840" w:hanging="360"/>
      </w:pPr>
      <w:rPr>
        <w:rFonts w:ascii="Courier New" w:hAnsi="Courier New" w:cs="Courier New" w:hint="default"/>
      </w:rPr>
    </w:lvl>
    <w:lvl w:ilvl="8" w:tplc="14090005" w:tentative="1">
      <w:start w:val="1"/>
      <w:numFmt w:val="bullet"/>
      <w:lvlText w:val=""/>
      <w:lvlJc w:val="left"/>
      <w:pPr>
        <w:ind w:left="7560" w:hanging="360"/>
      </w:pPr>
      <w:rPr>
        <w:rFonts w:ascii="Wingdings" w:hAnsi="Wingdings" w:hint="default"/>
      </w:rPr>
    </w:lvl>
  </w:abstractNum>
  <w:abstractNum w:abstractNumId="2" w15:restartNumberingAfterBreak="0">
    <w:nsid w:val="3D151556"/>
    <w:multiLevelType w:val="hybridMultilevel"/>
    <w:tmpl w:val="1AA800E0"/>
    <w:lvl w:ilvl="0" w:tplc="CFD48A56">
      <w:start w:val="1"/>
      <w:numFmt w:val="decimal"/>
      <w:pStyle w:val="ICESCR-numberedpara"/>
      <w:lvlText w:val="%1."/>
      <w:lvlJc w:val="left"/>
      <w:pPr>
        <w:ind w:left="1080" w:hanging="360"/>
      </w:pPr>
      <w:rPr>
        <w:b w:val="0"/>
        <w:bCs w:val="0"/>
        <w:i w:val="0"/>
        <w:iCs/>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num w:numId="1" w16cid:durableId="105779579">
    <w:abstractNumId w:val="2"/>
  </w:num>
  <w:num w:numId="2" w16cid:durableId="1775592719">
    <w:abstractNumId w:val="1"/>
  </w:num>
  <w:num w:numId="3" w16cid:durableId="1195343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EAB"/>
    <w:rsid w:val="00132206"/>
    <w:rsid w:val="00147841"/>
    <w:rsid w:val="003E4EAB"/>
    <w:rsid w:val="0060607F"/>
    <w:rsid w:val="00900CFF"/>
    <w:rsid w:val="00931508"/>
    <w:rsid w:val="00A74E16"/>
    <w:rsid w:val="00AE27FA"/>
    <w:rsid w:val="00EB0531"/>
    <w:rsid w:val="00F12AAB"/>
    <w:rsid w:val="00FB1BA5"/>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D863A"/>
  <w15:chartTrackingRefBased/>
  <w15:docId w15:val="{8CD4E32E-C5E3-4F17-B537-D41FC00CF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EAB"/>
    <w:pPr>
      <w:spacing w:line="259" w:lineRule="auto"/>
    </w:pPr>
    <w:rPr>
      <w:rFonts w:eastAsiaTheme="minorHAnsi"/>
      <w:sz w:val="22"/>
      <w:szCs w:val="22"/>
      <w:lang w:val="en-NZ" w:eastAsia="en-US"/>
    </w:rPr>
  </w:style>
  <w:style w:type="paragraph" w:styleId="Heading1">
    <w:name w:val="heading 1"/>
    <w:basedOn w:val="Normal"/>
    <w:next w:val="Normal"/>
    <w:link w:val="Heading1Char"/>
    <w:uiPriority w:val="9"/>
    <w:qFormat/>
    <w:rsid w:val="003E4E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4E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4E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4E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4E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4E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E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E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E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E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4E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4E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4E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4E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4E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E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E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EAB"/>
    <w:rPr>
      <w:rFonts w:eastAsiaTheme="majorEastAsia" w:cstheme="majorBidi"/>
      <w:color w:val="272727" w:themeColor="text1" w:themeTint="D8"/>
    </w:rPr>
  </w:style>
  <w:style w:type="paragraph" w:styleId="Title">
    <w:name w:val="Title"/>
    <w:basedOn w:val="Normal"/>
    <w:next w:val="Normal"/>
    <w:link w:val="TitleChar"/>
    <w:uiPriority w:val="10"/>
    <w:qFormat/>
    <w:rsid w:val="003E4E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4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E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4E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EAB"/>
    <w:pPr>
      <w:spacing w:before="160"/>
      <w:jc w:val="center"/>
    </w:pPr>
    <w:rPr>
      <w:i/>
      <w:iCs/>
      <w:color w:val="404040" w:themeColor="text1" w:themeTint="BF"/>
    </w:rPr>
  </w:style>
  <w:style w:type="character" w:customStyle="1" w:styleId="QuoteChar">
    <w:name w:val="Quote Char"/>
    <w:basedOn w:val="DefaultParagraphFont"/>
    <w:link w:val="Quote"/>
    <w:uiPriority w:val="29"/>
    <w:rsid w:val="003E4EAB"/>
    <w:rPr>
      <w:i/>
      <w:iCs/>
      <w:color w:val="404040" w:themeColor="text1" w:themeTint="BF"/>
    </w:rPr>
  </w:style>
  <w:style w:type="paragraph" w:styleId="ListParagraph">
    <w:name w:val="List Paragraph"/>
    <w:aliases w:val="ICESCR bulleted list,Unordered List Paragraph,List Paragraph numbered,List Bullet indent,List Paragraph1,Rec para,Recommendation,List Paragraph11,Dot pt,F5 List Paragraph,No Spacing1,List Paragraph Char Char Char,Indicator Text,Bullet 1,l"/>
    <w:basedOn w:val="Normal"/>
    <w:link w:val="ListParagraphChar"/>
    <w:uiPriority w:val="34"/>
    <w:qFormat/>
    <w:rsid w:val="003E4EAB"/>
    <w:pPr>
      <w:ind w:left="720"/>
      <w:contextualSpacing/>
    </w:pPr>
  </w:style>
  <w:style w:type="character" w:styleId="IntenseEmphasis">
    <w:name w:val="Intense Emphasis"/>
    <w:basedOn w:val="DefaultParagraphFont"/>
    <w:uiPriority w:val="21"/>
    <w:qFormat/>
    <w:rsid w:val="003E4EAB"/>
    <w:rPr>
      <w:i/>
      <w:iCs/>
      <w:color w:val="0F4761" w:themeColor="accent1" w:themeShade="BF"/>
    </w:rPr>
  </w:style>
  <w:style w:type="paragraph" w:styleId="IntenseQuote">
    <w:name w:val="Intense Quote"/>
    <w:basedOn w:val="Normal"/>
    <w:next w:val="Normal"/>
    <w:link w:val="IntenseQuoteChar"/>
    <w:uiPriority w:val="30"/>
    <w:qFormat/>
    <w:rsid w:val="003E4E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4EAB"/>
    <w:rPr>
      <w:i/>
      <w:iCs/>
      <w:color w:val="0F4761" w:themeColor="accent1" w:themeShade="BF"/>
    </w:rPr>
  </w:style>
  <w:style w:type="character" w:styleId="IntenseReference">
    <w:name w:val="Intense Reference"/>
    <w:basedOn w:val="DefaultParagraphFont"/>
    <w:uiPriority w:val="32"/>
    <w:qFormat/>
    <w:rsid w:val="003E4EAB"/>
    <w:rPr>
      <w:b/>
      <w:bCs/>
      <w:smallCaps/>
      <w:color w:val="0F4761" w:themeColor="accent1" w:themeShade="BF"/>
      <w:spacing w:val="5"/>
    </w:rPr>
  </w:style>
  <w:style w:type="paragraph" w:customStyle="1" w:styleId="ICESCR-numberedpara">
    <w:name w:val="ICESCR - numbered para"/>
    <w:basedOn w:val="ListParagraph"/>
    <w:qFormat/>
    <w:rsid w:val="003E4EAB"/>
    <w:pPr>
      <w:numPr>
        <w:numId w:val="1"/>
      </w:numPr>
      <w:spacing w:after="200" w:line="276" w:lineRule="auto"/>
      <w:contextualSpacing w:val="0"/>
      <w:jc w:val="both"/>
    </w:pPr>
    <w:rPr>
      <w:rFonts w:ascii="Times New Roman" w:eastAsia="Calibri" w:hAnsi="Times New Roman" w:cs="Times New Roman"/>
      <w:kern w:val="0"/>
      <w14:ligatures w14:val="none"/>
    </w:rPr>
  </w:style>
  <w:style w:type="character" w:customStyle="1" w:styleId="ListParagraphChar">
    <w:name w:val="List Paragraph Char"/>
    <w:aliases w:val="ICESCR bulleted list Char,Unordered List Paragraph Char,List Paragraph numbered Char,List Bullet indent Char,List Paragraph1 Char,Rec para Char,Recommendation Char,List Paragraph11 Char,Dot pt Char,F5 List Paragraph Char,l Char"/>
    <w:basedOn w:val="DefaultParagraphFont"/>
    <w:link w:val="ListParagraph"/>
    <w:uiPriority w:val="34"/>
    <w:qFormat/>
    <w:rsid w:val="003E4EAB"/>
  </w:style>
  <w:style w:type="paragraph" w:styleId="Header">
    <w:name w:val="header"/>
    <w:basedOn w:val="Normal"/>
    <w:link w:val="HeaderChar"/>
    <w:uiPriority w:val="99"/>
    <w:unhideWhenUsed/>
    <w:rsid w:val="003E4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AB"/>
    <w:rPr>
      <w:rFonts w:eastAsiaTheme="minorHAnsi"/>
      <w:sz w:val="22"/>
      <w:szCs w:val="22"/>
      <w:lang w:val="en-NZ" w:eastAsia="en-US"/>
    </w:rPr>
  </w:style>
  <w:style w:type="paragraph" w:styleId="Footer">
    <w:name w:val="footer"/>
    <w:basedOn w:val="Normal"/>
    <w:link w:val="FooterChar"/>
    <w:uiPriority w:val="99"/>
    <w:unhideWhenUsed/>
    <w:rsid w:val="003E4E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AB"/>
    <w:rPr>
      <w:rFonts w:eastAsiaTheme="minorHAnsi"/>
      <w:sz w:val="22"/>
      <w:szCs w:val="22"/>
      <w:lang w:val="en-NZ" w:eastAsia="en-US"/>
    </w:rPr>
  </w:style>
  <w:style w:type="paragraph" w:customStyle="1" w:styleId="HChG">
    <w:name w:val="_ H _Ch_G"/>
    <w:basedOn w:val="Normal"/>
    <w:next w:val="Normal"/>
    <w:rsid w:val="003E4EAB"/>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en-GB"/>
      <w14:ligatures w14:val="none"/>
    </w:rPr>
  </w:style>
  <w:style w:type="paragraph" w:customStyle="1" w:styleId="H23G">
    <w:name w:val="_ H_2/3_G"/>
    <w:basedOn w:val="Normal"/>
    <w:next w:val="Normal"/>
    <w:rsid w:val="003E4EA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lang w:val="en-GB"/>
      <w14:ligatures w14:val="none"/>
    </w:rPr>
  </w:style>
  <w:style w:type="paragraph" w:customStyle="1" w:styleId="H4G">
    <w:name w:val="_ H_4_G"/>
    <w:basedOn w:val="Normal"/>
    <w:next w:val="Normal"/>
    <w:rsid w:val="003E4EA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2026-08-18T13:10:55+00:00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734D02-CA08-48E7-B529-A759BAF8D717}">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2.xml><?xml version="1.0" encoding="utf-8"?>
<ds:datastoreItem xmlns:ds="http://schemas.openxmlformats.org/officeDocument/2006/customXml" ds:itemID="{7C30B5E2-85AF-4FB4-A12F-04964A1939DC}">
  <ds:schemaRefs>
    <ds:schemaRef ds:uri="http://schemas.microsoft.com/sharepoint/v3/contenttype/forms"/>
  </ds:schemaRefs>
</ds:datastoreItem>
</file>

<file path=customXml/itemProps3.xml><?xml version="1.0" encoding="utf-8"?>
<ds:datastoreItem xmlns:ds="http://schemas.openxmlformats.org/officeDocument/2006/customXml" ds:itemID="{E0C8EF15-EF61-4C46-B006-0F04D3285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1143</Words>
  <Characters>6520</Characters>
  <Application>Microsoft Office Word</Application>
  <DocSecurity>0</DocSecurity>
  <Lines>54</Lines>
  <Paragraphs>15</Paragraphs>
  <ScaleCrop>false</ScaleCrop>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Balmaceda</dc:creator>
  <cp:keywords/>
  <dc:description/>
  <cp:lastModifiedBy>Cherry Balmaceda</cp:lastModifiedBy>
  <cp:revision>2</cp:revision>
  <dcterms:created xsi:type="dcterms:W3CDTF">2026-08-18T13:09:00Z</dcterms:created>
  <dcterms:modified xsi:type="dcterms:W3CDTF">2026-08-18T13:19:00Z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