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CE7" w:rsidRPr="00C43CE7" w:rsidRDefault="00C43CE7" w:rsidP="00C43CE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43CE7">
        <w:rPr>
          <w:rFonts w:ascii="Times New Roman" w:hAnsi="Times New Roman" w:cs="Times New Roman"/>
          <w:b/>
        </w:rPr>
        <w:t>Anexo No. 2</w:t>
      </w:r>
    </w:p>
    <w:p w:rsidR="00C43CE7" w:rsidRPr="00C43CE7" w:rsidRDefault="00C43CE7" w:rsidP="00C43CE7">
      <w:pPr>
        <w:pStyle w:val="Prrafodelista"/>
        <w:ind w:left="567"/>
        <w:rPr>
          <w:b/>
          <w:sz w:val="22"/>
          <w:szCs w:val="22"/>
        </w:rPr>
      </w:pPr>
      <w:r w:rsidRPr="00C43CE7">
        <w:rPr>
          <w:b/>
          <w:sz w:val="22"/>
          <w:szCs w:val="22"/>
        </w:rPr>
        <w:t>Política Pública Nacional de Equidad de Género - Plan de acción 2013-2016.</w:t>
      </w: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continuación, </w:t>
      </w:r>
      <w:r w:rsidRPr="00160031">
        <w:rPr>
          <w:rFonts w:ascii="Times New Roman" w:hAnsi="Times New Roman" w:cs="Times New Roman"/>
        </w:rPr>
        <w:t>se mues</w:t>
      </w:r>
      <w:r>
        <w:rPr>
          <w:rFonts w:ascii="Times New Roman" w:hAnsi="Times New Roman" w:cs="Times New Roman"/>
        </w:rPr>
        <w:t>tran algunos de los resultados de l</w:t>
      </w:r>
      <w:r w:rsidRPr="0021322B">
        <w:rPr>
          <w:rFonts w:ascii="Times New Roman" w:hAnsi="Times New Roman" w:cs="Times New Roman"/>
        </w:rPr>
        <w:t>a Política Pública de Equidad de Género</w:t>
      </w:r>
      <w:r>
        <w:rPr>
          <w:rFonts w:ascii="Times New Roman" w:hAnsi="Times New Roman" w:cs="Times New Roman"/>
        </w:rPr>
        <w:t xml:space="preserve">, por cada uno de sus ejes: </w:t>
      </w:r>
      <w:r w:rsidRPr="0021322B">
        <w:rPr>
          <w:rFonts w:ascii="Times New Roman" w:hAnsi="Times New Roman" w:cs="Times New Roman"/>
        </w:rPr>
        <w:t xml:space="preserve"> </w:t>
      </w: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Eje 1:</w:t>
      </w:r>
      <w:r w:rsidRPr="0021322B">
        <w:rPr>
          <w:rFonts w:ascii="Times New Roman" w:hAnsi="Times New Roman" w:cs="Times New Roman"/>
        </w:rPr>
        <w:t xml:space="preserve"> Transformación Cultural y Construcción de Paz</w:t>
      </w:r>
    </w:p>
    <w:p w:rsidR="00C43CE7" w:rsidRPr="0021322B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C43CE7" w:rsidRPr="0021322B" w:rsidRDefault="00C43CE7" w:rsidP="00C43CE7">
      <w:pPr>
        <w:pStyle w:val="Prrafodelista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 xml:space="preserve">43 entidades del nivel nacional </w:t>
      </w:r>
      <w:r>
        <w:rPr>
          <w:sz w:val="22"/>
          <w:szCs w:val="22"/>
        </w:rPr>
        <w:t xml:space="preserve">y 158 del nivel territorial </w:t>
      </w:r>
      <w:r w:rsidRPr="0021322B">
        <w:rPr>
          <w:sz w:val="22"/>
          <w:szCs w:val="22"/>
        </w:rPr>
        <w:t>con asistencia técnica en incorporac</w:t>
      </w:r>
      <w:r>
        <w:rPr>
          <w:sz w:val="22"/>
          <w:szCs w:val="22"/>
        </w:rPr>
        <w:t xml:space="preserve">ión de la perspectiva de género. </w:t>
      </w:r>
    </w:p>
    <w:p w:rsidR="00C43CE7" w:rsidRPr="0021322B" w:rsidRDefault="00C43CE7" w:rsidP="00C43CE7">
      <w:pPr>
        <w:pStyle w:val="Prrafodelista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5.746 integrantes de la fuerza pública capacitados en equidad de género y e</w:t>
      </w:r>
      <w:r>
        <w:rPr>
          <w:sz w:val="22"/>
          <w:szCs w:val="22"/>
        </w:rPr>
        <w:t>n el</w:t>
      </w:r>
      <w:r w:rsidRPr="0021322B">
        <w:rPr>
          <w:sz w:val="22"/>
          <w:szCs w:val="22"/>
        </w:rPr>
        <w:t xml:space="preserve"> protocolo y la cartilla operativa para la prevención y respuesta a la </w:t>
      </w:r>
      <w:r>
        <w:rPr>
          <w:sz w:val="22"/>
          <w:szCs w:val="22"/>
        </w:rPr>
        <w:t>Violencia Sexual</w:t>
      </w:r>
      <w:r w:rsidRPr="0021322B">
        <w:rPr>
          <w:sz w:val="22"/>
          <w:szCs w:val="22"/>
        </w:rPr>
        <w:t>, particularmente en relación con el conflicto armado.</w:t>
      </w:r>
    </w:p>
    <w:p w:rsidR="00C43CE7" w:rsidRDefault="00C43CE7" w:rsidP="00C43CE7">
      <w:pPr>
        <w:pStyle w:val="Prrafodelista"/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14 proyectos de investigación en construcción de memoria histórica que incorporan elementos de enfoque diferencial de género.</w:t>
      </w:r>
    </w:p>
    <w:p w:rsidR="00C43CE7" w:rsidRPr="0021322B" w:rsidRDefault="00C43CE7" w:rsidP="00C43CE7">
      <w:pPr>
        <w:pStyle w:val="Prrafodelista"/>
        <w:ind w:left="1146"/>
        <w:contextualSpacing/>
        <w:jc w:val="both"/>
        <w:rPr>
          <w:sz w:val="22"/>
          <w:szCs w:val="22"/>
        </w:rPr>
      </w:pP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 xml:space="preserve">Eje 2, Autonomía Económica </w:t>
      </w:r>
    </w:p>
    <w:p w:rsidR="00C43CE7" w:rsidRPr="0021322B" w:rsidRDefault="00C43CE7" w:rsidP="00C43CE7">
      <w:pPr>
        <w:spacing w:after="0" w:line="240" w:lineRule="auto"/>
        <w:rPr>
          <w:rFonts w:ascii="Times New Roman" w:hAnsi="Times New Roman" w:cs="Times New Roman"/>
        </w:rPr>
      </w:pPr>
    </w:p>
    <w:p w:rsidR="00C43CE7" w:rsidRPr="0021322B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37.500 madres comunitarias beneficiarias de programas de formación en atención integral a la primera infancia.</w:t>
      </w:r>
    </w:p>
    <w:p w:rsidR="00C43CE7" w:rsidRPr="0021322B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50 empresas, organizaciones o entidades vinculadas al Sistema de Gestión de Igualdad de Género Equipares.</w:t>
      </w:r>
    </w:p>
    <w:p w:rsidR="00C43CE7" w:rsidRPr="0021322B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21.438 hijos de madres comunitarias con acceso a los Centros de Desarrollo Infantil.</w:t>
      </w:r>
    </w:p>
    <w:p w:rsidR="00C43CE7" w:rsidRPr="0021322B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4 alianzas y espacios de diálogo realizados para el fortalecimiento de las políticas de equidad género para las mujeres en el sector minero energético.</w:t>
      </w:r>
    </w:p>
    <w:p w:rsidR="00C43CE7" w:rsidRPr="0021322B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9.320 subsidios familiares del Programa de Vivienda Gratuita, entregados a madres cabeza de hogar.</w:t>
      </w:r>
    </w:p>
    <w:p w:rsidR="00C43CE7" w:rsidRPr="0021322B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40.100 mujeres beneficiadas del Programa Empresario Digital.</w:t>
      </w:r>
    </w:p>
    <w:p w:rsidR="00C43CE7" w:rsidRPr="0021322B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1.410 empresas de mujeres participantes en ruedas de negocios para emprendedoras y empresarias.</w:t>
      </w:r>
    </w:p>
    <w:p w:rsidR="00C43CE7" w:rsidRDefault="00C43CE7" w:rsidP="00C43CE7">
      <w:pPr>
        <w:pStyle w:val="Prrafodelista"/>
        <w:numPr>
          <w:ilvl w:val="0"/>
          <w:numId w:val="2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160 asociaciones u organizaciones de mujeres beneficiarias del Programa Mujer Rural.</w:t>
      </w:r>
    </w:p>
    <w:p w:rsidR="00C43CE7" w:rsidRPr="0021322B" w:rsidRDefault="00C43CE7" w:rsidP="00C43CE7">
      <w:pPr>
        <w:pStyle w:val="Prrafodelista"/>
        <w:ind w:left="1146"/>
        <w:contextualSpacing/>
        <w:jc w:val="both"/>
        <w:rPr>
          <w:sz w:val="22"/>
          <w:szCs w:val="22"/>
        </w:rPr>
      </w:pP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Eje 3, Espacios de Poder y Toma de Decisiones</w:t>
      </w:r>
    </w:p>
    <w:p w:rsidR="00C43CE7" w:rsidRPr="0021322B" w:rsidRDefault="00C43CE7" w:rsidP="00C43CE7">
      <w:pPr>
        <w:spacing w:after="0" w:line="240" w:lineRule="auto"/>
        <w:rPr>
          <w:rFonts w:ascii="Times New Roman" w:hAnsi="Times New Roman" w:cs="Times New Roman"/>
        </w:rPr>
      </w:pPr>
    </w:p>
    <w:p w:rsidR="00C43CE7" w:rsidRPr="0021322B" w:rsidRDefault="00C43CE7" w:rsidP="00C43CE7">
      <w:pPr>
        <w:pStyle w:val="Prrafodelista"/>
        <w:numPr>
          <w:ilvl w:val="0"/>
          <w:numId w:val="3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3 proyectos desarrollados para fortalecer la participación política de las mujeres en las corporaciones de elección popular.</w:t>
      </w:r>
    </w:p>
    <w:p w:rsidR="00C43CE7" w:rsidRPr="0021322B" w:rsidRDefault="00C43CE7" w:rsidP="00C43CE7">
      <w:pPr>
        <w:pStyle w:val="Prrafodelista"/>
        <w:numPr>
          <w:ilvl w:val="0"/>
          <w:numId w:val="3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3 proyectos desarrollados para fortalecer las redes y organizaciones sociales de mujeres.</w:t>
      </w:r>
    </w:p>
    <w:p w:rsidR="00C43CE7" w:rsidRPr="0021322B" w:rsidRDefault="00C43CE7" w:rsidP="00C43CE7">
      <w:pPr>
        <w:pStyle w:val="Prrafodelista"/>
        <w:numPr>
          <w:ilvl w:val="0"/>
          <w:numId w:val="3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2 proyectos desarrollados para asistir técnicamente a los entes territoriales para el fortalecimiento de los procesos de participación ciudadana.</w:t>
      </w:r>
    </w:p>
    <w:p w:rsidR="00C43CE7" w:rsidRDefault="00C43CE7" w:rsidP="00C43CE7">
      <w:pPr>
        <w:pStyle w:val="Prrafodelista"/>
        <w:numPr>
          <w:ilvl w:val="0"/>
          <w:numId w:val="3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8 talleres y espacios de diálogo realizados, dirigidos a mujeres víctimas y de pueblos indígenas.</w:t>
      </w:r>
    </w:p>
    <w:p w:rsidR="00C43CE7" w:rsidRPr="0021322B" w:rsidRDefault="00C43CE7" w:rsidP="00C43CE7">
      <w:pPr>
        <w:pStyle w:val="Prrafodelista"/>
        <w:ind w:left="1146"/>
        <w:contextualSpacing/>
        <w:jc w:val="both"/>
        <w:rPr>
          <w:sz w:val="22"/>
          <w:szCs w:val="22"/>
        </w:rPr>
      </w:pP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Eje 4, Salud y Derechos Sexuales y Reproductivos</w:t>
      </w:r>
    </w:p>
    <w:p w:rsidR="00C43CE7" w:rsidRPr="0021322B" w:rsidRDefault="00C43CE7" w:rsidP="00C43CE7">
      <w:pPr>
        <w:spacing w:after="0" w:line="240" w:lineRule="auto"/>
        <w:rPr>
          <w:rFonts w:ascii="Times New Roman" w:hAnsi="Times New Roman" w:cs="Times New Roman"/>
        </w:rPr>
      </w:pPr>
    </w:p>
    <w:p w:rsidR="00C43CE7" w:rsidRPr="0021322B" w:rsidRDefault="00C43CE7" w:rsidP="00C43CE7">
      <w:pPr>
        <w:pStyle w:val="Prrafodelista"/>
        <w:numPr>
          <w:ilvl w:val="0"/>
          <w:numId w:val="4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3 estrategias implementadas para la prevención del embarazo adolescente en zonas de operación del sector minero energético.</w:t>
      </w:r>
    </w:p>
    <w:p w:rsidR="00C43CE7" w:rsidRPr="0021322B" w:rsidRDefault="00C43CE7" w:rsidP="00C43CE7">
      <w:pPr>
        <w:pStyle w:val="Prrafodelista"/>
        <w:numPr>
          <w:ilvl w:val="0"/>
          <w:numId w:val="4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95% de cobertura de vacunación por VPH en niñas de 9 a 15 años de edad.</w:t>
      </w:r>
    </w:p>
    <w:p w:rsidR="00C43CE7" w:rsidRPr="0021322B" w:rsidRDefault="00C43CE7" w:rsidP="00C43CE7">
      <w:pPr>
        <w:pStyle w:val="Prrafodelista"/>
        <w:numPr>
          <w:ilvl w:val="0"/>
          <w:numId w:val="4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38 informes de evento a periodo epidemiológico III, VI, IX, XII y final de la vigilancia de los eventos de maternidad segura —mortalidad materna, morbilidad materna extrema y mortalidad perinatal y neonatal tardía— realizados.</w:t>
      </w:r>
    </w:p>
    <w:p w:rsidR="00C43CE7" w:rsidRDefault="00C43CE7" w:rsidP="00C43CE7">
      <w:pPr>
        <w:pStyle w:val="Prrafodelista"/>
        <w:numPr>
          <w:ilvl w:val="0"/>
          <w:numId w:val="4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lastRenderedPageBreak/>
        <w:t>13 informes de evento a periodo epidemiológico III, VI, IX, XII y final de la vigilancia de las infecciones de transmisión sexual realizados.</w:t>
      </w:r>
    </w:p>
    <w:p w:rsidR="00C43CE7" w:rsidRPr="0021322B" w:rsidRDefault="00C43CE7" w:rsidP="00C43CE7">
      <w:pPr>
        <w:pStyle w:val="Prrafodelista"/>
        <w:ind w:left="1146"/>
        <w:contextualSpacing/>
        <w:jc w:val="both"/>
        <w:rPr>
          <w:sz w:val="22"/>
          <w:szCs w:val="22"/>
        </w:rPr>
      </w:pP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Eje 5, Enfoque de Género en la Educación</w:t>
      </w:r>
    </w:p>
    <w:p w:rsidR="00C43CE7" w:rsidRPr="0021322B" w:rsidRDefault="00C43CE7" w:rsidP="00C43CE7">
      <w:pPr>
        <w:spacing w:after="0" w:line="240" w:lineRule="auto"/>
        <w:rPr>
          <w:rFonts w:ascii="Times New Roman" w:hAnsi="Times New Roman" w:cs="Times New Roman"/>
        </w:rPr>
      </w:pPr>
    </w:p>
    <w:p w:rsidR="00C43CE7" w:rsidRPr="0021322B" w:rsidRDefault="00C43CE7" w:rsidP="00C43CE7">
      <w:pPr>
        <w:pStyle w:val="Prrafodelista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416.787 mujeres vinculadas a procesos de alfabetización digital.</w:t>
      </w:r>
    </w:p>
    <w:p w:rsidR="00C43CE7" w:rsidRDefault="00C43CE7" w:rsidP="00C43CE7">
      <w:pPr>
        <w:pStyle w:val="Prrafodelista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94 secretarías de educación con la política de educación inclusiva, socializada.</w:t>
      </w:r>
    </w:p>
    <w:p w:rsidR="00C43CE7" w:rsidRPr="0021322B" w:rsidRDefault="00C43CE7" w:rsidP="00C43CE7">
      <w:pPr>
        <w:pStyle w:val="Prrafodelista"/>
        <w:ind w:left="1146"/>
        <w:contextualSpacing/>
        <w:jc w:val="both"/>
        <w:rPr>
          <w:sz w:val="22"/>
          <w:szCs w:val="22"/>
        </w:rPr>
      </w:pPr>
    </w:p>
    <w:p w:rsidR="00C43CE7" w:rsidRDefault="00C43CE7" w:rsidP="00C43CE7">
      <w:pPr>
        <w:spacing w:after="0" w:line="240" w:lineRule="auto"/>
        <w:rPr>
          <w:rFonts w:ascii="Times New Roman" w:hAnsi="Times New Roman" w:cs="Times New Roman"/>
        </w:rPr>
      </w:pPr>
      <w:r w:rsidRPr="0021322B">
        <w:rPr>
          <w:rFonts w:ascii="Times New Roman" w:hAnsi="Times New Roman" w:cs="Times New Roman"/>
        </w:rPr>
        <w:t>Eje 6, Garantías para una Vida Libre de Violencias</w:t>
      </w:r>
    </w:p>
    <w:p w:rsidR="00C43CE7" w:rsidRPr="0021322B" w:rsidRDefault="00C43CE7" w:rsidP="00C43CE7">
      <w:pPr>
        <w:spacing w:after="0" w:line="240" w:lineRule="auto"/>
        <w:rPr>
          <w:rFonts w:ascii="Times New Roman" w:hAnsi="Times New Roman" w:cs="Times New Roman"/>
        </w:rPr>
      </w:pPr>
    </w:p>
    <w:p w:rsidR="00C43CE7" w:rsidRPr="0021322B" w:rsidRDefault="00C43CE7" w:rsidP="00C43CE7">
      <w:pPr>
        <w:pStyle w:val="Prrafodelista"/>
        <w:numPr>
          <w:ilvl w:val="0"/>
          <w:numId w:val="6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24 asesorías y asistencias técnicas brindadas para la incorporación del enfoque de género en los Planes de Seguridad y Convivencia Ciudadana.</w:t>
      </w:r>
    </w:p>
    <w:p w:rsidR="00C43CE7" w:rsidRPr="0021322B" w:rsidRDefault="00C43CE7" w:rsidP="00C43CE7">
      <w:pPr>
        <w:pStyle w:val="Prrafodelista"/>
        <w:numPr>
          <w:ilvl w:val="0"/>
          <w:numId w:val="6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36 direcciones territoriales del Ministerio del Trabajo con procesos de sensibilización y/o formación en temas de equidad laboral con enfoque de género y prevención del acoso laboral.</w:t>
      </w:r>
    </w:p>
    <w:p w:rsidR="00C43CE7" w:rsidRPr="0021322B" w:rsidRDefault="00C43CE7" w:rsidP="00C43CE7">
      <w:pPr>
        <w:pStyle w:val="Prrafodelista"/>
        <w:numPr>
          <w:ilvl w:val="0"/>
          <w:numId w:val="6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49 estrategias implementadas de movilización social para la prevención de la violencia de género.</w:t>
      </w:r>
    </w:p>
    <w:p w:rsidR="00C43CE7" w:rsidRPr="0021322B" w:rsidRDefault="00C43CE7" w:rsidP="00C43CE7">
      <w:pPr>
        <w:pStyle w:val="Prrafodelista"/>
        <w:numPr>
          <w:ilvl w:val="0"/>
          <w:numId w:val="6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5.400 cuñas radiales en la red de emisoras de la Policía Nacional sobre sobre los temas de equidad de género y una vida libre de violencia para las mujeres, transmitidas.</w:t>
      </w:r>
    </w:p>
    <w:p w:rsidR="00C43CE7" w:rsidRPr="00752D2B" w:rsidRDefault="00C43CE7" w:rsidP="00C43CE7">
      <w:pPr>
        <w:pStyle w:val="Prrafodelista"/>
        <w:numPr>
          <w:ilvl w:val="0"/>
          <w:numId w:val="6"/>
        </w:numPr>
        <w:rPr>
          <w:sz w:val="22"/>
          <w:szCs w:val="22"/>
        </w:rPr>
      </w:pPr>
      <w:r w:rsidRPr="0021322B">
        <w:rPr>
          <w:sz w:val="22"/>
          <w:szCs w:val="22"/>
        </w:rPr>
        <w:t xml:space="preserve">1.366 funcionarios y funcionarias capacitadas dentro de la estrategia de formación en </w:t>
      </w:r>
      <w:r>
        <w:rPr>
          <w:sz w:val="22"/>
          <w:szCs w:val="22"/>
        </w:rPr>
        <w:t xml:space="preserve">Salud Sexual y Reproductiva (SSR) </w:t>
      </w:r>
      <w:r w:rsidRPr="00752D2B">
        <w:rPr>
          <w:sz w:val="22"/>
          <w:szCs w:val="22"/>
        </w:rPr>
        <w:t>y Derechos Sex</w:t>
      </w:r>
      <w:r>
        <w:rPr>
          <w:sz w:val="22"/>
          <w:szCs w:val="22"/>
        </w:rPr>
        <w:t>uales y Derechos Reproductivos (DSDR)</w:t>
      </w:r>
    </w:p>
    <w:p w:rsidR="00C43CE7" w:rsidRPr="0021322B" w:rsidRDefault="00C43CE7" w:rsidP="00C43CE7">
      <w:pPr>
        <w:pStyle w:val="Prrafodelist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5 lineamientos de atención a víctimas de violencia, con enfoque de género y diferencial aplicables en el marco del Sistema Nacional de Medic</w:t>
      </w:r>
      <w:r>
        <w:rPr>
          <w:sz w:val="22"/>
          <w:szCs w:val="22"/>
        </w:rPr>
        <w:t>ina Legal y Ciencias Forenses (</w:t>
      </w:r>
      <w:r w:rsidRPr="00752D2B">
        <w:rPr>
          <w:sz w:val="22"/>
          <w:szCs w:val="22"/>
        </w:rPr>
        <w:t>INMLCF</w:t>
      </w:r>
      <w:r>
        <w:rPr>
          <w:sz w:val="22"/>
          <w:szCs w:val="22"/>
        </w:rPr>
        <w:t>).</w:t>
      </w:r>
    </w:p>
    <w:p w:rsidR="00C43CE7" w:rsidRPr="0021322B" w:rsidRDefault="00C43CE7" w:rsidP="00C43CE7">
      <w:pPr>
        <w:pStyle w:val="Prrafodelist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 xml:space="preserve">1.026 funcionarios de comisarías de familia, capacitados en los lineamientos técnicos sobre atención a </w:t>
      </w:r>
      <w:r w:rsidRPr="00752D2B">
        <w:rPr>
          <w:sz w:val="22"/>
          <w:szCs w:val="22"/>
        </w:rPr>
        <w:t xml:space="preserve">violencias basadas en género </w:t>
      </w:r>
      <w:r>
        <w:rPr>
          <w:sz w:val="22"/>
          <w:szCs w:val="22"/>
        </w:rPr>
        <w:t>(VBG)</w:t>
      </w:r>
      <w:r w:rsidRPr="0021322B">
        <w:rPr>
          <w:sz w:val="22"/>
          <w:szCs w:val="22"/>
        </w:rPr>
        <w:t>.</w:t>
      </w:r>
    </w:p>
    <w:p w:rsidR="00C43CE7" w:rsidRPr="0021322B" w:rsidRDefault="00C43CE7" w:rsidP="00C43CE7">
      <w:pPr>
        <w:pStyle w:val="Prrafodelist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332.570 llamadas orientadas por la Línea de Orientación a Mujeres Víctimas de Violencia.</w:t>
      </w:r>
    </w:p>
    <w:p w:rsidR="00C43CE7" w:rsidRPr="00942CFC" w:rsidRDefault="00C43CE7" w:rsidP="00C43CE7">
      <w:pPr>
        <w:pStyle w:val="Prrafodelist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942CFC">
        <w:rPr>
          <w:sz w:val="22"/>
          <w:szCs w:val="22"/>
        </w:rPr>
        <w:t>3.728 operadores judiciales y funcionarios, capacitados en derechos de las mujeres y Ley 1257 de 2008.</w:t>
      </w:r>
    </w:p>
    <w:p w:rsidR="00C43CE7" w:rsidRPr="0021322B" w:rsidRDefault="00C43CE7" w:rsidP="00C43CE7">
      <w:pPr>
        <w:pStyle w:val="Prrafodelist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958 funcionarias y funcionarios del servicio forense, formados en atención a violencia basada en género.</w:t>
      </w:r>
    </w:p>
    <w:p w:rsidR="00C43CE7" w:rsidRPr="0021322B" w:rsidRDefault="00C43CE7" w:rsidP="00C43CE7">
      <w:pPr>
        <w:pStyle w:val="Prrafodelist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752D2B">
        <w:rPr>
          <w:sz w:val="22"/>
          <w:szCs w:val="22"/>
        </w:rPr>
        <w:t xml:space="preserve">100 centros de Atención Penal Integral a Víctimas </w:t>
      </w:r>
      <w:r>
        <w:rPr>
          <w:sz w:val="22"/>
          <w:szCs w:val="22"/>
        </w:rPr>
        <w:t>(</w:t>
      </w:r>
      <w:r w:rsidRPr="00752D2B">
        <w:rPr>
          <w:sz w:val="22"/>
          <w:szCs w:val="22"/>
        </w:rPr>
        <w:t>CAPIV</w:t>
      </w:r>
      <w:r>
        <w:rPr>
          <w:sz w:val="22"/>
          <w:szCs w:val="22"/>
        </w:rPr>
        <w:t>)</w:t>
      </w:r>
      <w:r w:rsidRPr="00752D2B">
        <w:rPr>
          <w:sz w:val="22"/>
          <w:szCs w:val="22"/>
        </w:rPr>
        <w:t xml:space="preserve"> en operación</w:t>
      </w:r>
    </w:p>
    <w:p w:rsidR="00C43CE7" w:rsidRPr="0021322B" w:rsidRDefault="00C43CE7" w:rsidP="00C43CE7">
      <w:pPr>
        <w:pStyle w:val="Prrafodelista"/>
        <w:numPr>
          <w:ilvl w:val="0"/>
          <w:numId w:val="7"/>
        </w:numPr>
        <w:contextualSpacing/>
        <w:jc w:val="both"/>
        <w:rPr>
          <w:sz w:val="22"/>
          <w:szCs w:val="22"/>
        </w:rPr>
      </w:pPr>
      <w:r w:rsidRPr="0021322B">
        <w:rPr>
          <w:sz w:val="22"/>
          <w:szCs w:val="22"/>
        </w:rPr>
        <w:t>2.175 funcionarios de Casas de Justicia, capacitados en lineamientos técnicos y rutas de atención en VBG.</w:t>
      </w:r>
    </w:p>
    <w:p w:rsidR="00E70F42" w:rsidRDefault="00C43CE7"/>
    <w:sectPr w:rsidR="00E70F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001"/>
    <w:multiLevelType w:val="hybridMultilevel"/>
    <w:tmpl w:val="549AF366"/>
    <w:lvl w:ilvl="0" w:tplc="A13CE4FE">
      <w:numFmt w:val="bullet"/>
      <w:lvlText w:val="-"/>
      <w:lvlJc w:val="left"/>
      <w:pPr>
        <w:ind w:left="1146" w:hanging="360"/>
      </w:pPr>
      <w:rPr>
        <w:rFonts w:ascii="Calibri" w:eastAsia="Calibri" w:hAnsi="Calibri" w:cs="Arial" w:hint="default"/>
      </w:rPr>
    </w:lvl>
    <w:lvl w:ilvl="1" w:tplc="58A057C4">
      <w:numFmt w:val="bullet"/>
      <w:lvlText w:val="•"/>
      <w:lvlJc w:val="left"/>
      <w:pPr>
        <w:ind w:left="1866" w:hanging="360"/>
      </w:pPr>
      <w:rPr>
        <w:rFonts w:ascii="Calibri" w:eastAsiaTheme="minorHAns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98A1BC2"/>
    <w:multiLevelType w:val="hybridMultilevel"/>
    <w:tmpl w:val="228485CE"/>
    <w:lvl w:ilvl="0" w:tplc="A13CE4FE">
      <w:numFmt w:val="bullet"/>
      <w:lvlText w:val="-"/>
      <w:lvlJc w:val="left"/>
      <w:pPr>
        <w:ind w:left="1146" w:hanging="360"/>
      </w:pPr>
      <w:rPr>
        <w:rFonts w:ascii="Calibri" w:eastAsia="Calibri" w:hAnsi="Calibri" w:cs="Arial" w:hint="default"/>
      </w:rPr>
    </w:lvl>
    <w:lvl w:ilvl="1" w:tplc="58A057C4">
      <w:numFmt w:val="bullet"/>
      <w:lvlText w:val="•"/>
      <w:lvlJc w:val="left"/>
      <w:pPr>
        <w:ind w:left="1866" w:hanging="360"/>
      </w:pPr>
      <w:rPr>
        <w:rFonts w:ascii="Calibri" w:eastAsiaTheme="minorHAns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D0A590B"/>
    <w:multiLevelType w:val="hybridMultilevel"/>
    <w:tmpl w:val="71D0CCEE"/>
    <w:lvl w:ilvl="0" w:tplc="A13CE4FE">
      <w:numFmt w:val="bullet"/>
      <w:lvlText w:val="-"/>
      <w:lvlJc w:val="left"/>
      <w:pPr>
        <w:ind w:left="1146" w:hanging="360"/>
      </w:pPr>
      <w:rPr>
        <w:rFonts w:ascii="Calibri" w:eastAsia="Calibri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4943039"/>
    <w:multiLevelType w:val="hybridMultilevel"/>
    <w:tmpl w:val="5C22E84A"/>
    <w:lvl w:ilvl="0" w:tplc="A13CE4FE">
      <w:numFmt w:val="bullet"/>
      <w:lvlText w:val="-"/>
      <w:lvlJc w:val="left"/>
      <w:pPr>
        <w:ind w:left="1146" w:hanging="360"/>
      </w:pPr>
      <w:rPr>
        <w:rFonts w:ascii="Calibri" w:eastAsia="Calibri" w:hAnsi="Calibri" w:cs="Arial" w:hint="default"/>
      </w:rPr>
    </w:lvl>
    <w:lvl w:ilvl="1" w:tplc="58A057C4">
      <w:numFmt w:val="bullet"/>
      <w:lvlText w:val="•"/>
      <w:lvlJc w:val="left"/>
      <w:pPr>
        <w:ind w:left="1866" w:hanging="360"/>
      </w:pPr>
      <w:rPr>
        <w:rFonts w:ascii="Calibri" w:eastAsiaTheme="minorHAns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0D9401C"/>
    <w:multiLevelType w:val="hybridMultilevel"/>
    <w:tmpl w:val="7568941A"/>
    <w:lvl w:ilvl="0" w:tplc="A13CE4FE">
      <w:numFmt w:val="bullet"/>
      <w:lvlText w:val="-"/>
      <w:lvlJc w:val="left"/>
      <w:pPr>
        <w:ind w:left="1146" w:hanging="360"/>
      </w:pPr>
      <w:rPr>
        <w:rFonts w:ascii="Calibri" w:eastAsia="Calibri" w:hAnsi="Calibri" w:cs="Arial" w:hint="default"/>
      </w:rPr>
    </w:lvl>
    <w:lvl w:ilvl="1" w:tplc="58A057C4">
      <w:numFmt w:val="bullet"/>
      <w:lvlText w:val="•"/>
      <w:lvlJc w:val="left"/>
      <w:pPr>
        <w:ind w:left="1866" w:hanging="360"/>
      </w:pPr>
      <w:rPr>
        <w:rFonts w:ascii="Calibri" w:eastAsiaTheme="minorHAns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12F15AB"/>
    <w:multiLevelType w:val="hybridMultilevel"/>
    <w:tmpl w:val="B2947120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556E4"/>
    <w:multiLevelType w:val="hybridMultilevel"/>
    <w:tmpl w:val="6D3058E2"/>
    <w:lvl w:ilvl="0" w:tplc="A13CE4FE">
      <w:numFmt w:val="bullet"/>
      <w:lvlText w:val="-"/>
      <w:lvlJc w:val="left"/>
      <w:pPr>
        <w:ind w:left="1146" w:hanging="360"/>
      </w:pPr>
      <w:rPr>
        <w:rFonts w:ascii="Calibri" w:eastAsia="Calibri" w:hAnsi="Calibri" w:cs="Arial" w:hint="default"/>
      </w:rPr>
    </w:lvl>
    <w:lvl w:ilvl="1" w:tplc="58A057C4">
      <w:numFmt w:val="bullet"/>
      <w:lvlText w:val="•"/>
      <w:lvlJc w:val="left"/>
      <w:pPr>
        <w:ind w:left="1866" w:hanging="360"/>
      </w:pPr>
      <w:rPr>
        <w:rFonts w:ascii="Calibri" w:eastAsiaTheme="minorHAns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6974228"/>
    <w:multiLevelType w:val="hybridMultilevel"/>
    <w:tmpl w:val="508A33C4"/>
    <w:lvl w:ilvl="0" w:tplc="A13CE4FE">
      <w:numFmt w:val="bullet"/>
      <w:lvlText w:val="-"/>
      <w:lvlJc w:val="left"/>
      <w:pPr>
        <w:ind w:left="1146" w:hanging="360"/>
      </w:pPr>
      <w:rPr>
        <w:rFonts w:ascii="Calibri" w:eastAsia="Calibri" w:hAnsi="Calibri" w:cs="Arial" w:hint="default"/>
      </w:rPr>
    </w:lvl>
    <w:lvl w:ilvl="1" w:tplc="58A057C4">
      <w:numFmt w:val="bullet"/>
      <w:lvlText w:val="•"/>
      <w:lvlJc w:val="left"/>
      <w:pPr>
        <w:ind w:left="1866" w:hanging="360"/>
      </w:pPr>
      <w:rPr>
        <w:rFonts w:ascii="Calibri" w:eastAsiaTheme="minorHAnsi" w:hAnsi="Calibri" w:cs="Calibri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CE7"/>
    <w:rsid w:val="003A05E3"/>
    <w:rsid w:val="009B75E2"/>
    <w:rsid w:val="00AB3096"/>
    <w:rsid w:val="00BC40D5"/>
    <w:rsid w:val="00C4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5EF8F"/>
  <w15:chartTrackingRefBased/>
  <w15:docId w15:val="{80672DB9-988A-427F-A243-57C2D3F9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43CE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titulo 3,Table Heading,Segundo nivel de viñetas,List Paragraph1,Párrafo de lista1,Lista vistosa - Énfasis 11,Segundo nivel de vi–etas,Ha,HOJA,Bolita,Párrafo de lista4,BOLADEF,Párrafo de lista3,Párrafo de lista21,BOLA,Nivel 1 OS"/>
    <w:basedOn w:val="Normal"/>
    <w:link w:val="PrrafodelistaCar"/>
    <w:uiPriority w:val="34"/>
    <w:qFormat/>
    <w:rsid w:val="00C43CE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rrafodelistaCar">
    <w:name w:val="Párrafo de lista Car"/>
    <w:aliases w:val="List Car,titulo 3 Car,Table Heading Car,Segundo nivel de viñetas Car,List Paragraph1 Car,Párrafo de lista1 Car,Lista vistosa - Énfasis 11 Car,Segundo nivel de vi–etas Car,Ha Car,HOJA Car,Bolita Car,Párrafo de lista4 Car,BOLADEF Car"/>
    <w:link w:val="Prrafodelista"/>
    <w:uiPriority w:val="34"/>
    <w:rsid w:val="00C43CE7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19D894-0B25-4E3F-8809-2C729F6406F5}"/>
</file>

<file path=customXml/itemProps2.xml><?xml version="1.0" encoding="utf-8"?>
<ds:datastoreItem xmlns:ds="http://schemas.openxmlformats.org/officeDocument/2006/customXml" ds:itemID="{3A71736A-7C6B-494E-92F4-66E0D5280DD1}"/>
</file>

<file path=customXml/itemProps3.xml><?xml version="1.0" encoding="utf-8"?>
<ds:datastoreItem xmlns:ds="http://schemas.openxmlformats.org/officeDocument/2006/customXml" ds:itemID="{6B3166A1-6641-45CA-8774-3A636E2323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692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Alba Vanegas Cubillos</dc:creator>
  <cp:keywords/>
  <dc:description/>
  <cp:lastModifiedBy>Luz Alba Vanegas Cubillos</cp:lastModifiedBy>
  <cp:revision>1</cp:revision>
  <dcterms:created xsi:type="dcterms:W3CDTF">2017-07-05T00:45:00Z</dcterms:created>
  <dcterms:modified xsi:type="dcterms:W3CDTF">2017-07-05T00:47:00Z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