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3AEE5" w14:textId="08F866B6" w:rsidR="00163E50" w:rsidRPr="000C4150" w:rsidRDefault="00163E50" w:rsidP="000C4150">
      <w:pPr>
        <w:spacing w:line="276" w:lineRule="auto"/>
        <w:jc w:val="both"/>
        <w:rPr>
          <w:rFonts w:ascii="Calibri" w:hAnsi="Calibri" w:cs="Arial"/>
          <w:sz w:val="22"/>
          <w:szCs w:val="22"/>
          <w:lang w:val="es-ES"/>
        </w:rPr>
      </w:pPr>
      <w:bookmarkStart w:id="0" w:name="_GoBack"/>
      <w:bookmarkEnd w:id="0"/>
      <w:r w:rsidRPr="000C4150">
        <w:rPr>
          <w:rFonts w:ascii="Calibri" w:hAnsi="Calibri" w:cs="Arial"/>
          <w:noProof/>
          <w:sz w:val="22"/>
          <w:szCs w:val="22"/>
          <w:lang w:eastAsia="en-GB"/>
        </w:rPr>
        <w:drawing>
          <wp:anchor distT="0" distB="0" distL="114300" distR="114300" simplePos="0" relativeHeight="251658240" behindDoc="0" locked="0" layoutInCell="1" allowOverlap="1" wp14:anchorId="7EA872F6" wp14:editId="437ACB01">
            <wp:simplePos x="0" y="0"/>
            <wp:positionH relativeFrom="margin">
              <wp:align>center</wp:align>
            </wp:positionH>
            <wp:positionV relativeFrom="margin">
              <wp:align>top</wp:align>
            </wp:positionV>
            <wp:extent cx="1489075" cy="763270"/>
            <wp:effectExtent l="0" t="0" r="9525"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89075" cy="763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EB931BF" w14:textId="11CD3860" w:rsidR="00163E50" w:rsidRPr="000C4150" w:rsidRDefault="00163E50" w:rsidP="000C4150">
      <w:pPr>
        <w:pStyle w:val="ListParagraph"/>
        <w:spacing w:line="276" w:lineRule="auto"/>
        <w:jc w:val="both"/>
        <w:rPr>
          <w:rFonts w:ascii="Calibri" w:hAnsi="Calibri" w:cs="Arial"/>
          <w:sz w:val="22"/>
          <w:szCs w:val="22"/>
          <w:lang w:val="es-ES"/>
        </w:rPr>
      </w:pPr>
    </w:p>
    <w:p w14:paraId="2037BC05" w14:textId="77777777" w:rsidR="00163E50" w:rsidRPr="000C4150" w:rsidRDefault="00163E50" w:rsidP="000C4150">
      <w:pPr>
        <w:pStyle w:val="ListParagraph"/>
        <w:spacing w:line="276" w:lineRule="auto"/>
        <w:jc w:val="both"/>
        <w:rPr>
          <w:rFonts w:ascii="Calibri" w:hAnsi="Calibri" w:cs="Arial"/>
          <w:sz w:val="22"/>
          <w:szCs w:val="22"/>
          <w:lang w:val="es-ES"/>
        </w:rPr>
      </w:pPr>
    </w:p>
    <w:p w14:paraId="1534C271" w14:textId="77777777" w:rsidR="00163E50" w:rsidRPr="000C4150" w:rsidRDefault="00163E50" w:rsidP="000C4150">
      <w:pPr>
        <w:pStyle w:val="ListParagraph"/>
        <w:spacing w:line="276" w:lineRule="auto"/>
        <w:jc w:val="both"/>
        <w:rPr>
          <w:rFonts w:ascii="Calibri" w:hAnsi="Calibri" w:cs="Arial"/>
          <w:sz w:val="22"/>
          <w:szCs w:val="22"/>
          <w:lang w:val="es-ES"/>
        </w:rPr>
      </w:pPr>
    </w:p>
    <w:p w14:paraId="24142C7D" w14:textId="77777777" w:rsidR="00163E50" w:rsidRPr="000C4150" w:rsidRDefault="00163E50" w:rsidP="000C4150">
      <w:pPr>
        <w:pStyle w:val="ListParagraph"/>
        <w:spacing w:line="276" w:lineRule="auto"/>
        <w:jc w:val="both"/>
        <w:rPr>
          <w:rFonts w:ascii="Calibri" w:hAnsi="Calibri" w:cs="Arial"/>
          <w:sz w:val="22"/>
          <w:szCs w:val="22"/>
          <w:lang w:val="es-ES"/>
        </w:rPr>
      </w:pPr>
    </w:p>
    <w:p w14:paraId="3D740676" w14:textId="4A7FCC82" w:rsidR="003429CF" w:rsidRPr="000C4150" w:rsidRDefault="00582EEF" w:rsidP="000C4150">
      <w:pPr>
        <w:pStyle w:val="ListParagraph"/>
        <w:spacing w:line="276" w:lineRule="auto"/>
        <w:jc w:val="both"/>
        <w:rPr>
          <w:rFonts w:ascii="Calibri" w:hAnsi="Calibri" w:cs="Arial"/>
          <w:b/>
          <w:sz w:val="22"/>
          <w:szCs w:val="22"/>
          <w:lang w:val="es-ES"/>
        </w:rPr>
      </w:pPr>
      <w:r w:rsidRPr="000C4150">
        <w:rPr>
          <w:rFonts w:ascii="Calibri" w:hAnsi="Calibri" w:cs="Arial"/>
          <w:b/>
          <w:sz w:val="22"/>
          <w:szCs w:val="22"/>
          <w:lang w:val="es-ES"/>
        </w:rPr>
        <w:t xml:space="preserve">INFORME SOMBRA </w:t>
      </w:r>
      <w:r w:rsidR="00163E50" w:rsidRPr="000C4150">
        <w:rPr>
          <w:rFonts w:ascii="Calibri" w:hAnsi="Calibri" w:cs="Arial"/>
          <w:b/>
          <w:sz w:val="22"/>
          <w:szCs w:val="22"/>
          <w:lang w:val="es-ES"/>
        </w:rPr>
        <w:t>SOBRE EL EJERCICIO DE LA LIBERTAD DE EXPRESIÓN EN MÉXICO</w:t>
      </w:r>
      <w:r w:rsidR="00A95AE8" w:rsidRPr="000C4150">
        <w:rPr>
          <w:rFonts w:ascii="Calibri" w:hAnsi="Calibri" w:cs="Arial"/>
          <w:b/>
          <w:sz w:val="22"/>
          <w:szCs w:val="22"/>
          <w:lang w:val="es-ES"/>
        </w:rPr>
        <w:t xml:space="preserve"> PARA EL COMITÉ DE DERECHOS HUMANOS DE NACIONES UNIDAS</w:t>
      </w:r>
      <w:r w:rsidR="00163E50" w:rsidRPr="000C4150">
        <w:rPr>
          <w:rFonts w:ascii="Calibri" w:hAnsi="Calibri" w:cs="Arial"/>
          <w:b/>
          <w:sz w:val="22"/>
          <w:szCs w:val="22"/>
          <w:lang w:val="es-ES"/>
        </w:rPr>
        <w:t xml:space="preserve">. </w:t>
      </w:r>
      <w:r w:rsidR="00A95AE8" w:rsidRPr="000C4150">
        <w:rPr>
          <w:rFonts w:ascii="Calibri" w:hAnsi="Calibri" w:cs="Arial"/>
          <w:b/>
          <w:sz w:val="22"/>
          <w:szCs w:val="22"/>
          <w:lang w:val="es-ES"/>
        </w:rPr>
        <w:t>2019</w:t>
      </w:r>
    </w:p>
    <w:p w14:paraId="447E33E7" w14:textId="018D93C1" w:rsidR="00582EEF" w:rsidRDefault="00582EEF" w:rsidP="000C4150">
      <w:pPr>
        <w:spacing w:line="276" w:lineRule="auto"/>
        <w:jc w:val="both"/>
        <w:rPr>
          <w:rFonts w:ascii="Calibri" w:hAnsi="Calibri" w:cs="Arial"/>
          <w:sz w:val="22"/>
          <w:szCs w:val="22"/>
          <w:lang w:val="es-ES"/>
        </w:rPr>
      </w:pPr>
    </w:p>
    <w:p w14:paraId="2F6A05D7" w14:textId="2F10D72E" w:rsidR="00E8751E" w:rsidRDefault="0074078C" w:rsidP="000C4150">
      <w:pPr>
        <w:spacing w:line="276" w:lineRule="auto"/>
        <w:jc w:val="both"/>
        <w:rPr>
          <w:rFonts w:ascii="Calibri" w:hAnsi="Calibri" w:cs="Arial"/>
          <w:b/>
          <w:sz w:val="22"/>
          <w:szCs w:val="22"/>
          <w:lang w:val="es-ES"/>
        </w:rPr>
      </w:pPr>
      <w:r w:rsidRPr="00841AA4">
        <w:rPr>
          <w:rFonts w:ascii="Calibri" w:hAnsi="Calibri" w:cs="Arial"/>
          <w:b/>
          <w:sz w:val="22"/>
          <w:szCs w:val="22"/>
          <w:lang w:val="es-ES"/>
        </w:rPr>
        <w:t>Introducción</w:t>
      </w:r>
    </w:p>
    <w:p w14:paraId="2BF690D5" w14:textId="77777777" w:rsidR="00B83CA4" w:rsidRDefault="00B83CA4" w:rsidP="000C4150">
      <w:pPr>
        <w:spacing w:line="276" w:lineRule="auto"/>
        <w:jc w:val="both"/>
        <w:rPr>
          <w:rFonts w:ascii="Calibri" w:hAnsi="Calibri" w:cs="Arial"/>
          <w:b/>
          <w:sz w:val="22"/>
          <w:szCs w:val="22"/>
          <w:lang w:val="es-ES"/>
        </w:rPr>
      </w:pPr>
    </w:p>
    <w:p w14:paraId="65E63B42" w14:textId="324C443E" w:rsidR="00B83CA4" w:rsidRPr="009332C3" w:rsidRDefault="00B83CA4" w:rsidP="000C4150">
      <w:pPr>
        <w:spacing w:line="276" w:lineRule="auto"/>
        <w:jc w:val="both"/>
        <w:rPr>
          <w:rFonts w:ascii="Calibri" w:hAnsi="Calibri" w:cs="Arial"/>
          <w:sz w:val="22"/>
          <w:szCs w:val="22"/>
          <w:lang w:val="es-ES"/>
        </w:rPr>
      </w:pPr>
      <w:r w:rsidRPr="009332C3">
        <w:rPr>
          <w:rFonts w:ascii="Calibri" w:hAnsi="Calibri" w:cs="Arial"/>
          <w:sz w:val="22"/>
          <w:szCs w:val="22"/>
          <w:lang w:val="es-ES"/>
        </w:rPr>
        <w:t xml:space="preserve">ARTICLE 19, Oficina </w:t>
      </w:r>
      <w:r w:rsidR="008D4662" w:rsidRPr="009332C3">
        <w:rPr>
          <w:rFonts w:ascii="Calibri" w:hAnsi="Calibri" w:cs="Arial"/>
          <w:sz w:val="22"/>
          <w:szCs w:val="22"/>
          <w:lang w:val="es-ES"/>
        </w:rPr>
        <w:t xml:space="preserve">para México y Centroamérica, saluda la oportunidad de brindar información a este Organismo Internacional de protección a los derechos humanos, </w:t>
      </w:r>
      <w:r w:rsidR="00A17FF3" w:rsidRPr="009332C3">
        <w:rPr>
          <w:rFonts w:ascii="Calibri" w:hAnsi="Calibri" w:cs="Arial"/>
          <w:sz w:val="22"/>
          <w:szCs w:val="22"/>
          <w:lang w:val="es-ES"/>
        </w:rPr>
        <w:t xml:space="preserve">en su sesión 127, </w:t>
      </w:r>
      <w:r w:rsidR="008D4662" w:rsidRPr="009332C3">
        <w:rPr>
          <w:rFonts w:ascii="Calibri" w:hAnsi="Calibri" w:cs="Arial"/>
          <w:sz w:val="22"/>
          <w:szCs w:val="22"/>
          <w:lang w:val="es-ES"/>
        </w:rPr>
        <w:t>a partir del trabajo de documentació</w:t>
      </w:r>
      <w:r w:rsidR="00A17FF3" w:rsidRPr="009332C3">
        <w:rPr>
          <w:rFonts w:ascii="Calibri" w:hAnsi="Calibri" w:cs="Arial"/>
          <w:sz w:val="22"/>
          <w:szCs w:val="22"/>
          <w:lang w:val="es-ES"/>
        </w:rPr>
        <w:t xml:space="preserve">n e incidencia. </w:t>
      </w:r>
    </w:p>
    <w:p w14:paraId="0DB4560F" w14:textId="77777777" w:rsidR="009332C3" w:rsidRPr="00841AA4" w:rsidRDefault="009332C3" w:rsidP="000C4150">
      <w:pPr>
        <w:spacing w:line="276" w:lineRule="auto"/>
        <w:jc w:val="both"/>
        <w:rPr>
          <w:rFonts w:ascii="Calibri" w:hAnsi="Calibri" w:cs="Arial"/>
          <w:b/>
          <w:sz w:val="22"/>
          <w:szCs w:val="22"/>
          <w:lang w:val="es-ES"/>
        </w:rPr>
      </w:pPr>
    </w:p>
    <w:p w14:paraId="0E6420A8" w14:textId="06C30C9F" w:rsidR="00864F9A" w:rsidRPr="000C4150" w:rsidRDefault="00B53541" w:rsidP="000C4150">
      <w:pPr>
        <w:spacing w:line="276" w:lineRule="auto"/>
        <w:jc w:val="both"/>
        <w:rPr>
          <w:rFonts w:ascii="Calibri" w:hAnsi="Calibri" w:cs="Arial"/>
          <w:sz w:val="22"/>
          <w:szCs w:val="22"/>
          <w:lang w:val="es-ES"/>
        </w:rPr>
      </w:pPr>
      <w:r w:rsidRPr="000C4150">
        <w:rPr>
          <w:rFonts w:ascii="Calibri" w:hAnsi="Calibri" w:cs="Arial"/>
          <w:sz w:val="22"/>
          <w:szCs w:val="22"/>
          <w:lang w:val="es-ES"/>
        </w:rPr>
        <w:t xml:space="preserve">El presente informe, realizado por el equipo de ARTICLE 19 México y Centroamérica busca comunicar un análisis sobre los distintos factores </w:t>
      </w:r>
      <w:r w:rsidR="00331605">
        <w:rPr>
          <w:rFonts w:ascii="Calibri" w:hAnsi="Calibri" w:cs="Arial"/>
          <w:sz w:val="22"/>
          <w:szCs w:val="22"/>
          <w:lang w:val="es-ES"/>
        </w:rPr>
        <w:t xml:space="preserve">como impunidad y falta de una política integral de protección, </w:t>
      </w:r>
      <w:r w:rsidRPr="000C4150">
        <w:rPr>
          <w:rFonts w:ascii="Calibri" w:hAnsi="Calibri" w:cs="Arial"/>
          <w:sz w:val="22"/>
          <w:szCs w:val="22"/>
          <w:lang w:val="es-ES"/>
        </w:rPr>
        <w:t>que vuelven a México uno de los países más peligrosos del mundo para</w:t>
      </w:r>
      <w:r w:rsidR="00C6160B" w:rsidRPr="000C4150">
        <w:rPr>
          <w:rFonts w:ascii="Calibri" w:hAnsi="Calibri" w:cs="Arial"/>
          <w:sz w:val="22"/>
          <w:szCs w:val="22"/>
          <w:lang w:val="es-ES"/>
        </w:rPr>
        <w:t xml:space="preserve"> </w:t>
      </w:r>
      <w:r w:rsidR="00864F9A" w:rsidRPr="000C4150">
        <w:rPr>
          <w:rFonts w:ascii="Calibri" w:hAnsi="Calibri" w:cs="Arial"/>
          <w:sz w:val="22"/>
          <w:szCs w:val="22"/>
          <w:lang w:val="es-ES"/>
        </w:rPr>
        <w:t xml:space="preserve">ejercer el periodismo, así como las condiciones </w:t>
      </w:r>
      <w:r w:rsidR="008F7AF9">
        <w:rPr>
          <w:rFonts w:ascii="Calibri" w:hAnsi="Calibri" w:cs="Arial"/>
          <w:sz w:val="22"/>
          <w:szCs w:val="22"/>
          <w:lang w:val="es-ES"/>
        </w:rPr>
        <w:t xml:space="preserve">de falta de conectividad </w:t>
      </w:r>
      <w:r w:rsidR="00864F9A" w:rsidRPr="000C4150">
        <w:rPr>
          <w:rFonts w:ascii="Calibri" w:hAnsi="Calibri" w:cs="Arial"/>
          <w:sz w:val="22"/>
          <w:szCs w:val="22"/>
          <w:lang w:val="es-ES"/>
        </w:rPr>
        <w:t xml:space="preserve">en que se ejercen los derechos digitales y las prácticas del Estado mexicano respecto de la garantía, respeto y promoción de derechos digitales, de la libertad de expresión, derecho a la información y derecho a la verdad. </w:t>
      </w:r>
    </w:p>
    <w:p w14:paraId="00F750C3" w14:textId="77777777" w:rsidR="001560FF" w:rsidRPr="000C4150" w:rsidRDefault="001560FF" w:rsidP="000C4150">
      <w:pPr>
        <w:suppressAutoHyphens w:val="0"/>
        <w:spacing w:line="276" w:lineRule="auto"/>
        <w:jc w:val="both"/>
        <w:rPr>
          <w:rFonts w:ascii="Calibri" w:eastAsia="Times New Roman" w:hAnsi="Calibri" w:cs="Arial"/>
          <w:i/>
          <w:sz w:val="22"/>
          <w:szCs w:val="22"/>
          <w:lang w:val="es-ES" w:eastAsia="es-ES_tradnl"/>
        </w:rPr>
      </w:pPr>
    </w:p>
    <w:p w14:paraId="387D196A" w14:textId="3EAD0119" w:rsidR="001560FF" w:rsidRDefault="00612E7C" w:rsidP="000C4150">
      <w:pPr>
        <w:suppressAutoHyphens w:val="0"/>
        <w:spacing w:line="276" w:lineRule="auto"/>
        <w:jc w:val="both"/>
        <w:rPr>
          <w:rFonts w:ascii="Calibri" w:eastAsia="Times New Roman" w:hAnsi="Calibri" w:cs="Arial"/>
          <w:b/>
          <w:sz w:val="22"/>
          <w:szCs w:val="22"/>
          <w:lang w:val="es-ES" w:eastAsia="es-ES_tradnl"/>
        </w:rPr>
      </w:pPr>
      <w:r w:rsidRPr="000C4150">
        <w:rPr>
          <w:rFonts w:ascii="Calibri" w:eastAsia="Times New Roman" w:hAnsi="Calibri" w:cs="Arial"/>
          <w:b/>
          <w:sz w:val="22"/>
          <w:szCs w:val="22"/>
          <w:lang w:val="es-ES" w:eastAsia="es-ES_tradnl"/>
        </w:rPr>
        <w:t>Marco Jurídico contrario a la libertad de expresión</w:t>
      </w:r>
      <w:r w:rsidR="000035DF">
        <w:rPr>
          <w:rFonts w:ascii="Calibri" w:eastAsia="Times New Roman" w:hAnsi="Calibri" w:cs="Arial"/>
          <w:b/>
          <w:sz w:val="22"/>
          <w:szCs w:val="22"/>
          <w:lang w:val="es-ES" w:eastAsia="es-ES_tradnl"/>
        </w:rPr>
        <w:t xml:space="preserve"> y</w:t>
      </w:r>
      <w:r w:rsidR="00D72847">
        <w:rPr>
          <w:rFonts w:ascii="Calibri" w:eastAsia="Times New Roman" w:hAnsi="Calibri" w:cs="Arial"/>
          <w:b/>
          <w:sz w:val="22"/>
          <w:szCs w:val="22"/>
          <w:lang w:val="es-ES" w:eastAsia="es-ES_tradnl"/>
        </w:rPr>
        <w:t xml:space="preserve"> asociación y reunió</w:t>
      </w:r>
      <w:r w:rsidR="007E73F6">
        <w:rPr>
          <w:rFonts w:ascii="Calibri" w:eastAsia="Times New Roman" w:hAnsi="Calibri" w:cs="Arial"/>
          <w:b/>
          <w:sz w:val="22"/>
          <w:szCs w:val="22"/>
          <w:lang w:val="es-ES" w:eastAsia="es-ES_tradnl"/>
        </w:rPr>
        <w:t>n</w:t>
      </w:r>
      <w:r w:rsidRPr="000C4150">
        <w:rPr>
          <w:rFonts w:ascii="Calibri" w:eastAsia="Times New Roman" w:hAnsi="Calibri" w:cs="Arial"/>
          <w:b/>
          <w:sz w:val="22"/>
          <w:szCs w:val="22"/>
          <w:lang w:val="es-ES" w:eastAsia="es-ES_tradnl"/>
        </w:rPr>
        <w:t xml:space="preserve"> </w:t>
      </w:r>
    </w:p>
    <w:p w14:paraId="6FD1AC19" w14:textId="77777777" w:rsidR="00F942FB" w:rsidRDefault="00F942FB" w:rsidP="000C4150">
      <w:pPr>
        <w:suppressAutoHyphens w:val="0"/>
        <w:spacing w:line="276" w:lineRule="auto"/>
        <w:jc w:val="both"/>
        <w:rPr>
          <w:rFonts w:ascii="Calibri" w:eastAsia="Times New Roman" w:hAnsi="Calibri" w:cs="Arial"/>
          <w:b/>
          <w:sz w:val="22"/>
          <w:szCs w:val="22"/>
          <w:lang w:val="es-ES" w:eastAsia="es-ES_tradnl"/>
        </w:rPr>
      </w:pPr>
    </w:p>
    <w:p w14:paraId="24CE82CF" w14:textId="394591FA" w:rsidR="005D5940" w:rsidRPr="000C4150" w:rsidRDefault="00F57C31" w:rsidP="000C4150">
      <w:pPr>
        <w:suppressAutoHyphens w:val="0"/>
        <w:spacing w:line="276" w:lineRule="auto"/>
        <w:jc w:val="both"/>
        <w:rPr>
          <w:rFonts w:ascii="Calibri" w:eastAsia="Times New Roman" w:hAnsi="Calibri" w:cs="Arial"/>
          <w:sz w:val="22"/>
          <w:szCs w:val="22"/>
          <w:lang w:val="es-ES" w:eastAsia="es-ES_tradnl"/>
        </w:rPr>
      </w:pPr>
      <w:r w:rsidRPr="00C23265">
        <w:rPr>
          <w:rFonts w:ascii="Calibri" w:eastAsia="Times New Roman" w:hAnsi="Calibri" w:cs="Arial"/>
          <w:sz w:val="22"/>
          <w:szCs w:val="22"/>
          <w:lang w:val="es-ES" w:eastAsia="es-ES_tradnl"/>
        </w:rPr>
        <w:t>ARTICLE 19</w:t>
      </w:r>
      <w:r>
        <w:rPr>
          <w:rFonts w:ascii="Calibri" w:eastAsia="Times New Roman" w:hAnsi="Calibri" w:cs="Arial"/>
          <w:sz w:val="22"/>
          <w:szCs w:val="22"/>
          <w:lang w:val="es-ES" w:eastAsia="es-ES_tradnl"/>
        </w:rPr>
        <w:t xml:space="preserve"> ve con preocupación que en México siguen vigentes </w:t>
      </w:r>
      <w:r w:rsidR="00612E7C" w:rsidRPr="000C4150">
        <w:rPr>
          <w:rFonts w:ascii="Calibri" w:eastAsia="Times New Roman" w:hAnsi="Calibri" w:cs="Arial"/>
          <w:sz w:val="22"/>
          <w:szCs w:val="22"/>
          <w:lang w:val="es-ES" w:eastAsia="es-ES_tradnl"/>
        </w:rPr>
        <w:t>normas contrar</w:t>
      </w:r>
      <w:r w:rsidR="005D5940" w:rsidRPr="000C4150">
        <w:rPr>
          <w:rFonts w:ascii="Calibri" w:eastAsia="Times New Roman" w:hAnsi="Calibri" w:cs="Arial"/>
          <w:sz w:val="22"/>
          <w:szCs w:val="22"/>
          <w:lang w:val="es-ES" w:eastAsia="es-ES_tradnl"/>
        </w:rPr>
        <w:t>ias a la libertad de expresión</w:t>
      </w:r>
      <w:r w:rsidR="004B6B9F">
        <w:rPr>
          <w:rFonts w:ascii="Calibri" w:eastAsia="Times New Roman" w:hAnsi="Calibri" w:cs="Arial"/>
          <w:sz w:val="22"/>
          <w:szCs w:val="22"/>
          <w:lang w:val="es-ES" w:eastAsia="es-ES_tradnl"/>
        </w:rPr>
        <w:t xml:space="preserve">, </w:t>
      </w:r>
      <w:r w:rsidR="00F942FB">
        <w:rPr>
          <w:rFonts w:ascii="Calibri" w:eastAsia="Times New Roman" w:hAnsi="Calibri" w:cs="Arial"/>
          <w:sz w:val="22"/>
          <w:szCs w:val="22"/>
          <w:lang w:val="es-ES" w:eastAsia="es-ES_tradnl"/>
        </w:rPr>
        <w:t>derecho a la reunión y a la asociación</w:t>
      </w:r>
      <w:r w:rsidR="005D5940" w:rsidRPr="000C4150">
        <w:rPr>
          <w:rFonts w:ascii="Calibri" w:eastAsia="Times New Roman" w:hAnsi="Calibri" w:cs="Arial"/>
          <w:sz w:val="22"/>
          <w:szCs w:val="22"/>
          <w:lang w:val="es-ES" w:eastAsia="es-ES_tradnl"/>
        </w:rPr>
        <w:t xml:space="preserve"> en </w:t>
      </w:r>
      <w:r w:rsidR="00F9422C">
        <w:rPr>
          <w:rFonts w:ascii="Calibri" w:eastAsia="Times New Roman" w:hAnsi="Calibri" w:cs="Arial"/>
          <w:sz w:val="22"/>
          <w:szCs w:val="22"/>
          <w:lang w:val="es-ES" w:eastAsia="es-ES_tradnl"/>
        </w:rPr>
        <w:t>materia penal y administrativa, que siguen siendo utilizadas para hostigar a periodistas y a personas defensoras de derechos humanos críticas</w:t>
      </w:r>
      <w:r w:rsidR="00187131">
        <w:rPr>
          <w:rFonts w:ascii="Calibri" w:eastAsia="Times New Roman" w:hAnsi="Calibri" w:cs="Arial"/>
          <w:sz w:val="22"/>
          <w:szCs w:val="22"/>
          <w:lang w:val="es-ES" w:eastAsia="es-ES_tradnl"/>
        </w:rPr>
        <w:t>.</w:t>
      </w:r>
      <w:r w:rsidR="00F9422C">
        <w:rPr>
          <w:rFonts w:ascii="Calibri" w:eastAsia="Times New Roman" w:hAnsi="Calibri" w:cs="Arial"/>
          <w:sz w:val="22"/>
          <w:szCs w:val="22"/>
          <w:lang w:val="es-ES" w:eastAsia="es-ES_tradnl"/>
        </w:rPr>
        <w:t xml:space="preserve"> </w:t>
      </w:r>
    </w:p>
    <w:p w14:paraId="17A4A197" w14:textId="77777777" w:rsidR="005F4B76" w:rsidRDefault="005F4B76" w:rsidP="000C4150">
      <w:pPr>
        <w:suppressAutoHyphens w:val="0"/>
        <w:spacing w:line="276" w:lineRule="auto"/>
        <w:jc w:val="both"/>
        <w:rPr>
          <w:rFonts w:ascii="Calibri" w:eastAsia="Times New Roman" w:hAnsi="Calibri" w:cs="Arial"/>
          <w:sz w:val="22"/>
          <w:szCs w:val="22"/>
          <w:lang w:val="es-ES" w:eastAsia="es-ES_tradnl"/>
        </w:rPr>
      </w:pPr>
    </w:p>
    <w:p w14:paraId="2A300F3D" w14:textId="77777777" w:rsidR="009A1B71" w:rsidRDefault="005F750F"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Respecto a las normas restrictivas </w:t>
      </w:r>
      <w:r w:rsidR="00BE35CF" w:rsidRPr="000C4150">
        <w:rPr>
          <w:rFonts w:ascii="Calibri" w:eastAsia="Times New Roman" w:hAnsi="Calibri" w:cs="Arial"/>
          <w:sz w:val="22"/>
          <w:szCs w:val="22"/>
          <w:lang w:val="es-ES" w:eastAsia="es-ES_tradnl"/>
        </w:rPr>
        <w:t>vigentes</w:t>
      </w:r>
      <w:r w:rsidRPr="000C4150">
        <w:rPr>
          <w:rFonts w:ascii="Calibri" w:eastAsia="Times New Roman" w:hAnsi="Calibri" w:cs="Arial"/>
          <w:sz w:val="22"/>
          <w:szCs w:val="22"/>
          <w:lang w:val="es-ES" w:eastAsia="es-ES_tradnl"/>
        </w:rPr>
        <w:t xml:space="preserve">, </w:t>
      </w:r>
      <w:r w:rsidR="00667B3F" w:rsidRPr="000C4150">
        <w:rPr>
          <w:rFonts w:ascii="Calibri" w:eastAsia="Times New Roman" w:hAnsi="Calibri" w:cs="Arial"/>
          <w:sz w:val="22"/>
          <w:szCs w:val="22"/>
          <w:lang w:val="es-ES" w:eastAsia="es-ES_tradnl"/>
        </w:rPr>
        <w:t>el li</w:t>
      </w:r>
      <w:r w:rsidR="00D27EE0" w:rsidRPr="000C4150">
        <w:rPr>
          <w:rFonts w:ascii="Calibri" w:eastAsia="Times New Roman" w:hAnsi="Calibri" w:cs="Arial"/>
          <w:sz w:val="22"/>
          <w:szCs w:val="22"/>
          <w:lang w:val="es-ES" w:eastAsia="es-ES_tradnl"/>
        </w:rPr>
        <w:t xml:space="preserve">stado es el siguiente: </w:t>
      </w:r>
    </w:p>
    <w:p w14:paraId="7E45846E" w14:textId="77777777" w:rsidR="009A1B71" w:rsidRDefault="009A1B71" w:rsidP="000C4150">
      <w:pPr>
        <w:suppressAutoHyphens w:val="0"/>
        <w:spacing w:line="276" w:lineRule="auto"/>
        <w:jc w:val="both"/>
        <w:rPr>
          <w:rFonts w:ascii="Calibri" w:eastAsia="Times New Roman" w:hAnsi="Calibri" w:cs="Arial"/>
          <w:sz w:val="22"/>
          <w:szCs w:val="22"/>
          <w:lang w:val="es-ES" w:eastAsia="es-ES_tradnl"/>
        </w:rPr>
      </w:pPr>
    </w:p>
    <w:p w14:paraId="3699A5AF" w14:textId="12FDD07D" w:rsidR="009A1B71" w:rsidRDefault="002979AB" w:rsidP="000C4150">
      <w:pPr>
        <w:suppressAutoHyphens w:val="0"/>
        <w:spacing w:line="276" w:lineRule="auto"/>
        <w:jc w:val="both"/>
        <w:rPr>
          <w:rFonts w:ascii="Calibri" w:eastAsia="Times New Roman" w:hAnsi="Calibri" w:cs="Arial"/>
          <w:sz w:val="22"/>
          <w:szCs w:val="22"/>
          <w:lang w:val="es-ES" w:eastAsia="es-ES_tradnl"/>
        </w:rPr>
      </w:pPr>
      <w:r>
        <w:rPr>
          <w:rFonts w:ascii="Calibri" w:eastAsia="Times New Roman" w:hAnsi="Calibri" w:cs="Arial"/>
          <w:sz w:val="22"/>
          <w:szCs w:val="22"/>
          <w:lang w:val="es-ES" w:eastAsia="es-ES_tradnl"/>
        </w:rPr>
        <w:t>D</w:t>
      </w:r>
      <w:r w:rsidR="00D27EE0" w:rsidRPr="000C4150">
        <w:rPr>
          <w:rFonts w:ascii="Calibri" w:eastAsia="Times New Roman" w:hAnsi="Calibri" w:cs="Arial"/>
          <w:sz w:val="22"/>
          <w:szCs w:val="22"/>
          <w:lang w:val="es-ES" w:eastAsia="es-ES_tradnl"/>
        </w:rPr>
        <w:t>elitos contra el honor</w:t>
      </w:r>
      <w:r w:rsidR="00DB00EF" w:rsidRPr="000C4150">
        <w:rPr>
          <w:rFonts w:ascii="Calibri" w:eastAsia="Times New Roman" w:hAnsi="Calibri" w:cs="Arial"/>
          <w:sz w:val="22"/>
          <w:szCs w:val="22"/>
          <w:lang w:val="es-ES" w:eastAsia="es-ES_tradnl"/>
        </w:rPr>
        <w:t>, en que figuran difamación y c</w:t>
      </w:r>
      <w:r w:rsidR="00D27EE0" w:rsidRPr="000C4150">
        <w:rPr>
          <w:rFonts w:ascii="Calibri" w:eastAsia="Times New Roman" w:hAnsi="Calibri" w:cs="Arial"/>
          <w:sz w:val="22"/>
          <w:szCs w:val="22"/>
          <w:lang w:val="es-ES" w:eastAsia="es-ES_tradnl"/>
        </w:rPr>
        <w:t>a</w:t>
      </w:r>
      <w:r w:rsidR="00DB00EF" w:rsidRPr="000C4150">
        <w:rPr>
          <w:rFonts w:ascii="Calibri" w:eastAsia="Times New Roman" w:hAnsi="Calibri" w:cs="Arial"/>
          <w:sz w:val="22"/>
          <w:szCs w:val="22"/>
          <w:lang w:val="es-ES" w:eastAsia="es-ES_tradnl"/>
        </w:rPr>
        <w:t>l</w:t>
      </w:r>
      <w:r w:rsidR="00D27EE0" w:rsidRPr="000C4150">
        <w:rPr>
          <w:rFonts w:ascii="Calibri" w:eastAsia="Times New Roman" w:hAnsi="Calibri" w:cs="Arial"/>
          <w:sz w:val="22"/>
          <w:szCs w:val="22"/>
          <w:lang w:val="es-ES" w:eastAsia="es-ES_tradnl"/>
        </w:rPr>
        <w:t>umnia</w:t>
      </w:r>
      <w:r w:rsidR="00E56D05">
        <w:rPr>
          <w:rFonts w:ascii="Calibri" w:eastAsia="Times New Roman" w:hAnsi="Calibri" w:cs="Arial"/>
          <w:sz w:val="22"/>
          <w:szCs w:val="22"/>
          <w:lang w:val="es-ES" w:eastAsia="es-ES_tradnl"/>
        </w:rPr>
        <w:t>s, siguen vigentes en Campeche</w:t>
      </w:r>
      <w:r w:rsidR="00D27EE0" w:rsidRPr="000C4150">
        <w:rPr>
          <w:rFonts w:ascii="Calibri" w:eastAsia="Times New Roman" w:hAnsi="Calibri" w:cs="Arial"/>
          <w:sz w:val="22"/>
          <w:szCs w:val="22"/>
          <w:lang w:val="es-ES" w:eastAsia="es-ES_tradnl"/>
        </w:rPr>
        <w:t>, Michoacán,</w:t>
      </w:r>
      <w:r w:rsidR="005919ED" w:rsidRPr="000C4150">
        <w:rPr>
          <w:rStyle w:val="FootnoteReference"/>
          <w:rFonts w:ascii="Calibri" w:eastAsia="Times New Roman" w:hAnsi="Calibri" w:cs="Arial"/>
          <w:sz w:val="22"/>
          <w:szCs w:val="22"/>
          <w:lang w:val="es-ES" w:eastAsia="es-ES_tradnl"/>
        </w:rPr>
        <w:footnoteReference w:id="1"/>
      </w:r>
      <w:r w:rsidR="00D27EE0" w:rsidRPr="000C4150">
        <w:rPr>
          <w:rFonts w:ascii="Calibri" w:eastAsia="Times New Roman" w:hAnsi="Calibri" w:cs="Arial"/>
          <w:sz w:val="22"/>
          <w:szCs w:val="22"/>
          <w:lang w:val="es-ES" w:eastAsia="es-ES_tradnl"/>
        </w:rPr>
        <w:t xml:space="preserve"> Nayarit, </w:t>
      </w:r>
      <w:r w:rsidR="00897FB9" w:rsidRPr="000C4150">
        <w:rPr>
          <w:rFonts w:ascii="Calibri" w:eastAsia="Times New Roman" w:hAnsi="Calibri" w:cs="Arial"/>
          <w:sz w:val="22"/>
          <w:szCs w:val="22"/>
          <w:lang w:val="es-ES" w:eastAsia="es-ES_tradnl"/>
        </w:rPr>
        <w:t>Nuevo León, Sonora, Yucatán y Zacatecas.</w:t>
      </w:r>
    </w:p>
    <w:p w14:paraId="528FF93B" w14:textId="77777777" w:rsidR="002831DB" w:rsidRDefault="002831DB" w:rsidP="000C4150">
      <w:pPr>
        <w:suppressAutoHyphens w:val="0"/>
        <w:spacing w:line="276" w:lineRule="auto"/>
        <w:jc w:val="both"/>
        <w:rPr>
          <w:rFonts w:ascii="Calibri" w:eastAsia="Times New Roman" w:hAnsi="Calibri" w:cs="Arial"/>
          <w:sz w:val="22"/>
          <w:szCs w:val="22"/>
          <w:lang w:val="es-ES" w:eastAsia="es-ES_tradnl"/>
        </w:rPr>
      </w:pPr>
    </w:p>
    <w:p w14:paraId="6622AB26" w14:textId="17F1E98E" w:rsidR="00612E7C" w:rsidRPr="000C4150" w:rsidRDefault="00DB00EF" w:rsidP="000C4150">
      <w:pPr>
        <w:suppressAutoHyphens w:val="0"/>
        <w:spacing w:line="276" w:lineRule="auto"/>
        <w:jc w:val="both"/>
        <w:rPr>
          <w:rFonts w:ascii="Calibri" w:hAnsi="Calibri" w:cs="Arial"/>
          <w:sz w:val="22"/>
          <w:szCs w:val="22"/>
          <w:lang w:val="es-ES"/>
        </w:rPr>
      </w:pPr>
      <w:r w:rsidRPr="000C4150">
        <w:rPr>
          <w:rFonts w:ascii="Calibri" w:eastAsia="Times New Roman" w:hAnsi="Calibri" w:cs="Arial"/>
          <w:sz w:val="22"/>
          <w:szCs w:val="22"/>
          <w:lang w:val="es-ES" w:eastAsia="es-ES_tradnl"/>
        </w:rPr>
        <w:t>El delito de ultrajes</w:t>
      </w:r>
      <w:r w:rsidRPr="000C4150">
        <w:rPr>
          <w:rStyle w:val="FootnoteReference"/>
          <w:rFonts w:ascii="Calibri" w:eastAsia="Times New Roman" w:hAnsi="Calibri" w:cs="Arial"/>
          <w:sz w:val="22"/>
          <w:szCs w:val="22"/>
          <w:lang w:val="es-ES" w:eastAsia="es-ES_tradnl"/>
        </w:rPr>
        <w:footnoteReference w:id="2"/>
      </w:r>
      <w:r w:rsidRPr="000C4150">
        <w:rPr>
          <w:rFonts w:ascii="Calibri" w:eastAsia="Times New Roman" w:hAnsi="Calibri" w:cs="Arial"/>
          <w:sz w:val="22"/>
          <w:szCs w:val="22"/>
          <w:lang w:val="es-ES" w:eastAsia="es-ES_tradnl"/>
        </w:rPr>
        <w:t xml:space="preserve">, sigue vigente en </w:t>
      </w:r>
      <w:r w:rsidRPr="000C4150">
        <w:rPr>
          <w:rFonts w:ascii="Calibri" w:hAnsi="Calibri" w:cs="Arial"/>
          <w:sz w:val="22"/>
          <w:szCs w:val="22"/>
          <w:lang w:val="es-ES"/>
        </w:rPr>
        <w:t>Baja California, Baja California Sur, Campeche, Chiapas, Ciudad de México, Coahuila, Colima, Estado de México, Guerrero, Hidalgo, Jalisco, Morelos, Nayarit, Oaxaca, Puebla, Querétaro, Quintana Roo, San Luis Potosí, Sonora, Tabasco, Tlaxcala, Veracruz, Zacatecas.</w:t>
      </w:r>
    </w:p>
    <w:p w14:paraId="73018314" w14:textId="77777777" w:rsidR="00DB00EF" w:rsidRPr="000C4150" w:rsidRDefault="00DB00EF" w:rsidP="000C4150">
      <w:pPr>
        <w:suppressAutoHyphens w:val="0"/>
        <w:spacing w:line="276" w:lineRule="auto"/>
        <w:jc w:val="both"/>
        <w:rPr>
          <w:rFonts w:ascii="Calibri" w:hAnsi="Calibri" w:cs="Arial"/>
          <w:sz w:val="22"/>
          <w:szCs w:val="22"/>
          <w:lang w:val="es-ES"/>
        </w:rPr>
      </w:pPr>
    </w:p>
    <w:p w14:paraId="0DBD6129" w14:textId="0E106AB1" w:rsidR="006F1DA1" w:rsidRDefault="00DB00EF" w:rsidP="000C4150">
      <w:pPr>
        <w:suppressAutoHyphens w:val="0"/>
        <w:spacing w:line="276" w:lineRule="auto"/>
        <w:jc w:val="both"/>
        <w:rPr>
          <w:rFonts w:ascii="Calibri" w:hAnsi="Calibri" w:cs="Arial"/>
          <w:sz w:val="22"/>
          <w:szCs w:val="22"/>
          <w:lang w:val="es-ES"/>
        </w:rPr>
      </w:pPr>
      <w:r w:rsidRPr="000C4150">
        <w:rPr>
          <w:rFonts w:ascii="Calibri" w:eastAsia="Times New Roman" w:hAnsi="Calibri" w:cs="Arial"/>
          <w:sz w:val="22"/>
          <w:szCs w:val="22"/>
          <w:lang w:val="es-ES" w:eastAsia="es-ES_tradnl"/>
        </w:rPr>
        <w:lastRenderedPageBreak/>
        <w:t>El delito de halconeo</w:t>
      </w:r>
      <w:r w:rsidR="006F1DA1" w:rsidRPr="000C4150">
        <w:rPr>
          <w:rStyle w:val="FootnoteReference"/>
          <w:rFonts w:ascii="Calibri" w:eastAsia="Times New Roman" w:hAnsi="Calibri" w:cs="Arial"/>
          <w:sz w:val="22"/>
          <w:szCs w:val="22"/>
          <w:lang w:val="es-ES" w:eastAsia="es-ES_tradnl"/>
        </w:rPr>
        <w:footnoteReference w:id="3"/>
      </w:r>
      <w:r w:rsidRPr="000C4150">
        <w:rPr>
          <w:rFonts w:ascii="Calibri" w:eastAsia="Times New Roman" w:hAnsi="Calibri" w:cs="Arial"/>
          <w:sz w:val="22"/>
          <w:szCs w:val="22"/>
          <w:lang w:val="es-ES" w:eastAsia="es-ES_tradnl"/>
        </w:rPr>
        <w:t xml:space="preserve"> está vigente en los códigos penales de </w:t>
      </w:r>
      <w:r w:rsidRPr="000C4150">
        <w:rPr>
          <w:rFonts w:ascii="Calibri" w:hAnsi="Calibri" w:cs="Arial"/>
          <w:sz w:val="22"/>
          <w:szCs w:val="22"/>
          <w:lang w:val="es-ES"/>
        </w:rPr>
        <w:t xml:space="preserve">Chihuahua, Coahuila, Colima, Durango, Estado de México , </w:t>
      </w:r>
      <w:r w:rsidR="006F1DA1" w:rsidRPr="000C4150">
        <w:rPr>
          <w:rFonts w:ascii="Calibri" w:hAnsi="Calibri" w:cs="Arial"/>
          <w:sz w:val="22"/>
          <w:szCs w:val="22"/>
          <w:lang w:val="es-ES"/>
        </w:rPr>
        <w:t xml:space="preserve">Guanajuato, </w:t>
      </w:r>
      <w:r w:rsidRPr="000C4150">
        <w:rPr>
          <w:rFonts w:ascii="Calibri" w:hAnsi="Calibri" w:cs="Arial"/>
          <w:sz w:val="22"/>
          <w:szCs w:val="22"/>
          <w:lang w:val="es-ES"/>
        </w:rPr>
        <w:t>Guerrero, Hidalgo, Jalisco, Nayarit, Nuevo León, Oaxaca, Puebla, Quintana Roo, San Luis Potosí, Sinaloa, Sonora, Tabasco, Tamaulip</w:t>
      </w:r>
      <w:r w:rsidR="006F1DA1" w:rsidRPr="000C4150">
        <w:rPr>
          <w:rFonts w:ascii="Calibri" w:hAnsi="Calibri" w:cs="Arial"/>
          <w:sz w:val="22"/>
          <w:szCs w:val="22"/>
          <w:lang w:val="es-ES"/>
        </w:rPr>
        <w:t xml:space="preserve">as, Veracruz, Yucatán, Zacatecas. </w:t>
      </w:r>
    </w:p>
    <w:p w14:paraId="2E33FC31" w14:textId="77777777" w:rsidR="002831DB" w:rsidRPr="000C4150" w:rsidRDefault="002831DB" w:rsidP="000C4150">
      <w:pPr>
        <w:suppressAutoHyphens w:val="0"/>
        <w:spacing w:line="276" w:lineRule="auto"/>
        <w:jc w:val="both"/>
        <w:rPr>
          <w:rFonts w:ascii="Calibri" w:hAnsi="Calibri" w:cs="Arial"/>
          <w:sz w:val="22"/>
          <w:szCs w:val="22"/>
          <w:lang w:val="es-ES"/>
        </w:rPr>
      </w:pPr>
    </w:p>
    <w:p w14:paraId="348A13AF" w14:textId="72E61103" w:rsidR="006F1DA1" w:rsidRPr="000C4150" w:rsidRDefault="006F1DA1" w:rsidP="000C4150">
      <w:pPr>
        <w:suppressAutoHyphens w:val="0"/>
        <w:spacing w:line="276" w:lineRule="auto"/>
        <w:jc w:val="both"/>
        <w:rPr>
          <w:rFonts w:ascii="Calibri" w:hAnsi="Calibri" w:cs="Arial"/>
          <w:sz w:val="22"/>
          <w:szCs w:val="22"/>
          <w:lang w:val="es-ES"/>
        </w:rPr>
      </w:pPr>
      <w:r w:rsidRPr="000C4150">
        <w:rPr>
          <w:rFonts w:ascii="Calibri" w:hAnsi="Calibri" w:cs="Arial"/>
          <w:sz w:val="22"/>
          <w:szCs w:val="22"/>
          <w:lang w:val="es-ES"/>
        </w:rPr>
        <w:t xml:space="preserve">También se encuentran vigentes delitos que restringen la libertad de expresión a partir de la creación y difusión de imágenes con contenido </w:t>
      </w:r>
      <w:r w:rsidR="005F750F" w:rsidRPr="000C4150">
        <w:rPr>
          <w:rFonts w:ascii="Calibri" w:hAnsi="Calibri" w:cs="Arial"/>
          <w:sz w:val="22"/>
          <w:szCs w:val="22"/>
          <w:lang w:val="es-ES"/>
        </w:rPr>
        <w:t>humorístico</w:t>
      </w:r>
      <w:r w:rsidRPr="000C4150">
        <w:rPr>
          <w:rFonts w:ascii="Calibri" w:hAnsi="Calibri" w:cs="Arial"/>
          <w:sz w:val="22"/>
          <w:szCs w:val="22"/>
          <w:lang w:val="es-ES"/>
        </w:rPr>
        <w:t>, llamados coloquialmente “memes”, en las entidades federativas de: Baja California Sur, Campeche, Ciudad de México, Guerrero, Tabasco, Tlaxcala</w:t>
      </w:r>
      <w:r w:rsidR="005F750F" w:rsidRPr="000C4150">
        <w:rPr>
          <w:rFonts w:ascii="Calibri" w:hAnsi="Calibri" w:cs="Arial"/>
          <w:sz w:val="22"/>
          <w:szCs w:val="22"/>
          <w:lang w:val="es-ES"/>
        </w:rPr>
        <w:t>.</w:t>
      </w:r>
      <w:r w:rsidR="00793C49" w:rsidRPr="000C4150">
        <w:rPr>
          <w:rStyle w:val="FootnoteReference"/>
          <w:rFonts w:ascii="Calibri" w:hAnsi="Calibri" w:cs="Arial"/>
          <w:sz w:val="22"/>
          <w:szCs w:val="22"/>
          <w:lang w:val="es-ES"/>
        </w:rPr>
        <w:footnoteReference w:id="4"/>
      </w:r>
    </w:p>
    <w:p w14:paraId="7F2794AD" w14:textId="28FFADB5" w:rsidR="005F750F" w:rsidRDefault="005F750F" w:rsidP="000C4150">
      <w:pPr>
        <w:suppressAutoHyphens w:val="0"/>
        <w:spacing w:line="276" w:lineRule="auto"/>
        <w:jc w:val="both"/>
        <w:rPr>
          <w:rFonts w:ascii="Calibri" w:hAnsi="Calibri" w:cs="Arial"/>
          <w:sz w:val="22"/>
          <w:szCs w:val="22"/>
          <w:lang w:val="es-ES"/>
        </w:rPr>
      </w:pPr>
    </w:p>
    <w:p w14:paraId="5AF1A677" w14:textId="4BA02D26" w:rsidR="0032128C" w:rsidRPr="00424233" w:rsidRDefault="002831DB" w:rsidP="009A1B71">
      <w:pPr>
        <w:suppressAutoHyphens w:val="0"/>
        <w:spacing w:line="276" w:lineRule="auto"/>
        <w:jc w:val="both"/>
        <w:rPr>
          <w:rFonts w:ascii="Calibri" w:eastAsia="Times New Roman" w:hAnsi="Calibri" w:cs="Arial"/>
          <w:sz w:val="22"/>
          <w:szCs w:val="22"/>
          <w:lang w:val="es-ES" w:eastAsia="es-ES_tradnl"/>
        </w:rPr>
      </w:pPr>
      <w:r>
        <w:rPr>
          <w:rFonts w:ascii="Calibri" w:eastAsia="Times New Roman" w:hAnsi="Calibri" w:cs="Arial"/>
          <w:sz w:val="22"/>
          <w:szCs w:val="22"/>
          <w:lang w:val="es-ES" w:eastAsia="es-ES_tradnl"/>
        </w:rPr>
        <w:t xml:space="preserve">Hay una tendencia en legislaturas locales a restringir la libertad de expresión, </w:t>
      </w:r>
      <w:r w:rsidR="009A1B71" w:rsidRPr="000C4150">
        <w:rPr>
          <w:rFonts w:ascii="Calibri" w:eastAsia="Times New Roman" w:hAnsi="Calibri" w:cs="Arial"/>
          <w:sz w:val="22"/>
          <w:szCs w:val="22"/>
          <w:lang w:val="es-ES" w:eastAsia="es-ES_tradnl"/>
        </w:rPr>
        <w:t>en Tabasco se aprobó la iniciativa que incluye 3 delitos contrarios a la protesta social,</w:t>
      </w:r>
      <w:r w:rsidR="00E8693E">
        <w:rPr>
          <w:rFonts w:ascii="Calibri" w:eastAsia="Times New Roman" w:hAnsi="Calibri" w:cs="Arial"/>
          <w:sz w:val="22"/>
          <w:szCs w:val="22"/>
          <w:lang w:val="es-ES" w:eastAsia="es-ES_tradnl"/>
        </w:rPr>
        <w:t xml:space="preserve"> </w:t>
      </w:r>
      <w:r w:rsidR="00E8693E" w:rsidRPr="00E8693E">
        <w:rPr>
          <w:rFonts w:ascii="Calibri" w:eastAsia="Times New Roman" w:hAnsi="Calibri" w:cs="Arial"/>
          <w:sz w:val="22"/>
          <w:szCs w:val="22"/>
          <w:lang w:val="es-ES_tradnl" w:eastAsia="es-ES_tradnl"/>
        </w:rPr>
        <w:t>busca sancionar con penas de prisión de hasta 13 años a quienes “impidan o traten de impedir, por cualquier medio, la ejecución de trabajos u obras públicas y privadas”, tal como se aprecia en las reformas a los artículos 196 Bis y 299.</w:t>
      </w:r>
      <w:r w:rsidR="009A1B71" w:rsidRPr="000C4150">
        <w:rPr>
          <w:rStyle w:val="FootnoteReference"/>
          <w:rFonts w:ascii="Calibri" w:eastAsia="Times New Roman" w:hAnsi="Calibri" w:cs="Arial"/>
          <w:sz w:val="22"/>
          <w:szCs w:val="22"/>
          <w:lang w:val="es-ES" w:eastAsia="es-ES_tradnl"/>
        </w:rPr>
        <w:footnoteReference w:id="5"/>
      </w:r>
      <w:r w:rsidR="009A1B71" w:rsidRPr="000C4150">
        <w:rPr>
          <w:rFonts w:ascii="Calibri" w:eastAsia="Times New Roman" w:hAnsi="Calibri" w:cs="Arial"/>
          <w:sz w:val="22"/>
          <w:szCs w:val="22"/>
          <w:lang w:val="es-ES" w:eastAsia="es-ES_tradnl"/>
        </w:rPr>
        <w:t xml:space="preserve"> </w:t>
      </w:r>
      <w:r w:rsidR="00931987">
        <w:rPr>
          <w:rFonts w:ascii="Calibri" w:eastAsia="Times New Roman" w:hAnsi="Calibri" w:cs="Arial"/>
          <w:sz w:val="22"/>
          <w:szCs w:val="22"/>
          <w:lang w:val="es-ES" w:eastAsia="es-ES_tradnl"/>
        </w:rPr>
        <w:t xml:space="preserve"> De forma similar,</w:t>
      </w:r>
      <w:r w:rsidR="009A1B71" w:rsidRPr="000C4150">
        <w:rPr>
          <w:rFonts w:ascii="Calibri" w:eastAsia="Times New Roman" w:hAnsi="Calibri" w:cs="Arial"/>
          <w:sz w:val="22"/>
          <w:szCs w:val="22"/>
          <w:lang w:val="es-ES" w:eastAsia="es-ES_tradnl"/>
        </w:rPr>
        <w:t xml:space="preserve"> la siguiente semana se aprobó el delito de “halconeo” en Guanajuato</w:t>
      </w:r>
      <w:r w:rsidR="009A1B71" w:rsidRPr="000C4150">
        <w:rPr>
          <w:rStyle w:val="FootnoteReference"/>
          <w:rFonts w:ascii="Calibri" w:eastAsia="Times New Roman" w:hAnsi="Calibri" w:cs="Arial"/>
          <w:sz w:val="22"/>
          <w:szCs w:val="22"/>
          <w:lang w:val="es-ES" w:eastAsia="es-ES_tradnl"/>
        </w:rPr>
        <w:footnoteReference w:id="6"/>
      </w:r>
      <w:r w:rsidR="00DE6E8F">
        <w:rPr>
          <w:rFonts w:ascii="Calibri" w:eastAsia="Times New Roman" w:hAnsi="Calibri" w:cs="Arial"/>
          <w:sz w:val="22"/>
          <w:szCs w:val="22"/>
          <w:lang w:val="es-ES" w:eastAsia="es-ES_tradnl"/>
        </w:rPr>
        <w:t xml:space="preserve"> que impide que periodistas busquen información sobre operativos policiacos.</w:t>
      </w:r>
      <w:r w:rsidR="00931987">
        <w:rPr>
          <w:rFonts w:ascii="Calibri" w:eastAsia="Times New Roman" w:hAnsi="Calibri" w:cs="Arial"/>
          <w:sz w:val="22"/>
          <w:szCs w:val="22"/>
          <w:lang w:val="es-ES" w:eastAsia="es-ES_tradnl"/>
        </w:rPr>
        <w:t xml:space="preserve"> </w:t>
      </w:r>
    </w:p>
    <w:p w14:paraId="36B6A654" w14:textId="77777777" w:rsidR="009A1B71" w:rsidRPr="000C4150" w:rsidRDefault="009A1B71" w:rsidP="009A1B71">
      <w:pPr>
        <w:suppressAutoHyphens w:val="0"/>
        <w:spacing w:line="276" w:lineRule="auto"/>
        <w:jc w:val="both"/>
        <w:rPr>
          <w:rFonts w:ascii="Calibri" w:eastAsia="Times New Roman" w:hAnsi="Calibri" w:cs="Arial"/>
          <w:sz w:val="22"/>
          <w:szCs w:val="22"/>
          <w:lang w:val="es-ES" w:eastAsia="es-ES_tradnl"/>
        </w:rPr>
      </w:pPr>
    </w:p>
    <w:p w14:paraId="3A2AC707" w14:textId="06AC7F2B" w:rsidR="009A1B71" w:rsidRPr="000C4150" w:rsidRDefault="009A1B71" w:rsidP="000C4150">
      <w:pPr>
        <w:suppressAutoHyphens w:val="0"/>
        <w:spacing w:line="276" w:lineRule="auto"/>
        <w:jc w:val="both"/>
        <w:rPr>
          <w:rFonts w:ascii="Calibri" w:hAnsi="Calibri" w:cs="Arial"/>
          <w:sz w:val="22"/>
          <w:szCs w:val="22"/>
          <w:lang w:val="es-ES"/>
        </w:rPr>
      </w:pPr>
      <w:r w:rsidRPr="000C4150">
        <w:rPr>
          <w:rFonts w:ascii="Calibri" w:eastAsia="Times New Roman" w:hAnsi="Calibri" w:cs="Arial"/>
          <w:sz w:val="22"/>
          <w:szCs w:val="22"/>
          <w:lang w:val="es-ES" w:eastAsia="es-ES_tradnl"/>
        </w:rPr>
        <w:t xml:space="preserve">También se presentaron iniciativas relativas a la creación de </w:t>
      </w:r>
      <w:r w:rsidRPr="000C4150">
        <w:rPr>
          <w:rFonts w:ascii="Calibri" w:eastAsia="Times New Roman" w:hAnsi="Calibri" w:cs="Arial"/>
          <w:bCs/>
          <w:sz w:val="22"/>
          <w:szCs w:val="22"/>
          <w:lang w:val="es-ES" w:eastAsia="es-ES_tradnl"/>
        </w:rPr>
        <w:t xml:space="preserve">tipos penales contra “imágenes íntimas o sexuales”, si bien la intención es proteger derechos reproductivos y derechos a la imagen, al honor y a la vida privada, la redacción de los mismos es tan ambigua que puede permitir la criminalización de la libertad de expresión. </w:t>
      </w:r>
      <w:r w:rsidRPr="000C4150">
        <w:rPr>
          <w:rStyle w:val="FootnoteReference"/>
          <w:rFonts w:ascii="Calibri" w:eastAsia="Times New Roman" w:hAnsi="Calibri" w:cs="Arial"/>
          <w:bCs/>
          <w:sz w:val="22"/>
          <w:szCs w:val="22"/>
          <w:lang w:val="es-ES" w:eastAsia="es-ES_tradnl"/>
        </w:rPr>
        <w:footnoteReference w:id="7"/>
      </w:r>
    </w:p>
    <w:p w14:paraId="4CA8BD6C" w14:textId="03B6AD48" w:rsidR="005A4A78" w:rsidRPr="000C4150" w:rsidRDefault="005A4A78" w:rsidP="000C4150">
      <w:pPr>
        <w:suppressAutoHyphens w:val="0"/>
        <w:spacing w:line="276" w:lineRule="auto"/>
        <w:jc w:val="both"/>
        <w:rPr>
          <w:rFonts w:ascii="Calibri" w:hAnsi="Calibri" w:cs="Arial"/>
          <w:sz w:val="22"/>
          <w:szCs w:val="22"/>
          <w:lang w:val="es-ES" w:eastAsia="es-ES_tradnl"/>
        </w:rPr>
      </w:pPr>
    </w:p>
    <w:p w14:paraId="0077AE1B" w14:textId="72E33F83" w:rsidR="005A4A78" w:rsidRDefault="00DE6E8F" w:rsidP="000C4150">
      <w:pPr>
        <w:suppressAutoHyphens w:val="0"/>
        <w:spacing w:line="276" w:lineRule="auto"/>
        <w:jc w:val="both"/>
        <w:rPr>
          <w:rFonts w:ascii="Calibri" w:hAnsi="Calibri" w:cs="Arial"/>
          <w:sz w:val="22"/>
          <w:szCs w:val="22"/>
          <w:lang w:val="es-ES" w:eastAsia="es-ES_tradnl"/>
        </w:rPr>
      </w:pPr>
      <w:r>
        <w:rPr>
          <w:rFonts w:ascii="Calibri" w:hAnsi="Calibri" w:cs="Arial"/>
          <w:sz w:val="22"/>
          <w:szCs w:val="22"/>
          <w:lang w:val="es-ES" w:eastAsia="es-ES_tradnl"/>
        </w:rPr>
        <w:t>E</w:t>
      </w:r>
      <w:r w:rsidR="00A21781" w:rsidRPr="000C4150">
        <w:rPr>
          <w:rFonts w:ascii="Calibri" w:hAnsi="Calibri" w:cs="Arial"/>
          <w:sz w:val="22"/>
          <w:szCs w:val="22"/>
          <w:lang w:val="es-ES" w:eastAsia="es-ES_tradnl"/>
        </w:rPr>
        <w:t>l Congreso Federal aprobara la Ley Nacional del Uso de la Fuerza</w:t>
      </w:r>
      <w:r w:rsidR="00193E7C" w:rsidRPr="000C4150">
        <w:rPr>
          <w:rFonts w:ascii="Calibri" w:hAnsi="Calibri" w:cs="Arial"/>
          <w:sz w:val="22"/>
          <w:szCs w:val="22"/>
          <w:lang w:val="es-ES" w:eastAsia="es-ES_tradnl"/>
        </w:rPr>
        <w:t>,</w:t>
      </w:r>
      <w:r w:rsidR="004372F7" w:rsidRPr="000C4150">
        <w:rPr>
          <w:rStyle w:val="FootnoteReference"/>
          <w:rFonts w:ascii="Calibri" w:hAnsi="Calibri" w:cs="Arial"/>
          <w:sz w:val="22"/>
          <w:szCs w:val="22"/>
          <w:lang w:val="es-ES" w:eastAsia="es-ES_tradnl"/>
        </w:rPr>
        <w:footnoteReference w:id="8"/>
      </w:r>
      <w:r w:rsidR="00193E7C" w:rsidRPr="000C4150">
        <w:rPr>
          <w:rFonts w:ascii="Calibri" w:hAnsi="Calibri" w:cs="Arial"/>
          <w:sz w:val="22"/>
          <w:szCs w:val="22"/>
          <w:lang w:val="es-ES" w:eastAsia="es-ES_tradnl"/>
        </w:rPr>
        <w:t xml:space="preserve"> </w:t>
      </w:r>
      <w:r w:rsidR="00587C2A" w:rsidRPr="000C4150">
        <w:rPr>
          <w:rFonts w:ascii="Calibri" w:hAnsi="Calibri" w:cs="Arial"/>
          <w:sz w:val="22"/>
          <w:szCs w:val="22"/>
          <w:lang w:val="es-ES" w:eastAsia="es-ES_tradnl"/>
        </w:rPr>
        <w:t>qu</w:t>
      </w:r>
      <w:r w:rsidR="001769B0">
        <w:rPr>
          <w:rFonts w:ascii="Calibri" w:hAnsi="Calibri" w:cs="Arial"/>
          <w:sz w:val="22"/>
          <w:szCs w:val="22"/>
          <w:lang w:val="es-ES" w:eastAsia="es-ES_tradnl"/>
        </w:rPr>
        <w:t>e</w:t>
      </w:r>
      <w:r w:rsidR="00587C2A" w:rsidRPr="000C4150">
        <w:rPr>
          <w:rFonts w:ascii="Calibri" w:hAnsi="Calibri" w:cs="Arial"/>
          <w:sz w:val="22"/>
          <w:szCs w:val="22"/>
          <w:lang w:val="es-ES" w:eastAsia="es-ES_tradnl"/>
        </w:rPr>
        <w:t xml:space="preserve"> condiciona </w:t>
      </w:r>
      <w:r w:rsidR="00F05B7C" w:rsidRPr="000C4150">
        <w:rPr>
          <w:rFonts w:ascii="Calibri" w:hAnsi="Calibri" w:cs="Arial"/>
          <w:sz w:val="22"/>
          <w:szCs w:val="22"/>
          <w:lang w:val="es-ES" w:eastAsia="es-ES_tradnl"/>
        </w:rPr>
        <w:t xml:space="preserve">la protección de </w:t>
      </w:r>
      <w:r w:rsidR="001769B0">
        <w:rPr>
          <w:rFonts w:ascii="Calibri" w:hAnsi="Calibri" w:cs="Arial"/>
          <w:sz w:val="22"/>
          <w:szCs w:val="22"/>
          <w:lang w:val="es-ES" w:eastAsia="es-ES_tradnl"/>
        </w:rPr>
        <w:t>las personas</w:t>
      </w:r>
      <w:r w:rsidR="00F05B7C" w:rsidRPr="000C4150">
        <w:rPr>
          <w:rFonts w:ascii="Calibri" w:hAnsi="Calibri" w:cs="Arial"/>
          <w:sz w:val="22"/>
          <w:szCs w:val="22"/>
          <w:lang w:val="es-ES" w:eastAsia="es-ES_tradnl"/>
        </w:rPr>
        <w:t xml:space="preserve"> a la licitud y </w:t>
      </w:r>
      <w:proofErr w:type="spellStart"/>
      <w:r w:rsidR="00F05B7C" w:rsidRPr="000C4150">
        <w:rPr>
          <w:rFonts w:ascii="Calibri" w:hAnsi="Calibri" w:cs="Arial"/>
          <w:sz w:val="22"/>
          <w:szCs w:val="22"/>
          <w:lang w:val="es-ES" w:eastAsia="es-ES_tradnl"/>
        </w:rPr>
        <w:t>pacificidad</w:t>
      </w:r>
      <w:proofErr w:type="spellEnd"/>
      <w:r w:rsidR="00F05B7C" w:rsidRPr="000C4150">
        <w:rPr>
          <w:rFonts w:ascii="Calibri" w:hAnsi="Calibri" w:cs="Arial"/>
          <w:sz w:val="22"/>
          <w:szCs w:val="22"/>
          <w:lang w:val="es-ES" w:eastAsia="es-ES_tradnl"/>
        </w:rPr>
        <w:t xml:space="preserve"> de las manifestaciones o reuniones, dejando a total arbitrio a las autoridades la i</w:t>
      </w:r>
      <w:r w:rsidR="001769B0">
        <w:rPr>
          <w:rFonts w:ascii="Calibri" w:hAnsi="Calibri" w:cs="Arial"/>
          <w:sz w:val="22"/>
          <w:szCs w:val="22"/>
          <w:lang w:val="es-ES" w:eastAsia="es-ES_tradnl"/>
        </w:rPr>
        <w:t xml:space="preserve">nterpretación de tales palabras y faculta </w:t>
      </w:r>
      <w:r w:rsidR="00F05B7C" w:rsidRPr="000C4150">
        <w:rPr>
          <w:rFonts w:ascii="Calibri" w:hAnsi="Calibri" w:cs="Arial"/>
          <w:sz w:val="22"/>
          <w:szCs w:val="22"/>
          <w:lang w:val="es-ES" w:eastAsia="es-ES_tradnl"/>
        </w:rPr>
        <w:t xml:space="preserve">el uso de armas letales en la misma circunstancia. </w:t>
      </w:r>
    </w:p>
    <w:p w14:paraId="3E6A1089" w14:textId="0609374F" w:rsidR="00647233" w:rsidRDefault="00647233" w:rsidP="000C4150">
      <w:pPr>
        <w:suppressAutoHyphens w:val="0"/>
        <w:spacing w:line="276" w:lineRule="auto"/>
        <w:jc w:val="both"/>
        <w:rPr>
          <w:rFonts w:ascii="Calibri" w:hAnsi="Calibri" w:cs="Arial"/>
          <w:sz w:val="22"/>
          <w:szCs w:val="22"/>
          <w:lang w:val="es-ES" w:eastAsia="es-ES_tradnl"/>
        </w:rPr>
      </w:pPr>
    </w:p>
    <w:p w14:paraId="2C6A9459" w14:textId="77777777" w:rsidR="00647233" w:rsidRPr="000C4150" w:rsidRDefault="00647233" w:rsidP="00647233">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rPr>
        <w:t xml:space="preserve">A pesar de que las entidades federativas de Baja california, Chiapas, Ciudad de México, Coahuila, Colima, Durango, Guanajuato, Guerrero, Hidalgo, Jalisco, Michoacán, Nayarit, Querétaro, Quintana Roo, San Luis Potosí, Tamaulipas cuentan con una ley de protección a periodistas y personas defensoras de derechos humanos, tales legislaciones </w:t>
      </w:r>
      <w:r w:rsidRPr="000C4150">
        <w:rPr>
          <w:rFonts w:ascii="Calibri" w:hAnsi="Calibri" w:cs="Arial"/>
          <w:sz w:val="22"/>
          <w:szCs w:val="22"/>
          <w:lang w:val="es-ES"/>
        </w:rPr>
        <w:lastRenderedPageBreak/>
        <w:t xml:space="preserve">contienen </w:t>
      </w:r>
      <w:r w:rsidRPr="000C4150">
        <w:rPr>
          <w:rFonts w:ascii="Calibri" w:hAnsi="Calibri" w:cs="Arial"/>
          <w:sz w:val="22"/>
          <w:szCs w:val="22"/>
          <w:lang w:val="es-ES" w:eastAsia="es-ES_tradnl"/>
        </w:rPr>
        <w:t>definiciones restrictivas, puesto que señalan que el periodismo debe ser una actividad remunerada, permanente y principal, algunas legislaciones exigen títulos profesionales o requisitos de acreditación.</w:t>
      </w:r>
    </w:p>
    <w:p w14:paraId="61038019" w14:textId="092FCCB1" w:rsidR="00647233" w:rsidRPr="00841AA4" w:rsidRDefault="00BC2394" w:rsidP="00647233">
      <w:pPr>
        <w:pStyle w:val="NormalWeb"/>
        <w:spacing w:line="276" w:lineRule="auto"/>
        <w:jc w:val="both"/>
        <w:rPr>
          <w:rFonts w:ascii="Calibri" w:eastAsia="Times New Roman" w:hAnsi="Calibri" w:cs="Arial"/>
          <w:b/>
          <w:sz w:val="22"/>
          <w:szCs w:val="22"/>
          <w:lang w:val="es-ES"/>
        </w:rPr>
      </w:pPr>
      <w:r>
        <w:rPr>
          <w:rFonts w:ascii="Calibri" w:eastAsia="Times New Roman" w:hAnsi="Calibri" w:cs="Arial"/>
          <w:b/>
          <w:sz w:val="22"/>
          <w:szCs w:val="22"/>
          <w:lang w:val="es-ES"/>
        </w:rPr>
        <w:t>Seguridad de periodistas</w:t>
      </w:r>
    </w:p>
    <w:p w14:paraId="6FB8D1C7" w14:textId="7FFE7CB7" w:rsidR="00647233" w:rsidRPr="000C4150" w:rsidRDefault="00647233" w:rsidP="00647233">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 xml:space="preserve">La documentación que ha realizado la Oficina en México de ARTICLE 19 muestra que las agresiones, en su mayoría, han sido perpetradas por servidores públicos, así, de las 117 agresiones registradas de enero a marzo, el 39.32% corresponde a servidores públicos, entre los cuales, 47.82% recae en agresiones perpetradas por servidores públicos municipales, 39.13% estatales y  13.05 federales. </w:t>
      </w:r>
    </w:p>
    <w:p w14:paraId="2054BBFA" w14:textId="76DB6CB7" w:rsidR="00647233" w:rsidRPr="000C4150" w:rsidRDefault="00AE6044" w:rsidP="00647233">
      <w:pPr>
        <w:suppressAutoHyphens w:val="0"/>
        <w:spacing w:line="276" w:lineRule="auto"/>
        <w:jc w:val="both"/>
        <w:rPr>
          <w:rFonts w:ascii="Calibri" w:eastAsia="Times New Roman" w:hAnsi="Calibri" w:cs="Arial"/>
          <w:color w:val="000000"/>
          <w:sz w:val="22"/>
          <w:szCs w:val="22"/>
          <w:lang w:val="es-ES" w:eastAsia="es-ES_tradnl"/>
        </w:rPr>
      </w:pPr>
      <w:r>
        <w:rPr>
          <w:rFonts w:ascii="Calibri" w:eastAsia="Times New Roman" w:hAnsi="Calibri" w:cs="Arial"/>
          <w:sz w:val="22"/>
          <w:szCs w:val="22"/>
          <w:lang w:val="es-ES"/>
        </w:rPr>
        <w:t xml:space="preserve">El </w:t>
      </w:r>
      <w:r w:rsidR="00647233" w:rsidRPr="000C4150">
        <w:rPr>
          <w:rFonts w:ascii="Calibri" w:eastAsia="Times New Roman" w:hAnsi="Calibri" w:cs="Arial"/>
          <w:sz w:val="22"/>
          <w:szCs w:val="22"/>
          <w:lang w:val="es-ES"/>
        </w:rPr>
        <w:t xml:space="preserve">contexto con factores tan diversos de crecimiento de violencia contra periodistas, ha imposibilitado en un 29.06% la identificación del agresor. Mientras que el porcentaje que ocupan las agresiones perpetradas por particulares es de </w:t>
      </w:r>
      <w:r w:rsidR="00647233" w:rsidRPr="000C4150">
        <w:rPr>
          <w:rFonts w:ascii="Calibri" w:eastAsia="Times New Roman" w:hAnsi="Calibri" w:cs="Arial"/>
          <w:color w:val="000000"/>
          <w:sz w:val="22"/>
          <w:szCs w:val="22"/>
          <w:lang w:val="es-ES" w:eastAsia="es-ES_tradnl"/>
        </w:rPr>
        <w:t xml:space="preserve">21.37% y de los partidos políticos el 2.56% respecto de la cifra total de 117 agresiones documentadas. </w:t>
      </w:r>
    </w:p>
    <w:p w14:paraId="6DBC22E2" w14:textId="77777777" w:rsidR="00647233" w:rsidRPr="000C4150" w:rsidRDefault="00647233" w:rsidP="00647233">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Los estados en que concentran la mayor cantidad de agresiones son Ciudad de México, con 15, Guerrero con 13 y Quintana Roo con 12, mientras que el año pasado en el mismo rango de fechas, el orden era el siguiente: Veracruz con 14, Guerrero con 12 y Ciudad de México con 7.</w:t>
      </w:r>
    </w:p>
    <w:p w14:paraId="659339BA" w14:textId="6DC4FD60" w:rsidR="00647233" w:rsidRPr="000C4150" w:rsidRDefault="00AE6044" w:rsidP="00647233">
      <w:pPr>
        <w:pStyle w:val="NormalWeb"/>
        <w:spacing w:line="276" w:lineRule="auto"/>
        <w:jc w:val="both"/>
        <w:rPr>
          <w:rFonts w:ascii="Calibri" w:eastAsia="Times New Roman" w:hAnsi="Calibri" w:cs="Arial"/>
          <w:sz w:val="22"/>
          <w:szCs w:val="22"/>
          <w:lang w:val="es-ES"/>
        </w:rPr>
      </w:pPr>
      <w:r>
        <w:rPr>
          <w:rFonts w:ascii="Calibri" w:eastAsia="Times New Roman" w:hAnsi="Calibri" w:cs="Arial"/>
          <w:sz w:val="22"/>
          <w:szCs w:val="22"/>
          <w:lang w:val="es-ES"/>
        </w:rPr>
        <w:t>Las</w:t>
      </w:r>
      <w:r w:rsidR="00647233" w:rsidRPr="000C4150">
        <w:rPr>
          <w:rFonts w:ascii="Calibri" w:eastAsia="Times New Roman" w:hAnsi="Calibri" w:cs="Arial"/>
          <w:sz w:val="22"/>
          <w:szCs w:val="22"/>
          <w:lang w:val="es-ES"/>
        </w:rPr>
        <w:t xml:space="preserve"> agresiones que más incidencia tuvieron fueron intimidaciones y hostigamiento con 31 incidencias entre las que resaltan las campañas de desprestigio con 9 y los actos intimidatorios con 8. En el segundo lugar se sitúan las agresiones consistentes en amenazas, con 28 incidencias, de las cuales 17 fueron de muerte. En tercer lugar de incidencia, se documentaron 13 ataques físicos, de las cuales 10 son lesiones. </w:t>
      </w:r>
    </w:p>
    <w:p w14:paraId="5C1A77B3" w14:textId="4630A20A" w:rsidR="00647233" w:rsidRPr="000C4150" w:rsidRDefault="00AE6044" w:rsidP="00647233">
      <w:pPr>
        <w:pStyle w:val="NormalWeb"/>
        <w:spacing w:line="276" w:lineRule="auto"/>
        <w:jc w:val="both"/>
        <w:rPr>
          <w:rFonts w:ascii="Calibri" w:eastAsia="Times New Roman" w:hAnsi="Calibri" w:cs="Arial"/>
          <w:color w:val="000000"/>
          <w:sz w:val="22"/>
          <w:szCs w:val="22"/>
          <w:lang w:val="es-ES" w:eastAsia="es-ES_tradnl"/>
        </w:rPr>
      </w:pPr>
      <w:r>
        <w:rPr>
          <w:rFonts w:ascii="Calibri" w:eastAsia="Times New Roman" w:hAnsi="Calibri" w:cs="Arial"/>
          <w:color w:val="000000"/>
          <w:sz w:val="22"/>
          <w:szCs w:val="22"/>
          <w:lang w:val="es-ES" w:eastAsia="es-ES_tradnl"/>
        </w:rPr>
        <w:t>La</w:t>
      </w:r>
      <w:r w:rsidR="00647233" w:rsidRPr="000C4150">
        <w:rPr>
          <w:rFonts w:ascii="Calibri" w:eastAsia="Times New Roman" w:hAnsi="Calibri" w:cs="Arial"/>
          <w:color w:val="000000"/>
          <w:sz w:val="22"/>
          <w:szCs w:val="22"/>
          <w:lang w:val="es-ES" w:eastAsia="es-ES_tradnl"/>
        </w:rPr>
        <w:t xml:space="preserve"> cifra de incidencia de agresiones d</w:t>
      </w:r>
      <w:r w:rsidR="00173A1D">
        <w:rPr>
          <w:rFonts w:ascii="Calibri" w:eastAsia="Times New Roman" w:hAnsi="Calibri" w:cs="Arial"/>
          <w:color w:val="000000"/>
          <w:sz w:val="22"/>
          <w:szCs w:val="22"/>
          <w:lang w:val="es-ES" w:eastAsia="es-ES_tradnl"/>
        </w:rPr>
        <w:t>igitales es de</w:t>
      </w:r>
      <w:r w:rsidR="00647233" w:rsidRPr="000C4150">
        <w:rPr>
          <w:rFonts w:ascii="Calibri" w:eastAsia="Times New Roman" w:hAnsi="Calibri" w:cs="Arial"/>
          <w:color w:val="000000"/>
          <w:sz w:val="22"/>
          <w:szCs w:val="22"/>
          <w:lang w:val="es-ES" w:eastAsia="es-ES_tradnl"/>
        </w:rPr>
        <w:t xml:space="preserve"> 33.33% del total de 117, entre las cuales </w:t>
      </w:r>
      <w:r w:rsidR="00173A1D">
        <w:rPr>
          <w:rFonts w:ascii="Calibri" w:eastAsia="Times New Roman" w:hAnsi="Calibri" w:cs="Arial"/>
          <w:color w:val="000000"/>
          <w:sz w:val="22"/>
          <w:szCs w:val="22"/>
          <w:lang w:val="es-ES" w:eastAsia="es-ES_tradnl"/>
        </w:rPr>
        <w:t xml:space="preserve">las amenazas tienen </w:t>
      </w:r>
      <w:r w:rsidR="00647233" w:rsidRPr="000C4150">
        <w:rPr>
          <w:rFonts w:ascii="Calibri" w:eastAsia="Times New Roman" w:hAnsi="Calibri" w:cs="Arial"/>
          <w:color w:val="000000"/>
          <w:sz w:val="22"/>
          <w:szCs w:val="22"/>
          <w:lang w:val="es-ES" w:eastAsia="es-ES_tradnl"/>
        </w:rPr>
        <w:t>un porcentaje de 41.03, siguiendo intimidaciones con 35.9, bloqueo informativo con 7.7%, intervención o vigilancia ilegal de comunicaciones con 7.7%  ataque a medios comunicaciones digitales y sistemas informáticos.</w:t>
      </w:r>
    </w:p>
    <w:p w14:paraId="7E6EF3C7" w14:textId="59164073" w:rsidR="00647233" w:rsidRPr="000C4150" w:rsidRDefault="00AE6044" w:rsidP="00647233">
      <w:pPr>
        <w:pStyle w:val="NormalWeb"/>
        <w:spacing w:line="276" w:lineRule="auto"/>
        <w:jc w:val="both"/>
        <w:rPr>
          <w:rFonts w:ascii="Calibri" w:eastAsia="Times New Roman" w:hAnsi="Calibri" w:cs="Arial"/>
          <w:sz w:val="22"/>
          <w:szCs w:val="22"/>
          <w:lang w:val="es-ES"/>
        </w:rPr>
      </w:pPr>
      <w:r>
        <w:rPr>
          <w:rFonts w:ascii="Calibri" w:eastAsia="Times New Roman" w:hAnsi="Calibri" w:cs="Arial"/>
          <w:color w:val="000000"/>
          <w:sz w:val="22"/>
          <w:szCs w:val="22"/>
          <w:lang w:val="es-ES" w:eastAsia="es-ES_tradnl"/>
        </w:rPr>
        <w:t>Del</w:t>
      </w:r>
      <w:r w:rsidR="00647233" w:rsidRPr="000C4150">
        <w:rPr>
          <w:rFonts w:ascii="Calibri" w:eastAsia="Times New Roman" w:hAnsi="Calibri" w:cs="Arial"/>
          <w:color w:val="000000"/>
          <w:sz w:val="22"/>
          <w:szCs w:val="22"/>
          <w:lang w:val="es-ES" w:eastAsia="es-ES_tradnl"/>
        </w:rPr>
        <w:t xml:space="preserve"> total de 117</w:t>
      </w:r>
      <w:r>
        <w:rPr>
          <w:rFonts w:ascii="Calibri" w:eastAsia="Times New Roman" w:hAnsi="Calibri" w:cs="Arial"/>
          <w:color w:val="000000"/>
          <w:sz w:val="22"/>
          <w:szCs w:val="22"/>
          <w:lang w:val="es-ES" w:eastAsia="es-ES_tradnl"/>
        </w:rPr>
        <w:t xml:space="preserve"> agresiones</w:t>
      </w:r>
      <w:r w:rsidR="00647233" w:rsidRPr="000C4150">
        <w:rPr>
          <w:rFonts w:ascii="Calibri" w:eastAsia="Times New Roman" w:hAnsi="Calibri" w:cs="Arial"/>
          <w:color w:val="000000"/>
          <w:sz w:val="22"/>
          <w:szCs w:val="22"/>
          <w:lang w:val="es-ES" w:eastAsia="es-ES_tradnl"/>
        </w:rPr>
        <w:t xml:space="preserve">,  67 fueron hombres, 22 mujeres y 28 fueron perpetradas contra medios de comunicación. </w:t>
      </w:r>
    </w:p>
    <w:p w14:paraId="018B0CC3" w14:textId="77777777" w:rsidR="00647233" w:rsidRPr="000C4150" w:rsidRDefault="00647233" w:rsidP="00647233">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 xml:space="preserve">Para ARTICLE 19 resulta alarmante que en comparación con las cifras del año 2018, este primer trimestre arroja un aumento del 20.83%, es decir, aumentaron 21 agresiones documentadas en los tres primeros meses del año. </w:t>
      </w:r>
    </w:p>
    <w:p w14:paraId="03DFE30D" w14:textId="77777777" w:rsidR="00647233" w:rsidRPr="000C4150" w:rsidRDefault="00647233" w:rsidP="00647233">
      <w:pPr>
        <w:suppressAutoHyphens w:val="0"/>
        <w:spacing w:before="240" w:after="240" w:line="276" w:lineRule="auto"/>
        <w:ind w:left="708"/>
        <w:jc w:val="both"/>
        <w:rPr>
          <w:rFonts w:ascii="Calibri" w:eastAsia="Times New Roman" w:hAnsi="Calibri" w:cs="Arial"/>
          <w:i/>
          <w:sz w:val="22"/>
          <w:szCs w:val="22"/>
          <w:lang w:val="es-ES"/>
        </w:rPr>
      </w:pPr>
      <w:r w:rsidRPr="000C4150">
        <w:rPr>
          <w:rFonts w:ascii="Calibri" w:eastAsia="Times New Roman" w:hAnsi="Calibri" w:cs="Arial"/>
          <w:i/>
          <w:sz w:val="22"/>
          <w:szCs w:val="22"/>
          <w:lang w:val="es-ES"/>
        </w:rPr>
        <w:t>Estigmatización</w:t>
      </w:r>
    </w:p>
    <w:p w14:paraId="309BAC24" w14:textId="77777777" w:rsidR="005A08BB" w:rsidRDefault="00647233" w:rsidP="005A08BB">
      <w:pPr>
        <w:suppressAutoHyphens w:val="0"/>
        <w:spacing w:before="240" w:after="240" w:line="276" w:lineRule="auto"/>
        <w:jc w:val="both"/>
        <w:rPr>
          <w:rFonts w:ascii="Calibri" w:eastAsia="Times New Roman" w:hAnsi="Calibri" w:cs="Arial"/>
          <w:color w:val="000000"/>
          <w:sz w:val="22"/>
          <w:szCs w:val="22"/>
          <w:lang w:val="es-ES" w:eastAsia="es-ES_tradnl"/>
        </w:rPr>
      </w:pPr>
      <w:r w:rsidRPr="000C4150">
        <w:rPr>
          <w:rFonts w:ascii="Calibri" w:eastAsia="Times New Roman" w:hAnsi="Calibri" w:cs="Arial"/>
          <w:sz w:val="22"/>
          <w:szCs w:val="22"/>
          <w:lang w:val="es-ES"/>
        </w:rPr>
        <w:t xml:space="preserve">El gobierno federal a cargo de Andrés Manuel López Obrador, se ha caracterizado por la estigmatización y descalificación de periodistas, </w:t>
      </w:r>
      <w:r w:rsidRPr="000C4150">
        <w:rPr>
          <w:rFonts w:ascii="Calibri" w:hAnsi="Calibri" w:cs="Arial"/>
          <w:color w:val="000000"/>
          <w:sz w:val="22"/>
          <w:szCs w:val="22"/>
          <w:lang w:val="es-ES" w:eastAsia="es-ES_tradnl"/>
        </w:rPr>
        <w:t>por medio de la producción y reproducción de una narrativa que descalifica a la prensa con adjetivos como “fifí”, “mentirosa”, “conservadora”, “mal portada”,</w:t>
      </w:r>
      <w:r w:rsidRPr="000C4150">
        <w:rPr>
          <w:rStyle w:val="FootnoteReference"/>
          <w:rFonts w:ascii="Calibri" w:hAnsi="Calibri" w:cs="Arial"/>
          <w:color w:val="000000"/>
          <w:sz w:val="22"/>
          <w:szCs w:val="22"/>
          <w:lang w:val="es-ES" w:eastAsia="es-ES_tradnl"/>
        </w:rPr>
        <w:footnoteReference w:id="9"/>
      </w:r>
      <w:r w:rsidRPr="000C4150">
        <w:rPr>
          <w:rFonts w:ascii="Calibri" w:hAnsi="Calibri" w:cs="Arial"/>
          <w:color w:val="000000"/>
          <w:sz w:val="22"/>
          <w:szCs w:val="22"/>
          <w:lang w:val="es-ES" w:eastAsia="es-ES_tradnl"/>
        </w:rPr>
        <w:t xml:space="preserve"> “neoliberal” o “chayotera”.</w:t>
      </w:r>
      <w:r w:rsidRPr="000C4150">
        <w:rPr>
          <w:rStyle w:val="FootnoteReference"/>
          <w:rFonts w:ascii="Calibri" w:hAnsi="Calibri" w:cs="Arial"/>
          <w:color w:val="000000"/>
          <w:sz w:val="22"/>
          <w:szCs w:val="22"/>
          <w:lang w:val="es-ES" w:eastAsia="es-ES_tradnl"/>
        </w:rPr>
        <w:footnoteReference w:id="10"/>
      </w:r>
      <w:r w:rsidRPr="000C4150">
        <w:rPr>
          <w:rFonts w:ascii="Calibri" w:hAnsi="Calibri" w:cs="Arial"/>
          <w:color w:val="000000"/>
          <w:sz w:val="22"/>
          <w:szCs w:val="22"/>
          <w:lang w:val="es-ES" w:eastAsia="es-ES_tradnl"/>
        </w:rPr>
        <w:t xml:space="preserve"> Lo </w:t>
      </w:r>
      <w:r w:rsidRPr="000C4150">
        <w:rPr>
          <w:rFonts w:ascii="Calibri" w:hAnsi="Calibri" w:cs="Arial"/>
          <w:color w:val="000000"/>
          <w:sz w:val="22"/>
          <w:szCs w:val="22"/>
          <w:lang w:val="es-ES" w:eastAsia="es-ES_tradnl"/>
        </w:rPr>
        <w:lastRenderedPageBreak/>
        <w:t>anterior puede legitimar e incentivar ataques en contra de las y los periodistas en lo digital, en lo físico y afecta la pluralidad del debate público.</w:t>
      </w:r>
    </w:p>
    <w:p w14:paraId="64AD0545" w14:textId="77777777" w:rsidR="00647233" w:rsidRPr="000C4150" w:rsidRDefault="00647233" w:rsidP="00647233">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 xml:space="preserve">El 15 de octubre de 2018, López Obrador respondió a comentarios realizados en el espacio informativo </w:t>
      </w:r>
      <w:r w:rsidRPr="000C4150">
        <w:rPr>
          <w:rFonts w:ascii="Calibri" w:eastAsia="Times New Roman" w:hAnsi="Calibri" w:cs="Arial"/>
          <w:i/>
          <w:sz w:val="22"/>
          <w:szCs w:val="22"/>
          <w:lang w:val="es-ES"/>
        </w:rPr>
        <w:t>Sin Anestesia</w:t>
      </w:r>
      <w:r w:rsidRPr="000C4150">
        <w:rPr>
          <w:rFonts w:ascii="Calibri" w:eastAsia="Times New Roman" w:hAnsi="Calibri" w:cs="Arial"/>
          <w:sz w:val="22"/>
          <w:szCs w:val="22"/>
          <w:lang w:val="es-ES"/>
        </w:rPr>
        <w:t xml:space="preserve"> del grupo Radio Centro que sugerían la renuncia de uno de sus colaboradores, diciendo: “¿Le creen ustedes a </w:t>
      </w:r>
      <w:proofErr w:type="spellStart"/>
      <w:r w:rsidRPr="000C4150">
        <w:rPr>
          <w:rFonts w:ascii="Calibri" w:eastAsia="Times New Roman" w:hAnsi="Calibri" w:cs="Arial"/>
          <w:sz w:val="22"/>
          <w:szCs w:val="22"/>
          <w:lang w:val="es-ES"/>
        </w:rPr>
        <w:t>Loret</w:t>
      </w:r>
      <w:proofErr w:type="spellEnd"/>
      <w:r w:rsidRPr="000C4150">
        <w:rPr>
          <w:rFonts w:ascii="Calibri" w:eastAsia="Times New Roman" w:hAnsi="Calibri" w:cs="Arial"/>
          <w:sz w:val="22"/>
          <w:szCs w:val="22"/>
          <w:lang w:val="es-ES"/>
        </w:rPr>
        <w:t xml:space="preserve">? -refiriéndose al periodista Carlos </w:t>
      </w:r>
      <w:proofErr w:type="spellStart"/>
      <w:r w:rsidRPr="000C4150">
        <w:rPr>
          <w:rFonts w:ascii="Calibri" w:eastAsia="Times New Roman" w:hAnsi="Calibri" w:cs="Arial"/>
          <w:sz w:val="22"/>
          <w:szCs w:val="22"/>
          <w:lang w:val="es-ES"/>
        </w:rPr>
        <w:t>Loret</w:t>
      </w:r>
      <w:proofErr w:type="spellEnd"/>
      <w:r w:rsidRPr="000C4150">
        <w:rPr>
          <w:rFonts w:ascii="Calibri" w:eastAsia="Times New Roman" w:hAnsi="Calibri" w:cs="Arial"/>
          <w:sz w:val="22"/>
          <w:szCs w:val="22"/>
          <w:lang w:val="es-ES"/>
        </w:rPr>
        <w:t xml:space="preserve"> de Mola. “Hay periodistas que con todo respeto, mienten como respiran”.</w:t>
      </w:r>
      <w:r w:rsidRPr="000C4150">
        <w:rPr>
          <w:rStyle w:val="FootnoteReference"/>
          <w:rFonts w:ascii="Calibri" w:eastAsia="Times New Roman" w:hAnsi="Calibri" w:cs="Arial"/>
          <w:sz w:val="22"/>
          <w:szCs w:val="22"/>
          <w:lang w:val="es-ES"/>
        </w:rPr>
        <w:footnoteReference w:id="11"/>
      </w:r>
    </w:p>
    <w:p w14:paraId="5CB0244C" w14:textId="77777777" w:rsidR="00647233" w:rsidRPr="000C4150" w:rsidRDefault="00647233" w:rsidP="00647233">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 xml:space="preserve">Ese mismo día un grupo de periodistas le preguntó acerca la imparcialidad de la consulta para el nuevo aeropuerto el presidente electo contestó: «Cuando yo digo una cosa fuerte, es porque ustedes me preguntan, somos corresponsables. Vamos a </w:t>
      </w:r>
      <w:proofErr w:type="spellStart"/>
      <w:r w:rsidRPr="000C4150">
        <w:rPr>
          <w:rFonts w:ascii="Calibri" w:eastAsia="Times New Roman" w:hAnsi="Calibri" w:cs="Arial"/>
          <w:sz w:val="22"/>
          <w:szCs w:val="22"/>
          <w:lang w:val="es-ES"/>
        </w:rPr>
        <w:t>autolimitarnos</w:t>
      </w:r>
      <w:proofErr w:type="spellEnd"/>
      <w:r w:rsidRPr="000C4150">
        <w:rPr>
          <w:rFonts w:ascii="Calibri" w:eastAsia="Times New Roman" w:hAnsi="Calibri" w:cs="Arial"/>
          <w:sz w:val="22"/>
          <w:szCs w:val="22"/>
          <w:lang w:val="es-ES"/>
        </w:rPr>
        <w:t xml:space="preserve"> todos. Amor y paz, porque yo ya no quiero seguir hablando de la mafia del poder, de la prensa fifí”.</w:t>
      </w:r>
      <w:r w:rsidRPr="000C4150">
        <w:rPr>
          <w:rStyle w:val="FootnoteReference"/>
          <w:rFonts w:ascii="Calibri" w:eastAsia="Times New Roman" w:hAnsi="Calibri" w:cs="Arial"/>
          <w:sz w:val="22"/>
          <w:szCs w:val="22"/>
          <w:lang w:val="es-ES"/>
        </w:rPr>
        <w:footnoteReference w:id="12"/>
      </w:r>
    </w:p>
    <w:p w14:paraId="6C6D5797" w14:textId="4B1018EE" w:rsidR="00647233" w:rsidRPr="000C4150" w:rsidRDefault="00BA14BC" w:rsidP="00647233">
      <w:pPr>
        <w:pStyle w:val="NormalWeb"/>
        <w:spacing w:line="276" w:lineRule="auto"/>
        <w:jc w:val="both"/>
        <w:rPr>
          <w:rFonts w:ascii="Calibri" w:eastAsia="Times New Roman" w:hAnsi="Calibri" w:cs="Arial"/>
          <w:sz w:val="22"/>
          <w:szCs w:val="22"/>
          <w:lang w:val="es-ES"/>
        </w:rPr>
      </w:pPr>
      <w:r>
        <w:rPr>
          <w:rFonts w:ascii="Calibri" w:eastAsia="Times New Roman" w:hAnsi="Calibri" w:cs="Arial"/>
          <w:sz w:val="22"/>
          <w:szCs w:val="22"/>
          <w:lang w:val="es-ES"/>
        </w:rPr>
        <w:t>El</w:t>
      </w:r>
      <w:r w:rsidR="00647233" w:rsidRPr="000C4150">
        <w:rPr>
          <w:rFonts w:ascii="Calibri" w:eastAsia="Times New Roman" w:hAnsi="Calibri" w:cs="Arial"/>
          <w:sz w:val="22"/>
          <w:szCs w:val="22"/>
          <w:lang w:val="es-ES"/>
        </w:rPr>
        <w:t xml:space="preserve"> 18 de septiembre un grupo de periodistas preguntó a López Obrador acerca de su afirmación que México estaba “en bancarrota” y este respondió: “Sólo decirles -para que no haya manipulación- no de ustedes, de los camajanes del conservadurismo, de la prensa fifí. Que quede claro, que se oiga bien y se oiga fuerte: voy a cumplir todos los compromisos que hicimos en campaña; no le voy a fallar al pueblo de México”.</w:t>
      </w:r>
      <w:r w:rsidR="00647233" w:rsidRPr="000C4150">
        <w:rPr>
          <w:rStyle w:val="FootnoteReference"/>
          <w:rFonts w:ascii="Calibri" w:eastAsia="Times New Roman" w:hAnsi="Calibri" w:cs="Arial"/>
          <w:sz w:val="22"/>
          <w:szCs w:val="22"/>
          <w:lang w:val="es-ES"/>
        </w:rPr>
        <w:footnoteReference w:id="13"/>
      </w:r>
    </w:p>
    <w:p w14:paraId="39C62FD8" w14:textId="4399345C" w:rsidR="00647233" w:rsidRPr="000C4150" w:rsidRDefault="00647233" w:rsidP="00647233">
      <w:pPr>
        <w:suppressAutoHyphens w:val="0"/>
        <w:spacing w:before="240" w:after="24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También resalta la estrategia y política de comunicación de Andrés Manuel enfocada principalmente en las conferencias de prensa matutinas, conocidas como </w:t>
      </w:r>
      <w:r w:rsidRPr="000C4150">
        <w:rPr>
          <w:rFonts w:ascii="Calibri" w:hAnsi="Calibri" w:cs="Arial"/>
          <w:i/>
          <w:iCs/>
          <w:color w:val="000000"/>
          <w:sz w:val="22"/>
          <w:szCs w:val="22"/>
          <w:lang w:val="es-ES" w:eastAsia="es-ES_tradnl"/>
        </w:rPr>
        <w:t xml:space="preserve">mañaneras, </w:t>
      </w:r>
      <w:r w:rsidRPr="000C4150">
        <w:rPr>
          <w:rFonts w:ascii="Calibri" w:hAnsi="Calibri" w:cs="Arial"/>
          <w:iCs/>
          <w:color w:val="000000"/>
          <w:sz w:val="22"/>
          <w:szCs w:val="22"/>
          <w:lang w:val="es-ES" w:eastAsia="es-ES_tradnl"/>
        </w:rPr>
        <w:t xml:space="preserve">que si bien podrían interpretarse </w:t>
      </w:r>
      <w:r w:rsidRPr="000C4150">
        <w:rPr>
          <w:rFonts w:ascii="Calibri" w:hAnsi="Calibri" w:cs="Arial"/>
          <w:color w:val="000000"/>
          <w:sz w:val="22"/>
          <w:szCs w:val="22"/>
          <w:lang w:val="es-ES" w:eastAsia="es-ES_tradnl"/>
        </w:rPr>
        <w:t>ejemplo de transparencia y apertura, también pudieran servir como indicador de la agenda pública del país.</w:t>
      </w:r>
      <w:r w:rsidRPr="000C4150">
        <w:rPr>
          <w:rStyle w:val="FootnoteReference"/>
          <w:rFonts w:ascii="Calibri" w:hAnsi="Calibri" w:cs="Arial"/>
          <w:color w:val="000000"/>
          <w:sz w:val="22"/>
          <w:szCs w:val="22"/>
          <w:lang w:val="es-ES" w:eastAsia="es-ES_tradnl"/>
        </w:rPr>
        <w:footnoteReference w:id="14"/>
      </w:r>
      <w:r w:rsidRPr="000C4150">
        <w:rPr>
          <w:rFonts w:ascii="Calibri" w:hAnsi="Calibri" w:cs="Arial"/>
          <w:color w:val="000000"/>
          <w:sz w:val="22"/>
          <w:szCs w:val="22"/>
          <w:lang w:val="es-ES" w:eastAsia="es-ES_tradnl"/>
        </w:rPr>
        <w:t xml:space="preserve"> Esta plataforma de comunicación ha servido también como plataforma de  reproducción de un discurso </w:t>
      </w:r>
      <w:proofErr w:type="spellStart"/>
      <w:r w:rsidRPr="000C4150">
        <w:rPr>
          <w:rFonts w:ascii="Calibri" w:hAnsi="Calibri" w:cs="Arial"/>
          <w:color w:val="000000"/>
          <w:sz w:val="22"/>
          <w:szCs w:val="22"/>
          <w:lang w:val="es-ES" w:eastAsia="es-ES_tradnl"/>
        </w:rPr>
        <w:t>estigmatizante</w:t>
      </w:r>
      <w:proofErr w:type="spellEnd"/>
      <w:r w:rsidRPr="000C4150">
        <w:rPr>
          <w:rFonts w:ascii="Calibri" w:hAnsi="Calibri" w:cs="Arial"/>
          <w:color w:val="000000"/>
          <w:sz w:val="22"/>
          <w:szCs w:val="22"/>
          <w:lang w:val="es-ES" w:eastAsia="es-ES_tradnl"/>
        </w:rPr>
        <w:t xml:space="preserve"> y hostil contra quienes piensan diferente, quienes critican o a quienes cuestionan las decisiones o contextos específicos de violencia y represión. </w:t>
      </w:r>
    </w:p>
    <w:p w14:paraId="03265235" w14:textId="77777777" w:rsidR="00647233" w:rsidRPr="000C4150" w:rsidRDefault="00647233" w:rsidP="00647233">
      <w:pPr>
        <w:suppressAutoHyphens w:val="0"/>
        <w:spacing w:before="240" w:after="14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lastRenderedPageBreak/>
        <w:t xml:space="preserve">Así, el 8 de marzo, en una mañanera, el representante del Ejecutivo federal generó un discurso </w:t>
      </w:r>
      <w:proofErr w:type="spellStart"/>
      <w:r w:rsidRPr="000C4150">
        <w:rPr>
          <w:rFonts w:ascii="Calibri" w:hAnsi="Calibri" w:cs="Arial"/>
          <w:color w:val="000000"/>
          <w:sz w:val="22"/>
          <w:szCs w:val="22"/>
          <w:lang w:val="es-ES" w:eastAsia="es-ES_tradnl"/>
        </w:rPr>
        <w:t>estigmatizante</w:t>
      </w:r>
      <w:proofErr w:type="spellEnd"/>
      <w:r w:rsidRPr="000C4150">
        <w:rPr>
          <w:rFonts w:ascii="Calibri" w:hAnsi="Calibri" w:cs="Arial"/>
          <w:color w:val="000000"/>
          <w:sz w:val="22"/>
          <w:szCs w:val="22"/>
          <w:lang w:val="es-ES" w:eastAsia="es-ES_tradnl"/>
        </w:rPr>
        <w:t xml:space="preserve"> en contra del periódico </w:t>
      </w:r>
      <w:r w:rsidRPr="000C4150">
        <w:rPr>
          <w:rFonts w:ascii="Calibri" w:hAnsi="Calibri" w:cs="Arial"/>
          <w:i/>
          <w:iCs/>
          <w:color w:val="000000"/>
          <w:sz w:val="22"/>
          <w:szCs w:val="22"/>
          <w:lang w:val="es-ES" w:eastAsia="es-ES_tradnl"/>
        </w:rPr>
        <w:t>Reforma</w:t>
      </w:r>
      <w:r w:rsidRPr="000C4150">
        <w:rPr>
          <w:rFonts w:ascii="Calibri" w:hAnsi="Calibri" w:cs="Arial"/>
          <w:color w:val="000000"/>
          <w:sz w:val="22"/>
          <w:szCs w:val="22"/>
          <w:lang w:val="es-ES" w:eastAsia="es-ES_tradnl"/>
        </w:rPr>
        <w:t xml:space="preserve">, afirmando que “es un periódico que surge en el gobierno de Salinas, y que no cuestionó el saqueo en el periodo neoliberal, que simuló que combatía la corrupción (…) que ayudó en el fraude electoral. Lo anterior generó una serie de ataques cibernéticos, incluyendo amenazas e intimidación para periodistas del </w:t>
      </w:r>
      <w:r w:rsidRPr="000C4150">
        <w:rPr>
          <w:rFonts w:ascii="Calibri" w:hAnsi="Calibri" w:cs="Arial"/>
          <w:i/>
          <w:iCs/>
          <w:color w:val="000000"/>
          <w:sz w:val="22"/>
          <w:szCs w:val="22"/>
          <w:lang w:val="es-ES" w:eastAsia="es-ES_tradnl"/>
        </w:rPr>
        <w:t>Reforma,</w:t>
      </w:r>
      <w:r w:rsidRPr="000C4150">
        <w:rPr>
          <w:rFonts w:ascii="Calibri" w:hAnsi="Calibri" w:cs="Arial"/>
          <w:color w:val="000000"/>
          <w:sz w:val="22"/>
          <w:szCs w:val="22"/>
          <w:lang w:val="es-ES" w:eastAsia="es-ES_tradnl"/>
        </w:rPr>
        <w:t xml:space="preserve"> principalmente en contra  del director.</w:t>
      </w:r>
      <w:r w:rsidRPr="000C4150">
        <w:rPr>
          <w:rStyle w:val="FootnoteReference"/>
          <w:rFonts w:ascii="Calibri" w:hAnsi="Calibri" w:cs="Arial"/>
          <w:color w:val="000000"/>
          <w:sz w:val="22"/>
          <w:szCs w:val="22"/>
          <w:lang w:val="es-ES" w:eastAsia="es-ES_tradnl"/>
        </w:rPr>
        <w:footnoteReference w:id="15"/>
      </w:r>
    </w:p>
    <w:p w14:paraId="70BE0ED8" w14:textId="77777777" w:rsidR="00647233" w:rsidRPr="000C4150" w:rsidRDefault="00647233" w:rsidP="00647233">
      <w:pPr>
        <w:pStyle w:val="NormalWeb"/>
        <w:spacing w:line="276" w:lineRule="auto"/>
        <w:ind w:left="708"/>
        <w:jc w:val="both"/>
        <w:rPr>
          <w:rFonts w:ascii="Calibri" w:eastAsia="Times New Roman" w:hAnsi="Calibri" w:cs="Arial"/>
          <w:i/>
          <w:sz w:val="22"/>
          <w:szCs w:val="22"/>
          <w:lang w:val="es-ES"/>
        </w:rPr>
      </w:pPr>
      <w:r w:rsidRPr="000C4150">
        <w:rPr>
          <w:rFonts w:ascii="Calibri" w:eastAsia="Times New Roman" w:hAnsi="Calibri" w:cs="Arial"/>
          <w:i/>
          <w:sz w:val="22"/>
          <w:szCs w:val="22"/>
          <w:lang w:val="es-ES"/>
        </w:rPr>
        <w:t>Violencia contra la prensa en coyunturas</w:t>
      </w:r>
    </w:p>
    <w:p w14:paraId="79847183" w14:textId="72A0EF70" w:rsidR="00647233" w:rsidRPr="000C4150" w:rsidRDefault="00647233" w:rsidP="00647233">
      <w:pPr>
        <w:suppressAutoHyphens w:val="0"/>
        <w:spacing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ARTICLE 19 en coordinación con otras organizaciones  activaron la Red # </w:t>
      </w:r>
      <w:proofErr w:type="spellStart"/>
      <w:r w:rsidRPr="000C4150">
        <w:rPr>
          <w:rFonts w:ascii="Calibri" w:hAnsi="Calibri" w:cs="Arial"/>
          <w:color w:val="000000"/>
          <w:sz w:val="22"/>
          <w:szCs w:val="22"/>
          <w:lang w:val="es-ES" w:eastAsia="es-ES_tradnl"/>
        </w:rPr>
        <w:t>RompeElMiedo</w:t>
      </w:r>
      <w:proofErr w:type="spellEnd"/>
      <w:r w:rsidRPr="000C4150">
        <w:rPr>
          <w:rFonts w:ascii="Calibri" w:hAnsi="Calibri" w:cs="Arial"/>
          <w:color w:val="000000"/>
          <w:sz w:val="22"/>
          <w:szCs w:val="22"/>
          <w:lang w:val="es-ES" w:eastAsia="es-ES_tradnl"/>
        </w:rPr>
        <w:t xml:space="preserve"> (RRM) para preservar el libre flujo informativo mediante la documentación, monitoreo, capacitación, verificación y denuncia de las agresiones en contra de personas defensoras y periodistas.</w:t>
      </w:r>
      <w:r w:rsidR="004542B6">
        <w:rPr>
          <w:rFonts w:ascii="Calibri" w:hAnsi="Calibri" w:cs="Arial"/>
          <w:color w:val="000000"/>
          <w:sz w:val="22"/>
          <w:szCs w:val="22"/>
          <w:lang w:val="es-ES" w:eastAsia="es-ES_tradnl"/>
        </w:rPr>
        <w:t xml:space="preserve"> </w:t>
      </w:r>
      <w:r w:rsidR="004542B6" w:rsidRPr="000C4150">
        <w:rPr>
          <w:rFonts w:ascii="Calibri" w:hAnsi="Calibri" w:cs="Arial"/>
          <w:color w:val="000000"/>
          <w:sz w:val="22"/>
          <w:szCs w:val="22"/>
          <w:lang w:val="es-ES" w:eastAsia="es-ES_tradnl"/>
        </w:rPr>
        <w:t xml:space="preserve"> </w:t>
      </w:r>
      <w:r w:rsidRPr="000C4150">
        <w:rPr>
          <w:rFonts w:ascii="Calibri" w:hAnsi="Calibri" w:cs="Arial"/>
          <w:color w:val="000000"/>
          <w:sz w:val="22"/>
          <w:szCs w:val="22"/>
          <w:lang w:val="es-ES" w:eastAsia="es-ES_tradnl"/>
        </w:rPr>
        <w:t>Así, desde el 3 de enero hasta el 3 de agosto de 2018, la RRM documentó un total de 185 agresiones, de las cuales 96% fueron perpetradas en contra de la prensa; el resto, 3.78%, equivalente a siete agresiones; una, en contra de un familiar de un reportero; dos en contra de observadores electorales; y cuatro en contra de civiles.</w:t>
      </w:r>
      <w:r w:rsidRPr="000C4150">
        <w:rPr>
          <w:rStyle w:val="FootnoteReference"/>
          <w:rFonts w:ascii="Calibri" w:hAnsi="Calibri" w:cs="Arial"/>
          <w:color w:val="000000"/>
          <w:sz w:val="22"/>
          <w:szCs w:val="22"/>
          <w:lang w:val="es-ES" w:eastAsia="es-ES_tradnl"/>
        </w:rPr>
        <w:footnoteReference w:id="16"/>
      </w:r>
    </w:p>
    <w:p w14:paraId="240B8FCE" w14:textId="77777777" w:rsidR="00FA726E" w:rsidRDefault="00FA726E" w:rsidP="00647233">
      <w:pPr>
        <w:suppressAutoHyphens w:val="0"/>
        <w:spacing w:line="276" w:lineRule="auto"/>
        <w:jc w:val="both"/>
        <w:rPr>
          <w:rFonts w:ascii="Calibri" w:hAnsi="Calibri" w:cs="Arial"/>
          <w:color w:val="000000"/>
          <w:sz w:val="22"/>
          <w:szCs w:val="22"/>
          <w:lang w:val="es-ES" w:eastAsia="es-ES_tradnl"/>
        </w:rPr>
      </w:pPr>
    </w:p>
    <w:p w14:paraId="4A0B3976" w14:textId="6A989605" w:rsidR="00647233" w:rsidRPr="000C4150" w:rsidRDefault="00647233" w:rsidP="00647233">
      <w:pPr>
        <w:suppressAutoHyphens w:val="0"/>
        <w:spacing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De acuerdo con la documentación, del total de agresiones perpetradas, 38.9% (equivalente a 72 agresiones), fueron cometidas por  integrantes, militantes o simpatizantes de partidos políticos, seguido por funcionarios públicos con más de 37%, (69 agresiones). </w:t>
      </w:r>
    </w:p>
    <w:p w14:paraId="2BA8370A"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0F0BD0B9" w14:textId="77777777" w:rsidR="00647233" w:rsidRPr="000C4150" w:rsidRDefault="00647233" w:rsidP="00647233">
      <w:pPr>
        <w:pStyle w:val="NormalWeb"/>
        <w:spacing w:line="276" w:lineRule="auto"/>
        <w:ind w:left="708"/>
        <w:jc w:val="both"/>
        <w:rPr>
          <w:rFonts w:ascii="Calibri" w:eastAsia="Times New Roman" w:hAnsi="Calibri" w:cs="Arial"/>
          <w:i/>
          <w:sz w:val="22"/>
          <w:szCs w:val="22"/>
          <w:lang w:val="es-ES"/>
        </w:rPr>
      </w:pPr>
      <w:r w:rsidRPr="000C4150">
        <w:rPr>
          <w:rFonts w:ascii="Calibri" w:eastAsia="Times New Roman" w:hAnsi="Calibri" w:cs="Arial"/>
          <w:i/>
          <w:sz w:val="22"/>
          <w:szCs w:val="22"/>
          <w:lang w:val="es-ES"/>
        </w:rPr>
        <w:t>Violencia originada por megaproyectos</w:t>
      </w:r>
    </w:p>
    <w:p w14:paraId="5352F617" w14:textId="77777777" w:rsidR="00647233" w:rsidRPr="000C4150" w:rsidRDefault="00647233" w:rsidP="00647233">
      <w:pPr>
        <w:suppressAutoHyphens w:val="0"/>
        <w:spacing w:before="240" w:after="24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El día 20 de febrero de 2019, Samir Flores, indígena náhuatl, defensor de derechos humanos y fundador de la radio comunitaria Radio </w:t>
      </w:r>
      <w:proofErr w:type="spellStart"/>
      <w:r w:rsidRPr="000C4150">
        <w:rPr>
          <w:rFonts w:ascii="Calibri" w:hAnsi="Calibri" w:cs="Arial"/>
          <w:color w:val="000000"/>
          <w:sz w:val="22"/>
          <w:szCs w:val="22"/>
          <w:lang w:val="es-ES" w:eastAsia="es-ES_tradnl"/>
        </w:rPr>
        <w:t>Amiltzinko</w:t>
      </w:r>
      <w:proofErr w:type="spellEnd"/>
      <w:r w:rsidRPr="000C4150">
        <w:rPr>
          <w:rFonts w:ascii="Calibri" w:hAnsi="Calibri" w:cs="Arial"/>
          <w:color w:val="000000"/>
          <w:sz w:val="22"/>
          <w:szCs w:val="22"/>
          <w:lang w:val="es-ES" w:eastAsia="es-ES_tradnl"/>
        </w:rPr>
        <w:t xml:space="preserve"> 100.7 FM, fue asesinado por sujetos desconocidos con armas de fuego en la comunidad de </w:t>
      </w:r>
      <w:proofErr w:type="spellStart"/>
      <w:r w:rsidRPr="000C4150">
        <w:rPr>
          <w:rFonts w:ascii="Calibri" w:hAnsi="Calibri" w:cs="Arial"/>
          <w:color w:val="000000"/>
          <w:sz w:val="22"/>
          <w:szCs w:val="22"/>
          <w:lang w:val="es-ES" w:eastAsia="es-ES_tradnl"/>
        </w:rPr>
        <w:t>Amilcingo</w:t>
      </w:r>
      <w:proofErr w:type="spellEnd"/>
      <w:r w:rsidRPr="000C4150">
        <w:rPr>
          <w:rFonts w:ascii="Calibri" w:hAnsi="Calibri" w:cs="Arial"/>
          <w:color w:val="000000"/>
          <w:sz w:val="22"/>
          <w:szCs w:val="22"/>
          <w:lang w:val="es-ES" w:eastAsia="es-ES_tradnl"/>
        </w:rPr>
        <w:t>, Morelos.</w:t>
      </w:r>
      <w:r w:rsidRPr="000C4150">
        <w:rPr>
          <w:rStyle w:val="FootnoteReference"/>
          <w:rFonts w:ascii="Calibri" w:hAnsi="Calibri" w:cs="Arial"/>
          <w:color w:val="000000"/>
          <w:sz w:val="22"/>
          <w:szCs w:val="22"/>
          <w:lang w:val="es-ES" w:eastAsia="es-ES_tradnl"/>
        </w:rPr>
        <w:footnoteReference w:id="17"/>
      </w:r>
    </w:p>
    <w:p w14:paraId="0FE6BEE7" w14:textId="103AE0EC" w:rsidR="00647233" w:rsidRPr="000C4150" w:rsidRDefault="00647233" w:rsidP="00647233">
      <w:pPr>
        <w:suppressAutoHyphens w:val="0"/>
        <w:spacing w:after="16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Samir Flores,</w:t>
      </w:r>
      <w:r w:rsidR="00002901">
        <w:rPr>
          <w:rFonts w:ascii="Calibri" w:hAnsi="Calibri" w:cs="Arial"/>
          <w:color w:val="000000"/>
          <w:sz w:val="22"/>
          <w:szCs w:val="22"/>
          <w:lang w:val="es-ES" w:eastAsia="es-ES_tradnl"/>
        </w:rPr>
        <w:t xml:space="preserve"> </w:t>
      </w:r>
      <w:r w:rsidRPr="000C4150">
        <w:rPr>
          <w:rFonts w:ascii="Calibri" w:hAnsi="Calibri" w:cs="Arial"/>
          <w:color w:val="000000"/>
          <w:sz w:val="22"/>
          <w:szCs w:val="22"/>
          <w:lang w:val="es-ES" w:eastAsia="es-ES_tradnl"/>
        </w:rPr>
        <w:t>estaba a cargo de la conducción del noticiero de la radio comunitaria que era transmitido de lunes a viernes. También presentaba el programa musical Amanecer Grupero. Además era integrante del Frente de Pueblos en Defensa de la Tierra y el Agua Morelos, Puebla, Tlaxcala (FPDTA-MPT) y delegado del Concejo Nacional Indígena (CNI).</w:t>
      </w:r>
    </w:p>
    <w:p w14:paraId="3D8B6740" w14:textId="77777777" w:rsidR="00647233" w:rsidRPr="000C4150" w:rsidRDefault="00647233" w:rsidP="00647233">
      <w:pPr>
        <w:suppressAutoHyphens w:val="0"/>
        <w:spacing w:after="16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Además ARTICLE 19 también documentó que el 18 de mayo de 2019, Salvador Sánchez Bolaños, locutor del medio comunitario indígena </w:t>
      </w:r>
      <w:hyperlink r:id="rId9" w:history="1">
        <w:r w:rsidRPr="000C4150">
          <w:rPr>
            <w:rFonts w:ascii="Calibri" w:hAnsi="Calibri" w:cs="Arial"/>
            <w:color w:val="000000"/>
            <w:sz w:val="22"/>
            <w:szCs w:val="22"/>
            <w:lang w:val="es-ES" w:eastAsia="es-ES_tradnl"/>
          </w:rPr>
          <w:t>Radio Tlacuache</w:t>
        </w:r>
      </w:hyperlink>
      <w:r w:rsidRPr="000C4150">
        <w:rPr>
          <w:rFonts w:ascii="Calibri" w:hAnsi="Calibri" w:cs="Arial"/>
          <w:color w:val="000000"/>
          <w:sz w:val="22"/>
          <w:szCs w:val="22"/>
          <w:lang w:val="es-ES" w:eastAsia="es-ES_tradnl"/>
        </w:rPr>
        <w:t xml:space="preserve"> y activista opositor al proyecto hidroeléctrico </w:t>
      </w:r>
      <w:proofErr w:type="spellStart"/>
      <w:r w:rsidRPr="000C4150">
        <w:rPr>
          <w:rFonts w:ascii="Calibri" w:hAnsi="Calibri" w:cs="Arial"/>
          <w:color w:val="000000"/>
          <w:sz w:val="22"/>
          <w:szCs w:val="22"/>
          <w:lang w:val="es-ES" w:eastAsia="es-ES_tradnl"/>
        </w:rPr>
        <w:t>Coyolapa-Atzala</w:t>
      </w:r>
      <w:proofErr w:type="spellEnd"/>
      <w:r w:rsidRPr="000C4150">
        <w:rPr>
          <w:rFonts w:ascii="Calibri" w:hAnsi="Calibri" w:cs="Arial"/>
          <w:color w:val="000000"/>
          <w:sz w:val="22"/>
          <w:szCs w:val="22"/>
          <w:lang w:val="es-ES" w:eastAsia="es-ES_tradnl"/>
        </w:rPr>
        <w:t xml:space="preserve">, se dirigía a </w:t>
      </w:r>
      <w:r w:rsidRPr="000C4150">
        <w:rPr>
          <w:rFonts w:ascii="Calibri" w:hAnsi="Calibri" w:cs="Arial"/>
          <w:color w:val="000000"/>
          <w:sz w:val="22"/>
          <w:szCs w:val="22"/>
          <w:lang w:val="es-ES" w:eastAsia="es-ES_tradnl"/>
        </w:rPr>
        <w:lastRenderedPageBreak/>
        <w:t xml:space="preserve">su domicilio cuando metros </w:t>
      </w:r>
      <w:proofErr w:type="spellStart"/>
      <w:r w:rsidRPr="000C4150">
        <w:rPr>
          <w:rFonts w:ascii="Calibri" w:hAnsi="Calibri" w:cs="Arial"/>
          <w:color w:val="000000"/>
          <w:sz w:val="22"/>
          <w:szCs w:val="22"/>
          <w:lang w:val="es-ES" w:eastAsia="es-ES_tradnl"/>
        </w:rPr>
        <w:t>metros</w:t>
      </w:r>
      <w:proofErr w:type="spellEnd"/>
      <w:r w:rsidRPr="000C4150">
        <w:rPr>
          <w:rFonts w:ascii="Calibri" w:hAnsi="Calibri" w:cs="Arial"/>
          <w:color w:val="000000"/>
          <w:sz w:val="22"/>
          <w:szCs w:val="22"/>
          <w:lang w:val="es-ES" w:eastAsia="es-ES_tradnl"/>
        </w:rPr>
        <w:t xml:space="preserve"> antes de llegar se percató que cuatros sujetos </w:t>
      </w:r>
      <w:proofErr w:type="spellStart"/>
      <w:r w:rsidRPr="000C4150">
        <w:rPr>
          <w:rFonts w:ascii="Calibri" w:hAnsi="Calibri" w:cs="Arial"/>
          <w:color w:val="000000"/>
          <w:sz w:val="22"/>
          <w:szCs w:val="22"/>
          <w:lang w:val="es-ES" w:eastAsia="es-ES_tradnl"/>
        </w:rPr>
        <w:t>deconocidos</w:t>
      </w:r>
      <w:proofErr w:type="spellEnd"/>
      <w:r w:rsidRPr="000C4150">
        <w:rPr>
          <w:rFonts w:ascii="Calibri" w:hAnsi="Calibri" w:cs="Arial"/>
          <w:color w:val="000000"/>
          <w:sz w:val="22"/>
          <w:szCs w:val="22"/>
          <w:lang w:val="es-ES" w:eastAsia="es-ES_tradnl"/>
        </w:rPr>
        <w:t xml:space="preserve">  se encontraban afuera de su vivienda ubicada en el Barrio de </w:t>
      </w:r>
      <w:proofErr w:type="spellStart"/>
      <w:r w:rsidRPr="000C4150">
        <w:rPr>
          <w:rFonts w:ascii="Calibri" w:hAnsi="Calibri" w:cs="Arial"/>
          <w:color w:val="000000"/>
          <w:sz w:val="22"/>
          <w:szCs w:val="22"/>
          <w:lang w:val="es-ES" w:eastAsia="es-ES_tradnl"/>
        </w:rPr>
        <w:t>Atexcal</w:t>
      </w:r>
      <w:proofErr w:type="spellEnd"/>
      <w:r w:rsidRPr="000C4150">
        <w:rPr>
          <w:rFonts w:ascii="Calibri" w:hAnsi="Calibri" w:cs="Arial"/>
          <w:color w:val="000000"/>
          <w:sz w:val="22"/>
          <w:szCs w:val="22"/>
          <w:lang w:val="es-ES" w:eastAsia="es-ES_tradnl"/>
        </w:rPr>
        <w:t xml:space="preserve"> en la cabecera municipal de San Pablo </w:t>
      </w:r>
      <w:proofErr w:type="spellStart"/>
      <w:r w:rsidRPr="000C4150">
        <w:rPr>
          <w:rFonts w:ascii="Calibri" w:hAnsi="Calibri" w:cs="Arial"/>
          <w:color w:val="000000"/>
          <w:sz w:val="22"/>
          <w:szCs w:val="22"/>
          <w:lang w:val="es-ES" w:eastAsia="es-ES_tradnl"/>
        </w:rPr>
        <w:t>Zoquitlán</w:t>
      </w:r>
      <w:proofErr w:type="spellEnd"/>
      <w:r w:rsidRPr="000C4150">
        <w:rPr>
          <w:rFonts w:ascii="Calibri" w:hAnsi="Calibri" w:cs="Arial"/>
          <w:color w:val="000000"/>
          <w:sz w:val="22"/>
          <w:szCs w:val="22"/>
          <w:lang w:val="es-ES" w:eastAsia="es-ES_tradnl"/>
        </w:rPr>
        <w:t>, Puebla.</w:t>
      </w:r>
      <w:r w:rsidRPr="000C4150">
        <w:rPr>
          <w:rStyle w:val="FootnoteReference"/>
          <w:rFonts w:ascii="Calibri" w:hAnsi="Calibri" w:cs="Arial"/>
          <w:color w:val="000000"/>
          <w:sz w:val="22"/>
          <w:szCs w:val="22"/>
          <w:lang w:val="es-ES" w:eastAsia="es-ES_tradnl"/>
        </w:rPr>
        <w:footnoteReference w:id="18"/>
      </w:r>
    </w:p>
    <w:p w14:paraId="3F39A3D9" w14:textId="77777777" w:rsidR="00F77550" w:rsidRDefault="00647233" w:rsidP="00424233">
      <w:pPr>
        <w:suppressAutoHyphens w:val="0"/>
        <w:spacing w:after="160" w:line="276" w:lineRule="auto"/>
        <w:ind w:firstLine="708"/>
        <w:jc w:val="both"/>
        <w:rPr>
          <w:rFonts w:ascii="Calibri" w:hAnsi="Calibri" w:cs="Arial"/>
          <w:i/>
          <w:iCs/>
          <w:color w:val="000000"/>
          <w:sz w:val="22"/>
          <w:szCs w:val="22"/>
          <w:lang w:val="es-ES" w:eastAsia="es-ES_tradnl"/>
        </w:rPr>
      </w:pPr>
      <w:r w:rsidRPr="000C4150">
        <w:rPr>
          <w:rFonts w:ascii="Calibri" w:hAnsi="Calibri" w:cs="Arial"/>
          <w:i/>
          <w:iCs/>
          <w:color w:val="000000"/>
          <w:sz w:val="22"/>
          <w:szCs w:val="22"/>
          <w:lang w:val="es-ES" w:eastAsia="es-ES_tradnl"/>
        </w:rPr>
        <w:t>De caravanas migrantes</w:t>
      </w:r>
    </w:p>
    <w:p w14:paraId="76C87312" w14:textId="214F92AD" w:rsidR="00647233" w:rsidRPr="000C4150" w:rsidRDefault="00647233" w:rsidP="00424233">
      <w:pPr>
        <w:suppressAutoHyphens w:val="0"/>
        <w:spacing w:after="160" w:line="276" w:lineRule="auto"/>
        <w:ind w:firstLine="708"/>
        <w:jc w:val="both"/>
        <w:rPr>
          <w:rFonts w:ascii="Calibri" w:hAnsi="Calibri" w:cs="Arial"/>
          <w:i/>
          <w:iCs/>
          <w:color w:val="000000"/>
          <w:sz w:val="22"/>
          <w:szCs w:val="22"/>
          <w:lang w:val="es-ES" w:eastAsia="es-ES_tradnl"/>
        </w:rPr>
      </w:pPr>
      <w:r w:rsidRPr="000C4150">
        <w:rPr>
          <w:rFonts w:ascii="Calibri" w:hAnsi="Calibri" w:cs="Arial"/>
          <w:color w:val="000000"/>
          <w:sz w:val="22"/>
          <w:szCs w:val="22"/>
          <w:lang w:val="es-ES" w:eastAsia="es-ES_tradnl"/>
        </w:rPr>
        <w:br/>
        <w:t>Como resultado de las negociaciones entre Estados Unidos y México, el 7 de junio de 2019,  el gobierno de Andrés Manuel López Obrador dio a conocer la estrategia para “controlar” el flujo de migrantes principalmente provenientes de Centro América. Ésta consiste principalmente en el repliegue de aproximadamente seis mil elementos de la Guardia Nacional  en la frontera sur del país.  Lo anterior ha generado una ola de deportaciones, desinformación y ataques a personas defensoras y periodistas que acompañan a migrantes. </w:t>
      </w:r>
    </w:p>
    <w:p w14:paraId="02F371BA" w14:textId="6E9ED569" w:rsidR="00647233" w:rsidRPr="000C4150" w:rsidRDefault="00647233" w:rsidP="00647233">
      <w:pPr>
        <w:suppressAutoHyphens w:val="0"/>
        <w:spacing w:before="240" w:after="240" w:line="276" w:lineRule="auto"/>
        <w:jc w:val="both"/>
        <w:rPr>
          <w:rFonts w:ascii="Calibri" w:hAnsi="Calibri" w:cs="Arial"/>
          <w:sz w:val="22"/>
          <w:szCs w:val="22"/>
          <w:lang w:val="es-ES" w:eastAsia="es-ES_tradnl"/>
        </w:rPr>
      </w:pPr>
      <w:r w:rsidRPr="000C4150">
        <w:rPr>
          <w:rFonts w:ascii="Calibri" w:hAnsi="Calibri" w:cs="Arial"/>
          <w:color w:val="000000"/>
          <w:sz w:val="22"/>
          <w:szCs w:val="22"/>
          <w:lang w:val="es-ES" w:eastAsia="es-ES_tradnl"/>
        </w:rPr>
        <w:t xml:space="preserve">En este contexto, ARTICLE 19 ha activado la Red Rompe el Miedo para monitorear y documentar las agresiones en contra de la libertad de expresión y de quienes comunican.  Así, dentro de las agresiones más recurrentes están los bloqueos informativos, ataque físico y verbal e intimidación y hostigamiento. En este sentido, el </w:t>
      </w:r>
      <w:r w:rsidRPr="000C4150">
        <w:rPr>
          <w:rFonts w:ascii="Calibri" w:hAnsi="Calibri" w:cs="Arial"/>
          <w:color w:val="000000"/>
          <w:sz w:val="22"/>
          <w:szCs w:val="22"/>
          <w:shd w:val="clear" w:color="auto" w:fill="FFFFFF"/>
          <w:lang w:val="es-ES" w:eastAsia="es-ES_tradnl"/>
        </w:rPr>
        <w:t> 4 de julio en el aeropuerto de Tapachula, Chiapas, cuando un grupo mixto de 40 efectivos de Guardia Nacional, Policía Federal e Instituto Nacional de Migración (IMN), impidieron que un grupo de periodistas documentara la deportación de 82 personas migrantes provenientes de Haití</w:t>
      </w:r>
      <w:r w:rsidR="00D62129">
        <w:rPr>
          <w:rFonts w:ascii="Calibri" w:hAnsi="Calibri" w:cs="Arial"/>
          <w:color w:val="000000"/>
          <w:sz w:val="22"/>
          <w:szCs w:val="22"/>
          <w:shd w:val="clear" w:color="auto" w:fill="FFFFFF"/>
          <w:lang w:val="es-ES" w:eastAsia="es-ES_tradnl"/>
        </w:rPr>
        <w:t>.</w:t>
      </w:r>
    </w:p>
    <w:p w14:paraId="505EAD88" w14:textId="77777777" w:rsidR="00647233" w:rsidRPr="000C4150" w:rsidRDefault="00647233" w:rsidP="00647233">
      <w:pPr>
        <w:suppressAutoHyphens w:val="0"/>
        <w:spacing w:line="276" w:lineRule="auto"/>
        <w:ind w:left="708"/>
        <w:jc w:val="both"/>
        <w:rPr>
          <w:rFonts w:ascii="Calibri" w:eastAsia="Times New Roman" w:hAnsi="Calibri" w:cs="Arial"/>
          <w:i/>
          <w:sz w:val="22"/>
          <w:szCs w:val="22"/>
          <w:lang w:val="es-ES" w:eastAsia="es-ES_tradnl"/>
        </w:rPr>
      </w:pPr>
      <w:r w:rsidRPr="000C4150">
        <w:rPr>
          <w:rFonts w:ascii="Calibri" w:eastAsia="Times New Roman" w:hAnsi="Calibri" w:cs="Arial"/>
          <w:i/>
          <w:sz w:val="22"/>
          <w:szCs w:val="22"/>
          <w:lang w:val="es-ES" w:eastAsia="es-ES_tradnl"/>
        </w:rPr>
        <w:t>Periodistas y Personas defensoras de derechos humanos</w:t>
      </w:r>
    </w:p>
    <w:p w14:paraId="5B3426C1"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7ABF9D9D"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Radios comunitarias</w:t>
      </w:r>
    </w:p>
    <w:p w14:paraId="240E98A2"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2A9B463D" w14:textId="5E6E201E"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La radio comunitaria ha sido el instrumento y el espacio para debatir abiertamente lo que preocupa a las diversas comunidades de una sociedad; es una propuesta social que un colectivo u organización ofrece a la sociedad, exponiendo claramente cómo pretenden estar y en consecuencia incidir en ese tejido social. Entendida así, la radio comunitaria es un proyecto político, en el sentido de que asume compromisos y toma posición respecto a la problemática concreta en que vive y se ubica en el contexto social en donde se desarrolla. Así, por ejemplo, tenemos radios de mujeres reivindicando sus derechos y su forma de querer ser vistas y tratadas por la sociedad; radios indígenas que defienden y fortalecen su identidad cultural en el marco de la realidad nacional; radios de jóvenes que proponen su visión, preocupaciones y formas de afrontarlas.</w:t>
      </w:r>
    </w:p>
    <w:p w14:paraId="21E26C4D"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Rafael </w:t>
      </w:r>
      <w:proofErr w:type="spellStart"/>
      <w:r w:rsidRPr="000C4150">
        <w:rPr>
          <w:rFonts w:ascii="Calibri" w:eastAsia="Times New Roman" w:hAnsi="Calibri" w:cs="Arial"/>
          <w:sz w:val="22"/>
          <w:szCs w:val="22"/>
          <w:lang w:val="es-ES" w:eastAsia="es-ES_tradnl"/>
        </w:rPr>
        <w:t>Murúa</w:t>
      </w:r>
      <w:proofErr w:type="spellEnd"/>
      <w:r w:rsidRPr="000C4150">
        <w:rPr>
          <w:rFonts w:ascii="Calibri" w:eastAsia="Times New Roman" w:hAnsi="Calibri" w:cs="Arial"/>
          <w:sz w:val="22"/>
          <w:szCs w:val="22"/>
          <w:lang w:val="es-ES" w:eastAsia="es-ES_tradnl"/>
        </w:rPr>
        <w:t xml:space="preserve"> </w:t>
      </w:r>
    </w:p>
    <w:p w14:paraId="06618D29"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El periodista comunitario Rafael </w:t>
      </w:r>
      <w:proofErr w:type="spellStart"/>
      <w:r w:rsidRPr="000C4150">
        <w:rPr>
          <w:rFonts w:ascii="Calibri" w:eastAsia="Times New Roman" w:hAnsi="Calibri" w:cs="Arial"/>
          <w:sz w:val="22"/>
          <w:szCs w:val="22"/>
          <w:lang w:val="es-ES" w:eastAsia="es-ES_tradnl"/>
        </w:rPr>
        <w:t>Murúa</w:t>
      </w:r>
      <w:proofErr w:type="spellEnd"/>
      <w:r w:rsidRPr="000C4150">
        <w:rPr>
          <w:rFonts w:ascii="Calibri" w:eastAsia="Times New Roman" w:hAnsi="Calibri" w:cs="Arial"/>
          <w:sz w:val="22"/>
          <w:szCs w:val="22"/>
          <w:lang w:val="es-ES" w:eastAsia="es-ES_tradnl"/>
        </w:rPr>
        <w:t xml:space="preserve"> </w:t>
      </w:r>
      <w:proofErr w:type="spellStart"/>
      <w:r w:rsidRPr="000C4150">
        <w:rPr>
          <w:rFonts w:ascii="Calibri" w:eastAsia="Times New Roman" w:hAnsi="Calibri" w:cs="Arial"/>
          <w:sz w:val="22"/>
          <w:szCs w:val="22"/>
          <w:lang w:val="es-ES" w:eastAsia="es-ES_tradnl"/>
        </w:rPr>
        <w:t>Manriquez</w:t>
      </w:r>
      <w:proofErr w:type="spellEnd"/>
      <w:r w:rsidRPr="000C4150">
        <w:rPr>
          <w:rFonts w:ascii="Calibri" w:eastAsia="Times New Roman" w:hAnsi="Calibri" w:cs="Arial"/>
          <w:sz w:val="22"/>
          <w:szCs w:val="22"/>
          <w:lang w:val="es-ES" w:eastAsia="es-ES_tradnl"/>
        </w:rPr>
        <w:t xml:space="preserve">, director de la radio comunitaria Radio </w:t>
      </w:r>
      <w:proofErr w:type="spellStart"/>
      <w:r w:rsidRPr="000C4150">
        <w:rPr>
          <w:rFonts w:ascii="Calibri" w:eastAsia="Times New Roman" w:hAnsi="Calibri" w:cs="Arial"/>
          <w:sz w:val="22"/>
          <w:szCs w:val="22"/>
          <w:lang w:val="es-ES" w:eastAsia="es-ES_tradnl"/>
        </w:rPr>
        <w:t>Kashanay</w:t>
      </w:r>
      <w:proofErr w:type="spellEnd"/>
      <w:r w:rsidRPr="000C4150">
        <w:rPr>
          <w:rFonts w:ascii="Calibri" w:eastAsia="Times New Roman" w:hAnsi="Calibri" w:cs="Arial"/>
          <w:sz w:val="22"/>
          <w:szCs w:val="22"/>
          <w:lang w:val="es-ES" w:eastAsia="es-ES_tradnl"/>
        </w:rPr>
        <w:t xml:space="preserve"> miembro de la Asociación Mundial de Radios Comunitarias (AMARC), que transmite desde la comunidad de Santa Rosalía, Baja California Sur, fue desaparecido y posteriormente asesinado por sujetos desconocidos el 20 de enero de 2019. Rafael había sido víctima de agresiones por su labor de comunicador desde 2017. Estas se fueron agravando ya que desde el 1 de junio de ése año empezó a recibir mensajes intimidatorios de un sujeto presuntamente </w:t>
      </w:r>
      <w:r w:rsidRPr="000C4150">
        <w:rPr>
          <w:rFonts w:ascii="Calibri" w:eastAsia="Times New Roman" w:hAnsi="Calibri" w:cs="Arial"/>
          <w:sz w:val="22"/>
          <w:szCs w:val="22"/>
          <w:lang w:val="es-ES" w:eastAsia="es-ES_tradnl"/>
        </w:rPr>
        <w:lastRenderedPageBreak/>
        <w:t>vinculado con la delincuencia organizada quienes le exigían eliminar una nota periodística sobre una persona sentenciada, así como para publicar notas en contra de la Secretaría de Marina (</w:t>
      </w:r>
      <w:proofErr w:type="spellStart"/>
      <w:r w:rsidRPr="000C4150">
        <w:rPr>
          <w:rFonts w:ascii="Calibri" w:eastAsia="Times New Roman" w:hAnsi="Calibri" w:cs="Arial"/>
          <w:sz w:val="22"/>
          <w:szCs w:val="22"/>
          <w:lang w:val="es-ES" w:eastAsia="es-ES_tradnl"/>
        </w:rPr>
        <w:t>Semar</w:t>
      </w:r>
      <w:proofErr w:type="spellEnd"/>
      <w:r w:rsidRPr="000C4150">
        <w:rPr>
          <w:rFonts w:ascii="Calibri" w:eastAsia="Times New Roman" w:hAnsi="Calibri" w:cs="Arial"/>
          <w:sz w:val="22"/>
          <w:szCs w:val="22"/>
          <w:lang w:val="es-ES" w:eastAsia="es-ES_tradnl"/>
        </w:rPr>
        <w:t>).</w:t>
      </w:r>
      <w:r w:rsidRPr="000C4150">
        <w:rPr>
          <w:rFonts w:ascii="Calibri" w:eastAsia="Times New Roman" w:hAnsi="Calibri" w:cs="Arial"/>
          <w:sz w:val="22"/>
          <w:szCs w:val="22"/>
          <w:vertAlign w:val="superscript"/>
          <w:lang w:val="es-ES" w:eastAsia="es-ES_tradnl"/>
        </w:rPr>
        <w:footnoteReference w:id="19"/>
      </w:r>
    </w:p>
    <w:p w14:paraId="6771006F"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752A9869"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Radio totopo</w:t>
      </w:r>
    </w:p>
    <w:p w14:paraId="7E25D82C"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El 27 de marzo de 2013, personas desconocidas irrumpieron las instalaciones de Radio Totopo en Juchitán, Oaxaca (Sur), para robar equipo de esa estación de radio comunitaria con fuerte presencia en el Istmo de </w:t>
      </w:r>
      <w:proofErr w:type="spellStart"/>
      <w:r w:rsidRPr="000C4150">
        <w:rPr>
          <w:rFonts w:ascii="Calibri" w:eastAsia="Times New Roman" w:hAnsi="Calibri" w:cs="Arial"/>
          <w:sz w:val="22"/>
          <w:szCs w:val="22"/>
          <w:lang w:val="es-ES" w:eastAsia="es-ES_tradnl"/>
        </w:rPr>
        <w:t>Tehuatepec</w:t>
      </w:r>
      <w:proofErr w:type="spellEnd"/>
      <w:r w:rsidRPr="000C4150">
        <w:rPr>
          <w:rFonts w:ascii="Calibri" w:eastAsia="Times New Roman" w:hAnsi="Calibri" w:cs="Arial"/>
          <w:sz w:val="22"/>
          <w:szCs w:val="22"/>
          <w:lang w:val="es-ES" w:eastAsia="es-ES_tradnl"/>
        </w:rPr>
        <w:t>.</w:t>
      </w:r>
    </w:p>
    <w:p w14:paraId="0CE2FCB5"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1B5F06DD" w14:textId="70A70EB8" w:rsidR="00647233" w:rsidRPr="000C4150" w:rsidRDefault="00647233" w:rsidP="00D62129">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Los responsables del atraco se robaron la antena transmisora, equipo de cómputo y el medidor eléctrico de la estación, vitales para su transmisión. </w:t>
      </w:r>
    </w:p>
    <w:p w14:paraId="279701DC"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p>
    <w:p w14:paraId="672F29E3"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Telésforo Santiago Enríquez</w:t>
      </w:r>
    </w:p>
    <w:p w14:paraId="1766E8EC"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El 2 de mayo, Telésforo Santiago Enríquez, de la radio comunitaria indígena Estéreo Cafetal 98.7 FM, fue asesinado por sujetos desconocidos en el municipio de San Agustín </w:t>
      </w:r>
      <w:proofErr w:type="spellStart"/>
      <w:r w:rsidRPr="000C4150">
        <w:rPr>
          <w:rFonts w:ascii="Calibri" w:eastAsia="Times New Roman" w:hAnsi="Calibri" w:cs="Arial"/>
          <w:sz w:val="22"/>
          <w:szCs w:val="22"/>
          <w:lang w:val="es-ES" w:eastAsia="es-ES_tradnl"/>
        </w:rPr>
        <w:t>Loxicha</w:t>
      </w:r>
      <w:proofErr w:type="spellEnd"/>
      <w:r w:rsidRPr="000C4150">
        <w:rPr>
          <w:rFonts w:ascii="Calibri" w:eastAsia="Times New Roman" w:hAnsi="Calibri" w:cs="Arial"/>
          <w:sz w:val="22"/>
          <w:szCs w:val="22"/>
          <w:lang w:val="es-ES" w:eastAsia="es-ES_tradnl"/>
        </w:rPr>
        <w:t>, Oaxaca.  Personas cercanas al locutor indicaron que “Siempre fue crítico, le interesaba que se reconociera y rescatara el zapoteco como lengua en la zona y abría su micrófono para que la gente se expresara sobre los problemas públicos”, dijo la fuente a ARTICLE 19. “Eso le valió que lo amenazaran recientemente. De cierta manera, él contribuía ejerciendo  presión política para que se llevaran a cabo cambios en la comunidad”.</w:t>
      </w:r>
      <w:r w:rsidRPr="000C4150">
        <w:rPr>
          <w:rFonts w:ascii="Calibri" w:eastAsia="Times New Roman" w:hAnsi="Calibri" w:cs="Arial"/>
          <w:sz w:val="22"/>
          <w:szCs w:val="22"/>
          <w:vertAlign w:val="superscript"/>
          <w:lang w:val="es-ES" w:eastAsia="es-ES_tradnl"/>
        </w:rPr>
        <w:footnoteReference w:id="20"/>
      </w:r>
    </w:p>
    <w:p w14:paraId="62025816"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p>
    <w:p w14:paraId="0EFA203B" w14:textId="77777777" w:rsidR="00647233" w:rsidRPr="000C4150" w:rsidRDefault="00647233" w:rsidP="00647233">
      <w:pPr>
        <w:suppressAutoHyphens w:val="0"/>
        <w:spacing w:line="276" w:lineRule="auto"/>
        <w:ind w:left="720"/>
        <w:jc w:val="both"/>
        <w:rPr>
          <w:rFonts w:ascii="Calibri" w:eastAsia="Times New Roman" w:hAnsi="Calibri" w:cs="Arial"/>
          <w:i/>
          <w:sz w:val="22"/>
          <w:szCs w:val="22"/>
          <w:lang w:val="es-ES" w:eastAsia="es-ES_tradnl"/>
        </w:rPr>
      </w:pPr>
      <w:r w:rsidRPr="000C4150">
        <w:rPr>
          <w:rFonts w:ascii="Calibri" w:eastAsia="Times New Roman" w:hAnsi="Calibri" w:cs="Arial"/>
          <w:i/>
          <w:sz w:val="22"/>
          <w:szCs w:val="22"/>
          <w:lang w:val="es-ES" w:eastAsia="es-ES_tradnl"/>
        </w:rPr>
        <w:t>Uso del aparato estatal contra periodistas que dan a conocer actos de corrupción</w:t>
      </w:r>
    </w:p>
    <w:p w14:paraId="2CB341EA"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p>
    <w:p w14:paraId="73F4769C" w14:textId="77777777" w:rsidR="00647233" w:rsidRDefault="00647233" w:rsidP="00647233">
      <w:pPr>
        <w:suppressAutoHyphens w:val="0"/>
        <w:spacing w:line="276" w:lineRule="auto"/>
        <w:ind w:left="144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Lydia Cacho </w:t>
      </w:r>
    </w:p>
    <w:p w14:paraId="3D187443" w14:textId="77777777" w:rsidR="001127DF" w:rsidRPr="000C4150" w:rsidRDefault="001127DF" w:rsidP="00647233">
      <w:pPr>
        <w:suppressAutoHyphens w:val="0"/>
        <w:spacing w:line="276" w:lineRule="auto"/>
        <w:ind w:left="1440"/>
        <w:jc w:val="both"/>
        <w:rPr>
          <w:rFonts w:ascii="Calibri" w:eastAsia="Times New Roman" w:hAnsi="Calibri" w:cs="Arial"/>
          <w:sz w:val="22"/>
          <w:szCs w:val="22"/>
          <w:lang w:val="es-ES" w:eastAsia="es-ES_tradnl"/>
        </w:rPr>
      </w:pPr>
    </w:p>
    <w:p w14:paraId="04773F41" w14:textId="77777777" w:rsidR="00647233"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La periodista y defensora de derechos humanos, enfrentó un proceso penal instaurado en su contra por la publicación en 2005 del libro “Los demonios del Edén”, en el cual develaba una red de pornografía infantil. El día 16 de diciembre de 2005, la periodista fue sometida a actos de tortura psicológica y física, tocamientos e insinuaciones sexuales, amenazas de muerte,  violencia verbal y física, así como actos de discriminación por razón de género durante y después de la detención arbitraria originada con motivo de una denuncia por el delito de difamación en el Estado de Puebla por parte del empresario </w:t>
      </w:r>
      <w:proofErr w:type="spellStart"/>
      <w:r w:rsidRPr="000C4150">
        <w:rPr>
          <w:rFonts w:ascii="Calibri" w:eastAsia="Times New Roman" w:hAnsi="Calibri" w:cs="Arial"/>
          <w:sz w:val="22"/>
          <w:szCs w:val="22"/>
          <w:lang w:val="es-ES" w:eastAsia="es-ES_tradnl"/>
        </w:rPr>
        <w:t>Kamel</w:t>
      </w:r>
      <w:proofErr w:type="spellEnd"/>
      <w:r w:rsidRPr="000C4150">
        <w:rPr>
          <w:rFonts w:ascii="Calibri" w:eastAsia="Times New Roman" w:hAnsi="Calibri" w:cs="Arial"/>
          <w:sz w:val="22"/>
          <w:szCs w:val="22"/>
          <w:lang w:val="es-ES" w:eastAsia="es-ES_tradnl"/>
        </w:rPr>
        <w:t xml:space="preserve"> </w:t>
      </w:r>
      <w:proofErr w:type="spellStart"/>
      <w:r w:rsidRPr="000C4150">
        <w:rPr>
          <w:rFonts w:ascii="Calibri" w:eastAsia="Times New Roman" w:hAnsi="Calibri" w:cs="Arial"/>
          <w:sz w:val="22"/>
          <w:szCs w:val="22"/>
          <w:lang w:val="es-ES" w:eastAsia="es-ES_tradnl"/>
        </w:rPr>
        <w:t>Nacif</w:t>
      </w:r>
      <w:proofErr w:type="spellEnd"/>
      <w:r w:rsidRPr="000C4150">
        <w:rPr>
          <w:rFonts w:ascii="Calibri" w:eastAsia="Times New Roman" w:hAnsi="Calibri" w:cs="Arial"/>
          <w:sz w:val="22"/>
          <w:szCs w:val="22"/>
          <w:lang w:val="es-ES" w:eastAsia="es-ES_tradnl"/>
        </w:rPr>
        <w:t xml:space="preserve"> Borge, en probable colusión con altas autoridades mexicanas ejecutivas y judiciales, con la intención de castigo por el ejercicio de la libertad de expresión. </w:t>
      </w:r>
    </w:p>
    <w:p w14:paraId="141394D2" w14:textId="0BA8C2C0" w:rsidR="00794E2B" w:rsidRDefault="00794E2B" w:rsidP="00647233">
      <w:pPr>
        <w:suppressAutoHyphens w:val="0"/>
        <w:spacing w:line="276" w:lineRule="auto"/>
        <w:jc w:val="both"/>
        <w:rPr>
          <w:rFonts w:ascii="Calibri" w:eastAsia="Times New Roman" w:hAnsi="Calibri" w:cs="Arial"/>
          <w:sz w:val="22"/>
          <w:szCs w:val="22"/>
          <w:lang w:val="es-ES" w:eastAsia="es-ES_tradnl"/>
        </w:rPr>
      </w:pPr>
      <w:r>
        <w:rPr>
          <w:rFonts w:ascii="Calibri" w:eastAsia="Times New Roman" w:hAnsi="Calibri" w:cs="Arial"/>
          <w:sz w:val="22"/>
          <w:szCs w:val="22"/>
          <w:lang w:val="es-ES" w:eastAsia="es-ES_tradnl"/>
        </w:rPr>
        <w:t xml:space="preserve">Este Ilustre Comité emitió </w:t>
      </w:r>
      <w:r w:rsidR="00ED5579">
        <w:rPr>
          <w:rFonts w:ascii="Calibri" w:eastAsia="Times New Roman" w:hAnsi="Calibri" w:cs="Arial"/>
          <w:sz w:val="22"/>
          <w:szCs w:val="22"/>
          <w:lang w:val="es-ES" w:eastAsia="es-ES_tradnl"/>
        </w:rPr>
        <w:t xml:space="preserve">el </w:t>
      </w:r>
      <w:r>
        <w:rPr>
          <w:rFonts w:ascii="Calibri" w:eastAsia="Times New Roman" w:hAnsi="Calibri" w:cs="Arial"/>
          <w:sz w:val="22"/>
          <w:szCs w:val="22"/>
          <w:lang w:val="es-ES" w:eastAsia="es-ES_tradnl"/>
        </w:rPr>
        <w:t xml:space="preserve">Dictamen </w:t>
      </w:r>
      <w:r w:rsidR="00ED5579" w:rsidRPr="00ED5579">
        <w:rPr>
          <w:rFonts w:ascii="Calibri" w:eastAsia="Times New Roman" w:hAnsi="Calibri" w:cs="Arial"/>
          <w:sz w:val="22"/>
          <w:szCs w:val="22"/>
          <w:lang w:val="es-ES" w:eastAsia="es-ES_tradnl"/>
        </w:rPr>
        <w:t>CCPR/C/123/D/2767/2016</w:t>
      </w:r>
      <w:r w:rsidR="00ED5579">
        <w:rPr>
          <w:rFonts w:ascii="Calibri" w:eastAsia="Times New Roman" w:hAnsi="Calibri" w:cs="Arial"/>
          <w:sz w:val="22"/>
          <w:szCs w:val="22"/>
          <w:lang w:val="es-ES" w:eastAsia="es-ES_tradnl"/>
        </w:rPr>
        <w:t>,</w:t>
      </w:r>
      <w:r w:rsidR="00ED5579" w:rsidRPr="00ED5579">
        <w:rPr>
          <w:rFonts w:ascii="Calibri" w:eastAsia="Times New Roman" w:hAnsi="Calibri" w:cs="Arial"/>
          <w:sz w:val="22"/>
          <w:szCs w:val="22"/>
          <w:lang w:val="es-ES" w:eastAsia="es-ES_tradnl"/>
        </w:rPr>
        <w:t xml:space="preserve"> </w:t>
      </w:r>
      <w:r>
        <w:rPr>
          <w:rFonts w:ascii="Calibri" w:eastAsia="Times New Roman" w:hAnsi="Calibri" w:cs="Arial"/>
          <w:sz w:val="22"/>
          <w:szCs w:val="22"/>
          <w:lang w:val="es-ES" w:eastAsia="es-ES_tradnl"/>
        </w:rPr>
        <w:t xml:space="preserve">en que </w:t>
      </w:r>
      <w:r w:rsidR="008A395C">
        <w:rPr>
          <w:rFonts w:ascii="Calibri" w:eastAsia="Times New Roman" w:hAnsi="Calibri" w:cs="Arial"/>
          <w:sz w:val="22"/>
          <w:szCs w:val="22"/>
          <w:lang w:val="es-ES" w:eastAsia="es-ES_tradnl"/>
        </w:rPr>
        <w:t>encontró que el Estado mexicano había violentado los derechos de la periodista</w:t>
      </w:r>
      <w:r w:rsidR="0085531E">
        <w:rPr>
          <w:rFonts w:ascii="Calibri" w:eastAsia="Times New Roman" w:hAnsi="Calibri" w:cs="Arial"/>
          <w:sz w:val="22"/>
          <w:szCs w:val="22"/>
          <w:lang w:val="es-ES" w:eastAsia="es-ES_tradnl"/>
        </w:rPr>
        <w:t xml:space="preserve">; en éste </w:t>
      </w:r>
      <w:r w:rsidR="008A395C">
        <w:rPr>
          <w:rFonts w:ascii="Calibri" w:eastAsia="Times New Roman" w:hAnsi="Calibri" w:cs="Arial"/>
          <w:sz w:val="22"/>
          <w:szCs w:val="22"/>
          <w:lang w:val="es-ES" w:eastAsia="es-ES_tradnl"/>
        </w:rPr>
        <w:t xml:space="preserve">solicitó al Estado reparar tales violaciones a partir de la derogación de los delitos contra el honor y una investigación diligente para sancionar a los responsables. Actos que al momento de este informe, siguen sin cumplirse en su totalidad. </w:t>
      </w:r>
    </w:p>
    <w:p w14:paraId="61AB7798" w14:textId="77777777" w:rsidR="001127DF" w:rsidRPr="000C4150" w:rsidRDefault="001127DF" w:rsidP="00647233">
      <w:pPr>
        <w:suppressAutoHyphens w:val="0"/>
        <w:spacing w:line="276" w:lineRule="auto"/>
        <w:jc w:val="both"/>
        <w:rPr>
          <w:rFonts w:ascii="Calibri" w:eastAsia="Times New Roman" w:hAnsi="Calibri" w:cs="Arial"/>
          <w:sz w:val="22"/>
          <w:szCs w:val="22"/>
          <w:lang w:val="es-ES" w:eastAsia="es-ES_tradnl"/>
        </w:rPr>
      </w:pPr>
    </w:p>
    <w:p w14:paraId="6DC24866" w14:textId="77777777" w:rsidR="00647233" w:rsidRPr="000C4150" w:rsidRDefault="00647233" w:rsidP="00647233">
      <w:pPr>
        <w:suppressAutoHyphens w:val="0"/>
        <w:spacing w:line="276" w:lineRule="auto"/>
        <w:ind w:left="144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Leonardo García</w:t>
      </w:r>
    </w:p>
    <w:p w14:paraId="51605C34" w14:textId="77777777" w:rsidR="00647233" w:rsidRPr="000C4150" w:rsidRDefault="00647233" w:rsidP="00647233">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lastRenderedPageBreak/>
        <w:t>Ingeniero de profesión, inició la defensa de derechos humanos a partir de afectaciones en su residencia, a través de solicitudes de acceso a la información, develó una probable red de corrupción entre accionistas de la constructora de su vivienda con funcionarios de la dirección de obras del Estado de Hidalgo. La publicación de la información le valió una denuncia en su contra por difamación y calumnias. A la fecha no se han esclarecido los actos de corrupción ni se ha garantizado los derechos a la vivienda de Leonardo, familiares y vecinos. El proceso penal fue suspendido por un Juicio de amparo promovido contra el tipo penal de difamación.</w:t>
      </w:r>
    </w:p>
    <w:p w14:paraId="177E8DE2" w14:textId="77777777" w:rsidR="00647233" w:rsidRPr="000C4150" w:rsidRDefault="00647233" w:rsidP="000C4150">
      <w:pPr>
        <w:suppressAutoHyphens w:val="0"/>
        <w:spacing w:line="276" w:lineRule="auto"/>
        <w:jc w:val="both"/>
        <w:rPr>
          <w:rFonts w:ascii="Calibri" w:hAnsi="Calibri" w:cs="Arial"/>
          <w:sz w:val="22"/>
          <w:szCs w:val="22"/>
          <w:lang w:val="es-ES" w:eastAsia="es-ES_tradnl"/>
        </w:rPr>
      </w:pPr>
    </w:p>
    <w:p w14:paraId="52D7D295" w14:textId="48C67CFC" w:rsidR="00381B65" w:rsidRPr="000C4150" w:rsidRDefault="00381B65" w:rsidP="000C4150">
      <w:pPr>
        <w:suppressAutoHyphens w:val="0"/>
        <w:spacing w:line="276" w:lineRule="auto"/>
        <w:ind w:left="708"/>
        <w:jc w:val="both"/>
        <w:rPr>
          <w:rFonts w:ascii="Calibri" w:hAnsi="Calibri" w:cs="Arial"/>
          <w:i/>
          <w:sz w:val="22"/>
          <w:szCs w:val="22"/>
          <w:lang w:val="es-ES" w:eastAsia="es-ES_tradnl"/>
        </w:rPr>
      </w:pPr>
      <w:r w:rsidRPr="000C4150">
        <w:rPr>
          <w:rFonts w:ascii="Calibri" w:hAnsi="Calibri" w:cs="Arial"/>
          <w:i/>
          <w:sz w:val="22"/>
          <w:szCs w:val="22"/>
          <w:lang w:val="es-ES" w:eastAsia="es-ES_tradnl"/>
        </w:rPr>
        <w:t>Sobre la administración de justicia</w:t>
      </w:r>
    </w:p>
    <w:p w14:paraId="58B67F5A" w14:textId="77777777" w:rsidR="005E1507" w:rsidRPr="000C4150" w:rsidRDefault="005E1507" w:rsidP="000C4150">
      <w:pPr>
        <w:suppressAutoHyphens w:val="0"/>
        <w:spacing w:line="276" w:lineRule="auto"/>
        <w:jc w:val="both"/>
        <w:rPr>
          <w:rFonts w:ascii="Calibri" w:hAnsi="Calibri" w:cs="Arial"/>
          <w:sz w:val="22"/>
          <w:szCs w:val="22"/>
          <w:lang w:val="es-ES" w:eastAsia="es-ES_tradnl"/>
        </w:rPr>
      </w:pPr>
    </w:p>
    <w:p w14:paraId="0AE21D4B" w14:textId="17F3B2B6" w:rsidR="005E1507" w:rsidRPr="000C4150" w:rsidRDefault="00381B65" w:rsidP="000C4150">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El</w:t>
      </w:r>
      <w:r w:rsidR="005E1507" w:rsidRPr="000C4150">
        <w:rPr>
          <w:rFonts w:ascii="Calibri" w:hAnsi="Calibri" w:cs="Arial"/>
          <w:sz w:val="22"/>
          <w:szCs w:val="22"/>
          <w:lang w:val="es-ES" w:eastAsia="es-ES_tradnl"/>
        </w:rPr>
        <w:t xml:space="preserve"> marco jurídico</w:t>
      </w:r>
      <w:r w:rsidRPr="000C4150">
        <w:rPr>
          <w:rFonts w:ascii="Calibri" w:hAnsi="Calibri" w:cs="Arial"/>
          <w:sz w:val="22"/>
          <w:szCs w:val="22"/>
          <w:lang w:val="es-ES" w:eastAsia="es-ES_tradnl"/>
        </w:rPr>
        <w:t xml:space="preserve"> descrito arriba, </w:t>
      </w:r>
      <w:r w:rsidR="005E1507" w:rsidRPr="000C4150">
        <w:rPr>
          <w:rFonts w:ascii="Calibri" w:hAnsi="Calibri" w:cs="Arial"/>
          <w:sz w:val="22"/>
          <w:szCs w:val="22"/>
          <w:lang w:val="es-ES" w:eastAsia="es-ES_tradnl"/>
        </w:rPr>
        <w:t xml:space="preserve"> es propicio para censurar a actores políticos contrarios a los go</w:t>
      </w:r>
      <w:r w:rsidR="005463C6" w:rsidRPr="000C4150">
        <w:rPr>
          <w:rFonts w:ascii="Calibri" w:hAnsi="Calibri" w:cs="Arial"/>
          <w:sz w:val="22"/>
          <w:szCs w:val="22"/>
          <w:lang w:val="es-ES" w:eastAsia="es-ES_tradnl"/>
        </w:rPr>
        <w:t xml:space="preserve">biernos y a cualquier actor que tenga poder político o económico. A pesar de que en la Suprema Corte de Justicia de la Nación se han tomado criterios protectores de la libertad de expresión, el resto de las </w:t>
      </w:r>
      <w:r w:rsidR="00D44CB1" w:rsidRPr="000C4150">
        <w:rPr>
          <w:rFonts w:ascii="Calibri" w:hAnsi="Calibri" w:cs="Arial"/>
          <w:sz w:val="22"/>
          <w:szCs w:val="22"/>
          <w:lang w:val="es-ES" w:eastAsia="es-ES_tradnl"/>
        </w:rPr>
        <w:t>autoridades</w:t>
      </w:r>
      <w:r w:rsidR="005463C6" w:rsidRPr="000C4150">
        <w:rPr>
          <w:rFonts w:ascii="Calibri" w:hAnsi="Calibri" w:cs="Arial"/>
          <w:sz w:val="22"/>
          <w:szCs w:val="22"/>
          <w:lang w:val="es-ES" w:eastAsia="es-ES_tradnl"/>
        </w:rPr>
        <w:t xml:space="preserve"> judiciales </w:t>
      </w:r>
      <w:r w:rsidR="00B12F91" w:rsidRPr="000C4150">
        <w:rPr>
          <w:rFonts w:ascii="Calibri" w:hAnsi="Calibri" w:cs="Arial"/>
          <w:sz w:val="22"/>
          <w:szCs w:val="22"/>
          <w:lang w:val="es-ES" w:eastAsia="es-ES_tradnl"/>
        </w:rPr>
        <w:t xml:space="preserve">y </w:t>
      </w:r>
      <w:r w:rsidR="00D44CB1" w:rsidRPr="000C4150">
        <w:rPr>
          <w:rFonts w:ascii="Calibri" w:hAnsi="Calibri" w:cs="Arial"/>
          <w:sz w:val="22"/>
          <w:szCs w:val="22"/>
          <w:lang w:val="es-ES" w:eastAsia="es-ES_tradnl"/>
        </w:rPr>
        <w:t xml:space="preserve">mantienen una interpretación conservadora del derecho. </w:t>
      </w:r>
      <w:r w:rsidR="005E1507" w:rsidRPr="000C4150">
        <w:rPr>
          <w:rFonts w:ascii="Calibri" w:hAnsi="Calibri" w:cs="Arial"/>
          <w:sz w:val="22"/>
          <w:szCs w:val="22"/>
          <w:lang w:val="es-ES" w:eastAsia="es-ES_tradnl"/>
        </w:rPr>
        <w:t xml:space="preserve"> </w:t>
      </w:r>
    </w:p>
    <w:p w14:paraId="75C03FCF" w14:textId="77777777" w:rsidR="00D44CB1" w:rsidRPr="000C4150" w:rsidRDefault="00D44CB1" w:rsidP="000C4150">
      <w:pPr>
        <w:suppressAutoHyphens w:val="0"/>
        <w:spacing w:line="276" w:lineRule="auto"/>
        <w:jc w:val="both"/>
        <w:rPr>
          <w:rFonts w:ascii="Calibri" w:hAnsi="Calibri" w:cs="Arial"/>
          <w:sz w:val="22"/>
          <w:szCs w:val="22"/>
          <w:lang w:val="es-ES" w:eastAsia="es-ES_tradnl"/>
        </w:rPr>
      </w:pPr>
    </w:p>
    <w:p w14:paraId="7234F945" w14:textId="7610DA05" w:rsidR="00693E5C" w:rsidRPr="000C4150" w:rsidRDefault="00693E5C" w:rsidP="000C4150">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Aristegui Noticias</w:t>
      </w:r>
    </w:p>
    <w:p w14:paraId="754BBFFA" w14:textId="77777777" w:rsidR="00693E5C" w:rsidRPr="000C4150" w:rsidRDefault="00693E5C" w:rsidP="000C4150">
      <w:pPr>
        <w:suppressAutoHyphens w:val="0"/>
        <w:spacing w:line="276" w:lineRule="auto"/>
        <w:jc w:val="both"/>
        <w:rPr>
          <w:rFonts w:ascii="Calibri" w:hAnsi="Calibri" w:cs="Arial"/>
          <w:sz w:val="22"/>
          <w:szCs w:val="22"/>
          <w:lang w:val="es-ES" w:eastAsia="es-ES_tradnl"/>
        </w:rPr>
      </w:pPr>
    </w:p>
    <w:p w14:paraId="2DD866D2" w14:textId="11245190" w:rsidR="00C244B2" w:rsidRPr="000C4150" w:rsidRDefault="00C244B2" w:rsidP="000C4150">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 xml:space="preserve">ARTICLE 19 </w:t>
      </w:r>
      <w:r w:rsidR="00693E5C" w:rsidRPr="000C4150">
        <w:rPr>
          <w:rFonts w:ascii="Calibri" w:hAnsi="Calibri" w:cs="Arial"/>
          <w:sz w:val="22"/>
          <w:szCs w:val="22"/>
          <w:lang w:val="es-ES" w:eastAsia="es-ES_tradnl"/>
        </w:rPr>
        <w:t>acompaña el caso</w:t>
      </w:r>
      <w:r w:rsidRPr="000C4150">
        <w:rPr>
          <w:rFonts w:ascii="Calibri" w:hAnsi="Calibri" w:cs="Arial"/>
          <w:sz w:val="22"/>
          <w:szCs w:val="22"/>
          <w:lang w:val="es-ES" w:eastAsia="es-ES_tradnl"/>
        </w:rPr>
        <w:t xml:space="preserve"> relativo al allanamiento y robo en las oficinas de Aristegui Noticias el 13 de noviembre de 2014, en donde ingresaron 5 personas a base de engaños y fuerza, sustrayendo una computadora portátil que contenía investigaciones periodísticas. Hasta la fecha existe una persona procesada y sentenciada por esos hechos, sin embargo, ni la Procuraduría General de Justicia de la CDMX ni el Tribunal Superior de Justicia, abordaron el asunto relacionándolo con el trabajo del medio, sino como un delito de robo más. </w:t>
      </w:r>
    </w:p>
    <w:p w14:paraId="61ED51E4" w14:textId="77777777" w:rsidR="00C244B2" w:rsidRPr="000C4150" w:rsidRDefault="00C244B2" w:rsidP="000C4150">
      <w:pPr>
        <w:suppressAutoHyphens w:val="0"/>
        <w:spacing w:line="276" w:lineRule="auto"/>
        <w:jc w:val="both"/>
        <w:rPr>
          <w:rFonts w:ascii="Calibri" w:hAnsi="Calibri" w:cs="Arial"/>
          <w:sz w:val="22"/>
          <w:szCs w:val="22"/>
          <w:lang w:val="es-ES" w:eastAsia="es-ES_tradnl"/>
        </w:rPr>
      </w:pPr>
    </w:p>
    <w:p w14:paraId="686B7C3B" w14:textId="77777777" w:rsidR="00C244B2" w:rsidRPr="000C4150" w:rsidRDefault="00C244B2" w:rsidP="000C4150">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Durante la investigación y el juicio oral, se omitieron los elementos o datos de prueba, así como el contexto, que señalaban una relación de los hechos con la labor periodística. Incluso en el juicio oral, se mencionó por parte de los jueces que si acaso se afectó la libertad de expresión del medio, fue de manera accidental, colateral o indirecta, no que el hecho delictivo se haya cometido en razón de su labor; lo anterior no obstante que siempre hubo por parte de los jueces una actitud parcial y reticente a incorporar en el juicio elementos y argumentos que desarrollaban esa línea, incluso coartando directamente esa posibilidad.</w:t>
      </w:r>
    </w:p>
    <w:p w14:paraId="54444712" w14:textId="77777777" w:rsidR="00C244B2" w:rsidRPr="000C4150" w:rsidRDefault="00C244B2" w:rsidP="000C4150">
      <w:pPr>
        <w:suppressAutoHyphens w:val="0"/>
        <w:spacing w:line="276" w:lineRule="auto"/>
        <w:jc w:val="both"/>
        <w:rPr>
          <w:rFonts w:ascii="Calibri" w:hAnsi="Calibri" w:cs="Arial"/>
          <w:sz w:val="22"/>
          <w:szCs w:val="22"/>
          <w:lang w:val="es-ES" w:eastAsia="es-ES_tradnl"/>
        </w:rPr>
      </w:pPr>
    </w:p>
    <w:p w14:paraId="5A6771E7" w14:textId="66F925B1" w:rsidR="00C244B2" w:rsidRPr="000C4150" w:rsidRDefault="00B12F91" w:rsidP="000C4150">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Alejandra Rodríguez Escobar</w:t>
      </w:r>
    </w:p>
    <w:p w14:paraId="2CA4B6C3" w14:textId="77777777" w:rsidR="00002ED7" w:rsidRPr="000C4150" w:rsidRDefault="00002ED7" w:rsidP="000C4150">
      <w:pPr>
        <w:suppressAutoHyphens w:val="0"/>
        <w:spacing w:line="276" w:lineRule="auto"/>
        <w:jc w:val="both"/>
        <w:rPr>
          <w:rFonts w:ascii="Calibri" w:hAnsi="Calibri" w:cs="Arial"/>
          <w:sz w:val="22"/>
          <w:szCs w:val="22"/>
          <w:lang w:val="es-ES" w:eastAsia="es-ES_tradnl"/>
        </w:rPr>
      </w:pPr>
    </w:p>
    <w:p w14:paraId="51BAAF2D" w14:textId="1EBDD018" w:rsidR="00C91072" w:rsidRPr="000C4150" w:rsidRDefault="00C244B2" w:rsidP="00C91072">
      <w:pPr>
        <w:suppressAutoHyphens w:val="0"/>
        <w:spacing w:line="276" w:lineRule="auto"/>
        <w:jc w:val="both"/>
        <w:rPr>
          <w:rFonts w:ascii="Calibri" w:hAnsi="Calibri" w:cs="Arial"/>
          <w:sz w:val="22"/>
          <w:szCs w:val="22"/>
          <w:lang w:val="es-ES" w:eastAsia="es-ES_tradnl"/>
        </w:rPr>
      </w:pPr>
      <w:r w:rsidRPr="000C4150">
        <w:rPr>
          <w:rFonts w:ascii="Calibri" w:hAnsi="Calibri" w:cs="Arial"/>
          <w:sz w:val="22"/>
          <w:szCs w:val="22"/>
          <w:lang w:val="es-ES" w:eastAsia="es-ES_tradnl"/>
        </w:rPr>
        <w:t>En 2013, Alejandra Rodríguez Escobar, cubría movimientos sociales en la capital del país. En el momento de la agresión en su contra, era colaboradora del medio independiente Somos el Medio. La periodista se encontraba cubriendo la manifestación conocida como «1Dmx», el 1 de diciembre de 2013, capturando los abusos policiales de integrantes de la Secretaría de Seguridad Pública del Distrito Federal hacia los manifestantes. Fue detenida arbitrariamente y sujeta a una uso de la fuerza excesivo.</w:t>
      </w:r>
      <w:r w:rsidR="001127DF">
        <w:rPr>
          <w:rFonts w:ascii="Calibri" w:hAnsi="Calibri" w:cs="Arial"/>
          <w:sz w:val="22"/>
          <w:szCs w:val="22"/>
          <w:lang w:val="es-ES" w:eastAsia="es-ES_tradnl"/>
        </w:rPr>
        <w:t xml:space="preserve"> Después de presentar una denunci</w:t>
      </w:r>
      <w:r w:rsidR="00C91072">
        <w:rPr>
          <w:rFonts w:ascii="Calibri" w:hAnsi="Calibri" w:cs="Arial"/>
          <w:sz w:val="22"/>
          <w:szCs w:val="22"/>
          <w:lang w:val="es-ES" w:eastAsia="es-ES_tradnl"/>
        </w:rPr>
        <w:t>a por los hechos</w:t>
      </w:r>
      <w:r w:rsidR="007665DA">
        <w:rPr>
          <w:rFonts w:ascii="Calibri" w:hAnsi="Calibri" w:cs="Arial"/>
          <w:sz w:val="22"/>
          <w:szCs w:val="22"/>
          <w:lang w:val="es-ES" w:eastAsia="es-ES_tradnl"/>
        </w:rPr>
        <w:t xml:space="preserve"> ante la FEADLE</w:t>
      </w:r>
      <w:r w:rsidR="00C91072">
        <w:rPr>
          <w:rFonts w:ascii="Calibri" w:hAnsi="Calibri" w:cs="Arial"/>
          <w:sz w:val="22"/>
          <w:szCs w:val="22"/>
          <w:lang w:val="es-ES" w:eastAsia="es-ES_tradnl"/>
        </w:rPr>
        <w:t xml:space="preserve">, la periodista fue notificada del no ejercicio de la acción penal, resolución que fue impugnada y que no resultó favorable a la periodista, puesto que el Juzgado federal que resolvió, declaró </w:t>
      </w:r>
      <w:r w:rsidR="00C91072" w:rsidRPr="000C4150">
        <w:rPr>
          <w:rFonts w:ascii="Calibri" w:hAnsi="Calibri" w:cs="Arial"/>
          <w:sz w:val="22"/>
          <w:szCs w:val="22"/>
          <w:lang w:val="es-ES" w:eastAsia="es-ES_tradnl"/>
        </w:rPr>
        <w:t>no se violó su libertad de expresión, que el uso de la fuerza fue proporcional y por tanto no había delito que perseguir en contra de policías.</w:t>
      </w:r>
    </w:p>
    <w:p w14:paraId="35BA13C8" w14:textId="77777777" w:rsidR="00002ED7" w:rsidRPr="000C4150" w:rsidRDefault="00002ED7" w:rsidP="000C4150">
      <w:pPr>
        <w:suppressAutoHyphens w:val="0"/>
        <w:spacing w:line="276" w:lineRule="auto"/>
        <w:jc w:val="both"/>
        <w:rPr>
          <w:rFonts w:ascii="Calibri" w:hAnsi="Calibri" w:cs="Arial"/>
          <w:sz w:val="22"/>
          <w:szCs w:val="22"/>
          <w:lang w:val="es-ES" w:eastAsia="es-ES_tradnl"/>
        </w:rPr>
      </w:pPr>
    </w:p>
    <w:p w14:paraId="0F1DB2BB" w14:textId="77777777" w:rsidR="00002ED7" w:rsidRPr="000C4150" w:rsidRDefault="00002ED7" w:rsidP="000C4150">
      <w:pPr>
        <w:suppressAutoHyphens w:val="0"/>
        <w:spacing w:line="276" w:lineRule="auto"/>
        <w:jc w:val="both"/>
        <w:rPr>
          <w:rFonts w:ascii="Calibri" w:hAnsi="Calibri" w:cs="Arial"/>
          <w:sz w:val="22"/>
          <w:szCs w:val="22"/>
          <w:lang w:val="es-ES" w:eastAsia="es-ES_tradnl"/>
        </w:rPr>
      </w:pPr>
    </w:p>
    <w:p w14:paraId="16883FF5" w14:textId="38B0BE5D" w:rsidR="004A7446" w:rsidRPr="000C4150" w:rsidRDefault="00EC1F5B" w:rsidP="000C4150">
      <w:pPr>
        <w:suppressAutoHyphens w:val="0"/>
        <w:spacing w:line="276" w:lineRule="auto"/>
        <w:jc w:val="both"/>
        <w:rPr>
          <w:rFonts w:ascii="Calibri" w:hAnsi="Calibri" w:cs="Arial"/>
          <w:b/>
          <w:sz w:val="22"/>
          <w:szCs w:val="22"/>
          <w:lang w:val="es-ES"/>
        </w:rPr>
      </w:pPr>
      <w:r w:rsidRPr="000C4150">
        <w:rPr>
          <w:rFonts w:ascii="Calibri" w:hAnsi="Calibri" w:cs="Arial"/>
          <w:b/>
          <w:sz w:val="22"/>
          <w:szCs w:val="22"/>
          <w:lang w:val="es-ES"/>
        </w:rPr>
        <w:t xml:space="preserve">Impunidad </w:t>
      </w:r>
    </w:p>
    <w:p w14:paraId="2C88178F"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43FA32B3" w14:textId="673026F0" w:rsidR="00B32084" w:rsidRPr="000C4150" w:rsidRDefault="004A7446"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Al día de la presentación de este informe</w:t>
      </w:r>
      <w:r w:rsidR="009A2258" w:rsidRPr="000C4150">
        <w:rPr>
          <w:rFonts w:ascii="Calibri" w:eastAsia="Times New Roman" w:hAnsi="Calibri" w:cs="Arial"/>
          <w:sz w:val="22"/>
          <w:szCs w:val="22"/>
          <w:lang w:val="es-ES" w:eastAsia="es-ES_tradnl"/>
        </w:rPr>
        <w:t xml:space="preserve"> sombra</w:t>
      </w:r>
      <w:r w:rsidRPr="000C4150">
        <w:rPr>
          <w:rFonts w:ascii="Calibri" w:eastAsia="Times New Roman" w:hAnsi="Calibri" w:cs="Arial"/>
          <w:sz w:val="22"/>
          <w:szCs w:val="22"/>
          <w:lang w:val="es-ES" w:eastAsia="es-ES_tradnl"/>
        </w:rPr>
        <w:t>, l</w:t>
      </w:r>
      <w:r w:rsidR="00B32084" w:rsidRPr="000C4150">
        <w:rPr>
          <w:rFonts w:ascii="Calibri" w:eastAsia="Times New Roman" w:hAnsi="Calibri" w:cs="Arial"/>
          <w:sz w:val="22"/>
          <w:szCs w:val="22"/>
          <w:lang w:val="es-ES" w:eastAsia="es-ES_tradnl"/>
        </w:rPr>
        <w:t>a impunidad en delitos cometidos contra la Libertad de Expresión alcanza el 98.84% del total de los casos conocidos por la Fiscalía Especial para la Atención de Delitos cometidos contra la Libertad de Expresión, de acuerdo con su propio informe estadístico de julio de 2019.</w:t>
      </w:r>
      <w:r w:rsidR="00B32084" w:rsidRPr="000C4150">
        <w:rPr>
          <w:rFonts w:ascii="Calibri" w:eastAsia="Times New Roman" w:hAnsi="Calibri" w:cs="Arial"/>
          <w:sz w:val="22"/>
          <w:szCs w:val="22"/>
          <w:vertAlign w:val="superscript"/>
          <w:lang w:val="es-ES" w:eastAsia="es-ES_tradnl"/>
        </w:rPr>
        <w:footnoteReference w:id="21"/>
      </w:r>
    </w:p>
    <w:p w14:paraId="7077C448"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3DB1F465" w14:textId="77777777" w:rsidR="00B32084" w:rsidRPr="000C4150" w:rsidRDefault="00B32084"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Dicha Fiscalía, creada en el año de 2010 responde a la creciente ola de violencia contra la prensa en México, además de representar uno de los esfuerzos del Estado Mexicano por garantizar investigaciones “eficaces” que lleven a garantizar la reparación de los daños cometidos a aquellas y aquellos periodistas que han sido víctimas de delitos como consecuencia de su ejercicio periodístico. </w:t>
      </w:r>
    </w:p>
    <w:p w14:paraId="6EF99271"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4A8A77F4" w14:textId="47F801FB" w:rsidR="00B32084" w:rsidRPr="000C4150" w:rsidRDefault="00000296"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No </w:t>
      </w:r>
      <w:r w:rsidR="00B32084" w:rsidRPr="000C4150">
        <w:rPr>
          <w:rFonts w:ascii="Calibri" w:eastAsia="Times New Roman" w:hAnsi="Calibri" w:cs="Arial"/>
          <w:sz w:val="22"/>
          <w:szCs w:val="22"/>
          <w:lang w:val="es-ES" w:eastAsia="es-ES_tradnl"/>
        </w:rPr>
        <w:t>obstante que existen Instituciones creadas de forma especial para responder preventiva y reactivamente a la violencia en contra de las y los comunicadores, dichas instituciones no han sido capaces de revertir la invariable alza de agresiones contra periodista</w:t>
      </w:r>
      <w:r w:rsidRPr="000C4150">
        <w:rPr>
          <w:rFonts w:ascii="Calibri" w:eastAsia="Times New Roman" w:hAnsi="Calibri" w:cs="Arial"/>
          <w:sz w:val="22"/>
          <w:szCs w:val="22"/>
          <w:lang w:val="es-ES" w:eastAsia="es-ES_tradnl"/>
        </w:rPr>
        <w:t xml:space="preserve">s que se registran año con año, </w:t>
      </w:r>
      <w:r w:rsidR="00B32084" w:rsidRPr="000C4150">
        <w:rPr>
          <w:rFonts w:ascii="Calibri" w:eastAsia="Times New Roman" w:hAnsi="Calibri" w:cs="Arial"/>
          <w:sz w:val="22"/>
          <w:szCs w:val="22"/>
          <w:lang w:val="es-ES" w:eastAsia="es-ES_tradnl"/>
        </w:rPr>
        <w:t xml:space="preserve">debido a investigaciones ineficaces que no garantizan el derecho a la verdad ni logran encontrar a todos los autores materiales e intelectuales de los delitos cometidos contra las y los comunicadores, con lo que le mensaje implícito de permisibilidad y nulas consecuencias a los agresores es el común denominador imperante en la realidad Mexicana. </w:t>
      </w:r>
    </w:p>
    <w:p w14:paraId="3D28A003"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5A8F5ACC" w14:textId="77777777" w:rsidR="00B32084" w:rsidRPr="000C4150" w:rsidRDefault="00B32084"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ARTICLE 19 ha realizado un estudio profundo de averiguaciones previas y carpetas de investigación representadas por esta Organización</w:t>
      </w:r>
      <w:r w:rsidRPr="000C4150">
        <w:rPr>
          <w:rFonts w:ascii="Calibri" w:eastAsia="Times New Roman" w:hAnsi="Calibri" w:cs="Arial"/>
          <w:sz w:val="22"/>
          <w:szCs w:val="22"/>
          <w:vertAlign w:val="superscript"/>
          <w:lang w:val="es-ES" w:eastAsia="es-ES_tradnl"/>
        </w:rPr>
        <w:footnoteReference w:id="22"/>
      </w:r>
      <w:r w:rsidRPr="000C4150">
        <w:rPr>
          <w:rFonts w:ascii="Calibri" w:eastAsia="Times New Roman" w:hAnsi="Calibri" w:cs="Arial"/>
          <w:sz w:val="22"/>
          <w:szCs w:val="22"/>
          <w:lang w:val="es-ES" w:eastAsia="es-ES_tradnl"/>
        </w:rPr>
        <w:t xml:space="preserve"> para encontrar las razones por las cuales la impunidad es una constante en las investigaciones de delitos cometidos contra periodistas, siendo algunas de las conclusiones las siguientes: </w:t>
      </w:r>
    </w:p>
    <w:p w14:paraId="489B176E"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00DEB034"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1. Las fiscalías y procuradurías de manera constante descalifican la labor periodística como una causa de los delitos que sufren, pues constantemente afirman que determinado delito no se ejecutó por el hecho de la cobertura de la o el periodista, situación que se realiza con el propósito de crear una visión social alejada de las probables causas de estos delitos. </w:t>
      </w:r>
    </w:p>
    <w:p w14:paraId="7A1A7B2D"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64F467B4" w14:textId="7A52E251"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2. </w:t>
      </w:r>
      <w:r w:rsidR="007665DA">
        <w:rPr>
          <w:rFonts w:ascii="Calibri" w:eastAsia="Times New Roman" w:hAnsi="Calibri" w:cs="Arial"/>
          <w:sz w:val="22"/>
          <w:szCs w:val="22"/>
          <w:lang w:val="es-ES" w:eastAsia="es-ES_tradnl"/>
        </w:rPr>
        <w:t>Autoridades</w:t>
      </w:r>
      <w:r w:rsidRPr="000C4150">
        <w:rPr>
          <w:rFonts w:ascii="Calibri" w:eastAsia="Times New Roman" w:hAnsi="Calibri" w:cs="Arial"/>
          <w:sz w:val="22"/>
          <w:szCs w:val="22"/>
          <w:lang w:val="es-ES" w:eastAsia="es-ES_tradnl"/>
        </w:rPr>
        <w:t xml:space="preserve"> estigmatiza</w:t>
      </w:r>
      <w:r w:rsidR="007665DA">
        <w:rPr>
          <w:rFonts w:ascii="Calibri" w:eastAsia="Times New Roman" w:hAnsi="Calibri" w:cs="Arial"/>
          <w:sz w:val="22"/>
          <w:szCs w:val="22"/>
          <w:lang w:val="es-ES" w:eastAsia="es-ES_tradnl"/>
        </w:rPr>
        <w:t>n</w:t>
      </w:r>
      <w:r w:rsidRPr="000C4150">
        <w:rPr>
          <w:rFonts w:ascii="Calibri" w:eastAsia="Times New Roman" w:hAnsi="Calibri" w:cs="Arial"/>
          <w:sz w:val="22"/>
          <w:szCs w:val="22"/>
          <w:lang w:val="es-ES" w:eastAsia="es-ES_tradnl"/>
        </w:rPr>
        <w:t xml:space="preserve"> a las y los periodistas que se encuentran en una situación de vulnerabilidad, tales vulnerabilidades pueden ir desde el hecho de ser mujer, hasta el entorno laboral en el que se realizaba el trabajo, trayendo como consecuencia que las investigaciones no consideren la cobertura de las y los periodistas y se centren en diversas cuestiones alejadas de su ejercicio de la libre expresión, como problemas “pasionales” o problemas en entornos laborales distintos al periodismo. . </w:t>
      </w:r>
    </w:p>
    <w:p w14:paraId="0F3B6199"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741BF210" w14:textId="1BA59EC0"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3.</w:t>
      </w:r>
      <w:r w:rsidR="00E6641B">
        <w:rPr>
          <w:rFonts w:ascii="Calibri" w:eastAsia="Times New Roman" w:hAnsi="Calibri" w:cs="Arial"/>
          <w:sz w:val="22"/>
          <w:szCs w:val="22"/>
          <w:lang w:val="es-ES" w:eastAsia="es-ES_tradnl"/>
        </w:rPr>
        <w:t xml:space="preserve">Autoridades criminalizan a las víctimas antes de realizar las investigaciones sobre sus agresores. </w:t>
      </w:r>
    </w:p>
    <w:p w14:paraId="6F223497"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0E486A89" w14:textId="0004AC24"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4. </w:t>
      </w:r>
      <w:r w:rsidR="00E6641B">
        <w:rPr>
          <w:rFonts w:ascii="Calibri" w:eastAsia="Times New Roman" w:hAnsi="Calibri" w:cs="Arial"/>
          <w:sz w:val="22"/>
          <w:szCs w:val="22"/>
          <w:lang w:val="es-ES" w:eastAsia="es-ES_tradnl"/>
        </w:rPr>
        <w:t>La</w:t>
      </w:r>
      <w:r w:rsidRPr="000C4150">
        <w:rPr>
          <w:rFonts w:ascii="Calibri" w:eastAsia="Times New Roman" w:hAnsi="Calibri" w:cs="Arial"/>
          <w:sz w:val="22"/>
          <w:szCs w:val="22"/>
          <w:lang w:val="es-ES" w:eastAsia="es-ES_tradnl"/>
        </w:rPr>
        <w:t xml:space="preserve"> duplicidad generalizada de investigaciones iniciadas por un lado, por la Fiscalía Especial para la Atención de Delitos cometidos contra la Libertad de Expresión y por otro por  fiscalías o procuradurías locales, hace que </w:t>
      </w:r>
      <w:r w:rsidRPr="000C4150">
        <w:rPr>
          <w:rFonts w:ascii="Calibri" w:eastAsia="Times New Roman" w:hAnsi="Calibri" w:cs="Arial"/>
          <w:sz w:val="22"/>
          <w:szCs w:val="22"/>
          <w:lang w:val="es-ES" w:eastAsia="es-ES_tradnl"/>
        </w:rPr>
        <w:lastRenderedPageBreak/>
        <w:t>se pierdan elementos de prueba necesarios para encontrar a los autores materiales e intelectuales de los delitos, además de que generalmente representa un retardo injustificado en la búsqueda de justicia para las y los periodistas.</w:t>
      </w:r>
    </w:p>
    <w:p w14:paraId="0B2BCFFB"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2AD68B3B" w14:textId="2A11A486"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5.</w:t>
      </w:r>
      <w:r w:rsidR="002E3C70">
        <w:rPr>
          <w:rFonts w:ascii="Calibri" w:eastAsia="Times New Roman" w:hAnsi="Calibri" w:cs="Arial"/>
          <w:sz w:val="22"/>
          <w:szCs w:val="22"/>
          <w:lang w:val="es-ES" w:eastAsia="es-ES_tradnl"/>
        </w:rPr>
        <w:t>P</w:t>
      </w:r>
      <w:r w:rsidRPr="000C4150">
        <w:rPr>
          <w:rFonts w:ascii="Calibri" w:eastAsia="Times New Roman" w:hAnsi="Calibri" w:cs="Arial"/>
          <w:sz w:val="22"/>
          <w:szCs w:val="22"/>
          <w:lang w:val="es-ES" w:eastAsia="es-ES_tradnl"/>
        </w:rPr>
        <w:t xml:space="preserve">resentación pública o información de la misma naturaleza relacionada con la captura de personas señaladas como ejecutores materiales de delitos cometidos contra periodistas, con lo que generalmente se pretende justificar públicamente un avance y </w:t>
      </w:r>
      <w:r w:rsidR="00000296" w:rsidRPr="000C4150">
        <w:rPr>
          <w:rFonts w:ascii="Calibri" w:eastAsia="Times New Roman" w:hAnsi="Calibri" w:cs="Arial"/>
          <w:sz w:val="22"/>
          <w:szCs w:val="22"/>
          <w:lang w:val="es-ES" w:eastAsia="es-ES_tradnl"/>
        </w:rPr>
        <w:t>prácticamente</w:t>
      </w:r>
      <w:r w:rsidRPr="000C4150">
        <w:rPr>
          <w:rFonts w:ascii="Calibri" w:eastAsia="Times New Roman" w:hAnsi="Calibri" w:cs="Arial"/>
          <w:sz w:val="22"/>
          <w:szCs w:val="22"/>
          <w:lang w:val="es-ES" w:eastAsia="es-ES_tradnl"/>
        </w:rPr>
        <w:t xml:space="preserve"> el esclarecimiento total de un delito. Esta situación también permite que se perpetúe la impunidad, ya que la presentación o captura de una persona señalada como responsable material o intelectual de la comisión de un delito contra periodistas, no significa que el mismo haya alcanzado justicia, reparación y el conocimiento de las causas que originan dichos actos. </w:t>
      </w:r>
    </w:p>
    <w:p w14:paraId="03A80F02"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61547885" w14:textId="40DBF7FF"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6.</w:t>
      </w:r>
      <w:r w:rsidR="002E3C70">
        <w:rPr>
          <w:rFonts w:ascii="Calibri" w:eastAsia="Times New Roman" w:hAnsi="Calibri" w:cs="Arial"/>
          <w:sz w:val="22"/>
          <w:szCs w:val="22"/>
          <w:lang w:val="es-ES" w:eastAsia="es-ES_tradnl"/>
        </w:rPr>
        <w:t xml:space="preserve"> La</w:t>
      </w:r>
      <w:r w:rsidRPr="000C4150">
        <w:rPr>
          <w:rFonts w:ascii="Calibri" w:eastAsia="Times New Roman" w:hAnsi="Calibri" w:cs="Arial"/>
          <w:sz w:val="22"/>
          <w:szCs w:val="22"/>
          <w:lang w:val="es-ES" w:eastAsia="es-ES_tradnl"/>
        </w:rPr>
        <w:t xml:space="preserve"> Fiscalía Especial para la Atención de Delitos cometidos contra la Libertad de Expresión, no atrae las investigaciones de dichos delitos por razones arbitrarias o interpretaciones alejadas de un actuar protector de derechos humanos, situación que sumerge a la mayoría de las investigaciones a fiscalías o </w:t>
      </w:r>
      <w:r w:rsidR="005E5372" w:rsidRPr="000C4150">
        <w:rPr>
          <w:rFonts w:ascii="Calibri" w:eastAsia="Times New Roman" w:hAnsi="Calibri" w:cs="Arial"/>
          <w:sz w:val="22"/>
          <w:szCs w:val="22"/>
          <w:lang w:val="es-ES" w:eastAsia="es-ES_tradnl"/>
        </w:rPr>
        <w:t>procuradurías</w:t>
      </w:r>
      <w:r w:rsidRPr="000C4150">
        <w:rPr>
          <w:rFonts w:ascii="Calibri" w:eastAsia="Times New Roman" w:hAnsi="Calibri" w:cs="Arial"/>
          <w:sz w:val="22"/>
          <w:szCs w:val="22"/>
          <w:lang w:val="es-ES" w:eastAsia="es-ES_tradnl"/>
        </w:rPr>
        <w:t xml:space="preserve"> locales, condenando las mismas, en la mayoría de los casos a un nulo avance en las indagatorias.</w:t>
      </w:r>
    </w:p>
    <w:p w14:paraId="00A07A62"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2783C2F1" w14:textId="2C256ADC"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7. </w:t>
      </w:r>
      <w:r w:rsidR="00A379BC">
        <w:rPr>
          <w:rFonts w:ascii="Calibri" w:eastAsia="Times New Roman" w:hAnsi="Calibri" w:cs="Arial"/>
          <w:sz w:val="22"/>
          <w:szCs w:val="22"/>
          <w:lang w:val="es-ES" w:eastAsia="es-ES_tradnl"/>
        </w:rPr>
        <w:t>La</w:t>
      </w:r>
      <w:r w:rsidRPr="000C4150">
        <w:rPr>
          <w:rFonts w:ascii="Calibri" w:eastAsia="Times New Roman" w:hAnsi="Calibri" w:cs="Arial"/>
          <w:sz w:val="22"/>
          <w:szCs w:val="22"/>
          <w:lang w:val="es-ES" w:eastAsia="es-ES_tradnl"/>
        </w:rPr>
        <w:t xml:space="preserve"> falta de planes de investigación orilla a las Fiscalías a no tener claridad de qué y por qué se quiere investigar, dando como resultado indagatorias que aparentan no tener dirección ni orden, realizando más bien actuaciones mecánicas que en la mayoría de las ocasiones no ayudan a garantizar verdad ni reparación.    </w:t>
      </w:r>
    </w:p>
    <w:p w14:paraId="04DA5A04" w14:textId="77777777" w:rsidR="00B32084" w:rsidRPr="000C4150" w:rsidRDefault="00B32084" w:rsidP="000C4150">
      <w:pPr>
        <w:suppressAutoHyphens w:val="0"/>
        <w:spacing w:line="276" w:lineRule="auto"/>
        <w:ind w:left="360"/>
        <w:jc w:val="both"/>
        <w:rPr>
          <w:rFonts w:ascii="Calibri" w:eastAsia="Times New Roman" w:hAnsi="Calibri" w:cs="Arial"/>
          <w:sz w:val="22"/>
          <w:szCs w:val="22"/>
          <w:lang w:val="es-ES" w:eastAsia="es-ES_tradnl"/>
        </w:rPr>
      </w:pPr>
    </w:p>
    <w:p w14:paraId="001CAD0A" w14:textId="58739D77" w:rsidR="00C426F4" w:rsidRPr="000C4150" w:rsidRDefault="00B32084"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Así, es en las investigaciones ministeriales donde se encuentran los primeros grandes obstáculos para llegar a la justicia y verdad, donde se omiten diligencias importantes y no se tiene como prioridad la línea de investigación relacionada con la actividad periodística de las víctimas, descartándola a priori y generando una narrativa </w:t>
      </w:r>
      <w:proofErr w:type="spellStart"/>
      <w:r w:rsidRPr="000C4150">
        <w:rPr>
          <w:rFonts w:ascii="Calibri" w:eastAsia="Times New Roman" w:hAnsi="Calibri" w:cs="Arial"/>
          <w:sz w:val="22"/>
          <w:szCs w:val="22"/>
          <w:lang w:val="es-ES" w:eastAsia="es-ES_tradnl"/>
        </w:rPr>
        <w:t>estigmatizante</w:t>
      </w:r>
      <w:proofErr w:type="spellEnd"/>
      <w:r w:rsidRPr="000C4150">
        <w:rPr>
          <w:rFonts w:ascii="Calibri" w:eastAsia="Times New Roman" w:hAnsi="Calibri" w:cs="Arial"/>
          <w:sz w:val="22"/>
          <w:szCs w:val="22"/>
          <w:lang w:val="es-ES" w:eastAsia="es-ES_tradnl"/>
        </w:rPr>
        <w:t xml:space="preserve"> que afirma motivos personales (amorosos, problemas con vecinos, drogas, etc.) en los delitos cometidos, asumiendo con ello “verdades históricas” y generando impunidad y repetición de las agresiones.</w:t>
      </w:r>
    </w:p>
    <w:p w14:paraId="5E69A25F" w14:textId="66F0441B" w:rsidR="00350005" w:rsidRPr="000C4150" w:rsidRDefault="00512E98" w:rsidP="000C4150">
      <w:pPr>
        <w:suppressAutoHyphens w:val="0"/>
        <w:spacing w:line="276" w:lineRule="auto"/>
        <w:jc w:val="both"/>
        <w:rPr>
          <w:rFonts w:ascii="Calibri" w:eastAsia="Times New Roman" w:hAnsi="Calibri" w:cs="Arial"/>
          <w:sz w:val="22"/>
          <w:szCs w:val="22"/>
          <w:lang w:val="es-ES" w:eastAsia="es-ES_tradnl"/>
        </w:rPr>
      </w:pPr>
      <w:r w:rsidRPr="000C4150">
        <w:rPr>
          <w:rFonts w:ascii="Calibri" w:eastAsia="Times New Roman" w:hAnsi="Calibri" w:cs="Arial"/>
          <w:sz w:val="22"/>
          <w:szCs w:val="22"/>
          <w:lang w:val="es-ES" w:eastAsia="es-ES_tradnl"/>
        </w:rPr>
        <w:t xml:space="preserve">La impunidad no sólo es una violación al derecho de acceso a la justicia, también impacta en las intenciones de otras personas para lograr un “dejar de hacer”, es decir, genera un efecto inhibidor en la crítica de gobiernos </w:t>
      </w:r>
      <w:r w:rsidR="0004793C" w:rsidRPr="000C4150">
        <w:rPr>
          <w:rFonts w:ascii="Calibri" w:eastAsia="Times New Roman" w:hAnsi="Calibri" w:cs="Arial"/>
          <w:sz w:val="22"/>
          <w:szCs w:val="22"/>
          <w:lang w:val="es-ES" w:eastAsia="es-ES_tradnl"/>
        </w:rPr>
        <w:t xml:space="preserve">y de </w:t>
      </w:r>
      <w:r w:rsidR="00350005" w:rsidRPr="000C4150">
        <w:rPr>
          <w:rFonts w:ascii="Calibri" w:eastAsia="Times New Roman" w:hAnsi="Calibri" w:cs="Arial"/>
          <w:sz w:val="22"/>
          <w:szCs w:val="22"/>
          <w:lang w:val="es-ES" w:eastAsia="es-ES_tradnl"/>
        </w:rPr>
        <w:t xml:space="preserve">actores con poder político y económico. </w:t>
      </w:r>
    </w:p>
    <w:p w14:paraId="2D38D874" w14:textId="7586F929" w:rsidR="00F111DA" w:rsidRPr="000C4150" w:rsidRDefault="00EC1F5B" w:rsidP="000C4150">
      <w:pPr>
        <w:pStyle w:val="NormalWeb"/>
        <w:spacing w:line="276" w:lineRule="auto"/>
        <w:jc w:val="both"/>
        <w:rPr>
          <w:rFonts w:ascii="Calibri" w:hAnsi="Calibri" w:cs="Arial"/>
          <w:b/>
          <w:sz w:val="22"/>
          <w:szCs w:val="22"/>
          <w:lang w:val="es-ES"/>
        </w:rPr>
      </w:pPr>
      <w:r w:rsidRPr="000C4150">
        <w:rPr>
          <w:rFonts w:ascii="Calibri" w:hAnsi="Calibri" w:cs="Arial"/>
          <w:b/>
          <w:sz w:val="22"/>
          <w:szCs w:val="22"/>
          <w:lang w:val="es-ES"/>
        </w:rPr>
        <w:t>I</w:t>
      </w:r>
      <w:r w:rsidR="00765FD9" w:rsidRPr="000C4150">
        <w:rPr>
          <w:rFonts w:ascii="Calibri" w:hAnsi="Calibri" w:cs="Arial"/>
          <w:b/>
          <w:sz w:val="22"/>
          <w:szCs w:val="22"/>
          <w:lang w:val="es-ES"/>
        </w:rPr>
        <w:t xml:space="preserve">nsuficiencia de instituciones </w:t>
      </w:r>
    </w:p>
    <w:p w14:paraId="4042844B" w14:textId="31D9BE69" w:rsidR="00F111DA" w:rsidRPr="000C4150" w:rsidRDefault="00EC1F5B" w:rsidP="00261616">
      <w:pPr>
        <w:pStyle w:val="NormalWeb"/>
        <w:spacing w:line="276" w:lineRule="auto"/>
        <w:jc w:val="both"/>
        <w:rPr>
          <w:rFonts w:ascii="Calibri" w:hAnsi="Calibri" w:cs="Arial"/>
          <w:sz w:val="22"/>
          <w:szCs w:val="22"/>
          <w:lang w:val="es-ES"/>
        </w:rPr>
      </w:pPr>
      <w:r w:rsidRPr="000C4150">
        <w:rPr>
          <w:rFonts w:ascii="Calibri" w:eastAsia="Times New Roman" w:hAnsi="Calibri" w:cs="Arial"/>
          <w:sz w:val="22"/>
          <w:szCs w:val="22"/>
          <w:lang w:val="es-ES"/>
        </w:rPr>
        <w:t xml:space="preserve">El Estado Mexicano ha brindado como única respuesta frente a la violencia contra la prensa la creación del Mecanismo de Protección para Personas Defensoras de Derechos Humanos y Periodistas, </w:t>
      </w:r>
      <w:r w:rsidR="00261616">
        <w:rPr>
          <w:rFonts w:ascii="Calibri" w:eastAsia="Times New Roman" w:hAnsi="Calibri" w:cs="Arial"/>
          <w:sz w:val="22"/>
          <w:szCs w:val="22"/>
          <w:lang w:val="es-ES"/>
        </w:rPr>
        <w:t>pero</w:t>
      </w:r>
      <w:r w:rsidRPr="000C4150">
        <w:rPr>
          <w:rFonts w:ascii="Calibri" w:eastAsia="Times New Roman" w:hAnsi="Calibri" w:cs="Arial"/>
          <w:sz w:val="22"/>
          <w:szCs w:val="22"/>
          <w:lang w:val="es-ES"/>
        </w:rPr>
        <w:t xml:space="preserve"> no se ha visto conjugada con un componente preventivo, de combate a la impunidad y rep</w:t>
      </w:r>
      <w:r w:rsidR="0000507D">
        <w:rPr>
          <w:rFonts w:ascii="Calibri" w:eastAsia="Times New Roman" w:hAnsi="Calibri" w:cs="Arial"/>
          <w:sz w:val="22"/>
          <w:szCs w:val="22"/>
          <w:lang w:val="es-ES"/>
        </w:rPr>
        <w:t>aración del daño a las víctimas.</w:t>
      </w:r>
      <w:r w:rsidRPr="000C4150">
        <w:rPr>
          <w:rFonts w:ascii="Calibri" w:eastAsia="Times New Roman" w:hAnsi="Calibri" w:cs="Arial"/>
          <w:sz w:val="22"/>
          <w:szCs w:val="22"/>
          <w:lang w:val="es-ES"/>
        </w:rPr>
        <w:t xml:space="preserve"> </w:t>
      </w:r>
    </w:p>
    <w:p w14:paraId="143E01C4" w14:textId="5A8FDCFA" w:rsidR="00F111DA" w:rsidRPr="000C4150" w:rsidRDefault="0000507D" w:rsidP="000C4150">
      <w:pPr>
        <w:pStyle w:val="NormalWeb"/>
        <w:spacing w:line="276" w:lineRule="auto"/>
        <w:jc w:val="both"/>
        <w:rPr>
          <w:rFonts w:ascii="Calibri" w:hAnsi="Calibri" w:cs="Arial"/>
          <w:sz w:val="22"/>
          <w:szCs w:val="22"/>
          <w:lang w:val="es-ES"/>
        </w:rPr>
      </w:pPr>
      <w:r>
        <w:rPr>
          <w:rFonts w:ascii="Calibri" w:eastAsia="Times New Roman" w:hAnsi="Calibri" w:cs="Arial"/>
          <w:sz w:val="22"/>
          <w:szCs w:val="22"/>
          <w:lang w:val="es-ES"/>
        </w:rPr>
        <w:t>H</w:t>
      </w:r>
      <w:r w:rsidR="00EC1F5B" w:rsidRPr="000C4150">
        <w:rPr>
          <w:rFonts w:ascii="Calibri" w:eastAsia="Times New Roman" w:hAnsi="Calibri" w:cs="Arial"/>
          <w:sz w:val="22"/>
          <w:szCs w:val="22"/>
          <w:lang w:val="es-ES"/>
        </w:rPr>
        <w:t xml:space="preserve">ace falta transitar hacia un modelo de protección integral que más allá de proteger la vida, libertad e integridad de las personas, se enfoque en generar condiciones para garantizar el ejercicio del derecho a la libertad de expresión.  </w:t>
      </w:r>
    </w:p>
    <w:p w14:paraId="38F5487A" w14:textId="666CC973" w:rsidR="00FC43F5" w:rsidRPr="000C4150" w:rsidRDefault="00754BA3" w:rsidP="000C4150">
      <w:pPr>
        <w:pStyle w:val="NormalWeb"/>
        <w:spacing w:line="276" w:lineRule="auto"/>
        <w:jc w:val="both"/>
        <w:rPr>
          <w:rFonts w:ascii="Calibri" w:eastAsia="Times New Roman" w:hAnsi="Calibri" w:cs="Arial"/>
          <w:sz w:val="22"/>
          <w:szCs w:val="22"/>
          <w:lang w:val="es-ES"/>
        </w:rPr>
      </w:pPr>
      <w:r w:rsidRPr="000C4150">
        <w:rPr>
          <w:rFonts w:ascii="Calibri" w:eastAsia="Times New Roman" w:hAnsi="Calibri" w:cs="Arial"/>
          <w:sz w:val="22"/>
          <w:szCs w:val="22"/>
          <w:lang w:val="es-ES"/>
        </w:rPr>
        <w:t xml:space="preserve">Los datos que ARTICLE 19 ha podido recabar en el acompañamiento de 30 casos ante Juntas de Gobierno durante 2018 y 2019, </w:t>
      </w:r>
      <w:r w:rsidR="00C92E58" w:rsidRPr="000C4150">
        <w:rPr>
          <w:rFonts w:ascii="Calibri" w:eastAsia="Times New Roman" w:hAnsi="Calibri" w:cs="Arial"/>
          <w:sz w:val="22"/>
          <w:szCs w:val="22"/>
          <w:lang w:val="es-ES"/>
        </w:rPr>
        <w:t>señalan</w:t>
      </w:r>
      <w:r w:rsidRPr="000C4150">
        <w:rPr>
          <w:rFonts w:ascii="Calibri" w:eastAsia="Times New Roman" w:hAnsi="Calibri" w:cs="Arial"/>
          <w:sz w:val="22"/>
          <w:szCs w:val="22"/>
          <w:lang w:val="es-ES"/>
        </w:rPr>
        <w:t xml:space="preserve"> </w:t>
      </w:r>
      <w:r w:rsidR="00485C32" w:rsidRPr="000C4150">
        <w:rPr>
          <w:rFonts w:ascii="Calibri" w:eastAsia="Times New Roman" w:hAnsi="Calibri" w:cs="Arial"/>
          <w:sz w:val="22"/>
          <w:szCs w:val="22"/>
          <w:lang w:val="es-ES"/>
        </w:rPr>
        <w:t xml:space="preserve">las siguientes </w:t>
      </w:r>
      <w:r w:rsidR="00485C32" w:rsidRPr="000C4150">
        <w:rPr>
          <w:rFonts w:ascii="Calibri" w:hAnsi="Calibri"/>
          <w:sz w:val="22"/>
          <w:szCs w:val="22"/>
          <w:lang w:val="es-ES"/>
        </w:rPr>
        <w:t>i</w:t>
      </w:r>
      <w:r w:rsidR="00FC43F5" w:rsidRPr="000C4150">
        <w:rPr>
          <w:rFonts w:ascii="Calibri" w:hAnsi="Calibri"/>
          <w:sz w:val="22"/>
          <w:szCs w:val="22"/>
          <w:lang w:val="es-ES"/>
        </w:rPr>
        <w:t xml:space="preserve">nconsistencias en el cumplimiento de las </w:t>
      </w:r>
      <w:r w:rsidR="009C1036" w:rsidRPr="000C4150">
        <w:rPr>
          <w:rFonts w:ascii="Calibri" w:hAnsi="Calibri"/>
          <w:sz w:val="22"/>
          <w:szCs w:val="22"/>
          <w:lang w:val="es-ES"/>
        </w:rPr>
        <w:t>medidas de protección</w:t>
      </w:r>
      <w:r w:rsidR="00485C32" w:rsidRPr="000C4150">
        <w:rPr>
          <w:rFonts w:ascii="Calibri" w:hAnsi="Calibri"/>
          <w:sz w:val="22"/>
          <w:szCs w:val="22"/>
          <w:lang w:val="es-ES"/>
        </w:rPr>
        <w:t>:</w:t>
      </w:r>
    </w:p>
    <w:p w14:paraId="34EA3FF8" w14:textId="77777777"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lastRenderedPageBreak/>
        <w:t>1) Los Informes de Análisis de Riesgo:</w:t>
      </w:r>
      <w:r w:rsidRPr="000C4150">
        <w:rPr>
          <w:rFonts w:ascii="Calibri" w:hAnsi="Calibri"/>
          <w:sz w:val="22"/>
          <w:szCs w:val="22"/>
          <w:lang w:val="es-ES"/>
        </w:rPr>
        <w:t xml:space="preserve"> no toman en cuenta las verdaderas necesidades de protección de las personas beneficiarias, ya que carecen de un análisis más profundo de las particularidades de las agresiones de la mano de un riguroso análisis de contexto. Tampoco se analiza de manera exhaustiva el perfil de los probables perpetradores, capacidades y recursos con los que éstos cuentan para poder materializar una amenaza o realizar una nueva agresión. Aunado a lo anterior, siguen sin realizarse análisis de riesgo con una perspectiva de género que den cuenta del carácter diferenciado de las agresiones, sus particularidades y sus impactos.</w:t>
      </w:r>
    </w:p>
    <w:p w14:paraId="19A4EA28" w14:textId="77777777" w:rsidR="00FC43F5" w:rsidRPr="000C4150" w:rsidRDefault="00FC43F5" w:rsidP="000C4150">
      <w:pPr>
        <w:pStyle w:val="Standard"/>
        <w:spacing w:line="276" w:lineRule="auto"/>
        <w:ind w:left="360"/>
        <w:jc w:val="both"/>
        <w:rPr>
          <w:rFonts w:ascii="Calibri" w:hAnsi="Calibri"/>
          <w:sz w:val="22"/>
          <w:szCs w:val="22"/>
          <w:lang w:val="es-ES"/>
        </w:rPr>
      </w:pPr>
    </w:p>
    <w:p w14:paraId="66B7CAEF" w14:textId="77777777"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sz w:val="22"/>
          <w:szCs w:val="22"/>
          <w:lang w:val="es-ES"/>
        </w:rPr>
        <w:t>Lo más preocupante es que el criterio utilizado por las y los analistas del Mecanismo para realizar las propuestas de esquema de protección se ha llegado a centrar no en la gravedad ni en las particularidades de las agresiones o el perfil y recursos de los perpetradores sino en la recurrencia de las mismas, por lo tanto, hemos documentado en algunos casos, que si un periodista ha denunciado una sola agresión en un determinado lapso de tiempo -sin importar que haya sido sumamente grave o que los perpetradores no han sido investigados ni sancionados o son parte de la delincuencia organizada- se propone el retiro de sus medidas de protección, por considerar que existe un nivel de riesgo bajo o medio.</w:t>
      </w:r>
    </w:p>
    <w:p w14:paraId="33F11AD3" w14:textId="77777777" w:rsidR="00FC43F5" w:rsidRPr="000C4150" w:rsidRDefault="00FC43F5" w:rsidP="000C4150">
      <w:pPr>
        <w:pStyle w:val="Standard"/>
        <w:spacing w:line="276" w:lineRule="auto"/>
        <w:ind w:left="720"/>
        <w:jc w:val="both"/>
        <w:rPr>
          <w:rFonts w:ascii="Calibri" w:hAnsi="Calibri"/>
          <w:sz w:val="22"/>
          <w:szCs w:val="22"/>
          <w:lang w:val="es-ES"/>
        </w:rPr>
      </w:pPr>
    </w:p>
    <w:p w14:paraId="439EEEFD" w14:textId="65A018CA"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t>2) Esquema de protección:</w:t>
      </w:r>
      <w:r w:rsidRPr="000C4150">
        <w:rPr>
          <w:rFonts w:ascii="Calibri" w:hAnsi="Calibri"/>
          <w:sz w:val="22"/>
          <w:szCs w:val="22"/>
          <w:lang w:val="es-ES"/>
        </w:rPr>
        <w:t xml:space="preserve"> no se toma en cuenta el entorno social y familiar de las personas beneficiarias, por lo cual, el esquema de protección </w:t>
      </w:r>
      <w:r w:rsidR="00C7787A">
        <w:rPr>
          <w:rFonts w:ascii="Calibri" w:hAnsi="Calibri"/>
          <w:sz w:val="22"/>
          <w:szCs w:val="22"/>
          <w:lang w:val="es-ES"/>
        </w:rPr>
        <w:t xml:space="preserve">no es eficaz. </w:t>
      </w:r>
      <w:r w:rsidRPr="000C4150">
        <w:rPr>
          <w:rFonts w:ascii="Calibri" w:hAnsi="Calibri"/>
          <w:sz w:val="22"/>
          <w:szCs w:val="22"/>
          <w:lang w:val="es-ES"/>
        </w:rPr>
        <w:t xml:space="preserve">Por ejemplo, un botón de pánico será probablemente poco útil para una persona beneficiaria que, como parte de su labor o por cuestiones personales, tenga que trasladarse continuamente a zonas donde la señal de teléfono e internet es débil o nula o la implementación de rondines por parte de elementos policiacos a una persona beneficiaria cuyo domicilio u oficina se encuentra en una zona con fuerte presencia de la delincuencia organizada, lo puede colocar en riesgo frente a los grupos </w:t>
      </w:r>
      <w:r w:rsidR="00BA7F56" w:rsidRPr="000C4150">
        <w:rPr>
          <w:rFonts w:ascii="Calibri" w:hAnsi="Calibri"/>
          <w:sz w:val="22"/>
          <w:szCs w:val="22"/>
          <w:lang w:val="es-ES"/>
        </w:rPr>
        <w:t>delincuenciales</w:t>
      </w:r>
      <w:r w:rsidRPr="000C4150">
        <w:rPr>
          <w:rFonts w:ascii="Calibri" w:hAnsi="Calibri"/>
          <w:sz w:val="22"/>
          <w:szCs w:val="22"/>
          <w:lang w:val="es-ES"/>
        </w:rPr>
        <w:t xml:space="preserve"> de la zona.</w:t>
      </w:r>
    </w:p>
    <w:p w14:paraId="43432DB0" w14:textId="77777777" w:rsidR="00FC43F5" w:rsidRPr="000C4150" w:rsidRDefault="00FC43F5" w:rsidP="000C4150">
      <w:pPr>
        <w:pStyle w:val="Standard"/>
        <w:spacing w:line="276" w:lineRule="auto"/>
        <w:jc w:val="both"/>
        <w:rPr>
          <w:rFonts w:ascii="Calibri" w:hAnsi="Calibri"/>
          <w:sz w:val="22"/>
          <w:szCs w:val="22"/>
          <w:lang w:val="es-ES"/>
        </w:rPr>
      </w:pPr>
    </w:p>
    <w:p w14:paraId="033C813F" w14:textId="49E3E5D5"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sz w:val="22"/>
          <w:szCs w:val="22"/>
          <w:lang w:val="es-ES"/>
        </w:rPr>
        <w:t xml:space="preserve">En relación con el aspecto familiar, las medidas de protección están centradas únicamente en el o la periodista sin tomar en cuenta que no solo la agresión en sí misma sino el hecho de formar parte de un esquema de protección estatal puede afectar la dinámica familiar. </w:t>
      </w:r>
    </w:p>
    <w:p w14:paraId="43370C3A" w14:textId="77777777" w:rsidR="00FC43F5" w:rsidRPr="000C4150" w:rsidRDefault="00FC43F5" w:rsidP="000C4150">
      <w:pPr>
        <w:pStyle w:val="Standard"/>
        <w:spacing w:line="276" w:lineRule="auto"/>
        <w:ind w:left="720"/>
        <w:jc w:val="both"/>
        <w:rPr>
          <w:rFonts w:ascii="Calibri" w:hAnsi="Calibri"/>
          <w:sz w:val="22"/>
          <w:szCs w:val="22"/>
          <w:lang w:val="es-ES"/>
        </w:rPr>
      </w:pPr>
    </w:p>
    <w:p w14:paraId="034B590C" w14:textId="246EB828" w:rsidR="00FC43F5" w:rsidRDefault="00FC43F5" w:rsidP="00944915">
      <w:pPr>
        <w:pStyle w:val="Standard"/>
        <w:spacing w:line="276" w:lineRule="auto"/>
        <w:jc w:val="both"/>
        <w:rPr>
          <w:rFonts w:ascii="Calibri" w:hAnsi="Calibri"/>
          <w:sz w:val="22"/>
          <w:szCs w:val="22"/>
          <w:lang w:val="es-ES"/>
        </w:rPr>
      </w:pPr>
      <w:r w:rsidRPr="000C4150">
        <w:rPr>
          <w:rFonts w:ascii="Calibri" w:hAnsi="Calibri"/>
          <w:b/>
          <w:bCs/>
          <w:sz w:val="22"/>
          <w:szCs w:val="22"/>
          <w:lang w:val="es-ES"/>
        </w:rPr>
        <w:t>Implementación:</w:t>
      </w:r>
      <w:r w:rsidRPr="000C4150">
        <w:rPr>
          <w:rFonts w:ascii="Calibri" w:hAnsi="Calibri"/>
          <w:sz w:val="22"/>
          <w:szCs w:val="22"/>
          <w:lang w:val="es-ES"/>
        </w:rPr>
        <w:t xml:space="preserve"> ARTICLE 19 ha registrado que existen graves problemas de retraso en</w:t>
      </w:r>
      <w:r w:rsidR="00944915">
        <w:rPr>
          <w:rFonts w:ascii="Calibri" w:hAnsi="Calibri"/>
          <w:sz w:val="22"/>
          <w:szCs w:val="22"/>
          <w:lang w:val="es-ES"/>
        </w:rPr>
        <w:t xml:space="preserve"> el inicio de la implementación. Esto pone</w:t>
      </w:r>
      <w:r w:rsidRPr="000C4150">
        <w:rPr>
          <w:rFonts w:ascii="Calibri" w:hAnsi="Calibri"/>
          <w:sz w:val="22"/>
          <w:szCs w:val="22"/>
          <w:lang w:val="es-ES"/>
        </w:rPr>
        <w:t xml:space="preserve"> en riesgo </w:t>
      </w:r>
      <w:r w:rsidR="00944915">
        <w:rPr>
          <w:rFonts w:ascii="Calibri" w:hAnsi="Calibri"/>
          <w:sz w:val="22"/>
          <w:szCs w:val="22"/>
          <w:lang w:val="es-ES"/>
        </w:rPr>
        <w:t xml:space="preserve">al o la periodista. </w:t>
      </w:r>
    </w:p>
    <w:p w14:paraId="469B9B77" w14:textId="77777777" w:rsidR="00944915" w:rsidRPr="000C4150" w:rsidRDefault="00944915" w:rsidP="00944915">
      <w:pPr>
        <w:pStyle w:val="Standard"/>
        <w:spacing w:line="276" w:lineRule="auto"/>
        <w:jc w:val="both"/>
        <w:rPr>
          <w:rFonts w:ascii="Calibri" w:hAnsi="Calibri"/>
          <w:sz w:val="22"/>
          <w:szCs w:val="22"/>
          <w:lang w:val="es-ES"/>
        </w:rPr>
      </w:pPr>
    </w:p>
    <w:p w14:paraId="3373CF91" w14:textId="77777777" w:rsidR="00FC43F5" w:rsidRPr="000C4150" w:rsidRDefault="00FC43F5" w:rsidP="000C4150">
      <w:pPr>
        <w:pStyle w:val="Standard"/>
        <w:spacing w:line="276" w:lineRule="auto"/>
        <w:ind w:left="720"/>
        <w:jc w:val="both"/>
        <w:rPr>
          <w:rFonts w:ascii="Calibri" w:hAnsi="Calibri"/>
          <w:sz w:val="22"/>
          <w:szCs w:val="22"/>
          <w:lang w:val="es-ES"/>
        </w:rPr>
      </w:pPr>
    </w:p>
    <w:p w14:paraId="7CEEAEC9" w14:textId="4299CD3F"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t>Rondines:</w:t>
      </w:r>
      <w:r w:rsidRPr="000C4150">
        <w:rPr>
          <w:rFonts w:ascii="Calibri" w:hAnsi="Calibri"/>
          <w:sz w:val="22"/>
          <w:szCs w:val="22"/>
          <w:lang w:val="es-ES"/>
        </w:rPr>
        <w:t xml:space="preserve"> Hemos detectado que existe una falta de coordinación entre el Mecanismo federal y las autoridades estatales y municipal al implementar esta medida. En la mayoría de los casos, la implementación de los rondines recae en las Secretarías de Seguridad P</w:t>
      </w:r>
      <w:r w:rsidR="004A61D4">
        <w:rPr>
          <w:rFonts w:ascii="Calibri" w:hAnsi="Calibri"/>
          <w:sz w:val="22"/>
          <w:szCs w:val="22"/>
          <w:lang w:val="es-ES"/>
        </w:rPr>
        <w:t xml:space="preserve">ública estatales y municipales. </w:t>
      </w:r>
      <w:r w:rsidRPr="000C4150">
        <w:rPr>
          <w:rFonts w:ascii="Calibri" w:hAnsi="Calibri"/>
          <w:sz w:val="22"/>
          <w:szCs w:val="22"/>
          <w:lang w:val="es-ES"/>
        </w:rPr>
        <w:t xml:space="preserve">De acuerdo con las y los periodistas, la asignación de esta tarea representa para los elementos policiacos una carga extra de trabajo y no parte de sus labores de seguridad. </w:t>
      </w:r>
      <w:r w:rsidR="004A61D4">
        <w:rPr>
          <w:rFonts w:ascii="Calibri" w:hAnsi="Calibri"/>
          <w:sz w:val="22"/>
          <w:szCs w:val="22"/>
          <w:lang w:val="es-ES"/>
        </w:rPr>
        <w:t>Persiste el problema de no notificar</w:t>
      </w:r>
      <w:r w:rsidRPr="000C4150">
        <w:rPr>
          <w:rFonts w:ascii="Calibri" w:hAnsi="Calibri"/>
          <w:sz w:val="22"/>
          <w:szCs w:val="22"/>
          <w:lang w:val="es-ES"/>
        </w:rPr>
        <w:t xml:space="preserve"> </w:t>
      </w:r>
      <w:r w:rsidR="004A61D4">
        <w:rPr>
          <w:rFonts w:ascii="Calibri" w:hAnsi="Calibri"/>
          <w:sz w:val="22"/>
          <w:szCs w:val="22"/>
          <w:lang w:val="es-ES"/>
        </w:rPr>
        <w:t>re</w:t>
      </w:r>
      <w:r w:rsidRPr="000C4150">
        <w:rPr>
          <w:rFonts w:ascii="Calibri" w:hAnsi="Calibri"/>
          <w:sz w:val="22"/>
          <w:szCs w:val="22"/>
          <w:lang w:val="es-ES"/>
        </w:rPr>
        <w:t xml:space="preserve">asignación de </w:t>
      </w:r>
      <w:r w:rsidR="004A61D4">
        <w:rPr>
          <w:rFonts w:ascii="Calibri" w:hAnsi="Calibri"/>
          <w:sz w:val="22"/>
          <w:szCs w:val="22"/>
          <w:lang w:val="es-ES"/>
        </w:rPr>
        <w:t>elementos policiacos.</w:t>
      </w:r>
    </w:p>
    <w:p w14:paraId="6BB44F4D" w14:textId="77777777" w:rsidR="00FC43F5" w:rsidRPr="000C4150" w:rsidRDefault="00FC43F5" w:rsidP="000C4150">
      <w:pPr>
        <w:pStyle w:val="Standard"/>
        <w:spacing w:line="276" w:lineRule="auto"/>
        <w:ind w:left="720"/>
        <w:jc w:val="both"/>
        <w:rPr>
          <w:rFonts w:ascii="Calibri" w:hAnsi="Calibri"/>
          <w:sz w:val="22"/>
          <w:szCs w:val="22"/>
          <w:lang w:val="es-ES"/>
        </w:rPr>
      </w:pPr>
    </w:p>
    <w:p w14:paraId="7F532798" w14:textId="720D950C"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t>Botón de pánico</w:t>
      </w:r>
      <w:r w:rsidRPr="000C4150">
        <w:rPr>
          <w:rFonts w:ascii="Calibri" w:hAnsi="Calibri"/>
          <w:sz w:val="22"/>
          <w:szCs w:val="22"/>
          <w:lang w:val="es-ES"/>
        </w:rPr>
        <w:t>: Esta medida ha sido otorgada en la mayoría de los casos que acompaña ARTICLE 19. Al respecto, hemos detectado fallas en la señal o retardos en la respuesta cuando el botón es activado.</w:t>
      </w:r>
    </w:p>
    <w:p w14:paraId="3422DE57" w14:textId="77777777" w:rsidR="00FC43F5" w:rsidRPr="000C4150" w:rsidRDefault="00FC43F5" w:rsidP="000C4150">
      <w:pPr>
        <w:pStyle w:val="Standard"/>
        <w:spacing w:line="276" w:lineRule="auto"/>
        <w:ind w:left="720"/>
        <w:jc w:val="both"/>
        <w:rPr>
          <w:rFonts w:ascii="Calibri" w:hAnsi="Calibri"/>
          <w:sz w:val="22"/>
          <w:szCs w:val="22"/>
          <w:lang w:val="es-ES"/>
        </w:rPr>
      </w:pPr>
    </w:p>
    <w:p w14:paraId="38B88DA4" w14:textId="304FBD2A"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t>Medidas de infraestructura:</w:t>
      </w:r>
      <w:r w:rsidRPr="000C4150">
        <w:rPr>
          <w:rFonts w:ascii="Calibri" w:hAnsi="Calibri"/>
          <w:sz w:val="22"/>
          <w:szCs w:val="22"/>
          <w:lang w:val="es-ES"/>
        </w:rPr>
        <w:t xml:space="preserve"> </w:t>
      </w:r>
      <w:r w:rsidR="00F128EB">
        <w:rPr>
          <w:rFonts w:ascii="Calibri" w:hAnsi="Calibri"/>
          <w:sz w:val="22"/>
          <w:szCs w:val="22"/>
          <w:lang w:val="es-ES"/>
        </w:rPr>
        <w:t xml:space="preserve">Retraso injustificado </w:t>
      </w:r>
      <w:r w:rsidRPr="000C4150">
        <w:rPr>
          <w:rFonts w:ascii="Calibri" w:hAnsi="Calibri"/>
          <w:sz w:val="22"/>
          <w:szCs w:val="22"/>
          <w:lang w:val="es-ES"/>
        </w:rPr>
        <w:t xml:space="preserve">en </w:t>
      </w:r>
      <w:r w:rsidR="00F128EB">
        <w:rPr>
          <w:rFonts w:ascii="Calibri" w:hAnsi="Calibri"/>
          <w:sz w:val="22"/>
          <w:szCs w:val="22"/>
          <w:lang w:val="es-ES"/>
        </w:rPr>
        <w:t xml:space="preserve">su implementación, </w:t>
      </w:r>
      <w:r w:rsidRPr="000C4150">
        <w:rPr>
          <w:rFonts w:ascii="Calibri" w:hAnsi="Calibri"/>
          <w:sz w:val="22"/>
          <w:szCs w:val="22"/>
          <w:lang w:val="es-ES"/>
        </w:rPr>
        <w:t xml:space="preserve">incluso fallas en el análisis de la instalación de equipo de seguridad e infraestructura realizado por la empresa RCU. </w:t>
      </w:r>
    </w:p>
    <w:p w14:paraId="1B1EA4D9" w14:textId="77777777" w:rsidR="00FC43F5" w:rsidRPr="000C4150" w:rsidRDefault="00FC43F5" w:rsidP="000C4150">
      <w:pPr>
        <w:pStyle w:val="Standard"/>
        <w:spacing w:line="276" w:lineRule="auto"/>
        <w:ind w:left="720"/>
        <w:jc w:val="both"/>
        <w:rPr>
          <w:rFonts w:ascii="Calibri" w:hAnsi="Calibri"/>
          <w:sz w:val="22"/>
          <w:szCs w:val="22"/>
          <w:lang w:val="es-ES"/>
        </w:rPr>
      </w:pPr>
    </w:p>
    <w:p w14:paraId="01A6CB43" w14:textId="54FD6766" w:rsidR="00FC43F5" w:rsidRPr="000C4150" w:rsidRDefault="00FC43F5" w:rsidP="000C4150">
      <w:pPr>
        <w:pStyle w:val="Standard"/>
        <w:spacing w:line="276" w:lineRule="auto"/>
        <w:jc w:val="both"/>
        <w:rPr>
          <w:rFonts w:ascii="Calibri" w:hAnsi="Calibri"/>
          <w:sz w:val="22"/>
          <w:szCs w:val="22"/>
          <w:lang w:val="es-ES"/>
        </w:rPr>
      </w:pPr>
      <w:r w:rsidRPr="000C4150">
        <w:rPr>
          <w:rFonts w:ascii="Calibri" w:hAnsi="Calibri"/>
          <w:b/>
          <w:bCs/>
          <w:sz w:val="22"/>
          <w:szCs w:val="22"/>
          <w:lang w:val="es-ES"/>
        </w:rPr>
        <w:t>Mesas de trabajo con autoridades:</w:t>
      </w:r>
      <w:r w:rsidRPr="000C4150">
        <w:rPr>
          <w:rFonts w:ascii="Calibri" w:hAnsi="Calibri"/>
          <w:sz w:val="22"/>
          <w:szCs w:val="22"/>
          <w:lang w:val="es-ES"/>
        </w:rPr>
        <w:t xml:space="preserve"> </w:t>
      </w:r>
      <w:r w:rsidR="007E559A">
        <w:rPr>
          <w:rFonts w:ascii="Calibri" w:hAnsi="Calibri"/>
          <w:sz w:val="22"/>
          <w:szCs w:val="22"/>
          <w:lang w:val="es-ES"/>
        </w:rPr>
        <w:t>Resistencia</w:t>
      </w:r>
      <w:r w:rsidRPr="000C4150">
        <w:rPr>
          <w:rFonts w:ascii="Calibri" w:hAnsi="Calibri"/>
          <w:sz w:val="22"/>
          <w:szCs w:val="22"/>
          <w:lang w:val="es-ES"/>
        </w:rPr>
        <w:t xml:space="preserve"> </w:t>
      </w:r>
      <w:r w:rsidR="007E559A">
        <w:rPr>
          <w:rFonts w:ascii="Calibri" w:hAnsi="Calibri"/>
          <w:sz w:val="22"/>
          <w:szCs w:val="22"/>
          <w:lang w:val="es-ES"/>
        </w:rPr>
        <w:t>de</w:t>
      </w:r>
      <w:r w:rsidRPr="000C4150">
        <w:rPr>
          <w:rFonts w:ascii="Calibri" w:hAnsi="Calibri"/>
          <w:sz w:val="22"/>
          <w:szCs w:val="22"/>
          <w:lang w:val="es-ES"/>
        </w:rPr>
        <w:t xml:space="preserve"> autoridades locales en llevar a cabo mesas de trabajo </w:t>
      </w:r>
      <w:r w:rsidR="007E559A">
        <w:rPr>
          <w:rFonts w:ascii="Calibri" w:hAnsi="Calibri"/>
          <w:sz w:val="22"/>
          <w:szCs w:val="22"/>
          <w:lang w:val="es-ES"/>
        </w:rPr>
        <w:t xml:space="preserve">como medida política para disminuir o evitar riesgo o agresiones. </w:t>
      </w:r>
    </w:p>
    <w:p w14:paraId="76D0862E" w14:textId="77777777" w:rsidR="00FC43F5" w:rsidRPr="000C4150" w:rsidRDefault="00FC43F5" w:rsidP="000C4150">
      <w:pPr>
        <w:pStyle w:val="Standard"/>
        <w:spacing w:line="276" w:lineRule="auto"/>
        <w:ind w:left="720"/>
        <w:jc w:val="both"/>
        <w:rPr>
          <w:rFonts w:ascii="Calibri" w:hAnsi="Calibri"/>
          <w:sz w:val="22"/>
          <w:szCs w:val="22"/>
          <w:lang w:val="es-ES"/>
        </w:rPr>
      </w:pPr>
    </w:p>
    <w:p w14:paraId="38B87F6F" w14:textId="60B64D92" w:rsidR="00FC43F5" w:rsidRPr="000C4150" w:rsidRDefault="00FC43F5" w:rsidP="000C4150">
      <w:pPr>
        <w:pStyle w:val="Standard"/>
        <w:spacing w:line="276" w:lineRule="auto"/>
        <w:jc w:val="both"/>
        <w:rPr>
          <w:rFonts w:ascii="Calibri" w:hAnsi="Calibri"/>
          <w:b/>
          <w:bCs/>
          <w:sz w:val="22"/>
          <w:szCs w:val="22"/>
          <w:lang w:val="es-ES"/>
        </w:rPr>
      </w:pPr>
      <w:r w:rsidRPr="000C4150">
        <w:rPr>
          <w:rFonts w:ascii="Calibri" w:hAnsi="Calibri"/>
          <w:b/>
          <w:bCs/>
          <w:sz w:val="22"/>
          <w:szCs w:val="22"/>
          <w:lang w:val="es-ES"/>
        </w:rPr>
        <w:t xml:space="preserve">Acompañamiento permanente (escoltas): </w:t>
      </w:r>
      <w:r w:rsidR="007E559A">
        <w:rPr>
          <w:rFonts w:ascii="Calibri" w:hAnsi="Calibri"/>
          <w:sz w:val="22"/>
          <w:szCs w:val="22"/>
          <w:lang w:val="es-ES"/>
        </w:rPr>
        <w:t>L</w:t>
      </w:r>
      <w:r w:rsidRPr="000C4150">
        <w:rPr>
          <w:rFonts w:ascii="Calibri" w:hAnsi="Calibri"/>
          <w:sz w:val="22"/>
          <w:szCs w:val="22"/>
          <w:lang w:val="es-ES"/>
        </w:rPr>
        <w:t>as personas beneficiarias solicitan en mayor medida que este acompañamiento se realice por parte de Policía Federal, debido a la falta de confianza en las autoridades estatales y municipales.</w:t>
      </w:r>
    </w:p>
    <w:p w14:paraId="18FD99EC" w14:textId="77777777" w:rsidR="00FC43F5" w:rsidRPr="000C4150" w:rsidRDefault="00FC43F5" w:rsidP="000C4150">
      <w:pPr>
        <w:pStyle w:val="Standard"/>
        <w:spacing w:line="276" w:lineRule="auto"/>
        <w:ind w:left="720"/>
        <w:jc w:val="both"/>
        <w:rPr>
          <w:rFonts w:ascii="Calibri" w:hAnsi="Calibri"/>
          <w:sz w:val="22"/>
          <w:szCs w:val="22"/>
          <w:lang w:val="es-ES"/>
        </w:rPr>
      </w:pPr>
    </w:p>
    <w:p w14:paraId="086A19BD" w14:textId="12AE5306" w:rsidR="00A23A3E" w:rsidRPr="000C4150" w:rsidRDefault="00FC43F5" w:rsidP="00E54997">
      <w:pPr>
        <w:pStyle w:val="Standard"/>
        <w:spacing w:line="276" w:lineRule="auto"/>
        <w:jc w:val="both"/>
        <w:rPr>
          <w:rFonts w:ascii="Calibri" w:hAnsi="Calibri"/>
          <w:sz w:val="22"/>
          <w:szCs w:val="22"/>
          <w:lang w:val="es-ES"/>
        </w:rPr>
      </w:pPr>
      <w:r w:rsidRPr="000C4150">
        <w:rPr>
          <w:rFonts w:ascii="Calibri" w:hAnsi="Calibri"/>
          <w:b/>
          <w:bCs/>
          <w:sz w:val="22"/>
          <w:szCs w:val="22"/>
          <w:lang w:val="es-ES"/>
        </w:rPr>
        <w:t xml:space="preserve">Acompañamiento </w:t>
      </w:r>
      <w:proofErr w:type="spellStart"/>
      <w:r w:rsidRPr="000C4150">
        <w:rPr>
          <w:rFonts w:ascii="Calibri" w:hAnsi="Calibri"/>
          <w:b/>
          <w:bCs/>
          <w:sz w:val="22"/>
          <w:szCs w:val="22"/>
          <w:lang w:val="es-ES"/>
        </w:rPr>
        <w:t>psicoemocional</w:t>
      </w:r>
      <w:proofErr w:type="spellEnd"/>
      <w:r w:rsidRPr="000C4150">
        <w:rPr>
          <w:rFonts w:ascii="Calibri" w:hAnsi="Calibri"/>
          <w:b/>
          <w:bCs/>
          <w:sz w:val="22"/>
          <w:szCs w:val="22"/>
          <w:lang w:val="es-ES"/>
        </w:rPr>
        <w:t xml:space="preserve">: </w:t>
      </w:r>
      <w:r w:rsidRPr="000C4150">
        <w:rPr>
          <w:rFonts w:ascii="Calibri" w:hAnsi="Calibri"/>
          <w:sz w:val="22"/>
          <w:szCs w:val="22"/>
          <w:lang w:val="es-ES"/>
        </w:rPr>
        <w:t>Esta medida es implementada principalmente por la Comisión Ejecutiva</w:t>
      </w:r>
      <w:r w:rsidR="00674E1F">
        <w:rPr>
          <w:rFonts w:ascii="Calibri" w:hAnsi="Calibri"/>
          <w:sz w:val="22"/>
          <w:szCs w:val="22"/>
          <w:lang w:val="es-ES"/>
        </w:rPr>
        <w:t xml:space="preserve"> de Atención a Víctimas (CEAV), </w:t>
      </w:r>
      <w:r w:rsidRPr="000C4150">
        <w:rPr>
          <w:rFonts w:ascii="Calibri" w:hAnsi="Calibri"/>
          <w:sz w:val="22"/>
          <w:szCs w:val="22"/>
          <w:lang w:val="es-ES"/>
        </w:rPr>
        <w:t xml:space="preserve">cuyo esquema de protección se encuentra este acompañamiento, existen graves fallas en su cumplimiento, ya que las sesiones </w:t>
      </w:r>
      <w:r w:rsidR="00674E1F" w:rsidRPr="000C4150">
        <w:rPr>
          <w:rFonts w:ascii="Calibri" w:hAnsi="Calibri"/>
          <w:sz w:val="22"/>
          <w:szCs w:val="22"/>
          <w:lang w:val="es-ES"/>
        </w:rPr>
        <w:t>terapéuticas</w:t>
      </w:r>
      <w:r w:rsidRPr="000C4150">
        <w:rPr>
          <w:rFonts w:ascii="Calibri" w:hAnsi="Calibri"/>
          <w:sz w:val="22"/>
          <w:szCs w:val="22"/>
          <w:lang w:val="es-ES"/>
        </w:rPr>
        <w:t xml:space="preserve"> no se realizan en la frecuencia que se requiere para atender a la persona beneficiaria de acuerdo con el nivel de victimización y tampoco se toma en cuenta las necesidades de las y los beneficiarios/as y de sus familias. </w:t>
      </w:r>
    </w:p>
    <w:p w14:paraId="7A87AD66" w14:textId="6F83B758" w:rsidR="003B204E" w:rsidRPr="000C4150" w:rsidRDefault="008D425F" w:rsidP="000C4150">
      <w:pPr>
        <w:pStyle w:val="NormalWeb"/>
        <w:spacing w:line="276" w:lineRule="auto"/>
        <w:jc w:val="both"/>
        <w:rPr>
          <w:rFonts w:ascii="Calibri" w:hAnsi="Calibri" w:cs="Arial"/>
          <w:b/>
          <w:sz w:val="22"/>
          <w:szCs w:val="22"/>
          <w:lang w:val="es-ES"/>
        </w:rPr>
      </w:pPr>
      <w:r w:rsidRPr="000C4150">
        <w:rPr>
          <w:rFonts w:ascii="Calibri" w:hAnsi="Calibri" w:cs="Arial"/>
          <w:b/>
          <w:sz w:val="22"/>
          <w:szCs w:val="22"/>
          <w:lang w:val="es-ES"/>
        </w:rPr>
        <w:t xml:space="preserve">Atención a víctimas. </w:t>
      </w:r>
      <w:r w:rsidR="003B204E" w:rsidRPr="000C4150">
        <w:rPr>
          <w:rFonts w:ascii="Calibri" w:hAnsi="Calibri" w:cs="Arial"/>
          <w:b/>
          <w:sz w:val="22"/>
          <w:szCs w:val="22"/>
          <w:lang w:val="es-ES"/>
        </w:rPr>
        <w:t>C</w:t>
      </w:r>
      <w:r w:rsidR="00305DE5" w:rsidRPr="000C4150">
        <w:rPr>
          <w:rFonts w:ascii="Calibri" w:hAnsi="Calibri" w:cs="Arial"/>
          <w:b/>
          <w:sz w:val="22"/>
          <w:szCs w:val="22"/>
          <w:lang w:val="es-ES"/>
        </w:rPr>
        <w:t xml:space="preserve">omisión </w:t>
      </w:r>
      <w:r w:rsidR="003B204E" w:rsidRPr="000C4150">
        <w:rPr>
          <w:rFonts w:ascii="Calibri" w:hAnsi="Calibri" w:cs="Arial"/>
          <w:b/>
          <w:sz w:val="22"/>
          <w:szCs w:val="22"/>
          <w:lang w:val="es-ES"/>
        </w:rPr>
        <w:t>E</w:t>
      </w:r>
      <w:r w:rsidR="00305DE5" w:rsidRPr="000C4150">
        <w:rPr>
          <w:rFonts w:ascii="Calibri" w:hAnsi="Calibri" w:cs="Arial"/>
          <w:b/>
          <w:sz w:val="22"/>
          <w:szCs w:val="22"/>
          <w:lang w:val="es-ES"/>
        </w:rPr>
        <w:t xml:space="preserve">jecutiva </w:t>
      </w:r>
      <w:r w:rsidRPr="000C4150">
        <w:rPr>
          <w:rFonts w:ascii="Calibri" w:hAnsi="Calibri" w:cs="Arial"/>
          <w:b/>
          <w:sz w:val="22"/>
          <w:szCs w:val="22"/>
          <w:lang w:val="es-ES"/>
        </w:rPr>
        <w:t>“CEAV”</w:t>
      </w:r>
    </w:p>
    <w:p w14:paraId="42141046" w14:textId="77777777" w:rsidR="003B204E" w:rsidRPr="000C4150" w:rsidRDefault="003B204E" w:rsidP="000C4150">
      <w:pPr>
        <w:pStyle w:val="NormalWeb"/>
        <w:spacing w:before="0" w:after="0" w:line="276" w:lineRule="auto"/>
        <w:jc w:val="both"/>
        <w:textAlignment w:val="baseline"/>
        <w:rPr>
          <w:rFonts w:ascii="Calibri" w:hAnsi="Calibri" w:cs="Arial"/>
          <w:sz w:val="22"/>
          <w:szCs w:val="22"/>
          <w:lang w:val="es-ES"/>
        </w:rPr>
      </w:pPr>
      <w:r w:rsidRPr="000C4150">
        <w:rPr>
          <w:rFonts w:ascii="Calibri" w:hAnsi="Calibri" w:cs="Arial"/>
          <w:sz w:val="22"/>
          <w:szCs w:val="22"/>
          <w:lang w:val="es-ES"/>
        </w:rPr>
        <w:t xml:space="preserve">Articulo 19 ha acompañado casos donde la Comisión Ejecutiva de Atención a Víctimas proporciona diferentes tipos de atención, ya sea como asesor jurídico en los procedimientos penales ante la Fiscalía Especial para Atención de Delitos contra la Libertad de Expresión (FEADLE), así como atención médica y psicológica, aunado al otorgamiento de apoyos para gastos de despensa y alojamiento de beneficiarios y sus familias que se encuentran en el Registro Nacional de Víctimas. </w:t>
      </w:r>
    </w:p>
    <w:p w14:paraId="16C12EC4" w14:textId="77777777" w:rsidR="003B204E" w:rsidRPr="000C4150" w:rsidRDefault="003B204E" w:rsidP="000C4150">
      <w:pPr>
        <w:pStyle w:val="NormalWeb"/>
        <w:spacing w:before="0" w:after="0" w:line="276" w:lineRule="auto"/>
        <w:jc w:val="both"/>
        <w:textAlignment w:val="baseline"/>
        <w:rPr>
          <w:rFonts w:ascii="Calibri" w:hAnsi="Calibri" w:cs="Arial"/>
          <w:sz w:val="22"/>
          <w:szCs w:val="22"/>
          <w:lang w:val="es-ES"/>
        </w:rPr>
      </w:pPr>
    </w:p>
    <w:p w14:paraId="0C2BC6CF" w14:textId="77777777" w:rsidR="003B204E" w:rsidRPr="000C4150" w:rsidRDefault="003B204E" w:rsidP="000C4150">
      <w:pPr>
        <w:pStyle w:val="NormalWeb"/>
        <w:spacing w:before="0" w:after="0" w:line="276" w:lineRule="auto"/>
        <w:jc w:val="both"/>
        <w:textAlignment w:val="baseline"/>
        <w:rPr>
          <w:rFonts w:ascii="Calibri" w:hAnsi="Calibri" w:cs="Arial"/>
          <w:sz w:val="22"/>
          <w:szCs w:val="22"/>
          <w:lang w:val="es-ES"/>
        </w:rPr>
      </w:pPr>
      <w:r w:rsidRPr="000C4150">
        <w:rPr>
          <w:rFonts w:ascii="Calibri" w:hAnsi="Calibri" w:cs="Arial"/>
          <w:sz w:val="22"/>
          <w:szCs w:val="22"/>
          <w:lang w:val="es-ES"/>
        </w:rPr>
        <w:t>Una de las primeras problemáticas son los tiempos de espera en la respuesta que da esta institución a las solicitudes de incorporación al Registro Nacional de Víctimas, para que puedan obtener el apoyo de gastos alimentarios  y de alojamiento que se otorgan a través de este fondo. Aunado a ello, una vez que los beneficiarios forman parte del Fondo de Ayuda, Asistencia y Reparación Integral, los beneficiarios tienen que esperar a que les sean otorgados los recursos para gastos alimenticios. Esta situación se agrava sobretodo en periodistas en situación de desplazamiento, quienes se encuentran en mayor de vulnerabilidad, muchas veces sin empleo y teniendo sobre ellos la responsabilidad de la manutención de su familia. Otro de víctimas para quienes los  largos tiempos de espera para obtener recursos del RENAVI los colocan en una situación de vulnerabilidad son los familiares de periodistas asesinados, quienes además incurren en gastos para los procedimientos jurídicos para la exigencia de justicia.</w:t>
      </w:r>
    </w:p>
    <w:p w14:paraId="0676B01F" w14:textId="77777777" w:rsidR="003B204E" w:rsidRPr="000C4150" w:rsidRDefault="003B204E" w:rsidP="000C4150">
      <w:pPr>
        <w:pStyle w:val="NormalWeb"/>
        <w:spacing w:before="0" w:after="0" w:line="276" w:lineRule="auto"/>
        <w:jc w:val="both"/>
        <w:textAlignment w:val="baseline"/>
        <w:rPr>
          <w:rFonts w:ascii="Calibri" w:hAnsi="Calibri" w:cs="Arial"/>
          <w:sz w:val="22"/>
          <w:szCs w:val="22"/>
          <w:lang w:val="es-ES"/>
        </w:rPr>
      </w:pPr>
    </w:p>
    <w:p w14:paraId="124F3C3A" w14:textId="44EB7674" w:rsidR="003B204E" w:rsidRPr="000C4150" w:rsidRDefault="00F00C85" w:rsidP="000C4150">
      <w:pPr>
        <w:pStyle w:val="NormalWeb"/>
        <w:spacing w:before="0" w:after="0" w:line="276" w:lineRule="auto"/>
        <w:jc w:val="both"/>
        <w:textAlignment w:val="baseline"/>
        <w:rPr>
          <w:rFonts w:ascii="Calibri" w:hAnsi="Calibri" w:cs="Arial"/>
          <w:sz w:val="22"/>
          <w:szCs w:val="22"/>
          <w:lang w:val="es-ES"/>
        </w:rPr>
      </w:pPr>
      <w:r>
        <w:rPr>
          <w:rFonts w:ascii="Calibri" w:hAnsi="Calibri" w:cs="Arial"/>
          <w:sz w:val="22"/>
          <w:szCs w:val="22"/>
          <w:lang w:val="es-ES"/>
        </w:rPr>
        <w:t>La</w:t>
      </w:r>
      <w:r w:rsidR="003B204E" w:rsidRPr="000C4150">
        <w:rPr>
          <w:rFonts w:ascii="Calibri" w:hAnsi="Calibri" w:cs="Arial"/>
          <w:sz w:val="22"/>
          <w:szCs w:val="22"/>
          <w:lang w:val="es-ES"/>
        </w:rPr>
        <w:t xml:space="preserve"> </w:t>
      </w:r>
      <w:proofErr w:type="spellStart"/>
      <w:r w:rsidR="003B204E" w:rsidRPr="000C4150">
        <w:rPr>
          <w:rFonts w:ascii="Calibri" w:hAnsi="Calibri" w:cs="Arial"/>
          <w:sz w:val="22"/>
          <w:szCs w:val="22"/>
          <w:lang w:val="es-ES"/>
        </w:rPr>
        <w:t>revitimización</w:t>
      </w:r>
      <w:proofErr w:type="spellEnd"/>
      <w:r w:rsidR="003B204E" w:rsidRPr="000C4150">
        <w:rPr>
          <w:rFonts w:ascii="Calibri" w:hAnsi="Calibri" w:cs="Arial"/>
          <w:sz w:val="22"/>
          <w:szCs w:val="22"/>
          <w:lang w:val="es-ES"/>
        </w:rPr>
        <w:t xml:space="preserve"> por parte de funcionarios públicos, principalmente adscritos a las delegaciones de la CEAV en diversas entidades de la República, y quienes s</w:t>
      </w:r>
      <w:r w:rsidR="00305DE5" w:rsidRPr="000C4150">
        <w:rPr>
          <w:rFonts w:ascii="Calibri" w:hAnsi="Calibri" w:cs="Arial"/>
          <w:sz w:val="22"/>
          <w:szCs w:val="22"/>
          <w:lang w:val="es-ES"/>
        </w:rPr>
        <w:t xml:space="preserve">e encargan de la atención </w:t>
      </w:r>
      <w:proofErr w:type="spellStart"/>
      <w:r w:rsidR="00305DE5" w:rsidRPr="000C4150">
        <w:rPr>
          <w:rFonts w:ascii="Calibri" w:hAnsi="Calibri" w:cs="Arial"/>
          <w:sz w:val="22"/>
          <w:szCs w:val="22"/>
          <w:lang w:val="es-ES"/>
        </w:rPr>
        <w:t>psico</w:t>
      </w:r>
      <w:r w:rsidR="003B204E" w:rsidRPr="000C4150">
        <w:rPr>
          <w:rFonts w:ascii="Calibri" w:hAnsi="Calibri" w:cs="Arial"/>
          <w:sz w:val="22"/>
          <w:szCs w:val="22"/>
          <w:lang w:val="es-ES"/>
        </w:rPr>
        <w:t>emocional</w:t>
      </w:r>
      <w:proofErr w:type="spellEnd"/>
      <w:r w:rsidR="003B204E" w:rsidRPr="000C4150">
        <w:rPr>
          <w:rFonts w:ascii="Calibri" w:hAnsi="Calibri" w:cs="Arial"/>
          <w:sz w:val="22"/>
          <w:szCs w:val="22"/>
          <w:lang w:val="es-ES"/>
        </w:rPr>
        <w:t xml:space="preserve"> de los beneficiarios y sus familias. Este tipo de atención muchas veces es proporcionada por personal poco sensible que no comprende las situaciones de riesgo de las y los periodistas así como las afectaciones por la violencia ocurrida contra el gremio y los impactos que conllevan para éstos y sus familias.</w:t>
      </w:r>
    </w:p>
    <w:p w14:paraId="04C641EF" w14:textId="77777777" w:rsidR="003B204E" w:rsidRPr="000C4150" w:rsidRDefault="003B204E" w:rsidP="000C4150">
      <w:pPr>
        <w:pStyle w:val="NormalWeb"/>
        <w:spacing w:before="0" w:after="0" w:line="276" w:lineRule="auto"/>
        <w:jc w:val="both"/>
        <w:textAlignment w:val="baseline"/>
        <w:rPr>
          <w:rFonts w:ascii="Calibri" w:hAnsi="Calibri" w:cs="Arial"/>
          <w:sz w:val="22"/>
          <w:szCs w:val="22"/>
          <w:lang w:val="es-ES"/>
        </w:rPr>
      </w:pPr>
    </w:p>
    <w:p w14:paraId="44DC1E87" w14:textId="6FB0FB0F" w:rsidR="003B204E" w:rsidRPr="000C4150" w:rsidRDefault="00F00C85" w:rsidP="000C4150">
      <w:pPr>
        <w:spacing w:line="276" w:lineRule="auto"/>
        <w:jc w:val="both"/>
        <w:rPr>
          <w:rFonts w:ascii="Calibri" w:hAnsi="Calibri" w:cs="Arial"/>
          <w:color w:val="000000"/>
          <w:sz w:val="22"/>
          <w:szCs w:val="22"/>
          <w:lang w:val="es-ES" w:eastAsia="es-ES_tradnl"/>
        </w:rPr>
      </w:pPr>
      <w:r>
        <w:rPr>
          <w:rFonts w:ascii="Calibri" w:hAnsi="Calibri" w:cs="Arial"/>
          <w:sz w:val="22"/>
          <w:szCs w:val="22"/>
          <w:lang w:val="es-ES" w:eastAsia="es-ES_tradnl"/>
        </w:rPr>
        <w:t>No</w:t>
      </w:r>
      <w:r w:rsidR="003B204E" w:rsidRPr="000C4150">
        <w:rPr>
          <w:rFonts w:ascii="Calibri" w:hAnsi="Calibri" w:cs="Arial"/>
          <w:sz w:val="22"/>
          <w:szCs w:val="22"/>
          <w:lang w:val="es-ES" w:eastAsia="es-ES_tradnl"/>
        </w:rPr>
        <w:t xml:space="preserve"> existen </w:t>
      </w:r>
      <w:r w:rsidR="00305DE5" w:rsidRPr="000C4150">
        <w:rPr>
          <w:rFonts w:ascii="Calibri" w:hAnsi="Calibri" w:cs="Arial"/>
          <w:sz w:val="22"/>
          <w:szCs w:val="22"/>
          <w:lang w:val="es-ES" w:eastAsia="es-ES_tradnl"/>
        </w:rPr>
        <w:t xml:space="preserve">áreas de atención médica, </w:t>
      </w:r>
      <w:proofErr w:type="spellStart"/>
      <w:r w:rsidR="00305DE5" w:rsidRPr="000C4150">
        <w:rPr>
          <w:rFonts w:ascii="Calibri" w:hAnsi="Calibri" w:cs="Arial"/>
          <w:sz w:val="22"/>
          <w:szCs w:val="22"/>
          <w:lang w:val="es-ES" w:eastAsia="es-ES_tradnl"/>
        </w:rPr>
        <w:t>psico</w:t>
      </w:r>
      <w:r w:rsidR="003B204E" w:rsidRPr="000C4150">
        <w:rPr>
          <w:rFonts w:ascii="Calibri" w:hAnsi="Calibri" w:cs="Arial"/>
          <w:sz w:val="22"/>
          <w:szCs w:val="22"/>
          <w:lang w:val="es-ES" w:eastAsia="es-ES_tradnl"/>
        </w:rPr>
        <w:t>emocional</w:t>
      </w:r>
      <w:proofErr w:type="spellEnd"/>
      <w:r w:rsidR="003B204E" w:rsidRPr="000C4150">
        <w:rPr>
          <w:rFonts w:ascii="Calibri" w:hAnsi="Calibri" w:cs="Arial"/>
          <w:sz w:val="22"/>
          <w:szCs w:val="22"/>
          <w:lang w:val="es-ES" w:eastAsia="es-ES_tradnl"/>
        </w:rPr>
        <w:t xml:space="preserve"> y jurídica especializadas para la atención de </w:t>
      </w:r>
      <w:r w:rsidR="003B204E" w:rsidRPr="000C4150">
        <w:rPr>
          <w:rFonts w:ascii="Calibri" w:hAnsi="Calibri" w:cs="Arial"/>
          <w:color w:val="000000"/>
          <w:sz w:val="22"/>
          <w:szCs w:val="22"/>
          <w:lang w:val="es-ES" w:eastAsia="es-ES_tradnl"/>
        </w:rPr>
        <w:t>la violencia contra las mujeres, niñez, adultos mayores o pueblos indígenas, lo que genera que no exista un acompañamiento de carácter integral que realmente logre atender a estos grupos de población.</w:t>
      </w:r>
    </w:p>
    <w:p w14:paraId="4B8BFD6E" w14:textId="77777777" w:rsidR="003B204E" w:rsidRPr="000C4150" w:rsidRDefault="003B204E" w:rsidP="000C4150">
      <w:pPr>
        <w:spacing w:line="276" w:lineRule="auto"/>
        <w:jc w:val="both"/>
        <w:rPr>
          <w:rFonts w:ascii="Calibri" w:hAnsi="Calibri" w:cs="Arial"/>
          <w:color w:val="000000"/>
          <w:sz w:val="22"/>
          <w:szCs w:val="22"/>
          <w:lang w:val="es-ES" w:eastAsia="es-ES_tradnl"/>
        </w:rPr>
      </w:pPr>
    </w:p>
    <w:p w14:paraId="54863D60" w14:textId="21E73E64" w:rsidR="003B204E" w:rsidRPr="000C4150" w:rsidRDefault="003B204E" w:rsidP="000C4150">
      <w:pPr>
        <w:spacing w:line="276" w:lineRule="auto"/>
        <w:jc w:val="both"/>
        <w:rPr>
          <w:rFonts w:ascii="Calibri" w:hAnsi="Calibri" w:cs="Arial"/>
          <w:color w:val="000000"/>
          <w:sz w:val="22"/>
          <w:szCs w:val="22"/>
          <w:lang w:val="es-ES" w:eastAsia="es-ES_tradnl"/>
        </w:rPr>
      </w:pPr>
      <w:r w:rsidRPr="000C4150">
        <w:rPr>
          <w:rFonts w:ascii="Calibri" w:hAnsi="Calibri" w:cs="Arial"/>
          <w:color w:val="000000"/>
          <w:sz w:val="22"/>
          <w:szCs w:val="22"/>
          <w:lang w:val="es-ES" w:eastAsia="es-ES_tradnl"/>
        </w:rPr>
        <w:t xml:space="preserve">Finalmente, debido a la alta demanda de casos y denuncias ante la FEADLE donde interviene la CEAV como asesor jurídico se puede observar una dilación en los procesos de acompañamiento, una atención poco adecuada debido a que el personal jurídico en la </w:t>
      </w:r>
      <w:r w:rsidR="00305DE5" w:rsidRPr="000C4150">
        <w:rPr>
          <w:rFonts w:ascii="Calibri" w:hAnsi="Calibri" w:cs="Arial"/>
          <w:color w:val="000000"/>
          <w:sz w:val="22"/>
          <w:szCs w:val="22"/>
          <w:lang w:val="es-ES" w:eastAsia="es-ES_tradnl"/>
        </w:rPr>
        <w:t>CEAV</w:t>
      </w:r>
      <w:r w:rsidRPr="000C4150">
        <w:rPr>
          <w:rFonts w:ascii="Calibri" w:hAnsi="Calibri" w:cs="Arial"/>
          <w:color w:val="000000"/>
          <w:sz w:val="22"/>
          <w:szCs w:val="22"/>
          <w:lang w:val="es-ES" w:eastAsia="es-ES_tradnl"/>
        </w:rPr>
        <w:t xml:space="preserve"> es poco en comparación con la demanda de casos. </w:t>
      </w:r>
    </w:p>
    <w:p w14:paraId="7B1BA709" w14:textId="77777777" w:rsidR="00381B65" w:rsidRPr="000C4150" w:rsidRDefault="00381B65" w:rsidP="000C4150">
      <w:pPr>
        <w:spacing w:line="276" w:lineRule="auto"/>
        <w:jc w:val="both"/>
        <w:rPr>
          <w:rFonts w:ascii="Calibri" w:eastAsia="Times New Roman" w:hAnsi="Calibri" w:cs="Arial"/>
          <w:sz w:val="22"/>
          <w:szCs w:val="22"/>
          <w:lang w:val="es-ES" w:eastAsia="es-ES_tradnl"/>
        </w:rPr>
      </w:pPr>
    </w:p>
    <w:p w14:paraId="4155C1BC" w14:textId="4FE22F6B" w:rsidR="00DD0D25" w:rsidRPr="000C4150" w:rsidRDefault="00A379BC" w:rsidP="00DD0D25">
      <w:pPr>
        <w:spacing w:line="276" w:lineRule="auto"/>
        <w:jc w:val="both"/>
        <w:rPr>
          <w:rFonts w:ascii="Calibri" w:eastAsia="Times New Roman" w:hAnsi="Calibri" w:cs="Times New Roman"/>
          <w:b/>
          <w:sz w:val="22"/>
          <w:szCs w:val="22"/>
          <w:lang w:val="es-ES"/>
        </w:rPr>
      </w:pPr>
      <w:r>
        <w:rPr>
          <w:rFonts w:ascii="Calibri" w:eastAsia="Times New Roman" w:hAnsi="Calibri" w:cs="Times New Roman"/>
          <w:b/>
          <w:sz w:val="22"/>
          <w:szCs w:val="22"/>
          <w:lang w:val="es-ES"/>
        </w:rPr>
        <w:t>Derecho a la Privacidad. Vigilancia</w:t>
      </w:r>
      <w:r w:rsidR="00DD0D25">
        <w:rPr>
          <w:rFonts w:ascii="Calibri" w:eastAsia="Times New Roman" w:hAnsi="Calibri" w:cs="Times New Roman"/>
          <w:b/>
          <w:sz w:val="22"/>
          <w:szCs w:val="22"/>
          <w:lang w:val="es-ES"/>
        </w:rPr>
        <w:t xml:space="preserve"> </w:t>
      </w:r>
    </w:p>
    <w:p w14:paraId="11F63306" w14:textId="77777777" w:rsidR="00DD0D25" w:rsidRPr="000C4150" w:rsidRDefault="00DD0D25" w:rsidP="00DD0D25">
      <w:pPr>
        <w:spacing w:line="276" w:lineRule="auto"/>
        <w:jc w:val="both"/>
        <w:rPr>
          <w:rFonts w:ascii="Calibri" w:eastAsia="Times New Roman" w:hAnsi="Calibri" w:cs="Times New Roman"/>
          <w:sz w:val="22"/>
          <w:szCs w:val="22"/>
          <w:lang w:val="es-ES"/>
        </w:rPr>
      </w:pPr>
    </w:p>
    <w:p w14:paraId="2D102BF9" w14:textId="77777777" w:rsidR="00DD0D25" w:rsidRPr="000C4150" w:rsidRDefault="00DD0D25" w:rsidP="00DD0D25">
      <w:pPr>
        <w:spacing w:line="276" w:lineRule="auto"/>
        <w:jc w:val="both"/>
        <w:rPr>
          <w:rFonts w:ascii="Calibri" w:eastAsia="Times New Roman" w:hAnsi="Calibri" w:cs="Times New Roman"/>
          <w:sz w:val="22"/>
          <w:szCs w:val="22"/>
          <w:lang w:val="es-ES"/>
        </w:rPr>
      </w:pPr>
      <w:r w:rsidRPr="000C4150">
        <w:rPr>
          <w:rFonts w:ascii="Calibri" w:eastAsia="Times New Roman" w:hAnsi="Calibri" w:cs="Times New Roman"/>
          <w:sz w:val="22"/>
          <w:szCs w:val="22"/>
          <w:lang w:val="es-ES"/>
        </w:rPr>
        <w:t>En el sexenio pasado el Estado mexicano abusó, de forma ilegal y arbitraria, de sus capacidades para la intervención de comunicaciones y la invasión a la privacidad de quienes formamos parte de esta sociedad</w:t>
      </w:r>
      <w:r w:rsidRPr="000C4150">
        <w:rPr>
          <w:rStyle w:val="FootnoteReference"/>
          <w:rFonts w:ascii="Calibri" w:eastAsia="Times New Roman" w:hAnsi="Calibri"/>
          <w:sz w:val="22"/>
          <w:szCs w:val="22"/>
          <w:lang w:val="es-ES"/>
        </w:rPr>
        <w:footnoteReference w:id="23"/>
      </w:r>
      <w:r w:rsidRPr="000C4150">
        <w:rPr>
          <w:rFonts w:ascii="Calibri" w:eastAsia="Times New Roman" w:hAnsi="Calibri" w:cs="Times New Roman"/>
          <w:sz w:val="22"/>
          <w:szCs w:val="22"/>
          <w:lang w:val="es-ES"/>
        </w:rPr>
        <w:t xml:space="preserve">. Asimismo, con al menos 25 casos documentados de ataques desde el Estado a través del malware </w:t>
      </w:r>
      <w:proofErr w:type="spellStart"/>
      <w:r w:rsidRPr="000C4150">
        <w:rPr>
          <w:rFonts w:ascii="Calibri" w:eastAsia="Times New Roman" w:hAnsi="Calibri" w:cs="Times New Roman"/>
          <w:sz w:val="22"/>
          <w:szCs w:val="22"/>
          <w:lang w:val="es-ES"/>
        </w:rPr>
        <w:t>Pegasus</w:t>
      </w:r>
      <w:proofErr w:type="spellEnd"/>
      <w:r w:rsidRPr="000C4150">
        <w:rPr>
          <w:rStyle w:val="FootnoteReference"/>
          <w:rFonts w:ascii="Calibri" w:eastAsia="Times New Roman" w:hAnsi="Calibri"/>
          <w:sz w:val="22"/>
          <w:szCs w:val="22"/>
          <w:lang w:val="es-ES"/>
        </w:rPr>
        <w:footnoteReference w:id="24"/>
      </w:r>
      <w:r w:rsidRPr="000C4150">
        <w:rPr>
          <w:rFonts w:ascii="Calibri" w:eastAsia="Times New Roman" w:hAnsi="Calibri" w:cs="Times New Roman"/>
          <w:sz w:val="22"/>
          <w:szCs w:val="22"/>
          <w:lang w:val="es-ES"/>
        </w:rPr>
        <w:t>, en México se evidencia la existencia de un patrón de utilización de los sistemas de vigilancia gubernamentales en contra de periodistas, personas defensoras de derechos humanos, activistas y voces disidentes: hechos que permanecen en la impunidad</w:t>
      </w:r>
      <w:r w:rsidRPr="000C4150">
        <w:rPr>
          <w:rStyle w:val="FootnoteReference"/>
          <w:rFonts w:ascii="Calibri" w:eastAsia="Times New Roman" w:hAnsi="Calibri"/>
          <w:sz w:val="22"/>
          <w:szCs w:val="22"/>
          <w:lang w:val="es-ES"/>
        </w:rPr>
        <w:footnoteReference w:id="25"/>
      </w:r>
      <w:r w:rsidRPr="000C4150">
        <w:rPr>
          <w:rFonts w:ascii="Calibri" w:eastAsia="Times New Roman" w:hAnsi="Calibri" w:cs="Times New Roman"/>
          <w:sz w:val="22"/>
          <w:szCs w:val="22"/>
          <w:lang w:val="es-ES"/>
        </w:rPr>
        <w:t xml:space="preserve">. </w:t>
      </w:r>
    </w:p>
    <w:p w14:paraId="6073AB2C" w14:textId="77777777" w:rsidR="00DD0D25" w:rsidRPr="000C4150" w:rsidRDefault="00DD0D25" w:rsidP="00DD0D25">
      <w:pPr>
        <w:spacing w:line="276" w:lineRule="auto"/>
        <w:jc w:val="both"/>
        <w:rPr>
          <w:rFonts w:ascii="Calibri" w:eastAsia="Times New Roman" w:hAnsi="Calibri" w:cs="Times New Roman"/>
          <w:sz w:val="22"/>
          <w:szCs w:val="22"/>
          <w:lang w:val="es-ES"/>
        </w:rPr>
      </w:pPr>
    </w:p>
    <w:p w14:paraId="507AAE45" w14:textId="28954DFA" w:rsidR="00DD0D25" w:rsidRPr="000C4150" w:rsidRDefault="00DD0D25" w:rsidP="00DD0D25">
      <w:pPr>
        <w:spacing w:line="276" w:lineRule="auto"/>
        <w:jc w:val="both"/>
        <w:rPr>
          <w:rFonts w:ascii="Calibri" w:eastAsia="Times New Roman" w:hAnsi="Calibri" w:cs="Times New Roman"/>
          <w:sz w:val="22"/>
          <w:szCs w:val="22"/>
          <w:lang w:val="es-ES"/>
        </w:rPr>
      </w:pPr>
      <w:r w:rsidRPr="000C4150">
        <w:rPr>
          <w:rFonts w:ascii="Calibri" w:eastAsia="Times New Roman" w:hAnsi="Calibri" w:cs="Times New Roman"/>
          <w:sz w:val="22"/>
          <w:szCs w:val="22"/>
          <w:lang w:val="es-ES"/>
        </w:rPr>
        <w:t xml:space="preserve">A pesar de que no se ha comprobado la implementación de estas tecnologías de vigilancia por parte del gobierno del presidente Andrés Manuel López Obrador, la presente administración, con su inacción, ha perpetuado la carencia de contrapesos institucionales y de mecanismos de rendición de cuentas. </w:t>
      </w:r>
      <w:r w:rsidR="00427CF8">
        <w:rPr>
          <w:rFonts w:ascii="Calibri" w:eastAsia="Times New Roman" w:hAnsi="Calibri" w:cs="Times New Roman"/>
          <w:sz w:val="22"/>
          <w:szCs w:val="22"/>
          <w:lang w:val="es-ES"/>
        </w:rPr>
        <w:t>La</w:t>
      </w:r>
      <w:r w:rsidRPr="000C4150">
        <w:rPr>
          <w:rFonts w:ascii="Calibri" w:eastAsia="Times New Roman" w:hAnsi="Calibri" w:cs="Times New Roman"/>
          <w:sz w:val="22"/>
          <w:szCs w:val="22"/>
          <w:lang w:val="es-ES"/>
        </w:rPr>
        <w:t xml:space="preserve"> vigilancia </w:t>
      </w:r>
      <w:r w:rsidR="00427CF8">
        <w:rPr>
          <w:rFonts w:ascii="Calibri" w:eastAsia="Times New Roman" w:hAnsi="Calibri" w:cs="Times New Roman"/>
          <w:sz w:val="22"/>
          <w:szCs w:val="22"/>
          <w:lang w:val="es-ES"/>
        </w:rPr>
        <w:t xml:space="preserve">es </w:t>
      </w:r>
      <w:r w:rsidRPr="000C4150">
        <w:rPr>
          <w:rFonts w:ascii="Calibri" w:eastAsia="Times New Roman" w:hAnsi="Calibri" w:cs="Times New Roman"/>
          <w:sz w:val="22"/>
          <w:szCs w:val="22"/>
          <w:lang w:val="es-ES"/>
        </w:rPr>
        <w:t xml:space="preserve">un serio obstáculo para el ejercicio del periodismo libre, un grave riesgo para las personas que han sido atacadas con </w:t>
      </w:r>
      <w:proofErr w:type="spellStart"/>
      <w:r w:rsidRPr="000C4150">
        <w:rPr>
          <w:rFonts w:ascii="Calibri" w:eastAsia="Times New Roman" w:hAnsi="Calibri" w:cs="Times New Roman"/>
          <w:sz w:val="22"/>
          <w:szCs w:val="22"/>
          <w:lang w:val="es-ES"/>
        </w:rPr>
        <w:t>Pegasus</w:t>
      </w:r>
      <w:proofErr w:type="spellEnd"/>
      <w:r w:rsidRPr="000C4150">
        <w:rPr>
          <w:rFonts w:ascii="Calibri" w:eastAsia="Times New Roman" w:hAnsi="Calibri" w:cs="Times New Roman"/>
          <w:sz w:val="22"/>
          <w:szCs w:val="22"/>
          <w:lang w:val="es-ES"/>
        </w:rPr>
        <w:t>, y una seria amenaza contra las instituciones democráticas</w:t>
      </w:r>
      <w:r w:rsidRPr="000C4150">
        <w:rPr>
          <w:rStyle w:val="FootnoteReference"/>
          <w:rFonts w:ascii="Calibri" w:eastAsia="Times New Roman" w:hAnsi="Calibri"/>
          <w:sz w:val="22"/>
          <w:szCs w:val="22"/>
          <w:lang w:val="es-ES"/>
        </w:rPr>
        <w:footnoteReference w:id="26"/>
      </w:r>
      <w:r w:rsidRPr="000C4150">
        <w:rPr>
          <w:rFonts w:ascii="Calibri" w:eastAsia="Times New Roman" w:hAnsi="Calibri" w:cs="Times New Roman"/>
          <w:sz w:val="22"/>
          <w:szCs w:val="22"/>
          <w:lang w:val="es-ES"/>
        </w:rPr>
        <w:t>.</w:t>
      </w:r>
    </w:p>
    <w:p w14:paraId="0D7C6D81" w14:textId="77777777" w:rsidR="00DD0D25" w:rsidRPr="000C4150" w:rsidRDefault="00DD0D25" w:rsidP="00DD0D25">
      <w:pPr>
        <w:spacing w:line="276" w:lineRule="auto"/>
        <w:jc w:val="both"/>
        <w:rPr>
          <w:rFonts w:ascii="Calibri" w:eastAsia="Times New Roman" w:hAnsi="Calibri" w:cs="Times New Roman"/>
          <w:sz w:val="22"/>
          <w:szCs w:val="22"/>
          <w:lang w:val="es-ES"/>
        </w:rPr>
      </w:pPr>
    </w:p>
    <w:p w14:paraId="79819892" w14:textId="7CFB3A19" w:rsidR="00DD0D25" w:rsidRPr="000C4150" w:rsidRDefault="00427CF8" w:rsidP="00DD0D25">
      <w:pPr>
        <w:spacing w:line="276" w:lineRule="auto"/>
        <w:jc w:val="both"/>
        <w:rPr>
          <w:rFonts w:ascii="Calibri" w:eastAsia="Times New Roman" w:hAnsi="Calibri" w:cs="Times New Roman"/>
          <w:sz w:val="22"/>
          <w:szCs w:val="22"/>
          <w:lang w:val="es-ES"/>
        </w:rPr>
      </w:pPr>
      <w:r>
        <w:rPr>
          <w:rFonts w:ascii="Calibri" w:eastAsia="Times New Roman" w:hAnsi="Calibri" w:cs="Times New Roman"/>
          <w:sz w:val="22"/>
          <w:szCs w:val="22"/>
          <w:lang w:val="es-ES"/>
        </w:rPr>
        <w:t>El derecho a la privacidad, ejercido en medios digitales</w:t>
      </w:r>
      <w:r w:rsidR="00DD0D25" w:rsidRPr="000C4150">
        <w:rPr>
          <w:rFonts w:ascii="Calibri" w:eastAsia="Times New Roman" w:hAnsi="Calibri" w:cs="Times New Roman"/>
          <w:sz w:val="22"/>
          <w:szCs w:val="22"/>
          <w:lang w:val="es-ES"/>
        </w:rPr>
        <w:t xml:space="preserve">, particularmente aquellos que habilitan que las personas puedan buscar, recibir y emitir contenidos de forma privada, segura, confidencial y anónima, permiten que los seres humanos desarrollen de manera integral su personalidad y ejerzan los derechos humanos de manera plena, tanto en la esfera individual como colectiva. Por lo tanto, el Estado está obligado a garantizar estos derechos. Para México en particular, permanece la deuda del gobierno en (i) garantizar el acceso a la justicia y la rendición de cuentas de los casos de espionaje a través de </w:t>
      </w:r>
      <w:proofErr w:type="spellStart"/>
      <w:r w:rsidR="00DD0D25" w:rsidRPr="000C4150">
        <w:rPr>
          <w:rFonts w:ascii="Calibri" w:eastAsia="Times New Roman" w:hAnsi="Calibri" w:cs="Times New Roman"/>
          <w:sz w:val="22"/>
          <w:szCs w:val="22"/>
          <w:lang w:val="es-ES"/>
        </w:rPr>
        <w:t>Pegasus</w:t>
      </w:r>
      <w:proofErr w:type="spellEnd"/>
      <w:r w:rsidR="00DD0D25" w:rsidRPr="000C4150">
        <w:rPr>
          <w:rFonts w:ascii="Calibri" w:eastAsia="Times New Roman" w:hAnsi="Calibri" w:cs="Times New Roman"/>
          <w:sz w:val="22"/>
          <w:szCs w:val="22"/>
          <w:lang w:val="es-ES"/>
        </w:rPr>
        <w:t>; (ii) transparentar el tratamiento de los datos personales en función de sus facultades de vigilancia; (iii) dar cuenta y sancionar a aquellas instituciones que solicitan vigilancia y no están facultadas para ello; y (iv) asegurar la implementación de una política que garantice medidas de no repetición de vigilancia arbitraria e/o ilegal.</w:t>
      </w:r>
      <w:r w:rsidR="00DD0D25" w:rsidRPr="000C4150">
        <w:rPr>
          <w:rStyle w:val="FootnoteReference"/>
          <w:rFonts w:ascii="Calibri" w:eastAsia="Times New Roman" w:hAnsi="Calibri"/>
          <w:sz w:val="22"/>
          <w:szCs w:val="22"/>
          <w:lang w:val="es-ES"/>
        </w:rPr>
        <w:footnoteReference w:id="27"/>
      </w:r>
    </w:p>
    <w:p w14:paraId="3CED729A" w14:textId="22974241" w:rsidR="003B204E" w:rsidRPr="00841AA4" w:rsidRDefault="003B204E" w:rsidP="00841AA4">
      <w:pPr>
        <w:spacing w:line="276" w:lineRule="auto"/>
        <w:jc w:val="both"/>
        <w:rPr>
          <w:rFonts w:ascii="Calibri" w:hAnsi="Calibri" w:cs="Arial"/>
          <w:b/>
          <w:sz w:val="22"/>
          <w:szCs w:val="22"/>
          <w:lang w:val="es-ES"/>
        </w:rPr>
      </w:pPr>
    </w:p>
    <w:p w14:paraId="3A9AFC6C" w14:textId="77777777" w:rsidR="00327DDB" w:rsidRPr="000C4150" w:rsidRDefault="00327DDB" w:rsidP="000C4150">
      <w:pPr>
        <w:spacing w:line="276" w:lineRule="auto"/>
        <w:jc w:val="both"/>
        <w:rPr>
          <w:rFonts w:ascii="Calibri" w:eastAsia="Times New Roman" w:hAnsi="Calibri"/>
          <w:sz w:val="22"/>
          <w:szCs w:val="22"/>
          <w:lang w:val="es-ES"/>
        </w:rPr>
      </w:pPr>
    </w:p>
    <w:p w14:paraId="66D292C0" w14:textId="77777777" w:rsidR="00327DDB" w:rsidRPr="000C4150" w:rsidRDefault="00327DDB" w:rsidP="000C4150">
      <w:pPr>
        <w:pStyle w:val="NormalWeb"/>
        <w:spacing w:before="0" w:after="0" w:line="276" w:lineRule="auto"/>
        <w:jc w:val="both"/>
        <w:rPr>
          <w:rFonts w:ascii="Calibri" w:hAnsi="Calibri"/>
          <w:b/>
          <w:sz w:val="22"/>
          <w:szCs w:val="22"/>
          <w:lang w:val="es-ES"/>
        </w:rPr>
      </w:pPr>
      <w:r w:rsidRPr="000C4150">
        <w:rPr>
          <w:rFonts w:ascii="Calibri" w:hAnsi="Calibri" w:cs="Arial"/>
          <w:b/>
          <w:color w:val="000000"/>
          <w:sz w:val="22"/>
          <w:szCs w:val="22"/>
          <w:lang w:val="es-ES"/>
        </w:rPr>
        <w:lastRenderedPageBreak/>
        <w:t>Publicidad Oficial</w:t>
      </w:r>
    </w:p>
    <w:p w14:paraId="11DD6B3C"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p>
    <w:p w14:paraId="3754AF96"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La comunicación social del Estado ha sido utilizada como mecanismo de censura indirecta en México cuyo efecto es el impedimento al ejercicio de la libertad de expresión y la pluralidad de medios en México. Los medios de comunicación dependen económicamente de la venta de espacios de publicidad oficial, razón por la que ésta ha servido para controlar editorialmente a los medios. En este sentido, desde sociedad civil se ha buscado abrogar la actual Ley General de Comunicación Social, misma que regula las malas prácticas, y generar una legislación que cuente con mecanismos de monitoreo y seguimiento que regule el gasto y uso de la publicidad oficial, de acuerdo con lo establecido en el artículo 134, párrafo octavo de la Constitución, evitando su uso como mecanismo de censura indirecta.</w:t>
      </w:r>
    </w:p>
    <w:p w14:paraId="76678F38"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p>
    <w:p w14:paraId="46E0CD2E" w14:textId="77777777" w:rsidR="00327DDB" w:rsidRPr="000C4150" w:rsidRDefault="00327DDB" w:rsidP="000C4150">
      <w:pPr>
        <w:pStyle w:val="NormalWeb"/>
        <w:spacing w:before="0" w:after="0" w:line="276" w:lineRule="auto"/>
        <w:jc w:val="both"/>
        <w:rPr>
          <w:rFonts w:ascii="Calibri" w:hAnsi="Calibri" w:cs="Arial"/>
          <w:b/>
          <w:color w:val="000000"/>
          <w:sz w:val="22"/>
          <w:szCs w:val="22"/>
          <w:lang w:val="es-ES"/>
        </w:rPr>
      </w:pPr>
      <w:r w:rsidRPr="000C4150">
        <w:rPr>
          <w:rFonts w:ascii="Calibri" w:hAnsi="Calibri" w:cs="Arial"/>
          <w:b/>
          <w:color w:val="000000"/>
          <w:sz w:val="22"/>
          <w:szCs w:val="22"/>
          <w:lang w:val="es-ES"/>
        </w:rPr>
        <w:t>Designaciones Públicas</w:t>
      </w:r>
    </w:p>
    <w:p w14:paraId="7DEE60E9" w14:textId="77777777" w:rsidR="00327DDB" w:rsidRPr="000C4150" w:rsidRDefault="00327DDB" w:rsidP="000C4150">
      <w:pPr>
        <w:pStyle w:val="NormalWeb"/>
        <w:spacing w:before="0" w:after="0" w:line="276" w:lineRule="auto"/>
        <w:jc w:val="both"/>
        <w:rPr>
          <w:rFonts w:ascii="Calibri" w:hAnsi="Calibri"/>
          <w:sz w:val="22"/>
          <w:szCs w:val="22"/>
          <w:lang w:val="es-ES"/>
        </w:rPr>
      </w:pPr>
    </w:p>
    <w:p w14:paraId="392C46B0"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La designación de personas que ocupan cargos en organismos autónomos, de derechos humanos o el mismo poder judicial, ha sido históricamente manipulada a través de presión política del gobierno en turno. La ausencia de mecanismos de control sobre los procesos de designación tiene como efecto el debilitamiento institucional. Es por ello que urge la regulación de estos procesos a través de una Ley General de Designaciones que asegure la participación ciudadana, transparencia y el derecho a la información en los procesos de selección de perfiles que ocupan cargos en organismos autónomos, garantes de derechos humanos o del poder judicial. Es fundamental asegurar la idoneidad, imparcialidad e independencia en los perfiles que ocupan instituciones que, en un gobierno democrático, cumplen un rol de contrapeso y vigilan el respeto a los derechos humanos. Esto abonaría al fortalecimiento institucional y social en el buen funcionamiento de las instituciones u organismos del Estado.</w:t>
      </w:r>
    </w:p>
    <w:p w14:paraId="3D08B75E"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p>
    <w:p w14:paraId="076784DF" w14:textId="26AAAE7C" w:rsidR="00C30899" w:rsidRDefault="00C30899" w:rsidP="000C4150">
      <w:pPr>
        <w:pStyle w:val="NormalWeb"/>
        <w:spacing w:before="0" w:after="0" w:line="276" w:lineRule="auto"/>
        <w:jc w:val="both"/>
        <w:rPr>
          <w:rFonts w:ascii="Calibri" w:hAnsi="Calibri" w:cs="Arial"/>
          <w:b/>
          <w:color w:val="000000"/>
          <w:sz w:val="22"/>
          <w:szCs w:val="22"/>
          <w:lang w:val="es-ES"/>
        </w:rPr>
      </w:pPr>
      <w:r>
        <w:rPr>
          <w:rFonts w:ascii="Calibri" w:hAnsi="Calibri" w:cs="Arial"/>
          <w:b/>
          <w:color w:val="000000"/>
          <w:sz w:val="22"/>
          <w:szCs w:val="22"/>
          <w:lang w:val="es-ES"/>
        </w:rPr>
        <w:t>Acceso a la información</w:t>
      </w:r>
    </w:p>
    <w:p w14:paraId="68D40553" w14:textId="77777777" w:rsidR="00CA64E5" w:rsidRDefault="00CA64E5" w:rsidP="000C4150">
      <w:pPr>
        <w:pStyle w:val="NormalWeb"/>
        <w:spacing w:before="0" w:after="0" w:line="276" w:lineRule="auto"/>
        <w:jc w:val="both"/>
        <w:rPr>
          <w:rFonts w:ascii="Calibri" w:hAnsi="Calibri" w:cs="Arial"/>
          <w:b/>
          <w:color w:val="000000"/>
          <w:sz w:val="22"/>
          <w:szCs w:val="22"/>
          <w:lang w:val="es-ES"/>
        </w:rPr>
      </w:pPr>
    </w:p>
    <w:p w14:paraId="28DD3C56" w14:textId="34495992" w:rsidR="00CA64E5" w:rsidRPr="00F00C85" w:rsidRDefault="00CA64E5" w:rsidP="000C4150">
      <w:pPr>
        <w:pStyle w:val="NormalWeb"/>
        <w:spacing w:before="0" w:after="0" w:line="276" w:lineRule="auto"/>
        <w:jc w:val="both"/>
        <w:rPr>
          <w:rFonts w:ascii="Calibri" w:hAnsi="Calibri" w:cs="Arial"/>
          <w:color w:val="000000"/>
          <w:sz w:val="22"/>
          <w:szCs w:val="22"/>
          <w:lang w:val="es-ES"/>
        </w:rPr>
      </w:pPr>
      <w:r w:rsidRPr="00F00C85">
        <w:rPr>
          <w:rFonts w:ascii="Calibri" w:hAnsi="Calibri" w:cs="Arial"/>
          <w:color w:val="000000"/>
          <w:sz w:val="22"/>
          <w:szCs w:val="22"/>
          <w:lang w:val="es-ES"/>
        </w:rPr>
        <w:t xml:space="preserve">Los temas actuales más preocupantes para esta organización, descansan en las omisiones del Estado mexicano en el Derecho a la Verdad y en transparencia. </w:t>
      </w:r>
    </w:p>
    <w:p w14:paraId="19F3AD3A" w14:textId="77777777" w:rsidR="00CA64E5" w:rsidRPr="00F00C85" w:rsidRDefault="00CA64E5" w:rsidP="000C4150">
      <w:pPr>
        <w:pStyle w:val="NormalWeb"/>
        <w:spacing w:before="0" w:after="0" w:line="276" w:lineRule="auto"/>
        <w:jc w:val="both"/>
        <w:rPr>
          <w:rFonts w:ascii="Calibri" w:hAnsi="Calibri" w:cs="Arial"/>
          <w:color w:val="000000"/>
          <w:sz w:val="22"/>
          <w:szCs w:val="22"/>
          <w:lang w:val="es-ES"/>
        </w:rPr>
      </w:pPr>
    </w:p>
    <w:p w14:paraId="7CFE0529" w14:textId="27783158" w:rsidR="00CA64E5" w:rsidRPr="00F00C85" w:rsidRDefault="00CA64E5" w:rsidP="000C4150">
      <w:pPr>
        <w:pStyle w:val="NormalWeb"/>
        <w:spacing w:before="0" w:after="0" w:line="276" w:lineRule="auto"/>
        <w:jc w:val="both"/>
        <w:rPr>
          <w:rFonts w:ascii="Calibri" w:hAnsi="Calibri" w:cs="Arial"/>
          <w:color w:val="000000"/>
          <w:sz w:val="22"/>
          <w:szCs w:val="22"/>
          <w:lang w:val="es-ES"/>
        </w:rPr>
      </w:pPr>
      <w:r w:rsidRPr="00F00C85">
        <w:rPr>
          <w:rFonts w:ascii="Calibri" w:hAnsi="Calibri" w:cs="Arial"/>
          <w:color w:val="000000"/>
          <w:sz w:val="22"/>
          <w:szCs w:val="22"/>
          <w:lang w:val="es-ES"/>
        </w:rPr>
        <w:t>Respecto al derecho a la verdad, r</w:t>
      </w:r>
      <w:r w:rsidR="00842C17" w:rsidRPr="00F00C85">
        <w:rPr>
          <w:rFonts w:ascii="Calibri" w:hAnsi="Calibri" w:cs="Arial"/>
          <w:color w:val="000000"/>
          <w:sz w:val="22"/>
          <w:szCs w:val="22"/>
          <w:lang w:val="es-ES"/>
        </w:rPr>
        <w:t xml:space="preserve">esaltan las dificultades a las que se enfrentan las víctimas indirectas de violaciones de derechos humanos, tal como se explica a continuación: </w:t>
      </w:r>
    </w:p>
    <w:p w14:paraId="7691C199" w14:textId="77777777" w:rsidR="00C607CB" w:rsidRPr="000C4150" w:rsidRDefault="00C607CB" w:rsidP="000C4150">
      <w:pPr>
        <w:pStyle w:val="NormalWeb"/>
        <w:suppressAutoHyphens w:val="0"/>
        <w:spacing w:before="0" w:after="0" w:line="276" w:lineRule="auto"/>
        <w:jc w:val="both"/>
        <w:textAlignment w:val="baseline"/>
        <w:rPr>
          <w:rFonts w:ascii="Calibri" w:hAnsi="Calibri" w:cs="Arial"/>
          <w:color w:val="000000"/>
          <w:sz w:val="22"/>
          <w:szCs w:val="22"/>
          <w:lang w:val="es-ES"/>
        </w:rPr>
      </w:pPr>
    </w:p>
    <w:p w14:paraId="42D43438" w14:textId="77777777" w:rsidR="00327DDB" w:rsidRPr="000C4150" w:rsidRDefault="00327DDB" w:rsidP="000C4150">
      <w:pPr>
        <w:pStyle w:val="NormalWeb"/>
        <w:numPr>
          <w:ilvl w:val="0"/>
          <w:numId w:val="11"/>
        </w:numPr>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 xml:space="preserve">En febrero de 2019, el gobierno federal emitió un </w:t>
      </w:r>
      <w:hyperlink r:id="rId10" w:history="1">
        <w:r w:rsidRPr="000C4150">
          <w:rPr>
            <w:rStyle w:val="Hyperlink"/>
            <w:rFonts w:ascii="Calibri" w:hAnsi="Calibri" w:cs="Arial"/>
            <w:color w:val="1155CC"/>
            <w:sz w:val="22"/>
            <w:szCs w:val="22"/>
            <w:lang w:val="es-ES"/>
          </w:rPr>
          <w:t>“Acuerdo de transferencia de documentos vinculados a violaciones de derechos humanos”</w:t>
        </w:r>
      </w:hyperlink>
      <w:r w:rsidRPr="000C4150">
        <w:rPr>
          <w:rFonts w:ascii="Calibri" w:hAnsi="Calibri" w:cs="Arial"/>
          <w:color w:val="000000"/>
          <w:sz w:val="22"/>
          <w:szCs w:val="22"/>
          <w:lang w:val="es-ES"/>
        </w:rPr>
        <w:t>, donde ordenó la transferencia de todos los documentos vinculados a violaciones de derechos humanos para su resguardo y publicación. Sin embargo, esta medida no ha sido implementada. Su implementación debe contar con el acompañamiento de academia y sociedad civil y contar con una metodología que evite la destrucción de documentos sensibles a los casos.</w:t>
      </w:r>
    </w:p>
    <w:p w14:paraId="61E423AE" w14:textId="77777777" w:rsidR="00327DDB" w:rsidRPr="000C4150" w:rsidRDefault="00327DDB" w:rsidP="000C4150">
      <w:pPr>
        <w:pStyle w:val="NormalWeb"/>
        <w:numPr>
          <w:ilvl w:val="0"/>
          <w:numId w:val="11"/>
        </w:numPr>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Aún no existen medidas ni mecanismos para la preservación, conservación y difusión de documentos vinculados a violaciones de derechos humanos, actos de corrupción y delitos de lesa humanidad, como lo establecen los estándares de la Comisión Interamericana de Derechos Humanos.</w:t>
      </w:r>
    </w:p>
    <w:p w14:paraId="0839B42A" w14:textId="77777777" w:rsidR="00327DDB" w:rsidRPr="000C4150" w:rsidRDefault="00327DDB" w:rsidP="000C4150">
      <w:pPr>
        <w:pStyle w:val="NormalWeb"/>
        <w:numPr>
          <w:ilvl w:val="0"/>
          <w:numId w:val="11"/>
        </w:numPr>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El Archivo General de la Nación no cuenta con los recursos materiales y humanos suficientes para dar acceso efectivo a los archivos que se encuentran en su custodia. Actualmente su presupuesto es de solamente 84 millones de pesos anuales (PEF, 2019).</w:t>
      </w:r>
    </w:p>
    <w:p w14:paraId="28C15C97" w14:textId="77777777" w:rsidR="00327DDB" w:rsidRPr="000C4150" w:rsidRDefault="00327DDB" w:rsidP="000C4150">
      <w:pPr>
        <w:pStyle w:val="NormalWeb"/>
        <w:numPr>
          <w:ilvl w:val="0"/>
          <w:numId w:val="11"/>
        </w:numPr>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lastRenderedPageBreak/>
        <w:t>El Archivo General de la Nación no está garantizando el acceso a los fondos documentales de la Dirección Federal de Seguridad, Dirección General de Investigaciones Políticas y Sociales, y SEDENA, de acuerdo con lo establecido en la Ley General de Archivos y la Ley General de Transparencia y Acceso a la Información Pública. Estos acervos dan cuenta del período de represión estatal de los años 60 a 80.</w:t>
      </w:r>
    </w:p>
    <w:p w14:paraId="1D09E293" w14:textId="77777777" w:rsidR="00327DDB" w:rsidRPr="000C4150" w:rsidRDefault="00327DDB" w:rsidP="000C4150">
      <w:pPr>
        <w:pStyle w:val="NormalWeb"/>
        <w:numPr>
          <w:ilvl w:val="0"/>
          <w:numId w:val="11"/>
        </w:numPr>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SEDENA aún no abre ni transfiere al Archivo General de la Nación todos sus acervos relativos a décadas pasadas, los cuales están vinculados a casos de violaciones de derechos humanos.</w:t>
      </w:r>
    </w:p>
    <w:p w14:paraId="677B9072" w14:textId="77777777" w:rsidR="00D5322A" w:rsidRPr="000C4150" w:rsidRDefault="00D5322A" w:rsidP="000C4150">
      <w:pPr>
        <w:pStyle w:val="NormalWeb"/>
        <w:suppressAutoHyphens w:val="0"/>
        <w:spacing w:before="0" w:after="0" w:line="276" w:lineRule="auto"/>
        <w:ind w:left="720"/>
        <w:jc w:val="both"/>
        <w:textAlignment w:val="baseline"/>
        <w:rPr>
          <w:rFonts w:ascii="Calibri" w:hAnsi="Calibri" w:cs="Arial"/>
          <w:color w:val="000000"/>
          <w:sz w:val="22"/>
          <w:szCs w:val="22"/>
          <w:lang w:val="es-ES"/>
        </w:rPr>
      </w:pPr>
    </w:p>
    <w:p w14:paraId="1F45F373"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El Sistema Nacional de Búsqueda no cuenta con los recursos materiales y humanos suficientes, incluidas las Comisiones Locales y a la Comisión Nacional de Búsqueda para que puedan cumplir con su trabajo y garantizar el derecho a la verdad al establecer el paradero de las personas desaparecidas.</w:t>
      </w:r>
    </w:p>
    <w:p w14:paraId="6EE409F0" w14:textId="77777777" w:rsidR="00381B65" w:rsidRPr="000C4150" w:rsidRDefault="00381B65" w:rsidP="000C4150">
      <w:pPr>
        <w:pStyle w:val="NormalWeb"/>
        <w:suppressAutoHyphens w:val="0"/>
        <w:spacing w:before="0" w:after="0" w:line="276" w:lineRule="auto"/>
        <w:jc w:val="both"/>
        <w:textAlignment w:val="baseline"/>
        <w:rPr>
          <w:rFonts w:ascii="Calibri" w:hAnsi="Calibri" w:cs="Arial"/>
          <w:color w:val="000000"/>
          <w:sz w:val="22"/>
          <w:szCs w:val="22"/>
          <w:lang w:val="es-ES"/>
        </w:rPr>
      </w:pPr>
    </w:p>
    <w:p w14:paraId="599958A5" w14:textId="77777777"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El Gobierno Federal no ha desarrollado los Registro Nacional sobre fosas clandestinas y comunes, Registro Nacional de personas fallecidas y no identificadas y el Registro Nacional de Personas Desaparecidas y No Localizadas, ordenados por la Ley General en Materia de Desaparición.</w:t>
      </w:r>
    </w:p>
    <w:p w14:paraId="43ECFEB9" w14:textId="2B1DA8B3" w:rsidR="00327DDB" w:rsidRPr="000C4150" w:rsidRDefault="00327DDB" w:rsidP="000C4150">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 xml:space="preserve">El Gobierno Federal no ha garantizado la participación de los Familiares en el diseño, implementación, monitoreo y evaluación de las acciones de búsqueda e identificación de Personas Desaparecidas y No Localizadas; así como tampoco ha garantizado la </w:t>
      </w:r>
      <w:proofErr w:type="spellStart"/>
      <w:r w:rsidRPr="000C4150">
        <w:rPr>
          <w:rFonts w:ascii="Calibri" w:hAnsi="Calibri" w:cs="Arial"/>
          <w:color w:val="000000"/>
          <w:sz w:val="22"/>
          <w:szCs w:val="22"/>
          <w:lang w:val="es-ES"/>
        </w:rPr>
        <w:t>coadyuvancia</w:t>
      </w:r>
      <w:proofErr w:type="spellEnd"/>
      <w:r w:rsidRPr="000C4150">
        <w:rPr>
          <w:rFonts w:ascii="Calibri" w:hAnsi="Calibri" w:cs="Arial"/>
          <w:color w:val="000000"/>
          <w:sz w:val="22"/>
          <w:szCs w:val="22"/>
          <w:lang w:val="es-ES"/>
        </w:rPr>
        <w:t xml:space="preserve"> en las etapas de la investigación, de manera que puedan verter sus opiniones, recibir información, aportar indicios o evidencias. Esto de acuerdo a lo establecido en la Ley General en materia de desaparición forzada de personas, desaparición cometida por particulares y del Sistema Nacional de Búsqueda de Personas. </w:t>
      </w:r>
    </w:p>
    <w:p w14:paraId="2BDDAD13" w14:textId="77777777" w:rsidR="00D3077E" w:rsidRPr="000C4150" w:rsidRDefault="00D3077E" w:rsidP="000C4150">
      <w:pPr>
        <w:pStyle w:val="NormalWeb"/>
        <w:suppressAutoHyphens w:val="0"/>
        <w:spacing w:before="0" w:after="0" w:line="276" w:lineRule="auto"/>
        <w:jc w:val="both"/>
        <w:textAlignment w:val="baseline"/>
        <w:rPr>
          <w:rFonts w:ascii="Calibri" w:hAnsi="Calibri" w:cs="Arial"/>
          <w:b/>
          <w:color w:val="000000"/>
          <w:sz w:val="22"/>
          <w:szCs w:val="22"/>
          <w:lang w:val="es-ES"/>
        </w:rPr>
      </w:pPr>
    </w:p>
    <w:p w14:paraId="5CABEDC8" w14:textId="56BE6E55" w:rsidR="006B7B4E" w:rsidRPr="000C4150" w:rsidRDefault="006B7B4E" w:rsidP="006B7B4E">
      <w:pPr>
        <w:pStyle w:val="NormalWeb"/>
        <w:suppressAutoHyphens w:val="0"/>
        <w:spacing w:before="0" w:after="0" w:line="276" w:lineRule="auto"/>
        <w:jc w:val="both"/>
        <w:textAlignment w:val="baseline"/>
        <w:rPr>
          <w:rFonts w:ascii="Calibri" w:hAnsi="Calibri" w:cs="Arial"/>
          <w:color w:val="000000"/>
          <w:sz w:val="22"/>
          <w:szCs w:val="22"/>
          <w:lang w:val="es-ES"/>
        </w:rPr>
      </w:pPr>
      <w:r>
        <w:rPr>
          <w:rFonts w:ascii="Calibri" w:hAnsi="Calibri" w:cs="Arial"/>
          <w:color w:val="000000"/>
          <w:sz w:val="22"/>
          <w:szCs w:val="22"/>
          <w:lang w:val="es-ES"/>
        </w:rPr>
        <w:t>De la misma manera, resulta preocupante que e</w:t>
      </w:r>
      <w:r w:rsidRPr="000C4150">
        <w:rPr>
          <w:rFonts w:ascii="Calibri" w:hAnsi="Calibri" w:cs="Arial"/>
          <w:color w:val="000000"/>
          <w:sz w:val="22"/>
          <w:szCs w:val="22"/>
          <w:lang w:val="es-ES"/>
        </w:rPr>
        <w:t>l Sistema Nacional de Transparencia no ha logrado que a nivel nacional ni en los estados se implementen estrategias para lograr que la información publicada por los sujetos obligados sea accesible de manera focalizada a las personas hablantes de lenguas indígenas, en términos de los artículos 13 y 65 de la Ley General de Transparencia y Acceso a la Información Pública.</w:t>
      </w:r>
    </w:p>
    <w:p w14:paraId="746BA4C9" w14:textId="51360117" w:rsidR="00AB0F1B" w:rsidRDefault="00AB0F1B" w:rsidP="00AB0F1B">
      <w:pPr>
        <w:pStyle w:val="NormalWeb"/>
        <w:suppressAutoHyphens w:val="0"/>
        <w:spacing w:before="0" w:after="0" w:line="276" w:lineRule="auto"/>
        <w:jc w:val="both"/>
        <w:textAlignment w:val="baseline"/>
        <w:rPr>
          <w:rFonts w:ascii="Calibri" w:hAnsi="Calibri" w:cs="Arial"/>
          <w:color w:val="000000"/>
          <w:sz w:val="22"/>
          <w:szCs w:val="22"/>
          <w:lang w:val="es-ES"/>
        </w:rPr>
      </w:pPr>
      <w:r>
        <w:rPr>
          <w:rFonts w:ascii="Calibri" w:hAnsi="Calibri" w:cs="Arial"/>
          <w:color w:val="000000"/>
          <w:sz w:val="22"/>
          <w:szCs w:val="22"/>
          <w:lang w:val="es-ES"/>
        </w:rPr>
        <w:t>Estas omisiones también son legislativas, puesto que l</w:t>
      </w:r>
      <w:r w:rsidR="006B7B4E" w:rsidRPr="000C4150">
        <w:rPr>
          <w:rFonts w:ascii="Calibri" w:hAnsi="Calibri" w:cs="Arial"/>
          <w:color w:val="000000"/>
          <w:sz w:val="22"/>
          <w:szCs w:val="22"/>
          <w:lang w:val="es-ES"/>
        </w:rPr>
        <w:t xml:space="preserve">a fracción II del artículo 73 de la Ley General de Transparencia y Acceso a la Información Pública no obliga al Poder Judicial, en los órdenes federal y local, a publicar la totalidad de sus sentencias emitidas. Solamente están obligados a publicar las consideradas “de interés público”, lo cual prácticamente no sucede. </w:t>
      </w:r>
      <w:r>
        <w:rPr>
          <w:rFonts w:ascii="Calibri" w:hAnsi="Calibri" w:cs="Arial"/>
          <w:color w:val="000000"/>
          <w:sz w:val="22"/>
          <w:szCs w:val="22"/>
          <w:lang w:val="es-ES"/>
        </w:rPr>
        <w:t xml:space="preserve">Lo anterior tomar especial importancia en casos en que se violentan los derechos de las víctimas y el derecho a la verdad también de la sociedad. </w:t>
      </w:r>
    </w:p>
    <w:p w14:paraId="199E89BD" w14:textId="77777777" w:rsidR="00AB0F1B" w:rsidRDefault="00AB0F1B" w:rsidP="00AB0F1B">
      <w:pPr>
        <w:pStyle w:val="NormalWeb"/>
        <w:suppressAutoHyphens w:val="0"/>
        <w:spacing w:before="0" w:after="0" w:line="276" w:lineRule="auto"/>
        <w:jc w:val="both"/>
        <w:textAlignment w:val="baseline"/>
        <w:rPr>
          <w:rFonts w:ascii="Calibri" w:hAnsi="Calibri" w:cs="Arial"/>
          <w:color w:val="000000"/>
          <w:sz w:val="22"/>
          <w:szCs w:val="22"/>
          <w:lang w:val="es-ES"/>
        </w:rPr>
      </w:pPr>
    </w:p>
    <w:p w14:paraId="4ACDF7C8" w14:textId="609D9D0B" w:rsidR="006B7B4E" w:rsidRPr="000C4150" w:rsidRDefault="006B7B4E" w:rsidP="00AB0F1B">
      <w:pPr>
        <w:pStyle w:val="NormalWeb"/>
        <w:suppressAutoHyphens w:val="0"/>
        <w:spacing w:before="0" w:after="0" w:line="276" w:lineRule="auto"/>
        <w:jc w:val="both"/>
        <w:textAlignment w:val="baseline"/>
        <w:rPr>
          <w:rFonts w:ascii="Calibri" w:hAnsi="Calibri" w:cs="Arial"/>
          <w:color w:val="000000"/>
          <w:sz w:val="22"/>
          <w:szCs w:val="22"/>
          <w:lang w:val="es-ES"/>
        </w:rPr>
      </w:pPr>
      <w:r w:rsidRPr="000C4150">
        <w:rPr>
          <w:rFonts w:ascii="Calibri" w:hAnsi="Calibri" w:cs="Arial"/>
          <w:color w:val="000000"/>
          <w:sz w:val="22"/>
          <w:szCs w:val="22"/>
          <w:lang w:val="es-ES"/>
        </w:rPr>
        <w:t>En este sentido, el Congreso de la Unión debe retomar las demandas del colectivo de organizaciones de la sociedad civil #</w:t>
      </w:r>
      <w:proofErr w:type="spellStart"/>
      <w:r w:rsidRPr="000C4150">
        <w:rPr>
          <w:rFonts w:ascii="Calibri" w:hAnsi="Calibri" w:cs="Arial"/>
          <w:color w:val="000000"/>
          <w:sz w:val="22"/>
          <w:szCs w:val="22"/>
          <w:lang w:val="es-ES"/>
        </w:rPr>
        <w:t>LoJustoEsQueSepas</w:t>
      </w:r>
      <w:proofErr w:type="spellEnd"/>
      <w:r w:rsidRPr="000C4150">
        <w:rPr>
          <w:rFonts w:ascii="Calibri" w:hAnsi="Calibri" w:cs="Arial"/>
          <w:color w:val="000000"/>
          <w:sz w:val="22"/>
          <w:szCs w:val="22"/>
          <w:lang w:val="es-ES"/>
        </w:rPr>
        <w:t xml:space="preserve"> para reformar este artículo debido a que a través de la transparencia judicial podemos evaluar y mejorar nuestras instituciones de impartición de justicia.</w:t>
      </w:r>
    </w:p>
    <w:p w14:paraId="0AC89EED" w14:textId="4B00117E" w:rsidR="00D3077E" w:rsidRPr="000C4150" w:rsidRDefault="00D3077E" w:rsidP="000C4150">
      <w:pPr>
        <w:pStyle w:val="NormalWeb"/>
        <w:spacing w:before="0" w:after="0" w:line="276" w:lineRule="auto"/>
        <w:jc w:val="both"/>
        <w:rPr>
          <w:rFonts w:ascii="Calibri" w:hAnsi="Calibri" w:cs="Arial"/>
          <w:color w:val="000000"/>
          <w:sz w:val="22"/>
          <w:szCs w:val="22"/>
          <w:lang w:val="es-ES"/>
        </w:rPr>
      </w:pPr>
    </w:p>
    <w:p w14:paraId="5C0C784F" w14:textId="77777777" w:rsidR="00381B65" w:rsidRPr="000C4150" w:rsidRDefault="00381B65" w:rsidP="000C4150">
      <w:pPr>
        <w:tabs>
          <w:tab w:val="left" w:pos="3265"/>
        </w:tabs>
        <w:spacing w:line="276" w:lineRule="auto"/>
        <w:jc w:val="both"/>
        <w:rPr>
          <w:rFonts w:ascii="Calibri" w:hAnsi="Calibri" w:cs="Arial"/>
          <w:sz w:val="22"/>
          <w:szCs w:val="22"/>
          <w:lang w:val="es-ES"/>
        </w:rPr>
      </w:pPr>
    </w:p>
    <w:p w14:paraId="67E8BBF4" w14:textId="2012E72C" w:rsidR="00D3077E" w:rsidRDefault="00D3077E" w:rsidP="000C4150">
      <w:pPr>
        <w:spacing w:line="276" w:lineRule="auto"/>
        <w:jc w:val="both"/>
        <w:rPr>
          <w:rFonts w:ascii="Calibri" w:eastAsia="Times New Roman" w:hAnsi="Calibri" w:cs="Times New Roman"/>
          <w:sz w:val="22"/>
          <w:szCs w:val="22"/>
          <w:lang w:val="es-ES"/>
        </w:rPr>
      </w:pPr>
    </w:p>
    <w:p w14:paraId="4AFB5AA9" w14:textId="0302842A" w:rsidR="00A07077" w:rsidRPr="00841AA4" w:rsidRDefault="00AB0F1B" w:rsidP="00A07077">
      <w:pPr>
        <w:tabs>
          <w:tab w:val="left" w:pos="3265"/>
        </w:tabs>
        <w:spacing w:line="276" w:lineRule="auto"/>
        <w:jc w:val="both"/>
        <w:rPr>
          <w:rFonts w:ascii="Calibri" w:hAnsi="Calibri" w:cs="Arial"/>
          <w:lang w:val="es-ES"/>
        </w:rPr>
      </w:pPr>
      <w:r>
        <w:rPr>
          <w:rFonts w:ascii="Calibri" w:hAnsi="Calibri" w:cs="Arial"/>
          <w:b/>
          <w:lang w:val="es-ES"/>
        </w:rPr>
        <w:t>Libertad de Expresión en línea</w:t>
      </w:r>
    </w:p>
    <w:p w14:paraId="103B38B6" w14:textId="77777777" w:rsidR="00A07077" w:rsidRPr="000C4150" w:rsidRDefault="00A07077" w:rsidP="000C4150">
      <w:pPr>
        <w:spacing w:line="276" w:lineRule="auto"/>
        <w:jc w:val="both"/>
        <w:rPr>
          <w:rFonts w:ascii="Calibri" w:eastAsia="Times New Roman" w:hAnsi="Calibri" w:cs="Times New Roman"/>
          <w:sz w:val="22"/>
          <w:szCs w:val="22"/>
          <w:lang w:val="es-ES"/>
        </w:rPr>
      </w:pPr>
    </w:p>
    <w:p w14:paraId="3F28B26E" w14:textId="7667B105" w:rsidR="00A95AE8" w:rsidRDefault="00AB0F1B" w:rsidP="000C4150">
      <w:pPr>
        <w:spacing w:line="276" w:lineRule="auto"/>
        <w:jc w:val="both"/>
        <w:rPr>
          <w:rStyle w:val="Muydestacado"/>
          <w:rFonts w:ascii="Calibri" w:hAnsi="Calibri" w:cs="Times New Roman"/>
          <w:sz w:val="22"/>
          <w:szCs w:val="22"/>
          <w:lang w:val="es-ES"/>
        </w:rPr>
      </w:pPr>
      <w:r>
        <w:rPr>
          <w:rStyle w:val="Muydestacado"/>
          <w:rFonts w:ascii="Calibri" w:hAnsi="Calibri" w:cs="Times New Roman"/>
          <w:sz w:val="22"/>
          <w:szCs w:val="22"/>
          <w:lang w:val="es-ES"/>
        </w:rPr>
        <w:t>Acceso a internet</w:t>
      </w:r>
    </w:p>
    <w:p w14:paraId="667F6D2F" w14:textId="77777777" w:rsidR="00D3077E" w:rsidRPr="000C4150" w:rsidRDefault="00D3077E" w:rsidP="000C4150">
      <w:pPr>
        <w:pStyle w:val="BodyText"/>
        <w:spacing w:after="0"/>
        <w:jc w:val="both"/>
        <w:rPr>
          <w:rFonts w:ascii="Calibri" w:hAnsi="Calibri" w:cs="Times New Roman"/>
          <w:sz w:val="22"/>
          <w:szCs w:val="22"/>
          <w:lang w:val="es-ES"/>
        </w:rPr>
      </w:pPr>
    </w:p>
    <w:p w14:paraId="3EACDA35" w14:textId="77777777" w:rsidR="00A95AE8" w:rsidRPr="000C4150" w:rsidRDefault="00A95AE8" w:rsidP="000C4150">
      <w:pPr>
        <w:pStyle w:val="BodyText"/>
        <w:spacing w:after="0"/>
        <w:jc w:val="both"/>
        <w:rPr>
          <w:rFonts w:ascii="Calibri" w:hAnsi="Calibri" w:cs="Times New Roman"/>
          <w:sz w:val="22"/>
          <w:szCs w:val="22"/>
          <w:lang w:val="es-ES"/>
        </w:rPr>
      </w:pPr>
      <w:r w:rsidRPr="000C4150">
        <w:rPr>
          <w:rFonts w:ascii="Calibri" w:hAnsi="Calibri" w:cs="Times New Roman"/>
          <w:sz w:val="22"/>
          <w:szCs w:val="22"/>
          <w:lang w:val="es-ES"/>
        </w:rPr>
        <w:lastRenderedPageBreak/>
        <w:t>En México, las garantías constitucionales reconocen que toda persona tiene derecho de acceder a</w:t>
      </w:r>
      <w:r w:rsidRPr="000C4150">
        <w:rPr>
          <w:rFonts w:ascii="Calibri" w:hAnsi="Calibri" w:cs="Times New Roman"/>
          <w:i/>
          <w:iCs/>
          <w:sz w:val="22"/>
          <w:szCs w:val="22"/>
          <w:lang w:val="es-ES"/>
        </w:rPr>
        <w:t xml:space="preserve"> Internet</w:t>
      </w:r>
      <w:r w:rsidRPr="000C4150">
        <w:rPr>
          <w:rFonts w:ascii="Calibri" w:hAnsi="Calibri" w:cs="Times New Roman"/>
          <w:sz w:val="22"/>
          <w:szCs w:val="22"/>
          <w:lang w:val="es-ES"/>
        </w:rPr>
        <w:t xml:space="preserve"> así como a las tecnologías de la información y la comunicación</w:t>
      </w:r>
      <w:r w:rsidRPr="000C4150">
        <w:rPr>
          <w:rStyle w:val="FootnoteReference"/>
          <w:rFonts w:ascii="Calibri" w:hAnsi="Calibri"/>
          <w:sz w:val="22"/>
          <w:szCs w:val="22"/>
          <w:lang w:val="es-ES"/>
        </w:rPr>
        <w:footnoteReference w:id="28"/>
      </w:r>
      <w:r w:rsidRPr="000C4150">
        <w:rPr>
          <w:rFonts w:ascii="Calibri" w:hAnsi="Calibri" w:cs="Times New Roman"/>
          <w:sz w:val="22"/>
          <w:szCs w:val="22"/>
          <w:lang w:val="es-ES"/>
        </w:rPr>
        <w:t xml:space="preserve">. En ocasiones, los avances en ciencia y tecnología y la accesibilidad a herramientas como el </w:t>
      </w:r>
      <w:r w:rsidRPr="000C4150">
        <w:rPr>
          <w:rFonts w:ascii="Calibri" w:hAnsi="Calibri" w:cs="Times New Roman"/>
          <w:i/>
          <w:sz w:val="22"/>
          <w:szCs w:val="22"/>
          <w:lang w:val="es-ES"/>
        </w:rPr>
        <w:t xml:space="preserve">Internet </w:t>
      </w:r>
      <w:r w:rsidRPr="000C4150">
        <w:rPr>
          <w:rFonts w:ascii="Calibri" w:hAnsi="Calibri" w:cs="Times New Roman"/>
          <w:sz w:val="22"/>
          <w:szCs w:val="22"/>
          <w:lang w:val="es-ES"/>
        </w:rPr>
        <w:t>resultan ser exclusivos, limitados y con alto costo económico para ciertos sectores poblacionales e individuos que deben de confrontar adversidades</w:t>
      </w:r>
      <w:r w:rsidRPr="000C4150">
        <w:rPr>
          <w:rStyle w:val="Ancladenotaalpie"/>
          <w:rFonts w:ascii="Calibri" w:hAnsi="Calibri" w:cs="Times New Roman"/>
          <w:sz w:val="22"/>
          <w:szCs w:val="22"/>
          <w:lang w:val="es-ES"/>
        </w:rPr>
        <w:footnoteReference w:id="29"/>
      </w:r>
      <w:r w:rsidRPr="000C4150">
        <w:rPr>
          <w:rFonts w:ascii="Calibri" w:hAnsi="Calibri" w:cs="Times New Roman"/>
          <w:sz w:val="22"/>
          <w:szCs w:val="22"/>
          <w:lang w:val="es-ES"/>
        </w:rPr>
        <w:t>. Estas adversidades dan como resultado la exclusión y marginación de los avances y de las innovaciones tecnológicas</w:t>
      </w:r>
      <w:r w:rsidRPr="000C4150">
        <w:rPr>
          <w:rStyle w:val="Ancladenotaalpie"/>
          <w:rFonts w:ascii="Calibri" w:hAnsi="Calibri" w:cs="Times New Roman"/>
          <w:sz w:val="22"/>
          <w:szCs w:val="22"/>
          <w:lang w:val="es-ES"/>
        </w:rPr>
        <w:footnoteReference w:id="30"/>
      </w:r>
      <w:r w:rsidRPr="000C4150">
        <w:rPr>
          <w:rFonts w:ascii="Calibri" w:hAnsi="Calibri" w:cs="Times New Roman"/>
          <w:sz w:val="22"/>
          <w:szCs w:val="22"/>
          <w:lang w:val="es-ES"/>
        </w:rPr>
        <w:t xml:space="preserve"> pero además afectan el derecho de acceso a la información, al conocimiento y a la libertad de expresión</w:t>
      </w:r>
      <w:r w:rsidRPr="000C4150">
        <w:rPr>
          <w:rStyle w:val="Ancladenotaalpie"/>
          <w:rFonts w:ascii="Calibri" w:hAnsi="Calibri" w:cs="Times New Roman"/>
          <w:sz w:val="22"/>
          <w:szCs w:val="22"/>
          <w:lang w:val="es-ES"/>
        </w:rPr>
        <w:footnoteReference w:id="31"/>
      </w:r>
      <w:r w:rsidRPr="000C4150">
        <w:rPr>
          <w:rFonts w:ascii="Calibri" w:hAnsi="Calibri" w:cs="Times New Roman"/>
          <w:sz w:val="22"/>
          <w:szCs w:val="22"/>
          <w:lang w:val="es-ES"/>
        </w:rPr>
        <w:t>.</w:t>
      </w:r>
    </w:p>
    <w:p w14:paraId="083BF6E1" w14:textId="77777777" w:rsidR="00A95AE8" w:rsidRPr="000C4150" w:rsidRDefault="00A95AE8" w:rsidP="000C4150">
      <w:pPr>
        <w:pStyle w:val="BodyText"/>
        <w:spacing w:after="0"/>
        <w:ind w:firstLine="709"/>
        <w:jc w:val="both"/>
        <w:rPr>
          <w:rFonts w:ascii="Calibri" w:hAnsi="Calibri" w:cs="Times New Roman"/>
          <w:sz w:val="22"/>
          <w:szCs w:val="22"/>
          <w:lang w:val="es-ES"/>
        </w:rPr>
      </w:pPr>
    </w:p>
    <w:p w14:paraId="7F7ABE1F" w14:textId="48FD66B1" w:rsidR="00A95AE8" w:rsidRPr="000C4150" w:rsidRDefault="00A95AE8" w:rsidP="000C4150">
      <w:pPr>
        <w:pStyle w:val="BodyText"/>
        <w:spacing w:after="0"/>
        <w:jc w:val="both"/>
        <w:rPr>
          <w:rFonts w:ascii="Calibri" w:hAnsi="Calibri" w:cs="Times New Roman"/>
          <w:i/>
          <w:sz w:val="22"/>
          <w:szCs w:val="22"/>
          <w:lang w:val="es-ES"/>
        </w:rPr>
      </w:pPr>
      <w:r w:rsidRPr="000C4150">
        <w:rPr>
          <w:rFonts w:ascii="Calibri" w:hAnsi="Calibri" w:cs="Times New Roman"/>
          <w:sz w:val="22"/>
          <w:szCs w:val="22"/>
          <w:lang w:val="es-ES"/>
        </w:rPr>
        <w:t xml:space="preserve">La política </w:t>
      </w:r>
      <w:r w:rsidR="00D3077E" w:rsidRPr="000C4150">
        <w:rPr>
          <w:rFonts w:ascii="Calibri" w:hAnsi="Calibri" w:cs="Times New Roman"/>
          <w:sz w:val="22"/>
          <w:szCs w:val="22"/>
          <w:lang w:val="es-ES"/>
        </w:rPr>
        <w:t>pública</w:t>
      </w:r>
      <w:r w:rsidRPr="000C4150">
        <w:rPr>
          <w:rFonts w:ascii="Calibri" w:hAnsi="Calibri" w:cs="Times New Roman"/>
          <w:sz w:val="22"/>
          <w:szCs w:val="22"/>
          <w:lang w:val="es-ES"/>
        </w:rPr>
        <w:t xml:space="preserve"> de los últimos tres sexenios, a pesar de haber contribuido al “aumento”</w:t>
      </w:r>
      <w:r w:rsidRPr="000C4150">
        <w:rPr>
          <w:rStyle w:val="FootnoteReference"/>
          <w:rFonts w:ascii="Calibri" w:hAnsi="Calibri"/>
          <w:sz w:val="22"/>
          <w:szCs w:val="22"/>
          <w:lang w:val="es-ES"/>
        </w:rPr>
        <w:footnoteReference w:id="32"/>
      </w:r>
      <w:r w:rsidRPr="000C4150">
        <w:rPr>
          <w:rFonts w:ascii="Calibri" w:hAnsi="Calibri" w:cs="Times New Roman"/>
          <w:sz w:val="22"/>
          <w:szCs w:val="22"/>
          <w:lang w:val="es-ES"/>
        </w:rPr>
        <w:t xml:space="preserve"> del número de usuarios de internet, careció de una perspectiva de derechos humanos y de género, que reconozca la diversidad cultural y lingüística</w:t>
      </w:r>
      <w:r w:rsidRPr="000C4150">
        <w:rPr>
          <w:rStyle w:val="FootnoteReference"/>
          <w:rFonts w:ascii="Calibri" w:hAnsi="Calibri"/>
          <w:sz w:val="22"/>
          <w:szCs w:val="22"/>
          <w:lang w:val="es-ES"/>
        </w:rPr>
        <w:footnoteReference w:id="33"/>
      </w:r>
      <w:r w:rsidRPr="000C4150">
        <w:rPr>
          <w:rFonts w:ascii="Calibri" w:hAnsi="Calibri" w:cs="Times New Roman"/>
          <w:sz w:val="22"/>
          <w:szCs w:val="22"/>
          <w:lang w:val="es-ES"/>
        </w:rPr>
        <w:t xml:space="preserve">. Los resultados de las acciones del Estado no han logrado reducir las desigualdades y acelerar el desarrollo y progreso de las personas en el acceso universal a </w:t>
      </w:r>
      <w:r w:rsidRPr="000C4150">
        <w:rPr>
          <w:rFonts w:ascii="Calibri" w:hAnsi="Calibri" w:cs="Times New Roman"/>
          <w:i/>
          <w:sz w:val="22"/>
          <w:szCs w:val="22"/>
          <w:lang w:val="es-ES"/>
        </w:rPr>
        <w:t>Internet</w:t>
      </w:r>
      <w:r w:rsidRPr="000C4150">
        <w:rPr>
          <w:rStyle w:val="Ancladenotaalpie"/>
          <w:rFonts w:ascii="Calibri" w:hAnsi="Calibri" w:cs="Times New Roman"/>
          <w:i/>
          <w:sz w:val="22"/>
          <w:szCs w:val="22"/>
          <w:lang w:val="es-ES"/>
        </w:rPr>
        <w:footnoteReference w:id="34"/>
      </w:r>
      <w:r w:rsidRPr="000C4150">
        <w:rPr>
          <w:rFonts w:ascii="Calibri" w:hAnsi="Calibri" w:cs="Times New Roman"/>
          <w:i/>
          <w:sz w:val="22"/>
          <w:szCs w:val="22"/>
          <w:lang w:val="es-ES"/>
        </w:rPr>
        <w:t xml:space="preserve">. </w:t>
      </w:r>
    </w:p>
    <w:p w14:paraId="22DCA7CB" w14:textId="77777777" w:rsidR="00A95AE8" w:rsidRPr="000C4150" w:rsidRDefault="00A95AE8" w:rsidP="000C4150">
      <w:pPr>
        <w:pStyle w:val="BodyText"/>
        <w:spacing w:after="0"/>
        <w:jc w:val="both"/>
        <w:rPr>
          <w:rFonts w:ascii="Calibri" w:hAnsi="Calibri" w:cs="Times New Roman"/>
          <w:sz w:val="22"/>
          <w:szCs w:val="22"/>
          <w:lang w:val="es-ES"/>
        </w:rPr>
      </w:pPr>
    </w:p>
    <w:p w14:paraId="061DEC65" w14:textId="77777777" w:rsidR="00A95AE8" w:rsidRPr="000C4150" w:rsidRDefault="00A95AE8" w:rsidP="000C4150">
      <w:pPr>
        <w:pStyle w:val="BodyText"/>
        <w:spacing w:after="0"/>
        <w:jc w:val="both"/>
        <w:rPr>
          <w:rFonts w:ascii="Calibri" w:hAnsi="Calibri" w:cs="Times New Roman"/>
          <w:sz w:val="22"/>
          <w:szCs w:val="22"/>
          <w:lang w:val="es-ES"/>
        </w:rPr>
      </w:pPr>
      <w:r w:rsidRPr="000C4150">
        <w:rPr>
          <w:rFonts w:ascii="Calibri" w:hAnsi="Calibri" w:cs="Times New Roman"/>
          <w:sz w:val="22"/>
          <w:szCs w:val="22"/>
          <w:lang w:val="es-ES"/>
        </w:rPr>
        <w:t>El Estado, también ha faltado en la</w:t>
      </w:r>
      <w:r w:rsidRPr="000C4150">
        <w:rPr>
          <w:rFonts w:ascii="Calibri" w:hAnsi="Calibri" w:cs="Times New Roman"/>
          <w:i/>
          <w:sz w:val="22"/>
          <w:szCs w:val="22"/>
          <w:lang w:val="es-ES"/>
        </w:rPr>
        <w:t xml:space="preserve"> </w:t>
      </w:r>
      <w:r w:rsidRPr="000C4150">
        <w:rPr>
          <w:rFonts w:ascii="Calibri" w:hAnsi="Calibri" w:cs="Times New Roman"/>
          <w:sz w:val="22"/>
          <w:szCs w:val="22"/>
          <w:lang w:val="es-ES"/>
        </w:rPr>
        <w:t>promoción del acceso universal a Internet de manera igualitaria y equitativa para todos los sectores de la población, incluidas las personas con discapacidad, poblaciones indígenas y aquellos grupos como mujeres, niñas</w:t>
      </w:r>
      <w:r w:rsidRPr="000C4150">
        <w:rPr>
          <w:rStyle w:val="Ancladenotaalpie"/>
          <w:rFonts w:ascii="Calibri" w:hAnsi="Calibri" w:cs="Times New Roman"/>
          <w:sz w:val="22"/>
          <w:szCs w:val="22"/>
          <w:lang w:val="es-ES"/>
        </w:rPr>
        <w:footnoteReference w:id="35"/>
      </w:r>
      <w:r w:rsidRPr="000C4150">
        <w:rPr>
          <w:rFonts w:ascii="Calibri" w:hAnsi="Calibri" w:cs="Times New Roman"/>
          <w:sz w:val="22"/>
          <w:szCs w:val="22"/>
          <w:lang w:val="es-ES"/>
        </w:rPr>
        <w:t xml:space="preserve"> y niños, adultos mayores y población LGBTI+ para que puedan acceder de manera significativa a la información en línea. </w:t>
      </w:r>
    </w:p>
    <w:p w14:paraId="45028368" w14:textId="77777777" w:rsidR="00A95AE8" w:rsidRPr="000C4150" w:rsidRDefault="00A95AE8" w:rsidP="000C4150">
      <w:pPr>
        <w:pStyle w:val="BodyText"/>
        <w:spacing w:after="0"/>
        <w:jc w:val="both"/>
        <w:rPr>
          <w:rFonts w:ascii="Calibri" w:hAnsi="Calibri" w:cs="Times New Roman"/>
          <w:sz w:val="22"/>
          <w:szCs w:val="22"/>
          <w:lang w:val="es-ES"/>
        </w:rPr>
      </w:pPr>
    </w:p>
    <w:p w14:paraId="73A8932C" w14:textId="3126EFDD" w:rsidR="00A95AE8" w:rsidRPr="000C4150" w:rsidRDefault="00A95AE8" w:rsidP="00841AA4">
      <w:pPr>
        <w:pStyle w:val="BodyText"/>
        <w:spacing w:after="0"/>
        <w:jc w:val="both"/>
      </w:pPr>
      <w:r w:rsidRPr="000C4150">
        <w:rPr>
          <w:rFonts w:ascii="Calibri" w:hAnsi="Calibri" w:cs="Times New Roman"/>
          <w:sz w:val="22"/>
          <w:szCs w:val="22"/>
          <w:lang w:val="es-ES"/>
        </w:rPr>
        <w:t xml:space="preserve">El aprovisionamiento de infraestructura para favorecer el acceso universal, tampoco ha permitido acelerar el proceso de apropiación de las tecnologías a fin de que los grupos históricamente excluidos generen sus propios contenidos y se inserten en las dinámicas de la sociedad de la información. No solo se trata de darles internet sino la promoción de un esquema que permita un país más plural y democrático. </w:t>
      </w:r>
    </w:p>
    <w:p w14:paraId="28B37969" w14:textId="77777777" w:rsidR="003A603F" w:rsidRDefault="003A603F" w:rsidP="000C4150">
      <w:pPr>
        <w:spacing w:line="276" w:lineRule="auto"/>
        <w:jc w:val="both"/>
        <w:rPr>
          <w:rFonts w:ascii="Calibri" w:hAnsi="Calibri" w:cs="Times New Roman"/>
          <w:b/>
          <w:sz w:val="22"/>
          <w:szCs w:val="22"/>
          <w:lang w:val="es-ES"/>
        </w:rPr>
      </w:pPr>
    </w:p>
    <w:p w14:paraId="48C36634" w14:textId="72E25713" w:rsidR="003A603F" w:rsidRPr="000C4150" w:rsidRDefault="003A603F" w:rsidP="000C4150">
      <w:pPr>
        <w:spacing w:line="276" w:lineRule="auto"/>
        <w:jc w:val="both"/>
        <w:rPr>
          <w:rFonts w:ascii="Calibri" w:hAnsi="Calibri" w:cs="Times New Roman"/>
          <w:b/>
          <w:sz w:val="22"/>
          <w:szCs w:val="22"/>
          <w:lang w:val="es-ES"/>
        </w:rPr>
      </w:pPr>
      <w:r>
        <w:rPr>
          <w:rFonts w:ascii="Calibri" w:hAnsi="Calibri" w:cs="Times New Roman"/>
          <w:b/>
          <w:sz w:val="22"/>
          <w:szCs w:val="22"/>
          <w:lang w:val="es-ES"/>
        </w:rPr>
        <w:t>Remoción de contenido</w:t>
      </w:r>
    </w:p>
    <w:p w14:paraId="34A0DC45" w14:textId="77777777" w:rsidR="00D3077E" w:rsidRPr="000C4150" w:rsidRDefault="00D3077E" w:rsidP="000C4150">
      <w:pPr>
        <w:spacing w:line="276" w:lineRule="auto"/>
        <w:jc w:val="both"/>
        <w:rPr>
          <w:rFonts w:ascii="Calibri" w:hAnsi="Calibri" w:cs="Times New Roman"/>
          <w:sz w:val="22"/>
          <w:szCs w:val="22"/>
          <w:lang w:val="es-ES"/>
        </w:rPr>
      </w:pPr>
    </w:p>
    <w:p w14:paraId="08502806" w14:textId="77777777" w:rsidR="00A444EA" w:rsidRPr="000C4150" w:rsidRDefault="00A444EA" w:rsidP="000C4150">
      <w:pPr>
        <w:spacing w:line="276" w:lineRule="auto"/>
        <w:jc w:val="both"/>
        <w:rPr>
          <w:rFonts w:ascii="Calibri" w:hAnsi="Calibri" w:cs="Times New Roman"/>
          <w:sz w:val="22"/>
          <w:szCs w:val="22"/>
          <w:lang w:val="es-ES"/>
        </w:rPr>
      </w:pPr>
    </w:p>
    <w:p w14:paraId="1881C82C" w14:textId="3FEEA839" w:rsidR="00A95AE8" w:rsidRPr="000C4150" w:rsidRDefault="003A603F" w:rsidP="000C4150">
      <w:pPr>
        <w:spacing w:line="276" w:lineRule="auto"/>
        <w:jc w:val="both"/>
        <w:rPr>
          <w:rFonts w:ascii="Calibri" w:hAnsi="Calibri" w:cs="Times New Roman"/>
          <w:sz w:val="22"/>
          <w:szCs w:val="22"/>
          <w:lang w:val="es-ES"/>
        </w:rPr>
      </w:pPr>
      <w:r>
        <w:rPr>
          <w:rFonts w:ascii="Calibri" w:hAnsi="Calibri" w:cs="Times New Roman"/>
          <w:sz w:val="22"/>
          <w:szCs w:val="22"/>
          <w:lang w:val="es-ES"/>
        </w:rPr>
        <w:lastRenderedPageBreak/>
        <w:t>M</w:t>
      </w:r>
      <w:r w:rsidR="00A95AE8" w:rsidRPr="000C4150">
        <w:rPr>
          <w:rFonts w:ascii="Calibri" w:hAnsi="Calibri" w:cs="Times New Roman"/>
          <w:sz w:val="22"/>
          <w:szCs w:val="22"/>
          <w:lang w:val="es-ES"/>
        </w:rPr>
        <w:t xml:space="preserve">ediante </w:t>
      </w:r>
      <w:r w:rsidR="00DB1E6A">
        <w:rPr>
          <w:rFonts w:ascii="Calibri" w:hAnsi="Calibri" w:cs="Times New Roman"/>
          <w:sz w:val="22"/>
          <w:szCs w:val="22"/>
          <w:lang w:val="es-ES"/>
        </w:rPr>
        <w:t xml:space="preserve">la </w:t>
      </w:r>
      <w:r w:rsidR="00A95AE8" w:rsidRPr="000C4150">
        <w:rPr>
          <w:rFonts w:ascii="Calibri" w:hAnsi="Calibri" w:cs="Times New Roman"/>
          <w:sz w:val="22"/>
          <w:szCs w:val="22"/>
          <w:lang w:val="es-ES"/>
        </w:rPr>
        <w:t>documentación</w:t>
      </w:r>
      <w:r w:rsidR="00DB1E6A">
        <w:rPr>
          <w:rFonts w:ascii="Calibri" w:hAnsi="Calibri" w:cs="Times New Roman"/>
          <w:sz w:val="22"/>
          <w:szCs w:val="22"/>
          <w:lang w:val="es-ES"/>
        </w:rPr>
        <w:t xml:space="preserve"> de casos</w:t>
      </w:r>
      <w:r w:rsidR="00A95AE8" w:rsidRPr="000C4150">
        <w:rPr>
          <w:rFonts w:ascii="Calibri" w:hAnsi="Calibri" w:cs="Times New Roman"/>
          <w:sz w:val="22"/>
          <w:szCs w:val="22"/>
          <w:lang w:val="es-ES"/>
        </w:rPr>
        <w:t xml:space="preserve">, </w:t>
      </w:r>
      <w:r>
        <w:rPr>
          <w:rFonts w:ascii="Calibri" w:hAnsi="Calibri" w:cs="Times New Roman"/>
          <w:sz w:val="22"/>
          <w:szCs w:val="22"/>
          <w:lang w:val="es-ES"/>
        </w:rPr>
        <w:t xml:space="preserve">ARTICLE 19 </w:t>
      </w:r>
      <w:r w:rsidR="00A95AE8" w:rsidRPr="000C4150">
        <w:rPr>
          <w:rFonts w:ascii="Calibri" w:hAnsi="Calibri" w:cs="Times New Roman"/>
          <w:sz w:val="22"/>
          <w:szCs w:val="22"/>
          <w:lang w:val="es-ES"/>
        </w:rPr>
        <w:t>ha corroborado que periodistas y medios de comunicación están siendo blanco de solicitudes de remoción de contenidos como formas de censura provenientes de las autoridades. La remoción de contenidos -entendida como la práctica para eliminar o restringir la circulación de información en Internet a través de marcos jurídicos y mecanismos privados que limiten su acceso- es un esquema problemático para la libertad de expresión en línea porque puede ser empleado para coartar el acceso a información de interés público. Este fenómeno cobra especial relevancia en México donde el derecho a la verdad, la impunidad y el combate a la corrupción permanecen como una de las deudas acumuladas por el Estado.</w:t>
      </w:r>
    </w:p>
    <w:p w14:paraId="061C361D" w14:textId="77777777" w:rsidR="00A444EA" w:rsidRPr="000C4150" w:rsidRDefault="00A444EA" w:rsidP="000C4150">
      <w:pPr>
        <w:spacing w:line="276" w:lineRule="auto"/>
        <w:jc w:val="both"/>
        <w:rPr>
          <w:rFonts w:ascii="Calibri" w:hAnsi="Calibri" w:cs="Times New Roman"/>
          <w:sz w:val="22"/>
          <w:szCs w:val="22"/>
          <w:lang w:val="es-ES"/>
        </w:rPr>
      </w:pPr>
    </w:p>
    <w:p w14:paraId="45E908AA" w14:textId="77777777" w:rsidR="00A95AE8" w:rsidRPr="000C4150" w:rsidRDefault="00A95AE8" w:rsidP="000C4150">
      <w:pPr>
        <w:spacing w:line="276" w:lineRule="auto"/>
        <w:jc w:val="both"/>
        <w:rPr>
          <w:rFonts w:ascii="Calibri" w:hAnsi="Calibri" w:cs="Times New Roman"/>
          <w:sz w:val="22"/>
          <w:szCs w:val="22"/>
          <w:lang w:val="es-ES"/>
        </w:rPr>
      </w:pPr>
      <w:r w:rsidRPr="000C4150">
        <w:rPr>
          <w:rFonts w:ascii="Calibri" w:hAnsi="Calibri" w:cs="Times New Roman"/>
          <w:sz w:val="22"/>
          <w:szCs w:val="22"/>
          <w:lang w:val="es-ES"/>
        </w:rPr>
        <w:t xml:space="preserve">Actualmente resulta imposible conocer con exactitud la cantidad de solicitudes de remoción de contenidos que provienen de las autoridades y obtienen una respuesta favorable en cada plataforma digital o red social. Tampoco es posible identificar si la información que ha sido eliminada o restringida es de interés público o si existe una causal legal que amerite la acción. Lo que sí conocemos es que los motivos de las solicitudes más destacables por su incompatibilidad con la protección a la libertad de expresión son difamación, críticas al gobierno, noticias falsas, errores ortográficos, palabras inapropiadas en cuentas oficiales, ataques al honor, supuestas infracciones a la ley electoral y presuntas vulneraciones a los derechos de autor y marcas comerciales. También sabemos que la mayoría de las solicitudes se hacen sin que exista una facultad o atribución explícita de las autoridades para emprender tal iniciativa, y que éstas se llevan a cabo sin controles judiciales. </w:t>
      </w:r>
    </w:p>
    <w:p w14:paraId="17FE42F1" w14:textId="77777777" w:rsidR="00A95AE8" w:rsidRPr="000C4150" w:rsidRDefault="00A95AE8" w:rsidP="000C4150">
      <w:pPr>
        <w:spacing w:line="276" w:lineRule="auto"/>
        <w:jc w:val="both"/>
        <w:rPr>
          <w:rFonts w:ascii="Calibri" w:hAnsi="Calibri" w:cs="Times New Roman"/>
          <w:sz w:val="22"/>
          <w:szCs w:val="22"/>
          <w:lang w:val="es-ES"/>
        </w:rPr>
      </w:pPr>
    </w:p>
    <w:p w14:paraId="105AE195" w14:textId="77777777" w:rsidR="00A95AE8" w:rsidRPr="000C4150" w:rsidRDefault="00A95AE8" w:rsidP="000C4150">
      <w:pPr>
        <w:spacing w:line="276" w:lineRule="auto"/>
        <w:jc w:val="both"/>
        <w:rPr>
          <w:rFonts w:ascii="Calibri" w:hAnsi="Calibri" w:cs="Times New Roman"/>
          <w:sz w:val="22"/>
          <w:szCs w:val="22"/>
          <w:lang w:val="es-ES"/>
        </w:rPr>
      </w:pPr>
      <w:r w:rsidRPr="000C4150">
        <w:rPr>
          <w:rFonts w:ascii="Calibri" w:hAnsi="Calibri" w:cs="Times New Roman"/>
          <w:sz w:val="22"/>
          <w:szCs w:val="22"/>
          <w:lang w:val="es-ES"/>
        </w:rPr>
        <w:t xml:space="preserve">Para ARTICLE 19, la opacidad y la falta de controles de las autoridades relacionadas con sus actos para eliminar contenidos en Internet hacen de la remoción de contenidos una práctica de censura, particularmente en función del deber del Estado asociado de prohibir la restricción, obstrucción o impedimento por medios directos o indirectos la circulación de información, sin controles judiciales que garanticen la legalidad, necesidad, proporcionalidad y legitimidad de dicha medida. </w:t>
      </w:r>
    </w:p>
    <w:p w14:paraId="0354B867" w14:textId="77777777" w:rsidR="00A444EA" w:rsidRPr="000C4150" w:rsidRDefault="00A444EA" w:rsidP="000C4150">
      <w:pPr>
        <w:spacing w:line="276" w:lineRule="auto"/>
        <w:jc w:val="both"/>
        <w:rPr>
          <w:rFonts w:ascii="Calibri" w:hAnsi="Calibri" w:cs="Times New Roman"/>
          <w:sz w:val="22"/>
          <w:szCs w:val="22"/>
          <w:lang w:val="es-ES"/>
        </w:rPr>
      </w:pPr>
    </w:p>
    <w:p w14:paraId="1C923BC0" w14:textId="77777777" w:rsidR="000C4150" w:rsidRPr="000C4150" w:rsidRDefault="000C4150" w:rsidP="000C4150">
      <w:pPr>
        <w:spacing w:line="276" w:lineRule="auto"/>
        <w:jc w:val="both"/>
        <w:rPr>
          <w:rFonts w:ascii="Calibri" w:hAnsi="Calibri" w:cs="Times New Roman"/>
          <w:sz w:val="22"/>
          <w:szCs w:val="22"/>
          <w:lang w:val="es-ES"/>
        </w:rPr>
      </w:pPr>
    </w:p>
    <w:p w14:paraId="310AF3EA" w14:textId="77777777" w:rsidR="000C4150" w:rsidRPr="000C4150" w:rsidRDefault="000C4150" w:rsidP="000C4150">
      <w:pPr>
        <w:spacing w:line="276" w:lineRule="auto"/>
        <w:jc w:val="both"/>
        <w:rPr>
          <w:rFonts w:ascii="Calibri" w:hAnsi="Calibri" w:cs="Times New Roman"/>
          <w:sz w:val="22"/>
          <w:szCs w:val="22"/>
          <w:lang w:val="es-ES"/>
        </w:rPr>
      </w:pPr>
    </w:p>
    <w:p w14:paraId="6432EDEE" w14:textId="245453A4" w:rsidR="00A444EA" w:rsidRPr="000C4150" w:rsidRDefault="00A444EA" w:rsidP="000C4150">
      <w:pPr>
        <w:pStyle w:val="ListParagraph"/>
        <w:numPr>
          <w:ilvl w:val="0"/>
          <w:numId w:val="7"/>
        </w:numPr>
        <w:spacing w:line="276" w:lineRule="auto"/>
        <w:jc w:val="both"/>
        <w:rPr>
          <w:rFonts w:ascii="Calibri" w:hAnsi="Calibri" w:cs="Times New Roman"/>
          <w:b/>
          <w:sz w:val="22"/>
          <w:szCs w:val="22"/>
          <w:lang w:val="es-ES"/>
        </w:rPr>
      </w:pPr>
      <w:r w:rsidRPr="000C4150">
        <w:rPr>
          <w:rFonts w:ascii="Calibri" w:hAnsi="Calibri" w:cs="Times New Roman"/>
          <w:b/>
          <w:sz w:val="22"/>
          <w:szCs w:val="22"/>
          <w:lang w:val="es-ES"/>
        </w:rPr>
        <w:t>Recomendaciones:</w:t>
      </w:r>
    </w:p>
    <w:p w14:paraId="2E4093FF" w14:textId="32C6A32B" w:rsidR="004F2C04" w:rsidRPr="000C4150" w:rsidRDefault="004F2C04" w:rsidP="000C4150">
      <w:pPr>
        <w:spacing w:line="276" w:lineRule="auto"/>
        <w:jc w:val="both"/>
        <w:rPr>
          <w:rFonts w:ascii="Calibri" w:hAnsi="Calibri"/>
          <w:sz w:val="22"/>
          <w:szCs w:val="22"/>
          <w:lang w:val="es-ES"/>
        </w:rPr>
      </w:pPr>
      <w:r w:rsidRPr="000C4150">
        <w:rPr>
          <w:rFonts w:ascii="Calibri" w:hAnsi="Calibri"/>
          <w:sz w:val="22"/>
          <w:szCs w:val="22"/>
          <w:lang w:val="es-ES"/>
        </w:rPr>
        <w:t>:</w:t>
      </w:r>
    </w:p>
    <w:p w14:paraId="7E7A77C6" w14:textId="77777777" w:rsidR="004F2C04" w:rsidRPr="000C4150" w:rsidRDefault="004F2C04" w:rsidP="000C4150">
      <w:pPr>
        <w:spacing w:line="276" w:lineRule="auto"/>
        <w:jc w:val="both"/>
        <w:rPr>
          <w:rFonts w:ascii="Calibri" w:hAnsi="Calibri"/>
          <w:sz w:val="22"/>
          <w:szCs w:val="22"/>
          <w:lang w:val="es-ES"/>
        </w:rPr>
      </w:pPr>
    </w:p>
    <w:p w14:paraId="73CF0138" w14:textId="77777777" w:rsidR="00AF15ED" w:rsidRDefault="00386D2C" w:rsidP="00AF15ED">
      <w:pPr>
        <w:suppressAutoHyphens w:val="0"/>
        <w:spacing w:line="276" w:lineRule="auto"/>
        <w:jc w:val="both"/>
        <w:rPr>
          <w:rFonts w:ascii="Calibri" w:hAnsi="Calibri"/>
          <w:sz w:val="22"/>
          <w:szCs w:val="22"/>
          <w:lang w:val="es-ES"/>
        </w:rPr>
      </w:pPr>
      <w:r w:rsidRPr="00AF15ED">
        <w:rPr>
          <w:rFonts w:ascii="Calibri" w:hAnsi="Calibri"/>
          <w:sz w:val="22"/>
          <w:szCs w:val="22"/>
          <w:lang w:val="es-ES"/>
        </w:rPr>
        <w:t xml:space="preserve">A las autoridades del poder Ejecutivo, Judicial y legislativo: </w:t>
      </w:r>
    </w:p>
    <w:p w14:paraId="3B51D47A" w14:textId="500C942D" w:rsidR="004F2C04" w:rsidRPr="00AF15ED" w:rsidRDefault="00AF15ED" w:rsidP="00AF15ED">
      <w:pPr>
        <w:pStyle w:val="ListParagraph"/>
        <w:numPr>
          <w:ilvl w:val="0"/>
          <w:numId w:val="25"/>
        </w:numPr>
        <w:suppressAutoHyphens w:val="0"/>
        <w:spacing w:line="276" w:lineRule="auto"/>
        <w:jc w:val="both"/>
        <w:rPr>
          <w:rFonts w:ascii="Calibri" w:hAnsi="Calibri"/>
          <w:sz w:val="22"/>
          <w:szCs w:val="22"/>
          <w:lang w:val="es-ES"/>
        </w:rPr>
      </w:pPr>
      <w:r>
        <w:rPr>
          <w:rFonts w:ascii="Calibri" w:hAnsi="Calibri"/>
          <w:sz w:val="22"/>
          <w:szCs w:val="22"/>
          <w:lang w:val="es-ES"/>
        </w:rPr>
        <w:t>E</w:t>
      </w:r>
      <w:r w:rsidR="004F2C04" w:rsidRPr="00AF15ED">
        <w:rPr>
          <w:rFonts w:ascii="Calibri" w:hAnsi="Calibri"/>
          <w:sz w:val="22"/>
          <w:szCs w:val="22"/>
          <w:lang w:val="es-ES"/>
        </w:rPr>
        <w:t>vitar estigmatizaciones o criminalización de periodistas y personas defensoras de derechos humanos que cuestionen, critiquen o soliciten información fehaciente sobre la administración federal, estatal y local.</w:t>
      </w:r>
    </w:p>
    <w:p w14:paraId="4D511560"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Promover apertura en la solicitud de información que sustenta la toma de decisiones de autoridades de los distintos órdenes de gobierno.</w:t>
      </w:r>
    </w:p>
    <w:p w14:paraId="3AADE189" w14:textId="0D9D67E1"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Promover la libertad de expresión de los pueblos populares y originarios a partir del cambio de legislación </w:t>
      </w:r>
      <w:r w:rsidR="00AF15ED">
        <w:rPr>
          <w:rFonts w:ascii="Calibri" w:hAnsi="Calibri"/>
          <w:sz w:val="22"/>
          <w:szCs w:val="22"/>
          <w:lang w:val="es-ES"/>
        </w:rPr>
        <w:t xml:space="preserve">en materia de telecomunicaciones </w:t>
      </w:r>
      <w:r w:rsidRPr="000C4150">
        <w:rPr>
          <w:rFonts w:ascii="Calibri" w:hAnsi="Calibri"/>
          <w:sz w:val="22"/>
          <w:szCs w:val="22"/>
          <w:lang w:val="es-ES"/>
        </w:rPr>
        <w:t>a favor de las radios comunitarias para asegurar la pluralidad de información y de expresiones. Tal promoción debe traer aparejado el reconocimiento de la labor de las radios comunitarias como elementos de democratización.</w:t>
      </w:r>
    </w:p>
    <w:p w14:paraId="3BB2208F" w14:textId="3696D2C0" w:rsidR="004F2C04" w:rsidRPr="00FE20A6" w:rsidRDefault="004F2C04" w:rsidP="00FE20A6">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Modificación del marco jurídico nacional y locales. </w:t>
      </w:r>
      <w:r w:rsidR="00FE20A6">
        <w:rPr>
          <w:rFonts w:ascii="Calibri" w:hAnsi="Calibri"/>
          <w:sz w:val="22"/>
          <w:szCs w:val="22"/>
          <w:lang w:val="es-ES"/>
        </w:rPr>
        <w:t xml:space="preserve"> Derogar delitos contra el honor como difamación y calumnias, así como ultrajes, “halconeo” y demás delitos que generan un efecto inhibidor en la libertad de expresión. De igual manera, se tiene que modificar</w:t>
      </w:r>
      <w:r w:rsidRPr="00FE20A6">
        <w:rPr>
          <w:rFonts w:ascii="Calibri" w:hAnsi="Calibri"/>
          <w:sz w:val="22"/>
          <w:szCs w:val="22"/>
          <w:lang w:val="es-ES"/>
        </w:rPr>
        <w:t xml:space="preserve"> la Ley Nacional del Uso de la Fuerza para que se a </w:t>
      </w:r>
      <w:r w:rsidRPr="00FE20A6">
        <w:rPr>
          <w:rFonts w:ascii="Calibri" w:hAnsi="Calibri"/>
          <w:sz w:val="22"/>
          <w:szCs w:val="22"/>
          <w:lang w:val="es-ES"/>
        </w:rPr>
        <w:lastRenderedPageBreak/>
        <w:t>compatible con el libre ejercicio de la protesta en un contexto ya complejo a partir de los mega</w:t>
      </w:r>
      <w:r w:rsidR="00AF15ED" w:rsidRPr="00FE20A6">
        <w:rPr>
          <w:rFonts w:ascii="Calibri" w:hAnsi="Calibri"/>
          <w:sz w:val="22"/>
          <w:szCs w:val="22"/>
          <w:lang w:val="es-ES"/>
        </w:rPr>
        <w:t>proyectos del gobierno federal</w:t>
      </w:r>
      <w:r w:rsidR="00FE20A6">
        <w:rPr>
          <w:rFonts w:ascii="Calibri" w:hAnsi="Calibri"/>
          <w:sz w:val="22"/>
          <w:szCs w:val="22"/>
          <w:lang w:val="es-ES"/>
        </w:rPr>
        <w:t>.</w:t>
      </w:r>
    </w:p>
    <w:p w14:paraId="3B97D4FB" w14:textId="516C3095"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estado mexicano debe garantizar que los derechos de informar y difundir información se ejerza en armonía con el de la protesta puesto que ambos robustecen el debate público y la participación ciudadana</w:t>
      </w:r>
      <w:r w:rsidR="008E6B00">
        <w:rPr>
          <w:rFonts w:ascii="Calibri" w:hAnsi="Calibri"/>
          <w:sz w:val="22"/>
          <w:szCs w:val="22"/>
          <w:lang w:val="es-ES"/>
        </w:rPr>
        <w:t xml:space="preserve">, en los ámbitos tanto físicos como digitales. </w:t>
      </w:r>
    </w:p>
    <w:p w14:paraId="4AD28284" w14:textId="77CF24A9"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Las autoridades judiciales deben atender los criterios más amplios de protección de la libertad de expresión para no minimizar las agresiones sufridas como castigo por expresiones o que busquen inhibir el periodismo o defensa de derechos humanos.</w:t>
      </w:r>
      <w:r w:rsidR="008E6B00">
        <w:rPr>
          <w:rFonts w:ascii="Calibri" w:hAnsi="Calibri"/>
          <w:sz w:val="22"/>
          <w:szCs w:val="22"/>
          <w:lang w:val="es-ES"/>
        </w:rPr>
        <w:t xml:space="preserve"> Deben contar con un protocolo especializado en materia de libertad de expresión.</w:t>
      </w:r>
    </w:p>
    <w:p w14:paraId="08E5D9EC" w14:textId="4AB6C284" w:rsidR="004F2C04" w:rsidRPr="008F263E" w:rsidRDefault="004F2C04" w:rsidP="008F263E">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Las autoridades encargadas de procuración de justicia deben</w:t>
      </w:r>
      <w:r w:rsidR="008E6B00">
        <w:rPr>
          <w:rFonts w:ascii="Calibri" w:hAnsi="Calibri"/>
          <w:sz w:val="22"/>
          <w:szCs w:val="22"/>
          <w:lang w:val="es-ES"/>
        </w:rPr>
        <w:t xml:space="preserve"> </w:t>
      </w:r>
      <w:r w:rsidR="00377361">
        <w:rPr>
          <w:rFonts w:ascii="Calibri" w:hAnsi="Calibri"/>
          <w:sz w:val="22"/>
          <w:szCs w:val="22"/>
          <w:lang w:val="es-ES"/>
        </w:rPr>
        <w:t xml:space="preserve">realizar las investigaciones de agresiones a periodistas, con la principal línea de investigación que apunte a que el delito se cometió en perjuicio de la libertad de expresión, para ello utilizar el Protocolo </w:t>
      </w:r>
      <w:r w:rsidR="002A4B59">
        <w:rPr>
          <w:rFonts w:ascii="Calibri" w:hAnsi="Calibri"/>
          <w:sz w:val="22"/>
          <w:szCs w:val="22"/>
          <w:lang w:val="es-ES"/>
        </w:rPr>
        <w:t xml:space="preserve">Homologado </w:t>
      </w:r>
      <w:r w:rsidR="008F263E">
        <w:rPr>
          <w:rFonts w:ascii="Calibri" w:hAnsi="Calibri"/>
          <w:sz w:val="22"/>
          <w:szCs w:val="22"/>
          <w:lang w:val="es-ES"/>
        </w:rPr>
        <w:t xml:space="preserve">de Investigación de delitos cometidos contra la libertad de expresión, así como </w:t>
      </w:r>
      <w:r w:rsidRPr="008F263E">
        <w:rPr>
          <w:rFonts w:ascii="Calibri" w:hAnsi="Calibri"/>
          <w:sz w:val="22"/>
          <w:szCs w:val="22"/>
          <w:lang w:val="es-ES"/>
        </w:rPr>
        <w:t>velar por la privacidad de los expedientes y protección de los datos personales para asegurar que no se realizarán filtraciones a medios de comunicación.</w:t>
      </w:r>
    </w:p>
    <w:p w14:paraId="74E5EFA6"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La Fiscalía General de la República y las Fiscalías o Procuradurías estatales deben investigar a partir de la no </w:t>
      </w:r>
      <w:proofErr w:type="spellStart"/>
      <w:r w:rsidRPr="000C4150">
        <w:rPr>
          <w:rFonts w:ascii="Calibri" w:hAnsi="Calibri"/>
          <w:sz w:val="22"/>
          <w:szCs w:val="22"/>
          <w:lang w:val="es-ES"/>
        </w:rPr>
        <w:t>revictimización</w:t>
      </w:r>
      <w:proofErr w:type="spellEnd"/>
      <w:r w:rsidRPr="000C4150">
        <w:rPr>
          <w:rFonts w:ascii="Calibri" w:hAnsi="Calibri"/>
          <w:sz w:val="22"/>
          <w:szCs w:val="22"/>
          <w:lang w:val="es-ES"/>
        </w:rPr>
        <w:t xml:space="preserve">, de un plan de investigación que permita identificar diligencias con fines claros para el esclarecimiento de los hechos y sanción de los responsables. Evitar en todo momento la criminalización de las víctimas y velar por la reparación del daño adecuada a víctimas directas e indirectas. </w:t>
      </w:r>
    </w:p>
    <w:p w14:paraId="3427A6FF" w14:textId="09FA04BE"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Revisión estructural de instituciones como el </w:t>
      </w:r>
      <w:r w:rsidRPr="000C4150">
        <w:rPr>
          <w:rFonts w:ascii="Calibri" w:hAnsi="Calibri"/>
          <w:bCs/>
          <w:sz w:val="22"/>
          <w:szCs w:val="22"/>
          <w:lang w:val="es-ES"/>
        </w:rPr>
        <w:t>Mecanismo</w:t>
      </w:r>
      <w:r w:rsidRPr="000C4150">
        <w:rPr>
          <w:rFonts w:ascii="Calibri" w:hAnsi="Calibri"/>
          <w:sz w:val="22"/>
          <w:szCs w:val="22"/>
          <w:lang w:val="es-ES"/>
        </w:rPr>
        <w:t xml:space="preserve"> de </w:t>
      </w:r>
      <w:r w:rsidRPr="000C4150">
        <w:rPr>
          <w:rFonts w:ascii="Calibri" w:hAnsi="Calibri"/>
          <w:bCs/>
          <w:sz w:val="22"/>
          <w:szCs w:val="22"/>
          <w:lang w:val="es-ES"/>
        </w:rPr>
        <w:t>Protección para Personas Defensoras</w:t>
      </w:r>
      <w:r w:rsidRPr="000C4150">
        <w:rPr>
          <w:rFonts w:ascii="Calibri" w:hAnsi="Calibri"/>
          <w:sz w:val="22"/>
          <w:szCs w:val="22"/>
          <w:lang w:val="es-ES"/>
        </w:rPr>
        <w:t xml:space="preserve"> de Derechos Humanos y </w:t>
      </w:r>
      <w:r w:rsidRPr="000C4150">
        <w:rPr>
          <w:rFonts w:ascii="Calibri" w:hAnsi="Calibri"/>
          <w:bCs/>
          <w:sz w:val="22"/>
          <w:szCs w:val="22"/>
          <w:lang w:val="es-ES"/>
        </w:rPr>
        <w:t>Periodistas, de la Comisión Ejecutiva de Atención a Víctimas y cualquier otra política pública destinada a la atención de víctimas de delitos o de violaciones graves de derechos humanos en general y con especial énfasis en las agresiones cometidas contra periodistas y personas defensoras de derechos humanos. Tales modificaciones deberán atender el agresiones digita</w:t>
      </w:r>
      <w:r w:rsidR="00744917">
        <w:rPr>
          <w:rFonts w:ascii="Calibri" w:hAnsi="Calibri"/>
          <w:bCs/>
          <w:sz w:val="22"/>
          <w:szCs w:val="22"/>
          <w:lang w:val="es-ES"/>
        </w:rPr>
        <w:t>les y físicas, entendiendo que a</w:t>
      </w:r>
      <w:r w:rsidRPr="000C4150">
        <w:rPr>
          <w:rFonts w:ascii="Calibri" w:hAnsi="Calibri"/>
          <w:bCs/>
          <w:sz w:val="22"/>
          <w:szCs w:val="22"/>
          <w:lang w:val="es-ES"/>
        </w:rPr>
        <w:t xml:space="preserve">mbos ámbitos generan riesgo. </w:t>
      </w:r>
    </w:p>
    <w:p w14:paraId="703E497E" w14:textId="5118029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bCs/>
          <w:sz w:val="22"/>
          <w:szCs w:val="22"/>
          <w:lang w:val="es-ES"/>
        </w:rPr>
        <w:t>Es necesaria una política púb</w:t>
      </w:r>
      <w:r w:rsidR="007B4CDB">
        <w:rPr>
          <w:rFonts w:ascii="Calibri" w:hAnsi="Calibri"/>
          <w:bCs/>
          <w:sz w:val="22"/>
          <w:szCs w:val="22"/>
          <w:lang w:val="es-ES"/>
        </w:rPr>
        <w:t>l</w:t>
      </w:r>
      <w:r w:rsidRPr="000C4150">
        <w:rPr>
          <w:rFonts w:ascii="Calibri" w:hAnsi="Calibri"/>
          <w:bCs/>
          <w:sz w:val="22"/>
          <w:szCs w:val="22"/>
          <w:lang w:val="es-ES"/>
        </w:rPr>
        <w:t>ica integral que tenga elementos reactivos frente a la violencia y agresiones a periodistas, contemplando también medidas preventivas.</w:t>
      </w:r>
    </w:p>
    <w:p w14:paraId="20966435"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Congreso de la Unión debe abrogar la actual Ley General de Comunicación Social y generar una legislación que cuente con mecanismos de monitoreo y seguimiento que regule el gasto y uso de la publicidad oficial, de acuerdo con lo establecido en el artículo 134, párrafo octavo de la Constitución, evitando su uso como mecanismo de censura indirecta.</w:t>
      </w:r>
    </w:p>
    <w:p w14:paraId="448EFB6D"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Congreso de la Unión y Presidencia deben impulsar una Ley General de Designaciones que asegure la participación ciudadana, transparencia y el derecho a la información en los procesos de selección de perfiles que ocupan cargos en organismos autónomos, garantes de derechos humanos o del poder judicial. Es fundamental asegurar la idoneidad, imparcialidad e independencia en los perfiles que ocupan instituciones que, en un gobierno democrático, cumplen un rol de contrapeso y vigilan el respeto a los derechos humanos. Esto abonaría al fortalecimiento institucional y social en el buen funcionamiento de las instituciones u organismos del Estado.</w:t>
      </w:r>
    </w:p>
    <w:p w14:paraId="7423CAC2"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Gobierno Federal debe proactivamente ofrecer información vinculada a casos de corrupción, violaciones graves de derechos humanos o delitos de lesa humanidad. Esto incluye la transferencia y apertura de archivos vinculados a dichos casos.</w:t>
      </w:r>
    </w:p>
    <w:p w14:paraId="1C26768E"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El </w:t>
      </w:r>
      <w:hyperlink r:id="rId11">
        <w:r w:rsidRPr="000C4150">
          <w:rPr>
            <w:rStyle w:val="Hyperlink"/>
            <w:rFonts w:ascii="Calibri" w:hAnsi="Calibri"/>
            <w:sz w:val="22"/>
            <w:szCs w:val="22"/>
            <w:lang w:val="es-ES"/>
          </w:rPr>
          <w:t>“Acuerdo de transferencia de documentos vinculados a violaciones de derechos humanos”</w:t>
        </w:r>
      </w:hyperlink>
      <w:r w:rsidRPr="000C4150">
        <w:rPr>
          <w:rFonts w:ascii="Calibri" w:hAnsi="Calibri"/>
          <w:sz w:val="22"/>
          <w:szCs w:val="22"/>
          <w:lang w:val="es-ES"/>
        </w:rPr>
        <w:t xml:space="preserve">, publicado en febrero de 2019, debe ser implementado a la brevedad. Su implementación debe contar con el </w:t>
      </w:r>
      <w:r w:rsidRPr="000C4150">
        <w:rPr>
          <w:rFonts w:ascii="Calibri" w:hAnsi="Calibri"/>
          <w:sz w:val="22"/>
          <w:szCs w:val="22"/>
          <w:lang w:val="es-ES"/>
        </w:rPr>
        <w:lastRenderedPageBreak/>
        <w:t>acompañamiento de academia y sociedad civil y contar con una metodología que evite la destrucción de documentos sensibles a los casos.</w:t>
      </w:r>
    </w:p>
    <w:p w14:paraId="0A9EE5A7"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Gobierno Federal debe generar mecanismos para la preservación, conservación y difusión de documentos vinculados a violaciones de derechos humanos, actos de corrupción y delitos de lesa humanidad, como lo establecen los estándares de la Comisión Interamericana de Derechos Humanos.</w:t>
      </w:r>
    </w:p>
    <w:p w14:paraId="0CDCF6C3"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Gobierno Federal debe garantizar que el Archivo General de la Nación cuente con los recursos materiales y humanos suficientes para dar acceso efectivo a los archivos que se encuentran en su custodia. Actualmente su presupuesto es de solamente 84 millones de pesos anuales (PEF, 2019).</w:t>
      </w:r>
    </w:p>
    <w:p w14:paraId="13F34812"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Archivo General de la Nación debe garantizar el acceso a los fondos documentales de la Dirección Federal de Seguridad, Dirección General de Investigaciones Políticas y Sociales, y SEDENA, de acuerdo con lo establecido en la Ley General de Archivos y la Ley General de Transparencia y Acceso a la Información Pública. Estos acervos dan cuenta del período de represión estatal de los años 60 a 80.</w:t>
      </w:r>
    </w:p>
    <w:p w14:paraId="77209AF9"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SEDENA debe abrir y transferir al Archivo General de la Nación sus acervos relativos a décadas pasadas, al estar vinculados con violaciones de derechos humanos.</w:t>
      </w:r>
    </w:p>
    <w:p w14:paraId="38E64AC1"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Gobierno Federal debe dotar de recursos materiales y humanos suficientes a las Comisiones Locales y a la Comisión Nacional de Búsqueda para que puedan cumplir con su trabajo y garantizar el derecho a la verdad al establecer el paradero de las personas desaparecidas.</w:t>
      </w:r>
    </w:p>
    <w:p w14:paraId="75CE912C"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Gobierno Federal debe asegurar la participación ciudadana y transparencia de sus metodologías en el proceso de creación del Registro Nacional sobre fosas clandestinas y comunes, Registro Nacional de personas fallecidas y no identificadas y el Registro Nacional de Personas Desaparecidas y No Localizadas, ordenados por la Ley General en Materia de Desaparición.</w:t>
      </w:r>
    </w:p>
    <w:p w14:paraId="10A434A1"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 xml:space="preserve">El Gobierno Federal debe garantizar la participación de los Familiares en el diseño, implementación, monitoreo y evaluación de las acciones de búsqueda e identificación de Personas Desaparecidas y No Localizadas; así como garantizar la </w:t>
      </w:r>
      <w:proofErr w:type="spellStart"/>
      <w:r w:rsidRPr="000C4150">
        <w:rPr>
          <w:rFonts w:ascii="Calibri" w:hAnsi="Calibri"/>
          <w:sz w:val="22"/>
          <w:szCs w:val="22"/>
          <w:lang w:val="es-ES"/>
        </w:rPr>
        <w:t>coadyuvancia</w:t>
      </w:r>
      <w:proofErr w:type="spellEnd"/>
      <w:r w:rsidRPr="000C4150">
        <w:rPr>
          <w:rFonts w:ascii="Calibri" w:hAnsi="Calibri"/>
          <w:sz w:val="22"/>
          <w:szCs w:val="22"/>
          <w:lang w:val="es-ES"/>
        </w:rPr>
        <w:t xml:space="preserve"> en las etapas de la investigación, de manera que puedan verter sus opiniones, recibir información, aportar indicios o evidencias. Esto de acuerdo a lo establecido en la Ley General en materia de desaparición forzada de personas, desaparición cometida por particulares y del Sistema Nacional de Búsqueda de Personas. </w:t>
      </w:r>
    </w:p>
    <w:p w14:paraId="0683D0D8"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Sistema Nacional de Transparencia debe establecer estrategias para lograr que la información publicada por los sujetos obligados sea accesible de manera focalizada a las personas hablantes de lenguas indígenas, en términos de los artículos 13 y 65 de la Ley General de Transparencia y Acceso a la Información Pública.</w:t>
      </w:r>
    </w:p>
    <w:p w14:paraId="09EFA578" w14:textId="77777777" w:rsidR="004F2C04" w:rsidRPr="000C4150" w:rsidRDefault="004F2C04" w:rsidP="000C4150">
      <w:pPr>
        <w:pStyle w:val="ListParagraph"/>
        <w:numPr>
          <w:ilvl w:val="0"/>
          <w:numId w:val="25"/>
        </w:numPr>
        <w:suppressAutoHyphens w:val="0"/>
        <w:spacing w:line="276" w:lineRule="auto"/>
        <w:jc w:val="both"/>
        <w:rPr>
          <w:rFonts w:ascii="Calibri" w:hAnsi="Calibri"/>
          <w:sz w:val="22"/>
          <w:szCs w:val="22"/>
          <w:lang w:val="es-ES"/>
        </w:rPr>
      </w:pPr>
      <w:r w:rsidRPr="000C4150">
        <w:rPr>
          <w:rFonts w:ascii="Calibri" w:hAnsi="Calibri"/>
          <w:sz w:val="22"/>
          <w:szCs w:val="22"/>
          <w:lang w:val="es-ES"/>
        </w:rPr>
        <w:t>El Congreso de la Unión debe retomar las demandas del colectivo de organizaciones de la sociedad civil #</w:t>
      </w:r>
      <w:proofErr w:type="spellStart"/>
      <w:r w:rsidRPr="000C4150">
        <w:rPr>
          <w:rFonts w:ascii="Calibri" w:hAnsi="Calibri"/>
          <w:sz w:val="22"/>
          <w:szCs w:val="22"/>
          <w:lang w:val="es-ES"/>
        </w:rPr>
        <w:t>LoJustoEsQueSepas</w:t>
      </w:r>
      <w:proofErr w:type="spellEnd"/>
      <w:r w:rsidRPr="000C4150">
        <w:rPr>
          <w:rFonts w:ascii="Calibri" w:hAnsi="Calibri"/>
          <w:sz w:val="22"/>
          <w:szCs w:val="22"/>
          <w:lang w:val="es-ES"/>
        </w:rPr>
        <w:t xml:space="preserve"> para modificar la fracción II del artículo 73 de la Ley General de Transparencia y Acceso a la Información Pública y especificar que los organismos del Poder Judicial, en los órdenes federal y local, deben publicar la totalidad de sus sentencias emitidas y no únicamente las consideradas “de interés público” como lo indica la ley actualmente.</w:t>
      </w:r>
    </w:p>
    <w:p w14:paraId="49ABAC82" w14:textId="77777777" w:rsidR="004F2C04" w:rsidRPr="000C4150" w:rsidRDefault="004F2C04" w:rsidP="000C4150">
      <w:pPr>
        <w:pStyle w:val="Standard"/>
        <w:numPr>
          <w:ilvl w:val="0"/>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Abstenerse de utilizar mecanismos de censura en Internet y de instrumentalizar figuras legales y conceptos ambiguos para remover contenidos disponibles en Internet</w:t>
      </w:r>
    </w:p>
    <w:p w14:paraId="5A05CEBE" w14:textId="77777777" w:rsidR="004F2C04" w:rsidRPr="000C4150" w:rsidRDefault="004F2C04" w:rsidP="000C4150">
      <w:pPr>
        <w:pStyle w:val="Standard"/>
        <w:numPr>
          <w:ilvl w:val="1"/>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Cumplir con controles judiciales para solicitar y exigir remociones de información y restricción de contenidos en línea</w:t>
      </w:r>
    </w:p>
    <w:p w14:paraId="2BD92EDC" w14:textId="77777777" w:rsidR="004F2C04" w:rsidRPr="000C4150" w:rsidRDefault="004F2C04" w:rsidP="000C4150">
      <w:pPr>
        <w:pStyle w:val="Standard"/>
        <w:numPr>
          <w:ilvl w:val="1"/>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Generar e implementar políticas y prácticas de moderación, remoción, restricción y desindexación de información y contenidos compatibles con el derecho a la libertad de expresión e información</w:t>
      </w:r>
    </w:p>
    <w:p w14:paraId="45E76D9C" w14:textId="77777777" w:rsidR="004F2C04" w:rsidRPr="000C4150" w:rsidRDefault="004F2C04" w:rsidP="000C4150">
      <w:pPr>
        <w:pStyle w:val="Standard"/>
        <w:numPr>
          <w:ilvl w:val="1"/>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lastRenderedPageBreak/>
        <w:t>Transparentar la información sobre remoción, eliminación y restricción de contenidos y/o desindexación</w:t>
      </w:r>
    </w:p>
    <w:p w14:paraId="5A64E2A5" w14:textId="77777777" w:rsidR="004F2C04" w:rsidRPr="000C4150" w:rsidRDefault="004F2C04" w:rsidP="000C4150">
      <w:pPr>
        <w:pStyle w:val="Standard"/>
        <w:numPr>
          <w:ilvl w:val="1"/>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Establecer esquemas de limitaciones y excepciones a la protección del derecho de autor en México</w:t>
      </w:r>
    </w:p>
    <w:p w14:paraId="6B57C023" w14:textId="77777777" w:rsidR="004F2C04" w:rsidRPr="000C4150" w:rsidRDefault="004F2C04" w:rsidP="000C4150">
      <w:pPr>
        <w:pStyle w:val="Standard"/>
        <w:numPr>
          <w:ilvl w:val="0"/>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Equilibrar la protección a los datos personales, la privacidad y el derecho al honor con el ejercicio de la libertad de expresión e información en Internet</w:t>
      </w:r>
    </w:p>
    <w:p w14:paraId="2072E3A5" w14:textId="77777777" w:rsidR="004F2C04" w:rsidRPr="000C4150" w:rsidRDefault="004F2C04" w:rsidP="000C4150">
      <w:pPr>
        <w:pStyle w:val="Standard"/>
        <w:numPr>
          <w:ilvl w:val="1"/>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Desarrollar una serie de reformas en materia de protección de datos personales y vigilancia</w:t>
      </w:r>
    </w:p>
    <w:p w14:paraId="7293FE31" w14:textId="77777777" w:rsidR="004F2C04" w:rsidRPr="000C4150" w:rsidRDefault="004F2C04" w:rsidP="000C4150">
      <w:pPr>
        <w:pStyle w:val="Standard"/>
        <w:numPr>
          <w:ilvl w:val="0"/>
          <w:numId w:val="25"/>
        </w:numPr>
        <w:spacing w:line="276" w:lineRule="auto"/>
        <w:jc w:val="both"/>
        <w:outlineLvl w:val="0"/>
        <w:rPr>
          <w:rFonts w:ascii="Calibri" w:hAnsi="Calibri"/>
          <w:sz w:val="22"/>
          <w:szCs w:val="22"/>
          <w:lang w:val="es-ES"/>
        </w:rPr>
      </w:pPr>
      <w:r w:rsidRPr="000C4150">
        <w:rPr>
          <w:rFonts w:ascii="Calibri" w:eastAsia="Times New Roman" w:hAnsi="Calibri"/>
          <w:color w:val="00000A"/>
          <w:sz w:val="22"/>
          <w:szCs w:val="22"/>
          <w:lang w:val="es-ES"/>
        </w:rPr>
        <w:t>Controlar el uso de herramientas de vigilancia.</w:t>
      </w:r>
    </w:p>
    <w:p w14:paraId="328B820E" w14:textId="77777777" w:rsidR="004F2C04" w:rsidRPr="000C4150" w:rsidRDefault="004F2C04" w:rsidP="000C4150">
      <w:pPr>
        <w:pStyle w:val="Standard"/>
        <w:numPr>
          <w:ilvl w:val="1"/>
          <w:numId w:val="28"/>
        </w:numPr>
        <w:spacing w:line="276" w:lineRule="auto"/>
        <w:jc w:val="both"/>
        <w:outlineLvl w:val="0"/>
        <w:rPr>
          <w:rFonts w:ascii="Calibri" w:hAnsi="Calibri"/>
          <w:sz w:val="22"/>
          <w:szCs w:val="22"/>
          <w:lang w:val="es-ES"/>
        </w:rPr>
      </w:pPr>
      <w:r w:rsidRPr="000C4150">
        <w:rPr>
          <w:rFonts w:ascii="Calibri" w:eastAsia="Times New Roman" w:hAnsi="Calibri"/>
          <w:color w:val="00000A"/>
          <w:sz w:val="22"/>
          <w:szCs w:val="22"/>
          <w:lang w:val="es-ES"/>
        </w:rPr>
        <w:t>Garantizar el acceso a la justicia y la rendición de cuentas del caso #</w:t>
      </w:r>
      <w:proofErr w:type="spellStart"/>
      <w:r w:rsidRPr="000C4150">
        <w:rPr>
          <w:rFonts w:ascii="Calibri" w:eastAsia="Times New Roman" w:hAnsi="Calibri"/>
          <w:color w:val="00000A"/>
          <w:sz w:val="22"/>
          <w:szCs w:val="22"/>
          <w:lang w:val="es-ES"/>
        </w:rPr>
        <w:t>GobiernoEspía</w:t>
      </w:r>
      <w:proofErr w:type="spellEnd"/>
      <w:r w:rsidRPr="000C4150">
        <w:rPr>
          <w:rFonts w:ascii="Calibri" w:eastAsia="Times New Roman" w:hAnsi="Calibri"/>
          <w:color w:val="00000A"/>
          <w:sz w:val="22"/>
          <w:szCs w:val="22"/>
          <w:lang w:val="es-ES"/>
        </w:rPr>
        <w:t>.</w:t>
      </w:r>
    </w:p>
    <w:p w14:paraId="2D092E6D" w14:textId="77777777" w:rsidR="004F2C04" w:rsidRPr="000C4150" w:rsidRDefault="004F2C04" w:rsidP="000C4150">
      <w:pPr>
        <w:pStyle w:val="Standard"/>
        <w:numPr>
          <w:ilvl w:val="1"/>
          <w:numId w:val="28"/>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Fortalecer las obligaciones de transparencia de concesionarios y autorizados relacionadas con las prácticas de vigilancia de las instituciones y autoridades de procuración y administración de justicia</w:t>
      </w:r>
    </w:p>
    <w:p w14:paraId="5446CF2F" w14:textId="77777777" w:rsidR="004F2C04" w:rsidRPr="000C4150" w:rsidRDefault="004F2C04" w:rsidP="000C4150">
      <w:pPr>
        <w:pStyle w:val="Standard"/>
        <w:numPr>
          <w:ilvl w:val="0"/>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Promover y garantizar el derecho de acceso a Internet sin discriminación con perspectiva multicultural y de derechos humanos</w:t>
      </w:r>
    </w:p>
    <w:p w14:paraId="3B8711C5" w14:textId="77777777" w:rsidR="004F2C04" w:rsidRPr="000C4150" w:rsidRDefault="004F2C04" w:rsidP="000C4150">
      <w:pPr>
        <w:pStyle w:val="Standard"/>
        <w:numPr>
          <w:ilvl w:val="1"/>
          <w:numId w:val="27"/>
        </w:numPr>
        <w:spacing w:line="276" w:lineRule="auto"/>
        <w:jc w:val="both"/>
        <w:rPr>
          <w:rFonts w:ascii="Calibri" w:hAnsi="Calibri"/>
          <w:sz w:val="22"/>
          <w:szCs w:val="22"/>
          <w:lang w:val="es-ES"/>
        </w:rPr>
      </w:pPr>
      <w:r w:rsidRPr="000C4150">
        <w:rPr>
          <w:rFonts w:ascii="Calibri" w:hAnsi="Calibri"/>
          <w:sz w:val="22"/>
          <w:szCs w:val="22"/>
          <w:lang w:val="es-ES"/>
        </w:rPr>
        <w:t xml:space="preserve">Crear una </w:t>
      </w:r>
      <w:r w:rsidRPr="000C4150">
        <w:rPr>
          <w:rStyle w:val="StrongEmphasis"/>
          <w:rFonts w:ascii="Calibri" w:hAnsi="Calibri"/>
          <w:b w:val="0"/>
          <w:bCs w:val="0"/>
          <w:sz w:val="22"/>
          <w:szCs w:val="22"/>
          <w:lang w:val="es-ES"/>
        </w:rPr>
        <w:t>política pública</w:t>
      </w:r>
      <w:r w:rsidRPr="000C4150">
        <w:rPr>
          <w:rFonts w:ascii="Calibri" w:hAnsi="Calibri"/>
          <w:sz w:val="22"/>
          <w:szCs w:val="22"/>
          <w:lang w:val="es-ES"/>
        </w:rPr>
        <w:t xml:space="preserve"> enfocada en el </w:t>
      </w:r>
      <w:r w:rsidRPr="000C4150">
        <w:rPr>
          <w:rStyle w:val="StrongEmphasis"/>
          <w:rFonts w:ascii="Calibri" w:hAnsi="Calibri"/>
          <w:b w:val="0"/>
          <w:bCs w:val="0"/>
          <w:sz w:val="22"/>
          <w:szCs w:val="22"/>
          <w:lang w:val="es-ES"/>
        </w:rPr>
        <w:t>fortalecimiento de las redes comunitarias</w:t>
      </w:r>
      <w:r w:rsidRPr="000C4150">
        <w:rPr>
          <w:rFonts w:ascii="Calibri" w:hAnsi="Calibri"/>
          <w:sz w:val="22"/>
          <w:szCs w:val="22"/>
          <w:lang w:val="es-ES"/>
        </w:rPr>
        <w:t xml:space="preserve"> y al </w:t>
      </w:r>
      <w:r w:rsidRPr="000C4150">
        <w:rPr>
          <w:rStyle w:val="StrongEmphasis"/>
          <w:rFonts w:ascii="Calibri" w:hAnsi="Calibri"/>
          <w:b w:val="0"/>
          <w:bCs w:val="0"/>
          <w:sz w:val="22"/>
          <w:szCs w:val="22"/>
          <w:lang w:val="es-ES"/>
        </w:rPr>
        <w:t>fomento de los proveedores locales de Internet</w:t>
      </w:r>
      <w:r w:rsidRPr="000C4150">
        <w:rPr>
          <w:rFonts w:ascii="Calibri" w:hAnsi="Calibri"/>
          <w:sz w:val="22"/>
          <w:szCs w:val="22"/>
          <w:lang w:val="es-ES"/>
        </w:rPr>
        <w:t>; que facilite el acceso al espectro, un esquema propicio para el desarrollo de distintas tecnologías, que contribuya a la creación de capacidades técnicas dentro de las comunidades y que apoye al fomento y la distribución de contenidos</w:t>
      </w:r>
    </w:p>
    <w:p w14:paraId="47C18849" w14:textId="77777777" w:rsidR="004F2C04" w:rsidRPr="000C4150" w:rsidRDefault="004F2C04" w:rsidP="000C4150">
      <w:pPr>
        <w:pStyle w:val="Standard"/>
        <w:numPr>
          <w:ilvl w:val="1"/>
          <w:numId w:val="27"/>
        </w:numPr>
        <w:spacing w:line="276" w:lineRule="auto"/>
        <w:jc w:val="both"/>
        <w:rPr>
          <w:rFonts w:ascii="Calibri" w:hAnsi="Calibri"/>
          <w:sz w:val="22"/>
          <w:szCs w:val="22"/>
          <w:lang w:val="es-ES"/>
        </w:rPr>
      </w:pPr>
      <w:r w:rsidRPr="000C4150">
        <w:rPr>
          <w:rFonts w:ascii="Calibri" w:hAnsi="Calibri"/>
          <w:sz w:val="22"/>
          <w:szCs w:val="22"/>
          <w:lang w:val="es-ES"/>
        </w:rPr>
        <w:t>Asegurar que el Programa “Internet para todos” cuente con una perspectiva de política pública integral con enfoque de derecho humanos y garantice la no discriminación de grupos con particulares necesidades de inclusión</w:t>
      </w:r>
    </w:p>
    <w:p w14:paraId="66962A90" w14:textId="77777777" w:rsidR="004F2C04" w:rsidRPr="000C4150" w:rsidRDefault="004F2C04" w:rsidP="000C4150">
      <w:pPr>
        <w:pStyle w:val="Standard"/>
        <w:numPr>
          <w:ilvl w:val="1"/>
          <w:numId w:val="27"/>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Desarrollar programas de alfabetización digital</w:t>
      </w:r>
    </w:p>
    <w:p w14:paraId="29EBD28C" w14:textId="77777777" w:rsidR="004F2C04" w:rsidRPr="000C4150" w:rsidRDefault="004F2C04" w:rsidP="000C4150">
      <w:pPr>
        <w:pStyle w:val="Standard"/>
        <w:numPr>
          <w:ilvl w:val="0"/>
          <w:numId w:val="25"/>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Combatir la violencia de género en línea</w:t>
      </w:r>
    </w:p>
    <w:p w14:paraId="56F8FE7A" w14:textId="77777777" w:rsidR="004F2C04" w:rsidRPr="000C4150" w:rsidRDefault="004F2C04" w:rsidP="000C4150">
      <w:pPr>
        <w:pStyle w:val="Standard"/>
        <w:numPr>
          <w:ilvl w:val="1"/>
          <w:numId w:val="26"/>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Mejorar las metodologías de medición y estudio del problema de la violencia en línea contra las mujeres, que incluya una perspectiva de género, con la intención de reconocer los factores sociales y los estereotipos de género asociados a la violencia vivida por las mujeres</w:t>
      </w:r>
    </w:p>
    <w:p w14:paraId="29478250" w14:textId="77777777" w:rsidR="004F2C04" w:rsidRPr="000C4150" w:rsidRDefault="004F2C04" w:rsidP="000C4150">
      <w:pPr>
        <w:pStyle w:val="Standard"/>
        <w:numPr>
          <w:ilvl w:val="1"/>
          <w:numId w:val="26"/>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Reconocer que cualquier desarrollo legislativo en la materia debe respetar el principio de proporcionalidad de las restricciones a la libertad de expresión, es decir, ser las medidas menos restrictivas para este derecho ejercido por las mujeres, así como evitar cualquier impacto en el ejercicio de sus derechos a la privacidad, la intimidad y los derechos sexuales y reproductivos</w:t>
      </w:r>
    </w:p>
    <w:p w14:paraId="375EF16F" w14:textId="77777777" w:rsidR="004F2C04" w:rsidRPr="000C4150" w:rsidRDefault="004F2C04" w:rsidP="000C4150">
      <w:pPr>
        <w:pStyle w:val="Standard"/>
        <w:numPr>
          <w:ilvl w:val="1"/>
          <w:numId w:val="26"/>
        </w:numPr>
        <w:spacing w:line="276" w:lineRule="auto"/>
        <w:jc w:val="both"/>
        <w:rPr>
          <w:rFonts w:ascii="Calibri" w:hAnsi="Calibri"/>
          <w:sz w:val="22"/>
          <w:szCs w:val="22"/>
          <w:lang w:val="es-ES"/>
        </w:rPr>
      </w:pPr>
      <w:r w:rsidRPr="000C4150">
        <w:rPr>
          <w:rFonts w:ascii="Calibri" w:eastAsia="Times New Roman" w:hAnsi="Calibri"/>
          <w:color w:val="00000A"/>
          <w:sz w:val="22"/>
          <w:szCs w:val="22"/>
          <w:lang w:val="es-ES"/>
        </w:rPr>
        <w:t xml:space="preserve"> Desarrollar un programa de prevención, atención y erradicación de la violencia contra las mujeres en línea</w:t>
      </w:r>
    </w:p>
    <w:p w14:paraId="7F16A4ED" w14:textId="4B4BE65B" w:rsidR="00A444EA" w:rsidRPr="000C4150" w:rsidRDefault="00A444EA" w:rsidP="000C4150">
      <w:pPr>
        <w:spacing w:line="276" w:lineRule="auto"/>
        <w:jc w:val="both"/>
        <w:rPr>
          <w:rFonts w:ascii="Calibri" w:hAnsi="Calibri" w:cs="Times New Roman"/>
          <w:sz w:val="22"/>
          <w:szCs w:val="22"/>
          <w:lang w:val="es-ES"/>
        </w:rPr>
        <w:sectPr w:rsidR="00A444EA" w:rsidRPr="000C4150" w:rsidSect="00A95AE8">
          <w:pgSz w:w="12240" w:h="15840"/>
          <w:pgMar w:top="1440" w:right="1080" w:bottom="1440" w:left="1080" w:header="0" w:footer="0" w:gutter="0"/>
          <w:cols w:space="720"/>
          <w:formProt w:val="0"/>
        </w:sectPr>
      </w:pPr>
    </w:p>
    <w:p w14:paraId="2522F67F" w14:textId="77777777" w:rsidR="00A95AE8" w:rsidRPr="000C4150" w:rsidRDefault="00A95AE8" w:rsidP="000C4150">
      <w:pPr>
        <w:spacing w:line="276" w:lineRule="auto"/>
        <w:jc w:val="both"/>
        <w:rPr>
          <w:rFonts w:ascii="Calibri" w:hAnsi="Calibri" w:cs="Times New Roman"/>
          <w:sz w:val="22"/>
          <w:szCs w:val="22"/>
          <w:lang w:val="es-ES"/>
        </w:rPr>
        <w:sectPr w:rsidR="00A95AE8" w:rsidRPr="000C4150" w:rsidSect="00A95AE8">
          <w:type w:val="continuous"/>
          <w:pgSz w:w="12240" w:h="15840"/>
          <w:pgMar w:top="1440" w:right="1080" w:bottom="1440" w:left="1080" w:header="0" w:footer="0" w:gutter="0"/>
          <w:cols w:space="720"/>
          <w:formProt w:val="0"/>
        </w:sectPr>
      </w:pPr>
    </w:p>
    <w:p w14:paraId="21D2B1E2" w14:textId="77777777" w:rsidR="00E0065B" w:rsidRPr="000C4150" w:rsidRDefault="00E0065B" w:rsidP="000C4150">
      <w:pPr>
        <w:tabs>
          <w:tab w:val="left" w:pos="3265"/>
        </w:tabs>
        <w:spacing w:line="276" w:lineRule="auto"/>
        <w:jc w:val="both"/>
        <w:rPr>
          <w:rFonts w:ascii="Calibri" w:hAnsi="Calibri" w:cs="Arial"/>
          <w:sz w:val="22"/>
          <w:szCs w:val="22"/>
          <w:lang w:val="es-ES"/>
        </w:rPr>
      </w:pPr>
    </w:p>
    <w:sectPr w:rsidR="00E0065B" w:rsidRPr="000C4150" w:rsidSect="00A95AE8">
      <w:pgSz w:w="12240" w:h="15840"/>
      <w:pgMar w:top="1440" w:right="1080" w:bottom="1440" w:left="1080"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42010" w14:textId="77777777" w:rsidR="0042324A" w:rsidRDefault="0042324A" w:rsidP="00A14A60">
      <w:r>
        <w:separator/>
      </w:r>
    </w:p>
  </w:endnote>
  <w:endnote w:type="continuationSeparator" w:id="0">
    <w:p w14:paraId="1CDF4B31" w14:textId="77777777" w:rsidR="0042324A" w:rsidRDefault="0042324A" w:rsidP="00A1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DejaVu Sans">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14E91" w14:textId="77777777" w:rsidR="0042324A" w:rsidRDefault="0042324A" w:rsidP="00A14A60">
      <w:r>
        <w:separator/>
      </w:r>
    </w:p>
  </w:footnote>
  <w:footnote w:type="continuationSeparator" w:id="0">
    <w:p w14:paraId="08910364" w14:textId="77777777" w:rsidR="0042324A" w:rsidRDefault="0042324A" w:rsidP="00A14A60">
      <w:r>
        <w:continuationSeparator/>
      </w:r>
    </w:p>
  </w:footnote>
  <w:footnote w:id="1">
    <w:p w14:paraId="0F0E5F6C" w14:textId="6548704B" w:rsidR="0074078C" w:rsidRPr="000C4150" w:rsidRDefault="0074078C">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rPr>
        <w:t xml:space="preserve"> </w:t>
      </w:r>
      <w:r w:rsidRPr="000C4150">
        <w:rPr>
          <w:rFonts w:ascii="Calibri" w:hAnsi="Calibri"/>
          <w:sz w:val="18"/>
          <w:szCs w:val="18"/>
          <w:lang w:val="es-ES"/>
        </w:rPr>
        <w:t>En Michoacán no están tipificados difamación ni calumnia, pero sí delitos que pretender proteger la imagen y el honor: ataque al honor, ataques a la intimidad y ataques a la propia imagen.</w:t>
      </w:r>
    </w:p>
  </w:footnote>
  <w:footnote w:id="2">
    <w:p w14:paraId="28B402FD" w14:textId="688FA61B" w:rsidR="0074078C" w:rsidRPr="000C4150" w:rsidRDefault="0074078C" w:rsidP="000C4150">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w:t>
      </w:r>
      <w:r w:rsidRPr="000C4150">
        <w:rPr>
          <w:rFonts w:ascii="Calibri" w:hAnsi="Calibri" w:cs="Times New Roman"/>
          <w:sz w:val="18"/>
          <w:szCs w:val="18"/>
          <w:lang w:val="es-ES" w:eastAsia="es-ES_tradnl"/>
        </w:rPr>
        <w:t xml:space="preserve">Los códigos penales no definen la palabra ultraje, algunas entidades lo tipifican como cualquier </w:t>
      </w:r>
      <w:r w:rsidRPr="000C4150">
        <w:rPr>
          <w:rFonts w:ascii="Calibri" w:hAnsi="Calibri" w:cs="Times New Roman"/>
          <w:i/>
          <w:sz w:val="18"/>
          <w:szCs w:val="18"/>
          <w:lang w:val="es-ES" w:eastAsia="es-ES_tradnl"/>
        </w:rPr>
        <w:t>delito proferido contra un servidor público en ejercicio de sus funciones</w:t>
      </w:r>
      <w:r w:rsidRPr="000C4150">
        <w:rPr>
          <w:rFonts w:ascii="Calibri" w:hAnsi="Calibri" w:cs="Times New Roman"/>
          <w:sz w:val="18"/>
          <w:szCs w:val="18"/>
          <w:lang w:val="es-ES" w:eastAsia="es-ES_tradnl"/>
        </w:rPr>
        <w:t>, mientras que otros no definen el supuesto y solo determinan la sanción, lo cual abre un abanico de posibilidades de encuadrar una conducta en ese supuesto.</w:t>
      </w:r>
    </w:p>
  </w:footnote>
  <w:footnote w:id="3">
    <w:p w14:paraId="3FED34C8" w14:textId="73A67B73" w:rsidR="0074078C" w:rsidRPr="000C4150" w:rsidRDefault="0074078C" w:rsidP="000C4150">
      <w:pPr>
        <w:pStyle w:val="NormalWeb"/>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Por halconeo, ARTICLE 19 entiende: “Quien aceche, vigile, </w:t>
      </w:r>
      <w:proofErr w:type="spellStart"/>
      <w:r w:rsidRPr="000C4150">
        <w:rPr>
          <w:rFonts w:ascii="Calibri" w:hAnsi="Calibri"/>
          <w:sz w:val="18"/>
          <w:szCs w:val="18"/>
          <w:lang w:val="es-ES"/>
        </w:rPr>
        <w:t>espíe</w:t>
      </w:r>
      <w:proofErr w:type="spellEnd"/>
      <w:r w:rsidRPr="000C4150">
        <w:rPr>
          <w:rFonts w:ascii="Calibri" w:hAnsi="Calibri"/>
          <w:sz w:val="18"/>
          <w:szCs w:val="18"/>
          <w:lang w:val="es-ES"/>
        </w:rPr>
        <w:t xml:space="preserve">, rastree, proporcione </w:t>
      </w:r>
      <w:proofErr w:type="spellStart"/>
      <w:r w:rsidRPr="000C4150">
        <w:rPr>
          <w:rFonts w:ascii="Calibri" w:hAnsi="Calibri"/>
          <w:sz w:val="18"/>
          <w:szCs w:val="18"/>
          <w:lang w:val="es-ES"/>
        </w:rPr>
        <w:t>información</w:t>
      </w:r>
      <w:proofErr w:type="spellEnd"/>
      <w:r w:rsidRPr="000C4150">
        <w:rPr>
          <w:rFonts w:ascii="Calibri" w:hAnsi="Calibri"/>
          <w:sz w:val="18"/>
          <w:szCs w:val="18"/>
          <w:lang w:val="es-ES"/>
        </w:rPr>
        <w:t xml:space="preserve">, o realice actos tendientes a obtener </w:t>
      </w:r>
      <w:proofErr w:type="spellStart"/>
      <w:r w:rsidRPr="000C4150">
        <w:rPr>
          <w:rFonts w:ascii="Calibri" w:hAnsi="Calibri"/>
          <w:sz w:val="18"/>
          <w:szCs w:val="18"/>
          <w:lang w:val="es-ES"/>
        </w:rPr>
        <w:t>información</w:t>
      </w:r>
      <w:proofErr w:type="spellEnd"/>
      <w:r w:rsidRPr="000C4150">
        <w:rPr>
          <w:rFonts w:ascii="Calibri" w:hAnsi="Calibri"/>
          <w:sz w:val="18"/>
          <w:szCs w:val="18"/>
          <w:lang w:val="es-ES"/>
        </w:rPr>
        <w:t xml:space="preserve"> sobre las actividades, </w:t>
      </w:r>
      <w:proofErr w:type="spellStart"/>
      <w:r w:rsidRPr="000C4150">
        <w:rPr>
          <w:rFonts w:ascii="Calibri" w:hAnsi="Calibri"/>
          <w:sz w:val="18"/>
          <w:szCs w:val="18"/>
          <w:lang w:val="es-ES"/>
        </w:rPr>
        <w:t>ubicación</w:t>
      </w:r>
      <w:proofErr w:type="spellEnd"/>
      <w:r w:rsidRPr="000C4150">
        <w:rPr>
          <w:rFonts w:ascii="Calibri" w:hAnsi="Calibri"/>
          <w:sz w:val="18"/>
          <w:szCs w:val="18"/>
          <w:lang w:val="es-ES"/>
        </w:rPr>
        <w:t xml:space="preserve">, operativos o, en general, relacionadas con sus funciones, que realicen o pretendan realizar los servidores </w:t>
      </w:r>
      <w:proofErr w:type="spellStart"/>
      <w:r w:rsidRPr="000C4150">
        <w:rPr>
          <w:rFonts w:ascii="Calibri" w:hAnsi="Calibri"/>
          <w:sz w:val="18"/>
          <w:szCs w:val="18"/>
          <w:lang w:val="es-ES"/>
        </w:rPr>
        <w:t>públicos</w:t>
      </w:r>
      <w:proofErr w:type="spellEnd"/>
      <w:r w:rsidRPr="000C4150">
        <w:rPr>
          <w:rFonts w:ascii="Calibri" w:hAnsi="Calibri"/>
          <w:sz w:val="18"/>
          <w:szCs w:val="18"/>
          <w:lang w:val="es-ES"/>
        </w:rPr>
        <w:t xml:space="preserve"> de las Instituciones de Seguridad </w:t>
      </w:r>
      <w:proofErr w:type="spellStart"/>
      <w:r w:rsidRPr="000C4150">
        <w:rPr>
          <w:rFonts w:ascii="Calibri" w:hAnsi="Calibri"/>
          <w:sz w:val="18"/>
          <w:szCs w:val="18"/>
          <w:lang w:val="es-ES"/>
        </w:rPr>
        <w:t>Pública</w:t>
      </w:r>
      <w:proofErr w:type="spellEnd"/>
      <w:r w:rsidRPr="000C4150">
        <w:rPr>
          <w:rFonts w:ascii="Calibri" w:hAnsi="Calibri"/>
          <w:sz w:val="18"/>
          <w:szCs w:val="18"/>
          <w:lang w:val="es-ES"/>
        </w:rPr>
        <w:t xml:space="preserve">, los integrantes del </w:t>
      </w:r>
      <w:proofErr w:type="spellStart"/>
      <w:r w:rsidRPr="000C4150">
        <w:rPr>
          <w:rFonts w:ascii="Calibri" w:hAnsi="Calibri"/>
          <w:sz w:val="18"/>
          <w:szCs w:val="18"/>
          <w:lang w:val="es-ES"/>
        </w:rPr>
        <w:t>ejército</w:t>
      </w:r>
      <w:proofErr w:type="spellEnd"/>
      <w:r w:rsidRPr="000C4150">
        <w:rPr>
          <w:rFonts w:ascii="Calibri" w:hAnsi="Calibri"/>
          <w:sz w:val="18"/>
          <w:szCs w:val="18"/>
          <w:lang w:val="es-ES"/>
        </w:rPr>
        <w:t xml:space="preserve">, marina armada o fuerza </w:t>
      </w:r>
      <w:proofErr w:type="spellStart"/>
      <w:r w:rsidRPr="000C4150">
        <w:rPr>
          <w:rFonts w:ascii="Calibri" w:hAnsi="Calibri"/>
          <w:sz w:val="18"/>
          <w:szCs w:val="18"/>
          <w:lang w:val="es-ES"/>
        </w:rPr>
        <w:t>aérea</w:t>
      </w:r>
      <w:proofErr w:type="spellEnd"/>
      <w:r w:rsidRPr="000C4150">
        <w:rPr>
          <w:rFonts w:ascii="Calibri" w:hAnsi="Calibri"/>
          <w:sz w:val="18"/>
          <w:szCs w:val="18"/>
          <w:lang w:val="es-ES"/>
        </w:rPr>
        <w:t xml:space="preserve"> </w:t>
      </w:r>
      <w:proofErr w:type="spellStart"/>
      <w:r w:rsidRPr="000C4150">
        <w:rPr>
          <w:rFonts w:ascii="Calibri" w:hAnsi="Calibri"/>
          <w:sz w:val="18"/>
          <w:szCs w:val="18"/>
          <w:lang w:val="es-ES"/>
        </w:rPr>
        <w:t>nacional,con</w:t>
      </w:r>
      <w:proofErr w:type="spellEnd"/>
      <w:r w:rsidRPr="000C4150">
        <w:rPr>
          <w:rFonts w:ascii="Calibri" w:hAnsi="Calibri"/>
          <w:sz w:val="18"/>
          <w:szCs w:val="18"/>
          <w:lang w:val="es-ES"/>
        </w:rPr>
        <w:t xml:space="preserve"> la finalidad de que, por sí o por tercera persona, se entorpezca o evite el cumplimiento de sus funciones o se ocasione un </w:t>
      </w:r>
      <w:proofErr w:type="spellStart"/>
      <w:r w:rsidRPr="000C4150">
        <w:rPr>
          <w:rFonts w:ascii="Calibri" w:hAnsi="Calibri"/>
          <w:sz w:val="18"/>
          <w:szCs w:val="18"/>
          <w:lang w:val="es-ES"/>
        </w:rPr>
        <w:t>daño</w:t>
      </w:r>
      <w:proofErr w:type="spellEnd"/>
      <w:r w:rsidRPr="000C4150">
        <w:rPr>
          <w:rFonts w:ascii="Calibri" w:hAnsi="Calibri"/>
          <w:sz w:val="18"/>
          <w:szCs w:val="18"/>
          <w:lang w:val="es-ES"/>
        </w:rPr>
        <w:t xml:space="preserve"> a dichas instituciones, </w:t>
      </w:r>
      <w:proofErr w:type="spellStart"/>
      <w:r w:rsidRPr="000C4150">
        <w:rPr>
          <w:rFonts w:ascii="Calibri" w:hAnsi="Calibri"/>
          <w:sz w:val="18"/>
          <w:szCs w:val="18"/>
          <w:lang w:val="es-ES"/>
        </w:rPr>
        <w:t>órganos</w:t>
      </w:r>
      <w:proofErr w:type="spellEnd"/>
      <w:r w:rsidRPr="000C4150">
        <w:rPr>
          <w:rFonts w:ascii="Calibri" w:hAnsi="Calibri"/>
          <w:sz w:val="18"/>
          <w:szCs w:val="18"/>
          <w:lang w:val="es-ES"/>
        </w:rPr>
        <w:t xml:space="preserve"> o servidores </w:t>
      </w:r>
      <w:proofErr w:type="spellStart"/>
      <w:r w:rsidRPr="000C4150">
        <w:rPr>
          <w:rFonts w:ascii="Calibri" w:hAnsi="Calibri"/>
          <w:sz w:val="18"/>
          <w:szCs w:val="18"/>
          <w:lang w:val="es-ES"/>
        </w:rPr>
        <w:t>públicos</w:t>
      </w:r>
      <w:proofErr w:type="spellEnd"/>
      <w:r w:rsidRPr="000C4150">
        <w:rPr>
          <w:rFonts w:ascii="Calibri" w:hAnsi="Calibri"/>
          <w:sz w:val="18"/>
          <w:szCs w:val="18"/>
          <w:lang w:val="es-ES"/>
        </w:rPr>
        <w:t>”</w:t>
      </w:r>
    </w:p>
  </w:footnote>
  <w:footnote w:id="4">
    <w:p w14:paraId="4BCB4A19" w14:textId="4B4CB161" w:rsidR="0074078C" w:rsidRPr="000C4150" w:rsidRDefault="0074078C" w:rsidP="00F911C9">
      <w:pPr>
        <w:pStyle w:val="NormalWeb"/>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ha encontrado redacciones de tipos penales con los siguientes elementos: </w:t>
      </w:r>
      <w:r w:rsidRPr="000C4150">
        <w:rPr>
          <w:rFonts w:ascii="Calibri" w:hAnsi="Calibri" w:cs="Arial"/>
          <w:sz w:val="18"/>
          <w:szCs w:val="18"/>
          <w:lang w:val="es-ES"/>
        </w:rPr>
        <w:t xml:space="preserve">Produzca, por cualquier medio </w:t>
      </w:r>
      <w:proofErr w:type="spellStart"/>
      <w:r w:rsidRPr="000C4150">
        <w:rPr>
          <w:rFonts w:ascii="Calibri" w:hAnsi="Calibri" w:cs="Arial"/>
          <w:sz w:val="18"/>
          <w:szCs w:val="18"/>
          <w:lang w:val="es-ES"/>
        </w:rPr>
        <w:t>técnico</w:t>
      </w:r>
      <w:proofErr w:type="spellEnd"/>
      <w:r w:rsidRPr="000C4150">
        <w:rPr>
          <w:rFonts w:ascii="Calibri" w:hAnsi="Calibri" w:cs="Arial"/>
          <w:sz w:val="18"/>
          <w:szCs w:val="18"/>
          <w:lang w:val="es-ES"/>
        </w:rPr>
        <w:t xml:space="preserve">, </w:t>
      </w:r>
      <w:proofErr w:type="spellStart"/>
      <w:r w:rsidRPr="000C4150">
        <w:rPr>
          <w:rFonts w:ascii="Calibri" w:hAnsi="Calibri" w:cs="Arial"/>
          <w:sz w:val="18"/>
          <w:szCs w:val="18"/>
          <w:lang w:val="es-ES"/>
        </w:rPr>
        <w:t>imágenes</w:t>
      </w:r>
      <w:proofErr w:type="spellEnd"/>
      <w:r w:rsidRPr="000C4150">
        <w:rPr>
          <w:rFonts w:ascii="Calibri" w:hAnsi="Calibri" w:cs="Arial"/>
          <w:sz w:val="18"/>
          <w:szCs w:val="18"/>
          <w:lang w:val="es-ES"/>
        </w:rPr>
        <w:t xml:space="preserve">, textos o voces total o parcialmente falsos; o indebidamente produzca, por cualquier medio </w:t>
      </w:r>
      <w:proofErr w:type="spellStart"/>
      <w:r w:rsidRPr="000C4150">
        <w:rPr>
          <w:rFonts w:ascii="Calibri" w:hAnsi="Calibri" w:cs="Arial"/>
          <w:sz w:val="18"/>
          <w:szCs w:val="18"/>
          <w:lang w:val="es-ES"/>
        </w:rPr>
        <w:t>técnico</w:t>
      </w:r>
      <w:proofErr w:type="spellEnd"/>
      <w:r w:rsidRPr="000C4150">
        <w:rPr>
          <w:rFonts w:ascii="Calibri" w:hAnsi="Calibri" w:cs="Arial"/>
          <w:sz w:val="18"/>
          <w:szCs w:val="18"/>
          <w:lang w:val="es-ES"/>
        </w:rPr>
        <w:t xml:space="preserve">, </w:t>
      </w:r>
      <w:proofErr w:type="spellStart"/>
      <w:r w:rsidRPr="000C4150">
        <w:rPr>
          <w:rFonts w:ascii="Calibri" w:hAnsi="Calibri" w:cs="Arial"/>
          <w:sz w:val="18"/>
          <w:szCs w:val="18"/>
          <w:lang w:val="es-ES"/>
        </w:rPr>
        <w:t>imágenes</w:t>
      </w:r>
      <w:proofErr w:type="spellEnd"/>
      <w:r w:rsidRPr="000C4150">
        <w:rPr>
          <w:rFonts w:ascii="Calibri" w:hAnsi="Calibri" w:cs="Arial"/>
          <w:sz w:val="18"/>
          <w:szCs w:val="18"/>
          <w:lang w:val="es-ES"/>
        </w:rPr>
        <w:t>, textos o voces verdaderas.</w:t>
      </w:r>
    </w:p>
  </w:footnote>
  <w:footnote w:id="5">
    <w:p w14:paraId="4F970822" w14:textId="77777777" w:rsidR="0074078C" w:rsidRPr="000C4150" w:rsidRDefault="0074078C" w:rsidP="009A1B71">
      <w:pPr>
        <w:suppressAutoHyphens w:val="0"/>
        <w:jc w:val="both"/>
        <w:rPr>
          <w:rFonts w:ascii="Calibri" w:eastAsia="Times New Roman" w:hAnsi="Calibri"/>
          <w:sz w:val="18"/>
          <w:szCs w:val="18"/>
          <w:lang w:val="es-ES_tradnl" w:eastAsia="es-ES_tradnl"/>
        </w:rPr>
      </w:pPr>
      <w:r w:rsidRPr="000C4150">
        <w:rPr>
          <w:rStyle w:val="FootnoteReference"/>
          <w:rFonts w:ascii="Calibri" w:hAnsi="Calibri"/>
          <w:sz w:val="18"/>
          <w:szCs w:val="18"/>
        </w:rPr>
        <w:footnoteRef/>
      </w:r>
      <w:r w:rsidRPr="000C4150">
        <w:rPr>
          <w:rFonts w:ascii="Calibri" w:hAnsi="Calibri"/>
          <w:sz w:val="18"/>
          <w:szCs w:val="18"/>
        </w:rPr>
        <w:t xml:space="preserve"> </w:t>
      </w:r>
      <w:r w:rsidRPr="000C4150">
        <w:rPr>
          <w:rFonts w:ascii="Calibri" w:hAnsi="Calibri"/>
          <w:sz w:val="18"/>
          <w:szCs w:val="18"/>
          <w:lang w:val="es-ES"/>
        </w:rPr>
        <w:t xml:space="preserve">ARTICLE 19, </w:t>
      </w:r>
      <w:r w:rsidRPr="000C4150">
        <w:rPr>
          <w:rFonts w:ascii="Calibri" w:hAnsi="Calibri"/>
          <w:sz w:val="18"/>
          <w:szCs w:val="18"/>
          <w:lang w:val="es-ES_tradnl"/>
        </w:rPr>
        <w:t>Aprobación de #</w:t>
      </w:r>
      <w:proofErr w:type="spellStart"/>
      <w:r w:rsidRPr="000C4150">
        <w:rPr>
          <w:rFonts w:ascii="Calibri" w:hAnsi="Calibri"/>
          <w:sz w:val="18"/>
          <w:szCs w:val="18"/>
          <w:lang w:val="es-ES_tradnl"/>
        </w:rPr>
        <w:t>LeyGarrote</w:t>
      </w:r>
      <w:proofErr w:type="spellEnd"/>
      <w:r w:rsidRPr="000C4150">
        <w:rPr>
          <w:rFonts w:ascii="Calibri" w:hAnsi="Calibri"/>
          <w:sz w:val="18"/>
          <w:szCs w:val="18"/>
          <w:lang w:val="es-ES_tradnl"/>
        </w:rPr>
        <w:t xml:space="preserve"> en Tabasco criminaliza el derecho a la protesta, 29 de julio de 2019, </w:t>
      </w:r>
      <w:hyperlink r:id="rId1" w:history="1">
        <w:r w:rsidRPr="000C4150">
          <w:rPr>
            <w:rStyle w:val="Hyperlink"/>
            <w:rFonts w:ascii="Calibri" w:eastAsia="Times New Roman" w:hAnsi="Calibri"/>
            <w:sz w:val="18"/>
            <w:szCs w:val="18"/>
          </w:rPr>
          <w:t>https://articulo19.org/aprobacion-de-leygarrote-en-tabasco-criminaliza-el-derecho-a-la-protesta/</w:t>
        </w:r>
      </w:hyperlink>
      <w:r w:rsidRPr="000C4150">
        <w:rPr>
          <w:rFonts w:ascii="Calibri" w:eastAsia="Times New Roman" w:hAnsi="Calibri"/>
          <w:sz w:val="18"/>
          <w:szCs w:val="18"/>
        </w:rPr>
        <w:t xml:space="preserve">; </w:t>
      </w:r>
    </w:p>
  </w:footnote>
  <w:footnote w:id="6">
    <w:p w14:paraId="701FDE16" w14:textId="77777777" w:rsidR="0074078C" w:rsidRPr="000C4150" w:rsidRDefault="0074078C" w:rsidP="009A1B71">
      <w:pPr>
        <w:suppressAutoHyphens w:val="0"/>
        <w:jc w:val="both"/>
        <w:rPr>
          <w:rFonts w:ascii="Calibri" w:eastAsia="Times New Roman" w:hAnsi="Calibri"/>
          <w:sz w:val="18"/>
          <w:szCs w:val="18"/>
          <w:lang w:val="es-ES_tradnl" w:eastAsia="es-ES_tradnl"/>
        </w:rPr>
      </w:pPr>
      <w:r w:rsidRPr="000C4150">
        <w:rPr>
          <w:rStyle w:val="FootnoteReference"/>
          <w:rFonts w:ascii="Calibri" w:hAnsi="Calibri"/>
          <w:sz w:val="18"/>
          <w:szCs w:val="18"/>
        </w:rPr>
        <w:footnoteRef/>
      </w:r>
      <w:r w:rsidRPr="000C4150">
        <w:rPr>
          <w:rFonts w:ascii="Calibri" w:hAnsi="Calibri"/>
          <w:sz w:val="18"/>
          <w:szCs w:val="18"/>
        </w:rPr>
        <w:t xml:space="preserve">ARTICLE 19, </w:t>
      </w:r>
      <w:r w:rsidRPr="000C4150">
        <w:rPr>
          <w:rFonts w:ascii="Calibri" w:hAnsi="Calibri"/>
          <w:sz w:val="18"/>
          <w:szCs w:val="18"/>
          <w:lang w:val="es-ES_tradnl"/>
        </w:rPr>
        <w:t xml:space="preserve">Delito de halconeo entró en vigor en Guanajuato, criminaliza la labor periodística, 04 de agosto de 2019, </w:t>
      </w:r>
      <w:hyperlink r:id="rId2" w:history="1">
        <w:r w:rsidRPr="000C4150">
          <w:rPr>
            <w:rStyle w:val="Hyperlink"/>
            <w:rFonts w:ascii="Calibri" w:eastAsia="Times New Roman" w:hAnsi="Calibri"/>
            <w:sz w:val="18"/>
            <w:szCs w:val="18"/>
          </w:rPr>
          <w:t>https://articulo19.org/delito-de-halconeo-entro-en-vigor-en-guanajuato-criminaliza-la-labor-periodistica/</w:t>
        </w:r>
      </w:hyperlink>
    </w:p>
  </w:footnote>
  <w:footnote w:id="7">
    <w:p w14:paraId="1197D4C0" w14:textId="77777777" w:rsidR="0074078C" w:rsidRPr="000C4150" w:rsidRDefault="0074078C" w:rsidP="009A1B71">
      <w:pPr>
        <w:pStyle w:val="FootnoteText"/>
        <w:jc w:val="both"/>
        <w:rPr>
          <w:rFonts w:ascii="Calibri" w:hAnsi="Calibri"/>
          <w:sz w:val="18"/>
          <w:szCs w:val="18"/>
          <w:lang w:val="es-ES_tradnl"/>
        </w:rPr>
      </w:pPr>
      <w:r w:rsidRPr="000C4150">
        <w:rPr>
          <w:rStyle w:val="FootnoteReference"/>
          <w:rFonts w:ascii="Calibri" w:hAnsi="Calibri"/>
          <w:sz w:val="18"/>
          <w:szCs w:val="18"/>
        </w:rPr>
        <w:footnoteRef/>
      </w:r>
      <w:r w:rsidRPr="000C4150">
        <w:rPr>
          <w:rFonts w:ascii="Calibri" w:hAnsi="Calibri"/>
          <w:sz w:val="18"/>
          <w:szCs w:val="18"/>
        </w:rPr>
        <w:t xml:space="preserve"> Flores, Lizbeth, </w:t>
      </w:r>
      <w:proofErr w:type="spellStart"/>
      <w:r w:rsidRPr="000C4150">
        <w:rPr>
          <w:rFonts w:ascii="Calibri" w:hAnsi="Calibri"/>
          <w:sz w:val="18"/>
          <w:szCs w:val="18"/>
        </w:rPr>
        <w:t>Aprueban</w:t>
      </w:r>
      <w:proofErr w:type="spellEnd"/>
      <w:r w:rsidRPr="000C4150">
        <w:rPr>
          <w:rFonts w:ascii="Calibri" w:hAnsi="Calibri"/>
          <w:sz w:val="18"/>
          <w:szCs w:val="18"/>
        </w:rPr>
        <w:t xml:space="preserve"> </w:t>
      </w:r>
      <w:proofErr w:type="spellStart"/>
      <w:r w:rsidRPr="000C4150">
        <w:rPr>
          <w:rFonts w:ascii="Calibri" w:hAnsi="Calibri"/>
          <w:sz w:val="18"/>
          <w:szCs w:val="18"/>
        </w:rPr>
        <w:t>en</w:t>
      </w:r>
      <w:proofErr w:type="spellEnd"/>
      <w:r w:rsidRPr="000C4150">
        <w:rPr>
          <w:rFonts w:ascii="Calibri" w:hAnsi="Calibri"/>
          <w:sz w:val="18"/>
          <w:szCs w:val="18"/>
        </w:rPr>
        <w:t xml:space="preserve"> Oaxaca Ley </w:t>
      </w:r>
      <w:proofErr w:type="spellStart"/>
      <w:r w:rsidRPr="000C4150">
        <w:rPr>
          <w:rFonts w:ascii="Calibri" w:hAnsi="Calibri"/>
          <w:sz w:val="18"/>
          <w:szCs w:val="18"/>
        </w:rPr>
        <w:t>Olimpia</w:t>
      </w:r>
      <w:proofErr w:type="spellEnd"/>
      <w:r w:rsidRPr="000C4150">
        <w:rPr>
          <w:rFonts w:ascii="Calibri" w:hAnsi="Calibri"/>
          <w:sz w:val="18"/>
          <w:szCs w:val="18"/>
        </w:rPr>
        <w:t xml:space="preserve">, hasta 8 </w:t>
      </w:r>
      <w:proofErr w:type="spellStart"/>
      <w:r w:rsidRPr="000C4150">
        <w:rPr>
          <w:rFonts w:ascii="Calibri" w:hAnsi="Calibri"/>
          <w:sz w:val="18"/>
          <w:szCs w:val="18"/>
        </w:rPr>
        <w:t>años</w:t>
      </w:r>
      <w:proofErr w:type="spellEnd"/>
      <w:r w:rsidRPr="000C4150">
        <w:rPr>
          <w:rFonts w:ascii="Calibri" w:hAnsi="Calibri"/>
          <w:sz w:val="18"/>
          <w:szCs w:val="18"/>
        </w:rPr>
        <w:t xml:space="preserve"> de </w:t>
      </w:r>
      <w:proofErr w:type="spellStart"/>
      <w:r w:rsidRPr="000C4150">
        <w:rPr>
          <w:rFonts w:ascii="Calibri" w:hAnsi="Calibri"/>
          <w:sz w:val="18"/>
          <w:szCs w:val="18"/>
        </w:rPr>
        <w:t>cárcel</w:t>
      </w:r>
      <w:proofErr w:type="spellEnd"/>
      <w:r w:rsidRPr="000C4150">
        <w:rPr>
          <w:rFonts w:ascii="Calibri" w:hAnsi="Calibri"/>
          <w:sz w:val="18"/>
          <w:szCs w:val="18"/>
        </w:rPr>
        <w:t xml:space="preserve"> </w:t>
      </w:r>
      <w:proofErr w:type="spellStart"/>
      <w:r w:rsidRPr="000C4150">
        <w:rPr>
          <w:rFonts w:ascii="Calibri" w:hAnsi="Calibri"/>
          <w:sz w:val="18"/>
          <w:szCs w:val="18"/>
        </w:rPr>
        <w:t>por</w:t>
      </w:r>
      <w:proofErr w:type="spellEnd"/>
      <w:r w:rsidRPr="000C4150">
        <w:rPr>
          <w:rFonts w:ascii="Calibri" w:hAnsi="Calibri"/>
          <w:sz w:val="18"/>
          <w:szCs w:val="18"/>
        </w:rPr>
        <w:t xml:space="preserve"> porno </w:t>
      </w:r>
      <w:proofErr w:type="spellStart"/>
      <w:r w:rsidRPr="000C4150">
        <w:rPr>
          <w:rFonts w:ascii="Calibri" w:hAnsi="Calibri"/>
          <w:sz w:val="18"/>
          <w:szCs w:val="18"/>
        </w:rPr>
        <w:t>venganza</w:t>
      </w:r>
      <w:proofErr w:type="spellEnd"/>
      <w:r w:rsidRPr="000C4150">
        <w:rPr>
          <w:rFonts w:ascii="Calibri" w:hAnsi="Calibri"/>
          <w:sz w:val="18"/>
          <w:szCs w:val="18"/>
        </w:rPr>
        <w:t xml:space="preserve">. 11 de </w:t>
      </w:r>
      <w:proofErr w:type="spellStart"/>
      <w:r w:rsidRPr="000C4150">
        <w:rPr>
          <w:rFonts w:ascii="Calibri" w:hAnsi="Calibri"/>
          <w:sz w:val="18"/>
          <w:szCs w:val="18"/>
        </w:rPr>
        <w:t>julio</w:t>
      </w:r>
      <w:proofErr w:type="spellEnd"/>
      <w:r w:rsidRPr="000C4150">
        <w:rPr>
          <w:rFonts w:ascii="Calibri" w:hAnsi="Calibri"/>
          <w:sz w:val="18"/>
          <w:szCs w:val="18"/>
        </w:rPr>
        <w:t xml:space="preserve"> de 2019, </w:t>
      </w:r>
      <w:r w:rsidRPr="000C4150">
        <w:rPr>
          <w:rFonts w:ascii="Calibri" w:hAnsi="Calibri"/>
          <w:sz w:val="18"/>
          <w:szCs w:val="18"/>
          <w:lang w:val="es-ES_tradnl"/>
        </w:rPr>
        <w:t>https://www.eluniversal.com.mx/estados/aprueban-en-oaxaca-ley-olimpia-hasta-8-anos-de-carcel-por-porno-venganza</w:t>
      </w:r>
    </w:p>
  </w:footnote>
  <w:footnote w:id="8">
    <w:p w14:paraId="4C682C20" w14:textId="7A84189A" w:rsidR="0074078C" w:rsidRPr="000C4150" w:rsidRDefault="0074078C" w:rsidP="00D3077E">
      <w:pPr>
        <w:suppressAutoHyphens w:val="0"/>
        <w:jc w:val="both"/>
        <w:rPr>
          <w:rFonts w:ascii="Calibri" w:eastAsia="Times New Roman" w:hAnsi="Calibri"/>
          <w:sz w:val="18"/>
          <w:szCs w:val="18"/>
          <w:lang w:val="es-ES_tradnl" w:eastAsia="es-ES_tradnl"/>
        </w:rPr>
      </w:pPr>
      <w:r w:rsidRPr="000C4150">
        <w:rPr>
          <w:rStyle w:val="FootnoteReference"/>
          <w:rFonts w:ascii="Calibri" w:hAnsi="Calibri"/>
          <w:sz w:val="18"/>
          <w:szCs w:val="18"/>
        </w:rPr>
        <w:footnoteRef/>
      </w:r>
      <w:r w:rsidRPr="000C4150">
        <w:rPr>
          <w:rFonts w:ascii="Calibri" w:hAnsi="Calibri"/>
          <w:sz w:val="18"/>
          <w:szCs w:val="18"/>
        </w:rPr>
        <w:t xml:space="preserve"> ARTICLE 19, </w:t>
      </w:r>
      <w:r w:rsidRPr="000C4150">
        <w:rPr>
          <w:rFonts w:ascii="Calibri" w:hAnsi="Calibri"/>
          <w:sz w:val="18"/>
          <w:szCs w:val="18"/>
          <w:lang w:val="es-ES_tradnl"/>
        </w:rPr>
        <w:t xml:space="preserve">Nueva Ley de Uso de la Fuerza: Criminalización de la protesta a nivel nacional, 21 de mayo de 2019,  </w:t>
      </w:r>
      <w:hyperlink r:id="rId3" w:history="1">
        <w:r w:rsidRPr="000C4150">
          <w:rPr>
            <w:rStyle w:val="Hyperlink"/>
            <w:rFonts w:ascii="Calibri" w:hAnsi="Calibri"/>
            <w:sz w:val="18"/>
            <w:szCs w:val="18"/>
            <w:lang w:val="es-ES_tradnl"/>
          </w:rPr>
          <w:t>https://articulo19.org/nueva-ley-de-uso-de-la-fuerza-criminalizacion-de-la-protesta-a-nivel-nacional/</w:t>
        </w:r>
      </w:hyperlink>
      <w:r w:rsidRPr="000C4150">
        <w:rPr>
          <w:rFonts w:ascii="Calibri" w:hAnsi="Calibri"/>
          <w:sz w:val="18"/>
          <w:szCs w:val="18"/>
          <w:lang w:val="es-ES_tradnl"/>
        </w:rPr>
        <w:t xml:space="preserve">; Arturo </w:t>
      </w:r>
      <w:proofErr w:type="spellStart"/>
      <w:r w:rsidRPr="000C4150">
        <w:rPr>
          <w:rFonts w:ascii="Calibri" w:hAnsi="Calibri"/>
          <w:sz w:val="18"/>
          <w:szCs w:val="18"/>
          <w:lang w:val="es-ES_tradnl"/>
        </w:rPr>
        <w:t>Angel</w:t>
      </w:r>
      <w:proofErr w:type="spellEnd"/>
      <w:r w:rsidRPr="000C4150">
        <w:rPr>
          <w:rFonts w:ascii="Calibri" w:hAnsi="Calibri"/>
          <w:sz w:val="18"/>
          <w:szCs w:val="18"/>
          <w:lang w:val="es-ES_tradnl"/>
        </w:rPr>
        <w:t xml:space="preserve">, La Ley de Uso de la Fuerza: ¿Qué reglas contiene y qué derechos deja fuera?, Animal Político, 23 de mayo de 2019, </w:t>
      </w:r>
      <w:hyperlink r:id="rId4" w:history="1">
        <w:r w:rsidRPr="000C4150">
          <w:rPr>
            <w:rStyle w:val="Hyperlink"/>
            <w:rFonts w:ascii="Calibri" w:eastAsia="Times New Roman" w:hAnsi="Calibri"/>
            <w:sz w:val="18"/>
            <w:szCs w:val="18"/>
          </w:rPr>
          <w:t>https://www.animalpolitico.com/2019/05/ley-uso-fuerza-reglas-derechos/</w:t>
        </w:r>
      </w:hyperlink>
    </w:p>
  </w:footnote>
  <w:footnote w:id="9">
    <w:p w14:paraId="75B873A7" w14:textId="77777777" w:rsidR="0074078C" w:rsidRPr="000C4150" w:rsidRDefault="0074078C" w:rsidP="00647233">
      <w:pPr>
        <w:suppressAutoHyphens w:val="0"/>
        <w:jc w:val="both"/>
        <w:rPr>
          <w:rFonts w:ascii="Calibri" w:eastAsia="Times New Roman" w:hAnsi="Calibri" w:cs="Times New Roman"/>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w:t>
      </w:r>
      <w:hyperlink r:id="rId5" w:tooltip="Señalamientos del presidente a la revista Proceso, son una forma de presión e intimidación." w:history="1">
        <w:r w:rsidRPr="000C4150">
          <w:rPr>
            <w:rStyle w:val="Hyperlink"/>
            <w:rFonts w:ascii="Calibri" w:hAnsi="Calibri"/>
            <w:sz w:val="18"/>
            <w:szCs w:val="18"/>
            <w:lang w:val="es-ES"/>
          </w:rPr>
          <w:t>Señalamientos del presidente a la revista Proceso, son una forma de presión e intimidación.</w:t>
        </w:r>
      </w:hyperlink>
      <w:r w:rsidRPr="000C4150">
        <w:rPr>
          <w:rFonts w:ascii="Calibri" w:hAnsi="Calibri"/>
          <w:sz w:val="18"/>
          <w:szCs w:val="18"/>
          <w:lang w:val="es-ES"/>
        </w:rPr>
        <w:t xml:space="preserve"> Publicado el 26 de julio de 2019, disponible en: </w:t>
      </w:r>
      <w:hyperlink r:id="rId6" w:history="1">
        <w:r w:rsidRPr="000C4150">
          <w:rPr>
            <w:rFonts w:ascii="Calibri" w:eastAsia="Times New Roman" w:hAnsi="Calibri" w:cs="Times New Roman"/>
            <w:color w:val="0000FF"/>
            <w:sz w:val="18"/>
            <w:szCs w:val="18"/>
            <w:u w:val="single"/>
            <w:lang w:val="es-ES" w:eastAsia="es-ES_tradnl"/>
          </w:rPr>
          <w:t>https://articulo19.org/senalamientos-del-presidente-a-la-revista-proceso-son-una-forma-de-presion-e-intimidacion/</w:t>
        </w:r>
      </w:hyperlink>
    </w:p>
  </w:footnote>
  <w:footnote w:id="10">
    <w:p w14:paraId="4039B991" w14:textId="77777777" w:rsidR="0074078C" w:rsidRPr="000C4150" w:rsidRDefault="0074078C" w:rsidP="00647233">
      <w:pPr>
        <w:suppressAutoHyphens w:val="0"/>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w:t>
      </w:r>
      <w:hyperlink r:id="rId7" w:tooltip="Autoridades deben proteger a director de Reforma por agresiones en su contra" w:history="1">
        <w:r w:rsidRPr="000C4150">
          <w:rPr>
            <w:rStyle w:val="Hyperlink"/>
            <w:rFonts w:ascii="Calibri" w:hAnsi="Calibri"/>
            <w:sz w:val="18"/>
            <w:szCs w:val="18"/>
            <w:lang w:val="es-ES"/>
          </w:rPr>
          <w:t>Autoridades deben proteger a director de Reforma por agresiones en su contra</w:t>
        </w:r>
      </w:hyperlink>
      <w:r w:rsidRPr="000C4150">
        <w:rPr>
          <w:rFonts w:ascii="Calibri" w:hAnsi="Calibri"/>
          <w:sz w:val="18"/>
          <w:szCs w:val="18"/>
          <w:lang w:val="es-ES"/>
        </w:rPr>
        <w:t xml:space="preserve">. Publicado el 25 de abril de 2019, disponible en: </w:t>
      </w:r>
      <w:hyperlink r:id="rId8" w:history="1">
        <w:r w:rsidRPr="000C4150">
          <w:rPr>
            <w:rStyle w:val="Hyperlink"/>
            <w:rFonts w:ascii="Calibri" w:hAnsi="Calibri"/>
            <w:sz w:val="18"/>
            <w:szCs w:val="18"/>
            <w:lang w:val="es-ES"/>
          </w:rPr>
          <w:t>https://articulo19.org/autoridades-deben-proteger-a-director-de-reforma-por-agresiones-en-su-contra/</w:t>
        </w:r>
      </w:hyperlink>
      <w:r w:rsidRPr="000C4150">
        <w:rPr>
          <w:rFonts w:ascii="Calibri" w:hAnsi="Calibri"/>
          <w:sz w:val="18"/>
          <w:szCs w:val="18"/>
          <w:lang w:val="es-ES"/>
        </w:rPr>
        <w:t>; ARTICLE 19, “Colectivo #</w:t>
      </w:r>
      <w:proofErr w:type="spellStart"/>
      <w:r w:rsidRPr="000C4150">
        <w:rPr>
          <w:rFonts w:ascii="Calibri" w:hAnsi="Calibri"/>
          <w:sz w:val="18"/>
          <w:szCs w:val="18"/>
          <w:lang w:val="es-ES"/>
        </w:rPr>
        <w:t>MediosLibres</w:t>
      </w:r>
      <w:proofErr w:type="spellEnd"/>
      <w:r w:rsidRPr="000C4150">
        <w:rPr>
          <w:rFonts w:ascii="Calibri" w:hAnsi="Calibri"/>
          <w:sz w:val="18"/>
          <w:szCs w:val="18"/>
          <w:lang w:val="es-ES"/>
        </w:rPr>
        <w:t xml:space="preserve"> llama a AMLO a regular la publicidad oficial”, publicado el 31 de mayo de 2019, disponible en: </w:t>
      </w:r>
      <w:hyperlink r:id="rId9" w:history="1">
        <w:r w:rsidRPr="000C4150">
          <w:rPr>
            <w:rFonts w:ascii="Calibri" w:eastAsia="Times New Roman" w:hAnsi="Calibri" w:cs="Times New Roman"/>
            <w:color w:val="0000FF"/>
            <w:sz w:val="18"/>
            <w:szCs w:val="18"/>
            <w:u w:val="single"/>
            <w:lang w:val="es-ES" w:eastAsia="es-ES_tradnl"/>
          </w:rPr>
          <w:t>https://articulo19.org/carta-abierta-a-amlo/</w:t>
        </w:r>
      </w:hyperlink>
      <w:r w:rsidRPr="000C4150">
        <w:rPr>
          <w:rFonts w:ascii="Calibri" w:eastAsia="Times New Roman" w:hAnsi="Calibri" w:cs="Times New Roman"/>
          <w:sz w:val="18"/>
          <w:szCs w:val="18"/>
          <w:lang w:val="es-ES" w:eastAsia="es-ES_tradnl"/>
        </w:rPr>
        <w:t xml:space="preserve">; ARTICLE 19 </w:t>
      </w:r>
      <w:hyperlink r:id="rId10" w:tooltip="En los primeros cien días de gobierno se ha intensificado la intolerancia a la crítica y al discurso disidente" w:history="1">
        <w:r w:rsidRPr="000C4150">
          <w:rPr>
            <w:rStyle w:val="Hyperlink"/>
            <w:rFonts w:ascii="Calibri" w:eastAsia="Times New Roman" w:hAnsi="Calibri" w:cs="Times New Roman"/>
            <w:sz w:val="18"/>
            <w:szCs w:val="18"/>
            <w:lang w:val="es-ES" w:eastAsia="es-ES_tradnl"/>
          </w:rPr>
          <w:t>En los primeros cien días de gobierno se ha intensificado la intolerancia a la crítica y al discurso disidente</w:t>
        </w:r>
      </w:hyperlink>
      <w:r w:rsidRPr="000C4150">
        <w:rPr>
          <w:rFonts w:ascii="Calibri" w:eastAsia="Times New Roman" w:hAnsi="Calibri" w:cs="Times New Roman"/>
          <w:sz w:val="18"/>
          <w:szCs w:val="18"/>
          <w:lang w:val="es-ES" w:eastAsia="es-ES_tradnl"/>
        </w:rPr>
        <w:t xml:space="preserve">. Publicado el 12 de marzo de 2019, disponible en: </w:t>
      </w:r>
      <w:hyperlink r:id="rId11" w:history="1">
        <w:r w:rsidRPr="000C4150">
          <w:rPr>
            <w:rFonts w:ascii="Calibri" w:eastAsia="Times New Roman" w:hAnsi="Calibri" w:cs="Times New Roman"/>
            <w:color w:val="0000FF"/>
            <w:sz w:val="18"/>
            <w:szCs w:val="18"/>
            <w:u w:val="single"/>
            <w:lang w:val="es-ES" w:eastAsia="es-ES_tradnl"/>
          </w:rPr>
          <w:t>https://articulo19.org/en-los-primeros-cien-dias-de-gobierno-se-ha-intensificado-la-intolerancia-a-la-critica-y-el-discurso-disidente/</w:t>
        </w:r>
      </w:hyperlink>
      <w:r w:rsidRPr="000C4150">
        <w:rPr>
          <w:rFonts w:ascii="Calibri" w:eastAsia="Times New Roman" w:hAnsi="Calibri" w:cs="Times New Roman"/>
          <w:sz w:val="18"/>
          <w:szCs w:val="18"/>
          <w:lang w:val="es-ES" w:eastAsia="es-ES_tradnl"/>
        </w:rPr>
        <w:t xml:space="preserve">; ARTICLE 19. Carta pública al Presidente Andrés Manuel López Obrador. Publicado en enero de 2019, disponible en: </w:t>
      </w:r>
      <w:hyperlink r:id="rId12" w:history="1">
        <w:r w:rsidRPr="000C4150">
          <w:rPr>
            <w:rFonts w:ascii="Calibri" w:eastAsia="Times New Roman" w:hAnsi="Calibri" w:cs="Times New Roman"/>
            <w:color w:val="0000FF"/>
            <w:sz w:val="18"/>
            <w:szCs w:val="18"/>
            <w:u w:val="single"/>
            <w:lang w:val="es-ES" w:eastAsia="es-ES_tradnl"/>
          </w:rPr>
          <w:t>https://articulo19.org/wp-content/uploads/2019/01/Article19-Carta-AMLO_v2-2.pdf</w:t>
        </w:r>
      </w:hyperlink>
    </w:p>
  </w:footnote>
  <w:footnote w:id="11">
    <w:p w14:paraId="65289201" w14:textId="77777777" w:rsidR="0074078C" w:rsidRPr="000C4150" w:rsidRDefault="0074078C" w:rsidP="00647233">
      <w:pPr>
        <w:suppressAutoHyphens w:val="0"/>
        <w:jc w:val="both"/>
        <w:rPr>
          <w:rFonts w:ascii="Calibri" w:eastAsia="Times New Roman" w:hAnsi="Calibri"/>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Redacción. “</w:t>
      </w:r>
      <w:r w:rsidRPr="000C4150">
        <w:rPr>
          <w:rFonts w:ascii="Calibri" w:hAnsi="Calibri"/>
          <w:bCs/>
          <w:sz w:val="18"/>
          <w:szCs w:val="18"/>
          <w:lang w:val="es-ES"/>
        </w:rPr>
        <w:t>Hay periodistas que mienten como respiran: AMLO”. México.com</w:t>
      </w:r>
      <w:r w:rsidRPr="000C4150">
        <w:rPr>
          <w:rFonts w:ascii="Calibri" w:hAnsi="Calibri"/>
          <w:sz w:val="18"/>
          <w:szCs w:val="18"/>
          <w:lang w:val="es-ES"/>
        </w:rPr>
        <w:t xml:space="preserve">, 16 de octubre 2018, </w:t>
      </w:r>
      <w:hyperlink r:id="rId13" w:history="1">
        <w:r w:rsidRPr="000C4150">
          <w:rPr>
            <w:rStyle w:val="Hyperlink"/>
            <w:rFonts w:ascii="Calibri" w:eastAsia="Times New Roman" w:hAnsi="Calibri"/>
            <w:sz w:val="18"/>
            <w:szCs w:val="18"/>
            <w:lang w:val="es-ES"/>
          </w:rPr>
          <w:t>https://www.mexico.com/actualidad/hay-periodistas-que-mienten-como-respiran-amlo/</w:t>
        </w:r>
      </w:hyperlink>
      <w:r w:rsidRPr="000C4150">
        <w:rPr>
          <w:rFonts w:ascii="Calibri" w:eastAsia="Times New Roman" w:hAnsi="Calibri"/>
          <w:sz w:val="18"/>
          <w:szCs w:val="18"/>
          <w:lang w:val="es-ES"/>
        </w:rPr>
        <w:t>; Redacción. “</w:t>
      </w:r>
      <w:r w:rsidRPr="000C4150">
        <w:rPr>
          <w:rFonts w:ascii="Calibri" w:eastAsia="Times New Roman" w:hAnsi="Calibri"/>
          <w:b/>
          <w:bCs/>
          <w:sz w:val="18"/>
          <w:szCs w:val="18"/>
          <w:lang w:val="es-ES"/>
        </w:rPr>
        <w:t xml:space="preserve">AMLO critica a Carlos </w:t>
      </w:r>
      <w:proofErr w:type="spellStart"/>
      <w:r w:rsidRPr="000C4150">
        <w:rPr>
          <w:rFonts w:ascii="Calibri" w:eastAsia="Times New Roman" w:hAnsi="Calibri"/>
          <w:b/>
          <w:bCs/>
          <w:sz w:val="18"/>
          <w:szCs w:val="18"/>
          <w:lang w:val="es-ES"/>
        </w:rPr>
        <w:t>Loret</w:t>
      </w:r>
      <w:proofErr w:type="spellEnd"/>
      <w:r w:rsidRPr="000C4150">
        <w:rPr>
          <w:rFonts w:ascii="Calibri" w:eastAsia="Times New Roman" w:hAnsi="Calibri"/>
          <w:b/>
          <w:bCs/>
          <w:sz w:val="18"/>
          <w:szCs w:val="18"/>
          <w:lang w:val="es-ES"/>
        </w:rPr>
        <w:t xml:space="preserve">: “hay periodistas que mienten como respiran”, acusa”. Radio </w:t>
      </w:r>
      <w:proofErr w:type="spellStart"/>
      <w:r w:rsidRPr="000C4150">
        <w:rPr>
          <w:rFonts w:ascii="Calibri" w:eastAsia="Times New Roman" w:hAnsi="Calibri"/>
          <w:b/>
          <w:bCs/>
          <w:sz w:val="18"/>
          <w:szCs w:val="18"/>
          <w:lang w:val="es-ES"/>
        </w:rPr>
        <w:t>Formula</w:t>
      </w:r>
      <w:proofErr w:type="spellEnd"/>
      <w:r w:rsidRPr="000C4150">
        <w:rPr>
          <w:rFonts w:ascii="Calibri" w:eastAsia="Times New Roman" w:hAnsi="Calibri"/>
          <w:b/>
          <w:bCs/>
          <w:sz w:val="18"/>
          <w:szCs w:val="18"/>
          <w:lang w:val="es-ES"/>
        </w:rPr>
        <w:t xml:space="preserve">, 16 de octubre de 2018, </w:t>
      </w:r>
      <w:hyperlink r:id="rId14" w:history="1">
        <w:r w:rsidRPr="000C4150">
          <w:rPr>
            <w:rStyle w:val="Hyperlink"/>
            <w:rFonts w:ascii="Calibri" w:eastAsia="Times New Roman" w:hAnsi="Calibri"/>
            <w:sz w:val="18"/>
            <w:szCs w:val="18"/>
            <w:lang w:val="es-ES"/>
          </w:rPr>
          <w:t>https://www.radioformula.com.mx/noticias/mexico/20181016/amlo-critica-a-carlos-loret-hay-periodistas-que-mienten-como-respiran-acusa/</w:t>
        </w:r>
      </w:hyperlink>
    </w:p>
    <w:p w14:paraId="60762942" w14:textId="77777777" w:rsidR="0074078C" w:rsidRPr="000C4150" w:rsidRDefault="0074078C" w:rsidP="00647233">
      <w:pPr>
        <w:pStyle w:val="FootnoteText"/>
        <w:jc w:val="both"/>
        <w:rPr>
          <w:rFonts w:ascii="Calibri" w:hAnsi="Calibri"/>
          <w:sz w:val="18"/>
          <w:szCs w:val="18"/>
          <w:lang w:val="es-ES"/>
        </w:rPr>
      </w:pPr>
    </w:p>
  </w:footnote>
  <w:footnote w:id="12">
    <w:p w14:paraId="3019B8EC" w14:textId="77777777" w:rsidR="0074078C" w:rsidRPr="000C4150" w:rsidRDefault="0074078C" w:rsidP="00647233">
      <w:pPr>
        <w:suppressAutoHyphens w:val="0"/>
        <w:jc w:val="both"/>
        <w:rPr>
          <w:rFonts w:ascii="Calibri" w:eastAsia="Times New Roman" w:hAnsi="Calibri"/>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Ortega, Ariadna, </w:t>
      </w:r>
      <w:r w:rsidRPr="000C4150">
        <w:rPr>
          <w:rFonts w:ascii="Calibri" w:hAnsi="Calibri"/>
          <w:b/>
          <w:bCs/>
          <w:sz w:val="18"/>
          <w:szCs w:val="18"/>
          <w:lang w:val="es-ES"/>
        </w:rPr>
        <w:t xml:space="preserve">"Vamos a </w:t>
      </w:r>
      <w:proofErr w:type="spellStart"/>
      <w:r w:rsidRPr="000C4150">
        <w:rPr>
          <w:rFonts w:ascii="Calibri" w:hAnsi="Calibri"/>
          <w:b/>
          <w:bCs/>
          <w:sz w:val="18"/>
          <w:szCs w:val="18"/>
          <w:lang w:val="es-ES"/>
        </w:rPr>
        <w:t>autolimitarnos</w:t>
      </w:r>
      <w:proofErr w:type="spellEnd"/>
      <w:r w:rsidRPr="000C4150">
        <w:rPr>
          <w:rFonts w:ascii="Calibri" w:hAnsi="Calibri"/>
          <w:b/>
          <w:bCs/>
          <w:sz w:val="18"/>
          <w:szCs w:val="18"/>
          <w:lang w:val="es-ES"/>
        </w:rPr>
        <w:t xml:space="preserve"> todos", dice AMLO a la prensa. Expansión Política, 15 de octubre de 2018, </w:t>
      </w:r>
      <w:hyperlink r:id="rId15" w:history="1">
        <w:r w:rsidRPr="000C4150">
          <w:rPr>
            <w:rStyle w:val="Hyperlink"/>
            <w:rFonts w:ascii="Calibri" w:eastAsia="Times New Roman" w:hAnsi="Calibri"/>
            <w:sz w:val="18"/>
            <w:szCs w:val="18"/>
            <w:lang w:val="es-ES"/>
          </w:rPr>
          <w:t>https://politica.expansion.mx/presidencia/2018/10/15/vamos-a-autolimitarnos-todos-dice-amlo-a-la-prensa</w:t>
        </w:r>
      </w:hyperlink>
      <w:r w:rsidRPr="000C4150">
        <w:rPr>
          <w:rFonts w:ascii="Calibri" w:eastAsia="Times New Roman" w:hAnsi="Calibri"/>
          <w:sz w:val="18"/>
          <w:szCs w:val="18"/>
          <w:lang w:val="es-ES"/>
        </w:rPr>
        <w:t>; ARTICLE 19, Declaraciones de AMLO frente a la prensa contravienen su deber de tolerancia a la crítica, 19 de octubre de 2018, disponible en: https://articulo19.org/declaraciones-de-amlo-frente-a-la-prensa-contravienen-su-deber-de-tolerancia-a-la-critica/</w:t>
      </w:r>
    </w:p>
  </w:footnote>
  <w:footnote w:id="13">
    <w:p w14:paraId="65D7F772" w14:textId="77777777" w:rsidR="0074078C" w:rsidRPr="000C4150" w:rsidRDefault="0074078C" w:rsidP="00647233">
      <w:pPr>
        <w:suppressAutoHyphens w:val="0"/>
        <w:jc w:val="both"/>
        <w:rPr>
          <w:rFonts w:ascii="Calibri" w:eastAsia="Times New Roman" w:hAnsi="Calibri"/>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Rodríguez García, Arturo. “</w:t>
      </w:r>
      <w:r w:rsidRPr="000C4150">
        <w:rPr>
          <w:rFonts w:ascii="Calibri" w:hAnsi="Calibri"/>
          <w:bCs/>
          <w:sz w:val="18"/>
          <w:szCs w:val="18"/>
          <w:lang w:val="es-ES"/>
        </w:rPr>
        <w:t xml:space="preserve">… Y lanza a detractores: son conservadores, camajanes y prensa “fifí””, Proceso, 18 de septiembre de 2018, </w:t>
      </w:r>
      <w:hyperlink r:id="rId16" w:history="1">
        <w:r w:rsidRPr="000C4150">
          <w:rPr>
            <w:rStyle w:val="Hyperlink"/>
            <w:rFonts w:ascii="Calibri" w:eastAsia="Times New Roman" w:hAnsi="Calibri"/>
            <w:sz w:val="18"/>
            <w:szCs w:val="18"/>
            <w:lang w:val="es-ES"/>
          </w:rPr>
          <w:t>https://www.proceso.com.mx/551408/y-lanza-a-detractores-son-conservadores-camajanes-y-prensa-fifi</w:t>
        </w:r>
      </w:hyperlink>
      <w:r w:rsidRPr="000C4150">
        <w:rPr>
          <w:rFonts w:ascii="Calibri" w:eastAsia="Times New Roman" w:hAnsi="Calibri"/>
          <w:sz w:val="18"/>
          <w:szCs w:val="18"/>
          <w:lang w:val="es-ES"/>
        </w:rPr>
        <w:t xml:space="preserve">; Redacción, “Voy a cumplir todos los compromisos, no le voy a fallar al pueblo, pero debe reconocerse el punto de partida, dice el presidente electo”, Hoja de Ruta, 19 de septiembre de 2018, </w:t>
      </w:r>
      <w:hyperlink r:id="rId17" w:history="1">
        <w:r w:rsidRPr="000C4150">
          <w:rPr>
            <w:rStyle w:val="Hyperlink"/>
            <w:rFonts w:ascii="Calibri" w:eastAsia="Times New Roman" w:hAnsi="Calibri"/>
            <w:sz w:val="18"/>
            <w:szCs w:val="18"/>
            <w:lang w:val="es-ES"/>
          </w:rPr>
          <w:t>https://hojaderutadigital.mx/voy-a-cumplir-todos-los-compromisos-no-le-voy-a-fallar-al-pueblo-pero-debe-reconocerse-el-punto-de-partida-dice-el-presidente-electo/</w:t>
        </w:r>
      </w:hyperlink>
    </w:p>
  </w:footnote>
  <w:footnote w:id="14">
    <w:p w14:paraId="293CB5B8" w14:textId="77777777" w:rsidR="0074078C" w:rsidRPr="000C4150" w:rsidRDefault="0074078C" w:rsidP="00647233">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Informe anual 2018: Ante el silencio, ni borrón ni cuenta nueva, publicado en abril de 2018, https://articulo19.org/wp-content/uploads/2019/05/Ante-el-Silencio-Ni-Borron-Ni-Cuenta-Nueva_ABRv2.pdf</w:t>
      </w:r>
    </w:p>
  </w:footnote>
  <w:footnote w:id="15">
    <w:p w14:paraId="19141D80" w14:textId="77777777" w:rsidR="0074078C" w:rsidRPr="000C4150" w:rsidRDefault="0074078C" w:rsidP="00647233">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Redacción. “Reforma denuncia intimidación del gobierno; AMLO lo niega y ataca: ocultaron corrupción y fraudes”. Animal Político, 08 de marzo de 2019, </w:t>
      </w:r>
      <w:hyperlink r:id="rId18" w:history="1">
        <w:r w:rsidRPr="000C4150">
          <w:rPr>
            <w:rStyle w:val="Hyperlink"/>
            <w:rFonts w:ascii="Calibri" w:hAnsi="Calibri"/>
            <w:sz w:val="18"/>
            <w:szCs w:val="18"/>
            <w:lang w:val="es-ES"/>
          </w:rPr>
          <w:t>https://www.animalpolitico.com/2019/03/periodico-reforma-acusa-sat-intimidacion-amlo-niega-presion-gobierno/</w:t>
        </w:r>
      </w:hyperlink>
      <w:r w:rsidRPr="000C4150">
        <w:rPr>
          <w:rFonts w:ascii="Calibri" w:hAnsi="Calibri"/>
          <w:sz w:val="18"/>
          <w:szCs w:val="18"/>
          <w:lang w:val="es-ES"/>
        </w:rPr>
        <w:t xml:space="preserve">; </w:t>
      </w:r>
    </w:p>
  </w:footnote>
  <w:footnote w:id="16">
    <w:p w14:paraId="15D94BDE" w14:textId="77777777" w:rsidR="0074078C" w:rsidRPr="000C4150" w:rsidRDefault="0074078C" w:rsidP="00647233">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Más información leer el informe de la Red #</w:t>
      </w:r>
      <w:proofErr w:type="spellStart"/>
      <w:r w:rsidRPr="000C4150">
        <w:rPr>
          <w:rFonts w:ascii="Calibri" w:hAnsi="Calibri"/>
          <w:sz w:val="18"/>
          <w:szCs w:val="18"/>
          <w:lang w:val="es-ES"/>
        </w:rPr>
        <w:t>RompeElMiedo</w:t>
      </w:r>
      <w:proofErr w:type="spellEnd"/>
      <w:r w:rsidRPr="000C4150">
        <w:rPr>
          <w:rFonts w:ascii="Calibri" w:hAnsi="Calibri"/>
          <w:sz w:val="18"/>
          <w:szCs w:val="18"/>
          <w:lang w:val="es-ES"/>
        </w:rPr>
        <w:t>, disponible en:https://informaterompeelmiedo.mx/wp-content/uploads/2018/10/RRM-informe-elecciones-2018.pdf</w:t>
      </w:r>
    </w:p>
  </w:footnote>
  <w:footnote w:id="17">
    <w:p w14:paraId="4C40503A" w14:textId="77777777" w:rsidR="0074078C" w:rsidRPr="000C4150" w:rsidRDefault="0074078C" w:rsidP="00647233">
      <w:pPr>
        <w:suppressAutoHyphens w:val="0"/>
        <w:jc w:val="both"/>
        <w:rPr>
          <w:rFonts w:ascii="Calibri" w:eastAsia="Times New Roman" w:hAnsi="Calibri"/>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Redacción. Asesinan a balazos a Samir Flores, activista que se oponía a la termoeléctrica de Morelos. Animal Político, 20 de febrero de 2019, </w:t>
      </w:r>
      <w:hyperlink r:id="rId19" w:history="1">
        <w:r w:rsidRPr="000C4150">
          <w:rPr>
            <w:rStyle w:val="Hyperlink"/>
            <w:rFonts w:ascii="Calibri" w:eastAsia="Times New Roman" w:hAnsi="Calibri"/>
            <w:sz w:val="18"/>
            <w:szCs w:val="18"/>
            <w:lang w:val="es-ES"/>
          </w:rPr>
          <w:t>https://www.animalpolitico.com/2019/02/asesinan-balazos-samir-flores-activista-opositor-termoelectrica/</w:t>
        </w:r>
      </w:hyperlink>
      <w:r w:rsidRPr="000C4150">
        <w:rPr>
          <w:rFonts w:ascii="Calibri" w:eastAsia="Times New Roman" w:hAnsi="Calibri"/>
          <w:sz w:val="18"/>
          <w:szCs w:val="18"/>
          <w:lang w:val="es-ES"/>
        </w:rPr>
        <w:t xml:space="preserve">; Redacción, Samir Flores: el asesinato en México de uno de los principales activistas contrarios a la termoeléctrica de Morelos que el gobierno de AMLO somete a consulta este fin de semana, BBC News Mundo, 21 de febrero de 2019, </w:t>
      </w:r>
      <w:hyperlink r:id="rId20" w:history="1">
        <w:r w:rsidRPr="000C4150">
          <w:rPr>
            <w:rStyle w:val="Hyperlink"/>
            <w:rFonts w:ascii="Calibri" w:eastAsia="Times New Roman" w:hAnsi="Calibri"/>
            <w:sz w:val="18"/>
            <w:szCs w:val="18"/>
            <w:lang w:val="es-ES"/>
          </w:rPr>
          <w:t>https://www.bbc.com/mundo/noticias-america-latina-47313937</w:t>
        </w:r>
      </w:hyperlink>
      <w:r w:rsidRPr="000C4150">
        <w:rPr>
          <w:rFonts w:ascii="Calibri" w:eastAsia="Times New Roman" w:hAnsi="Calibri"/>
          <w:sz w:val="18"/>
          <w:szCs w:val="18"/>
          <w:lang w:val="es-ES" w:eastAsia="es-ES_tradnl"/>
        </w:rPr>
        <w:t xml:space="preserve">; Morelos Cruz, Rubicela. Exigen justicia a 5 meses del homicidio del activista Samir Flores, 20 de julio de 2019, </w:t>
      </w:r>
      <w:hyperlink r:id="rId21" w:history="1">
        <w:r w:rsidRPr="000C4150">
          <w:rPr>
            <w:rStyle w:val="Hyperlink"/>
            <w:rFonts w:ascii="Calibri" w:eastAsia="Times New Roman" w:hAnsi="Calibri"/>
            <w:sz w:val="18"/>
            <w:szCs w:val="18"/>
            <w:lang w:val="es-ES"/>
          </w:rPr>
          <w:t>https://www.jornada.com.mx/ultimas/estados/2019/07/20/exigen-justicia-a-5-meses-del-homicidio-del-activista-samir-flores-4497.html</w:t>
        </w:r>
      </w:hyperlink>
    </w:p>
  </w:footnote>
  <w:footnote w:id="18">
    <w:p w14:paraId="5A528CF9" w14:textId="77777777" w:rsidR="0074078C" w:rsidRPr="000C4150" w:rsidRDefault="0074078C" w:rsidP="00647233">
      <w:pPr>
        <w:suppressAutoHyphens w:val="0"/>
        <w:jc w:val="both"/>
        <w:rPr>
          <w:rFonts w:ascii="Calibri" w:eastAsia="Times New Roman" w:hAnsi="Calibri"/>
          <w:sz w:val="18"/>
          <w:szCs w:val="18"/>
          <w:lang w:val="es-ES" w:eastAsia="es-ES_tradnl"/>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w:t>
      </w:r>
      <w:proofErr w:type="spellStart"/>
      <w:r w:rsidRPr="000C4150">
        <w:rPr>
          <w:rFonts w:ascii="Calibri" w:hAnsi="Calibri"/>
          <w:sz w:val="18"/>
          <w:szCs w:val="18"/>
          <w:lang w:val="es-ES"/>
        </w:rPr>
        <w:t>Cóyotl</w:t>
      </w:r>
      <w:proofErr w:type="spellEnd"/>
      <w:r w:rsidRPr="000C4150">
        <w:rPr>
          <w:rFonts w:ascii="Calibri" w:hAnsi="Calibri"/>
          <w:sz w:val="18"/>
          <w:szCs w:val="18"/>
          <w:lang w:val="es-ES"/>
        </w:rPr>
        <w:t xml:space="preserve">, Erik, </w:t>
      </w:r>
      <w:r w:rsidRPr="000C4150">
        <w:rPr>
          <w:rFonts w:ascii="Calibri" w:hAnsi="Calibri"/>
          <w:b/>
          <w:bCs/>
          <w:sz w:val="18"/>
          <w:szCs w:val="18"/>
          <w:lang w:val="es-ES"/>
        </w:rPr>
        <w:t xml:space="preserve">Comunicado: Intentan asesinar al comunicador indígena Salvador Sánchez Bolaños, de Radio Tlacuache, en </w:t>
      </w:r>
      <w:proofErr w:type="spellStart"/>
      <w:r w:rsidRPr="000C4150">
        <w:rPr>
          <w:rFonts w:ascii="Calibri" w:hAnsi="Calibri"/>
          <w:b/>
          <w:bCs/>
          <w:sz w:val="18"/>
          <w:szCs w:val="18"/>
          <w:lang w:val="es-ES"/>
        </w:rPr>
        <w:t>Zoquitlán</w:t>
      </w:r>
      <w:proofErr w:type="spellEnd"/>
      <w:r w:rsidRPr="000C4150">
        <w:rPr>
          <w:rFonts w:ascii="Calibri" w:hAnsi="Calibri"/>
          <w:b/>
          <w:bCs/>
          <w:sz w:val="18"/>
          <w:szCs w:val="18"/>
          <w:lang w:val="es-ES"/>
        </w:rPr>
        <w:t xml:space="preserve"> Puebla, </w:t>
      </w:r>
      <w:proofErr w:type="spellStart"/>
      <w:r w:rsidRPr="000C4150">
        <w:rPr>
          <w:rFonts w:ascii="Calibri" w:hAnsi="Calibri"/>
          <w:b/>
          <w:bCs/>
          <w:sz w:val="18"/>
          <w:szCs w:val="18"/>
          <w:lang w:val="es-ES"/>
        </w:rPr>
        <w:t>Cholollán</w:t>
      </w:r>
      <w:proofErr w:type="spellEnd"/>
      <w:r w:rsidRPr="000C4150">
        <w:rPr>
          <w:rFonts w:ascii="Calibri" w:hAnsi="Calibri"/>
          <w:b/>
          <w:bCs/>
          <w:sz w:val="18"/>
          <w:szCs w:val="18"/>
          <w:lang w:val="es-ES"/>
        </w:rPr>
        <w:t xml:space="preserve"> radio comunitaria, 22 de mayo 2019, </w:t>
      </w:r>
      <w:hyperlink r:id="rId22" w:history="1">
        <w:r w:rsidRPr="000C4150">
          <w:rPr>
            <w:rStyle w:val="Hyperlink"/>
            <w:rFonts w:ascii="Calibri" w:eastAsia="Times New Roman" w:hAnsi="Calibri"/>
            <w:sz w:val="18"/>
            <w:szCs w:val="18"/>
            <w:lang w:val="es-ES"/>
          </w:rPr>
          <w:t>https://fmcholollan.org.mx/comunicado-intentan-asesinar-al-comunicador-indigena-salvador-sanchez-bolanos-de-radio-tlacuache-en-zoquitlan-puebla/</w:t>
        </w:r>
      </w:hyperlink>
      <w:r w:rsidRPr="000C4150">
        <w:rPr>
          <w:rFonts w:ascii="Calibri" w:eastAsia="Times New Roman" w:hAnsi="Calibri"/>
          <w:sz w:val="18"/>
          <w:szCs w:val="18"/>
          <w:lang w:val="es-ES"/>
        </w:rPr>
        <w:t xml:space="preserve">; ARTICLE 19, Sujetos armados intentan ingresar a domicilio de locutor de Radio Tlacuache, en Puebla, 24 de mayo de 2019, </w:t>
      </w:r>
      <w:hyperlink r:id="rId23" w:history="1">
        <w:r w:rsidRPr="000C4150">
          <w:rPr>
            <w:rStyle w:val="Hyperlink"/>
            <w:rFonts w:ascii="Calibri" w:eastAsia="Times New Roman" w:hAnsi="Calibri"/>
            <w:sz w:val="18"/>
            <w:szCs w:val="18"/>
            <w:lang w:val="es-ES"/>
          </w:rPr>
          <w:t>https://articulo19.org/sujetos-armados-intentan-ingresar-a-domicilio-de-locutor-de-radio-tlacuache-en-puebla/</w:t>
        </w:r>
      </w:hyperlink>
    </w:p>
  </w:footnote>
  <w:footnote w:id="19">
    <w:p w14:paraId="3EBC4327" w14:textId="77777777" w:rsidR="0074078C" w:rsidRPr="000C4150" w:rsidRDefault="0074078C" w:rsidP="00647233">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Desaparición y asesinato de Rafael </w:t>
      </w:r>
      <w:proofErr w:type="spellStart"/>
      <w:r w:rsidRPr="000C4150">
        <w:rPr>
          <w:rFonts w:ascii="Calibri" w:hAnsi="Calibri"/>
          <w:sz w:val="18"/>
          <w:szCs w:val="18"/>
          <w:lang w:val="es-ES"/>
        </w:rPr>
        <w:t>Murúa</w:t>
      </w:r>
      <w:proofErr w:type="spellEnd"/>
      <w:r w:rsidRPr="000C4150">
        <w:rPr>
          <w:rFonts w:ascii="Calibri" w:hAnsi="Calibri"/>
          <w:sz w:val="18"/>
          <w:szCs w:val="18"/>
          <w:lang w:val="es-ES"/>
        </w:rPr>
        <w:t xml:space="preserve"> exhibe ineficacia de autoridades en la protección e investigación de crímenes contra periodistas. Publicado el 21 de enero de 2019. Ciudad de México. Disponible en: https://articulo19.org/desaparicion-y-asesinato-de-rafael-murua-exhibe-ineficacia-de-autoridades-en-la-proteccion-e-investigacion-de-crimenes-contra-periodistas/</w:t>
      </w:r>
    </w:p>
  </w:footnote>
  <w:footnote w:id="20">
    <w:p w14:paraId="5769046F" w14:textId="77777777" w:rsidR="0074078C" w:rsidRPr="000C4150" w:rsidRDefault="0074078C" w:rsidP="00647233">
      <w:pPr>
        <w:pStyle w:val="FootnoteText"/>
        <w:jc w:val="both"/>
        <w:rPr>
          <w:rFonts w:ascii="Calibri" w:hAnsi="Calibri"/>
          <w:sz w:val="18"/>
          <w:szCs w:val="18"/>
          <w:lang w:val="es-ES"/>
        </w:rPr>
      </w:pPr>
      <w:r w:rsidRPr="000C4150">
        <w:rPr>
          <w:rStyle w:val="FootnoteReference"/>
          <w:rFonts w:ascii="Calibri" w:hAnsi="Calibri"/>
          <w:sz w:val="18"/>
          <w:szCs w:val="18"/>
          <w:lang w:val="es-ES"/>
        </w:rPr>
        <w:footnoteRef/>
      </w:r>
      <w:r w:rsidRPr="000C4150">
        <w:rPr>
          <w:rFonts w:ascii="Calibri" w:hAnsi="Calibri"/>
          <w:sz w:val="18"/>
          <w:szCs w:val="18"/>
          <w:lang w:val="es-ES"/>
        </w:rPr>
        <w:t xml:space="preserve"> ARTICLE 19. Asesinan a Telésforo Santiago Enríquez en Oaxaca, el tercer comunicador comunitario en el año. Publicado el 03 de mayo de 2019. Disponible en: https://articulo19.org/asesinan-a-telesforo-santiago-enriquez-en-oaxaca-el-tercer-comunicador-comunitario-en-el-ano/</w:t>
      </w:r>
    </w:p>
  </w:footnote>
  <w:footnote w:id="21">
    <w:p w14:paraId="149296A7" w14:textId="77777777" w:rsidR="0074078C" w:rsidRPr="000C4150" w:rsidRDefault="0074078C" w:rsidP="00B32084">
      <w:pPr>
        <w:rPr>
          <w:rFonts w:ascii="Calibri" w:hAnsi="Calibri"/>
          <w:sz w:val="18"/>
          <w:szCs w:val="18"/>
        </w:rPr>
      </w:pPr>
      <w:r w:rsidRPr="000C4150">
        <w:rPr>
          <w:rFonts w:ascii="Calibri" w:hAnsi="Calibri"/>
          <w:sz w:val="18"/>
          <w:szCs w:val="18"/>
        </w:rPr>
        <w:footnoteRef/>
      </w:r>
      <w:r w:rsidRPr="000C4150">
        <w:rPr>
          <w:rFonts w:ascii="Calibri" w:hAnsi="Calibri"/>
          <w:sz w:val="18"/>
          <w:szCs w:val="18"/>
        </w:rPr>
        <w:tab/>
      </w:r>
      <w:proofErr w:type="spellStart"/>
      <w:r w:rsidRPr="000C4150">
        <w:rPr>
          <w:rFonts w:ascii="Calibri" w:hAnsi="Calibri"/>
          <w:sz w:val="18"/>
          <w:szCs w:val="18"/>
        </w:rPr>
        <w:t>Esta</w:t>
      </w:r>
      <w:proofErr w:type="spellEnd"/>
      <w:r w:rsidRPr="000C4150">
        <w:rPr>
          <w:rFonts w:ascii="Calibri" w:hAnsi="Calibri"/>
          <w:sz w:val="18"/>
          <w:szCs w:val="18"/>
        </w:rPr>
        <w:t xml:space="preserve"> </w:t>
      </w:r>
      <w:proofErr w:type="spellStart"/>
      <w:r w:rsidRPr="000C4150">
        <w:rPr>
          <w:rFonts w:ascii="Calibri" w:hAnsi="Calibri"/>
          <w:sz w:val="18"/>
          <w:szCs w:val="18"/>
        </w:rPr>
        <w:t>información</w:t>
      </w:r>
      <w:proofErr w:type="spellEnd"/>
      <w:r w:rsidRPr="000C4150">
        <w:rPr>
          <w:rFonts w:ascii="Calibri" w:hAnsi="Calibri"/>
          <w:sz w:val="18"/>
          <w:szCs w:val="18"/>
        </w:rPr>
        <w:t xml:space="preserve"> </w:t>
      </w:r>
      <w:proofErr w:type="spellStart"/>
      <w:r w:rsidRPr="000C4150">
        <w:rPr>
          <w:rFonts w:ascii="Calibri" w:hAnsi="Calibri"/>
          <w:sz w:val="18"/>
          <w:szCs w:val="18"/>
        </w:rPr>
        <w:t>puede</w:t>
      </w:r>
      <w:proofErr w:type="spellEnd"/>
      <w:r w:rsidRPr="000C4150">
        <w:rPr>
          <w:rFonts w:ascii="Calibri" w:hAnsi="Calibri"/>
          <w:sz w:val="18"/>
          <w:szCs w:val="18"/>
        </w:rPr>
        <w:t xml:space="preserve"> </w:t>
      </w:r>
      <w:proofErr w:type="spellStart"/>
      <w:r w:rsidRPr="000C4150">
        <w:rPr>
          <w:rFonts w:ascii="Calibri" w:hAnsi="Calibri"/>
          <w:sz w:val="18"/>
          <w:szCs w:val="18"/>
        </w:rPr>
        <w:t>ser</w:t>
      </w:r>
      <w:proofErr w:type="spellEnd"/>
      <w:r w:rsidRPr="000C4150">
        <w:rPr>
          <w:rFonts w:ascii="Calibri" w:hAnsi="Calibri"/>
          <w:sz w:val="18"/>
          <w:szCs w:val="18"/>
        </w:rPr>
        <w:t xml:space="preserve"> </w:t>
      </w:r>
      <w:proofErr w:type="spellStart"/>
      <w:r w:rsidRPr="000C4150">
        <w:rPr>
          <w:rFonts w:ascii="Calibri" w:hAnsi="Calibri"/>
          <w:sz w:val="18"/>
          <w:szCs w:val="18"/>
        </w:rPr>
        <w:t>consultada</w:t>
      </w:r>
      <w:proofErr w:type="spellEnd"/>
      <w:r w:rsidRPr="000C4150">
        <w:rPr>
          <w:rFonts w:ascii="Calibri" w:hAnsi="Calibri"/>
          <w:sz w:val="18"/>
          <w:szCs w:val="18"/>
        </w:rPr>
        <w:t xml:space="preserve"> </w:t>
      </w:r>
      <w:proofErr w:type="spellStart"/>
      <w:r w:rsidRPr="000C4150">
        <w:rPr>
          <w:rFonts w:ascii="Calibri" w:hAnsi="Calibri"/>
          <w:sz w:val="18"/>
          <w:szCs w:val="18"/>
        </w:rPr>
        <w:t>en</w:t>
      </w:r>
      <w:proofErr w:type="spellEnd"/>
      <w:r w:rsidRPr="000C4150">
        <w:rPr>
          <w:rFonts w:ascii="Calibri" w:hAnsi="Calibri"/>
          <w:sz w:val="18"/>
          <w:szCs w:val="18"/>
        </w:rPr>
        <w:t xml:space="preserve"> el </w:t>
      </w:r>
      <w:proofErr w:type="spellStart"/>
      <w:r w:rsidRPr="000C4150">
        <w:rPr>
          <w:rFonts w:ascii="Calibri" w:hAnsi="Calibri"/>
          <w:sz w:val="18"/>
          <w:szCs w:val="18"/>
        </w:rPr>
        <w:t>informe</w:t>
      </w:r>
      <w:proofErr w:type="spellEnd"/>
      <w:r w:rsidRPr="000C4150">
        <w:rPr>
          <w:rFonts w:ascii="Calibri" w:hAnsi="Calibri"/>
          <w:sz w:val="18"/>
          <w:szCs w:val="18"/>
        </w:rPr>
        <w:t xml:space="preserve"> </w:t>
      </w:r>
      <w:proofErr w:type="spellStart"/>
      <w:r w:rsidRPr="000C4150">
        <w:rPr>
          <w:rFonts w:ascii="Calibri" w:hAnsi="Calibri"/>
          <w:sz w:val="18"/>
          <w:szCs w:val="18"/>
        </w:rPr>
        <w:t>estadístico</w:t>
      </w:r>
      <w:proofErr w:type="spellEnd"/>
      <w:r w:rsidRPr="000C4150">
        <w:rPr>
          <w:rFonts w:ascii="Calibri" w:hAnsi="Calibri"/>
          <w:sz w:val="18"/>
          <w:szCs w:val="18"/>
        </w:rPr>
        <w:t xml:space="preserve"> de la </w:t>
      </w:r>
      <w:proofErr w:type="spellStart"/>
      <w:r w:rsidRPr="000C4150">
        <w:rPr>
          <w:rFonts w:ascii="Calibri" w:hAnsi="Calibri"/>
          <w:sz w:val="18"/>
          <w:szCs w:val="18"/>
        </w:rPr>
        <w:t>Fiscalía</w:t>
      </w:r>
      <w:proofErr w:type="spellEnd"/>
      <w:r w:rsidRPr="000C4150">
        <w:rPr>
          <w:rFonts w:ascii="Calibri" w:hAnsi="Calibri"/>
          <w:sz w:val="18"/>
          <w:szCs w:val="18"/>
        </w:rPr>
        <w:t xml:space="preserve"> Especial para la </w:t>
      </w:r>
      <w:proofErr w:type="spellStart"/>
      <w:r w:rsidRPr="000C4150">
        <w:rPr>
          <w:rFonts w:ascii="Calibri" w:hAnsi="Calibri"/>
          <w:sz w:val="18"/>
          <w:szCs w:val="18"/>
        </w:rPr>
        <w:t>Atención</w:t>
      </w:r>
      <w:proofErr w:type="spellEnd"/>
      <w:r w:rsidRPr="000C4150">
        <w:rPr>
          <w:rFonts w:ascii="Calibri" w:hAnsi="Calibri"/>
          <w:sz w:val="18"/>
          <w:szCs w:val="18"/>
        </w:rPr>
        <w:t xml:space="preserve"> de </w:t>
      </w:r>
      <w:proofErr w:type="spellStart"/>
      <w:r w:rsidRPr="000C4150">
        <w:rPr>
          <w:rFonts w:ascii="Calibri" w:hAnsi="Calibri"/>
          <w:sz w:val="18"/>
          <w:szCs w:val="18"/>
        </w:rPr>
        <w:t>Delitos</w:t>
      </w:r>
      <w:proofErr w:type="spellEnd"/>
      <w:r w:rsidRPr="000C4150">
        <w:rPr>
          <w:rFonts w:ascii="Calibri" w:hAnsi="Calibri"/>
          <w:sz w:val="18"/>
          <w:szCs w:val="18"/>
        </w:rPr>
        <w:t xml:space="preserve"> </w:t>
      </w:r>
      <w:proofErr w:type="spellStart"/>
      <w:r w:rsidRPr="000C4150">
        <w:rPr>
          <w:rFonts w:ascii="Calibri" w:hAnsi="Calibri"/>
          <w:sz w:val="18"/>
          <w:szCs w:val="18"/>
        </w:rPr>
        <w:t>cometidos</w:t>
      </w:r>
      <w:proofErr w:type="spellEnd"/>
      <w:r w:rsidRPr="000C4150">
        <w:rPr>
          <w:rFonts w:ascii="Calibri" w:hAnsi="Calibri"/>
          <w:sz w:val="18"/>
          <w:szCs w:val="18"/>
        </w:rPr>
        <w:t xml:space="preserve"> contra la Libertad de </w:t>
      </w:r>
      <w:proofErr w:type="spellStart"/>
      <w:r w:rsidRPr="000C4150">
        <w:rPr>
          <w:rFonts w:ascii="Calibri" w:hAnsi="Calibri"/>
          <w:sz w:val="18"/>
          <w:szCs w:val="18"/>
        </w:rPr>
        <w:t>Expresión</w:t>
      </w:r>
      <w:proofErr w:type="spellEnd"/>
      <w:r w:rsidRPr="000C4150">
        <w:rPr>
          <w:rFonts w:ascii="Calibri" w:hAnsi="Calibri"/>
          <w:sz w:val="18"/>
          <w:szCs w:val="18"/>
        </w:rPr>
        <w:t xml:space="preserve"> de la </w:t>
      </w:r>
      <w:proofErr w:type="spellStart"/>
      <w:r w:rsidRPr="000C4150">
        <w:rPr>
          <w:rFonts w:ascii="Calibri" w:hAnsi="Calibri"/>
          <w:sz w:val="18"/>
          <w:szCs w:val="18"/>
        </w:rPr>
        <w:t>Fiscalía</w:t>
      </w:r>
      <w:proofErr w:type="spellEnd"/>
      <w:r w:rsidRPr="000C4150">
        <w:rPr>
          <w:rFonts w:ascii="Calibri" w:hAnsi="Calibri"/>
          <w:sz w:val="18"/>
          <w:szCs w:val="18"/>
        </w:rPr>
        <w:t xml:space="preserve"> General de la </w:t>
      </w:r>
      <w:proofErr w:type="spellStart"/>
      <w:r w:rsidRPr="000C4150">
        <w:rPr>
          <w:rFonts w:ascii="Calibri" w:hAnsi="Calibri"/>
          <w:sz w:val="18"/>
          <w:szCs w:val="18"/>
        </w:rPr>
        <w:t>República</w:t>
      </w:r>
      <w:proofErr w:type="spellEnd"/>
      <w:r w:rsidRPr="000C4150">
        <w:rPr>
          <w:rFonts w:ascii="Calibri" w:hAnsi="Calibri"/>
          <w:sz w:val="18"/>
          <w:szCs w:val="18"/>
        </w:rPr>
        <w:t xml:space="preserve">, </w:t>
      </w:r>
      <w:proofErr w:type="spellStart"/>
      <w:r w:rsidRPr="000C4150">
        <w:rPr>
          <w:rFonts w:ascii="Calibri" w:hAnsi="Calibri"/>
          <w:sz w:val="18"/>
          <w:szCs w:val="18"/>
        </w:rPr>
        <w:t>mismo</w:t>
      </w:r>
      <w:proofErr w:type="spellEnd"/>
      <w:r w:rsidRPr="000C4150">
        <w:rPr>
          <w:rFonts w:ascii="Calibri" w:hAnsi="Calibri"/>
          <w:sz w:val="18"/>
          <w:szCs w:val="18"/>
        </w:rPr>
        <w:t xml:space="preserve"> que </w:t>
      </w:r>
      <w:proofErr w:type="spellStart"/>
      <w:r w:rsidRPr="000C4150">
        <w:rPr>
          <w:rFonts w:ascii="Calibri" w:hAnsi="Calibri"/>
          <w:sz w:val="18"/>
          <w:szCs w:val="18"/>
        </w:rPr>
        <w:t>puede</w:t>
      </w:r>
      <w:proofErr w:type="spellEnd"/>
      <w:r w:rsidRPr="000C4150">
        <w:rPr>
          <w:rFonts w:ascii="Calibri" w:hAnsi="Calibri"/>
          <w:sz w:val="18"/>
          <w:szCs w:val="18"/>
        </w:rPr>
        <w:t xml:space="preserve"> </w:t>
      </w:r>
      <w:proofErr w:type="spellStart"/>
      <w:r w:rsidRPr="000C4150">
        <w:rPr>
          <w:rFonts w:ascii="Calibri" w:hAnsi="Calibri"/>
          <w:sz w:val="18"/>
          <w:szCs w:val="18"/>
        </w:rPr>
        <w:t>ser</w:t>
      </w:r>
      <w:proofErr w:type="spellEnd"/>
      <w:r w:rsidRPr="000C4150">
        <w:rPr>
          <w:rFonts w:ascii="Calibri" w:hAnsi="Calibri"/>
          <w:sz w:val="18"/>
          <w:szCs w:val="18"/>
        </w:rPr>
        <w:t xml:space="preserve"> </w:t>
      </w:r>
      <w:proofErr w:type="spellStart"/>
      <w:r w:rsidRPr="000C4150">
        <w:rPr>
          <w:rFonts w:ascii="Calibri" w:hAnsi="Calibri"/>
          <w:sz w:val="18"/>
          <w:szCs w:val="18"/>
        </w:rPr>
        <w:t>consultado</w:t>
      </w:r>
      <w:proofErr w:type="spellEnd"/>
      <w:r w:rsidRPr="000C4150">
        <w:rPr>
          <w:rFonts w:ascii="Calibri" w:hAnsi="Calibri"/>
          <w:sz w:val="18"/>
          <w:szCs w:val="18"/>
        </w:rPr>
        <w:t xml:space="preserve"> </w:t>
      </w:r>
      <w:proofErr w:type="spellStart"/>
      <w:r w:rsidRPr="000C4150">
        <w:rPr>
          <w:rFonts w:ascii="Calibri" w:hAnsi="Calibri"/>
          <w:sz w:val="18"/>
          <w:szCs w:val="18"/>
        </w:rPr>
        <w:t>en</w:t>
      </w:r>
      <w:proofErr w:type="spellEnd"/>
      <w:r w:rsidRPr="000C4150">
        <w:rPr>
          <w:rFonts w:ascii="Calibri" w:hAnsi="Calibri"/>
          <w:sz w:val="18"/>
          <w:szCs w:val="18"/>
        </w:rPr>
        <w:t xml:space="preserve"> la </w:t>
      </w:r>
      <w:proofErr w:type="spellStart"/>
      <w:r w:rsidRPr="000C4150">
        <w:rPr>
          <w:rFonts w:ascii="Calibri" w:hAnsi="Calibri"/>
          <w:sz w:val="18"/>
          <w:szCs w:val="18"/>
        </w:rPr>
        <w:t>siguiente</w:t>
      </w:r>
      <w:proofErr w:type="spellEnd"/>
      <w:r w:rsidRPr="000C4150">
        <w:rPr>
          <w:rFonts w:ascii="Calibri" w:hAnsi="Calibri"/>
          <w:sz w:val="18"/>
          <w:szCs w:val="18"/>
        </w:rPr>
        <w:t xml:space="preserve"> </w:t>
      </w:r>
      <w:proofErr w:type="spellStart"/>
      <w:r w:rsidRPr="000C4150">
        <w:rPr>
          <w:rFonts w:ascii="Calibri" w:hAnsi="Calibri"/>
          <w:sz w:val="18"/>
          <w:szCs w:val="18"/>
        </w:rPr>
        <w:t>dirección</w:t>
      </w:r>
      <w:proofErr w:type="spellEnd"/>
      <w:r w:rsidRPr="000C4150">
        <w:rPr>
          <w:rFonts w:ascii="Calibri" w:hAnsi="Calibri"/>
          <w:sz w:val="18"/>
          <w:szCs w:val="18"/>
        </w:rPr>
        <w:t xml:space="preserve"> electrónica:</w:t>
      </w:r>
      <w:hyperlink r:id="rId24">
        <w:r w:rsidRPr="000C4150">
          <w:rPr>
            <w:rFonts w:ascii="Calibri" w:hAnsi="Calibri"/>
            <w:sz w:val="18"/>
            <w:szCs w:val="18"/>
          </w:rPr>
          <w:t>https://www.gob.mx/cms/uploads/attachment/file/483768/ESTADISTICAS_Jul_2019.pdf</w:t>
        </w:r>
      </w:hyperlink>
      <w:hyperlink>
        <w:r w:rsidRPr="000C4150">
          <w:rPr>
            <w:rFonts w:ascii="Calibri" w:hAnsi="Calibri"/>
            <w:sz w:val="18"/>
            <w:szCs w:val="18"/>
          </w:rPr>
          <w:t xml:space="preserve"> </w:t>
        </w:r>
        <w:proofErr w:type="spellStart"/>
        <w:r w:rsidRPr="000C4150">
          <w:rPr>
            <w:rFonts w:ascii="Calibri" w:hAnsi="Calibri"/>
            <w:sz w:val="18"/>
            <w:szCs w:val="18"/>
          </w:rPr>
          <w:t>Dicha</w:t>
        </w:r>
        <w:proofErr w:type="spellEnd"/>
        <w:r w:rsidRPr="000C4150">
          <w:rPr>
            <w:rFonts w:ascii="Calibri" w:hAnsi="Calibri"/>
            <w:sz w:val="18"/>
            <w:szCs w:val="18"/>
          </w:rPr>
          <w:t xml:space="preserve"> </w:t>
        </w:r>
        <w:proofErr w:type="spellStart"/>
        <w:r w:rsidRPr="000C4150">
          <w:rPr>
            <w:rFonts w:ascii="Calibri" w:hAnsi="Calibri"/>
            <w:sz w:val="18"/>
            <w:szCs w:val="18"/>
          </w:rPr>
          <w:t>cifra</w:t>
        </w:r>
        <w:proofErr w:type="spellEnd"/>
        <w:r w:rsidRPr="000C4150">
          <w:rPr>
            <w:rFonts w:ascii="Calibri" w:hAnsi="Calibri"/>
            <w:sz w:val="18"/>
            <w:szCs w:val="18"/>
          </w:rPr>
          <w:t xml:space="preserve"> se </w:t>
        </w:r>
        <w:proofErr w:type="spellStart"/>
        <w:r w:rsidRPr="000C4150">
          <w:rPr>
            <w:rFonts w:ascii="Calibri" w:hAnsi="Calibri"/>
            <w:sz w:val="18"/>
            <w:szCs w:val="18"/>
          </w:rPr>
          <w:t>obtiene</w:t>
        </w:r>
        <w:proofErr w:type="spellEnd"/>
        <w:r w:rsidRPr="000C4150">
          <w:rPr>
            <w:rFonts w:ascii="Calibri" w:hAnsi="Calibri"/>
            <w:sz w:val="18"/>
            <w:szCs w:val="18"/>
          </w:rPr>
          <w:t xml:space="preserve"> </w:t>
        </w:r>
        <w:proofErr w:type="spellStart"/>
        <w:r w:rsidRPr="000C4150">
          <w:rPr>
            <w:rFonts w:ascii="Calibri" w:hAnsi="Calibri"/>
            <w:sz w:val="18"/>
            <w:szCs w:val="18"/>
          </w:rPr>
          <w:t>considerando</w:t>
        </w:r>
        <w:proofErr w:type="spellEnd"/>
        <w:r w:rsidRPr="000C4150">
          <w:rPr>
            <w:rFonts w:ascii="Calibri" w:hAnsi="Calibri"/>
            <w:sz w:val="18"/>
            <w:szCs w:val="18"/>
          </w:rPr>
          <w:t xml:space="preserve"> el </w:t>
        </w:r>
        <w:proofErr w:type="spellStart"/>
        <w:r w:rsidRPr="000C4150">
          <w:rPr>
            <w:rFonts w:ascii="Calibri" w:hAnsi="Calibri"/>
            <w:sz w:val="18"/>
            <w:szCs w:val="18"/>
          </w:rPr>
          <w:t>número</w:t>
        </w:r>
        <w:proofErr w:type="spellEnd"/>
        <w:r w:rsidRPr="000C4150">
          <w:rPr>
            <w:rFonts w:ascii="Calibri" w:hAnsi="Calibri"/>
            <w:sz w:val="18"/>
            <w:szCs w:val="18"/>
          </w:rPr>
          <w:t xml:space="preserve"> total de </w:t>
        </w:r>
        <w:proofErr w:type="spellStart"/>
        <w:r w:rsidRPr="000C4150">
          <w:rPr>
            <w:rFonts w:ascii="Calibri" w:hAnsi="Calibri"/>
            <w:sz w:val="18"/>
            <w:szCs w:val="18"/>
          </w:rPr>
          <w:t>sentencias</w:t>
        </w:r>
        <w:proofErr w:type="spellEnd"/>
        <w:r w:rsidRPr="000C4150">
          <w:rPr>
            <w:rFonts w:ascii="Calibri" w:hAnsi="Calibri"/>
            <w:sz w:val="18"/>
            <w:szCs w:val="18"/>
          </w:rPr>
          <w:t xml:space="preserve"> (14)(</w:t>
        </w:r>
        <w:proofErr w:type="spellStart"/>
        <w:r w:rsidRPr="000C4150">
          <w:rPr>
            <w:rFonts w:ascii="Calibri" w:hAnsi="Calibri"/>
            <w:sz w:val="18"/>
            <w:szCs w:val="18"/>
          </w:rPr>
          <w:t>ver</w:t>
        </w:r>
        <w:proofErr w:type="spellEnd"/>
        <w:r w:rsidRPr="000C4150">
          <w:rPr>
            <w:rFonts w:ascii="Calibri" w:hAnsi="Calibri"/>
            <w:sz w:val="18"/>
            <w:szCs w:val="18"/>
          </w:rPr>
          <w:t xml:space="preserve"> </w:t>
        </w:r>
        <w:proofErr w:type="spellStart"/>
        <w:r w:rsidRPr="000C4150">
          <w:rPr>
            <w:rFonts w:ascii="Calibri" w:hAnsi="Calibri"/>
            <w:sz w:val="18"/>
            <w:szCs w:val="18"/>
          </w:rPr>
          <w:t>página</w:t>
        </w:r>
        <w:proofErr w:type="spellEnd"/>
        <w:r w:rsidRPr="000C4150">
          <w:rPr>
            <w:rFonts w:ascii="Calibri" w:hAnsi="Calibri"/>
            <w:sz w:val="18"/>
            <w:szCs w:val="18"/>
          </w:rPr>
          <w:t xml:space="preserve"> 5) y </w:t>
        </w:r>
        <w:proofErr w:type="spellStart"/>
        <w:r w:rsidRPr="000C4150">
          <w:rPr>
            <w:rFonts w:ascii="Calibri" w:hAnsi="Calibri"/>
            <w:sz w:val="18"/>
            <w:szCs w:val="18"/>
          </w:rPr>
          <w:t>considerando</w:t>
        </w:r>
        <w:proofErr w:type="spellEnd"/>
        <w:r w:rsidRPr="000C4150">
          <w:rPr>
            <w:rFonts w:ascii="Calibri" w:hAnsi="Calibri"/>
            <w:sz w:val="18"/>
            <w:szCs w:val="18"/>
          </w:rPr>
          <w:t xml:space="preserve"> el </w:t>
        </w:r>
        <w:proofErr w:type="spellStart"/>
        <w:r w:rsidRPr="000C4150">
          <w:rPr>
            <w:rFonts w:ascii="Calibri" w:hAnsi="Calibri"/>
            <w:sz w:val="18"/>
            <w:szCs w:val="18"/>
          </w:rPr>
          <w:t>número</w:t>
        </w:r>
        <w:proofErr w:type="spellEnd"/>
        <w:r w:rsidRPr="000C4150">
          <w:rPr>
            <w:rFonts w:ascii="Calibri" w:hAnsi="Calibri"/>
            <w:sz w:val="18"/>
            <w:szCs w:val="18"/>
          </w:rPr>
          <w:t xml:space="preserve"> total de </w:t>
        </w:r>
        <w:proofErr w:type="spellStart"/>
        <w:r w:rsidRPr="000C4150">
          <w:rPr>
            <w:rFonts w:ascii="Calibri" w:hAnsi="Calibri"/>
            <w:sz w:val="18"/>
            <w:szCs w:val="18"/>
          </w:rPr>
          <w:t>investigaciones</w:t>
        </w:r>
        <w:proofErr w:type="spellEnd"/>
        <w:r w:rsidRPr="000C4150">
          <w:rPr>
            <w:rFonts w:ascii="Calibri" w:hAnsi="Calibri"/>
            <w:sz w:val="18"/>
            <w:szCs w:val="18"/>
          </w:rPr>
          <w:t xml:space="preserve"> </w:t>
        </w:r>
        <w:proofErr w:type="spellStart"/>
        <w:r w:rsidRPr="000C4150">
          <w:rPr>
            <w:rFonts w:ascii="Calibri" w:hAnsi="Calibri"/>
            <w:sz w:val="18"/>
            <w:szCs w:val="18"/>
          </w:rPr>
          <w:t>iniciadas</w:t>
        </w:r>
        <w:proofErr w:type="spellEnd"/>
        <w:r w:rsidRPr="000C4150">
          <w:rPr>
            <w:rFonts w:ascii="Calibri" w:hAnsi="Calibri"/>
            <w:sz w:val="18"/>
            <w:szCs w:val="18"/>
          </w:rPr>
          <w:t xml:space="preserve"> (1202) (</w:t>
        </w:r>
        <w:proofErr w:type="spellStart"/>
        <w:r w:rsidRPr="000C4150">
          <w:rPr>
            <w:rFonts w:ascii="Calibri" w:hAnsi="Calibri"/>
            <w:sz w:val="18"/>
            <w:szCs w:val="18"/>
          </w:rPr>
          <w:t>ver</w:t>
        </w:r>
        <w:proofErr w:type="spellEnd"/>
        <w:r w:rsidRPr="000C4150">
          <w:rPr>
            <w:rFonts w:ascii="Calibri" w:hAnsi="Calibri"/>
            <w:sz w:val="18"/>
            <w:szCs w:val="18"/>
          </w:rPr>
          <w:t xml:space="preserve"> </w:t>
        </w:r>
        <w:proofErr w:type="spellStart"/>
        <w:r w:rsidRPr="000C4150">
          <w:rPr>
            <w:rFonts w:ascii="Calibri" w:hAnsi="Calibri"/>
            <w:sz w:val="18"/>
            <w:szCs w:val="18"/>
          </w:rPr>
          <w:t>página</w:t>
        </w:r>
        <w:proofErr w:type="spellEnd"/>
        <w:r w:rsidRPr="000C4150">
          <w:rPr>
            <w:rFonts w:ascii="Calibri" w:hAnsi="Calibri"/>
            <w:sz w:val="18"/>
            <w:szCs w:val="18"/>
          </w:rPr>
          <w:t xml:space="preserve"> 7). </w:t>
        </w:r>
      </w:hyperlink>
    </w:p>
  </w:footnote>
  <w:footnote w:id="22">
    <w:p w14:paraId="56AA518B" w14:textId="77777777" w:rsidR="0074078C" w:rsidRPr="000C4150" w:rsidRDefault="0074078C" w:rsidP="00B32084">
      <w:pPr>
        <w:rPr>
          <w:rFonts w:ascii="Calibri" w:hAnsi="Calibri"/>
          <w:sz w:val="18"/>
          <w:szCs w:val="18"/>
        </w:rPr>
      </w:pPr>
      <w:r w:rsidRPr="000C4150">
        <w:rPr>
          <w:rFonts w:ascii="Calibri" w:hAnsi="Calibri"/>
          <w:sz w:val="18"/>
          <w:szCs w:val="18"/>
        </w:rPr>
        <w:footnoteRef/>
      </w:r>
      <w:r w:rsidRPr="000C4150">
        <w:rPr>
          <w:rFonts w:ascii="Calibri" w:hAnsi="Calibri"/>
          <w:sz w:val="18"/>
          <w:szCs w:val="18"/>
        </w:rPr>
        <w:tab/>
        <w:t xml:space="preserve">Para mayor </w:t>
      </w:r>
      <w:proofErr w:type="spellStart"/>
      <w:r w:rsidRPr="000C4150">
        <w:rPr>
          <w:rFonts w:ascii="Calibri" w:hAnsi="Calibri"/>
          <w:sz w:val="18"/>
          <w:szCs w:val="18"/>
        </w:rPr>
        <w:t>información</w:t>
      </w:r>
      <w:proofErr w:type="spellEnd"/>
      <w:r w:rsidRPr="000C4150">
        <w:rPr>
          <w:rFonts w:ascii="Calibri" w:hAnsi="Calibri"/>
          <w:sz w:val="18"/>
          <w:szCs w:val="18"/>
        </w:rPr>
        <w:t xml:space="preserve"> </w:t>
      </w:r>
      <w:proofErr w:type="spellStart"/>
      <w:r w:rsidRPr="000C4150">
        <w:rPr>
          <w:rFonts w:ascii="Calibri" w:hAnsi="Calibri"/>
          <w:sz w:val="18"/>
          <w:szCs w:val="18"/>
        </w:rPr>
        <w:t>puede</w:t>
      </w:r>
      <w:proofErr w:type="spellEnd"/>
      <w:r w:rsidRPr="000C4150">
        <w:rPr>
          <w:rFonts w:ascii="Calibri" w:hAnsi="Calibri"/>
          <w:sz w:val="18"/>
          <w:szCs w:val="18"/>
        </w:rPr>
        <w:t xml:space="preserve"> verse “</w:t>
      </w:r>
      <w:proofErr w:type="spellStart"/>
      <w:r w:rsidRPr="000C4150">
        <w:rPr>
          <w:rFonts w:ascii="Calibri" w:hAnsi="Calibri"/>
          <w:sz w:val="18"/>
          <w:szCs w:val="18"/>
        </w:rPr>
        <w:t>Protocolo</w:t>
      </w:r>
      <w:proofErr w:type="spellEnd"/>
      <w:r w:rsidRPr="000C4150">
        <w:rPr>
          <w:rFonts w:ascii="Calibri" w:hAnsi="Calibri"/>
          <w:sz w:val="18"/>
          <w:szCs w:val="18"/>
        </w:rPr>
        <w:t xml:space="preserve"> de la </w:t>
      </w:r>
      <w:proofErr w:type="spellStart"/>
      <w:r w:rsidRPr="000C4150">
        <w:rPr>
          <w:rFonts w:ascii="Calibri" w:hAnsi="Calibri"/>
          <w:sz w:val="18"/>
          <w:szCs w:val="18"/>
        </w:rPr>
        <w:t>impunidad</w:t>
      </w:r>
      <w:proofErr w:type="spellEnd"/>
      <w:r w:rsidRPr="000C4150">
        <w:rPr>
          <w:rFonts w:ascii="Calibri" w:hAnsi="Calibri"/>
          <w:sz w:val="18"/>
          <w:szCs w:val="18"/>
        </w:rPr>
        <w:t xml:space="preserve"> </w:t>
      </w:r>
      <w:proofErr w:type="spellStart"/>
      <w:r w:rsidRPr="000C4150">
        <w:rPr>
          <w:rFonts w:ascii="Calibri" w:hAnsi="Calibri"/>
          <w:sz w:val="18"/>
          <w:szCs w:val="18"/>
        </w:rPr>
        <w:t>en</w:t>
      </w:r>
      <w:proofErr w:type="spellEnd"/>
      <w:r w:rsidRPr="000C4150">
        <w:rPr>
          <w:rFonts w:ascii="Calibri" w:hAnsi="Calibri"/>
          <w:sz w:val="18"/>
          <w:szCs w:val="18"/>
        </w:rPr>
        <w:t xml:space="preserve"> </w:t>
      </w:r>
      <w:proofErr w:type="spellStart"/>
      <w:r w:rsidRPr="000C4150">
        <w:rPr>
          <w:rFonts w:ascii="Calibri" w:hAnsi="Calibri"/>
          <w:sz w:val="18"/>
          <w:szCs w:val="18"/>
        </w:rPr>
        <w:t>delitos</w:t>
      </w:r>
      <w:proofErr w:type="spellEnd"/>
      <w:r w:rsidRPr="000C4150">
        <w:rPr>
          <w:rFonts w:ascii="Calibri" w:hAnsi="Calibri"/>
          <w:sz w:val="18"/>
          <w:szCs w:val="18"/>
        </w:rPr>
        <w:t xml:space="preserve"> </w:t>
      </w:r>
      <w:proofErr w:type="spellStart"/>
      <w:r w:rsidRPr="000C4150">
        <w:rPr>
          <w:rFonts w:ascii="Calibri" w:hAnsi="Calibri"/>
          <w:sz w:val="18"/>
          <w:szCs w:val="18"/>
        </w:rPr>
        <w:t>cometidos</w:t>
      </w:r>
      <w:proofErr w:type="spellEnd"/>
      <w:r w:rsidRPr="000C4150">
        <w:rPr>
          <w:rFonts w:ascii="Calibri" w:hAnsi="Calibri"/>
          <w:sz w:val="18"/>
          <w:szCs w:val="18"/>
        </w:rPr>
        <w:t xml:space="preserve"> contra </w:t>
      </w:r>
      <w:proofErr w:type="spellStart"/>
      <w:r w:rsidRPr="000C4150">
        <w:rPr>
          <w:rFonts w:ascii="Calibri" w:hAnsi="Calibri"/>
          <w:sz w:val="18"/>
          <w:szCs w:val="18"/>
        </w:rPr>
        <w:t>periodistas</w:t>
      </w:r>
      <w:proofErr w:type="spellEnd"/>
      <w:r w:rsidRPr="000C4150">
        <w:rPr>
          <w:rFonts w:ascii="Calibri" w:hAnsi="Calibri"/>
          <w:sz w:val="18"/>
          <w:szCs w:val="18"/>
        </w:rPr>
        <w:t xml:space="preserve">” </w:t>
      </w:r>
      <w:proofErr w:type="spellStart"/>
      <w:r w:rsidRPr="000C4150">
        <w:rPr>
          <w:rFonts w:ascii="Calibri" w:hAnsi="Calibri"/>
          <w:sz w:val="18"/>
          <w:szCs w:val="18"/>
        </w:rPr>
        <w:t>informe</w:t>
      </w:r>
      <w:proofErr w:type="spellEnd"/>
      <w:r w:rsidRPr="000C4150">
        <w:rPr>
          <w:rFonts w:ascii="Calibri" w:hAnsi="Calibri"/>
          <w:sz w:val="18"/>
          <w:szCs w:val="18"/>
        </w:rPr>
        <w:t xml:space="preserve"> especial </w:t>
      </w:r>
      <w:proofErr w:type="spellStart"/>
      <w:r w:rsidRPr="000C4150">
        <w:rPr>
          <w:rFonts w:ascii="Calibri" w:hAnsi="Calibri"/>
          <w:sz w:val="18"/>
          <w:szCs w:val="18"/>
        </w:rPr>
        <w:t>elaborado</w:t>
      </w:r>
      <w:proofErr w:type="spellEnd"/>
      <w:r w:rsidRPr="000C4150">
        <w:rPr>
          <w:rFonts w:ascii="Calibri" w:hAnsi="Calibri"/>
          <w:sz w:val="18"/>
          <w:szCs w:val="18"/>
        </w:rPr>
        <w:t xml:space="preserve"> </w:t>
      </w:r>
      <w:proofErr w:type="spellStart"/>
      <w:r w:rsidRPr="000C4150">
        <w:rPr>
          <w:rFonts w:ascii="Calibri" w:hAnsi="Calibri"/>
          <w:sz w:val="18"/>
          <w:szCs w:val="18"/>
        </w:rPr>
        <w:t>por</w:t>
      </w:r>
      <w:proofErr w:type="spellEnd"/>
      <w:r w:rsidRPr="000C4150">
        <w:rPr>
          <w:rFonts w:ascii="Calibri" w:hAnsi="Calibri"/>
          <w:sz w:val="18"/>
          <w:szCs w:val="18"/>
        </w:rPr>
        <w:t xml:space="preserve"> ARTICLE 19, </w:t>
      </w:r>
      <w:proofErr w:type="spellStart"/>
      <w:r w:rsidRPr="000C4150">
        <w:rPr>
          <w:rFonts w:ascii="Calibri" w:hAnsi="Calibri"/>
          <w:sz w:val="18"/>
          <w:szCs w:val="18"/>
        </w:rPr>
        <w:t>disponible</w:t>
      </w:r>
      <w:proofErr w:type="spellEnd"/>
      <w:r w:rsidRPr="000C4150">
        <w:rPr>
          <w:rFonts w:ascii="Calibri" w:hAnsi="Calibri"/>
          <w:sz w:val="18"/>
          <w:szCs w:val="18"/>
        </w:rPr>
        <w:t xml:space="preserve"> </w:t>
      </w:r>
      <w:proofErr w:type="spellStart"/>
      <w:r w:rsidRPr="000C4150">
        <w:rPr>
          <w:rFonts w:ascii="Calibri" w:hAnsi="Calibri"/>
          <w:sz w:val="18"/>
          <w:szCs w:val="18"/>
        </w:rPr>
        <w:t>en</w:t>
      </w:r>
      <w:proofErr w:type="spellEnd"/>
      <w:r w:rsidRPr="000C4150">
        <w:rPr>
          <w:rFonts w:ascii="Calibri" w:hAnsi="Calibri"/>
          <w:sz w:val="18"/>
          <w:szCs w:val="18"/>
        </w:rPr>
        <w:t xml:space="preserve"> la </w:t>
      </w:r>
      <w:proofErr w:type="spellStart"/>
      <w:r w:rsidRPr="000C4150">
        <w:rPr>
          <w:rFonts w:ascii="Calibri" w:hAnsi="Calibri"/>
          <w:sz w:val="18"/>
          <w:szCs w:val="18"/>
        </w:rPr>
        <w:t>siguiente</w:t>
      </w:r>
      <w:proofErr w:type="spellEnd"/>
      <w:r w:rsidRPr="000C4150">
        <w:rPr>
          <w:rFonts w:ascii="Calibri" w:hAnsi="Calibri"/>
          <w:sz w:val="18"/>
          <w:szCs w:val="18"/>
        </w:rPr>
        <w:t xml:space="preserve"> </w:t>
      </w:r>
      <w:proofErr w:type="spellStart"/>
      <w:r w:rsidRPr="000C4150">
        <w:rPr>
          <w:rFonts w:ascii="Calibri" w:hAnsi="Calibri"/>
          <w:sz w:val="18"/>
          <w:szCs w:val="18"/>
        </w:rPr>
        <w:t>dirección</w:t>
      </w:r>
      <w:proofErr w:type="spellEnd"/>
      <w:r w:rsidRPr="000C4150">
        <w:rPr>
          <w:rFonts w:ascii="Calibri" w:hAnsi="Calibri"/>
          <w:sz w:val="18"/>
          <w:szCs w:val="18"/>
        </w:rPr>
        <w:t xml:space="preserve"> </w:t>
      </w:r>
      <w:proofErr w:type="spellStart"/>
      <w:r w:rsidRPr="000C4150">
        <w:rPr>
          <w:rFonts w:ascii="Calibri" w:hAnsi="Calibri"/>
          <w:sz w:val="18"/>
          <w:szCs w:val="18"/>
        </w:rPr>
        <w:t>electrónica</w:t>
      </w:r>
      <w:proofErr w:type="spellEnd"/>
      <w:r w:rsidRPr="000C4150">
        <w:rPr>
          <w:rFonts w:ascii="Calibri" w:hAnsi="Calibri"/>
          <w:sz w:val="18"/>
          <w:szCs w:val="18"/>
        </w:rPr>
        <w:t>: https://articulo19.org/informeimpunidad/</w:t>
      </w:r>
    </w:p>
  </w:footnote>
  <w:footnote w:id="23">
    <w:p w14:paraId="6039E350" w14:textId="77777777" w:rsidR="0074078C" w:rsidRPr="000C4150" w:rsidRDefault="0074078C" w:rsidP="00DD0D25">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w:t>
      </w:r>
      <w:r w:rsidRPr="000C4150">
        <w:rPr>
          <w:rFonts w:ascii="Calibri" w:eastAsia="Times New Roman" w:hAnsi="Calibri" w:cs="Times New Roman"/>
          <w:sz w:val="18"/>
          <w:szCs w:val="18"/>
          <w:lang w:val="es-ES"/>
        </w:rPr>
        <w:t>R3D Red en Defensa de los Derechos Digitales, "El Estado de la Vigilancia", disponible en: https://r3d.mx/wp-content/uploads/EDLV-2018-prelim.pdf (consulta: 08 de agosto de 2019).</w:t>
      </w:r>
    </w:p>
  </w:footnote>
  <w:footnote w:id="24">
    <w:p w14:paraId="27D25C97" w14:textId="77777777" w:rsidR="0074078C" w:rsidRPr="000C4150" w:rsidRDefault="0074078C" w:rsidP="00DD0D25">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w:t>
      </w:r>
      <w:r w:rsidRPr="000C4150">
        <w:rPr>
          <w:rFonts w:ascii="Calibri" w:eastAsia="Times New Roman" w:hAnsi="Calibri" w:cs="Times New Roman"/>
          <w:sz w:val="18"/>
          <w:szCs w:val="18"/>
          <w:lang w:val="es-ES"/>
        </w:rPr>
        <w:t xml:space="preserve">ARTICLE 19, "Ataques con </w:t>
      </w:r>
      <w:proofErr w:type="spellStart"/>
      <w:r w:rsidRPr="000C4150">
        <w:rPr>
          <w:rFonts w:ascii="Calibri" w:eastAsia="Times New Roman" w:hAnsi="Calibri" w:cs="Times New Roman"/>
          <w:sz w:val="18"/>
          <w:szCs w:val="18"/>
          <w:lang w:val="es-ES"/>
        </w:rPr>
        <w:t>Pegasus</w:t>
      </w:r>
      <w:proofErr w:type="spellEnd"/>
      <w:r w:rsidRPr="000C4150">
        <w:rPr>
          <w:rFonts w:ascii="Calibri" w:eastAsia="Times New Roman" w:hAnsi="Calibri" w:cs="Times New Roman"/>
          <w:sz w:val="18"/>
          <w:szCs w:val="18"/>
          <w:lang w:val="es-ES"/>
        </w:rPr>
        <w:t xml:space="preserve"> a Griselda Triana, periodista y pareja de Javier Valdez, no deben quedar impunes", Boletines, disponible en: https://articulo19.org/ataques-con-pegasus-a-griselda-triana-periodista-y-pareja-de-javier-valdez-no-deben-quedar-impunes/ (consulta: 08 de agosto de 2019).</w:t>
      </w:r>
    </w:p>
  </w:footnote>
  <w:footnote w:id="25">
    <w:p w14:paraId="4C36CF3E" w14:textId="77777777" w:rsidR="0074078C" w:rsidRPr="000C4150" w:rsidRDefault="0074078C" w:rsidP="00DD0D25">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w:t>
      </w:r>
      <w:r w:rsidRPr="000C4150">
        <w:rPr>
          <w:rFonts w:ascii="Calibri" w:eastAsia="Times New Roman" w:hAnsi="Calibri" w:cs="Times New Roman"/>
          <w:sz w:val="18"/>
          <w:szCs w:val="18"/>
          <w:lang w:val="es-ES"/>
        </w:rPr>
        <w:t>R3D Red en Defensa de los Derechos Digitales, “</w:t>
      </w:r>
      <w:r w:rsidRPr="000C4150">
        <w:rPr>
          <w:rFonts w:ascii="Calibri" w:hAnsi="Calibri" w:cs="Times New Roman"/>
          <w:sz w:val="18"/>
          <w:szCs w:val="18"/>
          <w:lang w:val="es-ES"/>
        </w:rPr>
        <w:t xml:space="preserve">A dos años de Gobierno Espía: una cronología de la impunidad”, Disponible en: </w:t>
      </w:r>
      <w:hyperlink r:id="rId25" w:history="1">
        <w:r w:rsidRPr="000C4150">
          <w:rPr>
            <w:rStyle w:val="Hyperlink"/>
            <w:rFonts w:ascii="Calibri" w:hAnsi="Calibri" w:cs="Times New Roman"/>
            <w:sz w:val="18"/>
            <w:szCs w:val="18"/>
            <w:lang w:val="es-ES"/>
          </w:rPr>
          <w:t>https://r3d.mx/2019/06/19/gobierno-espia-cronologia/</w:t>
        </w:r>
      </w:hyperlink>
      <w:r w:rsidRPr="000C4150">
        <w:rPr>
          <w:rFonts w:ascii="Calibri" w:hAnsi="Calibri"/>
          <w:sz w:val="18"/>
          <w:szCs w:val="18"/>
          <w:lang w:val="es-ES"/>
        </w:rPr>
        <w:t xml:space="preserve"> </w:t>
      </w:r>
      <w:r w:rsidRPr="000C4150">
        <w:rPr>
          <w:rFonts w:ascii="Calibri" w:hAnsi="Calibri" w:cs="Times New Roman"/>
          <w:sz w:val="18"/>
          <w:szCs w:val="18"/>
          <w:lang w:val="es-ES"/>
        </w:rPr>
        <w:t xml:space="preserve">Ver también: CIDH/RELE/OEA, “Informe conjunto del Relator Especial de las Naciones Unidas sobre la promoción y protección del derecho a la libertad de opinión y de expresión y el Relator Especial para la libertad de expresión de la CIDH sobre su misión a México”, </w:t>
      </w:r>
      <w:proofErr w:type="spellStart"/>
      <w:r w:rsidRPr="000C4150">
        <w:rPr>
          <w:rFonts w:ascii="Calibri" w:hAnsi="Calibri" w:cs="Times New Roman"/>
          <w:sz w:val="18"/>
          <w:szCs w:val="18"/>
          <w:lang w:val="es-ES"/>
        </w:rPr>
        <w:t>parr</w:t>
      </w:r>
      <w:proofErr w:type="spellEnd"/>
      <w:r w:rsidRPr="000C4150">
        <w:rPr>
          <w:rFonts w:ascii="Calibri" w:hAnsi="Calibri" w:cs="Times New Roman"/>
          <w:sz w:val="18"/>
          <w:szCs w:val="18"/>
          <w:lang w:val="es-ES"/>
        </w:rPr>
        <w:t>. 43, Disponible en: http://hchr.org.mx/images/doc_pub/20180618_CIDH-UN-FINAL-MX_reportSPA.pdf</w:t>
      </w:r>
    </w:p>
  </w:footnote>
  <w:footnote w:id="26">
    <w:p w14:paraId="6DB954D0" w14:textId="77777777" w:rsidR="0074078C" w:rsidRPr="000C4150" w:rsidRDefault="0074078C" w:rsidP="00DD0D25">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w:t>
      </w:r>
      <w:proofErr w:type="spellStart"/>
      <w:r w:rsidRPr="000C4150">
        <w:rPr>
          <w:rFonts w:ascii="Calibri" w:eastAsia="Times New Roman" w:hAnsi="Calibri" w:cs="Times New Roman"/>
          <w:i/>
          <w:sz w:val="18"/>
          <w:szCs w:val="18"/>
          <w:lang w:val="es-ES"/>
        </w:rPr>
        <w:t>Op.Cit</w:t>
      </w:r>
      <w:proofErr w:type="spellEnd"/>
      <w:r w:rsidRPr="000C4150">
        <w:rPr>
          <w:rFonts w:ascii="Calibri" w:eastAsia="Times New Roman" w:hAnsi="Calibri" w:cs="Times New Roman"/>
          <w:i/>
          <w:sz w:val="18"/>
          <w:szCs w:val="18"/>
          <w:lang w:val="es-ES"/>
        </w:rPr>
        <w:t xml:space="preserve">. </w:t>
      </w:r>
      <w:r w:rsidRPr="000C4150">
        <w:rPr>
          <w:rFonts w:ascii="Calibri" w:eastAsia="Times New Roman" w:hAnsi="Calibri" w:cs="Times New Roman"/>
          <w:sz w:val="18"/>
          <w:szCs w:val="18"/>
          <w:lang w:val="es-ES"/>
        </w:rPr>
        <w:t xml:space="preserve">ARTICLE 19, "Ataques con </w:t>
      </w:r>
      <w:proofErr w:type="spellStart"/>
      <w:r w:rsidRPr="000C4150">
        <w:rPr>
          <w:rFonts w:ascii="Calibri" w:eastAsia="Times New Roman" w:hAnsi="Calibri" w:cs="Times New Roman"/>
          <w:sz w:val="18"/>
          <w:szCs w:val="18"/>
          <w:lang w:val="es-ES"/>
        </w:rPr>
        <w:t>Pegasus</w:t>
      </w:r>
      <w:proofErr w:type="spellEnd"/>
      <w:r w:rsidRPr="000C4150">
        <w:rPr>
          <w:rFonts w:ascii="Calibri" w:eastAsia="Times New Roman" w:hAnsi="Calibri" w:cs="Times New Roman"/>
          <w:sz w:val="18"/>
          <w:szCs w:val="18"/>
          <w:lang w:val="es-ES"/>
        </w:rPr>
        <w:t xml:space="preserve"> a Griselda Triana, periodista y pareja de Javier Valdez, no deben quedar impunes" </w:t>
      </w:r>
    </w:p>
  </w:footnote>
  <w:footnote w:id="27">
    <w:p w14:paraId="79F7A0DA" w14:textId="77777777" w:rsidR="0074078C" w:rsidRPr="000C4150" w:rsidRDefault="0074078C" w:rsidP="00DD0D25">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w:t>
      </w:r>
      <w:r w:rsidRPr="000C4150">
        <w:rPr>
          <w:rFonts w:ascii="Calibri" w:eastAsia="Times New Roman" w:hAnsi="Calibri" w:cs="Times New Roman"/>
          <w:sz w:val="18"/>
          <w:szCs w:val="18"/>
          <w:lang w:val="es-ES"/>
        </w:rPr>
        <w:t>ARTICLE 19, "Ante el silencio, ni borrón ni cuenta nueva", Informe 2018, pp. 237-241, disponible en: https://articulo19.org/wp-content/uploads/2019/05/Ante-el-Silencio-Ni-Borron-Ni-Cuenta-Nueva_ABRv2.pdf (consulta: 08 de agosto de 2019).</w:t>
      </w:r>
    </w:p>
  </w:footnote>
  <w:footnote w:id="28">
    <w:p w14:paraId="091F4D18" w14:textId="77777777" w:rsidR="0074078C" w:rsidRPr="000C4150" w:rsidRDefault="0074078C" w:rsidP="00A95AE8">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Constitución Política de los Estados Unidos Mexicanos. Art. 6</w:t>
      </w:r>
      <w:r w:rsidRPr="000C4150">
        <w:rPr>
          <w:rFonts w:ascii="Calibri" w:hAnsi="Calibri"/>
          <w:sz w:val="18"/>
          <w:szCs w:val="18"/>
          <w:vertAlign w:val="superscript"/>
          <w:lang w:val="es-ES"/>
        </w:rPr>
        <w:t>o</w:t>
      </w:r>
      <w:r w:rsidRPr="000C4150">
        <w:rPr>
          <w:rFonts w:ascii="Calibri" w:hAnsi="Calibri"/>
          <w:sz w:val="18"/>
          <w:szCs w:val="18"/>
          <w:lang w:val="es-ES"/>
        </w:rPr>
        <w:t>, párrafo tercero, disponible en: http://www.diputados.gob.mx/LeyesBiblio/pdf/1_060619.pdf</w:t>
      </w:r>
    </w:p>
  </w:footnote>
  <w:footnote w:id="29">
    <w:p w14:paraId="10DD4C04" w14:textId="77777777" w:rsidR="0074078C" w:rsidRPr="000C4150" w:rsidRDefault="0074078C" w:rsidP="00A95AE8">
      <w:pPr>
        <w:pStyle w:val="FootnoteText"/>
        <w:jc w:val="both"/>
        <w:rPr>
          <w:rFonts w:ascii="Calibri" w:hAnsi="Calibri" w:cs="Arial"/>
          <w:i/>
          <w:iCs/>
          <w:sz w:val="18"/>
          <w:szCs w:val="18"/>
          <w:lang w:val="es-ES"/>
        </w:rPr>
      </w:pPr>
      <w:r w:rsidRPr="000C4150">
        <w:rPr>
          <w:rStyle w:val="FootnoteReference"/>
          <w:rFonts w:ascii="Calibri" w:hAnsi="Calibri"/>
          <w:sz w:val="18"/>
          <w:szCs w:val="18"/>
        </w:rPr>
        <w:footnoteRef/>
      </w:r>
      <w:r w:rsidRPr="000C4150">
        <w:rPr>
          <w:rStyle w:val="FootnoteReference"/>
          <w:rFonts w:ascii="Calibri" w:hAnsi="Calibri"/>
          <w:sz w:val="18"/>
          <w:szCs w:val="18"/>
          <w:lang w:val="es-ES"/>
        </w:rPr>
        <w:t xml:space="preserve"> </w:t>
      </w:r>
      <w:r w:rsidRPr="000C4150">
        <w:rPr>
          <w:rFonts w:ascii="Calibri" w:hAnsi="Calibri"/>
          <w:sz w:val="18"/>
          <w:szCs w:val="18"/>
          <w:lang w:val="es-ES"/>
        </w:rPr>
        <w:t xml:space="preserve">Comisión Económica para América Latina y el Caribe, segunda reunión de la </w:t>
      </w:r>
      <w:r w:rsidRPr="000C4150">
        <w:rPr>
          <w:rFonts w:ascii="Calibri" w:hAnsi="Calibri"/>
          <w:i/>
          <w:iCs/>
          <w:sz w:val="18"/>
          <w:szCs w:val="18"/>
          <w:lang w:val="es-ES"/>
        </w:rPr>
        <w:t xml:space="preserve">Conferencia Regional sobre Desarrollo Social de América Latina y el Caribe. </w:t>
      </w:r>
      <w:r w:rsidRPr="000C4150">
        <w:rPr>
          <w:rFonts w:ascii="Calibri" w:hAnsi="Calibri" w:cs="Arial"/>
          <w:i/>
          <w:iCs/>
          <w:sz w:val="18"/>
          <w:szCs w:val="18"/>
          <w:lang w:val="es-ES"/>
        </w:rPr>
        <w:t>Documento disponible en:</w:t>
      </w:r>
    </w:p>
    <w:p w14:paraId="14B9F512" w14:textId="77777777" w:rsidR="0074078C" w:rsidRPr="000C4150" w:rsidRDefault="0042324A" w:rsidP="00A95AE8">
      <w:pPr>
        <w:pStyle w:val="FootnoteText"/>
        <w:jc w:val="both"/>
        <w:rPr>
          <w:rFonts w:ascii="Calibri" w:hAnsi="Calibri"/>
          <w:sz w:val="18"/>
          <w:szCs w:val="18"/>
          <w:lang w:val="es-ES"/>
        </w:rPr>
      </w:pPr>
      <w:hyperlink r:id="rId26" w:history="1">
        <w:r w:rsidR="0074078C" w:rsidRPr="000C4150">
          <w:rPr>
            <w:rStyle w:val="Hyperlink"/>
            <w:rFonts w:ascii="Calibri" w:eastAsia="DejaVu Sans" w:hAnsi="Calibri" w:cs="DejaVu Sans"/>
            <w:i/>
            <w:iCs/>
            <w:sz w:val="18"/>
            <w:szCs w:val="18"/>
            <w:lang w:val="es-ES" w:bidi="en-US"/>
          </w:rPr>
          <w:t>https://repositorio.cepal.org/bitstream/handle/11362/42209/1/S1700769_es.pdf</w:t>
        </w:r>
      </w:hyperlink>
    </w:p>
  </w:footnote>
  <w:footnote w:id="30">
    <w:p w14:paraId="3CFB6F2F" w14:textId="77777777" w:rsidR="0074078C" w:rsidRPr="000C4150" w:rsidRDefault="0074078C" w:rsidP="00A95AE8">
      <w:pPr>
        <w:pStyle w:val="FootnoteText"/>
        <w:jc w:val="both"/>
        <w:rPr>
          <w:rFonts w:ascii="Calibri" w:hAnsi="Calibri"/>
          <w:sz w:val="18"/>
          <w:szCs w:val="18"/>
          <w:lang w:val="es-ES"/>
        </w:rPr>
      </w:pPr>
      <w:r w:rsidRPr="000C4150">
        <w:rPr>
          <w:rStyle w:val="FootnoteReference"/>
          <w:rFonts w:ascii="Calibri" w:hAnsi="Calibri"/>
          <w:sz w:val="18"/>
          <w:szCs w:val="18"/>
        </w:rPr>
        <w:footnoteRef/>
      </w:r>
      <w:r w:rsidRPr="000C4150">
        <w:rPr>
          <w:rStyle w:val="Caracteresdenotaalpie"/>
          <w:rFonts w:ascii="Calibri" w:hAnsi="Calibri"/>
          <w:sz w:val="18"/>
          <w:szCs w:val="18"/>
          <w:lang w:val="es-ES"/>
        </w:rPr>
        <w:t xml:space="preserve"> </w:t>
      </w:r>
      <w:r w:rsidRPr="000C4150">
        <w:rPr>
          <w:rFonts w:ascii="Calibri" w:hAnsi="Calibri"/>
          <w:sz w:val="18"/>
          <w:szCs w:val="18"/>
          <w:lang w:val="es-ES"/>
        </w:rPr>
        <w:t xml:space="preserve">CEPAL, </w:t>
      </w:r>
      <w:r w:rsidRPr="000C4150">
        <w:rPr>
          <w:rFonts w:ascii="Calibri" w:hAnsi="Calibri"/>
          <w:i/>
          <w:iCs/>
          <w:sz w:val="18"/>
          <w:szCs w:val="18"/>
          <w:lang w:val="es-ES"/>
        </w:rPr>
        <w:t xml:space="preserve">Brechas, ejes y desafíos en el vínculo entre lo social y lo productivo, </w:t>
      </w:r>
      <w:r w:rsidRPr="000C4150">
        <w:rPr>
          <w:rFonts w:ascii="Calibri" w:hAnsi="Calibri"/>
          <w:sz w:val="18"/>
          <w:szCs w:val="18"/>
          <w:lang w:val="es-ES"/>
        </w:rPr>
        <w:t>Segunda Reunión de la Conferencia Regional sobre Desarrollo Social de América Latina y el Caribe, Montevideo, 25 a 27 de octubre de 2017, p. 28.</w:t>
      </w:r>
    </w:p>
  </w:footnote>
  <w:footnote w:id="31">
    <w:p w14:paraId="14E52808" w14:textId="77777777" w:rsidR="0074078C" w:rsidRPr="000C4150" w:rsidRDefault="0074078C" w:rsidP="00A95AE8">
      <w:pPr>
        <w:pStyle w:val="FootnoteText"/>
        <w:jc w:val="both"/>
        <w:rPr>
          <w:rFonts w:ascii="Calibri" w:hAnsi="Calibri"/>
          <w:sz w:val="18"/>
          <w:szCs w:val="18"/>
          <w:lang w:val="es-ES"/>
        </w:rPr>
      </w:pPr>
      <w:r w:rsidRPr="000C4150">
        <w:rPr>
          <w:rStyle w:val="FootnoteReference"/>
          <w:rFonts w:ascii="Calibri" w:hAnsi="Calibri"/>
          <w:sz w:val="18"/>
          <w:szCs w:val="18"/>
        </w:rPr>
        <w:footnoteRef/>
      </w:r>
      <w:r w:rsidRPr="000C4150">
        <w:rPr>
          <w:rStyle w:val="Caracteresdenotaalpie"/>
          <w:rFonts w:ascii="Calibri" w:hAnsi="Calibri" w:cs="Arial"/>
          <w:sz w:val="18"/>
          <w:szCs w:val="18"/>
          <w:lang w:val="es-ES"/>
        </w:rPr>
        <w:t xml:space="preserve"> </w:t>
      </w:r>
      <w:r w:rsidRPr="000C4150">
        <w:rPr>
          <w:rFonts w:ascii="Calibri" w:hAnsi="Calibri" w:cs="Arial"/>
          <w:sz w:val="18"/>
          <w:szCs w:val="18"/>
          <w:lang w:val="es-ES"/>
        </w:rPr>
        <w:t xml:space="preserve">Para más detalles sobre el proyecto consultar el primer informe de trabajo: Article19 Oficina México y Centroamérica, “Informe “Transparencia Proactiva. Mujeres en comunidades de Chiapas y el acceso a la información”, Octubre 2018. </w:t>
      </w:r>
      <w:hyperlink r:id="rId27">
        <w:bookmarkStart w:id="1" w:name="__DdeLink__5464_244780136721"/>
        <w:r w:rsidRPr="000C4150">
          <w:rPr>
            <w:rStyle w:val="EnlacedeInternet"/>
            <w:rFonts w:ascii="Calibri" w:hAnsi="Calibri" w:cs="Arial"/>
            <w:sz w:val="18"/>
            <w:szCs w:val="18"/>
            <w:lang w:val="es-ES"/>
          </w:rPr>
          <w:t>https://articulo19.org/wp-content/uploads/2017/07/TRANSPARENCIA-PROACTIVA.pdf</w:t>
        </w:r>
      </w:hyperlink>
      <w:bookmarkEnd w:id="1"/>
    </w:p>
  </w:footnote>
  <w:footnote w:id="32">
    <w:p w14:paraId="363D7919" w14:textId="77777777" w:rsidR="0074078C" w:rsidRPr="000C4150" w:rsidRDefault="0074078C" w:rsidP="00A95AE8">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R3D, “El estirón de México Conectado”, Marzo 12, 2017 Disponible en: https://r3d.mx/2017/03/12/el-estiron-de-mexico-conectado-cuanto-crecio-realmente-el-numero-de-usuarios-de-internet-en-2015/</w:t>
      </w:r>
    </w:p>
  </w:footnote>
  <w:footnote w:id="33">
    <w:p w14:paraId="6F5B84C7" w14:textId="77777777" w:rsidR="0074078C" w:rsidRPr="000C4150" w:rsidRDefault="0074078C" w:rsidP="00A95AE8">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ARTICLE19. Ante el silencio, ni borrón ni cuenta nueva. México 2018, p.24  Disponible en: https://articulo19.org/wp-content/uploads/2019/05/Ante-el-Silencio-Ni-Borron-Ni-Cuenta-Nueva_ABRv2.pdf</w:t>
      </w:r>
    </w:p>
  </w:footnote>
  <w:footnote w:id="34">
    <w:p w14:paraId="2501B830" w14:textId="77777777" w:rsidR="0074078C" w:rsidRPr="000C4150" w:rsidRDefault="0074078C" w:rsidP="00A95AE8">
      <w:pPr>
        <w:pStyle w:val="FootnoteText"/>
        <w:jc w:val="both"/>
        <w:rPr>
          <w:rFonts w:ascii="Calibri" w:hAnsi="Calibri"/>
          <w:sz w:val="18"/>
          <w:szCs w:val="18"/>
          <w:lang w:val="es-ES"/>
        </w:rPr>
      </w:pPr>
      <w:r w:rsidRPr="000C4150">
        <w:rPr>
          <w:rStyle w:val="FootnoteReference"/>
          <w:rFonts w:ascii="Calibri" w:hAnsi="Calibri"/>
          <w:sz w:val="18"/>
          <w:szCs w:val="18"/>
        </w:rPr>
        <w:footnoteRef/>
      </w:r>
      <w:r w:rsidRPr="000C4150">
        <w:rPr>
          <w:rFonts w:ascii="Calibri" w:hAnsi="Calibri"/>
          <w:sz w:val="18"/>
          <w:szCs w:val="18"/>
          <w:lang w:val="es-ES"/>
        </w:rPr>
        <w:t xml:space="preserve"> De Sola, </w:t>
      </w:r>
      <w:proofErr w:type="spellStart"/>
      <w:r w:rsidRPr="000C4150">
        <w:rPr>
          <w:rFonts w:ascii="Calibri" w:hAnsi="Calibri"/>
          <w:sz w:val="18"/>
          <w:szCs w:val="18"/>
          <w:lang w:val="es-ES"/>
        </w:rPr>
        <w:t>Ithiel</w:t>
      </w:r>
      <w:proofErr w:type="spellEnd"/>
      <w:r w:rsidRPr="000C4150">
        <w:rPr>
          <w:rFonts w:ascii="Calibri" w:hAnsi="Calibri"/>
          <w:sz w:val="18"/>
          <w:szCs w:val="18"/>
          <w:lang w:val="es-ES"/>
        </w:rPr>
        <w:t xml:space="preserve">, </w:t>
      </w:r>
      <w:r w:rsidRPr="000C4150">
        <w:rPr>
          <w:rFonts w:ascii="Calibri" w:hAnsi="Calibri"/>
          <w:i/>
          <w:iCs/>
          <w:sz w:val="18"/>
          <w:szCs w:val="18"/>
          <w:lang w:val="es-ES"/>
        </w:rPr>
        <w:t xml:space="preserve">Tecnología sin fronteras, </w:t>
      </w:r>
      <w:r w:rsidRPr="000C4150">
        <w:rPr>
          <w:rFonts w:ascii="Calibri" w:hAnsi="Calibri"/>
          <w:sz w:val="18"/>
          <w:szCs w:val="18"/>
          <w:lang w:val="es-ES"/>
        </w:rPr>
        <w:t xml:space="preserve">México, 1993, Fondo de Cultura Económica. Cita por Anwar </w:t>
      </w:r>
      <w:proofErr w:type="spellStart"/>
      <w:r w:rsidRPr="000C4150">
        <w:rPr>
          <w:rFonts w:ascii="Calibri" w:hAnsi="Calibri"/>
          <w:sz w:val="18"/>
          <w:szCs w:val="18"/>
          <w:lang w:val="es-ES"/>
        </w:rPr>
        <w:t>Gamliel</w:t>
      </w:r>
      <w:proofErr w:type="spellEnd"/>
      <w:r w:rsidRPr="000C4150">
        <w:rPr>
          <w:rFonts w:ascii="Calibri" w:hAnsi="Calibri"/>
          <w:sz w:val="18"/>
          <w:szCs w:val="18"/>
          <w:lang w:val="es-ES"/>
        </w:rPr>
        <w:t xml:space="preserve"> Suárez Uribe, “Brecha Digital y Políticas Públicas” por el Instituto Tecnológico y de Estudios Superior de Monterrey, Escuela de Graduados en Administración Pública y Política Pública, Campus Ciudad de México, P. 23.</w:t>
      </w:r>
    </w:p>
  </w:footnote>
  <w:footnote w:id="35">
    <w:p w14:paraId="4E03C082" w14:textId="77777777" w:rsidR="0074078C" w:rsidRPr="000C4150" w:rsidRDefault="0074078C" w:rsidP="00A95AE8">
      <w:pPr>
        <w:pStyle w:val="FootnoteText"/>
        <w:rPr>
          <w:rFonts w:ascii="Calibri" w:hAnsi="Calibri"/>
          <w:sz w:val="18"/>
          <w:szCs w:val="18"/>
          <w:lang w:val="es-ES"/>
        </w:rPr>
      </w:pPr>
      <w:r w:rsidRPr="000C4150">
        <w:rPr>
          <w:rStyle w:val="FootnoteReference"/>
          <w:rFonts w:ascii="Calibri" w:hAnsi="Calibri"/>
          <w:sz w:val="18"/>
          <w:szCs w:val="18"/>
        </w:rPr>
        <w:footnoteRef/>
      </w:r>
      <w:r w:rsidRPr="000C4150">
        <w:rPr>
          <w:rStyle w:val="Caracteresdenotaalpie"/>
          <w:rFonts w:ascii="Calibri" w:hAnsi="Calibri"/>
          <w:sz w:val="18"/>
          <w:szCs w:val="18"/>
        </w:rPr>
        <w:t xml:space="preserve"> </w:t>
      </w:r>
      <w:r w:rsidRPr="000C4150">
        <w:rPr>
          <w:rFonts w:ascii="Calibri" w:hAnsi="Calibri"/>
          <w:sz w:val="18"/>
          <w:szCs w:val="18"/>
        </w:rPr>
        <w:t xml:space="preserve">International Federation of Library Associations and Institutions, </w:t>
      </w:r>
      <w:r w:rsidRPr="000C4150">
        <w:rPr>
          <w:rFonts w:ascii="Calibri" w:hAnsi="Calibri"/>
          <w:i/>
          <w:iCs/>
          <w:sz w:val="18"/>
          <w:szCs w:val="18"/>
        </w:rPr>
        <w:t>“</w:t>
      </w:r>
      <w:proofErr w:type="spellStart"/>
      <w:r w:rsidRPr="000C4150">
        <w:rPr>
          <w:rFonts w:ascii="Calibri" w:hAnsi="Calibri"/>
          <w:i/>
          <w:iCs/>
          <w:sz w:val="18"/>
          <w:szCs w:val="18"/>
        </w:rPr>
        <w:t>Acceso</w:t>
      </w:r>
      <w:proofErr w:type="spellEnd"/>
      <w:r w:rsidRPr="000C4150">
        <w:rPr>
          <w:rFonts w:ascii="Calibri" w:hAnsi="Calibri"/>
          <w:i/>
          <w:iCs/>
          <w:sz w:val="18"/>
          <w:szCs w:val="18"/>
        </w:rPr>
        <w:t xml:space="preserve"> y </w:t>
      </w:r>
      <w:proofErr w:type="spellStart"/>
      <w:r w:rsidRPr="000C4150">
        <w:rPr>
          <w:rFonts w:ascii="Calibri" w:hAnsi="Calibri"/>
          <w:i/>
          <w:iCs/>
          <w:sz w:val="18"/>
          <w:szCs w:val="18"/>
        </w:rPr>
        <w:t>Oportunidades</w:t>
      </w:r>
      <w:proofErr w:type="spellEnd"/>
      <w:r w:rsidRPr="000C4150">
        <w:rPr>
          <w:rFonts w:ascii="Calibri" w:hAnsi="Calibri"/>
          <w:i/>
          <w:iCs/>
          <w:sz w:val="18"/>
          <w:szCs w:val="18"/>
        </w:rPr>
        <w:t xml:space="preserve"> Para </w:t>
      </w:r>
      <w:proofErr w:type="spellStart"/>
      <w:r w:rsidRPr="000C4150">
        <w:rPr>
          <w:rFonts w:ascii="Calibri" w:hAnsi="Calibri"/>
          <w:i/>
          <w:iCs/>
          <w:sz w:val="18"/>
          <w:szCs w:val="18"/>
        </w:rPr>
        <w:t>Todos</w:t>
      </w:r>
      <w:proofErr w:type="spellEnd"/>
      <w:r w:rsidRPr="000C4150">
        <w:rPr>
          <w:rFonts w:ascii="Calibri" w:hAnsi="Calibri"/>
          <w:i/>
          <w:iCs/>
          <w:sz w:val="18"/>
          <w:szCs w:val="18"/>
        </w:rPr>
        <w:t xml:space="preserve">. </w:t>
      </w:r>
      <w:r w:rsidRPr="000C4150">
        <w:rPr>
          <w:rFonts w:ascii="Calibri" w:hAnsi="Calibri"/>
          <w:i/>
          <w:iCs/>
          <w:sz w:val="18"/>
          <w:szCs w:val="18"/>
          <w:lang w:val="es-ES"/>
        </w:rPr>
        <w:t xml:space="preserve">Cómo contribuyen las bibliotecas a la Agenda 2030 de las Naciones Unidas”. </w:t>
      </w:r>
      <w:r w:rsidRPr="000C4150">
        <w:rPr>
          <w:rFonts w:ascii="Calibri" w:hAnsi="Calibri"/>
          <w:sz w:val="18"/>
          <w:szCs w:val="18"/>
          <w:lang w:val="es-ES"/>
        </w:rPr>
        <w:t xml:space="preserve">Disponible en: </w:t>
      </w:r>
      <w:hyperlink r:id="rId28">
        <w:r w:rsidRPr="000C4150">
          <w:rPr>
            <w:rStyle w:val="EnlacedeInternet"/>
            <w:rFonts w:ascii="Calibri" w:hAnsi="Calibri"/>
            <w:sz w:val="18"/>
            <w:szCs w:val="18"/>
            <w:lang w:val="es-ES"/>
          </w:rPr>
          <w:t xml:space="preserve">https://www.ifla.org/files/assets/hq/topics/libraries-development/documents/access-and-opportunity-for-all-es.pdf </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1026"/>
    <w:multiLevelType w:val="multilevel"/>
    <w:tmpl w:val="5C76B246"/>
    <w:lvl w:ilvl="0">
      <w:start w:val="5"/>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15:restartNumberingAfterBreak="0">
    <w:nsid w:val="05077EAE"/>
    <w:multiLevelType w:val="multilevel"/>
    <w:tmpl w:val="6082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2B90"/>
    <w:multiLevelType w:val="hybridMultilevel"/>
    <w:tmpl w:val="29340826"/>
    <w:lvl w:ilvl="0" w:tplc="976C7C82">
      <w:numFmt w:val="bullet"/>
      <w:lvlText w:val=""/>
      <w:lvlJc w:val="left"/>
      <w:pPr>
        <w:ind w:left="720" w:hanging="360"/>
      </w:pPr>
      <w:rPr>
        <w:rFonts w:ascii="Symbol" w:eastAsia="Noto Sans CJK SC Regular" w:hAnsi="Symbol" w:cs="Noto Sans Devanaga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8350321"/>
    <w:multiLevelType w:val="hybridMultilevel"/>
    <w:tmpl w:val="8C12290A"/>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8682015"/>
    <w:multiLevelType w:val="hybridMultilevel"/>
    <w:tmpl w:val="2C38CE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C3C7D05"/>
    <w:multiLevelType w:val="hybridMultilevel"/>
    <w:tmpl w:val="E63E57DC"/>
    <w:lvl w:ilvl="0" w:tplc="040A000F">
      <w:start w:val="1"/>
      <w:numFmt w:val="decimal"/>
      <w:lvlText w:val="%1."/>
      <w:lvlJc w:val="left"/>
      <w:pPr>
        <w:ind w:left="720" w:hanging="360"/>
      </w:pPr>
      <w:rPr>
        <w:rFonts w:hint="default"/>
      </w:r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0EF92C3C"/>
    <w:multiLevelType w:val="multilevel"/>
    <w:tmpl w:val="4ED6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C5566"/>
    <w:multiLevelType w:val="hybridMultilevel"/>
    <w:tmpl w:val="2E409C8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09A5E27"/>
    <w:multiLevelType w:val="multilevel"/>
    <w:tmpl w:val="A662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91D56"/>
    <w:multiLevelType w:val="hybridMultilevel"/>
    <w:tmpl w:val="32FE8BCE"/>
    <w:lvl w:ilvl="0" w:tplc="F956139E">
      <w:start w:val="1"/>
      <w:numFmt w:val="decimal"/>
      <w:lvlText w:val="%1."/>
      <w:lvlJc w:val="left"/>
      <w:pPr>
        <w:ind w:left="720" w:hanging="360"/>
      </w:pPr>
      <w:rPr>
        <w:rFonts w:ascii="Calibri" w:eastAsiaTheme="minorHAnsi" w:hAnsi="Calibri" w:cstheme="minorBidi"/>
      </w:r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3693D1B"/>
    <w:multiLevelType w:val="multilevel"/>
    <w:tmpl w:val="EB92DA26"/>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1" w15:restartNumberingAfterBreak="0">
    <w:nsid w:val="243D6271"/>
    <w:multiLevelType w:val="multilevel"/>
    <w:tmpl w:val="A13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23E67"/>
    <w:multiLevelType w:val="multilevel"/>
    <w:tmpl w:val="560C8CC6"/>
    <w:lvl w:ilvl="0">
      <w:start w:val="4"/>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3" w15:restartNumberingAfterBreak="0">
    <w:nsid w:val="31A53CBF"/>
    <w:multiLevelType w:val="hybridMultilevel"/>
    <w:tmpl w:val="5008D6E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9D02157"/>
    <w:multiLevelType w:val="hybridMultilevel"/>
    <w:tmpl w:val="FA702EB4"/>
    <w:lvl w:ilvl="0" w:tplc="286C2B0C">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5" w15:restartNumberingAfterBreak="0">
    <w:nsid w:val="3B2D7870"/>
    <w:multiLevelType w:val="hybridMultilevel"/>
    <w:tmpl w:val="52D08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24A91"/>
    <w:multiLevelType w:val="hybridMultilevel"/>
    <w:tmpl w:val="BF5228C8"/>
    <w:lvl w:ilvl="0" w:tplc="976C7C82">
      <w:numFmt w:val="bullet"/>
      <w:lvlText w:val=""/>
      <w:lvlJc w:val="left"/>
      <w:pPr>
        <w:ind w:left="720" w:hanging="360"/>
      </w:pPr>
      <w:rPr>
        <w:rFonts w:ascii="Symbol" w:eastAsia="Noto Sans CJK SC Regular" w:hAnsi="Symbol" w:cs="Noto Sans Devanaga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42B3128D"/>
    <w:multiLevelType w:val="multilevel"/>
    <w:tmpl w:val="9C9EF94C"/>
    <w:lvl w:ilvl="0">
      <w:start w:val="1"/>
      <w:numFmt w:val="lowerRoman"/>
      <w:lvlText w:val="%1."/>
      <w:lvlJc w:val="left"/>
      <w:pPr>
        <w:tabs>
          <w:tab w:val="num" w:pos="707"/>
        </w:tabs>
        <w:ind w:left="707" w:hanging="283"/>
      </w:pPr>
    </w:lvl>
    <w:lvl w:ilvl="1">
      <w:start w:val="1"/>
      <w:numFmt w:val="lowerRoman"/>
      <w:lvlText w:val="%2."/>
      <w:lvlJc w:val="left"/>
      <w:pPr>
        <w:tabs>
          <w:tab w:val="num" w:pos="1414"/>
        </w:tabs>
        <w:ind w:left="1414" w:hanging="283"/>
      </w:pPr>
    </w:lvl>
    <w:lvl w:ilvl="2">
      <w:start w:val="1"/>
      <w:numFmt w:val="lowerRoman"/>
      <w:lvlText w:val="%3."/>
      <w:lvlJc w:val="left"/>
      <w:pPr>
        <w:tabs>
          <w:tab w:val="num" w:pos="2121"/>
        </w:tabs>
        <w:ind w:left="2121" w:hanging="283"/>
      </w:pPr>
    </w:lvl>
    <w:lvl w:ilvl="3">
      <w:start w:val="1"/>
      <w:numFmt w:val="lowerRoman"/>
      <w:lvlText w:val="%4."/>
      <w:lvlJc w:val="left"/>
      <w:pPr>
        <w:tabs>
          <w:tab w:val="num" w:pos="2828"/>
        </w:tabs>
        <w:ind w:left="2828" w:hanging="283"/>
      </w:pPr>
    </w:lvl>
    <w:lvl w:ilvl="4">
      <w:start w:val="1"/>
      <w:numFmt w:val="lowerRoman"/>
      <w:lvlText w:val="%5."/>
      <w:lvlJc w:val="left"/>
      <w:pPr>
        <w:tabs>
          <w:tab w:val="num" w:pos="3535"/>
        </w:tabs>
        <w:ind w:left="3535" w:hanging="283"/>
      </w:pPr>
    </w:lvl>
    <w:lvl w:ilvl="5">
      <w:start w:val="1"/>
      <w:numFmt w:val="lowerRoman"/>
      <w:lvlText w:val="%6."/>
      <w:lvlJc w:val="left"/>
      <w:pPr>
        <w:tabs>
          <w:tab w:val="num" w:pos="4242"/>
        </w:tabs>
        <w:ind w:left="4242" w:hanging="283"/>
      </w:pPr>
    </w:lvl>
    <w:lvl w:ilvl="6">
      <w:start w:val="1"/>
      <w:numFmt w:val="lowerRoman"/>
      <w:lvlText w:val="%7."/>
      <w:lvlJc w:val="left"/>
      <w:pPr>
        <w:tabs>
          <w:tab w:val="num" w:pos="4949"/>
        </w:tabs>
        <w:ind w:left="4949" w:hanging="283"/>
      </w:pPr>
    </w:lvl>
    <w:lvl w:ilvl="7">
      <w:start w:val="1"/>
      <w:numFmt w:val="lowerRoman"/>
      <w:lvlText w:val="%8."/>
      <w:lvlJc w:val="left"/>
      <w:pPr>
        <w:tabs>
          <w:tab w:val="num" w:pos="5656"/>
        </w:tabs>
        <w:ind w:left="5656" w:hanging="283"/>
      </w:pPr>
    </w:lvl>
    <w:lvl w:ilvl="8">
      <w:start w:val="1"/>
      <w:numFmt w:val="lowerRoman"/>
      <w:lvlText w:val="%9."/>
      <w:lvlJc w:val="left"/>
      <w:pPr>
        <w:tabs>
          <w:tab w:val="num" w:pos="6363"/>
        </w:tabs>
        <w:ind w:left="6363" w:hanging="283"/>
      </w:pPr>
    </w:lvl>
  </w:abstractNum>
  <w:abstractNum w:abstractNumId="18" w15:restartNumberingAfterBreak="0">
    <w:nsid w:val="470C69E9"/>
    <w:multiLevelType w:val="hybridMultilevel"/>
    <w:tmpl w:val="B8E8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F40FA"/>
    <w:multiLevelType w:val="multilevel"/>
    <w:tmpl w:val="F438A43E"/>
    <w:lvl w:ilvl="0">
      <w:start w:val="2"/>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20" w15:restartNumberingAfterBreak="0">
    <w:nsid w:val="4EB71ADA"/>
    <w:multiLevelType w:val="multilevel"/>
    <w:tmpl w:val="C68C7F0A"/>
    <w:lvl w:ilvl="0">
      <w:start w:val="3"/>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21" w15:restartNumberingAfterBreak="0">
    <w:nsid w:val="50657B37"/>
    <w:multiLevelType w:val="hybridMultilevel"/>
    <w:tmpl w:val="30A2FBDC"/>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DF5A48"/>
    <w:multiLevelType w:val="multilevel"/>
    <w:tmpl w:val="7C42849C"/>
    <w:lvl w:ilvl="0">
      <w:start w:val="6"/>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23" w15:restartNumberingAfterBreak="0">
    <w:nsid w:val="5CCA7B8C"/>
    <w:multiLevelType w:val="multilevel"/>
    <w:tmpl w:val="065C5A26"/>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76F5F43"/>
    <w:multiLevelType w:val="hybridMultilevel"/>
    <w:tmpl w:val="D4EA9C0E"/>
    <w:lvl w:ilvl="0" w:tplc="040A000F">
      <w:start w:val="1"/>
      <w:numFmt w:val="decimal"/>
      <w:lvlText w:val="%1."/>
      <w:lvlJc w:val="left"/>
      <w:pPr>
        <w:ind w:left="720" w:hanging="360"/>
      </w:pPr>
      <w:rPr>
        <w:rFonts w:hint="default"/>
      </w:r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9F76C2D"/>
    <w:multiLevelType w:val="multilevel"/>
    <w:tmpl w:val="783CF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6D4D77"/>
    <w:multiLevelType w:val="multilevel"/>
    <w:tmpl w:val="31480516"/>
    <w:lvl w:ilvl="0">
      <w:start w:val="7"/>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27" w15:restartNumberingAfterBreak="0">
    <w:nsid w:val="6F0144A0"/>
    <w:multiLevelType w:val="multilevel"/>
    <w:tmpl w:val="F7F6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9E70B7"/>
    <w:multiLevelType w:val="multilevel"/>
    <w:tmpl w:val="B8F651EA"/>
    <w:lvl w:ilvl="0">
      <w:start w:val="1"/>
      <w:numFmt w:val="bullet"/>
      <w:lvlText w:val=""/>
      <w:lvlJc w:val="left"/>
      <w:pPr>
        <w:ind w:left="775" w:hanging="360"/>
      </w:pPr>
      <w:rPr>
        <w:rFonts w:ascii="Symbol" w:hAnsi="Symbol" w:cs="Symbol" w:hint="default"/>
        <w:sz w:val="23"/>
      </w:rPr>
    </w:lvl>
    <w:lvl w:ilvl="1">
      <w:start w:val="1"/>
      <w:numFmt w:val="bullet"/>
      <w:lvlText w:val="o"/>
      <w:lvlJc w:val="left"/>
      <w:pPr>
        <w:ind w:left="1495" w:hanging="360"/>
      </w:pPr>
      <w:rPr>
        <w:rFonts w:ascii="Courier New" w:hAnsi="Courier New" w:cs="Courier New" w:hint="default"/>
        <w:sz w:val="23"/>
      </w:rPr>
    </w:lvl>
    <w:lvl w:ilvl="2">
      <w:start w:val="1"/>
      <w:numFmt w:val="bullet"/>
      <w:lvlText w:val=""/>
      <w:lvlJc w:val="left"/>
      <w:pPr>
        <w:ind w:left="2215" w:hanging="360"/>
      </w:pPr>
      <w:rPr>
        <w:rFonts w:ascii="Wingdings" w:hAnsi="Wingdings" w:cs="Wingdings" w:hint="default"/>
      </w:rPr>
    </w:lvl>
    <w:lvl w:ilvl="3">
      <w:start w:val="1"/>
      <w:numFmt w:val="bullet"/>
      <w:lvlText w:val=""/>
      <w:lvlJc w:val="left"/>
      <w:pPr>
        <w:ind w:left="2935" w:hanging="360"/>
      </w:pPr>
      <w:rPr>
        <w:rFonts w:ascii="Symbol" w:hAnsi="Symbol" w:cs="Symbol" w:hint="default"/>
      </w:rPr>
    </w:lvl>
    <w:lvl w:ilvl="4">
      <w:start w:val="1"/>
      <w:numFmt w:val="bullet"/>
      <w:lvlText w:val="o"/>
      <w:lvlJc w:val="left"/>
      <w:pPr>
        <w:ind w:left="3655" w:hanging="360"/>
      </w:pPr>
      <w:rPr>
        <w:rFonts w:ascii="Courier New" w:hAnsi="Courier New" w:cs="Courier New" w:hint="default"/>
      </w:rPr>
    </w:lvl>
    <w:lvl w:ilvl="5">
      <w:start w:val="1"/>
      <w:numFmt w:val="bullet"/>
      <w:lvlText w:val=""/>
      <w:lvlJc w:val="left"/>
      <w:pPr>
        <w:ind w:left="4375" w:hanging="360"/>
      </w:pPr>
      <w:rPr>
        <w:rFonts w:ascii="Wingdings" w:hAnsi="Wingdings" w:cs="Wingdings" w:hint="default"/>
      </w:rPr>
    </w:lvl>
    <w:lvl w:ilvl="6">
      <w:start w:val="1"/>
      <w:numFmt w:val="bullet"/>
      <w:lvlText w:val=""/>
      <w:lvlJc w:val="left"/>
      <w:pPr>
        <w:ind w:left="5095" w:hanging="360"/>
      </w:pPr>
      <w:rPr>
        <w:rFonts w:ascii="Symbol" w:hAnsi="Symbol" w:cs="Symbol" w:hint="default"/>
      </w:rPr>
    </w:lvl>
    <w:lvl w:ilvl="7">
      <w:start w:val="1"/>
      <w:numFmt w:val="bullet"/>
      <w:lvlText w:val="o"/>
      <w:lvlJc w:val="left"/>
      <w:pPr>
        <w:ind w:left="5815" w:hanging="360"/>
      </w:pPr>
      <w:rPr>
        <w:rFonts w:ascii="Courier New" w:hAnsi="Courier New" w:cs="Courier New" w:hint="default"/>
      </w:rPr>
    </w:lvl>
    <w:lvl w:ilvl="8">
      <w:start w:val="1"/>
      <w:numFmt w:val="bullet"/>
      <w:lvlText w:val=""/>
      <w:lvlJc w:val="left"/>
      <w:pPr>
        <w:ind w:left="6535" w:hanging="360"/>
      </w:pPr>
      <w:rPr>
        <w:rFonts w:ascii="Wingdings" w:hAnsi="Wingdings" w:cs="Wingdings" w:hint="default"/>
      </w:rPr>
    </w:lvl>
  </w:abstractNum>
  <w:abstractNum w:abstractNumId="29" w15:restartNumberingAfterBreak="0">
    <w:nsid w:val="76BB315C"/>
    <w:multiLevelType w:val="hybridMultilevel"/>
    <w:tmpl w:val="A0A42FDE"/>
    <w:lvl w:ilvl="0" w:tplc="040A000F">
      <w:start w:val="1"/>
      <w:numFmt w:val="decimal"/>
      <w:lvlText w:val="%1."/>
      <w:lvlJc w:val="left"/>
      <w:pPr>
        <w:ind w:left="720" w:hanging="360"/>
      </w:pPr>
      <w:rPr>
        <w:rFonts w:hint="default"/>
      </w:r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78CD1BA8"/>
    <w:multiLevelType w:val="multilevel"/>
    <w:tmpl w:val="4A24D4F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1" w15:restartNumberingAfterBreak="0">
    <w:nsid w:val="7D433432"/>
    <w:multiLevelType w:val="hybridMultilevel"/>
    <w:tmpl w:val="3102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4"/>
  </w:num>
  <w:num w:numId="4">
    <w:abstractNumId w:val="3"/>
  </w:num>
  <w:num w:numId="5">
    <w:abstractNumId w:val="7"/>
  </w:num>
  <w:num w:numId="6">
    <w:abstractNumId w:val="2"/>
  </w:num>
  <w:num w:numId="7">
    <w:abstractNumId w:val="21"/>
  </w:num>
  <w:num w:numId="8">
    <w:abstractNumId w:val="8"/>
  </w:num>
  <w:num w:numId="9">
    <w:abstractNumId w:val="11"/>
  </w:num>
  <w:num w:numId="10">
    <w:abstractNumId w:val="6"/>
  </w:num>
  <w:num w:numId="11">
    <w:abstractNumId w:val="25"/>
  </w:num>
  <w:num w:numId="12">
    <w:abstractNumId w:val="1"/>
  </w:num>
  <w:num w:numId="13">
    <w:abstractNumId w:val="27"/>
  </w:num>
  <w:num w:numId="14">
    <w:abstractNumId w:val="16"/>
  </w:num>
  <w:num w:numId="15">
    <w:abstractNumId w:val="10"/>
  </w:num>
  <w:num w:numId="16">
    <w:abstractNumId w:val="19"/>
  </w:num>
  <w:num w:numId="17">
    <w:abstractNumId w:val="17"/>
  </w:num>
  <w:num w:numId="18">
    <w:abstractNumId w:val="20"/>
  </w:num>
  <w:num w:numId="19">
    <w:abstractNumId w:val="12"/>
  </w:num>
  <w:num w:numId="20">
    <w:abstractNumId w:val="0"/>
  </w:num>
  <w:num w:numId="21">
    <w:abstractNumId w:val="22"/>
  </w:num>
  <w:num w:numId="22">
    <w:abstractNumId w:val="26"/>
  </w:num>
  <w:num w:numId="23">
    <w:abstractNumId w:val="13"/>
  </w:num>
  <w:num w:numId="24">
    <w:abstractNumId w:val="14"/>
  </w:num>
  <w:num w:numId="25">
    <w:abstractNumId w:val="9"/>
  </w:num>
  <w:num w:numId="26">
    <w:abstractNumId w:val="5"/>
  </w:num>
  <w:num w:numId="27">
    <w:abstractNumId w:val="29"/>
  </w:num>
  <w:num w:numId="28">
    <w:abstractNumId w:val="24"/>
  </w:num>
  <w:num w:numId="29">
    <w:abstractNumId w:val="18"/>
  </w:num>
  <w:num w:numId="30">
    <w:abstractNumId w:val="31"/>
  </w:num>
  <w:num w:numId="31">
    <w:abstractNumId w:val="1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1DA"/>
    <w:rsid w:val="00000296"/>
    <w:rsid w:val="00000955"/>
    <w:rsid w:val="00001DB8"/>
    <w:rsid w:val="000026D9"/>
    <w:rsid w:val="00002901"/>
    <w:rsid w:val="00002ED7"/>
    <w:rsid w:val="000031B0"/>
    <w:rsid w:val="000035DF"/>
    <w:rsid w:val="0000507D"/>
    <w:rsid w:val="00042C91"/>
    <w:rsid w:val="0004562B"/>
    <w:rsid w:val="00046211"/>
    <w:rsid w:val="0004793C"/>
    <w:rsid w:val="00050B9D"/>
    <w:rsid w:val="000604EA"/>
    <w:rsid w:val="00061EA1"/>
    <w:rsid w:val="00065977"/>
    <w:rsid w:val="000764F7"/>
    <w:rsid w:val="00085354"/>
    <w:rsid w:val="000949F2"/>
    <w:rsid w:val="000C4150"/>
    <w:rsid w:val="000C6154"/>
    <w:rsid w:val="000F47DC"/>
    <w:rsid w:val="000F6B1C"/>
    <w:rsid w:val="001020CF"/>
    <w:rsid w:val="001127DF"/>
    <w:rsid w:val="00116618"/>
    <w:rsid w:val="001560FF"/>
    <w:rsid w:val="00162EAB"/>
    <w:rsid w:val="00163E50"/>
    <w:rsid w:val="00165300"/>
    <w:rsid w:val="00173A1D"/>
    <w:rsid w:val="001769B0"/>
    <w:rsid w:val="001804A2"/>
    <w:rsid w:val="00187131"/>
    <w:rsid w:val="00193E7C"/>
    <w:rsid w:val="001B062C"/>
    <w:rsid w:val="001C1BE3"/>
    <w:rsid w:val="001C3501"/>
    <w:rsid w:val="001C634E"/>
    <w:rsid w:val="001D0755"/>
    <w:rsid w:val="001D4311"/>
    <w:rsid w:val="001F26FE"/>
    <w:rsid w:val="00221DAE"/>
    <w:rsid w:val="00234684"/>
    <w:rsid w:val="00234BB9"/>
    <w:rsid w:val="0024153B"/>
    <w:rsid w:val="00261616"/>
    <w:rsid w:val="0026206B"/>
    <w:rsid w:val="00262257"/>
    <w:rsid w:val="00267932"/>
    <w:rsid w:val="002831DB"/>
    <w:rsid w:val="002901C1"/>
    <w:rsid w:val="00293683"/>
    <w:rsid w:val="002979AB"/>
    <w:rsid w:val="002A1177"/>
    <w:rsid w:val="002A4B59"/>
    <w:rsid w:val="002A716D"/>
    <w:rsid w:val="002B0478"/>
    <w:rsid w:val="002B71AD"/>
    <w:rsid w:val="002C0D48"/>
    <w:rsid w:val="002C1D48"/>
    <w:rsid w:val="002D3391"/>
    <w:rsid w:val="002E0643"/>
    <w:rsid w:val="002E3C70"/>
    <w:rsid w:val="002F6201"/>
    <w:rsid w:val="002F7061"/>
    <w:rsid w:val="0030505E"/>
    <w:rsid w:val="00305DE5"/>
    <w:rsid w:val="0031759A"/>
    <w:rsid w:val="0032128C"/>
    <w:rsid w:val="00327DDB"/>
    <w:rsid w:val="00331605"/>
    <w:rsid w:val="00331FCD"/>
    <w:rsid w:val="003429CF"/>
    <w:rsid w:val="00350005"/>
    <w:rsid w:val="00356B4C"/>
    <w:rsid w:val="00364811"/>
    <w:rsid w:val="00375B65"/>
    <w:rsid w:val="00377361"/>
    <w:rsid w:val="00381B65"/>
    <w:rsid w:val="00386D2C"/>
    <w:rsid w:val="00393D62"/>
    <w:rsid w:val="003A553B"/>
    <w:rsid w:val="003A603F"/>
    <w:rsid w:val="003A78B8"/>
    <w:rsid w:val="003B204E"/>
    <w:rsid w:val="003B4F0D"/>
    <w:rsid w:val="003C6833"/>
    <w:rsid w:val="003D18B9"/>
    <w:rsid w:val="0040243D"/>
    <w:rsid w:val="00411FE4"/>
    <w:rsid w:val="00414835"/>
    <w:rsid w:val="00414FC7"/>
    <w:rsid w:val="0041577F"/>
    <w:rsid w:val="004157B7"/>
    <w:rsid w:val="0042324A"/>
    <w:rsid w:val="00424233"/>
    <w:rsid w:val="00427CF8"/>
    <w:rsid w:val="004372F7"/>
    <w:rsid w:val="004542B6"/>
    <w:rsid w:val="004744CC"/>
    <w:rsid w:val="00485C32"/>
    <w:rsid w:val="004874A0"/>
    <w:rsid w:val="004914AF"/>
    <w:rsid w:val="004A61D4"/>
    <w:rsid w:val="004A7446"/>
    <w:rsid w:val="004B592B"/>
    <w:rsid w:val="004B6B9F"/>
    <w:rsid w:val="004D1D6E"/>
    <w:rsid w:val="004D6ACA"/>
    <w:rsid w:val="004E3941"/>
    <w:rsid w:val="004F2C04"/>
    <w:rsid w:val="00512E98"/>
    <w:rsid w:val="005169E1"/>
    <w:rsid w:val="00526313"/>
    <w:rsid w:val="0053384B"/>
    <w:rsid w:val="00537EF4"/>
    <w:rsid w:val="00540B38"/>
    <w:rsid w:val="005463C6"/>
    <w:rsid w:val="00582EEF"/>
    <w:rsid w:val="00587C2A"/>
    <w:rsid w:val="0059023C"/>
    <w:rsid w:val="005919ED"/>
    <w:rsid w:val="005967B4"/>
    <w:rsid w:val="005A08BB"/>
    <w:rsid w:val="005A4A78"/>
    <w:rsid w:val="005C6311"/>
    <w:rsid w:val="005D5940"/>
    <w:rsid w:val="005E1507"/>
    <w:rsid w:val="005E5372"/>
    <w:rsid w:val="005F4B76"/>
    <w:rsid w:val="005F750F"/>
    <w:rsid w:val="0060280B"/>
    <w:rsid w:val="00612E7C"/>
    <w:rsid w:val="00616031"/>
    <w:rsid w:val="006325BF"/>
    <w:rsid w:val="00644BA6"/>
    <w:rsid w:val="00647233"/>
    <w:rsid w:val="006566F9"/>
    <w:rsid w:val="00667B3F"/>
    <w:rsid w:val="00673FAE"/>
    <w:rsid w:val="00674E1F"/>
    <w:rsid w:val="006803C1"/>
    <w:rsid w:val="00693E5C"/>
    <w:rsid w:val="006A7CEB"/>
    <w:rsid w:val="006B1326"/>
    <w:rsid w:val="006B30FF"/>
    <w:rsid w:val="006B7B4E"/>
    <w:rsid w:val="006D09E1"/>
    <w:rsid w:val="006F1DA1"/>
    <w:rsid w:val="006F450C"/>
    <w:rsid w:val="00720C2C"/>
    <w:rsid w:val="00727EF0"/>
    <w:rsid w:val="007320E3"/>
    <w:rsid w:val="00736147"/>
    <w:rsid w:val="00736A23"/>
    <w:rsid w:val="0074078C"/>
    <w:rsid w:val="00744917"/>
    <w:rsid w:val="00754BA3"/>
    <w:rsid w:val="00754D1F"/>
    <w:rsid w:val="0076486C"/>
    <w:rsid w:val="00765FD9"/>
    <w:rsid w:val="007665DA"/>
    <w:rsid w:val="00777850"/>
    <w:rsid w:val="00791F24"/>
    <w:rsid w:val="00791FFA"/>
    <w:rsid w:val="00793C49"/>
    <w:rsid w:val="00794E2B"/>
    <w:rsid w:val="007A3655"/>
    <w:rsid w:val="007B4CDB"/>
    <w:rsid w:val="007C5004"/>
    <w:rsid w:val="007D3218"/>
    <w:rsid w:val="007E559A"/>
    <w:rsid w:val="007E58D5"/>
    <w:rsid w:val="007E73F6"/>
    <w:rsid w:val="00806487"/>
    <w:rsid w:val="00813DBC"/>
    <w:rsid w:val="008173A5"/>
    <w:rsid w:val="00831C5C"/>
    <w:rsid w:val="00841AA4"/>
    <w:rsid w:val="00842C17"/>
    <w:rsid w:val="0085531E"/>
    <w:rsid w:val="00864F9A"/>
    <w:rsid w:val="008701F0"/>
    <w:rsid w:val="00895A87"/>
    <w:rsid w:val="00897FB9"/>
    <w:rsid w:val="008A216B"/>
    <w:rsid w:val="008A230C"/>
    <w:rsid w:val="008A395C"/>
    <w:rsid w:val="008A7630"/>
    <w:rsid w:val="008D425F"/>
    <w:rsid w:val="008D4662"/>
    <w:rsid w:val="008D6432"/>
    <w:rsid w:val="008E4976"/>
    <w:rsid w:val="008E6B00"/>
    <w:rsid w:val="008F263E"/>
    <w:rsid w:val="008F7AF9"/>
    <w:rsid w:val="00901E26"/>
    <w:rsid w:val="0090765E"/>
    <w:rsid w:val="00911AFC"/>
    <w:rsid w:val="00911B77"/>
    <w:rsid w:val="00915613"/>
    <w:rsid w:val="0092618B"/>
    <w:rsid w:val="00926A00"/>
    <w:rsid w:val="00926CC3"/>
    <w:rsid w:val="00930763"/>
    <w:rsid w:val="00931987"/>
    <w:rsid w:val="00931E19"/>
    <w:rsid w:val="009332C3"/>
    <w:rsid w:val="00944915"/>
    <w:rsid w:val="009466FE"/>
    <w:rsid w:val="00956828"/>
    <w:rsid w:val="00975627"/>
    <w:rsid w:val="00976DDE"/>
    <w:rsid w:val="00990089"/>
    <w:rsid w:val="009A01C3"/>
    <w:rsid w:val="009A1B71"/>
    <w:rsid w:val="009A2258"/>
    <w:rsid w:val="009A68E1"/>
    <w:rsid w:val="009B3E23"/>
    <w:rsid w:val="009C1036"/>
    <w:rsid w:val="009F44C9"/>
    <w:rsid w:val="00A0199B"/>
    <w:rsid w:val="00A045D0"/>
    <w:rsid w:val="00A07077"/>
    <w:rsid w:val="00A14A60"/>
    <w:rsid w:val="00A17FF3"/>
    <w:rsid w:val="00A21781"/>
    <w:rsid w:val="00A23A3E"/>
    <w:rsid w:val="00A3183F"/>
    <w:rsid w:val="00A3360E"/>
    <w:rsid w:val="00A379BC"/>
    <w:rsid w:val="00A444EA"/>
    <w:rsid w:val="00A57AC9"/>
    <w:rsid w:val="00A61CB8"/>
    <w:rsid w:val="00A6366F"/>
    <w:rsid w:val="00A83B83"/>
    <w:rsid w:val="00A865C9"/>
    <w:rsid w:val="00A87502"/>
    <w:rsid w:val="00A95AE8"/>
    <w:rsid w:val="00AA120B"/>
    <w:rsid w:val="00AB0F1B"/>
    <w:rsid w:val="00AB3E0A"/>
    <w:rsid w:val="00AC32D7"/>
    <w:rsid w:val="00AE6044"/>
    <w:rsid w:val="00AF15ED"/>
    <w:rsid w:val="00B060AF"/>
    <w:rsid w:val="00B11FCB"/>
    <w:rsid w:val="00B12F91"/>
    <w:rsid w:val="00B16F4C"/>
    <w:rsid w:val="00B32084"/>
    <w:rsid w:val="00B43C95"/>
    <w:rsid w:val="00B509AF"/>
    <w:rsid w:val="00B53541"/>
    <w:rsid w:val="00B8016F"/>
    <w:rsid w:val="00B83CA4"/>
    <w:rsid w:val="00B84896"/>
    <w:rsid w:val="00BA14BC"/>
    <w:rsid w:val="00BA482A"/>
    <w:rsid w:val="00BA7F56"/>
    <w:rsid w:val="00BB41C4"/>
    <w:rsid w:val="00BC2394"/>
    <w:rsid w:val="00BC2C44"/>
    <w:rsid w:val="00BD4D00"/>
    <w:rsid w:val="00BE2C2E"/>
    <w:rsid w:val="00BE35CF"/>
    <w:rsid w:val="00BF0C5C"/>
    <w:rsid w:val="00BF4893"/>
    <w:rsid w:val="00C0643A"/>
    <w:rsid w:val="00C23265"/>
    <w:rsid w:val="00C244B2"/>
    <w:rsid w:val="00C30899"/>
    <w:rsid w:val="00C426F4"/>
    <w:rsid w:val="00C607CB"/>
    <w:rsid w:val="00C6160B"/>
    <w:rsid w:val="00C65F21"/>
    <w:rsid w:val="00C7787A"/>
    <w:rsid w:val="00C91072"/>
    <w:rsid w:val="00C92E58"/>
    <w:rsid w:val="00C96FA5"/>
    <w:rsid w:val="00C9715B"/>
    <w:rsid w:val="00CA2CDB"/>
    <w:rsid w:val="00CA64E5"/>
    <w:rsid w:val="00CB09FA"/>
    <w:rsid w:val="00CD6965"/>
    <w:rsid w:val="00CE097C"/>
    <w:rsid w:val="00D106AB"/>
    <w:rsid w:val="00D12866"/>
    <w:rsid w:val="00D178A6"/>
    <w:rsid w:val="00D27EE0"/>
    <w:rsid w:val="00D3077E"/>
    <w:rsid w:val="00D32B47"/>
    <w:rsid w:val="00D345A0"/>
    <w:rsid w:val="00D34AD7"/>
    <w:rsid w:val="00D359F6"/>
    <w:rsid w:val="00D44CB1"/>
    <w:rsid w:val="00D511B8"/>
    <w:rsid w:val="00D5322A"/>
    <w:rsid w:val="00D53A92"/>
    <w:rsid w:val="00D557BD"/>
    <w:rsid w:val="00D5657B"/>
    <w:rsid w:val="00D57626"/>
    <w:rsid w:val="00D62129"/>
    <w:rsid w:val="00D66EC5"/>
    <w:rsid w:val="00D72847"/>
    <w:rsid w:val="00D76786"/>
    <w:rsid w:val="00D8260A"/>
    <w:rsid w:val="00D83EA1"/>
    <w:rsid w:val="00D86F7E"/>
    <w:rsid w:val="00D933C4"/>
    <w:rsid w:val="00DA7943"/>
    <w:rsid w:val="00DB00EF"/>
    <w:rsid w:val="00DB1E6A"/>
    <w:rsid w:val="00DB5414"/>
    <w:rsid w:val="00DC09CE"/>
    <w:rsid w:val="00DC14CD"/>
    <w:rsid w:val="00DD0D25"/>
    <w:rsid w:val="00DD54FA"/>
    <w:rsid w:val="00DE6E8F"/>
    <w:rsid w:val="00DF70DB"/>
    <w:rsid w:val="00E0065B"/>
    <w:rsid w:val="00E030CC"/>
    <w:rsid w:val="00E05139"/>
    <w:rsid w:val="00E148A6"/>
    <w:rsid w:val="00E3352C"/>
    <w:rsid w:val="00E35E9D"/>
    <w:rsid w:val="00E46758"/>
    <w:rsid w:val="00E533CA"/>
    <w:rsid w:val="00E54997"/>
    <w:rsid w:val="00E562FF"/>
    <w:rsid w:val="00E56D05"/>
    <w:rsid w:val="00E627B9"/>
    <w:rsid w:val="00E6641B"/>
    <w:rsid w:val="00E74E88"/>
    <w:rsid w:val="00E8693E"/>
    <w:rsid w:val="00E8751E"/>
    <w:rsid w:val="00E9640B"/>
    <w:rsid w:val="00EA0FB4"/>
    <w:rsid w:val="00EB59A0"/>
    <w:rsid w:val="00EB7F04"/>
    <w:rsid w:val="00EC1F5B"/>
    <w:rsid w:val="00EC74BE"/>
    <w:rsid w:val="00ED3723"/>
    <w:rsid w:val="00ED5579"/>
    <w:rsid w:val="00F00241"/>
    <w:rsid w:val="00F00C85"/>
    <w:rsid w:val="00F05B7C"/>
    <w:rsid w:val="00F111DA"/>
    <w:rsid w:val="00F128EB"/>
    <w:rsid w:val="00F17929"/>
    <w:rsid w:val="00F22697"/>
    <w:rsid w:val="00F30F28"/>
    <w:rsid w:val="00F33B9B"/>
    <w:rsid w:val="00F351A2"/>
    <w:rsid w:val="00F365CA"/>
    <w:rsid w:val="00F43A2C"/>
    <w:rsid w:val="00F524D5"/>
    <w:rsid w:val="00F57C31"/>
    <w:rsid w:val="00F621C2"/>
    <w:rsid w:val="00F6697B"/>
    <w:rsid w:val="00F72B9C"/>
    <w:rsid w:val="00F77550"/>
    <w:rsid w:val="00F911C9"/>
    <w:rsid w:val="00F920A0"/>
    <w:rsid w:val="00F9422C"/>
    <w:rsid w:val="00F942FB"/>
    <w:rsid w:val="00F94BDE"/>
    <w:rsid w:val="00FA726E"/>
    <w:rsid w:val="00FC43F5"/>
    <w:rsid w:val="00FE20A6"/>
    <w:rsid w:val="00FF3EA2"/>
    <w:rsid w:val="00FF40EC"/>
    <w:rsid w:val="00FF415F"/>
    <w:rsid w:val="00FF7E1A"/>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F0A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rsid w:val="006F450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6697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D0C8B"/>
    <w:rPr>
      <w:sz w:val="18"/>
      <w:szCs w:val="18"/>
    </w:rPr>
  </w:style>
  <w:style w:type="character" w:customStyle="1" w:styleId="CommentTextChar">
    <w:name w:val="Comment Text Char"/>
    <w:basedOn w:val="DefaultParagraphFont"/>
    <w:link w:val="CommentText"/>
    <w:uiPriority w:val="99"/>
    <w:rsid w:val="00FD0C8B"/>
    <w:rPr>
      <w:lang w:val="en-GB"/>
    </w:rPr>
  </w:style>
  <w:style w:type="character" w:customStyle="1" w:styleId="BalloonTextChar">
    <w:name w:val="Balloon Text Char"/>
    <w:basedOn w:val="DefaultParagraphFont"/>
    <w:link w:val="BalloonText"/>
    <w:uiPriority w:val="99"/>
    <w:semiHidden/>
    <w:rsid w:val="00FD0C8B"/>
    <w:rPr>
      <w:rFonts w:ascii="Times New Roman" w:hAnsi="Times New Roman" w:cs="Times New Roman"/>
      <w:sz w:val="18"/>
      <w:szCs w:val="18"/>
      <w:lang w:val="en-GB"/>
    </w:rPr>
  </w:style>
  <w:style w:type="character" w:customStyle="1" w:styleId="ListLabel1">
    <w:name w:val="ListLabel 1"/>
    <w:rPr>
      <w:u w:val="none"/>
    </w:rPr>
  </w:style>
  <w:style w:type="paragraph" w:styleId="Header">
    <w:name w:val="header"/>
    <w:basedOn w:val="Normal"/>
    <w:next w:val="Cuerpodetexto"/>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pPr>
      <w:spacing w:after="140" w:line="288" w:lineRule="auto"/>
    </w:pPr>
  </w:style>
  <w:style w:type="paragraph" w:styleId="List">
    <w:name w:val="List"/>
    <w:basedOn w:val="Cuerpodetexto"/>
    <w:rPr>
      <w:rFonts w:cs="FreeSans"/>
    </w:rPr>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styleId="NormalWeb">
    <w:name w:val="Normal (Web)"/>
    <w:basedOn w:val="Normal"/>
    <w:uiPriority w:val="99"/>
    <w:unhideWhenUsed/>
    <w:rsid w:val="00FD0C8B"/>
    <w:pPr>
      <w:spacing w:before="280" w:after="280"/>
    </w:pPr>
    <w:rPr>
      <w:rFonts w:ascii="Times New Roman" w:hAnsi="Times New Roman" w:cs="Times New Roman"/>
      <w:lang w:val="en-US"/>
    </w:rPr>
  </w:style>
  <w:style w:type="paragraph" w:styleId="CommentText">
    <w:name w:val="annotation text"/>
    <w:basedOn w:val="Normal"/>
    <w:link w:val="CommentTextChar"/>
    <w:uiPriority w:val="99"/>
    <w:unhideWhenUsed/>
    <w:rsid w:val="00FD0C8B"/>
  </w:style>
  <w:style w:type="paragraph" w:styleId="ListParagraph">
    <w:name w:val="List Paragraph"/>
    <w:basedOn w:val="Normal"/>
    <w:uiPriority w:val="34"/>
    <w:qFormat/>
    <w:rsid w:val="00FD0C8B"/>
    <w:pPr>
      <w:ind w:left="720"/>
      <w:contextualSpacing/>
    </w:pPr>
  </w:style>
  <w:style w:type="paragraph" w:styleId="BalloonText">
    <w:name w:val="Balloon Text"/>
    <w:basedOn w:val="Normal"/>
    <w:link w:val="BalloonTextChar"/>
    <w:uiPriority w:val="99"/>
    <w:semiHidden/>
    <w:unhideWhenUsed/>
    <w:rsid w:val="00FD0C8B"/>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B53541"/>
    <w:rPr>
      <w:b/>
      <w:bCs/>
      <w:sz w:val="20"/>
      <w:szCs w:val="20"/>
    </w:rPr>
  </w:style>
  <w:style w:type="character" w:customStyle="1" w:styleId="CommentSubjectChar">
    <w:name w:val="Comment Subject Char"/>
    <w:basedOn w:val="CommentTextChar"/>
    <w:link w:val="CommentSubject"/>
    <w:uiPriority w:val="99"/>
    <w:semiHidden/>
    <w:rsid w:val="00B53541"/>
    <w:rPr>
      <w:b/>
      <w:bCs/>
      <w:sz w:val="20"/>
      <w:szCs w:val="20"/>
      <w:lang w:val="en-GB"/>
    </w:rPr>
  </w:style>
  <w:style w:type="character" w:styleId="Hyperlink">
    <w:name w:val="Hyperlink"/>
    <w:basedOn w:val="DefaultParagraphFont"/>
    <w:uiPriority w:val="99"/>
    <w:unhideWhenUsed/>
    <w:rsid w:val="00D34AD7"/>
    <w:rPr>
      <w:color w:val="0000FF"/>
      <w:u w:val="single"/>
    </w:rPr>
  </w:style>
  <w:style w:type="paragraph" w:styleId="FootnoteText">
    <w:name w:val="footnote text"/>
    <w:aliases w:val="5_G"/>
    <w:basedOn w:val="Normal"/>
    <w:link w:val="FootnoteTextChar"/>
    <w:unhideWhenUsed/>
    <w:rsid w:val="00A14A60"/>
  </w:style>
  <w:style w:type="character" w:customStyle="1" w:styleId="FootnoteTextChar">
    <w:name w:val="Footnote Text Char"/>
    <w:aliases w:val="5_G Char"/>
    <w:basedOn w:val="DefaultParagraphFont"/>
    <w:link w:val="FootnoteText"/>
    <w:rsid w:val="00A14A60"/>
    <w:rPr>
      <w:lang w:val="en-GB"/>
    </w:rPr>
  </w:style>
  <w:style w:type="character" w:styleId="FootnoteReference">
    <w:name w:val="footnote reference"/>
    <w:aliases w:val="4_G"/>
    <w:basedOn w:val="DefaultParagraphFont"/>
    <w:unhideWhenUsed/>
    <w:rsid w:val="00A14A60"/>
    <w:rPr>
      <w:vertAlign w:val="superscript"/>
    </w:rPr>
  </w:style>
  <w:style w:type="character" w:customStyle="1" w:styleId="Heading1Char">
    <w:name w:val="Heading 1 Char"/>
    <w:basedOn w:val="DefaultParagraphFont"/>
    <w:link w:val="Heading1"/>
    <w:uiPriority w:val="9"/>
    <w:rsid w:val="006F450C"/>
    <w:rPr>
      <w:rFonts w:asciiTheme="majorHAnsi" w:eastAsiaTheme="majorEastAsia" w:hAnsiTheme="majorHAnsi" w:cstheme="majorBidi"/>
      <w:color w:val="2E74B5" w:themeColor="accent1" w:themeShade="BF"/>
      <w:sz w:val="32"/>
      <w:szCs w:val="32"/>
      <w:lang w:val="en-GB"/>
    </w:rPr>
  </w:style>
  <w:style w:type="character" w:styleId="FollowedHyperlink">
    <w:name w:val="FollowedHyperlink"/>
    <w:basedOn w:val="DefaultParagraphFont"/>
    <w:uiPriority w:val="99"/>
    <w:semiHidden/>
    <w:unhideWhenUsed/>
    <w:rsid w:val="00B509AF"/>
    <w:rPr>
      <w:color w:val="954F72" w:themeColor="followedHyperlink"/>
      <w:u w:val="single"/>
    </w:rPr>
  </w:style>
  <w:style w:type="character" w:customStyle="1" w:styleId="Heading2Char">
    <w:name w:val="Heading 2 Char"/>
    <w:basedOn w:val="DefaultParagraphFont"/>
    <w:link w:val="Heading2"/>
    <w:uiPriority w:val="9"/>
    <w:semiHidden/>
    <w:rsid w:val="00F6697B"/>
    <w:rPr>
      <w:rFonts w:asciiTheme="majorHAnsi" w:eastAsiaTheme="majorEastAsia" w:hAnsiTheme="majorHAnsi" w:cstheme="majorBidi"/>
      <w:color w:val="2E74B5" w:themeColor="accent1" w:themeShade="BF"/>
      <w:sz w:val="26"/>
      <w:szCs w:val="26"/>
      <w:lang w:val="en-GB"/>
    </w:rPr>
  </w:style>
  <w:style w:type="table" w:styleId="PlainTable2">
    <w:name w:val="Plain Table 2"/>
    <w:basedOn w:val="TableNormal"/>
    <w:uiPriority w:val="42"/>
    <w:rsid w:val="006F1DA1"/>
    <w:rPr>
      <w:lang w:val="es-ES_tradn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tandard">
    <w:name w:val="Standard"/>
    <w:rsid w:val="00FC43F5"/>
    <w:pPr>
      <w:suppressAutoHyphens/>
      <w:autoSpaceDN w:val="0"/>
      <w:textAlignment w:val="baseline"/>
    </w:pPr>
    <w:rPr>
      <w:rFonts w:ascii="Liberation Serif" w:eastAsia="Noto Sans CJK SC Regular" w:hAnsi="Liberation Serif" w:cs="Noto Sans Devanagari"/>
      <w:kern w:val="3"/>
      <w:lang w:val="es-MX" w:eastAsia="zh-CN" w:bidi="hi-IN"/>
    </w:rPr>
  </w:style>
  <w:style w:type="character" w:customStyle="1" w:styleId="Muydestacado">
    <w:name w:val="Muy destacado"/>
    <w:qFormat/>
    <w:rsid w:val="00A95AE8"/>
    <w:rPr>
      <w:b/>
      <w:bCs/>
    </w:rPr>
  </w:style>
  <w:style w:type="character" w:customStyle="1" w:styleId="Caracteresdenotaalpie">
    <w:name w:val="Caracteres de nota al pie"/>
    <w:qFormat/>
    <w:rsid w:val="00A95AE8"/>
  </w:style>
  <w:style w:type="character" w:customStyle="1" w:styleId="Ancladenotaalpie">
    <w:name w:val="Ancla de nota al pie"/>
    <w:rsid w:val="00A95AE8"/>
    <w:rPr>
      <w:vertAlign w:val="superscript"/>
    </w:rPr>
  </w:style>
  <w:style w:type="character" w:customStyle="1" w:styleId="EnlacedeInternet">
    <w:name w:val="Enlace de Internet"/>
    <w:basedOn w:val="DefaultParagraphFont"/>
    <w:rsid w:val="00A95AE8"/>
    <w:rPr>
      <w:color w:val="0563C1" w:themeColor="hyperlink"/>
      <w:u w:val="single"/>
    </w:rPr>
  </w:style>
  <w:style w:type="character" w:customStyle="1" w:styleId="FootnoteCharacters">
    <w:name w:val="Footnote Characters"/>
    <w:basedOn w:val="DefaultParagraphFont"/>
    <w:qFormat/>
    <w:rsid w:val="00A95AE8"/>
    <w:rPr>
      <w:vertAlign w:val="superscript"/>
    </w:rPr>
  </w:style>
  <w:style w:type="paragraph" w:styleId="BodyText">
    <w:name w:val="Body Text"/>
    <w:basedOn w:val="Normal"/>
    <w:link w:val="BodyTextChar"/>
    <w:rsid w:val="00A95AE8"/>
    <w:pPr>
      <w:suppressAutoHyphens w:val="0"/>
      <w:spacing w:after="140" w:line="276" w:lineRule="auto"/>
    </w:pPr>
    <w:rPr>
      <w:rFonts w:ascii="Liberation Serif" w:eastAsia="Noto Sans CJK SC" w:hAnsi="Liberation Serif" w:cs="Lohit Devanagari"/>
      <w:kern w:val="2"/>
      <w:lang w:val="es-MX" w:eastAsia="zh-CN" w:bidi="hi-IN"/>
    </w:rPr>
  </w:style>
  <w:style w:type="character" w:customStyle="1" w:styleId="BodyTextChar">
    <w:name w:val="Body Text Char"/>
    <w:basedOn w:val="DefaultParagraphFont"/>
    <w:link w:val="BodyText"/>
    <w:rsid w:val="00A95AE8"/>
    <w:rPr>
      <w:rFonts w:ascii="Liberation Serif" w:eastAsia="Noto Sans CJK SC" w:hAnsi="Liberation Serif" w:cs="Lohit Devanagari"/>
      <w:kern w:val="2"/>
      <w:lang w:val="es-MX" w:eastAsia="zh-CN" w:bidi="hi-IN"/>
    </w:rPr>
  </w:style>
  <w:style w:type="character" w:customStyle="1" w:styleId="StrongEmphasis">
    <w:name w:val="Strong Emphasis"/>
    <w:rsid w:val="004F2C04"/>
    <w:rPr>
      <w:b/>
      <w:bCs/>
    </w:rPr>
  </w:style>
  <w:style w:type="paragraph" w:customStyle="1" w:styleId="H23G">
    <w:name w:val="_ H_2/3_G"/>
    <w:basedOn w:val="Normal"/>
    <w:next w:val="Normal"/>
    <w:rsid w:val="00E0065B"/>
    <w:pPr>
      <w:keepNext/>
      <w:keepLines/>
      <w:tabs>
        <w:tab w:val="right" w:pos="851"/>
      </w:tabs>
      <w:spacing w:before="240" w:after="120" w:line="240" w:lineRule="exact"/>
      <w:ind w:left="1134" w:right="1134" w:hanging="1134"/>
    </w:pPr>
    <w:rPr>
      <w:rFonts w:ascii="Times New Roman" w:eastAsia="Times New Roman" w:hAnsi="Times New Roman" w:cs="Times New Roman"/>
      <w:b/>
      <w:sz w:val="20"/>
      <w:szCs w:val="20"/>
    </w:rPr>
  </w:style>
  <w:style w:type="paragraph" w:customStyle="1" w:styleId="SingleTxtG">
    <w:name w:val="_ Single Txt_G"/>
    <w:basedOn w:val="Normal"/>
    <w:rsid w:val="00E0065B"/>
    <w:pPr>
      <w:spacing w:after="120" w:line="240" w:lineRule="atLeast"/>
      <w:ind w:left="1134" w:right="1134"/>
      <w:jc w:val="both"/>
    </w:pPr>
    <w:rPr>
      <w:rFonts w:ascii="Times New Roman" w:eastAsia="SimSun" w:hAnsi="Times New Roman" w:cs="Times New Roman"/>
      <w:sz w:val="20"/>
      <w:szCs w:val="20"/>
      <w:lang w:eastAsia="zh-CN"/>
    </w:rPr>
  </w:style>
  <w:style w:type="paragraph" w:customStyle="1" w:styleId="HChG">
    <w:name w:val="_ H _Ch_G"/>
    <w:basedOn w:val="Normal"/>
    <w:next w:val="Normal"/>
    <w:rsid w:val="00E0065B"/>
    <w:pPr>
      <w:keepNext/>
      <w:keepLines/>
      <w:tabs>
        <w:tab w:val="right" w:pos="851"/>
      </w:tab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H1G">
    <w:name w:val="_ H_1_G"/>
    <w:basedOn w:val="Normal"/>
    <w:next w:val="Normal"/>
    <w:rsid w:val="00E0065B"/>
    <w:pPr>
      <w:keepNext/>
      <w:keepLines/>
      <w:tabs>
        <w:tab w:val="right" w:pos="851"/>
      </w:tabs>
      <w:spacing w:before="360" w:after="240" w:line="270" w:lineRule="exact"/>
      <w:ind w:left="1134" w:right="1134" w:hanging="1134"/>
    </w:pPr>
    <w:rPr>
      <w:rFonts w:ascii="Times New Roman" w:eastAsia="Times New Roman" w:hAnsi="Times New Roman" w:cs="Times New Roman"/>
      <w:b/>
      <w:szCs w:val="20"/>
    </w:rPr>
  </w:style>
  <w:style w:type="paragraph" w:customStyle="1" w:styleId="Normal1">
    <w:name w:val="Normal1"/>
    <w:rsid w:val="00E0065B"/>
    <w:pPr>
      <w:suppressAutoHyphens/>
      <w:textAlignment w:val="baseline"/>
    </w:pPr>
    <w:rPr>
      <w:rFonts w:ascii="Times New Roman" w:eastAsia="Times New Roman" w:hAnsi="Times New Roman" w:cs="Times New Roman"/>
      <w:sz w:val="20"/>
      <w:szCs w:val="20"/>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5956">
      <w:bodyDiv w:val="1"/>
      <w:marLeft w:val="0"/>
      <w:marRight w:val="0"/>
      <w:marTop w:val="0"/>
      <w:marBottom w:val="0"/>
      <w:divBdr>
        <w:top w:val="none" w:sz="0" w:space="0" w:color="auto"/>
        <w:left w:val="none" w:sz="0" w:space="0" w:color="auto"/>
        <w:bottom w:val="none" w:sz="0" w:space="0" w:color="auto"/>
        <w:right w:val="none" w:sz="0" w:space="0" w:color="auto"/>
      </w:divBdr>
    </w:div>
    <w:div w:id="61805278">
      <w:bodyDiv w:val="1"/>
      <w:marLeft w:val="0"/>
      <w:marRight w:val="0"/>
      <w:marTop w:val="0"/>
      <w:marBottom w:val="0"/>
      <w:divBdr>
        <w:top w:val="none" w:sz="0" w:space="0" w:color="auto"/>
        <w:left w:val="none" w:sz="0" w:space="0" w:color="auto"/>
        <w:bottom w:val="none" w:sz="0" w:space="0" w:color="auto"/>
        <w:right w:val="none" w:sz="0" w:space="0" w:color="auto"/>
      </w:divBdr>
    </w:div>
    <w:div w:id="88550841">
      <w:bodyDiv w:val="1"/>
      <w:marLeft w:val="0"/>
      <w:marRight w:val="0"/>
      <w:marTop w:val="0"/>
      <w:marBottom w:val="0"/>
      <w:divBdr>
        <w:top w:val="none" w:sz="0" w:space="0" w:color="auto"/>
        <w:left w:val="none" w:sz="0" w:space="0" w:color="auto"/>
        <w:bottom w:val="none" w:sz="0" w:space="0" w:color="auto"/>
        <w:right w:val="none" w:sz="0" w:space="0" w:color="auto"/>
      </w:divBdr>
    </w:div>
    <w:div w:id="133374855">
      <w:bodyDiv w:val="1"/>
      <w:marLeft w:val="0"/>
      <w:marRight w:val="0"/>
      <w:marTop w:val="0"/>
      <w:marBottom w:val="0"/>
      <w:divBdr>
        <w:top w:val="none" w:sz="0" w:space="0" w:color="auto"/>
        <w:left w:val="none" w:sz="0" w:space="0" w:color="auto"/>
        <w:bottom w:val="none" w:sz="0" w:space="0" w:color="auto"/>
        <w:right w:val="none" w:sz="0" w:space="0" w:color="auto"/>
      </w:divBdr>
    </w:div>
    <w:div w:id="182524655">
      <w:bodyDiv w:val="1"/>
      <w:marLeft w:val="0"/>
      <w:marRight w:val="0"/>
      <w:marTop w:val="0"/>
      <w:marBottom w:val="0"/>
      <w:divBdr>
        <w:top w:val="none" w:sz="0" w:space="0" w:color="auto"/>
        <w:left w:val="none" w:sz="0" w:space="0" w:color="auto"/>
        <w:bottom w:val="none" w:sz="0" w:space="0" w:color="auto"/>
        <w:right w:val="none" w:sz="0" w:space="0" w:color="auto"/>
      </w:divBdr>
    </w:div>
    <w:div w:id="218325645">
      <w:bodyDiv w:val="1"/>
      <w:marLeft w:val="0"/>
      <w:marRight w:val="0"/>
      <w:marTop w:val="0"/>
      <w:marBottom w:val="0"/>
      <w:divBdr>
        <w:top w:val="none" w:sz="0" w:space="0" w:color="auto"/>
        <w:left w:val="none" w:sz="0" w:space="0" w:color="auto"/>
        <w:bottom w:val="none" w:sz="0" w:space="0" w:color="auto"/>
        <w:right w:val="none" w:sz="0" w:space="0" w:color="auto"/>
      </w:divBdr>
    </w:div>
    <w:div w:id="220144086">
      <w:bodyDiv w:val="1"/>
      <w:marLeft w:val="0"/>
      <w:marRight w:val="0"/>
      <w:marTop w:val="0"/>
      <w:marBottom w:val="0"/>
      <w:divBdr>
        <w:top w:val="none" w:sz="0" w:space="0" w:color="auto"/>
        <w:left w:val="none" w:sz="0" w:space="0" w:color="auto"/>
        <w:bottom w:val="none" w:sz="0" w:space="0" w:color="auto"/>
        <w:right w:val="none" w:sz="0" w:space="0" w:color="auto"/>
      </w:divBdr>
      <w:divsChild>
        <w:div w:id="84847">
          <w:marLeft w:val="0"/>
          <w:marRight w:val="0"/>
          <w:marTop w:val="0"/>
          <w:marBottom w:val="0"/>
          <w:divBdr>
            <w:top w:val="none" w:sz="0" w:space="0" w:color="auto"/>
            <w:left w:val="none" w:sz="0" w:space="0" w:color="auto"/>
            <w:bottom w:val="none" w:sz="0" w:space="0" w:color="auto"/>
            <w:right w:val="none" w:sz="0" w:space="0" w:color="auto"/>
          </w:divBdr>
        </w:div>
        <w:div w:id="777791826">
          <w:marLeft w:val="0"/>
          <w:marRight w:val="0"/>
          <w:marTop w:val="0"/>
          <w:marBottom w:val="0"/>
          <w:divBdr>
            <w:top w:val="none" w:sz="0" w:space="0" w:color="auto"/>
            <w:left w:val="none" w:sz="0" w:space="0" w:color="auto"/>
            <w:bottom w:val="none" w:sz="0" w:space="0" w:color="auto"/>
            <w:right w:val="none" w:sz="0" w:space="0" w:color="auto"/>
          </w:divBdr>
        </w:div>
        <w:div w:id="1207833985">
          <w:marLeft w:val="0"/>
          <w:marRight w:val="0"/>
          <w:marTop w:val="0"/>
          <w:marBottom w:val="0"/>
          <w:divBdr>
            <w:top w:val="none" w:sz="0" w:space="0" w:color="auto"/>
            <w:left w:val="none" w:sz="0" w:space="0" w:color="auto"/>
            <w:bottom w:val="none" w:sz="0" w:space="0" w:color="auto"/>
            <w:right w:val="none" w:sz="0" w:space="0" w:color="auto"/>
          </w:divBdr>
        </w:div>
        <w:div w:id="1443114868">
          <w:marLeft w:val="0"/>
          <w:marRight w:val="0"/>
          <w:marTop w:val="0"/>
          <w:marBottom w:val="0"/>
          <w:divBdr>
            <w:top w:val="none" w:sz="0" w:space="0" w:color="auto"/>
            <w:left w:val="none" w:sz="0" w:space="0" w:color="auto"/>
            <w:bottom w:val="none" w:sz="0" w:space="0" w:color="auto"/>
            <w:right w:val="none" w:sz="0" w:space="0" w:color="auto"/>
          </w:divBdr>
        </w:div>
        <w:div w:id="2016685098">
          <w:marLeft w:val="0"/>
          <w:marRight w:val="0"/>
          <w:marTop w:val="0"/>
          <w:marBottom w:val="0"/>
          <w:divBdr>
            <w:top w:val="none" w:sz="0" w:space="0" w:color="auto"/>
            <w:left w:val="none" w:sz="0" w:space="0" w:color="auto"/>
            <w:bottom w:val="none" w:sz="0" w:space="0" w:color="auto"/>
            <w:right w:val="none" w:sz="0" w:space="0" w:color="auto"/>
          </w:divBdr>
        </w:div>
      </w:divsChild>
    </w:div>
    <w:div w:id="225531382">
      <w:bodyDiv w:val="1"/>
      <w:marLeft w:val="0"/>
      <w:marRight w:val="0"/>
      <w:marTop w:val="0"/>
      <w:marBottom w:val="0"/>
      <w:divBdr>
        <w:top w:val="none" w:sz="0" w:space="0" w:color="auto"/>
        <w:left w:val="none" w:sz="0" w:space="0" w:color="auto"/>
        <w:bottom w:val="none" w:sz="0" w:space="0" w:color="auto"/>
        <w:right w:val="none" w:sz="0" w:space="0" w:color="auto"/>
      </w:divBdr>
    </w:div>
    <w:div w:id="228350773">
      <w:bodyDiv w:val="1"/>
      <w:marLeft w:val="0"/>
      <w:marRight w:val="0"/>
      <w:marTop w:val="0"/>
      <w:marBottom w:val="0"/>
      <w:divBdr>
        <w:top w:val="none" w:sz="0" w:space="0" w:color="auto"/>
        <w:left w:val="none" w:sz="0" w:space="0" w:color="auto"/>
        <w:bottom w:val="none" w:sz="0" w:space="0" w:color="auto"/>
        <w:right w:val="none" w:sz="0" w:space="0" w:color="auto"/>
      </w:divBdr>
    </w:div>
    <w:div w:id="254555940">
      <w:bodyDiv w:val="1"/>
      <w:marLeft w:val="0"/>
      <w:marRight w:val="0"/>
      <w:marTop w:val="0"/>
      <w:marBottom w:val="0"/>
      <w:divBdr>
        <w:top w:val="none" w:sz="0" w:space="0" w:color="auto"/>
        <w:left w:val="none" w:sz="0" w:space="0" w:color="auto"/>
        <w:bottom w:val="none" w:sz="0" w:space="0" w:color="auto"/>
        <w:right w:val="none" w:sz="0" w:space="0" w:color="auto"/>
      </w:divBdr>
    </w:div>
    <w:div w:id="326522566">
      <w:bodyDiv w:val="1"/>
      <w:marLeft w:val="0"/>
      <w:marRight w:val="0"/>
      <w:marTop w:val="0"/>
      <w:marBottom w:val="0"/>
      <w:divBdr>
        <w:top w:val="none" w:sz="0" w:space="0" w:color="auto"/>
        <w:left w:val="none" w:sz="0" w:space="0" w:color="auto"/>
        <w:bottom w:val="none" w:sz="0" w:space="0" w:color="auto"/>
        <w:right w:val="none" w:sz="0" w:space="0" w:color="auto"/>
      </w:divBdr>
    </w:div>
    <w:div w:id="337663630">
      <w:bodyDiv w:val="1"/>
      <w:marLeft w:val="0"/>
      <w:marRight w:val="0"/>
      <w:marTop w:val="0"/>
      <w:marBottom w:val="0"/>
      <w:divBdr>
        <w:top w:val="none" w:sz="0" w:space="0" w:color="auto"/>
        <w:left w:val="none" w:sz="0" w:space="0" w:color="auto"/>
        <w:bottom w:val="none" w:sz="0" w:space="0" w:color="auto"/>
        <w:right w:val="none" w:sz="0" w:space="0" w:color="auto"/>
      </w:divBdr>
    </w:div>
    <w:div w:id="338431976">
      <w:bodyDiv w:val="1"/>
      <w:marLeft w:val="0"/>
      <w:marRight w:val="0"/>
      <w:marTop w:val="0"/>
      <w:marBottom w:val="0"/>
      <w:divBdr>
        <w:top w:val="none" w:sz="0" w:space="0" w:color="auto"/>
        <w:left w:val="none" w:sz="0" w:space="0" w:color="auto"/>
        <w:bottom w:val="none" w:sz="0" w:space="0" w:color="auto"/>
        <w:right w:val="none" w:sz="0" w:space="0" w:color="auto"/>
      </w:divBdr>
    </w:div>
    <w:div w:id="342443470">
      <w:bodyDiv w:val="1"/>
      <w:marLeft w:val="0"/>
      <w:marRight w:val="0"/>
      <w:marTop w:val="0"/>
      <w:marBottom w:val="0"/>
      <w:divBdr>
        <w:top w:val="none" w:sz="0" w:space="0" w:color="auto"/>
        <w:left w:val="none" w:sz="0" w:space="0" w:color="auto"/>
        <w:bottom w:val="none" w:sz="0" w:space="0" w:color="auto"/>
        <w:right w:val="none" w:sz="0" w:space="0" w:color="auto"/>
      </w:divBdr>
    </w:div>
    <w:div w:id="358237712">
      <w:bodyDiv w:val="1"/>
      <w:marLeft w:val="0"/>
      <w:marRight w:val="0"/>
      <w:marTop w:val="0"/>
      <w:marBottom w:val="0"/>
      <w:divBdr>
        <w:top w:val="none" w:sz="0" w:space="0" w:color="auto"/>
        <w:left w:val="none" w:sz="0" w:space="0" w:color="auto"/>
        <w:bottom w:val="none" w:sz="0" w:space="0" w:color="auto"/>
        <w:right w:val="none" w:sz="0" w:space="0" w:color="auto"/>
      </w:divBdr>
    </w:div>
    <w:div w:id="425659375">
      <w:bodyDiv w:val="1"/>
      <w:marLeft w:val="0"/>
      <w:marRight w:val="0"/>
      <w:marTop w:val="0"/>
      <w:marBottom w:val="0"/>
      <w:divBdr>
        <w:top w:val="none" w:sz="0" w:space="0" w:color="auto"/>
        <w:left w:val="none" w:sz="0" w:space="0" w:color="auto"/>
        <w:bottom w:val="none" w:sz="0" w:space="0" w:color="auto"/>
        <w:right w:val="none" w:sz="0" w:space="0" w:color="auto"/>
      </w:divBdr>
    </w:div>
    <w:div w:id="428357020">
      <w:bodyDiv w:val="1"/>
      <w:marLeft w:val="0"/>
      <w:marRight w:val="0"/>
      <w:marTop w:val="0"/>
      <w:marBottom w:val="0"/>
      <w:divBdr>
        <w:top w:val="none" w:sz="0" w:space="0" w:color="auto"/>
        <w:left w:val="none" w:sz="0" w:space="0" w:color="auto"/>
        <w:bottom w:val="none" w:sz="0" w:space="0" w:color="auto"/>
        <w:right w:val="none" w:sz="0" w:space="0" w:color="auto"/>
      </w:divBdr>
    </w:div>
    <w:div w:id="452018252">
      <w:bodyDiv w:val="1"/>
      <w:marLeft w:val="0"/>
      <w:marRight w:val="0"/>
      <w:marTop w:val="0"/>
      <w:marBottom w:val="0"/>
      <w:divBdr>
        <w:top w:val="none" w:sz="0" w:space="0" w:color="auto"/>
        <w:left w:val="none" w:sz="0" w:space="0" w:color="auto"/>
        <w:bottom w:val="none" w:sz="0" w:space="0" w:color="auto"/>
        <w:right w:val="none" w:sz="0" w:space="0" w:color="auto"/>
      </w:divBdr>
      <w:divsChild>
        <w:div w:id="356854096">
          <w:marLeft w:val="0"/>
          <w:marRight w:val="0"/>
          <w:marTop w:val="0"/>
          <w:marBottom w:val="0"/>
          <w:divBdr>
            <w:top w:val="none" w:sz="0" w:space="0" w:color="auto"/>
            <w:left w:val="none" w:sz="0" w:space="0" w:color="auto"/>
            <w:bottom w:val="none" w:sz="0" w:space="0" w:color="auto"/>
            <w:right w:val="none" w:sz="0" w:space="0" w:color="auto"/>
          </w:divBdr>
        </w:div>
        <w:div w:id="393819241">
          <w:marLeft w:val="0"/>
          <w:marRight w:val="0"/>
          <w:marTop w:val="0"/>
          <w:marBottom w:val="0"/>
          <w:divBdr>
            <w:top w:val="none" w:sz="0" w:space="0" w:color="auto"/>
            <w:left w:val="none" w:sz="0" w:space="0" w:color="auto"/>
            <w:bottom w:val="none" w:sz="0" w:space="0" w:color="auto"/>
            <w:right w:val="none" w:sz="0" w:space="0" w:color="auto"/>
          </w:divBdr>
        </w:div>
        <w:div w:id="1123890594">
          <w:marLeft w:val="0"/>
          <w:marRight w:val="0"/>
          <w:marTop w:val="0"/>
          <w:marBottom w:val="0"/>
          <w:divBdr>
            <w:top w:val="none" w:sz="0" w:space="0" w:color="auto"/>
            <w:left w:val="none" w:sz="0" w:space="0" w:color="auto"/>
            <w:bottom w:val="none" w:sz="0" w:space="0" w:color="auto"/>
            <w:right w:val="none" w:sz="0" w:space="0" w:color="auto"/>
          </w:divBdr>
        </w:div>
        <w:div w:id="1333216518">
          <w:marLeft w:val="0"/>
          <w:marRight w:val="0"/>
          <w:marTop w:val="0"/>
          <w:marBottom w:val="0"/>
          <w:divBdr>
            <w:top w:val="none" w:sz="0" w:space="0" w:color="auto"/>
            <w:left w:val="none" w:sz="0" w:space="0" w:color="auto"/>
            <w:bottom w:val="none" w:sz="0" w:space="0" w:color="auto"/>
            <w:right w:val="none" w:sz="0" w:space="0" w:color="auto"/>
          </w:divBdr>
        </w:div>
        <w:div w:id="1883396269">
          <w:marLeft w:val="0"/>
          <w:marRight w:val="0"/>
          <w:marTop w:val="0"/>
          <w:marBottom w:val="0"/>
          <w:divBdr>
            <w:top w:val="none" w:sz="0" w:space="0" w:color="auto"/>
            <w:left w:val="none" w:sz="0" w:space="0" w:color="auto"/>
            <w:bottom w:val="none" w:sz="0" w:space="0" w:color="auto"/>
            <w:right w:val="none" w:sz="0" w:space="0" w:color="auto"/>
          </w:divBdr>
        </w:div>
      </w:divsChild>
    </w:div>
    <w:div w:id="474181252">
      <w:bodyDiv w:val="1"/>
      <w:marLeft w:val="0"/>
      <w:marRight w:val="0"/>
      <w:marTop w:val="0"/>
      <w:marBottom w:val="0"/>
      <w:divBdr>
        <w:top w:val="none" w:sz="0" w:space="0" w:color="auto"/>
        <w:left w:val="none" w:sz="0" w:space="0" w:color="auto"/>
        <w:bottom w:val="none" w:sz="0" w:space="0" w:color="auto"/>
        <w:right w:val="none" w:sz="0" w:space="0" w:color="auto"/>
      </w:divBdr>
    </w:div>
    <w:div w:id="479661230">
      <w:bodyDiv w:val="1"/>
      <w:marLeft w:val="0"/>
      <w:marRight w:val="0"/>
      <w:marTop w:val="0"/>
      <w:marBottom w:val="0"/>
      <w:divBdr>
        <w:top w:val="none" w:sz="0" w:space="0" w:color="auto"/>
        <w:left w:val="none" w:sz="0" w:space="0" w:color="auto"/>
        <w:bottom w:val="none" w:sz="0" w:space="0" w:color="auto"/>
        <w:right w:val="none" w:sz="0" w:space="0" w:color="auto"/>
      </w:divBdr>
      <w:divsChild>
        <w:div w:id="1771702587">
          <w:marLeft w:val="0"/>
          <w:marRight w:val="0"/>
          <w:marTop w:val="0"/>
          <w:marBottom w:val="0"/>
          <w:divBdr>
            <w:top w:val="none" w:sz="0" w:space="0" w:color="auto"/>
            <w:left w:val="none" w:sz="0" w:space="0" w:color="auto"/>
            <w:bottom w:val="none" w:sz="0" w:space="0" w:color="auto"/>
            <w:right w:val="none" w:sz="0" w:space="0" w:color="auto"/>
          </w:divBdr>
        </w:div>
      </w:divsChild>
    </w:div>
    <w:div w:id="504245364">
      <w:bodyDiv w:val="1"/>
      <w:marLeft w:val="0"/>
      <w:marRight w:val="0"/>
      <w:marTop w:val="0"/>
      <w:marBottom w:val="0"/>
      <w:divBdr>
        <w:top w:val="none" w:sz="0" w:space="0" w:color="auto"/>
        <w:left w:val="none" w:sz="0" w:space="0" w:color="auto"/>
        <w:bottom w:val="none" w:sz="0" w:space="0" w:color="auto"/>
        <w:right w:val="none" w:sz="0" w:space="0" w:color="auto"/>
      </w:divBdr>
    </w:div>
    <w:div w:id="565645674">
      <w:bodyDiv w:val="1"/>
      <w:marLeft w:val="0"/>
      <w:marRight w:val="0"/>
      <w:marTop w:val="0"/>
      <w:marBottom w:val="0"/>
      <w:divBdr>
        <w:top w:val="none" w:sz="0" w:space="0" w:color="auto"/>
        <w:left w:val="none" w:sz="0" w:space="0" w:color="auto"/>
        <w:bottom w:val="none" w:sz="0" w:space="0" w:color="auto"/>
        <w:right w:val="none" w:sz="0" w:space="0" w:color="auto"/>
      </w:divBdr>
    </w:div>
    <w:div w:id="587691046">
      <w:bodyDiv w:val="1"/>
      <w:marLeft w:val="0"/>
      <w:marRight w:val="0"/>
      <w:marTop w:val="0"/>
      <w:marBottom w:val="0"/>
      <w:divBdr>
        <w:top w:val="none" w:sz="0" w:space="0" w:color="auto"/>
        <w:left w:val="none" w:sz="0" w:space="0" w:color="auto"/>
        <w:bottom w:val="none" w:sz="0" w:space="0" w:color="auto"/>
        <w:right w:val="none" w:sz="0" w:space="0" w:color="auto"/>
      </w:divBdr>
    </w:div>
    <w:div w:id="622811071">
      <w:bodyDiv w:val="1"/>
      <w:marLeft w:val="0"/>
      <w:marRight w:val="0"/>
      <w:marTop w:val="0"/>
      <w:marBottom w:val="0"/>
      <w:divBdr>
        <w:top w:val="none" w:sz="0" w:space="0" w:color="auto"/>
        <w:left w:val="none" w:sz="0" w:space="0" w:color="auto"/>
        <w:bottom w:val="none" w:sz="0" w:space="0" w:color="auto"/>
        <w:right w:val="none" w:sz="0" w:space="0" w:color="auto"/>
      </w:divBdr>
    </w:div>
    <w:div w:id="632370780">
      <w:bodyDiv w:val="1"/>
      <w:marLeft w:val="0"/>
      <w:marRight w:val="0"/>
      <w:marTop w:val="0"/>
      <w:marBottom w:val="0"/>
      <w:divBdr>
        <w:top w:val="none" w:sz="0" w:space="0" w:color="auto"/>
        <w:left w:val="none" w:sz="0" w:space="0" w:color="auto"/>
        <w:bottom w:val="none" w:sz="0" w:space="0" w:color="auto"/>
        <w:right w:val="none" w:sz="0" w:space="0" w:color="auto"/>
      </w:divBdr>
    </w:div>
    <w:div w:id="653602775">
      <w:bodyDiv w:val="1"/>
      <w:marLeft w:val="0"/>
      <w:marRight w:val="0"/>
      <w:marTop w:val="0"/>
      <w:marBottom w:val="0"/>
      <w:divBdr>
        <w:top w:val="none" w:sz="0" w:space="0" w:color="auto"/>
        <w:left w:val="none" w:sz="0" w:space="0" w:color="auto"/>
        <w:bottom w:val="none" w:sz="0" w:space="0" w:color="auto"/>
        <w:right w:val="none" w:sz="0" w:space="0" w:color="auto"/>
      </w:divBdr>
    </w:div>
    <w:div w:id="689332390">
      <w:bodyDiv w:val="1"/>
      <w:marLeft w:val="0"/>
      <w:marRight w:val="0"/>
      <w:marTop w:val="0"/>
      <w:marBottom w:val="0"/>
      <w:divBdr>
        <w:top w:val="none" w:sz="0" w:space="0" w:color="auto"/>
        <w:left w:val="none" w:sz="0" w:space="0" w:color="auto"/>
        <w:bottom w:val="none" w:sz="0" w:space="0" w:color="auto"/>
        <w:right w:val="none" w:sz="0" w:space="0" w:color="auto"/>
      </w:divBdr>
    </w:div>
    <w:div w:id="711419528">
      <w:bodyDiv w:val="1"/>
      <w:marLeft w:val="0"/>
      <w:marRight w:val="0"/>
      <w:marTop w:val="0"/>
      <w:marBottom w:val="0"/>
      <w:divBdr>
        <w:top w:val="none" w:sz="0" w:space="0" w:color="auto"/>
        <w:left w:val="none" w:sz="0" w:space="0" w:color="auto"/>
        <w:bottom w:val="none" w:sz="0" w:space="0" w:color="auto"/>
        <w:right w:val="none" w:sz="0" w:space="0" w:color="auto"/>
      </w:divBdr>
    </w:div>
    <w:div w:id="727656740">
      <w:bodyDiv w:val="1"/>
      <w:marLeft w:val="0"/>
      <w:marRight w:val="0"/>
      <w:marTop w:val="0"/>
      <w:marBottom w:val="0"/>
      <w:divBdr>
        <w:top w:val="none" w:sz="0" w:space="0" w:color="auto"/>
        <w:left w:val="none" w:sz="0" w:space="0" w:color="auto"/>
        <w:bottom w:val="none" w:sz="0" w:space="0" w:color="auto"/>
        <w:right w:val="none" w:sz="0" w:space="0" w:color="auto"/>
      </w:divBdr>
    </w:div>
    <w:div w:id="763644612">
      <w:bodyDiv w:val="1"/>
      <w:marLeft w:val="0"/>
      <w:marRight w:val="0"/>
      <w:marTop w:val="0"/>
      <w:marBottom w:val="0"/>
      <w:divBdr>
        <w:top w:val="none" w:sz="0" w:space="0" w:color="auto"/>
        <w:left w:val="none" w:sz="0" w:space="0" w:color="auto"/>
        <w:bottom w:val="none" w:sz="0" w:space="0" w:color="auto"/>
        <w:right w:val="none" w:sz="0" w:space="0" w:color="auto"/>
      </w:divBdr>
    </w:div>
    <w:div w:id="783496957">
      <w:bodyDiv w:val="1"/>
      <w:marLeft w:val="0"/>
      <w:marRight w:val="0"/>
      <w:marTop w:val="0"/>
      <w:marBottom w:val="0"/>
      <w:divBdr>
        <w:top w:val="none" w:sz="0" w:space="0" w:color="auto"/>
        <w:left w:val="none" w:sz="0" w:space="0" w:color="auto"/>
        <w:bottom w:val="none" w:sz="0" w:space="0" w:color="auto"/>
        <w:right w:val="none" w:sz="0" w:space="0" w:color="auto"/>
      </w:divBdr>
    </w:div>
    <w:div w:id="802192395">
      <w:bodyDiv w:val="1"/>
      <w:marLeft w:val="0"/>
      <w:marRight w:val="0"/>
      <w:marTop w:val="0"/>
      <w:marBottom w:val="0"/>
      <w:divBdr>
        <w:top w:val="none" w:sz="0" w:space="0" w:color="auto"/>
        <w:left w:val="none" w:sz="0" w:space="0" w:color="auto"/>
        <w:bottom w:val="none" w:sz="0" w:space="0" w:color="auto"/>
        <w:right w:val="none" w:sz="0" w:space="0" w:color="auto"/>
      </w:divBdr>
    </w:div>
    <w:div w:id="814838360">
      <w:bodyDiv w:val="1"/>
      <w:marLeft w:val="0"/>
      <w:marRight w:val="0"/>
      <w:marTop w:val="0"/>
      <w:marBottom w:val="0"/>
      <w:divBdr>
        <w:top w:val="none" w:sz="0" w:space="0" w:color="auto"/>
        <w:left w:val="none" w:sz="0" w:space="0" w:color="auto"/>
        <w:bottom w:val="none" w:sz="0" w:space="0" w:color="auto"/>
        <w:right w:val="none" w:sz="0" w:space="0" w:color="auto"/>
      </w:divBdr>
    </w:div>
    <w:div w:id="815025596">
      <w:bodyDiv w:val="1"/>
      <w:marLeft w:val="0"/>
      <w:marRight w:val="0"/>
      <w:marTop w:val="0"/>
      <w:marBottom w:val="0"/>
      <w:divBdr>
        <w:top w:val="none" w:sz="0" w:space="0" w:color="auto"/>
        <w:left w:val="none" w:sz="0" w:space="0" w:color="auto"/>
        <w:bottom w:val="none" w:sz="0" w:space="0" w:color="auto"/>
        <w:right w:val="none" w:sz="0" w:space="0" w:color="auto"/>
      </w:divBdr>
    </w:div>
    <w:div w:id="843323143">
      <w:bodyDiv w:val="1"/>
      <w:marLeft w:val="0"/>
      <w:marRight w:val="0"/>
      <w:marTop w:val="0"/>
      <w:marBottom w:val="0"/>
      <w:divBdr>
        <w:top w:val="none" w:sz="0" w:space="0" w:color="auto"/>
        <w:left w:val="none" w:sz="0" w:space="0" w:color="auto"/>
        <w:bottom w:val="none" w:sz="0" w:space="0" w:color="auto"/>
        <w:right w:val="none" w:sz="0" w:space="0" w:color="auto"/>
      </w:divBdr>
    </w:div>
    <w:div w:id="848520728">
      <w:bodyDiv w:val="1"/>
      <w:marLeft w:val="0"/>
      <w:marRight w:val="0"/>
      <w:marTop w:val="0"/>
      <w:marBottom w:val="0"/>
      <w:divBdr>
        <w:top w:val="none" w:sz="0" w:space="0" w:color="auto"/>
        <w:left w:val="none" w:sz="0" w:space="0" w:color="auto"/>
        <w:bottom w:val="none" w:sz="0" w:space="0" w:color="auto"/>
        <w:right w:val="none" w:sz="0" w:space="0" w:color="auto"/>
      </w:divBdr>
    </w:div>
    <w:div w:id="860052380">
      <w:bodyDiv w:val="1"/>
      <w:marLeft w:val="0"/>
      <w:marRight w:val="0"/>
      <w:marTop w:val="0"/>
      <w:marBottom w:val="0"/>
      <w:divBdr>
        <w:top w:val="none" w:sz="0" w:space="0" w:color="auto"/>
        <w:left w:val="none" w:sz="0" w:space="0" w:color="auto"/>
        <w:bottom w:val="none" w:sz="0" w:space="0" w:color="auto"/>
        <w:right w:val="none" w:sz="0" w:space="0" w:color="auto"/>
      </w:divBdr>
    </w:div>
    <w:div w:id="924529879">
      <w:bodyDiv w:val="1"/>
      <w:marLeft w:val="0"/>
      <w:marRight w:val="0"/>
      <w:marTop w:val="0"/>
      <w:marBottom w:val="0"/>
      <w:divBdr>
        <w:top w:val="none" w:sz="0" w:space="0" w:color="auto"/>
        <w:left w:val="none" w:sz="0" w:space="0" w:color="auto"/>
        <w:bottom w:val="none" w:sz="0" w:space="0" w:color="auto"/>
        <w:right w:val="none" w:sz="0" w:space="0" w:color="auto"/>
      </w:divBdr>
      <w:divsChild>
        <w:div w:id="830565603">
          <w:marLeft w:val="0"/>
          <w:marRight w:val="0"/>
          <w:marTop w:val="0"/>
          <w:marBottom w:val="0"/>
          <w:divBdr>
            <w:top w:val="none" w:sz="0" w:space="0" w:color="auto"/>
            <w:left w:val="none" w:sz="0" w:space="0" w:color="auto"/>
            <w:bottom w:val="none" w:sz="0" w:space="0" w:color="auto"/>
            <w:right w:val="none" w:sz="0" w:space="0" w:color="auto"/>
          </w:divBdr>
          <w:divsChild>
            <w:div w:id="687872300">
              <w:marLeft w:val="0"/>
              <w:marRight w:val="0"/>
              <w:marTop w:val="0"/>
              <w:marBottom w:val="0"/>
              <w:divBdr>
                <w:top w:val="none" w:sz="0" w:space="0" w:color="auto"/>
                <w:left w:val="none" w:sz="0" w:space="0" w:color="auto"/>
                <w:bottom w:val="none" w:sz="0" w:space="0" w:color="auto"/>
                <w:right w:val="none" w:sz="0" w:space="0" w:color="auto"/>
              </w:divBdr>
              <w:divsChild>
                <w:div w:id="634868216">
                  <w:marLeft w:val="-285"/>
                  <w:marRight w:val="0"/>
                  <w:marTop w:val="0"/>
                  <w:marBottom w:val="0"/>
                  <w:divBdr>
                    <w:top w:val="none" w:sz="0" w:space="0" w:color="auto"/>
                    <w:left w:val="none" w:sz="0" w:space="0" w:color="auto"/>
                    <w:bottom w:val="none" w:sz="0" w:space="0" w:color="auto"/>
                    <w:right w:val="none" w:sz="0" w:space="0" w:color="auto"/>
                  </w:divBdr>
                  <w:divsChild>
                    <w:div w:id="2007395089">
                      <w:marLeft w:val="0"/>
                      <w:marRight w:val="0"/>
                      <w:marTop w:val="120"/>
                      <w:marBottom w:val="0"/>
                      <w:divBdr>
                        <w:top w:val="none" w:sz="0" w:space="0" w:color="auto"/>
                        <w:left w:val="none" w:sz="0" w:space="0" w:color="auto"/>
                        <w:bottom w:val="none" w:sz="0" w:space="0" w:color="auto"/>
                        <w:right w:val="none" w:sz="0" w:space="0" w:color="auto"/>
                      </w:divBdr>
                      <w:divsChild>
                        <w:div w:id="1769738955">
                          <w:marLeft w:val="0"/>
                          <w:marRight w:val="0"/>
                          <w:marTop w:val="0"/>
                          <w:marBottom w:val="0"/>
                          <w:divBdr>
                            <w:top w:val="none" w:sz="0" w:space="0" w:color="auto"/>
                            <w:left w:val="none" w:sz="0" w:space="0" w:color="auto"/>
                            <w:bottom w:val="none" w:sz="0" w:space="0" w:color="auto"/>
                            <w:right w:val="none" w:sz="0" w:space="0" w:color="auto"/>
                          </w:divBdr>
                          <w:divsChild>
                            <w:div w:id="1381981018">
                              <w:marLeft w:val="0"/>
                              <w:marRight w:val="0"/>
                              <w:marTop w:val="0"/>
                              <w:marBottom w:val="0"/>
                              <w:divBdr>
                                <w:top w:val="none" w:sz="0" w:space="0" w:color="auto"/>
                                <w:left w:val="none" w:sz="0" w:space="0" w:color="auto"/>
                                <w:bottom w:val="none" w:sz="0" w:space="0" w:color="auto"/>
                                <w:right w:val="none" w:sz="0" w:space="0" w:color="auto"/>
                              </w:divBdr>
                            </w:div>
                            <w:div w:id="1576475309">
                              <w:marLeft w:val="0"/>
                              <w:marRight w:val="0"/>
                              <w:marTop w:val="0"/>
                              <w:marBottom w:val="0"/>
                              <w:divBdr>
                                <w:top w:val="none" w:sz="0" w:space="0" w:color="auto"/>
                                <w:left w:val="none" w:sz="0" w:space="0" w:color="auto"/>
                                <w:bottom w:val="none" w:sz="0" w:space="0" w:color="auto"/>
                                <w:right w:val="none" w:sz="0" w:space="0" w:color="auto"/>
                              </w:divBdr>
                              <w:divsChild>
                                <w:div w:id="303003498">
                                  <w:marLeft w:val="0"/>
                                  <w:marRight w:val="0"/>
                                  <w:marTop w:val="0"/>
                                  <w:marBottom w:val="0"/>
                                  <w:divBdr>
                                    <w:top w:val="none" w:sz="0" w:space="0" w:color="auto"/>
                                    <w:left w:val="none" w:sz="0" w:space="0" w:color="auto"/>
                                    <w:bottom w:val="none" w:sz="0" w:space="0" w:color="auto"/>
                                    <w:right w:val="none" w:sz="0" w:space="0" w:color="auto"/>
                                  </w:divBdr>
                                </w:div>
                                <w:div w:id="929392709">
                                  <w:marLeft w:val="0"/>
                                  <w:marRight w:val="0"/>
                                  <w:marTop w:val="0"/>
                                  <w:marBottom w:val="0"/>
                                  <w:divBdr>
                                    <w:top w:val="none" w:sz="0" w:space="0" w:color="auto"/>
                                    <w:left w:val="none" w:sz="0" w:space="0" w:color="auto"/>
                                    <w:bottom w:val="none" w:sz="0" w:space="0" w:color="auto"/>
                                    <w:right w:val="none" w:sz="0" w:space="0" w:color="auto"/>
                                  </w:divBdr>
                                </w:div>
                                <w:div w:id="969868961">
                                  <w:marLeft w:val="0"/>
                                  <w:marRight w:val="0"/>
                                  <w:marTop w:val="0"/>
                                  <w:marBottom w:val="0"/>
                                  <w:divBdr>
                                    <w:top w:val="none" w:sz="0" w:space="0" w:color="auto"/>
                                    <w:left w:val="none" w:sz="0" w:space="0" w:color="auto"/>
                                    <w:bottom w:val="none" w:sz="0" w:space="0" w:color="auto"/>
                                    <w:right w:val="none" w:sz="0" w:space="0" w:color="auto"/>
                                  </w:divBdr>
                                </w:div>
                                <w:div w:id="1398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517340">
          <w:marLeft w:val="0"/>
          <w:marRight w:val="0"/>
          <w:marTop w:val="0"/>
          <w:marBottom w:val="0"/>
          <w:divBdr>
            <w:top w:val="none" w:sz="0" w:space="0" w:color="auto"/>
            <w:left w:val="none" w:sz="0" w:space="0" w:color="auto"/>
            <w:bottom w:val="none" w:sz="0" w:space="0" w:color="auto"/>
            <w:right w:val="none" w:sz="0" w:space="0" w:color="auto"/>
          </w:divBdr>
          <w:divsChild>
            <w:div w:id="818114480">
              <w:marLeft w:val="0"/>
              <w:marRight w:val="0"/>
              <w:marTop w:val="0"/>
              <w:marBottom w:val="0"/>
              <w:divBdr>
                <w:top w:val="none" w:sz="0" w:space="0" w:color="auto"/>
                <w:left w:val="none" w:sz="0" w:space="0" w:color="auto"/>
                <w:bottom w:val="none" w:sz="0" w:space="0" w:color="auto"/>
                <w:right w:val="none" w:sz="0" w:space="0" w:color="auto"/>
              </w:divBdr>
              <w:divsChild>
                <w:div w:id="466320214">
                  <w:marLeft w:val="0"/>
                  <w:marRight w:val="0"/>
                  <w:marTop w:val="0"/>
                  <w:marBottom w:val="0"/>
                  <w:divBdr>
                    <w:top w:val="none" w:sz="0" w:space="0" w:color="auto"/>
                    <w:left w:val="none" w:sz="0" w:space="0" w:color="auto"/>
                    <w:bottom w:val="none" w:sz="0" w:space="0" w:color="auto"/>
                    <w:right w:val="none" w:sz="0" w:space="0" w:color="auto"/>
                  </w:divBdr>
                  <w:divsChild>
                    <w:div w:id="1296906121">
                      <w:marLeft w:val="0"/>
                      <w:marRight w:val="0"/>
                      <w:marTop w:val="0"/>
                      <w:marBottom w:val="0"/>
                      <w:divBdr>
                        <w:top w:val="none" w:sz="0" w:space="0" w:color="auto"/>
                        <w:left w:val="none" w:sz="0" w:space="0" w:color="auto"/>
                        <w:bottom w:val="none" w:sz="0" w:space="0" w:color="auto"/>
                        <w:right w:val="none" w:sz="0" w:space="0" w:color="auto"/>
                      </w:divBdr>
                      <w:divsChild>
                        <w:div w:id="1612862685">
                          <w:marLeft w:val="0"/>
                          <w:marRight w:val="0"/>
                          <w:marTop w:val="255"/>
                          <w:marBottom w:val="255"/>
                          <w:divBdr>
                            <w:top w:val="none" w:sz="0" w:space="0" w:color="auto"/>
                            <w:left w:val="none" w:sz="0" w:space="0" w:color="auto"/>
                            <w:bottom w:val="none" w:sz="0" w:space="0" w:color="auto"/>
                            <w:right w:val="none" w:sz="0" w:space="0" w:color="auto"/>
                          </w:divBdr>
                        </w:div>
                      </w:divsChild>
                    </w:div>
                  </w:divsChild>
                </w:div>
              </w:divsChild>
            </w:div>
          </w:divsChild>
        </w:div>
        <w:div w:id="1964340537">
          <w:marLeft w:val="0"/>
          <w:marRight w:val="150"/>
          <w:marTop w:val="0"/>
          <w:marBottom w:val="0"/>
          <w:divBdr>
            <w:top w:val="none" w:sz="0" w:space="0" w:color="auto"/>
            <w:left w:val="none" w:sz="0" w:space="0" w:color="auto"/>
            <w:bottom w:val="none" w:sz="0" w:space="0" w:color="auto"/>
            <w:right w:val="none" w:sz="0" w:space="0" w:color="auto"/>
          </w:divBdr>
          <w:divsChild>
            <w:div w:id="2084834274">
              <w:marLeft w:val="0"/>
              <w:marRight w:val="0"/>
              <w:marTop w:val="0"/>
              <w:marBottom w:val="0"/>
              <w:divBdr>
                <w:top w:val="none" w:sz="0" w:space="0" w:color="auto"/>
                <w:left w:val="none" w:sz="0" w:space="0" w:color="auto"/>
                <w:bottom w:val="none" w:sz="0" w:space="0" w:color="auto"/>
                <w:right w:val="none" w:sz="0" w:space="0" w:color="auto"/>
              </w:divBdr>
              <w:divsChild>
                <w:div w:id="268466474">
                  <w:marLeft w:val="0"/>
                  <w:marRight w:val="0"/>
                  <w:marTop w:val="0"/>
                  <w:marBottom w:val="0"/>
                  <w:divBdr>
                    <w:top w:val="none" w:sz="0" w:space="0" w:color="auto"/>
                    <w:left w:val="none" w:sz="0" w:space="0" w:color="auto"/>
                    <w:bottom w:val="none" w:sz="0" w:space="0" w:color="auto"/>
                    <w:right w:val="none" w:sz="0" w:space="0" w:color="auto"/>
                  </w:divBdr>
                  <w:divsChild>
                    <w:div w:id="535704473">
                      <w:marLeft w:val="0"/>
                      <w:marRight w:val="0"/>
                      <w:marTop w:val="0"/>
                      <w:marBottom w:val="0"/>
                      <w:divBdr>
                        <w:top w:val="none" w:sz="0" w:space="0" w:color="auto"/>
                        <w:left w:val="none" w:sz="0" w:space="0" w:color="auto"/>
                        <w:bottom w:val="none" w:sz="0" w:space="0" w:color="auto"/>
                        <w:right w:val="none" w:sz="0" w:space="0" w:color="auto"/>
                      </w:divBdr>
                    </w:div>
                  </w:divsChild>
                </w:div>
                <w:div w:id="870608424">
                  <w:marLeft w:val="0"/>
                  <w:marRight w:val="0"/>
                  <w:marTop w:val="0"/>
                  <w:marBottom w:val="210"/>
                  <w:divBdr>
                    <w:top w:val="none" w:sz="0" w:space="0" w:color="auto"/>
                    <w:left w:val="none" w:sz="0" w:space="0" w:color="auto"/>
                    <w:bottom w:val="none" w:sz="0" w:space="0" w:color="auto"/>
                    <w:right w:val="none" w:sz="0" w:space="0" w:color="auto"/>
                  </w:divBdr>
                  <w:divsChild>
                    <w:div w:id="315376779">
                      <w:marLeft w:val="0"/>
                      <w:marRight w:val="0"/>
                      <w:marTop w:val="0"/>
                      <w:marBottom w:val="0"/>
                      <w:divBdr>
                        <w:top w:val="none" w:sz="0" w:space="0" w:color="auto"/>
                        <w:left w:val="none" w:sz="0" w:space="0" w:color="auto"/>
                        <w:bottom w:val="none" w:sz="0" w:space="0" w:color="auto"/>
                        <w:right w:val="none" w:sz="0" w:space="0" w:color="auto"/>
                      </w:divBdr>
                      <w:divsChild>
                        <w:div w:id="99923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6388">
                  <w:marLeft w:val="0"/>
                  <w:marRight w:val="0"/>
                  <w:marTop w:val="0"/>
                  <w:marBottom w:val="0"/>
                  <w:divBdr>
                    <w:top w:val="none" w:sz="0" w:space="0" w:color="auto"/>
                    <w:left w:val="none" w:sz="0" w:space="0" w:color="auto"/>
                    <w:bottom w:val="none" w:sz="0" w:space="0" w:color="auto"/>
                    <w:right w:val="none" w:sz="0" w:space="0" w:color="auto"/>
                  </w:divBdr>
                  <w:divsChild>
                    <w:div w:id="1039739542">
                      <w:marLeft w:val="0"/>
                      <w:marRight w:val="0"/>
                      <w:marTop w:val="0"/>
                      <w:marBottom w:val="0"/>
                      <w:divBdr>
                        <w:top w:val="none" w:sz="0" w:space="0" w:color="auto"/>
                        <w:left w:val="none" w:sz="0" w:space="0" w:color="auto"/>
                        <w:bottom w:val="none" w:sz="0" w:space="0" w:color="auto"/>
                        <w:right w:val="none" w:sz="0" w:space="0" w:color="auto"/>
                      </w:divBdr>
                      <w:divsChild>
                        <w:div w:id="109543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676200">
      <w:bodyDiv w:val="1"/>
      <w:marLeft w:val="0"/>
      <w:marRight w:val="0"/>
      <w:marTop w:val="0"/>
      <w:marBottom w:val="0"/>
      <w:divBdr>
        <w:top w:val="none" w:sz="0" w:space="0" w:color="auto"/>
        <w:left w:val="none" w:sz="0" w:space="0" w:color="auto"/>
        <w:bottom w:val="none" w:sz="0" w:space="0" w:color="auto"/>
        <w:right w:val="none" w:sz="0" w:space="0" w:color="auto"/>
      </w:divBdr>
    </w:div>
    <w:div w:id="935790958">
      <w:bodyDiv w:val="1"/>
      <w:marLeft w:val="0"/>
      <w:marRight w:val="0"/>
      <w:marTop w:val="0"/>
      <w:marBottom w:val="0"/>
      <w:divBdr>
        <w:top w:val="none" w:sz="0" w:space="0" w:color="auto"/>
        <w:left w:val="none" w:sz="0" w:space="0" w:color="auto"/>
        <w:bottom w:val="none" w:sz="0" w:space="0" w:color="auto"/>
        <w:right w:val="none" w:sz="0" w:space="0" w:color="auto"/>
      </w:divBdr>
    </w:div>
    <w:div w:id="939530423">
      <w:bodyDiv w:val="1"/>
      <w:marLeft w:val="0"/>
      <w:marRight w:val="0"/>
      <w:marTop w:val="0"/>
      <w:marBottom w:val="0"/>
      <w:divBdr>
        <w:top w:val="none" w:sz="0" w:space="0" w:color="auto"/>
        <w:left w:val="none" w:sz="0" w:space="0" w:color="auto"/>
        <w:bottom w:val="none" w:sz="0" w:space="0" w:color="auto"/>
        <w:right w:val="none" w:sz="0" w:space="0" w:color="auto"/>
      </w:divBdr>
    </w:div>
    <w:div w:id="952710188">
      <w:bodyDiv w:val="1"/>
      <w:marLeft w:val="0"/>
      <w:marRight w:val="0"/>
      <w:marTop w:val="0"/>
      <w:marBottom w:val="0"/>
      <w:divBdr>
        <w:top w:val="none" w:sz="0" w:space="0" w:color="auto"/>
        <w:left w:val="none" w:sz="0" w:space="0" w:color="auto"/>
        <w:bottom w:val="none" w:sz="0" w:space="0" w:color="auto"/>
        <w:right w:val="none" w:sz="0" w:space="0" w:color="auto"/>
      </w:divBdr>
    </w:div>
    <w:div w:id="954483935">
      <w:bodyDiv w:val="1"/>
      <w:marLeft w:val="0"/>
      <w:marRight w:val="0"/>
      <w:marTop w:val="0"/>
      <w:marBottom w:val="0"/>
      <w:divBdr>
        <w:top w:val="none" w:sz="0" w:space="0" w:color="auto"/>
        <w:left w:val="none" w:sz="0" w:space="0" w:color="auto"/>
        <w:bottom w:val="none" w:sz="0" w:space="0" w:color="auto"/>
        <w:right w:val="none" w:sz="0" w:space="0" w:color="auto"/>
      </w:divBdr>
    </w:div>
    <w:div w:id="995575082">
      <w:bodyDiv w:val="1"/>
      <w:marLeft w:val="0"/>
      <w:marRight w:val="0"/>
      <w:marTop w:val="0"/>
      <w:marBottom w:val="0"/>
      <w:divBdr>
        <w:top w:val="none" w:sz="0" w:space="0" w:color="auto"/>
        <w:left w:val="none" w:sz="0" w:space="0" w:color="auto"/>
        <w:bottom w:val="none" w:sz="0" w:space="0" w:color="auto"/>
        <w:right w:val="none" w:sz="0" w:space="0" w:color="auto"/>
      </w:divBdr>
    </w:div>
    <w:div w:id="1002778011">
      <w:bodyDiv w:val="1"/>
      <w:marLeft w:val="0"/>
      <w:marRight w:val="0"/>
      <w:marTop w:val="0"/>
      <w:marBottom w:val="0"/>
      <w:divBdr>
        <w:top w:val="none" w:sz="0" w:space="0" w:color="auto"/>
        <w:left w:val="none" w:sz="0" w:space="0" w:color="auto"/>
        <w:bottom w:val="none" w:sz="0" w:space="0" w:color="auto"/>
        <w:right w:val="none" w:sz="0" w:space="0" w:color="auto"/>
      </w:divBdr>
    </w:div>
    <w:div w:id="1038973354">
      <w:bodyDiv w:val="1"/>
      <w:marLeft w:val="0"/>
      <w:marRight w:val="0"/>
      <w:marTop w:val="0"/>
      <w:marBottom w:val="0"/>
      <w:divBdr>
        <w:top w:val="none" w:sz="0" w:space="0" w:color="auto"/>
        <w:left w:val="none" w:sz="0" w:space="0" w:color="auto"/>
        <w:bottom w:val="none" w:sz="0" w:space="0" w:color="auto"/>
        <w:right w:val="none" w:sz="0" w:space="0" w:color="auto"/>
      </w:divBdr>
    </w:div>
    <w:div w:id="1044870947">
      <w:bodyDiv w:val="1"/>
      <w:marLeft w:val="0"/>
      <w:marRight w:val="0"/>
      <w:marTop w:val="0"/>
      <w:marBottom w:val="0"/>
      <w:divBdr>
        <w:top w:val="none" w:sz="0" w:space="0" w:color="auto"/>
        <w:left w:val="none" w:sz="0" w:space="0" w:color="auto"/>
        <w:bottom w:val="none" w:sz="0" w:space="0" w:color="auto"/>
        <w:right w:val="none" w:sz="0" w:space="0" w:color="auto"/>
      </w:divBdr>
    </w:div>
    <w:div w:id="1074012531">
      <w:bodyDiv w:val="1"/>
      <w:marLeft w:val="0"/>
      <w:marRight w:val="0"/>
      <w:marTop w:val="0"/>
      <w:marBottom w:val="0"/>
      <w:divBdr>
        <w:top w:val="none" w:sz="0" w:space="0" w:color="auto"/>
        <w:left w:val="none" w:sz="0" w:space="0" w:color="auto"/>
        <w:bottom w:val="none" w:sz="0" w:space="0" w:color="auto"/>
        <w:right w:val="none" w:sz="0" w:space="0" w:color="auto"/>
      </w:divBdr>
    </w:div>
    <w:div w:id="1097679857">
      <w:bodyDiv w:val="1"/>
      <w:marLeft w:val="0"/>
      <w:marRight w:val="0"/>
      <w:marTop w:val="0"/>
      <w:marBottom w:val="0"/>
      <w:divBdr>
        <w:top w:val="none" w:sz="0" w:space="0" w:color="auto"/>
        <w:left w:val="none" w:sz="0" w:space="0" w:color="auto"/>
        <w:bottom w:val="none" w:sz="0" w:space="0" w:color="auto"/>
        <w:right w:val="none" w:sz="0" w:space="0" w:color="auto"/>
      </w:divBdr>
    </w:div>
    <w:div w:id="1116952106">
      <w:bodyDiv w:val="1"/>
      <w:marLeft w:val="0"/>
      <w:marRight w:val="0"/>
      <w:marTop w:val="0"/>
      <w:marBottom w:val="0"/>
      <w:divBdr>
        <w:top w:val="none" w:sz="0" w:space="0" w:color="auto"/>
        <w:left w:val="none" w:sz="0" w:space="0" w:color="auto"/>
        <w:bottom w:val="none" w:sz="0" w:space="0" w:color="auto"/>
        <w:right w:val="none" w:sz="0" w:space="0" w:color="auto"/>
      </w:divBdr>
    </w:div>
    <w:div w:id="1131903911">
      <w:bodyDiv w:val="1"/>
      <w:marLeft w:val="0"/>
      <w:marRight w:val="0"/>
      <w:marTop w:val="0"/>
      <w:marBottom w:val="0"/>
      <w:divBdr>
        <w:top w:val="none" w:sz="0" w:space="0" w:color="auto"/>
        <w:left w:val="none" w:sz="0" w:space="0" w:color="auto"/>
        <w:bottom w:val="none" w:sz="0" w:space="0" w:color="auto"/>
        <w:right w:val="none" w:sz="0" w:space="0" w:color="auto"/>
      </w:divBdr>
    </w:div>
    <w:div w:id="1182549179">
      <w:bodyDiv w:val="1"/>
      <w:marLeft w:val="0"/>
      <w:marRight w:val="0"/>
      <w:marTop w:val="0"/>
      <w:marBottom w:val="0"/>
      <w:divBdr>
        <w:top w:val="none" w:sz="0" w:space="0" w:color="auto"/>
        <w:left w:val="none" w:sz="0" w:space="0" w:color="auto"/>
        <w:bottom w:val="none" w:sz="0" w:space="0" w:color="auto"/>
        <w:right w:val="none" w:sz="0" w:space="0" w:color="auto"/>
      </w:divBdr>
    </w:div>
    <w:div w:id="1214804301">
      <w:bodyDiv w:val="1"/>
      <w:marLeft w:val="0"/>
      <w:marRight w:val="0"/>
      <w:marTop w:val="0"/>
      <w:marBottom w:val="0"/>
      <w:divBdr>
        <w:top w:val="none" w:sz="0" w:space="0" w:color="auto"/>
        <w:left w:val="none" w:sz="0" w:space="0" w:color="auto"/>
        <w:bottom w:val="none" w:sz="0" w:space="0" w:color="auto"/>
        <w:right w:val="none" w:sz="0" w:space="0" w:color="auto"/>
      </w:divBdr>
    </w:div>
    <w:div w:id="1219053242">
      <w:bodyDiv w:val="1"/>
      <w:marLeft w:val="0"/>
      <w:marRight w:val="0"/>
      <w:marTop w:val="0"/>
      <w:marBottom w:val="0"/>
      <w:divBdr>
        <w:top w:val="none" w:sz="0" w:space="0" w:color="auto"/>
        <w:left w:val="none" w:sz="0" w:space="0" w:color="auto"/>
        <w:bottom w:val="none" w:sz="0" w:space="0" w:color="auto"/>
        <w:right w:val="none" w:sz="0" w:space="0" w:color="auto"/>
      </w:divBdr>
    </w:div>
    <w:div w:id="1240291935">
      <w:bodyDiv w:val="1"/>
      <w:marLeft w:val="0"/>
      <w:marRight w:val="0"/>
      <w:marTop w:val="0"/>
      <w:marBottom w:val="0"/>
      <w:divBdr>
        <w:top w:val="none" w:sz="0" w:space="0" w:color="auto"/>
        <w:left w:val="none" w:sz="0" w:space="0" w:color="auto"/>
        <w:bottom w:val="none" w:sz="0" w:space="0" w:color="auto"/>
        <w:right w:val="none" w:sz="0" w:space="0" w:color="auto"/>
      </w:divBdr>
    </w:div>
    <w:div w:id="1240359798">
      <w:bodyDiv w:val="1"/>
      <w:marLeft w:val="0"/>
      <w:marRight w:val="0"/>
      <w:marTop w:val="0"/>
      <w:marBottom w:val="0"/>
      <w:divBdr>
        <w:top w:val="none" w:sz="0" w:space="0" w:color="auto"/>
        <w:left w:val="none" w:sz="0" w:space="0" w:color="auto"/>
        <w:bottom w:val="none" w:sz="0" w:space="0" w:color="auto"/>
        <w:right w:val="none" w:sz="0" w:space="0" w:color="auto"/>
      </w:divBdr>
    </w:div>
    <w:div w:id="1253859187">
      <w:bodyDiv w:val="1"/>
      <w:marLeft w:val="0"/>
      <w:marRight w:val="0"/>
      <w:marTop w:val="0"/>
      <w:marBottom w:val="0"/>
      <w:divBdr>
        <w:top w:val="none" w:sz="0" w:space="0" w:color="auto"/>
        <w:left w:val="none" w:sz="0" w:space="0" w:color="auto"/>
        <w:bottom w:val="none" w:sz="0" w:space="0" w:color="auto"/>
        <w:right w:val="none" w:sz="0" w:space="0" w:color="auto"/>
      </w:divBdr>
    </w:div>
    <w:div w:id="1271275649">
      <w:bodyDiv w:val="1"/>
      <w:marLeft w:val="0"/>
      <w:marRight w:val="0"/>
      <w:marTop w:val="0"/>
      <w:marBottom w:val="0"/>
      <w:divBdr>
        <w:top w:val="none" w:sz="0" w:space="0" w:color="auto"/>
        <w:left w:val="none" w:sz="0" w:space="0" w:color="auto"/>
        <w:bottom w:val="none" w:sz="0" w:space="0" w:color="auto"/>
        <w:right w:val="none" w:sz="0" w:space="0" w:color="auto"/>
      </w:divBdr>
    </w:div>
    <w:div w:id="1276059426">
      <w:bodyDiv w:val="1"/>
      <w:marLeft w:val="0"/>
      <w:marRight w:val="0"/>
      <w:marTop w:val="0"/>
      <w:marBottom w:val="0"/>
      <w:divBdr>
        <w:top w:val="none" w:sz="0" w:space="0" w:color="auto"/>
        <w:left w:val="none" w:sz="0" w:space="0" w:color="auto"/>
        <w:bottom w:val="none" w:sz="0" w:space="0" w:color="auto"/>
        <w:right w:val="none" w:sz="0" w:space="0" w:color="auto"/>
      </w:divBdr>
    </w:div>
    <w:div w:id="1284845664">
      <w:bodyDiv w:val="1"/>
      <w:marLeft w:val="0"/>
      <w:marRight w:val="0"/>
      <w:marTop w:val="0"/>
      <w:marBottom w:val="0"/>
      <w:divBdr>
        <w:top w:val="none" w:sz="0" w:space="0" w:color="auto"/>
        <w:left w:val="none" w:sz="0" w:space="0" w:color="auto"/>
        <w:bottom w:val="none" w:sz="0" w:space="0" w:color="auto"/>
        <w:right w:val="none" w:sz="0" w:space="0" w:color="auto"/>
      </w:divBdr>
    </w:div>
    <w:div w:id="1316186482">
      <w:bodyDiv w:val="1"/>
      <w:marLeft w:val="0"/>
      <w:marRight w:val="0"/>
      <w:marTop w:val="0"/>
      <w:marBottom w:val="0"/>
      <w:divBdr>
        <w:top w:val="none" w:sz="0" w:space="0" w:color="auto"/>
        <w:left w:val="none" w:sz="0" w:space="0" w:color="auto"/>
        <w:bottom w:val="none" w:sz="0" w:space="0" w:color="auto"/>
        <w:right w:val="none" w:sz="0" w:space="0" w:color="auto"/>
      </w:divBdr>
    </w:div>
    <w:div w:id="1340355001">
      <w:bodyDiv w:val="1"/>
      <w:marLeft w:val="0"/>
      <w:marRight w:val="0"/>
      <w:marTop w:val="0"/>
      <w:marBottom w:val="0"/>
      <w:divBdr>
        <w:top w:val="none" w:sz="0" w:space="0" w:color="auto"/>
        <w:left w:val="none" w:sz="0" w:space="0" w:color="auto"/>
        <w:bottom w:val="none" w:sz="0" w:space="0" w:color="auto"/>
        <w:right w:val="none" w:sz="0" w:space="0" w:color="auto"/>
      </w:divBdr>
    </w:div>
    <w:div w:id="1393310215">
      <w:bodyDiv w:val="1"/>
      <w:marLeft w:val="0"/>
      <w:marRight w:val="0"/>
      <w:marTop w:val="0"/>
      <w:marBottom w:val="0"/>
      <w:divBdr>
        <w:top w:val="none" w:sz="0" w:space="0" w:color="auto"/>
        <w:left w:val="none" w:sz="0" w:space="0" w:color="auto"/>
        <w:bottom w:val="none" w:sz="0" w:space="0" w:color="auto"/>
        <w:right w:val="none" w:sz="0" w:space="0" w:color="auto"/>
      </w:divBdr>
    </w:div>
    <w:div w:id="1421952707">
      <w:bodyDiv w:val="1"/>
      <w:marLeft w:val="0"/>
      <w:marRight w:val="0"/>
      <w:marTop w:val="0"/>
      <w:marBottom w:val="0"/>
      <w:divBdr>
        <w:top w:val="none" w:sz="0" w:space="0" w:color="auto"/>
        <w:left w:val="none" w:sz="0" w:space="0" w:color="auto"/>
        <w:bottom w:val="none" w:sz="0" w:space="0" w:color="auto"/>
        <w:right w:val="none" w:sz="0" w:space="0" w:color="auto"/>
      </w:divBdr>
    </w:div>
    <w:div w:id="1440830078">
      <w:bodyDiv w:val="1"/>
      <w:marLeft w:val="0"/>
      <w:marRight w:val="0"/>
      <w:marTop w:val="0"/>
      <w:marBottom w:val="0"/>
      <w:divBdr>
        <w:top w:val="none" w:sz="0" w:space="0" w:color="auto"/>
        <w:left w:val="none" w:sz="0" w:space="0" w:color="auto"/>
        <w:bottom w:val="none" w:sz="0" w:space="0" w:color="auto"/>
        <w:right w:val="none" w:sz="0" w:space="0" w:color="auto"/>
      </w:divBdr>
    </w:div>
    <w:div w:id="1448114129">
      <w:bodyDiv w:val="1"/>
      <w:marLeft w:val="0"/>
      <w:marRight w:val="0"/>
      <w:marTop w:val="0"/>
      <w:marBottom w:val="0"/>
      <w:divBdr>
        <w:top w:val="none" w:sz="0" w:space="0" w:color="auto"/>
        <w:left w:val="none" w:sz="0" w:space="0" w:color="auto"/>
        <w:bottom w:val="none" w:sz="0" w:space="0" w:color="auto"/>
        <w:right w:val="none" w:sz="0" w:space="0" w:color="auto"/>
      </w:divBdr>
    </w:div>
    <w:div w:id="1453329752">
      <w:bodyDiv w:val="1"/>
      <w:marLeft w:val="0"/>
      <w:marRight w:val="0"/>
      <w:marTop w:val="0"/>
      <w:marBottom w:val="0"/>
      <w:divBdr>
        <w:top w:val="none" w:sz="0" w:space="0" w:color="auto"/>
        <w:left w:val="none" w:sz="0" w:space="0" w:color="auto"/>
        <w:bottom w:val="none" w:sz="0" w:space="0" w:color="auto"/>
        <w:right w:val="none" w:sz="0" w:space="0" w:color="auto"/>
      </w:divBdr>
    </w:div>
    <w:div w:id="1470587237">
      <w:bodyDiv w:val="1"/>
      <w:marLeft w:val="0"/>
      <w:marRight w:val="0"/>
      <w:marTop w:val="0"/>
      <w:marBottom w:val="0"/>
      <w:divBdr>
        <w:top w:val="none" w:sz="0" w:space="0" w:color="auto"/>
        <w:left w:val="none" w:sz="0" w:space="0" w:color="auto"/>
        <w:bottom w:val="none" w:sz="0" w:space="0" w:color="auto"/>
        <w:right w:val="none" w:sz="0" w:space="0" w:color="auto"/>
      </w:divBdr>
    </w:div>
    <w:div w:id="1495225916">
      <w:bodyDiv w:val="1"/>
      <w:marLeft w:val="0"/>
      <w:marRight w:val="0"/>
      <w:marTop w:val="0"/>
      <w:marBottom w:val="0"/>
      <w:divBdr>
        <w:top w:val="none" w:sz="0" w:space="0" w:color="auto"/>
        <w:left w:val="none" w:sz="0" w:space="0" w:color="auto"/>
        <w:bottom w:val="none" w:sz="0" w:space="0" w:color="auto"/>
        <w:right w:val="none" w:sz="0" w:space="0" w:color="auto"/>
      </w:divBdr>
    </w:div>
    <w:div w:id="1517230966">
      <w:bodyDiv w:val="1"/>
      <w:marLeft w:val="0"/>
      <w:marRight w:val="0"/>
      <w:marTop w:val="0"/>
      <w:marBottom w:val="0"/>
      <w:divBdr>
        <w:top w:val="none" w:sz="0" w:space="0" w:color="auto"/>
        <w:left w:val="none" w:sz="0" w:space="0" w:color="auto"/>
        <w:bottom w:val="none" w:sz="0" w:space="0" w:color="auto"/>
        <w:right w:val="none" w:sz="0" w:space="0" w:color="auto"/>
      </w:divBdr>
      <w:divsChild>
        <w:div w:id="1469973923">
          <w:marLeft w:val="0"/>
          <w:marRight w:val="0"/>
          <w:marTop w:val="0"/>
          <w:marBottom w:val="0"/>
          <w:divBdr>
            <w:top w:val="none" w:sz="0" w:space="0" w:color="auto"/>
            <w:left w:val="none" w:sz="0" w:space="0" w:color="auto"/>
            <w:bottom w:val="none" w:sz="0" w:space="0" w:color="auto"/>
            <w:right w:val="none" w:sz="0" w:space="0" w:color="auto"/>
          </w:divBdr>
        </w:div>
      </w:divsChild>
    </w:div>
    <w:div w:id="1542858189">
      <w:bodyDiv w:val="1"/>
      <w:marLeft w:val="0"/>
      <w:marRight w:val="0"/>
      <w:marTop w:val="0"/>
      <w:marBottom w:val="0"/>
      <w:divBdr>
        <w:top w:val="none" w:sz="0" w:space="0" w:color="auto"/>
        <w:left w:val="none" w:sz="0" w:space="0" w:color="auto"/>
        <w:bottom w:val="none" w:sz="0" w:space="0" w:color="auto"/>
        <w:right w:val="none" w:sz="0" w:space="0" w:color="auto"/>
      </w:divBdr>
    </w:div>
    <w:div w:id="1551574125">
      <w:bodyDiv w:val="1"/>
      <w:marLeft w:val="0"/>
      <w:marRight w:val="0"/>
      <w:marTop w:val="0"/>
      <w:marBottom w:val="0"/>
      <w:divBdr>
        <w:top w:val="none" w:sz="0" w:space="0" w:color="auto"/>
        <w:left w:val="none" w:sz="0" w:space="0" w:color="auto"/>
        <w:bottom w:val="none" w:sz="0" w:space="0" w:color="auto"/>
        <w:right w:val="none" w:sz="0" w:space="0" w:color="auto"/>
      </w:divBdr>
      <w:divsChild>
        <w:div w:id="1483348392">
          <w:marLeft w:val="0"/>
          <w:marRight w:val="0"/>
          <w:marTop w:val="0"/>
          <w:marBottom w:val="0"/>
          <w:divBdr>
            <w:top w:val="none" w:sz="0" w:space="0" w:color="auto"/>
            <w:left w:val="none" w:sz="0" w:space="0" w:color="auto"/>
            <w:bottom w:val="none" w:sz="0" w:space="0" w:color="auto"/>
            <w:right w:val="none" w:sz="0" w:space="0" w:color="auto"/>
          </w:divBdr>
        </w:div>
      </w:divsChild>
    </w:div>
    <w:div w:id="1565484378">
      <w:bodyDiv w:val="1"/>
      <w:marLeft w:val="0"/>
      <w:marRight w:val="0"/>
      <w:marTop w:val="0"/>
      <w:marBottom w:val="0"/>
      <w:divBdr>
        <w:top w:val="none" w:sz="0" w:space="0" w:color="auto"/>
        <w:left w:val="none" w:sz="0" w:space="0" w:color="auto"/>
        <w:bottom w:val="none" w:sz="0" w:space="0" w:color="auto"/>
        <w:right w:val="none" w:sz="0" w:space="0" w:color="auto"/>
      </w:divBdr>
    </w:div>
    <w:div w:id="1570267238">
      <w:bodyDiv w:val="1"/>
      <w:marLeft w:val="0"/>
      <w:marRight w:val="0"/>
      <w:marTop w:val="0"/>
      <w:marBottom w:val="0"/>
      <w:divBdr>
        <w:top w:val="none" w:sz="0" w:space="0" w:color="auto"/>
        <w:left w:val="none" w:sz="0" w:space="0" w:color="auto"/>
        <w:bottom w:val="none" w:sz="0" w:space="0" w:color="auto"/>
        <w:right w:val="none" w:sz="0" w:space="0" w:color="auto"/>
      </w:divBdr>
    </w:div>
    <w:div w:id="1584027999">
      <w:bodyDiv w:val="1"/>
      <w:marLeft w:val="0"/>
      <w:marRight w:val="0"/>
      <w:marTop w:val="0"/>
      <w:marBottom w:val="0"/>
      <w:divBdr>
        <w:top w:val="none" w:sz="0" w:space="0" w:color="auto"/>
        <w:left w:val="none" w:sz="0" w:space="0" w:color="auto"/>
        <w:bottom w:val="none" w:sz="0" w:space="0" w:color="auto"/>
        <w:right w:val="none" w:sz="0" w:space="0" w:color="auto"/>
      </w:divBdr>
    </w:div>
    <w:div w:id="1661037006">
      <w:bodyDiv w:val="1"/>
      <w:marLeft w:val="0"/>
      <w:marRight w:val="0"/>
      <w:marTop w:val="0"/>
      <w:marBottom w:val="0"/>
      <w:divBdr>
        <w:top w:val="none" w:sz="0" w:space="0" w:color="auto"/>
        <w:left w:val="none" w:sz="0" w:space="0" w:color="auto"/>
        <w:bottom w:val="none" w:sz="0" w:space="0" w:color="auto"/>
        <w:right w:val="none" w:sz="0" w:space="0" w:color="auto"/>
      </w:divBdr>
    </w:div>
    <w:div w:id="1699620134">
      <w:bodyDiv w:val="1"/>
      <w:marLeft w:val="0"/>
      <w:marRight w:val="0"/>
      <w:marTop w:val="0"/>
      <w:marBottom w:val="0"/>
      <w:divBdr>
        <w:top w:val="none" w:sz="0" w:space="0" w:color="auto"/>
        <w:left w:val="none" w:sz="0" w:space="0" w:color="auto"/>
        <w:bottom w:val="none" w:sz="0" w:space="0" w:color="auto"/>
        <w:right w:val="none" w:sz="0" w:space="0" w:color="auto"/>
      </w:divBdr>
    </w:div>
    <w:div w:id="1706104544">
      <w:bodyDiv w:val="1"/>
      <w:marLeft w:val="0"/>
      <w:marRight w:val="0"/>
      <w:marTop w:val="0"/>
      <w:marBottom w:val="0"/>
      <w:divBdr>
        <w:top w:val="none" w:sz="0" w:space="0" w:color="auto"/>
        <w:left w:val="none" w:sz="0" w:space="0" w:color="auto"/>
        <w:bottom w:val="none" w:sz="0" w:space="0" w:color="auto"/>
        <w:right w:val="none" w:sz="0" w:space="0" w:color="auto"/>
      </w:divBdr>
    </w:div>
    <w:div w:id="1707674299">
      <w:bodyDiv w:val="1"/>
      <w:marLeft w:val="0"/>
      <w:marRight w:val="0"/>
      <w:marTop w:val="0"/>
      <w:marBottom w:val="0"/>
      <w:divBdr>
        <w:top w:val="none" w:sz="0" w:space="0" w:color="auto"/>
        <w:left w:val="none" w:sz="0" w:space="0" w:color="auto"/>
        <w:bottom w:val="none" w:sz="0" w:space="0" w:color="auto"/>
        <w:right w:val="none" w:sz="0" w:space="0" w:color="auto"/>
      </w:divBdr>
    </w:div>
    <w:div w:id="1721973321">
      <w:bodyDiv w:val="1"/>
      <w:marLeft w:val="0"/>
      <w:marRight w:val="0"/>
      <w:marTop w:val="0"/>
      <w:marBottom w:val="0"/>
      <w:divBdr>
        <w:top w:val="none" w:sz="0" w:space="0" w:color="auto"/>
        <w:left w:val="none" w:sz="0" w:space="0" w:color="auto"/>
        <w:bottom w:val="none" w:sz="0" w:space="0" w:color="auto"/>
        <w:right w:val="none" w:sz="0" w:space="0" w:color="auto"/>
      </w:divBdr>
    </w:div>
    <w:div w:id="1727416836">
      <w:bodyDiv w:val="1"/>
      <w:marLeft w:val="0"/>
      <w:marRight w:val="0"/>
      <w:marTop w:val="0"/>
      <w:marBottom w:val="0"/>
      <w:divBdr>
        <w:top w:val="none" w:sz="0" w:space="0" w:color="auto"/>
        <w:left w:val="none" w:sz="0" w:space="0" w:color="auto"/>
        <w:bottom w:val="none" w:sz="0" w:space="0" w:color="auto"/>
        <w:right w:val="none" w:sz="0" w:space="0" w:color="auto"/>
      </w:divBdr>
    </w:div>
    <w:div w:id="1755130275">
      <w:bodyDiv w:val="1"/>
      <w:marLeft w:val="0"/>
      <w:marRight w:val="0"/>
      <w:marTop w:val="0"/>
      <w:marBottom w:val="0"/>
      <w:divBdr>
        <w:top w:val="none" w:sz="0" w:space="0" w:color="auto"/>
        <w:left w:val="none" w:sz="0" w:space="0" w:color="auto"/>
        <w:bottom w:val="none" w:sz="0" w:space="0" w:color="auto"/>
        <w:right w:val="none" w:sz="0" w:space="0" w:color="auto"/>
      </w:divBdr>
    </w:div>
    <w:div w:id="1819304400">
      <w:bodyDiv w:val="1"/>
      <w:marLeft w:val="0"/>
      <w:marRight w:val="0"/>
      <w:marTop w:val="0"/>
      <w:marBottom w:val="0"/>
      <w:divBdr>
        <w:top w:val="none" w:sz="0" w:space="0" w:color="auto"/>
        <w:left w:val="none" w:sz="0" w:space="0" w:color="auto"/>
        <w:bottom w:val="none" w:sz="0" w:space="0" w:color="auto"/>
        <w:right w:val="none" w:sz="0" w:space="0" w:color="auto"/>
      </w:divBdr>
    </w:div>
    <w:div w:id="1841307362">
      <w:bodyDiv w:val="1"/>
      <w:marLeft w:val="0"/>
      <w:marRight w:val="0"/>
      <w:marTop w:val="0"/>
      <w:marBottom w:val="0"/>
      <w:divBdr>
        <w:top w:val="none" w:sz="0" w:space="0" w:color="auto"/>
        <w:left w:val="none" w:sz="0" w:space="0" w:color="auto"/>
        <w:bottom w:val="none" w:sz="0" w:space="0" w:color="auto"/>
        <w:right w:val="none" w:sz="0" w:space="0" w:color="auto"/>
      </w:divBdr>
    </w:div>
    <w:div w:id="1894150961">
      <w:bodyDiv w:val="1"/>
      <w:marLeft w:val="0"/>
      <w:marRight w:val="0"/>
      <w:marTop w:val="0"/>
      <w:marBottom w:val="0"/>
      <w:divBdr>
        <w:top w:val="none" w:sz="0" w:space="0" w:color="auto"/>
        <w:left w:val="none" w:sz="0" w:space="0" w:color="auto"/>
        <w:bottom w:val="none" w:sz="0" w:space="0" w:color="auto"/>
        <w:right w:val="none" w:sz="0" w:space="0" w:color="auto"/>
      </w:divBdr>
    </w:div>
    <w:div w:id="1959795729">
      <w:bodyDiv w:val="1"/>
      <w:marLeft w:val="0"/>
      <w:marRight w:val="0"/>
      <w:marTop w:val="0"/>
      <w:marBottom w:val="0"/>
      <w:divBdr>
        <w:top w:val="none" w:sz="0" w:space="0" w:color="auto"/>
        <w:left w:val="none" w:sz="0" w:space="0" w:color="auto"/>
        <w:bottom w:val="none" w:sz="0" w:space="0" w:color="auto"/>
        <w:right w:val="none" w:sz="0" w:space="0" w:color="auto"/>
      </w:divBdr>
    </w:div>
    <w:div w:id="1959875974">
      <w:bodyDiv w:val="1"/>
      <w:marLeft w:val="0"/>
      <w:marRight w:val="0"/>
      <w:marTop w:val="0"/>
      <w:marBottom w:val="0"/>
      <w:divBdr>
        <w:top w:val="none" w:sz="0" w:space="0" w:color="auto"/>
        <w:left w:val="none" w:sz="0" w:space="0" w:color="auto"/>
        <w:bottom w:val="none" w:sz="0" w:space="0" w:color="auto"/>
        <w:right w:val="none" w:sz="0" w:space="0" w:color="auto"/>
      </w:divBdr>
    </w:div>
    <w:div w:id="1962609136">
      <w:bodyDiv w:val="1"/>
      <w:marLeft w:val="0"/>
      <w:marRight w:val="0"/>
      <w:marTop w:val="0"/>
      <w:marBottom w:val="0"/>
      <w:divBdr>
        <w:top w:val="none" w:sz="0" w:space="0" w:color="auto"/>
        <w:left w:val="none" w:sz="0" w:space="0" w:color="auto"/>
        <w:bottom w:val="none" w:sz="0" w:space="0" w:color="auto"/>
        <w:right w:val="none" w:sz="0" w:space="0" w:color="auto"/>
      </w:divBdr>
    </w:div>
    <w:div w:id="1975136624">
      <w:bodyDiv w:val="1"/>
      <w:marLeft w:val="0"/>
      <w:marRight w:val="0"/>
      <w:marTop w:val="0"/>
      <w:marBottom w:val="0"/>
      <w:divBdr>
        <w:top w:val="none" w:sz="0" w:space="0" w:color="auto"/>
        <w:left w:val="none" w:sz="0" w:space="0" w:color="auto"/>
        <w:bottom w:val="none" w:sz="0" w:space="0" w:color="auto"/>
        <w:right w:val="none" w:sz="0" w:space="0" w:color="auto"/>
      </w:divBdr>
    </w:div>
    <w:div w:id="1988119784">
      <w:bodyDiv w:val="1"/>
      <w:marLeft w:val="0"/>
      <w:marRight w:val="0"/>
      <w:marTop w:val="0"/>
      <w:marBottom w:val="0"/>
      <w:divBdr>
        <w:top w:val="none" w:sz="0" w:space="0" w:color="auto"/>
        <w:left w:val="none" w:sz="0" w:space="0" w:color="auto"/>
        <w:bottom w:val="none" w:sz="0" w:space="0" w:color="auto"/>
        <w:right w:val="none" w:sz="0" w:space="0" w:color="auto"/>
      </w:divBdr>
    </w:div>
    <w:div w:id="1990480043">
      <w:bodyDiv w:val="1"/>
      <w:marLeft w:val="0"/>
      <w:marRight w:val="0"/>
      <w:marTop w:val="0"/>
      <w:marBottom w:val="0"/>
      <w:divBdr>
        <w:top w:val="none" w:sz="0" w:space="0" w:color="auto"/>
        <w:left w:val="none" w:sz="0" w:space="0" w:color="auto"/>
        <w:bottom w:val="none" w:sz="0" w:space="0" w:color="auto"/>
        <w:right w:val="none" w:sz="0" w:space="0" w:color="auto"/>
      </w:divBdr>
    </w:div>
    <w:div w:id="2019500211">
      <w:bodyDiv w:val="1"/>
      <w:marLeft w:val="0"/>
      <w:marRight w:val="0"/>
      <w:marTop w:val="0"/>
      <w:marBottom w:val="0"/>
      <w:divBdr>
        <w:top w:val="none" w:sz="0" w:space="0" w:color="auto"/>
        <w:left w:val="none" w:sz="0" w:space="0" w:color="auto"/>
        <w:bottom w:val="none" w:sz="0" w:space="0" w:color="auto"/>
        <w:right w:val="none" w:sz="0" w:space="0" w:color="auto"/>
      </w:divBdr>
    </w:div>
    <w:div w:id="2022780430">
      <w:bodyDiv w:val="1"/>
      <w:marLeft w:val="0"/>
      <w:marRight w:val="0"/>
      <w:marTop w:val="0"/>
      <w:marBottom w:val="0"/>
      <w:divBdr>
        <w:top w:val="none" w:sz="0" w:space="0" w:color="auto"/>
        <w:left w:val="none" w:sz="0" w:space="0" w:color="auto"/>
        <w:bottom w:val="none" w:sz="0" w:space="0" w:color="auto"/>
        <w:right w:val="none" w:sz="0" w:space="0" w:color="auto"/>
      </w:divBdr>
    </w:div>
    <w:div w:id="2029091526">
      <w:bodyDiv w:val="1"/>
      <w:marLeft w:val="0"/>
      <w:marRight w:val="0"/>
      <w:marTop w:val="0"/>
      <w:marBottom w:val="0"/>
      <w:divBdr>
        <w:top w:val="none" w:sz="0" w:space="0" w:color="auto"/>
        <w:left w:val="none" w:sz="0" w:space="0" w:color="auto"/>
        <w:bottom w:val="none" w:sz="0" w:space="0" w:color="auto"/>
        <w:right w:val="none" w:sz="0" w:space="0" w:color="auto"/>
      </w:divBdr>
    </w:div>
    <w:div w:id="2036153853">
      <w:bodyDiv w:val="1"/>
      <w:marLeft w:val="0"/>
      <w:marRight w:val="0"/>
      <w:marTop w:val="0"/>
      <w:marBottom w:val="0"/>
      <w:divBdr>
        <w:top w:val="none" w:sz="0" w:space="0" w:color="auto"/>
        <w:left w:val="none" w:sz="0" w:space="0" w:color="auto"/>
        <w:bottom w:val="none" w:sz="0" w:space="0" w:color="auto"/>
        <w:right w:val="none" w:sz="0" w:space="0" w:color="auto"/>
      </w:divBdr>
    </w:div>
    <w:div w:id="2069567305">
      <w:bodyDiv w:val="1"/>
      <w:marLeft w:val="0"/>
      <w:marRight w:val="0"/>
      <w:marTop w:val="0"/>
      <w:marBottom w:val="0"/>
      <w:divBdr>
        <w:top w:val="none" w:sz="0" w:space="0" w:color="auto"/>
        <w:left w:val="none" w:sz="0" w:space="0" w:color="auto"/>
        <w:bottom w:val="none" w:sz="0" w:space="0" w:color="auto"/>
        <w:right w:val="none" w:sz="0" w:space="0" w:color="auto"/>
      </w:divBdr>
    </w:div>
    <w:div w:id="2119372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f.gob.mx/nota_detalle.php?codigo=5551415&amp;fecha=28/02/2019"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dof.gob.mx/nota_detalle.php?codigo=5551415&amp;fecha=28/02/2019" TargetMode="External"/><Relationship Id="rId4" Type="http://schemas.openxmlformats.org/officeDocument/2006/relationships/settings" Target="settings.xml"/><Relationship Id="rId9" Type="http://schemas.openxmlformats.org/officeDocument/2006/relationships/hyperlink" Target="https://www.facebook.com/radiotlacuache104.1f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articulo19.org/autoridades-deben-proteger-a-director-de-reforma-por-agresiones-en-su-contra/" TargetMode="External"/><Relationship Id="rId13" Type="http://schemas.openxmlformats.org/officeDocument/2006/relationships/hyperlink" Target="https://www.mexico.com/actualidad/hay-periodistas-que-mienten-como-respiran-amlo/" TargetMode="External"/><Relationship Id="rId18" Type="http://schemas.openxmlformats.org/officeDocument/2006/relationships/hyperlink" Target="https://www.animalpolitico.com/2019/03/periodico-reforma-acusa-sat-intimidacion-amlo-niega-presion-gobierno/" TargetMode="External"/><Relationship Id="rId26" Type="http://schemas.openxmlformats.org/officeDocument/2006/relationships/hyperlink" Target="https://repositorio.cepal.org/bitstream/handle/11362/42209/1/S1700769_es.pdf" TargetMode="External"/><Relationship Id="rId3" Type="http://schemas.openxmlformats.org/officeDocument/2006/relationships/hyperlink" Target="https://articulo19.org/nueva-ley-de-uso-de-la-fuerza-criminalizacion-de-la-protesta-a-nivel-nacional/" TargetMode="External"/><Relationship Id="rId21" Type="http://schemas.openxmlformats.org/officeDocument/2006/relationships/hyperlink" Target="https://www.jornada.com.mx/ultimas/estados/2019/07/20/exigen-justicia-a-5-meses-del-homicidio-del-activista-samir-flores-4497.html" TargetMode="External"/><Relationship Id="rId7" Type="http://schemas.openxmlformats.org/officeDocument/2006/relationships/hyperlink" Target="https://articulo19.org/autoridades-deben-proteger-a-director-de-reforma-por-agresiones-en-su-contra/" TargetMode="External"/><Relationship Id="rId12" Type="http://schemas.openxmlformats.org/officeDocument/2006/relationships/hyperlink" Target="https://articulo19.org/wp-content/uploads/2019/01/Article19-Carta-AMLO_v2-2.pdf" TargetMode="External"/><Relationship Id="rId17" Type="http://schemas.openxmlformats.org/officeDocument/2006/relationships/hyperlink" Target="https://hojaderutadigital.mx/voy-a-cumplir-todos-los-compromisos-no-le-voy-a-fallar-al-pueblo-pero-debe-reconocerse-el-punto-de-partida-dice-el-presidente-electo/" TargetMode="External"/><Relationship Id="rId25" Type="http://schemas.openxmlformats.org/officeDocument/2006/relationships/hyperlink" Target="https://r3d.mx/2019/06/19/gobierno-espia-cronologia/" TargetMode="External"/><Relationship Id="rId2" Type="http://schemas.openxmlformats.org/officeDocument/2006/relationships/hyperlink" Target="https://articulo19.org/delito-de-halconeo-entro-en-vigor-en-guanajuato-criminaliza-la-labor-periodistica/" TargetMode="External"/><Relationship Id="rId16" Type="http://schemas.openxmlformats.org/officeDocument/2006/relationships/hyperlink" Target="https://www.proceso.com.mx/551408/y-lanza-a-detractores-son-conservadores-camajanes-y-prensa-fifi" TargetMode="External"/><Relationship Id="rId20" Type="http://schemas.openxmlformats.org/officeDocument/2006/relationships/hyperlink" Target="https://www.bbc.com/mundo/noticias-america-latina-47313937" TargetMode="External"/><Relationship Id="rId1" Type="http://schemas.openxmlformats.org/officeDocument/2006/relationships/hyperlink" Target="https://articulo19.org/aprobacion-de-leygarrote-en-tabasco-criminaliza-el-derecho-a-la-protesta/" TargetMode="External"/><Relationship Id="rId6" Type="http://schemas.openxmlformats.org/officeDocument/2006/relationships/hyperlink" Target="https://articulo19.org/senalamientos-del-presidente-a-la-revista-proceso-son-una-forma-de-presion-e-intimidacion/" TargetMode="External"/><Relationship Id="rId11" Type="http://schemas.openxmlformats.org/officeDocument/2006/relationships/hyperlink" Target="https://articulo19.org/en-los-primeros-cien-dias-de-gobierno-se-ha-intensificado-la-intolerancia-a-la-critica-y-el-discurso-disidente/" TargetMode="External"/><Relationship Id="rId24" Type="http://schemas.openxmlformats.org/officeDocument/2006/relationships/hyperlink" Target="https://www.gob.mx/cms/uploads/attachment/file/483768/ESTADISTICAS_Jul_2019.pdf" TargetMode="External"/><Relationship Id="rId5" Type="http://schemas.openxmlformats.org/officeDocument/2006/relationships/hyperlink" Target="https://articulo19.org/senalamientos-del-presidente-a-la-revista-proceso-son-una-forma-de-presion-e-intimidacion/" TargetMode="External"/><Relationship Id="rId15" Type="http://schemas.openxmlformats.org/officeDocument/2006/relationships/hyperlink" Target="https://politica.expansion.mx/presidencia/2018/10/15/vamos-a-autolimitarnos-todos-dice-amlo-a-la-prensa" TargetMode="External"/><Relationship Id="rId23" Type="http://schemas.openxmlformats.org/officeDocument/2006/relationships/hyperlink" Target="https://articulo19.org/sujetos-armados-intentan-ingresar-a-domicilio-de-locutor-de-radio-tlacuache-en-puebla/" TargetMode="External"/><Relationship Id="rId28" Type="http://schemas.openxmlformats.org/officeDocument/2006/relationships/hyperlink" Target="https://www.ifla.org/files/assets/hq/topics/libraries-development/documents/access-and-opportunity-for-all-es.pdf" TargetMode="External"/><Relationship Id="rId10" Type="http://schemas.openxmlformats.org/officeDocument/2006/relationships/hyperlink" Target="https://articulo19.org/en-los-primeros-cien-dias-de-gobierno-se-ha-intensificado-la-intolerancia-a-la-critica-y-el-discurso-disidente/" TargetMode="External"/><Relationship Id="rId19" Type="http://schemas.openxmlformats.org/officeDocument/2006/relationships/hyperlink" Target="https://www.animalpolitico.com/2019/02/asesinan-balazos-samir-flores-activista-opositor-termoelectrica/" TargetMode="External"/><Relationship Id="rId4" Type="http://schemas.openxmlformats.org/officeDocument/2006/relationships/hyperlink" Target="https://www.animalpolitico.com/2019/05/ley-uso-fuerza-reglas-derechos/" TargetMode="External"/><Relationship Id="rId9" Type="http://schemas.openxmlformats.org/officeDocument/2006/relationships/hyperlink" Target="https://articulo19.org/carta-abierta-a-amlo/" TargetMode="External"/><Relationship Id="rId14" Type="http://schemas.openxmlformats.org/officeDocument/2006/relationships/hyperlink" Target="https://www.radioformula.com.mx/noticias/mexico/20181016/amlo-critica-a-carlos-loret-hay-periodistas-que-mienten-como-respiran-acusa/" TargetMode="External"/><Relationship Id="rId22" Type="http://schemas.openxmlformats.org/officeDocument/2006/relationships/hyperlink" Target="https://fmcholollan.org.mx/comunicado-intentan-asesinar-al-comunicador-indigena-salvador-sanchez-bolanos-de-radio-tlacuache-en-zoquitlan-puebla/" TargetMode="External"/><Relationship Id="rId27" Type="http://schemas.openxmlformats.org/officeDocument/2006/relationships/hyperlink" Target="https://articulo19.org/wp-content/uploads/2017/07/TRANSPARENCIA-PROACTIV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8E9D23-F585-4B8D-86C1-09869302DAEE}">
  <ds:schemaRefs>
    <ds:schemaRef ds:uri="http://schemas.openxmlformats.org/officeDocument/2006/bibliography"/>
  </ds:schemaRefs>
</ds:datastoreItem>
</file>

<file path=customXml/itemProps2.xml><?xml version="1.0" encoding="utf-8"?>
<ds:datastoreItem xmlns:ds="http://schemas.openxmlformats.org/officeDocument/2006/customXml" ds:itemID="{704B92F6-64DE-4DEA-9799-72E942FA9C5A}"/>
</file>

<file path=customXml/itemProps3.xml><?xml version="1.0" encoding="utf-8"?>
<ds:datastoreItem xmlns:ds="http://schemas.openxmlformats.org/officeDocument/2006/customXml" ds:itemID="{88348FA5-3F13-4A7C-B256-61A86A54B37A}"/>
</file>

<file path=customXml/itemProps4.xml><?xml version="1.0" encoding="utf-8"?>
<ds:datastoreItem xmlns:ds="http://schemas.openxmlformats.org/officeDocument/2006/customXml" ds:itemID="{D4C6522D-47E6-4F30-8386-1B8152CF3E5C}"/>
</file>

<file path=docProps/app.xml><?xml version="1.0" encoding="utf-8"?>
<Properties xmlns="http://schemas.openxmlformats.org/officeDocument/2006/extended-properties" xmlns:vt="http://schemas.openxmlformats.org/officeDocument/2006/docPropsVTypes">
  <Template>Normal</Template>
  <TotalTime>1</TotalTime>
  <Pages>21</Pages>
  <Words>8777</Words>
  <Characters>47313</Characters>
  <Application>Microsoft Office Word</Application>
  <DocSecurity>0</DocSecurity>
  <Lines>685</Lines>
  <Paragraphs>185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55905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A19 user</cp:lastModifiedBy>
  <cp:revision>2</cp:revision>
  <dcterms:created xsi:type="dcterms:W3CDTF">2019-10-08T09:18:00Z</dcterms:created>
  <dcterms:modified xsi:type="dcterms:W3CDTF">2019-10-08T09:18:00Z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