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left"/>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shd w:fill="00ff66" w:val="clear"/>
        <w:spacing w:after="240" w:lineRule="auto"/>
        <w:jc w:val="center"/>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Contribution regarding the combined twenty-fourth and twenty-fifth periodic reports of Mauritius on colonial discriminatory legacies and non-discrimination framework</w:t>
      </w:r>
      <w:r w:rsidDel="00000000" w:rsidR="00000000" w:rsidRPr="00000000">
        <w:rPr>
          <w:rtl w:val="0"/>
        </w:rPr>
      </w:r>
    </w:p>
    <w:p w:rsidR="00000000" w:rsidDel="00000000" w:rsidP="00000000" w:rsidRDefault="00000000" w:rsidRPr="00000000" w14:paraId="00000003">
      <w:pPr>
        <w:shd w:fill="00ff66" w:val="clear"/>
        <w:spacing w:after="240" w:lineRule="auto"/>
        <w:jc w:val="center"/>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Presented by ODRI - Office against Discrimination, Racism and Intolerance</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March 31, </w:t>
      </w: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202</w:t>
      </w:r>
      <w:r w:rsidDel="00000000" w:rsidR="00000000" w:rsidRPr="00000000">
        <w:rPr>
          <w:rFonts w:ascii="Helvetica Neue" w:cs="Helvetica Neue" w:eastAsia="Helvetica Neue" w:hAnsi="Helvetica Neue"/>
          <w:b w:val="1"/>
          <w:sz w:val="24"/>
          <w:szCs w:val="24"/>
          <w:rtl w:val="0"/>
        </w:rPr>
        <w:t xml:space="preserve">5</w:t>
      </w: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w:t>
      </w:r>
      <w:r w:rsidDel="00000000" w:rsidR="00000000" w:rsidRPr="00000000">
        <w:rPr>
          <w:rFonts w:ascii="Helvetica Neue" w:cs="Helvetica Neue" w:eastAsia="Helvetica Neue" w:hAnsi="Helvetica Neue"/>
          <w:b w:val="1"/>
          <w:sz w:val="24"/>
          <w:szCs w:val="24"/>
          <w:rtl w:val="0"/>
        </w:rPr>
        <w:t xml:space="preserve">2862</w:t>
      </w: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 words)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Introduction</w:t>
      </w: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br w:type="textWrapping"/>
      </w:r>
    </w:p>
    <w:p w:rsidR="00000000" w:rsidDel="00000000" w:rsidP="00000000" w:rsidRDefault="00000000" w:rsidRPr="00000000" w14:paraId="00000009">
      <w:pPr>
        <w:widowControl w:val="0"/>
        <w:spacing w:after="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ODRI, the Office against Discrimination, Racism, and Intolerance, appreciates the opportunity to collaborate with the Committee on the Elimination of All Forms of Racial Discrimination. This submission highlights two critical issues requiring the Committee’s attention: the lingering effects of colonialism and the slave trade in immigration regulations, The criminalization of same-sex relations as a colonial holdover, and racial profiling risks associated with anti-terrorism legislation.</w:t>
      </w:r>
    </w:p>
    <w:p w:rsidR="00000000" w:rsidDel="00000000" w:rsidP="00000000" w:rsidRDefault="00000000" w:rsidRPr="00000000" w14:paraId="0000000A">
      <w:pPr>
        <w:widowControl w:val="0"/>
        <w:spacing w:after="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We hope our input will assist the Committee in advancing racial equality in Mauritius. ODRI stands ready to support CERD in implementing these recommendations.</w:t>
      </w:r>
    </w:p>
    <w:p w:rsidR="00000000" w:rsidDel="00000000" w:rsidP="00000000" w:rsidRDefault="00000000" w:rsidRPr="00000000" w14:paraId="0000000B">
      <w:pPr>
        <w:widowControl w:val="0"/>
        <w:numPr>
          <w:ilvl w:val="0"/>
          <w:numId w:val="1"/>
        </w:numPr>
        <w:ind w:left="720" w:hanging="360"/>
        <w:jc w:val="both"/>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Lingering effects of colonialism and the slave trade</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  Mauritius’ colonial history is marked by successive periods of Dutch, French, and British rule. Both the periodic report (CERD/C/MUS/24-25, para. 20) and the 2024 Common Core Document (HRI/CORE/MUS/2024, para. 132) acknowledge the need for remedial legal and administrative measures to address the consequences of colonialism and the slave trade.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 During the French colonial period, slavery profoundly transformed Mauritius’s society, economy, and demographics. To sustain the plantation economy, the French imported enslaved laborers from Madagascar, Mozambique, and the Swahili Coast beginning in the early 18th century.</w:t>
      </w:r>
      <w:r w:rsidDel="00000000" w:rsidR="00000000" w:rsidRPr="00000000">
        <w:rPr>
          <w:rFonts w:ascii="Helvetica Neue" w:cs="Helvetica Neue" w:eastAsia="Helvetica Neue" w:hAnsi="Helvetica Neue"/>
          <w:sz w:val="24"/>
          <w:szCs w:val="24"/>
          <w:vertAlign w:val="superscript"/>
        </w:rPr>
        <w:footnoteReference w:customMarkFollows="0" w:id="0"/>
      </w:r>
      <w:r w:rsidDel="00000000" w:rsidR="00000000" w:rsidRPr="00000000">
        <w:rPr>
          <w:rFonts w:ascii="Helvetica Neue" w:cs="Helvetica Neue" w:eastAsia="Helvetica Neue" w:hAnsi="Helvetica Neue"/>
          <w:sz w:val="24"/>
          <w:szCs w:val="24"/>
          <w:rtl w:val="0"/>
        </w:rPr>
        <w:t xml:space="preserve"> The enslaved population grew rapidly, exceeding 60,000 by the early 19th century. The oppressive legal framework, notably the Code Noir, institutionalized this dehumanization by classifying enslaved people as "movable property," stripping them of basic human rights. This system of subjugation left a lasting legacy of racism and inequality that continues to shape Mauritian society today. For true racial equality to be achieved, these historical injustices must be acknowledged, and their contemporary impacts addressed. Following the abolition of slavery in 1835, the British colonial administration introduced ordinances to secure a steady labor supply for sugarcane plantations and regulate familial relationships among workers’ descendants.</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3. These laws facilitated new forms of exploitation, bringing tens of thousands of indentured workers—primarily from India—under conditions resembling slavery. Although indenture was ostensibly voluntary, the vast power imbalance between the British administration and impoverished, low-caste Indian laborers meant that consent was often coerced or misinformed. This systemic exploitation was reinforced by racialized hierarchies that positioned Europeans as superior and Indians as inferior. Notably, exploitation persisted even after the official abolition of slavery. Despite the British Empire banning the slave trade in 1807, illicit trafficking continued, driven by economic interests.</w:t>
      </w:r>
      <w:r w:rsidDel="00000000" w:rsidR="00000000" w:rsidRPr="00000000">
        <w:rPr>
          <w:rFonts w:ascii="Helvetica Neue" w:cs="Helvetica Neue" w:eastAsia="Helvetica Neue" w:hAnsi="Helvetica Neue"/>
          <w:sz w:val="24"/>
          <w:szCs w:val="24"/>
          <w:vertAlign w:val="superscript"/>
        </w:rPr>
        <w:footnoteReference w:customMarkFollows="0" w:id="1"/>
      </w:r>
      <w:r w:rsidDel="00000000" w:rsidR="00000000" w:rsidRPr="00000000">
        <w:rPr>
          <w:rFonts w:ascii="Helvetica Neue" w:cs="Helvetica Neue" w:eastAsia="Helvetica Neue" w:hAnsi="Helvetica Neue"/>
          <w:sz w:val="24"/>
          <w:szCs w:val="24"/>
          <w:rtl w:val="0"/>
        </w:rPr>
        <w:t xml:space="preserv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 Consequently, the enslaved population continued to grow, sustaining labor for lucrative sugarcane plantations. After 1835, the demand for labor remained high, leading to the importation of nearly half a million Indian indentured workers. Bound by exploitative contracts and subjected to brutal conditions, these laborers had little recourse.</w:t>
      </w:r>
      <w:r w:rsidDel="00000000" w:rsidR="00000000" w:rsidRPr="00000000">
        <w:rPr>
          <w:rFonts w:ascii="Helvetica Neue" w:cs="Helvetica Neue" w:eastAsia="Helvetica Neue" w:hAnsi="Helvetica Neue"/>
          <w:sz w:val="24"/>
          <w:szCs w:val="24"/>
          <w:vertAlign w:val="superscript"/>
        </w:rPr>
        <w:footnoteReference w:customMarkFollows="0" w:id="2"/>
      </w:r>
      <w:r w:rsidDel="00000000" w:rsidR="00000000" w:rsidRPr="00000000">
        <w:rPr>
          <w:rFonts w:ascii="Helvetica Neue" w:cs="Helvetica Neue" w:eastAsia="Helvetica Neue" w:hAnsi="Helvetica Neue"/>
          <w:sz w:val="24"/>
          <w:szCs w:val="24"/>
          <w:rtl w:val="0"/>
        </w:rPr>
        <w:t xml:space="preserve"> Scholars argue that indenture constituted another form of coerced labor, as desperate economic circumstances left workers with no real choice.</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 In recent years, the Mauritian government has taken steps to support victims and marginalized groups through initiatives such as the Truth and Justice Commission, trust funds, cultural centers, and heritage programs. While commendable, these efforts have not fully dismantled persistent racial disparities, which remain entrenched in the normative framework. This underscores the urgent need for CERD to provide guidance on further measures to counter the enduring effects of colonialism and the slave trade.</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u w:val="single"/>
        </w:rPr>
      </w:pPr>
      <w:r w:rsidDel="00000000" w:rsidR="00000000" w:rsidRPr="00000000">
        <w:rPr>
          <w:rFonts w:ascii="Helvetica Neue" w:cs="Helvetica Neue" w:eastAsia="Helvetica Neue" w:hAnsi="Helvetica Neue"/>
          <w:sz w:val="24"/>
          <w:szCs w:val="24"/>
          <w:u w:val="single"/>
          <w:rtl w:val="0"/>
        </w:rPr>
        <w:t xml:space="preserve">Vagrancy laws and immigration governance</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3. Mauritius’s Vagrant Act of 1867, supplemented by legislation in 1878, criminalized individuals deemed to lack a fixed residence, means of subsistence, or regular employment—purportedly to penalize idleness and enforce labor discipline. These laws were explicitly designed to control the movement of indentured and non-indentured workers, particularly Indian "coolies." The definition of a "vagrant" included those without a valid pass, permanent residence, or employment, disproportionately targeting the Indian community. The laws had devastating consequences, most notably during the Grand River Depot period (1864–1886), where thousands of Indians were imprisoned under brutal conditions, stripped of freedom and dignity. Despite recommendations by the Law Reform Commission to repeal this legislation, it remains in force, perpetuating its colonial legacy in modern Mauritian society.</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 The Penal Code (1981) retains a definition of vagrancy strikingly similar to its historical counterpart, encompassing individuals without a fixed abode, visible means of subsistence, or a regular profession. This classification implicitly discriminates against migrants, homeless populations, informal workers (hawkers, street vendors, sex workers), and LGBTQ+ individuals, reinforcing racialized poverty and marginalization. The law’s continued existence heightens risks of racial profiling and over-policing, particularly affecting Creole communities and other racial/national minorities. Thus, while rooted in colonialism, vagrancy laws still exert a pernicious influence on contemporary Mauritian society.</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 Colonial-era persecution persists under the 2022 Immigration Act. Article 5(d) designates "habitual beggars or vagrants" as "inadmissible", exposing vulnerable migrants to deportation risks.</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6. The Immigration Act’s Article 5 introduces further discriminatory provisions: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Article 5(a) bars individuals with "infectious, contagious, or communicable diseases"—a broad category that could encompass HIV/AIDS, disproportionately affecting marginalized groups. This risks indirect racial discrimination, as vulnerable populations are more likely to face such health disparities.</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These concerns are exemplified by reports (2023) of travel companies </w:t>
      </w:r>
      <w:hyperlink r:id="rId8">
        <w:r w:rsidDel="00000000" w:rsidR="00000000" w:rsidRPr="00000000">
          <w:rPr>
            <w:rFonts w:ascii="Helvetica Neue" w:cs="Helvetica Neue" w:eastAsia="Helvetica Neue" w:hAnsi="Helvetica Neue"/>
            <w:color w:val="1155cc"/>
            <w:sz w:val="24"/>
            <w:szCs w:val="24"/>
            <w:u w:val="single"/>
            <w:rtl w:val="0"/>
          </w:rPr>
          <w:t xml:space="preserve">advising </w:t>
        </w:r>
      </w:hyperlink>
      <w:r w:rsidDel="00000000" w:rsidR="00000000" w:rsidRPr="00000000">
        <w:rPr>
          <w:rFonts w:ascii="Helvetica Neue" w:cs="Helvetica Neue" w:eastAsia="Helvetica Neue" w:hAnsi="Helvetica Neue"/>
          <w:sz w:val="24"/>
          <w:szCs w:val="24"/>
          <w:rtl w:val="0"/>
        </w:rPr>
        <w:t xml:space="preserve">tourists and temporary workers to undergo mandatory HIV testing—a practice violating public health norms and stigmatizing HIV-positive individuals. The Mauritian government should repeal Article 5(a) and align immigration policies with international anti-discrimination standards.</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7. The 2022 Immigration Act must be read alongside the HIV and AIDS Act (2006), particularly Article 6, which prohibits mandatory HIV testing for employment and services—yet explicitly exempts immigration-related testing:</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hyperlink r:id="rId9">
        <w:r w:rsidDel="00000000" w:rsidR="00000000" w:rsidRPr="00000000">
          <w:rPr>
            <w:rFonts w:ascii="Helvetica Neue" w:cs="Helvetica Neue" w:eastAsia="Helvetica Neue" w:hAnsi="Helvetica Neue"/>
            <w:i w:val="1"/>
            <w:color w:val="1155cc"/>
            <w:sz w:val="24"/>
            <w:szCs w:val="24"/>
            <w:u w:val="single"/>
            <w:rtl w:val="0"/>
          </w:rPr>
          <w:t xml:space="preserve">6. Prohibited testing</w:t>
        </w:r>
      </w:hyperlink>
      <w:r w:rsidDel="00000000" w:rsidR="00000000" w:rsidRPr="00000000">
        <w:rPr>
          <w:rFonts w:ascii="Helvetica Neue" w:cs="Helvetica Neue" w:eastAsia="Helvetica Neue" w:hAnsi="Helvetica Neue"/>
          <w:sz w:val="24"/>
          <w:szCs w:val="24"/>
          <w:rtl w:val="0"/>
        </w:rPr>
        <w:t xml:space="preserve"> </w:t>
      </w:r>
      <w:r w:rsidDel="00000000" w:rsidR="00000000" w:rsidRPr="00000000">
        <w:rPr>
          <w:rFonts w:ascii="Helvetica Neue" w:cs="Helvetica Neue" w:eastAsia="Helvetica Neue" w:hAnsi="Helvetica Neue"/>
          <w:sz w:val="24"/>
          <w:szCs w:val="24"/>
          <w:rtl w:val="0"/>
        </w:rPr>
        <w:t xml:space="preserve">Article 6(1): No person shall require an HIV test as a condition for employment, benefits, or services. “</w:t>
      </w:r>
      <w:r w:rsidDel="00000000" w:rsidR="00000000" w:rsidRPr="00000000">
        <w:rPr>
          <w:rFonts w:ascii="Helvetica Neue" w:cs="Helvetica Neue" w:eastAsia="Helvetica Neue" w:hAnsi="Helvetica Neue"/>
          <w:i w:val="1"/>
          <w:sz w:val="24"/>
          <w:szCs w:val="24"/>
          <w:rtl w:val="0"/>
        </w:rPr>
        <w:t xml:space="preserve">(1) No person shall induce or cause another person to undergo an HIV test— (a) as a condition for employment, continued employment benefits and promotion or continued employment of the other person; (b) as a condition for procurement or offer of goods and services from the other person“.</w:t>
      </w: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i w:val="1"/>
          <w:sz w:val="24"/>
          <w:szCs w:val="24"/>
        </w:rPr>
      </w:pPr>
      <w:r w:rsidDel="00000000" w:rsidR="00000000" w:rsidRPr="00000000">
        <w:rPr>
          <w:rFonts w:ascii="Helvetica Neue" w:cs="Helvetica Neue" w:eastAsia="Helvetica Neue" w:hAnsi="Helvetica Neue"/>
          <w:sz w:val="24"/>
          <w:szCs w:val="24"/>
          <w:rtl w:val="0"/>
        </w:rPr>
        <w:t xml:space="preserve">Article 6(2): Exception: Testing may be required for immigration, citizenship, defense, or public safety. </w:t>
      </w:r>
      <w:r w:rsidDel="00000000" w:rsidR="00000000" w:rsidRPr="00000000">
        <w:rPr>
          <w:rFonts w:ascii="Helvetica Neue" w:cs="Helvetica Neue" w:eastAsia="Helvetica Neue" w:hAnsi="Helvetica Neue"/>
          <w:i w:val="1"/>
          <w:sz w:val="24"/>
          <w:szCs w:val="24"/>
          <w:rtl w:val="0"/>
        </w:rPr>
        <w:t xml:space="preserve">“(2) Nothing under subsection (1) shall prevent the requirement of an HIV test in connection with any application relating to immigration, citizenship, defence or public safety“.</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8. In 2023, the Mauritian government enacted the HIV and AIDS (Amendment) Act No. 1, which still maintains the </w:t>
      </w:r>
      <w:hyperlink r:id="rId10">
        <w:r w:rsidDel="00000000" w:rsidR="00000000" w:rsidRPr="00000000">
          <w:rPr>
            <w:rFonts w:ascii="Helvetica Neue" w:cs="Helvetica Neue" w:eastAsia="Helvetica Neue" w:hAnsi="Helvetica Neue"/>
            <w:color w:val="1155cc"/>
            <w:sz w:val="24"/>
            <w:szCs w:val="24"/>
            <w:u w:val="single"/>
            <w:rtl w:val="0"/>
          </w:rPr>
          <w:t xml:space="preserve">mandatory HIV/AIDS testing</w:t>
        </w:r>
      </w:hyperlink>
      <w:r w:rsidDel="00000000" w:rsidR="00000000" w:rsidRPr="00000000">
        <w:rPr>
          <w:rFonts w:ascii="Helvetica Neue" w:cs="Helvetica Neue" w:eastAsia="Helvetica Neue" w:hAnsi="Helvetica Neue"/>
          <w:sz w:val="24"/>
          <w:szCs w:val="24"/>
          <w:rtl w:val="0"/>
        </w:rPr>
        <w:t xml:space="preserve"> for immigration. This requirement contravenes General Recommendation No. 37 (2024), which affirms that "</w:t>
      </w:r>
      <w:r w:rsidDel="00000000" w:rsidR="00000000" w:rsidRPr="00000000">
        <w:rPr>
          <w:rFonts w:ascii="Helvetica Neue" w:cs="Helvetica Neue" w:eastAsia="Helvetica Neue" w:hAnsi="Helvetica Neue"/>
          <w:i w:val="1"/>
          <w:sz w:val="24"/>
          <w:szCs w:val="24"/>
          <w:rtl w:val="0"/>
        </w:rPr>
        <w:t xml:space="preserve">mandatory HIV/AIDS testing applied exclusively to non-citizens—or based on race, color, descent, or national/ethnic origin—for employment, entry, stay, or residence purposes is both ineffective for public health and inherently discriminatory</w:t>
      </w:r>
      <w:r w:rsidDel="00000000" w:rsidR="00000000" w:rsidRPr="00000000">
        <w:rPr>
          <w:rFonts w:ascii="Helvetica Neue" w:cs="Helvetica Neue" w:eastAsia="Helvetica Neue" w:hAnsi="Helvetica Neue"/>
          <w:sz w:val="24"/>
          <w:szCs w:val="24"/>
          <w:rtl w:val="0"/>
        </w:rPr>
        <w:t xml:space="preserve">" (CERD/C/GC/37, para. 30).</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C">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u w:val="single"/>
          <w:rtl w:val="0"/>
        </w:rPr>
        <w:t xml:space="preserve">Intersectional Forms of Racial Discrimination and Inequalities Against Migrant and LGBTIQ Communities</w:t>
      </w:r>
      <w:r w:rsidDel="00000000" w:rsidR="00000000" w:rsidRPr="00000000">
        <w:rPr>
          <w:rtl w:val="0"/>
        </w:rPr>
      </w:r>
    </w:p>
    <w:p w:rsidR="00000000" w:rsidDel="00000000" w:rsidP="00000000" w:rsidRDefault="00000000" w:rsidRPr="00000000" w14:paraId="0000002D">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E">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9. Article 6 of the Immigration Act includes vague "morality clauses", rooted in colonialist legislations, that exclude migrants suspected of "immorality" or "prostitution"—subjective criteria that risk discriminatory enforcement against marginalized groups, particularly low-income migrants and LGBTIQ individuals. These provisions stand in stark contrast to the expedited residency pathways offered to wealthy investors and property buyers (minimum investment: $375,000), a policy that disproportionately benefits white Franco-Mauritians and foreign elites. This dichotomy reinforces systemic inequalities, privileging economic status and race while further marginalizing vulnerable communities. The law’s selective enforcement perpetuates existing racial, economic, and social hierarchies, embedding colonial-era biases into modern immigration governance.</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u w:val="single"/>
          <w:rtl w:val="0"/>
        </w:rPr>
        <w:t xml:space="preserve">Same-sex criminalization</w:t>
      </w:r>
      <w:r w:rsidDel="00000000" w:rsidR="00000000" w:rsidRPr="00000000">
        <w:rPr>
          <w:rFonts w:ascii="Helvetica Neue" w:cs="Helvetica Neue" w:eastAsia="Helvetica Neue" w:hAnsi="Helvetica Neue"/>
          <w:sz w:val="24"/>
          <w:szCs w:val="24"/>
          <w:rtl w:val="0"/>
        </w:rPr>
        <w:t xml:space="preserve">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color w:val="404040"/>
          <w:sz w:val="24"/>
          <w:szCs w:val="24"/>
        </w:rPr>
      </w:pPr>
      <w:r w:rsidDel="00000000" w:rsidR="00000000" w:rsidRPr="00000000">
        <w:rPr>
          <w:rFonts w:ascii="Helvetica Neue" w:cs="Helvetica Neue" w:eastAsia="Helvetica Neue" w:hAnsi="Helvetica Neue"/>
          <w:sz w:val="24"/>
          <w:szCs w:val="24"/>
          <w:rtl w:val="0"/>
        </w:rPr>
        <w:t xml:space="preserve">10.Mauritius continues to grapple with the colonial-era criminalization of consensual same-sex relations under Section 250 of the Penal Code, which prohibits "sodomy" (interpreted as male same-sex activity) and imposes penalties of up to five years’ imprisonment. While this law has faced legal challenges, progress remains incomplete.  This is</w:t>
      </w:r>
      <w:r w:rsidDel="00000000" w:rsidR="00000000" w:rsidRPr="00000000">
        <w:rPr>
          <w:rFonts w:ascii="Helvetica Neue" w:cs="Helvetica Neue" w:eastAsia="Helvetica Neue" w:hAnsi="Helvetica Neue"/>
          <w:sz w:val="24"/>
          <w:szCs w:val="24"/>
          <w:rtl w:val="0"/>
        </w:rPr>
        <w:t xml:space="preserve"> a direct inheritance from British colonial rule that continues to institutionalize discrimination against LGBTQ+ individuals, particularly those from Creole, Afro-Mauritian, and other racial minority communities who face compounded marginalization.</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 In a landmark 2023 ruling, the Supreme Court of Mauritius declared Section 250 unconstitutional in </w:t>
      </w:r>
      <w:r w:rsidDel="00000000" w:rsidR="00000000" w:rsidRPr="00000000">
        <w:rPr>
          <w:rFonts w:ascii="Helvetica Neue" w:cs="Helvetica Neue" w:eastAsia="Helvetica Neue" w:hAnsi="Helvetica Neue"/>
          <w:i w:val="1"/>
          <w:sz w:val="24"/>
          <w:szCs w:val="24"/>
          <w:rtl w:val="0"/>
        </w:rPr>
        <w:t xml:space="preserve">Ah Seek v State of Mauritius and Fokeerbux v State of Mauritius</w:t>
      </w:r>
      <w:r w:rsidDel="00000000" w:rsidR="00000000" w:rsidRPr="00000000">
        <w:rPr>
          <w:rFonts w:ascii="Helvetica Neue" w:cs="Helvetica Neue" w:eastAsia="Helvetica Neue" w:hAnsi="Helvetica Neue"/>
          <w:sz w:val="24"/>
          <w:szCs w:val="24"/>
          <w:rtl w:val="0"/>
        </w:rPr>
        <w:t xml:space="preserve">, affirming that the constitutional guarantee of non-discrimination (Section 16) encompasses sexual orientation. As noted by the government of Mauritius in the 2024 Common Core Document (HRI/CORE/MUS/2024, para. 48), this judicial decision has paved the way for decriminalization. Despite this judicial victory, the Penal Code has not been amended, leaving the law on the books and perpetuating stigma. This legislative inertia undermines Mauritius’ ability to combat intersectional discrimination, particularly for LGBTQ+ individuals who face compounded marginalization due to race, gender identity, or socioeconomic status. The continued existence of Section 250 particularly harms LGBTQ+ individuals from disadvantaged racial backgrounds, who face heightened vulnerability to police profiling, employment discrimination, and social exclusion - all manifestations of the enduring intersection between colonial-era sexual repression and racial hierarchy.</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 To fully realize the potential of Mauritius’s anti-discrimination framework, the Committee should urge the government to swiftly repeal Section 250 of the Penal Code, as well as enact other necessary legislative reforms to ensure that all individuals, regardless of their sexual orientation, are protected from discrimination and have equal access to their rights under the law. Moreover, the Committee should emphasize the importance of addressing intersectional forms of discrimination, as LGBTQ+ individuals may face compounded discrimination based on other identities such as race, sexual orientation, gender identity, or economic status.</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8">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u w:val="single"/>
          <w:rtl w:val="0"/>
        </w:rPr>
        <w:t xml:space="preserve">Suggestions to the CERD Task Force</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A">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13. The lingering practices of banning vagrant migration, moral clauses for persecuting migrants, mandatory HIV/AIDS testing and the criminalization of same-sex relations in Mauritius are indicative of broader failures to address racial discrimination and intersectional forms of discrimination. To fully address these issues, ODRI respectfully urges the Committee to provide the following recommendations during the constructive dialogue with Mauritius:</w:t>
      </w:r>
    </w:p>
    <w:p w:rsidR="00000000" w:rsidDel="00000000" w:rsidP="00000000" w:rsidRDefault="00000000" w:rsidRPr="00000000" w14:paraId="0000003B">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C">
      <w:pPr>
        <w:widowControl w:val="0"/>
        <w:ind w:left="720" w:firstLine="0"/>
        <w:jc w:val="both"/>
        <w:rPr>
          <w:rFonts w:ascii="Helvetica Neue" w:cs="Helvetica Neue" w:eastAsia="Helvetica Neue" w:hAnsi="Helvetica Neue"/>
          <w:i w:val="1"/>
          <w:sz w:val="24"/>
          <w:szCs w:val="24"/>
          <w:u w:val="single"/>
        </w:rPr>
      </w:pPr>
      <w:r w:rsidDel="00000000" w:rsidR="00000000" w:rsidRPr="00000000">
        <w:rPr>
          <w:rFonts w:ascii="Helvetica Neue" w:cs="Helvetica Neue" w:eastAsia="Helvetica Neue" w:hAnsi="Helvetica Neue"/>
          <w:i w:val="1"/>
          <w:sz w:val="24"/>
          <w:szCs w:val="24"/>
          <w:u w:val="single"/>
          <w:rtl w:val="0"/>
        </w:rPr>
        <w:t xml:space="preserve">13.a. Legal Reforms to Dismantle Systemic Discrimination</w:t>
      </w:r>
    </w:p>
    <w:p w:rsidR="00000000" w:rsidDel="00000000" w:rsidP="00000000" w:rsidRDefault="00000000" w:rsidRPr="00000000" w14:paraId="0000003D">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E">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Repeal all vagrancy laws and other colonial-era legislation that perpetuate structural racism</w:t>
      </w:r>
    </w:p>
    <w:p w:rsidR="00000000" w:rsidDel="00000000" w:rsidP="00000000" w:rsidRDefault="00000000" w:rsidRPr="00000000" w14:paraId="0000003F">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Remove Article 5(d) of the Immigration Act eliminating the discriminatory "vagrancy" classification</w:t>
      </w:r>
    </w:p>
    <w:p w:rsidR="00000000" w:rsidDel="00000000" w:rsidP="00000000" w:rsidRDefault="00000000" w:rsidRPr="00000000" w14:paraId="00000040">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Abolish mandatory HIV testing for migrants to align with international human rights standards</w:t>
      </w:r>
    </w:p>
    <w:p w:rsidR="00000000" w:rsidDel="00000000" w:rsidP="00000000" w:rsidRDefault="00000000" w:rsidRPr="00000000" w14:paraId="00000041">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Repeal Section 250 of the Penal Code to fully decriminalize same-sex relations</w:t>
      </w:r>
    </w:p>
    <w:p w:rsidR="00000000" w:rsidDel="00000000" w:rsidP="00000000" w:rsidRDefault="00000000" w:rsidRPr="00000000" w14:paraId="00000042">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Eliminate "public morality" clauses from the Immigration Act that stigmatize LGBTQ+ and marginalized groups</w:t>
      </w:r>
    </w:p>
    <w:p w:rsidR="00000000" w:rsidDel="00000000" w:rsidP="00000000" w:rsidRDefault="00000000" w:rsidRPr="00000000" w14:paraId="00000043">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44">
      <w:pPr>
        <w:widowControl w:val="0"/>
        <w:ind w:firstLine="720"/>
        <w:jc w:val="both"/>
        <w:rPr>
          <w:rFonts w:ascii="Helvetica Neue" w:cs="Helvetica Neue" w:eastAsia="Helvetica Neue" w:hAnsi="Helvetica Neue"/>
          <w:i w:val="1"/>
          <w:sz w:val="24"/>
          <w:szCs w:val="24"/>
          <w:u w:val="single"/>
        </w:rPr>
      </w:pPr>
      <w:r w:rsidDel="00000000" w:rsidR="00000000" w:rsidRPr="00000000">
        <w:rPr>
          <w:rFonts w:ascii="Helvetica Neue" w:cs="Helvetica Neue" w:eastAsia="Helvetica Neue" w:hAnsi="Helvetica Neue"/>
          <w:i w:val="1"/>
          <w:sz w:val="24"/>
          <w:szCs w:val="24"/>
          <w:u w:val="single"/>
          <w:rtl w:val="0"/>
        </w:rPr>
        <w:t xml:space="preserve">13.b. Proactive Measures for Intersectional Racial Justice</w:t>
      </w:r>
    </w:p>
    <w:p w:rsidR="00000000" w:rsidDel="00000000" w:rsidP="00000000" w:rsidRDefault="00000000" w:rsidRPr="00000000" w14:paraId="00000045">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46">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Establish non-discriminatory residency pathways for low-income migrant workers</w:t>
      </w:r>
    </w:p>
    <w:p w:rsidR="00000000" w:rsidDel="00000000" w:rsidP="00000000" w:rsidRDefault="00000000" w:rsidRPr="00000000" w14:paraId="00000047">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Implement targeted programs supporting LGBTQ+ individuals from marginalized racial communities in employment, housing and healthcare</w:t>
      </w:r>
    </w:p>
    <w:p w:rsidR="00000000" w:rsidDel="00000000" w:rsidP="00000000" w:rsidRDefault="00000000" w:rsidRPr="00000000" w14:paraId="00000048">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Conduct comprehensive audit of racial bias in immigration enforcement practices</w:t>
      </w:r>
    </w:p>
    <w:p w:rsidR="00000000" w:rsidDel="00000000" w:rsidP="00000000" w:rsidRDefault="00000000" w:rsidRPr="00000000" w14:paraId="00000049">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Provide mandatory anti-discrimination training for immigration officers</w:t>
      </w:r>
    </w:p>
    <w:p w:rsidR="00000000" w:rsidDel="00000000" w:rsidP="00000000" w:rsidRDefault="00000000" w:rsidRPr="00000000" w14:paraId="0000004A">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Develop intersectional data collection systems to track compounded discrimination</w:t>
      </w:r>
    </w:p>
    <w:p w:rsidR="00000000" w:rsidDel="00000000" w:rsidP="00000000" w:rsidRDefault="00000000" w:rsidRPr="00000000" w14:paraId="0000004B">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4C">
      <w:pPr>
        <w:widowControl w:val="0"/>
        <w:ind w:left="720" w:firstLine="0"/>
        <w:jc w:val="both"/>
        <w:rPr>
          <w:rFonts w:ascii="Helvetica Neue" w:cs="Helvetica Neue" w:eastAsia="Helvetica Neue" w:hAnsi="Helvetica Neue"/>
          <w:i w:val="1"/>
          <w:sz w:val="24"/>
          <w:szCs w:val="24"/>
          <w:u w:val="single"/>
        </w:rPr>
      </w:pPr>
      <w:r w:rsidDel="00000000" w:rsidR="00000000" w:rsidRPr="00000000">
        <w:rPr>
          <w:rFonts w:ascii="Helvetica Neue" w:cs="Helvetica Neue" w:eastAsia="Helvetica Neue" w:hAnsi="Helvetica Neue"/>
          <w:i w:val="1"/>
          <w:sz w:val="24"/>
          <w:szCs w:val="24"/>
          <w:u w:val="single"/>
          <w:rtl w:val="0"/>
        </w:rPr>
        <w:t xml:space="preserve">13.c. Institutional Accountability Measures</w:t>
      </w:r>
    </w:p>
    <w:p w:rsidR="00000000" w:rsidDel="00000000" w:rsidP="00000000" w:rsidRDefault="00000000" w:rsidRPr="00000000" w14:paraId="0000004D">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4E">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Create monitoring mechanisms to ensure implementation of anti-discrimination reforms</w:t>
      </w:r>
    </w:p>
    <w:p w:rsidR="00000000" w:rsidDel="00000000" w:rsidP="00000000" w:rsidRDefault="00000000" w:rsidRPr="00000000" w14:paraId="0000004F">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Establish clear timelines for legislative review and reform processes</w:t>
      </w:r>
    </w:p>
    <w:p w:rsidR="00000000" w:rsidDel="00000000" w:rsidP="00000000" w:rsidRDefault="00000000" w:rsidRPr="00000000" w14:paraId="00000050">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Develop partnerships with civil society organizations representing affected communities</w:t>
      </w:r>
    </w:p>
    <w:p w:rsidR="00000000" w:rsidDel="00000000" w:rsidP="00000000" w:rsidRDefault="00000000" w:rsidRPr="00000000" w14:paraId="00000051">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Implement regular reporting on progress addressing intersectional discrimination</w:t>
      </w:r>
    </w:p>
    <w:p w:rsidR="00000000" w:rsidDel="00000000" w:rsidP="00000000" w:rsidRDefault="00000000" w:rsidRPr="00000000" w14:paraId="00000052">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53">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14. With these recommendations, Mauritius can take essential steps towards dismantling systemic discrimination and promoting a more just and inclusive society. By addressing the root causes of discrimination, including historical legacies and current policy frameworks, the government can build a more equitable future for all its citizens and residents. ODRI hopes that the Committee will consider these recommendations and push for tangible change in Mauritius.</w:t>
      </w:r>
    </w:p>
    <w:p w:rsidR="00000000" w:rsidDel="00000000" w:rsidP="00000000" w:rsidRDefault="00000000" w:rsidRPr="00000000" w14:paraId="00000054">
      <w:pPr>
        <w:widowControl w:val="0"/>
        <w:spacing w:after="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55">
      <w:pPr>
        <w:widowControl w:val="0"/>
        <w:numPr>
          <w:ilvl w:val="0"/>
          <w:numId w:val="1"/>
        </w:numPr>
        <w:ind w:left="720" w:hanging="360"/>
        <w:jc w:val="both"/>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Counter-terrorism measures, racial profiling and police violence</w:t>
      </w:r>
    </w:p>
    <w:p w:rsidR="00000000" w:rsidDel="00000000" w:rsidP="00000000" w:rsidRDefault="00000000" w:rsidRPr="00000000" w14:paraId="00000056">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57">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15.  Over the past two decades, national security concerns have driven Mauritius to adopt comprehensive and proactive counter-terrorism measures. ODRI appreciates the detailed information included by the government of Mauritius in the periodic report (CERD/C/MUS/24-25, paras. 110, 122-129, 134, and 142). Under Section 19 of the Prevention of Terrorism Act (2002), the Counter-Terrorism Unit (CTU) plays a key role in countering terrorism and related activities. Its responsibilities include collecting, collating, and analyzing terrorism-related intelligence, disseminating intelligence to investigatory authorities, educating the public on terrorism prevention, and fostering public support to combat terrorism, radicalization, and extremism.</w:t>
      </w:r>
    </w:p>
    <w:p w:rsidR="00000000" w:rsidDel="00000000" w:rsidP="00000000" w:rsidRDefault="00000000" w:rsidRPr="00000000" w14:paraId="00000058">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59">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16. The Prevention of Terrorism Act (2002) was amended in December 2016 to strengthen national security laws. The amendments enhanced authorities' ability to arrest, monitor, investigate, and prosecute returning Foreign Terrorist Fighters (FTFs), prevent extremism, and broaden the criteria for classifying terrorist organizations—including those that incite terrorist acts. On 9 February 2016, the Mauritian government designated several international terrorist groups as proscribed organizations. In 2017, the Suppression of the Financing of Terrorism Act (2003) was amended to address terrorism financing offenses. The government, in collaboration with financial institutions, has since implemented strict measures to detect and prevent illegal and suspicious financial transactions. Further reforms include: The Cybersecurity Act (2021), which combats digital radicalization through online content monitoring, criminalizes cyberterrorism, and imposes data retention requirements on Internet Service Providers (ISPs). The National Strategy to Prevent Radicalisation and Violent Extremism (2020–2023), adopted in November 2019, along with an accompanying Action Plan. A Counterterrorism Committee, chaired by the Secretary to Cabinet and Head of the Civil Service, which meets quarterly to oversee the Counter-Terrorism Unit (CTU) and ensure preparedness at all levels. In 2024, the National Assembly passed Act 10, amending various laws to align with international standards on anti-money laundering (AML) and Combating the Financing of Terrorism and Proliferation (CFT/CP).</w:t>
      </w:r>
    </w:p>
    <w:p w:rsidR="00000000" w:rsidDel="00000000" w:rsidP="00000000" w:rsidRDefault="00000000" w:rsidRPr="00000000" w14:paraId="0000005A">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5B">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17.Mauritius is a multiracial, multicultural, and multi religious society, shaped by the descendants of African, Asian, and European populations. Yet, despite this diversity, the country’s strong counter-terrorism legal framework has not adequately addressed the risks of racial profiling, suspicion, and marginalization—particularly against ethno-religious minorities and historically disadvantaged groups. Communities such as Creoles and Muslims, who already face de facto discrimination in various spheres of life, remain disproportionately affected in their enjoyment of human rights. Under current legislation, suspects accused of terrorism-related offenses can be denied bail in certain cases. Furthermore, Section 27 of the Prevention of Terrorism Act permits authorities to detain individuals without access to legal counsel or any outside contact for up to 36 hours, raising concerns about due process and potential abuse.</w:t>
      </w:r>
    </w:p>
    <w:p w:rsidR="00000000" w:rsidDel="00000000" w:rsidP="00000000" w:rsidRDefault="00000000" w:rsidRPr="00000000" w14:paraId="0000005C">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5D">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18. The Mauritian government does not maintain comprehensive statistical data on the application of counter-terrorism legislation, including disaggregated figures on arrests, detentions, investigations, or convictions by ethnicity, political affiliation, race, or other protected categories under the International Convention on the Elimination of All Forms of Racial Discrimination. This lack of transparency raises concerns that anti-terrorism laws could be applied indiscriminately, potentially violating the prohibition of racial discrimination in law enforcement. Without oversight, there is a risk that this counter-terrorism framework replicates colonial-era policing models that disproportionately target marginalized racial groups.</w:t>
      </w:r>
    </w:p>
    <w:p w:rsidR="00000000" w:rsidDel="00000000" w:rsidP="00000000" w:rsidRDefault="00000000" w:rsidRPr="00000000" w14:paraId="0000005E">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5F">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19. While a robust law enforcement response is necessary to combat terrorism and extremism—and to protect victims of such acts—overly broad counter-terrorism laws risk misuse against legitimate dissent. For instance, in April 2022, an activist was arbitrarily detained after participating in a peaceful protest in Camp-Levieux. Though no formal charges were filed, authorities could justify the arrest under the sweeping provisions of the 2022 Prevention of Terrorism Act. This case exemplifies how vaguely defined anti-terrorism legislation can be weaponized to suppress activism, violating freedom of expression and peaceful assembly under the guise of national security.</w:t>
      </w:r>
    </w:p>
    <w:p w:rsidR="00000000" w:rsidDel="00000000" w:rsidP="00000000" w:rsidRDefault="00000000" w:rsidRPr="00000000" w14:paraId="00000060">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61">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20. ODRI has also received information regarding an assault in 2018 of a 21-year-old man with Indian descent, by Terre-Rouge police officers underscores the intersection of police brutality and systemic racial injustice in Mauritius. Officers punched, kicked, and strangled the victim following a road accident—while one allegedly stole Rs 5,000 from him. If verified, these incidents reflect not just an egregious abuse of power, but also a broader pattern of marginalization faced by vulnerable communities. While Mauritius upholds democratic values and human rights commitments in principle, cases like this reveal a stark disconnect between policy and practice. The absence of transparent investigations or accountability mechanisms—coupled with the lack of disaggregated data on police violence—allows such abuses to persist unchecked.</w:t>
      </w:r>
    </w:p>
    <w:p w:rsidR="00000000" w:rsidDel="00000000" w:rsidP="00000000" w:rsidRDefault="00000000" w:rsidRPr="00000000" w14:paraId="00000062">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63">
      <w:pPr>
        <w:widowControl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21. In April 2022, viral social media videos exposed three police officers torturing civilians—a stark confirmation of long-standing community fears about systemic abuse within law enforcement. The officers, identified by one victim, were arrested in May 2022, but the incident deepened public disillusionment with institutions meant to ensure safety. This pattern of violence reflects a broader crisis: when those entrusted with enforcing the law become perpetrators, they erode the social contract and perpetuate cycles of racialized harm. In 2024, the Mauritian public was rocked by explosive revelations uncovered in a series of leaked documents, shedding light on possible police malpractice and attempts to cover up wrongdoing. Arguably, the most damning of these allegations involved the Police Commissioner, who was accused of attempting to sway the findings of a forensic report relating to the death of a man reportedly beaten by police officers. This shocking revelation led to the launch of a judicial investigation to probe into the matter further. Historical inequities in policing—particularly against Creole, Afro-Mauritian, Muslim, and marginalized communities—have bred justified distrust. While many officers serve with integrity, such acts of torture inflict trauma that reverberates beyond individual victims, attacking the dignity of families and entrenching collective trauma in already over-policed neighborhoods.</w:t>
      </w:r>
    </w:p>
    <w:p w:rsidR="00000000" w:rsidDel="00000000" w:rsidP="00000000" w:rsidRDefault="00000000" w:rsidRPr="00000000" w14:paraId="00000064">
      <w:pPr>
        <w:widowControl w:val="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65">
      <w:pPr>
        <w:widowControl w:val="0"/>
        <w:jc w:val="both"/>
        <w:rPr>
          <w:rFonts w:ascii="Helvetica Neue" w:cs="Helvetica Neue" w:eastAsia="Helvetica Neue" w:hAnsi="Helvetica Neue"/>
          <w:sz w:val="22"/>
          <w:szCs w:val="22"/>
          <w:highlight w:val="white"/>
        </w:rPr>
      </w:pPr>
      <w:r w:rsidDel="00000000" w:rsidR="00000000" w:rsidRPr="00000000">
        <w:rPr>
          <w:rFonts w:ascii="Helvetica Neue" w:cs="Helvetica Neue" w:eastAsia="Helvetica Neue" w:hAnsi="Helvetica Neue"/>
          <w:sz w:val="24"/>
          <w:szCs w:val="24"/>
          <w:rtl w:val="0"/>
        </w:rPr>
        <w:t xml:space="preserve">22</w:t>
      </w:r>
      <w:r w:rsidDel="00000000" w:rsidR="00000000" w:rsidRPr="00000000">
        <w:rPr>
          <w:rFonts w:ascii="Helvetica Neue" w:cs="Helvetica Neue" w:eastAsia="Helvetica Neue" w:hAnsi="Helvetica Neue"/>
          <w:sz w:val="24"/>
          <w:szCs w:val="24"/>
          <w:rtl w:val="0"/>
        </w:rPr>
        <w:t xml:space="preserve">. In alignment with General Recommendation No. 36 (2020) on preventing racial profiling by law enforcement; and General Recommendation No. 13 (1993) on human rights training for law enforcement officials, ODRI recommends that Mauritius adopt explicit legislative and policy measures to prohibit racial profiling and implement safeguards to prevent its use by police, immigration officers, and other public officials.</w:t>
      </w:r>
      <w:r w:rsidDel="00000000" w:rsidR="00000000" w:rsidRPr="00000000">
        <w:rPr>
          <w:rtl w:val="0"/>
        </w:rPr>
      </w:r>
    </w:p>
    <w:sectPr>
      <w:pgSz w:h="16838" w:w="11906"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66">
      <w:pPr>
        <w:rPr/>
      </w:pPr>
      <w:r w:rsidDel="00000000" w:rsidR="00000000" w:rsidRPr="00000000">
        <w:rPr>
          <w:rStyle w:val="FootnoteReference"/>
          <w:vertAlign w:val="superscript"/>
        </w:rPr>
        <w:footnoteRef/>
      </w:r>
      <w:r w:rsidDel="00000000" w:rsidR="00000000" w:rsidRPr="00000000">
        <w:rPr>
          <w:rtl w:val="0"/>
        </w:rPr>
        <w:t xml:space="preserve"> Distorting the record of slavery and abolition: The British anti‐slavery movement and Mauritius, 1826–37 Anthony J. Barker in Slavery &amp; Abolition vol. 14 (3) (1993).</w:t>
      </w:r>
    </w:p>
  </w:footnote>
  <w:footnote w:id="0">
    <w:p w:rsidR="00000000" w:rsidDel="00000000" w:rsidP="00000000" w:rsidRDefault="00000000" w:rsidRPr="00000000" w14:paraId="00000067">
      <w:pPr>
        <w:rPr/>
      </w:pPr>
      <w:r w:rsidDel="00000000" w:rsidR="00000000" w:rsidRPr="00000000">
        <w:rPr>
          <w:rStyle w:val="FootnoteReference"/>
          <w:vertAlign w:val="superscript"/>
        </w:rPr>
        <w:footnoteRef/>
      </w:r>
      <w:r w:rsidDel="00000000" w:rsidR="00000000" w:rsidRPr="00000000">
        <w:rPr>
          <w:rtl w:val="0"/>
        </w:rPr>
        <w:t xml:space="preserve"> Cultural Heritage Management in Africa: The Heritage of the Colonized George Okello Abungu et al (2022); Violent Conflicts, Fragile Peace : Perspectives on Africa's Security Problems Norman Mlambo (2008).</w:t>
      </w:r>
    </w:p>
  </w:footnote>
  <w:footnote w:id="2">
    <w:p w:rsidR="00000000" w:rsidDel="00000000" w:rsidP="00000000" w:rsidRDefault="00000000" w:rsidRPr="00000000" w14:paraId="00000068">
      <w:pPr>
        <w:rPr/>
      </w:pPr>
      <w:r w:rsidDel="00000000" w:rsidR="00000000" w:rsidRPr="00000000">
        <w:rPr>
          <w:rStyle w:val="FootnoteReference"/>
          <w:vertAlign w:val="superscript"/>
        </w:rPr>
        <w:footnoteRef/>
      </w:r>
      <w:r w:rsidDel="00000000" w:rsidR="00000000" w:rsidRPr="00000000">
        <w:rPr>
          <w:rtl w:val="0"/>
        </w:rPr>
        <w:t xml:space="preserve"> Emancipation and the remaking of the British Imperial world Catherine Hall et al (2014).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720" w:hanging="360"/>
      </w:pPr>
      <w:rPr>
        <w:rFonts w:ascii="Garamond" w:cs="Garamond" w:eastAsia="Garamond" w:hAnsi="Garamond"/>
        <w:color w:val="000000"/>
        <w:vertAlign w:val="baseline"/>
      </w:rPr>
    </w:lvl>
    <w:lvl w:ilvl="1">
      <w:start w:val="1"/>
      <w:numFmt w:val="decimal"/>
      <w:lvlText w:val="%2."/>
      <w:lvlJc w:val="left"/>
      <w:pPr>
        <w:ind w:left="1080" w:hanging="360"/>
      </w:pPr>
      <w:rPr>
        <w:vertAlign w:val="baseline"/>
      </w:rPr>
    </w:lvl>
    <w:lvl w:ilvl="2">
      <w:start w:val="1"/>
      <w:numFmt w:val="decimal"/>
      <w:lvlText w:val="%2.%3."/>
      <w:lvlJc w:val="left"/>
      <w:pPr>
        <w:ind w:left="1440" w:hanging="360"/>
      </w:pPr>
      <w:rPr>
        <w:vertAlign w:val="baseline"/>
      </w:rPr>
    </w:lvl>
    <w:lvl w:ilvl="3">
      <w:start w:val="1"/>
      <w:numFmt w:val="decimal"/>
      <w:lvlText w:val="%2.%3.%4."/>
      <w:lvlJc w:val="left"/>
      <w:pPr>
        <w:ind w:left="1800" w:hanging="360"/>
      </w:pPr>
      <w:rPr>
        <w:vertAlign w:val="baseline"/>
      </w:rPr>
    </w:lvl>
    <w:lvl w:ilvl="4">
      <w:start w:val="1"/>
      <w:numFmt w:val="decimal"/>
      <w:lvlText w:val="%2.%3.%4.%5."/>
      <w:lvlJc w:val="left"/>
      <w:pPr>
        <w:ind w:left="2160" w:hanging="360"/>
      </w:pPr>
      <w:rPr>
        <w:vertAlign w:val="baseline"/>
      </w:rPr>
    </w:lvl>
    <w:lvl w:ilvl="5">
      <w:start w:val="1"/>
      <w:numFmt w:val="decimal"/>
      <w:lvlText w:val="%2.%3.%4.%5.%6."/>
      <w:lvlJc w:val="left"/>
      <w:pPr>
        <w:ind w:left="2520" w:hanging="360"/>
      </w:pPr>
      <w:rPr>
        <w:vertAlign w:val="baseline"/>
      </w:rPr>
    </w:lvl>
    <w:lvl w:ilvl="6">
      <w:start w:val="1"/>
      <w:numFmt w:val="decimal"/>
      <w:lvlText w:val="%2.%3.%4.%5.%6.%7."/>
      <w:lvlJc w:val="left"/>
      <w:pPr>
        <w:ind w:left="2880" w:hanging="360"/>
      </w:pPr>
      <w:rPr>
        <w:vertAlign w:val="baseline"/>
      </w:rPr>
    </w:lvl>
    <w:lvl w:ilvl="7">
      <w:start w:val="1"/>
      <w:numFmt w:val="decimal"/>
      <w:lvlText w:val="%2.%3.%4.%5.%6.%7.%8."/>
      <w:lvlJc w:val="left"/>
      <w:pPr>
        <w:ind w:left="3240" w:hanging="360"/>
      </w:pPr>
      <w:rPr>
        <w:vertAlign w:val="baseline"/>
      </w:rPr>
    </w:lvl>
    <w:lvl w:ilvl="8">
      <w:start w:val="1"/>
      <w:numFmt w:val="decimal"/>
      <w:lvlText w:val="%2.%3.%4.%5.%6.%7.%8.%9."/>
      <w:lvlJc w:val="left"/>
      <w:pPr>
        <w:ind w:left="3600" w:hanging="36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Predeterminado">
    <w:name w:val="Predeterminado"/>
    <w:next w:val="Predeterminado"/>
    <w:autoRedefine w:val="0"/>
    <w:hidden w:val="0"/>
    <w:qFormat w:val="0"/>
    <w:pPr>
      <w:widowControl w:val="0"/>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Encabezado1">
    <w:name w:val="Encabezado 1"/>
    <w:basedOn w:val="Heading"/>
    <w:next w:val="Cuerpodetexto"/>
    <w:autoRedefine w:val="0"/>
    <w:hidden w:val="0"/>
    <w:qFormat w:val="0"/>
    <w:pPr>
      <w:keepNext w:val="1"/>
      <w:widowControl w:val="0"/>
      <w:numPr>
        <w:ilvl w:val="0"/>
        <w:numId w:val="0"/>
      </w:numPr>
      <w:suppressAutoHyphens w:val="0"/>
      <w:bidi w:val="0"/>
      <w:spacing w:after="120" w:before="240" w:line="1" w:lineRule="atLeast"/>
      <w:ind w:left="0" w:right="0" w:leftChars="-1" w:rightChars="0" w:firstLine="0" w:firstLineChars="-1"/>
      <w:textDirection w:val="btLr"/>
      <w:textAlignment w:val="top"/>
      <w:outlineLvl w:val="0"/>
    </w:pPr>
    <w:rPr>
      <w:rFonts w:ascii="Times New Roman" w:cs="Tahoma" w:eastAsia="MS Gothic" w:hAnsi="Times New Roman"/>
      <w:b w:val="1"/>
      <w:bCs w:val="1"/>
      <w:w w:val="100"/>
      <w:kern w:val="1"/>
      <w:position w:val="-1"/>
      <w:sz w:val="48"/>
      <w:szCs w:val="48"/>
      <w:effect w:val="none"/>
      <w:vertAlign w:val="baseline"/>
      <w:cs w:val="0"/>
      <w:em w:val="none"/>
      <w:lang w:bidi="ar-SA" w:eastAsia="zh-CN" w:val="und"/>
    </w:rPr>
  </w:style>
  <w:style w:type="paragraph" w:styleId="Encabezado2">
    <w:name w:val="Encabezado 2"/>
    <w:basedOn w:val="Heading"/>
    <w:next w:val="Cuerpodetexto"/>
    <w:autoRedefine w:val="0"/>
    <w:hidden w:val="0"/>
    <w:qFormat w:val="0"/>
    <w:pPr>
      <w:keepNext w:val="1"/>
      <w:widowControl w:val="0"/>
      <w:numPr>
        <w:ilvl w:val="1"/>
        <w:numId w:val="1"/>
      </w:numPr>
      <w:suppressAutoHyphens w:val="0"/>
      <w:bidi w:val="0"/>
      <w:spacing w:after="120" w:before="240" w:line="1" w:lineRule="atLeast"/>
      <w:ind w:leftChars="-1" w:rightChars="0" w:firstLineChars="-1"/>
      <w:textDirection w:val="btLr"/>
      <w:textAlignment w:val="top"/>
      <w:outlineLvl w:val="1"/>
    </w:pPr>
    <w:rPr>
      <w:rFonts w:ascii="Times New Roman" w:cs="Tahoma" w:eastAsia="MS Gothic" w:hAnsi="Times New Roman"/>
      <w:b w:val="1"/>
      <w:bCs w:val="1"/>
      <w:w w:val="100"/>
      <w:kern w:val="1"/>
      <w:position w:val="-1"/>
      <w:sz w:val="36"/>
      <w:szCs w:val="36"/>
      <w:effect w:val="none"/>
      <w:vertAlign w:val="baseline"/>
      <w:cs w:val="0"/>
      <w:em w:val="none"/>
      <w:lang w:bidi="ar-SA" w:eastAsia="zh-CN" w:val="und"/>
    </w:rPr>
  </w:style>
  <w:style w:type="paragraph" w:styleId="Encabezado3">
    <w:name w:val="Encabezado 3"/>
    <w:basedOn w:val="Heading"/>
    <w:next w:val="Cuerpodetexto"/>
    <w:autoRedefine w:val="0"/>
    <w:hidden w:val="0"/>
    <w:qFormat w:val="0"/>
    <w:pPr>
      <w:keepNext w:val="1"/>
      <w:widowControl w:val="0"/>
      <w:numPr>
        <w:ilvl w:val="0"/>
        <w:numId w:val="0"/>
      </w:numPr>
      <w:suppressAutoHyphens w:val="0"/>
      <w:bidi w:val="0"/>
      <w:spacing w:after="120" w:before="240" w:line="1" w:lineRule="atLeast"/>
      <w:ind w:left="0" w:right="0" w:leftChars="-1" w:rightChars="0" w:firstLine="0" w:firstLineChars="-1"/>
      <w:textDirection w:val="btLr"/>
      <w:textAlignment w:val="top"/>
      <w:outlineLvl w:val="0"/>
    </w:pPr>
    <w:rPr>
      <w:rFonts w:ascii="Times New Roman" w:cs="Tahoma" w:eastAsia="MS Gothic" w:hAnsi="Times New Roman"/>
      <w:b w:val="1"/>
      <w:bCs w:val="1"/>
      <w:w w:val="100"/>
      <w:kern w:val="1"/>
      <w:position w:val="-1"/>
      <w:sz w:val="28"/>
      <w:szCs w:val="28"/>
      <w:effect w:val="none"/>
      <w:vertAlign w:val="baseline"/>
      <w:cs w:val="0"/>
      <w:em w:val="none"/>
      <w:lang w:bidi="ar-SA" w:eastAsia="zh-CN" w:val="und"/>
    </w:r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Garamond" w:cs="Garamond" w:hAnsi="Garamond"/>
      <w:color w:val="000000"/>
      <w:w w:val="100"/>
      <w:position w:val="-1"/>
      <w:effect w:val="none"/>
      <w:vertAlign w:val="baseline"/>
      <w:cs w:val="0"/>
      <w:em w:val="none"/>
      <w:lang w:val="en-GB"/>
    </w:rPr>
  </w:style>
  <w:style w:type="character" w:styleId="WW8Num2z1">
    <w:name w:val="WW8Num2z1"/>
    <w:next w:val="WW8Num2z1"/>
    <w:autoRedefine w:val="0"/>
    <w:hidden w:val="0"/>
    <w:qFormat w:val="0"/>
    <w:rPr>
      <w:w w:val="100"/>
      <w:position w:val="-1"/>
      <w:effect w:val="none"/>
      <w:vertAlign w:val="baseline"/>
      <w:cs w:val="0"/>
      <w:em w:val="none"/>
      <w:lang/>
    </w:rPr>
  </w:style>
  <w:style w:type="character" w:styleId="WW8Num2z2">
    <w:name w:val="WW8Num2z2"/>
    <w:next w:val="WW8Num2z2"/>
    <w:autoRedefine w:val="0"/>
    <w:hidden w:val="0"/>
    <w:qFormat w:val="0"/>
    <w:rPr>
      <w:w w:val="100"/>
      <w:position w:val="-1"/>
      <w:effect w:val="none"/>
      <w:vertAlign w:val="baseline"/>
      <w:cs w:val="0"/>
      <w:em w:val="none"/>
      <w:lang/>
    </w:rPr>
  </w:style>
  <w:style w:type="character" w:styleId="WW8Num2z3">
    <w:name w:val="WW8Num2z3"/>
    <w:next w:val="WW8Num2z3"/>
    <w:autoRedefine w:val="0"/>
    <w:hidden w:val="0"/>
    <w:qFormat w:val="0"/>
    <w:rPr>
      <w:w w:val="100"/>
      <w:position w:val="-1"/>
      <w:effect w:val="none"/>
      <w:vertAlign w:val="baseline"/>
      <w:cs w:val="0"/>
      <w:em w:val="none"/>
      <w:lang/>
    </w:rPr>
  </w:style>
  <w:style w:type="character" w:styleId="WW8Num2z4">
    <w:name w:val="WW8Num2z4"/>
    <w:next w:val="WW8Num2z4"/>
    <w:autoRedefine w:val="0"/>
    <w:hidden w:val="0"/>
    <w:qFormat w:val="0"/>
    <w:rPr>
      <w:w w:val="100"/>
      <w:position w:val="-1"/>
      <w:effect w:val="none"/>
      <w:vertAlign w:val="baseline"/>
      <w:cs w:val="0"/>
      <w:em w:val="none"/>
      <w:lang/>
    </w:rPr>
  </w:style>
  <w:style w:type="character" w:styleId="WW8Num2z5">
    <w:name w:val="WW8Num2z5"/>
    <w:next w:val="WW8Num2z5"/>
    <w:autoRedefine w:val="0"/>
    <w:hidden w:val="0"/>
    <w:qFormat w:val="0"/>
    <w:rPr>
      <w:w w:val="100"/>
      <w:position w:val="-1"/>
      <w:effect w:val="none"/>
      <w:vertAlign w:val="baseline"/>
      <w:cs w:val="0"/>
      <w:em w:val="none"/>
      <w:lang/>
    </w:rPr>
  </w:style>
  <w:style w:type="character" w:styleId="WW8Num2z6">
    <w:name w:val="WW8Num2z6"/>
    <w:next w:val="WW8Num2z6"/>
    <w:autoRedefine w:val="0"/>
    <w:hidden w:val="0"/>
    <w:qFormat w:val="0"/>
    <w:rPr>
      <w:w w:val="100"/>
      <w:position w:val="-1"/>
      <w:effect w:val="none"/>
      <w:vertAlign w:val="baseline"/>
      <w:cs w:val="0"/>
      <w:em w:val="none"/>
      <w:lang/>
    </w:rPr>
  </w:style>
  <w:style w:type="character" w:styleId="WW8Num2z7">
    <w:name w:val="WW8Num2z7"/>
    <w:next w:val="WW8Num2z7"/>
    <w:autoRedefine w:val="0"/>
    <w:hidden w:val="0"/>
    <w:qFormat w:val="0"/>
    <w:rPr>
      <w:w w:val="100"/>
      <w:position w:val="-1"/>
      <w:effect w:val="none"/>
      <w:vertAlign w:val="baseline"/>
      <w:cs w:val="0"/>
      <w:em w:val="none"/>
      <w:lang/>
    </w:rPr>
  </w:style>
  <w:style w:type="character" w:styleId="WW8Num2z8">
    <w:name w:val="WW8Num2z8"/>
    <w:next w:val="WW8Num2z8"/>
    <w:autoRedefine w:val="0"/>
    <w:hidden w:val="0"/>
    <w:qFormat w:val="0"/>
    <w:rPr>
      <w:w w:val="100"/>
      <w:position w:val="-1"/>
      <w:effect w:val="none"/>
      <w:vertAlign w:val="baseline"/>
      <w:cs w:val="0"/>
      <w:em w:val="none"/>
      <w:lang/>
    </w:rPr>
  </w:style>
  <w:style w:type="character" w:styleId="WW8Num3z0">
    <w:name w:val="WW8Num3z0"/>
    <w:next w:val="WW8Num3z0"/>
    <w:autoRedefine w:val="0"/>
    <w:hidden w:val="0"/>
    <w:qFormat w:val="0"/>
    <w:rPr>
      <w:rFonts w:ascii="Symbol" w:cs="OpenSymbol" w:hAnsi="Symbol"/>
      <w:w w:val="100"/>
      <w:position w:val="-1"/>
      <w:effect w:val="none"/>
      <w:vertAlign w:val="baseline"/>
      <w:cs w:val="0"/>
      <w:em w:val="none"/>
      <w:lang w:val="en-GB"/>
    </w:rPr>
  </w:style>
  <w:style w:type="character" w:styleId="WW8Num4z0">
    <w:name w:val="WW8Num4z0"/>
    <w:next w:val="WW8Num4z0"/>
    <w:autoRedefine w:val="0"/>
    <w:hidden w:val="0"/>
    <w:qFormat w:val="0"/>
    <w:rPr>
      <w:rFonts w:ascii="Garamond" w:cs="Garamond" w:hAnsi="Garamond"/>
      <w:color w:val="000000"/>
      <w:w w:val="100"/>
      <w:position w:val="-1"/>
      <w:effect w:val="none"/>
      <w:vertAlign w:val="baseline"/>
      <w:cs w:val="0"/>
      <w:em w:val="none"/>
      <w:lang w:val="es-ES"/>
    </w:rPr>
  </w:style>
  <w:style w:type="character" w:styleId="WW8Num4z1">
    <w:name w:val="WW8Num4z1"/>
    <w:next w:val="WW8Num4z1"/>
    <w:autoRedefine w:val="0"/>
    <w:hidden w:val="0"/>
    <w:qFormat w:val="0"/>
    <w:rPr>
      <w:w w:val="100"/>
      <w:position w:val="-1"/>
      <w:effect w:val="none"/>
      <w:vertAlign w:val="baseline"/>
      <w:cs w:val="0"/>
      <w:em w:val="none"/>
      <w:lang/>
    </w:rPr>
  </w:style>
  <w:style w:type="character" w:styleId="WW8Num4z2">
    <w:name w:val="WW8Num4z2"/>
    <w:next w:val="WW8Num4z2"/>
    <w:autoRedefine w:val="0"/>
    <w:hidden w:val="0"/>
    <w:qFormat w:val="0"/>
    <w:rPr>
      <w:w w:val="100"/>
      <w:position w:val="-1"/>
      <w:effect w:val="none"/>
      <w:vertAlign w:val="baseline"/>
      <w:cs w:val="0"/>
      <w:em w:val="none"/>
      <w:lang/>
    </w:rPr>
  </w:style>
  <w:style w:type="character" w:styleId="WW8Num4z3">
    <w:name w:val="WW8Num4z3"/>
    <w:next w:val="WW8Num4z3"/>
    <w:autoRedefine w:val="0"/>
    <w:hidden w:val="0"/>
    <w:qFormat w:val="0"/>
    <w:rPr>
      <w:w w:val="100"/>
      <w:position w:val="-1"/>
      <w:effect w:val="none"/>
      <w:vertAlign w:val="baseline"/>
      <w:cs w:val="0"/>
      <w:em w:val="none"/>
      <w:lang/>
    </w:rPr>
  </w:style>
  <w:style w:type="character" w:styleId="WW8Num4z4">
    <w:name w:val="WW8Num4z4"/>
    <w:next w:val="WW8Num4z4"/>
    <w:autoRedefine w:val="0"/>
    <w:hidden w:val="0"/>
    <w:qFormat w:val="0"/>
    <w:rPr>
      <w:w w:val="100"/>
      <w:position w:val="-1"/>
      <w:effect w:val="none"/>
      <w:vertAlign w:val="baseline"/>
      <w:cs w:val="0"/>
      <w:em w:val="none"/>
      <w:lang/>
    </w:rPr>
  </w:style>
  <w:style w:type="character" w:styleId="WW8Num4z5">
    <w:name w:val="WW8Num4z5"/>
    <w:next w:val="WW8Num4z5"/>
    <w:autoRedefine w:val="0"/>
    <w:hidden w:val="0"/>
    <w:qFormat w:val="0"/>
    <w:rPr>
      <w:w w:val="100"/>
      <w:position w:val="-1"/>
      <w:effect w:val="none"/>
      <w:vertAlign w:val="baseline"/>
      <w:cs w:val="0"/>
      <w:em w:val="none"/>
      <w:lang/>
    </w:rPr>
  </w:style>
  <w:style w:type="character" w:styleId="WW8Num4z6">
    <w:name w:val="WW8Num4z6"/>
    <w:next w:val="WW8Num4z6"/>
    <w:autoRedefine w:val="0"/>
    <w:hidden w:val="0"/>
    <w:qFormat w:val="0"/>
    <w:rPr>
      <w:w w:val="100"/>
      <w:position w:val="-1"/>
      <w:effect w:val="none"/>
      <w:vertAlign w:val="baseline"/>
      <w:cs w:val="0"/>
      <w:em w:val="none"/>
      <w:lang/>
    </w:rPr>
  </w:style>
  <w:style w:type="character" w:styleId="WW8Num4z7">
    <w:name w:val="WW8Num4z7"/>
    <w:next w:val="WW8Num4z7"/>
    <w:autoRedefine w:val="0"/>
    <w:hidden w:val="0"/>
    <w:qFormat w:val="0"/>
    <w:rPr>
      <w:w w:val="100"/>
      <w:position w:val="-1"/>
      <w:effect w:val="none"/>
      <w:vertAlign w:val="baseline"/>
      <w:cs w:val="0"/>
      <w:em w:val="none"/>
      <w:lang/>
    </w:rPr>
  </w:style>
  <w:style w:type="character" w:styleId="WW8Num4z8">
    <w:name w:val="WW8Num4z8"/>
    <w:next w:val="WW8Num4z8"/>
    <w:autoRedefine w:val="0"/>
    <w:hidden w:val="0"/>
    <w:qFormat w:val="0"/>
    <w:rPr>
      <w:w w:val="100"/>
      <w:position w:val="-1"/>
      <w:effect w:val="none"/>
      <w:vertAlign w:val="baseline"/>
      <w:cs w:val="0"/>
      <w:em w:val="none"/>
      <w:lang/>
    </w:rPr>
  </w:style>
  <w:style w:type="character" w:styleId="WW8Num5z0">
    <w:name w:val="WW8Num5z0"/>
    <w:next w:val="WW8Num5z0"/>
    <w:autoRedefine w:val="0"/>
    <w:hidden w:val="0"/>
    <w:qFormat w:val="0"/>
    <w:rPr>
      <w:rFonts w:ascii="Garamond" w:cs="Garamond" w:hAnsi="Garamond"/>
      <w:w w:val="100"/>
      <w:position w:val="-1"/>
      <w:effect w:val="none"/>
      <w:vertAlign w:val="baseline"/>
      <w:cs w:val="0"/>
      <w:em w:val="none"/>
      <w:lang/>
    </w:rPr>
  </w:style>
  <w:style w:type="character" w:styleId="WW8Num5z1">
    <w:name w:val="WW8Num5z1"/>
    <w:next w:val="WW8Num5z1"/>
    <w:autoRedefine w:val="0"/>
    <w:hidden w:val="0"/>
    <w:qFormat w:val="0"/>
    <w:rPr>
      <w:w w:val="100"/>
      <w:position w:val="-1"/>
      <w:effect w:val="none"/>
      <w:vertAlign w:val="baseline"/>
      <w:cs w:val="0"/>
      <w:em w:val="none"/>
      <w:lang/>
    </w:rPr>
  </w:style>
  <w:style w:type="character" w:styleId="WW8Num5z2">
    <w:name w:val="WW8Num5z2"/>
    <w:next w:val="WW8Num5z2"/>
    <w:autoRedefine w:val="0"/>
    <w:hidden w:val="0"/>
    <w:qFormat w:val="0"/>
    <w:rPr>
      <w:w w:val="100"/>
      <w:position w:val="-1"/>
      <w:effect w:val="none"/>
      <w:vertAlign w:val="baseline"/>
      <w:cs w:val="0"/>
      <w:em w:val="none"/>
      <w:lang/>
    </w:rPr>
  </w:style>
  <w:style w:type="character" w:styleId="WW8Num5z3">
    <w:name w:val="WW8Num5z3"/>
    <w:next w:val="WW8Num5z3"/>
    <w:autoRedefine w:val="0"/>
    <w:hidden w:val="0"/>
    <w:qFormat w:val="0"/>
    <w:rPr>
      <w:w w:val="100"/>
      <w:position w:val="-1"/>
      <w:effect w:val="none"/>
      <w:vertAlign w:val="baseline"/>
      <w:cs w:val="0"/>
      <w:em w:val="none"/>
      <w:lang/>
    </w:rPr>
  </w:style>
  <w:style w:type="character" w:styleId="WW8Num5z4">
    <w:name w:val="WW8Num5z4"/>
    <w:next w:val="WW8Num5z4"/>
    <w:autoRedefine w:val="0"/>
    <w:hidden w:val="0"/>
    <w:qFormat w:val="0"/>
    <w:rPr>
      <w:w w:val="100"/>
      <w:position w:val="-1"/>
      <w:effect w:val="none"/>
      <w:vertAlign w:val="baseline"/>
      <w:cs w:val="0"/>
      <w:em w:val="none"/>
      <w:lang/>
    </w:rPr>
  </w:style>
  <w:style w:type="character" w:styleId="WW8Num5z5">
    <w:name w:val="WW8Num5z5"/>
    <w:next w:val="WW8Num5z5"/>
    <w:autoRedefine w:val="0"/>
    <w:hidden w:val="0"/>
    <w:qFormat w:val="0"/>
    <w:rPr>
      <w:w w:val="100"/>
      <w:position w:val="-1"/>
      <w:effect w:val="none"/>
      <w:vertAlign w:val="baseline"/>
      <w:cs w:val="0"/>
      <w:em w:val="none"/>
      <w:lang/>
    </w:rPr>
  </w:style>
  <w:style w:type="character" w:styleId="WW8Num5z6">
    <w:name w:val="WW8Num5z6"/>
    <w:next w:val="WW8Num5z6"/>
    <w:autoRedefine w:val="0"/>
    <w:hidden w:val="0"/>
    <w:qFormat w:val="0"/>
    <w:rPr>
      <w:w w:val="100"/>
      <w:position w:val="-1"/>
      <w:effect w:val="none"/>
      <w:vertAlign w:val="baseline"/>
      <w:cs w:val="0"/>
      <w:em w:val="none"/>
      <w:lang/>
    </w:rPr>
  </w:style>
  <w:style w:type="character" w:styleId="WW8Num5z7">
    <w:name w:val="WW8Num5z7"/>
    <w:next w:val="WW8Num5z7"/>
    <w:autoRedefine w:val="0"/>
    <w:hidden w:val="0"/>
    <w:qFormat w:val="0"/>
    <w:rPr>
      <w:w w:val="100"/>
      <w:position w:val="-1"/>
      <w:effect w:val="none"/>
      <w:vertAlign w:val="baseline"/>
      <w:cs w:val="0"/>
      <w:em w:val="none"/>
      <w:lang/>
    </w:rPr>
  </w:style>
  <w:style w:type="character" w:styleId="WW8Num5z8">
    <w:name w:val="WW8Num5z8"/>
    <w:next w:val="WW8Num5z8"/>
    <w:autoRedefine w:val="0"/>
    <w:hidden w:val="0"/>
    <w:qFormat w:val="0"/>
    <w:rPr>
      <w:w w:val="100"/>
      <w:position w:val="-1"/>
      <w:effect w:val="none"/>
      <w:vertAlign w:val="baseline"/>
      <w:cs w:val="0"/>
      <w:em w:val="none"/>
      <w:lang/>
    </w:rPr>
  </w:style>
  <w:style w:type="character" w:styleId="WW8Num6z0">
    <w:name w:val="WW8Num6z0"/>
    <w:next w:val="WW8Num6z0"/>
    <w:autoRedefine w:val="0"/>
    <w:hidden w:val="0"/>
    <w:qFormat w:val="0"/>
    <w:rPr>
      <w:rFonts w:ascii="Symbol" w:cs="OpenSymbol" w:hAnsi="Symbol"/>
      <w:w w:val="100"/>
      <w:position w:val="-1"/>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ListLabel6">
    <w:name w:val="ListLabel 6"/>
    <w:next w:val="ListLabel6"/>
    <w:autoRedefine w:val="0"/>
    <w:hidden w:val="0"/>
    <w:qFormat w:val="0"/>
    <w:rPr>
      <w:w w:val="100"/>
      <w:position w:val="-1"/>
      <w:effect w:val="none"/>
      <w:vertAlign w:val="baseline"/>
      <w:cs w:val="0"/>
      <w:em w:val="none"/>
      <w:lang w:val="en-GB"/>
    </w:rPr>
  </w:style>
  <w:style w:type="character" w:styleId="NumberingSymbols">
    <w:name w:val="Numbering Symbols"/>
    <w:next w:val="NumberingSymbols"/>
    <w:autoRedefine w:val="0"/>
    <w:hidden w:val="0"/>
    <w:qFormat w:val="0"/>
    <w:rPr>
      <w:w w:val="100"/>
      <w:position w:val="-1"/>
      <w:effect w:val="none"/>
      <w:vertAlign w:val="baseline"/>
      <w:cs w:val="0"/>
      <w:em w:val="none"/>
      <w:lang/>
    </w:rPr>
  </w:style>
  <w:style w:type="character" w:styleId="EndnoteCharacters">
    <w:name w:val="Endnote Characters"/>
    <w:next w:val="EndnoteCharacters"/>
    <w:autoRedefine w:val="0"/>
    <w:hidden w:val="0"/>
    <w:qFormat w:val="0"/>
    <w:rPr>
      <w:w w:val="100"/>
      <w:position w:val="-1"/>
      <w:effect w:val="none"/>
      <w:vertAlign w:val="baseline"/>
      <w:cs w:val="0"/>
      <w:em w:val="none"/>
      <w:lang/>
    </w:rPr>
  </w:style>
  <w:style w:type="character" w:styleId="Caracteresdenotafinal">
    <w:name w:val="Caracteres de nota final"/>
    <w:next w:val="Caracteresdenotafinal"/>
    <w:autoRedefine w:val="0"/>
    <w:hidden w:val="0"/>
    <w:qFormat w:val="0"/>
    <w:rPr>
      <w:w w:val="100"/>
      <w:position w:val="-1"/>
      <w:effect w:val="none"/>
      <w:vertAlign w:val="superscript"/>
      <w:cs w:val="0"/>
      <w:em w:val="none"/>
      <w:lang/>
    </w:rPr>
  </w:style>
  <w:style w:type="character" w:styleId="EnlacedeInternet">
    <w:name w:val="Enlace de Internet"/>
    <w:next w:val="EnlacedeInternet"/>
    <w:autoRedefine w:val="0"/>
    <w:hidden w:val="0"/>
    <w:qFormat w:val="0"/>
    <w:rPr>
      <w:color w:val="000080"/>
      <w:w w:val="100"/>
      <w:position w:val="-1"/>
      <w:u w:val="single"/>
      <w:effect w:val="none"/>
      <w:vertAlign w:val="baseline"/>
      <w:cs w:val="0"/>
      <w:em w:val="none"/>
      <w:lang w:bidi="und" w:eastAsia="und" w:val="und"/>
    </w:rPr>
  </w:style>
  <w:style w:type="character" w:styleId="Bullets">
    <w:name w:val="Bullets"/>
    <w:next w:val="Bullets"/>
    <w:autoRedefine w:val="0"/>
    <w:hidden w:val="0"/>
    <w:qFormat w:val="0"/>
    <w:rPr>
      <w:rFonts w:ascii="OpenSymbol" w:cs="OpenSymbol" w:eastAsia="OpenSymbol" w:hAnsi="OpenSymbol"/>
      <w:w w:val="100"/>
      <w:position w:val="-1"/>
      <w:effect w:val="none"/>
      <w:vertAlign w:val="baseline"/>
      <w:cs w:val="0"/>
      <w:em w:val="none"/>
      <w:lang/>
    </w:rPr>
  </w:style>
  <w:style w:type="character" w:styleId="Muydestacado">
    <w:name w:val="Muy destacado"/>
    <w:next w:val="Muydestacado"/>
    <w:autoRedefine w:val="0"/>
    <w:hidden w:val="0"/>
    <w:qFormat w:val="0"/>
    <w:rPr>
      <w:b w:val="1"/>
      <w:bCs w:val="1"/>
      <w:w w:val="100"/>
      <w:position w:val="-1"/>
      <w:effect w:val="none"/>
      <w:vertAlign w:val="baseline"/>
      <w:cs w:val="0"/>
      <w:em w:val="none"/>
      <w:lang/>
    </w:rPr>
  </w:style>
  <w:style w:type="character" w:styleId="FootnoteCharacters">
    <w:name w:val="Footnote Characters"/>
    <w:next w:val="FootnoteCharacters"/>
    <w:autoRedefine w:val="0"/>
    <w:hidden w:val="0"/>
    <w:qFormat w:val="0"/>
    <w:rPr>
      <w:w w:val="100"/>
      <w:position w:val="-1"/>
      <w:effect w:val="none"/>
      <w:vertAlign w:val="superscript"/>
      <w:cs w:val="0"/>
      <w:em w:val="none"/>
      <w:lang/>
    </w:rPr>
  </w:style>
  <w:style w:type="character" w:styleId="WW-FootnoteCharacters">
    <w:name w:val="WW-Footnote Characters"/>
    <w:next w:val="WW-FootnoteCharacters"/>
    <w:autoRedefine w:val="0"/>
    <w:hidden w:val="0"/>
    <w:qFormat w:val="0"/>
    <w:rPr>
      <w:w w:val="100"/>
      <w:position w:val="-1"/>
      <w:effect w:val="none"/>
      <w:vertAlign w:val="baseline"/>
      <w:cs w:val="0"/>
      <w:em w:val="none"/>
      <w:lang/>
    </w:rPr>
  </w:style>
  <w:style w:type="character" w:styleId="Caracteresdenotaalpie">
    <w:name w:val="Caracteres de nota al pie"/>
    <w:next w:val="Caracteresdenotaalpie"/>
    <w:autoRedefine w:val="0"/>
    <w:hidden w:val="0"/>
    <w:qFormat w:val="0"/>
    <w:rPr>
      <w:w w:val="100"/>
      <w:position w:val="-1"/>
      <w:effect w:val="none"/>
      <w:vertAlign w:val="superscript"/>
      <w:cs w:val="0"/>
      <w:em w:val="none"/>
      <w:lang/>
    </w:rPr>
  </w:style>
  <w:style w:type="character" w:styleId="Ancladenotafinal">
    <w:name w:val="Ancla de nota final"/>
    <w:next w:val="Ancladenotafinal"/>
    <w:autoRedefine w:val="0"/>
    <w:hidden w:val="0"/>
    <w:qFormat w:val="0"/>
    <w:rPr>
      <w:w w:val="100"/>
      <w:position w:val="-1"/>
      <w:effect w:val="none"/>
      <w:vertAlign w:val="superscript"/>
      <w:cs w:val="0"/>
      <w:em w:val="none"/>
      <w:lang/>
    </w:rPr>
  </w:style>
  <w:style w:type="character" w:styleId="Ancladenotaalpie">
    <w:name w:val="Ancla de nota al pie"/>
    <w:next w:val="Ancladenotaalpie"/>
    <w:autoRedefine w:val="0"/>
    <w:hidden w:val="0"/>
    <w:qFormat w:val="0"/>
    <w:rPr>
      <w:w w:val="100"/>
      <w:position w:val="-1"/>
      <w:effect w:val="none"/>
      <w:vertAlign w:val="superscript"/>
      <w:cs w:val="0"/>
      <w:em w:val="none"/>
      <w:lang/>
    </w:rPr>
  </w:style>
  <w:style w:type="character" w:styleId="Símbolosdenumeración">
    <w:name w:val="Símbolos de numeración"/>
    <w:next w:val="Símbolosdenumeración"/>
    <w:autoRedefine w:val="0"/>
    <w:hidden w:val="0"/>
    <w:qFormat w:val="0"/>
    <w:rPr>
      <w:w w:val="100"/>
      <w:position w:val="-1"/>
      <w:effect w:val="none"/>
      <w:vertAlign w:val="baseline"/>
      <w:cs w:val="0"/>
      <w:em w:val="none"/>
      <w:lang/>
    </w:rPr>
  </w:style>
  <w:style w:type="character" w:styleId="Viñetas">
    <w:name w:val="Viñetas"/>
    <w:next w:val="Viñetas"/>
    <w:autoRedefine w:val="0"/>
    <w:hidden w:val="0"/>
    <w:qFormat w:val="0"/>
    <w:rPr>
      <w:rFonts w:ascii="OpenSymbol" w:cs="OpenSymbol" w:eastAsia="OpenSymbol" w:hAnsi="OpenSymbol"/>
      <w:w w:val="100"/>
      <w:position w:val="-1"/>
      <w:effect w:val="none"/>
      <w:vertAlign w:val="baseline"/>
      <w:cs w:val="0"/>
      <w:em w:val="none"/>
      <w:lang/>
    </w:rPr>
  </w:style>
  <w:style w:type="character" w:styleId="footnotereference">
    <w:name w:val="footnote reference"/>
    <w:next w:val="footnotereference"/>
    <w:autoRedefine w:val="0"/>
    <w:hidden w:val="0"/>
    <w:qFormat w:val="0"/>
    <w:rPr>
      <w:rFonts w:ascii="Times New Roman" w:cs="Times New Roman" w:hAnsi="Times New Roman"/>
      <w:w w:val="100"/>
      <w:position w:val="-1"/>
      <w:sz w:val="18"/>
      <w:effect w:val="none"/>
      <w:vertAlign w:val="superscript"/>
      <w:cs w:val="0"/>
      <w:em w:val="none"/>
      <w:lang/>
    </w:rPr>
  </w:style>
  <w:style w:type="character" w:styleId="ListLabel7">
    <w:name w:val="ListLabel 7"/>
    <w:next w:val="ListLabel7"/>
    <w:autoRedefine w:val="0"/>
    <w:hidden w:val="0"/>
    <w:qFormat w:val="0"/>
    <w:rPr>
      <w:w w:val="100"/>
      <w:position w:val="-1"/>
      <w:effect w:val="none"/>
      <w:vertAlign w:val="baseline"/>
      <w:cs w:val="0"/>
      <w:em w:val="none"/>
      <w:lang/>
    </w:rPr>
  </w:style>
  <w:style w:type="character" w:styleId="ListLabel1">
    <w:name w:val="ListLabel 1"/>
    <w:next w:val="ListLabel1"/>
    <w:autoRedefine w:val="0"/>
    <w:hidden w:val="0"/>
    <w:qFormat w:val="0"/>
    <w:rPr>
      <w:w w:val="100"/>
      <w:position w:val="-1"/>
      <w:effect w:val="none"/>
      <w:vertAlign w:val="baseline"/>
      <w:cs w:val="0"/>
      <w:em w:val="none"/>
      <w:lang/>
    </w:rPr>
  </w:style>
  <w:style w:type="paragraph" w:styleId="Encabezado">
    <w:name w:val="Encabezado"/>
    <w:basedOn w:val="Predeterminado"/>
    <w:next w:val="Cuerpodetexto"/>
    <w:autoRedefine w:val="0"/>
    <w:hidden w:val="0"/>
    <w:qFormat w:val="0"/>
    <w:pPr>
      <w:keepNext w:val="1"/>
      <w:widowControl w:val="0"/>
      <w:suppressAutoHyphens w:val="0"/>
      <w:bidi w:val="0"/>
      <w:spacing w:after="120" w:before="240" w:line="1" w:lineRule="atLeast"/>
      <w:ind w:leftChars="-1" w:rightChars="0" w:firstLineChars="-1"/>
      <w:textDirection w:val="btLr"/>
      <w:textAlignment w:val="top"/>
      <w:outlineLvl w:val="0"/>
    </w:pPr>
    <w:rPr>
      <w:rFonts w:ascii="Arial" w:cs="Lucida Sans" w:eastAsia="Microsoft YaHei" w:hAnsi="Arial"/>
      <w:w w:val="100"/>
      <w:kern w:val="1"/>
      <w:position w:val="-1"/>
      <w:sz w:val="28"/>
      <w:szCs w:val="28"/>
      <w:effect w:val="none"/>
      <w:vertAlign w:val="baseline"/>
      <w:cs w:val="0"/>
      <w:em w:val="none"/>
      <w:lang w:bidi="ar-SA" w:eastAsia="zh-CN" w:val="und"/>
    </w:rPr>
  </w:style>
  <w:style w:type="paragraph" w:styleId="Cuerpodetexto">
    <w:name w:val="Cuerpo de texto"/>
    <w:basedOn w:val="Predeterminado"/>
    <w:next w:val="Cuerpodetexto"/>
    <w:autoRedefine w:val="0"/>
    <w:hidden w:val="0"/>
    <w:qFormat w:val="0"/>
    <w:pPr>
      <w:widowControl w:val="0"/>
      <w:suppressAutoHyphens w:val="0"/>
      <w:bidi w:val="0"/>
      <w:spacing w:after="120" w:before="0"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Lista">
    <w:name w:val="Lista"/>
    <w:basedOn w:val="Cuerpodetexto"/>
    <w:next w:val="Lista"/>
    <w:autoRedefine w:val="0"/>
    <w:hidden w:val="0"/>
    <w:qFormat w:val="0"/>
    <w:pPr>
      <w:widowControl w:val="0"/>
      <w:suppressAutoHyphens w:val="0"/>
      <w:bidi w:val="0"/>
      <w:spacing w:after="120" w:before="0" w:line="1" w:lineRule="atLeast"/>
      <w:ind w:leftChars="-1" w:rightChars="0" w:firstLineChars="-1"/>
      <w:textDirection w:val="btLr"/>
      <w:textAlignment w:val="top"/>
      <w:outlineLvl w:val="0"/>
    </w:pPr>
    <w:rPr>
      <w:rFonts w:ascii="Times New Roman" w:cs="Tahoma" w:eastAsia="Andale Sans UI" w:hAnsi="Times New Roman"/>
      <w:w w:val="100"/>
      <w:kern w:val="1"/>
      <w:position w:val="-1"/>
      <w:sz w:val="24"/>
      <w:szCs w:val="24"/>
      <w:effect w:val="none"/>
      <w:vertAlign w:val="baseline"/>
      <w:cs w:val="0"/>
      <w:em w:val="none"/>
      <w:lang w:bidi="ar-SA" w:eastAsia="zh-CN" w:val="und"/>
    </w:rPr>
  </w:style>
  <w:style w:type="paragraph" w:styleId="Etiqueta">
    <w:name w:val="Etiqueta"/>
    <w:basedOn w:val="Predeterminado"/>
    <w:next w:val="Etiqueta"/>
    <w:autoRedefine w:val="0"/>
    <w:hidden w:val="0"/>
    <w:qFormat w:val="0"/>
    <w:pPr>
      <w:widowControl w:val="0"/>
      <w:suppressLineNumbers w:val="1"/>
      <w:suppressAutoHyphens w:val="0"/>
      <w:bidi w:val="0"/>
      <w:spacing w:after="120" w:before="120" w:line="1" w:lineRule="atLeast"/>
      <w:ind w:leftChars="-1" w:rightChars="0" w:firstLineChars="-1"/>
      <w:textDirection w:val="btLr"/>
      <w:textAlignment w:val="top"/>
      <w:outlineLvl w:val="0"/>
    </w:pPr>
    <w:rPr>
      <w:rFonts w:ascii="Times New Roman" w:cs="Lucida Sans" w:eastAsia="Andale Sans UI" w:hAnsi="Times New Roman"/>
      <w:i w:val="1"/>
      <w:iCs w:val="1"/>
      <w:w w:val="100"/>
      <w:kern w:val="1"/>
      <w:position w:val="-1"/>
      <w:sz w:val="24"/>
      <w:szCs w:val="24"/>
      <w:effect w:val="none"/>
      <w:vertAlign w:val="baseline"/>
      <w:cs w:val="0"/>
      <w:em w:val="none"/>
      <w:lang w:bidi="ar-SA" w:eastAsia="zh-CN" w:val="und"/>
    </w:rPr>
  </w:style>
  <w:style w:type="paragraph" w:styleId="Índice">
    <w:name w:val="Índice"/>
    <w:basedOn w:val="Predeterminado"/>
    <w:next w:val="Índice"/>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Lucida Sans" w:eastAsia="Andale Sans UI" w:hAnsi="Times New Roman"/>
      <w:w w:val="100"/>
      <w:kern w:val="1"/>
      <w:position w:val="-1"/>
      <w:sz w:val="24"/>
      <w:szCs w:val="24"/>
      <w:effect w:val="none"/>
      <w:vertAlign w:val="baseline"/>
      <w:cs w:val="0"/>
      <w:em w:val="none"/>
      <w:lang w:bidi="ar-SA" w:eastAsia="zh-CN" w:val="und"/>
    </w:rPr>
  </w:style>
  <w:style w:type="paragraph" w:styleId="Heading">
    <w:name w:val="Heading"/>
    <w:basedOn w:val="Predeterminado"/>
    <w:next w:val="Cuerpodetexto"/>
    <w:autoRedefine w:val="0"/>
    <w:hidden w:val="0"/>
    <w:qFormat w:val="0"/>
    <w:pPr>
      <w:keepNext w:val="1"/>
      <w:widowControl w:val="0"/>
      <w:suppressAutoHyphens w:val="0"/>
      <w:bidi w:val="0"/>
      <w:spacing w:after="120" w:before="240" w:line="1" w:lineRule="atLeast"/>
      <w:ind w:leftChars="-1" w:rightChars="0" w:firstLineChars="-1"/>
      <w:textDirection w:val="btLr"/>
      <w:textAlignment w:val="top"/>
      <w:outlineLvl w:val="0"/>
    </w:pPr>
    <w:rPr>
      <w:rFonts w:ascii="Arial" w:cs="Tahoma" w:eastAsia="Andale Sans UI" w:hAnsi="Arial"/>
      <w:w w:val="100"/>
      <w:kern w:val="1"/>
      <w:position w:val="-1"/>
      <w:sz w:val="28"/>
      <w:szCs w:val="28"/>
      <w:effect w:val="none"/>
      <w:vertAlign w:val="baseline"/>
      <w:cs w:val="0"/>
      <w:em w:val="none"/>
      <w:lang w:bidi="ar-SA" w:eastAsia="zh-CN" w:val="und"/>
    </w:rPr>
  </w:style>
  <w:style w:type="paragraph" w:styleId="Caption">
    <w:name w:val="Caption"/>
    <w:basedOn w:val="Predeterminado"/>
    <w:next w:val="Caption"/>
    <w:autoRedefine w:val="0"/>
    <w:hidden w:val="0"/>
    <w:qFormat w:val="0"/>
    <w:pPr>
      <w:widowControl w:val="0"/>
      <w:suppressLineNumbers w:val="1"/>
      <w:suppressAutoHyphens w:val="0"/>
      <w:bidi w:val="0"/>
      <w:spacing w:after="120" w:before="120" w:line="1" w:lineRule="atLeast"/>
      <w:ind w:leftChars="-1" w:rightChars="0" w:firstLineChars="-1"/>
      <w:textDirection w:val="btLr"/>
      <w:textAlignment w:val="top"/>
      <w:outlineLvl w:val="0"/>
    </w:pPr>
    <w:rPr>
      <w:rFonts w:ascii="Times New Roman" w:cs="Tahoma" w:eastAsia="Andale Sans UI" w:hAnsi="Times New Roman"/>
      <w:i w:val="1"/>
      <w:iCs w:val="1"/>
      <w:w w:val="100"/>
      <w:kern w:val="1"/>
      <w:position w:val="-1"/>
      <w:sz w:val="24"/>
      <w:szCs w:val="24"/>
      <w:effect w:val="none"/>
      <w:vertAlign w:val="baseline"/>
      <w:cs w:val="0"/>
      <w:em w:val="none"/>
      <w:lang w:bidi="ar-SA" w:eastAsia="zh-CN" w:val="und"/>
    </w:rPr>
  </w:style>
  <w:style w:type="paragraph" w:styleId="Index">
    <w:name w:val="Index"/>
    <w:basedOn w:val="Predeterminado"/>
    <w:next w:val="Index"/>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Tahoma" w:eastAsia="Andale Sans UI" w:hAnsi="Times New Roman"/>
      <w:w w:val="100"/>
      <w:kern w:val="1"/>
      <w:position w:val="-1"/>
      <w:sz w:val="24"/>
      <w:szCs w:val="24"/>
      <w:effect w:val="none"/>
      <w:vertAlign w:val="baseline"/>
      <w:cs w:val="0"/>
      <w:em w:val="none"/>
      <w:lang w:bidi="ar-SA" w:eastAsia="zh-CN" w:val="und"/>
    </w:rPr>
  </w:style>
  <w:style w:type="paragraph" w:styleId="TableContents">
    <w:name w:val="Table Contents"/>
    <w:basedOn w:val="Predeterminado"/>
    <w:next w:val="TableContents"/>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PreformattedText">
    <w:name w:val="Preformatted Text"/>
    <w:basedOn w:val="Predeterminado"/>
    <w:next w:val="PreformattedText"/>
    <w:autoRedefine w:val="0"/>
    <w:hidden w:val="0"/>
    <w:qFormat w:val="0"/>
    <w:pPr>
      <w:widowControl w:val="0"/>
      <w:suppressAutoHyphens w:val="0"/>
      <w:bidi w:val="0"/>
      <w:spacing w:after="0" w:before="0" w:line="1" w:lineRule="atLeast"/>
      <w:ind w:leftChars="-1" w:rightChars="0" w:firstLineChars="-1"/>
      <w:textDirection w:val="btLr"/>
      <w:textAlignment w:val="top"/>
      <w:outlineLvl w:val="0"/>
    </w:pPr>
    <w:rPr>
      <w:rFonts w:ascii="Courier New" w:cs="Courier New" w:eastAsia="MS PGothic" w:hAnsi="Courier New"/>
      <w:w w:val="100"/>
      <w:kern w:val="1"/>
      <w:position w:val="-1"/>
      <w:sz w:val="20"/>
      <w:szCs w:val="20"/>
      <w:effect w:val="none"/>
      <w:vertAlign w:val="baseline"/>
      <w:cs w:val="0"/>
      <w:em w:val="none"/>
      <w:lang w:bidi="ar-SA" w:eastAsia="zh-CN" w:val="und"/>
    </w:rPr>
  </w:style>
  <w:style w:type="paragraph" w:styleId="Notafinal">
    <w:name w:val="Nota final"/>
    <w:basedOn w:val="Predeterminado"/>
    <w:next w:val="Notafinal"/>
    <w:autoRedefine w:val="0"/>
    <w:hidden w:val="0"/>
    <w:qFormat w:val="0"/>
    <w:pPr>
      <w:widowControl w:val="0"/>
      <w:suppressLineNumbers w:val="1"/>
      <w:suppressAutoHyphens w:val="0"/>
      <w:bidi w:val="0"/>
      <w:spacing w:line="1" w:lineRule="atLeast"/>
      <w:ind w:left="283" w:right="0" w:leftChars="-1" w:rightChars="0" w:hanging="283" w:firstLineChars="-1"/>
      <w:textDirection w:val="btLr"/>
      <w:textAlignment w:val="top"/>
      <w:outlineLvl w:val="0"/>
    </w:pPr>
    <w:rPr>
      <w:rFonts w:ascii="Times New Roman" w:cs="Times New Roman" w:eastAsia="Andale Sans UI" w:hAnsi="Times New Roman"/>
      <w:w w:val="100"/>
      <w:kern w:val="1"/>
      <w:position w:val="-1"/>
      <w:sz w:val="20"/>
      <w:szCs w:val="20"/>
      <w:effect w:val="none"/>
      <w:vertAlign w:val="baseline"/>
      <w:cs w:val="0"/>
      <w:em w:val="none"/>
      <w:lang w:bidi="ar-SA" w:eastAsia="zh-CN" w:val="und"/>
    </w:rPr>
  </w:style>
  <w:style w:type="paragraph" w:styleId="TableHeading">
    <w:name w:val="Table Heading"/>
    <w:basedOn w:val="TableContents"/>
    <w:next w:val="TableHeading"/>
    <w:autoRedefine w:val="0"/>
    <w:hidden w:val="0"/>
    <w:qFormat w:val="0"/>
    <w:pPr>
      <w:widowControl w:val="0"/>
      <w:suppressLineNumbers w:val="1"/>
      <w:suppressAutoHyphens w:val="0"/>
      <w:bidi w:val="0"/>
      <w:spacing w:line="1" w:lineRule="atLeast"/>
      <w:ind w:leftChars="-1" w:rightChars="0" w:firstLineChars="-1"/>
      <w:jc w:val="center"/>
      <w:textDirection w:val="btLr"/>
      <w:textAlignment w:val="top"/>
      <w:outlineLvl w:val="0"/>
    </w:pPr>
    <w:rPr>
      <w:rFonts w:ascii="Times New Roman" w:cs="Times New Roman" w:eastAsia="Andale Sans UI" w:hAnsi="Times New Roman"/>
      <w:b w:val="1"/>
      <w:bCs w:val="1"/>
      <w:w w:val="100"/>
      <w:kern w:val="1"/>
      <w:position w:val="-1"/>
      <w:sz w:val="24"/>
      <w:szCs w:val="24"/>
      <w:effect w:val="none"/>
      <w:vertAlign w:val="baseline"/>
      <w:cs w:val="0"/>
      <w:em w:val="none"/>
      <w:lang w:bidi="ar-SA" w:eastAsia="zh-CN" w:val="und"/>
    </w:rPr>
  </w:style>
  <w:style w:type="paragraph" w:styleId="Piedepágina">
    <w:name w:val="Pie de página"/>
    <w:basedOn w:val="Predeterminado"/>
    <w:next w:val="Piedepágina"/>
    <w:autoRedefine w:val="0"/>
    <w:hidden w:val="0"/>
    <w:qFormat w:val="0"/>
    <w:pPr>
      <w:widowControl w:val="0"/>
      <w:suppressLineNumbers w:val="1"/>
      <w:tabs>
        <w:tab w:val="center" w:leader="none" w:pos="4818"/>
        <w:tab w:val="right" w:leader="none" w:pos="9637"/>
      </w:tabs>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Contenidodelatabla">
    <w:name w:val="Contenido de la tabla"/>
    <w:basedOn w:val="Predeterminado"/>
    <w:next w:val="Contenidodelatabla"/>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Encabezadodelatabla">
    <w:name w:val="Encabezado de la tabla"/>
    <w:basedOn w:val="Contenidodelatabla"/>
    <w:next w:val="Encabezadodelatabla"/>
    <w:autoRedefine w:val="0"/>
    <w:hidden w:val="0"/>
    <w:qFormat w:val="0"/>
    <w:pPr>
      <w:widowControl w:val="0"/>
      <w:suppressLineNumbers w:val="1"/>
      <w:suppressAutoHyphens w:val="0"/>
      <w:bidi w:val="0"/>
      <w:spacing w:line="1" w:lineRule="atLeast"/>
      <w:ind w:leftChars="-1" w:rightChars="0" w:firstLineChars="-1"/>
      <w:jc w:val="center"/>
      <w:textDirection w:val="btLr"/>
      <w:textAlignment w:val="top"/>
      <w:outlineLvl w:val="0"/>
    </w:pPr>
    <w:rPr>
      <w:rFonts w:ascii="Times New Roman" w:cs="Times New Roman" w:eastAsia="Andale Sans UI" w:hAnsi="Times New Roman"/>
      <w:b w:val="1"/>
      <w:bCs w:val="1"/>
      <w:w w:val="100"/>
      <w:kern w:val="1"/>
      <w:position w:val="-1"/>
      <w:sz w:val="24"/>
      <w:szCs w:val="24"/>
      <w:effect w:val="none"/>
      <w:vertAlign w:val="baseline"/>
      <w:cs w:val="0"/>
      <w:em w:val="none"/>
      <w:lang w:bidi="ar-SA" w:eastAsia="zh-CN" w:val="und"/>
    </w:rPr>
  </w:style>
  <w:style w:type="paragraph" w:styleId="Textopreformateado">
    <w:name w:val="Texto preformateado"/>
    <w:basedOn w:val="Predeterminado"/>
    <w:next w:val="Textopreformateado"/>
    <w:autoRedefine w:val="0"/>
    <w:hidden w:val="0"/>
    <w:qFormat w:val="0"/>
    <w:pPr>
      <w:widowControl w:val="0"/>
      <w:suppressAutoHyphens w:val="0"/>
      <w:bidi w:val="0"/>
      <w:spacing w:after="0" w:before="0" w:line="1" w:lineRule="atLeast"/>
      <w:ind w:leftChars="-1" w:rightChars="0" w:firstLineChars="-1"/>
      <w:textDirection w:val="btLr"/>
      <w:textAlignment w:val="top"/>
      <w:outlineLvl w:val="0"/>
    </w:pPr>
    <w:rPr>
      <w:rFonts w:ascii="Courier New" w:cs="Courier New" w:eastAsia="NSimSun" w:hAnsi="Courier New"/>
      <w:w w:val="100"/>
      <w:kern w:val="1"/>
      <w:position w:val="-1"/>
      <w:sz w:val="20"/>
      <w:szCs w:val="20"/>
      <w:effect w:val="none"/>
      <w:vertAlign w:val="baseline"/>
      <w:cs w:val="0"/>
      <w:em w:val="none"/>
      <w:lang w:bidi="ar-SA" w:eastAsia="zh-CN" w:val="und"/>
    </w:rPr>
  </w:style>
  <w:style w:type="paragraph" w:styleId="numeroitukappale">
    <w:name w:val="numeroitu kappale"/>
    <w:basedOn w:val="Predeterminado"/>
    <w:next w:val="numeroitukappale"/>
    <w:autoRedefine w:val="0"/>
    <w:hidden w:val="0"/>
    <w:qFormat w:val="0"/>
    <w:pPr>
      <w:widowControl w:val="1"/>
      <w:numPr>
        <w:ilvl w:val="0"/>
        <w:numId w:val="2"/>
      </w:numPr>
      <w:suppressAutoHyphens w:val="0"/>
      <w:bidi w:val="0"/>
      <w:spacing w:after="160" w:before="0" w:line="288" w:lineRule="auto"/>
      <w:ind w:left="360" w:right="0" w:leftChars="-1" w:rightChars="0" w:firstLine="0" w:firstLineChars="-1"/>
      <w:textDirection w:val="btLr"/>
      <w:textAlignment w:val="top"/>
      <w:outlineLvl w:val="0"/>
    </w:pPr>
    <w:rPr>
      <w:rFonts w:ascii="Times New Roman" w:cs="Calibri" w:eastAsia="Andale Sans UI" w:hAnsi="Times New Roman"/>
      <w:color w:val="00000a"/>
      <w:w w:val="100"/>
      <w:kern w:val="1"/>
      <w:position w:val="-1"/>
      <w:sz w:val="22"/>
      <w:szCs w:val="24"/>
      <w:effect w:val="none"/>
      <w:vertAlign w:val="baseline"/>
      <w:cs w:val="0"/>
      <w:em w:val="none"/>
      <w:lang w:bidi="ar-SA" w:eastAsia="zh-CN" w:val="und"/>
    </w:rPr>
  </w:style>
  <w:style w:type="paragraph" w:styleId="Notaalpie">
    <w:name w:val="Nota al pie"/>
    <w:basedOn w:val="Predeterminado"/>
    <w:next w:val="Notaalpie"/>
    <w:autoRedefine w:val="0"/>
    <w:hidden w:val="0"/>
    <w:qFormat w:val="0"/>
    <w:pPr>
      <w:widowControl w:val="0"/>
      <w:suppressLineNumbers w:val="1"/>
      <w:suppressAutoHyphens w:val="0"/>
      <w:bidi w:val="0"/>
      <w:spacing w:line="1" w:lineRule="atLeast"/>
      <w:ind w:left="283" w:right="0" w:leftChars="-1" w:rightChars="0" w:hanging="283" w:firstLineChars="-1"/>
      <w:textDirection w:val="btLr"/>
      <w:textAlignment w:val="top"/>
      <w:outlineLvl w:val="0"/>
    </w:pPr>
    <w:rPr>
      <w:rFonts w:ascii="Times New Roman" w:cs="Times New Roman" w:eastAsia="Andale Sans UI" w:hAnsi="Times New Roman"/>
      <w:w w:val="100"/>
      <w:kern w:val="1"/>
      <w:position w:val="-1"/>
      <w:sz w:val="20"/>
      <w:szCs w:val="20"/>
      <w:effect w:val="none"/>
      <w:vertAlign w:val="baseline"/>
      <w:cs w:val="0"/>
      <w:em w:val="none"/>
      <w:lang w:bidi="ar-SA" w:eastAsia="zh-CN" w:val="und"/>
    </w:rPr>
  </w:style>
  <w:style w:type="paragraph" w:styleId="footnotetext">
    <w:name w:val="footnote text"/>
    <w:basedOn w:val="Predeterminado"/>
    <w:next w:val="footnotetext"/>
    <w:autoRedefine w:val="0"/>
    <w:hidden w:val="0"/>
    <w:qFormat w:val="0"/>
    <w:pPr>
      <w:widowControl w:val="0"/>
      <w:numPr>
        <w:ilvl w:val="0"/>
        <w:numId w:val="0"/>
      </w:numPr>
      <w:tabs>
        <w:tab w:val="right" w:leader="none" w:pos="1021"/>
      </w:tabs>
      <w:suppressAutoHyphens w:val="1"/>
      <w:bidi w:val="0"/>
      <w:spacing w:line="220" w:lineRule="atLeast"/>
      <w:ind w:left="1134" w:right="1134" w:leftChars="-1" w:rightChars="0" w:hanging="1134" w:firstLineChars="-1"/>
      <w:textDirection w:val="btLr"/>
      <w:textAlignment w:val="top"/>
      <w:outlineLvl w:val="0"/>
    </w:pPr>
    <w:rPr>
      <w:rFonts w:ascii="Times New Roman" w:cs="Times New Roman" w:eastAsia="SimSun" w:hAnsi="Times New Roman"/>
      <w:w w:val="100"/>
      <w:kern w:val="1"/>
      <w:position w:val="-1"/>
      <w:sz w:val="18"/>
      <w:szCs w:val="24"/>
      <w:effect w:val="none"/>
      <w:vertAlign w:val="baseline"/>
      <w:cs w:val="0"/>
      <w:em w:val="none"/>
      <w:lang w:bidi="ar-SA" w:eastAsia="zh-CN" w:val="und"/>
    </w:rPr>
  </w:style>
  <w:style w:type="paragraph" w:styleId="_SingleTxt_G">
    <w:name w:val="_ Single Txt_G"/>
    <w:basedOn w:val="Predeterminado"/>
    <w:next w:val="_SingleTxt_G"/>
    <w:autoRedefine w:val="0"/>
    <w:hidden w:val="0"/>
    <w:qFormat w:val="0"/>
    <w:pPr>
      <w:widowControl w:val="0"/>
      <w:numPr>
        <w:ilvl w:val="0"/>
        <w:numId w:val="0"/>
      </w:numPr>
      <w:tabs>
        <w:tab w:val="left" w:leader="none" w:pos="1701"/>
        <w:tab w:val="left" w:leader="none" w:pos="2268"/>
      </w:tabs>
      <w:suppressAutoHyphens w:val="0"/>
      <w:bidi w:val="0"/>
      <w:spacing w:after="120" w:before="0" w:line="1" w:lineRule="atLeast"/>
      <w:ind w:left="1134" w:right="1134" w:leftChars="-1" w:rightChars="0" w:firstLine="0" w:firstLineChars="-1"/>
      <w:jc w:val="both"/>
      <w:textDirection w:val="btLr"/>
      <w:textAlignment w:val="top"/>
      <w:outlineLvl w:val="0"/>
    </w:pPr>
    <w:rPr>
      <w:rFonts w:ascii="Times New Roman" w:cs="Times New Roman" w:eastAsia="SimSun" w:hAnsi="Times New Roman"/>
      <w:w w:val="100"/>
      <w:kern w:val="1"/>
      <w:position w:val="-1"/>
      <w:sz w:val="24"/>
      <w:szCs w:val="24"/>
      <w:effect w:val="none"/>
      <w:vertAlign w:val="baseline"/>
      <w:cs w:val="0"/>
      <w:em w:val="none"/>
      <w:lang w:bidi="ar-SA" w:eastAsia="zh-CN" w:val="und"/>
    </w:rPr>
  </w:style>
  <w:style w:type="paragraph" w:styleId="ListParagraph">
    <w:name w:val="List Paragraph"/>
    <w:basedOn w:val="Predeterminado"/>
    <w:next w:val="ListParagraph"/>
    <w:autoRedefine w:val="0"/>
    <w:hidden w:val="0"/>
    <w:qFormat w:val="0"/>
    <w:pPr>
      <w:widowControl w:val="0"/>
      <w:numPr>
        <w:ilvl w:val="0"/>
        <w:numId w:val="0"/>
      </w:numPr>
      <w:suppressAutoHyphens w:val="0"/>
      <w:bidi w:val="0"/>
      <w:spacing w:line="1" w:lineRule="atLeast"/>
      <w:ind w:left="720" w:right="0" w:leftChars="-1" w:rightChars="0" w:firstLine="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hyperlink" Target="https://www.ibn.co.za/blog-and-news/q3-mau-medical-report/" TargetMode="External"/><Relationship Id="rId13" Type="http://schemas.openxmlformats.org/officeDocument/2006/relationships/customXml" Target="../customXML/item4.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hyperlink" Target="https://www.maurice-info.mu/wp-content/uploads/2023/04/The-HIV-And-AIDS-Amendment-Act-2023.pdf" TargetMode="External"/><Relationship Id="rId4" Type="http://schemas.openxmlformats.org/officeDocument/2006/relationships/footnotes" Target="footnotes.xml"/><Relationship Id="rId9" Type="http://schemas.openxmlformats.org/officeDocument/2006/relationships/hyperlink" Target="https://mauritiuslii.org/akn/mu/act/2006/31/eng@2017-06-3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MopDecNwS/JYy7SUBYvB6wyQ9g==">CgMxLjA4AHIhMUctNlVoTG1GZEppRzl0SGJrUnJPdXdCRmdJWFJaWWtv</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2025-04-01T07:29:37+00:00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E48B3A9-ECD0-4096-BB8C-5CB807D62AA0}"/>
</file>

<file path=customXML/itemProps3.xml><?xml version="1.0" encoding="utf-8"?>
<ds:datastoreItem xmlns:ds="http://schemas.openxmlformats.org/officeDocument/2006/customXml" ds:itemID="{A3DA972C-0EF8-4910-A456-0CBF832E876F}"/>
</file>

<file path=customXML/itemProps4.xml><?xml version="1.0" encoding="utf-8"?>
<ds:datastoreItem xmlns:ds="http://schemas.openxmlformats.org/officeDocument/2006/customXml" ds:itemID="{468657DF-14FD-400E-A1D2-17CF202A5F34}"/>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Celine Reynaud</dc:creator>
  <dcterms:created xsi:type="dcterms:W3CDTF">2023-08-21T15:31:00Z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318dc61084e0b5162a08f13e34e364aeb06332fb3236c7f158cd85a48ad47669</vt:lpwstr>
  </property>
  <property fmtid="{D5CDD505-2E9C-101B-9397-08002B2CF9AE}" pid="3" name="ContentTypeId">
    <vt:lpwstr>0x0101001193CD93B399A24291B7775C5A053C9B</vt:lpwstr>
  </property>
  <property fmtid="{D5CDD505-2E9C-101B-9397-08002B2CF9AE}" pid="4" name="MediaServiceImageTags">
    <vt:lpwstr/>
  </property>
</Properties>
</file>