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D0D33" w14:textId="77777777"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NGO CEDAW Shadow Report on Lesbian, bisexual, queer, transgender and intersex (LBQTI) women for the Malaysian Government’s</w:t>
      </w:r>
    </w:p>
    <w:p w14:paraId="56202B01" w14:textId="77777777"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 xml:space="preserve">Review by the CEDAW Committee, at the 88th CEDAW Session in </w:t>
      </w:r>
      <w:r w:rsidRPr="004E5F9B">
        <w:rPr>
          <w:rFonts w:ascii="Arial" w:eastAsia="Times New Roman" w:hAnsi="Arial" w:cs="Arial"/>
          <w:b/>
          <w:bCs/>
          <w:color w:val="000000"/>
          <w:kern w:val="0"/>
          <w:sz w:val="20"/>
          <w:szCs w:val="20"/>
          <w:lang w:eastAsia="en-GB"/>
          <w14:ligatures w14:val="none"/>
        </w:rPr>
        <w:br/>
        <w:t>May 2024</w:t>
      </w:r>
    </w:p>
    <w:p w14:paraId="2B1E982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FC02BB8" w14:textId="77777777"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w:t>
      </w:r>
      <w:r w:rsidRPr="004E5F9B">
        <w:rPr>
          <w:rFonts w:ascii="Arial" w:eastAsia="Times New Roman" w:hAnsi="Arial" w:cs="Arial"/>
          <w:b/>
          <w:bCs/>
          <w:color w:val="000000"/>
          <w:kern w:val="0"/>
          <w:sz w:val="20"/>
          <w:szCs w:val="20"/>
          <w:lang w:eastAsia="en-GB"/>
          <w14:ligatures w14:val="none"/>
        </w:rPr>
        <w:t>Submitted on 23 April 2024</w:t>
      </w:r>
    </w:p>
    <w:p w14:paraId="1A5A0EFB"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BFD848F" w14:textId="77777777"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by </w:t>
      </w:r>
    </w:p>
    <w:p w14:paraId="3FF12E86" w14:textId="77777777" w:rsidR="002F4B99" w:rsidRPr="004E5F9B" w:rsidRDefault="002F4B99" w:rsidP="009313B2">
      <w:pPr>
        <w:jc w:val="center"/>
        <w:rPr>
          <w:rFonts w:ascii="Arial" w:eastAsia="Times New Roman" w:hAnsi="Arial" w:cs="Arial"/>
          <w:color w:val="000000"/>
          <w:kern w:val="0"/>
          <w:sz w:val="20"/>
          <w:szCs w:val="20"/>
          <w:lang w:eastAsia="en-GB"/>
          <w14:ligatures w14:val="none"/>
        </w:rPr>
      </w:pPr>
    </w:p>
    <w:p w14:paraId="16875F54" w14:textId="0883B631" w:rsidR="002F4B99" w:rsidRPr="004E5F9B" w:rsidRDefault="002F4B99"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SOGIESC Coalition Malaysia </w:t>
      </w:r>
    </w:p>
    <w:p w14:paraId="17D31F78" w14:textId="62B4F53C"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Justice for Sisters, Legal Dignity, </w:t>
      </w:r>
      <w:proofErr w:type="spellStart"/>
      <w:r w:rsidRPr="004E5F9B">
        <w:rPr>
          <w:rFonts w:ascii="Arial" w:eastAsia="Times New Roman" w:hAnsi="Arial" w:cs="Arial"/>
          <w:color w:val="000000"/>
          <w:kern w:val="0"/>
          <w:sz w:val="20"/>
          <w:szCs w:val="20"/>
          <w:lang w:eastAsia="en-GB"/>
          <w14:ligatures w14:val="none"/>
        </w:rPr>
        <w:t>Jejaka</w:t>
      </w:r>
      <w:proofErr w:type="spellEnd"/>
      <w:r w:rsidRPr="004E5F9B">
        <w:rPr>
          <w:rFonts w:ascii="Arial" w:eastAsia="Times New Roman" w:hAnsi="Arial" w:cs="Arial"/>
          <w:color w:val="000000"/>
          <w:kern w:val="0"/>
          <w:sz w:val="20"/>
          <w:szCs w:val="20"/>
          <w:lang w:eastAsia="en-GB"/>
          <w14:ligatures w14:val="none"/>
        </w:rPr>
        <w:t>, PLUHO, Queer Lapis</w:t>
      </w:r>
      <w:r w:rsidR="002F4B99" w:rsidRPr="004E5F9B">
        <w:rPr>
          <w:rFonts w:ascii="Arial" w:eastAsia="Times New Roman" w:hAnsi="Arial" w:cs="Arial"/>
          <w:color w:val="000000"/>
          <w:kern w:val="0"/>
          <w:sz w:val="20"/>
          <w:szCs w:val="20"/>
          <w:lang w:eastAsia="en-GB"/>
          <w14:ligatures w14:val="none"/>
        </w:rPr>
        <w:t xml:space="preserve">, </w:t>
      </w:r>
      <w:proofErr w:type="spellStart"/>
      <w:r w:rsidRPr="004E5F9B">
        <w:rPr>
          <w:rFonts w:ascii="Arial" w:eastAsia="Times New Roman" w:hAnsi="Arial" w:cs="Arial"/>
          <w:color w:val="000000"/>
          <w:kern w:val="0"/>
          <w:sz w:val="20"/>
          <w:szCs w:val="20"/>
          <w:lang w:eastAsia="en-GB"/>
          <w14:ligatures w14:val="none"/>
        </w:rPr>
        <w:t>Kemban</w:t>
      </w:r>
      <w:proofErr w:type="spellEnd"/>
      <w:r w:rsidRPr="004E5F9B">
        <w:rPr>
          <w:rFonts w:ascii="Arial" w:eastAsia="Times New Roman" w:hAnsi="Arial" w:cs="Arial"/>
          <w:color w:val="000000"/>
          <w:kern w:val="0"/>
          <w:sz w:val="20"/>
          <w:szCs w:val="20"/>
          <w:lang w:eastAsia="en-GB"/>
          <w14:ligatures w14:val="none"/>
        </w:rPr>
        <w:t xml:space="preserve"> </w:t>
      </w:r>
      <w:proofErr w:type="spellStart"/>
      <w:r w:rsidRPr="004E5F9B">
        <w:rPr>
          <w:rFonts w:ascii="Arial" w:eastAsia="Times New Roman" w:hAnsi="Arial" w:cs="Arial"/>
          <w:color w:val="000000"/>
          <w:kern w:val="0"/>
          <w:sz w:val="20"/>
          <w:szCs w:val="20"/>
          <w:lang w:eastAsia="en-GB"/>
          <w14:ligatures w14:val="none"/>
        </w:rPr>
        <w:t>Kolektif</w:t>
      </w:r>
      <w:proofErr w:type="spellEnd"/>
      <w:r w:rsidR="002F4B99" w:rsidRPr="004E5F9B">
        <w:rPr>
          <w:rFonts w:ascii="Arial" w:eastAsia="Times New Roman" w:hAnsi="Arial" w:cs="Arial"/>
          <w:color w:val="000000"/>
          <w:kern w:val="0"/>
          <w:sz w:val="20"/>
          <w:szCs w:val="20"/>
          <w:lang w:eastAsia="en-GB"/>
          <w14:ligatures w14:val="none"/>
        </w:rPr>
        <w:t xml:space="preserve">, SEED Malaysia, </w:t>
      </w:r>
      <w:r w:rsidR="004D0C1C" w:rsidRPr="004E5F9B">
        <w:rPr>
          <w:rFonts w:ascii="Arial" w:eastAsia="Times New Roman" w:hAnsi="Arial" w:cs="Arial"/>
          <w:color w:val="000000"/>
          <w:kern w:val="0"/>
          <w:sz w:val="20"/>
          <w:szCs w:val="20"/>
          <w:lang w:eastAsia="en-GB"/>
          <w14:ligatures w14:val="none"/>
        </w:rPr>
        <w:t>Good Samaritan Kuala Lumpur (GSKL), Queer Malaysian</w:t>
      </w:r>
      <w:r w:rsidR="006C3E61" w:rsidRPr="004E5F9B">
        <w:rPr>
          <w:rFonts w:ascii="Arial" w:eastAsia="Times New Roman" w:hAnsi="Arial" w:cs="Arial"/>
          <w:color w:val="000000"/>
          <w:kern w:val="0"/>
          <w:sz w:val="20"/>
          <w:szCs w:val="20"/>
          <w:lang w:eastAsia="en-GB"/>
          <w14:ligatures w14:val="none"/>
        </w:rPr>
        <w:t xml:space="preserve"> Indian</w:t>
      </w:r>
      <w:r w:rsidR="004D0C1C" w:rsidRPr="004E5F9B">
        <w:rPr>
          <w:rFonts w:ascii="Arial" w:eastAsia="Times New Roman" w:hAnsi="Arial" w:cs="Arial"/>
          <w:color w:val="000000"/>
          <w:kern w:val="0"/>
          <w:sz w:val="20"/>
          <w:szCs w:val="20"/>
          <w:lang w:eastAsia="en-GB"/>
          <w14:ligatures w14:val="none"/>
        </w:rPr>
        <w:t xml:space="preserve"> (QMI) </w:t>
      </w:r>
      <w:r w:rsidR="00D11692">
        <w:rPr>
          <w:rFonts w:ascii="Arial" w:eastAsia="Times New Roman" w:hAnsi="Arial" w:cs="Arial"/>
          <w:color w:val="000000"/>
          <w:kern w:val="0"/>
          <w:sz w:val="20"/>
          <w:szCs w:val="20"/>
          <w:lang w:eastAsia="en-GB"/>
          <w14:ligatures w14:val="none"/>
        </w:rPr>
        <w:t xml:space="preserve">&amp; </w:t>
      </w:r>
      <w:r w:rsidR="00A111D7" w:rsidRPr="004E5F9B">
        <w:rPr>
          <w:rFonts w:ascii="Arial" w:eastAsia="Times New Roman" w:hAnsi="Arial" w:cs="Arial"/>
          <w:color w:val="000000"/>
          <w:kern w:val="0"/>
          <w:sz w:val="20"/>
          <w:szCs w:val="20"/>
          <w:lang w:eastAsia="en-GB"/>
          <w14:ligatures w14:val="none"/>
        </w:rPr>
        <w:t>H</w:t>
      </w:r>
      <w:r w:rsidR="004D0C1C" w:rsidRPr="004E5F9B">
        <w:rPr>
          <w:rFonts w:ascii="Arial" w:eastAsia="Times New Roman" w:hAnsi="Arial" w:cs="Arial"/>
          <w:color w:val="000000"/>
          <w:kern w:val="0"/>
          <w:sz w:val="20"/>
          <w:szCs w:val="20"/>
          <w:lang w:eastAsia="en-GB"/>
          <w14:ligatures w14:val="none"/>
        </w:rPr>
        <w:t>USH Collective</w:t>
      </w:r>
    </w:p>
    <w:p w14:paraId="2BCC0766" w14:textId="77777777" w:rsidR="00532172" w:rsidRDefault="009313B2" w:rsidP="009313B2">
      <w:pPr>
        <w:spacing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p>
    <w:p w14:paraId="5EE13B16"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23E86A4B"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5EB0BAF2"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6352A7FB"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1939586F"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1D1EAFC0"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35AEE705"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12E1BBC2"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2ED224B0" w14:textId="77777777" w:rsidR="00532172" w:rsidRDefault="00532172" w:rsidP="009313B2">
      <w:pPr>
        <w:spacing w:after="240"/>
        <w:rPr>
          <w:rFonts w:ascii="Arial" w:eastAsia="Times New Roman" w:hAnsi="Arial" w:cs="Arial"/>
          <w:color w:val="000000"/>
          <w:kern w:val="0"/>
          <w:sz w:val="20"/>
          <w:szCs w:val="20"/>
          <w:lang w:eastAsia="en-GB"/>
          <w14:ligatures w14:val="none"/>
        </w:rPr>
      </w:pPr>
    </w:p>
    <w:p w14:paraId="196AF6F1" w14:textId="78ECC86E" w:rsidR="009313B2" w:rsidRPr="004E5F9B" w:rsidRDefault="009313B2" w:rsidP="009313B2">
      <w:pPr>
        <w:spacing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p>
    <w:p w14:paraId="379045CE" w14:textId="392468B2" w:rsidR="009313B2" w:rsidRPr="004E5F9B" w:rsidRDefault="009313B2" w:rsidP="009313B2">
      <w:pPr>
        <w:jc w:val="cente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 xml:space="preserve">For more information, please kindly contact </w:t>
      </w:r>
      <w:r w:rsidR="00D11692">
        <w:rPr>
          <w:rFonts w:ascii="Arial" w:eastAsia="Times New Roman" w:hAnsi="Arial" w:cs="Arial"/>
          <w:i/>
          <w:iCs/>
          <w:color w:val="000000"/>
          <w:kern w:val="0"/>
          <w:sz w:val="20"/>
          <w:szCs w:val="20"/>
          <w:lang w:eastAsia="en-GB"/>
          <w14:ligatures w14:val="none"/>
        </w:rPr>
        <w:t>info@justiceforsisters.org</w:t>
      </w:r>
    </w:p>
    <w:p w14:paraId="2E0BE3B1" w14:textId="77777777" w:rsidR="009313B2" w:rsidRPr="004E5F9B" w:rsidRDefault="009313B2" w:rsidP="009313B2">
      <w:pPr>
        <w:rPr>
          <w:rFonts w:ascii="Arial" w:eastAsia="Times New Roman" w:hAnsi="Arial" w:cs="Arial"/>
          <w:b/>
          <w:bCs/>
          <w:color w:val="000000"/>
          <w:kern w:val="0"/>
          <w:sz w:val="20"/>
          <w:szCs w:val="20"/>
          <w:lang w:eastAsia="en-GB"/>
          <w14:ligatures w14:val="none"/>
        </w:rPr>
      </w:pPr>
    </w:p>
    <w:p w14:paraId="17A3FEC2" w14:textId="77777777" w:rsidR="009313B2" w:rsidRPr="004E5F9B" w:rsidRDefault="009313B2" w:rsidP="009313B2">
      <w:pPr>
        <w:rPr>
          <w:rFonts w:ascii="Arial" w:eastAsia="Times New Roman" w:hAnsi="Arial" w:cs="Arial"/>
          <w:b/>
          <w:bCs/>
          <w:color w:val="000000"/>
          <w:kern w:val="0"/>
          <w:sz w:val="20"/>
          <w:szCs w:val="20"/>
          <w:lang w:eastAsia="en-GB"/>
          <w14:ligatures w14:val="none"/>
        </w:rPr>
      </w:pPr>
    </w:p>
    <w:p w14:paraId="530688BD" w14:textId="77777777" w:rsidR="009313B2" w:rsidRPr="004E5F9B" w:rsidRDefault="009313B2" w:rsidP="009313B2">
      <w:pPr>
        <w:rPr>
          <w:rFonts w:ascii="Arial" w:eastAsia="Times New Roman" w:hAnsi="Arial" w:cs="Arial"/>
          <w:b/>
          <w:bCs/>
          <w:color w:val="000000"/>
          <w:kern w:val="0"/>
          <w:sz w:val="20"/>
          <w:szCs w:val="20"/>
          <w:lang w:eastAsia="en-GB"/>
          <w14:ligatures w14:val="none"/>
        </w:rPr>
      </w:pPr>
    </w:p>
    <w:p w14:paraId="34D2C9E7" w14:textId="3647DFD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Table of contents </w:t>
      </w:r>
    </w:p>
    <w:p w14:paraId="15986322" w14:textId="77777777" w:rsidR="009313B2" w:rsidRPr="004E5F9B" w:rsidRDefault="009313B2" w:rsidP="009313B2">
      <w:pPr>
        <w:spacing w:after="240"/>
        <w:rPr>
          <w:rFonts w:ascii="Arial" w:eastAsia="Times New Roman" w:hAnsi="Arial" w:cs="Arial"/>
          <w:color w:val="000000"/>
          <w:kern w:val="0"/>
          <w:sz w:val="20"/>
          <w:szCs w:val="20"/>
          <w:lang w:eastAsia="en-GB"/>
          <w14:ligatures w14:val="none"/>
        </w:rPr>
      </w:pPr>
    </w:p>
    <w:tbl>
      <w:tblPr>
        <w:tblW w:w="9488" w:type="dxa"/>
        <w:tblCellMar>
          <w:top w:w="15" w:type="dxa"/>
          <w:left w:w="15" w:type="dxa"/>
          <w:bottom w:w="15" w:type="dxa"/>
          <w:right w:w="15" w:type="dxa"/>
        </w:tblCellMar>
        <w:tblLook w:val="04A0" w:firstRow="1" w:lastRow="0" w:firstColumn="1" w:lastColumn="0" w:noHBand="0" w:noVBand="1"/>
      </w:tblPr>
      <w:tblGrid>
        <w:gridCol w:w="7787"/>
        <w:gridCol w:w="1701"/>
      </w:tblGrid>
      <w:tr w:rsidR="004E50D5" w:rsidRPr="004E50D5" w14:paraId="6D6E2BCC" w14:textId="77777777" w:rsidTr="004E50D5">
        <w:trPr>
          <w:trHeight w:val="160"/>
        </w:trPr>
        <w:tc>
          <w:tcPr>
            <w:tcW w:w="7787" w:type="dxa"/>
            <w:tcBorders>
              <w:top w:val="dotted" w:sz="8" w:space="0" w:color="000000"/>
              <w:left w:val="dotted" w:sz="8" w:space="0" w:color="000000"/>
              <w:bottom w:val="dotted" w:sz="8" w:space="0" w:color="000000"/>
              <w:right w:val="dotted" w:sz="8" w:space="0" w:color="000000"/>
            </w:tcBorders>
            <w:shd w:val="clear" w:color="auto" w:fill="CCCCCC"/>
            <w:tcMar>
              <w:top w:w="100" w:type="dxa"/>
              <w:left w:w="100" w:type="dxa"/>
              <w:bottom w:w="100" w:type="dxa"/>
              <w:right w:w="100" w:type="dxa"/>
            </w:tcMar>
            <w:hideMark/>
          </w:tcPr>
          <w:p w14:paraId="4377C979" w14:textId="3531D494" w:rsidR="004E50D5" w:rsidRPr="004E50D5" w:rsidRDefault="004E50D5" w:rsidP="004E50D5">
            <w:pPr>
              <w:rPr>
                <w:rFonts w:ascii="Arial" w:eastAsia="Times New Roman" w:hAnsi="Arial" w:cs="Arial"/>
                <w:b/>
                <w:bCs/>
                <w:color w:val="000000"/>
                <w:kern w:val="0"/>
                <w:sz w:val="20"/>
                <w:szCs w:val="20"/>
                <w:lang w:eastAsia="en-GB"/>
                <w14:ligatures w14:val="none"/>
              </w:rPr>
            </w:pPr>
            <w:r w:rsidRPr="004E50D5">
              <w:rPr>
                <w:rFonts w:ascii="Arial" w:eastAsia="Times New Roman" w:hAnsi="Arial" w:cs="Arial"/>
                <w:b/>
                <w:bCs/>
                <w:color w:val="000000"/>
                <w:kern w:val="0"/>
                <w:sz w:val="20"/>
                <w:szCs w:val="20"/>
                <w:lang w:eastAsia="en-GB"/>
                <w14:ligatures w14:val="none"/>
              </w:rPr>
              <w:t>Item </w:t>
            </w:r>
          </w:p>
        </w:tc>
        <w:tc>
          <w:tcPr>
            <w:tcW w:w="1701" w:type="dxa"/>
            <w:tcBorders>
              <w:top w:val="dotted" w:sz="8" w:space="0" w:color="000000"/>
              <w:left w:val="dotted" w:sz="8" w:space="0" w:color="000000"/>
              <w:bottom w:val="dotted" w:sz="8" w:space="0" w:color="000000"/>
              <w:right w:val="dotted" w:sz="8" w:space="0" w:color="000000"/>
            </w:tcBorders>
            <w:shd w:val="clear" w:color="auto" w:fill="CCCCCC"/>
            <w:tcMar>
              <w:top w:w="100" w:type="dxa"/>
              <w:left w:w="100" w:type="dxa"/>
              <w:bottom w:w="100" w:type="dxa"/>
              <w:right w:w="100" w:type="dxa"/>
            </w:tcMar>
            <w:hideMark/>
          </w:tcPr>
          <w:p w14:paraId="6578FC26" w14:textId="7E3B7084" w:rsidR="004E50D5" w:rsidRPr="004E50D5" w:rsidRDefault="004E50D5" w:rsidP="004E50D5">
            <w:pPr>
              <w:jc w:val="center"/>
              <w:rPr>
                <w:rFonts w:ascii="Arial" w:eastAsia="Times New Roman" w:hAnsi="Arial" w:cs="Arial"/>
                <w:b/>
                <w:bCs/>
                <w:color w:val="000000"/>
                <w:kern w:val="0"/>
                <w:sz w:val="20"/>
                <w:szCs w:val="20"/>
                <w:lang w:eastAsia="en-GB"/>
                <w14:ligatures w14:val="none"/>
              </w:rPr>
            </w:pPr>
            <w:r w:rsidRPr="004E50D5">
              <w:rPr>
                <w:rFonts w:ascii="Arial" w:eastAsia="Times New Roman" w:hAnsi="Arial" w:cs="Arial"/>
                <w:b/>
                <w:bCs/>
                <w:color w:val="000000"/>
                <w:kern w:val="0"/>
                <w:sz w:val="20"/>
                <w:szCs w:val="20"/>
                <w:lang w:eastAsia="en-GB"/>
                <w14:ligatures w14:val="none"/>
              </w:rPr>
              <w:t>Page </w:t>
            </w:r>
          </w:p>
        </w:tc>
      </w:tr>
      <w:tr w:rsidR="004E50D5" w:rsidRPr="004E50D5" w14:paraId="2BFEC03D" w14:textId="77777777" w:rsidTr="004E50D5">
        <w:trPr>
          <w:trHeight w:val="12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69323D3"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Executive summary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45D23317"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3</w:t>
            </w:r>
          </w:p>
        </w:tc>
      </w:tr>
      <w:tr w:rsidR="004E50D5" w:rsidRPr="004E50D5" w14:paraId="6EF12846"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6721B78E"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1: Definition of discrimination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138BA2CC"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4</w:t>
            </w:r>
          </w:p>
        </w:tc>
      </w:tr>
      <w:tr w:rsidR="004E50D5" w:rsidRPr="004E50D5" w14:paraId="70C6610C" w14:textId="77777777" w:rsidTr="004E50D5">
        <w:trPr>
          <w:trHeight w:val="66"/>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4A3002A"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2, 3 &amp; 15: Equality &amp; Non-discrimination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6C4A12F6"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5</w:t>
            </w:r>
          </w:p>
        </w:tc>
      </w:tr>
      <w:tr w:rsidR="004E50D5" w:rsidRPr="004E50D5" w14:paraId="2160EFAF" w14:textId="77777777" w:rsidTr="004E50D5">
        <w:trPr>
          <w:trHeight w:val="43"/>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58608F7"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Favourable legal developments on criminalization</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212AC19"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5</w:t>
            </w:r>
          </w:p>
        </w:tc>
      </w:tr>
      <w:tr w:rsidR="004E50D5" w:rsidRPr="004E50D5" w14:paraId="4039C7BB" w14:textId="77777777" w:rsidTr="004E50D5">
        <w:trPr>
          <w:trHeight w:val="21"/>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1ED7D3B0"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Criminalisation of LBT women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58E0B983"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6</w:t>
            </w:r>
          </w:p>
        </w:tc>
      </w:tr>
      <w:tr w:rsidR="004E50D5" w:rsidRPr="004E50D5" w14:paraId="3D830CCF"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3B0356B"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Legal gender recognition</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19FDED3D"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7</w:t>
            </w:r>
          </w:p>
        </w:tc>
      </w:tr>
      <w:tr w:rsidR="004E50D5" w:rsidRPr="004E50D5" w14:paraId="282A1307"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678F3E42"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State-funded anti-LGBT activities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D545ABD"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8</w:t>
            </w:r>
          </w:p>
        </w:tc>
      </w:tr>
      <w:tr w:rsidR="004E50D5" w:rsidRPr="004E50D5" w14:paraId="404A323D"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128AB83"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5: Stereotypes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4048B4BB"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9</w:t>
            </w:r>
          </w:p>
        </w:tc>
      </w:tr>
      <w:tr w:rsidR="004E50D5" w:rsidRPr="004E50D5" w14:paraId="3D03EF18" w14:textId="77777777" w:rsidTr="004E50D5">
        <w:trPr>
          <w:trHeight w:val="33"/>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97632DC"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7: Political and public life</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468A26EB"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10</w:t>
            </w:r>
          </w:p>
        </w:tc>
      </w:tr>
      <w:tr w:rsidR="004E50D5" w:rsidRPr="004E50D5" w14:paraId="4A5732A4"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5AF850DF"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Right to vote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3435D19"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10</w:t>
            </w:r>
          </w:p>
        </w:tc>
      </w:tr>
      <w:tr w:rsidR="004E50D5" w:rsidRPr="004E50D5" w14:paraId="363F4D90"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E3E9E04"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Barriers to public and political participation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1340C12B"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10</w:t>
            </w:r>
          </w:p>
        </w:tc>
      </w:tr>
      <w:tr w:rsidR="004E50D5" w:rsidRPr="004E50D5" w14:paraId="7043FD1C" w14:textId="77777777" w:rsidTr="004E50D5">
        <w:trPr>
          <w:trHeight w:val="95"/>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58F56F8"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Freedom of assembly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570830C6"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11</w:t>
            </w:r>
          </w:p>
        </w:tc>
      </w:tr>
      <w:tr w:rsidR="004E50D5" w:rsidRPr="004E50D5" w14:paraId="3018A465"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B520B90"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10: Education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15927ED6"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12</w:t>
            </w:r>
          </w:p>
        </w:tc>
      </w:tr>
      <w:tr w:rsidR="004E50D5" w:rsidRPr="004E50D5" w14:paraId="26BCF7D3"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C678990"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11: Employment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6B152F1A"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13</w:t>
            </w:r>
          </w:p>
        </w:tc>
      </w:tr>
      <w:tr w:rsidR="004E50D5" w:rsidRPr="004E50D5" w14:paraId="4EAA549C"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A7C2B66"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Article 12: Health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4899C86A"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14</w:t>
            </w:r>
          </w:p>
        </w:tc>
      </w:tr>
      <w:tr w:rsidR="004E50D5" w:rsidRPr="004E50D5" w14:paraId="2AA7EED6"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77CD729"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General Recommendation 19: Violence against Women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B572EB8"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15</w:t>
            </w:r>
          </w:p>
        </w:tc>
      </w:tr>
      <w:tr w:rsidR="004E50D5" w:rsidRPr="004E50D5" w14:paraId="6682D4B4"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7823EBE" w14:textId="77777777" w:rsidR="004E50D5" w:rsidRPr="004E50D5" w:rsidRDefault="004E50D5" w:rsidP="004E50D5">
            <w:pP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General Recommendation 33: Access to Justice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2AADBEF0"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16</w:t>
            </w:r>
          </w:p>
        </w:tc>
      </w:tr>
      <w:tr w:rsidR="004E50D5" w:rsidRPr="004E50D5" w14:paraId="37403074" w14:textId="77777777" w:rsidTr="004E50D5">
        <w:trPr>
          <w:trHeight w:val="49"/>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4426DD39"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Access to redress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2201B9C3"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16</w:t>
            </w:r>
          </w:p>
        </w:tc>
      </w:tr>
      <w:tr w:rsidR="004E50D5" w:rsidRPr="004E50D5" w14:paraId="606F7324" w14:textId="77777777" w:rsidTr="004E50D5">
        <w:trPr>
          <w:trHeight w:val="27"/>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348F97FA"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Discrimination by the police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3C61064"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16</w:t>
            </w:r>
          </w:p>
        </w:tc>
      </w:tr>
      <w:tr w:rsidR="004E50D5" w:rsidRPr="004E50D5" w14:paraId="259CB85C"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2EA1095D"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Discrimination by the state Islamic departments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72F11417"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17</w:t>
            </w:r>
          </w:p>
        </w:tc>
      </w:tr>
      <w:tr w:rsidR="004E50D5" w:rsidRPr="004E50D5" w14:paraId="6A277326" w14:textId="77777777" w:rsidTr="004E50D5">
        <w:trPr>
          <w:trHeight w:val="14"/>
        </w:trPr>
        <w:tc>
          <w:tcPr>
            <w:tcW w:w="7787"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08595A99" w14:textId="77777777" w:rsidR="004E50D5" w:rsidRPr="004E50D5" w:rsidRDefault="004E50D5" w:rsidP="004E50D5">
            <w:pPr>
              <w:ind w:left="720"/>
              <w:rPr>
                <w:rFonts w:ascii="Arial" w:eastAsia="Times New Roman" w:hAnsi="Arial" w:cs="Arial"/>
                <w:kern w:val="0"/>
                <w:lang w:eastAsia="en-GB"/>
                <w14:ligatures w14:val="none"/>
              </w:rPr>
            </w:pPr>
            <w:r w:rsidRPr="004E50D5">
              <w:rPr>
                <w:rFonts w:ascii="Arial" w:eastAsia="Times New Roman" w:hAnsi="Arial" w:cs="Arial"/>
                <w:i/>
                <w:iCs/>
                <w:color w:val="000000"/>
                <w:kern w:val="0"/>
                <w:sz w:val="20"/>
                <w:szCs w:val="20"/>
                <w:lang w:eastAsia="en-GB"/>
                <w14:ligatures w14:val="none"/>
              </w:rPr>
              <w:t>Access to data </w:t>
            </w:r>
          </w:p>
        </w:tc>
        <w:tc>
          <w:tcPr>
            <w:tcW w:w="1701" w:type="dxa"/>
            <w:tcBorders>
              <w:top w:val="dotted" w:sz="8" w:space="0" w:color="000000"/>
              <w:left w:val="dotted" w:sz="8" w:space="0" w:color="000000"/>
              <w:bottom w:val="dotted" w:sz="8" w:space="0" w:color="000000"/>
              <w:right w:val="dotted" w:sz="8" w:space="0" w:color="000000"/>
            </w:tcBorders>
            <w:tcMar>
              <w:top w:w="100" w:type="dxa"/>
              <w:left w:w="100" w:type="dxa"/>
              <w:bottom w:w="100" w:type="dxa"/>
              <w:right w:w="100" w:type="dxa"/>
            </w:tcMar>
            <w:hideMark/>
          </w:tcPr>
          <w:p w14:paraId="66F54365" w14:textId="77777777" w:rsidR="004E50D5" w:rsidRPr="004E50D5" w:rsidRDefault="004E50D5" w:rsidP="004E50D5">
            <w:pPr>
              <w:jc w:val="center"/>
              <w:rPr>
                <w:rFonts w:ascii="Arial" w:eastAsia="Times New Roman" w:hAnsi="Arial" w:cs="Arial"/>
                <w:kern w:val="0"/>
                <w:lang w:eastAsia="en-GB"/>
                <w14:ligatures w14:val="none"/>
              </w:rPr>
            </w:pPr>
            <w:r w:rsidRPr="004E50D5">
              <w:rPr>
                <w:rFonts w:ascii="Arial" w:eastAsia="Times New Roman" w:hAnsi="Arial" w:cs="Arial"/>
                <w:color w:val="000000"/>
                <w:kern w:val="0"/>
                <w:sz w:val="20"/>
                <w:szCs w:val="20"/>
                <w:lang w:eastAsia="en-GB"/>
                <w14:ligatures w14:val="none"/>
              </w:rPr>
              <w:t>17</w:t>
            </w:r>
          </w:p>
        </w:tc>
      </w:tr>
    </w:tbl>
    <w:p w14:paraId="06796382" w14:textId="77777777" w:rsidR="004E50D5" w:rsidRPr="004E50D5" w:rsidRDefault="004E50D5" w:rsidP="004E50D5">
      <w:pPr>
        <w:rPr>
          <w:rFonts w:ascii="Arial" w:eastAsia="Times New Roman" w:hAnsi="Arial" w:cs="Arial"/>
          <w:color w:val="000000"/>
          <w:kern w:val="0"/>
          <w:lang w:eastAsia="en-GB"/>
          <w14:ligatures w14:val="none"/>
        </w:rPr>
      </w:pPr>
      <w:r w:rsidRPr="004E50D5">
        <w:rPr>
          <w:rFonts w:ascii="Arial" w:eastAsia="Times New Roman" w:hAnsi="Arial" w:cs="Arial"/>
          <w:b/>
          <w:bCs/>
          <w:color w:val="000000"/>
          <w:kern w:val="0"/>
          <w:sz w:val="20"/>
          <w:szCs w:val="20"/>
          <w:lang w:eastAsia="en-GB"/>
          <w14:ligatures w14:val="none"/>
        </w:rPr>
        <w:t> </w:t>
      </w:r>
    </w:p>
    <w:p w14:paraId="79EB1883" w14:textId="77777777" w:rsidR="004E50D5" w:rsidRPr="004E50D5" w:rsidRDefault="004E50D5" w:rsidP="004E50D5">
      <w:pPr>
        <w:spacing w:after="240"/>
        <w:rPr>
          <w:rFonts w:ascii="Arial" w:eastAsia="Times New Roman" w:hAnsi="Arial" w:cs="Arial"/>
          <w:kern w:val="0"/>
          <w:lang w:eastAsia="en-GB"/>
          <w14:ligatures w14:val="none"/>
        </w:rPr>
      </w:pPr>
    </w:p>
    <w:p w14:paraId="4B1852D3" w14:textId="77777777" w:rsidR="004E50D5" w:rsidRPr="004E50D5" w:rsidRDefault="004E50D5" w:rsidP="004E50D5">
      <w:pPr>
        <w:rPr>
          <w:rFonts w:ascii="Arial" w:eastAsia="Times New Roman" w:hAnsi="Arial" w:cs="Arial"/>
          <w:kern w:val="0"/>
          <w:lang w:eastAsia="en-GB"/>
          <w14:ligatures w14:val="none"/>
        </w:rPr>
      </w:pPr>
    </w:p>
    <w:p w14:paraId="50F2E6C8" w14:textId="77777777" w:rsidR="009313B2" w:rsidRPr="004E5F9B" w:rsidRDefault="009313B2" w:rsidP="009313B2">
      <w:pPr>
        <w:rPr>
          <w:rFonts w:ascii="Arial" w:eastAsia="Times New Roman" w:hAnsi="Arial" w:cs="Arial"/>
          <w:b/>
          <w:bCs/>
          <w:color w:val="000000"/>
          <w:kern w:val="0"/>
          <w:sz w:val="20"/>
          <w:szCs w:val="20"/>
          <w:lang w:eastAsia="en-GB"/>
          <w14:ligatures w14:val="none"/>
        </w:rPr>
      </w:pPr>
    </w:p>
    <w:p w14:paraId="537E015D" w14:textId="77777777" w:rsidR="009313B2" w:rsidRPr="004E5F9B" w:rsidRDefault="009313B2">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563E6D4F" w14:textId="118C6EA9"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Executive summary </w:t>
      </w:r>
    </w:p>
    <w:p w14:paraId="33F46603" w14:textId="6110D64F"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Lesbian, bisexual, queer, and trans (LBQT)</w:t>
      </w:r>
      <w:r w:rsidRPr="004E5F9B">
        <w:rPr>
          <w:rStyle w:val="FootnoteReference"/>
          <w:rFonts w:ascii="Arial" w:eastAsia="Times New Roman" w:hAnsi="Arial" w:cs="Arial"/>
          <w:color w:val="000000"/>
          <w:kern w:val="0"/>
          <w:sz w:val="20"/>
          <w:szCs w:val="20"/>
          <w:lang w:eastAsia="en-GB"/>
          <w14:ligatures w14:val="none"/>
        </w:rPr>
        <w:footnoteReference w:id="2"/>
      </w:r>
      <w:r w:rsidRPr="004E5F9B">
        <w:rPr>
          <w:rFonts w:ascii="Arial" w:eastAsia="Times New Roman" w:hAnsi="Arial" w:cs="Arial"/>
          <w:color w:val="000000"/>
          <w:kern w:val="0"/>
          <w:sz w:val="20"/>
          <w:szCs w:val="20"/>
          <w:lang w:eastAsia="en-GB"/>
          <w14:ligatures w14:val="none"/>
        </w:rPr>
        <w:t xml:space="preserve"> women in Malaysia face widening inequalities due to increasing criminalisation under Federal and state laws, state-funded rehabilitation or conversion practices, and increasing discrimination by state and non-state actors. While intersex women are seemingly accepted, they are pathologized in government health guidelines. Data and evidence relating to the experiences of LBQTI women are especially lacking, compounded by </w:t>
      </w:r>
      <w:r w:rsidR="004B3D86" w:rsidRPr="004E5F9B">
        <w:rPr>
          <w:rFonts w:ascii="Arial" w:eastAsia="Times New Roman" w:hAnsi="Arial" w:cs="Arial"/>
          <w:color w:val="000000"/>
          <w:kern w:val="0"/>
          <w:sz w:val="20"/>
          <w:szCs w:val="20"/>
          <w:lang w:eastAsia="en-GB"/>
          <w14:ligatures w14:val="none"/>
        </w:rPr>
        <w:t>self-censorship</w:t>
      </w:r>
      <w:r w:rsidR="00AA2BE9" w:rsidRPr="004E5F9B">
        <w:rPr>
          <w:rFonts w:ascii="Arial" w:eastAsia="Times New Roman" w:hAnsi="Arial" w:cs="Arial"/>
          <w:color w:val="000000"/>
          <w:kern w:val="0"/>
          <w:sz w:val="20"/>
          <w:szCs w:val="20"/>
          <w:lang w:eastAsia="en-GB"/>
          <w14:ligatures w14:val="none"/>
        </w:rPr>
        <w:t xml:space="preserve"> due to institutionalised and societal discrimination. </w:t>
      </w:r>
      <w:r w:rsidRPr="004E5F9B">
        <w:rPr>
          <w:rFonts w:ascii="Arial" w:eastAsia="Times New Roman" w:hAnsi="Arial" w:cs="Arial"/>
          <w:color w:val="000000"/>
          <w:kern w:val="0"/>
          <w:sz w:val="20"/>
          <w:szCs w:val="20"/>
          <w:lang w:eastAsia="en-GB"/>
          <w14:ligatures w14:val="none"/>
        </w:rPr>
        <w:t xml:space="preserve"> </w:t>
      </w:r>
    </w:p>
    <w:p w14:paraId="41FA53A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B685AAE"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LGBT groups have identified six regressive trends against LGBTQ people in Malaysia </w:t>
      </w:r>
    </w:p>
    <w:p w14:paraId="2D6B8859" w14:textId="6E60FFD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Increasing criminali</w:t>
      </w:r>
      <w:r w:rsidR="00807646" w:rsidRPr="004E5F9B">
        <w:rPr>
          <w:rFonts w:ascii="Arial" w:eastAsia="Times New Roman" w:hAnsi="Arial" w:cs="Arial"/>
          <w:color w:val="000000"/>
          <w:kern w:val="0"/>
          <w:sz w:val="20"/>
          <w:szCs w:val="20"/>
          <w:lang w:eastAsia="en-GB"/>
          <w14:ligatures w14:val="none"/>
        </w:rPr>
        <w:t>s</w:t>
      </w:r>
      <w:r w:rsidRPr="004E5F9B">
        <w:rPr>
          <w:rFonts w:ascii="Arial" w:eastAsia="Times New Roman" w:hAnsi="Arial" w:cs="Arial"/>
          <w:color w:val="000000"/>
          <w:kern w:val="0"/>
          <w:sz w:val="20"/>
          <w:szCs w:val="20"/>
          <w:lang w:eastAsia="en-GB"/>
          <w14:ligatures w14:val="none"/>
        </w:rPr>
        <w:t>ation of LGBT people at the state level. </w:t>
      </w:r>
    </w:p>
    <w:p w14:paraId="115A8E95" w14:textId="7777777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Introduction of new anti-LGBT guidelines &amp; other measures at the Federal and state levels </w:t>
      </w:r>
    </w:p>
    <w:p w14:paraId="5A1CB235" w14:textId="7777777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State-led LGBT rehabilitation programs or conversion practices</w:t>
      </w:r>
    </w:p>
    <w:p w14:paraId="19ED916B" w14:textId="7777777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Increased censorship of LGBT content </w:t>
      </w:r>
    </w:p>
    <w:p w14:paraId="49F07A81" w14:textId="7777777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Increased mis/disinformation and hate speech</w:t>
      </w:r>
    </w:p>
    <w:p w14:paraId="29988F64" w14:textId="77777777" w:rsidR="009313B2" w:rsidRPr="004E5F9B" w:rsidRDefault="009313B2" w:rsidP="009313B2">
      <w:pPr>
        <w:numPr>
          <w:ilvl w:val="0"/>
          <w:numId w:val="1"/>
        </w:numPr>
        <w:textAlignment w:val="baseline"/>
        <w:rPr>
          <w:rFonts w:ascii="Arial" w:eastAsia="Times New Roman" w:hAnsi="Arial" w:cs="Arial"/>
          <w:color w:val="000000"/>
          <w:kern w:val="0"/>
          <w:sz w:val="20"/>
          <w:szCs w:val="20"/>
          <w:lang w:eastAsia="en-GB"/>
          <w14:ligatures w14:val="none"/>
        </w:rPr>
      </w:pPr>
      <w:proofErr w:type="spellStart"/>
      <w:r w:rsidRPr="004E5F9B">
        <w:rPr>
          <w:rFonts w:ascii="Arial" w:eastAsia="Times New Roman" w:hAnsi="Arial" w:cs="Arial"/>
          <w:color w:val="000000"/>
          <w:kern w:val="0"/>
          <w:sz w:val="20"/>
          <w:szCs w:val="20"/>
          <w:lang w:eastAsia="en-GB"/>
          <w14:ligatures w14:val="none"/>
        </w:rPr>
        <w:t>Weaponisation</w:t>
      </w:r>
      <w:proofErr w:type="spellEnd"/>
      <w:r w:rsidRPr="004E5F9B">
        <w:rPr>
          <w:rFonts w:ascii="Arial" w:eastAsia="Times New Roman" w:hAnsi="Arial" w:cs="Arial"/>
          <w:color w:val="000000"/>
          <w:kern w:val="0"/>
          <w:sz w:val="20"/>
          <w:szCs w:val="20"/>
          <w:lang w:eastAsia="en-GB"/>
          <w14:ligatures w14:val="none"/>
        </w:rPr>
        <w:t xml:space="preserve"> of HIV </w:t>
      </w:r>
    </w:p>
    <w:p w14:paraId="5CC1B1B7"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DCB90C6" w14:textId="3871A10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The state-sponsored LGBT discrimination takes two-fold </w:t>
      </w:r>
      <w:r w:rsidR="003035DB" w:rsidRPr="004E5F9B">
        <w:rPr>
          <w:rFonts w:ascii="Arial" w:eastAsia="Times New Roman" w:hAnsi="Arial" w:cs="Arial"/>
          <w:color w:val="000000"/>
          <w:kern w:val="0"/>
          <w:sz w:val="20"/>
          <w:szCs w:val="20"/>
          <w:lang w:eastAsia="en-GB"/>
          <w14:ligatures w14:val="none"/>
        </w:rPr>
        <w:t>–</w:t>
      </w:r>
      <w:r w:rsidRPr="004E5F9B">
        <w:rPr>
          <w:rFonts w:ascii="Arial" w:eastAsia="Times New Roman" w:hAnsi="Arial" w:cs="Arial"/>
          <w:color w:val="000000"/>
          <w:kern w:val="0"/>
          <w:sz w:val="20"/>
          <w:szCs w:val="20"/>
          <w:lang w:eastAsia="en-GB"/>
          <w14:ligatures w14:val="none"/>
        </w:rPr>
        <w:t xml:space="preserve"> </w:t>
      </w:r>
      <w:r w:rsidR="003035DB" w:rsidRPr="004E5F9B">
        <w:rPr>
          <w:rFonts w:ascii="Arial" w:eastAsia="Times New Roman" w:hAnsi="Arial" w:cs="Arial"/>
          <w:color w:val="000000"/>
          <w:kern w:val="0"/>
          <w:sz w:val="20"/>
          <w:szCs w:val="20"/>
          <w:lang w:eastAsia="en-GB"/>
          <w14:ligatures w14:val="none"/>
        </w:rPr>
        <w:t xml:space="preserve">at </w:t>
      </w:r>
      <w:r w:rsidRPr="004E5F9B">
        <w:rPr>
          <w:rFonts w:ascii="Arial" w:eastAsia="Times New Roman" w:hAnsi="Arial" w:cs="Arial"/>
          <w:color w:val="000000"/>
          <w:kern w:val="0"/>
          <w:sz w:val="20"/>
          <w:szCs w:val="20"/>
          <w:lang w:eastAsia="en-GB"/>
          <w14:ligatures w14:val="none"/>
        </w:rPr>
        <w:t>the Federal level and the state level. At Federal level, led by the Prime Minister’s Department (Religious Affairs) and JAKIM,</w:t>
      </w:r>
      <w:r w:rsidRPr="004E5F9B">
        <w:rPr>
          <w:rStyle w:val="FootnoteReference"/>
          <w:rFonts w:ascii="Arial" w:eastAsia="Times New Roman" w:hAnsi="Arial" w:cs="Arial"/>
          <w:color w:val="000000"/>
          <w:kern w:val="0"/>
          <w:sz w:val="20"/>
          <w:szCs w:val="20"/>
          <w:lang w:eastAsia="en-GB"/>
          <w14:ligatures w14:val="none"/>
        </w:rPr>
        <w:footnoteReference w:id="3"/>
      </w:r>
      <w:r w:rsidRPr="004E5F9B">
        <w:rPr>
          <w:rFonts w:ascii="Arial" w:eastAsia="Times New Roman" w:hAnsi="Arial" w:cs="Arial"/>
          <w:color w:val="000000"/>
          <w:kern w:val="0"/>
          <w:sz w:val="20"/>
          <w:szCs w:val="20"/>
          <w:lang w:eastAsia="en-GB"/>
          <w14:ligatures w14:val="none"/>
        </w:rPr>
        <w:t xml:space="preserve"> the state-rehabilitation programmes have been expanded domestically and as regional activities. LGBT films and books have been banned, while LGBT-inclusive content is subjected to investigations. In the last 5 years, 8 new anti-LGBT state </w:t>
      </w:r>
      <w:r w:rsidRPr="004E5F9B">
        <w:rPr>
          <w:rFonts w:ascii="Arial" w:eastAsia="Times New Roman" w:hAnsi="Arial" w:cs="Arial"/>
          <w:i/>
          <w:iCs/>
          <w:color w:val="000000"/>
          <w:kern w:val="0"/>
          <w:sz w:val="20"/>
          <w:szCs w:val="20"/>
          <w:lang w:eastAsia="en-GB"/>
          <w14:ligatures w14:val="none"/>
        </w:rPr>
        <w:t>syariah</w:t>
      </w:r>
      <w:r w:rsidRPr="004E5F9B">
        <w:rPr>
          <w:rFonts w:ascii="Arial" w:eastAsia="Times New Roman" w:hAnsi="Arial" w:cs="Arial"/>
          <w:color w:val="000000"/>
          <w:kern w:val="0"/>
          <w:sz w:val="20"/>
          <w:szCs w:val="20"/>
          <w:lang w:eastAsia="en-GB"/>
          <w14:ligatures w14:val="none"/>
        </w:rPr>
        <w:t xml:space="preserve"> laws have been introduced along with several amendments to existing anti-LGBT laws. At least 5 LGBT people were subjected to judicial caning. Of which, 2 are women. In 2023, a state in Malaysia announced a rehabilitation </w:t>
      </w:r>
      <w:proofErr w:type="spellStart"/>
      <w:r w:rsidRPr="004E5F9B">
        <w:rPr>
          <w:rFonts w:ascii="Arial" w:eastAsia="Times New Roman" w:hAnsi="Arial" w:cs="Arial"/>
          <w:color w:val="000000"/>
          <w:kern w:val="0"/>
          <w:sz w:val="20"/>
          <w:szCs w:val="20"/>
          <w:lang w:eastAsia="en-GB"/>
          <w14:ligatures w14:val="none"/>
        </w:rPr>
        <w:t>center</w:t>
      </w:r>
      <w:proofErr w:type="spellEnd"/>
      <w:r w:rsidRPr="004E5F9B">
        <w:rPr>
          <w:rFonts w:ascii="Arial" w:eastAsia="Times New Roman" w:hAnsi="Arial" w:cs="Arial"/>
          <w:color w:val="000000"/>
          <w:kern w:val="0"/>
          <w:sz w:val="20"/>
          <w:szCs w:val="20"/>
          <w:lang w:eastAsia="en-GB"/>
          <w14:ligatures w14:val="none"/>
        </w:rPr>
        <w:t xml:space="preserve"> for LGBT and apostates for deviating Islam. </w:t>
      </w:r>
    </w:p>
    <w:p w14:paraId="557DC6DB"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7C3CC31" w14:textId="0CFACE0C" w:rsidR="009E70B7"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While the Malaysian Courts have made favourable decisions </w:t>
      </w:r>
      <w:r w:rsidR="00273055" w:rsidRPr="004E5F9B">
        <w:rPr>
          <w:rFonts w:ascii="Arial" w:eastAsia="Times New Roman" w:hAnsi="Arial" w:cs="Arial"/>
          <w:color w:val="000000"/>
          <w:kern w:val="0"/>
          <w:sz w:val="20"/>
          <w:szCs w:val="20"/>
          <w:lang w:eastAsia="en-GB"/>
          <w14:ligatures w14:val="none"/>
        </w:rPr>
        <w:t xml:space="preserve">on </w:t>
      </w:r>
      <w:r w:rsidRPr="004E5F9B">
        <w:rPr>
          <w:rFonts w:ascii="Arial" w:eastAsia="Times New Roman" w:hAnsi="Arial" w:cs="Arial"/>
          <w:color w:val="000000"/>
          <w:kern w:val="0"/>
          <w:sz w:val="20"/>
          <w:szCs w:val="20"/>
          <w:lang w:eastAsia="en-GB"/>
          <w14:ligatures w14:val="none"/>
        </w:rPr>
        <w:t>LBT women</w:t>
      </w:r>
      <w:r w:rsidR="00914315" w:rsidRPr="004E5F9B">
        <w:rPr>
          <w:rFonts w:ascii="Arial" w:eastAsia="Times New Roman" w:hAnsi="Arial" w:cs="Arial"/>
          <w:color w:val="000000"/>
          <w:kern w:val="0"/>
          <w:sz w:val="20"/>
          <w:szCs w:val="20"/>
          <w:lang w:eastAsia="en-GB"/>
          <w14:ligatures w14:val="none"/>
        </w:rPr>
        <w:t>’s human rights</w:t>
      </w:r>
      <w:r w:rsidRPr="004E5F9B">
        <w:rPr>
          <w:rFonts w:ascii="Arial" w:eastAsia="Times New Roman" w:hAnsi="Arial" w:cs="Arial"/>
          <w:color w:val="000000"/>
          <w:kern w:val="0"/>
          <w:sz w:val="20"/>
          <w:szCs w:val="20"/>
          <w:lang w:eastAsia="en-GB"/>
          <w14:ligatures w14:val="none"/>
        </w:rPr>
        <w:t>, and LGBT persons in general, state agencies, namely the state governments,</w:t>
      </w:r>
      <w:r w:rsidRPr="004E5F9B">
        <w:rPr>
          <w:rStyle w:val="FootnoteReference"/>
          <w:rFonts w:ascii="Arial" w:eastAsia="Times New Roman" w:hAnsi="Arial" w:cs="Arial"/>
          <w:color w:val="000000"/>
          <w:kern w:val="0"/>
          <w:sz w:val="20"/>
          <w:szCs w:val="20"/>
          <w:lang w:eastAsia="en-GB"/>
          <w14:ligatures w14:val="none"/>
        </w:rPr>
        <w:footnoteReference w:id="4"/>
      </w:r>
      <w:r w:rsidRPr="004E5F9B">
        <w:rPr>
          <w:rFonts w:ascii="Arial" w:eastAsia="Times New Roman" w:hAnsi="Arial" w:cs="Arial"/>
          <w:color w:val="000000"/>
          <w:kern w:val="0"/>
          <w:sz w:val="20"/>
          <w:szCs w:val="20"/>
          <w:lang w:eastAsia="en-GB"/>
          <w14:ligatures w14:val="none"/>
        </w:rPr>
        <w:t xml:space="preserve"> the National Registration Department (NRD),</w:t>
      </w:r>
      <w:r w:rsidRPr="004E5F9B">
        <w:rPr>
          <w:rStyle w:val="FootnoteReference"/>
          <w:rFonts w:ascii="Arial" w:eastAsia="Times New Roman" w:hAnsi="Arial" w:cs="Arial"/>
          <w:color w:val="000000"/>
          <w:kern w:val="0"/>
          <w:sz w:val="20"/>
          <w:szCs w:val="20"/>
          <w:lang w:eastAsia="en-GB"/>
          <w14:ligatures w14:val="none"/>
        </w:rPr>
        <w:footnoteReference w:id="5"/>
      </w:r>
      <w:r w:rsidRPr="004E5F9B">
        <w:rPr>
          <w:rFonts w:ascii="Arial" w:eastAsia="Times New Roman" w:hAnsi="Arial" w:cs="Arial"/>
          <w:color w:val="000000"/>
          <w:kern w:val="0"/>
          <w:sz w:val="20"/>
          <w:szCs w:val="20"/>
          <w:lang w:eastAsia="en-GB"/>
          <w14:ligatures w14:val="none"/>
        </w:rPr>
        <w:t xml:space="preserve"> the Ministry of Home Affairs,</w:t>
      </w:r>
      <w:r w:rsidRPr="004E5F9B">
        <w:rPr>
          <w:rStyle w:val="FootnoteReference"/>
          <w:rFonts w:ascii="Arial" w:eastAsia="Times New Roman" w:hAnsi="Arial" w:cs="Arial"/>
          <w:color w:val="000000"/>
          <w:kern w:val="0"/>
          <w:sz w:val="20"/>
          <w:szCs w:val="20"/>
          <w:lang w:eastAsia="en-GB"/>
          <w14:ligatures w14:val="none"/>
        </w:rPr>
        <w:footnoteReference w:id="6"/>
      </w:r>
      <w:r w:rsidRPr="004E5F9B">
        <w:rPr>
          <w:rFonts w:ascii="Arial" w:eastAsia="Times New Roman" w:hAnsi="Arial" w:cs="Arial"/>
          <w:color w:val="000000"/>
          <w:kern w:val="0"/>
          <w:sz w:val="20"/>
          <w:szCs w:val="20"/>
          <w:lang w:eastAsia="en-GB"/>
          <w14:ligatures w14:val="none"/>
        </w:rPr>
        <w:t xml:space="preserve"> have appealed them, resulting in progressive decisions being overturned. In</w:t>
      </w:r>
      <w:r w:rsidR="001F7A7B">
        <w:rPr>
          <w:rFonts w:ascii="Arial" w:eastAsia="Times New Roman" w:hAnsi="Arial" w:cs="Arial"/>
          <w:color w:val="000000"/>
          <w:kern w:val="0"/>
          <w:sz w:val="20"/>
          <w:szCs w:val="20"/>
          <w:lang w:eastAsia="en-GB"/>
          <w14:ligatures w14:val="none"/>
        </w:rPr>
        <w:t xml:space="preserve"> </w:t>
      </w:r>
      <w:r w:rsidR="001F7A7B" w:rsidRPr="001F7A7B">
        <w:rPr>
          <w:rFonts w:ascii="Arial" w:eastAsia="Times New Roman" w:hAnsi="Arial" w:cs="Arial"/>
          <w:color w:val="000000"/>
          <w:kern w:val="0"/>
          <w:sz w:val="20"/>
          <w:szCs w:val="20"/>
          <w:lang w:eastAsia="en-GB"/>
          <w14:ligatures w14:val="none"/>
        </w:rPr>
        <w:t xml:space="preserve">2021, </w:t>
      </w:r>
      <w:r w:rsidRPr="004E5F9B">
        <w:rPr>
          <w:rFonts w:ascii="Arial" w:eastAsia="Times New Roman" w:hAnsi="Arial" w:cs="Arial"/>
          <w:color w:val="000000"/>
          <w:kern w:val="0"/>
          <w:sz w:val="20"/>
          <w:szCs w:val="20"/>
          <w:lang w:eastAsia="en-GB"/>
          <w14:ligatures w14:val="none"/>
        </w:rPr>
        <w:t xml:space="preserve">the Federal Court declared Selangor’s Section 28 that criminalised sex against the order of nature as unconstitutional, for going beyond its state’s legal competency. The court’s decision, however, has yet to be </w:t>
      </w:r>
      <w:r w:rsidR="000007B0" w:rsidRPr="004E5F9B">
        <w:rPr>
          <w:rFonts w:ascii="Arial" w:eastAsia="Times New Roman" w:hAnsi="Arial" w:cs="Arial"/>
          <w:color w:val="000000"/>
          <w:kern w:val="0"/>
          <w:sz w:val="20"/>
          <w:szCs w:val="20"/>
          <w:lang w:eastAsia="en-GB"/>
          <w14:ligatures w14:val="none"/>
        </w:rPr>
        <w:t>adopted by the state</w:t>
      </w:r>
      <w:r w:rsidRPr="004E5F9B">
        <w:rPr>
          <w:rFonts w:ascii="Arial" w:eastAsia="Times New Roman" w:hAnsi="Arial" w:cs="Arial"/>
          <w:color w:val="000000"/>
          <w:kern w:val="0"/>
          <w:sz w:val="20"/>
          <w:szCs w:val="20"/>
          <w:lang w:eastAsia="en-GB"/>
          <w14:ligatures w14:val="none"/>
        </w:rPr>
        <w:t xml:space="preserve">. </w:t>
      </w:r>
      <w:r w:rsidR="000007B0" w:rsidRPr="004E5F9B">
        <w:rPr>
          <w:rFonts w:ascii="Arial" w:eastAsia="Times New Roman" w:hAnsi="Arial" w:cs="Arial"/>
          <w:color w:val="000000"/>
          <w:kern w:val="0"/>
          <w:sz w:val="20"/>
          <w:szCs w:val="20"/>
          <w:lang w:eastAsia="en-GB"/>
          <w14:ligatures w14:val="none"/>
        </w:rPr>
        <w:t>Instead</w:t>
      </w:r>
      <w:r w:rsidRPr="004E5F9B">
        <w:rPr>
          <w:rFonts w:ascii="Arial" w:eastAsia="Times New Roman" w:hAnsi="Arial" w:cs="Arial"/>
          <w:color w:val="000000"/>
          <w:kern w:val="0"/>
          <w:sz w:val="20"/>
          <w:szCs w:val="20"/>
          <w:lang w:eastAsia="en-GB"/>
          <w14:ligatures w14:val="none"/>
        </w:rPr>
        <w:t>, new anti-LGBT, in direct violation of the Federal Court decision, have been introduced. </w:t>
      </w:r>
      <w:r w:rsidR="009E70B7" w:rsidRPr="004E5F9B">
        <w:rPr>
          <w:rFonts w:ascii="Arial" w:eastAsia="Times New Roman" w:hAnsi="Arial" w:cs="Arial"/>
          <w:color w:val="000000"/>
          <w:kern w:val="0"/>
          <w:sz w:val="20"/>
          <w:szCs w:val="20"/>
          <w:lang w:eastAsia="en-GB"/>
          <w14:ligatures w14:val="none"/>
        </w:rPr>
        <w:t xml:space="preserve">A Special Committee </w:t>
      </w:r>
      <w:r w:rsidR="00857308" w:rsidRPr="004E5F9B">
        <w:rPr>
          <w:rFonts w:ascii="Arial" w:eastAsia="Times New Roman" w:hAnsi="Arial" w:cs="Arial"/>
          <w:color w:val="000000"/>
          <w:kern w:val="0"/>
          <w:sz w:val="20"/>
          <w:szCs w:val="20"/>
          <w:lang w:eastAsia="en-GB"/>
          <w14:ligatures w14:val="none"/>
        </w:rPr>
        <w:t>has been</w:t>
      </w:r>
      <w:r w:rsidR="009E70B7" w:rsidRPr="004E5F9B">
        <w:rPr>
          <w:rFonts w:ascii="Arial" w:eastAsia="Times New Roman" w:hAnsi="Arial" w:cs="Arial"/>
          <w:color w:val="000000"/>
          <w:kern w:val="0"/>
          <w:sz w:val="20"/>
          <w:szCs w:val="20"/>
          <w:lang w:eastAsia="en-GB"/>
          <w14:ligatures w14:val="none"/>
        </w:rPr>
        <w:t xml:space="preserve"> established to study</w:t>
      </w:r>
      <w:r w:rsidR="00D849A5" w:rsidRPr="004E5F9B">
        <w:rPr>
          <w:rFonts w:ascii="Arial" w:eastAsia="Times New Roman" w:hAnsi="Arial" w:cs="Arial"/>
          <w:color w:val="000000"/>
          <w:kern w:val="0"/>
          <w:sz w:val="20"/>
          <w:szCs w:val="20"/>
          <w:lang w:eastAsia="en-GB"/>
          <w14:ligatures w14:val="none"/>
        </w:rPr>
        <w:t xml:space="preserve"> state legal incompetency to enact Islamic law</w:t>
      </w:r>
      <w:r w:rsidR="009165BD" w:rsidRPr="004E5F9B">
        <w:rPr>
          <w:rFonts w:ascii="Arial" w:eastAsia="Times New Roman" w:hAnsi="Arial" w:cs="Arial"/>
          <w:color w:val="000000"/>
          <w:kern w:val="0"/>
          <w:sz w:val="20"/>
          <w:szCs w:val="20"/>
          <w:lang w:eastAsia="en-GB"/>
          <w14:ligatures w14:val="none"/>
        </w:rPr>
        <w:t xml:space="preserve">. </w:t>
      </w:r>
    </w:p>
    <w:p w14:paraId="7AB2854E"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54265DF" w14:textId="4F8A9A35"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Yet, the state report notes that “113. Malaysia maintains the principle of gender equality and non-discrimination against women as articulated in the Federal Constitution and as reported in the previous periodic reports</w:t>
      </w:r>
      <w:r w:rsidR="00B02807" w:rsidRPr="004E5F9B">
        <w:rPr>
          <w:rFonts w:ascii="Arial" w:eastAsia="Times New Roman" w:hAnsi="Arial" w:cs="Arial"/>
          <w:color w:val="000000"/>
          <w:kern w:val="0"/>
          <w:sz w:val="20"/>
          <w:szCs w:val="20"/>
          <w:lang w:eastAsia="en-GB"/>
          <w14:ligatures w14:val="none"/>
        </w:rPr>
        <w:t>.</w:t>
      </w:r>
      <w:r w:rsidRPr="004E5F9B">
        <w:rPr>
          <w:rFonts w:ascii="Arial" w:eastAsia="Times New Roman" w:hAnsi="Arial" w:cs="Arial"/>
          <w:color w:val="000000"/>
          <w:kern w:val="0"/>
          <w:sz w:val="20"/>
          <w:szCs w:val="20"/>
          <w:lang w:eastAsia="en-GB"/>
          <w14:ligatures w14:val="none"/>
        </w:rPr>
        <w:t>”</w:t>
      </w:r>
      <w:r w:rsidR="00EB4C72"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 xml:space="preserve">Malaysia </w:t>
      </w:r>
      <w:r w:rsidR="00EB4C72" w:rsidRPr="004E5F9B">
        <w:rPr>
          <w:rFonts w:ascii="Arial" w:eastAsia="Times New Roman" w:hAnsi="Arial" w:cs="Arial"/>
          <w:color w:val="000000"/>
          <w:kern w:val="0"/>
          <w:sz w:val="20"/>
          <w:szCs w:val="20"/>
          <w:lang w:eastAsia="en-GB"/>
          <w14:ligatures w14:val="none"/>
        </w:rPr>
        <w:t xml:space="preserve">has not implemented </w:t>
      </w:r>
      <w:r w:rsidR="00A82FF8" w:rsidRPr="004E5F9B">
        <w:rPr>
          <w:rFonts w:ascii="Arial" w:eastAsia="Times New Roman" w:hAnsi="Arial" w:cs="Arial"/>
          <w:color w:val="000000"/>
          <w:kern w:val="0"/>
          <w:sz w:val="20"/>
          <w:szCs w:val="20"/>
          <w:lang w:eastAsia="en-GB"/>
          <w14:ligatures w14:val="none"/>
        </w:rPr>
        <w:t>the</w:t>
      </w:r>
      <w:r w:rsidRPr="004E5F9B">
        <w:rPr>
          <w:rFonts w:ascii="Arial" w:eastAsia="Times New Roman" w:hAnsi="Arial" w:cs="Arial"/>
          <w:color w:val="000000"/>
          <w:kern w:val="0"/>
          <w:sz w:val="20"/>
          <w:szCs w:val="20"/>
          <w:lang w:eastAsia="en-GB"/>
          <w14:ligatures w14:val="none"/>
        </w:rPr>
        <w:t xml:space="preserve"> concluding observations</w:t>
      </w:r>
      <w:r w:rsidR="00AB76A4" w:rsidRPr="004E5F9B">
        <w:rPr>
          <w:rFonts w:ascii="Arial" w:eastAsia="Times New Roman" w:hAnsi="Arial" w:cs="Arial"/>
          <w:color w:val="000000"/>
          <w:kern w:val="0"/>
          <w:sz w:val="20"/>
          <w:szCs w:val="20"/>
          <w:lang w:eastAsia="en-GB"/>
          <w14:ligatures w14:val="none"/>
        </w:rPr>
        <w:t xml:space="preserve"> on LBTI women</w:t>
      </w:r>
      <w:r w:rsidR="00A82FF8" w:rsidRPr="004E5F9B">
        <w:rPr>
          <w:rFonts w:ascii="Arial" w:eastAsia="Times New Roman" w:hAnsi="Arial" w:cs="Arial"/>
          <w:color w:val="000000"/>
          <w:kern w:val="0"/>
          <w:sz w:val="20"/>
          <w:szCs w:val="20"/>
          <w:lang w:eastAsia="en-GB"/>
          <w14:ligatures w14:val="none"/>
        </w:rPr>
        <w:t xml:space="preserve">. </w:t>
      </w:r>
    </w:p>
    <w:p w14:paraId="6B226C0F" w14:textId="77777777" w:rsidR="009313B2" w:rsidRPr="004E5F9B" w:rsidRDefault="009313B2" w:rsidP="009313B2">
      <w:pPr>
        <w:rPr>
          <w:rFonts w:ascii="Arial" w:eastAsia="Times New Roman" w:hAnsi="Arial" w:cs="Arial"/>
          <w:b/>
          <w:bCs/>
          <w:color w:val="000000"/>
          <w:kern w:val="0"/>
          <w:sz w:val="20"/>
          <w:szCs w:val="20"/>
          <w:lang w:eastAsia="en-GB"/>
          <w14:ligatures w14:val="none"/>
        </w:rPr>
      </w:pPr>
    </w:p>
    <w:p w14:paraId="16DA3972" w14:textId="77777777" w:rsidR="001412E9" w:rsidRPr="004E5F9B" w:rsidRDefault="001412E9" w:rsidP="009313B2">
      <w:pPr>
        <w:rPr>
          <w:rFonts w:ascii="Arial" w:eastAsia="Times New Roman" w:hAnsi="Arial" w:cs="Arial"/>
          <w:b/>
          <w:bCs/>
          <w:color w:val="000000"/>
          <w:kern w:val="0"/>
          <w:sz w:val="20"/>
          <w:szCs w:val="20"/>
          <w:lang w:eastAsia="en-GB"/>
          <w14:ligatures w14:val="none"/>
        </w:rPr>
      </w:pPr>
    </w:p>
    <w:p w14:paraId="77B7477E" w14:textId="77777777" w:rsidR="001412E9" w:rsidRPr="004E5F9B" w:rsidRDefault="001412E9" w:rsidP="009313B2">
      <w:pPr>
        <w:rPr>
          <w:rFonts w:ascii="Arial" w:eastAsia="Times New Roman" w:hAnsi="Arial" w:cs="Arial"/>
          <w:b/>
          <w:bCs/>
          <w:color w:val="000000"/>
          <w:kern w:val="0"/>
          <w:sz w:val="20"/>
          <w:szCs w:val="20"/>
          <w:lang w:eastAsia="en-GB"/>
          <w14:ligatures w14:val="none"/>
        </w:rPr>
      </w:pPr>
    </w:p>
    <w:p w14:paraId="178B6AA4" w14:textId="4CA73586" w:rsidR="001412E9" w:rsidRPr="004E5F9B" w:rsidRDefault="001412E9">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45BD337D" w14:textId="77777777" w:rsidR="001412E9" w:rsidRPr="004E5F9B" w:rsidRDefault="001412E9" w:rsidP="009313B2">
      <w:pPr>
        <w:rPr>
          <w:rFonts w:ascii="Arial" w:eastAsia="Times New Roman" w:hAnsi="Arial" w:cs="Arial"/>
          <w:b/>
          <w:bCs/>
          <w:color w:val="000000"/>
          <w:kern w:val="0"/>
          <w:sz w:val="20"/>
          <w:szCs w:val="20"/>
          <w:lang w:eastAsia="en-GB"/>
          <w14:ligatures w14:val="none"/>
        </w:rPr>
      </w:pPr>
    </w:p>
    <w:p w14:paraId="783E2A3F" w14:textId="2112D92E"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Article 1: Definition of discrimination </w:t>
      </w:r>
    </w:p>
    <w:p w14:paraId="03E7AD67"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1.1 While Article 8(2) of the Federal Constitution (FC) protects gender as a ground of discrimination, it is incorrectly translated and not clearly defined in the FC or other laws. The Malay version of the FC translates gender as</w:t>
      </w:r>
      <w:r w:rsidRPr="004E5F9B">
        <w:rPr>
          <w:rFonts w:ascii="Arial" w:eastAsia="Times New Roman" w:hAnsi="Arial" w:cs="Arial"/>
          <w:i/>
          <w:iCs/>
          <w:color w:val="000000"/>
          <w:kern w:val="0"/>
          <w:sz w:val="20"/>
          <w:szCs w:val="20"/>
          <w:lang w:eastAsia="en-GB"/>
          <w14:ligatures w14:val="none"/>
        </w:rPr>
        <w:t xml:space="preserve"> </w:t>
      </w:r>
      <w:proofErr w:type="spellStart"/>
      <w:r w:rsidRPr="004E5F9B">
        <w:rPr>
          <w:rFonts w:ascii="Arial" w:eastAsia="Times New Roman" w:hAnsi="Arial" w:cs="Arial"/>
          <w:i/>
          <w:iCs/>
          <w:color w:val="000000"/>
          <w:kern w:val="0"/>
          <w:sz w:val="20"/>
          <w:szCs w:val="20"/>
          <w:lang w:eastAsia="en-GB"/>
          <w14:ligatures w14:val="none"/>
        </w:rPr>
        <w:t>jantina</w:t>
      </w:r>
      <w:proofErr w:type="spellEnd"/>
      <w:r w:rsidRPr="004E5F9B">
        <w:rPr>
          <w:rFonts w:ascii="Arial" w:eastAsia="Times New Roman" w:hAnsi="Arial" w:cs="Arial"/>
          <w:color w:val="000000"/>
          <w:kern w:val="0"/>
          <w:sz w:val="20"/>
          <w:szCs w:val="20"/>
          <w:lang w:eastAsia="en-GB"/>
          <w14:ligatures w14:val="none"/>
        </w:rPr>
        <w:t xml:space="preserve"> or sex. </w:t>
      </w:r>
    </w:p>
    <w:p w14:paraId="69F3EBDB"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DAC2D8A" w14:textId="525AE9A6"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1.2 The 2017 </w:t>
      </w:r>
      <w:r w:rsidRPr="004E5F9B">
        <w:rPr>
          <w:rFonts w:ascii="Arial" w:eastAsia="Times New Roman" w:hAnsi="Arial" w:cs="Arial"/>
          <w:b/>
          <w:bCs/>
          <w:i/>
          <w:iCs/>
          <w:color w:val="000000"/>
          <w:kern w:val="0"/>
          <w:sz w:val="20"/>
          <w:szCs w:val="20"/>
          <w:lang w:eastAsia="en-GB"/>
          <w14:ligatures w14:val="none"/>
        </w:rPr>
        <w:t>Guideline on the Management of Problems Related to Gender and Health</w:t>
      </w:r>
      <w:r w:rsidRPr="004E5F9B">
        <w:rPr>
          <w:rFonts w:ascii="Arial" w:eastAsia="Times New Roman" w:hAnsi="Arial" w:cs="Arial"/>
          <w:color w:val="000000"/>
          <w:kern w:val="0"/>
          <w:sz w:val="20"/>
          <w:szCs w:val="20"/>
          <w:lang w:eastAsia="en-GB"/>
          <w14:ligatures w14:val="none"/>
        </w:rPr>
        <w:t xml:space="preserve"> notes “in the context of the Constitution and Malaysian laws sex or gender refers to biological status male or female, which includes physical traits such as chromosome, sex, gonad, sex hormones, internal reproductive structure and external genitalia.”</w:t>
      </w:r>
      <w:r w:rsidRPr="004E5F9B">
        <w:rPr>
          <w:rStyle w:val="FootnoteReference"/>
          <w:rFonts w:ascii="Arial" w:eastAsia="Times New Roman" w:hAnsi="Arial" w:cs="Arial"/>
          <w:color w:val="000000"/>
          <w:kern w:val="0"/>
          <w:sz w:val="20"/>
          <w:szCs w:val="20"/>
          <w:lang w:eastAsia="en-GB"/>
          <w14:ligatures w14:val="none"/>
        </w:rPr>
        <w:footnoteReference w:id="7"/>
      </w:r>
      <w:r w:rsidRPr="004E5F9B">
        <w:rPr>
          <w:rFonts w:ascii="Arial" w:eastAsia="Times New Roman" w:hAnsi="Arial" w:cs="Arial"/>
          <w:color w:val="000000"/>
          <w:kern w:val="0"/>
          <w:sz w:val="20"/>
          <w:szCs w:val="20"/>
          <w:lang w:eastAsia="en-GB"/>
          <w14:ligatures w14:val="none"/>
        </w:rPr>
        <w:t xml:space="preserve"> </w:t>
      </w:r>
      <w:r w:rsidR="007D24F7" w:rsidRPr="004E5F9B">
        <w:rPr>
          <w:rFonts w:ascii="Arial" w:eastAsia="Times New Roman" w:hAnsi="Arial" w:cs="Arial"/>
          <w:color w:val="000000"/>
          <w:kern w:val="0"/>
          <w:sz w:val="20"/>
          <w:szCs w:val="20"/>
          <w:lang w:eastAsia="en-GB"/>
          <w14:ligatures w14:val="none"/>
        </w:rPr>
        <w:t>T</w:t>
      </w:r>
      <w:r w:rsidRPr="004E5F9B">
        <w:rPr>
          <w:rFonts w:ascii="Arial" w:eastAsia="Times New Roman" w:hAnsi="Arial" w:cs="Arial"/>
          <w:color w:val="000000"/>
          <w:kern w:val="0"/>
          <w:sz w:val="20"/>
          <w:szCs w:val="20"/>
          <w:lang w:eastAsia="en-GB"/>
          <w14:ligatures w14:val="none"/>
        </w:rPr>
        <w:t xml:space="preserve">he guideline medicalises and </w:t>
      </w:r>
      <w:proofErr w:type="spellStart"/>
      <w:r w:rsidRPr="004E5F9B">
        <w:rPr>
          <w:rFonts w:ascii="Arial" w:eastAsia="Times New Roman" w:hAnsi="Arial" w:cs="Arial"/>
          <w:color w:val="000000"/>
          <w:kern w:val="0"/>
          <w:sz w:val="20"/>
          <w:szCs w:val="20"/>
          <w:lang w:eastAsia="en-GB"/>
          <w14:ligatures w14:val="none"/>
        </w:rPr>
        <w:t>pathologises</w:t>
      </w:r>
      <w:proofErr w:type="spellEnd"/>
      <w:r w:rsidRPr="004E5F9B">
        <w:rPr>
          <w:rFonts w:ascii="Arial" w:eastAsia="Times New Roman" w:hAnsi="Arial" w:cs="Arial"/>
          <w:color w:val="000000"/>
          <w:kern w:val="0"/>
          <w:sz w:val="20"/>
          <w:szCs w:val="20"/>
          <w:lang w:eastAsia="en-GB"/>
          <w14:ligatures w14:val="none"/>
        </w:rPr>
        <w:t xml:space="preserve"> LGBT people as having ‘gender confusion’ due to sexual violence, lack of love, absent parents, among other widely debunked pseudo-scientific myths. </w:t>
      </w:r>
    </w:p>
    <w:p w14:paraId="615BE01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CB003AF" w14:textId="75E2A8B1"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1.3 The conflation of sex and gender and its binary definition extends to the definition of women. This is underscored by patriarchal religious interpretations of gender, criminalisation and </w:t>
      </w:r>
      <w:proofErr w:type="spellStart"/>
      <w:r w:rsidRPr="004E5F9B">
        <w:rPr>
          <w:rFonts w:ascii="Arial" w:eastAsia="Times New Roman" w:hAnsi="Arial" w:cs="Arial"/>
          <w:color w:val="000000"/>
          <w:kern w:val="0"/>
          <w:sz w:val="20"/>
          <w:szCs w:val="20"/>
          <w:lang w:eastAsia="en-GB"/>
          <w14:ligatures w14:val="none"/>
        </w:rPr>
        <w:t>pathologisation</w:t>
      </w:r>
      <w:proofErr w:type="spellEnd"/>
      <w:r w:rsidRPr="004E5F9B">
        <w:rPr>
          <w:rFonts w:ascii="Arial" w:eastAsia="Times New Roman" w:hAnsi="Arial" w:cs="Arial"/>
          <w:color w:val="000000"/>
          <w:kern w:val="0"/>
          <w:sz w:val="20"/>
          <w:szCs w:val="20"/>
          <w:lang w:eastAsia="en-GB"/>
          <w14:ligatures w14:val="none"/>
        </w:rPr>
        <w:t xml:space="preserve"> of LBTI </w:t>
      </w:r>
      <w:r w:rsidR="00E473F4" w:rsidRPr="004E5F9B">
        <w:rPr>
          <w:rFonts w:ascii="Arial" w:eastAsia="Times New Roman" w:hAnsi="Arial" w:cs="Arial"/>
          <w:color w:val="000000"/>
          <w:kern w:val="0"/>
          <w:sz w:val="20"/>
          <w:szCs w:val="20"/>
          <w:lang w:eastAsia="en-GB"/>
          <w14:ligatures w14:val="none"/>
        </w:rPr>
        <w:t>women</w:t>
      </w:r>
      <w:r w:rsidRPr="004E5F9B">
        <w:rPr>
          <w:rFonts w:ascii="Arial" w:eastAsia="Times New Roman" w:hAnsi="Arial" w:cs="Arial"/>
          <w:color w:val="000000"/>
          <w:kern w:val="0"/>
          <w:sz w:val="20"/>
          <w:szCs w:val="20"/>
          <w:lang w:eastAsia="en-GB"/>
          <w14:ligatures w14:val="none"/>
        </w:rPr>
        <w:t>, and a lack of an intersectional</w:t>
      </w:r>
      <w:r w:rsidR="00E473F4" w:rsidRPr="004E5F9B">
        <w:rPr>
          <w:rFonts w:ascii="Arial" w:eastAsia="Times New Roman" w:hAnsi="Arial" w:cs="Arial"/>
          <w:color w:val="000000"/>
          <w:kern w:val="0"/>
          <w:sz w:val="20"/>
          <w:szCs w:val="20"/>
          <w:lang w:eastAsia="en-GB"/>
          <w14:ligatures w14:val="none"/>
        </w:rPr>
        <w:t>ity</w:t>
      </w:r>
      <w:r w:rsidRPr="004E5F9B">
        <w:rPr>
          <w:rFonts w:ascii="Arial" w:eastAsia="Times New Roman" w:hAnsi="Arial" w:cs="Arial"/>
          <w:color w:val="000000"/>
          <w:kern w:val="0"/>
          <w:sz w:val="20"/>
          <w:szCs w:val="20"/>
          <w:lang w:eastAsia="en-GB"/>
          <w14:ligatures w14:val="none"/>
        </w:rPr>
        <w:t xml:space="preserve"> lens. </w:t>
      </w:r>
    </w:p>
    <w:p w14:paraId="278A0EB1"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6626607" w14:textId="0EA2C1EE"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1.4 The Prime Minister’s Department (Religious Affairs) and JAKIM, which oversees </w:t>
      </w:r>
      <w:r w:rsidR="00FA0BDF" w:rsidRPr="004E5F9B">
        <w:rPr>
          <w:rFonts w:ascii="Arial" w:eastAsia="Times New Roman" w:hAnsi="Arial" w:cs="Arial"/>
          <w:color w:val="000000"/>
          <w:kern w:val="0"/>
          <w:sz w:val="20"/>
          <w:szCs w:val="20"/>
          <w:lang w:eastAsia="en-GB"/>
          <w14:ligatures w14:val="none"/>
        </w:rPr>
        <w:t>Malaysia’s</w:t>
      </w:r>
      <w:r w:rsidRPr="004E5F9B">
        <w:rPr>
          <w:rFonts w:ascii="Arial" w:eastAsia="Times New Roman" w:hAnsi="Arial" w:cs="Arial"/>
          <w:color w:val="000000"/>
          <w:kern w:val="0"/>
          <w:sz w:val="20"/>
          <w:szCs w:val="20"/>
          <w:lang w:eastAsia="en-GB"/>
          <w14:ligatures w14:val="none"/>
        </w:rPr>
        <w:t xml:space="preserve"> LGBT-related programmes, adopt an ‘acceptance with exception’ approach </w:t>
      </w:r>
      <w:r w:rsidR="00E32AE4" w:rsidRPr="004E5F9B">
        <w:rPr>
          <w:rFonts w:ascii="Arial" w:eastAsia="Times New Roman" w:hAnsi="Arial" w:cs="Arial"/>
          <w:color w:val="000000"/>
          <w:kern w:val="0"/>
          <w:sz w:val="20"/>
          <w:szCs w:val="20"/>
          <w:lang w:eastAsia="en-GB"/>
          <w14:ligatures w14:val="none"/>
        </w:rPr>
        <w:t xml:space="preserve">on </w:t>
      </w:r>
      <w:r w:rsidRPr="004E5F9B">
        <w:rPr>
          <w:rFonts w:ascii="Arial" w:eastAsia="Times New Roman" w:hAnsi="Arial" w:cs="Arial"/>
          <w:color w:val="000000"/>
          <w:kern w:val="0"/>
          <w:sz w:val="20"/>
          <w:szCs w:val="20"/>
          <w:lang w:eastAsia="en-GB"/>
          <w14:ligatures w14:val="none"/>
        </w:rPr>
        <w:t>LGBT persons. JAKIM does not agree with LGBT acts; however, it believes LGBT persons have a right to be guided and advised to the right path.</w:t>
      </w:r>
      <w:r w:rsidRPr="004E5F9B">
        <w:rPr>
          <w:rStyle w:val="FootnoteReference"/>
          <w:rFonts w:ascii="Arial" w:eastAsia="Times New Roman" w:hAnsi="Arial" w:cs="Arial"/>
          <w:color w:val="000000"/>
          <w:kern w:val="0"/>
          <w:sz w:val="20"/>
          <w:szCs w:val="20"/>
          <w:lang w:eastAsia="en-GB"/>
          <w14:ligatures w14:val="none"/>
        </w:rPr>
        <w:footnoteReference w:id="8"/>
      </w:r>
      <w:r w:rsidRPr="004E5F9B">
        <w:rPr>
          <w:rFonts w:ascii="Arial" w:eastAsia="Times New Roman" w:hAnsi="Arial" w:cs="Arial"/>
          <w:color w:val="000000"/>
          <w:kern w:val="0"/>
          <w:sz w:val="20"/>
          <w:szCs w:val="20"/>
          <w:lang w:eastAsia="en-GB"/>
          <w14:ligatures w14:val="none"/>
        </w:rPr>
        <w:t xml:space="preserve"> To that end, JAKIM has introduced </w:t>
      </w:r>
      <w:r w:rsidR="00A9185A" w:rsidRPr="004E5F9B">
        <w:rPr>
          <w:rFonts w:ascii="Arial" w:eastAsia="Times New Roman" w:hAnsi="Arial" w:cs="Arial"/>
          <w:color w:val="000000"/>
          <w:kern w:val="0"/>
          <w:sz w:val="20"/>
          <w:szCs w:val="20"/>
          <w:lang w:eastAsia="en-GB"/>
          <w14:ligatures w14:val="none"/>
        </w:rPr>
        <w:t>a</w:t>
      </w:r>
      <w:r w:rsidR="00E14EE5" w:rsidRPr="004E5F9B">
        <w:rPr>
          <w:rFonts w:ascii="Arial" w:eastAsia="Times New Roman" w:hAnsi="Arial" w:cs="Arial"/>
          <w:color w:val="000000"/>
          <w:kern w:val="0"/>
          <w:sz w:val="20"/>
          <w:szCs w:val="20"/>
          <w:lang w:eastAsia="en-GB"/>
          <w14:ligatures w14:val="none"/>
        </w:rPr>
        <w:t>rray</w:t>
      </w:r>
      <w:r w:rsidR="00A9185A" w:rsidRPr="004E5F9B">
        <w:rPr>
          <w:rFonts w:ascii="Arial" w:eastAsia="Times New Roman" w:hAnsi="Arial" w:cs="Arial"/>
          <w:color w:val="000000"/>
          <w:kern w:val="0"/>
          <w:sz w:val="20"/>
          <w:szCs w:val="20"/>
          <w:lang w:eastAsia="en-GB"/>
          <w14:ligatures w14:val="none"/>
        </w:rPr>
        <w:t xml:space="preserve"> of LGBT </w:t>
      </w:r>
      <w:r w:rsidRPr="004E5F9B">
        <w:rPr>
          <w:rFonts w:ascii="Arial" w:eastAsia="Times New Roman" w:hAnsi="Arial" w:cs="Arial"/>
          <w:color w:val="000000"/>
          <w:kern w:val="0"/>
          <w:sz w:val="20"/>
          <w:szCs w:val="20"/>
          <w:lang w:eastAsia="en-GB"/>
          <w14:ligatures w14:val="none"/>
        </w:rPr>
        <w:t>rehabilitation or conversion practices</w:t>
      </w:r>
      <w:r w:rsidR="00A9185A" w:rsidRPr="004E5F9B">
        <w:rPr>
          <w:rFonts w:ascii="Arial" w:eastAsia="Times New Roman" w:hAnsi="Arial" w:cs="Arial"/>
          <w:color w:val="000000"/>
          <w:kern w:val="0"/>
          <w:sz w:val="20"/>
          <w:szCs w:val="20"/>
          <w:lang w:eastAsia="en-GB"/>
          <w14:ligatures w14:val="none"/>
        </w:rPr>
        <w:t xml:space="preserve"> activities</w:t>
      </w:r>
      <w:r w:rsidRPr="004E5F9B">
        <w:rPr>
          <w:rFonts w:ascii="Arial" w:eastAsia="Times New Roman" w:hAnsi="Arial" w:cs="Arial"/>
          <w:color w:val="000000"/>
          <w:kern w:val="0"/>
          <w:sz w:val="20"/>
          <w:szCs w:val="20"/>
          <w:lang w:eastAsia="en-GB"/>
          <w14:ligatures w14:val="none"/>
        </w:rPr>
        <w:t>, including camps; Islamic psycho-spiritual treatment;</w:t>
      </w:r>
      <w:r w:rsidRPr="004E5F9B">
        <w:rPr>
          <w:rStyle w:val="FootnoteReference"/>
          <w:rFonts w:ascii="Arial" w:eastAsia="Times New Roman" w:hAnsi="Arial" w:cs="Arial"/>
          <w:color w:val="000000"/>
          <w:kern w:val="0"/>
          <w:sz w:val="20"/>
          <w:szCs w:val="20"/>
          <w:lang w:eastAsia="en-GB"/>
          <w14:ligatures w14:val="none"/>
        </w:rPr>
        <w:footnoteReference w:id="9"/>
      </w:r>
      <w:r w:rsidRPr="004E5F9B">
        <w:rPr>
          <w:rFonts w:ascii="Arial" w:eastAsia="Times New Roman" w:hAnsi="Arial" w:cs="Arial"/>
          <w:color w:val="000000"/>
          <w:kern w:val="0"/>
          <w:sz w:val="20"/>
          <w:szCs w:val="20"/>
          <w:lang w:eastAsia="en-GB"/>
          <w14:ligatures w14:val="none"/>
        </w:rPr>
        <w:t xml:space="preserve"> and </w:t>
      </w:r>
      <w:r w:rsidR="00584569" w:rsidRPr="004E5F9B">
        <w:rPr>
          <w:rFonts w:ascii="Arial" w:eastAsia="Times New Roman" w:hAnsi="Arial" w:cs="Arial"/>
          <w:color w:val="000000"/>
          <w:kern w:val="0"/>
          <w:sz w:val="20"/>
          <w:szCs w:val="20"/>
          <w:lang w:eastAsia="en-GB"/>
          <w14:ligatures w14:val="none"/>
        </w:rPr>
        <w:t>uses</w:t>
      </w:r>
      <w:r w:rsidRPr="004E5F9B">
        <w:rPr>
          <w:rFonts w:ascii="Arial" w:eastAsia="Times New Roman" w:hAnsi="Arial" w:cs="Arial"/>
          <w:color w:val="000000"/>
          <w:kern w:val="0"/>
          <w:sz w:val="20"/>
          <w:szCs w:val="20"/>
          <w:lang w:eastAsia="en-GB"/>
          <w14:ligatures w14:val="none"/>
        </w:rPr>
        <w:t xml:space="preserve"> religious guilt, shame, and peer pressure to ‘rehabilitate’ or ‘return LGBT people to the right path’</w:t>
      </w:r>
      <w:r w:rsidR="00C81990" w:rsidRPr="004E5F9B">
        <w:rPr>
          <w:rFonts w:ascii="Arial" w:eastAsia="Times New Roman" w:hAnsi="Arial" w:cs="Arial"/>
          <w:color w:val="000000"/>
          <w:kern w:val="0"/>
          <w:sz w:val="20"/>
          <w:szCs w:val="20"/>
          <w:lang w:eastAsia="en-GB"/>
          <w14:ligatures w14:val="none"/>
        </w:rPr>
        <w:t>.</w:t>
      </w:r>
      <w:r w:rsidR="00A7538A" w:rsidRPr="004E5F9B">
        <w:rPr>
          <w:rFonts w:ascii="Arial" w:eastAsia="Times New Roman" w:hAnsi="Arial" w:cs="Arial"/>
          <w:color w:val="000000"/>
          <w:kern w:val="0"/>
          <w:sz w:val="20"/>
          <w:szCs w:val="20"/>
          <w:lang w:eastAsia="en-GB"/>
          <w14:ligatures w14:val="none"/>
        </w:rPr>
        <w:t xml:space="preserve"> Further, LGBT people’s right to religion is conditional</w:t>
      </w:r>
      <w:r w:rsidR="00FB1488" w:rsidRPr="004E5F9B">
        <w:rPr>
          <w:rFonts w:ascii="Arial" w:eastAsia="Times New Roman" w:hAnsi="Arial" w:cs="Arial"/>
          <w:color w:val="000000"/>
          <w:kern w:val="0"/>
          <w:sz w:val="20"/>
          <w:szCs w:val="20"/>
          <w:lang w:eastAsia="en-GB"/>
          <w14:ligatures w14:val="none"/>
        </w:rPr>
        <w:t xml:space="preserve"> upon</w:t>
      </w:r>
      <w:r w:rsidR="00A7538A" w:rsidRPr="004E5F9B">
        <w:rPr>
          <w:rFonts w:ascii="Arial" w:eastAsia="Times New Roman" w:hAnsi="Arial" w:cs="Arial"/>
          <w:color w:val="000000"/>
          <w:kern w:val="0"/>
          <w:sz w:val="20"/>
          <w:szCs w:val="20"/>
          <w:lang w:eastAsia="en-GB"/>
          <w14:ligatures w14:val="none"/>
        </w:rPr>
        <w:t xml:space="preserve"> </w:t>
      </w:r>
      <w:r w:rsidR="00C46895" w:rsidRPr="004E5F9B">
        <w:rPr>
          <w:rFonts w:ascii="Arial" w:eastAsia="Times New Roman" w:hAnsi="Arial" w:cs="Arial"/>
          <w:color w:val="000000"/>
          <w:kern w:val="0"/>
          <w:sz w:val="20"/>
          <w:szCs w:val="20"/>
          <w:lang w:eastAsia="en-GB"/>
          <w14:ligatures w14:val="none"/>
        </w:rPr>
        <w:t xml:space="preserve">the </w:t>
      </w:r>
      <w:r w:rsidR="00A7538A" w:rsidRPr="004E5F9B">
        <w:rPr>
          <w:rFonts w:ascii="Arial" w:eastAsia="Times New Roman" w:hAnsi="Arial" w:cs="Arial"/>
          <w:color w:val="000000"/>
          <w:kern w:val="0"/>
          <w:sz w:val="20"/>
          <w:szCs w:val="20"/>
          <w:lang w:eastAsia="en-GB"/>
          <w14:ligatures w14:val="none"/>
        </w:rPr>
        <w:t>denounce</w:t>
      </w:r>
      <w:r w:rsidR="00FB1488" w:rsidRPr="004E5F9B">
        <w:rPr>
          <w:rFonts w:ascii="Arial" w:eastAsia="Times New Roman" w:hAnsi="Arial" w:cs="Arial"/>
          <w:color w:val="000000"/>
          <w:kern w:val="0"/>
          <w:sz w:val="20"/>
          <w:szCs w:val="20"/>
          <w:lang w:eastAsia="en-GB"/>
          <w14:ligatures w14:val="none"/>
        </w:rPr>
        <w:t>ment of</w:t>
      </w:r>
      <w:r w:rsidR="00A7538A" w:rsidRPr="004E5F9B">
        <w:rPr>
          <w:rFonts w:ascii="Arial" w:eastAsia="Times New Roman" w:hAnsi="Arial" w:cs="Arial"/>
          <w:color w:val="000000"/>
          <w:kern w:val="0"/>
          <w:sz w:val="20"/>
          <w:szCs w:val="20"/>
          <w:lang w:eastAsia="en-GB"/>
          <w14:ligatures w14:val="none"/>
        </w:rPr>
        <w:t xml:space="preserve"> their SOGIE. </w:t>
      </w:r>
    </w:p>
    <w:p w14:paraId="37F1108E"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614F4B9" w14:textId="116D6BEA"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1.5. The Minister of Religious Affairs and other state actors take a paradoxical approach to equality and non-discrimination. </w:t>
      </w:r>
      <w:r w:rsidR="00AC0523" w:rsidRPr="004E5F9B">
        <w:rPr>
          <w:rFonts w:ascii="Arial" w:eastAsia="Times New Roman" w:hAnsi="Arial" w:cs="Arial"/>
          <w:color w:val="000000"/>
          <w:kern w:val="0"/>
          <w:sz w:val="20"/>
          <w:szCs w:val="20"/>
          <w:lang w:eastAsia="en-GB"/>
          <w14:ligatures w14:val="none"/>
        </w:rPr>
        <w:t>Despite the</w:t>
      </w:r>
      <w:r w:rsidRPr="004E5F9B">
        <w:rPr>
          <w:rFonts w:ascii="Arial" w:eastAsia="Times New Roman" w:hAnsi="Arial" w:cs="Arial"/>
          <w:color w:val="000000"/>
          <w:kern w:val="0"/>
          <w:sz w:val="20"/>
          <w:szCs w:val="20"/>
          <w:lang w:eastAsia="en-GB"/>
          <w14:ligatures w14:val="none"/>
        </w:rPr>
        <w:t xml:space="preserve"> institutionalised discrimination, state actors maintain that LGBT people are not discriminated against in enjoying their constitutional rights to, among others, education, employment, and religion, failing to see the systemic impact of </w:t>
      </w:r>
      <w:r w:rsidR="00F958F9" w:rsidRPr="004E5F9B">
        <w:rPr>
          <w:rFonts w:ascii="Arial" w:eastAsia="Times New Roman" w:hAnsi="Arial" w:cs="Arial"/>
          <w:color w:val="000000"/>
          <w:kern w:val="0"/>
          <w:sz w:val="20"/>
          <w:szCs w:val="20"/>
          <w:lang w:eastAsia="en-GB"/>
          <w14:ligatures w14:val="none"/>
        </w:rPr>
        <w:t>institutionalised</w:t>
      </w:r>
      <w:r w:rsidRPr="004E5F9B">
        <w:rPr>
          <w:rFonts w:ascii="Arial" w:eastAsia="Times New Roman" w:hAnsi="Arial" w:cs="Arial"/>
          <w:color w:val="000000"/>
          <w:kern w:val="0"/>
          <w:sz w:val="20"/>
          <w:szCs w:val="20"/>
          <w:lang w:eastAsia="en-GB"/>
          <w14:ligatures w14:val="none"/>
        </w:rPr>
        <w:t xml:space="preserve"> discrimination against LGBT people.</w:t>
      </w:r>
      <w:r w:rsidR="009A3DBD" w:rsidRPr="004E5F9B">
        <w:rPr>
          <w:rStyle w:val="FootnoteReference"/>
          <w:rFonts w:ascii="Arial" w:eastAsia="Times New Roman" w:hAnsi="Arial" w:cs="Arial"/>
          <w:color w:val="000000"/>
          <w:kern w:val="0"/>
          <w:sz w:val="20"/>
          <w:szCs w:val="20"/>
          <w:lang w:eastAsia="en-GB"/>
          <w14:ligatures w14:val="none"/>
        </w:rPr>
        <w:footnoteReference w:id="10"/>
      </w:r>
      <w:r w:rsidR="009A3DBD" w:rsidRPr="004E5F9B">
        <w:rPr>
          <w:rFonts w:ascii="Arial" w:eastAsia="Times New Roman" w:hAnsi="Arial" w:cs="Arial"/>
          <w:color w:val="000000"/>
          <w:kern w:val="0"/>
          <w:sz w:val="20"/>
          <w:szCs w:val="20"/>
          <w:lang w:eastAsia="en-GB"/>
          <w14:ligatures w14:val="none"/>
        </w:rPr>
        <w:t> </w:t>
      </w:r>
    </w:p>
    <w:p w14:paraId="399F0AAA"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6B27E3A6" w14:textId="31EA72A0"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1.6 </w:t>
      </w:r>
      <w:r w:rsidR="00155312" w:rsidRPr="004E5F9B">
        <w:rPr>
          <w:rFonts w:ascii="Arial" w:eastAsia="Times New Roman" w:hAnsi="Arial" w:cs="Arial"/>
          <w:color w:val="000000"/>
          <w:kern w:val="0"/>
          <w:sz w:val="20"/>
          <w:szCs w:val="20"/>
          <w:lang w:eastAsia="en-GB"/>
          <w14:ligatures w14:val="none"/>
        </w:rPr>
        <w:t>The</w:t>
      </w:r>
      <w:r w:rsidRPr="004E5F9B">
        <w:rPr>
          <w:rFonts w:ascii="Arial" w:eastAsia="Times New Roman" w:hAnsi="Arial" w:cs="Arial"/>
          <w:color w:val="000000"/>
          <w:kern w:val="0"/>
          <w:sz w:val="20"/>
          <w:szCs w:val="20"/>
          <w:lang w:eastAsia="en-GB"/>
          <w14:ligatures w14:val="none"/>
        </w:rPr>
        <w:t xml:space="preserve"> lack of gender, intersectionality, human rights, and CEDAW lenses in policy and law-making at the state level</w:t>
      </w:r>
      <w:r w:rsidR="0055658B" w:rsidRPr="004E5F9B">
        <w:rPr>
          <w:rFonts w:ascii="Arial" w:eastAsia="Times New Roman" w:hAnsi="Arial" w:cs="Arial"/>
          <w:color w:val="000000"/>
          <w:kern w:val="0"/>
          <w:sz w:val="20"/>
          <w:szCs w:val="20"/>
          <w:lang w:eastAsia="en-GB"/>
          <w14:ligatures w14:val="none"/>
        </w:rPr>
        <w:t xml:space="preserve"> </w:t>
      </w:r>
      <w:r w:rsidR="00142F38" w:rsidRPr="004E5F9B">
        <w:rPr>
          <w:rFonts w:ascii="Arial" w:eastAsia="Times New Roman" w:hAnsi="Arial" w:cs="Arial"/>
          <w:color w:val="000000"/>
          <w:kern w:val="0"/>
          <w:sz w:val="20"/>
          <w:szCs w:val="20"/>
          <w:lang w:eastAsia="en-GB"/>
          <w14:ligatures w14:val="none"/>
        </w:rPr>
        <w:t>is evident</w:t>
      </w:r>
      <w:r w:rsidRPr="004E5F9B">
        <w:rPr>
          <w:rFonts w:ascii="Arial" w:eastAsia="Times New Roman" w:hAnsi="Arial" w:cs="Arial"/>
          <w:color w:val="000000"/>
          <w:kern w:val="0"/>
          <w:sz w:val="20"/>
          <w:szCs w:val="20"/>
          <w:lang w:eastAsia="en-GB"/>
          <w14:ligatures w14:val="none"/>
        </w:rPr>
        <w:t xml:space="preserve"> </w:t>
      </w:r>
      <w:r w:rsidR="00142F38" w:rsidRPr="004E5F9B">
        <w:rPr>
          <w:rFonts w:ascii="Arial" w:eastAsia="Times New Roman" w:hAnsi="Arial" w:cs="Arial"/>
          <w:color w:val="000000"/>
          <w:kern w:val="0"/>
          <w:sz w:val="20"/>
          <w:szCs w:val="20"/>
          <w:lang w:eastAsia="en-GB"/>
          <w14:ligatures w14:val="none"/>
        </w:rPr>
        <w:t>given the</w:t>
      </w:r>
      <w:r w:rsidRPr="004E5F9B">
        <w:rPr>
          <w:rFonts w:ascii="Arial" w:eastAsia="Times New Roman" w:hAnsi="Arial" w:cs="Arial"/>
          <w:color w:val="000000"/>
          <w:kern w:val="0"/>
          <w:sz w:val="20"/>
          <w:szCs w:val="20"/>
          <w:lang w:eastAsia="en-GB"/>
          <w14:ligatures w14:val="none"/>
        </w:rPr>
        <w:t xml:space="preserve"> increasing criminali</w:t>
      </w:r>
      <w:r w:rsidR="007E5166" w:rsidRPr="004E5F9B">
        <w:rPr>
          <w:rFonts w:ascii="Arial" w:eastAsia="Times New Roman" w:hAnsi="Arial" w:cs="Arial"/>
          <w:color w:val="000000"/>
          <w:kern w:val="0"/>
          <w:sz w:val="20"/>
          <w:szCs w:val="20"/>
          <w:lang w:eastAsia="en-GB"/>
          <w14:ligatures w14:val="none"/>
        </w:rPr>
        <w:t>s</w:t>
      </w:r>
      <w:r w:rsidRPr="004E5F9B">
        <w:rPr>
          <w:rFonts w:ascii="Arial" w:eastAsia="Times New Roman" w:hAnsi="Arial" w:cs="Arial"/>
          <w:color w:val="000000"/>
          <w:kern w:val="0"/>
          <w:sz w:val="20"/>
          <w:szCs w:val="20"/>
          <w:lang w:eastAsia="en-GB"/>
          <w14:ligatures w14:val="none"/>
        </w:rPr>
        <w:t xml:space="preserve">ation and introduction of LGBT rehabilitation efforts, but also other measures that restrict gender equality at the state level. For example, the </w:t>
      </w:r>
      <w:proofErr w:type="spellStart"/>
      <w:r w:rsidRPr="004E5F9B">
        <w:rPr>
          <w:rFonts w:ascii="Arial" w:eastAsia="Times New Roman" w:hAnsi="Arial" w:cs="Arial"/>
          <w:i/>
          <w:iCs/>
          <w:color w:val="000000"/>
          <w:kern w:val="0"/>
          <w:sz w:val="20"/>
          <w:szCs w:val="20"/>
          <w:lang w:eastAsia="en-GB"/>
          <w14:ligatures w14:val="none"/>
        </w:rPr>
        <w:t>aurat</w:t>
      </w:r>
      <w:proofErr w:type="spellEnd"/>
      <w:r w:rsidRPr="004E5F9B">
        <w:rPr>
          <w:rFonts w:ascii="Arial" w:eastAsia="Times New Roman" w:hAnsi="Arial" w:cs="Arial"/>
          <w:color w:val="000000"/>
          <w:kern w:val="0"/>
          <w:sz w:val="20"/>
          <w:szCs w:val="20"/>
          <w:lang w:eastAsia="en-GB"/>
          <w14:ligatures w14:val="none"/>
        </w:rPr>
        <w:t xml:space="preserve"> raids have resulted in the arrest of cisgender</w:t>
      </w:r>
      <w:r w:rsidR="00466236" w:rsidRPr="004E5F9B">
        <w:rPr>
          <w:rStyle w:val="FootnoteReference"/>
          <w:rFonts w:ascii="Arial" w:eastAsia="Times New Roman" w:hAnsi="Arial" w:cs="Arial"/>
          <w:color w:val="000000"/>
          <w:kern w:val="0"/>
          <w:sz w:val="20"/>
          <w:szCs w:val="20"/>
          <w:lang w:eastAsia="en-GB"/>
          <w14:ligatures w14:val="none"/>
        </w:rPr>
        <w:footnoteReference w:id="11"/>
      </w:r>
      <w:r w:rsidRPr="004E5F9B">
        <w:rPr>
          <w:rFonts w:ascii="Arial" w:eastAsia="Times New Roman" w:hAnsi="Arial" w:cs="Arial"/>
          <w:color w:val="000000"/>
          <w:kern w:val="0"/>
          <w:sz w:val="20"/>
          <w:szCs w:val="20"/>
          <w:lang w:eastAsia="en-GB"/>
          <w14:ligatures w14:val="none"/>
        </w:rPr>
        <w:t xml:space="preserve"> and transgender</w:t>
      </w:r>
      <w:r w:rsidR="00466236" w:rsidRPr="004E5F9B">
        <w:rPr>
          <w:rStyle w:val="FootnoteReference"/>
          <w:rFonts w:ascii="Arial" w:eastAsia="Times New Roman" w:hAnsi="Arial" w:cs="Arial"/>
          <w:color w:val="000000"/>
          <w:kern w:val="0"/>
          <w:sz w:val="20"/>
          <w:szCs w:val="20"/>
          <w:lang w:eastAsia="en-GB"/>
          <w14:ligatures w14:val="none"/>
        </w:rPr>
        <w:footnoteReference w:id="12"/>
      </w:r>
      <w:r w:rsidRPr="004E5F9B">
        <w:rPr>
          <w:rFonts w:ascii="Arial" w:eastAsia="Times New Roman" w:hAnsi="Arial" w:cs="Arial"/>
          <w:color w:val="000000"/>
          <w:kern w:val="0"/>
          <w:sz w:val="20"/>
          <w:szCs w:val="20"/>
          <w:lang w:eastAsia="en-GB"/>
          <w14:ligatures w14:val="none"/>
        </w:rPr>
        <w:t xml:space="preserve"> women alike, reinforcing binary </w:t>
      </w:r>
      <w:proofErr w:type="spellStart"/>
      <w:r w:rsidRPr="004E5F9B">
        <w:rPr>
          <w:rFonts w:ascii="Arial" w:eastAsia="Times New Roman" w:hAnsi="Arial" w:cs="Arial"/>
          <w:color w:val="000000"/>
          <w:kern w:val="0"/>
          <w:sz w:val="20"/>
          <w:szCs w:val="20"/>
          <w:lang w:eastAsia="en-GB"/>
          <w14:ligatures w14:val="none"/>
        </w:rPr>
        <w:t>cisheteronormative</w:t>
      </w:r>
      <w:proofErr w:type="spellEnd"/>
      <w:r w:rsidRPr="004E5F9B">
        <w:rPr>
          <w:rFonts w:ascii="Arial" w:eastAsia="Times New Roman" w:hAnsi="Arial" w:cs="Arial"/>
          <w:color w:val="000000"/>
          <w:kern w:val="0"/>
          <w:sz w:val="20"/>
          <w:szCs w:val="20"/>
          <w:lang w:eastAsia="en-GB"/>
          <w14:ligatures w14:val="none"/>
        </w:rPr>
        <w:t xml:space="preserve"> gender norms.  </w:t>
      </w:r>
    </w:p>
    <w:p w14:paraId="745547EB"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6B502E0"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p>
    <w:p w14:paraId="693C12A1" w14:textId="240740ED" w:rsidR="009313B2" w:rsidRPr="004E5F9B" w:rsidRDefault="009313B2" w:rsidP="009313B2">
      <w:pPr>
        <w:rPr>
          <w:rFonts w:ascii="Arial" w:eastAsia="Times New Roman" w:hAnsi="Arial" w:cs="Arial"/>
          <w:color w:val="000000"/>
          <w:kern w:val="0"/>
          <w:sz w:val="20"/>
          <w:szCs w:val="20"/>
          <w:lang w:eastAsia="en-GB"/>
          <w14:ligatures w14:val="none"/>
        </w:rPr>
      </w:pPr>
    </w:p>
    <w:p w14:paraId="40A3A0BA" w14:textId="6E148418" w:rsidR="009313B2" w:rsidRPr="004E5F9B" w:rsidRDefault="009313B2" w:rsidP="009313B2">
      <w:pPr>
        <w:numPr>
          <w:ilvl w:val="0"/>
          <w:numId w:val="2"/>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Increase training on gender and intersectionality </w:t>
      </w:r>
      <w:r w:rsidR="005659AC" w:rsidRPr="004E5F9B">
        <w:rPr>
          <w:rFonts w:ascii="Arial" w:eastAsia="Times New Roman" w:hAnsi="Arial" w:cs="Arial"/>
          <w:color w:val="000000"/>
          <w:kern w:val="0"/>
          <w:sz w:val="20"/>
          <w:szCs w:val="20"/>
          <w:lang w:eastAsia="en-GB"/>
          <w14:ligatures w14:val="none"/>
        </w:rPr>
        <w:t>based on</w:t>
      </w:r>
      <w:r w:rsidRPr="004E5F9B">
        <w:rPr>
          <w:rFonts w:ascii="Arial" w:eastAsia="Times New Roman" w:hAnsi="Arial" w:cs="Arial"/>
          <w:color w:val="000000"/>
          <w:kern w:val="0"/>
          <w:sz w:val="20"/>
          <w:szCs w:val="20"/>
          <w:lang w:eastAsia="en-GB"/>
          <w14:ligatures w14:val="none"/>
        </w:rPr>
        <w:t xml:space="preserve"> GR28 and Article 2 of CEDAW </w:t>
      </w:r>
      <w:r w:rsidR="009A6B8C" w:rsidRPr="004E5F9B">
        <w:rPr>
          <w:rFonts w:ascii="Arial" w:eastAsia="Times New Roman" w:hAnsi="Arial" w:cs="Arial"/>
          <w:color w:val="000000"/>
          <w:kern w:val="0"/>
          <w:sz w:val="20"/>
          <w:szCs w:val="20"/>
          <w:lang w:eastAsia="en-GB"/>
          <w14:ligatures w14:val="none"/>
        </w:rPr>
        <w:t xml:space="preserve">for </w:t>
      </w:r>
      <w:r w:rsidRPr="004E5F9B">
        <w:rPr>
          <w:rFonts w:ascii="Arial" w:eastAsia="Times New Roman" w:hAnsi="Arial" w:cs="Arial"/>
          <w:color w:val="000000"/>
          <w:kern w:val="0"/>
          <w:sz w:val="20"/>
          <w:szCs w:val="20"/>
          <w:lang w:eastAsia="en-GB"/>
          <w14:ligatures w14:val="none"/>
        </w:rPr>
        <w:t xml:space="preserve"> state actors at all levels of government </w:t>
      </w:r>
    </w:p>
    <w:p w14:paraId="6059CB2C" w14:textId="15D58313" w:rsidR="009313B2" w:rsidRPr="004E5F9B" w:rsidRDefault="009313B2" w:rsidP="009313B2">
      <w:pPr>
        <w:numPr>
          <w:ilvl w:val="0"/>
          <w:numId w:val="2"/>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Engage OHCHR</w:t>
      </w:r>
      <w:r w:rsidR="005659AC"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and other UN mechanisms to strengthen an evidence and rights-based framework on gender and religion </w:t>
      </w:r>
    </w:p>
    <w:p w14:paraId="0AA2834A" w14:textId="77777777" w:rsidR="00C570B8" w:rsidRPr="004E5F9B" w:rsidRDefault="00C570B8">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3BF72E17" w14:textId="15DAEC28"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2, 3 &amp; 15: Equality &amp; Non-discrimination </w:t>
      </w:r>
    </w:p>
    <w:p w14:paraId="14AFFC34"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E6B142F"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Favourable legal developments on criminalization</w:t>
      </w:r>
    </w:p>
    <w:p w14:paraId="2CF218E1"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EB1465B" w14:textId="73BE1D09" w:rsidR="009313B2" w:rsidRPr="004E5F9B" w:rsidRDefault="00C261A8"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2.1</w:t>
      </w:r>
      <w:r w:rsidR="009313B2" w:rsidRPr="004E5F9B">
        <w:rPr>
          <w:rFonts w:ascii="Arial" w:eastAsia="Times New Roman" w:hAnsi="Arial" w:cs="Arial"/>
          <w:color w:val="000000"/>
          <w:kern w:val="0"/>
          <w:sz w:val="20"/>
          <w:szCs w:val="20"/>
          <w:lang w:eastAsia="en-GB"/>
          <w14:ligatures w14:val="none"/>
        </w:rPr>
        <w:t>In the constitutional review of Section 28 of the Selangor Syariah Criminal Offences, which criminalised sex against the order of nature, the Federal Court found the state law unconstitutional and in violation of</w:t>
      </w:r>
      <w:r w:rsidR="00812438" w:rsidRPr="004E5F9B">
        <w:rPr>
          <w:rFonts w:ascii="Arial" w:eastAsia="Times New Roman" w:hAnsi="Arial" w:cs="Arial"/>
          <w:color w:val="000000"/>
          <w:kern w:val="0"/>
          <w:sz w:val="20"/>
          <w:szCs w:val="20"/>
          <w:lang w:eastAsia="en-GB"/>
          <w14:ligatures w14:val="none"/>
        </w:rPr>
        <w:t xml:space="preserve"> the</w:t>
      </w:r>
      <w:r w:rsidR="009313B2" w:rsidRPr="004E5F9B">
        <w:rPr>
          <w:rFonts w:ascii="Arial" w:eastAsia="Times New Roman" w:hAnsi="Arial" w:cs="Arial"/>
          <w:color w:val="000000"/>
          <w:kern w:val="0"/>
          <w:sz w:val="20"/>
          <w:szCs w:val="20"/>
          <w:lang w:eastAsia="en-GB"/>
          <w14:ligatures w14:val="none"/>
        </w:rPr>
        <w:t xml:space="preserve"> Federal and state governments’ legislative jurisdiction</w:t>
      </w:r>
      <w:r w:rsidR="00812438" w:rsidRPr="004E5F9B">
        <w:rPr>
          <w:rFonts w:ascii="Arial" w:eastAsia="Times New Roman" w:hAnsi="Arial" w:cs="Arial"/>
          <w:color w:val="000000"/>
          <w:kern w:val="0"/>
          <w:sz w:val="20"/>
          <w:szCs w:val="20"/>
          <w:lang w:eastAsia="en-GB"/>
          <w14:ligatures w14:val="none"/>
        </w:rPr>
        <w:t>s</w:t>
      </w:r>
      <w:r w:rsidR="009313B2" w:rsidRPr="004E5F9B">
        <w:rPr>
          <w:rFonts w:ascii="Arial" w:eastAsia="Times New Roman" w:hAnsi="Arial" w:cs="Arial"/>
          <w:color w:val="000000"/>
          <w:kern w:val="0"/>
          <w:sz w:val="20"/>
          <w:szCs w:val="20"/>
          <w:lang w:eastAsia="en-GB"/>
          <w14:ligatures w14:val="none"/>
        </w:rPr>
        <w:t xml:space="preserve">, as </w:t>
      </w:r>
      <w:r w:rsidR="00812438" w:rsidRPr="004E5F9B">
        <w:rPr>
          <w:rFonts w:ascii="Arial" w:eastAsia="Times New Roman" w:hAnsi="Arial" w:cs="Arial"/>
          <w:color w:val="000000"/>
          <w:kern w:val="0"/>
          <w:sz w:val="20"/>
          <w:szCs w:val="20"/>
          <w:lang w:eastAsia="en-GB"/>
          <w14:ligatures w14:val="none"/>
        </w:rPr>
        <w:t>stipulated</w:t>
      </w:r>
      <w:r w:rsidR="009313B2" w:rsidRPr="004E5F9B">
        <w:rPr>
          <w:rFonts w:ascii="Arial" w:eastAsia="Times New Roman" w:hAnsi="Arial" w:cs="Arial"/>
          <w:color w:val="000000"/>
          <w:kern w:val="0"/>
          <w:sz w:val="20"/>
          <w:szCs w:val="20"/>
          <w:lang w:eastAsia="en-GB"/>
          <w14:ligatures w14:val="none"/>
        </w:rPr>
        <w:t xml:space="preserve"> in the Federal</w:t>
      </w:r>
      <w:r w:rsidR="00FC11D0" w:rsidRPr="004E5F9B">
        <w:rPr>
          <w:rFonts w:ascii="Arial" w:eastAsia="Times New Roman" w:hAnsi="Arial" w:cs="Arial"/>
          <w:color w:val="000000"/>
          <w:kern w:val="0"/>
          <w:sz w:val="20"/>
          <w:szCs w:val="20"/>
          <w:lang w:eastAsia="en-GB"/>
          <w14:ligatures w14:val="none"/>
        </w:rPr>
        <w:t xml:space="preserve"> </w:t>
      </w:r>
      <w:r w:rsidR="00ED4D58" w:rsidRPr="004E5F9B">
        <w:rPr>
          <w:rFonts w:ascii="Arial" w:eastAsia="Times New Roman" w:hAnsi="Arial" w:cs="Arial"/>
          <w:color w:val="000000"/>
          <w:kern w:val="0"/>
          <w:sz w:val="20"/>
          <w:szCs w:val="20"/>
          <w:lang w:eastAsia="en-GB"/>
          <w14:ligatures w14:val="none"/>
        </w:rPr>
        <w:t>and</w:t>
      </w:r>
      <w:r w:rsidR="00FC11D0" w:rsidRPr="004E5F9B">
        <w:rPr>
          <w:rFonts w:ascii="Arial" w:eastAsia="Times New Roman" w:hAnsi="Arial" w:cs="Arial"/>
          <w:color w:val="000000"/>
          <w:kern w:val="0"/>
          <w:sz w:val="20"/>
          <w:szCs w:val="20"/>
          <w:lang w:eastAsia="en-GB"/>
          <w14:ligatures w14:val="none"/>
        </w:rPr>
        <w:t xml:space="preserve"> </w:t>
      </w:r>
      <w:r w:rsidR="009313B2" w:rsidRPr="004E5F9B">
        <w:rPr>
          <w:rFonts w:ascii="Arial" w:eastAsia="Times New Roman" w:hAnsi="Arial" w:cs="Arial"/>
          <w:color w:val="000000"/>
          <w:kern w:val="0"/>
          <w:sz w:val="20"/>
          <w:szCs w:val="20"/>
          <w:lang w:eastAsia="en-GB"/>
          <w14:ligatures w14:val="none"/>
        </w:rPr>
        <w:t>State</w:t>
      </w:r>
      <w:r w:rsidR="00ED4D58" w:rsidRPr="004E5F9B">
        <w:rPr>
          <w:rFonts w:ascii="Arial" w:eastAsia="Times New Roman" w:hAnsi="Arial" w:cs="Arial"/>
          <w:color w:val="000000"/>
          <w:kern w:val="0"/>
          <w:sz w:val="20"/>
          <w:szCs w:val="20"/>
          <w:lang w:eastAsia="en-GB"/>
          <w14:ligatures w14:val="none"/>
        </w:rPr>
        <w:t xml:space="preserve"> </w:t>
      </w:r>
      <w:r w:rsidR="009313B2" w:rsidRPr="004E5F9B">
        <w:rPr>
          <w:rFonts w:ascii="Arial" w:eastAsia="Times New Roman" w:hAnsi="Arial" w:cs="Arial"/>
          <w:color w:val="000000"/>
          <w:kern w:val="0"/>
          <w:sz w:val="20"/>
          <w:szCs w:val="20"/>
          <w:lang w:eastAsia="en-GB"/>
          <w14:ligatures w14:val="none"/>
        </w:rPr>
        <w:t>lists</w:t>
      </w:r>
      <w:r w:rsidR="00812438" w:rsidRPr="004E5F9B">
        <w:rPr>
          <w:rFonts w:ascii="Arial" w:eastAsia="Times New Roman" w:hAnsi="Arial" w:cs="Arial"/>
          <w:color w:val="000000"/>
          <w:kern w:val="0"/>
          <w:sz w:val="20"/>
          <w:szCs w:val="20"/>
          <w:lang w:eastAsia="en-GB"/>
          <w14:ligatures w14:val="none"/>
        </w:rPr>
        <w:t xml:space="preserve"> and Articles 73, 74 and 75</w:t>
      </w:r>
      <w:r w:rsidR="00D9457C" w:rsidRPr="004E5F9B">
        <w:rPr>
          <w:rFonts w:ascii="Arial" w:eastAsia="Times New Roman" w:hAnsi="Arial" w:cs="Arial"/>
          <w:color w:val="000000"/>
          <w:kern w:val="0"/>
          <w:sz w:val="20"/>
          <w:szCs w:val="20"/>
          <w:lang w:eastAsia="en-GB"/>
          <w14:ligatures w14:val="none"/>
        </w:rPr>
        <w:t xml:space="preserve"> of the FC.</w:t>
      </w:r>
      <w:r w:rsidR="00812438" w:rsidRPr="004E5F9B">
        <w:rPr>
          <w:rStyle w:val="FootnoteReference"/>
          <w:rFonts w:ascii="Arial" w:eastAsia="Times New Roman" w:hAnsi="Arial" w:cs="Arial"/>
          <w:color w:val="000000"/>
          <w:kern w:val="0"/>
          <w:sz w:val="20"/>
          <w:szCs w:val="20"/>
          <w:lang w:eastAsia="en-GB"/>
          <w14:ligatures w14:val="none"/>
        </w:rPr>
        <w:footnoteReference w:id="13"/>
      </w:r>
      <w:r w:rsidR="009313B2" w:rsidRPr="004E5F9B">
        <w:rPr>
          <w:rFonts w:ascii="Arial" w:eastAsia="Times New Roman" w:hAnsi="Arial" w:cs="Arial"/>
          <w:color w:val="000000"/>
          <w:kern w:val="0"/>
          <w:sz w:val="20"/>
          <w:szCs w:val="20"/>
          <w:lang w:eastAsia="en-GB"/>
          <w14:ligatures w14:val="none"/>
        </w:rPr>
        <w:br/>
      </w:r>
      <w:r w:rsidR="009313B2" w:rsidRPr="004E5F9B">
        <w:rPr>
          <w:rFonts w:ascii="Arial" w:eastAsia="Times New Roman" w:hAnsi="Arial" w:cs="Arial"/>
          <w:color w:val="000000"/>
          <w:kern w:val="0"/>
          <w:sz w:val="20"/>
          <w:szCs w:val="20"/>
          <w:lang w:eastAsia="en-GB"/>
          <w14:ligatures w14:val="none"/>
        </w:rPr>
        <w:br/>
        <w:t xml:space="preserve">The State List, while allowing states to enact laws in relation to ‘precepts of Islam,’ is bound by the preclusion clause, which stipulates that states cannot enact laws on </w:t>
      </w:r>
      <w:r w:rsidR="009313B2" w:rsidRPr="004E5F9B">
        <w:rPr>
          <w:rFonts w:ascii="Arial" w:eastAsia="Times New Roman" w:hAnsi="Arial" w:cs="Arial"/>
          <w:color w:val="212529"/>
          <w:kern w:val="0"/>
          <w:sz w:val="20"/>
          <w:szCs w:val="20"/>
          <w:shd w:val="clear" w:color="auto" w:fill="FFFFFF"/>
          <w:lang w:eastAsia="en-GB"/>
          <w14:ligatures w14:val="none"/>
        </w:rPr>
        <w:t xml:space="preserve">matters included under the Federal List. The Federal Court noted </w:t>
      </w:r>
      <w:r w:rsidR="009313B2" w:rsidRPr="004E5F9B">
        <w:rPr>
          <w:rFonts w:ascii="Arial" w:eastAsia="Times New Roman" w:hAnsi="Arial" w:cs="Arial"/>
          <w:i/>
          <w:iCs/>
          <w:color w:val="212529"/>
          <w:kern w:val="0"/>
          <w:sz w:val="20"/>
          <w:szCs w:val="20"/>
          <w:shd w:val="clear" w:color="auto" w:fill="FFFFFF"/>
          <w:lang w:eastAsia="en-GB"/>
          <w14:ligatures w14:val="none"/>
        </w:rPr>
        <w:t>“</w:t>
      </w:r>
      <w:r w:rsidR="009313B2" w:rsidRPr="004E5F9B">
        <w:rPr>
          <w:rFonts w:ascii="Arial" w:eastAsia="Times New Roman" w:hAnsi="Arial" w:cs="Arial"/>
          <w:i/>
          <w:iCs/>
          <w:color w:val="000000"/>
          <w:kern w:val="0"/>
          <w:sz w:val="20"/>
          <w:szCs w:val="20"/>
          <w:lang w:eastAsia="en-GB"/>
          <w14:ligatures w14:val="none"/>
        </w:rPr>
        <w:t>… it can be postulated that having regard to the preclusion clause in item 1 of the State List, when the two Legislatures (Federal and State) legislate a law concerning the subject-matter of criminal law, and the two laws touch on the same matter, the said laws cannot co-exist even if the said law is said to be against the precepts of Islam.”</w:t>
      </w:r>
    </w:p>
    <w:p w14:paraId="51E4E9FF"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2136AE18" w14:textId="735A15C8" w:rsidR="00E7652F"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2.2 </w:t>
      </w:r>
      <w:r w:rsidR="00E7652F" w:rsidRPr="004E5F9B">
        <w:rPr>
          <w:rFonts w:ascii="Arial" w:eastAsia="Times New Roman" w:hAnsi="Arial" w:cs="Arial"/>
          <w:color w:val="000000"/>
          <w:kern w:val="0"/>
          <w:sz w:val="20"/>
          <w:szCs w:val="20"/>
          <w:lang w:eastAsia="en-GB"/>
          <w14:ligatures w14:val="none"/>
        </w:rPr>
        <w:t xml:space="preserve">In </w:t>
      </w:r>
      <w:r w:rsidR="001F7A7B" w:rsidRPr="001F7A7B">
        <w:rPr>
          <w:rFonts w:ascii="Arial" w:eastAsia="Times New Roman" w:hAnsi="Arial" w:cs="Arial"/>
          <w:color w:val="000000"/>
          <w:kern w:val="0"/>
          <w:sz w:val="20"/>
          <w:szCs w:val="20"/>
          <w:lang w:eastAsia="en-GB"/>
          <w14:ligatures w14:val="none"/>
        </w:rPr>
        <w:t>2024,</w:t>
      </w:r>
      <w:r w:rsidR="001F7A7B">
        <w:rPr>
          <w:rFonts w:ascii="Arial" w:eastAsia="Times New Roman" w:hAnsi="Arial" w:cs="Arial"/>
          <w:i/>
          <w:iCs/>
          <w:color w:val="000000"/>
          <w:kern w:val="0"/>
          <w:sz w:val="20"/>
          <w:szCs w:val="20"/>
          <w:lang w:eastAsia="en-GB"/>
          <w14:ligatures w14:val="none"/>
        </w:rPr>
        <w:t xml:space="preserve"> </w:t>
      </w:r>
      <w:r w:rsidR="00E7652F" w:rsidRPr="004E5F9B">
        <w:rPr>
          <w:rFonts w:ascii="Arial" w:eastAsia="Times New Roman" w:hAnsi="Arial" w:cs="Arial"/>
          <w:color w:val="000000"/>
          <w:kern w:val="0"/>
          <w:sz w:val="20"/>
          <w:szCs w:val="20"/>
          <w:lang w:eastAsia="en-GB"/>
          <w14:ligatures w14:val="none"/>
        </w:rPr>
        <w:t>the Federal Court declared 17 provisions in the Kelantan Syariah Criminal Code Enactment unconstitutional for the same reasons in the Section 28 case.</w:t>
      </w:r>
      <w:r w:rsidR="00456149">
        <w:rPr>
          <w:rStyle w:val="FootnoteReference"/>
          <w:rFonts w:ascii="Arial" w:eastAsia="Times New Roman" w:hAnsi="Arial" w:cs="Arial"/>
          <w:color w:val="000000"/>
          <w:kern w:val="0"/>
          <w:sz w:val="20"/>
          <w:szCs w:val="20"/>
          <w:lang w:eastAsia="en-GB"/>
          <w14:ligatures w14:val="none"/>
        </w:rPr>
        <w:footnoteReference w:id="14"/>
      </w:r>
      <w:r w:rsidR="00E7652F" w:rsidRPr="004E5F9B">
        <w:rPr>
          <w:rFonts w:ascii="Arial" w:eastAsia="Times New Roman" w:hAnsi="Arial" w:cs="Arial"/>
          <w:color w:val="000000"/>
          <w:kern w:val="0"/>
          <w:sz w:val="20"/>
          <w:szCs w:val="20"/>
          <w:lang w:eastAsia="en-GB"/>
          <w14:ligatures w14:val="none"/>
        </w:rPr>
        <w:t> </w:t>
      </w:r>
    </w:p>
    <w:p w14:paraId="243015D9" w14:textId="77777777" w:rsidR="00E7652F" w:rsidRPr="004E5F9B" w:rsidRDefault="00E7652F" w:rsidP="009313B2">
      <w:pPr>
        <w:rPr>
          <w:rFonts w:ascii="Arial" w:eastAsia="Times New Roman" w:hAnsi="Arial" w:cs="Arial"/>
          <w:color w:val="000000"/>
          <w:kern w:val="0"/>
          <w:sz w:val="20"/>
          <w:szCs w:val="20"/>
          <w:lang w:eastAsia="en-GB"/>
          <w14:ligatures w14:val="none"/>
        </w:rPr>
      </w:pPr>
    </w:p>
    <w:p w14:paraId="55F1CCC7" w14:textId="25DC7780" w:rsidR="009313B2" w:rsidRPr="004E5F9B" w:rsidRDefault="00E7652F"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2.3 </w:t>
      </w:r>
      <w:r w:rsidR="009313B2" w:rsidRPr="004E5F9B">
        <w:rPr>
          <w:rFonts w:ascii="Arial" w:eastAsia="Times New Roman" w:hAnsi="Arial" w:cs="Arial"/>
          <w:color w:val="000000"/>
          <w:kern w:val="0"/>
          <w:sz w:val="20"/>
          <w:szCs w:val="20"/>
          <w:lang w:eastAsia="en-GB"/>
          <w14:ligatures w14:val="none"/>
        </w:rPr>
        <w:t>In 2015, the Court of Appeal declared Negeri Sembilan’s Section 66</w:t>
      </w:r>
      <w:r w:rsidR="00466236" w:rsidRPr="004E5F9B">
        <w:rPr>
          <w:rStyle w:val="FootnoteReference"/>
          <w:rFonts w:ascii="Arial" w:eastAsia="Times New Roman" w:hAnsi="Arial" w:cs="Arial"/>
          <w:color w:val="000000"/>
          <w:kern w:val="0"/>
          <w:sz w:val="20"/>
          <w:szCs w:val="20"/>
          <w:lang w:eastAsia="en-GB"/>
          <w14:ligatures w14:val="none"/>
        </w:rPr>
        <w:footnoteReference w:id="15"/>
      </w:r>
      <w:r w:rsidR="00507C7D" w:rsidRPr="004E5F9B">
        <w:rPr>
          <w:rFonts w:ascii="Arial" w:eastAsia="Times New Roman" w:hAnsi="Arial" w:cs="Arial"/>
          <w:color w:val="000000"/>
          <w:kern w:val="0"/>
          <w:sz w:val="20"/>
          <w:szCs w:val="20"/>
          <w:lang w:eastAsia="en-GB"/>
          <w14:ligatures w14:val="none"/>
        </w:rPr>
        <w:t xml:space="preserve"> </w:t>
      </w:r>
      <w:r w:rsidR="009313B2" w:rsidRPr="004E5F9B">
        <w:rPr>
          <w:rFonts w:ascii="Arial" w:eastAsia="Times New Roman" w:hAnsi="Arial" w:cs="Arial"/>
          <w:color w:val="000000"/>
          <w:kern w:val="0"/>
          <w:sz w:val="20"/>
          <w:szCs w:val="20"/>
          <w:lang w:eastAsia="en-GB"/>
          <w14:ligatures w14:val="none"/>
        </w:rPr>
        <w:t xml:space="preserve">unconstitutional </w:t>
      </w:r>
      <w:r w:rsidR="00454F8E" w:rsidRPr="004E5F9B">
        <w:rPr>
          <w:rFonts w:ascii="Arial" w:eastAsia="Times New Roman" w:hAnsi="Arial" w:cs="Arial"/>
          <w:color w:val="000000"/>
          <w:kern w:val="0"/>
          <w:sz w:val="20"/>
          <w:szCs w:val="20"/>
          <w:lang w:eastAsia="en-GB"/>
          <w14:ligatures w14:val="none"/>
        </w:rPr>
        <w:t>owing to inconsistencies with</w:t>
      </w:r>
      <w:r w:rsidR="009313B2" w:rsidRPr="004E5F9B">
        <w:rPr>
          <w:rFonts w:ascii="Arial" w:eastAsia="Times New Roman" w:hAnsi="Arial" w:cs="Arial"/>
          <w:color w:val="000000"/>
          <w:kern w:val="0"/>
          <w:sz w:val="20"/>
          <w:szCs w:val="20"/>
          <w:lang w:eastAsia="en-GB"/>
          <w14:ligatures w14:val="none"/>
        </w:rPr>
        <w:t xml:space="preserve"> Articles 5, 8, 9, and 10 of the </w:t>
      </w:r>
      <w:r w:rsidR="00454F8E" w:rsidRPr="004E5F9B">
        <w:rPr>
          <w:rFonts w:ascii="Arial" w:eastAsia="Times New Roman" w:hAnsi="Arial" w:cs="Arial"/>
          <w:color w:val="000000"/>
          <w:kern w:val="0"/>
          <w:sz w:val="20"/>
          <w:szCs w:val="20"/>
          <w:lang w:eastAsia="en-GB"/>
          <w14:ligatures w14:val="none"/>
        </w:rPr>
        <w:t>FC</w:t>
      </w:r>
      <w:r w:rsidR="009313B2" w:rsidRPr="004E5F9B">
        <w:rPr>
          <w:rFonts w:ascii="Arial" w:eastAsia="Times New Roman" w:hAnsi="Arial" w:cs="Arial"/>
          <w:color w:val="000000"/>
          <w:kern w:val="0"/>
          <w:sz w:val="20"/>
          <w:szCs w:val="20"/>
          <w:lang w:eastAsia="en-GB"/>
          <w14:ligatures w14:val="none"/>
        </w:rPr>
        <w:t>.</w:t>
      </w:r>
      <w:r w:rsidR="00466236" w:rsidRPr="004E5F9B">
        <w:rPr>
          <w:rStyle w:val="FootnoteReference"/>
          <w:rFonts w:ascii="Arial" w:eastAsia="Times New Roman" w:hAnsi="Arial" w:cs="Arial"/>
          <w:color w:val="000000"/>
          <w:kern w:val="0"/>
          <w:sz w:val="20"/>
          <w:szCs w:val="20"/>
          <w:lang w:eastAsia="en-GB"/>
          <w14:ligatures w14:val="none"/>
        </w:rPr>
        <w:footnoteReference w:id="16"/>
      </w:r>
      <w:r w:rsidR="009313B2" w:rsidRPr="004E5F9B">
        <w:rPr>
          <w:rFonts w:ascii="Arial" w:eastAsia="Times New Roman" w:hAnsi="Arial" w:cs="Arial"/>
          <w:color w:val="000000"/>
          <w:kern w:val="0"/>
          <w:sz w:val="20"/>
          <w:szCs w:val="20"/>
          <w:lang w:eastAsia="en-GB"/>
          <w14:ligatures w14:val="none"/>
        </w:rPr>
        <w:t xml:space="preserve"> However, in 2015, the Federal Court set aside the decision by the High Court and Court of Appeal on a technicality, citing a procedural error. However, in 2019, in </w:t>
      </w:r>
      <w:r w:rsidR="001F7A7B">
        <w:rPr>
          <w:rFonts w:ascii="Arial" w:eastAsia="Times New Roman" w:hAnsi="Arial" w:cs="Arial"/>
          <w:color w:val="000000"/>
          <w:kern w:val="0"/>
          <w:sz w:val="20"/>
          <w:szCs w:val="20"/>
          <w:lang w:eastAsia="en-GB"/>
          <w14:ligatures w14:val="none"/>
        </w:rPr>
        <w:t>another case</w:t>
      </w:r>
      <w:r w:rsidR="009313B2" w:rsidRPr="004E5F9B">
        <w:rPr>
          <w:rFonts w:ascii="Arial" w:eastAsia="Times New Roman" w:hAnsi="Arial" w:cs="Arial"/>
          <w:color w:val="000000"/>
          <w:kern w:val="0"/>
          <w:sz w:val="20"/>
          <w:szCs w:val="20"/>
          <w:lang w:eastAsia="en-GB"/>
          <w14:ligatures w14:val="none"/>
        </w:rPr>
        <w:t>,</w:t>
      </w:r>
      <w:r w:rsidR="00466236" w:rsidRPr="004E5F9B">
        <w:rPr>
          <w:rStyle w:val="FootnoteReference"/>
          <w:rFonts w:ascii="Arial" w:eastAsia="Times New Roman" w:hAnsi="Arial" w:cs="Arial"/>
          <w:color w:val="000000"/>
          <w:kern w:val="0"/>
          <w:sz w:val="20"/>
          <w:szCs w:val="20"/>
          <w:lang w:eastAsia="en-GB"/>
          <w14:ligatures w14:val="none"/>
        </w:rPr>
        <w:footnoteReference w:id="17"/>
      </w:r>
      <w:r w:rsidR="009313B2" w:rsidRPr="004E5F9B">
        <w:rPr>
          <w:rFonts w:ascii="Arial" w:eastAsia="Times New Roman" w:hAnsi="Arial" w:cs="Arial"/>
          <w:color w:val="000000"/>
          <w:kern w:val="0"/>
          <w:sz w:val="20"/>
          <w:szCs w:val="20"/>
          <w:lang w:eastAsia="en-GB"/>
          <w14:ligatures w14:val="none"/>
        </w:rPr>
        <w:t xml:space="preserve"> the Federal Court opined that the filing procedure was indeed correct. Subsequently, the applicants filed another petition to review the decision based on the decision, albeit unsuccessfully. Nonetheless, the merits of the Court of Appeal decision still stand. </w:t>
      </w:r>
    </w:p>
    <w:p w14:paraId="3849D2C6"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327BFAA" w14:textId="525FA7C5"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w:t>
      </w:r>
      <w:r w:rsidR="00E7652F" w:rsidRPr="004E5F9B">
        <w:rPr>
          <w:rFonts w:ascii="Arial" w:eastAsia="Times New Roman" w:hAnsi="Arial" w:cs="Arial"/>
          <w:color w:val="000000"/>
          <w:kern w:val="0"/>
          <w:sz w:val="20"/>
          <w:szCs w:val="20"/>
          <w:lang w:eastAsia="en-GB"/>
          <w14:ligatures w14:val="none"/>
        </w:rPr>
        <w:t>4</w:t>
      </w:r>
      <w:r w:rsidRPr="004E5F9B">
        <w:rPr>
          <w:rFonts w:ascii="Arial" w:eastAsia="Times New Roman" w:hAnsi="Arial" w:cs="Arial"/>
          <w:color w:val="000000"/>
          <w:kern w:val="0"/>
          <w:sz w:val="20"/>
          <w:szCs w:val="20"/>
          <w:lang w:eastAsia="en-GB"/>
          <w14:ligatures w14:val="none"/>
        </w:rPr>
        <w:t>  The legal challenge reduced official arrests</w:t>
      </w:r>
      <w:r w:rsidR="00500E10" w:rsidRPr="004E5F9B">
        <w:rPr>
          <w:rFonts w:ascii="Arial" w:eastAsia="Times New Roman" w:hAnsi="Arial" w:cs="Arial"/>
          <w:color w:val="000000"/>
          <w:kern w:val="0"/>
          <w:sz w:val="20"/>
          <w:szCs w:val="20"/>
          <w:lang w:eastAsia="en-GB"/>
          <w14:ligatures w14:val="none"/>
        </w:rPr>
        <w:t>, although</w:t>
      </w:r>
      <w:r w:rsidR="00101C4D" w:rsidRPr="004E5F9B">
        <w:rPr>
          <w:rFonts w:ascii="Arial" w:eastAsia="Times New Roman" w:hAnsi="Arial" w:cs="Arial"/>
          <w:color w:val="000000"/>
          <w:kern w:val="0"/>
          <w:sz w:val="20"/>
          <w:szCs w:val="20"/>
          <w:lang w:eastAsia="en-GB"/>
          <w14:ligatures w14:val="none"/>
        </w:rPr>
        <w:t>,</w:t>
      </w:r>
      <w:r w:rsidR="00500E10"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surveillance, raids, harassment, and intimidation of trans women and LGBT people continue. Trans women in sex work, service, and other visible employment sectors are more vulnerable to harassment and arbitrary arrests by state actors.</w:t>
      </w:r>
      <w:r w:rsidR="00466236" w:rsidRPr="004E5F9B">
        <w:rPr>
          <w:rStyle w:val="FootnoteReference"/>
          <w:rFonts w:ascii="Arial" w:eastAsia="Times New Roman" w:hAnsi="Arial" w:cs="Arial"/>
          <w:color w:val="000000"/>
          <w:kern w:val="0"/>
          <w:sz w:val="20"/>
          <w:szCs w:val="20"/>
          <w:lang w:eastAsia="en-GB"/>
          <w14:ligatures w14:val="none"/>
        </w:rPr>
        <w:footnoteReference w:id="18"/>
      </w:r>
      <w:r w:rsidRPr="004E5F9B">
        <w:rPr>
          <w:rFonts w:ascii="Arial" w:eastAsia="Times New Roman" w:hAnsi="Arial" w:cs="Arial"/>
          <w:color w:val="000000"/>
          <w:kern w:val="0"/>
          <w:sz w:val="20"/>
          <w:szCs w:val="20"/>
          <w:lang w:eastAsia="en-GB"/>
          <w14:ligatures w14:val="none"/>
        </w:rPr>
        <w:t xml:space="preserve"> </w:t>
      </w:r>
      <w:r w:rsidR="00CF4345" w:rsidRPr="004E5F9B">
        <w:rPr>
          <w:rFonts w:ascii="Arial" w:eastAsia="Times New Roman" w:hAnsi="Arial" w:cs="Arial"/>
          <w:color w:val="000000"/>
          <w:kern w:val="0"/>
          <w:sz w:val="20"/>
          <w:szCs w:val="20"/>
          <w:lang w:eastAsia="en-GB"/>
          <w14:ligatures w14:val="none"/>
        </w:rPr>
        <w:t xml:space="preserve">Application of laws in trans women-related </w:t>
      </w:r>
      <w:r w:rsidR="001652BD" w:rsidRPr="004E5F9B">
        <w:rPr>
          <w:rFonts w:ascii="Arial" w:eastAsia="Times New Roman" w:hAnsi="Arial" w:cs="Arial"/>
          <w:color w:val="000000"/>
          <w:kern w:val="0"/>
          <w:sz w:val="20"/>
          <w:szCs w:val="20"/>
          <w:lang w:eastAsia="en-GB"/>
          <w14:ligatures w14:val="none"/>
        </w:rPr>
        <w:t>cases</w:t>
      </w:r>
      <w:r w:rsidR="00CF4345" w:rsidRPr="004E5F9B">
        <w:rPr>
          <w:rFonts w:ascii="Arial" w:eastAsia="Times New Roman" w:hAnsi="Arial" w:cs="Arial"/>
          <w:color w:val="000000"/>
          <w:kern w:val="0"/>
          <w:sz w:val="20"/>
          <w:szCs w:val="20"/>
          <w:lang w:eastAsia="en-GB"/>
          <w14:ligatures w14:val="none"/>
        </w:rPr>
        <w:t xml:space="preserve"> </w:t>
      </w:r>
      <w:r w:rsidR="001652BD" w:rsidRPr="004E5F9B">
        <w:rPr>
          <w:rFonts w:ascii="Arial" w:eastAsia="Times New Roman" w:hAnsi="Arial" w:cs="Arial"/>
          <w:color w:val="000000"/>
          <w:kern w:val="0"/>
          <w:sz w:val="20"/>
          <w:szCs w:val="20"/>
          <w:lang w:eastAsia="en-GB"/>
          <w14:ligatures w14:val="none"/>
        </w:rPr>
        <w:t>has</w:t>
      </w:r>
      <w:r w:rsidR="00CF4345" w:rsidRPr="004E5F9B">
        <w:rPr>
          <w:rFonts w:ascii="Arial" w:eastAsia="Times New Roman" w:hAnsi="Arial" w:cs="Arial"/>
          <w:color w:val="000000"/>
          <w:kern w:val="0"/>
          <w:sz w:val="20"/>
          <w:szCs w:val="20"/>
          <w:lang w:eastAsia="en-GB"/>
          <w14:ligatures w14:val="none"/>
        </w:rPr>
        <w:t xml:space="preserve"> changed to g</w:t>
      </w:r>
      <w:r w:rsidRPr="004E5F9B">
        <w:rPr>
          <w:rFonts w:ascii="Arial" w:eastAsia="Times New Roman" w:hAnsi="Arial" w:cs="Arial"/>
          <w:color w:val="000000"/>
          <w:kern w:val="0"/>
          <w:sz w:val="20"/>
          <w:szCs w:val="20"/>
          <w:lang w:eastAsia="en-GB"/>
          <w14:ligatures w14:val="none"/>
        </w:rPr>
        <w:t>endered, broad and vague laws—e.g. insulting Islam,</w:t>
      </w:r>
      <w:r w:rsidR="00B9072B" w:rsidRPr="004E5F9B">
        <w:rPr>
          <w:rStyle w:val="FootnoteReference"/>
          <w:rFonts w:ascii="Arial" w:eastAsia="Times New Roman" w:hAnsi="Arial" w:cs="Arial"/>
          <w:color w:val="000000"/>
          <w:kern w:val="0"/>
          <w:sz w:val="20"/>
          <w:szCs w:val="20"/>
          <w:lang w:eastAsia="en-GB"/>
          <w14:ligatures w14:val="none"/>
        </w:rPr>
        <w:footnoteReference w:id="19"/>
      </w:r>
      <w:r w:rsidRPr="004E5F9B">
        <w:rPr>
          <w:rFonts w:ascii="Arial" w:eastAsia="Times New Roman" w:hAnsi="Arial" w:cs="Arial"/>
          <w:color w:val="000000"/>
          <w:kern w:val="0"/>
          <w:sz w:val="20"/>
          <w:szCs w:val="20"/>
          <w:lang w:eastAsia="en-GB"/>
          <w14:ligatures w14:val="none"/>
        </w:rPr>
        <w:t xml:space="preserve"> encouraging vice,</w:t>
      </w:r>
      <w:r w:rsidR="00F41452" w:rsidRPr="004E5F9B">
        <w:rPr>
          <w:rStyle w:val="FootnoteReference"/>
          <w:rFonts w:ascii="Arial" w:eastAsia="Times New Roman" w:hAnsi="Arial" w:cs="Arial"/>
          <w:color w:val="000000"/>
          <w:kern w:val="0"/>
          <w:sz w:val="20"/>
          <w:szCs w:val="20"/>
          <w:lang w:eastAsia="en-GB"/>
          <w14:ligatures w14:val="none"/>
        </w:rPr>
        <w:footnoteReference w:id="20"/>
      </w:r>
      <w:r w:rsidRPr="004E5F9B">
        <w:rPr>
          <w:rFonts w:ascii="Arial" w:eastAsia="Times New Roman" w:hAnsi="Arial" w:cs="Arial"/>
          <w:color w:val="000000"/>
          <w:kern w:val="0"/>
          <w:sz w:val="20"/>
          <w:szCs w:val="20"/>
          <w:lang w:eastAsia="en-GB"/>
          <w14:ligatures w14:val="none"/>
        </w:rPr>
        <w:t xml:space="preserve"> and failure to perform Friday prayers,</w:t>
      </w:r>
      <w:r w:rsidR="00F41452" w:rsidRPr="004E5F9B">
        <w:rPr>
          <w:rStyle w:val="FootnoteReference"/>
          <w:rFonts w:ascii="Arial" w:eastAsia="Times New Roman" w:hAnsi="Arial" w:cs="Arial"/>
          <w:color w:val="000000"/>
          <w:kern w:val="0"/>
          <w:sz w:val="20"/>
          <w:szCs w:val="20"/>
          <w:lang w:eastAsia="en-GB"/>
          <w14:ligatures w14:val="none"/>
        </w:rPr>
        <w:footnoteReference w:id="21"/>
      </w:r>
      <w:r w:rsidRPr="004E5F9B">
        <w:rPr>
          <w:rFonts w:ascii="Arial" w:eastAsia="Times New Roman" w:hAnsi="Arial" w:cs="Arial"/>
          <w:color w:val="000000"/>
          <w:kern w:val="0"/>
          <w:sz w:val="20"/>
          <w:szCs w:val="20"/>
          <w:lang w:eastAsia="en-GB"/>
          <w14:ligatures w14:val="none"/>
        </w:rPr>
        <w:t xml:space="preserve"> under the state </w:t>
      </w:r>
      <w:r w:rsidRPr="004E5F9B">
        <w:rPr>
          <w:rFonts w:ascii="Arial" w:eastAsia="Times New Roman" w:hAnsi="Arial" w:cs="Arial"/>
          <w:i/>
          <w:iCs/>
          <w:color w:val="000000"/>
          <w:kern w:val="0"/>
          <w:sz w:val="20"/>
          <w:szCs w:val="20"/>
          <w:lang w:eastAsia="en-GB"/>
          <w14:ligatures w14:val="none"/>
        </w:rPr>
        <w:t>syariah</w:t>
      </w:r>
      <w:r w:rsidRPr="004E5F9B">
        <w:rPr>
          <w:rFonts w:ascii="Arial" w:eastAsia="Times New Roman" w:hAnsi="Arial" w:cs="Arial"/>
          <w:color w:val="000000"/>
          <w:kern w:val="0"/>
          <w:sz w:val="20"/>
          <w:szCs w:val="20"/>
          <w:lang w:eastAsia="en-GB"/>
          <w14:ligatures w14:val="none"/>
        </w:rPr>
        <w:t xml:space="preserve"> criminal laws</w:t>
      </w:r>
      <w:r w:rsidR="00883B9C" w:rsidRPr="004E5F9B">
        <w:rPr>
          <w:rFonts w:ascii="Arial" w:eastAsia="Times New Roman" w:hAnsi="Arial" w:cs="Arial"/>
          <w:color w:val="000000"/>
          <w:kern w:val="0"/>
          <w:sz w:val="20"/>
          <w:szCs w:val="20"/>
          <w:lang w:eastAsia="en-GB"/>
          <w14:ligatures w14:val="none"/>
        </w:rPr>
        <w:t>,</w:t>
      </w:r>
      <w:r w:rsidRPr="004E5F9B">
        <w:rPr>
          <w:rFonts w:ascii="Arial" w:eastAsia="Times New Roman" w:hAnsi="Arial" w:cs="Arial"/>
          <w:color w:val="000000"/>
          <w:kern w:val="0"/>
          <w:sz w:val="20"/>
          <w:szCs w:val="20"/>
          <w:lang w:eastAsia="en-GB"/>
          <w14:ligatures w14:val="none"/>
        </w:rPr>
        <w:t xml:space="preserve"> reinforc</w:t>
      </w:r>
      <w:r w:rsidR="00883B9C" w:rsidRPr="004E5F9B">
        <w:rPr>
          <w:rFonts w:ascii="Arial" w:eastAsia="Times New Roman" w:hAnsi="Arial" w:cs="Arial"/>
          <w:color w:val="000000"/>
          <w:kern w:val="0"/>
          <w:sz w:val="20"/>
          <w:szCs w:val="20"/>
          <w:lang w:eastAsia="en-GB"/>
          <w14:ligatures w14:val="none"/>
        </w:rPr>
        <w:t>ing</w:t>
      </w:r>
      <w:r w:rsidRPr="004E5F9B">
        <w:rPr>
          <w:rFonts w:ascii="Arial" w:eastAsia="Times New Roman" w:hAnsi="Arial" w:cs="Arial"/>
          <w:color w:val="000000"/>
          <w:kern w:val="0"/>
          <w:sz w:val="20"/>
          <w:szCs w:val="20"/>
          <w:lang w:eastAsia="en-GB"/>
          <w14:ligatures w14:val="none"/>
        </w:rPr>
        <w:t xml:space="preserve"> gender binary constructs. </w:t>
      </w:r>
    </w:p>
    <w:p w14:paraId="26F0860C"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DA415FE" w14:textId="4421AD7E" w:rsidR="00466236" w:rsidRPr="004E5F9B" w:rsidRDefault="009313B2" w:rsidP="00466236">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w:t>
      </w:r>
      <w:r w:rsidR="00AB593B" w:rsidRPr="004E5F9B">
        <w:rPr>
          <w:rFonts w:ascii="Arial" w:eastAsia="Times New Roman" w:hAnsi="Arial" w:cs="Arial"/>
          <w:color w:val="000000"/>
          <w:kern w:val="0"/>
          <w:sz w:val="20"/>
          <w:szCs w:val="20"/>
          <w:lang w:eastAsia="en-GB"/>
          <w14:ligatures w14:val="none"/>
        </w:rPr>
        <w:t>5</w:t>
      </w:r>
      <w:r w:rsidRPr="004E5F9B">
        <w:rPr>
          <w:rFonts w:ascii="Arial" w:eastAsia="Times New Roman" w:hAnsi="Arial" w:cs="Arial"/>
          <w:color w:val="000000"/>
          <w:kern w:val="0"/>
          <w:sz w:val="20"/>
          <w:szCs w:val="20"/>
          <w:lang w:eastAsia="en-GB"/>
          <w14:ligatures w14:val="none"/>
        </w:rPr>
        <w:t xml:space="preserve"> Despite favourable legal developments, court decisions have yet to be integrated into LGBT and/or </w:t>
      </w:r>
      <w:r w:rsidRPr="004E5F9B">
        <w:rPr>
          <w:rFonts w:ascii="Arial" w:eastAsia="Times New Roman" w:hAnsi="Arial" w:cs="Arial"/>
          <w:i/>
          <w:iCs/>
          <w:color w:val="000000"/>
          <w:kern w:val="0"/>
          <w:sz w:val="20"/>
          <w:szCs w:val="20"/>
          <w:lang w:eastAsia="en-GB"/>
          <w14:ligatures w14:val="none"/>
        </w:rPr>
        <w:t xml:space="preserve">syariah </w:t>
      </w:r>
      <w:r w:rsidRPr="004E5F9B">
        <w:rPr>
          <w:rFonts w:ascii="Arial" w:eastAsia="Times New Roman" w:hAnsi="Arial" w:cs="Arial"/>
          <w:color w:val="000000"/>
          <w:kern w:val="0"/>
          <w:sz w:val="20"/>
          <w:szCs w:val="20"/>
          <w:lang w:eastAsia="en-GB"/>
          <w14:ligatures w14:val="none"/>
        </w:rPr>
        <w:t xml:space="preserve">legal reforms. </w:t>
      </w:r>
      <w:r w:rsidR="00C4354C" w:rsidRPr="004E5F9B">
        <w:rPr>
          <w:rFonts w:ascii="Arial" w:eastAsia="Times New Roman" w:hAnsi="Arial" w:cs="Arial"/>
          <w:color w:val="000000"/>
          <w:kern w:val="0"/>
          <w:sz w:val="20"/>
          <w:szCs w:val="20"/>
          <w:lang w:eastAsia="en-GB"/>
          <w14:ligatures w14:val="none"/>
        </w:rPr>
        <w:t>Instead</w:t>
      </w:r>
      <w:r w:rsidRPr="004E5F9B">
        <w:rPr>
          <w:rFonts w:ascii="Arial" w:eastAsia="Times New Roman" w:hAnsi="Arial" w:cs="Arial"/>
          <w:color w:val="000000"/>
          <w:kern w:val="0"/>
          <w:sz w:val="20"/>
          <w:szCs w:val="20"/>
          <w:lang w:eastAsia="en-GB"/>
          <w14:ligatures w14:val="none"/>
        </w:rPr>
        <w:t>, state governments introduce</w:t>
      </w:r>
      <w:r w:rsidR="00E0649F" w:rsidRPr="004E5F9B">
        <w:rPr>
          <w:rFonts w:ascii="Arial" w:eastAsia="Times New Roman" w:hAnsi="Arial" w:cs="Arial"/>
          <w:color w:val="000000"/>
          <w:kern w:val="0"/>
          <w:sz w:val="20"/>
          <w:szCs w:val="20"/>
          <w:lang w:eastAsia="en-GB"/>
          <w14:ligatures w14:val="none"/>
        </w:rPr>
        <w:t>d</w:t>
      </w:r>
      <w:r w:rsidRPr="004E5F9B">
        <w:rPr>
          <w:rFonts w:ascii="Arial" w:eastAsia="Times New Roman" w:hAnsi="Arial" w:cs="Arial"/>
          <w:color w:val="000000"/>
          <w:kern w:val="0"/>
          <w:sz w:val="20"/>
          <w:szCs w:val="20"/>
          <w:lang w:eastAsia="en-GB"/>
          <w14:ligatures w14:val="none"/>
        </w:rPr>
        <w:t xml:space="preserve"> new anti-LGBT state </w:t>
      </w:r>
      <w:r w:rsidRPr="004E5F9B">
        <w:rPr>
          <w:rFonts w:ascii="Arial" w:eastAsia="Times New Roman" w:hAnsi="Arial" w:cs="Arial"/>
          <w:i/>
          <w:iCs/>
          <w:color w:val="000000"/>
          <w:kern w:val="0"/>
          <w:sz w:val="20"/>
          <w:szCs w:val="20"/>
          <w:lang w:eastAsia="en-GB"/>
          <w14:ligatures w14:val="none"/>
        </w:rPr>
        <w:t>syariah</w:t>
      </w:r>
      <w:r w:rsidRPr="004E5F9B">
        <w:rPr>
          <w:rFonts w:ascii="Arial" w:eastAsia="Times New Roman" w:hAnsi="Arial" w:cs="Arial"/>
          <w:color w:val="000000"/>
          <w:kern w:val="0"/>
          <w:sz w:val="20"/>
          <w:szCs w:val="20"/>
          <w:lang w:eastAsia="en-GB"/>
          <w14:ligatures w14:val="none"/>
        </w:rPr>
        <w:t xml:space="preserve"> laws or harsher amendments to existing anti-LGBT laws. </w:t>
      </w:r>
    </w:p>
    <w:p w14:paraId="266D9CC9" w14:textId="77777777" w:rsidR="00BC5C02" w:rsidRPr="004E5F9B" w:rsidRDefault="00BC5C02" w:rsidP="009313B2">
      <w:pPr>
        <w:rPr>
          <w:rFonts w:ascii="Arial" w:eastAsia="Times New Roman" w:hAnsi="Arial" w:cs="Arial"/>
          <w:i/>
          <w:iCs/>
          <w:color w:val="000000"/>
          <w:kern w:val="0"/>
          <w:sz w:val="20"/>
          <w:szCs w:val="20"/>
          <w:lang w:eastAsia="en-GB"/>
          <w14:ligatures w14:val="none"/>
        </w:rPr>
      </w:pPr>
    </w:p>
    <w:p w14:paraId="56F62F86" w14:textId="008C6E3C"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Criminalisation of LBT women </w:t>
      </w:r>
    </w:p>
    <w:p w14:paraId="3D8A0F6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47CE50F" w14:textId="4AB19DD3"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w:t>
      </w:r>
      <w:r w:rsidR="00AB593B" w:rsidRPr="004E5F9B">
        <w:rPr>
          <w:rFonts w:ascii="Arial" w:eastAsia="Times New Roman" w:hAnsi="Arial" w:cs="Arial"/>
          <w:color w:val="000000"/>
          <w:kern w:val="0"/>
          <w:sz w:val="20"/>
          <w:szCs w:val="20"/>
          <w:lang w:eastAsia="en-GB"/>
          <w14:ligatures w14:val="none"/>
        </w:rPr>
        <w:t xml:space="preserve">6 </w:t>
      </w:r>
      <w:r w:rsidRPr="004E5F9B">
        <w:rPr>
          <w:rFonts w:ascii="Arial" w:eastAsia="Times New Roman" w:hAnsi="Arial" w:cs="Arial"/>
          <w:color w:val="000000"/>
          <w:kern w:val="0"/>
          <w:sz w:val="20"/>
          <w:szCs w:val="20"/>
          <w:lang w:eastAsia="en-GB"/>
          <w14:ligatures w14:val="none"/>
        </w:rPr>
        <w:t>The</w:t>
      </w:r>
      <w:r w:rsidR="005D4A55" w:rsidRPr="004E5F9B">
        <w:rPr>
          <w:rFonts w:ascii="Arial" w:eastAsia="Times New Roman" w:hAnsi="Arial" w:cs="Arial"/>
          <w:color w:val="000000"/>
          <w:kern w:val="0"/>
          <w:sz w:val="20"/>
          <w:szCs w:val="20"/>
          <w:lang w:eastAsia="en-GB"/>
          <w14:ligatures w14:val="none"/>
        </w:rPr>
        <w:t xml:space="preserve"> increasing</w:t>
      </w:r>
      <w:r w:rsidRPr="004E5F9B">
        <w:rPr>
          <w:rFonts w:ascii="Arial" w:eastAsia="Times New Roman" w:hAnsi="Arial" w:cs="Arial"/>
          <w:color w:val="000000"/>
          <w:kern w:val="0"/>
          <w:sz w:val="20"/>
          <w:szCs w:val="20"/>
          <w:lang w:eastAsia="en-GB"/>
          <w14:ligatures w14:val="none"/>
        </w:rPr>
        <w:t xml:space="preserve"> trend of criminalization and </w:t>
      </w:r>
      <w:r w:rsidR="009B4253" w:rsidRPr="004E5F9B">
        <w:rPr>
          <w:rFonts w:ascii="Arial" w:eastAsia="Times New Roman" w:hAnsi="Arial" w:cs="Arial"/>
          <w:color w:val="000000"/>
          <w:kern w:val="0"/>
          <w:sz w:val="20"/>
          <w:szCs w:val="20"/>
          <w:lang w:eastAsia="en-GB"/>
          <w14:ligatures w14:val="none"/>
        </w:rPr>
        <w:t xml:space="preserve">regulations against </w:t>
      </w:r>
      <w:r w:rsidR="005D4A55" w:rsidRPr="004E5F9B">
        <w:rPr>
          <w:rFonts w:ascii="Arial" w:eastAsia="Times New Roman" w:hAnsi="Arial" w:cs="Arial"/>
          <w:color w:val="000000"/>
          <w:kern w:val="0"/>
          <w:sz w:val="20"/>
          <w:szCs w:val="20"/>
          <w:lang w:eastAsia="en-GB"/>
          <w14:ligatures w14:val="none"/>
        </w:rPr>
        <w:t xml:space="preserve">LGBT people </w:t>
      </w:r>
      <w:r w:rsidRPr="004E5F9B">
        <w:rPr>
          <w:rFonts w:ascii="Arial" w:eastAsia="Times New Roman" w:hAnsi="Arial" w:cs="Arial"/>
          <w:color w:val="000000"/>
          <w:kern w:val="0"/>
          <w:sz w:val="20"/>
          <w:szCs w:val="20"/>
          <w:lang w:eastAsia="en-GB"/>
          <w14:ligatures w14:val="none"/>
        </w:rPr>
        <w:t>can be categorized as:</w:t>
      </w:r>
      <w:r w:rsidRPr="004E5F9B">
        <w:rPr>
          <w:rFonts w:ascii="Arial" w:eastAsia="Times New Roman" w:hAnsi="Arial" w:cs="Arial"/>
          <w:color w:val="000000"/>
          <w:kern w:val="0"/>
          <w:sz w:val="20"/>
          <w:szCs w:val="20"/>
          <w:lang w:eastAsia="en-GB"/>
          <w14:ligatures w14:val="none"/>
        </w:rPr>
        <w:br/>
      </w:r>
    </w:p>
    <w:p w14:paraId="766C7512" w14:textId="734AA21D" w:rsidR="009313B2" w:rsidRPr="004E5F9B" w:rsidRDefault="009313B2" w:rsidP="009313B2">
      <w:pPr>
        <w:numPr>
          <w:ilvl w:val="0"/>
          <w:numId w:val="3"/>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Introduction of new anti-LGBT state Syariah laws.</w:t>
      </w:r>
      <w:r w:rsidRPr="004E5F9B">
        <w:rPr>
          <w:rFonts w:ascii="Arial" w:eastAsia="Times New Roman" w:hAnsi="Arial" w:cs="Arial"/>
          <w:color w:val="000000"/>
          <w:kern w:val="0"/>
          <w:sz w:val="20"/>
          <w:szCs w:val="20"/>
          <w:lang w:eastAsia="en-GB"/>
          <w14:ligatures w14:val="none"/>
        </w:rPr>
        <w:t xml:space="preserve"> Between 2019 and 2022, 8 new anti-LGBT state Syariah laws were introduced in three states,</w:t>
      </w:r>
      <w:r w:rsidR="00B036CD" w:rsidRPr="004E5F9B">
        <w:rPr>
          <w:rStyle w:val="FootnoteReference"/>
          <w:rFonts w:ascii="Arial" w:eastAsia="Times New Roman" w:hAnsi="Arial" w:cs="Arial"/>
          <w:color w:val="000000"/>
          <w:kern w:val="0"/>
          <w:sz w:val="20"/>
          <w:szCs w:val="20"/>
          <w:lang w:eastAsia="en-GB"/>
          <w14:ligatures w14:val="none"/>
        </w:rPr>
        <w:footnoteReference w:id="22"/>
      </w:r>
      <w:r w:rsidRPr="004E5F9B">
        <w:rPr>
          <w:rFonts w:ascii="Arial" w:eastAsia="Times New Roman" w:hAnsi="Arial" w:cs="Arial"/>
          <w:color w:val="000000"/>
          <w:kern w:val="0"/>
          <w:sz w:val="20"/>
          <w:szCs w:val="20"/>
          <w:lang w:eastAsia="en-GB"/>
          <w14:ligatures w14:val="none"/>
        </w:rPr>
        <w:t xml:space="preserve"> increasing the number of state Syariah anti-LGBT laws to 52</w:t>
      </w:r>
      <w:r w:rsidR="00863425" w:rsidRPr="004E5F9B">
        <w:rPr>
          <w:rFonts w:ascii="Arial" w:eastAsia="Times New Roman" w:hAnsi="Arial" w:cs="Arial"/>
          <w:color w:val="000000"/>
          <w:kern w:val="0"/>
          <w:sz w:val="20"/>
          <w:szCs w:val="20"/>
          <w:lang w:eastAsia="en-GB"/>
          <w14:ligatures w14:val="none"/>
        </w:rPr>
        <w:t xml:space="preserve"> (See Annex B)</w:t>
      </w:r>
      <w:r w:rsidRPr="004E5F9B">
        <w:rPr>
          <w:rFonts w:ascii="Arial" w:eastAsia="Times New Roman" w:hAnsi="Arial" w:cs="Arial"/>
          <w:color w:val="000000"/>
          <w:kern w:val="0"/>
          <w:sz w:val="20"/>
          <w:szCs w:val="20"/>
          <w:lang w:eastAsia="en-GB"/>
          <w14:ligatures w14:val="none"/>
        </w:rPr>
        <w:t xml:space="preserve">. The new laws include a female person posing as a man (3), attempt to </w:t>
      </w:r>
      <w:proofErr w:type="spellStart"/>
      <w:r w:rsidRPr="004E5F9B">
        <w:rPr>
          <w:rFonts w:ascii="Arial" w:eastAsia="Times New Roman" w:hAnsi="Arial" w:cs="Arial"/>
          <w:i/>
          <w:iCs/>
          <w:color w:val="000000"/>
          <w:kern w:val="0"/>
          <w:sz w:val="20"/>
          <w:szCs w:val="20"/>
          <w:lang w:eastAsia="en-GB"/>
          <w14:ligatures w14:val="none"/>
        </w:rPr>
        <w:t>musahaqah</w:t>
      </w:r>
      <w:proofErr w:type="spellEnd"/>
      <w:r w:rsidRPr="004E5F9B">
        <w:rPr>
          <w:rFonts w:ascii="Arial" w:eastAsia="Times New Roman" w:hAnsi="Arial" w:cs="Arial"/>
          <w:color w:val="000000"/>
          <w:kern w:val="0"/>
          <w:sz w:val="20"/>
          <w:szCs w:val="20"/>
          <w:lang w:eastAsia="en-GB"/>
          <w14:ligatures w14:val="none"/>
        </w:rPr>
        <w:t xml:space="preserve"> or sexual relations between women (2), attempt to</w:t>
      </w:r>
      <w:r w:rsidRPr="004E5F9B">
        <w:rPr>
          <w:rFonts w:ascii="Arial" w:eastAsia="Times New Roman" w:hAnsi="Arial" w:cs="Arial"/>
          <w:i/>
          <w:iCs/>
          <w:color w:val="000000"/>
          <w:kern w:val="0"/>
          <w:sz w:val="20"/>
          <w:szCs w:val="20"/>
          <w:lang w:eastAsia="en-GB"/>
          <w14:ligatures w14:val="none"/>
        </w:rPr>
        <w:t xml:space="preserve"> </w:t>
      </w:r>
      <w:proofErr w:type="spellStart"/>
      <w:r w:rsidRPr="004E5F9B">
        <w:rPr>
          <w:rFonts w:ascii="Arial" w:eastAsia="Times New Roman" w:hAnsi="Arial" w:cs="Arial"/>
          <w:i/>
          <w:iCs/>
          <w:color w:val="000000"/>
          <w:kern w:val="0"/>
          <w:sz w:val="20"/>
          <w:szCs w:val="20"/>
          <w:lang w:eastAsia="en-GB"/>
          <w14:ligatures w14:val="none"/>
        </w:rPr>
        <w:t>liwat</w:t>
      </w:r>
      <w:proofErr w:type="spellEnd"/>
      <w:r w:rsidRPr="004E5F9B">
        <w:rPr>
          <w:rFonts w:ascii="Arial" w:eastAsia="Times New Roman" w:hAnsi="Arial" w:cs="Arial"/>
          <w:color w:val="000000"/>
          <w:kern w:val="0"/>
          <w:sz w:val="20"/>
          <w:szCs w:val="20"/>
          <w:lang w:eastAsia="en-GB"/>
          <w14:ligatures w14:val="none"/>
        </w:rPr>
        <w:t xml:space="preserve"> or anal sex or sexual relations between men (2), and changing gender (1).</w:t>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t>Three key elements can be observed at the state level:   </w:t>
      </w:r>
    </w:p>
    <w:p w14:paraId="39D420B6" w14:textId="4F4FFFC9" w:rsidR="009313B2" w:rsidRPr="004E5F9B" w:rsidRDefault="009313B2" w:rsidP="009313B2">
      <w:pPr>
        <w:numPr>
          <w:ilvl w:val="1"/>
          <w:numId w:val="4"/>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Increased punishment of existing anti-LGBT laws, where possible.</w:t>
      </w:r>
      <w:r w:rsidRPr="004E5F9B">
        <w:rPr>
          <w:rFonts w:ascii="Arial" w:eastAsia="Times New Roman" w:hAnsi="Arial" w:cs="Arial"/>
          <w:color w:val="000000"/>
          <w:kern w:val="0"/>
          <w:sz w:val="20"/>
          <w:szCs w:val="20"/>
          <w:lang w:eastAsia="en-GB"/>
          <w14:ligatures w14:val="none"/>
        </w:rPr>
        <w:t xml:space="preserve"> Penalty to laws targeting trans people, like the ‘male or female persons posing as a woman or man’ provisions were increased, as </w:t>
      </w:r>
      <w:proofErr w:type="spellStart"/>
      <w:r w:rsidRPr="004E5F9B">
        <w:rPr>
          <w:rFonts w:ascii="Arial" w:eastAsia="Times New Roman" w:hAnsi="Arial" w:cs="Arial"/>
          <w:i/>
          <w:iCs/>
          <w:color w:val="000000"/>
          <w:kern w:val="0"/>
          <w:sz w:val="20"/>
          <w:szCs w:val="20"/>
          <w:lang w:eastAsia="en-GB"/>
          <w14:ligatures w14:val="none"/>
        </w:rPr>
        <w:t>liwat</w:t>
      </w:r>
      <w:proofErr w:type="spellEnd"/>
      <w:r w:rsidRPr="004E5F9B">
        <w:rPr>
          <w:rFonts w:ascii="Arial" w:eastAsia="Times New Roman" w:hAnsi="Arial" w:cs="Arial"/>
          <w:i/>
          <w:iCs/>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 xml:space="preserve">(sexual relations between men or anal sex) and </w:t>
      </w:r>
      <w:proofErr w:type="spellStart"/>
      <w:r w:rsidRPr="004E5F9B">
        <w:rPr>
          <w:rFonts w:ascii="Arial" w:eastAsia="Times New Roman" w:hAnsi="Arial" w:cs="Arial"/>
          <w:i/>
          <w:iCs/>
          <w:color w:val="000000"/>
          <w:kern w:val="0"/>
          <w:sz w:val="20"/>
          <w:szCs w:val="20"/>
          <w:lang w:eastAsia="en-GB"/>
          <w14:ligatures w14:val="none"/>
        </w:rPr>
        <w:t>musahaqah</w:t>
      </w:r>
      <w:proofErr w:type="spellEnd"/>
      <w:r w:rsidRPr="004E5F9B">
        <w:rPr>
          <w:rFonts w:ascii="Arial" w:eastAsia="Times New Roman" w:hAnsi="Arial" w:cs="Arial"/>
          <w:color w:val="000000"/>
          <w:kern w:val="0"/>
          <w:sz w:val="20"/>
          <w:szCs w:val="20"/>
          <w:lang w:eastAsia="en-GB"/>
          <w14:ligatures w14:val="none"/>
        </w:rPr>
        <w:t xml:space="preserve"> (sexual relations between women) laws already carry maximum punishments.</w:t>
      </w:r>
      <w:r w:rsidRPr="004E5F9B">
        <w:rPr>
          <w:rFonts w:ascii="Arial" w:eastAsia="Times New Roman" w:hAnsi="Arial" w:cs="Arial"/>
          <w:color w:val="000000"/>
          <w:kern w:val="0"/>
          <w:sz w:val="20"/>
          <w:szCs w:val="20"/>
          <w:lang w:eastAsia="en-GB"/>
          <w14:ligatures w14:val="none"/>
        </w:rPr>
        <w:br/>
      </w:r>
    </w:p>
    <w:p w14:paraId="19F7B29F" w14:textId="2E300E90" w:rsidR="009313B2" w:rsidRPr="004E5F9B" w:rsidRDefault="009313B2" w:rsidP="009313B2">
      <w:pPr>
        <w:numPr>
          <w:ilvl w:val="1"/>
          <w:numId w:val="5"/>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Re-defining scope of criminalization</w:t>
      </w:r>
      <w:r w:rsidRPr="004E5F9B">
        <w:rPr>
          <w:rFonts w:ascii="Arial" w:eastAsia="Times New Roman" w:hAnsi="Arial" w:cs="Arial"/>
          <w:color w:val="000000"/>
          <w:kern w:val="0"/>
          <w:sz w:val="20"/>
          <w:szCs w:val="20"/>
          <w:lang w:eastAsia="en-GB"/>
          <w14:ligatures w14:val="none"/>
        </w:rPr>
        <w:t xml:space="preserve">. In the new Kelantan Syariah Criminal Offences Enactment, the scope of criminalization of trans people </w:t>
      </w:r>
      <w:r w:rsidR="00A730BD" w:rsidRPr="004E5F9B">
        <w:rPr>
          <w:rFonts w:ascii="Arial" w:eastAsia="Times New Roman" w:hAnsi="Arial" w:cs="Arial"/>
          <w:color w:val="000000"/>
          <w:kern w:val="0"/>
          <w:sz w:val="20"/>
          <w:szCs w:val="20"/>
          <w:lang w:eastAsia="en-GB"/>
          <w14:ligatures w14:val="none"/>
        </w:rPr>
        <w:t>was</w:t>
      </w:r>
      <w:r w:rsidR="009F41D4"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expanded from the prohibition of trans and gender-diverse people’s gender expression in public places to ‘</w:t>
      </w:r>
      <w:r w:rsidRPr="004E5F9B">
        <w:rPr>
          <w:rFonts w:ascii="Arial" w:eastAsia="Times New Roman" w:hAnsi="Arial" w:cs="Arial"/>
          <w:color w:val="141413"/>
          <w:kern w:val="0"/>
          <w:sz w:val="20"/>
          <w:szCs w:val="20"/>
          <w:lang w:eastAsia="en-GB"/>
          <w14:ligatures w14:val="none"/>
        </w:rPr>
        <w:t>any public place or in any private place publicly visible or accessible’.</w:t>
      </w:r>
      <w:r w:rsidRPr="004E5F9B">
        <w:rPr>
          <w:rFonts w:ascii="Arial" w:eastAsia="Times New Roman" w:hAnsi="Arial" w:cs="Arial"/>
          <w:color w:val="000000"/>
          <w:kern w:val="0"/>
          <w:sz w:val="20"/>
          <w:szCs w:val="20"/>
          <w:lang w:eastAsia="en-GB"/>
          <w14:ligatures w14:val="none"/>
        </w:rPr>
        <w:br/>
      </w:r>
    </w:p>
    <w:p w14:paraId="4E8C42B2" w14:textId="7B242FA5" w:rsidR="009313B2" w:rsidRPr="004E5F9B" w:rsidRDefault="009313B2" w:rsidP="009313B2">
      <w:pPr>
        <w:numPr>
          <w:ilvl w:val="0"/>
          <w:numId w:val="6"/>
        </w:numPr>
        <w:ind w:left="144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Introduction of new laws,</w:t>
      </w:r>
      <w:r w:rsidRPr="004E5F9B">
        <w:rPr>
          <w:rFonts w:ascii="Arial" w:eastAsia="Times New Roman" w:hAnsi="Arial" w:cs="Arial"/>
          <w:color w:val="000000"/>
          <w:kern w:val="0"/>
          <w:sz w:val="20"/>
          <w:szCs w:val="20"/>
          <w:lang w:eastAsia="en-GB"/>
          <w14:ligatures w14:val="none"/>
        </w:rPr>
        <w:t xml:space="preserve"> including the attempt of </w:t>
      </w:r>
      <w:proofErr w:type="spellStart"/>
      <w:r w:rsidRPr="004E5F9B">
        <w:rPr>
          <w:rFonts w:ascii="Arial" w:eastAsia="Times New Roman" w:hAnsi="Arial" w:cs="Arial"/>
          <w:i/>
          <w:iCs/>
          <w:color w:val="000000"/>
          <w:kern w:val="0"/>
          <w:sz w:val="20"/>
          <w:szCs w:val="20"/>
          <w:lang w:eastAsia="en-GB"/>
          <w14:ligatures w14:val="none"/>
        </w:rPr>
        <w:t>musahaqah</w:t>
      </w:r>
      <w:proofErr w:type="spellEnd"/>
      <w:r w:rsidRPr="004E5F9B">
        <w:rPr>
          <w:rFonts w:ascii="Arial" w:eastAsia="Times New Roman" w:hAnsi="Arial" w:cs="Arial"/>
          <w:color w:val="000000"/>
          <w:kern w:val="0"/>
          <w:sz w:val="20"/>
          <w:szCs w:val="20"/>
          <w:lang w:eastAsia="en-GB"/>
          <w14:ligatures w14:val="none"/>
        </w:rPr>
        <w:t xml:space="preserve"> and </w:t>
      </w:r>
      <w:proofErr w:type="spellStart"/>
      <w:r w:rsidRPr="004E5F9B">
        <w:rPr>
          <w:rFonts w:ascii="Arial" w:eastAsia="Times New Roman" w:hAnsi="Arial" w:cs="Arial"/>
          <w:i/>
          <w:iCs/>
          <w:color w:val="000000"/>
          <w:kern w:val="0"/>
          <w:sz w:val="20"/>
          <w:szCs w:val="20"/>
          <w:lang w:eastAsia="en-GB"/>
          <w14:ligatures w14:val="none"/>
        </w:rPr>
        <w:t>liwat</w:t>
      </w:r>
      <w:proofErr w:type="spellEnd"/>
      <w:r w:rsidRPr="004E5F9B">
        <w:rPr>
          <w:rFonts w:ascii="Arial" w:eastAsia="Times New Roman" w:hAnsi="Arial" w:cs="Arial"/>
          <w:color w:val="000000"/>
          <w:kern w:val="0"/>
          <w:sz w:val="20"/>
          <w:szCs w:val="20"/>
          <w:lang w:eastAsia="en-GB"/>
          <w14:ligatures w14:val="none"/>
        </w:rPr>
        <w:t>, female person posing as a man in Kelantan and Terengganu, as well as changing gender in Kelantan. </w:t>
      </w:r>
      <w:r w:rsidRPr="004E5F9B">
        <w:rPr>
          <w:rFonts w:ascii="Arial" w:eastAsia="Times New Roman" w:hAnsi="Arial" w:cs="Arial"/>
          <w:color w:val="000000"/>
          <w:kern w:val="0"/>
          <w:sz w:val="20"/>
          <w:szCs w:val="20"/>
          <w:lang w:eastAsia="en-GB"/>
          <w14:ligatures w14:val="none"/>
        </w:rPr>
        <w:br/>
      </w:r>
    </w:p>
    <w:p w14:paraId="75E784B2" w14:textId="77777777" w:rsidR="009313B2" w:rsidRPr="004E5F9B" w:rsidRDefault="009313B2" w:rsidP="009313B2">
      <w:pPr>
        <w:numPr>
          <w:ilvl w:val="0"/>
          <w:numId w:val="7"/>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Introduction and amendments to guidelines</w:t>
      </w:r>
      <w:r w:rsidRPr="004E5F9B">
        <w:rPr>
          <w:rFonts w:ascii="Arial" w:eastAsia="Times New Roman" w:hAnsi="Arial" w:cs="Arial"/>
          <w:color w:val="000000"/>
          <w:kern w:val="0"/>
          <w:sz w:val="20"/>
          <w:szCs w:val="20"/>
          <w:lang w:eastAsia="en-GB"/>
          <w14:ligatures w14:val="none"/>
        </w:rPr>
        <w:t>, reinforcing harmful gender norms. This includes: </w:t>
      </w:r>
    </w:p>
    <w:p w14:paraId="4DDA9F4B" w14:textId="51F4AEB0" w:rsidR="009313B2" w:rsidRPr="004E5F9B" w:rsidRDefault="009313B2" w:rsidP="009313B2">
      <w:pPr>
        <w:numPr>
          <w:ilvl w:val="1"/>
          <w:numId w:val="8"/>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A </w:t>
      </w:r>
      <w:r w:rsidR="00F5682C" w:rsidRPr="004E5F9B">
        <w:rPr>
          <w:rFonts w:ascii="Arial" w:eastAsia="Times New Roman" w:hAnsi="Arial" w:cs="Arial"/>
          <w:color w:val="000000"/>
          <w:kern w:val="0"/>
          <w:sz w:val="20"/>
          <w:szCs w:val="20"/>
          <w:lang w:eastAsia="en-GB"/>
          <w14:ligatures w14:val="none"/>
        </w:rPr>
        <w:t xml:space="preserve">2021 </w:t>
      </w:r>
      <w:r w:rsidRPr="004E5F9B">
        <w:rPr>
          <w:rFonts w:ascii="Arial" w:eastAsia="Times New Roman" w:hAnsi="Arial" w:cs="Arial"/>
          <w:color w:val="000000"/>
          <w:kern w:val="0"/>
          <w:sz w:val="20"/>
          <w:szCs w:val="20"/>
          <w:lang w:eastAsia="en-GB"/>
          <w14:ligatures w14:val="none"/>
        </w:rPr>
        <w:t>g</w:t>
      </w:r>
      <w:r w:rsidRPr="004E5F9B">
        <w:rPr>
          <w:rFonts w:ascii="Arial" w:eastAsia="Times New Roman" w:hAnsi="Arial" w:cs="Arial"/>
          <w:color w:val="000000"/>
          <w:kern w:val="0"/>
          <w:sz w:val="20"/>
          <w:szCs w:val="20"/>
          <w:shd w:val="clear" w:color="auto" w:fill="FFFFFF"/>
          <w:lang w:eastAsia="en-GB"/>
          <w14:ligatures w14:val="none"/>
        </w:rPr>
        <w:t xml:space="preserve">uide on interaction with </w:t>
      </w:r>
      <w:proofErr w:type="spellStart"/>
      <w:r w:rsidRPr="004E5F9B">
        <w:rPr>
          <w:rFonts w:ascii="Arial" w:eastAsia="Times New Roman" w:hAnsi="Arial" w:cs="Arial"/>
          <w:i/>
          <w:iCs/>
          <w:color w:val="000000"/>
          <w:kern w:val="0"/>
          <w:sz w:val="20"/>
          <w:szCs w:val="20"/>
          <w:shd w:val="clear" w:color="auto" w:fill="FFFFFF"/>
          <w:lang w:eastAsia="en-GB"/>
          <w14:ligatures w14:val="none"/>
        </w:rPr>
        <w:t>Mukhannath</w:t>
      </w:r>
      <w:proofErr w:type="spellEnd"/>
      <w:r w:rsidRPr="004E5F9B">
        <w:rPr>
          <w:rFonts w:ascii="Arial" w:eastAsia="Times New Roman" w:hAnsi="Arial" w:cs="Arial"/>
          <w:color w:val="000000"/>
          <w:kern w:val="0"/>
          <w:sz w:val="20"/>
          <w:szCs w:val="20"/>
          <w:lang w:eastAsia="en-GB"/>
          <w14:ligatures w14:val="none"/>
        </w:rPr>
        <w:t>, an Arabic classical umbrella term for trans and gender-diverse people</w:t>
      </w:r>
      <w:r w:rsidRPr="004E5F9B">
        <w:rPr>
          <w:rFonts w:ascii="Arial" w:eastAsia="Times New Roman" w:hAnsi="Arial" w:cs="Arial"/>
          <w:color w:val="000000"/>
          <w:kern w:val="0"/>
          <w:sz w:val="20"/>
          <w:szCs w:val="20"/>
          <w:shd w:val="clear" w:color="auto" w:fill="FFFFFF"/>
          <w:lang w:eastAsia="en-GB"/>
          <w14:ligatures w14:val="none"/>
        </w:rPr>
        <w:t xml:space="preserve">. It has no legal effect, but it prohibits, among others, entry into mosques in the state of ‘gender confusion’ and performing </w:t>
      </w:r>
      <w:r w:rsidRPr="004E5F9B">
        <w:rPr>
          <w:rFonts w:ascii="Arial" w:eastAsia="Times New Roman" w:hAnsi="Arial" w:cs="Arial"/>
          <w:i/>
          <w:iCs/>
          <w:color w:val="000000"/>
          <w:kern w:val="0"/>
          <w:sz w:val="20"/>
          <w:szCs w:val="20"/>
          <w:shd w:val="clear" w:color="auto" w:fill="FFFFFF"/>
          <w:lang w:eastAsia="en-GB"/>
          <w14:ligatures w14:val="none"/>
        </w:rPr>
        <w:t>hajj</w:t>
      </w:r>
      <w:r w:rsidRPr="004E5F9B">
        <w:rPr>
          <w:rFonts w:ascii="Arial" w:eastAsia="Times New Roman" w:hAnsi="Arial" w:cs="Arial"/>
          <w:color w:val="000000"/>
          <w:kern w:val="0"/>
          <w:sz w:val="20"/>
          <w:szCs w:val="20"/>
          <w:shd w:val="clear" w:color="auto" w:fill="FFFFFF"/>
          <w:lang w:eastAsia="en-GB"/>
          <w14:ligatures w14:val="none"/>
        </w:rPr>
        <w:t xml:space="preserve"> and </w:t>
      </w:r>
      <w:r w:rsidRPr="004E5F9B">
        <w:rPr>
          <w:rFonts w:ascii="Arial" w:eastAsia="Times New Roman" w:hAnsi="Arial" w:cs="Arial"/>
          <w:i/>
          <w:iCs/>
          <w:color w:val="000000"/>
          <w:kern w:val="0"/>
          <w:sz w:val="20"/>
          <w:szCs w:val="20"/>
          <w:shd w:val="clear" w:color="auto" w:fill="FFFFFF"/>
          <w:lang w:eastAsia="en-GB"/>
          <w14:ligatures w14:val="none"/>
        </w:rPr>
        <w:t xml:space="preserve">umrah </w:t>
      </w:r>
      <w:r w:rsidRPr="004E5F9B">
        <w:rPr>
          <w:rFonts w:ascii="Arial" w:eastAsia="Times New Roman" w:hAnsi="Arial" w:cs="Arial"/>
          <w:color w:val="000000"/>
          <w:kern w:val="0"/>
          <w:sz w:val="20"/>
          <w:szCs w:val="20"/>
          <w:shd w:val="clear" w:color="auto" w:fill="FFFFFF"/>
          <w:lang w:eastAsia="en-GB"/>
          <w14:ligatures w14:val="none"/>
        </w:rPr>
        <w:t>(pilgrimage).</w:t>
      </w:r>
      <w:r w:rsidR="00EA0045" w:rsidRPr="004E5F9B">
        <w:rPr>
          <w:rStyle w:val="FootnoteReference"/>
          <w:rFonts w:ascii="Arial" w:eastAsia="Times New Roman" w:hAnsi="Arial" w:cs="Arial"/>
          <w:color w:val="000000"/>
          <w:kern w:val="0"/>
          <w:sz w:val="20"/>
          <w:szCs w:val="20"/>
          <w:shd w:val="clear" w:color="auto" w:fill="FFFFFF"/>
          <w:lang w:eastAsia="en-GB"/>
          <w14:ligatures w14:val="none"/>
        </w:rPr>
        <w:footnoteReference w:id="23"/>
      </w:r>
      <w:r w:rsidRPr="004E5F9B">
        <w:rPr>
          <w:rFonts w:ascii="Arial" w:eastAsia="Times New Roman" w:hAnsi="Arial" w:cs="Arial"/>
          <w:color w:val="000000"/>
          <w:kern w:val="0"/>
          <w:sz w:val="20"/>
          <w:szCs w:val="20"/>
          <w:shd w:val="clear" w:color="auto" w:fill="FFFFFF"/>
          <w:lang w:eastAsia="en-GB"/>
          <w14:ligatures w14:val="none"/>
        </w:rPr>
        <w:br/>
      </w:r>
    </w:p>
    <w:p w14:paraId="2F1C117A" w14:textId="55F89EEB" w:rsidR="009313B2" w:rsidRPr="004E5F9B" w:rsidRDefault="009313B2" w:rsidP="009313B2">
      <w:pPr>
        <w:numPr>
          <w:ilvl w:val="1"/>
          <w:numId w:val="9"/>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New </w:t>
      </w:r>
      <w:r w:rsidRPr="004E5F9B">
        <w:rPr>
          <w:rFonts w:ascii="Arial" w:eastAsia="Times New Roman" w:hAnsi="Arial" w:cs="Arial"/>
          <w:color w:val="000000"/>
          <w:kern w:val="0"/>
          <w:sz w:val="20"/>
          <w:szCs w:val="20"/>
          <w:shd w:val="clear" w:color="auto" w:fill="FFFFFF"/>
          <w:lang w:eastAsia="en-GB"/>
          <w14:ligatures w14:val="none"/>
        </w:rPr>
        <w:t xml:space="preserve">prohibition on male foreign artists from “dressing up and wearing clothes that cause them to resemble women” </w:t>
      </w:r>
      <w:r w:rsidRPr="004E5F9B">
        <w:rPr>
          <w:rFonts w:ascii="Arial" w:eastAsia="Times New Roman" w:hAnsi="Arial" w:cs="Arial"/>
          <w:color w:val="000000"/>
          <w:kern w:val="0"/>
          <w:sz w:val="20"/>
          <w:szCs w:val="20"/>
          <w:lang w:eastAsia="en-GB"/>
          <w14:ligatures w14:val="none"/>
        </w:rPr>
        <w:t xml:space="preserve">by the </w:t>
      </w:r>
      <w:r w:rsidRPr="004E5F9B">
        <w:rPr>
          <w:rFonts w:ascii="Arial" w:eastAsia="Times New Roman" w:hAnsi="Arial" w:cs="Arial"/>
          <w:color w:val="000000"/>
          <w:kern w:val="0"/>
          <w:sz w:val="20"/>
          <w:szCs w:val="20"/>
          <w:shd w:val="clear" w:color="auto" w:fill="FFFFFF"/>
          <w:lang w:eastAsia="en-GB"/>
          <w14:ligatures w14:val="none"/>
        </w:rPr>
        <w:t>Central Agency for Application for Filming and Performance by Foreign Artistes (PUSPAL)’</w:t>
      </w:r>
      <w:r w:rsidR="00911DA0" w:rsidRPr="004E5F9B">
        <w:rPr>
          <w:rStyle w:val="FootnoteReference"/>
          <w:rFonts w:ascii="Arial" w:eastAsia="Times New Roman" w:hAnsi="Arial" w:cs="Arial"/>
          <w:color w:val="000000"/>
          <w:kern w:val="0"/>
          <w:sz w:val="20"/>
          <w:szCs w:val="20"/>
          <w:shd w:val="clear" w:color="auto" w:fill="FFFFFF"/>
          <w:lang w:eastAsia="en-GB"/>
          <w14:ligatures w14:val="none"/>
        </w:rPr>
        <w:footnoteReference w:id="24"/>
      </w:r>
      <w:r w:rsidR="00847D72" w:rsidRPr="004E5F9B">
        <w:rPr>
          <w:rFonts w:ascii="Arial" w:eastAsia="Times New Roman" w:hAnsi="Arial" w:cs="Arial"/>
          <w:color w:val="000000"/>
          <w:kern w:val="0"/>
          <w:sz w:val="20"/>
          <w:szCs w:val="20"/>
          <w:shd w:val="clear" w:color="auto" w:fill="FFFFFF"/>
          <w:lang w:eastAsia="en-GB"/>
          <w14:ligatures w14:val="none"/>
        </w:rPr>
        <w:t xml:space="preserve"> </w:t>
      </w:r>
      <w:r w:rsidRPr="004E5F9B">
        <w:rPr>
          <w:rFonts w:ascii="Arial" w:eastAsia="Times New Roman" w:hAnsi="Arial" w:cs="Arial"/>
          <w:color w:val="000000"/>
          <w:kern w:val="0"/>
          <w:sz w:val="20"/>
          <w:szCs w:val="20"/>
          <w:lang w:eastAsia="en-GB"/>
          <w14:ligatures w14:val="none"/>
        </w:rPr>
        <w:t>in March 2023.</w:t>
      </w:r>
      <w:r w:rsidR="009B42E8" w:rsidRPr="004E5F9B">
        <w:rPr>
          <w:rStyle w:val="FootnoteReference"/>
          <w:rFonts w:ascii="Arial" w:eastAsia="Times New Roman" w:hAnsi="Arial" w:cs="Arial"/>
          <w:color w:val="000000"/>
          <w:kern w:val="0"/>
          <w:sz w:val="20"/>
          <w:szCs w:val="20"/>
          <w:lang w:eastAsia="en-GB"/>
          <w14:ligatures w14:val="none"/>
        </w:rPr>
        <w:footnoteReference w:id="25"/>
      </w:r>
      <w:r w:rsidRPr="004E5F9B">
        <w:rPr>
          <w:rFonts w:ascii="Arial" w:eastAsia="Times New Roman" w:hAnsi="Arial" w:cs="Arial"/>
          <w:color w:val="000000"/>
          <w:kern w:val="0"/>
          <w:sz w:val="20"/>
          <w:szCs w:val="20"/>
          <w:shd w:val="clear" w:color="auto" w:fill="FFFFFF"/>
          <w:lang w:eastAsia="en-GB"/>
          <w14:ligatures w14:val="none"/>
        </w:rPr>
        <w:t xml:space="preserve"> </w:t>
      </w:r>
      <w:r w:rsidR="00CC0F57" w:rsidRPr="004E5F9B">
        <w:rPr>
          <w:rStyle w:val="FootnoteReference"/>
          <w:rFonts w:ascii="Arial" w:eastAsia="Times New Roman" w:hAnsi="Arial" w:cs="Arial"/>
          <w:color w:val="000000"/>
          <w:kern w:val="0"/>
          <w:sz w:val="20"/>
          <w:szCs w:val="20"/>
          <w:shd w:val="clear" w:color="auto" w:fill="FFFFFF"/>
          <w:lang w:eastAsia="en-GB"/>
          <w14:ligatures w14:val="none"/>
        </w:rPr>
        <w:footnoteReference w:id="26"/>
      </w:r>
      <w:r w:rsidRPr="004E5F9B">
        <w:rPr>
          <w:rFonts w:ascii="Arial" w:eastAsia="Times New Roman" w:hAnsi="Arial" w:cs="Arial"/>
          <w:color w:val="000000"/>
          <w:kern w:val="0"/>
          <w:sz w:val="20"/>
          <w:szCs w:val="20"/>
          <w:shd w:val="clear" w:color="auto" w:fill="FFFFFF"/>
          <w:lang w:eastAsia="en-GB"/>
          <w14:ligatures w14:val="none"/>
        </w:rPr>
        <w:t> </w:t>
      </w:r>
      <w:r w:rsidRPr="004E5F9B">
        <w:rPr>
          <w:rFonts w:ascii="Arial" w:eastAsia="Times New Roman" w:hAnsi="Arial" w:cs="Arial"/>
          <w:color w:val="000000"/>
          <w:kern w:val="0"/>
          <w:sz w:val="20"/>
          <w:szCs w:val="20"/>
          <w:lang w:eastAsia="en-GB"/>
          <w14:ligatures w14:val="none"/>
        </w:rPr>
        <w:br/>
      </w:r>
    </w:p>
    <w:p w14:paraId="62D73BAD" w14:textId="77777777" w:rsidR="009313B2" w:rsidRPr="004E5F9B" w:rsidRDefault="009313B2" w:rsidP="009313B2">
      <w:pPr>
        <w:numPr>
          <w:ilvl w:val="0"/>
          <w:numId w:val="10"/>
        </w:numPr>
        <w:ind w:left="144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Introduction of </w:t>
      </w:r>
      <w:r w:rsidRPr="004E5F9B">
        <w:rPr>
          <w:rFonts w:ascii="Arial" w:eastAsia="Times New Roman" w:hAnsi="Arial" w:cs="Arial"/>
          <w:color w:val="000000"/>
          <w:kern w:val="0"/>
          <w:sz w:val="20"/>
          <w:szCs w:val="20"/>
          <w:shd w:val="clear" w:color="auto" w:fill="FFFFFF"/>
          <w:lang w:eastAsia="en-GB"/>
          <w14:ligatures w14:val="none"/>
        </w:rPr>
        <w:t xml:space="preserve">guidelines on entertainment activities (concerts) in higher learning institutions by </w:t>
      </w:r>
      <w:r w:rsidRPr="004E5F9B">
        <w:rPr>
          <w:rFonts w:ascii="Arial" w:eastAsia="Times New Roman" w:hAnsi="Arial" w:cs="Arial"/>
          <w:color w:val="40484C"/>
          <w:kern w:val="0"/>
          <w:sz w:val="20"/>
          <w:szCs w:val="20"/>
          <w:shd w:val="clear" w:color="auto" w:fill="FFFEFA"/>
          <w:lang w:eastAsia="en-GB"/>
          <w14:ligatures w14:val="none"/>
        </w:rPr>
        <w:t xml:space="preserve">the Department of Higher Education (JPT) </w:t>
      </w:r>
      <w:r w:rsidRPr="004E5F9B">
        <w:rPr>
          <w:rFonts w:ascii="Arial" w:eastAsia="Times New Roman" w:hAnsi="Arial" w:cs="Arial"/>
          <w:color w:val="000000"/>
          <w:kern w:val="0"/>
          <w:sz w:val="20"/>
          <w:szCs w:val="20"/>
          <w:shd w:val="clear" w:color="auto" w:fill="FFFFFF"/>
          <w:lang w:eastAsia="en-GB"/>
          <w14:ligatures w14:val="none"/>
        </w:rPr>
        <w:t xml:space="preserve">under the </w:t>
      </w:r>
      <w:r w:rsidRPr="004E5F9B">
        <w:rPr>
          <w:rFonts w:ascii="Arial" w:eastAsia="Times New Roman" w:hAnsi="Arial" w:cs="Arial"/>
          <w:color w:val="404040"/>
          <w:kern w:val="0"/>
          <w:sz w:val="20"/>
          <w:szCs w:val="20"/>
          <w:shd w:val="clear" w:color="auto" w:fill="FFFFFF"/>
          <w:lang w:eastAsia="en-GB"/>
          <w14:ligatures w14:val="none"/>
        </w:rPr>
        <w:t xml:space="preserve">Ministry of Higher Education. </w:t>
      </w:r>
      <w:r w:rsidRPr="004E5F9B">
        <w:rPr>
          <w:rFonts w:ascii="Arial" w:eastAsia="Times New Roman" w:hAnsi="Arial" w:cs="Arial"/>
          <w:color w:val="000000"/>
          <w:kern w:val="0"/>
          <w:sz w:val="20"/>
          <w:szCs w:val="20"/>
          <w:lang w:eastAsia="en-GB"/>
          <w14:ligatures w14:val="none"/>
        </w:rPr>
        <w:t>The guideline, among others, introduced:</w:t>
      </w:r>
    </w:p>
    <w:p w14:paraId="76194B30" w14:textId="77777777" w:rsidR="009313B2" w:rsidRPr="004E5F9B" w:rsidRDefault="009313B2" w:rsidP="009313B2">
      <w:pPr>
        <w:numPr>
          <w:ilvl w:val="0"/>
          <w:numId w:val="11"/>
        </w:numPr>
        <w:ind w:left="240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prohibition of performers based on association with LGBT people or actual or perceived SOGIE</w:t>
      </w:r>
    </w:p>
    <w:p w14:paraId="43666D7E" w14:textId="180446F2" w:rsidR="009313B2" w:rsidRPr="004E5F9B" w:rsidRDefault="009313B2" w:rsidP="009313B2">
      <w:pPr>
        <w:numPr>
          <w:ilvl w:val="0"/>
          <w:numId w:val="11"/>
        </w:numPr>
        <w:ind w:left="240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regulation </w:t>
      </w:r>
      <w:r w:rsidR="005B1CFC" w:rsidRPr="004E5F9B">
        <w:rPr>
          <w:rFonts w:ascii="Arial" w:eastAsia="Times New Roman" w:hAnsi="Arial" w:cs="Arial"/>
          <w:color w:val="000000"/>
          <w:kern w:val="0"/>
          <w:sz w:val="20"/>
          <w:szCs w:val="20"/>
          <w:lang w:eastAsia="en-GB"/>
          <w14:ligatures w14:val="none"/>
        </w:rPr>
        <w:t xml:space="preserve">of </w:t>
      </w:r>
      <w:r w:rsidRPr="004E5F9B">
        <w:rPr>
          <w:rFonts w:ascii="Arial" w:eastAsia="Times New Roman" w:hAnsi="Arial" w:cs="Arial"/>
          <w:color w:val="000000"/>
          <w:kern w:val="0"/>
          <w:sz w:val="20"/>
          <w:szCs w:val="20"/>
          <w:lang w:eastAsia="en-GB"/>
          <w14:ligatures w14:val="none"/>
        </w:rPr>
        <w:t>performers</w:t>
      </w:r>
      <w:r w:rsidR="005B1CFC" w:rsidRPr="004E5F9B">
        <w:rPr>
          <w:rFonts w:ascii="Arial" w:eastAsia="Times New Roman" w:hAnsi="Arial" w:cs="Arial"/>
          <w:color w:val="000000"/>
          <w:kern w:val="0"/>
          <w:sz w:val="20"/>
          <w:szCs w:val="20"/>
          <w:lang w:eastAsia="en-GB"/>
          <w14:ligatures w14:val="none"/>
        </w:rPr>
        <w:t xml:space="preserve">’ gender expression and movement </w:t>
      </w:r>
    </w:p>
    <w:p w14:paraId="4B835AC2" w14:textId="77777777" w:rsidR="009313B2" w:rsidRPr="004E5F9B" w:rsidRDefault="009313B2" w:rsidP="009313B2">
      <w:pPr>
        <w:numPr>
          <w:ilvl w:val="0"/>
          <w:numId w:val="11"/>
        </w:numPr>
        <w:ind w:left="240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prohibition of symbols and display of support for LGBT people/issues</w:t>
      </w:r>
    </w:p>
    <w:p w14:paraId="093D921B" w14:textId="23CEEB59" w:rsidR="009313B2" w:rsidRPr="004E5F9B" w:rsidRDefault="009313B2" w:rsidP="009313B2">
      <w:pPr>
        <w:numPr>
          <w:ilvl w:val="0"/>
          <w:numId w:val="11"/>
        </w:numPr>
        <w:ind w:left="240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regulations on </w:t>
      </w:r>
      <w:r w:rsidR="001C3D18" w:rsidRPr="004E5F9B">
        <w:rPr>
          <w:rFonts w:ascii="Arial" w:eastAsia="Times New Roman" w:hAnsi="Arial" w:cs="Arial"/>
          <w:color w:val="000000"/>
          <w:kern w:val="0"/>
          <w:sz w:val="20"/>
          <w:szCs w:val="20"/>
          <w:lang w:eastAsia="en-GB"/>
          <w14:ligatures w14:val="none"/>
        </w:rPr>
        <w:t xml:space="preserve">gendered </w:t>
      </w:r>
      <w:r w:rsidRPr="004E5F9B">
        <w:rPr>
          <w:rFonts w:ascii="Arial" w:eastAsia="Times New Roman" w:hAnsi="Arial" w:cs="Arial"/>
          <w:color w:val="000000"/>
          <w:kern w:val="0"/>
          <w:sz w:val="20"/>
          <w:szCs w:val="20"/>
          <w:lang w:eastAsia="en-GB"/>
          <w14:ligatures w14:val="none"/>
        </w:rPr>
        <w:t>interactions, including gender-segregated seating arrangements, and removal of standing areas for attendees</w:t>
      </w:r>
      <w:r w:rsidR="0045273C" w:rsidRPr="004E5F9B">
        <w:rPr>
          <w:rStyle w:val="FootnoteReference"/>
          <w:rFonts w:ascii="Arial" w:eastAsia="Times New Roman" w:hAnsi="Arial" w:cs="Arial"/>
          <w:color w:val="000000"/>
          <w:kern w:val="0"/>
          <w:sz w:val="20"/>
          <w:szCs w:val="20"/>
          <w:lang w:eastAsia="en-GB"/>
          <w14:ligatures w14:val="none"/>
        </w:rPr>
        <w:footnoteReference w:id="27"/>
      </w:r>
      <w:r w:rsidRPr="004E5F9B">
        <w:rPr>
          <w:rFonts w:ascii="Arial" w:eastAsia="Times New Roman" w:hAnsi="Arial" w:cs="Arial"/>
          <w:color w:val="000000"/>
          <w:kern w:val="0"/>
          <w:sz w:val="20"/>
          <w:szCs w:val="20"/>
          <w:lang w:eastAsia="en-GB"/>
          <w14:ligatures w14:val="none"/>
        </w:rPr>
        <w:br/>
      </w:r>
    </w:p>
    <w:p w14:paraId="11625C53" w14:textId="2BA26737" w:rsidR="009313B2" w:rsidRPr="004E5F9B" w:rsidRDefault="009313B2" w:rsidP="00863425">
      <w:pPr>
        <w:numPr>
          <w:ilvl w:val="0"/>
          <w:numId w:val="12"/>
        </w:numPr>
        <w:ind w:left="144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Use of broad and vague existing laws,</w:t>
      </w:r>
      <w:r w:rsidRPr="004E5F9B">
        <w:rPr>
          <w:rFonts w:ascii="Arial" w:eastAsia="Times New Roman" w:hAnsi="Arial" w:cs="Arial"/>
          <w:color w:val="000000"/>
          <w:kern w:val="0"/>
          <w:sz w:val="20"/>
          <w:szCs w:val="20"/>
          <w:lang w:eastAsia="en-GB"/>
          <w14:ligatures w14:val="none"/>
        </w:rPr>
        <w:t xml:space="preserve"> such as Section 7 of the Printing Presses and Publication Act and Section 233 of the Communication and Multimedia Act. Between 2020 and 2023, the Printing, Publication, and Presses Act has been used at least 7 times against LGBT expressions through censorship of publications, and the removal of watches with LGBT-related imprints under the guise of protecting public morality.</w:t>
      </w:r>
      <w:r w:rsidR="0016429B" w:rsidRPr="004E5F9B">
        <w:rPr>
          <w:rStyle w:val="FootnoteReference"/>
          <w:rFonts w:ascii="Arial" w:eastAsia="Times New Roman" w:hAnsi="Arial" w:cs="Arial"/>
          <w:color w:val="000000"/>
          <w:kern w:val="0"/>
          <w:sz w:val="20"/>
          <w:szCs w:val="20"/>
          <w:lang w:eastAsia="en-GB"/>
          <w14:ligatures w14:val="none"/>
        </w:rPr>
        <w:footnoteReference w:id="28"/>
      </w:r>
      <w:r w:rsidRPr="004E5F9B">
        <w:rPr>
          <w:rFonts w:ascii="Arial" w:eastAsia="Times New Roman" w:hAnsi="Arial" w:cs="Arial"/>
          <w:color w:val="000000"/>
          <w:kern w:val="0"/>
          <w:sz w:val="20"/>
          <w:szCs w:val="20"/>
          <w:lang w:eastAsia="en-GB"/>
          <w14:ligatures w14:val="none"/>
        </w:rPr>
        <w:t> </w:t>
      </w:r>
    </w:p>
    <w:p w14:paraId="057C88B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5967110" w14:textId="020D3385"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w:t>
      </w:r>
      <w:r w:rsidR="00863425" w:rsidRPr="004E5F9B">
        <w:rPr>
          <w:rFonts w:ascii="Arial" w:eastAsia="Times New Roman" w:hAnsi="Arial" w:cs="Arial"/>
          <w:color w:val="000000"/>
          <w:kern w:val="0"/>
          <w:sz w:val="20"/>
          <w:szCs w:val="20"/>
          <w:lang w:eastAsia="en-GB"/>
          <w14:ligatures w14:val="none"/>
        </w:rPr>
        <w:t>5</w:t>
      </w:r>
      <w:r w:rsidRPr="004E5F9B">
        <w:rPr>
          <w:rFonts w:ascii="Arial" w:eastAsia="Times New Roman" w:hAnsi="Arial" w:cs="Arial"/>
          <w:color w:val="000000"/>
          <w:kern w:val="0"/>
          <w:sz w:val="20"/>
          <w:szCs w:val="20"/>
          <w:lang w:eastAsia="en-GB"/>
          <w14:ligatures w14:val="none"/>
        </w:rPr>
        <w:t xml:space="preserve"> Between January and February 2022 alone, 5 </w:t>
      </w:r>
      <w:proofErr w:type="spellStart"/>
      <w:r w:rsidRPr="004E5F9B">
        <w:rPr>
          <w:rFonts w:ascii="Arial" w:eastAsia="Times New Roman" w:hAnsi="Arial" w:cs="Arial"/>
          <w:i/>
          <w:iCs/>
          <w:color w:val="000000"/>
          <w:kern w:val="0"/>
          <w:sz w:val="20"/>
          <w:szCs w:val="20"/>
          <w:lang w:eastAsia="en-GB"/>
          <w14:ligatures w14:val="none"/>
        </w:rPr>
        <w:t>musahaqah</w:t>
      </w:r>
      <w:proofErr w:type="spellEnd"/>
      <w:r w:rsidRPr="004E5F9B">
        <w:rPr>
          <w:rFonts w:ascii="Arial" w:eastAsia="Times New Roman" w:hAnsi="Arial" w:cs="Arial"/>
          <w:color w:val="000000"/>
          <w:kern w:val="0"/>
          <w:sz w:val="20"/>
          <w:szCs w:val="20"/>
          <w:lang w:eastAsia="en-GB"/>
          <w14:ligatures w14:val="none"/>
        </w:rPr>
        <w:t xml:space="preserve"> cases and an arrest of a trans person were reported in Kelantan. In 2018 and 2019, at least six people were subjected to caning for attempting to </w:t>
      </w:r>
      <w:proofErr w:type="spellStart"/>
      <w:r w:rsidRPr="004E5F9B">
        <w:rPr>
          <w:rFonts w:ascii="Arial" w:eastAsia="Times New Roman" w:hAnsi="Arial" w:cs="Arial"/>
          <w:i/>
          <w:iCs/>
          <w:color w:val="000000"/>
          <w:kern w:val="0"/>
          <w:sz w:val="20"/>
          <w:szCs w:val="20"/>
          <w:lang w:eastAsia="en-GB"/>
          <w14:ligatures w14:val="none"/>
        </w:rPr>
        <w:t>musahaqah</w:t>
      </w:r>
      <w:proofErr w:type="spellEnd"/>
      <w:r w:rsidRPr="004E5F9B">
        <w:rPr>
          <w:rFonts w:ascii="Arial" w:eastAsia="Times New Roman" w:hAnsi="Arial" w:cs="Arial"/>
          <w:color w:val="000000"/>
          <w:kern w:val="0"/>
          <w:sz w:val="20"/>
          <w:szCs w:val="20"/>
          <w:lang w:eastAsia="en-GB"/>
          <w14:ligatures w14:val="none"/>
        </w:rPr>
        <w:t xml:space="preserve"> in Terengganu</w:t>
      </w:r>
      <w:r w:rsidR="00D92197" w:rsidRPr="004E5F9B">
        <w:rPr>
          <w:rStyle w:val="FootnoteReference"/>
          <w:rFonts w:ascii="Arial" w:eastAsia="Times New Roman" w:hAnsi="Arial" w:cs="Arial"/>
          <w:color w:val="000000"/>
          <w:kern w:val="0"/>
          <w:sz w:val="20"/>
          <w:szCs w:val="20"/>
          <w:lang w:eastAsia="en-GB"/>
          <w14:ligatures w14:val="none"/>
        </w:rPr>
        <w:footnoteReference w:id="29"/>
      </w:r>
      <w:r w:rsidRPr="004E5F9B">
        <w:rPr>
          <w:rFonts w:ascii="Arial" w:eastAsia="Times New Roman" w:hAnsi="Arial" w:cs="Arial"/>
          <w:color w:val="000000"/>
          <w:kern w:val="0"/>
          <w:sz w:val="20"/>
          <w:szCs w:val="20"/>
          <w:lang w:eastAsia="en-GB"/>
          <w14:ligatures w14:val="none"/>
        </w:rPr>
        <w:t xml:space="preserve"> and sex against the order of nature in Selangor;</w:t>
      </w:r>
      <w:r w:rsidR="006C57E2" w:rsidRPr="004E5F9B">
        <w:rPr>
          <w:rStyle w:val="FootnoteReference"/>
          <w:rFonts w:ascii="Arial" w:eastAsia="Times New Roman" w:hAnsi="Arial" w:cs="Arial"/>
          <w:color w:val="000000"/>
          <w:kern w:val="0"/>
          <w:sz w:val="20"/>
          <w:szCs w:val="20"/>
          <w:lang w:eastAsia="en-GB"/>
          <w14:ligatures w14:val="none"/>
        </w:rPr>
        <w:footnoteReference w:id="30"/>
      </w:r>
      <w:r w:rsidRPr="004E5F9B">
        <w:rPr>
          <w:rFonts w:ascii="Arial" w:eastAsia="Times New Roman" w:hAnsi="Arial" w:cs="Arial"/>
          <w:color w:val="000000"/>
          <w:kern w:val="0"/>
          <w:sz w:val="20"/>
          <w:szCs w:val="20"/>
          <w:lang w:eastAsia="en-GB"/>
          <w14:ligatures w14:val="none"/>
        </w:rPr>
        <w:t xml:space="preserve"> two of them were LBQ women. Statistics of arrests and prosecutions are not accessible and readily available. </w:t>
      </w:r>
    </w:p>
    <w:p w14:paraId="477C2158"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017FF18"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Legal gender recognition (LGR)</w:t>
      </w:r>
    </w:p>
    <w:p w14:paraId="33A1F231"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 </w:t>
      </w:r>
    </w:p>
    <w:p w14:paraId="230E8671" w14:textId="77777777" w:rsidR="00C261A8" w:rsidRPr="004E5F9B" w:rsidRDefault="009313B2" w:rsidP="00C261A8">
      <w:pPr>
        <w:pStyle w:val="ListParagraph"/>
        <w:numPr>
          <w:ilvl w:val="1"/>
          <w:numId w:val="36"/>
        </w:num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Trans, intersex, and gender-diverse people lack LGR based on self-determination. LGR based on medical intervention has been rolled back. In 2017, the National Registration Department won an appeal of a progressive High Court decision allowing a trans man to change gendered details in his identification cards (IC).</w:t>
      </w:r>
      <w:r w:rsidR="00896AD5" w:rsidRPr="004E5F9B">
        <w:rPr>
          <w:rStyle w:val="FootnoteReference"/>
          <w:rFonts w:ascii="Arial" w:eastAsia="Times New Roman" w:hAnsi="Arial" w:cs="Arial"/>
          <w:color w:val="000000"/>
          <w:kern w:val="0"/>
          <w:sz w:val="20"/>
          <w:szCs w:val="20"/>
          <w:lang w:eastAsia="en-GB"/>
          <w14:ligatures w14:val="none"/>
        </w:rPr>
        <w:footnoteReference w:id="31"/>
      </w:r>
      <w:r w:rsidRPr="004E5F9B">
        <w:rPr>
          <w:rFonts w:ascii="Arial" w:eastAsia="Times New Roman" w:hAnsi="Arial" w:cs="Arial"/>
          <w:color w:val="000000"/>
          <w:kern w:val="0"/>
          <w:sz w:val="20"/>
          <w:szCs w:val="20"/>
          <w:lang w:eastAsia="en-GB"/>
          <w14:ligatures w14:val="none"/>
        </w:rPr>
        <w:t> </w:t>
      </w:r>
    </w:p>
    <w:p w14:paraId="1E54793B" w14:textId="77777777" w:rsidR="00C261A8" w:rsidRPr="004E5F9B" w:rsidRDefault="00C261A8" w:rsidP="00C261A8">
      <w:pPr>
        <w:pStyle w:val="ListParagraph"/>
        <w:ind w:left="360"/>
        <w:rPr>
          <w:rFonts w:ascii="Arial" w:eastAsia="Times New Roman" w:hAnsi="Arial" w:cs="Arial"/>
          <w:color w:val="000000"/>
          <w:kern w:val="0"/>
          <w:sz w:val="20"/>
          <w:szCs w:val="20"/>
          <w:lang w:eastAsia="en-GB"/>
          <w14:ligatures w14:val="none"/>
        </w:rPr>
      </w:pPr>
    </w:p>
    <w:p w14:paraId="37620C97" w14:textId="482C39B1" w:rsidR="00613D53" w:rsidRPr="004E5F9B" w:rsidRDefault="00FE2B3B" w:rsidP="00E91648">
      <w:pPr>
        <w:pStyle w:val="ListParagraph"/>
        <w:numPr>
          <w:ilvl w:val="1"/>
          <w:numId w:val="36"/>
        </w:num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Studies show a </w:t>
      </w:r>
      <w:r w:rsidR="00DB1150" w:rsidRPr="004E5F9B">
        <w:rPr>
          <w:rFonts w:ascii="Arial" w:eastAsia="Times New Roman" w:hAnsi="Arial" w:cs="Arial"/>
          <w:color w:val="000000"/>
          <w:kern w:val="0"/>
          <w:sz w:val="20"/>
          <w:szCs w:val="20"/>
          <w:lang w:eastAsia="en-GB"/>
          <w14:ligatures w14:val="none"/>
        </w:rPr>
        <w:t>correlation</w:t>
      </w:r>
      <w:r w:rsidRPr="004E5F9B">
        <w:rPr>
          <w:rFonts w:ascii="Arial" w:eastAsia="Times New Roman" w:hAnsi="Arial" w:cs="Arial"/>
          <w:color w:val="000000"/>
          <w:kern w:val="0"/>
          <w:sz w:val="20"/>
          <w:szCs w:val="20"/>
          <w:lang w:eastAsia="en-GB"/>
          <w14:ligatures w14:val="none"/>
        </w:rPr>
        <w:t xml:space="preserve"> between the lack of LGR and poorer quality of life owing to increased discrimination and gender dysphoria. </w:t>
      </w:r>
      <w:r w:rsidR="006955E9" w:rsidRPr="004E5F9B">
        <w:rPr>
          <w:rFonts w:ascii="Arial" w:eastAsia="Times New Roman" w:hAnsi="Arial" w:cs="Arial"/>
          <w:color w:val="000000"/>
          <w:kern w:val="0"/>
          <w:sz w:val="20"/>
          <w:szCs w:val="20"/>
          <w:lang w:eastAsia="en-GB"/>
          <w14:ligatures w14:val="none"/>
        </w:rPr>
        <w:t>Research shows that t</w:t>
      </w:r>
      <w:r w:rsidR="00E039EC" w:rsidRPr="004E5F9B">
        <w:rPr>
          <w:rFonts w:ascii="Arial" w:eastAsia="Times New Roman" w:hAnsi="Arial" w:cs="Arial"/>
          <w:color w:val="000000"/>
          <w:kern w:val="0"/>
          <w:sz w:val="20"/>
          <w:szCs w:val="20"/>
          <w:lang w:eastAsia="en-GB"/>
          <w14:ligatures w14:val="none"/>
        </w:rPr>
        <w:t xml:space="preserve">he lack of LGR </w:t>
      </w:r>
      <w:r w:rsidR="006955E9" w:rsidRPr="004E5F9B">
        <w:rPr>
          <w:rFonts w:ascii="Arial" w:eastAsia="Times New Roman" w:hAnsi="Arial" w:cs="Arial"/>
          <w:color w:val="000000"/>
          <w:kern w:val="0"/>
          <w:sz w:val="20"/>
          <w:szCs w:val="20"/>
          <w:lang w:eastAsia="en-GB"/>
          <w14:ligatures w14:val="none"/>
        </w:rPr>
        <w:t xml:space="preserve">results in </w:t>
      </w:r>
      <w:r w:rsidR="00587C02" w:rsidRPr="004E5F9B">
        <w:rPr>
          <w:rFonts w:ascii="Arial" w:eastAsia="Times New Roman" w:hAnsi="Arial" w:cs="Arial"/>
          <w:color w:val="000000"/>
          <w:kern w:val="0"/>
          <w:sz w:val="20"/>
          <w:szCs w:val="20"/>
          <w:lang w:eastAsia="en-GB"/>
          <w14:ligatures w14:val="none"/>
        </w:rPr>
        <w:t xml:space="preserve">gender-based discrimination, </w:t>
      </w:r>
      <w:r w:rsidR="006955E9" w:rsidRPr="004E5F9B">
        <w:rPr>
          <w:rFonts w:ascii="Arial" w:eastAsia="Times New Roman" w:hAnsi="Arial" w:cs="Arial"/>
          <w:color w:val="000000"/>
          <w:kern w:val="0"/>
          <w:sz w:val="20"/>
          <w:szCs w:val="20"/>
          <w:lang w:eastAsia="en-GB"/>
          <w14:ligatures w14:val="none"/>
        </w:rPr>
        <w:t>lower employment prospect</w:t>
      </w:r>
      <w:r w:rsidR="00DD55B5" w:rsidRPr="004E5F9B">
        <w:rPr>
          <w:rFonts w:ascii="Arial" w:eastAsia="Times New Roman" w:hAnsi="Arial" w:cs="Arial"/>
          <w:color w:val="000000"/>
          <w:kern w:val="0"/>
          <w:sz w:val="20"/>
          <w:szCs w:val="20"/>
          <w:lang w:eastAsia="en-GB"/>
          <w14:ligatures w14:val="none"/>
        </w:rPr>
        <w:t>s</w:t>
      </w:r>
      <w:r w:rsidR="006955E9" w:rsidRPr="004E5F9B">
        <w:rPr>
          <w:rStyle w:val="FootnoteReference"/>
          <w:rFonts w:ascii="Arial" w:eastAsia="Times New Roman" w:hAnsi="Arial" w:cs="Arial"/>
          <w:color w:val="000000"/>
          <w:kern w:val="0"/>
          <w:sz w:val="20"/>
          <w:szCs w:val="20"/>
          <w:lang w:eastAsia="en-GB"/>
          <w14:ligatures w14:val="none"/>
        </w:rPr>
        <w:footnoteReference w:id="32"/>
      </w:r>
      <w:r w:rsidR="006955E9" w:rsidRPr="004E5F9B">
        <w:rPr>
          <w:rStyle w:val="FootnoteReference"/>
          <w:rFonts w:ascii="Arial" w:eastAsia="Times New Roman" w:hAnsi="Arial" w:cs="Arial"/>
          <w:color w:val="000000"/>
          <w:kern w:val="0"/>
          <w:sz w:val="20"/>
          <w:szCs w:val="20"/>
          <w:lang w:eastAsia="en-GB"/>
          <w14:ligatures w14:val="none"/>
        </w:rPr>
        <w:footnoteReference w:id="33"/>
      </w:r>
      <w:r w:rsidR="006955E9" w:rsidRPr="004E5F9B">
        <w:rPr>
          <w:rFonts w:ascii="Arial" w:eastAsia="Times New Roman" w:hAnsi="Arial" w:cs="Arial"/>
          <w:color w:val="000000"/>
          <w:kern w:val="0"/>
          <w:sz w:val="20"/>
          <w:szCs w:val="20"/>
          <w:lang w:eastAsia="en-GB"/>
          <w14:ligatures w14:val="none"/>
        </w:rPr>
        <w:t xml:space="preserve">, </w:t>
      </w:r>
      <w:r w:rsidR="006955E9" w:rsidRPr="004E5F9B">
        <w:rPr>
          <w:rFonts w:ascii="Arial" w:eastAsia="Times New Roman" w:hAnsi="Arial" w:cs="Arial"/>
          <w:color w:val="333E48"/>
          <w:kern w:val="0"/>
          <w:sz w:val="20"/>
          <w:szCs w:val="20"/>
          <w:lang w:eastAsia="en-GB"/>
          <w14:ligatures w14:val="none"/>
        </w:rPr>
        <w:t>humiliating and degrading treatment during raids, arrest and detention, forcib</w:t>
      </w:r>
      <w:r w:rsidR="008A4181" w:rsidRPr="004E5F9B">
        <w:rPr>
          <w:rFonts w:ascii="Arial" w:eastAsia="Times New Roman" w:hAnsi="Arial" w:cs="Arial"/>
          <w:color w:val="333E48"/>
          <w:kern w:val="0"/>
          <w:sz w:val="20"/>
          <w:szCs w:val="20"/>
          <w:lang w:eastAsia="en-GB"/>
          <w14:ligatures w14:val="none"/>
        </w:rPr>
        <w:t>le</w:t>
      </w:r>
      <w:r w:rsidR="006955E9" w:rsidRPr="004E5F9B">
        <w:rPr>
          <w:rFonts w:ascii="Arial" w:eastAsia="Times New Roman" w:hAnsi="Arial" w:cs="Arial"/>
          <w:color w:val="333E48"/>
          <w:kern w:val="0"/>
          <w:sz w:val="20"/>
          <w:szCs w:val="20"/>
          <w:lang w:eastAsia="en-GB"/>
          <w14:ligatures w14:val="none"/>
        </w:rPr>
        <w:t xml:space="preserve"> outin</w:t>
      </w:r>
      <w:r w:rsidR="0076295F" w:rsidRPr="004E5F9B">
        <w:rPr>
          <w:rFonts w:ascii="Arial" w:eastAsia="Times New Roman" w:hAnsi="Arial" w:cs="Arial"/>
          <w:color w:val="333E48"/>
          <w:kern w:val="0"/>
          <w:sz w:val="20"/>
          <w:szCs w:val="20"/>
          <w:lang w:eastAsia="en-GB"/>
          <w14:ligatures w14:val="none"/>
        </w:rPr>
        <w:t>g</w:t>
      </w:r>
      <w:r w:rsidR="006955E9" w:rsidRPr="004E5F9B">
        <w:rPr>
          <w:rFonts w:ascii="Arial" w:eastAsia="Times New Roman" w:hAnsi="Arial" w:cs="Arial"/>
          <w:color w:val="333E48"/>
          <w:kern w:val="0"/>
          <w:sz w:val="20"/>
          <w:szCs w:val="20"/>
          <w:lang w:eastAsia="en-GB"/>
          <w14:ligatures w14:val="none"/>
        </w:rPr>
        <w:t xml:space="preserve">, </w:t>
      </w:r>
      <w:r w:rsidR="006955E9" w:rsidRPr="004E5F9B">
        <w:rPr>
          <w:rFonts w:ascii="Arial" w:eastAsia="Times New Roman" w:hAnsi="Arial" w:cs="Arial"/>
          <w:color w:val="000000"/>
          <w:kern w:val="0"/>
          <w:sz w:val="20"/>
          <w:szCs w:val="20"/>
          <w:lang w:eastAsia="en-GB"/>
          <w14:ligatures w14:val="none"/>
        </w:rPr>
        <w:t>increased vulnerability to doxing</w:t>
      </w:r>
      <w:r w:rsidR="006955E9" w:rsidRPr="004E5F9B">
        <w:rPr>
          <w:rStyle w:val="FootnoteReference"/>
          <w:rFonts w:ascii="Arial" w:eastAsia="Times New Roman" w:hAnsi="Arial" w:cs="Arial"/>
          <w:color w:val="000000"/>
          <w:kern w:val="0"/>
          <w:sz w:val="20"/>
          <w:szCs w:val="20"/>
          <w:lang w:eastAsia="en-GB"/>
          <w14:ligatures w14:val="none"/>
        </w:rPr>
        <w:footnoteReference w:id="34"/>
      </w:r>
      <w:r w:rsidR="006955E9" w:rsidRPr="004E5F9B">
        <w:rPr>
          <w:rFonts w:ascii="Arial" w:eastAsia="Times New Roman" w:hAnsi="Arial" w:cs="Arial"/>
          <w:color w:val="000000"/>
          <w:kern w:val="0"/>
          <w:sz w:val="20"/>
          <w:szCs w:val="20"/>
          <w:lang w:eastAsia="en-GB"/>
          <w14:ligatures w14:val="none"/>
        </w:rPr>
        <w:t>, assignment of</w:t>
      </w:r>
      <w:r w:rsidR="008B0369" w:rsidRPr="004E5F9B">
        <w:rPr>
          <w:rFonts w:ascii="Arial" w:eastAsia="Times New Roman" w:hAnsi="Arial" w:cs="Arial"/>
          <w:color w:val="000000"/>
          <w:kern w:val="0"/>
          <w:sz w:val="20"/>
          <w:szCs w:val="20"/>
          <w:lang w:eastAsia="en-GB"/>
          <w14:ligatures w14:val="none"/>
        </w:rPr>
        <w:t xml:space="preserve"> gendered facilities, </w:t>
      </w:r>
      <w:r w:rsidR="00814D30" w:rsidRPr="004E5F9B">
        <w:rPr>
          <w:rFonts w:ascii="Arial" w:eastAsia="Times New Roman" w:hAnsi="Arial" w:cs="Arial"/>
          <w:color w:val="000000"/>
          <w:kern w:val="0"/>
          <w:sz w:val="20"/>
          <w:szCs w:val="20"/>
          <w:lang w:eastAsia="en-GB"/>
          <w14:ligatures w14:val="none"/>
        </w:rPr>
        <w:t>including hospital beds,</w:t>
      </w:r>
      <w:r w:rsidR="008B0369" w:rsidRPr="004E5F9B">
        <w:rPr>
          <w:rFonts w:ascii="Arial" w:eastAsia="Times New Roman" w:hAnsi="Arial" w:cs="Arial"/>
          <w:color w:val="000000"/>
          <w:kern w:val="0"/>
          <w:sz w:val="20"/>
          <w:szCs w:val="20"/>
          <w:lang w:eastAsia="en-GB"/>
          <w14:ligatures w14:val="none"/>
        </w:rPr>
        <w:t xml:space="preserve"> </w:t>
      </w:r>
      <w:r w:rsidR="006955E9" w:rsidRPr="004E5F9B">
        <w:rPr>
          <w:rFonts w:ascii="Arial" w:eastAsia="Times New Roman" w:hAnsi="Arial" w:cs="Arial"/>
          <w:color w:val="000000"/>
          <w:kern w:val="0"/>
          <w:sz w:val="20"/>
          <w:szCs w:val="20"/>
          <w:lang w:eastAsia="en-GB"/>
          <w14:ligatures w14:val="none"/>
        </w:rPr>
        <w:t xml:space="preserve">lock-ups and prisons based on gender markers on legal documents. </w:t>
      </w:r>
    </w:p>
    <w:p w14:paraId="14A5CACE" w14:textId="77777777" w:rsidR="00613D53" w:rsidRPr="004E5F9B" w:rsidRDefault="00613D53" w:rsidP="00613D53">
      <w:pPr>
        <w:pStyle w:val="ListParagraph"/>
        <w:ind w:left="360"/>
        <w:rPr>
          <w:rFonts w:ascii="Arial" w:eastAsia="Times New Roman" w:hAnsi="Arial" w:cs="Arial"/>
          <w:color w:val="000000"/>
          <w:kern w:val="0"/>
          <w:sz w:val="20"/>
          <w:szCs w:val="20"/>
          <w:lang w:eastAsia="en-GB"/>
          <w14:ligatures w14:val="none"/>
        </w:rPr>
      </w:pPr>
    </w:p>
    <w:p w14:paraId="44932014" w14:textId="28120AE2" w:rsidR="009313B2" w:rsidRPr="004E5F9B" w:rsidRDefault="009313B2" w:rsidP="009313B2">
      <w:pPr>
        <w:pStyle w:val="ListParagraph"/>
        <w:numPr>
          <w:ilvl w:val="1"/>
          <w:numId w:val="36"/>
        </w:num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SUHAKAM’s LGR feasibility study in 2021 was met with resistance from the then-Minister of Religious Affairs, among other actors</w:t>
      </w:r>
      <w:r w:rsidR="00C907BB" w:rsidRPr="004E5F9B">
        <w:rPr>
          <w:rFonts w:ascii="Arial" w:eastAsia="Times New Roman" w:hAnsi="Arial" w:cs="Arial"/>
          <w:color w:val="000000"/>
          <w:kern w:val="0"/>
          <w:sz w:val="20"/>
          <w:szCs w:val="20"/>
          <w:lang w:eastAsia="en-GB"/>
          <w14:ligatures w14:val="none"/>
        </w:rPr>
        <w:t>, citing inconsistent with nature, religion, customs, culture, and the Cairo Declaration, which prohibits ‘practices that are against Islamic Syariah.’ </w:t>
      </w:r>
      <w:r w:rsidR="00177C59" w:rsidRPr="004E5F9B">
        <w:rPr>
          <w:rStyle w:val="FootnoteReference"/>
          <w:rFonts w:ascii="Arial" w:eastAsia="Times New Roman" w:hAnsi="Arial" w:cs="Arial"/>
          <w:color w:val="000000"/>
          <w:kern w:val="0"/>
          <w:sz w:val="20"/>
          <w:szCs w:val="20"/>
          <w:lang w:eastAsia="en-GB"/>
          <w14:ligatures w14:val="none"/>
        </w:rPr>
        <w:footnoteReference w:id="35"/>
      </w:r>
      <w:r w:rsidRPr="004E5F9B">
        <w:rPr>
          <w:rFonts w:ascii="Arial" w:eastAsia="Times New Roman" w:hAnsi="Arial" w:cs="Arial"/>
          <w:color w:val="000000"/>
          <w:kern w:val="0"/>
          <w:sz w:val="20"/>
          <w:szCs w:val="20"/>
          <w:lang w:eastAsia="en-GB"/>
          <w14:ligatures w14:val="none"/>
        </w:rPr>
        <w:t xml:space="preserve"> </w:t>
      </w:r>
    </w:p>
    <w:p w14:paraId="5B427BC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20944DD4"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State-funded anti-LGBT activities </w:t>
      </w:r>
    </w:p>
    <w:p w14:paraId="747A762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912F86E"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2.10 The state’s LGBT rehabilitation efforts, overseen by the Prime Minister’s Department (Religious Affairs) and JAKIM, consist of: </w:t>
      </w:r>
    </w:p>
    <w:p w14:paraId="04914FA3" w14:textId="57A7FE1C" w:rsidR="009313B2" w:rsidRPr="004E5F9B" w:rsidRDefault="009313B2" w:rsidP="00387C67">
      <w:pPr>
        <w:ind w:left="720"/>
        <w:rPr>
          <w:rFonts w:ascii="Arial" w:hAnsi="Arial" w:cs="Arial"/>
          <w:b/>
          <w:bCs/>
          <w:color w:val="000000"/>
          <w:sz w:val="20"/>
          <w:szCs w:val="20"/>
        </w:rPr>
      </w:pPr>
      <w:r w:rsidRPr="004E5F9B">
        <w:rPr>
          <w:rFonts w:ascii="Arial" w:eastAsia="Times New Roman" w:hAnsi="Arial" w:cs="Arial"/>
          <w:color w:val="000000"/>
          <w:kern w:val="0"/>
          <w:sz w:val="20"/>
          <w:szCs w:val="20"/>
          <w:lang w:eastAsia="en-GB"/>
          <w14:ligatures w14:val="none"/>
        </w:rPr>
        <w:t>1)</w:t>
      </w:r>
      <w:r w:rsidRPr="004E5F9B">
        <w:rPr>
          <w:rFonts w:ascii="Arial" w:eastAsia="Times New Roman" w:hAnsi="Arial" w:cs="Arial"/>
          <w:b/>
          <w:bCs/>
          <w:color w:val="000000"/>
          <w:kern w:val="0"/>
          <w:sz w:val="20"/>
          <w:szCs w:val="20"/>
          <w:lang w:eastAsia="en-GB"/>
          <w14:ligatures w14:val="none"/>
        </w:rPr>
        <w:t xml:space="preserve"> </w:t>
      </w:r>
      <w:r w:rsidR="00592FD7" w:rsidRPr="004E5F9B">
        <w:rPr>
          <w:rFonts w:ascii="Arial" w:hAnsi="Arial" w:cs="Arial"/>
          <w:b/>
          <w:bCs/>
          <w:color w:val="000000"/>
          <w:sz w:val="20"/>
          <w:szCs w:val="20"/>
        </w:rPr>
        <w:t>Education, prevention, and advocacy</w:t>
      </w:r>
      <w:r w:rsidR="00592FD7" w:rsidRPr="004E5F9B">
        <w:rPr>
          <w:rFonts w:ascii="Arial" w:hAnsi="Arial" w:cs="Arial"/>
          <w:color w:val="000000"/>
          <w:sz w:val="20"/>
          <w:szCs w:val="20"/>
        </w:rPr>
        <w:t xml:space="preserve"> include the establishment of a</w:t>
      </w:r>
      <w:r w:rsidR="00445786" w:rsidRPr="004E5F9B">
        <w:rPr>
          <w:rFonts w:ascii="Arial" w:hAnsi="Arial" w:cs="Arial"/>
          <w:color w:val="000000"/>
          <w:sz w:val="20"/>
          <w:szCs w:val="20"/>
        </w:rPr>
        <w:t>n</w:t>
      </w:r>
      <w:r w:rsidR="00592FD7" w:rsidRPr="004E5F9B">
        <w:rPr>
          <w:rFonts w:ascii="Arial" w:hAnsi="Arial" w:cs="Arial"/>
          <w:color w:val="000000"/>
          <w:sz w:val="20"/>
          <w:szCs w:val="20"/>
        </w:rPr>
        <w:t xml:space="preserve"> </w:t>
      </w:r>
      <w:r w:rsidR="00445786" w:rsidRPr="004E5F9B">
        <w:rPr>
          <w:rFonts w:ascii="Arial" w:hAnsi="Arial" w:cs="Arial"/>
          <w:color w:val="000000"/>
          <w:sz w:val="20"/>
          <w:szCs w:val="20"/>
        </w:rPr>
        <w:t xml:space="preserve">inter-ministerial and Islamic NGO </w:t>
      </w:r>
      <w:r w:rsidR="00592FD7" w:rsidRPr="004E5F9B">
        <w:rPr>
          <w:rFonts w:ascii="Arial" w:hAnsi="Arial" w:cs="Arial"/>
          <w:color w:val="000000"/>
          <w:sz w:val="20"/>
          <w:szCs w:val="20"/>
        </w:rPr>
        <w:t>Special</w:t>
      </w:r>
      <w:r w:rsidR="00387C67" w:rsidRPr="004E5F9B">
        <w:rPr>
          <w:rFonts w:ascii="Arial" w:hAnsi="Arial" w:cs="Arial"/>
          <w:color w:val="000000"/>
          <w:sz w:val="20"/>
          <w:szCs w:val="20"/>
        </w:rPr>
        <w:t xml:space="preserve"> </w:t>
      </w:r>
      <w:r w:rsidR="00592FD7" w:rsidRPr="004E5F9B">
        <w:rPr>
          <w:rFonts w:ascii="Arial" w:hAnsi="Arial" w:cs="Arial"/>
          <w:color w:val="000000"/>
          <w:sz w:val="20"/>
          <w:szCs w:val="20"/>
        </w:rPr>
        <w:t>Committee on Muslim LGBT persons in Malaysia</w:t>
      </w:r>
      <w:r w:rsidR="000E02A4" w:rsidRPr="004E5F9B">
        <w:rPr>
          <w:rFonts w:ascii="Arial" w:hAnsi="Arial" w:cs="Arial"/>
          <w:color w:val="000000"/>
          <w:sz w:val="20"/>
          <w:szCs w:val="20"/>
        </w:rPr>
        <w:t>,</w:t>
      </w:r>
      <w:r w:rsidR="000164EB" w:rsidRPr="004E5F9B">
        <w:rPr>
          <w:rFonts w:ascii="Arial" w:hAnsi="Arial" w:cs="Arial"/>
          <w:color w:val="000000"/>
          <w:sz w:val="20"/>
          <w:szCs w:val="20"/>
        </w:rPr>
        <w:t xml:space="preserve"> </w:t>
      </w:r>
      <w:r w:rsidR="000E02A4" w:rsidRPr="004E5F9B">
        <w:rPr>
          <w:rFonts w:ascii="Arial" w:hAnsi="Arial" w:cs="Arial"/>
          <w:color w:val="000000"/>
          <w:sz w:val="20"/>
          <w:szCs w:val="20"/>
        </w:rPr>
        <w:t>c</w:t>
      </w:r>
      <w:r w:rsidR="00592FD7" w:rsidRPr="004E5F9B">
        <w:rPr>
          <w:rFonts w:ascii="Arial" w:hAnsi="Arial" w:cs="Arial"/>
          <w:color w:val="000000"/>
          <w:sz w:val="20"/>
          <w:szCs w:val="20"/>
        </w:rPr>
        <w:t>ollaborati</w:t>
      </w:r>
      <w:r w:rsidR="000E02A4" w:rsidRPr="004E5F9B">
        <w:rPr>
          <w:rFonts w:ascii="Arial" w:hAnsi="Arial" w:cs="Arial"/>
          <w:color w:val="000000"/>
          <w:sz w:val="20"/>
          <w:szCs w:val="20"/>
        </w:rPr>
        <w:t xml:space="preserve">ve </w:t>
      </w:r>
      <w:r w:rsidR="00487D47" w:rsidRPr="004E5F9B">
        <w:rPr>
          <w:rFonts w:ascii="Arial" w:hAnsi="Arial" w:cs="Arial"/>
          <w:color w:val="000000"/>
          <w:sz w:val="20"/>
          <w:szCs w:val="20"/>
        </w:rPr>
        <w:t xml:space="preserve">inter-ministerial </w:t>
      </w:r>
      <w:r w:rsidR="000E02A4" w:rsidRPr="004E5F9B">
        <w:rPr>
          <w:rFonts w:ascii="Arial" w:hAnsi="Arial" w:cs="Arial"/>
          <w:color w:val="000000"/>
          <w:sz w:val="20"/>
          <w:szCs w:val="20"/>
        </w:rPr>
        <w:t>activities</w:t>
      </w:r>
      <w:r w:rsidR="00487D47" w:rsidRPr="004E5F9B">
        <w:rPr>
          <w:rFonts w:ascii="Arial" w:hAnsi="Arial" w:cs="Arial"/>
          <w:color w:val="000000"/>
          <w:sz w:val="20"/>
          <w:szCs w:val="20"/>
        </w:rPr>
        <w:t>,</w:t>
      </w:r>
      <w:r w:rsidR="00487D47" w:rsidRPr="004E5F9B">
        <w:rPr>
          <w:rStyle w:val="FootnoteReference"/>
          <w:rFonts w:ascii="Arial" w:hAnsi="Arial" w:cs="Arial"/>
          <w:color w:val="000000"/>
          <w:sz w:val="20"/>
          <w:szCs w:val="20"/>
        </w:rPr>
        <w:footnoteReference w:id="36"/>
      </w:r>
      <w:r w:rsidR="00487D47" w:rsidRPr="004E5F9B">
        <w:rPr>
          <w:rFonts w:ascii="Arial" w:hAnsi="Arial" w:cs="Arial"/>
          <w:color w:val="000000"/>
          <w:sz w:val="20"/>
          <w:szCs w:val="20"/>
        </w:rPr>
        <w:t xml:space="preserve"> </w:t>
      </w:r>
      <w:r w:rsidR="00826A49" w:rsidRPr="004E5F9B">
        <w:rPr>
          <w:rFonts w:ascii="Arial" w:hAnsi="Arial" w:cs="Arial"/>
          <w:color w:val="000000"/>
          <w:sz w:val="20"/>
          <w:szCs w:val="20"/>
        </w:rPr>
        <w:t>and</w:t>
      </w:r>
      <w:r w:rsidR="00592FD7" w:rsidRPr="004E5F9B">
        <w:rPr>
          <w:rFonts w:ascii="Arial" w:hAnsi="Arial" w:cs="Arial"/>
          <w:color w:val="000000"/>
          <w:sz w:val="20"/>
          <w:szCs w:val="20"/>
        </w:rPr>
        <w:t xml:space="preserve"> counselling and Islamic Psychotherapy</w:t>
      </w:r>
      <w:r w:rsidR="00387C67" w:rsidRPr="004E5F9B">
        <w:rPr>
          <w:rFonts w:ascii="Arial" w:hAnsi="Arial" w:cs="Arial"/>
          <w:color w:val="000000"/>
          <w:sz w:val="20"/>
          <w:szCs w:val="20"/>
        </w:rPr>
        <w:t>.</w:t>
      </w:r>
    </w:p>
    <w:p w14:paraId="55A8D171"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D046283" w14:textId="29D52796" w:rsidR="0077599C" w:rsidRPr="004E5F9B" w:rsidRDefault="009313B2" w:rsidP="0077599C">
      <w:pPr>
        <w:ind w:left="72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2) </w:t>
      </w:r>
      <w:proofErr w:type="spellStart"/>
      <w:r w:rsidR="0077599C" w:rsidRPr="004E5F9B">
        <w:rPr>
          <w:rFonts w:ascii="Arial" w:hAnsi="Arial" w:cs="Arial"/>
          <w:b/>
          <w:bCs/>
          <w:i/>
          <w:iCs/>
          <w:color w:val="000000"/>
          <w:sz w:val="20"/>
          <w:szCs w:val="20"/>
        </w:rPr>
        <w:t>Dakwah</w:t>
      </w:r>
      <w:proofErr w:type="spellEnd"/>
      <w:r w:rsidR="0077599C" w:rsidRPr="004E5F9B">
        <w:rPr>
          <w:rFonts w:ascii="Arial" w:hAnsi="Arial" w:cs="Arial"/>
          <w:b/>
          <w:bCs/>
          <w:color w:val="000000"/>
          <w:sz w:val="20"/>
          <w:szCs w:val="20"/>
        </w:rPr>
        <w:t xml:space="preserve"> and guidance</w:t>
      </w:r>
      <w:r w:rsidR="008557F8" w:rsidRPr="004E5F9B">
        <w:rPr>
          <w:rFonts w:ascii="Arial" w:hAnsi="Arial" w:cs="Arial"/>
          <w:b/>
          <w:bCs/>
          <w:color w:val="000000"/>
          <w:sz w:val="20"/>
          <w:szCs w:val="20"/>
        </w:rPr>
        <w:t xml:space="preserve"> </w:t>
      </w:r>
      <w:r w:rsidR="0077599C" w:rsidRPr="004E5F9B">
        <w:rPr>
          <w:rFonts w:ascii="Arial" w:hAnsi="Arial" w:cs="Arial"/>
          <w:color w:val="000000"/>
          <w:sz w:val="20"/>
          <w:szCs w:val="20"/>
        </w:rPr>
        <w:t xml:space="preserve">activities targeting LGBTI and non-LGBTI persons through seminars, camps, and other outreach programmes.  </w:t>
      </w:r>
      <w:r w:rsidR="00E14375" w:rsidRPr="004E5F9B">
        <w:rPr>
          <w:rFonts w:ascii="Arial" w:eastAsia="Times New Roman" w:hAnsi="Arial" w:cs="Arial"/>
          <w:color w:val="000000"/>
          <w:kern w:val="0"/>
          <w:sz w:val="20"/>
          <w:szCs w:val="20"/>
          <w:lang w:eastAsia="en-GB"/>
          <w14:ligatures w14:val="none"/>
        </w:rPr>
        <w:t xml:space="preserve">At least 2,000 people have reportedly participated in state-organised rehabilitation activities, through which 12 ex-LGBT groups </w:t>
      </w:r>
      <w:r w:rsidR="005D4753" w:rsidRPr="004E5F9B">
        <w:rPr>
          <w:rFonts w:ascii="Arial" w:eastAsia="Times New Roman" w:hAnsi="Arial" w:cs="Arial"/>
          <w:color w:val="000000"/>
          <w:kern w:val="0"/>
          <w:sz w:val="20"/>
          <w:szCs w:val="20"/>
          <w:lang w:eastAsia="en-GB"/>
          <w14:ligatures w14:val="none"/>
        </w:rPr>
        <w:t>were</w:t>
      </w:r>
      <w:r w:rsidR="00E14375" w:rsidRPr="004E5F9B">
        <w:rPr>
          <w:rFonts w:ascii="Arial" w:eastAsia="Times New Roman" w:hAnsi="Arial" w:cs="Arial"/>
          <w:color w:val="000000"/>
          <w:kern w:val="0"/>
          <w:sz w:val="20"/>
          <w:szCs w:val="20"/>
          <w:lang w:eastAsia="en-GB"/>
          <w14:ligatures w14:val="none"/>
        </w:rPr>
        <w:t xml:space="preserve"> established. </w:t>
      </w:r>
      <w:r w:rsidR="001C1F53" w:rsidRPr="004E5F9B">
        <w:rPr>
          <w:rFonts w:ascii="Arial" w:hAnsi="Arial" w:cs="Arial"/>
          <w:color w:val="000000"/>
          <w:sz w:val="20"/>
          <w:szCs w:val="20"/>
        </w:rPr>
        <w:t>One of its</w:t>
      </w:r>
      <w:r w:rsidR="0077599C" w:rsidRPr="004E5F9B">
        <w:rPr>
          <w:rFonts w:ascii="Arial" w:hAnsi="Arial" w:cs="Arial"/>
          <w:color w:val="000000"/>
          <w:sz w:val="20"/>
          <w:szCs w:val="20"/>
        </w:rPr>
        <w:t xml:space="preserve"> 2019</w:t>
      </w:r>
      <w:r w:rsidR="001C1F53" w:rsidRPr="004E5F9B">
        <w:rPr>
          <w:rFonts w:ascii="Arial" w:hAnsi="Arial" w:cs="Arial"/>
          <w:color w:val="000000"/>
          <w:sz w:val="20"/>
          <w:szCs w:val="20"/>
        </w:rPr>
        <w:t xml:space="preserve"> </w:t>
      </w:r>
      <w:r w:rsidR="0077599C" w:rsidRPr="004E5F9B">
        <w:rPr>
          <w:rFonts w:ascii="Arial" w:hAnsi="Arial" w:cs="Arial"/>
          <w:color w:val="000000"/>
          <w:sz w:val="20"/>
          <w:szCs w:val="20"/>
        </w:rPr>
        <w:t xml:space="preserve">activities </w:t>
      </w:r>
      <w:r w:rsidR="00A77EB8" w:rsidRPr="004E5F9B">
        <w:rPr>
          <w:rFonts w:ascii="Arial" w:hAnsi="Arial" w:cs="Arial"/>
          <w:color w:val="000000"/>
          <w:sz w:val="20"/>
          <w:szCs w:val="20"/>
        </w:rPr>
        <w:t>targeted</w:t>
      </w:r>
      <w:r w:rsidR="00DD55B5" w:rsidRPr="004E5F9B">
        <w:rPr>
          <w:rFonts w:ascii="Arial" w:hAnsi="Arial" w:cs="Arial"/>
          <w:color w:val="000000"/>
          <w:sz w:val="20"/>
          <w:szCs w:val="20"/>
        </w:rPr>
        <w:t xml:space="preserve"> a</w:t>
      </w:r>
      <w:r w:rsidR="00A77EB8" w:rsidRPr="004E5F9B">
        <w:rPr>
          <w:rFonts w:ascii="Arial" w:hAnsi="Arial" w:cs="Arial"/>
          <w:color w:val="000000"/>
          <w:sz w:val="20"/>
          <w:szCs w:val="20"/>
        </w:rPr>
        <w:t xml:space="preserve"> </w:t>
      </w:r>
      <w:r w:rsidR="0077599C" w:rsidRPr="004E5F9B">
        <w:rPr>
          <w:rFonts w:ascii="Arial" w:hAnsi="Arial" w:cs="Arial"/>
          <w:color w:val="000000"/>
          <w:sz w:val="20"/>
          <w:szCs w:val="20"/>
        </w:rPr>
        <w:t xml:space="preserve">women’s prison. At least 6 activities were reportedly conducted by Islamic state agencies, NGOs, and ex-LGBT groups in 2022. In 2021, JAKIM organised a regional Nusantara Religious Camp with (ex) LGBT persons from Malaysia, Indonesia, Thailand, and Singapore. </w:t>
      </w:r>
    </w:p>
    <w:p w14:paraId="357B0721"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C1C1C22" w14:textId="307F3708" w:rsidR="009313B2" w:rsidRPr="004E5F9B" w:rsidRDefault="009313B2" w:rsidP="00EB377B">
      <w:pPr>
        <w:ind w:left="72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3) </w:t>
      </w:r>
      <w:r w:rsidR="00CB348C" w:rsidRPr="004E5F9B">
        <w:rPr>
          <w:rFonts w:ascii="Arial" w:hAnsi="Arial" w:cs="Arial"/>
          <w:b/>
          <w:bCs/>
          <w:color w:val="000000"/>
          <w:sz w:val="20"/>
          <w:szCs w:val="20"/>
        </w:rPr>
        <w:t>Research</w:t>
      </w:r>
      <w:r w:rsidR="00CB348C" w:rsidRPr="004E5F9B">
        <w:rPr>
          <w:rFonts w:ascii="Arial" w:hAnsi="Arial" w:cs="Arial"/>
          <w:color w:val="000000"/>
          <w:sz w:val="20"/>
          <w:szCs w:val="20"/>
        </w:rPr>
        <w:t xml:space="preserve"> </w:t>
      </w:r>
    </w:p>
    <w:p w14:paraId="4FD5FFE5" w14:textId="2858A52A" w:rsidR="009313B2" w:rsidRPr="004E5F9B" w:rsidRDefault="009313B2" w:rsidP="00D15564">
      <w:pPr>
        <w:ind w:left="720"/>
        <w:rPr>
          <w:rFonts w:ascii="Arial" w:hAnsi="Arial" w:cs="Arial"/>
          <w:b/>
          <w:bCs/>
          <w:color w:val="000000"/>
          <w:sz w:val="20"/>
          <w:szCs w:val="20"/>
        </w:rPr>
      </w:pPr>
      <w:r w:rsidRPr="004E5F9B">
        <w:rPr>
          <w:rFonts w:ascii="Arial" w:eastAsia="Times New Roman" w:hAnsi="Arial" w:cs="Arial"/>
          <w:color w:val="000000"/>
          <w:kern w:val="0"/>
          <w:sz w:val="20"/>
          <w:szCs w:val="20"/>
          <w:lang w:eastAsia="en-GB"/>
          <w14:ligatures w14:val="none"/>
        </w:rPr>
        <w:lastRenderedPageBreak/>
        <w:br/>
        <w:t xml:space="preserve">4) </w:t>
      </w:r>
      <w:r w:rsidR="00D15564" w:rsidRPr="004E5F9B">
        <w:rPr>
          <w:rFonts w:ascii="Arial" w:hAnsi="Arial" w:cs="Arial"/>
          <w:b/>
          <w:bCs/>
          <w:color w:val="000000"/>
          <w:sz w:val="20"/>
          <w:szCs w:val="20"/>
        </w:rPr>
        <w:t>Action and enforcement</w:t>
      </w:r>
    </w:p>
    <w:p w14:paraId="7C0341B7" w14:textId="77777777" w:rsidR="00D15564" w:rsidRPr="004E5F9B" w:rsidRDefault="00D15564" w:rsidP="00D15564">
      <w:pPr>
        <w:ind w:left="720"/>
        <w:rPr>
          <w:rFonts w:ascii="Arial" w:eastAsia="Times New Roman" w:hAnsi="Arial" w:cs="Arial"/>
          <w:color w:val="000000"/>
          <w:kern w:val="0"/>
          <w:sz w:val="20"/>
          <w:szCs w:val="20"/>
          <w:lang w:eastAsia="en-GB"/>
          <w14:ligatures w14:val="none"/>
        </w:rPr>
      </w:pPr>
    </w:p>
    <w:p w14:paraId="5FC6E64E" w14:textId="5E4DEBD8"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2.11 The state activities use an ‘Islamic psychospiritual’ approach, which employs a combination of shame, religious guilt, incentives, pseudo-science, peer pressure, and the </w:t>
      </w:r>
      <w:proofErr w:type="spellStart"/>
      <w:r w:rsidRPr="004E5F9B">
        <w:rPr>
          <w:rFonts w:ascii="Arial" w:eastAsia="Times New Roman" w:hAnsi="Arial" w:cs="Arial"/>
          <w:color w:val="000000"/>
          <w:kern w:val="0"/>
          <w:sz w:val="20"/>
          <w:szCs w:val="20"/>
          <w:lang w:eastAsia="en-GB"/>
          <w14:ligatures w14:val="none"/>
        </w:rPr>
        <w:t>weaponisation</w:t>
      </w:r>
      <w:proofErr w:type="spellEnd"/>
      <w:r w:rsidRPr="004E5F9B">
        <w:rPr>
          <w:rFonts w:ascii="Arial" w:eastAsia="Times New Roman" w:hAnsi="Arial" w:cs="Arial"/>
          <w:color w:val="000000"/>
          <w:kern w:val="0"/>
          <w:sz w:val="20"/>
          <w:szCs w:val="20"/>
          <w:lang w:eastAsia="en-GB"/>
          <w14:ligatures w14:val="none"/>
        </w:rPr>
        <w:t xml:space="preserve"> of sex work and HIV to reinforce the notion of sin.</w:t>
      </w:r>
      <w:r w:rsidR="00753CA1" w:rsidRPr="004E5F9B">
        <w:rPr>
          <w:rFonts w:ascii="Arial" w:eastAsia="Times New Roman" w:hAnsi="Arial" w:cs="Arial"/>
          <w:color w:val="000000"/>
          <w:kern w:val="0"/>
          <w:sz w:val="20"/>
          <w:szCs w:val="20"/>
          <w:lang w:eastAsia="en-GB"/>
          <w14:ligatures w14:val="none"/>
        </w:rPr>
        <w:t xml:space="preserve"> </w:t>
      </w:r>
      <w:r w:rsidR="00753CA1" w:rsidRPr="004E5F9B">
        <w:rPr>
          <w:rStyle w:val="FootnoteReference"/>
          <w:rFonts w:ascii="Arial" w:eastAsia="Times New Roman" w:hAnsi="Arial" w:cs="Arial"/>
          <w:color w:val="000000"/>
          <w:kern w:val="0"/>
          <w:sz w:val="20"/>
          <w:szCs w:val="20"/>
          <w:lang w:eastAsia="en-GB"/>
          <w14:ligatures w14:val="none"/>
        </w:rPr>
        <w:footnoteReference w:id="37"/>
      </w:r>
      <w:r w:rsidR="00BC31CE" w:rsidRPr="004E5F9B">
        <w:rPr>
          <w:rStyle w:val="FootnoteReference"/>
          <w:rFonts w:ascii="Arial" w:eastAsia="Times New Roman" w:hAnsi="Arial" w:cs="Arial"/>
          <w:color w:val="000000"/>
          <w:kern w:val="0"/>
          <w:sz w:val="20"/>
          <w:szCs w:val="20"/>
          <w:lang w:eastAsia="en-GB"/>
          <w14:ligatures w14:val="none"/>
        </w:rPr>
        <w:footnoteReference w:id="38"/>
      </w:r>
      <w:r w:rsidRPr="004E5F9B">
        <w:rPr>
          <w:rFonts w:ascii="Arial" w:eastAsia="Times New Roman" w:hAnsi="Arial" w:cs="Arial"/>
          <w:color w:val="000000"/>
          <w:kern w:val="0"/>
          <w:sz w:val="20"/>
          <w:szCs w:val="20"/>
          <w:lang w:eastAsia="en-GB"/>
          <w14:ligatures w14:val="none"/>
        </w:rPr>
        <w:t xml:space="preserve"> Some key manifestations include </w:t>
      </w:r>
    </w:p>
    <w:p w14:paraId="6C7E30AD" w14:textId="77777777" w:rsidR="009313B2" w:rsidRPr="004E5F9B" w:rsidRDefault="009313B2" w:rsidP="009313B2">
      <w:pPr>
        <w:numPr>
          <w:ilvl w:val="0"/>
          <w:numId w:val="19"/>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‘Voluntary’ camps that offer religious and health education and economic support. </w:t>
      </w:r>
    </w:p>
    <w:p w14:paraId="401E3DBB" w14:textId="7DA8A8EB" w:rsidR="009313B2" w:rsidRPr="004E5F9B" w:rsidRDefault="009313B2" w:rsidP="009313B2">
      <w:pPr>
        <w:numPr>
          <w:ilvl w:val="0"/>
          <w:numId w:val="19"/>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Zakat</w:t>
      </w:r>
      <w:r w:rsidRPr="004E5F9B">
        <w:rPr>
          <w:rFonts w:ascii="Arial" w:eastAsia="Times New Roman" w:hAnsi="Arial" w:cs="Arial"/>
          <w:color w:val="000000"/>
          <w:kern w:val="0"/>
          <w:sz w:val="20"/>
          <w:szCs w:val="20"/>
          <w:lang w:eastAsia="en-GB"/>
          <w14:ligatures w14:val="none"/>
        </w:rPr>
        <w:t xml:space="preserve"> (Islamic alms) and financial support for LGBT people who want to ‘change’ themselves</w:t>
      </w:r>
      <w:r w:rsidR="008A3A66" w:rsidRPr="004E5F9B">
        <w:rPr>
          <w:rFonts w:ascii="Arial" w:eastAsia="Times New Roman" w:hAnsi="Arial" w:cs="Arial"/>
          <w:color w:val="000000"/>
          <w:kern w:val="0"/>
          <w:sz w:val="20"/>
          <w:szCs w:val="20"/>
          <w:lang w:eastAsia="en-GB"/>
          <w14:ligatures w14:val="none"/>
        </w:rPr>
        <w:t xml:space="preserve"> by</w:t>
      </w:r>
      <w:r w:rsidR="00E2679F" w:rsidRPr="004E5F9B">
        <w:rPr>
          <w:rFonts w:ascii="Arial" w:eastAsia="Times New Roman" w:hAnsi="Arial" w:cs="Arial"/>
          <w:i/>
          <w:iCs/>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support</w:t>
      </w:r>
      <w:r w:rsidR="008A3A66" w:rsidRPr="004E5F9B">
        <w:rPr>
          <w:rFonts w:ascii="Arial" w:eastAsia="Times New Roman" w:hAnsi="Arial" w:cs="Arial"/>
          <w:color w:val="000000"/>
          <w:kern w:val="0"/>
          <w:sz w:val="20"/>
          <w:szCs w:val="20"/>
          <w:lang w:eastAsia="en-GB"/>
          <w14:ligatures w14:val="none"/>
        </w:rPr>
        <w:t>ing</w:t>
      </w:r>
      <w:r w:rsidRPr="004E5F9B">
        <w:rPr>
          <w:rFonts w:ascii="Arial" w:eastAsia="Times New Roman" w:hAnsi="Arial" w:cs="Arial"/>
          <w:color w:val="000000"/>
          <w:kern w:val="0"/>
          <w:sz w:val="20"/>
          <w:szCs w:val="20"/>
          <w:lang w:eastAsia="en-GB"/>
          <w14:ligatures w14:val="none"/>
        </w:rPr>
        <w:t xml:space="preserve"> the rehabilitation</w:t>
      </w:r>
      <w:r w:rsidR="00E2679F" w:rsidRPr="004E5F9B">
        <w:rPr>
          <w:rFonts w:ascii="Arial" w:eastAsia="Times New Roman" w:hAnsi="Arial" w:cs="Arial"/>
          <w:color w:val="000000"/>
          <w:kern w:val="0"/>
          <w:sz w:val="20"/>
          <w:szCs w:val="20"/>
          <w:lang w:eastAsia="en-GB"/>
          <w14:ligatures w14:val="none"/>
        </w:rPr>
        <w:t xml:space="preserve"> costs</w:t>
      </w:r>
      <w:r w:rsidRPr="004E5F9B">
        <w:rPr>
          <w:rFonts w:ascii="Arial" w:eastAsia="Times New Roman" w:hAnsi="Arial" w:cs="Arial"/>
          <w:color w:val="000000"/>
          <w:kern w:val="0"/>
          <w:sz w:val="20"/>
          <w:szCs w:val="20"/>
          <w:lang w:eastAsia="en-GB"/>
          <w14:ligatures w14:val="none"/>
        </w:rPr>
        <w:t>, including rental and relocation support to start a new life, medical support and start-up funds for businesses.</w:t>
      </w:r>
      <w:r w:rsidR="00E271F3" w:rsidRPr="004E5F9B">
        <w:rPr>
          <w:rStyle w:val="FootnoteReference"/>
          <w:rFonts w:ascii="Arial" w:eastAsia="Times New Roman" w:hAnsi="Arial" w:cs="Arial"/>
          <w:color w:val="000000"/>
          <w:kern w:val="0"/>
          <w:sz w:val="20"/>
          <w:szCs w:val="20"/>
          <w:lang w:eastAsia="en-GB"/>
          <w14:ligatures w14:val="none"/>
        </w:rPr>
        <w:footnoteReference w:id="39"/>
      </w:r>
      <w:r w:rsidR="00396B7F" w:rsidRPr="004E5F9B">
        <w:rPr>
          <w:rStyle w:val="FootnoteReference"/>
          <w:rFonts w:ascii="Arial" w:eastAsia="Times New Roman" w:hAnsi="Arial" w:cs="Arial"/>
          <w:color w:val="000000"/>
          <w:kern w:val="0"/>
          <w:sz w:val="20"/>
          <w:szCs w:val="20"/>
          <w:lang w:eastAsia="en-GB"/>
          <w14:ligatures w14:val="none"/>
        </w:rPr>
        <w:footnoteReference w:id="40"/>
      </w:r>
      <w:r w:rsidR="00396B7F"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 xml:space="preserve">In 2019, at least 497 LGBT people reportedly have ‘returned to the right path’ through the Selangor </w:t>
      </w:r>
      <w:r w:rsidRPr="004E5F9B">
        <w:rPr>
          <w:rFonts w:ascii="Arial" w:eastAsia="Times New Roman" w:hAnsi="Arial" w:cs="Arial"/>
          <w:i/>
          <w:iCs/>
          <w:color w:val="000000"/>
          <w:kern w:val="0"/>
          <w:sz w:val="20"/>
          <w:szCs w:val="20"/>
          <w:lang w:eastAsia="en-GB"/>
          <w14:ligatures w14:val="none"/>
        </w:rPr>
        <w:t>Zakat</w:t>
      </w:r>
      <w:r w:rsidRPr="004E5F9B">
        <w:rPr>
          <w:rFonts w:ascii="Arial" w:eastAsia="Times New Roman" w:hAnsi="Arial" w:cs="Arial"/>
          <w:color w:val="000000"/>
          <w:kern w:val="0"/>
          <w:sz w:val="20"/>
          <w:szCs w:val="20"/>
          <w:lang w:eastAsia="en-GB"/>
          <w14:ligatures w14:val="none"/>
        </w:rPr>
        <w:t xml:space="preserve"> funds.</w:t>
      </w:r>
      <w:r w:rsidR="00867B94" w:rsidRPr="004E5F9B">
        <w:rPr>
          <w:rStyle w:val="FootnoteReference"/>
          <w:rFonts w:ascii="Arial" w:eastAsia="Times New Roman" w:hAnsi="Arial" w:cs="Arial"/>
          <w:color w:val="000000"/>
          <w:kern w:val="0"/>
          <w:sz w:val="20"/>
          <w:szCs w:val="20"/>
          <w:lang w:eastAsia="en-GB"/>
          <w14:ligatures w14:val="none"/>
        </w:rPr>
        <w:footnoteReference w:id="41"/>
      </w:r>
    </w:p>
    <w:p w14:paraId="63330387" w14:textId="149E4C30" w:rsidR="009313B2" w:rsidRPr="004E5F9B" w:rsidRDefault="009313B2" w:rsidP="009313B2">
      <w:pPr>
        <w:numPr>
          <w:ilvl w:val="0"/>
          <w:numId w:val="19"/>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T</w:t>
      </w:r>
      <w:r w:rsidRPr="004E5F9B">
        <w:rPr>
          <w:rFonts w:ascii="Arial" w:eastAsia="Times New Roman" w:hAnsi="Arial" w:cs="Arial"/>
          <w:color w:val="222222"/>
          <w:kern w:val="0"/>
          <w:sz w:val="20"/>
          <w:szCs w:val="20"/>
          <w:lang w:eastAsia="en-GB"/>
          <w14:ligatures w14:val="none"/>
        </w:rPr>
        <w:t>he Sultan Ahmad Shah Medical Centre Pahang reportedly sponsored medical intervention for 20 trans people to de-transition.</w:t>
      </w:r>
      <w:r w:rsidR="00C576D4" w:rsidRPr="004E5F9B">
        <w:rPr>
          <w:rStyle w:val="FootnoteReference"/>
          <w:rFonts w:ascii="Arial" w:eastAsia="Times New Roman" w:hAnsi="Arial" w:cs="Arial"/>
          <w:color w:val="222222"/>
          <w:kern w:val="0"/>
          <w:sz w:val="20"/>
          <w:szCs w:val="20"/>
          <w:lang w:eastAsia="en-GB"/>
          <w14:ligatures w14:val="none"/>
        </w:rPr>
        <w:footnoteReference w:id="42"/>
      </w:r>
      <w:r w:rsidRPr="004E5F9B">
        <w:rPr>
          <w:rFonts w:ascii="Arial" w:eastAsia="Times New Roman" w:hAnsi="Arial" w:cs="Arial"/>
          <w:color w:val="222222"/>
          <w:kern w:val="0"/>
          <w:sz w:val="20"/>
          <w:szCs w:val="20"/>
          <w:lang w:eastAsia="en-GB"/>
          <w14:ligatures w14:val="none"/>
        </w:rPr>
        <w:t xml:space="preserve"> Financial incentives are also provided to discourage them from returning to their ‘old self’. </w:t>
      </w:r>
    </w:p>
    <w:p w14:paraId="371B2EA8"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28D9A9FD" w14:textId="0CA4607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2.12 In the absence of state measures to address LBT women</w:t>
      </w:r>
      <w:r w:rsidR="00BF1D08" w:rsidRPr="004E5F9B">
        <w:rPr>
          <w:rFonts w:ascii="Arial" w:eastAsia="Times New Roman" w:hAnsi="Arial" w:cs="Arial"/>
          <w:color w:val="000000"/>
          <w:kern w:val="0"/>
          <w:sz w:val="20"/>
          <w:szCs w:val="20"/>
          <w:lang w:eastAsia="en-GB"/>
          <w14:ligatures w14:val="none"/>
        </w:rPr>
        <w:t>’s marginalisation</w:t>
      </w:r>
      <w:r w:rsidRPr="004E5F9B">
        <w:rPr>
          <w:rFonts w:ascii="Arial" w:eastAsia="Times New Roman" w:hAnsi="Arial" w:cs="Arial"/>
          <w:color w:val="000000"/>
          <w:kern w:val="0"/>
          <w:sz w:val="20"/>
          <w:szCs w:val="20"/>
          <w:lang w:eastAsia="en-GB"/>
          <w14:ligatures w14:val="none"/>
        </w:rPr>
        <w:t>, they rely on conditional welfare aid, which imposes suppression of SOGIE. They are more inclined to suppress their SOGIE for survival purposes. Research shows trans women suppress their SOGIE to secure employment opportunities.</w:t>
      </w:r>
      <w:r w:rsidR="00C557E2" w:rsidRPr="004E5F9B">
        <w:rPr>
          <w:rStyle w:val="FootnoteReference"/>
          <w:rFonts w:ascii="Arial" w:eastAsia="Times New Roman" w:hAnsi="Arial" w:cs="Arial"/>
          <w:color w:val="000000"/>
          <w:kern w:val="0"/>
          <w:sz w:val="20"/>
          <w:szCs w:val="20"/>
          <w:lang w:eastAsia="en-GB"/>
          <w14:ligatures w14:val="none"/>
        </w:rPr>
        <w:footnoteReference w:id="43"/>
      </w:r>
      <w:r w:rsidRPr="004E5F9B">
        <w:rPr>
          <w:rFonts w:ascii="Arial" w:eastAsia="Times New Roman" w:hAnsi="Arial" w:cs="Arial"/>
          <w:color w:val="000000"/>
          <w:kern w:val="0"/>
          <w:sz w:val="20"/>
          <w:szCs w:val="20"/>
          <w:lang w:eastAsia="en-GB"/>
          <w14:ligatures w14:val="none"/>
        </w:rPr>
        <w:t> </w:t>
      </w:r>
    </w:p>
    <w:p w14:paraId="415B2946"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614B3E84" w14:textId="78C4759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2.13 In November 2023, the Johor </w:t>
      </w:r>
      <w:r w:rsidRPr="004E5F9B">
        <w:rPr>
          <w:rFonts w:ascii="Arial" w:eastAsia="Times New Roman" w:hAnsi="Arial" w:cs="Arial"/>
          <w:color w:val="212529"/>
          <w:kern w:val="0"/>
          <w:sz w:val="20"/>
          <w:szCs w:val="20"/>
          <w:shd w:val="clear" w:color="auto" w:fill="FFFFFF"/>
          <w:lang w:eastAsia="en-GB"/>
          <w14:ligatures w14:val="none"/>
        </w:rPr>
        <w:t>State Islamic Religious Affairs Committee</w:t>
      </w:r>
      <w:r w:rsidRPr="004E5F9B">
        <w:rPr>
          <w:rFonts w:ascii="Arial" w:eastAsia="Times New Roman" w:hAnsi="Arial" w:cs="Arial"/>
          <w:color w:val="000000"/>
          <w:kern w:val="0"/>
          <w:sz w:val="20"/>
          <w:szCs w:val="20"/>
          <w:lang w:eastAsia="en-GB"/>
          <w14:ligatures w14:val="none"/>
        </w:rPr>
        <w:t>, announced its plan to establish a rehabilitation centre for Muslim persons who are deemed as having deviated from Islamic teaching and LGBT people. The centre, which aims to “</w:t>
      </w:r>
      <w:r w:rsidRPr="004E5F9B">
        <w:rPr>
          <w:rFonts w:ascii="Arial" w:eastAsia="Times New Roman" w:hAnsi="Arial" w:cs="Arial"/>
          <w:color w:val="212529"/>
          <w:kern w:val="0"/>
          <w:sz w:val="20"/>
          <w:szCs w:val="20"/>
          <w:shd w:val="clear" w:color="auto" w:fill="FFFFFF"/>
          <w:lang w:eastAsia="en-GB"/>
          <w14:ligatures w14:val="none"/>
        </w:rPr>
        <w:t>guide these groups but also to steer them back into the right path”</w:t>
      </w:r>
      <w:r w:rsidRPr="004E5F9B">
        <w:rPr>
          <w:rFonts w:ascii="Arial" w:eastAsia="Times New Roman" w:hAnsi="Arial" w:cs="Arial"/>
          <w:color w:val="000000"/>
          <w:kern w:val="0"/>
          <w:sz w:val="20"/>
          <w:szCs w:val="20"/>
          <w:lang w:eastAsia="en-GB"/>
          <w14:ligatures w14:val="none"/>
        </w:rPr>
        <w:t xml:space="preserve"> is expected to be launched in July 2024. It has received an allocation of RM 400,000.</w:t>
      </w:r>
      <w:r w:rsidR="00543660" w:rsidRPr="004E5F9B">
        <w:rPr>
          <w:rStyle w:val="FootnoteReference"/>
          <w:rFonts w:ascii="Arial" w:eastAsia="Times New Roman" w:hAnsi="Arial" w:cs="Arial"/>
          <w:color w:val="000000"/>
          <w:kern w:val="0"/>
          <w:sz w:val="20"/>
          <w:szCs w:val="20"/>
          <w:lang w:eastAsia="en-GB"/>
          <w14:ligatures w14:val="none"/>
        </w:rPr>
        <w:footnoteReference w:id="44"/>
      </w:r>
      <w:r w:rsidRPr="004E5F9B">
        <w:rPr>
          <w:rFonts w:ascii="Arial" w:eastAsia="Times New Roman" w:hAnsi="Arial" w:cs="Arial"/>
          <w:color w:val="000000"/>
          <w:kern w:val="0"/>
          <w:sz w:val="20"/>
          <w:szCs w:val="20"/>
          <w:lang w:eastAsia="en-GB"/>
          <w14:ligatures w14:val="none"/>
        </w:rPr>
        <w:t xml:space="preserve"> While the idea of a rehabilitation centre for LGBT people has been previously proposed by state actors,</w:t>
      </w:r>
      <w:r w:rsidR="00543660" w:rsidRPr="004E5F9B">
        <w:rPr>
          <w:rStyle w:val="FootnoteReference"/>
          <w:rFonts w:ascii="Arial" w:eastAsia="Times New Roman" w:hAnsi="Arial" w:cs="Arial"/>
          <w:color w:val="000000"/>
          <w:kern w:val="0"/>
          <w:sz w:val="20"/>
          <w:szCs w:val="20"/>
          <w:lang w:eastAsia="en-GB"/>
          <w14:ligatures w14:val="none"/>
        </w:rPr>
        <w:footnoteReference w:id="45"/>
      </w:r>
      <w:r w:rsidRPr="004E5F9B">
        <w:rPr>
          <w:rFonts w:ascii="Arial" w:eastAsia="Times New Roman" w:hAnsi="Arial" w:cs="Arial"/>
          <w:color w:val="000000"/>
          <w:kern w:val="0"/>
          <w:sz w:val="20"/>
          <w:szCs w:val="20"/>
          <w:lang w:eastAsia="en-GB"/>
          <w14:ligatures w14:val="none"/>
        </w:rPr>
        <w:t xml:space="preserve"> the Johor centre is the first of its kind in Malaysia. That said, LGBT people have been subjected to court-mandated rehabilitation in the past, although under-documented. </w:t>
      </w:r>
    </w:p>
    <w:p w14:paraId="1EAA30DC"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22138C6"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Recommendations </w:t>
      </w:r>
    </w:p>
    <w:p w14:paraId="4F8BB708"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w:t>
      </w:r>
    </w:p>
    <w:p w14:paraId="3DF9831A" w14:textId="0B3F2E29" w:rsidR="009313B2" w:rsidRPr="004E5F9B" w:rsidRDefault="009313B2" w:rsidP="009313B2">
      <w:pPr>
        <w:numPr>
          <w:ilvl w:val="0"/>
          <w:numId w:val="20"/>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End all forms of criminalization, regulation, state-sponsored conversion practices </w:t>
      </w:r>
      <w:r w:rsidR="00CC497D" w:rsidRPr="004E5F9B">
        <w:rPr>
          <w:rFonts w:ascii="Arial" w:eastAsia="Times New Roman" w:hAnsi="Arial" w:cs="Arial"/>
          <w:color w:val="000000"/>
          <w:kern w:val="0"/>
          <w:sz w:val="20"/>
          <w:szCs w:val="20"/>
          <w:lang w:eastAsia="en-GB"/>
          <w14:ligatures w14:val="none"/>
        </w:rPr>
        <w:t xml:space="preserve">and other forms of institutionalised discrimination </w:t>
      </w:r>
      <w:r w:rsidRPr="004E5F9B">
        <w:rPr>
          <w:rFonts w:ascii="Arial" w:eastAsia="Times New Roman" w:hAnsi="Arial" w:cs="Arial"/>
          <w:color w:val="000000"/>
          <w:kern w:val="0"/>
          <w:sz w:val="20"/>
          <w:szCs w:val="20"/>
          <w:lang w:eastAsia="en-GB"/>
          <w14:ligatures w14:val="none"/>
        </w:rPr>
        <w:t>against LGBT people </w:t>
      </w:r>
    </w:p>
    <w:p w14:paraId="28275B15" w14:textId="495AF5DF" w:rsidR="009313B2" w:rsidRPr="004E5F9B" w:rsidRDefault="009313B2" w:rsidP="009313B2">
      <w:pPr>
        <w:numPr>
          <w:ilvl w:val="0"/>
          <w:numId w:val="20"/>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Undertake a study to introduce </w:t>
      </w:r>
      <w:r w:rsidR="00CF549C" w:rsidRPr="004E5F9B">
        <w:rPr>
          <w:rFonts w:ascii="Arial" w:eastAsia="Times New Roman" w:hAnsi="Arial" w:cs="Arial"/>
          <w:color w:val="000000"/>
          <w:kern w:val="0"/>
          <w:sz w:val="20"/>
          <w:szCs w:val="20"/>
          <w:lang w:eastAsia="en-GB"/>
          <w14:ligatures w14:val="none"/>
        </w:rPr>
        <w:t>LGR</w:t>
      </w:r>
      <w:r w:rsidRPr="004E5F9B">
        <w:rPr>
          <w:rFonts w:ascii="Arial" w:eastAsia="Times New Roman" w:hAnsi="Arial" w:cs="Arial"/>
          <w:color w:val="000000"/>
          <w:kern w:val="0"/>
          <w:sz w:val="20"/>
          <w:szCs w:val="20"/>
          <w:lang w:eastAsia="en-GB"/>
          <w14:ligatures w14:val="none"/>
        </w:rPr>
        <w:t xml:space="preserve"> for trans, intersex, and gender-diverse people</w:t>
      </w:r>
    </w:p>
    <w:p w14:paraId="0D330F0E" w14:textId="72074F0E" w:rsidR="006605CD" w:rsidRPr="004E5F9B" w:rsidRDefault="009313B2" w:rsidP="00EB6542">
      <w:pPr>
        <w:numPr>
          <w:ilvl w:val="0"/>
          <w:numId w:val="20"/>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Undertake a human rights assessment of the state’s current measures</w:t>
      </w:r>
      <w:r w:rsidR="00CF549C" w:rsidRPr="004E5F9B">
        <w:rPr>
          <w:rFonts w:ascii="Arial" w:eastAsia="Times New Roman" w:hAnsi="Arial" w:cs="Arial"/>
          <w:color w:val="000000"/>
          <w:kern w:val="0"/>
          <w:sz w:val="20"/>
          <w:szCs w:val="20"/>
          <w:lang w:eastAsia="en-GB"/>
          <w14:ligatures w14:val="none"/>
        </w:rPr>
        <w:t xml:space="preserve"> and approach</w:t>
      </w:r>
      <w:r w:rsidRPr="004E5F9B">
        <w:rPr>
          <w:rFonts w:ascii="Arial" w:eastAsia="Times New Roman" w:hAnsi="Arial" w:cs="Arial"/>
          <w:color w:val="000000"/>
          <w:kern w:val="0"/>
          <w:sz w:val="20"/>
          <w:szCs w:val="20"/>
          <w:lang w:eastAsia="en-GB"/>
          <w14:ligatures w14:val="none"/>
        </w:rPr>
        <w:t xml:space="preserve"> </w:t>
      </w:r>
      <w:r w:rsidR="00CF549C" w:rsidRPr="004E5F9B">
        <w:rPr>
          <w:rFonts w:ascii="Arial" w:eastAsia="Times New Roman" w:hAnsi="Arial" w:cs="Arial"/>
          <w:color w:val="000000"/>
          <w:kern w:val="0"/>
          <w:sz w:val="20"/>
          <w:szCs w:val="20"/>
          <w:lang w:eastAsia="en-GB"/>
          <w14:ligatures w14:val="none"/>
        </w:rPr>
        <w:t>concerning</w:t>
      </w:r>
      <w:r w:rsidRPr="004E5F9B">
        <w:rPr>
          <w:rFonts w:ascii="Arial" w:eastAsia="Times New Roman" w:hAnsi="Arial" w:cs="Arial"/>
          <w:color w:val="000000"/>
          <w:kern w:val="0"/>
          <w:sz w:val="20"/>
          <w:szCs w:val="20"/>
          <w:lang w:eastAsia="en-GB"/>
          <w14:ligatures w14:val="none"/>
        </w:rPr>
        <w:t xml:space="preserve"> LGBT</w:t>
      </w:r>
      <w:r w:rsidR="00CF549C" w:rsidRPr="004E5F9B">
        <w:rPr>
          <w:rFonts w:ascii="Arial" w:eastAsia="Times New Roman" w:hAnsi="Arial" w:cs="Arial"/>
          <w:color w:val="000000"/>
          <w:kern w:val="0"/>
          <w:sz w:val="20"/>
          <w:szCs w:val="20"/>
          <w:lang w:eastAsia="en-GB"/>
          <w14:ligatures w14:val="none"/>
        </w:rPr>
        <w:t>I</w:t>
      </w:r>
      <w:r w:rsidRPr="004E5F9B">
        <w:rPr>
          <w:rFonts w:ascii="Arial" w:eastAsia="Times New Roman" w:hAnsi="Arial" w:cs="Arial"/>
          <w:color w:val="000000"/>
          <w:kern w:val="0"/>
          <w:sz w:val="20"/>
          <w:szCs w:val="20"/>
          <w:lang w:eastAsia="en-GB"/>
          <w14:ligatures w14:val="none"/>
        </w:rPr>
        <w:t xml:space="preserve"> people  </w:t>
      </w:r>
      <w:r w:rsidR="006605CD" w:rsidRPr="004E5F9B">
        <w:rPr>
          <w:rFonts w:ascii="Arial" w:eastAsia="Times New Roman" w:hAnsi="Arial" w:cs="Arial"/>
          <w:b/>
          <w:bCs/>
          <w:color w:val="000000"/>
          <w:kern w:val="0"/>
          <w:sz w:val="20"/>
          <w:szCs w:val="20"/>
          <w:lang w:eastAsia="en-GB"/>
          <w14:ligatures w14:val="none"/>
        </w:rPr>
        <w:br w:type="page"/>
      </w:r>
    </w:p>
    <w:p w14:paraId="379A0001" w14:textId="26EDD5E2" w:rsidR="009313B2" w:rsidRPr="004E5F9B" w:rsidRDefault="009313B2" w:rsidP="009313B2">
      <w:pPr>
        <w:spacing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5: Stereotypes </w:t>
      </w:r>
    </w:p>
    <w:p w14:paraId="29FEF6EA" w14:textId="16926E6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5.1. The state’s promotion of gender ideology, underscored by the </w:t>
      </w:r>
      <w:r w:rsidR="00E66669" w:rsidRPr="004E5F9B">
        <w:rPr>
          <w:rFonts w:ascii="Arial" w:eastAsia="Times New Roman" w:hAnsi="Arial" w:cs="Arial"/>
          <w:color w:val="000000"/>
          <w:kern w:val="0"/>
          <w:sz w:val="20"/>
          <w:szCs w:val="20"/>
          <w:lang w:eastAsia="en-GB"/>
          <w14:ligatures w14:val="none"/>
        </w:rPr>
        <w:t>institutionalised discrimination</w:t>
      </w:r>
      <w:r w:rsidRPr="004E5F9B">
        <w:rPr>
          <w:rFonts w:ascii="Arial" w:eastAsia="Times New Roman" w:hAnsi="Arial" w:cs="Arial"/>
          <w:color w:val="000000"/>
          <w:kern w:val="0"/>
          <w:sz w:val="20"/>
          <w:szCs w:val="20"/>
          <w:lang w:eastAsia="en-GB"/>
          <w14:ligatures w14:val="none"/>
        </w:rPr>
        <w:t xml:space="preserve"> of LBTI women, has intensified</w:t>
      </w:r>
      <w:r w:rsidR="00E66669"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 xml:space="preserve">JAKIM’s annual publications promote </w:t>
      </w:r>
      <w:r w:rsidR="008A01CB" w:rsidRPr="004E5F9B">
        <w:rPr>
          <w:rFonts w:ascii="Arial" w:eastAsia="Times New Roman" w:hAnsi="Arial" w:cs="Arial"/>
          <w:color w:val="000000"/>
          <w:kern w:val="0"/>
          <w:sz w:val="20"/>
          <w:szCs w:val="20"/>
          <w:lang w:eastAsia="en-GB"/>
          <w14:ligatures w14:val="none"/>
        </w:rPr>
        <w:t>conversion practices</w:t>
      </w:r>
      <w:r w:rsidRPr="004E5F9B">
        <w:rPr>
          <w:rFonts w:ascii="Arial" w:eastAsia="Times New Roman" w:hAnsi="Arial" w:cs="Arial"/>
          <w:color w:val="000000"/>
          <w:kern w:val="0"/>
          <w:sz w:val="20"/>
          <w:szCs w:val="20"/>
          <w:lang w:eastAsia="en-GB"/>
          <w14:ligatures w14:val="none"/>
        </w:rPr>
        <w:t xml:space="preserve"> and widely debunked harmful </w:t>
      </w:r>
      <w:r w:rsidR="002D6F1B" w:rsidRPr="004E5F9B">
        <w:rPr>
          <w:rFonts w:ascii="Arial" w:eastAsia="Times New Roman" w:hAnsi="Arial" w:cs="Arial"/>
          <w:color w:val="000000"/>
          <w:kern w:val="0"/>
          <w:sz w:val="20"/>
          <w:szCs w:val="20"/>
          <w:lang w:eastAsia="en-GB"/>
          <w14:ligatures w14:val="none"/>
        </w:rPr>
        <w:t xml:space="preserve">SOGIE-related </w:t>
      </w:r>
      <w:r w:rsidRPr="004E5F9B">
        <w:rPr>
          <w:rFonts w:ascii="Arial" w:eastAsia="Times New Roman" w:hAnsi="Arial" w:cs="Arial"/>
          <w:color w:val="000000"/>
          <w:kern w:val="0"/>
          <w:sz w:val="20"/>
          <w:szCs w:val="20"/>
          <w:lang w:eastAsia="en-GB"/>
          <w14:ligatures w14:val="none"/>
        </w:rPr>
        <w:t>myths</w:t>
      </w:r>
      <w:r w:rsidR="002D6F1B" w:rsidRPr="004E5F9B">
        <w:rPr>
          <w:rFonts w:ascii="Arial" w:eastAsia="Times New Roman" w:hAnsi="Arial" w:cs="Arial"/>
          <w:color w:val="000000"/>
          <w:kern w:val="0"/>
          <w:sz w:val="20"/>
          <w:szCs w:val="20"/>
          <w:lang w:eastAsia="en-GB"/>
          <w14:ligatures w14:val="none"/>
        </w:rPr>
        <w:t xml:space="preserve"> and misinformation</w:t>
      </w:r>
      <w:r w:rsidRPr="004E5F9B">
        <w:rPr>
          <w:rFonts w:ascii="Arial" w:eastAsia="Times New Roman" w:hAnsi="Arial" w:cs="Arial"/>
          <w:color w:val="000000"/>
          <w:kern w:val="0"/>
          <w:sz w:val="20"/>
          <w:szCs w:val="20"/>
          <w:lang w:eastAsia="en-GB"/>
          <w14:ligatures w14:val="none"/>
        </w:rPr>
        <w:t xml:space="preserve">. In 2022, JAKIM published a rehabilitation manual for lesbian and gay persons. Among others, it promotes Islamic psychotherapy, including prayer and </w:t>
      </w:r>
      <w:proofErr w:type="spellStart"/>
      <w:r w:rsidRPr="004E5F9B">
        <w:rPr>
          <w:rFonts w:ascii="Arial" w:eastAsia="Times New Roman" w:hAnsi="Arial" w:cs="Arial"/>
          <w:i/>
          <w:iCs/>
          <w:color w:val="000000"/>
          <w:kern w:val="0"/>
          <w:sz w:val="20"/>
          <w:szCs w:val="20"/>
          <w:lang w:eastAsia="en-GB"/>
          <w14:ligatures w14:val="none"/>
        </w:rPr>
        <w:t>zikir</w:t>
      </w:r>
      <w:proofErr w:type="spellEnd"/>
      <w:r w:rsidRPr="004E5F9B">
        <w:rPr>
          <w:rFonts w:ascii="Arial" w:eastAsia="Times New Roman" w:hAnsi="Arial" w:cs="Arial"/>
          <w:i/>
          <w:iCs/>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therapy, to ‘help’ Muslim lesbian and gay persons lead a better life aligned with Islamic principles. </w:t>
      </w:r>
    </w:p>
    <w:p w14:paraId="35532C9A"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2E2CF42" w14:textId="3B47BC1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5.2. LGBT people are perceived and portrayed as ‘sinners,’ including descriptions by some media outlets like </w:t>
      </w:r>
      <w:r w:rsidRPr="004E5F9B">
        <w:rPr>
          <w:rFonts w:ascii="Arial" w:eastAsia="Times New Roman" w:hAnsi="Arial" w:cs="Arial"/>
          <w:i/>
          <w:iCs/>
          <w:color w:val="000000"/>
          <w:kern w:val="0"/>
          <w:sz w:val="20"/>
          <w:szCs w:val="20"/>
          <w:lang w:eastAsia="en-GB"/>
          <w14:ligatures w14:val="none"/>
        </w:rPr>
        <w:t>‘</w:t>
      </w:r>
      <w:proofErr w:type="spellStart"/>
      <w:r w:rsidRPr="004E5F9B">
        <w:rPr>
          <w:rFonts w:ascii="Arial" w:eastAsia="Times New Roman" w:hAnsi="Arial" w:cs="Arial"/>
          <w:i/>
          <w:iCs/>
          <w:color w:val="000000"/>
          <w:kern w:val="0"/>
          <w:sz w:val="20"/>
          <w:szCs w:val="20"/>
          <w:lang w:eastAsia="en-GB"/>
          <w14:ligatures w14:val="none"/>
        </w:rPr>
        <w:t>komuniti</w:t>
      </w:r>
      <w:proofErr w:type="spellEnd"/>
      <w:r w:rsidRPr="004E5F9B">
        <w:rPr>
          <w:rFonts w:ascii="Arial" w:eastAsia="Times New Roman" w:hAnsi="Arial" w:cs="Arial"/>
          <w:i/>
          <w:iCs/>
          <w:color w:val="000000"/>
          <w:kern w:val="0"/>
          <w:sz w:val="20"/>
          <w:szCs w:val="20"/>
          <w:lang w:eastAsia="en-GB"/>
          <w14:ligatures w14:val="none"/>
        </w:rPr>
        <w:t xml:space="preserve"> </w:t>
      </w:r>
      <w:proofErr w:type="spellStart"/>
      <w:r w:rsidRPr="004E5F9B">
        <w:rPr>
          <w:rFonts w:ascii="Arial" w:eastAsia="Times New Roman" w:hAnsi="Arial" w:cs="Arial"/>
          <w:i/>
          <w:iCs/>
          <w:color w:val="000000"/>
          <w:kern w:val="0"/>
          <w:sz w:val="20"/>
          <w:szCs w:val="20"/>
          <w:lang w:eastAsia="en-GB"/>
          <w14:ligatures w14:val="none"/>
        </w:rPr>
        <w:t>songsang</w:t>
      </w:r>
      <w:proofErr w:type="spellEnd"/>
      <w:r w:rsidRPr="004E5F9B">
        <w:rPr>
          <w:rFonts w:ascii="Arial" w:eastAsia="Times New Roman" w:hAnsi="Arial" w:cs="Arial"/>
          <w:color w:val="000000"/>
          <w:kern w:val="0"/>
          <w:sz w:val="20"/>
          <w:szCs w:val="20"/>
          <w:lang w:eastAsia="en-GB"/>
          <w14:ligatures w14:val="none"/>
        </w:rPr>
        <w:t>’ or ‘deviant community.’</w:t>
      </w:r>
      <w:r w:rsidR="00783EB3" w:rsidRPr="004E5F9B">
        <w:rPr>
          <w:rStyle w:val="FootnoteReference"/>
          <w:rFonts w:ascii="Arial" w:eastAsia="Times New Roman" w:hAnsi="Arial" w:cs="Arial"/>
          <w:color w:val="000000"/>
          <w:kern w:val="0"/>
          <w:sz w:val="20"/>
          <w:szCs w:val="20"/>
          <w:lang w:eastAsia="en-GB"/>
          <w14:ligatures w14:val="none"/>
        </w:rPr>
        <w:footnoteReference w:id="46"/>
      </w:r>
    </w:p>
    <w:p w14:paraId="6236037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D301365" w14:textId="342AE50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5.3. </w:t>
      </w:r>
      <w:r w:rsidR="000170DA" w:rsidRPr="004E5F9B">
        <w:rPr>
          <w:rFonts w:ascii="Arial" w:hAnsi="Arial" w:cs="Arial"/>
          <w:color w:val="000000"/>
          <w:sz w:val="20"/>
          <w:szCs w:val="20"/>
        </w:rPr>
        <w:t>Between 2020 and 2023, the PPPA has been used 7 times to ban LGBT-themed books and watches for being ’</w:t>
      </w:r>
      <w:r w:rsidR="000170DA" w:rsidRPr="004E5F9B">
        <w:rPr>
          <w:rFonts w:ascii="Arial" w:hAnsi="Arial" w:cs="Arial"/>
          <w:color w:val="000000"/>
          <w:sz w:val="20"/>
          <w:szCs w:val="20"/>
          <w:shd w:val="clear" w:color="auto" w:fill="FFFFFF"/>
        </w:rPr>
        <w:t>detrimental to public order, morals, and public interest’</w:t>
      </w:r>
      <w:r w:rsidR="000170DA" w:rsidRPr="004E5F9B">
        <w:rPr>
          <w:rFonts w:ascii="Arial" w:hAnsi="Arial" w:cs="Arial"/>
          <w:color w:val="000000"/>
          <w:sz w:val="20"/>
          <w:szCs w:val="20"/>
        </w:rPr>
        <w:t xml:space="preserve">. </w:t>
      </w:r>
      <w:r w:rsidR="00343270" w:rsidRPr="004E5F9B">
        <w:rPr>
          <w:rFonts w:ascii="Arial" w:eastAsia="Times New Roman" w:hAnsi="Arial" w:cs="Arial"/>
          <w:color w:val="000000"/>
          <w:kern w:val="0"/>
          <w:sz w:val="20"/>
          <w:szCs w:val="20"/>
          <w:lang w:eastAsia="en-GB"/>
          <w14:ligatures w14:val="none"/>
        </w:rPr>
        <w:t>In 2022, the Home Ministry appealed a book ban lifted by the High Court.</w:t>
      </w:r>
      <w:r w:rsidR="00343270" w:rsidRPr="004E5F9B">
        <w:rPr>
          <w:rStyle w:val="FootnoteReference"/>
          <w:rFonts w:ascii="Arial" w:eastAsia="Times New Roman" w:hAnsi="Arial" w:cs="Arial"/>
          <w:color w:val="000000"/>
          <w:kern w:val="0"/>
          <w:sz w:val="20"/>
          <w:szCs w:val="20"/>
          <w:lang w:eastAsia="en-GB"/>
          <w14:ligatures w14:val="none"/>
        </w:rPr>
        <w:footnoteReference w:id="47"/>
      </w:r>
      <w:r w:rsidR="00343270"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In 2022, two celebrities</w:t>
      </w:r>
      <w:r w:rsidR="00BA5C2A" w:rsidRPr="004E5F9B">
        <w:rPr>
          <w:rStyle w:val="FootnoteReference"/>
          <w:rFonts w:ascii="Arial" w:eastAsia="Times New Roman" w:hAnsi="Arial" w:cs="Arial"/>
          <w:color w:val="000000"/>
          <w:kern w:val="0"/>
          <w:sz w:val="20"/>
          <w:szCs w:val="20"/>
          <w:lang w:eastAsia="en-GB"/>
          <w14:ligatures w14:val="none"/>
        </w:rPr>
        <w:footnoteReference w:id="48"/>
      </w:r>
      <w:r w:rsidRPr="004E5F9B">
        <w:rPr>
          <w:rFonts w:ascii="Arial" w:eastAsia="Times New Roman" w:hAnsi="Arial" w:cs="Arial"/>
          <w:color w:val="000000"/>
          <w:kern w:val="0"/>
          <w:sz w:val="20"/>
          <w:szCs w:val="20"/>
          <w:lang w:eastAsia="en-GB"/>
          <w14:ligatures w14:val="none"/>
        </w:rPr>
        <w:t xml:space="preserve"> were charged under the Communications and Multimedia Act (CMA) for sharing their music videos featuring gender-diverse and drag performers</w:t>
      </w:r>
      <w:r w:rsidR="00572701" w:rsidRPr="004E5F9B">
        <w:rPr>
          <w:rFonts w:ascii="Arial" w:eastAsia="Times New Roman" w:hAnsi="Arial" w:cs="Arial"/>
          <w:color w:val="000000"/>
          <w:kern w:val="0"/>
          <w:sz w:val="20"/>
          <w:szCs w:val="20"/>
          <w:lang w:eastAsia="en-GB"/>
          <w14:ligatures w14:val="none"/>
        </w:rPr>
        <w:t xml:space="preserve"> on social media platforms</w:t>
      </w:r>
      <w:r w:rsidRPr="004E5F9B">
        <w:rPr>
          <w:rFonts w:ascii="Arial" w:eastAsia="Times New Roman" w:hAnsi="Arial" w:cs="Arial"/>
          <w:color w:val="000000"/>
          <w:kern w:val="0"/>
          <w:sz w:val="20"/>
          <w:szCs w:val="20"/>
          <w:lang w:eastAsia="en-GB"/>
          <w14:ligatures w14:val="none"/>
        </w:rPr>
        <w:t>.</w:t>
      </w:r>
      <w:r w:rsidR="00BA5C2A" w:rsidRPr="004E5F9B">
        <w:rPr>
          <w:rStyle w:val="FootnoteReference"/>
          <w:rFonts w:ascii="Arial" w:eastAsia="Times New Roman" w:hAnsi="Arial" w:cs="Arial"/>
          <w:color w:val="000000"/>
          <w:kern w:val="0"/>
          <w:sz w:val="20"/>
          <w:szCs w:val="20"/>
          <w:lang w:eastAsia="en-GB"/>
          <w14:ligatures w14:val="none"/>
        </w:rPr>
        <w:footnoteReference w:id="49"/>
      </w:r>
      <w:r w:rsidRPr="004E5F9B">
        <w:rPr>
          <w:rFonts w:ascii="Arial" w:eastAsia="Times New Roman" w:hAnsi="Arial" w:cs="Arial"/>
          <w:color w:val="000000"/>
          <w:kern w:val="0"/>
          <w:sz w:val="20"/>
          <w:szCs w:val="20"/>
          <w:lang w:eastAsia="en-GB"/>
          <w14:ligatures w14:val="none"/>
        </w:rPr>
        <w:t xml:space="preserve"> 2 films</w:t>
      </w:r>
      <w:r w:rsidR="006A0150" w:rsidRPr="004E5F9B">
        <w:rPr>
          <w:rStyle w:val="FootnoteReference"/>
          <w:rFonts w:ascii="Arial" w:eastAsia="Times New Roman" w:hAnsi="Arial" w:cs="Arial"/>
          <w:color w:val="000000"/>
          <w:kern w:val="0"/>
          <w:sz w:val="20"/>
          <w:szCs w:val="20"/>
          <w:lang w:eastAsia="en-GB"/>
          <w14:ligatures w14:val="none"/>
        </w:rPr>
        <w:footnoteReference w:id="50"/>
      </w:r>
      <w:r w:rsidR="006A0150" w:rsidRPr="004E5F9B">
        <w:rPr>
          <w:rFonts w:ascii="Arial" w:eastAsia="Times New Roman" w:hAnsi="Arial" w:cs="Arial"/>
          <w:color w:val="000000"/>
          <w:kern w:val="0"/>
          <w:sz w:val="20"/>
          <w:szCs w:val="20"/>
          <w:lang w:eastAsia="en-GB"/>
          <w14:ligatures w14:val="none"/>
        </w:rPr>
        <w:t xml:space="preserve"> and </w:t>
      </w:r>
      <w:r w:rsidR="00A409B8" w:rsidRPr="004E5F9B">
        <w:rPr>
          <w:rFonts w:ascii="Arial" w:eastAsia="Times New Roman" w:hAnsi="Arial" w:cs="Arial"/>
          <w:color w:val="000000"/>
          <w:kern w:val="0"/>
          <w:sz w:val="20"/>
          <w:szCs w:val="20"/>
          <w:lang w:eastAsia="en-GB"/>
          <w14:ligatures w14:val="none"/>
        </w:rPr>
        <w:t>websites</w:t>
      </w:r>
      <w:r w:rsidR="006A0150" w:rsidRPr="004E5F9B">
        <w:rPr>
          <w:rStyle w:val="FootnoteReference"/>
          <w:rFonts w:ascii="Arial" w:eastAsia="Times New Roman" w:hAnsi="Arial" w:cs="Arial"/>
          <w:color w:val="000000"/>
          <w:kern w:val="0"/>
          <w:sz w:val="20"/>
          <w:szCs w:val="20"/>
          <w:lang w:eastAsia="en-GB"/>
          <w14:ligatures w14:val="none"/>
        </w:rPr>
        <w:footnoteReference w:id="51"/>
      </w:r>
      <w:r w:rsidR="006A0150" w:rsidRPr="004E5F9B">
        <w:rPr>
          <w:rFonts w:ascii="Arial" w:eastAsia="Times New Roman" w:hAnsi="Arial" w:cs="Arial"/>
          <w:color w:val="000000"/>
          <w:kern w:val="0"/>
          <w:sz w:val="20"/>
          <w:szCs w:val="20"/>
          <w:lang w:eastAsia="en-GB"/>
          <w14:ligatures w14:val="none"/>
        </w:rPr>
        <w:t xml:space="preserve"> have been </w:t>
      </w:r>
      <w:r w:rsidRPr="004E5F9B">
        <w:rPr>
          <w:rFonts w:ascii="Arial" w:eastAsia="Times New Roman" w:hAnsi="Arial" w:cs="Arial"/>
          <w:color w:val="000000"/>
          <w:kern w:val="0"/>
          <w:sz w:val="20"/>
          <w:szCs w:val="20"/>
          <w:lang w:eastAsia="en-GB"/>
          <w14:ligatures w14:val="none"/>
        </w:rPr>
        <w:t xml:space="preserve">banned due to LGBT content. </w:t>
      </w:r>
    </w:p>
    <w:p w14:paraId="4864ECBF"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0C1AD9F" w14:textId="4D7D8FBB" w:rsidR="00C47F9A" w:rsidRPr="004E5F9B" w:rsidRDefault="00C47F9A" w:rsidP="00C47F9A">
      <w:pPr>
        <w:pStyle w:val="NormalWeb"/>
        <w:spacing w:before="0" w:beforeAutospacing="0" w:after="240" w:afterAutospacing="0"/>
        <w:rPr>
          <w:rFonts w:ascii="Arial" w:hAnsi="Arial" w:cs="Arial"/>
          <w:color w:val="000000"/>
          <w:sz w:val="20"/>
          <w:szCs w:val="20"/>
        </w:rPr>
      </w:pPr>
      <w:r w:rsidRPr="004E5F9B">
        <w:rPr>
          <w:rFonts w:ascii="Arial" w:hAnsi="Arial" w:cs="Arial"/>
          <w:color w:val="000000"/>
          <w:sz w:val="20"/>
          <w:szCs w:val="20"/>
        </w:rPr>
        <w:t xml:space="preserve">5.4 In a 2024 parliament response, the Minister of Unity explained that </w:t>
      </w:r>
      <w:r w:rsidR="00AF5767" w:rsidRPr="004E5F9B">
        <w:rPr>
          <w:rFonts w:ascii="Arial" w:hAnsi="Arial" w:cs="Arial"/>
          <w:color w:val="000000"/>
          <w:sz w:val="20"/>
          <w:szCs w:val="20"/>
        </w:rPr>
        <w:t>the</w:t>
      </w:r>
      <w:r w:rsidRPr="004E5F9B">
        <w:rPr>
          <w:rFonts w:ascii="Arial" w:hAnsi="Arial" w:cs="Arial"/>
          <w:color w:val="000000"/>
          <w:sz w:val="20"/>
          <w:szCs w:val="20"/>
        </w:rPr>
        <w:t xml:space="preserve"> PPPA </w:t>
      </w:r>
      <w:r w:rsidR="00AF5767" w:rsidRPr="004E5F9B">
        <w:rPr>
          <w:rFonts w:ascii="Arial" w:hAnsi="Arial" w:cs="Arial"/>
          <w:color w:val="000000"/>
          <w:sz w:val="20"/>
          <w:szCs w:val="20"/>
        </w:rPr>
        <w:t xml:space="preserve">is used </w:t>
      </w:r>
      <w:r w:rsidRPr="004E5F9B">
        <w:rPr>
          <w:rFonts w:ascii="Arial" w:hAnsi="Arial" w:cs="Arial"/>
          <w:color w:val="000000"/>
          <w:sz w:val="20"/>
          <w:szCs w:val="20"/>
        </w:rPr>
        <w:t xml:space="preserve">to ‘curb normalization of LGBTQ culture in Malaysia’, including but not limited to confiscating LGBT-themed publications,  imposing a Prohibition Order to ban all aspects of the publication, </w:t>
      </w:r>
      <w:r w:rsidR="00AC7313" w:rsidRPr="004E5F9B">
        <w:rPr>
          <w:rFonts w:ascii="Arial" w:hAnsi="Arial" w:cs="Arial"/>
          <w:color w:val="000000"/>
          <w:sz w:val="20"/>
          <w:szCs w:val="20"/>
        </w:rPr>
        <w:t>cancelling</w:t>
      </w:r>
      <w:r w:rsidRPr="004E5F9B">
        <w:rPr>
          <w:rFonts w:ascii="Arial" w:hAnsi="Arial" w:cs="Arial"/>
          <w:color w:val="000000"/>
          <w:sz w:val="20"/>
          <w:szCs w:val="20"/>
        </w:rPr>
        <w:t xml:space="preserve"> or suspending the license of publishers for publishing LGBT-themed publications. The Ministry’s 2024 public survey to amend the PPPA identifies, among others, LGBT-themed publications, radicalism, terrorism as publications as unwanted publications or publications that can cause public immorality and national insecurity.</w:t>
      </w:r>
      <w:r w:rsidR="00A031D1" w:rsidRPr="004E5F9B">
        <w:rPr>
          <w:rStyle w:val="FootnoteReference"/>
          <w:rFonts w:ascii="Arial" w:hAnsi="Arial" w:cs="Arial"/>
          <w:color w:val="000000"/>
          <w:sz w:val="20"/>
          <w:szCs w:val="20"/>
        </w:rPr>
        <w:footnoteReference w:id="52"/>
      </w:r>
      <w:r w:rsidRPr="004E5F9B">
        <w:rPr>
          <w:rFonts w:ascii="Arial" w:hAnsi="Arial" w:cs="Arial"/>
          <w:color w:val="000000"/>
          <w:sz w:val="20"/>
          <w:szCs w:val="20"/>
        </w:rPr>
        <w:t> </w:t>
      </w:r>
    </w:p>
    <w:p w14:paraId="0F537B36" w14:textId="28BF7AA2"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r w:rsidRPr="004E5F9B">
        <w:rPr>
          <w:rFonts w:ascii="Arial" w:eastAsia="Times New Roman" w:hAnsi="Arial" w:cs="Arial"/>
          <w:color w:val="000000"/>
          <w:kern w:val="0"/>
          <w:sz w:val="20"/>
          <w:szCs w:val="20"/>
          <w:lang w:eastAsia="en-GB"/>
          <w14:ligatures w14:val="none"/>
        </w:rPr>
        <w:br/>
      </w:r>
    </w:p>
    <w:p w14:paraId="10AA7633" w14:textId="01CB2E58" w:rsidR="009313B2" w:rsidRPr="004E5F9B" w:rsidRDefault="009313B2" w:rsidP="009313B2">
      <w:pPr>
        <w:numPr>
          <w:ilvl w:val="0"/>
          <w:numId w:val="21"/>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End all forms of LGBT demonization,  </w:t>
      </w:r>
      <w:proofErr w:type="spellStart"/>
      <w:r w:rsidRPr="004E5F9B">
        <w:rPr>
          <w:rFonts w:ascii="Arial" w:eastAsia="Times New Roman" w:hAnsi="Arial" w:cs="Arial"/>
          <w:color w:val="000000"/>
          <w:kern w:val="0"/>
          <w:sz w:val="20"/>
          <w:szCs w:val="20"/>
          <w:lang w:eastAsia="en-GB"/>
          <w14:ligatures w14:val="none"/>
        </w:rPr>
        <w:t>pathologisation</w:t>
      </w:r>
      <w:proofErr w:type="spellEnd"/>
      <w:r w:rsidRPr="004E5F9B">
        <w:rPr>
          <w:rFonts w:ascii="Arial" w:eastAsia="Times New Roman" w:hAnsi="Arial" w:cs="Arial"/>
          <w:color w:val="000000"/>
          <w:kern w:val="0"/>
          <w:sz w:val="20"/>
          <w:szCs w:val="20"/>
          <w:lang w:eastAsia="en-GB"/>
          <w14:ligatures w14:val="none"/>
        </w:rPr>
        <w:t>, misinformation, and censorship o</w:t>
      </w:r>
      <w:r w:rsidR="009B72D6" w:rsidRPr="004E5F9B">
        <w:rPr>
          <w:rFonts w:ascii="Arial" w:eastAsia="Times New Roman" w:hAnsi="Arial" w:cs="Arial"/>
          <w:color w:val="000000"/>
          <w:kern w:val="0"/>
          <w:sz w:val="20"/>
          <w:szCs w:val="20"/>
          <w:lang w:eastAsia="en-GB"/>
          <w14:ligatures w14:val="none"/>
        </w:rPr>
        <w:t>f</w:t>
      </w:r>
      <w:r w:rsidRPr="004E5F9B">
        <w:rPr>
          <w:rFonts w:ascii="Arial" w:eastAsia="Times New Roman" w:hAnsi="Arial" w:cs="Arial"/>
          <w:color w:val="000000"/>
          <w:kern w:val="0"/>
          <w:sz w:val="20"/>
          <w:szCs w:val="20"/>
          <w:lang w:eastAsia="en-GB"/>
          <w14:ligatures w14:val="none"/>
        </w:rPr>
        <w:t xml:space="preserve"> actual or perceived LGBT content and publication</w:t>
      </w:r>
      <w:r w:rsidR="00483922" w:rsidRPr="004E5F9B">
        <w:rPr>
          <w:rFonts w:ascii="Arial" w:eastAsia="Times New Roman" w:hAnsi="Arial" w:cs="Arial"/>
          <w:color w:val="000000"/>
          <w:kern w:val="0"/>
          <w:sz w:val="20"/>
          <w:szCs w:val="20"/>
          <w:lang w:eastAsia="en-GB"/>
          <w14:ligatures w14:val="none"/>
        </w:rPr>
        <w:t>s</w:t>
      </w:r>
      <w:r w:rsidRPr="004E5F9B">
        <w:rPr>
          <w:rFonts w:ascii="Arial" w:eastAsia="Times New Roman" w:hAnsi="Arial" w:cs="Arial"/>
          <w:color w:val="000000"/>
          <w:kern w:val="0"/>
          <w:sz w:val="20"/>
          <w:szCs w:val="20"/>
          <w:lang w:eastAsia="en-GB"/>
          <w14:ligatures w14:val="none"/>
        </w:rPr>
        <w:t> </w:t>
      </w:r>
    </w:p>
    <w:p w14:paraId="7685431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F4364AC" w14:textId="77777777" w:rsidR="00F064EA" w:rsidRPr="004E5F9B" w:rsidRDefault="00F064EA">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716C9F67" w14:textId="7965BE53"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7: Political and public life</w:t>
      </w:r>
    </w:p>
    <w:p w14:paraId="6F2C139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8F8C50E"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Right to vote </w:t>
      </w:r>
    </w:p>
    <w:p w14:paraId="4AAC4FE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F830685"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7.1 The lack of LGR for trans and gender-diverse people poses a barrier for them to participate in elections and politics. As the electoral rolls reflect the name and gender marker as per identification card (IC), trans and gender-diverse persons are inevitably subjected to misgendering, being outed, or having their gender identity disclosed to the election officers and others at the polling centre. This results in voter suppression among trans people in particular.</w:t>
      </w:r>
    </w:p>
    <w:p w14:paraId="709E0AD5"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A128A82" w14:textId="0DB2EF2E"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7.2 In the last two elections, those whose appearance differs from the photo on their IC, including trans and gender-diverse persons, are required to fill out Form 11 to verify their identity.</w:t>
      </w:r>
      <w:r w:rsidR="00076C87" w:rsidRPr="004E5F9B">
        <w:rPr>
          <w:rStyle w:val="FootnoteReference"/>
          <w:rFonts w:ascii="Arial" w:eastAsia="Times New Roman" w:hAnsi="Arial" w:cs="Arial"/>
          <w:color w:val="000000"/>
          <w:kern w:val="0"/>
          <w:sz w:val="20"/>
          <w:szCs w:val="20"/>
          <w:lang w:eastAsia="en-GB"/>
          <w14:ligatures w14:val="none"/>
        </w:rPr>
        <w:footnoteReference w:id="53"/>
      </w:r>
      <w:r w:rsidRPr="004E5F9B">
        <w:rPr>
          <w:rFonts w:ascii="Arial" w:eastAsia="Times New Roman" w:hAnsi="Arial" w:cs="Arial"/>
          <w:color w:val="000000"/>
          <w:kern w:val="0"/>
          <w:sz w:val="20"/>
          <w:szCs w:val="20"/>
          <w:lang w:eastAsia="en-GB"/>
          <w14:ligatures w14:val="none"/>
        </w:rPr>
        <w:t xml:space="preserve"> Based on collective observation, Form 11 has not been applied consistently for all trans and gender-diverse persons: some reportedly were required to complete Form 11, and some reported microaggressions from election officers.</w:t>
      </w:r>
    </w:p>
    <w:p w14:paraId="3458841B"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2D0C26C"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Barriers to public and political participation </w:t>
      </w:r>
    </w:p>
    <w:p w14:paraId="5DBF6F11" w14:textId="0539E613"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7.3 Election hate speech monitoring found offensive speech related to gender and sexual orientation was 3 times higher than religion- and race-related offensive speech.</w:t>
      </w:r>
      <w:r w:rsidR="00264647" w:rsidRPr="004E5F9B">
        <w:rPr>
          <w:rStyle w:val="FootnoteReference"/>
          <w:rFonts w:ascii="Arial" w:eastAsia="Times New Roman" w:hAnsi="Arial" w:cs="Arial"/>
          <w:color w:val="000000"/>
          <w:kern w:val="0"/>
          <w:sz w:val="20"/>
          <w:szCs w:val="20"/>
          <w:lang w:eastAsia="en-GB"/>
          <w14:ligatures w14:val="none"/>
        </w:rPr>
        <w:footnoteReference w:id="54"/>
      </w:r>
      <w:r w:rsidRPr="004E5F9B">
        <w:rPr>
          <w:rFonts w:ascii="Arial" w:eastAsia="Times New Roman" w:hAnsi="Arial" w:cs="Arial"/>
          <w:color w:val="000000"/>
          <w:kern w:val="0"/>
          <w:sz w:val="20"/>
          <w:szCs w:val="20"/>
          <w:lang w:eastAsia="en-GB"/>
          <w14:ligatures w14:val="none"/>
        </w:rPr>
        <w:t xml:space="preserve"> A survey with 220 LGBT people found 55% and 53% faced increased stress due to media sensationalism and online hate speech. Meanwhile, </w:t>
      </w:r>
      <w:r w:rsidR="004524BE" w:rsidRPr="004E5F9B">
        <w:rPr>
          <w:rFonts w:ascii="Arial" w:eastAsia="Times New Roman" w:hAnsi="Arial" w:cs="Arial"/>
          <w:color w:val="000000"/>
          <w:kern w:val="0"/>
          <w:sz w:val="20"/>
          <w:szCs w:val="20"/>
          <w:lang w:eastAsia="en-GB"/>
          <w14:ligatures w14:val="none"/>
        </w:rPr>
        <w:t xml:space="preserve">between </w:t>
      </w:r>
      <w:r w:rsidRPr="004E5F9B">
        <w:rPr>
          <w:rFonts w:ascii="Arial" w:eastAsia="Times New Roman" w:hAnsi="Arial" w:cs="Arial"/>
          <w:color w:val="000000"/>
          <w:kern w:val="0"/>
          <w:sz w:val="20"/>
          <w:szCs w:val="20"/>
          <w:lang w:eastAsia="en-GB"/>
          <w14:ligatures w14:val="none"/>
        </w:rPr>
        <w:t>33% - 39% experienced discrimination.</w:t>
      </w:r>
      <w:r w:rsidR="00801FE2" w:rsidRPr="004E5F9B">
        <w:rPr>
          <w:rStyle w:val="FootnoteReference"/>
          <w:rFonts w:ascii="Arial" w:eastAsia="Times New Roman" w:hAnsi="Arial" w:cs="Arial"/>
          <w:color w:val="000000"/>
          <w:kern w:val="0"/>
          <w:sz w:val="20"/>
          <w:szCs w:val="20"/>
          <w:lang w:eastAsia="en-GB"/>
          <w14:ligatures w14:val="none"/>
        </w:rPr>
        <w:footnoteReference w:id="55"/>
      </w:r>
      <w:r w:rsidRPr="004E5F9B">
        <w:rPr>
          <w:rFonts w:ascii="Arial" w:eastAsia="Times New Roman" w:hAnsi="Arial" w:cs="Arial"/>
          <w:color w:val="000000"/>
          <w:kern w:val="0"/>
          <w:sz w:val="20"/>
          <w:szCs w:val="20"/>
          <w:lang w:eastAsia="en-GB"/>
          <w14:ligatures w14:val="none"/>
        </w:rPr>
        <w:t> </w:t>
      </w:r>
    </w:p>
    <w:p w14:paraId="1414C41B" w14:textId="2E00CA08"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7.4 Although political </w:t>
      </w:r>
      <w:proofErr w:type="spellStart"/>
      <w:r w:rsidRPr="004E5F9B">
        <w:rPr>
          <w:rFonts w:ascii="Arial" w:eastAsia="Times New Roman" w:hAnsi="Arial" w:cs="Arial"/>
          <w:color w:val="000000"/>
          <w:kern w:val="0"/>
          <w:sz w:val="20"/>
          <w:szCs w:val="20"/>
          <w:lang w:eastAsia="en-GB"/>
          <w14:ligatures w14:val="none"/>
        </w:rPr>
        <w:t>LGBTphobia</w:t>
      </w:r>
      <w:proofErr w:type="spellEnd"/>
      <w:r w:rsidRPr="004E5F9B">
        <w:rPr>
          <w:rFonts w:ascii="Arial" w:eastAsia="Times New Roman" w:hAnsi="Arial" w:cs="Arial"/>
          <w:color w:val="000000"/>
          <w:kern w:val="0"/>
          <w:sz w:val="20"/>
          <w:szCs w:val="20"/>
          <w:lang w:eastAsia="en-GB"/>
          <w14:ligatures w14:val="none"/>
        </w:rPr>
        <w:t xml:space="preserve"> is high,</w:t>
      </w:r>
      <w:r w:rsidR="00A13C92" w:rsidRPr="004E5F9B">
        <w:rPr>
          <w:rStyle w:val="FootnoteReference"/>
          <w:rFonts w:ascii="Arial" w:eastAsia="Times New Roman" w:hAnsi="Arial" w:cs="Arial"/>
          <w:color w:val="000000"/>
          <w:kern w:val="0"/>
          <w:sz w:val="20"/>
          <w:szCs w:val="20"/>
          <w:lang w:eastAsia="en-GB"/>
          <w14:ligatures w14:val="none"/>
        </w:rPr>
        <w:footnoteReference w:id="56"/>
      </w:r>
      <w:r w:rsidRPr="004E5F9B">
        <w:rPr>
          <w:rFonts w:ascii="Arial" w:eastAsia="Times New Roman" w:hAnsi="Arial" w:cs="Arial"/>
          <w:color w:val="000000"/>
          <w:kern w:val="0"/>
          <w:sz w:val="20"/>
          <w:szCs w:val="20"/>
          <w:lang w:eastAsia="en-GB"/>
          <w14:ligatures w14:val="none"/>
        </w:rPr>
        <w:t xml:space="preserve"> as evidenced by the outing of politicians based on their perceived sexual orientation, leak of sex videos, name-calling, </w:t>
      </w:r>
      <w:r w:rsidR="00A13C92" w:rsidRPr="004E5F9B">
        <w:rPr>
          <w:rStyle w:val="FootnoteReference"/>
          <w:rFonts w:ascii="Arial" w:eastAsia="Times New Roman" w:hAnsi="Arial" w:cs="Arial"/>
          <w:color w:val="000000"/>
          <w:kern w:val="0"/>
          <w:sz w:val="20"/>
          <w:szCs w:val="20"/>
          <w:lang w:eastAsia="en-GB"/>
          <w14:ligatures w14:val="none"/>
        </w:rPr>
        <w:footnoteReference w:id="57"/>
      </w:r>
      <w:r w:rsidRPr="004E5F9B">
        <w:rPr>
          <w:rFonts w:ascii="Arial" w:eastAsia="Times New Roman" w:hAnsi="Arial" w:cs="Arial"/>
          <w:color w:val="000000"/>
          <w:kern w:val="0"/>
          <w:sz w:val="20"/>
          <w:szCs w:val="20"/>
          <w:lang w:eastAsia="en-GB"/>
          <w14:ligatures w14:val="none"/>
        </w:rPr>
        <w:t>among others, no measures have been taken against hostility, exploitation, and scapegoating of LGBT people and issues. Section 4A of the Election Offences Act prohibits the promotion of ill-will or hostility.</w:t>
      </w:r>
      <w:r w:rsidR="0032632A" w:rsidRPr="004E5F9B">
        <w:rPr>
          <w:rStyle w:val="FootnoteReference"/>
          <w:rFonts w:ascii="Arial" w:eastAsia="Times New Roman" w:hAnsi="Arial" w:cs="Arial"/>
          <w:color w:val="000000"/>
          <w:kern w:val="0"/>
          <w:sz w:val="20"/>
          <w:szCs w:val="20"/>
          <w:lang w:eastAsia="en-GB"/>
          <w14:ligatures w14:val="none"/>
        </w:rPr>
        <w:footnoteReference w:id="58"/>
      </w:r>
      <w:r w:rsidRPr="004E5F9B">
        <w:rPr>
          <w:rFonts w:ascii="Arial" w:eastAsia="Times New Roman" w:hAnsi="Arial" w:cs="Arial"/>
          <w:color w:val="000000"/>
          <w:kern w:val="0"/>
          <w:sz w:val="20"/>
          <w:szCs w:val="20"/>
          <w:lang w:eastAsia="en-GB"/>
          <w14:ligatures w14:val="none"/>
        </w:rPr>
        <w:t xml:space="preserve"> Political parties who are subjected to </w:t>
      </w:r>
      <w:proofErr w:type="spellStart"/>
      <w:r w:rsidRPr="004E5F9B">
        <w:rPr>
          <w:rFonts w:ascii="Arial" w:eastAsia="Times New Roman" w:hAnsi="Arial" w:cs="Arial"/>
          <w:color w:val="000000"/>
          <w:kern w:val="0"/>
          <w:sz w:val="20"/>
          <w:szCs w:val="20"/>
          <w:lang w:eastAsia="en-GB"/>
          <w14:ligatures w14:val="none"/>
        </w:rPr>
        <w:t>LGBTphobia</w:t>
      </w:r>
      <w:proofErr w:type="spellEnd"/>
      <w:r w:rsidRPr="004E5F9B">
        <w:rPr>
          <w:rFonts w:ascii="Arial" w:eastAsia="Times New Roman" w:hAnsi="Arial" w:cs="Arial"/>
          <w:color w:val="000000"/>
          <w:kern w:val="0"/>
          <w:sz w:val="20"/>
          <w:szCs w:val="20"/>
          <w:lang w:eastAsia="en-GB"/>
          <w14:ligatures w14:val="none"/>
        </w:rPr>
        <w:t xml:space="preserve">, aggressively and </w:t>
      </w:r>
      <w:proofErr w:type="spellStart"/>
      <w:r w:rsidRPr="004E5F9B">
        <w:rPr>
          <w:rFonts w:ascii="Arial" w:eastAsia="Times New Roman" w:hAnsi="Arial" w:cs="Arial"/>
          <w:color w:val="000000"/>
          <w:kern w:val="0"/>
          <w:sz w:val="20"/>
          <w:szCs w:val="20"/>
          <w:lang w:eastAsia="en-GB"/>
          <w14:ligatures w14:val="none"/>
        </w:rPr>
        <w:t>preemptively</w:t>
      </w:r>
      <w:proofErr w:type="spellEnd"/>
      <w:r w:rsidRPr="004E5F9B">
        <w:rPr>
          <w:rFonts w:ascii="Arial" w:eastAsia="Times New Roman" w:hAnsi="Arial" w:cs="Arial"/>
          <w:color w:val="000000"/>
          <w:kern w:val="0"/>
          <w:sz w:val="20"/>
          <w:szCs w:val="20"/>
          <w:lang w:eastAsia="en-GB"/>
          <w14:ligatures w14:val="none"/>
        </w:rPr>
        <w:t xml:space="preserve"> disassociate themselves from LGBT-related issues, resulting in their exclusion. </w:t>
      </w:r>
    </w:p>
    <w:p w14:paraId="7BB40CFB" w14:textId="61CCCEED"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7.5 LBT human rights defenders report increasing hostility, apathy, and dismissal by government stakeholders, citing “sensitivity” when discrimination against LGBTQ people is raised.</w:t>
      </w:r>
      <w:r w:rsidR="000B38F3" w:rsidRPr="004E5F9B">
        <w:rPr>
          <w:rStyle w:val="FootnoteReference"/>
          <w:rFonts w:ascii="Arial" w:eastAsia="Times New Roman" w:hAnsi="Arial" w:cs="Arial"/>
          <w:color w:val="000000"/>
          <w:kern w:val="0"/>
          <w:sz w:val="20"/>
          <w:szCs w:val="20"/>
          <w:lang w:eastAsia="en-GB"/>
          <w14:ligatures w14:val="none"/>
        </w:rPr>
        <w:footnoteReference w:id="59"/>
      </w:r>
      <w:r w:rsidRPr="004E5F9B">
        <w:rPr>
          <w:rFonts w:ascii="Arial" w:eastAsia="Times New Roman" w:hAnsi="Arial" w:cs="Arial"/>
          <w:color w:val="000000"/>
          <w:kern w:val="0"/>
          <w:sz w:val="20"/>
          <w:szCs w:val="20"/>
          <w:lang w:eastAsia="en-GB"/>
          <w14:ligatures w14:val="none"/>
        </w:rPr>
        <w:t xml:space="preserve"> The refusal of the line ministries to engage in LGBTQ HRD among others, exacerbates the hostility towards LGBTQ persons. </w:t>
      </w:r>
    </w:p>
    <w:p w14:paraId="4562FCD5" w14:textId="35B56084"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7.6 State-linked ex-LGBT groups are pitted against LGBT groups to reinforce the ‘legitimacy’ and ‘efficacy’ of their harmful ‘rehabilitation’ programmes and deter the representation of LBTI women in government processes. In 2019, a woman human rights defender faced public backlash following her appointment as a civil society representative for a</w:t>
      </w:r>
      <w:r w:rsidR="00D27495" w:rsidRPr="004E5F9B">
        <w:rPr>
          <w:rFonts w:ascii="Arial" w:eastAsia="Times New Roman" w:hAnsi="Arial" w:cs="Arial"/>
          <w:color w:val="000000"/>
          <w:kern w:val="0"/>
          <w:sz w:val="20"/>
          <w:szCs w:val="20"/>
          <w:lang w:eastAsia="en-GB"/>
          <w14:ligatures w14:val="none"/>
        </w:rPr>
        <w:t xml:space="preserve"> health </w:t>
      </w:r>
      <w:r w:rsidRPr="004E5F9B">
        <w:rPr>
          <w:rFonts w:ascii="Arial" w:eastAsia="Times New Roman" w:hAnsi="Arial" w:cs="Arial"/>
          <w:color w:val="000000"/>
          <w:kern w:val="0"/>
          <w:sz w:val="20"/>
          <w:szCs w:val="20"/>
          <w:lang w:eastAsia="en-GB"/>
          <w14:ligatures w14:val="none"/>
        </w:rPr>
        <w:t>oversight mechanism</w:t>
      </w:r>
      <w:r w:rsidR="002A556D" w:rsidRPr="004E5F9B">
        <w:rPr>
          <w:rFonts w:ascii="Arial" w:eastAsia="Times New Roman" w:hAnsi="Arial" w:cs="Arial"/>
          <w:color w:val="000000"/>
          <w:kern w:val="0"/>
          <w:sz w:val="20"/>
          <w:szCs w:val="20"/>
          <w:lang w:eastAsia="en-GB"/>
          <w14:ligatures w14:val="none"/>
        </w:rPr>
        <w:t>,</w:t>
      </w:r>
      <w:r w:rsidR="00363312" w:rsidRPr="004E5F9B">
        <w:rPr>
          <w:rStyle w:val="FootnoteReference"/>
          <w:rFonts w:ascii="Arial" w:eastAsia="Times New Roman" w:hAnsi="Arial" w:cs="Arial"/>
          <w:color w:val="000000"/>
          <w:kern w:val="0"/>
          <w:sz w:val="20"/>
          <w:szCs w:val="20"/>
          <w:lang w:eastAsia="en-GB"/>
          <w14:ligatures w14:val="none"/>
        </w:rPr>
        <w:footnoteReference w:id="60"/>
      </w:r>
      <w:r w:rsidRPr="004E5F9B">
        <w:rPr>
          <w:rFonts w:ascii="Arial" w:eastAsia="Times New Roman" w:hAnsi="Arial" w:cs="Arial"/>
          <w:color w:val="000000"/>
          <w:kern w:val="0"/>
          <w:sz w:val="20"/>
          <w:szCs w:val="20"/>
          <w:lang w:eastAsia="en-GB"/>
          <w14:ligatures w14:val="none"/>
        </w:rPr>
        <w:t xml:space="preserve"> </w:t>
      </w:r>
      <w:r w:rsidR="00FC6626" w:rsidRPr="004E5F9B">
        <w:rPr>
          <w:rStyle w:val="FootnoteReference"/>
          <w:rFonts w:ascii="Arial" w:eastAsia="Times New Roman" w:hAnsi="Arial" w:cs="Arial"/>
          <w:color w:val="000000"/>
          <w:kern w:val="0"/>
          <w:sz w:val="20"/>
          <w:szCs w:val="20"/>
          <w:lang w:eastAsia="en-GB"/>
          <w14:ligatures w14:val="none"/>
        </w:rPr>
        <w:footnoteReference w:id="61"/>
      </w:r>
      <w:r w:rsidR="002A556D" w:rsidRPr="004E5F9B">
        <w:rPr>
          <w:rFonts w:ascii="Arial" w:eastAsia="Times New Roman" w:hAnsi="Arial" w:cs="Arial"/>
          <w:color w:val="000000"/>
          <w:kern w:val="0"/>
          <w:sz w:val="20"/>
          <w:szCs w:val="20"/>
          <w:lang w:eastAsia="en-GB"/>
          <w14:ligatures w14:val="none"/>
        </w:rPr>
        <w:t xml:space="preserve"> including</w:t>
      </w:r>
      <w:r w:rsidRPr="004E5F9B">
        <w:rPr>
          <w:rFonts w:ascii="Arial" w:eastAsia="Times New Roman" w:hAnsi="Arial" w:cs="Arial"/>
          <w:color w:val="000000"/>
          <w:kern w:val="0"/>
          <w:sz w:val="20"/>
          <w:szCs w:val="20"/>
          <w:lang w:eastAsia="en-GB"/>
          <w14:ligatures w14:val="none"/>
        </w:rPr>
        <w:t xml:space="preserve"> public pressure to review her </w:t>
      </w:r>
      <w:r w:rsidR="002A556D" w:rsidRPr="004E5F9B">
        <w:rPr>
          <w:rFonts w:ascii="Arial" w:eastAsia="Times New Roman" w:hAnsi="Arial" w:cs="Arial"/>
          <w:color w:val="000000"/>
          <w:kern w:val="0"/>
          <w:sz w:val="20"/>
          <w:szCs w:val="20"/>
          <w:lang w:eastAsia="en-GB"/>
          <w14:ligatures w14:val="none"/>
        </w:rPr>
        <w:t>position</w:t>
      </w:r>
      <w:r w:rsidR="00203C34" w:rsidRPr="004E5F9B">
        <w:rPr>
          <w:rFonts w:ascii="Arial" w:eastAsia="Times New Roman" w:hAnsi="Arial" w:cs="Arial"/>
          <w:color w:val="000000"/>
          <w:kern w:val="0"/>
          <w:sz w:val="20"/>
          <w:szCs w:val="20"/>
          <w:lang w:eastAsia="en-GB"/>
          <w14:ligatures w14:val="none"/>
        </w:rPr>
        <w:t>,</w:t>
      </w:r>
      <w:r w:rsidRPr="004E5F9B">
        <w:rPr>
          <w:rFonts w:ascii="Arial" w:eastAsia="Times New Roman" w:hAnsi="Arial" w:cs="Arial"/>
          <w:color w:val="000000"/>
          <w:kern w:val="0"/>
          <w:sz w:val="20"/>
          <w:szCs w:val="20"/>
          <w:lang w:eastAsia="en-GB"/>
          <w14:ligatures w14:val="none"/>
        </w:rPr>
        <w:t xml:space="preserve"> death threats and doxing. While her representation</w:t>
      </w:r>
      <w:r w:rsidR="004A195C" w:rsidRPr="004E5F9B">
        <w:rPr>
          <w:rFonts w:ascii="Arial" w:eastAsia="Times New Roman" w:hAnsi="Arial" w:cs="Arial"/>
          <w:color w:val="000000"/>
          <w:kern w:val="0"/>
          <w:sz w:val="20"/>
          <w:szCs w:val="20"/>
          <w:lang w:eastAsia="en-GB"/>
          <w14:ligatures w14:val="none"/>
        </w:rPr>
        <w:t xml:space="preserve"> was maintained</w:t>
      </w:r>
      <w:r w:rsidRPr="004E5F9B">
        <w:rPr>
          <w:rFonts w:ascii="Arial" w:eastAsia="Times New Roman" w:hAnsi="Arial" w:cs="Arial"/>
          <w:color w:val="000000"/>
          <w:kern w:val="0"/>
          <w:sz w:val="20"/>
          <w:szCs w:val="20"/>
          <w:lang w:eastAsia="en-GB"/>
          <w14:ligatures w14:val="none"/>
        </w:rPr>
        <w:t>, the backlash was not addressed.</w:t>
      </w:r>
      <w:r w:rsidR="0003210A" w:rsidRPr="004E5F9B">
        <w:rPr>
          <w:rStyle w:val="FootnoteReference"/>
          <w:rFonts w:ascii="Arial" w:eastAsia="Times New Roman" w:hAnsi="Arial" w:cs="Arial"/>
          <w:color w:val="000000"/>
          <w:kern w:val="0"/>
          <w:sz w:val="20"/>
          <w:szCs w:val="20"/>
          <w:lang w:eastAsia="en-GB"/>
          <w14:ligatures w14:val="none"/>
        </w:rPr>
        <w:footnoteReference w:id="62"/>
      </w:r>
      <w:r w:rsidRPr="004E5F9B">
        <w:rPr>
          <w:rFonts w:ascii="Arial" w:eastAsia="Times New Roman" w:hAnsi="Arial" w:cs="Arial"/>
          <w:color w:val="000000"/>
          <w:kern w:val="0"/>
          <w:sz w:val="20"/>
          <w:szCs w:val="20"/>
          <w:lang w:eastAsia="en-GB"/>
          <w14:ligatures w14:val="none"/>
        </w:rPr>
        <w:t xml:space="preserve"> These negative reactions further hinder LGBT representation. </w:t>
      </w:r>
    </w:p>
    <w:p w14:paraId="018A56C4" w14:textId="1FBF1444"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w:t>
      </w:r>
      <w:r w:rsidR="00460943" w:rsidRPr="004E5F9B">
        <w:rPr>
          <w:rFonts w:ascii="Arial" w:eastAsia="Times New Roman" w:hAnsi="Arial" w:cs="Arial"/>
          <w:color w:val="000000"/>
          <w:kern w:val="0"/>
          <w:sz w:val="20"/>
          <w:szCs w:val="20"/>
          <w:lang w:eastAsia="en-GB"/>
          <w14:ligatures w14:val="none"/>
        </w:rPr>
        <w:t>7</w:t>
      </w:r>
      <w:r w:rsidRPr="004E5F9B">
        <w:rPr>
          <w:rFonts w:ascii="Arial" w:eastAsia="Times New Roman" w:hAnsi="Arial" w:cs="Arial"/>
          <w:color w:val="000000"/>
          <w:kern w:val="0"/>
          <w:sz w:val="20"/>
          <w:szCs w:val="20"/>
          <w:lang w:eastAsia="en-GB"/>
          <w14:ligatures w14:val="none"/>
        </w:rPr>
        <w:t xml:space="preserve"> Advocacy efforts and criticism against the state’s LGBT ‘rehabilitation’ and other harmful programmes are met with heavy-handed responses, including police reports by JAKIM.</w:t>
      </w:r>
      <w:r w:rsidR="00882D40" w:rsidRPr="004E5F9B">
        <w:rPr>
          <w:rStyle w:val="FootnoteReference"/>
          <w:rFonts w:ascii="Arial" w:eastAsia="Times New Roman" w:hAnsi="Arial" w:cs="Arial"/>
          <w:color w:val="000000"/>
          <w:kern w:val="0"/>
          <w:sz w:val="20"/>
          <w:szCs w:val="20"/>
          <w:lang w:eastAsia="en-GB"/>
          <w14:ligatures w14:val="none"/>
        </w:rPr>
        <w:footnoteReference w:id="63"/>
      </w:r>
      <w:r w:rsidRPr="004E5F9B">
        <w:rPr>
          <w:rFonts w:ascii="Arial" w:eastAsia="Times New Roman" w:hAnsi="Arial" w:cs="Arial"/>
          <w:color w:val="000000"/>
          <w:kern w:val="0"/>
          <w:sz w:val="20"/>
          <w:szCs w:val="20"/>
          <w:lang w:eastAsia="en-GB"/>
          <w14:ligatures w14:val="none"/>
        </w:rPr>
        <w:t> </w:t>
      </w:r>
    </w:p>
    <w:p w14:paraId="332F5972"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Freedom of assembly </w:t>
      </w:r>
    </w:p>
    <w:p w14:paraId="3A8745C1"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28BCC33" w14:textId="203036E3"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7.</w:t>
      </w:r>
      <w:r w:rsidR="00460943" w:rsidRPr="004E5F9B">
        <w:rPr>
          <w:rFonts w:ascii="Arial" w:eastAsia="Times New Roman" w:hAnsi="Arial" w:cs="Arial"/>
          <w:color w:val="000000"/>
          <w:kern w:val="0"/>
          <w:sz w:val="20"/>
          <w:szCs w:val="20"/>
          <w:lang w:eastAsia="en-GB"/>
          <w14:ligatures w14:val="none"/>
        </w:rPr>
        <w:t>8</w:t>
      </w:r>
      <w:r w:rsidRPr="004E5F9B">
        <w:rPr>
          <w:rFonts w:ascii="Arial" w:eastAsia="Times New Roman" w:hAnsi="Arial" w:cs="Arial"/>
          <w:color w:val="000000"/>
          <w:kern w:val="0"/>
          <w:sz w:val="20"/>
          <w:szCs w:val="20"/>
          <w:lang w:eastAsia="en-GB"/>
          <w14:ligatures w14:val="none"/>
        </w:rPr>
        <w:t xml:space="preserve"> Since the last CEDAW review, LBTI women’s freedom of assembly and public participation has further declined. Between 2019 and 2022, at least eight LGBT-related events</w:t>
      </w:r>
      <w:r w:rsidR="00B42D96" w:rsidRPr="004E5F9B">
        <w:rPr>
          <w:rStyle w:val="FootnoteReference"/>
          <w:rFonts w:ascii="Arial" w:eastAsia="Times New Roman" w:hAnsi="Arial" w:cs="Arial"/>
          <w:color w:val="000000"/>
          <w:kern w:val="0"/>
          <w:sz w:val="20"/>
          <w:szCs w:val="20"/>
          <w:lang w:eastAsia="en-GB"/>
          <w14:ligatures w14:val="none"/>
        </w:rPr>
        <w:footnoteReference w:id="64"/>
      </w:r>
      <w:r w:rsidRPr="004E5F9B">
        <w:rPr>
          <w:rFonts w:ascii="Arial" w:eastAsia="Times New Roman" w:hAnsi="Arial" w:cs="Arial"/>
          <w:color w:val="000000"/>
          <w:kern w:val="0"/>
          <w:sz w:val="20"/>
          <w:szCs w:val="20"/>
          <w:lang w:eastAsia="en-GB"/>
          <w14:ligatures w14:val="none"/>
        </w:rPr>
        <w:t xml:space="preserve"> were reportedly intimidated, raided, or disrupted by the police and/or the state Islamic departments. A venue that hosted an LGBT social event was notified by the police to expect raids should they continue to host the event. The Women’s March organisers were investigated under various laws in 2019 and 2023, including the Sedition Act, the Peaceful Assembly Act, and </w:t>
      </w:r>
      <w:r w:rsidRPr="004E5F9B">
        <w:rPr>
          <w:rFonts w:ascii="Arial" w:eastAsia="Times New Roman" w:hAnsi="Arial" w:cs="Arial"/>
          <w:color w:val="000000"/>
          <w:kern w:val="0"/>
          <w:sz w:val="20"/>
          <w:szCs w:val="20"/>
          <w:shd w:val="clear" w:color="auto" w:fill="FFFFFF"/>
          <w:lang w:eastAsia="en-GB"/>
          <w14:ligatures w14:val="none"/>
        </w:rPr>
        <w:t xml:space="preserve">Section 14 of the Minor Offences Act 1995 for insulting behaviour </w:t>
      </w:r>
      <w:r w:rsidRPr="004E5F9B">
        <w:rPr>
          <w:rFonts w:ascii="Arial" w:eastAsia="Times New Roman" w:hAnsi="Arial" w:cs="Arial"/>
          <w:color w:val="000000"/>
          <w:kern w:val="0"/>
          <w:sz w:val="20"/>
          <w:szCs w:val="20"/>
          <w:lang w:eastAsia="en-GB"/>
          <w14:ligatures w14:val="none"/>
        </w:rPr>
        <w:t xml:space="preserve">due to LGBT visibility and inclusion as well as offensive placards; the charges were later dropped. In most of these incidents, trans women were targeted by the police and state Islamic departments, with Muslims being subjected to investigation under state </w:t>
      </w:r>
      <w:r w:rsidRPr="004E5F9B">
        <w:rPr>
          <w:rFonts w:ascii="Arial" w:eastAsia="Times New Roman" w:hAnsi="Arial" w:cs="Arial"/>
          <w:i/>
          <w:iCs/>
          <w:color w:val="000000"/>
          <w:kern w:val="0"/>
          <w:sz w:val="20"/>
          <w:szCs w:val="20"/>
          <w:lang w:eastAsia="en-GB"/>
          <w14:ligatures w14:val="none"/>
        </w:rPr>
        <w:t xml:space="preserve">syariah </w:t>
      </w:r>
      <w:r w:rsidRPr="004E5F9B">
        <w:rPr>
          <w:rFonts w:ascii="Arial" w:eastAsia="Times New Roman" w:hAnsi="Arial" w:cs="Arial"/>
          <w:color w:val="000000"/>
          <w:kern w:val="0"/>
          <w:sz w:val="20"/>
          <w:szCs w:val="20"/>
          <w:lang w:eastAsia="en-GB"/>
          <w14:ligatures w14:val="none"/>
        </w:rPr>
        <w:t>laws. </w:t>
      </w:r>
    </w:p>
    <w:p w14:paraId="7825A2E8"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6E78B27"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p>
    <w:p w14:paraId="0BD22E2A" w14:textId="7218B205" w:rsidR="009313B2" w:rsidRPr="004E5F9B" w:rsidRDefault="009313B2" w:rsidP="009313B2">
      <w:pPr>
        <w:rPr>
          <w:rFonts w:ascii="Arial" w:eastAsia="Times New Roman" w:hAnsi="Arial" w:cs="Arial"/>
          <w:color w:val="000000"/>
          <w:kern w:val="0"/>
          <w:sz w:val="20"/>
          <w:szCs w:val="20"/>
          <w:lang w:eastAsia="en-GB"/>
          <w14:ligatures w14:val="none"/>
        </w:rPr>
      </w:pPr>
    </w:p>
    <w:p w14:paraId="1941B051" w14:textId="35763513" w:rsidR="009313B2" w:rsidRPr="004E5F9B" w:rsidRDefault="003E1F38" w:rsidP="009313B2">
      <w:pPr>
        <w:numPr>
          <w:ilvl w:val="0"/>
          <w:numId w:val="22"/>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Implement </w:t>
      </w:r>
      <w:r w:rsidR="009313B2" w:rsidRPr="004E5F9B">
        <w:rPr>
          <w:rFonts w:ascii="Arial" w:eastAsia="Times New Roman" w:hAnsi="Arial" w:cs="Arial"/>
          <w:color w:val="000000"/>
          <w:kern w:val="0"/>
          <w:sz w:val="20"/>
          <w:szCs w:val="20"/>
          <w:lang w:eastAsia="en-GB"/>
          <w14:ligatures w14:val="none"/>
        </w:rPr>
        <w:t xml:space="preserve">gender, inclusion, and human rights training </w:t>
      </w:r>
      <w:r w:rsidRPr="004E5F9B">
        <w:rPr>
          <w:rFonts w:ascii="Arial" w:eastAsia="Times New Roman" w:hAnsi="Arial" w:cs="Arial"/>
          <w:color w:val="000000"/>
          <w:kern w:val="0"/>
          <w:sz w:val="20"/>
          <w:szCs w:val="20"/>
          <w:lang w:eastAsia="en-GB"/>
          <w14:ligatures w14:val="none"/>
        </w:rPr>
        <w:t>for</w:t>
      </w:r>
      <w:r w:rsidR="009313B2" w:rsidRPr="004E5F9B">
        <w:rPr>
          <w:rFonts w:ascii="Arial" w:eastAsia="Times New Roman" w:hAnsi="Arial" w:cs="Arial"/>
          <w:color w:val="000000"/>
          <w:kern w:val="0"/>
          <w:sz w:val="20"/>
          <w:szCs w:val="20"/>
          <w:lang w:eastAsia="en-GB"/>
          <w14:ligatures w14:val="none"/>
        </w:rPr>
        <w:t xml:space="preserve"> polling agents </w:t>
      </w:r>
    </w:p>
    <w:p w14:paraId="0815C99A" w14:textId="3D5C2C90" w:rsidR="009313B2" w:rsidRPr="004E5F9B" w:rsidRDefault="00A63252" w:rsidP="009313B2">
      <w:pPr>
        <w:numPr>
          <w:ilvl w:val="0"/>
          <w:numId w:val="22"/>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Strengthen</w:t>
      </w:r>
      <w:r w:rsidR="009313B2" w:rsidRPr="004E5F9B">
        <w:rPr>
          <w:rFonts w:ascii="Arial" w:eastAsia="Times New Roman" w:hAnsi="Arial" w:cs="Arial"/>
          <w:color w:val="000000"/>
          <w:kern w:val="0"/>
          <w:sz w:val="20"/>
          <w:szCs w:val="20"/>
          <w:lang w:eastAsia="en-GB"/>
          <w14:ligatures w14:val="none"/>
        </w:rPr>
        <w:t xml:space="preserve"> the state’s positive dut</w:t>
      </w:r>
      <w:r w:rsidR="000A007D" w:rsidRPr="004E5F9B">
        <w:rPr>
          <w:rFonts w:ascii="Arial" w:eastAsia="Times New Roman" w:hAnsi="Arial" w:cs="Arial"/>
          <w:color w:val="000000"/>
          <w:kern w:val="0"/>
          <w:sz w:val="20"/>
          <w:szCs w:val="20"/>
          <w:lang w:eastAsia="en-GB"/>
          <w14:ligatures w14:val="none"/>
        </w:rPr>
        <w:t>ies</w:t>
      </w:r>
      <w:r w:rsidR="009313B2" w:rsidRPr="004E5F9B">
        <w:rPr>
          <w:rFonts w:ascii="Arial" w:eastAsia="Times New Roman" w:hAnsi="Arial" w:cs="Arial"/>
          <w:color w:val="000000"/>
          <w:kern w:val="0"/>
          <w:sz w:val="20"/>
          <w:szCs w:val="20"/>
          <w:lang w:eastAsia="en-GB"/>
          <w14:ligatures w14:val="none"/>
        </w:rPr>
        <w:t xml:space="preserve"> in facilitating freedom of assembly for </w:t>
      </w:r>
      <w:r w:rsidR="00BB7A36" w:rsidRPr="004E5F9B">
        <w:rPr>
          <w:rFonts w:ascii="Arial" w:eastAsia="Times New Roman" w:hAnsi="Arial" w:cs="Arial"/>
          <w:color w:val="000000"/>
          <w:kern w:val="0"/>
          <w:sz w:val="20"/>
          <w:szCs w:val="20"/>
          <w:lang w:eastAsia="en-GB"/>
          <w14:ligatures w14:val="none"/>
        </w:rPr>
        <w:t xml:space="preserve">women, including LBTI women </w:t>
      </w:r>
    </w:p>
    <w:p w14:paraId="0513F23E" w14:textId="77777777" w:rsidR="00CC5B89" w:rsidRPr="004E5F9B" w:rsidRDefault="00CC5B89" w:rsidP="009313B2">
      <w:pPr>
        <w:rPr>
          <w:rFonts w:ascii="Arial" w:eastAsia="Times New Roman" w:hAnsi="Arial" w:cs="Arial"/>
          <w:b/>
          <w:bCs/>
          <w:color w:val="000000"/>
          <w:kern w:val="0"/>
          <w:sz w:val="20"/>
          <w:szCs w:val="20"/>
          <w:lang w:eastAsia="en-GB"/>
          <w14:ligatures w14:val="none"/>
        </w:rPr>
      </w:pPr>
    </w:p>
    <w:p w14:paraId="7B89A8BA" w14:textId="77777777" w:rsidR="00CC5B89" w:rsidRPr="004E5F9B" w:rsidRDefault="00CC5B89" w:rsidP="009313B2">
      <w:pPr>
        <w:rPr>
          <w:rFonts w:ascii="Arial" w:eastAsia="Times New Roman" w:hAnsi="Arial" w:cs="Arial"/>
          <w:b/>
          <w:bCs/>
          <w:color w:val="000000"/>
          <w:kern w:val="0"/>
          <w:sz w:val="20"/>
          <w:szCs w:val="20"/>
          <w:lang w:eastAsia="en-GB"/>
          <w14:ligatures w14:val="none"/>
        </w:rPr>
      </w:pPr>
    </w:p>
    <w:p w14:paraId="11FE1662" w14:textId="77777777" w:rsidR="0035732D" w:rsidRPr="004E5F9B" w:rsidRDefault="0035732D" w:rsidP="009313B2">
      <w:pPr>
        <w:rPr>
          <w:rFonts w:ascii="Arial" w:eastAsia="Times New Roman" w:hAnsi="Arial" w:cs="Arial"/>
          <w:b/>
          <w:bCs/>
          <w:color w:val="000000"/>
          <w:kern w:val="0"/>
          <w:sz w:val="20"/>
          <w:szCs w:val="20"/>
          <w:lang w:eastAsia="en-GB"/>
          <w14:ligatures w14:val="none"/>
        </w:rPr>
      </w:pPr>
    </w:p>
    <w:p w14:paraId="177CBD73" w14:textId="77777777" w:rsidR="003A0F77" w:rsidRPr="004E5F9B" w:rsidRDefault="003A0F77" w:rsidP="009313B2">
      <w:pPr>
        <w:rPr>
          <w:rFonts w:ascii="Arial" w:eastAsia="Times New Roman" w:hAnsi="Arial" w:cs="Arial"/>
          <w:b/>
          <w:bCs/>
          <w:color w:val="000000"/>
          <w:kern w:val="0"/>
          <w:sz w:val="20"/>
          <w:szCs w:val="20"/>
          <w:lang w:eastAsia="en-GB"/>
          <w14:ligatures w14:val="none"/>
        </w:rPr>
      </w:pPr>
    </w:p>
    <w:p w14:paraId="73681615" w14:textId="77777777" w:rsidR="003A0F77" w:rsidRPr="004E5F9B" w:rsidRDefault="003A0F77" w:rsidP="009313B2">
      <w:pPr>
        <w:rPr>
          <w:rFonts w:ascii="Arial" w:eastAsia="Times New Roman" w:hAnsi="Arial" w:cs="Arial"/>
          <w:b/>
          <w:bCs/>
          <w:color w:val="000000"/>
          <w:kern w:val="0"/>
          <w:sz w:val="20"/>
          <w:szCs w:val="20"/>
          <w:lang w:eastAsia="en-GB"/>
          <w14:ligatures w14:val="none"/>
        </w:rPr>
      </w:pPr>
    </w:p>
    <w:p w14:paraId="32C7A7D7" w14:textId="77777777" w:rsidR="003A0F77" w:rsidRPr="004E5F9B" w:rsidRDefault="003A0F77" w:rsidP="009313B2">
      <w:pPr>
        <w:rPr>
          <w:rFonts w:ascii="Arial" w:eastAsia="Times New Roman" w:hAnsi="Arial" w:cs="Arial"/>
          <w:b/>
          <w:bCs/>
          <w:color w:val="000000"/>
          <w:kern w:val="0"/>
          <w:sz w:val="20"/>
          <w:szCs w:val="20"/>
          <w:lang w:eastAsia="en-GB"/>
          <w14:ligatures w14:val="none"/>
        </w:rPr>
      </w:pPr>
    </w:p>
    <w:p w14:paraId="6F610E12" w14:textId="77777777" w:rsidR="00F064EA" w:rsidRPr="004E5F9B" w:rsidRDefault="00F064EA">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46E3D8EF" w14:textId="237F8D6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10: Education </w:t>
      </w:r>
    </w:p>
    <w:p w14:paraId="2E06274F"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D1EDD69" w14:textId="155DD4C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10.1 The Ministry of Education’s </w:t>
      </w:r>
      <w:r w:rsidRPr="004E5F9B">
        <w:rPr>
          <w:rFonts w:ascii="Arial" w:eastAsia="Times New Roman" w:hAnsi="Arial" w:cs="Arial"/>
          <w:i/>
          <w:iCs/>
          <w:color w:val="000000"/>
          <w:kern w:val="0"/>
          <w:sz w:val="20"/>
          <w:szCs w:val="20"/>
          <w:lang w:eastAsia="en-GB"/>
          <w14:ligatures w14:val="none"/>
        </w:rPr>
        <w:t>Circular No 7/2003 Power of Teachers to Cane</w:t>
      </w:r>
      <w:r w:rsidR="00287254" w:rsidRPr="004E5F9B">
        <w:rPr>
          <w:rStyle w:val="FootnoteReference"/>
          <w:rFonts w:ascii="Arial" w:eastAsia="Times New Roman" w:hAnsi="Arial" w:cs="Arial"/>
          <w:i/>
          <w:iCs/>
          <w:color w:val="000000"/>
          <w:kern w:val="0"/>
          <w:sz w:val="20"/>
          <w:szCs w:val="20"/>
          <w:lang w:eastAsia="en-GB"/>
          <w14:ligatures w14:val="none"/>
        </w:rPr>
        <w:footnoteReference w:id="65"/>
      </w:r>
      <w:r w:rsidRPr="004E5F9B">
        <w:rPr>
          <w:rFonts w:ascii="Arial" w:eastAsia="Times New Roman" w:hAnsi="Arial" w:cs="Arial"/>
          <w:color w:val="000000"/>
          <w:kern w:val="0"/>
          <w:sz w:val="20"/>
          <w:szCs w:val="20"/>
          <w:lang w:eastAsia="en-GB"/>
          <w14:ligatures w14:val="none"/>
        </w:rPr>
        <w:t xml:space="preserve"> and the Federal Territory Education Department’s discipline rule book for secondary school students impose corporal punishment for so-called serious offences, including homosexuality and ‘gender confusion’. The latter allows stern warning, expulsion, caning, suspension, fine, and being charged in court against students because of their SOGIE. </w:t>
      </w:r>
    </w:p>
    <w:p w14:paraId="6420EB9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DFA257E" w14:textId="363C74A2"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10.2 The Form 2 reproductive and sexual health education guidance describes sexual orientation and gender identity (SOGI) as a form of confusion or disorder and that it is inconsistent with religion and culture.</w:t>
      </w:r>
      <w:r w:rsidR="00950F4B" w:rsidRPr="004E5F9B">
        <w:rPr>
          <w:rStyle w:val="FootnoteReference"/>
          <w:rFonts w:ascii="Arial" w:eastAsia="Times New Roman" w:hAnsi="Arial" w:cs="Arial"/>
          <w:color w:val="000000"/>
          <w:kern w:val="0"/>
          <w:sz w:val="20"/>
          <w:szCs w:val="20"/>
          <w:lang w:eastAsia="en-GB"/>
          <w14:ligatures w14:val="none"/>
        </w:rPr>
        <w:footnoteReference w:id="66"/>
      </w:r>
    </w:p>
    <w:p w14:paraId="607D2A5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CCF1896" w14:textId="66F171C9"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10.3 Research shows LBQ girls and gender-diverse persons face ‘outing’ and microaggressions by peers and teachers; religious interventions to correct their sexual orientation; and religious condemnation of LGBT people in classes. In most cases, they lack support at home and in school.</w:t>
      </w:r>
      <w:r w:rsidR="00950F4B" w:rsidRPr="004E5F9B">
        <w:rPr>
          <w:rStyle w:val="FootnoteReference"/>
          <w:rFonts w:ascii="Arial" w:eastAsia="Times New Roman" w:hAnsi="Arial" w:cs="Arial"/>
          <w:color w:val="000000"/>
          <w:kern w:val="0"/>
          <w:sz w:val="20"/>
          <w:szCs w:val="20"/>
          <w:lang w:eastAsia="en-GB"/>
          <w14:ligatures w14:val="none"/>
        </w:rPr>
        <w:footnoteReference w:id="67"/>
      </w:r>
      <w:r w:rsidRPr="004E5F9B">
        <w:rPr>
          <w:rFonts w:ascii="Arial" w:eastAsia="Times New Roman" w:hAnsi="Arial" w:cs="Arial"/>
          <w:color w:val="000000"/>
          <w:kern w:val="0"/>
          <w:sz w:val="20"/>
          <w:szCs w:val="20"/>
          <w:lang w:eastAsia="en-GB"/>
          <w14:ligatures w14:val="none"/>
        </w:rPr>
        <w:t> </w:t>
      </w:r>
    </w:p>
    <w:p w14:paraId="6FEF146C"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1EF5C95" w14:textId="7B98FE22"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10.4 A SUHAKAM study with trans people found name-calling, physical violence, and sexual harassment as pervasive forms of discrimination faced by transgender students in school, resulting in stress, depression, loss of interest, and suicidal attempts. It concludes that the educational system lacks any redress mechanism that transgender children trust to discuss the unique challenges they face.</w:t>
      </w:r>
      <w:r w:rsidR="00461AAE" w:rsidRPr="004E5F9B">
        <w:rPr>
          <w:rStyle w:val="FootnoteReference"/>
          <w:rFonts w:ascii="Arial" w:eastAsia="Times New Roman" w:hAnsi="Arial" w:cs="Arial"/>
          <w:color w:val="000000"/>
          <w:kern w:val="0"/>
          <w:sz w:val="20"/>
          <w:szCs w:val="20"/>
          <w:lang w:eastAsia="en-GB"/>
          <w14:ligatures w14:val="none"/>
        </w:rPr>
        <w:footnoteReference w:id="68"/>
      </w:r>
    </w:p>
    <w:p w14:paraId="16BFA8CE"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51BBB729" w14:textId="77777777" w:rsidR="009313B2" w:rsidRPr="004E5F9B" w:rsidRDefault="009313B2" w:rsidP="009313B2">
      <w:pPr>
        <w:spacing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p>
    <w:p w14:paraId="296E6EF2" w14:textId="77777777" w:rsidR="009313B2" w:rsidRPr="004E5F9B" w:rsidRDefault="009313B2" w:rsidP="009313B2">
      <w:pPr>
        <w:numPr>
          <w:ilvl w:val="0"/>
          <w:numId w:val="23"/>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Eliminate all forms of discrimination against LGBT students in guidelines, circulars, and school curriculum </w:t>
      </w:r>
    </w:p>
    <w:p w14:paraId="0CA30598" w14:textId="05683AA1" w:rsidR="009313B2" w:rsidRPr="004E5F9B" w:rsidRDefault="009313B2" w:rsidP="009313B2">
      <w:pPr>
        <w:numPr>
          <w:ilvl w:val="0"/>
          <w:numId w:val="23"/>
        </w:numPr>
        <w:spacing w:after="240"/>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Adopt SUHAKAM’s recommendation and </w:t>
      </w:r>
      <w:r w:rsidR="004D60FD" w:rsidRPr="004E5F9B">
        <w:rPr>
          <w:rFonts w:ascii="Arial" w:eastAsia="Times New Roman" w:hAnsi="Arial" w:cs="Arial"/>
          <w:color w:val="000000"/>
          <w:kern w:val="0"/>
          <w:sz w:val="20"/>
          <w:szCs w:val="20"/>
          <w:lang w:eastAsia="en-GB"/>
          <w14:ligatures w14:val="none"/>
        </w:rPr>
        <w:t xml:space="preserve">strengthen </w:t>
      </w:r>
      <w:r w:rsidRPr="004E5F9B">
        <w:rPr>
          <w:rFonts w:ascii="Arial" w:eastAsia="Times New Roman" w:hAnsi="Arial" w:cs="Arial"/>
          <w:color w:val="000000"/>
          <w:kern w:val="0"/>
          <w:sz w:val="20"/>
          <w:szCs w:val="20"/>
          <w:lang w:eastAsia="en-GB"/>
          <w14:ligatures w14:val="none"/>
        </w:rPr>
        <w:t xml:space="preserve">training for all school employees, including teachers, </w:t>
      </w:r>
      <w:r w:rsidR="004D60FD" w:rsidRPr="004E5F9B">
        <w:rPr>
          <w:rFonts w:ascii="Arial" w:eastAsia="Times New Roman" w:hAnsi="Arial" w:cs="Arial"/>
          <w:color w:val="000000"/>
          <w:kern w:val="0"/>
          <w:sz w:val="20"/>
          <w:szCs w:val="20"/>
          <w:lang w:eastAsia="en-GB"/>
          <w14:ligatures w14:val="none"/>
        </w:rPr>
        <w:t>counsellors</w:t>
      </w:r>
      <w:r w:rsidRPr="004E5F9B">
        <w:rPr>
          <w:rFonts w:ascii="Arial" w:eastAsia="Times New Roman" w:hAnsi="Arial" w:cs="Arial"/>
          <w:color w:val="000000"/>
          <w:kern w:val="0"/>
          <w:sz w:val="20"/>
          <w:szCs w:val="20"/>
          <w:lang w:eastAsia="en-GB"/>
          <w14:ligatures w14:val="none"/>
        </w:rPr>
        <w:t xml:space="preserve"> </w:t>
      </w:r>
      <w:r w:rsidR="004D60FD" w:rsidRPr="004E5F9B">
        <w:rPr>
          <w:rFonts w:ascii="Arial" w:eastAsia="Times New Roman" w:hAnsi="Arial" w:cs="Arial"/>
          <w:color w:val="000000"/>
          <w:kern w:val="0"/>
          <w:sz w:val="20"/>
          <w:szCs w:val="20"/>
          <w:lang w:eastAsia="en-GB"/>
          <w14:ligatures w14:val="none"/>
        </w:rPr>
        <w:t xml:space="preserve">and others </w:t>
      </w:r>
      <w:r w:rsidRPr="004E5F9B">
        <w:rPr>
          <w:rFonts w:ascii="Arial" w:eastAsia="Times New Roman" w:hAnsi="Arial" w:cs="Arial"/>
          <w:color w:val="000000"/>
          <w:kern w:val="0"/>
          <w:sz w:val="20"/>
          <w:szCs w:val="20"/>
          <w:lang w:eastAsia="en-GB"/>
          <w14:ligatures w14:val="none"/>
        </w:rPr>
        <w:t xml:space="preserve">on gender, </w:t>
      </w:r>
      <w:r w:rsidR="00261F60" w:rsidRPr="004E5F9B">
        <w:rPr>
          <w:rFonts w:ascii="Arial" w:eastAsia="Times New Roman" w:hAnsi="Arial" w:cs="Arial"/>
          <w:color w:val="000000"/>
          <w:kern w:val="0"/>
          <w:sz w:val="20"/>
          <w:szCs w:val="20"/>
          <w:lang w:eastAsia="en-GB"/>
          <w14:ligatures w14:val="none"/>
        </w:rPr>
        <w:t>intersectionality</w:t>
      </w:r>
      <w:r w:rsidRPr="004E5F9B">
        <w:rPr>
          <w:rFonts w:ascii="Arial" w:eastAsia="Times New Roman" w:hAnsi="Arial" w:cs="Arial"/>
          <w:color w:val="000000"/>
          <w:kern w:val="0"/>
          <w:sz w:val="20"/>
          <w:szCs w:val="20"/>
          <w:lang w:eastAsia="en-GB"/>
          <w14:ligatures w14:val="none"/>
        </w:rPr>
        <w:t>, and human rights to ensure evidence and rights-based and survivor-</w:t>
      </w:r>
      <w:proofErr w:type="spellStart"/>
      <w:r w:rsidRPr="004E5F9B">
        <w:rPr>
          <w:rFonts w:ascii="Arial" w:eastAsia="Times New Roman" w:hAnsi="Arial" w:cs="Arial"/>
          <w:color w:val="000000"/>
          <w:kern w:val="0"/>
          <w:sz w:val="20"/>
          <w:szCs w:val="20"/>
          <w:lang w:eastAsia="en-GB"/>
          <w14:ligatures w14:val="none"/>
        </w:rPr>
        <w:t>centered</w:t>
      </w:r>
      <w:proofErr w:type="spellEnd"/>
      <w:r w:rsidRPr="004E5F9B">
        <w:rPr>
          <w:rFonts w:ascii="Arial" w:eastAsia="Times New Roman" w:hAnsi="Arial" w:cs="Arial"/>
          <w:color w:val="000000"/>
          <w:kern w:val="0"/>
          <w:sz w:val="20"/>
          <w:szCs w:val="20"/>
          <w:lang w:eastAsia="en-GB"/>
          <w14:ligatures w14:val="none"/>
        </w:rPr>
        <w:t xml:space="preserve"> response to discrimination faced by LGBT students </w:t>
      </w:r>
    </w:p>
    <w:p w14:paraId="651A5D3A"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6C30EABA" w14:textId="77777777" w:rsidR="0021762D" w:rsidRPr="004E5F9B" w:rsidRDefault="0021762D">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3F775F13" w14:textId="144668D8"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11: Employment </w:t>
      </w:r>
    </w:p>
    <w:p w14:paraId="4D85955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8BFE8E7" w14:textId="46E95AA6"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11.1 </w:t>
      </w:r>
      <w:r w:rsidR="008B7D81" w:rsidRPr="004E5F9B">
        <w:rPr>
          <w:rFonts w:ascii="Arial" w:eastAsia="Times New Roman" w:hAnsi="Arial" w:cs="Arial"/>
          <w:color w:val="000000"/>
          <w:kern w:val="0"/>
          <w:sz w:val="20"/>
          <w:szCs w:val="20"/>
          <w:lang w:eastAsia="en-GB"/>
          <w14:ligatures w14:val="none"/>
        </w:rPr>
        <w:t>The co</w:t>
      </w:r>
      <w:r w:rsidR="00BD4B94" w:rsidRPr="004E5F9B">
        <w:rPr>
          <w:rFonts w:ascii="Arial" w:eastAsia="Times New Roman" w:hAnsi="Arial" w:cs="Arial"/>
          <w:color w:val="000000"/>
          <w:kern w:val="0"/>
          <w:sz w:val="20"/>
          <w:szCs w:val="20"/>
          <w:lang w:eastAsia="en-GB"/>
          <w14:ligatures w14:val="none"/>
        </w:rPr>
        <w:t>r</w:t>
      </w:r>
      <w:r w:rsidR="008B7D81" w:rsidRPr="004E5F9B">
        <w:rPr>
          <w:rFonts w:ascii="Arial" w:eastAsia="Times New Roman" w:hAnsi="Arial" w:cs="Arial"/>
          <w:color w:val="000000"/>
          <w:kern w:val="0"/>
          <w:sz w:val="20"/>
          <w:szCs w:val="20"/>
          <w:lang w:eastAsia="en-GB"/>
          <w14:ligatures w14:val="none"/>
        </w:rPr>
        <w:t>relation between lack of LGR and employment discrimination is clear</w:t>
      </w:r>
      <w:r w:rsidR="00554068" w:rsidRPr="004E5F9B">
        <w:rPr>
          <w:rFonts w:ascii="Arial" w:eastAsia="Times New Roman" w:hAnsi="Arial" w:cs="Arial"/>
          <w:color w:val="000000"/>
          <w:kern w:val="0"/>
          <w:sz w:val="20"/>
          <w:szCs w:val="20"/>
          <w:lang w:eastAsia="en-GB"/>
          <w14:ligatures w14:val="none"/>
        </w:rPr>
        <w:t xml:space="preserve">, as it impacts </w:t>
      </w:r>
      <w:r w:rsidR="00D12B5B" w:rsidRPr="004E5F9B">
        <w:rPr>
          <w:rFonts w:ascii="Arial" w:eastAsia="Times New Roman" w:hAnsi="Arial" w:cs="Arial"/>
          <w:color w:val="000000"/>
          <w:kern w:val="0"/>
          <w:sz w:val="20"/>
          <w:szCs w:val="20"/>
          <w:lang w:eastAsia="en-GB"/>
          <w14:ligatures w14:val="none"/>
        </w:rPr>
        <w:t xml:space="preserve">hiring </w:t>
      </w:r>
      <w:r w:rsidR="00BB72B2" w:rsidRPr="004E5F9B">
        <w:rPr>
          <w:rFonts w:ascii="Arial" w:eastAsia="Times New Roman" w:hAnsi="Arial" w:cs="Arial"/>
          <w:color w:val="000000"/>
          <w:kern w:val="0"/>
          <w:sz w:val="20"/>
          <w:szCs w:val="20"/>
          <w:lang w:eastAsia="en-GB"/>
          <w14:ligatures w14:val="none"/>
        </w:rPr>
        <w:t>prospect</w:t>
      </w:r>
      <w:r w:rsidR="00D12B5B" w:rsidRPr="004E5F9B">
        <w:rPr>
          <w:rFonts w:ascii="Arial" w:eastAsia="Times New Roman" w:hAnsi="Arial" w:cs="Arial"/>
          <w:color w:val="000000"/>
          <w:kern w:val="0"/>
          <w:sz w:val="20"/>
          <w:szCs w:val="20"/>
          <w:lang w:eastAsia="en-GB"/>
          <w14:ligatures w14:val="none"/>
        </w:rPr>
        <w:t>s</w:t>
      </w:r>
      <w:r w:rsidR="00BB72B2" w:rsidRPr="004E5F9B">
        <w:rPr>
          <w:rFonts w:ascii="Arial" w:eastAsia="Times New Roman" w:hAnsi="Arial" w:cs="Arial"/>
          <w:color w:val="000000"/>
          <w:kern w:val="0"/>
          <w:sz w:val="20"/>
          <w:szCs w:val="20"/>
          <w:lang w:eastAsia="en-GB"/>
          <w14:ligatures w14:val="none"/>
        </w:rPr>
        <w:t xml:space="preserve">, ability to express themselves, and </w:t>
      </w:r>
      <w:r w:rsidR="00554068" w:rsidRPr="004E5F9B">
        <w:rPr>
          <w:rFonts w:ascii="Arial" w:eastAsia="Times New Roman" w:hAnsi="Arial" w:cs="Arial"/>
          <w:color w:val="000000"/>
          <w:kern w:val="0"/>
          <w:sz w:val="20"/>
          <w:szCs w:val="20"/>
          <w:lang w:eastAsia="en-GB"/>
          <w14:ligatures w14:val="none"/>
        </w:rPr>
        <w:t>access to gendered facilities</w:t>
      </w:r>
      <w:r w:rsidR="00B406D2"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A study shows cisgender applicants were 50% more likely than  trans applicants to get a positive response from prospective employers (64% more likely for cis women and 37.5% for cis men), and 66.1% more likely to be invited to an interview (72.4% for cis women and 60.6% for cis men) in Malaysia. The report notes that “the discrimination experienced by trans women was particularly severe” due to the disproportionate rejections that trans women face compared to cisgender women.</w:t>
      </w:r>
      <w:r w:rsidR="002C1891" w:rsidRPr="004E5F9B">
        <w:rPr>
          <w:rStyle w:val="FootnoteReference"/>
          <w:rFonts w:ascii="Arial" w:eastAsia="Times New Roman" w:hAnsi="Arial" w:cs="Arial"/>
          <w:color w:val="000000"/>
          <w:kern w:val="0"/>
          <w:sz w:val="20"/>
          <w:szCs w:val="20"/>
          <w:lang w:eastAsia="en-GB"/>
          <w14:ligatures w14:val="none"/>
        </w:rPr>
        <w:footnoteReference w:id="69"/>
      </w:r>
    </w:p>
    <w:p w14:paraId="1556B0C6"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2847C80" w14:textId="0F3F57C6" w:rsidR="002F0EA9"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11.2 The SUHAKAM study </w:t>
      </w:r>
      <w:r w:rsidR="004C4E81" w:rsidRPr="004E5F9B">
        <w:rPr>
          <w:rFonts w:ascii="Arial" w:eastAsia="Times New Roman" w:hAnsi="Arial" w:cs="Arial"/>
          <w:color w:val="000000"/>
          <w:kern w:val="0"/>
          <w:sz w:val="20"/>
          <w:szCs w:val="20"/>
          <w:lang w:eastAsia="en-GB"/>
          <w14:ligatures w14:val="none"/>
        </w:rPr>
        <w:t xml:space="preserve">found multiple </w:t>
      </w:r>
      <w:r w:rsidRPr="004E5F9B">
        <w:rPr>
          <w:rFonts w:ascii="Arial" w:eastAsia="Times New Roman" w:hAnsi="Arial" w:cs="Arial"/>
          <w:color w:val="000000"/>
          <w:kern w:val="0"/>
          <w:sz w:val="20"/>
          <w:szCs w:val="20"/>
          <w:lang w:eastAsia="en-GB"/>
          <w14:ligatures w14:val="none"/>
        </w:rPr>
        <w:t xml:space="preserve">pre-employment </w:t>
      </w:r>
      <w:r w:rsidR="004C4E81" w:rsidRPr="004E5F9B">
        <w:rPr>
          <w:rFonts w:ascii="Arial" w:eastAsia="Times New Roman" w:hAnsi="Arial" w:cs="Arial"/>
          <w:color w:val="000000"/>
          <w:kern w:val="0"/>
          <w:sz w:val="20"/>
          <w:szCs w:val="20"/>
          <w:lang w:eastAsia="en-GB"/>
          <w14:ligatures w14:val="none"/>
        </w:rPr>
        <w:t xml:space="preserve">and workplace </w:t>
      </w:r>
      <w:r w:rsidRPr="004E5F9B">
        <w:rPr>
          <w:rFonts w:ascii="Arial" w:eastAsia="Times New Roman" w:hAnsi="Arial" w:cs="Arial"/>
          <w:color w:val="000000"/>
          <w:kern w:val="0"/>
          <w:sz w:val="20"/>
          <w:szCs w:val="20"/>
          <w:lang w:eastAsia="en-GB"/>
          <w14:ligatures w14:val="none"/>
        </w:rPr>
        <w:t>discrimination. 58 of 100 respondents (58%) reported denial of employment or rejection of application. 57 respondents said the interviewers made comments about their attire and their gender expression, assumed that they were incapable of doing the job, and imposed conditions, such as cutting their hair.</w:t>
      </w:r>
      <w:r w:rsidR="005B4258" w:rsidRPr="004E5F9B">
        <w:rPr>
          <w:rFonts w:ascii="Arial" w:eastAsia="Times New Roman" w:hAnsi="Arial" w:cs="Arial"/>
          <w:color w:val="000000"/>
          <w:kern w:val="0"/>
          <w:sz w:val="20"/>
          <w:szCs w:val="20"/>
          <w:lang w:eastAsia="en-GB"/>
          <w14:ligatures w14:val="none"/>
        </w:rPr>
        <w:t xml:space="preserve"> Meanwhile, workplace discrimination range from name-calling, violation of privacy</w:t>
      </w:r>
      <w:r w:rsidR="00EE17C0" w:rsidRPr="004E5F9B">
        <w:rPr>
          <w:rFonts w:ascii="Arial" w:eastAsia="Times New Roman" w:hAnsi="Arial" w:cs="Arial"/>
          <w:color w:val="000000"/>
          <w:kern w:val="0"/>
          <w:sz w:val="20"/>
          <w:szCs w:val="20"/>
          <w:lang w:eastAsia="en-GB"/>
          <w14:ligatures w14:val="none"/>
        </w:rPr>
        <w:t>,</w:t>
      </w:r>
      <w:r w:rsidR="005B4258" w:rsidRPr="004E5F9B">
        <w:rPr>
          <w:rFonts w:ascii="Arial" w:eastAsia="Times New Roman" w:hAnsi="Arial" w:cs="Arial"/>
          <w:color w:val="000000"/>
          <w:kern w:val="0"/>
          <w:sz w:val="20"/>
          <w:szCs w:val="20"/>
          <w:lang w:eastAsia="en-GB"/>
          <w14:ligatures w14:val="none"/>
        </w:rPr>
        <w:t xml:space="preserve"> sexual harassment </w:t>
      </w:r>
      <w:r w:rsidR="00EE17C0" w:rsidRPr="004E5F9B">
        <w:rPr>
          <w:rFonts w:ascii="Arial" w:eastAsia="Times New Roman" w:hAnsi="Arial" w:cs="Arial"/>
          <w:color w:val="000000"/>
          <w:kern w:val="0"/>
          <w:sz w:val="20"/>
          <w:szCs w:val="20"/>
          <w:lang w:eastAsia="en-GB"/>
          <w14:ligatures w14:val="none"/>
        </w:rPr>
        <w:t xml:space="preserve">to </w:t>
      </w:r>
      <w:r w:rsidR="00FA7FA8" w:rsidRPr="004E5F9B">
        <w:rPr>
          <w:rFonts w:ascii="Arial" w:eastAsia="Times New Roman" w:hAnsi="Arial" w:cs="Arial"/>
          <w:color w:val="000000"/>
          <w:kern w:val="0"/>
          <w:sz w:val="20"/>
          <w:szCs w:val="20"/>
          <w:lang w:eastAsia="en-GB"/>
          <w14:ligatures w14:val="none"/>
        </w:rPr>
        <w:t xml:space="preserve">termination of employment due to </w:t>
      </w:r>
      <w:r w:rsidR="00EE17C0" w:rsidRPr="004E5F9B">
        <w:rPr>
          <w:rFonts w:ascii="Arial" w:eastAsia="Times New Roman" w:hAnsi="Arial" w:cs="Arial"/>
          <w:color w:val="000000"/>
          <w:kern w:val="0"/>
          <w:sz w:val="20"/>
          <w:szCs w:val="20"/>
          <w:lang w:eastAsia="en-GB"/>
          <w14:ligatures w14:val="none"/>
        </w:rPr>
        <w:t>prejudicial complaints.</w:t>
      </w:r>
      <w:r w:rsidR="00234470" w:rsidRPr="004E5F9B">
        <w:rPr>
          <w:rFonts w:ascii="Arial" w:eastAsia="Times New Roman" w:hAnsi="Arial" w:cs="Arial"/>
          <w:color w:val="000000"/>
          <w:kern w:val="0"/>
          <w:sz w:val="20"/>
          <w:szCs w:val="20"/>
          <w:lang w:eastAsia="en-GB"/>
          <w14:ligatures w14:val="none"/>
        </w:rPr>
        <w:t xml:space="preserve"> </w:t>
      </w:r>
      <w:r w:rsidR="000E0D53" w:rsidRPr="004E5F9B">
        <w:rPr>
          <w:rFonts w:ascii="Arial" w:eastAsia="Times New Roman" w:hAnsi="Arial" w:cs="Arial"/>
          <w:color w:val="000000"/>
          <w:kern w:val="0"/>
          <w:sz w:val="20"/>
          <w:szCs w:val="20"/>
          <w:lang w:eastAsia="en-GB"/>
          <w14:ligatures w14:val="none"/>
        </w:rPr>
        <w:t>More than half of respondents</w:t>
      </w:r>
      <w:r w:rsidR="00234470" w:rsidRPr="004E5F9B">
        <w:rPr>
          <w:rFonts w:ascii="Arial" w:eastAsia="Times New Roman" w:hAnsi="Arial" w:cs="Arial"/>
          <w:color w:val="000000"/>
          <w:kern w:val="0"/>
          <w:sz w:val="20"/>
          <w:szCs w:val="20"/>
          <w:lang w:eastAsia="en-GB"/>
          <w14:ligatures w14:val="none"/>
        </w:rPr>
        <w:t xml:space="preserve"> reported increased strain </w:t>
      </w:r>
      <w:r w:rsidR="002F0EA9" w:rsidRPr="004E5F9B">
        <w:rPr>
          <w:rFonts w:ascii="Arial" w:eastAsia="Times New Roman" w:hAnsi="Arial" w:cs="Arial"/>
          <w:color w:val="000000"/>
          <w:kern w:val="0"/>
          <w:sz w:val="20"/>
          <w:szCs w:val="20"/>
          <w:lang w:eastAsia="en-GB"/>
          <w14:ligatures w14:val="none"/>
        </w:rPr>
        <w:t xml:space="preserve">on </w:t>
      </w:r>
      <w:r w:rsidR="00234470" w:rsidRPr="004E5F9B">
        <w:rPr>
          <w:rFonts w:ascii="Arial" w:eastAsia="Times New Roman" w:hAnsi="Arial" w:cs="Arial"/>
          <w:color w:val="000000"/>
          <w:kern w:val="0"/>
          <w:sz w:val="20"/>
          <w:szCs w:val="20"/>
          <w:lang w:eastAsia="en-GB"/>
          <w14:ligatures w14:val="none"/>
        </w:rPr>
        <w:t>mental health</w:t>
      </w:r>
      <w:r w:rsidR="002F0EA9" w:rsidRPr="004E5F9B">
        <w:rPr>
          <w:rFonts w:ascii="Arial" w:eastAsia="Times New Roman" w:hAnsi="Arial" w:cs="Arial"/>
          <w:color w:val="000000"/>
          <w:kern w:val="0"/>
          <w:sz w:val="20"/>
          <w:szCs w:val="20"/>
          <w:lang w:eastAsia="en-GB"/>
          <w14:ligatures w14:val="none"/>
        </w:rPr>
        <w:t>. 37% had to resign and seek new employment opportunities.</w:t>
      </w:r>
      <w:r w:rsidR="00EE17C0" w:rsidRPr="004E5F9B">
        <w:rPr>
          <w:rStyle w:val="FootnoteReference"/>
          <w:rFonts w:ascii="Arial" w:eastAsia="Times New Roman" w:hAnsi="Arial" w:cs="Arial"/>
          <w:color w:val="000000"/>
          <w:kern w:val="0"/>
          <w:sz w:val="20"/>
          <w:szCs w:val="20"/>
          <w:lang w:eastAsia="en-GB"/>
          <w14:ligatures w14:val="none"/>
        </w:rPr>
        <w:t xml:space="preserve"> </w:t>
      </w:r>
      <w:r w:rsidR="004B6B85" w:rsidRPr="004E5F9B">
        <w:rPr>
          <w:rStyle w:val="FootnoteReference"/>
          <w:rFonts w:ascii="Arial" w:eastAsia="Times New Roman" w:hAnsi="Arial" w:cs="Arial"/>
          <w:color w:val="000000"/>
          <w:kern w:val="0"/>
          <w:sz w:val="20"/>
          <w:szCs w:val="20"/>
          <w:lang w:eastAsia="en-GB"/>
          <w14:ligatures w14:val="none"/>
        </w:rPr>
        <w:footnoteReference w:id="70"/>
      </w:r>
      <w:r w:rsidRPr="004E5F9B">
        <w:rPr>
          <w:rFonts w:ascii="Arial" w:eastAsia="Times New Roman" w:hAnsi="Arial" w:cs="Arial"/>
          <w:color w:val="000000"/>
          <w:kern w:val="0"/>
          <w:sz w:val="20"/>
          <w:szCs w:val="20"/>
          <w:lang w:eastAsia="en-GB"/>
          <w14:ligatures w14:val="none"/>
        </w:rPr>
        <w:t> </w:t>
      </w:r>
    </w:p>
    <w:p w14:paraId="5CEE6747" w14:textId="0803651E" w:rsidR="002F0EA9" w:rsidRPr="004E5F9B" w:rsidRDefault="009313B2" w:rsidP="005D067C">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11.3 </w:t>
      </w:r>
      <w:r w:rsidR="00F1777E" w:rsidRPr="004E5F9B">
        <w:rPr>
          <w:rFonts w:ascii="Arial" w:eastAsia="Times New Roman" w:hAnsi="Arial" w:cs="Arial"/>
          <w:color w:val="000000"/>
          <w:kern w:val="0"/>
          <w:sz w:val="20"/>
          <w:szCs w:val="20"/>
          <w:lang w:eastAsia="en-GB"/>
          <w14:ligatures w14:val="none"/>
        </w:rPr>
        <w:t>The</w:t>
      </w:r>
      <w:r w:rsidRPr="004E5F9B">
        <w:rPr>
          <w:rFonts w:ascii="Arial" w:eastAsia="Times New Roman" w:hAnsi="Arial" w:cs="Arial"/>
          <w:color w:val="000000"/>
          <w:kern w:val="0"/>
          <w:sz w:val="20"/>
          <w:szCs w:val="20"/>
          <w:lang w:eastAsia="en-GB"/>
          <w14:ligatures w14:val="none"/>
        </w:rPr>
        <w:t xml:space="preserve"> discrimination against trans women intersects with gender and religion</w:t>
      </w:r>
      <w:r w:rsidR="00700F7D" w:rsidRPr="004E5F9B">
        <w:rPr>
          <w:rFonts w:ascii="Arial" w:eastAsia="Times New Roman" w:hAnsi="Arial" w:cs="Arial"/>
          <w:color w:val="000000"/>
          <w:kern w:val="0"/>
          <w:sz w:val="20"/>
          <w:szCs w:val="20"/>
          <w:lang w:eastAsia="en-GB"/>
          <w14:ligatures w14:val="none"/>
        </w:rPr>
        <w:t>, HIV status, race</w:t>
      </w:r>
      <w:r w:rsidRPr="004E5F9B">
        <w:rPr>
          <w:rFonts w:ascii="Arial" w:eastAsia="Times New Roman" w:hAnsi="Arial" w:cs="Arial"/>
          <w:color w:val="000000"/>
          <w:kern w:val="0"/>
          <w:sz w:val="20"/>
          <w:szCs w:val="20"/>
          <w:lang w:eastAsia="en-GB"/>
          <w14:ligatures w14:val="none"/>
        </w:rPr>
        <w:t>,</w:t>
      </w:r>
      <w:r w:rsidR="00700F7D" w:rsidRPr="004E5F9B">
        <w:rPr>
          <w:rFonts w:ascii="Arial" w:eastAsia="Times New Roman" w:hAnsi="Arial" w:cs="Arial"/>
          <w:color w:val="000000"/>
          <w:kern w:val="0"/>
          <w:sz w:val="20"/>
          <w:szCs w:val="20"/>
          <w:lang w:eastAsia="en-GB"/>
          <w14:ligatures w14:val="none"/>
        </w:rPr>
        <w:t xml:space="preserve"> among other identities.</w:t>
      </w:r>
      <w:r w:rsidRPr="004E5F9B">
        <w:rPr>
          <w:rFonts w:ascii="Arial" w:eastAsia="Times New Roman" w:hAnsi="Arial" w:cs="Arial"/>
          <w:color w:val="000000"/>
          <w:kern w:val="0"/>
          <w:sz w:val="20"/>
          <w:szCs w:val="20"/>
          <w:lang w:eastAsia="en-GB"/>
          <w14:ligatures w14:val="none"/>
        </w:rPr>
        <w:t xml:space="preserve"> </w:t>
      </w:r>
      <w:r w:rsidR="008850F4" w:rsidRPr="004E5F9B">
        <w:rPr>
          <w:rFonts w:ascii="Arial" w:eastAsia="Times New Roman" w:hAnsi="Arial" w:cs="Arial"/>
          <w:color w:val="000000"/>
          <w:kern w:val="0"/>
          <w:sz w:val="20"/>
          <w:szCs w:val="20"/>
          <w:lang w:eastAsia="en-GB"/>
          <w14:ligatures w14:val="none"/>
        </w:rPr>
        <w:t>For example, a</w:t>
      </w:r>
      <w:r w:rsidRPr="004E5F9B">
        <w:rPr>
          <w:rFonts w:ascii="Arial" w:eastAsia="Times New Roman" w:hAnsi="Arial" w:cs="Arial"/>
          <w:color w:val="000000"/>
          <w:kern w:val="0"/>
          <w:sz w:val="20"/>
          <w:szCs w:val="20"/>
          <w:lang w:eastAsia="en-GB"/>
          <w14:ligatures w14:val="none"/>
        </w:rPr>
        <w:t xml:space="preserve"> trans woman</w:t>
      </w:r>
      <w:r w:rsidR="008850F4" w:rsidRPr="004E5F9B">
        <w:rPr>
          <w:rFonts w:ascii="Arial" w:eastAsia="Times New Roman" w:hAnsi="Arial" w:cs="Arial"/>
          <w:color w:val="000000"/>
          <w:kern w:val="0"/>
          <w:sz w:val="20"/>
          <w:szCs w:val="20"/>
          <w:lang w:eastAsia="en-GB"/>
          <w14:ligatures w14:val="none"/>
        </w:rPr>
        <w:t xml:space="preserve"> reportedly</w:t>
      </w:r>
      <w:r w:rsidRPr="004E5F9B">
        <w:rPr>
          <w:rFonts w:ascii="Arial" w:eastAsia="Times New Roman" w:hAnsi="Arial" w:cs="Arial"/>
          <w:color w:val="000000"/>
          <w:kern w:val="0"/>
          <w:sz w:val="20"/>
          <w:szCs w:val="20"/>
          <w:lang w:eastAsia="en-GB"/>
          <w14:ligatures w14:val="none"/>
        </w:rPr>
        <w:t xml:space="preserve"> denied a job at a hair salon </w:t>
      </w:r>
      <w:r w:rsidR="00A85629" w:rsidRPr="004E5F9B">
        <w:rPr>
          <w:rFonts w:ascii="Arial" w:eastAsia="Times New Roman" w:hAnsi="Arial" w:cs="Arial"/>
          <w:color w:val="000000"/>
          <w:kern w:val="0"/>
          <w:sz w:val="20"/>
          <w:szCs w:val="20"/>
          <w:lang w:eastAsia="en-GB"/>
          <w14:ligatures w14:val="none"/>
        </w:rPr>
        <w:t xml:space="preserve">due to </w:t>
      </w:r>
      <w:r w:rsidR="00F1777E" w:rsidRPr="004E5F9B">
        <w:rPr>
          <w:rFonts w:ascii="Arial" w:eastAsia="Times New Roman" w:hAnsi="Arial" w:cs="Arial"/>
          <w:color w:val="000000"/>
          <w:kern w:val="0"/>
          <w:sz w:val="20"/>
          <w:szCs w:val="20"/>
          <w:lang w:eastAsia="en-GB"/>
          <w14:ligatures w14:val="none"/>
        </w:rPr>
        <w:t xml:space="preserve">gendered </w:t>
      </w:r>
      <w:r w:rsidR="00A85629" w:rsidRPr="004E5F9B">
        <w:rPr>
          <w:rFonts w:ascii="Arial" w:eastAsia="Times New Roman" w:hAnsi="Arial" w:cs="Arial"/>
          <w:color w:val="000000"/>
          <w:kern w:val="0"/>
          <w:sz w:val="20"/>
          <w:szCs w:val="20"/>
          <w:lang w:eastAsia="en-GB"/>
          <w14:ligatures w14:val="none"/>
        </w:rPr>
        <w:t>religious reasons</w:t>
      </w:r>
      <w:r w:rsidRPr="004E5F9B">
        <w:rPr>
          <w:rFonts w:ascii="Arial" w:eastAsia="Times New Roman" w:hAnsi="Arial" w:cs="Arial"/>
          <w:color w:val="000000"/>
          <w:kern w:val="0"/>
          <w:sz w:val="20"/>
          <w:szCs w:val="20"/>
          <w:lang w:eastAsia="en-GB"/>
          <w14:ligatures w14:val="none"/>
        </w:rPr>
        <w:t>.</w:t>
      </w:r>
      <w:r w:rsidR="005D067C" w:rsidRPr="004E5F9B">
        <w:rPr>
          <w:rFonts w:ascii="Arial" w:eastAsia="Times New Roman" w:hAnsi="Arial" w:cs="Arial"/>
          <w:color w:val="000000"/>
          <w:kern w:val="0"/>
          <w:sz w:val="20"/>
          <w:szCs w:val="20"/>
          <w:lang w:eastAsia="en-GB"/>
          <w14:ligatures w14:val="none"/>
        </w:rPr>
        <w:t xml:space="preserve"> </w:t>
      </w:r>
      <w:r w:rsidR="00B461C9" w:rsidRPr="004E5F9B">
        <w:rPr>
          <w:rFonts w:ascii="Arial" w:eastAsia="Times New Roman" w:hAnsi="Arial" w:cs="Arial"/>
          <w:color w:val="000000"/>
          <w:kern w:val="0"/>
          <w:sz w:val="20"/>
          <w:szCs w:val="20"/>
          <w:lang w:eastAsia="en-GB"/>
          <w14:ligatures w14:val="none"/>
        </w:rPr>
        <w:t>T</w:t>
      </w:r>
      <w:r w:rsidRPr="004E5F9B">
        <w:rPr>
          <w:rFonts w:ascii="Arial" w:eastAsia="Times New Roman" w:hAnsi="Arial" w:cs="Arial"/>
          <w:color w:val="000000"/>
          <w:kern w:val="0"/>
          <w:sz w:val="20"/>
          <w:szCs w:val="20"/>
          <w:lang w:eastAsia="en-GB"/>
          <w14:ligatures w14:val="none"/>
        </w:rPr>
        <w:t xml:space="preserve">rans women who change their </w:t>
      </w:r>
      <w:r w:rsidR="00B624C4" w:rsidRPr="004E5F9B">
        <w:rPr>
          <w:rFonts w:ascii="Arial" w:eastAsia="Times New Roman" w:hAnsi="Arial" w:cs="Arial"/>
          <w:color w:val="000000"/>
          <w:kern w:val="0"/>
          <w:sz w:val="20"/>
          <w:szCs w:val="20"/>
          <w:lang w:eastAsia="en-GB"/>
          <w14:ligatures w14:val="none"/>
        </w:rPr>
        <w:t xml:space="preserve">gender expression </w:t>
      </w:r>
      <w:r w:rsidRPr="004E5F9B">
        <w:rPr>
          <w:rFonts w:ascii="Arial" w:eastAsia="Times New Roman" w:hAnsi="Arial" w:cs="Arial"/>
          <w:color w:val="000000"/>
          <w:kern w:val="0"/>
          <w:sz w:val="20"/>
          <w:szCs w:val="20"/>
          <w:lang w:eastAsia="en-GB"/>
          <w14:ligatures w14:val="none"/>
        </w:rPr>
        <w:t>to appear more masculine-presenting</w:t>
      </w:r>
      <w:r w:rsidR="00B624C4" w:rsidRPr="004E5F9B">
        <w:rPr>
          <w:rFonts w:ascii="Arial" w:eastAsia="Times New Roman" w:hAnsi="Arial" w:cs="Arial"/>
          <w:color w:val="000000"/>
          <w:kern w:val="0"/>
          <w:sz w:val="20"/>
          <w:szCs w:val="20"/>
          <w:lang w:eastAsia="en-GB"/>
          <w14:ligatures w14:val="none"/>
        </w:rPr>
        <w:t xml:space="preserve"> </w:t>
      </w:r>
      <w:r w:rsidR="00B67AB5" w:rsidRPr="004E5F9B">
        <w:rPr>
          <w:rFonts w:ascii="Arial" w:eastAsia="Times New Roman" w:hAnsi="Arial" w:cs="Arial"/>
          <w:color w:val="000000"/>
          <w:kern w:val="0"/>
          <w:sz w:val="20"/>
          <w:szCs w:val="20"/>
          <w:lang w:eastAsia="en-GB"/>
          <w14:ligatures w14:val="none"/>
        </w:rPr>
        <w:t>to secure employment</w:t>
      </w:r>
      <w:r w:rsidRPr="004E5F9B">
        <w:rPr>
          <w:rFonts w:ascii="Arial" w:eastAsia="Times New Roman" w:hAnsi="Arial" w:cs="Arial"/>
          <w:color w:val="000000"/>
          <w:kern w:val="0"/>
          <w:sz w:val="20"/>
          <w:szCs w:val="20"/>
          <w:lang w:eastAsia="en-GB"/>
          <w14:ligatures w14:val="none"/>
        </w:rPr>
        <w:t xml:space="preserve"> </w:t>
      </w:r>
      <w:r w:rsidR="00B624C4" w:rsidRPr="004E5F9B">
        <w:rPr>
          <w:rFonts w:ascii="Arial" w:eastAsia="Times New Roman" w:hAnsi="Arial" w:cs="Arial"/>
          <w:color w:val="000000"/>
          <w:kern w:val="0"/>
          <w:sz w:val="20"/>
          <w:szCs w:val="20"/>
          <w:lang w:eastAsia="en-GB"/>
          <w14:ligatures w14:val="none"/>
        </w:rPr>
        <w:t xml:space="preserve">also reportedly </w:t>
      </w:r>
      <w:r w:rsidRPr="004E5F9B">
        <w:rPr>
          <w:rFonts w:ascii="Arial" w:eastAsia="Times New Roman" w:hAnsi="Arial" w:cs="Arial"/>
          <w:color w:val="000000"/>
          <w:kern w:val="0"/>
          <w:sz w:val="20"/>
          <w:szCs w:val="20"/>
          <w:lang w:eastAsia="en-GB"/>
          <w14:ligatures w14:val="none"/>
        </w:rPr>
        <w:t>faced discrimination</w:t>
      </w:r>
      <w:r w:rsidR="000C2B74" w:rsidRPr="004E5F9B">
        <w:rPr>
          <w:rFonts w:ascii="Arial" w:eastAsia="Times New Roman" w:hAnsi="Arial" w:cs="Arial"/>
          <w:color w:val="000000"/>
          <w:kern w:val="0"/>
          <w:sz w:val="20"/>
          <w:szCs w:val="20"/>
          <w:lang w:eastAsia="en-GB"/>
          <w14:ligatures w14:val="none"/>
        </w:rPr>
        <w:t xml:space="preserve"> and </w:t>
      </w:r>
      <w:r w:rsidRPr="004E5F9B">
        <w:rPr>
          <w:rFonts w:ascii="Arial" w:eastAsia="Times New Roman" w:hAnsi="Arial" w:cs="Arial"/>
          <w:color w:val="000000"/>
          <w:kern w:val="0"/>
          <w:sz w:val="20"/>
          <w:szCs w:val="20"/>
          <w:lang w:eastAsia="en-GB"/>
          <w14:ligatures w14:val="none"/>
        </w:rPr>
        <w:t>rejection for being gender-non-conformin</w:t>
      </w:r>
      <w:r w:rsidR="00CC2778" w:rsidRPr="004E5F9B">
        <w:rPr>
          <w:rFonts w:ascii="Arial" w:eastAsia="Times New Roman" w:hAnsi="Arial" w:cs="Arial"/>
          <w:color w:val="000000"/>
          <w:kern w:val="0"/>
          <w:sz w:val="20"/>
          <w:szCs w:val="20"/>
          <w:lang w:eastAsia="en-GB"/>
          <w14:ligatures w14:val="none"/>
        </w:rPr>
        <w:t>g</w:t>
      </w:r>
      <w:r w:rsidR="000C2B74" w:rsidRPr="004E5F9B">
        <w:rPr>
          <w:rFonts w:ascii="Arial" w:eastAsia="Times New Roman" w:hAnsi="Arial" w:cs="Arial"/>
          <w:color w:val="000000"/>
          <w:kern w:val="0"/>
          <w:sz w:val="20"/>
          <w:szCs w:val="20"/>
          <w:lang w:eastAsia="en-GB"/>
          <w14:ligatures w14:val="none"/>
        </w:rPr>
        <w:t>.</w:t>
      </w:r>
      <w:r w:rsidR="000C2B74" w:rsidRPr="004E5F9B">
        <w:rPr>
          <w:rStyle w:val="FootnoteReference"/>
          <w:rFonts w:ascii="Arial" w:eastAsia="Times New Roman" w:hAnsi="Arial" w:cs="Arial"/>
          <w:color w:val="323232"/>
          <w:kern w:val="0"/>
          <w:sz w:val="20"/>
          <w:szCs w:val="20"/>
          <w:lang w:eastAsia="en-GB"/>
          <w14:ligatures w14:val="none"/>
        </w:rPr>
        <w:footnoteReference w:id="71"/>
      </w:r>
    </w:p>
    <w:p w14:paraId="71A4E5F4" w14:textId="0C14CE41" w:rsidR="009313B2" w:rsidRPr="004E5F9B" w:rsidRDefault="009313B2" w:rsidP="009313B2">
      <w:pPr>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11.</w:t>
      </w:r>
      <w:r w:rsidR="006C1EAB" w:rsidRPr="004E5F9B">
        <w:rPr>
          <w:rFonts w:ascii="Arial" w:eastAsia="Times New Roman" w:hAnsi="Arial" w:cs="Arial"/>
          <w:color w:val="323232"/>
          <w:kern w:val="0"/>
          <w:sz w:val="20"/>
          <w:szCs w:val="20"/>
          <w:lang w:eastAsia="en-GB"/>
          <w14:ligatures w14:val="none"/>
        </w:rPr>
        <w:t>4</w:t>
      </w:r>
      <w:r w:rsidRPr="004E5F9B">
        <w:rPr>
          <w:rFonts w:ascii="Arial" w:eastAsia="Times New Roman" w:hAnsi="Arial" w:cs="Arial"/>
          <w:color w:val="323232"/>
          <w:kern w:val="0"/>
          <w:sz w:val="20"/>
          <w:szCs w:val="20"/>
          <w:lang w:eastAsia="en-GB"/>
          <w14:ligatures w14:val="none"/>
        </w:rPr>
        <w:t xml:space="preserve"> Pervasive employment discrimination </w:t>
      </w:r>
      <w:r w:rsidR="00C30426" w:rsidRPr="004E5F9B">
        <w:rPr>
          <w:rFonts w:ascii="Arial" w:eastAsia="Times New Roman" w:hAnsi="Arial" w:cs="Arial"/>
          <w:color w:val="323232"/>
          <w:kern w:val="0"/>
          <w:sz w:val="20"/>
          <w:szCs w:val="20"/>
          <w:lang w:eastAsia="en-GB"/>
          <w14:ligatures w14:val="none"/>
        </w:rPr>
        <w:t>limits</w:t>
      </w:r>
      <w:r w:rsidRPr="004E5F9B">
        <w:rPr>
          <w:rFonts w:ascii="Arial" w:eastAsia="Times New Roman" w:hAnsi="Arial" w:cs="Arial"/>
          <w:color w:val="323232"/>
          <w:kern w:val="0"/>
          <w:sz w:val="20"/>
          <w:szCs w:val="20"/>
          <w:lang w:eastAsia="en-GB"/>
          <w14:ligatures w14:val="none"/>
        </w:rPr>
        <w:t xml:space="preserve"> opportunities for self-development and growth. </w:t>
      </w:r>
      <w:r w:rsidR="000D7A87" w:rsidRPr="004E5F9B">
        <w:rPr>
          <w:rFonts w:ascii="Arial" w:eastAsia="Times New Roman" w:hAnsi="Arial" w:cs="Arial"/>
          <w:color w:val="323232"/>
          <w:kern w:val="0"/>
          <w:sz w:val="20"/>
          <w:szCs w:val="20"/>
          <w:lang w:eastAsia="en-GB"/>
          <w14:ligatures w14:val="none"/>
        </w:rPr>
        <w:t>Research shows trans women</w:t>
      </w:r>
      <w:r w:rsidRPr="004E5F9B">
        <w:rPr>
          <w:rFonts w:ascii="Arial" w:eastAsia="Times New Roman" w:hAnsi="Arial" w:cs="Arial"/>
          <w:color w:val="323232"/>
          <w:kern w:val="0"/>
          <w:sz w:val="20"/>
          <w:szCs w:val="20"/>
          <w:lang w:eastAsia="en-GB"/>
          <w14:ligatures w14:val="none"/>
        </w:rPr>
        <w:t xml:space="preserve"> resort to any job</w:t>
      </w:r>
      <w:r w:rsidR="0031624E" w:rsidRPr="004E5F9B">
        <w:rPr>
          <w:rFonts w:ascii="Arial" w:eastAsia="Times New Roman" w:hAnsi="Arial" w:cs="Arial"/>
          <w:color w:val="323232"/>
          <w:kern w:val="0"/>
          <w:sz w:val="20"/>
          <w:szCs w:val="20"/>
          <w:lang w:eastAsia="en-GB"/>
          <w14:ligatures w14:val="none"/>
        </w:rPr>
        <w:t>, including sex work</w:t>
      </w:r>
      <w:r w:rsidRPr="004E5F9B">
        <w:rPr>
          <w:rFonts w:ascii="Arial" w:eastAsia="Times New Roman" w:hAnsi="Arial" w:cs="Arial"/>
          <w:color w:val="323232"/>
          <w:kern w:val="0"/>
          <w:sz w:val="20"/>
          <w:szCs w:val="20"/>
          <w:lang w:eastAsia="en-GB"/>
          <w14:ligatures w14:val="none"/>
        </w:rPr>
        <w:t xml:space="preserve"> </w:t>
      </w:r>
      <w:r w:rsidR="0031624E" w:rsidRPr="004E5F9B">
        <w:rPr>
          <w:rFonts w:ascii="Arial" w:eastAsia="Times New Roman" w:hAnsi="Arial" w:cs="Arial"/>
          <w:color w:val="323232"/>
          <w:kern w:val="0"/>
          <w:sz w:val="20"/>
          <w:szCs w:val="20"/>
          <w:lang w:eastAsia="en-GB"/>
          <w14:ligatures w14:val="none"/>
        </w:rPr>
        <w:t>for survival</w:t>
      </w:r>
      <w:r w:rsidRPr="004E5F9B">
        <w:rPr>
          <w:rFonts w:ascii="Arial" w:eastAsia="Times New Roman" w:hAnsi="Arial" w:cs="Arial"/>
          <w:color w:val="323232"/>
          <w:kern w:val="0"/>
          <w:sz w:val="20"/>
          <w:szCs w:val="20"/>
          <w:lang w:eastAsia="en-GB"/>
          <w14:ligatures w14:val="none"/>
        </w:rPr>
        <w:t xml:space="preserve">, where they face increased vulnerability to arrest due to the criminalisation of sex work. </w:t>
      </w:r>
      <w:r w:rsidRPr="004E5F9B">
        <w:rPr>
          <w:rFonts w:ascii="Arial" w:eastAsia="Times New Roman" w:hAnsi="Arial" w:cs="Arial"/>
          <w:color w:val="000000"/>
          <w:kern w:val="0"/>
          <w:sz w:val="20"/>
          <w:szCs w:val="20"/>
          <w:lang w:eastAsia="en-GB"/>
          <w14:ligatures w14:val="none"/>
        </w:rPr>
        <w:t xml:space="preserve">A </w:t>
      </w:r>
      <w:r w:rsidR="009A35DD" w:rsidRPr="004E5F9B">
        <w:rPr>
          <w:rFonts w:ascii="Arial" w:eastAsia="Times New Roman" w:hAnsi="Arial" w:cs="Arial"/>
          <w:color w:val="000000"/>
          <w:kern w:val="0"/>
          <w:sz w:val="20"/>
          <w:szCs w:val="20"/>
          <w:lang w:eastAsia="en-GB"/>
          <w14:ligatures w14:val="none"/>
        </w:rPr>
        <w:t xml:space="preserve">queer woman in </w:t>
      </w:r>
      <w:r w:rsidRPr="004E5F9B">
        <w:rPr>
          <w:rFonts w:ascii="Arial" w:eastAsia="Times New Roman" w:hAnsi="Arial" w:cs="Arial"/>
          <w:color w:val="000000"/>
          <w:kern w:val="0"/>
          <w:sz w:val="20"/>
          <w:szCs w:val="20"/>
          <w:lang w:eastAsia="en-GB"/>
          <w14:ligatures w14:val="none"/>
        </w:rPr>
        <w:t xml:space="preserve">study </w:t>
      </w:r>
      <w:r w:rsidR="009A35DD" w:rsidRPr="004E5F9B">
        <w:rPr>
          <w:rFonts w:ascii="Arial" w:eastAsia="Times New Roman" w:hAnsi="Arial" w:cs="Arial"/>
          <w:color w:val="000000"/>
          <w:kern w:val="0"/>
          <w:sz w:val="20"/>
          <w:szCs w:val="20"/>
          <w:lang w:eastAsia="en-GB"/>
          <w14:ligatures w14:val="none"/>
        </w:rPr>
        <w:t xml:space="preserve">shared that </w:t>
      </w:r>
      <w:r w:rsidR="00A916CD" w:rsidRPr="004E5F9B">
        <w:rPr>
          <w:rFonts w:ascii="Arial" w:eastAsia="Times New Roman" w:hAnsi="Arial" w:cs="Arial"/>
          <w:color w:val="000000"/>
          <w:kern w:val="0"/>
          <w:sz w:val="20"/>
          <w:szCs w:val="20"/>
          <w:lang w:eastAsia="en-GB"/>
          <w14:ligatures w14:val="none"/>
        </w:rPr>
        <w:t xml:space="preserve">workplace </w:t>
      </w:r>
      <w:r w:rsidRPr="004E5F9B">
        <w:rPr>
          <w:rFonts w:ascii="Arial" w:eastAsia="Times New Roman" w:hAnsi="Arial" w:cs="Arial"/>
          <w:color w:val="000000"/>
          <w:kern w:val="0"/>
          <w:sz w:val="20"/>
          <w:szCs w:val="20"/>
          <w:lang w:eastAsia="en-GB"/>
          <w14:ligatures w14:val="none"/>
        </w:rPr>
        <w:t xml:space="preserve">sexism and </w:t>
      </w:r>
      <w:proofErr w:type="spellStart"/>
      <w:r w:rsidRPr="004E5F9B">
        <w:rPr>
          <w:rFonts w:ascii="Arial" w:eastAsia="Times New Roman" w:hAnsi="Arial" w:cs="Arial"/>
          <w:color w:val="000000"/>
          <w:kern w:val="0"/>
          <w:sz w:val="20"/>
          <w:szCs w:val="20"/>
          <w:lang w:eastAsia="en-GB"/>
          <w14:ligatures w14:val="none"/>
        </w:rPr>
        <w:t>LGBTphobia</w:t>
      </w:r>
      <w:proofErr w:type="spellEnd"/>
      <w:r w:rsidRPr="004E5F9B">
        <w:rPr>
          <w:rFonts w:ascii="Arial" w:eastAsia="Times New Roman" w:hAnsi="Arial" w:cs="Arial"/>
          <w:color w:val="000000"/>
          <w:kern w:val="0"/>
          <w:sz w:val="20"/>
          <w:szCs w:val="20"/>
          <w:lang w:eastAsia="en-GB"/>
          <w14:ligatures w14:val="none"/>
        </w:rPr>
        <w:t xml:space="preserve"> limit</w:t>
      </w:r>
      <w:r w:rsidR="00A916CD" w:rsidRPr="004E5F9B">
        <w:rPr>
          <w:rFonts w:ascii="Arial" w:eastAsia="Times New Roman" w:hAnsi="Arial" w:cs="Arial"/>
          <w:color w:val="000000"/>
          <w:kern w:val="0"/>
          <w:sz w:val="20"/>
          <w:szCs w:val="20"/>
          <w:lang w:eastAsia="en-GB"/>
          <w14:ligatures w14:val="none"/>
        </w:rPr>
        <w:t>ed her</w:t>
      </w:r>
      <w:r w:rsidRPr="004E5F9B">
        <w:rPr>
          <w:rFonts w:ascii="Arial" w:eastAsia="Times New Roman" w:hAnsi="Arial" w:cs="Arial"/>
          <w:color w:val="000000"/>
          <w:kern w:val="0"/>
          <w:sz w:val="20"/>
          <w:szCs w:val="20"/>
          <w:lang w:eastAsia="en-GB"/>
          <w14:ligatures w14:val="none"/>
        </w:rPr>
        <w:t xml:space="preserve"> employment options,</w:t>
      </w:r>
    </w:p>
    <w:p w14:paraId="5E16B3E8" w14:textId="3984F518" w:rsidR="009313B2" w:rsidRPr="004E5F9B" w:rsidRDefault="009313B2" w:rsidP="009313B2">
      <w:pPr>
        <w:spacing w:before="240" w:after="240"/>
        <w:ind w:left="720"/>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 xml:space="preserve">“At my previous job, they have misogynistic jokes, and I feel like I have to keep it to myself because they are of higher rank than me. … it actually is very difficult. So </w:t>
      </w:r>
      <w:proofErr w:type="spellStart"/>
      <w:r w:rsidRPr="004E5F9B">
        <w:rPr>
          <w:rFonts w:ascii="Arial" w:eastAsia="Times New Roman" w:hAnsi="Arial" w:cs="Arial"/>
          <w:i/>
          <w:iCs/>
          <w:color w:val="000000"/>
          <w:kern w:val="0"/>
          <w:sz w:val="20"/>
          <w:szCs w:val="20"/>
          <w:lang w:eastAsia="en-GB"/>
          <w14:ligatures w14:val="none"/>
        </w:rPr>
        <w:t>ya</w:t>
      </w:r>
      <w:proofErr w:type="spellEnd"/>
      <w:r w:rsidRPr="004E5F9B">
        <w:rPr>
          <w:rFonts w:ascii="Arial" w:eastAsia="Times New Roman" w:hAnsi="Arial" w:cs="Arial"/>
          <w:i/>
          <w:iCs/>
          <w:color w:val="000000"/>
          <w:kern w:val="0"/>
          <w:sz w:val="20"/>
          <w:szCs w:val="20"/>
          <w:lang w:eastAsia="en-GB"/>
          <w14:ligatures w14:val="none"/>
        </w:rPr>
        <w:t xml:space="preserve">, there are two things, one I get anxiety about being queer as a government staff and two trying to be cool about these people passing remarks, you have this locker room </w:t>
      </w:r>
      <w:proofErr w:type="spellStart"/>
      <w:r w:rsidRPr="004E5F9B">
        <w:rPr>
          <w:rFonts w:ascii="Arial" w:eastAsia="Times New Roman" w:hAnsi="Arial" w:cs="Arial"/>
          <w:i/>
          <w:iCs/>
          <w:color w:val="000000"/>
          <w:kern w:val="0"/>
          <w:sz w:val="20"/>
          <w:szCs w:val="20"/>
          <w:lang w:eastAsia="en-GB"/>
          <w14:ligatures w14:val="none"/>
        </w:rPr>
        <w:t>kinda</w:t>
      </w:r>
      <w:proofErr w:type="spellEnd"/>
      <w:r w:rsidRPr="004E5F9B">
        <w:rPr>
          <w:rFonts w:ascii="Arial" w:eastAsia="Times New Roman" w:hAnsi="Arial" w:cs="Arial"/>
          <w:i/>
          <w:iCs/>
          <w:color w:val="000000"/>
          <w:kern w:val="0"/>
          <w:sz w:val="20"/>
          <w:szCs w:val="20"/>
          <w:lang w:eastAsia="en-GB"/>
          <w14:ligatures w14:val="none"/>
        </w:rPr>
        <w:t xml:space="preserve"> thing, it’s really frustrating, and it does affect my choice of jobs in life.”</w:t>
      </w:r>
      <w:r w:rsidR="003C72AE" w:rsidRPr="004E5F9B">
        <w:rPr>
          <w:rStyle w:val="FootnoteReference"/>
          <w:rFonts w:ascii="Arial" w:eastAsia="Times New Roman" w:hAnsi="Arial" w:cs="Arial"/>
          <w:i/>
          <w:iCs/>
          <w:color w:val="000000"/>
          <w:kern w:val="0"/>
          <w:sz w:val="20"/>
          <w:szCs w:val="20"/>
          <w:lang w:eastAsia="en-GB"/>
          <w14:ligatures w14:val="none"/>
        </w:rPr>
        <w:footnoteReference w:id="72"/>
      </w:r>
    </w:p>
    <w:p w14:paraId="61EBE8FE" w14:textId="2CC9DB9A"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r w:rsidRPr="004E5F9B">
        <w:rPr>
          <w:rFonts w:ascii="Arial" w:eastAsia="Times New Roman" w:hAnsi="Arial" w:cs="Arial"/>
          <w:color w:val="000000"/>
          <w:kern w:val="0"/>
          <w:sz w:val="20"/>
          <w:szCs w:val="20"/>
          <w:lang w:eastAsia="en-GB"/>
          <w14:ligatures w14:val="none"/>
        </w:rPr>
        <w:br/>
      </w:r>
    </w:p>
    <w:p w14:paraId="23F7610C" w14:textId="45351901" w:rsidR="006F71BE" w:rsidRPr="004E5F9B" w:rsidRDefault="009313B2" w:rsidP="009313B2">
      <w:pPr>
        <w:numPr>
          <w:ilvl w:val="0"/>
          <w:numId w:val="26"/>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Adopt </w:t>
      </w:r>
      <w:proofErr w:type="spellStart"/>
      <w:r w:rsidRPr="004E5F9B">
        <w:rPr>
          <w:rFonts w:ascii="Arial" w:eastAsia="Times New Roman" w:hAnsi="Arial" w:cs="Arial"/>
          <w:color w:val="000000"/>
          <w:kern w:val="0"/>
          <w:sz w:val="20"/>
          <w:szCs w:val="20"/>
          <w:lang w:eastAsia="en-GB"/>
          <w14:ligatures w14:val="none"/>
        </w:rPr>
        <w:t>Suhakam</w:t>
      </w:r>
      <w:proofErr w:type="spellEnd"/>
      <w:r w:rsidRPr="004E5F9B">
        <w:rPr>
          <w:rFonts w:ascii="Arial" w:eastAsia="Times New Roman" w:hAnsi="Arial" w:cs="Arial"/>
          <w:color w:val="000000"/>
          <w:kern w:val="0"/>
          <w:sz w:val="20"/>
          <w:szCs w:val="20"/>
          <w:lang w:eastAsia="en-GB"/>
          <w14:ligatures w14:val="none"/>
        </w:rPr>
        <w:t xml:space="preserve"> recommendations in its trans</w:t>
      </w:r>
      <w:r w:rsidR="004D02CE" w:rsidRPr="004E5F9B">
        <w:rPr>
          <w:rFonts w:ascii="Arial" w:eastAsia="Times New Roman" w:hAnsi="Arial" w:cs="Arial"/>
          <w:color w:val="000000"/>
          <w:kern w:val="0"/>
          <w:sz w:val="20"/>
          <w:szCs w:val="20"/>
          <w:lang w:eastAsia="en-GB"/>
          <w14:ligatures w14:val="none"/>
        </w:rPr>
        <w:t>gender</w:t>
      </w:r>
      <w:r w:rsidRPr="004E5F9B">
        <w:rPr>
          <w:rFonts w:ascii="Arial" w:eastAsia="Times New Roman" w:hAnsi="Arial" w:cs="Arial"/>
          <w:color w:val="000000"/>
          <w:kern w:val="0"/>
          <w:sz w:val="20"/>
          <w:szCs w:val="20"/>
          <w:lang w:eastAsia="en-GB"/>
          <w14:ligatures w14:val="none"/>
        </w:rPr>
        <w:t xml:space="preserve"> study</w:t>
      </w:r>
      <w:r w:rsidR="006F71BE" w:rsidRPr="004E5F9B">
        <w:rPr>
          <w:rFonts w:ascii="Arial" w:eastAsia="Times New Roman" w:hAnsi="Arial" w:cs="Arial"/>
          <w:color w:val="000000"/>
          <w:kern w:val="0"/>
          <w:sz w:val="20"/>
          <w:szCs w:val="20"/>
          <w:lang w:eastAsia="en-GB"/>
          <w14:ligatures w14:val="none"/>
        </w:rPr>
        <w:t xml:space="preserve"> </w:t>
      </w:r>
    </w:p>
    <w:p w14:paraId="32564D9D" w14:textId="555CACD4" w:rsidR="009313B2" w:rsidRPr="004E5F9B" w:rsidRDefault="006F71BE" w:rsidP="009313B2">
      <w:pPr>
        <w:numPr>
          <w:ilvl w:val="0"/>
          <w:numId w:val="26"/>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U</w:t>
      </w:r>
      <w:r w:rsidR="009313B2" w:rsidRPr="004E5F9B">
        <w:rPr>
          <w:rFonts w:ascii="Arial" w:eastAsia="Times New Roman" w:hAnsi="Arial" w:cs="Arial"/>
          <w:color w:val="000000"/>
          <w:kern w:val="0"/>
          <w:sz w:val="20"/>
          <w:szCs w:val="20"/>
          <w:lang w:eastAsia="en-GB"/>
          <w14:ligatures w14:val="none"/>
        </w:rPr>
        <w:t>ndertake a study to address the employment discrimination faced by LGBT people </w:t>
      </w:r>
      <w:r w:rsidR="00C76AF1" w:rsidRPr="004E5F9B">
        <w:rPr>
          <w:rFonts w:ascii="Arial" w:eastAsia="Times New Roman" w:hAnsi="Arial" w:cs="Arial"/>
          <w:color w:val="000000"/>
          <w:kern w:val="0"/>
          <w:sz w:val="20"/>
          <w:szCs w:val="20"/>
          <w:lang w:eastAsia="en-GB"/>
          <w14:ligatures w14:val="none"/>
        </w:rPr>
        <w:t xml:space="preserve">in consultation </w:t>
      </w:r>
      <w:r w:rsidRPr="004E5F9B">
        <w:rPr>
          <w:rFonts w:ascii="Arial" w:eastAsia="Times New Roman" w:hAnsi="Arial" w:cs="Arial"/>
          <w:color w:val="000000"/>
          <w:kern w:val="0"/>
          <w:sz w:val="20"/>
          <w:szCs w:val="20"/>
          <w:lang w:eastAsia="en-GB"/>
          <w14:ligatures w14:val="none"/>
        </w:rPr>
        <w:t>LGBTI civil society organisations</w:t>
      </w:r>
    </w:p>
    <w:p w14:paraId="7D629227" w14:textId="77777777" w:rsidR="007A756A" w:rsidRPr="004E5F9B" w:rsidRDefault="007A756A" w:rsidP="009313B2">
      <w:pPr>
        <w:rPr>
          <w:rFonts w:ascii="Arial" w:eastAsia="Times New Roman" w:hAnsi="Arial" w:cs="Arial"/>
          <w:color w:val="000000"/>
          <w:kern w:val="0"/>
          <w:sz w:val="20"/>
          <w:szCs w:val="20"/>
          <w:lang w:eastAsia="en-GB"/>
          <w14:ligatures w14:val="none"/>
        </w:rPr>
      </w:pPr>
    </w:p>
    <w:p w14:paraId="7DED50EC" w14:textId="77777777" w:rsidR="0021762D" w:rsidRPr="004E5F9B" w:rsidRDefault="0021762D">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0A161C85" w14:textId="55AD8C5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Article 12: Health </w:t>
      </w:r>
    </w:p>
    <w:p w14:paraId="0D50D896"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191A3CB" w14:textId="1E97CD2B"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12.1 The Ministry of Health’s 2017 guideline to manage ‘gender confusion’</w:t>
      </w:r>
      <w:r w:rsidR="008D2730" w:rsidRPr="004E5F9B">
        <w:rPr>
          <w:rStyle w:val="FootnoteReference"/>
          <w:rFonts w:ascii="Arial" w:eastAsia="Times New Roman" w:hAnsi="Arial" w:cs="Arial"/>
          <w:color w:val="000000"/>
          <w:kern w:val="0"/>
          <w:sz w:val="20"/>
          <w:szCs w:val="20"/>
          <w:lang w:eastAsia="en-GB"/>
          <w14:ligatures w14:val="none"/>
        </w:rPr>
        <w:footnoteReference w:id="73"/>
      </w:r>
      <w:r w:rsidRPr="004E5F9B">
        <w:rPr>
          <w:rFonts w:ascii="Arial" w:eastAsia="Times New Roman" w:hAnsi="Arial" w:cs="Arial"/>
          <w:color w:val="000000"/>
          <w:kern w:val="0"/>
          <w:sz w:val="20"/>
          <w:szCs w:val="20"/>
          <w:lang w:eastAsia="en-GB"/>
          <w14:ligatures w14:val="none"/>
        </w:rPr>
        <w:t xml:space="preserve"> in health clinics recommends physical and mental examinations, and a chromosome test for teenagers seeking medical support for gender-related issues. For adults, it suggests two treatment pathways: medical treatment and counselling with state agencies, counsellors, and religious institutions, among others. Intersex babies are described as ‘ambiguous’ and medicalized. </w:t>
      </w:r>
    </w:p>
    <w:p w14:paraId="7B459083"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6C5F5D7" w14:textId="2A903D8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12.2 The 2019 Paediatric Protocols recommends gender assignment and sex rearing for intersex babies based on ‘most probable adult gender identity and potential for adult function’ and medical and non-medical measures to reinforce the assigned gender.</w:t>
      </w:r>
      <w:r w:rsidR="00A95AD2" w:rsidRPr="004E5F9B">
        <w:rPr>
          <w:rStyle w:val="FootnoteReference"/>
          <w:rFonts w:ascii="Arial" w:eastAsia="Times New Roman" w:hAnsi="Arial" w:cs="Arial"/>
          <w:color w:val="000000"/>
          <w:kern w:val="0"/>
          <w:sz w:val="20"/>
          <w:szCs w:val="20"/>
          <w:lang w:eastAsia="en-GB"/>
          <w14:ligatures w14:val="none"/>
        </w:rPr>
        <w:footnoteReference w:id="74"/>
      </w:r>
      <w:r w:rsidRPr="004E5F9B">
        <w:rPr>
          <w:rFonts w:ascii="Arial" w:eastAsia="Times New Roman" w:hAnsi="Arial" w:cs="Arial"/>
          <w:color w:val="000000"/>
          <w:kern w:val="0"/>
          <w:sz w:val="20"/>
          <w:szCs w:val="20"/>
          <w:lang w:eastAsia="en-GB"/>
          <w14:ligatures w14:val="none"/>
        </w:rPr>
        <w:t xml:space="preserve"> These harmful medical recommendations unnecessarily medicalise LBTI persons, violate bodily autonomy and integrity, and are not grounded in the latest medical and human rights standards. </w:t>
      </w:r>
    </w:p>
    <w:p w14:paraId="6375038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B147A3B" w14:textId="1A9FF5F5"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12.2. The Gender Dysphoria Flagship programme by a medical university aims to ‘save’ LGBT people.</w:t>
      </w:r>
      <w:r w:rsidR="00801018" w:rsidRPr="004E5F9B">
        <w:rPr>
          <w:rStyle w:val="FootnoteReference"/>
          <w:rFonts w:ascii="Arial" w:eastAsia="Times New Roman" w:hAnsi="Arial" w:cs="Arial"/>
          <w:color w:val="000000"/>
          <w:kern w:val="0"/>
          <w:sz w:val="20"/>
          <w:szCs w:val="20"/>
          <w:lang w:eastAsia="en-GB"/>
          <w14:ligatures w14:val="none"/>
        </w:rPr>
        <w:footnoteReference w:id="75"/>
      </w:r>
      <w:r w:rsidRPr="004E5F9B">
        <w:rPr>
          <w:rFonts w:ascii="Arial" w:eastAsia="Times New Roman" w:hAnsi="Arial" w:cs="Arial"/>
          <w:color w:val="000000"/>
          <w:kern w:val="0"/>
          <w:sz w:val="20"/>
          <w:szCs w:val="20"/>
          <w:lang w:eastAsia="en-GB"/>
          <w14:ligatures w14:val="none"/>
        </w:rPr>
        <w:t xml:space="preserve"> A university-linked hospital </w:t>
      </w:r>
      <w:r w:rsidRPr="004E5F9B">
        <w:rPr>
          <w:rFonts w:ascii="Arial" w:eastAsia="Times New Roman" w:hAnsi="Arial" w:cs="Arial"/>
          <w:color w:val="222222"/>
          <w:kern w:val="0"/>
          <w:sz w:val="20"/>
          <w:szCs w:val="20"/>
          <w:lang w:eastAsia="en-GB"/>
          <w14:ligatures w14:val="none"/>
        </w:rPr>
        <w:t>has reportedly sponsored medical interventions for 20 trans people to de-transition and provided financial incentives to discourage them from returning to their ‘old self’.</w:t>
      </w:r>
      <w:r w:rsidR="00F344B2" w:rsidRPr="004E5F9B">
        <w:rPr>
          <w:rStyle w:val="FootnoteReference"/>
          <w:rFonts w:ascii="Arial" w:eastAsia="Times New Roman" w:hAnsi="Arial" w:cs="Arial"/>
          <w:color w:val="222222"/>
          <w:kern w:val="0"/>
          <w:sz w:val="20"/>
          <w:szCs w:val="20"/>
          <w:lang w:eastAsia="en-GB"/>
          <w14:ligatures w14:val="none"/>
        </w:rPr>
        <w:footnoteReference w:id="76"/>
      </w:r>
    </w:p>
    <w:p w14:paraId="7BA1E167"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C51208F" w14:textId="32B05E32"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222222"/>
          <w:kern w:val="0"/>
          <w:sz w:val="20"/>
          <w:szCs w:val="20"/>
          <w:lang w:eastAsia="en-GB"/>
          <w14:ligatures w14:val="none"/>
        </w:rPr>
        <w:t xml:space="preserve">12.3 The </w:t>
      </w:r>
      <w:proofErr w:type="spellStart"/>
      <w:r w:rsidRPr="004E5F9B">
        <w:rPr>
          <w:rFonts w:ascii="Arial" w:eastAsia="Times New Roman" w:hAnsi="Arial" w:cs="Arial"/>
          <w:color w:val="222222"/>
          <w:kern w:val="0"/>
          <w:sz w:val="20"/>
          <w:szCs w:val="20"/>
          <w:lang w:eastAsia="en-GB"/>
          <w14:ligatures w14:val="none"/>
        </w:rPr>
        <w:t>weaponisation</w:t>
      </w:r>
      <w:proofErr w:type="spellEnd"/>
      <w:r w:rsidRPr="004E5F9B">
        <w:rPr>
          <w:rFonts w:ascii="Arial" w:eastAsia="Times New Roman" w:hAnsi="Arial" w:cs="Arial"/>
          <w:color w:val="222222"/>
          <w:kern w:val="0"/>
          <w:sz w:val="20"/>
          <w:szCs w:val="20"/>
          <w:lang w:eastAsia="en-GB"/>
          <w14:ligatures w14:val="none"/>
        </w:rPr>
        <w:t xml:space="preserve"> of HIV against LGBT people is threatening access to healthcare and increasing discrimination based on sexual orientation and gender identity and expression (SOGIE) and HIV, often intersecting with religion. State actors raise panic by exploiting statistics on the prevalence of HIV among LGBT people, while promoting harmful and counterproductive HIV interventions, such as LGBT rehabilitation and other SOGIE-change efforts. A study shows 42% of </w:t>
      </w:r>
      <w:r w:rsidRPr="004E5F9B">
        <w:rPr>
          <w:rFonts w:ascii="Arial" w:eastAsia="Times New Roman" w:hAnsi="Arial" w:cs="Arial"/>
          <w:color w:val="000000"/>
          <w:kern w:val="0"/>
          <w:sz w:val="20"/>
          <w:szCs w:val="20"/>
          <w:lang w:eastAsia="en-GB"/>
          <w14:ligatures w14:val="none"/>
        </w:rPr>
        <w:t>436 physicians in Kuala Lumpur showed stigma-related constructs towards transgender people.</w:t>
      </w:r>
      <w:r w:rsidR="007333E5" w:rsidRPr="004E5F9B">
        <w:rPr>
          <w:rStyle w:val="FootnoteReference"/>
          <w:rFonts w:ascii="Arial" w:eastAsia="Times New Roman" w:hAnsi="Arial" w:cs="Arial"/>
          <w:color w:val="000000"/>
          <w:kern w:val="0"/>
          <w:sz w:val="20"/>
          <w:szCs w:val="20"/>
          <w:lang w:eastAsia="en-GB"/>
          <w14:ligatures w14:val="none"/>
        </w:rPr>
        <w:footnoteReference w:id="77"/>
      </w:r>
    </w:p>
    <w:p w14:paraId="1F5AD642"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ADA6050" w14:textId="77777777" w:rsidR="009313B2" w:rsidRPr="004E5F9B" w:rsidRDefault="009313B2" w:rsidP="009313B2">
      <w:pPr>
        <w:spacing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p>
    <w:p w14:paraId="26ADE210" w14:textId="46AC04F2" w:rsidR="009313B2" w:rsidRPr="004E5F9B" w:rsidRDefault="009313B2" w:rsidP="009313B2">
      <w:pPr>
        <w:numPr>
          <w:ilvl w:val="0"/>
          <w:numId w:val="27"/>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Review the current public health approach and guidelines </w:t>
      </w:r>
      <w:r w:rsidR="00CA45A6" w:rsidRPr="004E5F9B">
        <w:rPr>
          <w:rFonts w:ascii="Arial" w:eastAsia="Times New Roman" w:hAnsi="Arial" w:cs="Arial"/>
          <w:color w:val="000000"/>
          <w:kern w:val="0"/>
          <w:sz w:val="20"/>
          <w:szCs w:val="20"/>
          <w:lang w:eastAsia="en-GB"/>
          <w14:ligatures w14:val="none"/>
        </w:rPr>
        <w:t>concerning</w:t>
      </w:r>
      <w:r w:rsidRPr="004E5F9B">
        <w:rPr>
          <w:rFonts w:ascii="Arial" w:eastAsia="Times New Roman" w:hAnsi="Arial" w:cs="Arial"/>
          <w:color w:val="000000"/>
          <w:kern w:val="0"/>
          <w:sz w:val="20"/>
          <w:szCs w:val="20"/>
          <w:lang w:eastAsia="en-GB"/>
          <w14:ligatures w14:val="none"/>
        </w:rPr>
        <w:t xml:space="preserve"> LGBTI people </w:t>
      </w:r>
    </w:p>
    <w:p w14:paraId="700065E6" w14:textId="77777777" w:rsidR="007333E5" w:rsidRPr="004E5F9B" w:rsidRDefault="007333E5" w:rsidP="009313B2">
      <w:pPr>
        <w:rPr>
          <w:rFonts w:ascii="Arial" w:eastAsia="Times New Roman" w:hAnsi="Arial" w:cs="Arial"/>
          <w:b/>
          <w:bCs/>
          <w:color w:val="000000"/>
          <w:kern w:val="0"/>
          <w:sz w:val="20"/>
          <w:szCs w:val="20"/>
          <w:lang w:eastAsia="en-GB"/>
          <w14:ligatures w14:val="none"/>
        </w:rPr>
      </w:pPr>
    </w:p>
    <w:p w14:paraId="2B670928" w14:textId="77777777" w:rsidR="0021762D" w:rsidRPr="004E5F9B" w:rsidRDefault="0021762D">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77C6432C" w14:textId="6CCA63E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General Recommendation 19: Violence against Women </w:t>
      </w:r>
    </w:p>
    <w:p w14:paraId="0C0BD424"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CD624CC" w14:textId="470EFB5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GR 19.1 </w:t>
      </w:r>
      <w:r w:rsidR="00DE3C6D" w:rsidRPr="004E5F9B">
        <w:rPr>
          <w:rFonts w:ascii="Arial" w:eastAsia="Times New Roman" w:hAnsi="Arial" w:cs="Arial"/>
          <w:color w:val="000000"/>
          <w:kern w:val="0"/>
          <w:sz w:val="20"/>
          <w:szCs w:val="20"/>
          <w:lang w:eastAsia="en-GB"/>
          <w14:ligatures w14:val="none"/>
        </w:rPr>
        <w:t xml:space="preserve">Research </w:t>
      </w:r>
      <w:r w:rsidR="00972440" w:rsidRPr="004E5F9B">
        <w:rPr>
          <w:rFonts w:ascii="Arial" w:eastAsia="Times New Roman" w:hAnsi="Arial" w:cs="Arial"/>
          <w:color w:val="000000"/>
          <w:kern w:val="0"/>
          <w:sz w:val="20"/>
          <w:szCs w:val="20"/>
          <w:lang w:eastAsia="en-GB"/>
          <w14:ligatures w14:val="none"/>
        </w:rPr>
        <w:t>shows</w:t>
      </w:r>
      <w:r w:rsidR="004B3F29" w:rsidRPr="004E5F9B">
        <w:rPr>
          <w:rFonts w:ascii="Arial" w:eastAsia="Times New Roman" w:hAnsi="Arial" w:cs="Arial"/>
          <w:color w:val="000000"/>
          <w:kern w:val="0"/>
          <w:sz w:val="20"/>
          <w:szCs w:val="20"/>
          <w:lang w:eastAsia="en-GB"/>
          <w14:ligatures w14:val="none"/>
        </w:rPr>
        <w:t xml:space="preserve"> that </w:t>
      </w:r>
      <w:r w:rsidR="00BA1423" w:rsidRPr="004E5F9B">
        <w:rPr>
          <w:rFonts w:ascii="Arial" w:eastAsia="Times New Roman" w:hAnsi="Arial" w:cs="Arial"/>
          <w:color w:val="000000"/>
          <w:kern w:val="0"/>
          <w:sz w:val="20"/>
          <w:szCs w:val="20"/>
          <w:lang w:eastAsia="en-GB"/>
          <w14:ligatures w14:val="none"/>
        </w:rPr>
        <w:t>LBT women face</w:t>
      </w:r>
      <w:r w:rsidRPr="004E5F9B">
        <w:rPr>
          <w:rFonts w:ascii="Arial" w:eastAsia="Times New Roman" w:hAnsi="Arial" w:cs="Arial"/>
          <w:color w:val="000000"/>
          <w:kern w:val="0"/>
          <w:sz w:val="20"/>
          <w:szCs w:val="20"/>
          <w:lang w:eastAsia="en-GB"/>
          <w14:ligatures w14:val="none"/>
        </w:rPr>
        <w:t>,</w:t>
      </w:r>
      <w:r w:rsidR="006F07F6" w:rsidRPr="004E5F9B">
        <w:rPr>
          <w:rStyle w:val="FootnoteReference"/>
          <w:rFonts w:ascii="Arial" w:eastAsia="Times New Roman" w:hAnsi="Arial" w:cs="Arial"/>
          <w:color w:val="000000"/>
          <w:kern w:val="0"/>
          <w:sz w:val="20"/>
          <w:szCs w:val="20"/>
          <w:lang w:eastAsia="en-GB"/>
          <w14:ligatures w14:val="none"/>
        </w:rPr>
        <w:footnoteReference w:id="78"/>
      </w:r>
      <w:r w:rsidRPr="004E5F9B">
        <w:rPr>
          <w:rFonts w:ascii="Arial" w:eastAsia="Times New Roman" w:hAnsi="Arial" w:cs="Arial"/>
          <w:color w:val="000000"/>
          <w:kern w:val="0"/>
          <w:sz w:val="20"/>
          <w:szCs w:val="20"/>
          <w:lang w:eastAsia="en-GB"/>
          <w14:ligatures w14:val="none"/>
        </w:rPr>
        <w:t xml:space="preserve"> </w:t>
      </w:r>
    </w:p>
    <w:p w14:paraId="7E4E7707" w14:textId="019B4752" w:rsidR="009313B2" w:rsidRPr="004E5F9B" w:rsidRDefault="009313B2" w:rsidP="009313B2">
      <w:pPr>
        <w:numPr>
          <w:ilvl w:val="0"/>
          <w:numId w:val="28"/>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Online gender-based violence</w:t>
      </w:r>
      <w:r w:rsidRPr="004E5F9B">
        <w:rPr>
          <w:rFonts w:ascii="Arial" w:eastAsia="Times New Roman" w:hAnsi="Arial" w:cs="Arial"/>
          <w:color w:val="000000"/>
          <w:kern w:val="0"/>
          <w:sz w:val="20"/>
          <w:szCs w:val="20"/>
          <w:lang w:eastAsia="en-GB"/>
          <w14:ligatures w14:val="none"/>
        </w:rPr>
        <w:t xml:space="preserve">, including </w:t>
      </w:r>
      <w:r w:rsidR="001C3351" w:rsidRPr="004E5F9B">
        <w:rPr>
          <w:rFonts w:ascii="Arial" w:eastAsia="Times New Roman" w:hAnsi="Arial" w:cs="Arial"/>
          <w:color w:val="000000"/>
          <w:kern w:val="0"/>
          <w:sz w:val="20"/>
          <w:szCs w:val="20"/>
          <w:lang w:eastAsia="en-GB"/>
          <w14:ligatures w14:val="none"/>
        </w:rPr>
        <w:t xml:space="preserve">sexual harassment, </w:t>
      </w:r>
      <w:r w:rsidRPr="004E5F9B">
        <w:rPr>
          <w:rFonts w:ascii="Arial" w:eastAsia="Times New Roman" w:hAnsi="Arial" w:cs="Arial"/>
          <w:color w:val="000000"/>
          <w:kern w:val="0"/>
          <w:sz w:val="20"/>
          <w:szCs w:val="20"/>
          <w:lang w:eastAsia="en-GB"/>
          <w14:ligatures w14:val="none"/>
        </w:rPr>
        <w:t>doxing, catfishing, and blackmail. Consequently, reports show many opt to self-censor themselves to avoid discrimination.</w:t>
      </w:r>
      <w:r w:rsidR="007D2050" w:rsidRPr="004E5F9B">
        <w:rPr>
          <w:rStyle w:val="FootnoteReference"/>
          <w:rFonts w:ascii="Arial" w:eastAsia="Times New Roman" w:hAnsi="Arial" w:cs="Arial"/>
          <w:color w:val="000000"/>
          <w:kern w:val="0"/>
          <w:sz w:val="20"/>
          <w:szCs w:val="20"/>
          <w:lang w:eastAsia="en-GB"/>
          <w14:ligatures w14:val="none"/>
        </w:rPr>
        <w:footnoteReference w:id="79"/>
      </w:r>
      <w:r w:rsidR="007D2050" w:rsidRPr="004E5F9B">
        <w:rPr>
          <w:rStyle w:val="FootnoteReference"/>
          <w:rFonts w:ascii="Arial" w:eastAsia="Times New Roman" w:hAnsi="Arial" w:cs="Arial"/>
          <w:color w:val="000000"/>
          <w:kern w:val="0"/>
          <w:sz w:val="20"/>
          <w:szCs w:val="20"/>
          <w:lang w:eastAsia="en-GB"/>
          <w14:ligatures w14:val="none"/>
        </w:rPr>
        <w:footnoteReference w:id="80"/>
      </w:r>
      <w:r w:rsidRPr="004E5F9B">
        <w:rPr>
          <w:rFonts w:ascii="Arial" w:eastAsia="Times New Roman" w:hAnsi="Arial" w:cs="Arial"/>
          <w:color w:val="000000"/>
          <w:kern w:val="0"/>
          <w:sz w:val="20"/>
          <w:szCs w:val="20"/>
          <w:lang w:eastAsia="en-GB"/>
          <w14:ligatures w14:val="none"/>
        </w:rPr>
        <w:t xml:space="preserve"> </w:t>
      </w:r>
    </w:p>
    <w:p w14:paraId="3306FE09" w14:textId="77777777" w:rsidR="007333E5" w:rsidRPr="004E5F9B" w:rsidRDefault="007333E5" w:rsidP="007333E5">
      <w:pPr>
        <w:ind w:left="720"/>
        <w:textAlignment w:val="baseline"/>
        <w:rPr>
          <w:rFonts w:ascii="Arial" w:eastAsia="Times New Roman" w:hAnsi="Arial" w:cs="Arial"/>
          <w:color w:val="000000"/>
          <w:kern w:val="0"/>
          <w:sz w:val="20"/>
          <w:szCs w:val="20"/>
          <w:lang w:eastAsia="en-GB"/>
          <w14:ligatures w14:val="none"/>
        </w:rPr>
      </w:pPr>
    </w:p>
    <w:p w14:paraId="23394E57" w14:textId="17A74C31" w:rsidR="009313B2" w:rsidRPr="004E5F9B" w:rsidRDefault="009313B2" w:rsidP="009313B2">
      <w:pPr>
        <w:numPr>
          <w:ilvl w:val="0"/>
          <w:numId w:val="28"/>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Hate crimes and murder</w:t>
      </w:r>
      <w:r w:rsidRPr="004E5F9B">
        <w:rPr>
          <w:rFonts w:ascii="Arial" w:eastAsia="Times New Roman" w:hAnsi="Arial" w:cs="Arial"/>
          <w:color w:val="000000"/>
          <w:kern w:val="0"/>
          <w:sz w:val="20"/>
          <w:szCs w:val="20"/>
          <w:lang w:eastAsia="en-GB"/>
          <w14:ligatures w14:val="none"/>
        </w:rPr>
        <w:t xml:space="preserve">, to which gender-diverse persons and trans sex workers are particularly vulnerable. The </w:t>
      </w:r>
      <w:proofErr w:type="spellStart"/>
      <w:r w:rsidRPr="004E5F9B">
        <w:rPr>
          <w:rFonts w:ascii="Arial" w:eastAsia="Times New Roman" w:hAnsi="Arial" w:cs="Arial"/>
          <w:color w:val="000000"/>
          <w:kern w:val="0"/>
          <w:sz w:val="20"/>
          <w:szCs w:val="20"/>
          <w:lang w:eastAsia="en-GB"/>
          <w14:ligatures w14:val="none"/>
        </w:rPr>
        <w:t>Suhakam</w:t>
      </w:r>
      <w:proofErr w:type="spellEnd"/>
      <w:r w:rsidRPr="004E5F9B">
        <w:rPr>
          <w:rFonts w:ascii="Arial" w:eastAsia="Times New Roman" w:hAnsi="Arial" w:cs="Arial"/>
          <w:color w:val="000000"/>
          <w:kern w:val="0"/>
          <w:sz w:val="20"/>
          <w:szCs w:val="20"/>
          <w:lang w:eastAsia="en-GB"/>
          <w14:ligatures w14:val="none"/>
        </w:rPr>
        <w:t xml:space="preserve"> study found 28 trans respondents who were sex workers experienced violence from clients/customers, 25 from authorities and 29 from members of the public.</w:t>
      </w:r>
      <w:r w:rsidR="00486708" w:rsidRPr="004E5F9B">
        <w:rPr>
          <w:rStyle w:val="FootnoteReference"/>
          <w:rFonts w:ascii="Arial" w:eastAsia="Times New Roman" w:hAnsi="Arial" w:cs="Arial"/>
          <w:color w:val="000000"/>
          <w:kern w:val="0"/>
          <w:sz w:val="20"/>
          <w:szCs w:val="20"/>
          <w:lang w:eastAsia="en-GB"/>
          <w14:ligatures w14:val="none"/>
        </w:rPr>
        <w:footnoteReference w:id="81"/>
      </w:r>
      <w:r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br/>
      </w:r>
    </w:p>
    <w:p w14:paraId="687F30C0" w14:textId="063A262B" w:rsidR="009313B2" w:rsidRPr="004E5F9B" w:rsidRDefault="009313B2" w:rsidP="009313B2">
      <w:pPr>
        <w:numPr>
          <w:ilvl w:val="0"/>
          <w:numId w:val="28"/>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Sexual harassment and violence</w:t>
      </w:r>
      <w:r w:rsidRPr="004E5F9B">
        <w:rPr>
          <w:rFonts w:ascii="Arial" w:eastAsia="Times New Roman" w:hAnsi="Arial" w:cs="Arial"/>
          <w:color w:val="000000"/>
          <w:kern w:val="0"/>
          <w:sz w:val="20"/>
          <w:szCs w:val="20"/>
          <w:lang w:eastAsia="en-GB"/>
          <w14:ligatures w14:val="none"/>
        </w:rPr>
        <w:t xml:space="preserve"> in</w:t>
      </w:r>
      <w:r w:rsidR="001C3351" w:rsidRPr="004E5F9B">
        <w:rPr>
          <w:rFonts w:ascii="Arial" w:eastAsia="Times New Roman" w:hAnsi="Arial" w:cs="Arial"/>
          <w:color w:val="000000"/>
          <w:kern w:val="0"/>
          <w:sz w:val="20"/>
          <w:szCs w:val="20"/>
          <w:lang w:eastAsia="en-GB"/>
          <w14:ligatures w14:val="none"/>
        </w:rPr>
        <w:t>cluding in</w:t>
      </w:r>
      <w:r w:rsidRPr="004E5F9B">
        <w:rPr>
          <w:rFonts w:ascii="Arial" w:eastAsia="Times New Roman" w:hAnsi="Arial" w:cs="Arial"/>
          <w:color w:val="000000"/>
          <w:kern w:val="0"/>
          <w:sz w:val="20"/>
          <w:szCs w:val="20"/>
          <w:lang w:eastAsia="en-GB"/>
          <w14:ligatures w14:val="none"/>
        </w:rPr>
        <w:t xml:space="preserve"> public places and transportation;</w:t>
      </w:r>
      <w:r w:rsidR="006D70DC" w:rsidRPr="004E5F9B">
        <w:rPr>
          <w:rStyle w:val="FootnoteReference"/>
          <w:rFonts w:ascii="Arial" w:eastAsia="Times New Roman" w:hAnsi="Arial" w:cs="Arial"/>
          <w:color w:val="000000"/>
          <w:kern w:val="0"/>
          <w:sz w:val="20"/>
          <w:szCs w:val="20"/>
          <w:lang w:eastAsia="en-GB"/>
          <w14:ligatures w14:val="none"/>
        </w:rPr>
        <w:footnoteReference w:id="82"/>
      </w:r>
      <w:r w:rsidRPr="004E5F9B">
        <w:rPr>
          <w:rFonts w:ascii="Arial" w:eastAsia="Times New Roman" w:hAnsi="Arial" w:cs="Arial"/>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br/>
      </w:r>
    </w:p>
    <w:p w14:paraId="727E2B16" w14:textId="1CC4CAD6" w:rsidR="009313B2" w:rsidRPr="004E5F9B" w:rsidRDefault="009313B2" w:rsidP="009313B2">
      <w:pPr>
        <w:numPr>
          <w:ilvl w:val="0"/>
          <w:numId w:val="28"/>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Domestic violence</w:t>
      </w:r>
      <w:r w:rsidRPr="004E5F9B">
        <w:rPr>
          <w:rFonts w:ascii="Arial" w:eastAsia="Times New Roman" w:hAnsi="Arial" w:cs="Arial"/>
          <w:color w:val="000000"/>
          <w:kern w:val="0"/>
          <w:sz w:val="20"/>
          <w:szCs w:val="20"/>
          <w:lang w:eastAsia="en-GB"/>
          <w14:ligatures w14:val="none"/>
        </w:rPr>
        <w:t xml:space="preserve">, including surveillance by family members; forced marriages; emotional and financial withdrawal; disownment; forcibly or pressuring LGBTQ family members to SOGIE-change efforts or conversion practices; and violence. In some cases, the violence results in discontinued education, loss of home or shelter, </w:t>
      </w:r>
      <w:r w:rsidR="00F707CB" w:rsidRPr="004E5F9B">
        <w:rPr>
          <w:rFonts w:ascii="Arial" w:eastAsia="Times New Roman" w:hAnsi="Arial" w:cs="Arial"/>
          <w:color w:val="000000"/>
          <w:kern w:val="0"/>
          <w:sz w:val="20"/>
          <w:szCs w:val="20"/>
          <w:lang w:eastAsia="en-GB"/>
          <w14:ligatures w14:val="none"/>
        </w:rPr>
        <w:t xml:space="preserve">and </w:t>
      </w:r>
      <w:r w:rsidRPr="004E5F9B">
        <w:rPr>
          <w:rFonts w:ascii="Arial" w:eastAsia="Times New Roman" w:hAnsi="Arial" w:cs="Arial"/>
          <w:color w:val="000000"/>
          <w:kern w:val="0"/>
          <w:sz w:val="20"/>
          <w:szCs w:val="20"/>
          <w:lang w:eastAsia="en-GB"/>
          <w14:ligatures w14:val="none"/>
        </w:rPr>
        <w:t>long-term effects on their safety and well-being.</w:t>
      </w:r>
      <w:r w:rsidR="00BB3D05" w:rsidRPr="004E5F9B">
        <w:rPr>
          <w:rStyle w:val="FootnoteReference"/>
          <w:rFonts w:ascii="Arial" w:eastAsia="Times New Roman" w:hAnsi="Arial" w:cs="Arial"/>
          <w:color w:val="000000"/>
          <w:kern w:val="0"/>
          <w:sz w:val="20"/>
          <w:szCs w:val="20"/>
          <w:lang w:eastAsia="en-GB"/>
          <w14:ligatures w14:val="none"/>
        </w:rPr>
        <w:footnoteReference w:id="83"/>
      </w:r>
    </w:p>
    <w:p w14:paraId="6D47D610" w14:textId="6284D905" w:rsidR="009313B2" w:rsidRPr="004E5F9B" w:rsidRDefault="009313B2" w:rsidP="009313B2">
      <w:pPr>
        <w:rPr>
          <w:rFonts w:ascii="Arial" w:eastAsia="Times New Roman" w:hAnsi="Arial" w:cs="Arial"/>
          <w:color w:val="000000"/>
          <w:kern w:val="0"/>
          <w:sz w:val="20"/>
          <w:szCs w:val="20"/>
          <w:lang w:eastAsia="en-GB"/>
          <w14:ligatures w14:val="none"/>
        </w:rPr>
      </w:pPr>
    </w:p>
    <w:p w14:paraId="77EC1361" w14:textId="17516C4B" w:rsidR="009313B2" w:rsidRPr="004E5F9B" w:rsidRDefault="009313B2" w:rsidP="009313B2">
      <w:pPr>
        <w:numPr>
          <w:ilvl w:val="0"/>
          <w:numId w:val="29"/>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Arbitrary arrest by state actors</w:t>
      </w:r>
      <w:r w:rsidR="00937080" w:rsidRPr="004E5F9B">
        <w:rPr>
          <w:rFonts w:ascii="Arial" w:eastAsia="Times New Roman" w:hAnsi="Arial" w:cs="Arial"/>
          <w:b/>
          <w:bCs/>
          <w:color w:val="000000"/>
          <w:kern w:val="0"/>
          <w:sz w:val="20"/>
          <w:szCs w:val="20"/>
          <w:lang w:eastAsia="en-GB"/>
          <w14:ligatures w14:val="none"/>
        </w:rPr>
        <w:t xml:space="preserve"> </w:t>
      </w:r>
      <w:r w:rsidRPr="004E5F9B">
        <w:rPr>
          <w:rFonts w:ascii="Arial" w:eastAsia="Times New Roman" w:hAnsi="Arial" w:cs="Arial"/>
          <w:color w:val="000000"/>
          <w:kern w:val="0"/>
          <w:sz w:val="20"/>
          <w:szCs w:val="20"/>
          <w:lang w:eastAsia="en-GB"/>
          <w14:ligatures w14:val="none"/>
        </w:rPr>
        <w:t>under various laws due to their SOGIE, participation in LGBT-inclusive events, and alleged sex work, among others. </w:t>
      </w:r>
    </w:p>
    <w:p w14:paraId="36B05BE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26C2D43C" w14:textId="4C0BED33"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GR 19.2 A survey</w:t>
      </w:r>
      <w:r w:rsidR="002D7E9F" w:rsidRPr="004E5F9B">
        <w:rPr>
          <w:rFonts w:ascii="Arial" w:eastAsia="Times New Roman" w:hAnsi="Arial" w:cs="Arial"/>
          <w:color w:val="000000"/>
          <w:kern w:val="0"/>
          <w:sz w:val="20"/>
          <w:szCs w:val="20"/>
          <w:lang w:eastAsia="en-GB"/>
          <w14:ligatures w14:val="none"/>
        </w:rPr>
        <w:t xml:space="preserve"> found</w:t>
      </w:r>
      <w:r w:rsidRPr="004E5F9B">
        <w:rPr>
          <w:rFonts w:ascii="Arial" w:eastAsia="Times New Roman" w:hAnsi="Arial" w:cs="Arial"/>
          <w:color w:val="000000"/>
          <w:kern w:val="0"/>
          <w:sz w:val="20"/>
          <w:szCs w:val="20"/>
          <w:lang w:eastAsia="en-GB"/>
          <w14:ligatures w14:val="none"/>
        </w:rPr>
        <w:t xml:space="preserve"> 20% of the respondents noted that they experienced increased anti-LGBT conversations at home, in family chat groups, or among family members as a result of increased anti-LGBT narratives.</w:t>
      </w:r>
      <w:r w:rsidR="005827EC" w:rsidRPr="004E5F9B">
        <w:rPr>
          <w:rStyle w:val="FootnoteReference"/>
          <w:rFonts w:ascii="Arial" w:eastAsia="Times New Roman" w:hAnsi="Arial" w:cs="Arial"/>
          <w:color w:val="000000"/>
          <w:kern w:val="0"/>
          <w:sz w:val="20"/>
          <w:szCs w:val="20"/>
          <w:lang w:eastAsia="en-GB"/>
          <w14:ligatures w14:val="none"/>
        </w:rPr>
        <w:footnoteReference w:id="84"/>
      </w:r>
      <w:r w:rsidRPr="004E5F9B">
        <w:rPr>
          <w:rFonts w:ascii="Arial" w:eastAsia="Times New Roman" w:hAnsi="Arial" w:cs="Arial"/>
          <w:color w:val="000000"/>
          <w:kern w:val="0"/>
          <w:sz w:val="20"/>
          <w:szCs w:val="20"/>
          <w:lang w:eastAsia="en-GB"/>
          <w14:ligatures w14:val="none"/>
        </w:rPr>
        <w:t> </w:t>
      </w:r>
    </w:p>
    <w:p w14:paraId="1B54CC6E"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F334824" w14:textId="6FDEB008"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GR 19.3 Reports show </w:t>
      </w:r>
      <w:r w:rsidR="002068B8" w:rsidRPr="004E5F9B">
        <w:rPr>
          <w:rFonts w:ascii="Arial" w:eastAsia="Times New Roman" w:hAnsi="Arial" w:cs="Arial"/>
          <w:color w:val="000000"/>
          <w:kern w:val="0"/>
          <w:sz w:val="20"/>
          <w:szCs w:val="20"/>
          <w:lang w:eastAsia="en-GB"/>
          <w14:ligatures w14:val="none"/>
        </w:rPr>
        <w:t xml:space="preserve">a correlation between </w:t>
      </w:r>
      <w:r w:rsidRPr="004E5F9B">
        <w:rPr>
          <w:rFonts w:ascii="Arial" w:eastAsia="Times New Roman" w:hAnsi="Arial" w:cs="Arial"/>
          <w:color w:val="000000"/>
          <w:kern w:val="0"/>
          <w:sz w:val="20"/>
          <w:szCs w:val="20"/>
          <w:lang w:eastAsia="en-GB"/>
          <w14:ligatures w14:val="none"/>
        </w:rPr>
        <w:t xml:space="preserve">low access justice </w:t>
      </w:r>
      <w:r w:rsidR="00AB3D1B" w:rsidRPr="004E5F9B">
        <w:rPr>
          <w:rFonts w:ascii="Arial" w:eastAsia="Times New Roman" w:hAnsi="Arial" w:cs="Arial"/>
          <w:color w:val="000000"/>
          <w:kern w:val="0"/>
          <w:sz w:val="20"/>
          <w:szCs w:val="20"/>
          <w:lang w:eastAsia="en-GB"/>
          <w14:ligatures w14:val="none"/>
        </w:rPr>
        <w:t xml:space="preserve">and </w:t>
      </w:r>
      <w:r w:rsidRPr="004E5F9B">
        <w:rPr>
          <w:rFonts w:ascii="Arial" w:eastAsia="Times New Roman" w:hAnsi="Arial" w:cs="Arial"/>
          <w:color w:val="000000"/>
          <w:kern w:val="0"/>
          <w:sz w:val="20"/>
          <w:szCs w:val="20"/>
          <w:lang w:eastAsia="en-GB"/>
          <w14:ligatures w14:val="none"/>
        </w:rPr>
        <w:t>criminalisation. Muslim queer women facing forced marriage and domestic violence by family members are unable to seek redress due to fear of legal repercussions.</w:t>
      </w:r>
      <w:r w:rsidR="005827EC" w:rsidRPr="004E5F9B">
        <w:rPr>
          <w:rStyle w:val="FootnoteReference"/>
          <w:rFonts w:ascii="Arial" w:eastAsia="Times New Roman" w:hAnsi="Arial" w:cs="Arial"/>
          <w:color w:val="000000"/>
          <w:kern w:val="0"/>
          <w:sz w:val="20"/>
          <w:szCs w:val="20"/>
          <w:lang w:eastAsia="en-GB"/>
          <w14:ligatures w14:val="none"/>
        </w:rPr>
        <w:footnoteReference w:id="85"/>
      </w:r>
    </w:p>
    <w:p w14:paraId="0D635F0E"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614F6BDD" w14:textId="55D118B2"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i/>
          <w:iCs/>
          <w:color w:val="000000"/>
          <w:kern w:val="0"/>
          <w:sz w:val="20"/>
          <w:szCs w:val="20"/>
          <w:lang w:eastAsia="en-GB"/>
          <w14:ligatures w14:val="none"/>
        </w:rPr>
        <w:t>Recommendations </w:t>
      </w:r>
      <w:r w:rsidRPr="004E5F9B">
        <w:rPr>
          <w:rFonts w:ascii="Arial" w:eastAsia="Times New Roman" w:hAnsi="Arial" w:cs="Arial"/>
          <w:color w:val="000000"/>
          <w:kern w:val="0"/>
          <w:sz w:val="20"/>
          <w:szCs w:val="20"/>
          <w:lang w:eastAsia="en-GB"/>
          <w14:ligatures w14:val="none"/>
        </w:rPr>
        <w:br/>
      </w:r>
    </w:p>
    <w:p w14:paraId="3EE9F0E6" w14:textId="05208FA7" w:rsidR="009313B2" w:rsidRPr="004E5F9B" w:rsidRDefault="009313B2" w:rsidP="009313B2">
      <w:pPr>
        <w:numPr>
          <w:ilvl w:val="0"/>
          <w:numId w:val="30"/>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Develop guidelines for Welfare Officers and other state agencies in order to effectively apply the Domestic Violence Act in cases of violence against LBTI </w:t>
      </w:r>
      <w:r w:rsidR="00733E7B" w:rsidRPr="004E5F9B">
        <w:rPr>
          <w:rFonts w:ascii="Arial" w:eastAsia="Times New Roman" w:hAnsi="Arial" w:cs="Arial"/>
          <w:color w:val="000000"/>
          <w:kern w:val="0"/>
          <w:sz w:val="20"/>
          <w:szCs w:val="20"/>
          <w:lang w:eastAsia="en-GB"/>
          <w14:ligatures w14:val="none"/>
        </w:rPr>
        <w:t>women</w:t>
      </w:r>
      <w:r w:rsidRPr="004E5F9B">
        <w:rPr>
          <w:rFonts w:ascii="Arial" w:eastAsia="Times New Roman" w:hAnsi="Arial" w:cs="Arial"/>
          <w:color w:val="000000"/>
          <w:kern w:val="0"/>
          <w:sz w:val="20"/>
          <w:szCs w:val="20"/>
          <w:lang w:eastAsia="en-GB"/>
          <w14:ligatures w14:val="none"/>
        </w:rPr>
        <w:t> </w:t>
      </w:r>
    </w:p>
    <w:p w14:paraId="2FCB8BCF"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697B954" w14:textId="77777777" w:rsidR="0021762D" w:rsidRPr="004E5F9B" w:rsidRDefault="0021762D">
      <w:pPr>
        <w:rPr>
          <w:rFonts w:ascii="Arial" w:eastAsia="Times New Roman" w:hAnsi="Arial" w:cs="Arial"/>
          <w:b/>
          <w:bCs/>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br w:type="page"/>
      </w:r>
    </w:p>
    <w:p w14:paraId="2EBF5F63" w14:textId="2AD7099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lastRenderedPageBreak/>
        <w:t>General Recommendation 33: Access to Justice </w:t>
      </w:r>
    </w:p>
    <w:p w14:paraId="7EBB34F9"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6EEC36C1"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Access to redress </w:t>
      </w:r>
    </w:p>
    <w:p w14:paraId="76FD8584"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402FBAC0" w14:textId="6EB4385C" w:rsidR="009313B2" w:rsidRPr="004E5F9B" w:rsidRDefault="009313B2" w:rsidP="00106534">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GR 33.1 A 2020 survey</w:t>
      </w:r>
      <w:r w:rsidR="000020CE" w:rsidRPr="004E5F9B">
        <w:rPr>
          <w:rStyle w:val="FootnoteReference"/>
          <w:rFonts w:ascii="Arial" w:eastAsia="Times New Roman" w:hAnsi="Arial" w:cs="Arial"/>
          <w:color w:val="000000"/>
          <w:kern w:val="0"/>
          <w:sz w:val="20"/>
          <w:szCs w:val="20"/>
          <w:lang w:eastAsia="en-GB"/>
          <w14:ligatures w14:val="none"/>
        </w:rPr>
        <w:footnoteReference w:id="86"/>
      </w:r>
      <w:r w:rsidRPr="004E5F9B">
        <w:rPr>
          <w:rFonts w:ascii="Arial" w:eastAsia="Times New Roman" w:hAnsi="Arial" w:cs="Arial"/>
          <w:color w:val="000000"/>
          <w:kern w:val="0"/>
          <w:sz w:val="20"/>
          <w:szCs w:val="20"/>
          <w:lang w:eastAsia="en-GB"/>
          <w14:ligatures w14:val="none"/>
        </w:rPr>
        <w:t xml:space="preserve"> shows only 17% of 220 respondents stated that they are very comfortable reporting cases of discrimination and violence to government agencies. Meanwhile, 59% were uncomfortable. </w:t>
      </w:r>
    </w:p>
    <w:p w14:paraId="021C2468"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0CAD564B"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Discrimination by the police </w:t>
      </w:r>
    </w:p>
    <w:p w14:paraId="70D42AAD"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6761EDC"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GR 33.2. Research shows that trans women experience name-calling and humiliating treatment, microaggressions, victim-blaming, and a lack of urgency in handling their cases when seeking redress from the police. During raids, arrests and detention, trans women are subjected to procedures, treatment, and assignment of facilities based on their gender marker on legal documents, although discretion is made in the context of lock-up and for trans women based on medical transition. </w:t>
      </w:r>
    </w:p>
    <w:p w14:paraId="4C8A9764"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7BDEBD61"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GR 33.3 </w:t>
      </w:r>
      <w:r w:rsidRPr="004E5F9B">
        <w:rPr>
          <w:rFonts w:ascii="Arial" w:eastAsia="Times New Roman" w:hAnsi="Arial" w:cs="Arial"/>
          <w:color w:val="323232"/>
          <w:kern w:val="0"/>
          <w:sz w:val="20"/>
          <w:szCs w:val="20"/>
          <w:lang w:eastAsia="en-GB"/>
          <w14:ligatures w14:val="none"/>
        </w:rPr>
        <w:t>Police use non-human rights language and discriminatory terms to describe LGBT people when sharing information with the media and the public regarding hate crimes and violence involving trans people. Sensitisation training for the police would help stop misgendering and the dehumanisation of trans and LGBT people in the media and public sphere. </w:t>
      </w:r>
    </w:p>
    <w:p w14:paraId="2B141B37"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3D64D2E4"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Discrimination by the state Islamic departments </w:t>
      </w:r>
    </w:p>
    <w:p w14:paraId="5FFB3A5C" w14:textId="089FBDB0" w:rsidR="009313B2" w:rsidRPr="004E5F9B" w:rsidRDefault="009313B2" w:rsidP="009313B2">
      <w:pPr>
        <w:spacing w:before="240" w:after="240"/>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 xml:space="preserve">GR 33.4. LBT women experience the following human rights violations during raids, arrests, detention, and prosecution by </w:t>
      </w:r>
      <w:r w:rsidRPr="004E5F9B">
        <w:rPr>
          <w:rFonts w:ascii="Arial" w:eastAsia="Times New Roman" w:hAnsi="Arial" w:cs="Arial"/>
          <w:color w:val="000000"/>
          <w:kern w:val="0"/>
          <w:sz w:val="20"/>
          <w:szCs w:val="20"/>
          <w:lang w:eastAsia="en-GB"/>
          <w14:ligatures w14:val="none"/>
        </w:rPr>
        <w:t xml:space="preserve">the state Islamic departments, </w:t>
      </w:r>
    </w:p>
    <w:p w14:paraId="43FACAD7" w14:textId="0B97E86A" w:rsidR="009313B2" w:rsidRPr="004E5F9B" w:rsidRDefault="009313B2" w:rsidP="009313B2">
      <w:pPr>
        <w:numPr>
          <w:ilvl w:val="0"/>
          <w:numId w:val="32"/>
        </w:numPr>
        <w:spacing w:before="240"/>
        <w:textAlignment w:val="baseline"/>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Being subjected to irrelevant and degrading questions during the statement-taking</w:t>
      </w:r>
      <w:r w:rsidRPr="004E5F9B">
        <w:rPr>
          <w:rFonts w:ascii="Arial" w:eastAsia="Times New Roman" w:hAnsi="Arial" w:cs="Arial"/>
          <w:b/>
          <w:bCs/>
          <w:color w:val="323232"/>
          <w:kern w:val="0"/>
          <w:sz w:val="20"/>
          <w:szCs w:val="20"/>
          <w:lang w:eastAsia="en-GB"/>
          <w14:ligatures w14:val="none"/>
        </w:rPr>
        <w:t xml:space="preserve"> </w:t>
      </w:r>
      <w:r w:rsidRPr="004E5F9B">
        <w:rPr>
          <w:rFonts w:ascii="Arial" w:eastAsia="Times New Roman" w:hAnsi="Arial" w:cs="Arial"/>
          <w:color w:val="323232"/>
          <w:kern w:val="0"/>
          <w:sz w:val="20"/>
          <w:szCs w:val="20"/>
          <w:lang w:eastAsia="en-GB"/>
          <w14:ligatures w14:val="none"/>
        </w:rPr>
        <w:t>process</w:t>
      </w:r>
      <w:r w:rsidR="0022145D" w:rsidRPr="004E5F9B">
        <w:rPr>
          <w:rStyle w:val="FootnoteReference"/>
          <w:rFonts w:ascii="Arial" w:eastAsia="Times New Roman" w:hAnsi="Arial" w:cs="Arial"/>
          <w:color w:val="323232"/>
          <w:kern w:val="0"/>
          <w:sz w:val="20"/>
          <w:szCs w:val="20"/>
          <w:lang w:eastAsia="en-GB"/>
          <w14:ligatures w14:val="none"/>
        </w:rPr>
        <w:footnoteReference w:id="87"/>
      </w:r>
      <w:r w:rsidRPr="004E5F9B">
        <w:rPr>
          <w:rFonts w:ascii="Arial" w:eastAsia="Times New Roman" w:hAnsi="Arial" w:cs="Arial"/>
          <w:color w:val="323232"/>
          <w:kern w:val="0"/>
          <w:sz w:val="20"/>
          <w:szCs w:val="20"/>
          <w:lang w:eastAsia="en-GB"/>
          <w14:ligatures w14:val="none"/>
        </w:rPr>
        <w:br/>
      </w:r>
    </w:p>
    <w:p w14:paraId="074477C5" w14:textId="75CB1956" w:rsidR="009313B2" w:rsidRPr="004E5F9B" w:rsidRDefault="009313B2" w:rsidP="009313B2">
      <w:pPr>
        <w:numPr>
          <w:ilvl w:val="0"/>
          <w:numId w:val="32"/>
        </w:numPr>
        <w:textAlignment w:val="baseline"/>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Inclusion of media in raids leading to humiliating and degrading treatment, loss of employment,</w:t>
      </w:r>
      <w:r w:rsidR="007C5327" w:rsidRPr="004E5F9B">
        <w:rPr>
          <w:rStyle w:val="FootnoteReference"/>
          <w:rFonts w:ascii="Arial" w:eastAsia="Times New Roman" w:hAnsi="Arial" w:cs="Arial"/>
          <w:color w:val="323232"/>
          <w:kern w:val="0"/>
          <w:sz w:val="20"/>
          <w:szCs w:val="20"/>
          <w:lang w:eastAsia="en-GB"/>
          <w14:ligatures w14:val="none"/>
        </w:rPr>
        <w:footnoteReference w:id="88"/>
      </w:r>
      <w:r w:rsidRPr="004E5F9B">
        <w:rPr>
          <w:rFonts w:ascii="Arial" w:eastAsia="Times New Roman" w:hAnsi="Arial" w:cs="Arial"/>
          <w:color w:val="323232"/>
          <w:kern w:val="0"/>
          <w:sz w:val="20"/>
          <w:szCs w:val="20"/>
          <w:lang w:eastAsia="en-GB"/>
          <w14:ligatures w14:val="none"/>
        </w:rPr>
        <w:t xml:space="preserve"> strain on relationships with family members, and violence by family members, among others</w:t>
      </w:r>
      <w:r w:rsidRPr="004E5F9B">
        <w:rPr>
          <w:rFonts w:ascii="Arial" w:eastAsia="Times New Roman" w:hAnsi="Arial" w:cs="Arial"/>
          <w:color w:val="323232"/>
          <w:kern w:val="0"/>
          <w:sz w:val="20"/>
          <w:szCs w:val="20"/>
          <w:lang w:eastAsia="en-GB"/>
          <w14:ligatures w14:val="none"/>
        </w:rPr>
        <w:br/>
      </w:r>
    </w:p>
    <w:p w14:paraId="68B375FD" w14:textId="59CA9608" w:rsidR="009313B2" w:rsidRPr="004E5F9B" w:rsidRDefault="009313B2" w:rsidP="009313B2">
      <w:pPr>
        <w:numPr>
          <w:ilvl w:val="0"/>
          <w:numId w:val="32"/>
        </w:numPr>
        <w:textAlignment w:val="baseline"/>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 xml:space="preserve">Unreasonable bail conditions by judges resulting in being forced to serve </w:t>
      </w:r>
      <w:r w:rsidR="0044693B" w:rsidRPr="004E5F9B">
        <w:rPr>
          <w:rFonts w:ascii="Arial" w:eastAsia="Times New Roman" w:hAnsi="Arial" w:cs="Arial"/>
          <w:color w:val="323232"/>
          <w:kern w:val="0"/>
          <w:sz w:val="20"/>
          <w:szCs w:val="20"/>
          <w:lang w:eastAsia="en-GB"/>
          <w14:ligatures w14:val="none"/>
        </w:rPr>
        <w:t xml:space="preserve">a </w:t>
      </w:r>
      <w:r w:rsidRPr="004E5F9B">
        <w:rPr>
          <w:rFonts w:ascii="Arial" w:eastAsia="Times New Roman" w:hAnsi="Arial" w:cs="Arial"/>
          <w:color w:val="323232"/>
          <w:kern w:val="0"/>
          <w:sz w:val="20"/>
          <w:szCs w:val="20"/>
          <w:lang w:eastAsia="en-GB"/>
          <w14:ligatures w14:val="none"/>
        </w:rPr>
        <w:t xml:space="preserve">prison sentence </w:t>
      </w:r>
      <w:r w:rsidR="002A782F" w:rsidRPr="004E5F9B">
        <w:rPr>
          <w:rStyle w:val="FootnoteReference"/>
          <w:rFonts w:ascii="Arial" w:eastAsia="Times New Roman" w:hAnsi="Arial" w:cs="Arial"/>
          <w:color w:val="323232"/>
          <w:kern w:val="0"/>
          <w:sz w:val="20"/>
          <w:szCs w:val="20"/>
          <w:lang w:eastAsia="en-GB"/>
          <w14:ligatures w14:val="none"/>
        </w:rPr>
        <w:footnoteReference w:id="89"/>
      </w:r>
      <w:r w:rsidRPr="004E5F9B">
        <w:rPr>
          <w:rFonts w:ascii="Arial" w:eastAsia="Times New Roman" w:hAnsi="Arial" w:cs="Arial"/>
          <w:color w:val="323232"/>
          <w:kern w:val="0"/>
          <w:sz w:val="20"/>
          <w:szCs w:val="20"/>
          <w:lang w:eastAsia="en-GB"/>
          <w14:ligatures w14:val="none"/>
        </w:rPr>
        <w:t>or continued detainment. For example, in some monitored cases, judges have set that only family members,</w:t>
      </w:r>
      <w:r w:rsidR="00A166E5" w:rsidRPr="004E5F9B">
        <w:rPr>
          <w:rStyle w:val="FootnoteReference"/>
          <w:rFonts w:ascii="Arial" w:eastAsia="Times New Roman" w:hAnsi="Arial" w:cs="Arial"/>
          <w:color w:val="323232"/>
          <w:kern w:val="0"/>
          <w:sz w:val="20"/>
          <w:szCs w:val="20"/>
          <w:lang w:eastAsia="en-GB"/>
          <w14:ligatures w14:val="none"/>
        </w:rPr>
        <w:footnoteReference w:id="90"/>
      </w:r>
      <w:r w:rsidRPr="004E5F9B">
        <w:rPr>
          <w:rFonts w:ascii="Arial" w:eastAsia="Times New Roman" w:hAnsi="Arial" w:cs="Arial"/>
          <w:color w:val="323232"/>
          <w:kern w:val="0"/>
          <w:sz w:val="20"/>
          <w:szCs w:val="20"/>
          <w:lang w:eastAsia="en-GB"/>
          <w14:ligatures w14:val="none"/>
        </w:rPr>
        <w:t xml:space="preserve"> or government officers of a certain grade residing in a specific state can be bailors</w:t>
      </w:r>
      <w:r w:rsidR="00E10192" w:rsidRPr="004E5F9B">
        <w:rPr>
          <w:rFonts w:ascii="Arial" w:eastAsia="Times New Roman" w:hAnsi="Arial" w:cs="Arial"/>
          <w:color w:val="323232"/>
          <w:kern w:val="0"/>
          <w:sz w:val="20"/>
          <w:szCs w:val="20"/>
          <w:lang w:eastAsia="en-GB"/>
          <w14:ligatures w14:val="none"/>
        </w:rPr>
        <w:t>.</w:t>
      </w:r>
      <w:r w:rsidR="00E10192" w:rsidRPr="004E5F9B">
        <w:rPr>
          <w:rStyle w:val="FootnoteReference"/>
          <w:rFonts w:ascii="Arial" w:eastAsia="Times New Roman" w:hAnsi="Arial" w:cs="Arial"/>
          <w:color w:val="323232"/>
          <w:kern w:val="0"/>
          <w:sz w:val="20"/>
          <w:szCs w:val="20"/>
          <w:lang w:eastAsia="en-GB"/>
          <w14:ligatures w14:val="none"/>
        </w:rPr>
        <w:footnoteReference w:id="91"/>
      </w:r>
      <w:r w:rsidRPr="004E5F9B">
        <w:rPr>
          <w:rFonts w:ascii="Arial" w:eastAsia="Times New Roman" w:hAnsi="Arial" w:cs="Arial"/>
          <w:color w:val="323232"/>
          <w:kern w:val="0"/>
          <w:sz w:val="20"/>
          <w:szCs w:val="20"/>
          <w:lang w:eastAsia="en-GB"/>
          <w14:ligatures w14:val="none"/>
        </w:rPr>
        <w:t xml:space="preserve"> </w:t>
      </w:r>
      <w:r w:rsidRPr="004E5F9B">
        <w:rPr>
          <w:rFonts w:ascii="Arial" w:eastAsia="Times New Roman" w:hAnsi="Arial" w:cs="Arial"/>
          <w:color w:val="323232"/>
          <w:kern w:val="0"/>
          <w:sz w:val="20"/>
          <w:szCs w:val="20"/>
          <w:lang w:eastAsia="en-GB"/>
          <w14:ligatures w14:val="none"/>
        </w:rPr>
        <w:br/>
      </w:r>
    </w:p>
    <w:p w14:paraId="47C2584E" w14:textId="247EBD64" w:rsidR="009313B2" w:rsidRPr="004E5F9B" w:rsidRDefault="009313B2" w:rsidP="009313B2">
      <w:pPr>
        <w:numPr>
          <w:ilvl w:val="0"/>
          <w:numId w:val="32"/>
        </w:numPr>
        <w:textAlignment w:val="baseline"/>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t>Bias by syariah justice actors is high.</w:t>
      </w:r>
      <w:r w:rsidR="00054735" w:rsidRPr="004E5F9B">
        <w:rPr>
          <w:rStyle w:val="FootnoteReference"/>
          <w:rFonts w:ascii="Arial" w:eastAsia="Times New Roman" w:hAnsi="Arial" w:cs="Arial"/>
          <w:color w:val="323232"/>
          <w:kern w:val="0"/>
          <w:sz w:val="20"/>
          <w:szCs w:val="20"/>
          <w:lang w:eastAsia="en-GB"/>
          <w14:ligatures w14:val="none"/>
        </w:rPr>
        <w:footnoteReference w:id="92"/>
      </w:r>
      <w:r w:rsidRPr="004E5F9B">
        <w:rPr>
          <w:rFonts w:ascii="Arial" w:eastAsia="Times New Roman" w:hAnsi="Arial" w:cs="Arial"/>
          <w:color w:val="323232"/>
          <w:kern w:val="0"/>
          <w:sz w:val="20"/>
          <w:szCs w:val="20"/>
          <w:lang w:eastAsia="en-GB"/>
          <w14:ligatures w14:val="none"/>
        </w:rPr>
        <w:t xml:space="preserve"> In the Terengganu caning case, a judge was quoted as saying, “Caning in sharia is not to injure, torture, and punish offenders. Hopefully this punishment will serve as a lesson and reminder to all Muslims and give an idea of how sharia punishment is a punishment in the form of education and not to torture"</w:t>
      </w:r>
      <w:r w:rsidR="00D53C02" w:rsidRPr="004E5F9B">
        <w:rPr>
          <w:rStyle w:val="FootnoteReference"/>
          <w:rFonts w:ascii="Arial" w:eastAsia="Times New Roman" w:hAnsi="Arial" w:cs="Arial"/>
          <w:color w:val="323232"/>
          <w:kern w:val="0"/>
          <w:sz w:val="20"/>
          <w:szCs w:val="20"/>
          <w:lang w:eastAsia="en-GB"/>
          <w14:ligatures w14:val="none"/>
        </w:rPr>
        <w:footnoteReference w:id="93"/>
      </w:r>
      <w:r w:rsidRPr="004E5F9B">
        <w:rPr>
          <w:rFonts w:ascii="Arial" w:eastAsia="Times New Roman" w:hAnsi="Arial" w:cs="Arial"/>
          <w:color w:val="323232"/>
          <w:kern w:val="0"/>
          <w:sz w:val="20"/>
          <w:szCs w:val="20"/>
          <w:lang w:eastAsia="en-GB"/>
          <w14:ligatures w14:val="none"/>
        </w:rPr>
        <w:t xml:space="preserve">  In the section 28 case, the judge meted out prison sentences as a preventative measure </w:t>
      </w:r>
      <w:r w:rsidRPr="004E5F9B">
        <w:rPr>
          <w:rFonts w:ascii="Arial" w:eastAsia="Times New Roman" w:hAnsi="Arial" w:cs="Arial"/>
          <w:color w:val="323232"/>
          <w:kern w:val="0"/>
          <w:sz w:val="20"/>
          <w:szCs w:val="20"/>
          <w:shd w:val="clear" w:color="auto" w:fill="FFFFFF"/>
          <w:lang w:eastAsia="en-GB"/>
          <w14:ligatures w14:val="none"/>
        </w:rPr>
        <w:t>to rehabilitate and isolate those prosecuted from “others and their environment” (read: other LGBTQ people). The judge also said that as people like them are difficult to control, thus they must be segregated.</w:t>
      </w:r>
      <w:r w:rsidR="001B708B" w:rsidRPr="004E5F9B">
        <w:rPr>
          <w:rStyle w:val="FootnoteReference"/>
          <w:rFonts w:ascii="Arial" w:eastAsia="Times New Roman" w:hAnsi="Arial" w:cs="Arial"/>
          <w:color w:val="323232"/>
          <w:kern w:val="0"/>
          <w:sz w:val="20"/>
          <w:szCs w:val="20"/>
          <w:shd w:val="clear" w:color="auto" w:fill="FFFFFF"/>
          <w:lang w:eastAsia="en-GB"/>
          <w14:ligatures w14:val="none"/>
        </w:rPr>
        <w:footnoteReference w:id="94"/>
      </w:r>
      <w:r w:rsidRPr="004E5F9B">
        <w:rPr>
          <w:rFonts w:ascii="Arial" w:eastAsia="Times New Roman" w:hAnsi="Arial" w:cs="Arial"/>
          <w:color w:val="323232"/>
          <w:kern w:val="0"/>
          <w:sz w:val="20"/>
          <w:szCs w:val="20"/>
          <w:shd w:val="clear" w:color="auto" w:fill="FFFFFF"/>
          <w:lang w:eastAsia="en-GB"/>
          <w14:ligatures w14:val="none"/>
        </w:rPr>
        <w:t xml:space="preserve"> </w:t>
      </w:r>
      <w:r w:rsidR="00626F42" w:rsidRPr="004E5F9B">
        <w:rPr>
          <w:rStyle w:val="FootnoteReference"/>
          <w:rFonts w:ascii="Arial" w:eastAsia="Times New Roman" w:hAnsi="Arial" w:cs="Arial"/>
          <w:color w:val="323232"/>
          <w:kern w:val="0"/>
          <w:sz w:val="20"/>
          <w:szCs w:val="20"/>
          <w:shd w:val="clear" w:color="auto" w:fill="FFFFFF"/>
          <w:lang w:eastAsia="en-GB"/>
          <w14:ligatures w14:val="none"/>
        </w:rPr>
        <w:footnoteReference w:id="95"/>
      </w:r>
      <w:r w:rsidRPr="004E5F9B">
        <w:rPr>
          <w:rFonts w:ascii="Arial" w:eastAsia="Times New Roman" w:hAnsi="Arial" w:cs="Arial"/>
          <w:color w:val="323232"/>
          <w:kern w:val="0"/>
          <w:sz w:val="20"/>
          <w:szCs w:val="20"/>
          <w:shd w:val="clear" w:color="auto" w:fill="FFFFFF"/>
          <w:lang w:eastAsia="en-GB"/>
          <w14:ligatures w14:val="none"/>
        </w:rPr>
        <w:t xml:space="preserve"> Similar bias is found against sex workers.</w:t>
      </w:r>
      <w:r w:rsidR="00626F42" w:rsidRPr="004E5F9B">
        <w:rPr>
          <w:rStyle w:val="FootnoteReference"/>
          <w:rFonts w:ascii="Arial" w:eastAsia="Times New Roman" w:hAnsi="Arial" w:cs="Arial"/>
          <w:color w:val="323232"/>
          <w:kern w:val="0"/>
          <w:sz w:val="20"/>
          <w:szCs w:val="20"/>
          <w:shd w:val="clear" w:color="auto" w:fill="FFFFFF"/>
          <w:lang w:eastAsia="en-GB"/>
          <w14:ligatures w14:val="none"/>
        </w:rPr>
        <w:footnoteReference w:id="96"/>
      </w:r>
      <w:r w:rsidRPr="004E5F9B">
        <w:rPr>
          <w:rFonts w:ascii="Arial" w:eastAsia="Times New Roman" w:hAnsi="Arial" w:cs="Arial"/>
          <w:color w:val="323232"/>
          <w:kern w:val="0"/>
          <w:sz w:val="20"/>
          <w:szCs w:val="20"/>
          <w:lang w:eastAsia="en-GB"/>
          <w14:ligatures w14:val="none"/>
        </w:rPr>
        <w:br/>
      </w:r>
    </w:p>
    <w:p w14:paraId="05C289AC" w14:textId="2136F3B8" w:rsidR="009313B2" w:rsidRPr="004E5F9B" w:rsidRDefault="000403C0" w:rsidP="009313B2">
      <w:pPr>
        <w:numPr>
          <w:ilvl w:val="0"/>
          <w:numId w:val="32"/>
        </w:numPr>
        <w:spacing w:after="240"/>
        <w:textAlignment w:val="baseline"/>
        <w:rPr>
          <w:rFonts w:ascii="Arial" w:eastAsia="Times New Roman" w:hAnsi="Arial" w:cs="Arial"/>
          <w:color w:val="323232"/>
          <w:kern w:val="0"/>
          <w:sz w:val="20"/>
          <w:szCs w:val="20"/>
          <w:lang w:eastAsia="en-GB"/>
          <w14:ligatures w14:val="none"/>
        </w:rPr>
      </w:pPr>
      <w:r w:rsidRPr="004E5F9B">
        <w:rPr>
          <w:rFonts w:ascii="Arial" w:eastAsia="Times New Roman" w:hAnsi="Arial" w:cs="Arial"/>
          <w:color w:val="323232"/>
          <w:kern w:val="0"/>
          <w:sz w:val="20"/>
          <w:szCs w:val="20"/>
          <w:lang w:eastAsia="en-GB"/>
          <w14:ligatures w14:val="none"/>
        </w:rPr>
        <w:lastRenderedPageBreak/>
        <w:t>B</w:t>
      </w:r>
      <w:r w:rsidR="009313B2" w:rsidRPr="004E5F9B">
        <w:rPr>
          <w:rFonts w:ascii="Arial" w:eastAsia="Times New Roman" w:hAnsi="Arial" w:cs="Arial"/>
          <w:color w:val="323232"/>
          <w:kern w:val="0"/>
          <w:sz w:val="20"/>
          <w:szCs w:val="20"/>
          <w:lang w:eastAsia="en-GB"/>
          <w14:ligatures w14:val="none"/>
        </w:rPr>
        <w:t>ureaucracy and inefficiencies have led to victimisation.</w:t>
      </w:r>
      <w:r w:rsidR="00751D94" w:rsidRPr="004E5F9B">
        <w:rPr>
          <w:rStyle w:val="FootnoteReference"/>
          <w:rFonts w:ascii="Arial" w:eastAsia="Times New Roman" w:hAnsi="Arial" w:cs="Arial"/>
          <w:color w:val="323232"/>
          <w:kern w:val="0"/>
          <w:sz w:val="20"/>
          <w:szCs w:val="20"/>
          <w:lang w:eastAsia="en-GB"/>
          <w14:ligatures w14:val="none"/>
        </w:rPr>
        <w:footnoteReference w:id="97"/>
      </w:r>
      <w:r w:rsidR="009313B2" w:rsidRPr="004E5F9B">
        <w:rPr>
          <w:rFonts w:ascii="Arial" w:eastAsia="Times New Roman" w:hAnsi="Arial" w:cs="Arial"/>
          <w:color w:val="323232"/>
          <w:kern w:val="0"/>
          <w:sz w:val="20"/>
          <w:szCs w:val="20"/>
          <w:lang w:eastAsia="en-GB"/>
          <w14:ligatures w14:val="none"/>
        </w:rPr>
        <w:t xml:space="preserve"> For example, delays in making bail fees due to the distance of the bank from the court have led to unnecessary detention. </w:t>
      </w:r>
    </w:p>
    <w:p w14:paraId="13283D17"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i/>
          <w:iCs/>
          <w:color w:val="000000"/>
          <w:kern w:val="0"/>
          <w:sz w:val="20"/>
          <w:szCs w:val="20"/>
          <w:lang w:eastAsia="en-GB"/>
          <w14:ligatures w14:val="none"/>
        </w:rPr>
        <w:t>Access to data </w:t>
      </w:r>
    </w:p>
    <w:p w14:paraId="09BC5847" w14:textId="77777777" w:rsidR="009313B2" w:rsidRPr="004E5F9B" w:rsidRDefault="009313B2" w:rsidP="009313B2">
      <w:pPr>
        <w:rPr>
          <w:rFonts w:ascii="Arial" w:eastAsia="Times New Roman" w:hAnsi="Arial" w:cs="Arial"/>
          <w:color w:val="000000"/>
          <w:kern w:val="0"/>
          <w:sz w:val="20"/>
          <w:szCs w:val="20"/>
          <w:lang w:eastAsia="en-GB"/>
          <w14:ligatures w14:val="none"/>
        </w:rPr>
      </w:pPr>
    </w:p>
    <w:p w14:paraId="199342C2" w14:textId="031F90B4"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GR 33.5. </w:t>
      </w:r>
      <w:r w:rsidR="00C77D98" w:rsidRPr="004E5F9B">
        <w:rPr>
          <w:rFonts w:ascii="Arial" w:eastAsia="Times New Roman" w:hAnsi="Arial" w:cs="Arial"/>
          <w:color w:val="000000"/>
          <w:kern w:val="0"/>
          <w:sz w:val="20"/>
          <w:szCs w:val="20"/>
          <w:lang w:eastAsia="en-GB"/>
          <w14:ligatures w14:val="none"/>
        </w:rPr>
        <w:t xml:space="preserve">LBTI women </w:t>
      </w:r>
      <w:r w:rsidR="00285AE2" w:rsidRPr="004E5F9B">
        <w:rPr>
          <w:rFonts w:ascii="Arial" w:eastAsia="Times New Roman" w:hAnsi="Arial" w:cs="Arial"/>
          <w:color w:val="000000"/>
          <w:kern w:val="0"/>
          <w:sz w:val="20"/>
          <w:szCs w:val="20"/>
          <w:lang w:eastAsia="en-GB"/>
          <w14:ligatures w14:val="none"/>
        </w:rPr>
        <w:t>d</w:t>
      </w:r>
      <w:r w:rsidR="00DB3A50" w:rsidRPr="004E5F9B">
        <w:rPr>
          <w:rFonts w:ascii="Arial" w:eastAsia="Times New Roman" w:hAnsi="Arial" w:cs="Arial"/>
          <w:color w:val="000000"/>
          <w:kern w:val="0"/>
          <w:sz w:val="20"/>
          <w:szCs w:val="20"/>
          <w:lang w:eastAsia="en-GB"/>
          <w14:ligatures w14:val="none"/>
        </w:rPr>
        <w:t xml:space="preserve">ata gaps </w:t>
      </w:r>
      <w:r w:rsidR="00EB5021" w:rsidRPr="004E5F9B">
        <w:rPr>
          <w:rFonts w:ascii="Arial" w:eastAsia="Times New Roman" w:hAnsi="Arial" w:cs="Arial"/>
          <w:color w:val="000000"/>
          <w:kern w:val="0"/>
          <w:sz w:val="20"/>
          <w:szCs w:val="20"/>
          <w:lang w:eastAsia="en-GB"/>
          <w14:ligatures w14:val="none"/>
        </w:rPr>
        <w:t xml:space="preserve">is underscored by </w:t>
      </w:r>
      <w:r w:rsidR="00285AE2" w:rsidRPr="004E5F9B">
        <w:rPr>
          <w:rFonts w:ascii="Arial" w:eastAsia="Times New Roman" w:hAnsi="Arial" w:cs="Arial"/>
          <w:color w:val="000000"/>
          <w:kern w:val="0"/>
          <w:sz w:val="20"/>
          <w:szCs w:val="20"/>
          <w:lang w:eastAsia="en-GB"/>
          <w14:ligatures w14:val="none"/>
        </w:rPr>
        <w:t>institutionalised discrimination</w:t>
      </w:r>
      <w:r w:rsidR="003C0779" w:rsidRPr="004E5F9B">
        <w:rPr>
          <w:rFonts w:ascii="Arial" w:eastAsia="Times New Roman" w:hAnsi="Arial" w:cs="Arial"/>
          <w:color w:val="000000"/>
          <w:kern w:val="0"/>
          <w:sz w:val="20"/>
          <w:szCs w:val="20"/>
          <w:lang w:eastAsia="en-GB"/>
          <w14:ligatures w14:val="none"/>
        </w:rPr>
        <w:t xml:space="preserve">. Key concerns include </w:t>
      </w:r>
      <w:r w:rsidR="00285AE2" w:rsidRPr="004E5F9B">
        <w:rPr>
          <w:rFonts w:ascii="Arial" w:eastAsia="Times New Roman" w:hAnsi="Arial" w:cs="Arial"/>
          <w:color w:val="000000"/>
          <w:kern w:val="0"/>
          <w:sz w:val="20"/>
          <w:szCs w:val="20"/>
          <w:lang w:eastAsia="en-GB"/>
          <w14:ligatures w14:val="none"/>
        </w:rPr>
        <w:t xml:space="preserve"> </w:t>
      </w:r>
      <w:r w:rsidR="00DB3A50" w:rsidRPr="004E5F9B">
        <w:rPr>
          <w:rFonts w:ascii="Arial" w:eastAsia="Times New Roman" w:hAnsi="Arial" w:cs="Arial"/>
          <w:color w:val="000000"/>
          <w:kern w:val="0"/>
          <w:sz w:val="20"/>
          <w:szCs w:val="20"/>
          <w:lang w:eastAsia="en-GB"/>
          <w14:ligatures w14:val="none"/>
        </w:rPr>
        <w:t xml:space="preserve"> </w:t>
      </w:r>
    </w:p>
    <w:p w14:paraId="4174D156" w14:textId="62A5530E" w:rsidR="009313B2" w:rsidRPr="004E5F9B" w:rsidRDefault="009313B2" w:rsidP="009313B2">
      <w:pPr>
        <w:numPr>
          <w:ilvl w:val="0"/>
          <w:numId w:val="33"/>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Lack of access to statistics </w:t>
      </w:r>
      <w:r w:rsidR="000D75E8" w:rsidRPr="004E5F9B">
        <w:rPr>
          <w:rFonts w:ascii="Arial" w:eastAsia="Times New Roman" w:hAnsi="Arial" w:cs="Arial"/>
          <w:color w:val="000000"/>
          <w:kern w:val="0"/>
          <w:sz w:val="20"/>
          <w:szCs w:val="20"/>
          <w:lang w:eastAsia="en-GB"/>
          <w14:ligatures w14:val="none"/>
        </w:rPr>
        <w:t>on</w:t>
      </w:r>
      <w:r w:rsidRPr="004E5F9B">
        <w:rPr>
          <w:rFonts w:ascii="Arial" w:eastAsia="Times New Roman" w:hAnsi="Arial" w:cs="Arial"/>
          <w:color w:val="000000"/>
          <w:kern w:val="0"/>
          <w:sz w:val="20"/>
          <w:szCs w:val="20"/>
          <w:lang w:eastAsia="en-GB"/>
          <w14:ligatures w14:val="none"/>
        </w:rPr>
        <w:t xml:space="preserve"> arrests, namely under state Syariah criminal offences enactments; and</w:t>
      </w:r>
    </w:p>
    <w:p w14:paraId="398FA74F" w14:textId="77777777" w:rsidR="009313B2" w:rsidRPr="004E5F9B" w:rsidRDefault="009313B2" w:rsidP="009313B2">
      <w:pPr>
        <w:numPr>
          <w:ilvl w:val="0"/>
          <w:numId w:val="33"/>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Lack of gender-disaggregated data and analysis of crimes against LBTI persons prevents insights into trends of violence and increased vulnerability, as well as the development of effective responses to violence against LGBTIQ persons. </w:t>
      </w:r>
    </w:p>
    <w:p w14:paraId="57125E16" w14:textId="77777777" w:rsidR="009313B2" w:rsidRPr="004E5F9B" w:rsidRDefault="009313B2" w:rsidP="009313B2">
      <w:pPr>
        <w:spacing w:after="240"/>
        <w:rPr>
          <w:rFonts w:ascii="Arial" w:eastAsia="Times New Roman" w:hAnsi="Arial" w:cs="Arial"/>
          <w:color w:val="000000"/>
          <w:kern w:val="0"/>
          <w:sz w:val="20"/>
          <w:szCs w:val="20"/>
          <w:lang w:eastAsia="en-GB"/>
          <w14:ligatures w14:val="none"/>
        </w:rPr>
      </w:pPr>
    </w:p>
    <w:p w14:paraId="76B04A68" w14:textId="77777777" w:rsidR="009313B2" w:rsidRPr="004E5F9B" w:rsidRDefault="009313B2" w:rsidP="009313B2">
      <w:pPr>
        <w:rPr>
          <w:rFonts w:ascii="Arial" w:eastAsia="Times New Roman" w:hAnsi="Arial" w:cs="Arial"/>
          <w:color w:val="000000"/>
          <w:kern w:val="0"/>
          <w:sz w:val="20"/>
          <w:szCs w:val="20"/>
          <w:lang w:eastAsia="en-GB"/>
          <w14:ligatures w14:val="none"/>
        </w:rPr>
      </w:pPr>
      <w:r w:rsidRPr="004E5F9B">
        <w:rPr>
          <w:rFonts w:ascii="Arial" w:eastAsia="Times New Roman" w:hAnsi="Arial" w:cs="Arial"/>
          <w:b/>
          <w:bCs/>
          <w:color w:val="000000"/>
          <w:kern w:val="0"/>
          <w:sz w:val="20"/>
          <w:szCs w:val="20"/>
          <w:lang w:eastAsia="en-GB"/>
          <w14:ligatures w14:val="none"/>
        </w:rPr>
        <w:t>Recommendations</w:t>
      </w:r>
    </w:p>
    <w:p w14:paraId="64235E82" w14:textId="407A2164" w:rsidR="009313B2" w:rsidRPr="004E5F9B" w:rsidRDefault="009313B2" w:rsidP="009313B2">
      <w:pPr>
        <w:rPr>
          <w:rFonts w:ascii="Arial" w:eastAsia="Times New Roman" w:hAnsi="Arial" w:cs="Arial"/>
          <w:color w:val="000000"/>
          <w:kern w:val="0"/>
          <w:sz w:val="20"/>
          <w:szCs w:val="20"/>
          <w:lang w:eastAsia="en-GB"/>
          <w14:ligatures w14:val="none"/>
        </w:rPr>
      </w:pPr>
    </w:p>
    <w:p w14:paraId="3BED7C44" w14:textId="79158C30" w:rsidR="009313B2" w:rsidRPr="004E5F9B" w:rsidRDefault="009313B2" w:rsidP="009313B2">
      <w:pPr>
        <w:numPr>
          <w:ilvl w:val="0"/>
          <w:numId w:val="34"/>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Strengthen gender, </w:t>
      </w:r>
      <w:r w:rsidR="004E5F9B" w:rsidRPr="004E5F9B">
        <w:rPr>
          <w:rFonts w:ascii="Arial" w:eastAsia="Times New Roman" w:hAnsi="Arial" w:cs="Arial"/>
          <w:color w:val="000000"/>
          <w:kern w:val="0"/>
          <w:sz w:val="20"/>
          <w:szCs w:val="20"/>
          <w:lang w:eastAsia="en-GB"/>
          <w14:ligatures w14:val="none"/>
        </w:rPr>
        <w:t>intersectionality,</w:t>
      </w:r>
      <w:r w:rsidRPr="004E5F9B">
        <w:rPr>
          <w:rFonts w:ascii="Arial" w:eastAsia="Times New Roman" w:hAnsi="Arial" w:cs="Arial"/>
          <w:color w:val="000000"/>
          <w:kern w:val="0"/>
          <w:sz w:val="20"/>
          <w:szCs w:val="20"/>
          <w:lang w:eastAsia="en-GB"/>
          <w14:ligatures w14:val="none"/>
        </w:rPr>
        <w:t xml:space="preserve"> and human rights training of state actors at all levels </w:t>
      </w:r>
    </w:p>
    <w:p w14:paraId="20C50AC8" w14:textId="4CD24D46" w:rsidR="009313B2" w:rsidRPr="004E5F9B" w:rsidRDefault="00BA77B4" w:rsidP="009313B2">
      <w:pPr>
        <w:numPr>
          <w:ilvl w:val="0"/>
          <w:numId w:val="34"/>
        </w:numPr>
        <w:textAlignment w:val="baseline"/>
        <w:rPr>
          <w:rFonts w:ascii="Arial" w:eastAsia="Times New Roman" w:hAnsi="Arial" w:cs="Arial"/>
          <w:color w:val="000000"/>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t xml:space="preserve">Undertake </w:t>
      </w:r>
      <w:r w:rsidR="009313B2" w:rsidRPr="004E5F9B">
        <w:rPr>
          <w:rFonts w:ascii="Arial" w:eastAsia="Times New Roman" w:hAnsi="Arial" w:cs="Arial"/>
          <w:color w:val="000000"/>
          <w:kern w:val="0"/>
          <w:sz w:val="20"/>
          <w:szCs w:val="20"/>
          <w:lang w:eastAsia="en-GB"/>
          <w14:ligatures w14:val="none"/>
        </w:rPr>
        <w:t xml:space="preserve">training </w:t>
      </w:r>
      <w:r w:rsidRPr="004E5F9B">
        <w:rPr>
          <w:rFonts w:ascii="Arial" w:eastAsia="Times New Roman" w:hAnsi="Arial" w:cs="Arial"/>
          <w:color w:val="000000"/>
          <w:kern w:val="0"/>
          <w:sz w:val="20"/>
          <w:szCs w:val="20"/>
          <w:lang w:eastAsia="en-GB"/>
          <w14:ligatures w14:val="none"/>
        </w:rPr>
        <w:t xml:space="preserve">to strengthen </w:t>
      </w:r>
      <w:r w:rsidR="009313B2" w:rsidRPr="004E5F9B">
        <w:rPr>
          <w:rFonts w:ascii="Arial" w:eastAsia="Times New Roman" w:hAnsi="Arial" w:cs="Arial"/>
          <w:color w:val="000000"/>
          <w:kern w:val="0"/>
          <w:sz w:val="20"/>
          <w:szCs w:val="20"/>
          <w:lang w:eastAsia="en-GB"/>
          <w14:ligatures w14:val="none"/>
        </w:rPr>
        <w:t>gender-disaggregated data and evidence-based analysis </w:t>
      </w:r>
      <w:r w:rsidRPr="004E5F9B">
        <w:rPr>
          <w:rFonts w:ascii="Arial" w:eastAsia="Times New Roman" w:hAnsi="Arial" w:cs="Arial"/>
          <w:color w:val="000000"/>
          <w:kern w:val="0"/>
          <w:sz w:val="20"/>
          <w:szCs w:val="20"/>
          <w:lang w:eastAsia="en-GB"/>
          <w14:ligatures w14:val="none"/>
        </w:rPr>
        <w:t xml:space="preserve">among state actors </w:t>
      </w:r>
    </w:p>
    <w:p w14:paraId="423B5879" w14:textId="77777777" w:rsidR="009313B2" w:rsidRPr="004E5F9B" w:rsidRDefault="009313B2" w:rsidP="009313B2">
      <w:pPr>
        <w:spacing w:after="240"/>
        <w:rPr>
          <w:rFonts w:ascii="Arial" w:eastAsia="Times New Roman" w:hAnsi="Arial" w:cs="Arial"/>
          <w:kern w:val="0"/>
          <w:sz w:val="20"/>
          <w:szCs w:val="20"/>
          <w:lang w:eastAsia="en-GB"/>
          <w14:ligatures w14:val="none"/>
        </w:rPr>
      </w:pP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r w:rsidRPr="004E5F9B">
        <w:rPr>
          <w:rFonts w:ascii="Arial" w:eastAsia="Times New Roman" w:hAnsi="Arial" w:cs="Arial"/>
          <w:color w:val="000000"/>
          <w:kern w:val="0"/>
          <w:sz w:val="20"/>
          <w:szCs w:val="20"/>
          <w:lang w:eastAsia="en-GB"/>
          <w14:ligatures w14:val="none"/>
        </w:rPr>
        <w:br/>
      </w:r>
    </w:p>
    <w:p w14:paraId="79BDEE2C" w14:textId="77777777" w:rsidR="009313B2" w:rsidRPr="004E5F9B" w:rsidRDefault="009313B2" w:rsidP="009313B2">
      <w:pPr>
        <w:rPr>
          <w:rFonts w:ascii="Arial" w:eastAsia="Times New Roman" w:hAnsi="Arial" w:cs="Arial"/>
          <w:kern w:val="0"/>
          <w:sz w:val="20"/>
          <w:szCs w:val="20"/>
          <w:lang w:eastAsia="en-GB"/>
          <w14:ligatures w14:val="none"/>
        </w:rPr>
      </w:pPr>
    </w:p>
    <w:p w14:paraId="7F8A1C3D" w14:textId="77777777" w:rsidR="003C32A4" w:rsidRPr="004E5F9B" w:rsidRDefault="003C32A4">
      <w:pPr>
        <w:rPr>
          <w:rFonts w:ascii="Arial" w:hAnsi="Arial" w:cs="Arial"/>
          <w:sz w:val="20"/>
          <w:szCs w:val="20"/>
        </w:rPr>
      </w:pPr>
    </w:p>
    <w:sectPr w:rsidR="003C32A4" w:rsidRPr="004E5F9B" w:rsidSect="009D3B5E">
      <w:footerReference w:type="even"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D4F43" w14:textId="77777777" w:rsidR="009D3B5E" w:rsidRDefault="009D3B5E" w:rsidP="009313B2">
      <w:r>
        <w:separator/>
      </w:r>
    </w:p>
  </w:endnote>
  <w:endnote w:type="continuationSeparator" w:id="0">
    <w:p w14:paraId="11596F3E" w14:textId="77777777" w:rsidR="009D3B5E" w:rsidRDefault="009D3B5E" w:rsidP="009313B2">
      <w:r>
        <w:continuationSeparator/>
      </w:r>
    </w:p>
  </w:endnote>
  <w:endnote w:type="continuationNotice" w:id="1">
    <w:p w14:paraId="3086D508" w14:textId="77777777" w:rsidR="009D3B5E" w:rsidRDefault="009D3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7307168"/>
      <w:docPartObj>
        <w:docPartGallery w:val="Page Numbers (Bottom of Page)"/>
        <w:docPartUnique/>
      </w:docPartObj>
    </w:sdtPr>
    <w:sdtEndPr>
      <w:rPr>
        <w:rStyle w:val="PageNumber"/>
      </w:rPr>
    </w:sdtEndPr>
    <w:sdtContent>
      <w:p w14:paraId="030C83A5" w14:textId="6305FEB6" w:rsidR="00F3739C" w:rsidRDefault="00F3739C" w:rsidP="00283C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D16B41" w14:textId="77777777" w:rsidR="00F3739C" w:rsidRDefault="00F3739C" w:rsidP="00F373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20"/>
        <w:szCs w:val="20"/>
      </w:rPr>
      <w:id w:val="1381135389"/>
      <w:docPartObj>
        <w:docPartGallery w:val="Page Numbers (Bottom of Page)"/>
        <w:docPartUnique/>
      </w:docPartObj>
    </w:sdtPr>
    <w:sdtEndPr>
      <w:rPr>
        <w:rStyle w:val="PageNumber"/>
        <w:rFonts w:ascii="Arial" w:hAnsi="Arial" w:cs="Arial"/>
      </w:rPr>
    </w:sdtEndPr>
    <w:sdtContent>
      <w:p w14:paraId="4E2CD9AB" w14:textId="6A58735F" w:rsidR="00F3739C" w:rsidRPr="00F3739C" w:rsidRDefault="00F3739C" w:rsidP="00283CD8">
        <w:pPr>
          <w:pStyle w:val="Footer"/>
          <w:framePr w:wrap="none" w:vAnchor="text" w:hAnchor="margin" w:xAlign="right" w:y="1"/>
          <w:rPr>
            <w:rStyle w:val="PageNumber"/>
            <w:sz w:val="20"/>
            <w:szCs w:val="20"/>
          </w:rPr>
        </w:pPr>
        <w:r w:rsidRPr="00F3739C">
          <w:rPr>
            <w:rStyle w:val="PageNumber"/>
            <w:sz w:val="20"/>
            <w:szCs w:val="20"/>
          </w:rPr>
          <w:fldChar w:fldCharType="begin"/>
        </w:r>
        <w:r w:rsidRPr="00F3739C">
          <w:rPr>
            <w:rStyle w:val="PageNumber"/>
            <w:sz w:val="20"/>
            <w:szCs w:val="20"/>
          </w:rPr>
          <w:instrText xml:space="preserve"> PAGE </w:instrText>
        </w:r>
        <w:r w:rsidRPr="00F3739C">
          <w:rPr>
            <w:rStyle w:val="PageNumber"/>
            <w:sz w:val="20"/>
            <w:szCs w:val="20"/>
          </w:rPr>
          <w:fldChar w:fldCharType="separate"/>
        </w:r>
        <w:r w:rsidRPr="00F3739C">
          <w:rPr>
            <w:rStyle w:val="PageNumber"/>
            <w:noProof/>
            <w:sz w:val="20"/>
            <w:szCs w:val="20"/>
          </w:rPr>
          <w:t>1</w:t>
        </w:r>
        <w:r w:rsidRPr="00F3739C">
          <w:rPr>
            <w:rStyle w:val="PageNumber"/>
            <w:sz w:val="20"/>
            <w:szCs w:val="20"/>
          </w:rPr>
          <w:fldChar w:fldCharType="end"/>
        </w:r>
      </w:p>
    </w:sdtContent>
  </w:sdt>
  <w:p w14:paraId="25552302" w14:textId="77777777" w:rsidR="00F3739C" w:rsidRDefault="00F3739C" w:rsidP="00F373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4BE2" w14:textId="77777777" w:rsidR="009D3B5E" w:rsidRDefault="009D3B5E" w:rsidP="009313B2">
      <w:r>
        <w:separator/>
      </w:r>
    </w:p>
  </w:footnote>
  <w:footnote w:type="continuationSeparator" w:id="0">
    <w:p w14:paraId="490A1443" w14:textId="77777777" w:rsidR="009D3B5E" w:rsidRDefault="009D3B5E" w:rsidP="009313B2">
      <w:r>
        <w:continuationSeparator/>
      </w:r>
    </w:p>
  </w:footnote>
  <w:footnote w:type="continuationNotice" w:id="1">
    <w:p w14:paraId="0F65AD51" w14:textId="77777777" w:rsidR="009D3B5E" w:rsidRDefault="009D3B5E"/>
  </w:footnote>
  <w:footnote w:id="2">
    <w:p w14:paraId="552869A6" w14:textId="1DFD4BC7" w:rsidR="009313B2" w:rsidRPr="00F85D8E" w:rsidRDefault="009313B2" w:rsidP="009313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In Malaysia’s gender binary context, gendered laws and laws that target men are applied against trans women, and vice versa, thus the term LGBT will also be used for these blanket laws and policies.</w:t>
      </w:r>
    </w:p>
  </w:footnote>
  <w:footnote w:id="3">
    <w:p w14:paraId="150E424A" w14:textId="4DA8CFD8" w:rsidR="009313B2" w:rsidRPr="00F85D8E" w:rsidRDefault="009313B2" w:rsidP="009313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The Department of Islamic Development Malaysia (Jabatan Kemajuan Islam Malaysia), the federal agency that administers Islamic affairs in Malaysia. </w:t>
      </w:r>
      <w:hyperlink r:id="rId1" w:history="1">
        <w:r w:rsidRPr="00F85D8E">
          <w:rPr>
            <w:rFonts w:ascii="Arial" w:hAnsi="Arial" w:cs="Arial"/>
            <w:color w:val="1155CC"/>
            <w:sz w:val="16"/>
            <w:szCs w:val="16"/>
            <w:u w:val="single"/>
          </w:rPr>
          <w:t>https://www.islam.gov.my/ms/</w:t>
        </w:r>
      </w:hyperlink>
      <w:r w:rsidRPr="00F85D8E">
        <w:rPr>
          <w:rFonts w:ascii="Arial" w:hAnsi="Arial" w:cs="Arial"/>
          <w:color w:val="000000"/>
          <w:sz w:val="16"/>
          <w:szCs w:val="16"/>
        </w:rPr>
        <w:t> </w:t>
      </w:r>
    </w:p>
  </w:footnote>
  <w:footnote w:id="4">
    <w:p w14:paraId="5FA6AB14" w14:textId="71482C01" w:rsidR="009313B2" w:rsidRPr="00F85D8E" w:rsidRDefault="009313B2" w:rsidP="009313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The Negeri Sembilan state government appealed the Court of Appeal decision that found </w:t>
      </w:r>
      <w:r w:rsidR="00774121" w:rsidRPr="00F85D8E">
        <w:rPr>
          <w:rFonts w:ascii="Arial" w:hAnsi="Arial" w:cs="Arial"/>
          <w:color w:val="000000"/>
          <w:sz w:val="16"/>
          <w:szCs w:val="16"/>
        </w:rPr>
        <w:t>S</w:t>
      </w:r>
      <w:r w:rsidRPr="00F85D8E">
        <w:rPr>
          <w:rFonts w:ascii="Arial" w:hAnsi="Arial" w:cs="Arial"/>
          <w:color w:val="000000"/>
          <w:sz w:val="16"/>
          <w:szCs w:val="16"/>
        </w:rPr>
        <w:t xml:space="preserve">ection 66 (male person posing as a woman) of the state syariah criminal offences enactment unconstitutional. </w:t>
      </w:r>
    </w:p>
  </w:footnote>
  <w:footnote w:id="5">
    <w:p w14:paraId="5859D176" w14:textId="46CBDAB7" w:rsidR="009313B2" w:rsidRPr="00F85D8E" w:rsidRDefault="009313B2">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Appealed a progressive High Court decision instructing NRD to change gendered details in a trans man’s identification card</w:t>
      </w:r>
    </w:p>
  </w:footnote>
  <w:footnote w:id="6">
    <w:p w14:paraId="685B0EAE" w14:textId="237F843A" w:rsidR="009313B2" w:rsidRPr="009313B2" w:rsidRDefault="009313B2" w:rsidP="009313B2">
      <w:pPr>
        <w:pStyle w:val="NormalWeb"/>
        <w:spacing w:before="0" w:beforeAutospacing="0" w:after="0" w:afterAutospacing="0"/>
        <w:rPr>
          <w:color w:val="000000"/>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Appealed its ban on ‘Gay is Okay: a Christian Perspective’ quashed by the Kuala Lumpur High Court</w:t>
      </w:r>
      <w:r w:rsidRPr="009313B2">
        <w:rPr>
          <w:rFonts w:ascii="Arial" w:hAnsi="Arial" w:cs="Arial"/>
          <w:color w:val="000000"/>
          <w:sz w:val="18"/>
          <w:szCs w:val="18"/>
        </w:rPr>
        <w:t> </w:t>
      </w:r>
    </w:p>
  </w:footnote>
  <w:footnote w:id="7">
    <w:p w14:paraId="63569015" w14:textId="5C7758A0" w:rsidR="009313B2" w:rsidRPr="00F85D8E" w:rsidRDefault="009313B2" w:rsidP="009313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Draman, S. (2017, Jan). </w:t>
      </w:r>
      <w:hyperlink r:id="rId2" w:history="1">
        <w:r w:rsidRPr="00F85D8E">
          <w:rPr>
            <w:rStyle w:val="Hyperlink"/>
            <w:rFonts w:ascii="Arial" w:hAnsi="Arial" w:cs="Arial"/>
            <w:sz w:val="16"/>
            <w:szCs w:val="16"/>
          </w:rPr>
          <w:t>Garispanduan Pengendalian Masalah Kesihatan Gender di Klinik Kesihatan</w:t>
        </w:r>
      </w:hyperlink>
      <w:r w:rsidRPr="00F85D8E">
        <w:rPr>
          <w:rFonts w:ascii="Arial" w:hAnsi="Arial" w:cs="Arial"/>
          <w:color w:val="000000"/>
          <w:sz w:val="16"/>
          <w:szCs w:val="16"/>
        </w:rPr>
        <w:t xml:space="preserve">. Bahagian Pembangunan Kesihatan Keluarga, Kementerian Kesihatan Malaysia. </w:t>
      </w:r>
    </w:p>
  </w:footnote>
  <w:footnote w:id="8">
    <w:p w14:paraId="672D4B12" w14:textId="6B034107" w:rsidR="009313B2" w:rsidRPr="00F85D8E" w:rsidRDefault="009313B2" w:rsidP="009313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Hassan, M.S. (2021, May 16). </w:t>
      </w:r>
      <w:hyperlink r:id="rId3" w:history="1">
        <w:r w:rsidRPr="00F85D8E">
          <w:rPr>
            <w:rStyle w:val="Hyperlink"/>
            <w:rFonts w:ascii="Arial" w:hAnsi="Arial" w:cs="Arial"/>
            <w:sz w:val="16"/>
            <w:szCs w:val="16"/>
          </w:rPr>
          <w:t>Jakim santuni golongan LGBT</w:t>
        </w:r>
      </w:hyperlink>
      <w:r w:rsidRPr="00F85D8E">
        <w:rPr>
          <w:rFonts w:ascii="Arial" w:hAnsi="Arial" w:cs="Arial"/>
          <w:color w:val="000000"/>
          <w:sz w:val="16"/>
          <w:szCs w:val="16"/>
        </w:rPr>
        <w:t xml:space="preserve">. Harian Metro. </w:t>
      </w:r>
    </w:p>
  </w:footnote>
  <w:footnote w:id="9">
    <w:p w14:paraId="3BFF49A7" w14:textId="7D86D2C3" w:rsidR="009313B2" w:rsidRPr="00F85D8E" w:rsidRDefault="009313B2" w:rsidP="00590C2D">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Wan Yusoff, W.F.Z. et al. (2019, Oct 8-9). </w:t>
      </w:r>
      <w:hyperlink r:id="rId4" w:history="1">
        <w:r w:rsidRPr="00F85D8E">
          <w:rPr>
            <w:rStyle w:val="Hyperlink"/>
            <w:rFonts w:ascii="Arial" w:hAnsi="Arial" w:cs="Arial"/>
            <w:sz w:val="16"/>
            <w:szCs w:val="16"/>
          </w:rPr>
          <w:t>A Literature Review of Psycho-spiritual Therapy Using Al-Quran and Hadith in Recovering Transgender</w:t>
        </w:r>
      </w:hyperlink>
      <w:r w:rsidRPr="00F85D8E">
        <w:rPr>
          <w:rFonts w:ascii="Arial" w:hAnsi="Arial" w:cs="Arial"/>
          <w:color w:val="000000"/>
          <w:sz w:val="16"/>
          <w:szCs w:val="16"/>
        </w:rPr>
        <w:t xml:space="preserve">. Proceedings of the 6th International Conference on Quran as Foundation of Civilisation (SWAT 2019), FPQS,Universiti Sains Islam Malaysia, Paper No. BI020. </w:t>
      </w:r>
    </w:p>
  </w:footnote>
  <w:footnote w:id="10">
    <w:p w14:paraId="6F02DFCB" w14:textId="77777777" w:rsidR="009A3DBD" w:rsidRPr="00F85D8E" w:rsidRDefault="009A3DBD" w:rsidP="009A3DBD">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Written response JDR22052023, 22 May</w:t>
      </w:r>
    </w:p>
  </w:footnote>
  <w:footnote w:id="11">
    <w:p w14:paraId="0C5CD955" w14:textId="5928413D" w:rsidR="00466236" w:rsidRPr="00F85D8E" w:rsidRDefault="00466236">
      <w:pPr>
        <w:pStyle w:val="FootnoteText"/>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5" w:history="1">
        <w:r w:rsidRPr="00F85D8E">
          <w:rPr>
            <w:rStyle w:val="Hyperlink"/>
            <w:rFonts w:ascii="Arial" w:hAnsi="Arial" w:cs="Arial"/>
            <w:sz w:val="16"/>
            <w:szCs w:val="16"/>
          </w:rPr>
          <w:t>Non-Muslim Malaysian woman fined for wearing shorts in Kelantan</w:t>
        </w:r>
      </w:hyperlink>
      <w:r w:rsidR="0055123A" w:rsidRPr="00F85D8E">
        <w:rPr>
          <w:rFonts w:ascii="Arial" w:hAnsi="Arial" w:cs="Arial"/>
          <w:color w:val="212529"/>
          <w:sz w:val="16"/>
          <w:szCs w:val="16"/>
        </w:rPr>
        <w:t xml:space="preserve"> (2023)</w:t>
      </w:r>
      <w:r w:rsidRPr="00F85D8E">
        <w:rPr>
          <w:rFonts w:ascii="Arial" w:hAnsi="Arial" w:cs="Arial"/>
          <w:color w:val="212529"/>
          <w:sz w:val="16"/>
          <w:szCs w:val="16"/>
        </w:rPr>
        <w:t xml:space="preserve">​​ </w:t>
      </w:r>
    </w:p>
  </w:footnote>
  <w:footnote w:id="12">
    <w:p w14:paraId="5C23CE8D" w14:textId="3953B504" w:rsidR="00466236" w:rsidRPr="00466236" w:rsidRDefault="00466236" w:rsidP="0046623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Justice for Sisters’ case management</w:t>
      </w:r>
      <w:r w:rsidRPr="00466236">
        <w:rPr>
          <w:rFonts w:ascii="Arial" w:hAnsi="Arial" w:cs="Arial"/>
          <w:color w:val="000000"/>
          <w:sz w:val="16"/>
          <w:szCs w:val="16"/>
        </w:rPr>
        <w:t> </w:t>
      </w:r>
    </w:p>
  </w:footnote>
  <w:footnote w:id="13">
    <w:p w14:paraId="64770A7B" w14:textId="77777777" w:rsidR="00812438" w:rsidRPr="00F85D8E" w:rsidRDefault="00812438" w:rsidP="002C7469">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hyperlink r:id="rId6" w:history="1">
        <w:r w:rsidRPr="00F85D8E">
          <w:rPr>
            <w:rStyle w:val="Hyperlink"/>
            <w:rFonts w:ascii="Arial" w:hAnsi="Arial" w:cs="Arial"/>
            <w:sz w:val="16"/>
            <w:szCs w:val="16"/>
          </w:rPr>
          <w:t>Federal Constitution of Malaysia</w:t>
        </w:r>
      </w:hyperlink>
      <w:r w:rsidRPr="00F85D8E">
        <w:rPr>
          <w:rFonts w:ascii="Arial" w:hAnsi="Arial" w:cs="Arial"/>
          <w:color w:val="000000"/>
          <w:sz w:val="16"/>
          <w:szCs w:val="16"/>
        </w:rPr>
        <w:t xml:space="preserve">. (1957). </w:t>
      </w:r>
    </w:p>
  </w:footnote>
  <w:footnote w:id="14">
    <w:p w14:paraId="62027D89" w14:textId="7965270F" w:rsidR="00456149" w:rsidRPr="00456149" w:rsidRDefault="00456149" w:rsidP="002C7469">
      <w:pPr>
        <w:pStyle w:val="Heading1"/>
        <w:spacing w:before="0" w:after="0"/>
        <w:rPr>
          <w:rFonts w:ascii="Arial" w:hAnsi="Arial" w:cs="Arial"/>
          <w:color w:val="1A1A1A"/>
          <w:sz w:val="16"/>
          <w:szCs w:val="16"/>
        </w:rPr>
      </w:pPr>
      <w:r w:rsidRPr="00456149">
        <w:rPr>
          <w:rStyle w:val="FootnoteReference"/>
          <w:rFonts w:ascii="Arial" w:hAnsi="Arial" w:cs="Arial"/>
          <w:sz w:val="16"/>
          <w:szCs w:val="16"/>
        </w:rPr>
        <w:footnoteRef/>
      </w:r>
      <w:r w:rsidRPr="00456149">
        <w:rPr>
          <w:rFonts w:ascii="Arial" w:hAnsi="Arial" w:cs="Arial"/>
          <w:sz w:val="16"/>
          <w:szCs w:val="16"/>
        </w:rPr>
        <w:t xml:space="preserve"> </w:t>
      </w:r>
      <w:hyperlink r:id="rId7" w:history="1">
        <w:r w:rsidRPr="002C7469">
          <w:rPr>
            <w:rStyle w:val="Hyperlink"/>
            <w:rFonts w:ascii="Arial" w:hAnsi="Arial" w:cs="Arial"/>
            <w:sz w:val="16"/>
            <w:szCs w:val="16"/>
          </w:rPr>
          <w:t>Explainer: What the Kelantan Shariah enactment challenge at the Apex Court is about</w:t>
        </w:r>
      </w:hyperlink>
    </w:p>
  </w:footnote>
  <w:footnote w:id="15">
    <w:p w14:paraId="73CBF0BE" w14:textId="66F2935D" w:rsidR="00466236" w:rsidRPr="00F85D8E" w:rsidRDefault="00466236" w:rsidP="0046623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r w:rsidRPr="00F85D8E">
        <w:rPr>
          <w:rFonts w:ascii="Arial" w:hAnsi="Arial" w:cs="Arial"/>
          <w:color w:val="000000"/>
          <w:sz w:val="16"/>
          <w:szCs w:val="16"/>
        </w:rPr>
        <w:t>Section 66 of the Negeri Sembilan Syariah Criminal Enactment (1992): Any male person who, in any public place wears a woman attire and poses as a woman shall be guilty of an offence and shall be liable on conviction to a fine not exceeding one thousand ringgit or to imprisonment for a term not exceeding six months or to both.</w:t>
      </w:r>
    </w:p>
  </w:footnote>
  <w:footnote w:id="16">
    <w:p w14:paraId="70711632" w14:textId="1B02865D" w:rsidR="00466236" w:rsidRPr="00F85D8E" w:rsidRDefault="00466236" w:rsidP="0046623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Fundamental liberties, equality and non-discrimination, freedom of movement and freedom of expression </w:t>
      </w:r>
    </w:p>
  </w:footnote>
  <w:footnote w:id="17">
    <w:p w14:paraId="0B9F43AE" w14:textId="6B626000" w:rsidR="00466236" w:rsidRPr="00F85D8E" w:rsidRDefault="00466236" w:rsidP="0046623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r w:rsidRPr="00F85D8E">
        <w:rPr>
          <w:rFonts w:ascii="Arial" w:hAnsi="Arial" w:cs="Arial"/>
          <w:color w:val="222222"/>
          <w:sz w:val="16"/>
          <w:szCs w:val="16"/>
        </w:rPr>
        <w:t xml:space="preserve">"[59] The decision in Titular Roman Catholic Archbishop of Kuala Lumpur (supra) was followed in </w:t>
      </w:r>
      <w:r w:rsidR="001F7A7B" w:rsidRPr="001F7A7B">
        <w:rPr>
          <w:rFonts w:ascii="Arial" w:hAnsi="Arial" w:cs="Arial"/>
          <w:i/>
          <w:iCs/>
          <w:color w:val="222222"/>
          <w:sz w:val="16"/>
          <w:szCs w:val="16"/>
        </w:rPr>
        <w:t>Negeri Sembilan trans case</w:t>
      </w:r>
      <w:r w:rsidRPr="00F85D8E">
        <w:rPr>
          <w:rFonts w:ascii="Arial" w:hAnsi="Arial" w:cs="Arial"/>
          <w:color w:val="222222"/>
          <w:sz w:val="16"/>
          <w:szCs w:val="16"/>
        </w:rPr>
        <w:t xml:space="preserve"> [2015] </w:t>
      </w:r>
      <w:r w:rsidR="00676AD9" w:rsidRPr="00F85D8E">
        <w:rPr>
          <w:rFonts w:ascii="Arial" w:hAnsi="Arial" w:cs="Arial"/>
          <w:color w:val="222222"/>
          <w:sz w:val="16"/>
          <w:szCs w:val="16"/>
        </w:rPr>
        <w:t>…</w:t>
      </w:r>
      <w:r w:rsidRPr="00F85D8E">
        <w:rPr>
          <w:rFonts w:ascii="Arial" w:hAnsi="Arial" w:cs="Arial"/>
          <w:color w:val="222222"/>
          <w:sz w:val="16"/>
          <w:szCs w:val="16"/>
        </w:rPr>
        <w:t>, where the validity of a State Enactment was challenged on the ground that it offended the fundamental liberties in arts. 5, 8, 9 and 10 of the FC. Similarly, the Federal Court held that the challenge could only be made via the specific procedure provided for under art. 4(3) and (4) of the FC. [60] These two cases suggest that a challenge to the constitutionality or validity of a law on any ground comes within the ambit of art. 4(3) and (4). With respect, we are of the view that the wide interpretation adopted is contrary to the clear wordings of the aforesaid articles and is not supported by any consistent line of authorities. [</w:t>
      </w:r>
      <w:r w:rsidR="00DF1FC0" w:rsidRPr="00F85D8E">
        <w:rPr>
          <w:rFonts w:ascii="Arial" w:hAnsi="Arial" w:cs="Arial"/>
          <w:color w:val="222222"/>
          <w:sz w:val="16"/>
          <w:szCs w:val="16"/>
        </w:rPr>
        <w:t>….]</w:t>
      </w:r>
      <w:r w:rsidRPr="00F85D8E">
        <w:rPr>
          <w:rFonts w:ascii="Arial" w:hAnsi="Arial" w:cs="Arial"/>
          <w:color w:val="222222"/>
          <w:sz w:val="16"/>
          <w:szCs w:val="16"/>
        </w:rPr>
        <w:t xml:space="preserve"> </w:t>
      </w:r>
      <w:r w:rsidRPr="00F85D8E">
        <w:rPr>
          <w:rFonts w:ascii="Arial" w:hAnsi="Arial" w:cs="Arial"/>
          <w:b/>
          <w:bCs/>
          <w:color w:val="222222"/>
          <w:sz w:val="16"/>
          <w:szCs w:val="16"/>
        </w:rPr>
        <w:t xml:space="preserve">We are therefore not inclined to follow these two cases. In our view, they were decided </w:t>
      </w:r>
      <w:r w:rsidRPr="00F85D8E">
        <w:rPr>
          <w:rFonts w:ascii="Arial" w:hAnsi="Arial" w:cs="Arial"/>
          <w:b/>
          <w:bCs/>
          <w:i/>
          <w:iCs/>
          <w:color w:val="222222"/>
          <w:sz w:val="16"/>
          <w:szCs w:val="16"/>
        </w:rPr>
        <w:t>per incuriam</w:t>
      </w:r>
      <w:r w:rsidRPr="00F85D8E">
        <w:rPr>
          <w:rFonts w:ascii="Arial" w:hAnsi="Arial" w:cs="Arial"/>
          <w:b/>
          <w:bCs/>
          <w:color w:val="222222"/>
          <w:sz w:val="16"/>
          <w:szCs w:val="16"/>
        </w:rPr>
        <w:t>."</w:t>
      </w:r>
    </w:p>
  </w:footnote>
  <w:footnote w:id="18">
    <w:p w14:paraId="79E722F1" w14:textId="3A419C9C" w:rsidR="00466236" w:rsidRPr="00F85D8E" w:rsidRDefault="00466236" w:rsidP="00F4145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(2020) </w:t>
      </w:r>
      <w:hyperlink r:id="rId8" w:history="1">
        <w:r w:rsidRPr="00F85D8E">
          <w:rPr>
            <w:rStyle w:val="Hyperlink"/>
            <w:rFonts w:ascii="Arial" w:hAnsi="Arial" w:cs="Arial"/>
            <w:i/>
            <w:iCs/>
            <w:sz w:val="16"/>
            <w:szCs w:val="16"/>
          </w:rPr>
          <w:t xml:space="preserve">Monitoring Report: </w:t>
        </w:r>
        <w:r w:rsidRPr="00F85D8E">
          <w:rPr>
            <w:rStyle w:val="Hyperlink"/>
            <w:rFonts w:ascii="Arial" w:hAnsi="Arial" w:cs="Arial"/>
            <w:sz w:val="16"/>
            <w:szCs w:val="16"/>
          </w:rPr>
          <w:t>LGBTIQ+ Rights In Malaysia</w:t>
        </w:r>
      </w:hyperlink>
      <w:r w:rsidR="00C936FA" w:rsidRPr="00F85D8E">
        <w:rPr>
          <w:rFonts w:ascii="Arial" w:hAnsi="Arial" w:cs="Arial"/>
          <w:color w:val="000000"/>
          <w:sz w:val="16"/>
          <w:szCs w:val="16"/>
        </w:rPr>
        <w:t xml:space="preserve"> </w:t>
      </w:r>
    </w:p>
  </w:footnote>
  <w:footnote w:id="19">
    <w:p w14:paraId="44FD29BA" w14:textId="63CE8182" w:rsidR="00B9072B" w:rsidRPr="00F85D8E" w:rsidRDefault="00B9072B" w:rsidP="00F4145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F41452" w:rsidRPr="00F85D8E">
        <w:rPr>
          <w:rFonts w:ascii="Arial" w:hAnsi="Arial" w:cs="Arial"/>
          <w:color w:val="000000"/>
          <w:sz w:val="16"/>
          <w:szCs w:val="16"/>
        </w:rPr>
        <w:t xml:space="preserve"> Choong, J. and Noorshahrizam, A. (2021, Jan 13). </w:t>
      </w:r>
      <w:hyperlink r:id="rId9" w:history="1">
        <w:r w:rsidR="00F41452" w:rsidRPr="00F85D8E">
          <w:rPr>
            <w:rStyle w:val="Hyperlink"/>
            <w:rFonts w:ascii="Arial" w:hAnsi="Arial" w:cs="Arial"/>
            <w:sz w:val="16"/>
            <w:szCs w:val="16"/>
          </w:rPr>
          <w:t>Selangor Islamic enforcers probed for violence against Nur Sajat in arrest for ‘insulting Islam’.</w:t>
        </w:r>
      </w:hyperlink>
      <w:r w:rsidR="00F41452" w:rsidRPr="00F85D8E">
        <w:rPr>
          <w:rFonts w:ascii="Arial" w:hAnsi="Arial" w:cs="Arial"/>
          <w:color w:val="000000"/>
          <w:sz w:val="16"/>
          <w:szCs w:val="16"/>
        </w:rPr>
        <w:t xml:space="preserve"> Malay Mail. </w:t>
      </w:r>
    </w:p>
  </w:footnote>
  <w:footnote w:id="20">
    <w:p w14:paraId="72672632" w14:textId="0EED709B" w:rsidR="00F41452" w:rsidRPr="00F85D8E" w:rsidRDefault="00F41452" w:rsidP="00982CE8">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Zulkiffli, Z. (2020, Oct 28). </w:t>
      </w:r>
      <w:hyperlink r:id="rId10" w:history="1">
        <w:r w:rsidRPr="00F85D8E">
          <w:rPr>
            <w:rStyle w:val="Hyperlink"/>
            <w:rFonts w:ascii="Arial" w:hAnsi="Arial" w:cs="Arial"/>
            <w:sz w:val="16"/>
            <w:szCs w:val="16"/>
          </w:rPr>
          <w:t>Padah berlagak wanita [METROTV].</w:t>
        </w:r>
      </w:hyperlink>
      <w:r w:rsidRPr="00F85D8E">
        <w:rPr>
          <w:rFonts w:ascii="Arial" w:hAnsi="Arial" w:cs="Arial"/>
          <w:color w:val="000000"/>
          <w:sz w:val="16"/>
          <w:szCs w:val="16"/>
        </w:rPr>
        <w:t xml:space="preserve"> Harian Metro. </w:t>
      </w:r>
    </w:p>
  </w:footnote>
  <w:footnote w:id="21">
    <w:p w14:paraId="71D75514" w14:textId="4396C56F" w:rsidR="00982CE8" w:rsidRPr="00F85D8E" w:rsidRDefault="00F41452" w:rsidP="00982CE8">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982CE8" w:rsidRPr="00F85D8E">
        <w:rPr>
          <w:rFonts w:ascii="Arial" w:hAnsi="Arial" w:cs="Arial"/>
          <w:color w:val="000000"/>
          <w:sz w:val="16"/>
          <w:szCs w:val="16"/>
        </w:rPr>
        <w:t xml:space="preserve"> Shamsuddin, N. (2019, Aug 28). </w:t>
      </w:r>
      <w:hyperlink r:id="rId11" w:history="1">
        <w:r w:rsidR="00982CE8" w:rsidRPr="00F85D8E">
          <w:rPr>
            <w:rStyle w:val="Hyperlink"/>
            <w:rFonts w:ascii="Arial" w:hAnsi="Arial" w:cs="Arial"/>
            <w:sz w:val="16"/>
            <w:szCs w:val="16"/>
          </w:rPr>
          <w:t>Mak nyah tak solat Jumaat didenda</w:t>
        </w:r>
      </w:hyperlink>
      <w:r w:rsidR="00982CE8" w:rsidRPr="00F85D8E">
        <w:rPr>
          <w:rFonts w:ascii="Arial" w:hAnsi="Arial" w:cs="Arial"/>
          <w:color w:val="000000"/>
          <w:sz w:val="16"/>
          <w:szCs w:val="16"/>
        </w:rPr>
        <w:t>. Harian Metro.</w:t>
      </w:r>
    </w:p>
    <w:p w14:paraId="6CE7DAB2" w14:textId="77777777" w:rsidR="00982CE8" w:rsidRPr="00982CE8" w:rsidRDefault="00982CE8" w:rsidP="00982CE8">
      <w:pPr>
        <w:spacing w:after="240"/>
        <w:rPr>
          <w:rFonts w:ascii="Times New Roman" w:eastAsia="Times New Roman" w:hAnsi="Times New Roman" w:cs="Times New Roman"/>
          <w:kern w:val="0"/>
          <w:lang w:eastAsia="en-GB"/>
          <w14:ligatures w14:val="none"/>
        </w:rPr>
      </w:pPr>
    </w:p>
    <w:p w14:paraId="15BDD73A" w14:textId="77777777" w:rsidR="00982CE8" w:rsidRPr="00982CE8" w:rsidRDefault="00982CE8" w:rsidP="00982CE8">
      <w:pPr>
        <w:rPr>
          <w:rFonts w:ascii="Times New Roman" w:eastAsia="Times New Roman" w:hAnsi="Times New Roman" w:cs="Times New Roman"/>
          <w:kern w:val="0"/>
          <w:lang w:eastAsia="en-GB"/>
          <w14:ligatures w14:val="none"/>
        </w:rPr>
      </w:pPr>
    </w:p>
    <w:p w14:paraId="0A89B906" w14:textId="2EF68996" w:rsidR="00F41452" w:rsidRPr="00F41452" w:rsidRDefault="00F41452">
      <w:pPr>
        <w:pStyle w:val="FootnoteText"/>
        <w:rPr>
          <w:lang w:val="en-US"/>
        </w:rPr>
      </w:pPr>
    </w:p>
  </w:footnote>
  <w:footnote w:id="22">
    <w:p w14:paraId="5EBC5DF7" w14:textId="77777777" w:rsidR="00357B82" w:rsidRPr="00F85D8E" w:rsidRDefault="00B036CD" w:rsidP="00357B8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r w:rsidR="00357B82" w:rsidRPr="00F85D8E">
        <w:rPr>
          <w:rFonts w:ascii="Arial" w:hAnsi="Arial" w:cs="Arial"/>
          <w:color w:val="000000"/>
          <w:sz w:val="16"/>
          <w:szCs w:val="16"/>
        </w:rPr>
        <w:t>1) Negeri Sembilan introduced female person posing as a man and amended male person posing as a woman; </w:t>
      </w:r>
    </w:p>
    <w:p w14:paraId="4AD8D819" w14:textId="11826077" w:rsidR="00B036CD" w:rsidRPr="00F85D8E" w:rsidRDefault="00357B82" w:rsidP="00EF6CBF">
      <w:pPr>
        <w:pStyle w:val="NormalWeb"/>
        <w:spacing w:before="0" w:beforeAutospacing="0" w:after="0" w:afterAutospacing="0"/>
        <w:rPr>
          <w:rFonts w:ascii="Arial" w:hAnsi="Arial" w:cs="Arial"/>
          <w:color w:val="000000"/>
          <w:sz w:val="16"/>
          <w:szCs w:val="16"/>
        </w:rPr>
      </w:pPr>
      <w:r w:rsidRPr="00F85D8E">
        <w:rPr>
          <w:rFonts w:ascii="Arial" w:hAnsi="Arial" w:cs="Arial"/>
          <w:color w:val="000000"/>
          <w:sz w:val="16"/>
          <w:szCs w:val="16"/>
        </w:rPr>
        <w:t xml:space="preserve">2) Kelantan introduced attempt to </w:t>
      </w:r>
      <w:r w:rsidRPr="00F85D8E">
        <w:rPr>
          <w:rFonts w:ascii="Arial" w:hAnsi="Arial" w:cs="Arial"/>
          <w:i/>
          <w:iCs/>
          <w:color w:val="000000"/>
          <w:sz w:val="16"/>
          <w:szCs w:val="16"/>
        </w:rPr>
        <w:t>liwat</w:t>
      </w:r>
      <w:r w:rsidRPr="00F85D8E">
        <w:rPr>
          <w:rFonts w:ascii="Arial" w:hAnsi="Arial" w:cs="Arial"/>
          <w:color w:val="000000"/>
          <w:sz w:val="16"/>
          <w:szCs w:val="16"/>
        </w:rPr>
        <w:t xml:space="preserve"> and </w:t>
      </w:r>
      <w:r w:rsidRPr="00F85D8E">
        <w:rPr>
          <w:rFonts w:ascii="Arial" w:hAnsi="Arial" w:cs="Arial"/>
          <w:i/>
          <w:iCs/>
          <w:color w:val="000000"/>
          <w:sz w:val="16"/>
          <w:szCs w:val="16"/>
        </w:rPr>
        <w:t>musahaqah</w:t>
      </w:r>
      <w:r w:rsidRPr="00F85D8E">
        <w:rPr>
          <w:rFonts w:ascii="Arial" w:hAnsi="Arial" w:cs="Arial"/>
          <w:color w:val="000000"/>
          <w:sz w:val="16"/>
          <w:szCs w:val="16"/>
        </w:rPr>
        <w:t xml:space="preserve">, female person posing as a man, changing gender, and amended male person posing as a woman; 3)Terengganu introduced attempt to </w:t>
      </w:r>
      <w:proofErr w:type="spellStart"/>
      <w:r w:rsidRPr="00F85D8E">
        <w:rPr>
          <w:rFonts w:ascii="Arial" w:hAnsi="Arial" w:cs="Arial"/>
          <w:i/>
          <w:iCs/>
          <w:color w:val="000000"/>
          <w:sz w:val="16"/>
          <w:szCs w:val="16"/>
        </w:rPr>
        <w:t>liwat</w:t>
      </w:r>
      <w:proofErr w:type="spellEnd"/>
    </w:p>
  </w:footnote>
  <w:footnote w:id="23">
    <w:p w14:paraId="48E55859" w14:textId="53182016" w:rsidR="00EA0045" w:rsidRPr="00F85D8E" w:rsidRDefault="00EA0045" w:rsidP="00AB593B">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hyperlink r:id="rId12" w:history="1">
        <w:r w:rsidRPr="00F85D8E">
          <w:rPr>
            <w:rFonts w:ascii="Arial" w:hAnsi="Arial" w:cs="Arial"/>
            <w:color w:val="000000"/>
            <w:sz w:val="16"/>
            <w:szCs w:val="16"/>
            <w:u w:val="single"/>
          </w:rPr>
          <w:t>Hukum Berinteraksi Dengan Mukhannath ( Pondan / Mak Nyah / Bapuk / Pengkid / Tomboi / Transgender )</w:t>
        </w:r>
      </w:hyperlink>
      <w:r w:rsidRPr="00F85D8E">
        <w:rPr>
          <w:rFonts w:ascii="Arial" w:hAnsi="Arial" w:cs="Arial"/>
          <w:color w:val="000000"/>
          <w:sz w:val="16"/>
          <w:szCs w:val="16"/>
        </w:rPr>
        <w:t xml:space="preserve"> / The Law of Interacting With Mukhannath (Pondan / Mak Nyah / Old Man / Pengkid / Tomboy / Transgender) (2021) </w:t>
      </w:r>
    </w:p>
  </w:footnote>
  <w:footnote w:id="24">
    <w:p w14:paraId="5BA0D23B" w14:textId="1DDB1976" w:rsidR="00911DA0" w:rsidRPr="00F85D8E" w:rsidRDefault="00911DA0">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eastAsia="Times New Roman" w:hAnsi="Arial" w:cs="Arial"/>
          <w:color w:val="000000"/>
          <w:kern w:val="0"/>
          <w:sz w:val="16"/>
          <w:szCs w:val="16"/>
          <w:shd w:val="clear" w:color="auto" w:fill="FFFFFF"/>
          <w:lang w:eastAsia="en-GB"/>
          <w14:ligatures w14:val="none"/>
        </w:rPr>
        <w:t xml:space="preserve">agency </w:t>
      </w:r>
      <w:r w:rsidR="00F82258" w:rsidRPr="00F85D8E">
        <w:rPr>
          <w:rFonts w:ascii="Arial" w:eastAsia="Times New Roman" w:hAnsi="Arial" w:cs="Arial"/>
          <w:color w:val="000000"/>
          <w:kern w:val="0"/>
          <w:sz w:val="16"/>
          <w:szCs w:val="16"/>
          <w:shd w:val="clear" w:color="auto" w:fill="FFFFFF"/>
          <w:lang w:eastAsia="en-GB"/>
          <w14:ligatures w14:val="none"/>
        </w:rPr>
        <w:t>under</w:t>
      </w:r>
      <w:r w:rsidR="00314732" w:rsidRPr="00F85D8E">
        <w:rPr>
          <w:rFonts w:ascii="Arial" w:eastAsia="Times New Roman" w:hAnsi="Arial" w:cs="Arial"/>
          <w:color w:val="000000"/>
          <w:kern w:val="0"/>
          <w:sz w:val="16"/>
          <w:szCs w:val="16"/>
          <w:shd w:val="clear" w:color="auto" w:fill="FFFFFF"/>
          <w:lang w:eastAsia="en-GB"/>
          <w14:ligatures w14:val="none"/>
        </w:rPr>
        <w:t xml:space="preserve"> </w:t>
      </w:r>
      <w:r w:rsidRPr="00F85D8E">
        <w:rPr>
          <w:rFonts w:ascii="Arial" w:eastAsia="Times New Roman" w:hAnsi="Arial" w:cs="Arial"/>
          <w:color w:val="000000"/>
          <w:kern w:val="0"/>
          <w:sz w:val="16"/>
          <w:szCs w:val="16"/>
          <w:shd w:val="clear" w:color="auto" w:fill="FFFFFF"/>
          <w:lang w:eastAsia="en-GB"/>
          <w14:ligatures w14:val="none"/>
        </w:rPr>
        <w:t>the Ministry of Communications and Digital</w:t>
      </w:r>
    </w:p>
  </w:footnote>
  <w:footnote w:id="25">
    <w:p w14:paraId="3C9B8C1D" w14:textId="6692E892" w:rsidR="009B42E8" w:rsidRPr="00F85D8E" w:rsidRDefault="009B42E8" w:rsidP="00CC0F57">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hyperlink r:id="rId13" w:history="1">
        <w:r w:rsidRPr="00F85D8E">
          <w:rPr>
            <w:rStyle w:val="Hyperlink"/>
            <w:rFonts w:ascii="Arial" w:hAnsi="Arial" w:cs="Arial"/>
            <w:i/>
            <w:iCs/>
            <w:sz w:val="16"/>
            <w:szCs w:val="16"/>
          </w:rPr>
          <w:t>MOHE leaves it up to colleges to set guidelines on organisation of entertainment activities</w:t>
        </w:r>
      </w:hyperlink>
      <w:r w:rsidRPr="00F85D8E">
        <w:rPr>
          <w:rFonts w:ascii="Arial" w:hAnsi="Arial" w:cs="Arial"/>
          <w:color w:val="000000"/>
          <w:sz w:val="16"/>
          <w:szCs w:val="16"/>
        </w:rPr>
        <w:t xml:space="preserve">. (2023, September 1). The Edge Malaysia. </w:t>
      </w:r>
    </w:p>
  </w:footnote>
  <w:footnote w:id="26">
    <w:p w14:paraId="1CCF905A" w14:textId="4B5479B6" w:rsidR="00CC0F57" w:rsidRPr="008A12ED" w:rsidRDefault="00CC0F57" w:rsidP="0045273C">
      <w:pPr>
        <w:pStyle w:val="NormalWeb"/>
        <w:spacing w:before="0" w:beforeAutospacing="0" w:after="0" w:afterAutospacing="0"/>
        <w:rPr>
          <w:rFonts w:ascii="Roboto" w:hAnsi="Roboto" w:cs="Arial"/>
          <w:i/>
          <w:iCs/>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Yusof, A. (2023, March 15). </w:t>
      </w:r>
      <w:hyperlink r:id="rId14" w:anchor=":~:text=For%20instance%2C%20the%20dress%20code,%E2%80%9Conly%20underwear%E2%80%9D%20when%20performing." w:history="1">
        <w:r w:rsidRPr="00F85D8E">
          <w:rPr>
            <w:rStyle w:val="Hyperlink"/>
            <w:rFonts w:ascii="Arial" w:hAnsi="Arial" w:cs="Arial"/>
            <w:sz w:val="16"/>
            <w:szCs w:val="16"/>
          </w:rPr>
          <w:t>No cross-dressing for male artistes, blackout dates on Islamic holidays among updated rules for Malaysia concerts</w:t>
        </w:r>
      </w:hyperlink>
      <w:r w:rsidRPr="00F85D8E">
        <w:rPr>
          <w:rFonts w:ascii="Arial" w:hAnsi="Arial" w:cs="Arial"/>
          <w:color w:val="000000"/>
          <w:sz w:val="16"/>
          <w:szCs w:val="16"/>
        </w:rPr>
        <w:t xml:space="preserve">. </w:t>
      </w:r>
      <w:r w:rsidRPr="00F85D8E">
        <w:rPr>
          <w:rFonts w:ascii="Arial" w:hAnsi="Arial" w:cs="Arial"/>
          <w:i/>
          <w:iCs/>
          <w:color w:val="000000"/>
          <w:sz w:val="16"/>
          <w:szCs w:val="16"/>
        </w:rPr>
        <w:t>CNA</w:t>
      </w:r>
    </w:p>
  </w:footnote>
  <w:footnote w:id="27">
    <w:p w14:paraId="153CFEA7" w14:textId="02CF3F65" w:rsidR="0045273C" w:rsidRPr="00F85D8E" w:rsidRDefault="0045273C">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15" w:history="1">
        <w:r w:rsidRPr="00F85D8E">
          <w:rPr>
            <w:rStyle w:val="Hyperlink"/>
            <w:rFonts w:ascii="Arial" w:hAnsi="Arial" w:cs="Arial"/>
            <w:i/>
            <w:iCs/>
            <w:sz w:val="16"/>
            <w:szCs w:val="16"/>
          </w:rPr>
          <w:t>Media statement: Recall Ministry of Higher Education’s entertainment guideline</w:t>
        </w:r>
      </w:hyperlink>
      <w:r w:rsidRPr="00F85D8E">
        <w:rPr>
          <w:rFonts w:ascii="Arial" w:hAnsi="Arial" w:cs="Arial"/>
          <w:color w:val="000000"/>
          <w:sz w:val="16"/>
          <w:szCs w:val="16"/>
        </w:rPr>
        <w:t xml:space="preserve">. (2023, September 11). Justice for Sisters. </w:t>
      </w:r>
    </w:p>
  </w:footnote>
  <w:footnote w:id="28">
    <w:p w14:paraId="3AAB8D0C" w14:textId="1366B597" w:rsidR="0016429B" w:rsidRPr="00F85D8E" w:rsidRDefault="0016429B" w:rsidP="00B26434">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Mail, M. (2023, February 15). </w:t>
      </w:r>
      <w:hyperlink r:id="rId16" w:history="1">
        <w:r w:rsidRPr="00F85D8E">
          <w:rPr>
            <w:rStyle w:val="Hyperlink"/>
            <w:rFonts w:ascii="Arial" w:hAnsi="Arial" w:cs="Arial"/>
            <w:sz w:val="16"/>
            <w:szCs w:val="16"/>
          </w:rPr>
          <w:t>Home Ministry bans three publications for immorality</w:t>
        </w:r>
      </w:hyperlink>
      <w:r w:rsidRPr="00F85D8E">
        <w:rPr>
          <w:rFonts w:ascii="Arial" w:hAnsi="Arial" w:cs="Arial"/>
          <w:color w:val="000000"/>
          <w:sz w:val="16"/>
          <w:szCs w:val="16"/>
        </w:rPr>
        <w:t xml:space="preserve">, LGBT. </w:t>
      </w:r>
      <w:r w:rsidRPr="00F85D8E">
        <w:rPr>
          <w:rFonts w:ascii="Arial" w:hAnsi="Arial" w:cs="Arial"/>
          <w:i/>
          <w:iCs/>
          <w:color w:val="000000"/>
          <w:sz w:val="16"/>
          <w:szCs w:val="16"/>
        </w:rPr>
        <w:t>Malay Mail</w:t>
      </w:r>
      <w:r w:rsidRPr="00F85D8E">
        <w:rPr>
          <w:rFonts w:ascii="Arial" w:hAnsi="Arial" w:cs="Arial"/>
          <w:color w:val="000000"/>
          <w:sz w:val="16"/>
          <w:szCs w:val="16"/>
        </w:rPr>
        <w:t xml:space="preserve">. </w:t>
      </w:r>
    </w:p>
  </w:footnote>
  <w:footnote w:id="29">
    <w:p w14:paraId="259C7409" w14:textId="10502C66" w:rsidR="00D92197" w:rsidRPr="00F85D8E" w:rsidRDefault="00D92197">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Palansamy, Y. (2018, Sept 3). </w:t>
      </w:r>
      <w:hyperlink r:id="rId17" w:history="1">
        <w:r w:rsidRPr="00F85D8E">
          <w:rPr>
            <w:rStyle w:val="Hyperlink"/>
            <w:rFonts w:ascii="Arial" w:hAnsi="Arial" w:cs="Arial"/>
            <w:sz w:val="16"/>
            <w:szCs w:val="16"/>
          </w:rPr>
          <w:t>Terengganu duo publicly caned six times over lesbian sex attempt (VIDEO).</w:t>
        </w:r>
      </w:hyperlink>
      <w:r w:rsidRPr="00F85D8E">
        <w:rPr>
          <w:rFonts w:ascii="Arial" w:hAnsi="Arial" w:cs="Arial"/>
          <w:color w:val="000000"/>
          <w:sz w:val="16"/>
          <w:szCs w:val="16"/>
        </w:rPr>
        <w:t xml:space="preserve"> </w:t>
      </w:r>
    </w:p>
  </w:footnote>
  <w:footnote w:id="30">
    <w:p w14:paraId="5E2277F1" w14:textId="25CAECB0" w:rsidR="006C57E2" w:rsidRPr="00F85D8E" w:rsidRDefault="006C57E2">
      <w:pPr>
        <w:pStyle w:val="FootnoteText"/>
        <w:rPr>
          <w:rFonts w:ascii="Arial" w:hAnsi="Arial" w:cs="Arial"/>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Amnesty International. (2019, Nov 18). </w:t>
      </w:r>
      <w:hyperlink r:id="rId18" w:history="1">
        <w:r w:rsidRPr="00F85D8E">
          <w:rPr>
            <w:rStyle w:val="Hyperlink"/>
            <w:rFonts w:ascii="Arial" w:hAnsi="Arial" w:cs="Arial"/>
            <w:sz w:val="16"/>
            <w:szCs w:val="16"/>
          </w:rPr>
          <w:t>Malaysia: Caning of four men is a terrible warning to LGBTI people, while more await trial</w:t>
        </w:r>
      </w:hyperlink>
      <w:r w:rsidRPr="00F85D8E">
        <w:rPr>
          <w:rFonts w:ascii="Arial" w:hAnsi="Arial" w:cs="Arial"/>
          <w:color w:val="000000"/>
          <w:sz w:val="16"/>
          <w:szCs w:val="16"/>
        </w:rPr>
        <w:t xml:space="preserve">. </w:t>
      </w:r>
    </w:p>
  </w:footnote>
  <w:footnote w:id="31">
    <w:p w14:paraId="3B878928" w14:textId="03CE15BB" w:rsidR="00896AD5" w:rsidRPr="00F85D8E" w:rsidRDefault="00896AD5" w:rsidP="00E87FB7">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Jalil, M. A  (2017) </w:t>
      </w:r>
      <w:hyperlink r:id="rId19" w:history="1">
        <w:r w:rsidRPr="00F85D8E">
          <w:rPr>
            <w:rStyle w:val="Hyperlink"/>
            <w:rFonts w:ascii="Arial" w:hAnsi="Arial" w:cs="Arial"/>
            <w:sz w:val="16"/>
            <w:szCs w:val="16"/>
          </w:rPr>
          <w:t>NRD wins appeal bid to stop transgender from changing IC details</w:t>
        </w:r>
      </w:hyperlink>
      <w:r w:rsidRPr="00F85D8E">
        <w:rPr>
          <w:rFonts w:ascii="Arial" w:hAnsi="Arial" w:cs="Arial"/>
          <w:color w:val="1A1A1A"/>
          <w:sz w:val="16"/>
          <w:szCs w:val="16"/>
        </w:rPr>
        <w:t xml:space="preserve"> </w:t>
      </w:r>
    </w:p>
  </w:footnote>
  <w:footnote w:id="32">
    <w:p w14:paraId="7351E751" w14:textId="77777777" w:rsidR="006955E9" w:rsidRPr="00F85D8E" w:rsidRDefault="006955E9" w:rsidP="006955E9">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Winter, S., Davis-McCabe, C., Russell, C., Wilde, D., Chu, T.H., Suparak, P. and Wong, J. (2018). Denied Work: An audit of employment discrimination on the basis of gender identity in Asia. Bangkok: Asia Pacific Transgender Network and United Nations Development Programme.</w:t>
      </w:r>
    </w:p>
  </w:footnote>
  <w:footnote w:id="33">
    <w:p w14:paraId="438FC635" w14:textId="0886BACD" w:rsidR="006955E9" w:rsidRPr="00F85D8E" w:rsidRDefault="006955E9" w:rsidP="0078673E">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(2021, July). </w:t>
      </w:r>
      <w:hyperlink r:id="rId20" w:history="1">
        <w:r w:rsidRPr="00F85D8E">
          <w:rPr>
            <w:rStyle w:val="Hyperlink"/>
            <w:rFonts w:ascii="Arial" w:hAnsi="Arial" w:cs="Arial"/>
            <w:sz w:val="16"/>
            <w:szCs w:val="16"/>
          </w:rPr>
          <w:t>Freedom of Expression and Transgender Women in Malaysia: A study on the relationship of freedom of expression and gender identity.</w:t>
        </w:r>
      </w:hyperlink>
      <w:r w:rsidRPr="00F85D8E">
        <w:rPr>
          <w:rFonts w:ascii="Arial" w:hAnsi="Arial" w:cs="Arial"/>
          <w:color w:val="000000"/>
          <w:sz w:val="16"/>
          <w:szCs w:val="16"/>
        </w:rPr>
        <w:t xml:space="preserve"> </w:t>
      </w:r>
    </w:p>
  </w:footnote>
  <w:footnote w:id="34">
    <w:p w14:paraId="7DB3CA06" w14:textId="77777777" w:rsidR="006955E9" w:rsidRPr="00F85D8E" w:rsidRDefault="006955E9" w:rsidP="006955E9">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21" w:history="1">
        <w:r w:rsidRPr="00F85D8E">
          <w:rPr>
            <w:rStyle w:val="Hyperlink"/>
            <w:rFonts w:ascii="Arial" w:hAnsi="Arial" w:cs="Arial"/>
            <w:sz w:val="16"/>
            <w:szCs w:val="16"/>
          </w:rPr>
          <w:t>'It's Muhammad Sajjad'</w:t>
        </w:r>
      </w:hyperlink>
      <w:r w:rsidRPr="00F85D8E">
        <w:rPr>
          <w:rFonts w:ascii="Arial" w:hAnsi="Arial" w:cs="Arial"/>
          <w:color w:val="000000"/>
          <w:sz w:val="16"/>
          <w:szCs w:val="16"/>
        </w:rPr>
        <w:t xml:space="preserve">, 5 February 2020, New Straits Times, </w:t>
      </w:r>
    </w:p>
  </w:footnote>
  <w:footnote w:id="35">
    <w:p w14:paraId="76920F49" w14:textId="19428573" w:rsidR="00177C59" w:rsidRPr="00F85D8E" w:rsidRDefault="00177C59" w:rsidP="00C52E11">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Husain, N.H. and Hairom, H. (2021, Oct 7). </w:t>
      </w:r>
      <w:hyperlink r:id="rId22" w:history="1">
        <w:r w:rsidRPr="00F85D8E">
          <w:rPr>
            <w:rStyle w:val="Hyperlink"/>
            <w:rFonts w:ascii="Arial" w:hAnsi="Arial" w:cs="Arial"/>
            <w:sz w:val="16"/>
            <w:szCs w:val="16"/>
          </w:rPr>
          <w:t>Malaysia kekal pendirian tak iktiraf gender ketiga</w:t>
        </w:r>
      </w:hyperlink>
      <w:r w:rsidRPr="00F85D8E">
        <w:rPr>
          <w:rFonts w:ascii="Arial" w:hAnsi="Arial" w:cs="Arial"/>
          <w:color w:val="000000"/>
          <w:sz w:val="16"/>
          <w:szCs w:val="16"/>
        </w:rPr>
        <w:t xml:space="preserve">. Sinar Harian. </w:t>
      </w:r>
    </w:p>
  </w:footnote>
  <w:footnote w:id="36">
    <w:p w14:paraId="6F952461" w14:textId="128C9C03" w:rsidR="00487D47" w:rsidRPr="00487D47" w:rsidRDefault="00487D47">
      <w:pPr>
        <w:pStyle w:val="FootnoteText"/>
        <w:rPr>
          <w:rFonts w:ascii="Roboto" w:hAnsi="Roboto"/>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Ministry of Health and Ministry of Youth and Sports</w:t>
      </w:r>
    </w:p>
  </w:footnote>
  <w:footnote w:id="37">
    <w:p w14:paraId="5185B5A5" w14:textId="0BA21627" w:rsidR="00753CA1" w:rsidRPr="00F85D8E" w:rsidRDefault="00753CA1" w:rsidP="0090309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BC31CE" w:rsidRPr="00F85D8E">
        <w:rPr>
          <w:rFonts w:ascii="Arial" w:hAnsi="Arial" w:cs="Arial"/>
          <w:color w:val="000000"/>
          <w:sz w:val="16"/>
          <w:szCs w:val="16"/>
        </w:rPr>
        <w:t xml:space="preserve"> Human Rights Watch &amp; Justice for Sisters (2022) </w:t>
      </w:r>
      <w:hyperlink r:id="rId23" w:history="1">
        <w:r w:rsidR="00BC31CE" w:rsidRPr="00F85D8E">
          <w:rPr>
            <w:rStyle w:val="Hyperlink"/>
            <w:rFonts w:ascii="Arial" w:hAnsi="Arial" w:cs="Arial"/>
            <w:sz w:val="16"/>
            <w:szCs w:val="16"/>
          </w:rPr>
          <w:t>“I Don’t Want to Change Myself” Anti-LGBT Conversion Practices, Discrimination, and Violence in Malaysia</w:t>
        </w:r>
      </w:hyperlink>
      <w:r w:rsidR="00BC31CE" w:rsidRPr="00F85D8E">
        <w:rPr>
          <w:rFonts w:ascii="Arial" w:hAnsi="Arial" w:cs="Arial"/>
          <w:color w:val="000000"/>
          <w:sz w:val="16"/>
          <w:szCs w:val="16"/>
        </w:rPr>
        <w:t xml:space="preserve"> </w:t>
      </w:r>
    </w:p>
  </w:footnote>
  <w:footnote w:id="38">
    <w:p w14:paraId="6E5DA923" w14:textId="2E2240D4" w:rsidR="00BC31CE" w:rsidRPr="00F85D8E" w:rsidRDefault="00BC31CE" w:rsidP="00E271F3">
      <w:pPr>
        <w:pStyle w:val="NormalWeb"/>
        <w:spacing w:before="0" w:beforeAutospacing="0" w:after="0" w:afterAutospacing="0"/>
        <w:rPr>
          <w:rFonts w:ascii="Arial" w:hAnsi="Arial" w:cs="Arial"/>
          <w:color w:val="000000"/>
          <w:sz w:val="18"/>
          <w:szCs w:val="18"/>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BE5AF3" w:rsidRPr="00F85D8E">
        <w:rPr>
          <w:rFonts w:ascii="Arial" w:hAnsi="Arial" w:cs="Arial"/>
          <w:sz w:val="16"/>
          <w:szCs w:val="16"/>
        </w:rPr>
        <w:t>Justice for Sisters (202</w:t>
      </w:r>
      <w:r w:rsidR="002C49D8" w:rsidRPr="00F85D8E">
        <w:rPr>
          <w:rFonts w:ascii="Arial" w:hAnsi="Arial" w:cs="Arial"/>
          <w:sz w:val="16"/>
          <w:szCs w:val="16"/>
        </w:rPr>
        <w:t>2</w:t>
      </w:r>
      <w:r w:rsidR="00BE5AF3" w:rsidRPr="00F85D8E">
        <w:rPr>
          <w:rFonts w:ascii="Arial" w:hAnsi="Arial" w:cs="Arial"/>
          <w:sz w:val="16"/>
          <w:szCs w:val="16"/>
        </w:rPr>
        <w:t xml:space="preserve">) </w:t>
      </w:r>
      <w:hyperlink r:id="rId24" w:history="1">
        <w:r w:rsidR="00D85846" w:rsidRPr="00F85D8E">
          <w:rPr>
            <w:rStyle w:val="Hyperlink"/>
            <w:rFonts w:ascii="Arial" w:hAnsi="Arial" w:cs="Arial"/>
            <w:sz w:val="16"/>
            <w:szCs w:val="16"/>
          </w:rPr>
          <w:t>Hidden Behind The Right Path: Untangling Malaysia’s “Soft Approach” To LGBTQ Rehabilitation</w:t>
        </w:r>
      </w:hyperlink>
      <w:r w:rsidR="00D85846" w:rsidRPr="00F85D8E">
        <w:rPr>
          <w:rFonts w:ascii="Arial" w:hAnsi="Arial" w:cs="Arial"/>
          <w:color w:val="3F6BAA"/>
          <w:sz w:val="18"/>
          <w:szCs w:val="18"/>
        </w:rPr>
        <w:t xml:space="preserve"> </w:t>
      </w:r>
    </w:p>
  </w:footnote>
  <w:footnote w:id="39">
    <w:p w14:paraId="4AF5663E" w14:textId="4A74BED6" w:rsidR="00E271F3" w:rsidRPr="00F85D8E" w:rsidRDefault="00E271F3">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Mohd Zakaria, M. Z. I. (2019). </w:t>
      </w:r>
      <w:r w:rsidRPr="00F85D8E">
        <w:rPr>
          <w:rFonts w:ascii="Arial" w:hAnsi="Arial" w:cs="Arial"/>
          <w:i/>
          <w:iCs/>
          <w:color w:val="000000"/>
          <w:sz w:val="16"/>
          <w:szCs w:val="16"/>
        </w:rPr>
        <w:t>Pemberian Zakat Terhadap Golongan LGBT Menurut Fatwa Selangor (Analisis Tinjauan Maqasid Syariah)</w:t>
      </w:r>
      <w:r w:rsidRPr="00F85D8E">
        <w:rPr>
          <w:rFonts w:ascii="Arial" w:hAnsi="Arial" w:cs="Arial"/>
          <w:color w:val="000000"/>
          <w:sz w:val="16"/>
          <w:szCs w:val="16"/>
        </w:rPr>
        <w:t>.</w:t>
      </w:r>
    </w:p>
  </w:footnote>
  <w:footnote w:id="40">
    <w:p w14:paraId="53A39FE5" w14:textId="5EE1618E" w:rsidR="00396B7F" w:rsidRPr="00F85D8E" w:rsidRDefault="00396B7F" w:rsidP="00396B7F">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Abd Malik, M. (2018). Zakat untuk LGBT [METROTV]. </w:t>
      </w:r>
      <w:r w:rsidRPr="00F85D8E">
        <w:rPr>
          <w:rFonts w:ascii="Arial" w:hAnsi="Arial" w:cs="Arial"/>
          <w:i/>
          <w:iCs/>
          <w:color w:val="000000"/>
          <w:sz w:val="16"/>
          <w:szCs w:val="16"/>
        </w:rPr>
        <w:t>Harian Metro</w:t>
      </w:r>
      <w:r w:rsidRPr="00F85D8E">
        <w:rPr>
          <w:rFonts w:ascii="Arial" w:hAnsi="Arial" w:cs="Arial"/>
          <w:color w:val="000000"/>
          <w:sz w:val="16"/>
          <w:szCs w:val="16"/>
        </w:rPr>
        <w:t>.</w:t>
      </w:r>
    </w:p>
  </w:footnote>
  <w:footnote w:id="41">
    <w:p w14:paraId="22C11B62" w14:textId="4EC3A35C" w:rsidR="00867B94" w:rsidRPr="00F85D8E" w:rsidRDefault="00867B94" w:rsidP="00C576D4">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Tahir, M. I. I. (2020, July 23). 497 LGBT insaf dipulihkan MAIS. </w:t>
      </w:r>
      <w:r w:rsidRPr="00F85D8E">
        <w:rPr>
          <w:rFonts w:ascii="Arial" w:hAnsi="Arial" w:cs="Arial"/>
          <w:i/>
          <w:iCs/>
          <w:color w:val="000000"/>
          <w:sz w:val="16"/>
          <w:szCs w:val="16"/>
        </w:rPr>
        <w:t>Sinarharian</w:t>
      </w:r>
    </w:p>
  </w:footnote>
  <w:footnote w:id="42">
    <w:p w14:paraId="17DD94C6" w14:textId="79586661" w:rsidR="00C576D4" w:rsidRPr="00F85D8E" w:rsidRDefault="00C576D4" w:rsidP="00C557E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Universiti Sains Malaysia et al. (2022, Aug 19-21). </w:t>
      </w:r>
      <w:hyperlink r:id="rId25" w:history="1">
        <w:r w:rsidRPr="00F85D8E">
          <w:rPr>
            <w:rStyle w:val="Hyperlink"/>
            <w:rFonts w:ascii="Arial" w:hAnsi="Arial" w:cs="Arial"/>
            <w:sz w:val="16"/>
            <w:szCs w:val="16"/>
          </w:rPr>
          <w:t>Promoting Sexual Wellbeing: Conversations on Different Perspectives (e-book). The 16th Congress of Asia-Oceania Federation for Sexology (AOFS)</w:t>
        </w:r>
      </w:hyperlink>
      <w:r w:rsidRPr="00F85D8E">
        <w:rPr>
          <w:rFonts w:ascii="Arial" w:hAnsi="Arial" w:cs="Arial"/>
          <w:color w:val="000000"/>
          <w:sz w:val="16"/>
          <w:szCs w:val="16"/>
        </w:rPr>
        <w:t xml:space="preserve">. </w:t>
      </w:r>
    </w:p>
  </w:footnote>
  <w:footnote w:id="43">
    <w:p w14:paraId="367D75C4" w14:textId="2B227EB8" w:rsidR="00C557E2" w:rsidRPr="00F85D8E" w:rsidRDefault="00C557E2" w:rsidP="00543660">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Justice for Sisters. (2021, July). </w:t>
      </w:r>
    </w:p>
  </w:footnote>
  <w:footnote w:id="44">
    <w:p w14:paraId="52485FA8" w14:textId="0FAB4612" w:rsidR="00543660" w:rsidRPr="00F85D8E" w:rsidRDefault="00543660" w:rsidP="005E2E40">
      <w:pPr>
        <w:pStyle w:val="Heading1"/>
        <w:spacing w:before="0" w:after="0"/>
        <w:rPr>
          <w:rFonts w:ascii="Arial" w:eastAsia="Times New Roman" w:hAnsi="Arial" w:cs="Arial"/>
          <w:color w:val="000000"/>
          <w:kern w:val="36"/>
          <w:sz w:val="16"/>
          <w:szCs w:val="16"/>
          <w:lang w:eastAsia="en-GB"/>
          <w14:ligatures w14:val="none"/>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eastAsia="Times New Roman" w:hAnsi="Arial" w:cs="Arial"/>
          <w:color w:val="000000"/>
          <w:kern w:val="36"/>
          <w:sz w:val="16"/>
          <w:szCs w:val="16"/>
          <w:lang w:eastAsia="en-GB"/>
          <w14:ligatures w14:val="none"/>
        </w:rPr>
        <w:t> </w:t>
      </w:r>
      <w:hyperlink r:id="rId26" w:history="1">
        <w:r w:rsidRPr="00F85D8E">
          <w:rPr>
            <w:rFonts w:ascii="Arial" w:eastAsia="Times New Roman" w:hAnsi="Arial" w:cs="Arial"/>
            <w:color w:val="000000"/>
            <w:kern w:val="36"/>
            <w:sz w:val="16"/>
            <w:szCs w:val="16"/>
            <w:u w:val="single"/>
            <w:lang w:eastAsia="en-GB"/>
            <w14:ligatures w14:val="none"/>
          </w:rPr>
          <w:t>Mohamed Farid Noh</w:t>
        </w:r>
      </w:hyperlink>
      <w:r w:rsidRPr="00F85D8E">
        <w:rPr>
          <w:rFonts w:ascii="Arial" w:eastAsia="Times New Roman" w:hAnsi="Arial" w:cs="Arial"/>
          <w:color w:val="000000"/>
          <w:kern w:val="36"/>
          <w:sz w:val="16"/>
          <w:szCs w:val="16"/>
          <w:lang w:eastAsia="en-GB"/>
          <w14:ligatures w14:val="none"/>
        </w:rPr>
        <w:t xml:space="preserve"> (2023) </w:t>
      </w:r>
      <w:hyperlink r:id="rId27" w:history="1">
        <w:r w:rsidRPr="00F85D8E">
          <w:rPr>
            <w:rStyle w:val="Hyperlink"/>
            <w:rFonts w:ascii="Arial" w:eastAsia="Times New Roman" w:hAnsi="Arial" w:cs="Arial"/>
            <w:kern w:val="36"/>
            <w:sz w:val="16"/>
            <w:szCs w:val="16"/>
            <w:lang w:eastAsia="en-GB"/>
            <w14:ligatures w14:val="none"/>
          </w:rPr>
          <w:t>Johor to set up first Islamic rehab centre for 'deviants', LGBT</w:t>
        </w:r>
      </w:hyperlink>
      <w:r w:rsidRPr="00F85D8E">
        <w:rPr>
          <w:rFonts w:ascii="Arial" w:eastAsia="Times New Roman" w:hAnsi="Arial" w:cs="Arial"/>
          <w:color w:val="000000"/>
          <w:kern w:val="36"/>
          <w:sz w:val="16"/>
          <w:szCs w:val="16"/>
          <w:lang w:eastAsia="en-GB"/>
          <w14:ligatures w14:val="none"/>
        </w:rPr>
        <w:t xml:space="preserve"> community </w:t>
      </w:r>
    </w:p>
  </w:footnote>
  <w:footnote w:id="45">
    <w:p w14:paraId="23E01060" w14:textId="2902E26C" w:rsidR="00543660" w:rsidRPr="000325C9" w:rsidRDefault="00543660" w:rsidP="00564F6E">
      <w:pPr>
        <w:pStyle w:val="Heading1"/>
        <w:spacing w:before="0" w:after="0"/>
        <w:rPr>
          <w:rFonts w:ascii="Roboto" w:hAnsi="Roboto"/>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5E2E40" w:rsidRPr="00F85D8E">
        <w:rPr>
          <w:rFonts w:ascii="Arial" w:hAnsi="Arial" w:cs="Arial"/>
          <w:color w:val="000000"/>
          <w:sz w:val="16"/>
          <w:szCs w:val="16"/>
        </w:rPr>
        <w:t> </w:t>
      </w:r>
      <w:hyperlink r:id="rId28" w:history="1">
        <w:r w:rsidR="005E2E40" w:rsidRPr="00F85D8E">
          <w:rPr>
            <w:rStyle w:val="Hyperlink"/>
            <w:rFonts w:ascii="Arial" w:hAnsi="Arial" w:cs="Arial"/>
            <w:color w:val="000000"/>
            <w:sz w:val="16"/>
            <w:szCs w:val="16"/>
          </w:rPr>
          <w:t>Tuty Haryanti Ahmad Rodzi</w:t>
        </w:r>
      </w:hyperlink>
      <w:r w:rsidR="005E2E40" w:rsidRPr="00F85D8E">
        <w:rPr>
          <w:rFonts w:ascii="Arial" w:hAnsi="Arial" w:cs="Arial"/>
          <w:color w:val="000000"/>
          <w:sz w:val="16"/>
          <w:szCs w:val="16"/>
          <w:shd w:val="clear" w:color="auto" w:fill="FFFFFF"/>
        </w:rPr>
        <w:t xml:space="preserve"> (2021) </w:t>
      </w:r>
      <w:hyperlink r:id="rId29" w:history="1">
        <w:r w:rsidR="005E2E40" w:rsidRPr="00F85D8E">
          <w:rPr>
            <w:rStyle w:val="Hyperlink"/>
            <w:rFonts w:ascii="Arial" w:hAnsi="Arial" w:cs="Arial"/>
            <w:sz w:val="16"/>
            <w:szCs w:val="16"/>
          </w:rPr>
          <w:t>Syor wujud pusat tahanan, pemulihan LGBT</w:t>
        </w:r>
      </w:hyperlink>
      <w:r w:rsidR="005E2E40" w:rsidRPr="000325C9">
        <w:rPr>
          <w:rFonts w:ascii="Roboto" w:hAnsi="Roboto"/>
          <w:color w:val="000000"/>
          <w:sz w:val="16"/>
          <w:szCs w:val="16"/>
        </w:rPr>
        <w:t xml:space="preserve"> </w:t>
      </w:r>
    </w:p>
  </w:footnote>
  <w:footnote w:id="46">
    <w:p w14:paraId="7803F052" w14:textId="77BC7EEB" w:rsidR="00783EB3" w:rsidRPr="00F85D8E" w:rsidRDefault="00783EB3" w:rsidP="007D1679">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(2022) </w:t>
      </w:r>
      <w:hyperlink r:id="rId30" w:history="1">
        <w:r w:rsidRPr="00F85D8E">
          <w:rPr>
            <w:rStyle w:val="Hyperlink"/>
            <w:rFonts w:ascii="Arial" w:hAnsi="Arial" w:cs="Arial"/>
            <w:sz w:val="16"/>
            <w:szCs w:val="16"/>
          </w:rPr>
          <w:t>Sinar Harian Must Reconsider Its ‘prep Buat Komuniti Songsang Lega @ Bencana’?</w:t>
        </w:r>
      </w:hyperlink>
      <w:r w:rsidRPr="00F85D8E">
        <w:rPr>
          <w:rFonts w:ascii="Arial" w:hAnsi="Arial" w:cs="Arial"/>
          <w:color w:val="333333"/>
          <w:sz w:val="16"/>
          <w:szCs w:val="16"/>
        </w:rPr>
        <w:t xml:space="preserve"> Episode In Order To Prevent Misinformation &amp; Stigma Against LGBT People </w:t>
      </w:r>
    </w:p>
  </w:footnote>
  <w:footnote w:id="47">
    <w:p w14:paraId="63FD3CF7" w14:textId="77777777" w:rsidR="00343270" w:rsidRPr="00F85D8E" w:rsidRDefault="00343270" w:rsidP="00343270">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Ayamany. K, (2022) </w:t>
      </w:r>
      <w:hyperlink r:id="rId31" w:history="1">
        <w:r w:rsidRPr="00F85D8E">
          <w:rPr>
            <w:rStyle w:val="Hyperlink"/>
            <w:rFonts w:ascii="Arial" w:hAnsi="Arial" w:cs="Arial"/>
            <w:sz w:val="16"/>
            <w:szCs w:val="16"/>
          </w:rPr>
          <w:t>Court quashes Home Ministry’s ban on ‘Gay Is OK!’ book</w:t>
        </w:r>
      </w:hyperlink>
    </w:p>
  </w:footnote>
  <w:footnote w:id="48">
    <w:p w14:paraId="4BF8ABB4" w14:textId="2AC1E032" w:rsidR="00BA5C2A" w:rsidRPr="00F85D8E" w:rsidRDefault="00BA5C2A" w:rsidP="00747383">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Bernama (2022) </w:t>
      </w:r>
      <w:hyperlink r:id="rId32" w:history="1">
        <w:r w:rsidRPr="00F85D8E">
          <w:rPr>
            <w:rStyle w:val="Hyperlink"/>
            <w:rFonts w:ascii="Arial" w:hAnsi="Arial" w:cs="Arial"/>
            <w:sz w:val="16"/>
            <w:szCs w:val="16"/>
          </w:rPr>
          <w:t>Aliff Syukri claims trial to uploading offensive social media content </w:t>
        </w:r>
      </w:hyperlink>
    </w:p>
  </w:footnote>
  <w:footnote w:id="49">
    <w:p w14:paraId="014CECCC" w14:textId="3EBB8B11" w:rsidR="00BA5C2A" w:rsidRPr="00F85D8E" w:rsidRDefault="00BA5C2A" w:rsidP="004758E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1A1A1A"/>
          <w:sz w:val="16"/>
          <w:szCs w:val="16"/>
        </w:rPr>
        <w:t xml:space="preserve"> Bernama (2022) </w:t>
      </w:r>
      <w:hyperlink r:id="rId33" w:history="1">
        <w:r w:rsidRPr="00F85D8E">
          <w:rPr>
            <w:rStyle w:val="Hyperlink"/>
            <w:rFonts w:ascii="Arial" w:hAnsi="Arial" w:cs="Arial"/>
            <w:sz w:val="16"/>
            <w:szCs w:val="16"/>
          </w:rPr>
          <w:t>Cosmetics tycoon Vida pleads not guilty to uploading offensive video</w:t>
        </w:r>
      </w:hyperlink>
      <w:r w:rsidR="00747383" w:rsidRPr="00F85D8E">
        <w:rPr>
          <w:rFonts w:ascii="Arial" w:hAnsi="Arial" w:cs="Arial"/>
          <w:color w:val="1A1A1A"/>
          <w:sz w:val="16"/>
          <w:szCs w:val="16"/>
        </w:rPr>
        <w:t xml:space="preserve"> </w:t>
      </w:r>
    </w:p>
  </w:footnote>
  <w:footnote w:id="50">
    <w:p w14:paraId="07A731B7" w14:textId="77777777" w:rsidR="006A0150" w:rsidRPr="00F85D8E" w:rsidRDefault="006A0150" w:rsidP="006A0150">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Khalid, M. K. a. M. (2023, October 13). </w:t>
      </w:r>
      <w:hyperlink r:id="rId34" w:history="1">
        <w:r w:rsidRPr="00F85D8E">
          <w:rPr>
            <w:rStyle w:val="Hyperlink"/>
            <w:rFonts w:ascii="Arial" w:hAnsi="Arial" w:cs="Arial"/>
            <w:sz w:val="16"/>
            <w:szCs w:val="16"/>
          </w:rPr>
          <w:t>85 aplikasi, laman sesawang aktiviti songsang disekat.</w:t>
        </w:r>
      </w:hyperlink>
      <w:r w:rsidRPr="00F85D8E">
        <w:rPr>
          <w:rFonts w:ascii="Arial" w:hAnsi="Arial" w:cs="Arial"/>
          <w:color w:val="000000"/>
          <w:sz w:val="16"/>
          <w:szCs w:val="16"/>
        </w:rPr>
        <w:t xml:space="preserve"> </w:t>
      </w:r>
      <w:r w:rsidRPr="00F85D8E">
        <w:rPr>
          <w:rFonts w:ascii="Arial" w:hAnsi="Arial" w:cs="Arial"/>
          <w:i/>
          <w:iCs/>
          <w:color w:val="000000"/>
          <w:sz w:val="16"/>
          <w:szCs w:val="16"/>
        </w:rPr>
        <w:t>Harian Metro</w:t>
      </w:r>
      <w:r w:rsidRPr="00F85D8E">
        <w:rPr>
          <w:rFonts w:ascii="Arial" w:hAnsi="Arial" w:cs="Arial"/>
          <w:color w:val="000000"/>
          <w:sz w:val="16"/>
          <w:szCs w:val="16"/>
        </w:rPr>
        <w:t xml:space="preserve">. </w:t>
      </w:r>
    </w:p>
  </w:footnote>
  <w:footnote w:id="51">
    <w:p w14:paraId="751970A4" w14:textId="77777777" w:rsidR="006A0150" w:rsidRPr="00F85D8E" w:rsidRDefault="006A0150" w:rsidP="006A0150">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Elton John’s 2019 biopic, Rocketman was censored, Disney’s Thor and Lightyear were banned in 2022 </w:t>
      </w:r>
    </w:p>
  </w:footnote>
  <w:footnote w:id="52">
    <w:p w14:paraId="64FFD6D1" w14:textId="11C57C52" w:rsidR="00A031D1" w:rsidRPr="00907D5E" w:rsidRDefault="00A031D1" w:rsidP="00907D5E">
      <w:pPr>
        <w:rPr>
          <w:rFonts w:ascii="Roboto" w:eastAsia="Times New Roman" w:hAnsi="Roboto" w:cs="Times New Roman"/>
          <w:color w:val="000000" w:themeColor="text1"/>
          <w:kern w:val="0"/>
          <w:sz w:val="16"/>
          <w:szCs w:val="16"/>
          <w:lang w:eastAsia="en-GB"/>
          <w14:ligatures w14:val="none"/>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907D5E" w:rsidRPr="00F85D8E">
        <w:rPr>
          <w:rFonts w:ascii="Arial" w:hAnsi="Arial" w:cs="Arial"/>
          <w:sz w:val="16"/>
          <w:szCs w:val="16"/>
        </w:rPr>
        <w:t xml:space="preserve">Survey on amendments to PPPA </w:t>
      </w:r>
      <w:r w:rsidR="00EB4CDF" w:rsidRPr="00F85D8E">
        <w:rPr>
          <w:rFonts w:ascii="Arial" w:hAnsi="Arial" w:cs="Arial"/>
          <w:color w:val="000000" w:themeColor="text1"/>
          <w:sz w:val="16"/>
          <w:szCs w:val="16"/>
        </w:rPr>
        <w:t>https://upc.mpc.gov.my/csp/sys/bi/%25cspapp.bi.work.nc.custom.regulation.cls?regId=828</w:t>
      </w:r>
    </w:p>
  </w:footnote>
  <w:footnote w:id="53">
    <w:p w14:paraId="248E75FA" w14:textId="5DB26F4D" w:rsidR="00076C87" w:rsidRPr="00F85D8E" w:rsidRDefault="00076C87" w:rsidP="00264647">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Yong, Y. (2018, Mar 31). </w:t>
      </w:r>
      <w:hyperlink r:id="rId35" w:history="1">
        <w:r w:rsidRPr="00F85D8E">
          <w:rPr>
            <w:rStyle w:val="Hyperlink"/>
            <w:rFonts w:ascii="Arial" w:hAnsi="Arial" w:cs="Arial"/>
            <w:sz w:val="16"/>
            <w:szCs w:val="16"/>
          </w:rPr>
          <w:t>EC: Transgenders can vote too.</w:t>
        </w:r>
      </w:hyperlink>
      <w:r w:rsidRPr="00F85D8E">
        <w:rPr>
          <w:rFonts w:ascii="Arial" w:hAnsi="Arial" w:cs="Arial"/>
          <w:color w:val="000000"/>
          <w:sz w:val="16"/>
          <w:szCs w:val="16"/>
        </w:rPr>
        <w:t xml:space="preserve"> The Star. </w:t>
      </w:r>
    </w:p>
  </w:footnote>
  <w:footnote w:id="54">
    <w:p w14:paraId="5F91F534" w14:textId="02927DC6" w:rsidR="00264647" w:rsidRPr="00F85D8E" w:rsidRDefault="00264647" w:rsidP="00801FE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Center for independent Journalism (CIJ) (2022) </w:t>
      </w:r>
      <w:hyperlink r:id="rId36" w:history="1">
        <w:r w:rsidRPr="00F85D8E">
          <w:rPr>
            <w:rFonts w:ascii="Arial" w:hAnsi="Arial" w:cs="Arial"/>
            <w:color w:val="1155CC"/>
            <w:sz w:val="16"/>
            <w:szCs w:val="16"/>
            <w:u w:val="single"/>
          </w:rPr>
          <w:t>https://cijmalaysia.net/</w:t>
        </w:r>
      </w:hyperlink>
    </w:p>
  </w:footnote>
  <w:footnote w:id="55">
    <w:p w14:paraId="55B24987" w14:textId="39066775" w:rsidR="00801FE2" w:rsidRPr="00F85D8E" w:rsidRDefault="00801FE2">
      <w:pPr>
        <w:pStyle w:val="FootnoteText"/>
        <w:rPr>
          <w:rFonts w:ascii="Arial" w:hAnsi="Arial" w:cs="Arial"/>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E74022" w:rsidRPr="00F85D8E">
        <w:rPr>
          <w:rFonts w:ascii="Arial" w:hAnsi="Arial" w:cs="Arial"/>
          <w:sz w:val="16"/>
          <w:szCs w:val="16"/>
        </w:rPr>
        <w:t>Justice for Sisters et al (</w:t>
      </w:r>
      <w:r w:rsidR="006B1487" w:rsidRPr="00F85D8E">
        <w:rPr>
          <w:rFonts w:ascii="Arial" w:hAnsi="Arial" w:cs="Arial"/>
          <w:sz w:val="16"/>
          <w:szCs w:val="16"/>
        </w:rPr>
        <w:t xml:space="preserve">2021) </w:t>
      </w:r>
      <w:hyperlink r:id="rId37" w:history="1">
        <w:r w:rsidR="00E74022" w:rsidRPr="00F85D8E">
          <w:rPr>
            <w:rStyle w:val="Hyperlink"/>
            <w:rFonts w:ascii="Arial" w:hAnsi="Arial" w:cs="Arial"/>
            <w:sz w:val="16"/>
            <w:szCs w:val="16"/>
            <w:shd w:val="clear" w:color="auto" w:fill="FFFFFF"/>
          </w:rPr>
          <w:t>Survey findings: Impact of Covid-19 &amp; anti-LGBT narratives on LGBTQ+ persons in Malaysia</w:t>
        </w:r>
      </w:hyperlink>
    </w:p>
  </w:footnote>
  <w:footnote w:id="56">
    <w:p w14:paraId="2AE483D7" w14:textId="6FF0DEF2" w:rsidR="00A13C92" w:rsidRPr="00F85D8E" w:rsidRDefault="00A13C92">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(2022) </w:t>
      </w:r>
      <w:hyperlink r:id="rId38" w:history="1">
        <w:r w:rsidRPr="00F85D8E">
          <w:rPr>
            <w:rStyle w:val="Hyperlink"/>
            <w:rFonts w:ascii="Arial" w:hAnsi="Arial" w:cs="Arial"/>
            <w:sz w:val="16"/>
            <w:szCs w:val="16"/>
          </w:rPr>
          <w:t>Preliminary Analysis: LGBTphobia In Malaysia 15th General Elections (GE15)</w:t>
        </w:r>
      </w:hyperlink>
      <w:r w:rsidRPr="00F85D8E">
        <w:rPr>
          <w:rFonts w:ascii="Arial" w:hAnsi="Arial" w:cs="Arial"/>
          <w:color w:val="333333"/>
          <w:sz w:val="16"/>
          <w:szCs w:val="16"/>
        </w:rPr>
        <w:t xml:space="preserve"> </w:t>
      </w:r>
    </w:p>
  </w:footnote>
  <w:footnote w:id="57">
    <w:p w14:paraId="38EED9F5" w14:textId="66F866B7" w:rsidR="00A13C92" w:rsidRPr="00F85D8E" w:rsidRDefault="00A13C92">
      <w:pPr>
        <w:pStyle w:val="FootnoteText"/>
        <w:rPr>
          <w:rFonts w:ascii="Arial" w:hAnsi="Arial" w:cs="Arial"/>
          <w:sz w:val="18"/>
          <w:szCs w:val="18"/>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(2019) </w:t>
      </w:r>
      <w:hyperlink r:id="rId39" w:history="1">
        <w:r w:rsidRPr="00F85D8E">
          <w:rPr>
            <w:rStyle w:val="Hyperlink"/>
            <w:rFonts w:ascii="Arial" w:hAnsi="Arial" w:cs="Arial"/>
            <w:sz w:val="16"/>
            <w:szCs w:val="16"/>
          </w:rPr>
          <w:t>Apply Standing Orders Towards Offensive Speech Against LGBT People</w:t>
        </w:r>
      </w:hyperlink>
      <w:r w:rsidRPr="00F85D8E">
        <w:rPr>
          <w:rFonts w:ascii="Arial" w:hAnsi="Arial" w:cs="Arial"/>
          <w:color w:val="333333"/>
          <w:sz w:val="18"/>
          <w:szCs w:val="18"/>
        </w:rPr>
        <w:t xml:space="preserve"> </w:t>
      </w:r>
    </w:p>
  </w:footnote>
  <w:footnote w:id="58">
    <w:p w14:paraId="6F53666D" w14:textId="1412EFAD" w:rsidR="0032632A" w:rsidRPr="00F85D8E" w:rsidRDefault="0032632A">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Section 4A. </w:t>
      </w:r>
      <w:hyperlink r:id="rId40" w:history="1">
        <w:r w:rsidRPr="00F85D8E">
          <w:rPr>
            <w:rStyle w:val="Hyperlink"/>
            <w:rFonts w:ascii="Arial" w:hAnsi="Arial" w:cs="Arial"/>
            <w:sz w:val="16"/>
            <w:szCs w:val="16"/>
          </w:rPr>
          <w:t>Offences of promoting feelings of ill-will and hostility</w:t>
        </w:r>
      </w:hyperlink>
      <w:r w:rsidRPr="00F85D8E">
        <w:rPr>
          <w:rFonts w:ascii="Arial" w:hAnsi="Arial" w:cs="Arial"/>
          <w:color w:val="000000"/>
          <w:sz w:val="16"/>
          <w:szCs w:val="16"/>
        </w:rPr>
        <w:t xml:space="preserve">, Election Offences Act 1954 </w:t>
      </w:r>
    </w:p>
  </w:footnote>
  <w:footnote w:id="59">
    <w:p w14:paraId="092B392F" w14:textId="078EECCF" w:rsidR="000B38F3" w:rsidRPr="00F85D8E" w:rsidRDefault="000B38F3">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(2020) </w:t>
      </w:r>
    </w:p>
  </w:footnote>
  <w:footnote w:id="60">
    <w:p w14:paraId="79165A2E" w14:textId="5E0FF74F" w:rsidR="00363312" w:rsidRPr="00F85D8E" w:rsidRDefault="00363312" w:rsidP="00801EF9">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41" w:history="1">
        <w:r w:rsidRPr="00F85D8E">
          <w:rPr>
            <w:rStyle w:val="Hyperlink"/>
            <w:rFonts w:ascii="Arial" w:hAnsi="Arial" w:cs="Arial"/>
            <w:sz w:val="16"/>
            <w:szCs w:val="16"/>
          </w:rPr>
          <w:t>Pelantikan ratu transgender dalam CCM langgar undang-undang negara</w:t>
        </w:r>
      </w:hyperlink>
      <w:r w:rsidRPr="00F85D8E">
        <w:rPr>
          <w:rFonts w:ascii="Arial" w:hAnsi="Arial" w:cs="Arial"/>
          <w:color w:val="333333"/>
          <w:sz w:val="16"/>
          <w:szCs w:val="16"/>
        </w:rPr>
        <w:t xml:space="preserve"> (2019)</w:t>
      </w:r>
    </w:p>
  </w:footnote>
  <w:footnote w:id="61">
    <w:p w14:paraId="4FFFF4D9" w14:textId="4016C093" w:rsidR="00FC6626" w:rsidRPr="00F85D8E" w:rsidRDefault="00FC6626" w:rsidP="0003210A">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hyperlink r:id="rId42" w:history="1">
        <w:r w:rsidRPr="00F85D8E">
          <w:rPr>
            <w:rFonts w:ascii="Arial" w:hAnsi="Arial" w:cs="Arial"/>
            <w:color w:val="1155CC"/>
            <w:sz w:val="16"/>
            <w:szCs w:val="16"/>
            <w:u w:val="single"/>
          </w:rPr>
          <w:t>https://bn3.cari.com.my/forum.php?mod=viewthread&amp;tid=1166171</w:t>
        </w:r>
      </w:hyperlink>
    </w:p>
  </w:footnote>
  <w:footnote w:id="62">
    <w:p w14:paraId="19AA28DA" w14:textId="2DD09EAB" w:rsidR="0003210A" w:rsidRPr="00F85D8E" w:rsidRDefault="0003210A">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NST (2019) </w:t>
      </w:r>
      <w:hyperlink r:id="rId43" w:history="1">
        <w:r w:rsidRPr="00F85D8E">
          <w:rPr>
            <w:rStyle w:val="Hyperlink"/>
            <w:rFonts w:ascii="Arial" w:hAnsi="Arial" w:cs="Arial"/>
            <w:sz w:val="16"/>
            <w:szCs w:val="16"/>
          </w:rPr>
          <w:t>Dr Lee: Rania's appointment follows procedure, CCM has been around since 2009</w:t>
        </w:r>
      </w:hyperlink>
      <w:r w:rsidRPr="00F85D8E">
        <w:rPr>
          <w:rFonts w:ascii="Arial" w:hAnsi="Arial" w:cs="Arial"/>
          <w:color w:val="212529"/>
          <w:sz w:val="16"/>
          <w:szCs w:val="16"/>
        </w:rPr>
        <w:t xml:space="preserve"> </w:t>
      </w:r>
    </w:p>
  </w:footnote>
  <w:footnote w:id="63">
    <w:p w14:paraId="76A278CE" w14:textId="12187EF2" w:rsidR="00882D40" w:rsidRPr="003A0F77" w:rsidRDefault="00882D40">
      <w:pPr>
        <w:pStyle w:val="FootnoteText"/>
        <w:rPr>
          <w:rFonts w:ascii="Roboto" w:hAnsi="Roboto"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The Sun Daily. (2020) </w:t>
      </w:r>
      <w:hyperlink r:id="rId44" w:history="1">
        <w:r w:rsidRPr="00F85D8E">
          <w:rPr>
            <w:rStyle w:val="Hyperlink"/>
            <w:rFonts w:ascii="Arial" w:hAnsi="Arial" w:cs="Arial"/>
            <w:sz w:val="16"/>
            <w:szCs w:val="16"/>
          </w:rPr>
          <w:t>JAKIM lodges police report against Twitter account owner regarding Mukhayyam programme.</w:t>
        </w:r>
      </w:hyperlink>
      <w:r w:rsidRPr="003A0F77">
        <w:rPr>
          <w:rFonts w:ascii="Roboto" w:hAnsi="Roboto" w:cs="Arial"/>
          <w:color w:val="000000"/>
          <w:sz w:val="16"/>
          <w:szCs w:val="16"/>
        </w:rPr>
        <w:t xml:space="preserve"> </w:t>
      </w:r>
    </w:p>
  </w:footnote>
  <w:footnote w:id="64">
    <w:p w14:paraId="1853F482" w14:textId="1226F397" w:rsidR="00B42D96" w:rsidRPr="00F85D8E" w:rsidRDefault="00B42D96" w:rsidP="00B42D9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1) An </w:t>
      </w:r>
      <w:hyperlink r:id="rId45" w:history="1">
        <w:r w:rsidRPr="00F85D8E">
          <w:rPr>
            <w:rFonts w:ascii="Arial" w:hAnsi="Arial" w:cs="Arial"/>
            <w:color w:val="0000FF"/>
            <w:sz w:val="16"/>
            <w:szCs w:val="16"/>
            <w:u w:val="single"/>
          </w:rPr>
          <w:t>LGBT club</w:t>
        </w:r>
      </w:hyperlink>
      <w:r w:rsidRPr="00F85D8E">
        <w:rPr>
          <w:rFonts w:ascii="Arial" w:hAnsi="Arial" w:cs="Arial"/>
          <w:color w:val="000000"/>
          <w:sz w:val="16"/>
          <w:szCs w:val="16"/>
        </w:rPr>
        <w:t xml:space="preserve"> was raided in 2018, 2) A birthday party attended by trans women in Kedah was disrupted in 2020, 3) REXKL raid in October 2022, 4) A venue was cautioned by the police of prospective raids should they continue to host LGBT events, 5) An LGBT venue faced surveillance and harassment by police. 6) </w:t>
      </w:r>
      <w:hyperlink r:id="rId46" w:history="1">
        <w:r w:rsidRPr="00F85D8E">
          <w:rPr>
            <w:rFonts w:ascii="Arial" w:hAnsi="Arial" w:cs="Arial"/>
            <w:color w:val="1155CC"/>
            <w:sz w:val="16"/>
            <w:szCs w:val="16"/>
            <w:u w:val="single"/>
          </w:rPr>
          <w:t xml:space="preserve">‘Thai Hot Guy’ event </w:t>
        </w:r>
      </w:hyperlink>
      <w:r w:rsidRPr="00F85D8E">
        <w:rPr>
          <w:rFonts w:ascii="Arial" w:hAnsi="Arial" w:cs="Arial"/>
          <w:color w:val="000000"/>
          <w:sz w:val="16"/>
          <w:szCs w:val="16"/>
        </w:rPr>
        <w:t xml:space="preserve">was canceled due warning by the police in March 2023 7) an event was surveilled and organisers had to change venue two times before redesigning the event in 2023 8) an LGBT </w:t>
      </w:r>
      <w:hyperlink r:id="rId47" w:history="1">
        <w:r w:rsidRPr="00F85D8E">
          <w:rPr>
            <w:rFonts w:ascii="Arial" w:hAnsi="Arial" w:cs="Arial"/>
            <w:color w:val="1155CC"/>
            <w:sz w:val="16"/>
            <w:szCs w:val="16"/>
            <w:u w:val="single"/>
          </w:rPr>
          <w:t>beauty pageant in Melaka</w:t>
        </w:r>
      </w:hyperlink>
      <w:r w:rsidRPr="00F85D8E">
        <w:rPr>
          <w:rFonts w:ascii="Arial" w:hAnsi="Arial" w:cs="Arial"/>
          <w:color w:val="000000"/>
          <w:sz w:val="16"/>
          <w:szCs w:val="16"/>
        </w:rPr>
        <w:t xml:space="preserve"> was prohibited by the state government in July 2023   </w:t>
      </w:r>
    </w:p>
  </w:footnote>
  <w:footnote w:id="65">
    <w:p w14:paraId="4BB8145B" w14:textId="0E3CDAAE" w:rsidR="00287254" w:rsidRPr="00F85D8E" w:rsidRDefault="00287254" w:rsidP="00950F4B">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48" w:history="1">
        <w:r w:rsidRPr="00F85D8E">
          <w:rPr>
            <w:rStyle w:val="Hyperlink"/>
            <w:rFonts w:ascii="Arial" w:hAnsi="Arial" w:cs="Arial"/>
            <w:sz w:val="16"/>
            <w:szCs w:val="16"/>
          </w:rPr>
          <w:t>Surat Pekeliling Ikhtisas bil. 7/2003 : Kuasa Guru Merotan Murid</w:t>
        </w:r>
      </w:hyperlink>
      <w:r w:rsidRPr="00F85D8E">
        <w:rPr>
          <w:rFonts w:ascii="Arial" w:hAnsi="Arial" w:cs="Arial"/>
          <w:color w:val="000000"/>
          <w:sz w:val="16"/>
          <w:szCs w:val="16"/>
        </w:rPr>
        <w:t xml:space="preserve">. </w:t>
      </w:r>
    </w:p>
  </w:footnote>
  <w:footnote w:id="66">
    <w:p w14:paraId="4853399A" w14:textId="2BB7EF37" w:rsidR="00950F4B" w:rsidRPr="00F85D8E" w:rsidRDefault="00950F4B" w:rsidP="00950F4B">
      <w:pPr>
        <w:pStyle w:val="NormalWeb"/>
        <w:spacing w:before="0" w:beforeAutospacing="0" w:after="0" w:afterAutospacing="0"/>
        <w:jc w:val="both"/>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KSSM Komponen Pendidikan Jasmani Tingkatan 2. (2022). </w:t>
      </w:r>
      <w:hyperlink r:id="rId49" w:history="1">
        <w:r w:rsidRPr="00F85D8E">
          <w:rPr>
            <w:rStyle w:val="Hyperlink"/>
            <w:rFonts w:ascii="Arial" w:hAnsi="Arial" w:cs="Arial"/>
            <w:sz w:val="16"/>
            <w:szCs w:val="16"/>
          </w:rPr>
          <w:t>Pendidikan Kesihatan Reproduktif dan Seksual (PEERS)</w:t>
        </w:r>
      </w:hyperlink>
      <w:r w:rsidRPr="00F85D8E">
        <w:rPr>
          <w:rFonts w:ascii="Arial" w:hAnsi="Arial" w:cs="Arial"/>
          <w:color w:val="000000"/>
          <w:sz w:val="16"/>
          <w:szCs w:val="16"/>
        </w:rPr>
        <w:t>, pp. 99.</w:t>
      </w:r>
    </w:p>
  </w:footnote>
  <w:footnote w:id="67">
    <w:p w14:paraId="57A70F39" w14:textId="6EF7BD96" w:rsidR="00950F4B" w:rsidRPr="00F85D8E" w:rsidRDefault="00950F4B" w:rsidP="00461AAE">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hyperlink r:id="rId50" w:history="1">
        <w:r w:rsidRPr="00F85D8E">
          <w:rPr>
            <w:rStyle w:val="Hyperlink"/>
            <w:rFonts w:ascii="Arial" w:hAnsi="Arial" w:cs="Arial"/>
            <w:sz w:val="16"/>
            <w:szCs w:val="16"/>
          </w:rPr>
          <w:t>Status Report on Child Rights in Malaysia 2019,</w:t>
        </w:r>
      </w:hyperlink>
      <w:r w:rsidRPr="00F85D8E">
        <w:rPr>
          <w:rFonts w:ascii="Arial" w:hAnsi="Arial" w:cs="Arial"/>
          <w:color w:val="333E48"/>
          <w:sz w:val="16"/>
          <w:szCs w:val="16"/>
        </w:rPr>
        <w:t xml:space="preserve"> November 2020, </w:t>
      </w:r>
    </w:p>
  </w:footnote>
  <w:footnote w:id="68">
    <w:p w14:paraId="375A5A49" w14:textId="08A940D7" w:rsidR="00461AAE" w:rsidRPr="004B6B85" w:rsidRDefault="00461AAE" w:rsidP="004B6B85">
      <w:pPr>
        <w:pStyle w:val="NormalWeb"/>
        <w:spacing w:before="0" w:beforeAutospacing="0" w:after="0" w:afterAutospacing="0"/>
        <w:rPr>
          <w:rFonts w:ascii="Arial" w:hAnsi="Arial" w:cs="Arial"/>
          <w:color w:val="000000"/>
          <w:sz w:val="18"/>
          <w:szCs w:val="18"/>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SUHAKAM. (2019). </w:t>
      </w:r>
      <w:hyperlink r:id="rId51" w:history="1">
        <w:r w:rsidRPr="00F85D8E">
          <w:rPr>
            <w:rStyle w:val="Hyperlink"/>
            <w:rFonts w:ascii="Arial" w:hAnsi="Arial" w:cs="Arial"/>
            <w:sz w:val="16"/>
            <w:szCs w:val="16"/>
          </w:rPr>
          <w:t>Study on discrimination against transgender persons based in Kuala Lumpur and Selangor.</w:t>
        </w:r>
      </w:hyperlink>
      <w:r w:rsidRPr="00461AAE">
        <w:rPr>
          <w:rFonts w:ascii="Arial" w:hAnsi="Arial" w:cs="Arial"/>
          <w:color w:val="000000"/>
          <w:sz w:val="18"/>
          <w:szCs w:val="18"/>
        </w:rPr>
        <w:t xml:space="preserve"> </w:t>
      </w:r>
    </w:p>
  </w:footnote>
  <w:footnote w:id="69">
    <w:p w14:paraId="3D94EFD4" w14:textId="185F4DF6" w:rsidR="002C1891" w:rsidRPr="00F85D8E" w:rsidRDefault="002C1891" w:rsidP="00F8703B">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4B6B85" w:rsidRPr="00F85D8E">
        <w:rPr>
          <w:rFonts w:ascii="Arial" w:hAnsi="Arial" w:cs="Arial"/>
          <w:color w:val="000000"/>
          <w:sz w:val="16"/>
          <w:szCs w:val="16"/>
        </w:rPr>
        <w:t> Winter et al, (2018), Denied Work</w:t>
      </w:r>
    </w:p>
  </w:footnote>
  <w:footnote w:id="70">
    <w:p w14:paraId="33CBEA90" w14:textId="68F2A56A" w:rsidR="004B6B85" w:rsidRPr="00F85D8E" w:rsidRDefault="004B6B85">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SUHAKAM, (2019)</w:t>
      </w:r>
    </w:p>
  </w:footnote>
  <w:footnote w:id="71">
    <w:p w14:paraId="4808B00E" w14:textId="77777777" w:rsidR="000C2B74" w:rsidRPr="00F85D8E" w:rsidRDefault="000C2B74" w:rsidP="000C2B74">
      <w:pPr>
        <w:pStyle w:val="NormalWeb"/>
        <w:spacing w:before="0" w:beforeAutospacing="0" w:after="0" w:afterAutospacing="0"/>
        <w:rPr>
          <w:rFonts w:ascii="Arial" w:hAnsi="Arial" w:cs="Arial"/>
          <w:color w:val="000000"/>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ibid</w:t>
      </w:r>
    </w:p>
  </w:footnote>
  <w:footnote w:id="72">
    <w:p w14:paraId="3CBB5C2E" w14:textId="35AD6BDF" w:rsidR="003C72AE" w:rsidRPr="00DC4198" w:rsidRDefault="003C72AE" w:rsidP="00F640DE">
      <w:pPr>
        <w:pStyle w:val="NormalWeb"/>
        <w:spacing w:before="0" w:beforeAutospacing="0" w:after="0" w:afterAutospacing="0"/>
        <w:rPr>
          <w:rFonts w:ascii="Roboto" w:hAnsi="Roboto"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Justice for Sisters, (2021, July)</w:t>
      </w:r>
    </w:p>
  </w:footnote>
  <w:footnote w:id="73">
    <w:p w14:paraId="40A6BB52" w14:textId="7DE4017A" w:rsidR="008D2730" w:rsidRPr="00F85D8E" w:rsidRDefault="008D2730" w:rsidP="00A95AD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http://irep.iium.edu.my/55219/1/BOOK_GENDER IDENTITY DISORDER_LAYOUT_FA2pdf.pdf</w:t>
      </w:r>
    </w:p>
  </w:footnote>
  <w:footnote w:id="74">
    <w:p w14:paraId="7A953D21" w14:textId="60F77E95" w:rsidR="00A95AD2" w:rsidRPr="00F85D8E" w:rsidRDefault="00A95AD2" w:rsidP="00DC4198">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52" w:history="1">
        <w:r w:rsidRPr="00F85D8E">
          <w:rPr>
            <w:rStyle w:val="Hyperlink"/>
            <w:rFonts w:ascii="Arial" w:hAnsi="Arial" w:cs="Arial"/>
            <w:sz w:val="16"/>
            <w:szCs w:val="16"/>
          </w:rPr>
          <w:t>PAEDIATRIC PROTOCOLS For Malaysian Hospitals 4th Edition</w:t>
        </w:r>
      </w:hyperlink>
      <w:r w:rsidRPr="00F85D8E">
        <w:rPr>
          <w:rFonts w:ascii="Arial" w:hAnsi="Arial" w:cs="Arial"/>
          <w:color w:val="000000"/>
          <w:sz w:val="16"/>
          <w:szCs w:val="16"/>
        </w:rPr>
        <w:t xml:space="preserve"> (2019)</w:t>
      </w:r>
      <w:r w:rsidR="00DC4198" w:rsidRPr="00F85D8E">
        <w:rPr>
          <w:rFonts w:ascii="Arial" w:hAnsi="Arial" w:cs="Arial"/>
          <w:color w:val="000000"/>
          <w:sz w:val="16"/>
          <w:szCs w:val="16"/>
        </w:rPr>
        <w:t xml:space="preserve">, </w:t>
      </w:r>
      <w:r w:rsidRPr="00F85D8E">
        <w:rPr>
          <w:rFonts w:ascii="Arial" w:hAnsi="Arial" w:cs="Arial"/>
          <w:color w:val="000000"/>
          <w:sz w:val="16"/>
          <w:szCs w:val="16"/>
        </w:rPr>
        <w:t>page 322 and 323</w:t>
      </w:r>
    </w:p>
  </w:footnote>
  <w:footnote w:id="75">
    <w:p w14:paraId="04820126" w14:textId="7EC83591" w:rsidR="00801018" w:rsidRPr="00F85D8E" w:rsidRDefault="00801018" w:rsidP="00F344B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Yusof, D. (2022) </w:t>
      </w:r>
      <w:hyperlink r:id="rId53" w:history="1">
        <w:r w:rsidRPr="00F85D8E">
          <w:rPr>
            <w:rStyle w:val="Hyperlink"/>
            <w:rFonts w:ascii="Arial" w:hAnsi="Arial" w:cs="Arial"/>
            <w:sz w:val="16"/>
            <w:szCs w:val="16"/>
          </w:rPr>
          <w:t>KOM to continue with “Gender Dysphoria 2.0”</w:t>
        </w:r>
      </w:hyperlink>
      <w:r w:rsidRPr="00F85D8E">
        <w:rPr>
          <w:rFonts w:ascii="Arial" w:hAnsi="Arial" w:cs="Arial"/>
          <w:color w:val="222222"/>
          <w:sz w:val="16"/>
          <w:szCs w:val="16"/>
        </w:rPr>
        <w:t xml:space="preserve"> </w:t>
      </w:r>
    </w:p>
  </w:footnote>
  <w:footnote w:id="76">
    <w:p w14:paraId="05AB86C2" w14:textId="55043AD7" w:rsidR="00F344B2" w:rsidRPr="00F85D8E" w:rsidRDefault="00F344B2" w:rsidP="007A756A">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Universiti Sains Malaysia et al. (2022, Aug 19-21)</w:t>
      </w:r>
    </w:p>
  </w:footnote>
  <w:footnote w:id="77">
    <w:p w14:paraId="331A6D99" w14:textId="59562927" w:rsidR="007333E5" w:rsidRPr="00737B26" w:rsidRDefault="007333E5" w:rsidP="006F07F6">
      <w:pPr>
        <w:pStyle w:val="NormalWeb"/>
        <w:spacing w:before="0" w:beforeAutospacing="0" w:after="0" w:afterAutospacing="0"/>
        <w:rPr>
          <w:rFonts w:ascii="Arial" w:hAnsi="Arial" w:cs="Arial"/>
          <w:color w:val="000000"/>
          <w:sz w:val="18"/>
          <w:szCs w:val="18"/>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Vijay, A. et al., 2018, </w:t>
      </w:r>
      <w:hyperlink r:id="rId54" w:history="1">
        <w:r w:rsidRPr="00F85D8E">
          <w:rPr>
            <w:rStyle w:val="Hyperlink"/>
            <w:rFonts w:ascii="Arial" w:hAnsi="Arial" w:cs="Arial"/>
            <w:i/>
            <w:iCs/>
            <w:sz w:val="16"/>
            <w:szCs w:val="16"/>
          </w:rPr>
          <w:t>Factors Associated with Medical Doctors’ Intentions to Discriminate Against Transgender Patients in Kuala Lumpur, Malaysia</w:t>
        </w:r>
      </w:hyperlink>
      <w:r w:rsidRPr="00737B26">
        <w:rPr>
          <w:rFonts w:ascii="Arial" w:hAnsi="Arial" w:cs="Arial"/>
          <w:color w:val="000000"/>
          <w:sz w:val="18"/>
          <w:szCs w:val="18"/>
        </w:rPr>
        <w:t xml:space="preserve">  </w:t>
      </w:r>
    </w:p>
  </w:footnote>
  <w:footnote w:id="78">
    <w:p w14:paraId="12CA7583" w14:textId="3DF5B6F9" w:rsidR="006F07F6" w:rsidRPr="00F85D8E" w:rsidRDefault="006F07F6" w:rsidP="007D2050">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(2020) </w:t>
      </w:r>
    </w:p>
  </w:footnote>
  <w:footnote w:id="79">
    <w:p w14:paraId="2794E811" w14:textId="7D717AC0" w:rsidR="007D2050" w:rsidRPr="00F85D8E" w:rsidRDefault="007D2050" w:rsidP="00486708">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Justice for Sisters, (2021, July)</w:t>
      </w:r>
    </w:p>
  </w:footnote>
  <w:footnote w:id="80">
    <w:p w14:paraId="14A6DBDD" w14:textId="55F16A55" w:rsidR="007D2050" w:rsidRPr="00F85D8E" w:rsidRDefault="007D2050" w:rsidP="00486708">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486708" w:rsidRPr="00F85D8E">
        <w:rPr>
          <w:rFonts w:ascii="Arial" w:hAnsi="Arial" w:cs="Arial"/>
          <w:color w:val="000000"/>
          <w:sz w:val="16"/>
          <w:szCs w:val="16"/>
        </w:rPr>
        <w:t xml:space="preserve"> Justice for Sisters, </w:t>
      </w:r>
      <w:r w:rsidR="001F4A69" w:rsidRPr="00F85D8E">
        <w:rPr>
          <w:rFonts w:ascii="Arial" w:hAnsi="Arial" w:cs="Arial"/>
          <w:color w:val="000000"/>
          <w:sz w:val="16"/>
          <w:szCs w:val="16"/>
        </w:rPr>
        <w:t>et al</w:t>
      </w:r>
      <w:r w:rsidR="00486708" w:rsidRPr="00F85D8E">
        <w:rPr>
          <w:rFonts w:ascii="Arial" w:hAnsi="Arial" w:cs="Arial"/>
          <w:color w:val="000000"/>
          <w:sz w:val="16"/>
          <w:szCs w:val="16"/>
        </w:rPr>
        <w:t>. (2021, Dec).</w:t>
      </w:r>
    </w:p>
  </w:footnote>
  <w:footnote w:id="81">
    <w:p w14:paraId="0822A9E7" w14:textId="202B5ED7" w:rsidR="00486708" w:rsidRPr="00F85D8E" w:rsidRDefault="00486708" w:rsidP="006D70DC">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SUHAKAM. (2019). </w:t>
      </w:r>
    </w:p>
  </w:footnote>
  <w:footnote w:id="82">
    <w:p w14:paraId="5A8BE030" w14:textId="21A3FC4C" w:rsidR="006D70DC" w:rsidRPr="00F85D8E" w:rsidRDefault="006D70DC" w:rsidP="00BB3D05">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Justice for Sisters, (2021, July)</w:t>
      </w:r>
    </w:p>
  </w:footnote>
  <w:footnote w:id="83">
    <w:p w14:paraId="49ADB112" w14:textId="75D5A517" w:rsidR="00BB3D05" w:rsidRPr="00F85D8E" w:rsidRDefault="00BB3D05" w:rsidP="00167F3F">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Justice for Sisters (2020) </w:t>
      </w:r>
      <w:r w:rsidRPr="00F85D8E">
        <w:rPr>
          <w:rFonts w:ascii="Arial" w:hAnsi="Arial" w:cs="Arial"/>
          <w:i/>
          <w:iCs/>
          <w:color w:val="000000"/>
          <w:sz w:val="16"/>
          <w:szCs w:val="16"/>
        </w:rPr>
        <w:t xml:space="preserve">Monitoring Report: </w:t>
      </w:r>
      <w:r w:rsidRPr="00F85D8E">
        <w:rPr>
          <w:rFonts w:ascii="Arial" w:hAnsi="Arial" w:cs="Arial"/>
          <w:color w:val="000000"/>
          <w:sz w:val="16"/>
          <w:szCs w:val="16"/>
        </w:rPr>
        <w:t>L</w:t>
      </w:r>
      <w:r w:rsidR="00167F3F" w:rsidRPr="00F85D8E">
        <w:rPr>
          <w:rFonts w:ascii="Arial" w:hAnsi="Arial" w:cs="Arial"/>
          <w:color w:val="000000"/>
          <w:sz w:val="16"/>
          <w:szCs w:val="16"/>
        </w:rPr>
        <w:t xml:space="preserve"> </w:t>
      </w:r>
    </w:p>
  </w:footnote>
  <w:footnote w:id="84">
    <w:p w14:paraId="49CE1F6A" w14:textId="644EE8F5" w:rsidR="005827EC" w:rsidRPr="00F85D8E" w:rsidRDefault="005827EC" w:rsidP="005827EC">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r w:rsidR="00167F3F" w:rsidRPr="00F85D8E">
        <w:rPr>
          <w:rFonts w:ascii="Arial" w:hAnsi="Arial" w:cs="Arial"/>
          <w:color w:val="000000"/>
          <w:sz w:val="16"/>
          <w:szCs w:val="16"/>
        </w:rPr>
        <w:t>Justice for Sisters, et al. (2021, Dec).</w:t>
      </w:r>
    </w:p>
  </w:footnote>
  <w:footnote w:id="85">
    <w:p w14:paraId="3BA5A9A6" w14:textId="58E50072" w:rsidR="005827EC" w:rsidRPr="00167F3F" w:rsidRDefault="005827EC" w:rsidP="000020CE">
      <w:pPr>
        <w:pStyle w:val="NormalWeb"/>
        <w:spacing w:before="0" w:beforeAutospacing="0" w:after="0" w:afterAutospacing="0"/>
        <w:rPr>
          <w:rFonts w:ascii="Roboto" w:hAnsi="Roboto"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Justice for Sisters (2020) </w:t>
      </w:r>
      <w:r w:rsidRPr="00F85D8E">
        <w:rPr>
          <w:rFonts w:ascii="Arial" w:hAnsi="Arial" w:cs="Arial"/>
          <w:i/>
          <w:iCs/>
          <w:color w:val="000000"/>
          <w:sz w:val="16"/>
          <w:szCs w:val="16"/>
        </w:rPr>
        <w:t>Monitoring Report:</w:t>
      </w:r>
      <w:r w:rsidRPr="00167F3F">
        <w:rPr>
          <w:rFonts w:ascii="Roboto" w:hAnsi="Roboto" w:cs="Arial"/>
          <w:i/>
          <w:iCs/>
          <w:color w:val="000000"/>
          <w:sz w:val="16"/>
          <w:szCs w:val="16"/>
        </w:rPr>
        <w:t xml:space="preserve"> </w:t>
      </w:r>
    </w:p>
  </w:footnote>
  <w:footnote w:id="86">
    <w:p w14:paraId="678E8624" w14:textId="510343A8" w:rsidR="000020CE" w:rsidRPr="00F85D8E" w:rsidRDefault="000020CE" w:rsidP="00E33F1E">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w:t>
      </w:r>
      <w:r w:rsidR="00167F3F" w:rsidRPr="00F85D8E">
        <w:rPr>
          <w:rFonts w:ascii="Arial" w:hAnsi="Arial" w:cs="Arial"/>
          <w:color w:val="000000"/>
          <w:sz w:val="16"/>
          <w:szCs w:val="16"/>
        </w:rPr>
        <w:t>Justice for Sisters, et al. (2021, Dec)</w:t>
      </w:r>
    </w:p>
  </w:footnote>
  <w:footnote w:id="87">
    <w:p w14:paraId="43D9EC82" w14:textId="163CB1B7" w:rsidR="0022145D" w:rsidRPr="00F85D8E" w:rsidRDefault="0022145D" w:rsidP="007C5327">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007C5327" w:rsidRPr="00F85D8E">
        <w:rPr>
          <w:rFonts w:ascii="Arial" w:hAnsi="Arial" w:cs="Arial"/>
          <w:color w:val="000000"/>
          <w:sz w:val="16"/>
          <w:szCs w:val="16"/>
        </w:rPr>
        <w:t> </w:t>
      </w:r>
      <w:hyperlink r:id="rId55" w:history="1">
        <w:r w:rsidR="007C5327" w:rsidRPr="00F85D8E">
          <w:rPr>
            <w:rStyle w:val="Hyperlink"/>
            <w:rFonts w:ascii="Arial" w:hAnsi="Arial" w:cs="Arial"/>
            <w:sz w:val="16"/>
            <w:szCs w:val="16"/>
            <w:shd w:val="clear" w:color="auto" w:fill="FFFFFF"/>
          </w:rPr>
          <w:t>Have you ever had unnatural sex?” Activist slams JAWI for asking ridiculous questions during RexKL raid</w:t>
        </w:r>
      </w:hyperlink>
      <w:r w:rsidR="007C5327" w:rsidRPr="00F85D8E">
        <w:rPr>
          <w:rFonts w:ascii="Arial" w:hAnsi="Arial" w:cs="Arial"/>
          <w:color w:val="000000"/>
          <w:sz w:val="16"/>
          <w:szCs w:val="16"/>
          <w:shd w:val="clear" w:color="auto" w:fill="FFFFFF"/>
        </w:rPr>
        <w:t xml:space="preserve"> (2022) </w:t>
      </w:r>
    </w:p>
  </w:footnote>
  <w:footnote w:id="88">
    <w:p w14:paraId="29FA5556" w14:textId="55F52FD2" w:rsidR="007C5327" w:rsidRPr="00F85D8E" w:rsidRDefault="007C5327" w:rsidP="002A782F">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Human Rights Watch (2014)</w:t>
      </w:r>
      <w:r w:rsidR="00167F3F" w:rsidRPr="00F85D8E">
        <w:rPr>
          <w:rFonts w:ascii="Arial" w:hAnsi="Arial" w:cs="Arial"/>
          <w:color w:val="000000"/>
          <w:sz w:val="16"/>
          <w:szCs w:val="16"/>
        </w:rPr>
        <w:t xml:space="preserve"> </w:t>
      </w:r>
      <w:hyperlink r:id="rId56" w:history="1">
        <w:r w:rsidRPr="00F85D8E">
          <w:rPr>
            <w:rStyle w:val="Hyperlink"/>
            <w:rFonts w:ascii="Arial" w:hAnsi="Arial" w:cs="Arial"/>
            <w:sz w:val="16"/>
            <w:szCs w:val="16"/>
          </w:rPr>
          <w:t>"I’m Scared to Be a Woman" Human Rights Abuses Against Transgender People in Malaysia</w:t>
        </w:r>
      </w:hyperlink>
      <w:r w:rsidR="00167F3F" w:rsidRPr="00F85D8E">
        <w:rPr>
          <w:rFonts w:ascii="Arial" w:hAnsi="Arial" w:cs="Arial"/>
          <w:color w:val="000000"/>
          <w:sz w:val="16"/>
          <w:szCs w:val="16"/>
        </w:rPr>
        <w:t xml:space="preserve"> </w:t>
      </w:r>
    </w:p>
  </w:footnote>
  <w:footnote w:id="89">
    <w:p w14:paraId="0617EE0E" w14:textId="1AD707AC" w:rsidR="002A782F" w:rsidRPr="00F85D8E" w:rsidRDefault="002A782F" w:rsidP="00A166E5">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Zurairi A. R (2014) </w:t>
      </w:r>
      <w:hyperlink r:id="rId57" w:history="1">
        <w:r w:rsidRPr="00F85D8E">
          <w:rPr>
            <w:rStyle w:val="Hyperlink"/>
            <w:rFonts w:ascii="Arial" w:hAnsi="Arial" w:cs="Arial"/>
            <w:sz w:val="16"/>
            <w:szCs w:val="16"/>
          </w:rPr>
          <w:t>With shaved heads, Negri Sembilan transgender women opt for jail</w:t>
        </w:r>
      </w:hyperlink>
      <w:r w:rsidRPr="00F85D8E">
        <w:rPr>
          <w:rFonts w:ascii="Arial" w:hAnsi="Arial" w:cs="Arial"/>
          <w:color w:val="1A1A1A"/>
          <w:sz w:val="16"/>
          <w:szCs w:val="16"/>
        </w:rPr>
        <w:t xml:space="preserve"> </w:t>
      </w:r>
    </w:p>
  </w:footnote>
  <w:footnote w:id="90">
    <w:p w14:paraId="794B18F4" w14:textId="3F827B12" w:rsidR="00A166E5" w:rsidRPr="00F85D8E" w:rsidRDefault="00A166E5" w:rsidP="00E1019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Justice for Sisters</w:t>
      </w:r>
      <w:r w:rsidR="008B0792" w:rsidRPr="00F85D8E">
        <w:rPr>
          <w:rFonts w:ascii="Arial" w:hAnsi="Arial" w:cs="Arial"/>
          <w:color w:val="000000"/>
          <w:sz w:val="16"/>
          <w:szCs w:val="16"/>
        </w:rPr>
        <w:t>’ case monitoring in Negeri Sembilan (2014) and Terengganu</w:t>
      </w:r>
    </w:p>
  </w:footnote>
  <w:footnote w:id="91">
    <w:p w14:paraId="5440AE1C" w14:textId="79FE7337" w:rsidR="00E10192" w:rsidRPr="00F85D8E" w:rsidRDefault="00E10192" w:rsidP="00054735">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In Nur Sajat</w:t>
      </w:r>
      <w:r w:rsidR="00420A0A" w:rsidRPr="00F85D8E">
        <w:rPr>
          <w:rFonts w:ascii="Arial" w:hAnsi="Arial" w:cs="Arial"/>
          <w:color w:val="000000"/>
          <w:sz w:val="16"/>
          <w:szCs w:val="16"/>
        </w:rPr>
        <w:t xml:space="preserve"> and the </w:t>
      </w:r>
      <w:r w:rsidRPr="00F85D8E">
        <w:rPr>
          <w:rFonts w:ascii="Arial" w:hAnsi="Arial" w:cs="Arial"/>
          <w:color w:val="000000"/>
          <w:sz w:val="16"/>
          <w:szCs w:val="16"/>
        </w:rPr>
        <w:t>Section 28 case</w:t>
      </w:r>
      <w:r w:rsidR="00420A0A" w:rsidRPr="00F85D8E">
        <w:rPr>
          <w:rFonts w:ascii="Arial" w:hAnsi="Arial" w:cs="Arial"/>
          <w:color w:val="000000"/>
          <w:sz w:val="16"/>
          <w:szCs w:val="16"/>
        </w:rPr>
        <w:t>s</w:t>
      </w:r>
      <w:r w:rsidRPr="00F85D8E">
        <w:rPr>
          <w:rFonts w:ascii="Arial" w:hAnsi="Arial" w:cs="Arial"/>
          <w:color w:val="000000"/>
          <w:sz w:val="16"/>
          <w:szCs w:val="16"/>
        </w:rPr>
        <w:t>. Both cases took place in Selangor </w:t>
      </w:r>
    </w:p>
  </w:footnote>
  <w:footnote w:id="92">
    <w:p w14:paraId="332C3595" w14:textId="78A28AEE" w:rsidR="00054735" w:rsidRPr="00F85D8E" w:rsidRDefault="00054735" w:rsidP="00D53C02">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TRDI News. (2018, Sep 27). Lagi Hukuman Sebat Jenayah Syariah Terengganu. Available at: https://www.trdi.my/lagi-hukuman-sebat-jenayah-syariah-terengganu</w:t>
      </w:r>
    </w:p>
  </w:footnote>
  <w:footnote w:id="93">
    <w:p w14:paraId="09597A80" w14:textId="2946C0E1" w:rsidR="00D53C02" w:rsidRPr="00F85D8E" w:rsidRDefault="00D53C02" w:rsidP="001B708B">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Bernama (2018). </w:t>
      </w:r>
      <w:hyperlink r:id="rId58" w:history="1">
        <w:r w:rsidRPr="00F85D8E">
          <w:rPr>
            <w:rStyle w:val="Hyperlink"/>
            <w:rFonts w:ascii="Arial" w:hAnsi="Arial" w:cs="Arial"/>
            <w:sz w:val="16"/>
            <w:szCs w:val="16"/>
          </w:rPr>
          <w:t>Kes lesbian: Jangan hina, aibkan pesalah</w:t>
        </w:r>
      </w:hyperlink>
      <w:r w:rsidRPr="00F85D8E">
        <w:rPr>
          <w:rFonts w:ascii="Arial" w:hAnsi="Arial" w:cs="Arial"/>
          <w:color w:val="333333"/>
          <w:sz w:val="16"/>
          <w:szCs w:val="16"/>
        </w:rPr>
        <w:t xml:space="preserve"> - Hakim Syarie </w:t>
      </w:r>
    </w:p>
  </w:footnote>
  <w:footnote w:id="94">
    <w:p w14:paraId="75F16719" w14:textId="36F85042" w:rsidR="001B708B" w:rsidRPr="00F85D8E" w:rsidRDefault="001B708B">
      <w:pPr>
        <w:pStyle w:val="FootnoteText"/>
        <w:rPr>
          <w:rFonts w:ascii="Arial" w:hAnsi="Arial" w:cs="Arial"/>
          <w:sz w:val="16"/>
          <w:szCs w:val="16"/>
          <w:lang w:val="en-US"/>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Queer Lapis (2019) </w:t>
      </w:r>
      <w:hyperlink r:id="rId59" w:history="1">
        <w:r w:rsidRPr="00F85D8E">
          <w:rPr>
            <w:rStyle w:val="Hyperlink"/>
            <w:rFonts w:ascii="Arial" w:hAnsi="Arial" w:cs="Arial"/>
            <w:sz w:val="16"/>
            <w:szCs w:val="16"/>
          </w:rPr>
          <w:t>Conviction for Attempts of Sex Acts Points to Increasing Hostility Towards LGBTQ Persons In Malaysia</w:t>
        </w:r>
      </w:hyperlink>
      <w:r w:rsidRPr="00F85D8E">
        <w:rPr>
          <w:rFonts w:ascii="Arial" w:hAnsi="Arial" w:cs="Arial"/>
          <w:color w:val="0A0101"/>
          <w:sz w:val="16"/>
          <w:szCs w:val="16"/>
        </w:rPr>
        <w:t xml:space="preserve"> </w:t>
      </w:r>
    </w:p>
  </w:footnote>
  <w:footnote w:id="95">
    <w:p w14:paraId="17152A04" w14:textId="59E48FE6" w:rsidR="00626F42" w:rsidRPr="00F85D8E" w:rsidRDefault="00626F42" w:rsidP="009C57D6">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Queer Lapis (2019) </w:t>
      </w:r>
      <w:hyperlink r:id="rId60" w:history="1">
        <w:r w:rsidRPr="00F85D8E">
          <w:rPr>
            <w:rStyle w:val="Hyperlink"/>
            <w:rFonts w:ascii="Arial" w:hAnsi="Arial" w:cs="Arial"/>
            <w:sz w:val="16"/>
            <w:szCs w:val="16"/>
          </w:rPr>
          <w:t>11 men charged for attempting sex: what you need to know</w:t>
        </w:r>
      </w:hyperlink>
    </w:p>
  </w:footnote>
  <w:footnote w:id="96">
    <w:p w14:paraId="2D34658B" w14:textId="59CC969B" w:rsidR="00626F42" w:rsidRPr="00FF0A6A" w:rsidRDefault="00626F42" w:rsidP="009C57D6">
      <w:pPr>
        <w:pStyle w:val="NormalWeb"/>
        <w:spacing w:before="0" w:beforeAutospacing="0" w:after="0" w:afterAutospacing="0"/>
        <w:rPr>
          <w:rFonts w:ascii="Roboto" w:hAnsi="Roboto"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hyperlink r:id="rId61" w:history="1">
        <w:r w:rsidRPr="00F85D8E">
          <w:rPr>
            <w:rStyle w:val="Hyperlink"/>
            <w:rFonts w:ascii="Arial" w:hAnsi="Arial" w:cs="Arial"/>
            <w:sz w:val="16"/>
            <w:szCs w:val="16"/>
          </w:rPr>
          <w:t>Single mother sentenced to 6 months in prison and 6 strokes of the rotan for doing sex work</w:t>
        </w:r>
      </w:hyperlink>
      <w:r w:rsidRPr="00F85D8E">
        <w:rPr>
          <w:rFonts w:ascii="Arial" w:hAnsi="Arial" w:cs="Arial"/>
          <w:color w:val="333333"/>
          <w:sz w:val="16"/>
          <w:szCs w:val="16"/>
        </w:rPr>
        <w:t>(2018)</w:t>
      </w:r>
      <w:r w:rsidR="009C57D6" w:rsidRPr="00FF0A6A">
        <w:rPr>
          <w:rFonts w:ascii="Roboto" w:hAnsi="Roboto" w:cs="Arial"/>
          <w:color w:val="000000"/>
          <w:sz w:val="16"/>
          <w:szCs w:val="16"/>
        </w:rPr>
        <w:t xml:space="preserve"> </w:t>
      </w:r>
    </w:p>
  </w:footnote>
  <w:footnote w:id="97">
    <w:p w14:paraId="22AA2F0E" w14:textId="37AD12BA" w:rsidR="00751D94" w:rsidRPr="00F85D8E" w:rsidRDefault="00751D94" w:rsidP="00751D94">
      <w:pPr>
        <w:pStyle w:val="NormalWeb"/>
        <w:spacing w:before="0" w:beforeAutospacing="0" w:after="0" w:afterAutospacing="0"/>
        <w:rPr>
          <w:rFonts w:ascii="Arial" w:hAnsi="Arial" w:cs="Arial"/>
          <w:color w:val="000000"/>
          <w:sz w:val="16"/>
          <w:szCs w:val="16"/>
        </w:rPr>
      </w:pPr>
      <w:r w:rsidRPr="00F85D8E">
        <w:rPr>
          <w:rStyle w:val="FootnoteReference"/>
          <w:rFonts w:ascii="Arial" w:hAnsi="Arial" w:cs="Arial"/>
          <w:sz w:val="16"/>
          <w:szCs w:val="16"/>
        </w:rPr>
        <w:footnoteRef/>
      </w:r>
      <w:r w:rsidRPr="00F85D8E">
        <w:rPr>
          <w:rFonts w:ascii="Arial" w:hAnsi="Arial" w:cs="Arial"/>
          <w:sz w:val="16"/>
          <w:szCs w:val="16"/>
        </w:rPr>
        <w:t xml:space="preserve"> </w:t>
      </w:r>
      <w:r w:rsidRPr="00F85D8E">
        <w:rPr>
          <w:rFonts w:ascii="Arial" w:hAnsi="Arial" w:cs="Arial"/>
          <w:color w:val="000000"/>
          <w:sz w:val="16"/>
          <w:szCs w:val="16"/>
        </w:rPr>
        <w:t xml:space="preserve"> Queer Lapis (2019) </w:t>
      </w:r>
      <w:hyperlink r:id="rId62" w:history="1">
        <w:r w:rsidRPr="00F85D8E">
          <w:rPr>
            <w:rStyle w:val="Hyperlink"/>
            <w:rFonts w:ascii="Arial" w:hAnsi="Arial" w:cs="Arial"/>
            <w:sz w:val="16"/>
            <w:szCs w:val="16"/>
          </w:rPr>
          <w:t>11 men charged for attempting sex: what you need to know</w:t>
        </w:r>
      </w:hyperlink>
      <w:r w:rsidR="000403C0" w:rsidRPr="00F85D8E">
        <w:rPr>
          <w:rFonts w:ascii="Arial" w:hAnsi="Arial" w:cs="Arial"/>
          <w:color w:val="0A0101"/>
          <w:sz w:val="16"/>
          <w:szCs w:val="16"/>
        </w:rPr>
        <w:t xml:space="preserve">, JFS case monitoring </w:t>
      </w:r>
    </w:p>
    <w:p w14:paraId="6F3D2BC5" w14:textId="7F3B15C8" w:rsidR="00751D94" w:rsidRPr="00751D94" w:rsidRDefault="00751D94" w:rsidP="00751D94">
      <w:pPr>
        <w:rPr>
          <w:rFonts w:ascii="Times New Roman" w:eastAsia="Times New Roman" w:hAnsi="Times New Roman" w:cs="Times New Roman"/>
          <w:color w:val="000000"/>
          <w:kern w:val="0"/>
          <w:lang w:eastAsia="en-GB"/>
          <w14:ligatures w14:val="non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972"/>
    <w:multiLevelType w:val="multilevel"/>
    <w:tmpl w:val="AB16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23B4F"/>
    <w:multiLevelType w:val="multilevel"/>
    <w:tmpl w:val="E92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B40A4"/>
    <w:multiLevelType w:val="multilevel"/>
    <w:tmpl w:val="1056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61E6E"/>
    <w:multiLevelType w:val="multilevel"/>
    <w:tmpl w:val="585C3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326905"/>
    <w:multiLevelType w:val="multilevel"/>
    <w:tmpl w:val="7BBE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03261"/>
    <w:multiLevelType w:val="multilevel"/>
    <w:tmpl w:val="0336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472BE"/>
    <w:multiLevelType w:val="multilevel"/>
    <w:tmpl w:val="6A4C7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8F0845"/>
    <w:multiLevelType w:val="multilevel"/>
    <w:tmpl w:val="CC06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6D36C0"/>
    <w:multiLevelType w:val="multilevel"/>
    <w:tmpl w:val="2ECCAFE8"/>
    <w:lvl w:ilvl="0">
      <w:start w:val="2"/>
      <w:numFmt w:val="decimal"/>
      <w:lvlText w:val="%1"/>
      <w:lvlJc w:val="left"/>
      <w:pPr>
        <w:ind w:left="360" w:hanging="360"/>
      </w:pPr>
      <w:rPr>
        <w:rFonts w:ascii="Roboto" w:hAnsi="Roboto" w:hint="default"/>
        <w:sz w:val="20"/>
      </w:rPr>
    </w:lvl>
    <w:lvl w:ilvl="1">
      <w:start w:val="8"/>
      <w:numFmt w:val="decimal"/>
      <w:lvlText w:val="%1.%2"/>
      <w:lvlJc w:val="left"/>
      <w:pPr>
        <w:ind w:left="360" w:hanging="360"/>
      </w:pPr>
      <w:rPr>
        <w:rFonts w:ascii="Roboto" w:hAnsi="Roboto" w:hint="default"/>
        <w:sz w:val="20"/>
      </w:rPr>
    </w:lvl>
    <w:lvl w:ilvl="2">
      <w:start w:val="1"/>
      <w:numFmt w:val="decimal"/>
      <w:lvlText w:val="%1.%2.%3"/>
      <w:lvlJc w:val="left"/>
      <w:pPr>
        <w:ind w:left="720" w:hanging="720"/>
      </w:pPr>
      <w:rPr>
        <w:rFonts w:ascii="Roboto" w:hAnsi="Roboto" w:hint="default"/>
        <w:sz w:val="20"/>
      </w:rPr>
    </w:lvl>
    <w:lvl w:ilvl="3">
      <w:start w:val="1"/>
      <w:numFmt w:val="decimal"/>
      <w:lvlText w:val="%1.%2.%3.%4"/>
      <w:lvlJc w:val="left"/>
      <w:pPr>
        <w:ind w:left="720" w:hanging="720"/>
      </w:pPr>
      <w:rPr>
        <w:rFonts w:ascii="Roboto" w:hAnsi="Roboto" w:hint="default"/>
        <w:sz w:val="20"/>
      </w:rPr>
    </w:lvl>
    <w:lvl w:ilvl="4">
      <w:start w:val="1"/>
      <w:numFmt w:val="decimal"/>
      <w:lvlText w:val="%1.%2.%3.%4.%5"/>
      <w:lvlJc w:val="left"/>
      <w:pPr>
        <w:ind w:left="1080" w:hanging="1080"/>
      </w:pPr>
      <w:rPr>
        <w:rFonts w:ascii="Roboto" w:hAnsi="Roboto" w:hint="default"/>
        <w:sz w:val="20"/>
      </w:rPr>
    </w:lvl>
    <w:lvl w:ilvl="5">
      <w:start w:val="1"/>
      <w:numFmt w:val="decimal"/>
      <w:lvlText w:val="%1.%2.%3.%4.%5.%6"/>
      <w:lvlJc w:val="left"/>
      <w:pPr>
        <w:ind w:left="1080" w:hanging="1080"/>
      </w:pPr>
      <w:rPr>
        <w:rFonts w:ascii="Roboto" w:hAnsi="Roboto" w:hint="default"/>
        <w:sz w:val="20"/>
      </w:rPr>
    </w:lvl>
    <w:lvl w:ilvl="6">
      <w:start w:val="1"/>
      <w:numFmt w:val="decimal"/>
      <w:lvlText w:val="%1.%2.%3.%4.%5.%6.%7"/>
      <w:lvlJc w:val="left"/>
      <w:pPr>
        <w:ind w:left="1440" w:hanging="1440"/>
      </w:pPr>
      <w:rPr>
        <w:rFonts w:ascii="Roboto" w:hAnsi="Roboto" w:hint="default"/>
        <w:sz w:val="20"/>
      </w:rPr>
    </w:lvl>
    <w:lvl w:ilvl="7">
      <w:start w:val="1"/>
      <w:numFmt w:val="decimal"/>
      <w:lvlText w:val="%1.%2.%3.%4.%5.%6.%7.%8"/>
      <w:lvlJc w:val="left"/>
      <w:pPr>
        <w:ind w:left="1440" w:hanging="1440"/>
      </w:pPr>
      <w:rPr>
        <w:rFonts w:ascii="Roboto" w:hAnsi="Roboto" w:hint="default"/>
        <w:sz w:val="20"/>
      </w:rPr>
    </w:lvl>
    <w:lvl w:ilvl="8">
      <w:start w:val="1"/>
      <w:numFmt w:val="decimal"/>
      <w:lvlText w:val="%1.%2.%3.%4.%5.%6.%7.%8.%9"/>
      <w:lvlJc w:val="left"/>
      <w:pPr>
        <w:ind w:left="1800" w:hanging="1800"/>
      </w:pPr>
      <w:rPr>
        <w:rFonts w:ascii="Roboto" w:hAnsi="Roboto" w:hint="default"/>
        <w:sz w:val="20"/>
      </w:rPr>
    </w:lvl>
  </w:abstractNum>
  <w:abstractNum w:abstractNumId="9" w15:restartNumberingAfterBreak="0">
    <w:nsid w:val="225F41EC"/>
    <w:multiLevelType w:val="multilevel"/>
    <w:tmpl w:val="7370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200D7"/>
    <w:multiLevelType w:val="multilevel"/>
    <w:tmpl w:val="D9541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35F1E"/>
    <w:multiLevelType w:val="multilevel"/>
    <w:tmpl w:val="A8B6D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161F4B"/>
    <w:multiLevelType w:val="multilevel"/>
    <w:tmpl w:val="49CCA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FF0C6B"/>
    <w:multiLevelType w:val="multilevel"/>
    <w:tmpl w:val="1F32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117ADB"/>
    <w:multiLevelType w:val="multilevel"/>
    <w:tmpl w:val="071E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DB4F43"/>
    <w:multiLevelType w:val="multilevel"/>
    <w:tmpl w:val="F132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A4F57"/>
    <w:multiLevelType w:val="multilevel"/>
    <w:tmpl w:val="FF96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217C2"/>
    <w:multiLevelType w:val="multilevel"/>
    <w:tmpl w:val="4712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22AEC"/>
    <w:multiLevelType w:val="multilevel"/>
    <w:tmpl w:val="9AAE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0376BD"/>
    <w:multiLevelType w:val="multilevel"/>
    <w:tmpl w:val="14462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F2F75"/>
    <w:multiLevelType w:val="multilevel"/>
    <w:tmpl w:val="ACCC9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783461"/>
    <w:multiLevelType w:val="multilevel"/>
    <w:tmpl w:val="6ED0A534"/>
    <w:lvl w:ilvl="0">
      <w:start w:val="2"/>
      <w:numFmt w:val="decimal"/>
      <w:lvlText w:val="%1"/>
      <w:lvlJc w:val="left"/>
      <w:pPr>
        <w:ind w:left="360" w:hanging="360"/>
      </w:pPr>
      <w:rPr>
        <w:rFonts w:ascii="Roboto" w:hAnsi="Roboto" w:hint="default"/>
        <w:sz w:val="20"/>
      </w:rPr>
    </w:lvl>
    <w:lvl w:ilvl="1">
      <w:start w:val="6"/>
      <w:numFmt w:val="decimal"/>
      <w:lvlText w:val="%1.%2"/>
      <w:lvlJc w:val="left"/>
      <w:pPr>
        <w:ind w:left="360" w:hanging="360"/>
      </w:pPr>
      <w:rPr>
        <w:rFonts w:ascii="Roboto" w:hAnsi="Roboto" w:hint="default"/>
        <w:sz w:val="20"/>
      </w:rPr>
    </w:lvl>
    <w:lvl w:ilvl="2">
      <w:start w:val="1"/>
      <w:numFmt w:val="decimal"/>
      <w:lvlText w:val="%1.%2.%3"/>
      <w:lvlJc w:val="left"/>
      <w:pPr>
        <w:ind w:left="720" w:hanging="720"/>
      </w:pPr>
      <w:rPr>
        <w:rFonts w:ascii="Roboto" w:hAnsi="Roboto" w:hint="default"/>
        <w:sz w:val="20"/>
      </w:rPr>
    </w:lvl>
    <w:lvl w:ilvl="3">
      <w:start w:val="1"/>
      <w:numFmt w:val="decimal"/>
      <w:lvlText w:val="%1.%2.%3.%4"/>
      <w:lvlJc w:val="left"/>
      <w:pPr>
        <w:ind w:left="720" w:hanging="720"/>
      </w:pPr>
      <w:rPr>
        <w:rFonts w:ascii="Roboto" w:hAnsi="Roboto" w:hint="default"/>
        <w:sz w:val="20"/>
      </w:rPr>
    </w:lvl>
    <w:lvl w:ilvl="4">
      <w:start w:val="1"/>
      <w:numFmt w:val="decimal"/>
      <w:lvlText w:val="%1.%2.%3.%4.%5"/>
      <w:lvlJc w:val="left"/>
      <w:pPr>
        <w:ind w:left="1080" w:hanging="1080"/>
      </w:pPr>
      <w:rPr>
        <w:rFonts w:ascii="Roboto" w:hAnsi="Roboto" w:hint="default"/>
        <w:sz w:val="20"/>
      </w:rPr>
    </w:lvl>
    <w:lvl w:ilvl="5">
      <w:start w:val="1"/>
      <w:numFmt w:val="decimal"/>
      <w:lvlText w:val="%1.%2.%3.%4.%5.%6"/>
      <w:lvlJc w:val="left"/>
      <w:pPr>
        <w:ind w:left="1080" w:hanging="1080"/>
      </w:pPr>
      <w:rPr>
        <w:rFonts w:ascii="Roboto" w:hAnsi="Roboto" w:hint="default"/>
        <w:sz w:val="20"/>
      </w:rPr>
    </w:lvl>
    <w:lvl w:ilvl="6">
      <w:start w:val="1"/>
      <w:numFmt w:val="decimal"/>
      <w:lvlText w:val="%1.%2.%3.%4.%5.%6.%7"/>
      <w:lvlJc w:val="left"/>
      <w:pPr>
        <w:ind w:left="1440" w:hanging="1440"/>
      </w:pPr>
      <w:rPr>
        <w:rFonts w:ascii="Roboto" w:hAnsi="Roboto" w:hint="default"/>
        <w:sz w:val="20"/>
      </w:rPr>
    </w:lvl>
    <w:lvl w:ilvl="7">
      <w:start w:val="1"/>
      <w:numFmt w:val="decimal"/>
      <w:lvlText w:val="%1.%2.%3.%4.%5.%6.%7.%8"/>
      <w:lvlJc w:val="left"/>
      <w:pPr>
        <w:ind w:left="1440" w:hanging="1440"/>
      </w:pPr>
      <w:rPr>
        <w:rFonts w:ascii="Roboto" w:hAnsi="Roboto" w:hint="default"/>
        <w:sz w:val="20"/>
      </w:rPr>
    </w:lvl>
    <w:lvl w:ilvl="8">
      <w:start w:val="1"/>
      <w:numFmt w:val="decimal"/>
      <w:lvlText w:val="%1.%2.%3.%4.%5.%6.%7.%8.%9"/>
      <w:lvlJc w:val="left"/>
      <w:pPr>
        <w:ind w:left="1800" w:hanging="1800"/>
      </w:pPr>
      <w:rPr>
        <w:rFonts w:ascii="Roboto" w:hAnsi="Roboto" w:hint="default"/>
        <w:sz w:val="20"/>
      </w:rPr>
    </w:lvl>
  </w:abstractNum>
  <w:abstractNum w:abstractNumId="22" w15:restartNumberingAfterBreak="0">
    <w:nsid w:val="55D34DB7"/>
    <w:multiLevelType w:val="multilevel"/>
    <w:tmpl w:val="7C12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F82287"/>
    <w:multiLevelType w:val="multilevel"/>
    <w:tmpl w:val="96C6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6C49A1"/>
    <w:multiLevelType w:val="multilevel"/>
    <w:tmpl w:val="E03A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0172F"/>
    <w:multiLevelType w:val="multilevel"/>
    <w:tmpl w:val="13B2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BC727A"/>
    <w:multiLevelType w:val="multilevel"/>
    <w:tmpl w:val="2646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FC6FFF"/>
    <w:multiLevelType w:val="multilevel"/>
    <w:tmpl w:val="B2866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6B18C8"/>
    <w:multiLevelType w:val="multilevel"/>
    <w:tmpl w:val="DB98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F256C0"/>
    <w:multiLevelType w:val="multilevel"/>
    <w:tmpl w:val="A7222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DD4210"/>
    <w:multiLevelType w:val="multilevel"/>
    <w:tmpl w:val="4C36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2C03AF"/>
    <w:multiLevelType w:val="multilevel"/>
    <w:tmpl w:val="019A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0785849">
    <w:abstractNumId w:val="25"/>
  </w:num>
  <w:num w:numId="2" w16cid:durableId="1071349309">
    <w:abstractNumId w:val="5"/>
  </w:num>
  <w:num w:numId="3" w16cid:durableId="1028094616">
    <w:abstractNumId w:val="20"/>
  </w:num>
  <w:num w:numId="4" w16cid:durableId="1771314249">
    <w:abstractNumId w:val="20"/>
    <w:lvlOverride w:ilvl="1">
      <w:lvl w:ilvl="1">
        <w:numFmt w:val="bullet"/>
        <w:lvlText w:val=""/>
        <w:lvlJc w:val="left"/>
        <w:pPr>
          <w:tabs>
            <w:tab w:val="num" w:pos="1440"/>
          </w:tabs>
          <w:ind w:left="1440" w:hanging="360"/>
        </w:pPr>
        <w:rPr>
          <w:rFonts w:ascii="Symbol" w:hAnsi="Symbol" w:hint="default"/>
          <w:sz w:val="20"/>
        </w:rPr>
      </w:lvl>
    </w:lvlOverride>
  </w:num>
  <w:num w:numId="5" w16cid:durableId="963922558">
    <w:abstractNumId w:val="20"/>
    <w:lvlOverride w:ilvl="1">
      <w:lvl w:ilvl="1">
        <w:numFmt w:val="bullet"/>
        <w:lvlText w:val=""/>
        <w:lvlJc w:val="left"/>
        <w:pPr>
          <w:tabs>
            <w:tab w:val="num" w:pos="1440"/>
          </w:tabs>
          <w:ind w:left="1440" w:hanging="360"/>
        </w:pPr>
        <w:rPr>
          <w:rFonts w:ascii="Symbol" w:hAnsi="Symbol" w:hint="default"/>
          <w:sz w:val="20"/>
        </w:rPr>
      </w:lvl>
    </w:lvlOverride>
  </w:num>
  <w:num w:numId="6" w16cid:durableId="1630747862">
    <w:abstractNumId w:val="23"/>
  </w:num>
  <w:num w:numId="7" w16cid:durableId="1652060113">
    <w:abstractNumId w:val="10"/>
  </w:num>
  <w:num w:numId="8" w16cid:durableId="276108540">
    <w:abstractNumId w:val="10"/>
    <w:lvlOverride w:ilvl="1">
      <w:lvl w:ilvl="1">
        <w:numFmt w:val="bullet"/>
        <w:lvlText w:val=""/>
        <w:lvlJc w:val="left"/>
        <w:pPr>
          <w:tabs>
            <w:tab w:val="num" w:pos="1440"/>
          </w:tabs>
          <w:ind w:left="1440" w:hanging="360"/>
        </w:pPr>
        <w:rPr>
          <w:rFonts w:ascii="Symbol" w:hAnsi="Symbol" w:hint="default"/>
          <w:sz w:val="20"/>
        </w:rPr>
      </w:lvl>
    </w:lvlOverride>
  </w:num>
  <w:num w:numId="9" w16cid:durableId="840121245">
    <w:abstractNumId w:val="10"/>
    <w:lvlOverride w:ilvl="1">
      <w:lvl w:ilvl="1">
        <w:numFmt w:val="bullet"/>
        <w:lvlText w:val=""/>
        <w:lvlJc w:val="left"/>
        <w:pPr>
          <w:tabs>
            <w:tab w:val="num" w:pos="1440"/>
          </w:tabs>
          <w:ind w:left="1440" w:hanging="360"/>
        </w:pPr>
        <w:rPr>
          <w:rFonts w:ascii="Symbol" w:hAnsi="Symbol" w:hint="default"/>
          <w:sz w:val="20"/>
        </w:rPr>
      </w:lvl>
    </w:lvlOverride>
  </w:num>
  <w:num w:numId="10" w16cid:durableId="186524218">
    <w:abstractNumId w:val="31"/>
  </w:num>
  <w:num w:numId="11" w16cid:durableId="1435902325">
    <w:abstractNumId w:val="18"/>
  </w:num>
  <w:num w:numId="12" w16cid:durableId="643582085">
    <w:abstractNumId w:val="16"/>
  </w:num>
  <w:num w:numId="13" w16cid:durableId="1011643776">
    <w:abstractNumId w:val="22"/>
  </w:num>
  <w:num w:numId="14" w16cid:durableId="1216238800">
    <w:abstractNumId w:val="2"/>
  </w:num>
  <w:num w:numId="15" w16cid:durableId="1286234580">
    <w:abstractNumId w:val="26"/>
  </w:num>
  <w:num w:numId="16" w16cid:durableId="776218976">
    <w:abstractNumId w:val="24"/>
  </w:num>
  <w:num w:numId="17" w16cid:durableId="1728916063">
    <w:abstractNumId w:val="0"/>
  </w:num>
  <w:num w:numId="18" w16cid:durableId="1495873423">
    <w:abstractNumId w:val="15"/>
  </w:num>
  <w:num w:numId="19" w16cid:durableId="862548236">
    <w:abstractNumId w:val="14"/>
  </w:num>
  <w:num w:numId="20" w16cid:durableId="1370373345">
    <w:abstractNumId w:val="13"/>
  </w:num>
  <w:num w:numId="21" w16cid:durableId="1000281202">
    <w:abstractNumId w:val="12"/>
  </w:num>
  <w:num w:numId="22" w16cid:durableId="586614145">
    <w:abstractNumId w:val="6"/>
  </w:num>
  <w:num w:numId="23" w16cid:durableId="1043291748">
    <w:abstractNumId w:val="19"/>
  </w:num>
  <w:num w:numId="24" w16cid:durableId="1015611775">
    <w:abstractNumId w:val="29"/>
  </w:num>
  <w:num w:numId="25" w16cid:durableId="1617785417">
    <w:abstractNumId w:val="7"/>
  </w:num>
  <w:num w:numId="26" w16cid:durableId="925111886">
    <w:abstractNumId w:val="9"/>
  </w:num>
  <w:num w:numId="27" w16cid:durableId="322903435">
    <w:abstractNumId w:val="27"/>
  </w:num>
  <w:num w:numId="28" w16cid:durableId="1023170725">
    <w:abstractNumId w:val="1"/>
  </w:num>
  <w:num w:numId="29" w16cid:durableId="1209873107">
    <w:abstractNumId w:val="4"/>
  </w:num>
  <w:num w:numId="30" w16cid:durableId="1125351138">
    <w:abstractNumId w:val="3"/>
  </w:num>
  <w:num w:numId="31" w16cid:durableId="384649105">
    <w:abstractNumId w:val="30"/>
  </w:num>
  <w:num w:numId="32" w16cid:durableId="470024474">
    <w:abstractNumId w:val="17"/>
  </w:num>
  <w:num w:numId="33" w16cid:durableId="1841772191">
    <w:abstractNumId w:val="28"/>
  </w:num>
  <w:num w:numId="34" w16cid:durableId="709109765">
    <w:abstractNumId w:val="11"/>
  </w:num>
  <w:num w:numId="35" w16cid:durableId="1847162823">
    <w:abstractNumId w:val="8"/>
  </w:num>
  <w:num w:numId="36" w16cid:durableId="7918250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B2"/>
    <w:rsid w:val="000007B0"/>
    <w:rsid w:val="000020CE"/>
    <w:rsid w:val="00007F07"/>
    <w:rsid w:val="000164EB"/>
    <w:rsid w:val="000170DA"/>
    <w:rsid w:val="00023F37"/>
    <w:rsid w:val="0003210A"/>
    <w:rsid w:val="000325C9"/>
    <w:rsid w:val="000403C0"/>
    <w:rsid w:val="00054735"/>
    <w:rsid w:val="00056026"/>
    <w:rsid w:val="00076C87"/>
    <w:rsid w:val="00077551"/>
    <w:rsid w:val="000A007D"/>
    <w:rsid w:val="000A1989"/>
    <w:rsid w:val="000A6E24"/>
    <w:rsid w:val="000B38F3"/>
    <w:rsid w:val="000C2B74"/>
    <w:rsid w:val="000D23B5"/>
    <w:rsid w:val="000D3F3F"/>
    <w:rsid w:val="000D75E8"/>
    <w:rsid w:val="000D7A87"/>
    <w:rsid w:val="000E02A4"/>
    <w:rsid w:val="000E0D53"/>
    <w:rsid w:val="00101C4D"/>
    <w:rsid w:val="00106534"/>
    <w:rsid w:val="00134E11"/>
    <w:rsid w:val="001412E9"/>
    <w:rsid w:val="00142F38"/>
    <w:rsid w:val="00144520"/>
    <w:rsid w:val="00153BF7"/>
    <w:rsid w:val="00155312"/>
    <w:rsid w:val="00155C16"/>
    <w:rsid w:val="0016429B"/>
    <w:rsid w:val="001652BD"/>
    <w:rsid w:val="00167C10"/>
    <w:rsid w:val="00167F3F"/>
    <w:rsid w:val="00172109"/>
    <w:rsid w:val="00177C59"/>
    <w:rsid w:val="001807D5"/>
    <w:rsid w:val="00187D36"/>
    <w:rsid w:val="001A4726"/>
    <w:rsid w:val="001B708B"/>
    <w:rsid w:val="001C1F53"/>
    <w:rsid w:val="001C3351"/>
    <w:rsid w:val="001C3D18"/>
    <w:rsid w:val="001D2F8A"/>
    <w:rsid w:val="001E0A34"/>
    <w:rsid w:val="001E1C67"/>
    <w:rsid w:val="001E4611"/>
    <w:rsid w:val="001F4A69"/>
    <w:rsid w:val="001F7A7B"/>
    <w:rsid w:val="002035D1"/>
    <w:rsid w:val="00203C34"/>
    <w:rsid w:val="002068B8"/>
    <w:rsid w:val="0021762D"/>
    <w:rsid w:val="0022145D"/>
    <w:rsid w:val="00234470"/>
    <w:rsid w:val="00244B4E"/>
    <w:rsid w:val="00247F56"/>
    <w:rsid w:val="00252CD4"/>
    <w:rsid w:val="00261F60"/>
    <w:rsid w:val="00264647"/>
    <w:rsid w:val="00273055"/>
    <w:rsid w:val="00281A4A"/>
    <w:rsid w:val="002828C0"/>
    <w:rsid w:val="00285AE2"/>
    <w:rsid w:val="00287254"/>
    <w:rsid w:val="002A556D"/>
    <w:rsid w:val="002A782F"/>
    <w:rsid w:val="002C1891"/>
    <w:rsid w:val="002C49D8"/>
    <w:rsid w:val="002C7469"/>
    <w:rsid w:val="002D6F1B"/>
    <w:rsid w:val="002D7E9F"/>
    <w:rsid w:val="002F0EA9"/>
    <w:rsid w:val="002F4B99"/>
    <w:rsid w:val="003035DB"/>
    <w:rsid w:val="00312A11"/>
    <w:rsid w:val="00314732"/>
    <w:rsid w:val="0031624E"/>
    <w:rsid w:val="0032632A"/>
    <w:rsid w:val="00343270"/>
    <w:rsid w:val="00354584"/>
    <w:rsid w:val="0035732D"/>
    <w:rsid w:val="00357B82"/>
    <w:rsid w:val="00363312"/>
    <w:rsid w:val="003713BD"/>
    <w:rsid w:val="00387C67"/>
    <w:rsid w:val="00391A6D"/>
    <w:rsid w:val="00393FF1"/>
    <w:rsid w:val="003951B2"/>
    <w:rsid w:val="00396B7F"/>
    <w:rsid w:val="003A0F77"/>
    <w:rsid w:val="003C0779"/>
    <w:rsid w:val="003C32A4"/>
    <w:rsid w:val="003C72AE"/>
    <w:rsid w:val="003E1657"/>
    <w:rsid w:val="003E1F38"/>
    <w:rsid w:val="003E6746"/>
    <w:rsid w:val="003E69FC"/>
    <w:rsid w:val="003E75DA"/>
    <w:rsid w:val="003F1C47"/>
    <w:rsid w:val="00402288"/>
    <w:rsid w:val="00417CB0"/>
    <w:rsid w:val="00420A0A"/>
    <w:rsid w:val="00427BB6"/>
    <w:rsid w:val="00441E7A"/>
    <w:rsid w:val="00445786"/>
    <w:rsid w:val="004465D1"/>
    <w:rsid w:val="0044693B"/>
    <w:rsid w:val="004524BE"/>
    <w:rsid w:val="0045273C"/>
    <w:rsid w:val="00454F8E"/>
    <w:rsid w:val="00456149"/>
    <w:rsid w:val="00460943"/>
    <w:rsid w:val="00461AAE"/>
    <w:rsid w:val="00466236"/>
    <w:rsid w:val="00473CE5"/>
    <w:rsid w:val="00475641"/>
    <w:rsid w:val="004758E2"/>
    <w:rsid w:val="00477D9E"/>
    <w:rsid w:val="00483922"/>
    <w:rsid w:val="00486708"/>
    <w:rsid w:val="00487D47"/>
    <w:rsid w:val="00491706"/>
    <w:rsid w:val="004A0348"/>
    <w:rsid w:val="004A195C"/>
    <w:rsid w:val="004A44AE"/>
    <w:rsid w:val="004B167D"/>
    <w:rsid w:val="004B3D86"/>
    <w:rsid w:val="004B3F29"/>
    <w:rsid w:val="004B6B85"/>
    <w:rsid w:val="004B6BDF"/>
    <w:rsid w:val="004C4E81"/>
    <w:rsid w:val="004D02CE"/>
    <w:rsid w:val="004D0C1C"/>
    <w:rsid w:val="004D468F"/>
    <w:rsid w:val="004D60FD"/>
    <w:rsid w:val="004D7697"/>
    <w:rsid w:val="004E50D5"/>
    <w:rsid w:val="004E5F9B"/>
    <w:rsid w:val="00500E10"/>
    <w:rsid w:val="00507C7D"/>
    <w:rsid w:val="00525F57"/>
    <w:rsid w:val="00532172"/>
    <w:rsid w:val="00543660"/>
    <w:rsid w:val="0055123A"/>
    <w:rsid w:val="00554068"/>
    <w:rsid w:val="0055658B"/>
    <w:rsid w:val="005569C6"/>
    <w:rsid w:val="00562F1C"/>
    <w:rsid w:val="00564F6E"/>
    <w:rsid w:val="005659AC"/>
    <w:rsid w:val="00572701"/>
    <w:rsid w:val="005827EC"/>
    <w:rsid w:val="00584569"/>
    <w:rsid w:val="00587C02"/>
    <w:rsid w:val="00590C2D"/>
    <w:rsid w:val="00592FD7"/>
    <w:rsid w:val="005A3240"/>
    <w:rsid w:val="005B1B58"/>
    <w:rsid w:val="005B1CFC"/>
    <w:rsid w:val="005B4258"/>
    <w:rsid w:val="005B6B67"/>
    <w:rsid w:val="005D067C"/>
    <w:rsid w:val="005D4753"/>
    <w:rsid w:val="005D4A55"/>
    <w:rsid w:val="005D5DC9"/>
    <w:rsid w:val="005E1962"/>
    <w:rsid w:val="005E26B0"/>
    <w:rsid w:val="005E2E40"/>
    <w:rsid w:val="00613D53"/>
    <w:rsid w:val="00624A1C"/>
    <w:rsid w:val="00625948"/>
    <w:rsid w:val="00626F42"/>
    <w:rsid w:val="006372E8"/>
    <w:rsid w:val="00646AE6"/>
    <w:rsid w:val="006605CD"/>
    <w:rsid w:val="00661332"/>
    <w:rsid w:val="00676AD9"/>
    <w:rsid w:val="0068228C"/>
    <w:rsid w:val="006955E9"/>
    <w:rsid w:val="006A0150"/>
    <w:rsid w:val="006B1487"/>
    <w:rsid w:val="006B4DCA"/>
    <w:rsid w:val="006C1EAB"/>
    <w:rsid w:val="006C3E61"/>
    <w:rsid w:val="006C57E2"/>
    <w:rsid w:val="006C5F04"/>
    <w:rsid w:val="006D3CEA"/>
    <w:rsid w:val="006D70DC"/>
    <w:rsid w:val="006F07F6"/>
    <w:rsid w:val="006F71BE"/>
    <w:rsid w:val="00700F7D"/>
    <w:rsid w:val="00723965"/>
    <w:rsid w:val="007262E1"/>
    <w:rsid w:val="007333E5"/>
    <w:rsid w:val="00733E7B"/>
    <w:rsid w:val="00737B26"/>
    <w:rsid w:val="00740487"/>
    <w:rsid w:val="00747383"/>
    <w:rsid w:val="00751D94"/>
    <w:rsid w:val="00753CA1"/>
    <w:rsid w:val="0076295F"/>
    <w:rsid w:val="00774121"/>
    <w:rsid w:val="0077599C"/>
    <w:rsid w:val="00783EB3"/>
    <w:rsid w:val="0078673E"/>
    <w:rsid w:val="007A538E"/>
    <w:rsid w:val="007A756A"/>
    <w:rsid w:val="007C5327"/>
    <w:rsid w:val="007D1679"/>
    <w:rsid w:val="007D2050"/>
    <w:rsid w:val="007D24F7"/>
    <w:rsid w:val="007E25FE"/>
    <w:rsid w:val="007E5166"/>
    <w:rsid w:val="007E6B62"/>
    <w:rsid w:val="00801018"/>
    <w:rsid w:val="00801EF9"/>
    <w:rsid w:val="00801FE2"/>
    <w:rsid w:val="00803CE8"/>
    <w:rsid w:val="00807646"/>
    <w:rsid w:val="00812438"/>
    <w:rsid w:val="00812660"/>
    <w:rsid w:val="00814D30"/>
    <w:rsid w:val="008262D6"/>
    <w:rsid w:val="00826A49"/>
    <w:rsid w:val="00847D72"/>
    <w:rsid w:val="008557F8"/>
    <w:rsid w:val="00857308"/>
    <w:rsid w:val="00863425"/>
    <w:rsid w:val="00867B94"/>
    <w:rsid w:val="00882D40"/>
    <w:rsid w:val="00883B9C"/>
    <w:rsid w:val="008850F4"/>
    <w:rsid w:val="008944F2"/>
    <w:rsid w:val="00896AD5"/>
    <w:rsid w:val="008A01CB"/>
    <w:rsid w:val="008A12ED"/>
    <w:rsid w:val="008A3A66"/>
    <w:rsid w:val="008A4181"/>
    <w:rsid w:val="008B0369"/>
    <w:rsid w:val="008B0792"/>
    <w:rsid w:val="008B7D81"/>
    <w:rsid w:val="008D2730"/>
    <w:rsid w:val="008D3B3D"/>
    <w:rsid w:val="008E7489"/>
    <w:rsid w:val="00902A26"/>
    <w:rsid w:val="00903092"/>
    <w:rsid w:val="009033EC"/>
    <w:rsid w:val="00907D5E"/>
    <w:rsid w:val="00911DA0"/>
    <w:rsid w:val="00914315"/>
    <w:rsid w:val="009165BD"/>
    <w:rsid w:val="009313B2"/>
    <w:rsid w:val="00931C1D"/>
    <w:rsid w:val="00937080"/>
    <w:rsid w:val="0094400A"/>
    <w:rsid w:val="00950F4B"/>
    <w:rsid w:val="0095557C"/>
    <w:rsid w:val="0095648A"/>
    <w:rsid w:val="00972440"/>
    <w:rsid w:val="00982CE8"/>
    <w:rsid w:val="009A35DD"/>
    <w:rsid w:val="009A3DBD"/>
    <w:rsid w:val="009A6B8C"/>
    <w:rsid w:val="009B4253"/>
    <w:rsid w:val="009B42E8"/>
    <w:rsid w:val="009B72D6"/>
    <w:rsid w:val="009C22B3"/>
    <w:rsid w:val="009C57D6"/>
    <w:rsid w:val="009D3B5E"/>
    <w:rsid w:val="009E69AA"/>
    <w:rsid w:val="009E70B7"/>
    <w:rsid w:val="009F1E0E"/>
    <w:rsid w:val="009F41D4"/>
    <w:rsid w:val="009F7CB5"/>
    <w:rsid w:val="00A031D1"/>
    <w:rsid w:val="00A111D7"/>
    <w:rsid w:val="00A11FB7"/>
    <w:rsid w:val="00A13C92"/>
    <w:rsid w:val="00A166E5"/>
    <w:rsid w:val="00A23576"/>
    <w:rsid w:val="00A409B8"/>
    <w:rsid w:val="00A43838"/>
    <w:rsid w:val="00A63252"/>
    <w:rsid w:val="00A730BD"/>
    <w:rsid w:val="00A7538A"/>
    <w:rsid w:val="00A77EB8"/>
    <w:rsid w:val="00A82FF8"/>
    <w:rsid w:val="00A85629"/>
    <w:rsid w:val="00A916CD"/>
    <w:rsid w:val="00A9185A"/>
    <w:rsid w:val="00A94FAE"/>
    <w:rsid w:val="00A95AD2"/>
    <w:rsid w:val="00A95AF5"/>
    <w:rsid w:val="00AA2BE9"/>
    <w:rsid w:val="00AB3D1B"/>
    <w:rsid w:val="00AB593B"/>
    <w:rsid w:val="00AB76A4"/>
    <w:rsid w:val="00AC0523"/>
    <w:rsid w:val="00AC7313"/>
    <w:rsid w:val="00AE63E0"/>
    <w:rsid w:val="00AE7145"/>
    <w:rsid w:val="00AF5767"/>
    <w:rsid w:val="00B00D97"/>
    <w:rsid w:val="00B02807"/>
    <w:rsid w:val="00B036CD"/>
    <w:rsid w:val="00B240E7"/>
    <w:rsid w:val="00B26434"/>
    <w:rsid w:val="00B359F1"/>
    <w:rsid w:val="00B406D2"/>
    <w:rsid w:val="00B42D96"/>
    <w:rsid w:val="00B461C9"/>
    <w:rsid w:val="00B624C4"/>
    <w:rsid w:val="00B67AB5"/>
    <w:rsid w:val="00B80745"/>
    <w:rsid w:val="00B9072B"/>
    <w:rsid w:val="00BA1423"/>
    <w:rsid w:val="00BA5C2A"/>
    <w:rsid w:val="00BA77B4"/>
    <w:rsid w:val="00BB1E4B"/>
    <w:rsid w:val="00BB3D05"/>
    <w:rsid w:val="00BB72B2"/>
    <w:rsid w:val="00BB7A36"/>
    <w:rsid w:val="00BC31CE"/>
    <w:rsid w:val="00BC5C02"/>
    <w:rsid w:val="00BD4B94"/>
    <w:rsid w:val="00BE5AF3"/>
    <w:rsid w:val="00BF09C2"/>
    <w:rsid w:val="00BF1D08"/>
    <w:rsid w:val="00C261A8"/>
    <w:rsid w:val="00C30426"/>
    <w:rsid w:val="00C4354C"/>
    <w:rsid w:val="00C4559B"/>
    <w:rsid w:val="00C46895"/>
    <w:rsid w:val="00C4733E"/>
    <w:rsid w:val="00C47F9A"/>
    <w:rsid w:val="00C52E11"/>
    <w:rsid w:val="00C557E2"/>
    <w:rsid w:val="00C570B8"/>
    <w:rsid w:val="00C576D4"/>
    <w:rsid w:val="00C76AF1"/>
    <w:rsid w:val="00C77D98"/>
    <w:rsid w:val="00C81990"/>
    <w:rsid w:val="00C907BB"/>
    <w:rsid w:val="00C925F4"/>
    <w:rsid w:val="00C936FA"/>
    <w:rsid w:val="00CA0597"/>
    <w:rsid w:val="00CA45A6"/>
    <w:rsid w:val="00CB348C"/>
    <w:rsid w:val="00CC0F57"/>
    <w:rsid w:val="00CC2778"/>
    <w:rsid w:val="00CC497D"/>
    <w:rsid w:val="00CC5B89"/>
    <w:rsid w:val="00CD4C27"/>
    <w:rsid w:val="00CF4345"/>
    <w:rsid w:val="00CF5061"/>
    <w:rsid w:val="00CF549C"/>
    <w:rsid w:val="00D11692"/>
    <w:rsid w:val="00D12B5B"/>
    <w:rsid w:val="00D15564"/>
    <w:rsid w:val="00D229C7"/>
    <w:rsid w:val="00D27495"/>
    <w:rsid w:val="00D53C02"/>
    <w:rsid w:val="00D724A6"/>
    <w:rsid w:val="00D849A5"/>
    <w:rsid w:val="00D85846"/>
    <w:rsid w:val="00D92197"/>
    <w:rsid w:val="00D93346"/>
    <w:rsid w:val="00D9457C"/>
    <w:rsid w:val="00D96CA8"/>
    <w:rsid w:val="00DB1150"/>
    <w:rsid w:val="00DB3A50"/>
    <w:rsid w:val="00DC4198"/>
    <w:rsid w:val="00DD55B5"/>
    <w:rsid w:val="00DE25DA"/>
    <w:rsid w:val="00DE3C6D"/>
    <w:rsid w:val="00DF1311"/>
    <w:rsid w:val="00DF1FC0"/>
    <w:rsid w:val="00DF69F3"/>
    <w:rsid w:val="00E039EC"/>
    <w:rsid w:val="00E0649F"/>
    <w:rsid w:val="00E10192"/>
    <w:rsid w:val="00E14375"/>
    <w:rsid w:val="00E14EE5"/>
    <w:rsid w:val="00E159B9"/>
    <w:rsid w:val="00E2679F"/>
    <w:rsid w:val="00E271F3"/>
    <w:rsid w:val="00E32AE4"/>
    <w:rsid w:val="00E33F1E"/>
    <w:rsid w:val="00E35EAC"/>
    <w:rsid w:val="00E428B4"/>
    <w:rsid w:val="00E461C4"/>
    <w:rsid w:val="00E473F4"/>
    <w:rsid w:val="00E53F9F"/>
    <w:rsid w:val="00E66669"/>
    <w:rsid w:val="00E74022"/>
    <w:rsid w:val="00E7652F"/>
    <w:rsid w:val="00E768A2"/>
    <w:rsid w:val="00E87FB7"/>
    <w:rsid w:val="00E91648"/>
    <w:rsid w:val="00E93BC3"/>
    <w:rsid w:val="00EA0045"/>
    <w:rsid w:val="00EB377B"/>
    <w:rsid w:val="00EB4C72"/>
    <w:rsid w:val="00EB4CDF"/>
    <w:rsid w:val="00EB5021"/>
    <w:rsid w:val="00EB6542"/>
    <w:rsid w:val="00EB6E59"/>
    <w:rsid w:val="00ED4D58"/>
    <w:rsid w:val="00EE17C0"/>
    <w:rsid w:val="00EF0981"/>
    <w:rsid w:val="00EF6CBF"/>
    <w:rsid w:val="00F064EA"/>
    <w:rsid w:val="00F1777E"/>
    <w:rsid w:val="00F344B2"/>
    <w:rsid w:val="00F3739C"/>
    <w:rsid w:val="00F41452"/>
    <w:rsid w:val="00F46CF8"/>
    <w:rsid w:val="00F5682C"/>
    <w:rsid w:val="00F6237B"/>
    <w:rsid w:val="00F640DE"/>
    <w:rsid w:val="00F707CB"/>
    <w:rsid w:val="00F7753B"/>
    <w:rsid w:val="00F82258"/>
    <w:rsid w:val="00F85D8E"/>
    <w:rsid w:val="00F8703B"/>
    <w:rsid w:val="00F958F9"/>
    <w:rsid w:val="00FA0BDF"/>
    <w:rsid w:val="00FA7FA8"/>
    <w:rsid w:val="00FB1488"/>
    <w:rsid w:val="00FC11D0"/>
    <w:rsid w:val="00FC57DC"/>
    <w:rsid w:val="00FC6626"/>
    <w:rsid w:val="00FE2B3B"/>
    <w:rsid w:val="00FF0A6A"/>
    <w:rsid w:val="00FF106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6B58"/>
  <w15:chartTrackingRefBased/>
  <w15:docId w15:val="{9A214338-9EBD-3346-9B56-EE972EEC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MY"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3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3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3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3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3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3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3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3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3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3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3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3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3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3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3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3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3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3B2"/>
    <w:rPr>
      <w:rFonts w:eastAsiaTheme="majorEastAsia" w:cstheme="majorBidi"/>
      <w:color w:val="272727" w:themeColor="text1" w:themeTint="D8"/>
    </w:rPr>
  </w:style>
  <w:style w:type="paragraph" w:styleId="Title">
    <w:name w:val="Title"/>
    <w:basedOn w:val="Normal"/>
    <w:next w:val="Normal"/>
    <w:link w:val="TitleChar"/>
    <w:uiPriority w:val="10"/>
    <w:qFormat/>
    <w:rsid w:val="009313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3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3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3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3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13B2"/>
    <w:rPr>
      <w:i/>
      <w:iCs/>
      <w:color w:val="404040" w:themeColor="text1" w:themeTint="BF"/>
    </w:rPr>
  </w:style>
  <w:style w:type="paragraph" w:styleId="ListParagraph">
    <w:name w:val="List Paragraph"/>
    <w:basedOn w:val="Normal"/>
    <w:uiPriority w:val="34"/>
    <w:qFormat/>
    <w:rsid w:val="009313B2"/>
    <w:pPr>
      <w:ind w:left="720"/>
      <w:contextualSpacing/>
    </w:pPr>
  </w:style>
  <w:style w:type="character" w:styleId="IntenseEmphasis">
    <w:name w:val="Intense Emphasis"/>
    <w:basedOn w:val="DefaultParagraphFont"/>
    <w:uiPriority w:val="21"/>
    <w:qFormat/>
    <w:rsid w:val="009313B2"/>
    <w:rPr>
      <w:i/>
      <w:iCs/>
      <w:color w:val="0F4761" w:themeColor="accent1" w:themeShade="BF"/>
    </w:rPr>
  </w:style>
  <w:style w:type="paragraph" w:styleId="IntenseQuote">
    <w:name w:val="Intense Quote"/>
    <w:basedOn w:val="Normal"/>
    <w:next w:val="Normal"/>
    <w:link w:val="IntenseQuoteChar"/>
    <w:uiPriority w:val="30"/>
    <w:qFormat/>
    <w:rsid w:val="009313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3B2"/>
    <w:rPr>
      <w:i/>
      <w:iCs/>
      <w:color w:val="0F4761" w:themeColor="accent1" w:themeShade="BF"/>
    </w:rPr>
  </w:style>
  <w:style w:type="character" w:styleId="IntenseReference">
    <w:name w:val="Intense Reference"/>
    <w:basedOn w:val="DefaultParagraphFont"/>
    <w:uiPriority w:val="32"/>
    <w:qFormat/>
    <w:rsid w:val="009313B2"/>
    <w:rPr>
      <w:b/>
      <w:bCs/>
      <w:smallCaps/>
      <w:color w:val="0F4761" w:themeColor="accent1" w:themeShade="BF"/>
      <w:spacing w:val="5"/>
    </w:rPr>
  </w:style>
  <w:style w:type="paragraph" w:styleId="NormalWeb">
    <w:name w:val="Normal (Web)"/>
    <w:basedOn w:val="Normal"/>
    <w:uiPriority w:val="99"/>
    <w:unhideWhenUsed/>
    <w:rsid w:val="009313B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313B2"/>
    <w:rPr>
      <w:color w:val="0000FF"/>
      <w:u w:val="single"/>
    </w:rPr>
  </w:style>
  <w:style w:type="paragraph" w:styleId="FootnoteText">
    <w:name w:val="footnote text"/>
    <w:basedOn w:val="Normal"/>
    <w:link w:val="FootnoteTextChar"/>
    <w:uiPriority w:val="99"/>
    <w:semiHidden/>
    <w:unhideWhenUsed/>
    <w:rsid w:val="009313B2"/>
    <w:rPr>
      <w:sz w:val="20"/>
      <w:szCs w:val="20"/>
    </w:rPr>
  </w:style>
  <w:style w:type="character" w:customStyle="1" w:styleId="FootnoteTextChar">
    <w:name w:val="Footnote Text Char"/>
    <w:basedOn w:val="DefaultParagraphFont"/>
    <w:link w:val="FootnoteText"/>
    <w:uiPriority w:val="99"/>
    <w:semiHidden/>
    <w:rsid w:val="009313B2"/>
    <w:rPr>
      <w:sz w:val="20"/>
      <w:szCs w:val="20"/>
    </w:rPr>
  </w:style>
  <w:style w:type="character" w:styleId="FootnoteReference">
    <w:name w:val="footnote reference"/>
    <w:basedOn w:val="DefaultParagraphFont"/>
    <w:uiPriority w:val="99"/>
    <w:semiHidden/>
    <w:unhideWhenUsed/>
    <w:rsid w:val="009313B2"/>
    <w:rPr>
      <w:vertAlign w:val="superscript"/>
    </w:rPr>
  </w:style>
  <w:style w:type="paragraph" w:styleId="Footer">
    <w:name w:val="footer"/>
    <w:basedOn w:val="Normal"/>
    <w:link w:val="FooterChar"/>
    <w:uiPriority w:val="99"/>
    <w:unhideWhenUsed/>
    <w:rsid w:val="00F3739C"/>
    <w:pPr>
      <w:tabs>
        <w:tab w:val="center" w:pos="4513"/>
        <w:tab w:val="right" w:pos="9026"/>
      </w:tabs>
    </w:pPr>
  </w:style>
  <w:style w:type="character" w:customStyle="1" w:styleId="FooterChar">
    <w:name w:val="Footer Char"/>
    <w:basedOn w:val="DefaultParagraphFont"/>
    <w:link w:val="Footer"/>
    <w:uiPriority w:val="99"/>
    <w:rsid w:val="00F3739C"/>
  </w:style>
  <w:style w:type="character" w:styleId="PageNumber">
    <w:name w:val="page number"/>
    <w:basedOn w:val="DefaultParagraphFont"/>
    <w:uiPriority w:val="99"/>
    <w:semiHidden/>
    <w:unhideWhenUsed/>
    <w:rsid w:val="00F3739C"/>
  </w:style>
  <w:style w:type="paragraph" w:styleId="Header">
    <w:name w:val="header"/>
    <w:basedOn w:val="Normal"/>
    <w:link w:val="HeaderChar"/>
    <w:uiPriority w:val="99"/>
    <w:unhideWhenUsed/>
    <w:rsid w:val="00F3739C"/>
    <w:pPr>
      <w:tabs>
        <w:tab w:val="center" w:pos="4513"/>
        <w:tab w:val="right" w:pos="9026"/>
      </w:tabs>
    </w:pPr>
  </w:style>
  <w:style w:type="character" w:customStyle="1" w:styleId="HeaderChar">
    <w:name w:val="Header Char"/>
    <w:basedOn w:val="DefaultParagraphFont"/>
    <w:link w:val="Header"/>
    <w:uiPriority w:val="99"/>
    <w:rsid w:val="00F3739C"/>
  </w:style>
  <w:style w:type="character" w:styleId="UnresolvedMention">
    <w:name w:val="Unresolved Mention"/>
    <w:basedOn w:val="DefaultParagraphFont"/>
    <w:uiPriority w:val="99"/>
    <w:semiHidden/>
    <w:unhideWhenUsed/>
    <w:rsid w:val="00590C2D"/>
    <w:rPr>
      <w:color w:val="605E5C"/>
      <w:shd w:val="clear" w:color="auto" w:fill="E1DFDD"/>
    </w:rPr>
  </w:style>
  <w:style w:type="character" w:styleId="FollowedHyperlink">
    <w:name w:val="FollowedHyperlink"/>
    <w:basedOn w:val="DefaultParagraphFont"/>
    <w:uiPriority w:val="99"/>
    <w:semiHidden/>
    <w:unhideWhenUsed/>
    <w:rsid w:val="00590C2D"/>
    <w:rPr>
      <w:color w:val="96607D" w:themeColor="followedHyperlink"/>
      <w:u w:val="single"/>
    </w:rPr>
  </w:style>
  <w:style w:type="character" w:customStyle="1" w:styleId="floatleft">
    <w:name w:val="floatleft"/>
    <w:basedOn w:val="DefaultParagraphFont"/>
    <w:rsid w:val="00907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8468">
      <w:bodyDiv w:val="1"/>
      <w:marLeft w:val="0"/>
      <w:marRight w:val="0"/>
      <w:marTop w:val="0"/>
      <w:marBottom w:val="0"/>
      <w:divBdr>
        <w:top w:val="none" w:sz="0" w:space="0" w:color="auto"/>
        <w:left w:val="none" w:sz="0" w:space="0" w:color="auto"/>
        <w:bottom w:val="none" w:sz="0" w:space="0" w:color="auto"/>
        <w:right w:val="none" w:sz="0" w:space="0" w:color="auto"/>
      </w:divBdr>
    </w:div>
    <w:div w:id="24914163">
      <w:bodyDiv w:val="1"/>
      <w:marLeft w:val="0"/>
      <w:marRight w:val="0"/>
      <w:marTop w:val="0"/>
      <w:marBottom w:val="0"/>
      <w:divBdr>
        <w:top w:val="none" w:sz="0" w:space="0" w:color="auto"/>
        <w:left w:val="none" w:sz="0" w:space="0" w:color="auto"/>
        <w:bottom w:val="none" w:sz="0" w:space="0" w:color="auto"/>
        <w:right w:val="none" w:sz="0" w:space="0" w:color="auto"/>
      </w:divBdr>
    </w:div>
    <w:div w:id="52894068">
      <w:bodyDiv w:val="1"/>
      <w:marLeft w:val="0"/>
      <w:marRight w:val="0"/>
      <w:marTop w:val="0"/>
      <w:marBottom w:val="0"/>
      <w:divBdr>
        <w:top w:val="none" w:sz="0" w:space="0" w:color="auto"/>
        <w:left w:val="none" w:sz="0" w:space="0" w:color="auto"/>
        <w:bottom w:val="none" w:sz="0" w:space="0" w:color="auto"/>
        <w:right w:val="none" w:sz="0" w:space="0" w:color="auto"/>
      </w:divBdr>
    </w:div>
    <w:div w:id="74058764">
      <w:bodyDiv w:val="1"/>
      <w:marLeft w:val="0"/>
      <w:marRight w:val="0"/>
      <w:marTop w:val="0"/>
      <w:marBottom w:val="0"/>
      <w:divBdr>
        <w:top w:val="none" w:sz="0" w:space="0" w:color="auto"/>
        <w:left w:val="none" w:sz="0" w:space="0" w:color="auto"/>
        <w:bottom w:val="none" w:sz="0" w:space="0" w:color="auto"/>
        <w:right w:val="none" w:sz="0" w:space="0" w:color="auto"/>
      </w:divBdr>
    </w:div>
    <w:div w:id="102501071">
      <w:bodyDiv w:val="1"/>
      <w:marLeft w:val="0"/>
      <w:marRight w:val="0"/>
      <w:marTop w:val="0"/>
      <w:marBottom w:val="0"/>
      <w:divBdr>
        <w:top w:val="none" w:sz="0" w:space="0" w:color="auto"/>
        <w:left w:val="none" w:sz="0" w:space="0" w:color="auto"/>
        <w:bottom w:val="none" w:sz="0" w:space="0" w:color="auto"/>
        <w:right w:val="none" w:sz="0" w:space="0" w:color="auto"/>
      </w:divBdr>
    </w:div>
    <w:div w:id="113713182">
      <w:bodyDiv w:val="1"/>
      <w:marLeft w:val="0"/>
      <w:marRight w:val="0"/>
      <w:marTop w:val="0"/>
      <w:marBottom w:val="0"/>
      <w:divBdr>
        <w:top w:val="none" w:sz="0" w:space="0" w:color="auto"/>
        <w:left w:val="none" w:sz="0" w:space="0" w:color="auto"/>
        <w:bottom w:val="none" w:sz="0" w:space="0" w:color="auto"/>
        <w:right w:val="none" w:sz="0" w:space="0" w:color="auto"/>
      </w:divBdr>
    </w:div>
    <w:div w:id="136773890">
      <w:bodyDiv w:val="1"/>
      <w:marLeft w:val="0"/>
      <w:marRight w:val="0"/>
      <w:marTop w:val="0"/>
      <w:marBottom w:val="0"/>
      <w:divBdr>
        <w:top w:val="none" w:sz="0" w:space="0" w:color="auto"/>
        <w:left w:val="none" w:sz="0" w:space="0" w:color="auto"/>
        <w:bottom w:val="none" w:sz="0" w:space="0" w:color="auto"/>
        <w:right w:val="none" w:sz="0" w:space="0" w:color="auto"/>
      </w:divBdr>
    </w:div>
    <w:div w:id="143814675">
      <w:bodyDiv w:val="1"/>
      <w:marLeft w:val="0"/>
      <w:marRight w:val="0"/>
      <w:marTop w:val="0"/>
      <w:marBottom w:val="0"/>
      <w:divBdr>
        <w:top w:val="none" w:sz="0" w:space="0" w:color="auto"/>
        <w:left w:val="none" w:sz="0" w:space="0" w:color="auto"/>
        <w:bottom w:val="none" w:sz="0" w:space="0" w:color="auto"/>
        <w:right w:val="none" w:sz="0" w:space="0" w:color="auto"/>
      </w:divBdr>
    </w:div>
    <w:div w:id="143815025">
      <w:bodyDiv w:val="1"/>
      <w:marLeft w:val="0"/>
      <w:marRight w:val="0"/>
      <w:marTop w:val="0"/>
      <w:marBottom w:val="0"/>
      <w:divBdr>
        <w:top w:val="none" w:sz="0" w:space="0" w:color="auto"/>
        <w:left w:val="none" w:sz="0" w:space="0" w:color="auto"/>
        <w:bottom w:val="none" w:sz="0" w:space="0" w:color="auto"/>
        <w:right w:val="none" w:sz="0" w:space="0" w:color="auto"/>
      </w:divBdr>
    </w:div>
    <w:div w:id="147210987">
      <w:bodyDiv w:val="1"/>
      <w:marLeft w:val="0"/>
      <w:marRight w:val="0"/>
      <w:marTop w:val="0"/>
      <w:marBottom w:val="0"/>
      <w:divBdr>
        <w:top w:val="none" w:sz="0" w:space="0" w:color="auto"/>
        <w:left w:val="none" w:sz="0" w:space="0" w:color="auto"/>
        <w:bottom w:val="none" w:sz="0" w:space="0" w:color="auto"/>
        <w:right w:val="none" w:sz="0" w:space="0" w:color="auto"/>
      </w:divBdr>
    </w:div>
    <w:div w:id="157700320">
      <w:bodyDiv w:val="1"/>
      <w:marLeft w:val="0"/>
      <w:marRight w:val="0"/>
      <w:marTop w:val="0"/>
      <w:marBottom w:val="0"/>
      <w:divBdr>
        <w:top w:val="none" w:sz="0" w:space="0" w:color="auto"/>
        <w:left w:val="none" w:sz="0" w:space="0" w:color="auto"/>
        <w:bottom w:val="none" w:sz="0" w:space="0" w:color="auto"/>
        <w:right w:val="none" w:sz="0" w:space="0" w:color="auto"/>
      </w:divBdr>
    </w:div>
    <w:div w:id="176192049">
      <w:bodyDiv w:val="1"/>
      <w:marLeft w:val="0"/>
      <w:marRight w:val="0"/>
      <w:marTop w:val="0"/>
      <w:marBottom w:val="0"/>
      <w:divBdr>
        <w:top w:val="none" w:sz="0" w:space="0" w:color="auto"/>
        <w:left w:val="none" w:sz="0" w:space="0" w:color="auto"/>
        <w:bottom w:val="none" w:sz="0" w:space="0" w:color="auto"/>
        <w:right w:val="none" w:sz="0" w:space="0" w:color="auto"/>
      </w:divBdr>
    </w:div>
    <w:div w:id="192352837">
      <w:bodyDiv w:val="1"/>
      <w:marLeft w:val="0"/>
      <w:marRight w:val="0"/>
      <w:marTop w:val="0"/>
      <w:marBottom w:val="0"/>
      <w:divBdr>
        <w:top w:val="none" w:sz="0" w:space="0" w:color="auto"/>
        <w:left w:val="none" w:sz="0" w:space="0" w:color="auto"/>
        <w:bottom w:val="none" w:sz="0" w:space="0" w:color="auto"/>
        <w:right w:val="none" w:sz="0" w:space="0" w:color="auto"/>
      </w:divBdr>
    </w:div>
    <w:div w:id="269557871">
      <w:bodyDiv w:val="1"/>
      <w:marLeft w:val="0"/>
      <w:marRight w:val="0"/>
      <w:marTop w:val="0"/>
      <w:marBottom w:val="0"/>
      <w:divBdr>
        <w:top w:val="none" w:sz="0" w:space="0" w:color="auto"/>
        <w:left w:val="none" w:sz="0" w:space="0" w:color="auto"/>
        <w:bottom w:val="none" w:sz="0" w:space="0" w:color="auto"/>
        <w:right w:val="none" w:sz="0" w:space="0" w:color="auto"/>
      </w:divBdr>
    </w:div>
    <w:div w:id="275913925">
      <w:bodyDiv w:val="1"/>
      <w:marLeft w:val="0"/>
      <w:marRight w:val="0"/>
      <w:marTop w:val="0"/>
      <w:marBottom w:val="0"/>
      <w:divBdr>
        <w:top w:val="none" w:sz="0" w:space="0" w:color="auto"/>
        <w:left w:val="none" w:sz="0" w:space="0" w:color="auto"/>
        <w:bottom w:val="none" w:sz="0" w:space="0" w:color="auto"/>
        <w:right w:val="none" w:sz="0" w:space="0" w:color="auto"/>
      </w:divBdr>
    </w:div>
    <w:div w:id="278222408">
      <w:bodyDiv w:val="1"/>
      <w:marLeft w:val="0"/>
      <w:marRight w:val="0"/>
      <w:marTop w:val="0"/>
      <w:marBottom w:val="0"/>
      <w:divBdr>
        <w:top w:val="none" w:sz="0" w:space="0" w:color="auto"/>
        <w:left w:val="none" w:sz="0" w:space="0" w:color="auto"/>
        <w:bottom w:val="none" w:sz="0" w:space="0" w:color="auto"/>
        <w:right w:val="none" w:sz="0" w:space="0" w:color="auto"/>
      </w:divBdr>
    </w:div>
    <w:div w:id="300311388">
      <w:bodyDiv w:val="1"/>
      <w:marLeft w:val="0"/>
      <w:marRight w:val="0"/>
      <w:marTop w:val="0"/>
      <w:marBottom w:val="0"/>
      <w:divBdr>
        <w:top w:val="none" w:sz="0" w:space="0" w:color="auto"/>
        <w:left w:val="none" w:sz="0" w:space="0" w:color="auto"/>
        <w:bottom w:val="none" w:sz="0" w:space="0" w:color="auto"/>
        <w:right w:val="none" w:sz="0" w:space="0" w:color="auto"/>
      </w:divBdr>
    </w:div>
    <w:div w:id="317923252">
      <w:bodyDiv w:val="1"/>
      <w:marLeft w:val="0"/>
      <w:marRight w:val="0"/>
      <w:marTop w:val="0"/>
      <w:marBottom w:val="0"/>
      <w:divBdr>
        <w:top w:val="none" w:sz="0" w:space="0" w:color="auto"/>
        <w:left w:val="none" w:sz="0" w:space="0" w:color="auto"/>
        <w:bottom w:val="none" w:sz="0" w:space="0" w:color="auto"/>
        <w:right w:val="none" w:sz="0" w:space="0" w:color="auto"/>
      </w:divBdr>
    </w:div>
    <w:div w:id="320892854">
      <w:bodyDiv w:val="1"/>
      <w:marLeft w:val="0"/>
      <w:marRight w:val="0"/>
      <w:marTop w:val="0"/>
      <w:marBottom w:val="0"/>
      <w:divBdr>
        <w:top w:val="none" w:sz="0" w:space="0" w:color="auto"/>
        <w:left w:val="none" w:sz="0" w:space="0" w:color="auto"/>
        <w:bottom w:val="none" w:sz="0" w:space="0" w:color="auto"/>
        <w:right w:val="none" w:sz="0" w:space="0" w:color="auto"/>
      </w:divBdr>
    </w:div>
    <w:div w:id="437988597">
      <w:bodyDiv w:val="1"/>
      <w:marLeft w:val="0"/>
      <w:marRight w:val="0"/>
      <w:marTop w:val="0"/>
      <w:marBottom w:val="0"/>
      <w:divBdr>
        <w:top w:val="none" w:sz="0" w:space="0" w:color="auto"/>
        <w:left w:val="none" w:sz="0" w:space="0" w:color="auto"/>
        <w:bottom w:val="none" w:sz="0" w:space="0" w:color="auto"/>
        <w:right w:val="none" w:sz="0" w:space="0" w:color="auto"/>
      </w:divBdr>
    </w:div>
    <w:div w:id="441191641">
      <w:bodyDiv w:val="1"/>
      <w:marLeft w:val="0"/>
      <w:marRight w:val="0"/>
      <w:marTop w:val="0"/>
      <w:marBottom w:val="0"/>
      <w:divBdr>
        <w:top w:val="none" w:sz="0" w:space="0" w:color="auto"/>
        <w:left w:val="none" w:sz="0" w:space="0" w:color="auto"/>
        <w:bottom w:val="none" w:sz="0" w:space="0" w:color="auto"/>
        <w:right w:val="none" w:sz="0" w:space="0" w:color="auto"/>
      </w:divBdr>
    </w:div>
    <w:div w:id="458383737">
      <w:bodyDiv w:val="1"/>
      <w:marLeft w:val="0"/>
      <w:marRight w:val="0"/>
      <w:marTop w:val="0"/>
      <w:marBottom w:val="0"/>
      <w:divBdr>
        <w:top w:val="none" w:sz="0" w:space="0" w:color="auto"/>
        <w:left w:val="none" w:sz="0" w:space="0" w:color="auto"/>
        <w:bottom w:val="none" w:sz="0" w:space="0" w:color="auto"/>
        <w:right w:val="none" w:sz="0" w:space="0" w:color="auto"/>
      </w:divBdr>
    </w:div>
    <w:div w:id="484665510">
      <w:bodyDiv w:val="1"/>
      <w:marLeft w:val="0"/>
      <w:marRight w:val="0"/>
      <w:marTop w:val="0"/>
      <w:marBottom w:val="0"/>
      <w:divBdr>
        <w:top w:val="none" w:sz="0" w:space="0" w:color="auto"/>
        <w:left w:val="none" w:sz="0" w:space="0" w:color="auto"/>
        <w:bottom w:val="none" w:sz="0" w:space="0" w:color="auto"/>
        <w:right w:val="none" w:sz="0" w:space="0" w:color="auto"/>
      </w:divBdr>
    </w:div>
    <w:div w:id="593631007">
      <w:bodyDiv w:val="1"/>
      <w:marLeft w:val="0"/>
      <w:marRight w:val="0"/>
      <w:marTop w:val="0"/>
      <w:marBottom w:val="0"/>
      <w:divBdr>
        <w:top w:val="none" w:sz="0" w:space="0" w:color="auto"/>
        <w:left w:val="none" w:sz="0" w:space="0" w:color="auto"/>
        <w:bottom w:val="none" w:sz="0" w:space="0" w:color="auto"/>
        <w:right w:val="none" w:sz="0" w:space="0" w:color="auto"/>
      </w:divBdr>
    </w:div>
    <w:div w:id="647441637">
      <w:bodyDiv w:val="1"/>
      <w:marLeft w:val="0"/>
      <w:marRight w:val="0"/>
      <w:marTop w:val="0"/>
      <w:marBottom w:val="0"/>
      <w:divBdr>
        <w:top w:val="none" w:sz="0" w:space="0" w:color="auto"/>
        <w:left w:val="none" w:sz="0" w:space="0" w:color="auto"/>
        <w:bottom w:val="none" w:sz="0" w:space="0" w:color="auto"/>
        <w:right w:val="none" w:sz="0" w:space="0" w:color="auto"/>
      </w:divBdr>
    </w:div>
    <w:div w:id="668562002">
      <w:bodyDiv w:val="1"/>
      <w:marLeft w:val="0"/>
      <w:marRight w:val="0"/>
      <w:marTop w:val="0"/>
      <w:marBottom w:val="0"/>
      <w:divBdr>
        <w:top w:val="none" w:sz="0" w:space="0" w:color="auto"/>
        <w:left w:val="none" w:sz="0" w:space="0" w:color="auto"/>
        <w:bottom w:val="none" w:sz="0" w:space="0" w:color="auto"/>
        <w:right w:val="none" w:sz="0" w:space="0" w:color="auto"/>
      </w:divBdr>
    </w:div>
    <w:div w:id="671294525">
      <w:bodyDiv w:val="1"/>
      <w:marLeft w:val="0"/>
      <w:marRight w:val="0"/>
      <w:marTop w:val="0"/>
      <w:marBottom w:val="0"/>
      <w:divBdr>
        <w:top w:val="none" w:sz="0" w:space="0" w:color="auto"/>
        <w:left w:val="none" w:sz="0" w:space="0" w:color="auto"/>
        <w:bottom w:val="none" w:sz="0" w:space="0" w:color="auto"/>
        <w:right w:val="none" w:sz="0" w:space="0" w:color="auto"/>
      </w:divBdr>
    </w:div>
    <w:div w:id="674184008">
      <w:bodyDiv w:val="1"/>
      <w:marLeft w:val="0"/>
      <w:marRight w:val="0"/>
      <w:marTop w:val="0"/>
      <w:marBottom w:val="0"/>
      <w:divBdr>
        <w:top w:val="none" w:sz="0" w:space="0" w:color="auto"/>
        <w:left w:val="none" w:sz="0" w:space="0" w:color="auto"/>
        <w:bottom w:val="none" w:sz="0" w:space="0" w:color="auto"/>
        <w:right w:val="none" w:sz="0" w:space="0" w:color="auto"/>
      </w:divBdr>
    </w:div>
    <w:div w:id="698355537">
      <w:bodyDiv w:val="1"/>
      <w:marLeft w:val="0"/>
      <w:marRight w:val="0"/>
      <w:marTop w:val="0"/>
      <w:marBottom w:val="0"/>
      <w:divBdr>
        <w:top w:val="none" w:sz="0" w:space="0" w:color="auto"/>
        <w:left w:val="none" w:sz="0" w:space="0" w:color="auto"/>
        <w:bottom w:val="none" w:sz="0" w:space="0" w:color="auto"/>
        <w:right w:val="none" w:sz="0" w:space="0" w:color="auto"/>
      </w:divBdr>
    </w:div>
    <w:div w:id="720833388">
      <w:bodyDiv w:val="1"/>
      <w:marLeft w:val="0"/>
      <w:marRight w:val="0"/>
      <w:marTop w:val="0"/>
      <w:marBottom w:val="0"/>
      <w:divBdr>
        <w:top w:val="none" w:sz="0" w:space="0" w:color="auto"/>
        <w:left w:val="none" w:sz="0" w:space="0" w:color="auto"/>
        <w:bottom w:val="none" w:sz="0" w:space="0" w:color="auto"/>
        <w:right w:val="none" w:sz="0" w:space="0" w:color="auto"/>
      </w:divBdr>
    </w:div>
    <w:div w:id="743340721">
      <w:bodyDiv w:val="1"/>
      <w:marLeft w:val="0"/>
      <w:marRight w:val="0"/>
      <w:marTop w:val="0"/>
      <w:marBottom w:val="0"/>
      <w:divBdr>
        <w:top w:val="none" w:sz="0" w:space="0" w:color="auto"/>
        <w:left w:val="none" w:sz="0" w:space="0" w:color="auto"/>
        <w:bottom w:val="none" w:sz="0" w:space="0" w:color="auto"/>
        <w:right w:val="none" w:sz="0" w:space="0" w:color="auto"/>
      </w:divBdr>
    </w:div>
    <w:div w:id="758407329">
      <w:bodyDiv w:val="1"/>
      <w:marLeft w:val="0"/>
      <w:marRight w:val="0"/>
      <w:marTop w:val="0"/>
      <w:marBottom w:val="0"/>
      <w:divBdr>
        <w:top w:val="none" w:sz="0" w:space="0" w:color="auto"/>
        <w:left w:val="none" w:sz="0" w:space="0" w:color="auto"/>
        <w:bottom w:val="none" w:sz="0" w:space="0" w:color="auto"/>
        <w:right w:val="none" w:sz="0" w:space="0" w:color="auto"/>
      </w:divBdr>
    </w:div>
    <w:div w:id="763260198">
      <w:bodyDiv w:val="1"/>
      <w:marLeft w:val="0"/>
      <w:marRight w:val="0"/>
      <w:marTop w:val="0"/>
      <w:marBottom w:val="0"/>
      <w:divBdr>
        <w:top w:val="none" w:sz="0" w:space="0" w:color="auto"/>
        <w:left w:val="none" w:sz="0" w:space="0" w:color="auto"/>
        <w:bottom w:val="none" w:sz="0" w:space="0" w:color="auto"/>
        <w:right w:val="none" w:sz="0" w:space="0" w:color="auto"/>
      </w:divBdr>
    </w:div>
    <w:div w:id="776486753">
      <w:bodyDiv w:val="1"/>
      <w:marLeft w:val="0"/>
      <w:marRight w:val="0"/>
      <w:marTop w:val="0"/>
      <w:marBottom w:val="0"/>
      <w:divBdr>
        <w:top w:val="none" w:sz="0" w:space="0" w:color="auto"/>
        <w:left w:val="none" w:sz="0" w:space="0" w:color="auto"/>
        <w:bottom w:val="none" w:sz="0" w:space="0" w:color="auto"/>
        <w:right w:val="none" w:sz="0" w:space="0" w:color="auto"/>
      </w:divBdr>
    </w:div>
    <w:div w:id="797914858">
      <w:bodyDiv w:val="1"/>
      <w:marLeft w:val="0"/>
      <w:marRight w:val="0"/>
      <w:marTop w:val="0"/>
      <w:marBottom w:val="0"/>
      <w:divBdr>
        <w:top w:val="none" w:sz="0" w:space="0" w:color="auto"/>
        <w:left w:val="none" w:sz="0" w:space="0" w:color="auto"/>
        <w:bottom w:val="none" w:sz="0" w:space="0" w:color="auto"/>
        <w:right w:val="none" w:sz="0" w:space="0" w:color="auto"/>
      </w:divBdr>
    </w:div>
    <w:div w:id="837844903">
      <w:bodyDiv w:val="1"/>
      <w:marLeft w:val="0"/>
      <w:marRight w:val="0"/>
      <w:marTop w:val="0"/>
      <w:marBottom w:val="0"/>
      <w:divBdr>
        <w:top w:val="none" w:sz="0" w:space="0" w:color="auto"/>
        <w:left w:val="none" w:sz="0" w:space="0" w:color="auto"/>
        <w:bottom w:val="none" w:sz="0" w:space="0" w:color="auto"/>
        <w:right w:val="none" w:sz="0" w:space="0" w:color="auto"/>
      </w:divBdr>
    </w:div>
    <w:div w:id="847063074">
      <w:bodyDiv w:val="1"/>
      <w:marLeft w:val="0"/>
      <w:marRight w:val="0"/>
      <w:marTop w:val="0"/>
      <w:marBottom w:val="0"/>
      <w:divBdr>
        <w:top w:val="none" w:sz="0" w:space="0" w:color="auto"/>
        <w:left w:val="none" w:sz="0" w:space="0" w:color="auto"/>
        <w:bottom w:val="none" w:sz="0" w:space="0" w:color="auto"/>
        <w:right w:val="none" w:sz="0" w:space="0" w:color="auto"/>
      </w:divBdr>
    </w:div>
    <w:div w:id="880173548">
      <w:bodyDiv w:val="1"/>
      <w:marLeft w:val="0"/>
      <w:marRight w:val="0"/>
      <w:marTop w:val="0"/>
      <w:marBottom w:val="0"/>
      <w:divBdr>
        <w:top w:val="none" w:sz="0" w:space="0" w:color="auto"/>
        <w:left w:val="none" w:sz="0" w:space="0" w:color="auto"/>
        <w:bottom w:val="none" w:sz="0" w:space="0" w:color="auto"/>
        <w:right w:val="none" w:sz="0" w:space="0" w:color="auto"/>
      </w:divBdr>
    </w:div>
    <w:div w:id="907571494">
      <w:bodyDiv w:val="1"/>
      <w:marLeft w:val="0"/>
      <w:marRight w:val="0"/>
      <w:marTop w:val="0"/>
      <w:marBottom w:val="0"/>
      <w:divBdr>
        <w:top w:val="none" w:sz="0" w:space="0" w:color="auto"/>
        <w:left w:val="none" w:sz="0" w:space="0" w:color="auto"/>
        <w:bottom w:val="none" w:sz="0" w:space="0" w:color="auto"/>
        <w:right w:val="none" w:sz="0" w:space="0" w:color="auto"/>
      </w:divBdr>
    </w:div>
    <w:div w:id="944732634">
      <w:bodyDiv w:val="1"/>
      <w:marLeft w:val="0"/>
      <w:marRight w:val="0"/>
      <w:marTop w:val="0"/>
      <w:marBottom w:val="0"/>
      <w:divBdr>
        <w:top w:val="none" w:sz="0" w:space="0" w:color="auto"/>
        <w:left w:val="none" w:sz="0" w:space="0" w:color="auto"/>
        <w:bottom w:val="none" w:sz="0" w:space="0" w:color="auto"/>
        <w:right w:val="none" w:sz="0" w:space="0" w:color="auto"/>
      </w:divBdr>
    </w:div>
    <w:div w:id="972905804">
      <w:bodyDiv w:val="1"/>
      <w:marLeft w:val="0"/>
      <w:marRight w:val="0"/>
      <w:marTop w:val="0"/>
      <w:marBottom w:val="0"/>
      <w:divBdr>
        <w:top w:val="none" w:sz="0" w:space="0" w:color="auto"/>
        <w:left w:val="none" w:sz="0" w:space="0" w:color="auto"/>
        <w:bottom w:val="none" w:sz="0" w:space="0" w:color="auto"/>
        <w:right w:val="none" w:sz="0" w:space="0" w:color="auto"/>
      </w:divBdr>
    </w:div>
    <w:div w:id="998848327">
      <w:bodyDiv w:val="1"/>
      <w:marLeft w:val="0"/>
      <w:marRight w:val="0"/>
      <w:marTop w:val="0"/>
      <w:marBottom w:val="0"/>
      <w:divBdr>
        <w:top w:val="none" w:sz="0" w:space="0" w:color="auto"/>
        <w:left w:val="none" w:sz="0" w:space="0" w:color="auto"/>
        <w:bottom w:val="none" w:sz="0" w:space="0" w:color="auto"/>
        <w:right w:val="none" w:sz="0" w:space="0" w:color="auto"/>
      </w:divBdr>
    </w:div>
    <w:div w:id="1010060548">
      <w:bodyDiv w:val="1"/>
      <w:marLeft w:val="0"/>
      <w:marRight w:val="0"/>
      <w:marTop w:val="0"/>
      <w:marBottom w:val="0"/>
      <w:divBdr>
        <w:top w:val="none" w:sz="0" w:space="0" w:color="auto"/>
        <w:left w:val="none" w:sz="0" w:space="0" w:color="auto"/>
        <w:bottom w:val="none" w:sz="0" w:space="0" w:color="auto"/>
        <w:right w:val="none" w:sz="0" w:space="0" w:color="auto"/>
      </w:divBdr>
      <w:divsChild>
        <w:div w:id="1847598093">
          <w:marLeft w:val="0"/>
          <w:marRight w:val="0"/>
          <w:marTop w:val="0"/>
          <w:marBottom w:val="0"/>
          <w:divBdr>
            <w:top w:val="none" w:sz="0" w:space="0" w:color="auto"/>
            <w:left w:val="none" w:sz="0" w:space="0" w:color="auto"/>
            <w:bottom w:val="none" w:sz="0" w:space="0" w:color="auto"/>
            <w:right w:val="none" w:sz="0" w:space="0" w:color="auto"/>
          </w:divBdr>
          <w:divsChild>
            <w:div w:id="485975220">
              <w:marLeft w:val="0"/>
              <w:marRight w:val="0"/>
              <w:marTop w:val="0"/>
              <w:marBottom w:val="0"/>
              <w:divBdr>
                <w:top w:val="none" w:sz="0" w:space="0" w:color="auto"/>
                <w:left w:val="none" w:sz="0" w:space="0" w:color="auto"/>
                <w:bottom w:val="none" w:sz="0" w:space="0" w:color="auto"/>
                <w:right w:val="none" w:sz="0" w:space="0" w:color="auto"/>
              </w:divBdr>
              <w:divsChild>
                <w:div w:id="13027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654316">
      <w:bodyDiv w:val="1"/>
      <w:marLeft w:val="0"/>
      <w:marRight w:val="0"/>
      <w:marTop w:val="0"/>
      <w:marBottom w:val="0"/>
      <w:divBdr>
        <w:top w:val="none" w:sz="0" w:space="0" w:color="auto"/>
        <w:left w:val="none" w:sz="0" w:space="0" w:color="auto"/>
        <w:bottom w:val="none" w:sz="0" w:space="0" w:color="auto"/>
        <w:right w:val="none" w:sz="0" w:space="0" w:color="auto"/>
      </w:divBdr>
    </w:div>
    <w:div w:id="1058240442">
      <w:bodyDiv w:val="1"/>
      <w:marLeft w:val="0"/>
      <w:marRight w:val="0"/>
      <w:marTop w:val="0"/>
      <w:marBottom w:val="0"/>
      <w:divBdr>
        <w:top w:val="none" w:sz="0" w:space="0" w:color="auto"/>
        <w:left w:val="none" w:sz="0" w:space="0" w:color="auto"/>
        <w:bottom w:val="none" w:sz="0" w:space="0" w:color="auto"/>
        <w:right w:val="none" w:sz="0" w:space="0" w:color="auto"/>
      </w:divBdr>
    </w:div>
    <w:div w:id="1070692817">
      <w:bodyDiv w:val="1"/>
      <w:marLeft w:val="0"/>
      <w:marRight w:val="0"/>
      <w:marTop w:val="0"/>
      <w:marBottom w:val="0"/>
      <w:divBdr>
        <w:top w:val="none" w:sz="0" w:space="0" w:color="auto"/>
        <w:left w:val="none" w:sz="0" w:space="0" w:color="auto"/>
        <w:bottom w:val="none" w:sz="0" w:space="0" w:color="auto"/>
        <w:right w:val="none" w:sz="0" w:space="0" w:color="auto"/>
      </w:divBdr>
    </w:div>
    <w:div w:id="1075013125">
      <w:bodyDiv w:val="1"/>
      <w:marLeft w:val="0"/>
      <w:marRight w:val="0"/>
      <w:marTop w:val="0"/>
      <w:marBottom w:val="0"/>
      <w:divBdr>
        <w:top w:val="none" w:sz="0" w:space="0" w:color="auto"/>
        <w:left w:val="none" w:sz="0" w:space="0" w:color="auto"/>
        <w:bottom w:val="none" w:sz="0" w:space="0" w:color="auto"/>
        <w:right w:val="none" w:sz="0" w:space="0" w:color="auto"/>
      </w:divBdr>
    </w:div>
    <w:div w:id="1090545503">
      <w:bodyDiv w:val="1"/>
      <w:marLeft w:val="0"/>
      <w:marRight w:val="0"/>
      <w:marTop w:val="0"/>
      <w:marBottom w:val="0"/>
      <w:divBdr>
        <w:top w:val="none" w:sz="0" w:space="0" w:color="auto"/>
        <w:left w:val="none" w:sz="0" w:space="0" w:color="auto"/>
        <w:bottom w:val="none" w:sz="0" w:space="0" w:color="auto"/>
        <w:right w:val="none" w:sz="0" w:space="0" w:color="auto"/>
      </w:divBdr>
    </w:div>
    <w:div w:id="1109275335">
      <w:bodyDiv w:val="1"/>
      <w:marLeft w:val="0"/>
      <w:marRight w:val="0"/>
      <w:marTop w:val="0"/>
      <w:marBottom w:val="0"/>
      <w:divBdr>
        <w:top w:val="none" w:sz="0" w:space="0" w:color="auto"/>
        <w:left w:val="none" w:sz="0" w:space="0" w:color="auto"/>
        <w:bottom w:val="none" w:sz="0" w:space="0" w:color="auto"/>
        <w:right w:val="none" w:sz="0" w:space="0" w:color="auto"/>
      </w:divBdr>
    </w:div>
    <w:div w:id="1125738664">
      <w:bodyDiv w:val="1"/>
      <w:marLeft w:val="0"/>
      <w:marRight w:val="0"/>
      <w:marTop w:val="0"/>
      <w:marBottom w:val="0"/>
      <w:divBdr>
        <w:top w:val="none" w:sz="0" w:space="0" w:color="auto"/>
        <w:left w:val="none" w:sz="0" w:space="0" w:color="auto"/>
        <w:bottom w:val="none" w:sz="0" w:space="0" w:color="auto"/>
        <w:right w:val="none" w:sz="0" w:space="0" w:color="auto"/>
      </w:divBdr>
    </w:div>
    <w:div w:id="1141771630">
      <w:bodyDiv w:val="1"/>
      <w:marLeft w:val="0"/>
      <w:marRight w:val="0"/>
      <w:marTop w:val="0"/>
      <w:marBottom w:val="0"/>
      <w:divBdr>
        <w:top w:val="none" w:sz="0" w:space="0" w:color="auto"/>
        <w:left w:val="none" w:sz="0" w:space="0" w:color="auto"/>
        <w:bottom w:val="none" w:sz="0" w:space="0" w:color="auto"/>
        <w:right w:val="none" w:sz="0" w:space="0" w:color="auto"/>
      </w:divBdr>
    </w:div>
    <w:div w:id="1193616109">
      <w:bodyDiv w:val="1"/>
      <w:marLeft w:val="0"/>
      <w:marRight w:val="0"/>
      <w:marTop w:val="0"/>
      <w:marBottom w:val="0"/>
      <w:divBdr>
        <w:top w:val="none" w:sz="0" w:space="0" w:color="auto"/>
        <w:left w:val="none" w:sz="0" w:space="0" w:color="auto"/>
        <w:bottom w:val="none" w:sz="0" w:space="0" w:color="auto"/>
        <w:right w:val="none" w:sz="0" w:space="0" w:color="auto"/>
      </w:divBdr>
    </w:div>
    <w:div w:id="1196426311">
      <w:bodyDiv w:val="1"/>
      <w:marLeft w:val="0"/>
      <w:marRight w:val="0"/>
      <w:marTop w:val="0"/>
      <w:marBottom w:val="0"/>
      <w:divBdr>
        <w:top w:val="none" w:sz="0" w:space="0" w:color="auto"/>
        <w:left w:val="none" w:sz="0" w:space="0" w:color="auto"/>
        <w:bottom w:val="none" w:sz="0" w:space="0" w:color="auto"/>
        <w:right w:val="none" w:sz="0" w:space="0" w:color="auto"/>
      </w:divBdr>
    </w:div>
    <w:div w:id="1197309740">
      <w:bodyDiv w:val="1"/>
      <w:marLeft w:val="0"/>
      <w:marRight w:val="0"/>
      <w:marTop w:val="0"/>
      <w:marBottom w:val="0"/>
      <w:divBdr>
        <w:top w:val="none" w:sz="0" w:space="0" w:color="auto"/>
        <w:left w:val="none" w:sz="0" w:space="0" w:color="auto"/>
        <w:bottom w:val="none" w:sz="0" w:space="0" w:color="auto"/>
        <w:right w:val="none" w:sz="0" w:space="0" w:color="auto"/>
      </w:divBdr>
    </w:div>
    <w:div w:id="1265915037">
      <w:bodyDiv w:val="1"/>
      <w:marLeft w:val="0"/>
      <w:marRight w:val="0"/>
      <w:marTop w:val="0"/>
      <w:marBottom w:val="0"/>
      <w:divBdr>
        <w:top w:val="none" w:sz="0" w:space="0" w:color="auto"/>
        <w:left w:val="none" w:sz="0" w:space="0" w:color="auto"/>
        <w:bottom w:val="none" w:sz="0" w:space="0" w:color="auto"/>
        <w:right w:val="none" w:sz="0" w:space="0" w:color="auto"/>
      </w:divBdr>
    </w:div>
    <w:div w:id="1268344658">
      <w:bodyDiv w:val="1"/>
      <w:marLeft w:val="0"/>
      <w:marRight w:val="0"/>
      <w:marTop w:val="0"/>
      <w:marBottom w:val="0"/>
      <w:divBdr>
        <w:top w:val="none" w:sz="0" w:space="0" w:color="auto"/>
        <w:left w:val="none" w:sz="0" w:space="0" w:color="auto"/>
        <w:bottom w:val="none" w:sz="0" w:space="0" w:color="auto"/>
        <w:right w:val="none" w:sz="0" w:space="0" w:color="auto"/>
      </w:divBdr>
    </w:div>
    <w:div w:id="1326056992">
      <w:bodyDiv w:val="1"/>
      <w:marLeft w:val="0"/>
      <w:marRight w:val="0"/>
      <w:marTop w:val="0"/>
      <w:marBottom w:val="0"/>
      <w:divBdr>
        <w:top w:val="none" w:sz="0" w:space="0" w:color="auto"/>
        <w:left w:val="none" w:sz="0" w:space="0" w:color="auto"/>
        <w:bottom w:val="none" w:sz="0" w:space="0" w:color="auto"/>
        <w:right w:val="none" w:sz="0" w:space="0" w:color="auto"/>
      </w:divBdr>
    </w:div>
    <w:div w:id="1332832025">
      <w:bodyDiv w:val="1"/>
      <w:marLeft w:val="0"/>
      <w:marRight w:val="0"/>
      <w:marTop w:val="0"/>
      <w:marBottom w:val="0"/>
      <w:divBdr>
        <w:top w:val="none" w:sz="0" w:space="0" w:color="auto"/>
        <w:left w:val="none" w:sz="0" w:space="0" w:color="auto"/>
        <w:bottom w:val="none" w:sz="0" w:space="0" w:color="auto"/>
        <w:right w:val="none" w:sz="0" w:space="0" w:color="auto"/>
      </w:divBdr>
    </w:div>
    <w:div w:id="1349452436">
      <w:bodyDiv w:val="1"/>
      <w:marLeft w:val="0"/>
      <w:marRight w:val="0"/>
      <w:marTop w:val="0"/>
      <w:marBottom w:val="0"/>
      <w:divBdr>
        <w:top w:val="none" w:sz="0" w:space="0" w:color="auto"/>
        <w:left w:val="none" w:sz="0" w:space="0" w:color="auto"/>
        <w:bottom w:val="none" w:sz="0" w:space="0" w:color="auto"/>
        <w:right w:val="none" w:sz="0" w:space="0" w:color="auto"/>
      </w:divBdr>
    </w:div>
    <w:div w:id="1379235664">
      <w:bodyDiv w:val="1"/>
      <w:marLeft w:val="0"/>
      <w:marRight w:val="0"/>
      <w:marTop w:val="0"/>
      <w:marBottom w:val="0"/>
      <w:divBdr>
        <w:top w:val="none" w:sz="0" w:space="0" w:color="auto"/>
        <w:left w:val="none" w:sz="0" w:space="0" w:color="auto"/>
        <w:bottom w:val="none" w:sz="0" w:space="0" w:color="auto"/>
        <w:right w:val="none" w:sz="0" w:space="0" w:color="auto"/>
      </w:divBdr>
    </w:div>
    <w:div w:id="1409687178">
      <w:bodyDiv w:val="1"/>
      <w:marLeft w:val="0"/>
      <w:marRight w:val="0"/>
      <w:marTop w:val="0"/>
      <w:marBottom w:val="0"/>
      <w:divBdr>
        <w:top w:val="none" w:sz="0" w:space="0" w:color="auto"/>
        <w:left w:val="none" w:sz="0" w:space="0" w:color="auto"/>
        <w:bottom w:val="none" w:sz="0" w:space="0" w:color="auto"/>
        <w:right w:val="none" w:sz="0" w:space="0" w:color="auto"/>
      </w:divBdr>
    </w:div>
    <w:div w:id="1428119002">
      <w:bodyDiv w:val="1"/>
      <w:marLeft w:val="0"/>
      <w:marRight w:val="0"/>
      <w:marTop w:val="0"/>
      <w:marBottom w:val="0"/>
      <w:divBdr>
        <w:top w:val="none" w:sz="0" w:space="0" w:color="auto"/>
        <w:left w:val="none" w:sz="0" w:space="0" w:color="auto"/>
        <w:bottom w:val="none" w:sz="0" w:space="0" w:color="auto"/>
        <w:right w:val="none" w:sz="0" w:space="0" w:color="auto"/>
      </w:divBdr>
    </w:div>
    <w:div w:id="1439762668">
      <w:bodyDiv w:val="1"/>
      <w:marLeft w:val="0"/>
      <w:marRight w:val="0"/>
      <w:marTop w:val="0"/>
      <w:marBottom w:val="0"/>
      <w:divBdr>
        <w:top w:val="none" w:sz="0" w:space="0" w:color="auto"/>
        <w:left w:val="none" w:sz="0" w:space="0" w:color="auto"/>
        <w:bottom w:val="none" w:sz="0" w:space="0" w:color="auto"/>
        <w:right w:val="none" w:sz="0" w:space="0" w:color="auto"/>
      </w:divBdr>
    </w:div>
    <w:div w:id="1455178770">
      <w:bodyDiv w:val="1"/>
      <w:marLeft w:val="0"/>
      <w:marRight w:val="0"/>
      <w:marTop w:val="0"/>
      <w:marBottom w:val="0"/>
      <w:divBdr>
        <w:top w:val="none" w:sz="0" w:space="0" w:color="auto"/>
        <w:left w:val="none" w:sz="0" w:space="0" w:color="auto"/>
        <w:bottom w:val="none" w:sz="0" w:space="0" w:color="auto"/>
        <w:right w:val="none" w:sz="0" w:space="0" w:color="auto"/>
      </w:divBdr>
    </w:div>
    <w:div w:id="1490442349">
      <w:bodyDiv w:val="1"/>
      <w:marLeft w:val="0"/>
      <w:marRight w:val="0"/>
      <w:marTop w:val="0"/>
      <w:marBottom w:val="0"/>
      <w:divBdr>
        <w:top w:val="none" w:sz="0" w:space="0" w:color="auto"/>
        <w:left w:val="none" w:sz="0" w:space="0" w:color="auto"/>
        <w:bottom w:val="none" w:sz="0" w:space="0" w:color="auto"/>
        <w:right w:val="none" w:sz="0" w:space="0" w:color="auto"/>
      </w:divBdr>
    </w:div>
    <w:div w:id="1534804410">
      <w:bodyDiv w:val="1"/>
      <w:marLeft w:val="0"/>
      <w:marRight w:val="0"/>
      <w:marTop w:val="0"/>
      <w:marBottom w:val="0"/>
      <w:divBdr>
        <w:top w:val="none" w:sz="0" w:space="0" w:color="auto"/>
        <w:left w:val="none" w:sz="0" w:space="0" w:color="auto"/>
        <w:bottom w:val="none" w:sz="0" w:space="0" w:color="auto"/>
        <w:right w:val="none" w:sz="0" w:space="0" w:color="auto"/>
      </w:divBdr>
    </w:div>
    <w:div w:id="1544362698">
      <w:bodyDiv w:val="1"/>
      <w:marLeft w:val="0"/>
      <w:marRight w:val="0"/>
      <w:marTop w:val="0"/>
      <w:marBottom w:val="0"/>
      <w:divBdr>
        <w:top w:val="none" w:sz="0" w:space="0" w:color="auto"/>
        <w:left w:val="none" w:sz="0" w:space="0" w:color="auto"/>
        <w:bottom w:val="none" w:sz="0" w:space="0" w:color="auto"/>
        <w:right w:val="none" w:sz="0" w:space="0" w:color="auto"/>
      </w:divBdr>
    </w:div>
    <w:div w:id="1553611910">
      <w:bodyDiv w:val="1"/>
      <w:marLeft w:val="0"/>
      <w:marRight w:val="0"/>
      <w:marTop w:val="0"/>
      <w:marBottom w:val="0"/>
      <w:divBdr>
        <w:top w:val="none" w:sz="0" w:space="0" w:color="auto"/>
        <w:left w:val="none" w:sz="0" w:space="0" w:color="auto"/>
        <w:bottom w:val="none" w:sz="0" w:space="0" w:color="auto"/>
        <w:right w:val="none" w:sz="0" w:space="0" w:color="auto"/>
      </w:divBdr>
    </w:div>
    <w:div w:id="1556239001">
      <w:bodyDiv w:val="1"/>
      <w:marLeft w:val="0"/>
      <w:marRight w:val="0"/>
      <w:marTop w:val="0"/>
      <w:marBottom w:val="0"/>
      <w:divBdr>
        <w:top w:val="none" w:sz="0" w:space="0" w:color="auto"/>
        <w:left w:val="none" w:sz="0" w:space="0" w:color="auto"/>
        <w:bottom w:val="none" w:sz="0" w:space="0" w:color="auto"/>
        <w:right w:val="none" w:sz="0" w:space="0" w:color="auto"/>
      </w:divBdr>
    </w:div>
    <w:div w:id="1568571189">
      <w:bodyDiv w:val="1"/>
      <w:marLeft w:val="0"/>
      <w:marRight w:val="0"/>
      <w:marTop w:val="0"/>
      <w:marBottom w:val="0"/>
      <w:divBdr>
        <w:top w:val="none" w:sz="0" w:space="0" w:color="auto"/>
        <w:left w:val="none" w:sz="0" w:space="0" w:color="auto"/>
        <w:bottom w:val="none" w:sz="0" w:space="0" w:color="auto"/>
        <w:right w:val="none" w:sz="0" w:space="0" w:color="auto"/>
      </w:divBdr>
    </w:div>
    <w:div w:id="1578393895">
      <w:bodyDiv w:val="1"/>
      <w:marLeft w:val="0"/>
      <w:marRight w:val="0"/>
      <w:marTop w:val="0"/>
      <w:marBottom w:val="0"/>
      <w:divBdr>
        <w:top w:val="none" w:sz="0" w:space="0" w:color="auto"/>
        <w:left w:val="none" w:sz="0" w:space="0" w:color="auto"/>
        <w:bottom w:val="none" w:sz="0" w:space="0" w:color="auto"/>
        <w:right w:val="none" w:sz="0" w:space="0" w:color="auto"/>
      </w:divBdr>
    </w:div>
    <w:div w:id="1583950089">
      <w:bodyDiv w:val="1"/>
      <w:marLeft w:val="0"/>
      <w:marRight w:val="0"/>
      <w:marTop w:val="0"/>
      <w:marBottom w:val="0"/>
      <w:divBdr>
        <w:top w:val="none" w:sz="0" w:space="0" w:color="auto"/>
        <w:left w:val="none" w:sz="0" w:space="0" w:color="auto"/>
        <w:bottom w:val="none" w:sz="0" w:space="0" w:color="auto"/>
        <w:right w:val="none" w:sz="0" w:space="0" w:color="auto"/>
      </w:divBdr>
    </w:div>
    <w:div w:id="1602451949">
      <w:bodyDiv w:val="1"/>
      <w:marLeft w:val="0"/>
      <w:marRight w:val="0"/>
      <w:marTop w:val="0"/>
      <w:marBottom w:val="0"/>
      <w:divBdr>
        <w:top w:val="none" w:sz="0" w:space="0" w:color="auto"/>
        <w:left w:val="none" w:sz="0" w:space="0" w:color="auto"/>
        <w:bottom w:val="none" w:sz="0" w:space="0" w:color="auto"/>
        <w:right w:val="none" w:sz="0" w:space="0" w:color="auto"/>
      </w:divBdr>
    </w:div>
    <w:div w:id="1668747952">
      <w:bodyDiv w:val="1"/>
      <w:marLeft w:val="0"/>
      <w:marRight w:val="0"/>
      <w:marTop w:val="0"/>
      <w:marBottom w:val="0"/>
      <w:divBdr>
        <w:top w:val="none" w:sz="0" w:space="0" w:color="auto"/>
        <w:left w:val="none" w:sz="0" w:space="0" w:color="auto"/>
        <w:bottom w:val="none" w:sz="0" w:space="0" w:color="auto"/>
        <w:right w:val="none" w:sz="0" w:space="0" w:color="auto"/>
      </w:divBdr>
    </w:div>
    <w:div w:id="1710564581">
      <w:bodyDiv w:val="1"/>
      <w:marLeft w:val="0"/>
      <w:marRight w:val="0"/>
      <w:marTop w:val="0"/>
      <w:marBottom w:val="0"/>
      <w:divBdr>
        <w:top w:val="none" w:sz="0" w:space="0" w:color="auto"/>
        <w:left w:val="none" w:sz="0" w:space="0" w:color="auto"/>
        <w:bottom w:val="none" w:sz="0" w:space="0" w:color="auto"/>
        <w:right w:val="none" w:sz="0" w:space="0" w:color="auto"/>
      </w:divBdr>
    </w:div>
    <w:div w:id="1729762084">
      <w:bodyDiv w:val="1"/>
      <w:marLeft w:val="0"/>
      <w:marRight w:val="0"/>
      <w:marTop w:val="0"/>
      <w:marBottom w:val="0"/>
      <w:divBdr>
        <w:top w:val="none" w:sz="0" w:space="0" w:color="auto"/>
        <w:left w:val="none" w:sz="0" w:space="0" w:color="auto"/>
        <w:bottom w:val="none" w:sz="0" w:space="0" w:color="auto"/>
        <w:right w:val="none" w:sz="0" w:space="0" w:color="auto"/>
      </w:divBdr>
    </w:div>
    <w:div w:id="1754661182">
      <w:bodyDiv w:val="1"/>
      <w:marLeft w:val="0"/>
      <w:marRight w:val="0"/>
      <w:marTop w:val="0"/>
      <w:marBottom w:val="0"/>
      <w:divBdr>
        <w:top w:val="none" w:sz="0" w:space="0" w:color="auto"/>
        <w:left w:val="none" w:sz="0" w:space="0" w:color="auto"/>
        <w:bottom w:val="none" w:sz="0" w:space="0" w:color="auto"/>
        <w:right w:val="none" w:sz="0" w:space="0" w:color="auto"/>
      </w:divBdr>
    </w:div>
    <w:div w:id="1762216142">
      <w:bodyDiv w:val="1"/>
      <w:marLeft w:val="0"/>
      <w:marRight w:val="0"/>
      <w:marTop w:val="0"/>
      <w:marBottom w:val="0"/>
      <w:divBdr>
        <w:top w:val="none" w:sz="0" w:space="0" w:color="auto"/>
        <w:left w:val="none" w:sz="0" w:space="0" w:color="auto"/>
        <w:bottom w:val="none" w:sz="0" w:space="0" w:color="auto"/>
        <w:right w:val="none" w:sz="0" w:space="0" w:color="auto"/>
      </w:divBdr>
    </w:div>
    <w:div w:id="1774668254">
      <w:bodyDiv w:val="1"/>
      <w:marLeft w:val="0"/>
      <w:marRight w:val="0"/>
      <w:marTop w:val="0"/>
      <w:marBottom w:val="0"/>
      <w:divBdr>
        <w:top w:val="none" w:sz="0" w:space="0" w:color="auto"/>
        <w:left w:val="none" w:sz="0" w:space="0" w:color="auto"/>
        <w:bottom w:val="none" w:sz="0" w:space="0" w:color="auto"/>
        <w:right w:val="none" w:sz="0" w:space="0" w:color="auto"/>
      </w:divBdr>
    </w:div>
    <w:div w:id="1817183473">
      <w:bodyDiv w:val="1"/>
      <w:marLeft w:val="0"/>
      <w:marRight w:val="0"/>
      <w:marTop w:val="0"/>
      <w:marBottom w:val="0"/>
      <w:divBdr>
        <w:top w:val="none" w:sz="0" w:space="0" w:color="auto"/>
        <w:left w:val="none" w:sz="0" w:space="0" w:color="auto"/>
        <w:bottom w:val="none" w:sz="0" w:space="0" w:color="auto"/>
        <w:right w:val="none" w:sz="0" w:space="0" w:color="auto"/>
      </w:divBdr>
    </w:div>
    <w:div w:id="1841039000">
      <w:bodyDiv w:val="1"/>
      <w:marLeft w:val="0"/>
      <w:marRight w:val="0"/>
      <w:marTop w:val="0"/>
      <w:marBottom w:val="0"/>
      <w:divBdr>
        <w:top w:val="none" w:sz="0" w:space="0" w:color="auto"/>
        <w:left w:val="none" w:sz="0" w:space="0" w:color="auto"/>
        <w:bottom w:val="none" w:sz="0" w:space="0" w:color="auto"/>
        <w:right w:val="none" w:sz="0" w:space="0" w:color="auto"/>
      </w:divBdr>
    </w:div>
    <w:div w:id="1853059324">
      <w:bodyDiv w:val="1"/>
      <w:marLeft w:val="0"/>
      <w:marRight w:val="0"/>
      <w:marTop w:val="0"/>
      <w:marBottom w:val="0"/>
      <w:divBdr>
        <w:top w:val="none" w:sz="0" w:space="0" w:color="auto"/>
        <w:left w:val="none" w:sz="0" w:space="0" w:color="auto"/>
        <w:bottom w:val="none" w:sz="0" w:space="0" w:color="auto"/>
        <w:right w:val="none" w:sz="0" w:space="0" w:color="auto"/>
      </w:divBdr>
    </w:div>
    <w:div w:id="1897887239">
      <w:bodyDiv w:val="1"/>
      <w:marLeft w:val="0"/>
      <w:marRight w:val="0"/>
      <w:marTop w:val="0"/>
      <w:marBottom w:val="0"/>
      <w:divBdr>
        <w:top w:val="none" w:sz="0" w:space="0" w:color="auto"/>
        <w:left w:val="none" w:sz="0" w:space="0" w:color="auto"/>
        <w:bottom w:val="none" w:sz="0" w:space="0" w:color="auto"/>
        <w:right w:val="none" w:sz="0" w:space="0" w:color="auto"/>
      </w:divBdr>
    </w:div>
    <w:div w:id="1905098562">
      <w:bodyDiv w:val="1"/>
      <w:marLeft w:val="0"/>
      <w:marRight w:val="0"/>
      <w:marTop w:val="0"/>
      <w:marBottom w:val="0"/>
      <w:divBdr>
        <w:top w:val="none" w:sz="0" w:space="0" w:color="auto"/>
        <w:left w:val="none" w:sz="0" w:space="0" w:color="auto"/>
        <w:bottom w:val="none" w:sz="0" w:space="0" w:color="auto"/>
        <w:right w:val="none" w:sz="0" w:space="0" w:color="auto"/>
      </w:divBdr>
    </w:div>
    <w:div w:id="1931624653">
      <w:bodyDiv w:val="1"/>
      <w:marLeft w:val="0"/>
      <w:marRight w:val="0"/>
      <w:marTop w:val="0"/>
      <w:marBottom w:val="0"/>
      <w:divBdr>
        <w:top w:val="none" w:sz="0" w:space="0" w:color="auto"/>
        <w:left w:val="none" w:sz="0" w:space="0" w:color="auto"/>
        <w:bottom w:val="none" w:sz="0" w:space="0" w:color="auto"/>
        <w:right w:val="none" w:sz="0" w:space="0" w:color="auto"/>
      </w:divBdr>
    </w:div>
    <w:div w:id="1936284880">
      <w:bodyDiv w:val="1"/>
      <w:marLeft w:val="0"/>
      <w:marRight w:val="0"/>
      <w:marTop w:val="0"/>
      <w:marBottom w:val="0"/>
      <w:divBdr>
        <w:top w:val="none" w:sz="0" w:space="0" w:color="auto"/>
        <w:left w:val="none" w:sz="0" w:space="0" w:color="auto"/>
        <w:bottom w:val="none" w:sz="0" w:space="0" w:color="auto"/>
        <w:right w:val="none" w:sz="0" w:space="0" w:color="auto"/>
      </w:divBdr>
    </w:div>
    <w:div w:id="1961910722">
      <w:bodyDiv w:val="1"/>
      <w:marLeft w:val="0"/>
      <w:marRight w:val="0"/>
      <w:marTop w:val="0"/>
      <w:marBottom w:val="0"/>
      <w:divBdr>
        <w:top w:val="none" w:sz="0" w:space="0" w:color="auto"/>
        <w:left w:val="none" w:sz="0" w:space="0" w:color="auto"/>
        <w:bottom w:val="none" w:sz="0" w:space="0" w:color="auto"/>
        <w:right w:val="none" w:sz="0" w:space="0" w:color="auto"/>
      </w:divBdr>
    </w:div>
    <w:div w:id="1971596189">
      <w:bodyDiv w:val="1"/>
      <w:marLeft w:val="0"/>
      <w:marRight w:val="0"/>
      <w:marTop w:val="0"/>
      <w:marBottom w:val="0"/>
      <w:divBdr>
        <w:top w:val="none" w:sz="0" w:space="0" w:color="auto"/>
        <w:left w:val="none" w:sz="0" w:space="0" w:color="auto"/>
        <w:bottom w:val="none" w:sz="0" w:space="0" w:color="auto"/>
        <w:right w:val="none" w:sz="0" w:space="0" w:color="auto"/>
      </w:divBdr>
    </w:div>
    <w:div w:id="1972788758">
      <w:bodyDiv w:val="1"/>
      <w:marLeft w:val="0"/>
      <w:marRight w:val="0"/>
      <w:marTop w:val="0"/>
      <w:marBottom w:val="0"/>
      <w:divBdr>
        <w:top w:val="none" w:sz="0" w:space="0" w:color="auto"/>
        <w:left w:val="none" w:sz="0" w:space="0" w:color="auto"/>
        <w:bottom w:val="none" w:sz="0" w:space="0" w:color="auto"/>
        <w:right w:val="none" w:sz="0" w:space="0" w:color="auto"/>
      </w:divBdr>
    </w:div>
    <w:div w:id="2005233368">
      <w:bodyDiv w:val="1"/>
      <w:marLeft w:val="0"/>
      <w:marRight w:val="0"/>
      <w:marTop w:val="0"/>
      <w:marBottom w:val="0"/>
      <w:divBdr>
        <w:top w:val="none" w:sz="0" w:space="0" w:color="auto"/>
        <w:left w:val="none" w:sz="0" w:space="0" w:color="auto"/>
        <w:bottom w:val="none" w:sz="0" w:space="0" w:color="auto"/>
        <w:right w:val="none" w:sz="0" w:space="0" w:color="auto"/>
      </w:divBdr>
    </w:div>
    <w:div w:id="2012639124">
      <w:bodyDiv w:val="1"/>
      <w:marLeft w:val="0"/>
      <w:marRight w:val="0"/>
      <w:marTop w:val="0"/>
      <w:marBottom w:val="0"/>
      <w:divBdr>
        <w:top w:val="none" w:sz="0" w:space="0" w:color="auto"/>
        <w:left w:val="none" w:sz="0" w:space="0" w:color="auto"/>
        <w:bottom w:val="none" w:sz="0" w:space="0" w:color="auto"/>
        <w:right w:val="none" w:sz="0" w:space="0" w:color="auto"/>
      </w:divBdr>
    </w:div>
    <w:div w:id="2013795026">
      <w:bodyDiv w:val="1"/>
      <w:marLeft w:val="0"/>
      <w:marRight w:val="0"/>
      <w:marTop w:val="0"/>
      <w:marBottom w:val="0"/>
      <w:divBdr>
        <w:top w:val="none" w:sz="0" w:space="0" w:color="auto"/>
        <w:left w:val="none" w:sz="0" w:space="0" w:color="auto"/>
        <w:bottom w:val="none" w:sz="0" w:space="0" w:color="auto"/>
        <w:right w:val="none" w:sz="0" w:space="0" w:color="auto"/>
      </w:divBdr>
    </w:div>
    <w:div w:id="2068869153">
      <w:bodyDiv w:val="1"/>
      <w:marLeft w:val="0"/>
      <w:marRight w:val="0"/>
      <w:marTop w:val="0"/>
      <w:marBottom w:val="0"/>
      <w:divBdr>
        <w:top w:val="none" w:sz="0" w:space="0" w:color="auto"/>
        <w:left w:val="none" w:sz="0" w:space="0" w:color="auto"/>
        <w:bottom w:val="none" w:sz="0" w:space="0" w:color="auto"/>
        <w:right w:val="none" w:sz="0" w:space="0" w:color="auto"/>
      </w:divBdr>
    </w:div>
    <w:div w:id="213012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theedgemalaysia.com/node/681032" TargetMode="External"/><Relationship Id="rId18" Type="http://schemas.openxmlformats.org/officeDocument/2006/relationships/hyperlink" Target="https://www.amnesty.org/en/latest/press-release/2019/11/malaysia-caning-of-four-men-is-a-terrible-warning-to-lgbti-people-while-more-await-trial" TargetMode="External"/><Relationship Id="rId26" Type="http://schemas.openxmlformats.org/officeDocument/2006/relationships/hyperlink" Target="https://www.nst.com.my/authors/mohamed-farid-noh" TargetMode="External"/><Relationship Id="rId39" Type="http://schemas.openxmlformats.org/officeDocument/2006/relationships/hyperlink" Target="https://justiceforsisters.wordpress.com/2019/03/19/apply-standing-orders-towards-offensive-speech-against-lgbt-people/" TargetMode="External"/><Relationship Id="rId21" Type="http://schemas.openxmlformats.org/officeDocument/2006/relationships/hyperlink" Target="https://www.nst.com.my/news/nation/2020/02/562688/its-muhammad-sajjad" TargetMode="External"/><Relationship Id="rId34" Type="http://schemas.openxmlformats.org/officeDocument/2006/relationships/hyperlink" Target="https://www.hmetro.com.my/mutakhir/2023/10/1019493/85-aplikasi-laman-sesawang-aktiviti-songsang-disekat" TargetMode="External"/><Relationship Id="rId42" Type="http://schemas.openxmlformats.org/officeDocument/2006/relationships/hyperlink" Target="https://bn3.cari.com.my/forum.php?mod=viewthread&amp;tid=1166171" TargetMode="External"/><Relationship Id="rId47" Type="http://schemas.openxmlformats.org/officeDocument/2006/relationships/hyperlink" Target="https://www.astroawani.com/berita-malaysia/melaka-bantah-penganjuran-ratu-pondan-exco-428334" TargetMode="External"/><Relationship Id="rId50" Type="http://schemas.openxmlformats.org/officeDocument/2006/relationships/hyperlink" Target="https://wao.org.my/wp-content/uploads/2020/11/CRCM-STATUS-REPORT-2019-FINAL.pdf." TargetMode="External"/><Relationship Id="rId55" Type="http://schemas.openxmlformats.org/officeDocument/2006/relationships/hyperlink" Target="https://www.malaysiatrend.com/2022/11/03/have-you-ever-had-unnatural-sex-activist-slams-jawi-for-asking-ridiculous-questions-during-rexkl-raid/" TargetMode="External"/><Relationship Id="rId7" Type="http://schemas.openxmlformats.org/officeDocument/2006/relationships/hyperlink" Target="https://www.malaymail.com/news/malaysia/2024/02/09/explainer-what-the-kelantan-shariah-enactment-challenge-at-the-apex-court-is-about/117063" TargetMode="External"/><Relationship Id="rId2" Type="http://schemas.openxmlformats.org/officeDocument/2006/relationships/hyperlink" Target="https://www.researchgate.net/publication/314228943_GARISPANDUAN_PENGENDALIAN_MASALAH_KESIHATAN_GENDER_DI_KLINIK_KESIHATAN" TargetMode="External"/><Relationship Id="rId16" Type="http://schemas.openxmlformats.org/officeDocument/2006/relationships/hyperlink" Target="https://www.malaymail.com/news/malaysia/2023/02/14/home-ministry-bans-three-publications-for-immorality-lgbt/54970" TargetMode="External"/><Relationship Id="rId29" Type="http://schemas.openxmlformats.org/officeDocument/2006/relationships/hyperlink" Target="https://www.bharian.com.my/berita/nasional/2021/06/827003/syor-wujud-pusat-tahanan-pemulihan-lgbt/" TargetMode="External"/><Relationship Id="rId11" Type="http://schemas.openxmlformats.org/officeDocument/2006/relationships/hyperlink" Target="https://www.hmetro.com.my/mutakhir/2019/08/490797/mak-nyah-tak-solat-jumaat-didenda" TargetMode="External"/><Relationship Id="rId24" Type="http://schemas.openxmlformats.org/officeDocument/2006/relationships/hyperlink" Target="https://justiceforsisters.org/wp-content/uploads/2023/05/Conversion-Therapy.pdf" TargetMode="External"/><Relationship Id="rId32" Type="http://schemas.openxmlformats.org/officeDocument/2006/relationships/hyperlink" Target="https://www.malaymail.com/news/malaysia/2022/10/13/aliff-syukri-claims-trial-to-uploading-offensive-social-media-content/33379" TargetMode="External"/><Relationship Id="rId37" Type="http://schemas.openxmlformats.org/officeDocument/2006/relationships/hyperlink" Target="https://www.queerlapis.com/wp-content/uploads/2021/12/311221-Survey-findings_Impact-of-Covid-19-and-anti-LGBT-narratives-on-LGBT-persons-in-Malaysia.pdf" TargetMode="External"/><Relationship Id="rId40" Type="http://schemas.openxmlformats.org/officeDocument/2006/relationships/hyperlink" Target="https://www.parlimen.gov.my/images/webuser/jkuasa/memorandom/BERSIH%202.0/Election%20Offences%20Act%201954.pdf" TargetMode="External"/><Relationship Id="rId45" Type="http://schemas.openxmlformats.org/officeDocument/2006/relationships/hyperlink" Target="https://www.malaymail.com/news/malaysia/2018/09/06/after-blue-boy-ft-ministry-says-public-complaints-welcome-for-more-gay-club/1670012" TargetMode="External"/><Relationship Id="rId53" Type="http://schemas.openxmlformats.org/officeDocument/2006/relationships/hyperlink" Target="https://news.iium.edu.my/?p=142015" TargetMode="External"/><Relationship Id="rId58" Type="http://schemas.openxmlformats.org/officeDocument/2006/relationships/hyperlink" Target="https://www.astroawani.com/berita-malaysia/kes-lesbian-jangan-hina-aibkan-pesalah-hakim-syarie-184618" TargetMode="External"/><Relationship Id="rId5" Type="http://schemas.openxmlformats.org/officeDocument/2006/relationships/hyperlink" Target="https://www.straitstimes.com/asia/se-asia/non-muslim-malaysian-woman-fined-for-wearing-shorts-in-kelantan" TargetMode="External"/><Relationship Id="rId61" Type="http://schemas.openxmlformats.org/officeDocument/2006/relationships/hyperlink" Target="https://www.nswp.org/news/single-mother-sentenced-6-months-prison-and-6-strokes-the-rotan-doing-sex-work" TargetMode="External"/><Relationship Id="rId19" Type="http://schemas.openxmlformats.org/officeDocument/2006/relationships/hyperlink" Target="https://www.malaymail.com/news/malaysia/2017/01/05/nrd-wins-appeal-bid-to-stop-transgender-from-changing-ic-details/1286225" TargetMode="External"/><Relationship Id="rId14" Type="http://schemas.openxmlformats.org/officeDocument/2006/relationships/hyperlink" Target="https://www.channelnewsasia.com/asia/malaysia-concert-rules-no-cross-dressing-male-performers-blackout-dates-islamic-holidays-3348541" TargetMode="External"/><Relationship Id="rId22" Type="http://schemas.openxmlformats.org/officeDocument/2006/relationships/hyperlink" Target="https://www.sinarharian.com.my/article/165716/BERITA/Nasional/Malaysia-kekal-pendirian-tak-iktiraf-gender-ketiga" TargetMode="External"/><Relationship Id="rId27" Type="http://schemas.openxmlformats.org/officeDocument/2006/relationships/hyperlink" Target="https://www.nst.com.my/news/nation/2023/11/984546/johor-set-first-islamic-rehab-centre-deviants-lgbt-community" TargetMode="External"/><Relationship Id="rId30" Type="http://schemas.openxmlformats.org/officeDocument/2006/relationships/hyperlink" Target="https://justiceforsisters.wordpress.com/2022/12/16/sinar-harian-must-reconsider-its-prep-buat-komuniti-songsang-lega-bencana-episode-in-order-to-prevent-misinformation-stigma-against-lgbt-people/" TargetMode="External"/><Relationship Id="rId35" Type="http://schemas.openxmlformats.org/officeDocument/2006/relationships/hyperlink" Target="https://www.thestar.com.my/news/nation/2018/03/31/ec-transgenders-can-vote-too-they-have-to-fill-in-and-sign-a-form-to-confirm-their-identity-before-c" TargetMode="External"/><Relationship Id="rId43" Type="http://schemas.openxmlformats.org/officeDocument/2006/relationships/hyperlink" Target="https://www.nst.com.my/news/nation/2019/07/502966/dr-lee-ranias-appointment-follows-procedure-ccm-has-been-around-2009" TargetMode="External"/><Relationship Id="rId48" Type="http://schemas.openxmlformats.org/officeDocument/2006/relationships/hyperlink" Target="https://www.moe.gov.my/pekeliling/1970-surat-pekeliling-ikhtisas-bilangan-7-tahun-2003-kuasa-guru-merotan-murid/file" TargetMode="External"/><Relationship Id="rId56" Type="http://schemas.openxmlformats.org/officeDocument/2006/relationships/hyperlink" Target="https://www.hrw.org/report/2014/09/24/im-scared-be-woman/human-rights-abuses-against-transgender-people-malaysia" TargetMode="External"/><Relationship Id="rId8" Type="http://schemas.openxmlformats.org/officeDocument/2006/relationships/hyperlink" Target="https://arrow.org.my/wp-content/uploads/2021/01/LGBTIQ-Rights-in-Malaysia-.pdf" TargetMode="External"/><Relationship Id="rId51" Type="http://schemas.openxmlformats.org/officeDocument/2006/relationships/hyperlink" Target="https://drive.google.com/file/d/1wEJ2pVGheprNhqFquoQtMNV01nmfbK48/view" TargetMode="External"/><Relationship Id="rId3" Type="http://schemas.openxmlformats.org/officeDocument/2006/relationships/hyperlink" Target="https://www.hmetro.com.my/utama/2021/05/706415/jakim-santuni-golongan-lgbt:" TargetMode="External"/><Relationship Id="rId12" Type="http://schemas.openxmlformats.org/officeDocument/2006/relationships/hyperlink" Target="https://muftiperlis.gov.my/index.php/himpunan-fatwa-negeri/575-hukum-berinteraksi-dengan-mukhannath-pondan-mak-nyah-bapuk-pengkid-tomboi-taransgender" TargetMode="External"/><Relationship Id="rId17" Type="http://schemas.openxmlformats.org/officeDocument/2006/relationships/hyperlink" Target="https://www.malaymail.com/news/malaysia/2018/09/03/terengganu-duo-publicly-caned-six-times-over-lesbian-sex-attempt/1668766" TargetMode="External"/><Relationship Id="rId25" Type="http://schemas.openxmlformats.org/officeDocument/2006/relationships/hyperlink" Target="https://designrr.s3.amazonaws.com/nazirah7606_at_gmail.com_154541/nazirah7606gmailcom_EbookAOFSConference20221660808504.pdf" TargetMode="External"/><Relationship Id="rId33" Type="http://schemas.openxmlformats.org/officeDocument/2006/relationships/hyperlink" Target="https://www.malaymail.com/news/malaysia/2022/11/08/cosmetics-tycoon-vida-pleads-not-guilty-to-uploading-offensive-video/38277" TargetMode="External"/><Relationship Id="rId38" Type="http://schemas.openxmlformats.org/officeDocument/2006/relationships/hyperlink" Target="https://justiceforsisters.wordpress.com/2022/11/19/preliminary-analysis-lgbtphobia-in-malaysia-15th-general-elections-ge15/" TargetMode="External"/><Relationship Id="rId46" Type="http://schemas.openxmlformats.org/officeDocument/2006/relationships/hyperlink" Target="https://www.straitstimes.com/asia/se-asia/immoral-thai-hunk-waiters-at-kl-club-during-ramadan-raise-ire-of-malaysia-politicians" TargetMode="External"/><Relationship Id="rId59" Type="http://schemas.openxmlformats.org/officeDocument/2006/relationships/hyperlink" Target="https://www.queerlapis.com/conviction-for-attempts-of-sex-acts-points-to-increasing-hostility-towards-lgbtq-persons-in-malaysia/" TargetMode="External"/><Relationship Id="rId20" Type="http://schemas.openxmlformats.org/officeDocument/2006/relationships/hyperlink" Target="https://static1.squarespace.com/static/5e2fb70868966a1c84c7e258/t/6156fb9848b86e3bf6013ad3/1633090508281/Empower_JFS_FOEGI_Report.pdf" TargetMode="External"/><Relationship Id="rId41" Type="http://schemas.openxmlformats.org/officeDocument/2006/relationships/hyperlink" Target="https://azmanamericana.blogspot.com/2019/07/pelantikan-ratu-transgender-dalam-ccm.html" TargetMode="External"/><Relationship Id="rId54" Type="http://schemas.openxmlformats.org/officeDocument/2006/relationships/hyperlink" Target="https://www.ncbi.nlm.nih.gov/pmc/articles/PMC5770086/" TargetMode="External"/><Relationship Id="rId62" Type="http://schemas.openxmlformats.org/officeDocument/2006/relationships/hyperlink" Target="https://www.queerlapis.com/11-men-case-intro/" TargetMode="External"/><Relationship Id="rId1" Type="http://schemas.openxmlformats.org/officeDocument/2006/relationships/hyperlink" Target="https://www.islam.gov.my/ms/" TargetMode="External"/><Relationship Id="rId6" Type="http://schemas.openxmlformats.org/officeDocument/2006/relationships/hyperlink" Target="https://www.sprm.gov.my/admin/files/sprm/assets/pdf/penguatkuasaan/perlembagaan-persekutuan-bi.pdf" TargetMode="External"/><Relationship Id="rId15" Type="http://schemas.openxmlformats.org/officeDocument/2006/relationships/hyperlink" Target="https://justiceforsisters.wordpress.com/2023/09/11/media-statement-recall-ministry-of-higher-educations-entertainment-guideline/" TargetMode="External"/><Relationship Id="rId23" Type="http://schemas.openxmlformats.org/officeDocument/2006/relationships/hyperlink" Target="https://www.hrw.org/report/2022/08/10/i-dont-want-change-myself/anti-lgbt-conversion-practices-discrimination-and" TargetMode="External"/><Relationship Id="rId28" Type="http://schemas.openxmlformats.org/officeDocument/2006/relationships/hyperlink" Target="https://www.bharian.com.my/authors/tuty-haryanti-ahmad-rodzi" TargetMode="External"/><Relationship Id="rId36" Type="http://schemas.openxmlformats.org/officeDocument/2006/relationships/hyperlink" Target="https://cijmalaysia.net/" TargetMode="External"/><Relationship Id="rId49" Type="http://schemas.openxmlformats.org/officeDocument/2006/relationships/hyperlink" Target="https://anyflip.com/pvoey/wgzk/basic/51-100" TargetMode="External"/><Relationship Id="rId57" Type="http://schemas.openxmlformats.org/officeDocument/2006/relationships/hyperlink" Target="https://www.malaymail.com/news/malaysia/2014/06/11/with-shaved-heads-negri-sembilan-transgender-women-opt-for-jail/685521" TargetMode="External"/><Relationship Id="rId10" Type="http://schemas.openxmlformats.org/officeDocument/2006/relationships/hyperlink" Target="https://www.hmetro.com.my/mutakhir/2020/10/635430/padah-berlagak-wanita-metrotv" TargetMode="External"/><Relationship Id="rId31" Type="http://schemas.openxmlformats.org/officeDocument/2006/relationships/hyperlink" Target="https://www.malaymail.com/news/malaysia/2022/02/22/court-quashes-home-ministrys-ban-on-gay-is-ok-book/2043145" TargetMode="External"/><Relationship Id="rId44" Type="http://schemas.openxmlformats.org/officeDocument/2006/relationships/hyperlink" Target="https://www.thesundaily.my/local/jakim-lodges-police-report-against-twitter-account-owner-regarding-mukhayyam-programme-BK3286715" TargetMode="External"/><Relationship Id="rId52" Type="http://schemas.openxmlformats.org/officeDocument/2006/relationships/hyperlink" Target="https://mpaeds.my/wp-content/uploads/2019/09/Paediatric_Protocols_4th_Edition_(MPA%20Version)_2nd_Print_Aug_2019.pdf" TargetMode="External"/><Relationship Id="rId60" Type="http://schemas.openxmlformats.org/officeDocument/2006/relationships/hyperlink" Target="https://www.queerlapis.com/11-men-case-intro/" TargetMode="External"/><Relationship Id="rId4" Type="http://schemas.openxmlformats.org/officeDocument/2006/relationships/hyperlink" Target="https://oarep.usim.edu.my/jspui/bitstream/123456789/12042/4/4.%20SWAT%20PAPER%20PROCEEDINGS%20A%20Literature%20review%20of%20Psycho%20spiritual%20Therapy%20Using%20Al%20Quran%20and%20Hadith%20in%20Recovering%20Transgender.pdf" TargetMode="External"/><Relationship Id="rId9" Type="http://schemas.openxmlformats.org/officeDocument/2006/relationships/hyperlink" Target="https://www.malaymail.com/news/malaysia/2021/01/13/selangor-islamic-enforcers-probed-for-violence-against-nur-sajat-in-arrest/194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DFA9D3-6B7E-4265-B021-C4635DB73C53}"/>
</file>

<file path=customXml/itemProps2.xml><?xml version="1.0" encoding="utf-8"?>
<ds:datastoreItem xmlns:ds="http://schemas.openxmlformats.org/officeDocument/2006/customXml" ds:itemID="{FB8C8AEF-BA01-4499-8CF3-AD6B0869220D}"/>
</file>

<file path=docProps/app.xml><?xml version="1.0" encoding="utf-8"?>
<Properties xmlns="http://schemas.openxmlformats.org/officeDocument/2006/extended-properties" xmlns:vt="http://schemas.openxmlformats.org/officeDocument/2006/docPropsVTypes">
  <Template>Normal.dotm</Template>
  <TotalTime>0</TotalTime>
  <Pages>17</Pages>
  <Words>5250</Words>
  <Characters>29925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thilaga x</dc:creator>
  <cp:keywords/>
  <dc:description/>
  <cp:lastModifiedBy>thilaga x</cp:lastModifiedBy>
  <cp:revision>2</cp:revision>
  <dcterms:created xsi:type="dcterms:W3CDTF">2024-04-25T12:13:00Z</dcterms:created>
  <dcterms:modified xsi:type="dcterms:W3CDTF">2024-04-25T12:13:00Z</dcterms:modified>
</cp:coreProperties>
</file>