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33F973" w14:textId="080D5CAD" w:rsidR="008120D1" w:rsidRDefault="008120D1" w:rsidP="007F7529">
      <w:pPr>
        <w:spacing w:after="120"/>
        <w:rPr>
          <w:rFonts w:asciiTheme="majorHAnsi" w:hAnsiTheme="majorHAnsi" w:cstheme="majorHAnsi"/>
          <w:b/>
          <w:sz w:val="34"/>
          <w:szCs w:val="34"/>
        </w:rPr>
      </w:pPr>
      <w:r>
        <w:rPr>
          <w:noProof/>
        </w:rPr>
        <w:drawing>
          <wp:anchor distT="0" distB="0" distL="114300" distR="114300" simplePos="0" relativeHeight="251659264" behindDoc="0" locked="0" layoutInCell="1" allowOverlap="1" wp14:anchorId="3C46B38C" wp14:editId="12F2C256">
            <wp:simplePos x="0" y="0"/>
            <wp:positionH relativeFrom="column">
              <wp:posOffset>3632200</wp:posOffset>
            </wp:positionH>
            <wp:positionV relativeFrom="paragraph">
              <wp:posOffset>-3810</wp:posOffset>
            </wp:positionV>
            <wp:extent cx="2743200" cy="805180"/>
            <wp:effectExtent l="0" t="0" r="0" b="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2743200" cy="805180"/>
                    </a:xfrm>
                    <a:prstGeom prst="rect">
                      <a:avLst/>
                    </a:prstGeom>
                  </pic:spPr>
                </pic:pic>
              </a:graphicData>
            </a:graphic>
            <wp14:sizeRelH relativeFrom="margin">
              <wp14:pctWidth>0</wp14:pctWidth>
            </wp14:sizeRelH>
            <wp14:sizeRelV relativeFrom="margin">
              <wp14:pctHeight>0</wp14:pctHeight>
            </wp14:sizeRelV>
          </wp:anchor>
        </w:drawing>
      </w:r>
      <w:r w:rsidR="00767639" w:rsidRPr="001119F0">
        <w:rPr>
          <w:rFonts w:asciiTheme="majorHAnsi" w:hAnsiTheme="majorHAnsi" w:cstheme="majorHAnsi"/>
          <w:b/>
          <w:sz w:val="34"/>
          <w:szCs w:val="34"/>
        </w:rPr>
        <w:t>B</w:t>
      </w:r>
      <w:r w:rsidR="00BE37BF" w:rsidRPr="001119F0">
        <w:rPr>
          <w:rFonts w:asciiTheme="majorHAnsi" w:hAnsiTheme="majorHAnsi" w:cstheme="majorHAnsi"/>
          <w:b/>
          <w:sz w:val="34"/>
          <w:szCs w:val="34"/>
        </w:rPr>
        <w:t>riefing on</w:t>
      </w:r>
      <w:r w:rsidR="00E4774B" w:rsidRPr="001119F0">
        <w:rPr>
          <w:rFonts w:asciiTheme="majorHAnsi" w:hAnsiTheme="majorHAnsi" w:cstheme="majorHAnsi"/>
          <w:b/>
          <w:sz w:val="34"/>
          <w:szCs w:val="34"/>
        </w:rPr>
        <w:t xml:space="preserve"> </w:t>
      </w:r>
      <w:r w:rsidR="001B62F6">
        <w:rPr>
          <w:rFonts w:asciiTheme="majorHAnsi" w:hAnsiTheme="majorHAnsi" w:cstheme="majorHAnsi"/>
          <w:b/>
          <w:sz w:val="34"/>
          <w:szCs w:val="34"/>
          <w:u w:val="single"/>
        </w:rPr>
        <w:t>Indonesia</w:t>
      </w:r>
      <w:r w:rsidR="00BE37BF" w:rsidRPr="001119F0">
        <w:rPr>
          <w:rFonts w:asciiTheme="majorHAnsi" w:hAnsiTheme="majorHAnsi" w:cstheme="majorHAnsi"/>
          <w:b/>
          <w:sz w:val="34"/>
          <w:szCs w:val="34"/>
        </w:rPr>
        <w:t xml:space="preserve"> for the Committee on the Rights of Persons with Disabilities,</w:t>
      </w:r>
      <w:r w:rsidR="00C84FBA" w:rsidRPr="001119F0">
        <w:rPr>
          <w:rFonts w:asciiTheme="majorHAnsi" w:hAnsiTheme="majorHAnsi" w:cstheme="majorHAnsi"/>
          <w:b/>
          <w:sz w:val="34"/>
          <w:szCs w:val="34"/>
        </w:rPr>
        <w:t xml:space="preserve"> </w:t>
      </w:r>
      <w:r w:rsidR="00E64999">
        <w:rPr>
          <w:rFonts w:asciiTheme="majorHAnsi" w:hAnsiTheme="majorHAnsi" w:cstheme="majorHAnsi"/>
          <w:b/>
          <w:sz w:val="34"/>
          <w:szCs w:val="34"/>
        </w:rPr>
        <w:t>1</w:t>
      </w:r>
      <w:r w:rsidR="00586929">
        <w:rPr>
          <w:rFonts w:asciiTheme="majorHAnsi" w:hAnsiTheme="majorHAnsi" w:cstheme="majorHAnsi"/>
          <w:b/>
          <w:sz w:val="34"/>
          <w:szCs w:val="34"/>
        </w:rPr>
        <w:t>3</w:t>
      </w:r>
      <w:r w:rsidR="00E64999" w:rsidRPr="00E64999">
        <w:rPr>
          <w:rFonts w:asciiTheme="majorHAnsi" w:hAnsiTheme="majorHAnsi" w:cstheme="majorHAnsi"/>
          <w:b/>
          <w:sz w:val="34"/>
          <w:szCs w:val="34"/>
          <w:vertAlign w:val="superscript"/>
        </w:rPr>
        <w:t>th</w:t>
      </w:r>
      <w:r w:rsidR="00E64999">
        <w:rPr>
          <w:rFonts w:asciiTheme="majorHAnsi" w:hAnsiTheme="majorHAnsi" w:cstheme="majorHAnsi"/>
          <w:b/>
          <w:sz w:val="34"/>
          <w:szCs w:val="34"/>
        </w:rPr>
        <w:t xml:space="preserve"> </w:t>
      </w:r>
      <w:r w:rsidR="00C84FBA" w:rsidRPr="001119F0">
        <w:rPr>
          <w:rFonts w:asciiTheme="majorHAnsi" w:hAnsiTheme="majorHAnsi" w:cstheme="majorHAnsi"/>
          <w:b/>
          <w:sz w:val="34"/>
          <w:szCs w:val="34"/>
        </w:rPr>
        <w:t>Pre-Sessional Working Group,</w:t>
      </w:r>
      <w:r w:rsidR="00BE37BF" w:rsidRPr="001119F0">
        <w:rPr>
          <w:rFonts w:asciiTheme="majorHAnsi" w:hAnsiTheme="majorHAnsi" w:cstheme="majorHAnsi"/>
          <w:b/>
          <w:sz w:val="34"/>
          <w:szCs w:val="34"/>
        </w:rPr>
        <w:t xml:space="preserve"> </w:t>
      </w:r>
      <w:r w:rsidR="00586929">
        <w:rPr>
          <w:rFonts w:asciiTheme="majorHAnsi" w:hAnsiTheme="majorHAnsi" w:cstheme="majorHAnsi"/>
          <w:b/>
          <w:sz w:val="34"/>
          <w:szCs w:val="34"/>
        </w:rPr>
        <w:t>March-April 2020</w:t>
      </w:r>
    </w:p>
    <w:p w14:paraId="4508A740" w14:textId="7286B18C" w:rsidR="00767639" w:rsidRPr="001119F0" w:rsidRDefault="00767639" w:rsidP="007F7529">
      <w:pPr>
        <w:spacing w:after="120"/>
        <w:rPr>
          <w:rFonts w:asciiTheme="majorHAnsi" w:hAnsiTheme="majorHAnsi" w:cstheme="majorHAnsi"/>
        </w:rPr>
      </w:pPr>
      <w:r w:rsidRPr="001119F0">
        <w:rPr>
          <w:rFonts w:asciiTheme="majorHAnsi" w:hAnsiTheme="majorHAnsi" w:cstheme="majorHAnsi"/>
        </w:rPr>
        <w:t xml:space="preserve">From </w:t>
      </w:r>
      <w:r w:rsidR="00A53A7A" w:rsidRPr="001119F0">
        <w:rPr>
          <w:rFonts w:asciiTheme="majorHAnsi" w:hAnsiTheme="majorHAnsi" w:cstheme="majorHAnsi"/>
        </w:rPr>
        <w:t>the</w:t>
      </w:r>
      <w:r w:rsidR="005B5315" w:rsidRPr="001119F0">
        <w:rPr>
          <w:rFonts w:asciiTheme="majorHAnsi" w:hAnsiTheme="majorHAnsi" w:cstheme="majorHAnsi"/>
        </w:rPr>
        <w:t xml:space="preserve"> </w:t>
      </w:r>
      <w:r w:rsidRPr="001119F0">
        <w:rPr>
          <w:rFonts w:asciiTheme="majorHAnsi" w:hAnsiTheme="majorHAnsi" w:cstheme="majorHAnsi"/>
        </w:rPr>
        <w:t>Global Initiative</w:t>
      </w:r>
      <w:r w:rsidR="00633745" w:rsidRPr="001119F0">
        <w:rPr>
          <w:rFonts w:asciiTheme="majorHAnsi" w:hAnsiTheme="majorHAnsi" w:cstheme="majorHAnsi"/>
        </w:rPr>
        <w:t xml:space="preserve"> to End All Corporal Punishment </w:t>
      </w:r>
      <w:r w:rsidR="008120D1">
        <w:rPr>
          <w:rFonts w:asciiTheme="majorHAnsi" w:hAnsiTheme="majorHAnsi" w:cstheme="majorHAnsi"/>
        </w:rPr>
        <w:t>o</w:t>
      </w:r>
      <w:r w:rsidR="00633745" w:rsidRPr="001119F0">
        <w:rPr>
          <w:rFonts w:asciiTheme="majorHAnsi" w:hAnsiTheme="majorHAnsi" w:cstheme="majorHAnsi"/>
        </w:rPr>
        <w:t>f Children,</w:t>
      </w:r>
      <w:r w:rsidR="00E9361C" w:rsidRPr="001119F0">
        <w:rPr>
          <w:rFonts w:asciiTheme="majorHAnsi" w:hAnsiTheme="majorHAnsi" w:cstheme="majorHAnsi"/>
        </w:rPr>
        <w:t xml:space="preserve"> </w:t>
      </w:r>
      <w:r w:rsidR="00586929">
        <w:rPr>
          <w:rFonts w:asciiTheme="majorHAnsi" w:hAnsiTheme="majorHAnsi" w:cstheme="majorHAnsi"/>
        </w:rPr>
        <w:t>January 2020</w:t>
      </w:r>
      <w:r w:rsidR="00A53A7A" w:rsidRPr="001119F0">
        <w:rPr>
          <w:rFonts w:asciiTheme="majorHAnsi" w:hAnsiTheme="majorHAnsi" w:cstheme="majorHAnsi"/>
        </w:rPr>
        <w:t xml:space="preserve"> </w:t>
      </w:r>
      <w:r w:rsidR="00BE37BF" w:rsidRPr="001119F0">
        <w:rPr>
          <w:rFonts w:asciiTheme="majorHAnsi" w:hAnsiTheme="majorHAnsi" w:cstheme="majorHAnsi"/>
        </w:rPr>
        <w:br/>
      </w:r>
    </w:p>
    <w:p w14:paraId="4855D333" w14:textId="77777777" w:rsidR="00142366" w:rsidRPr="001119F0" w:rsidRDefault="00142366" w:rsidP="00716B5D">
      <w:pPr>
        <w:spacing w:after="120"/>
        <w:rPr>
          <w:rFonts w:asciiTheme="majorHAnsi" w:hAnsiTheme="majorHAnsi" w:cstheme="majorHAnsi"/>
        </w:rPr>
      </w:pPr>
    </w:p>
    <w:p w14:paraId="78052E85" w14:textId="33415951" w:rsidR="004D7A67" w:rsidRPr="001119F0" w:rsidRDefault="00142366" w:rsidP="00716B5D">
      <w:pPr>
        <w:spacing w:after="120"/>
        <w:rPr>
          <w:rFonts w:asciiTheme="majorHAnsi" w:hAnsiTheme="majorHAnsi" w:cstheme="majorHAnsi"/>
          <w:b/>
          <w:sz w:val="26"/>
          <w:szCs w:val="26"/>
        </w:rPr>
      </w:pPr>
      <w:r w:rsidRPr="001119F0">
        <w:rPr>
          <w:rFonts w:asciiTheme="majorHAnsi" w:hAnsiTheme="majorHAnsi" w:cstheme="majorHAnsi"/>
          <w:b/>
          <w:sz w:val="26"/>
          <w:szCs w:val="26"/>
        </w:rPr>
        <w:t xml:space="preserve">(a) </w:t>
      </w:r>
      <w:r w:rsidR="00716B5D" w:rsidRPr="001119F0">
        <w:rPr>
          <w:rFonts w:asciiTheme="majorHAnsi" w:hAnsiTheme="majorHAnsi" w:cstheme="majorHAnsi"/>
          <w:b/>
          <w:sz w:val="26"/>
          <w:szCs w:val="26"/>
        </w:rPr>
        <w:t>About the Global Initiative</w:t>
      </w:r>
      <w:r w:rsidR="00106569" w:rsidRPr="001119F0">
        <w:rPr>
          <w:rFonts w:asciiTheme="majorHAnsi" w:hAnsiTheme="majorHAnsi" w:cstheme="majorHAnsi"/>
          <w:b/>
          <w:sz w:val="26"/>
          <w:szCs w:val="26"/>
        </w:rPr>
        <w:t xml:space="preserve"> to End All Corporal Punishment of Children</w:t>
      </w:r>
    </w:p>
    <w:p w14:paraId="3190CD76" w14:textId="78DB8F29" w:rsidR="00716B5D" w:rsidRPr="001119F0" w:rsidRDefault="00833827" w:rsidP="00716B5D">
      <w:pPr>
        <w:spacing w:after="120"/>
        <w:rPr>
          <w:rFonts w:asciiTheme="majorHAnsi" w:hAnsiTheme="majorHAnsi" w:cstheme="majorHAnsi"/>
        </w:rPr>
      </w:pPr>
      <w:r w:rsidRPr="001119F0">
        <w:rPr>
          <w:rFonts w:asciiTheme="majorHAnsi" w:hAnsiTheme="majorHAnsi" w:cstheme="majorHAnsi"/>
        </w:rPr>
        <w:t xml:space="preserve">1. </w:t>
      </w:r>
      <w:r w:rsidR="00716B5D" w:rsidRPr="001119F0">
        <w:rPr>
          <w:rFonts w:asciiTheme="majorHAnsi" w:hAnsiTheme="majorHAnsi" w:cstheme="majorHAnsi"/>
        </w:rPr>
        <w:t>The Global Initiative (</w:t>
      </w:r>
      <w:hyperlink r:id="rId13" w:history="1">
        <w:r w:rsidR="00716B5D" w:rsidRPr="002810F1">
          <w:rPr>
            <w:rStyle w:val="Hyperlink"/>
            <w:rFonts w:asciiTheme="majorHAnsi" w:hAnsiTheme="majorHAnsi" w:cstheme="majorHAnsi"/>
            <w:color w:val="0096A3"/>
          </w:rPr>
          <w:t>www.endcorporalpunishment.org</w:t>
        </w:r>
        <w:r w:rsidR="00716B5D" w:rsidRPr="002810F1">
          <w:rPr>
            <w:rStyle w:val="Hyperlink"/>
            <w:rFonts w:asciiTheme="majorHAnsi" w:hAnsiTheme="majorHAnsi" w:cstheme="majorHAnsi"/>
            <w:color w:val="auto"/>
            <w:u w:val="none"/>
          </w:rPr>
          <w:t>)</w:t>
        </w:r>
      </w:hyperlink>
      <w:r w:rsidR="00716B5D" w:rsidRPr="001119F0">
        <w:rPr>
          <w:rFonts w:asciiTheme="majorHAnsi" w:hAnsiTheme="majorHAnsi" w:cstheme="majorHAnsi"/>
        </w:rPr>
        <w:t xml:space="preserve"> promotes universal prohibition and elimination of corporal punishment in fulfilment of states’ obligations under the UN Convention on the Rights of the Child and other international</w:t>
      </w:r>
      <w:r w:rsidR="00142366" w:rsidRPr="001119F0">
        <w:rPr>
          <w:rFonts w:asciiTheme="majorHAnsi" w:hAnsiTheme="majorHAnsi" w:cstheme="majorHAnsi"/>
        </w:rPr>
        <w:t xml:space="preserve"> treaties. Our aims are supported by UNICEF, UNESCO, human rights institutions and international and national NGOs. Since 2002, the Global Initiative has regularly briefed the Committee on the Rights of the Child on this issue, and since 2004 has similarly briefed the Committee Against Torture, the Committee on the Elimination of Discrimination Against Women, the Committee on Economic, Social and Cultural Rights, the Human Rights Committee and the Human Rights Council; we have briefed the Committee on the Rights of Persons with Disabilities since the beginning of its work.</w:t>
      </w:r>
    </w:p>
    <w:p w14:paraId="08616AC9" w14:textId="5B04203E" w:rsidR="00716B5D" w:rsidRPr="001119F0" w:rsidRDefault="00716B5D" w:rsidP="00716B5D">
      <w:pPr>
        <w:spacing w:after="120"/>
        <w:rPr>
          <w:rFonts w:asciiTheme="majorHAnsi" w:hAnsiTheme="majorHAnsi" w:cstheme="majorHAnsi"/>
        </w:rPr>
      </w:pPr>
    </w:p>
    <w:p w14:paraId="02EFC191" w14:textId="49D05158" w:rsidR="00142366" w:rsidRPr="001119F0" w:rsidRDefault="00142366" w:rsidP="00716B5D">
      <w:pPr>
        <w:spacing w:after="120"/>
        <w:rPr>
          <w:rFonts w:asciiTheme="majorHAnsi" w:hAnsiTheme="majorHAnsi" w:cstheme="majorHAnsi"/>
          <w:b/>
          <w:sz w:val="26"/>
          <w:szCs w:val="26"/>
        </w:rPr>
      </w:pPr>
      <w:r w:rsidRPr="001119F0">
        <w:rPr>
          <w:rFonts w:asciiTheme="majorHAnsi" w:hAnsiTheme="majorHAnsi" w:cstheme="majorHAnsi"/>
          <w:b/>
          <w:sz w:val="26"/>
          <w:szCs w:val="26"/>
        </w:rPr>
        <w:t xml:space="preserve">(b) </w:t>
      </w:r>
      <w:r w:rsidR="00106569" w:rsidRPr="00C66A46">
        <w:rPr>
          <w:rFonts w:asciiTheme="majorHAnsi" w:hAnsiTheme="majorHAnsi" w:cstheme="majorHAnsi"/>
          <w:b/>
          <w:sz w:val="26"/>
          <w:szCs w:val="26"/>
        </w:rPr>
        <w:t>S</w:t>
      </w:r>
      <w:r w:rsidRPr="00C66A46">
        <w:rPr>
          <w:rFonts w:asciiTheme="majorHAnsi" w:hAnsiTheme="majorHAnsi" w:cstheme="majorHAnsi"/>
          <w:b/>
          <w:sz w:val="26"/>
          <w:szCs w:val="26"/>
        </w:rPr>
        <w:t>ummary</w:t>
      </w:r>
    </w:p>
    <w:p w14:paraId="57CD7F46" w14:textId="72E9FE79" w:rsidR="00106569" w:rsidRPr="001119F0" w:rsidRDefault="00833827" w:rsidP="007A21C3">
      <w:pPr>
        <w:spacing w:after="120"/>
        <w:rPr>
          <w:rFonts w:asciiTheme="majorHAnsi" w:hAnsiTheme="majorHAnsi" w:cstheme="majorHAnsi"/>
        </w:rPr>
      </w:pPr>
      <w:r w:rsidRPr="001119F0">
        <w:rPr>
          <w:rFonts w:asciiTheme="majorHAnsi" w:hAnsiTheme="majorHAnsi" w:cstheme="majorHAnsi"/>
        </w:rPr>
        <w:t xml:space="preserve">2. </w:t>
      </w:r>
      <w:r w:rsidR="00106569" w:rsidRPr="001119F0">
        <w:rPr>
          <w:rFonts w:asciiTheme="majorHAnsi" w:hAnsiTheme="majorHAnsi" w:cstheme="majorHAnsi"/>
        </w:rPr>
        <w:t>C</w:t>
      </w:r>
      <w:r w:rsidR="004D7A67" w:rsidRPr="001119F0">
        <w:rPr>
          <w:rFonts w:asciiTheme="majorHAnsi" w:hAnsiTheme="majorHAnsi" w:cstheme="majorHAnsi"/>
        </w:rPr>
        <w:t xml:space="preserve">orporal punishment of children in </w:t>
      </w:r>
      <w:r w:rsidR="00C66A46">
        <w:rPr>
          <w:rFonts w:asciiTheme="majorHAnsi" w:hAnsiTheme="majorHAnsi" w:cstheme="majorHAnsi"/>
        </w:rPr>
        <w:t>Indonesia</w:t>
      </w:r>
      <w:r w:rsidR="005D45A4" w:rsidRPr="001119F0">
        <w:rPr>
          <w:rFonts w:asciiTheme="majorHAnsi" w:hAnsiTheme="majorHAnsi" w:cstheme="majorHAnsi"/>
        </w:rPr>
        <w:t xml:space="preserve"> </w:t>
      </w:r>
      <w:r w:rsidR="00106569" w:rsidRPr="001119F0">
        <w:rPr>
          <w:rFonts w:asciiTheme="majorHAnsi" w:hAnsiTheme="majorHAnsi" w:cstheme="majorHAnsi"/>
        </w:rPr>
        <w:t>is</w:t>
      </w:r>
      <w:r w:rsidR="00C66A46" w:rsidRPr="00C66A46">
        <w:t xml:space="preserve"> </w:t>
      </w:r>
      <w:r w:rsidR="00C66A46" w:rsidRPr="00C66A46">
        <w:rPr>
          <w:rFonts w:asciiTheme="majorHAnsi" w:hAnsiTheme="majorHAnsi" w:cstheme="majorHAnsi"/>
        </w:rPr>
        <w:t xml:space="preserve">unlawful in penal institutions but it is still not fully prohibited in all other settings, including in the home, in alternative care and day care settings, in schools and as a sentence </w:t>
      </w:r>
      <w:r w:rsidR="00C66A46">
        <w:rPr>
          <w:rFonts w:asciiTheme="majorHAnsi" w:hAnsiTheme="majorHAnsi" w:cstheme="majorHAnsi"/>
        </w:rPr>
        <w:t>for a crime under religious law</w:t>
      </w:r>
      <w:r w:rsidR="001947F2" w:rsidRPr="001119F0">
        <w:rPr>
          <w:rFonts w:asciiTheme="majorHAnsi" w:hAnsiTheme="majorHAnsi" w:cstheme="majorHAnsi"/>
        </w:rPr>
        <w:t>,</w:t>
      </w:r>
      <w:r w:rsidR="00E511FD" w:rsidRPr="001119F0">
        <w:rPr>
          <w:rFonts w:asciiTheme="majorHAnsi" w:hAnsiTheme="majorHAnsi" w:cstheme="majorHAnsi"/>
        </w:rPr>
        <w:t xml:space="preserve"> </w:t>
      </w:r>
      <w:r w:rsidR="004D7A67" w:rsidRPr="001119F0">
        <w:rPr>
          <w:rFonts w:asciiTheme="majorHAnsi" w:hAnsiTheme="majorHAnsi" w:cstheme="majorHAnsi"/>
        </w:rPr>
        <w:t xml:space="preserve">in violation of </w:t>
      </w:r>
      <w:r w:rsidR="00181FAC" w:rsidRPr="001119F0">
        <w:rPr>
          <w:rFonts w:asciiTheme="majorHAnsi" w:hAnsiTheme="majorHAnsi" w:cstheme="majorHAnsi"/>
        </w:rPr>
        <w:t xml:space="preserve">the </w:t>
      </w:r>
      <w:r w:rsidR="00E511FD" w:rsidRPr="001119F0">
        <w:rPr>
          <w:rFonts w:asciiTheme="majorHAnsi" w:hAnsiTheme="majorHAnsi" w:cstheme="majorHAnsi"/>
        </w:rPr>
        <w:t xml:space="preserve">fundamental </w:t>
      </w:r>
      <w:r w:rsidR="00181FAC" w:rsidRPr="001119F0">
        <w:rPr>
          <w:rFonts w:asciiTheme="majorHAnsi" w:hAnsiTheme="majorHAnsi" w:cstheme="majorHAnsi"/>
        </w:rPr>
        <w:t>right of all children</w:t>
      </w:r>
      <w:r w:rsidR="004D7A67" w:rsidRPr="001119F0">
        <w:rPr>
          <w:rFonts w:asciiTheme="majorHAnsi" w:hAnsiTheme="majorHAnsi" w:cstheme="majorHAnsi"/>
        </w:rPr>
        <w:t xml:space="preserve"> to protection from corporal punishment and other cruel or degrading forms of punishment.</w:t>
      </w:r>
    </w:p>
    <w:p w14:paraId="79D69036" w14:textId="75095961" w:rsidR="004D7A67" w:rsidRPr="001119F0" w:rsidRDefault="00833827" w:rsidP="007A21C3">
      <w:pPr>
        <w:spacing w:after="120"/>
        <w:rPr>
          <w:rFonts w:asciiTheme="majorHAnsi" w:hAnsiTheme="majorHAnsi" w:cstheme="majorHAnsi"/>
        </w:rPr>
      </w:pPr>
      <w:r w:rsidRPr="001119F0">
        <w:rPr>
          <w:rFonts w:asciiTheme="majorHAnsi" w:hAnsiTheme="majorHAnsi" w:cstheme="majorHAnsi"/>
        </w:rPr>
        <w:t xml:space="preserve">3. </w:t>
      </w:r>
      <w:r w:rsidR="00181FAC" w:rsidRPr="001119F0">
        <w:rPr>
          <w:rFonts w:asciiTheme="majorHAnsi" w:hAnsiTheme="majorHAnsi" w:cstheme="majorHAnsi"/>
        </w:rPr>
        <w:t xml:space="preserve">With reference to </w:t>
      </w:r>
      <w:r w:rsidR="00181FAC" w:rsidRPr="001119F0">
        <w:rPr>
          <w:rFonts w:asciiTheme="majorHAnsi" w:hAnsiTheme="majorHAnsi" w:cstheme="majorHAnsi"/>
          <w:b/>
        </w:rPr>
        <w:t>articles 7, 15, 16 and 17</w:t>
      </w:r>
      <w:r w:rsidR="00181FAC" w:rsidRPr="001119F0">
        <w:rPr>
          <w:rFonts w:asciiTheme="majorHAnsi" w:hAnsiTheme="majorHAnsi" w:cstheme="majorHAnsi"/>
        </w:rPr>
        <w:t xml:space="preserve"> of the Convention on the Rights of Persons with Disabilities, and i</w:t>
      </w:r>
      <w:r w:rsidR="004D7A67" w:rsidRPr="001119F0">
        <w:rPr>
          <w:rFonts w:asciiTheme="majorHAnsi" w:hAnsiTheme="majorHAnsi" w:cstheme="majorHAnsi"/>
        </w:rPr>
        <w:t>n light of the particular vulnerability of children with disabilities to</w:t>
      </w:r>
      <w:r w:rsidR="00181FAC" w:rsidRPr="001119F0">
        <w:rPr>
          <w:rFonts w:asciiTheme="majorHAnsi" w:hAnsiTheme="majorHAnsi" w:cstheme="majorHAnsi"/>
        </w:rPr>
        <w:t xml:space="preserve"> corporal punishment by adults, </w:t>
      </w:r>
      <w:r w:rsidR="004D7A67" w:rsidRPr="001119F0">
        <w:rPr>
          <w:rFonts w:asciiTheme="majorHAnsi" w:hAnsiTheme="majorHAnsi" w:cstheme="majorHAnsi"/>
        </w:rPr>
        <w:t>the jurisp</w:t>
      </w:r>
      <w:r w:rsidR="00181FAC" w:rsidRPr="001119F0">
        <w:rPr>
          <w:rFonts w:asciiTheme="majorHAnsi" w:hAnsiTheme="majorHAnsi" w:cstheme="majorHAnsi"/>
        </w:rPr>
        <w:t>rudence of the UN treaty bodies</w:t>
      </w:r>
      <w:r w:rsidR="00E4774B" w:rsidRPr="001119F0">
        <w:rPr>
          <w:rFonts w:asciiTheme="majorHAnsi" w:hAnsiTheme="majorHAnsi" w:cstheme="majorHAnsi"/>
        </w:rPr>
        <w:t>,</w:t>
      </w:r>
      <w:r w:rsidR="004D7A67" w:rsidRPr="001119F0">
        <w:rPr>
          <w:rFonts w:asciiTheme="majorHAnsi" w:hAnsiTheme="majorHAnsi" w:cstheme="majorHAnsi"/>
        </w:rPr>
        <w:t xml:space="preserve"> the </w:t>
      </w:r>
      <w:r w:rsidR="00106569" w:rsidRPr="001119F0">
        <w:rPr>
          <w:rFonts w:asciiTheme="majorHAnsi" w:hAnsiTheme="majorHAnsi" w:cstheme="majorHAnsi"/>
        </w:rPr>
        <w:t>emphasis on</w:t>
      </w:r>
      <w:r w:rsidR="004D7A67" w:rsidRPr="001119F0">
        <w:rPr>
          <w:rFonts w:asciiTheme="majorHAnsi" w:hAnsiTheme="majorHAnsi" w:cstheme="majorHAnsi"/>
        </w:rPr>
        <w:t xml:space="preserve"> eradicating this form of violence given by the UN Secretary General’s Study on Violence against Children</w:t>
      </w:r>
      <w:r w:rsidR="00E4774B" w:rsidRPr="001119F0">
        <w:rPr>
          <w:rFonts w:asciiTheme="majorHAnsi" w:hAnsiTheme="majorHAnsi" w:cstheme="majorHAnsi"/>
        </w:rPr>
        <w:t xml:space="preserve"> and </w:t>
      </w:r>
      <w:r w:rsidR="00106569" w:rsidRPr="001119F0">
        <w:rPr>
          <w:rFonts w:asciiTheme="majorHAnsi" w:hAnsiTheme="majorHAnsi" w:cstheme="majorHAnsi"/>
        </w:rPr>
        <w:t xml:space="preserve">the importance of the issue to achieving target 16.2 on ending violence against children in the 2030 Sustainable Development Goals, </w:t>
      </w:r>
      <w:r w:rsidR="004D7A67" w:rsidRPr="001119F0">
        <w:rPr>
          <w:rFonts w:asciiTheme="majorHAnsi" w:hAnsiTheme="majorHAnsi" w:cstheme="majorHAnsi"/>
        </w:rPr>
        <w:t>w</w:t>
      </w:r>
      <w:r w:rsidR="004D7A67" w:rsidRPr="001119F0">
        <w:rPr>
          <w:rFonts w:asciiTheme="majorHAnsi" w:hAnsiTheme="majorHAnsi" w:cstheme="majorHAnsi"/>
          <w:iCs/>
        </w:rPr>
        <w:t>e hope the Committee on the Rights of Persons with Disabilities will:</w:t>
      </w:r>
      <w:bookmarkStart w:id="0" w:name="_GoBack"/>
      <w:bookmarkEnd w:id="0"/>
    </w:p>
    <w:p w14:paraId="7B48E400" w14:textId="1997A6AE" w:rsidR="007F7529" w:rsidRPr="001119F0" w:rsidRDefault="007F7529" w:rsidP="00521973">
      <w:pPr>
        <w:numPr>
          <w:ilvl w:val="0"/>
          <w:numId w:val="6"/>
        </w:numPr>
        <w:spacing w:after="120"/>
        <w:rPr>
          <w:rFonts w:asciiTheme="majorHAnsi" w:hAnsiTheme="majorHAnsi" w:cstheme="majorHAnsi"/>
          <w:iCs/>
        </w:rPr>
      </w:pPr>
      <w:r w:rsidRPr="001119F0">
        <w:rPr>
          <w:rFonts w:asciiTheme="majorHAnsi" w:hAnsiTheme="majorHAnsi" w:cstheme="majorHAnsi"/>
          <w:iCs/>
        </w:rPr>
        <w:t>include the issue of corporal puni</w:t>
      </w:r>
      <w:r w:rsidR="00B05968" w:rsidRPr="001119F0">
        <w:rPr>
          <w:rFonts w:asciiTheme="majorHAnsi" w:hAnsiTheme="majorHAnsi" w:cstheme="majorHAnsi"/>
          <w:iCs/>
        </w:rPr>
        <w:t>shment in its List of Issues</w:t>
      </w:r>
      <w:r w:rsidR="005F2E16" w:rsidRPr="001119F0">
        <w:rPr>
          <w:rFonts w:asciiTheme="majorHAnsi" w:hAnsiTheme="majorHAnsi" w:cstheme="majorHAnsi"/>
          <w:iCs/>
        </w:rPr>
        <w:t xml:space="preserve"> for</w:t>
      </w:r>
      <w:r w:rsidR="00B05968" w:rsidRPr="001119F0">
        <w:rPr>
          <w:rFonts w:asciiTheme="majorHAnsi" w:hAnsiTheme="majorHAnsi" w:cstheme="majorHAnsi"/>
          <w:iCs/>
        </w:rPr>
        <w:t xml:space="preserve"> </w:t>
      </w:r>
      <w:r w:rsidR="00C66A46">
        <w:rPr>
          <w:rFonts w:asciiTheme="majorHAnsi" w:hAnsiTheme="majorHAnsi" w:cstheme="majorHAnsi"/>
          <w:iCs/>
        </w:rPr>
        <w:t>Indonesia</w:t>
      </w:r>
      <w:r w:rsidRPr="001119F0">
        <w:rPr>
          <w:rFonts w:asciiTheme="majorHAnsi" w:hAnsiTheme="majorHAnsi" w:cstheme="majorHAnsi"/>
          <w:iCs/>
        </w:rPr>
        <w:t>, in particular asking</w:t>
      </w:r>
      <w:r w:rsidR="00DC20AE" w:rsidRPr="001119F0">
        <w:rPr>
          <w:rFonts w:asciiTheme="majorHAnsi" w:hAnsiTheme="majorHAnsi" w:cstheme="majorHAnsi"/>
          <w:iCs/>
        </w:rPr>
        <w:t>:</w:t>
      </w:r>
      <w:r w:rsidRPr="001119F0">
        <w:rPr>
          <w:rFonts w:asciiTheme="majorHAnsi" w:hAnsiTheme="majorHAnsi" w:cstheme="majorHAnsi"/>
          <w:iCs/>
        </w:rPr>
        <w:t xml:space="preserve"> </w:t>
      </w:r>
      <w:r w:rsidR="00DC20AE" w:rsidRPr="001119F0">
        <w:rPr>
          <w:rFonts w:asciiTheme="majorHAnsi" w:hAnsiTheme="majorHAnsi" w:cstheme="majorHAnsi"/>
          <w:iCs/>
        </w:rPr>
        <w:t>“</w:t>
      </w:r>
      <w:r w:rsidR="00B7483C" w:rsidRPr="001119F0">
        <w:rPr>
          <w:rFonts w:asciiTheme="majorHAnsi" w:hAnsiTheme="majorHAnsi" w:cstheme="majorHAnsi"/>
          <w:b/>
          <w:iCs/>
        </w:rPr>
        <w:t xml:space="preserve">what </w:t>
      </w:r>
      <w:r w:rsidR="004978EF">
        <w:rPr>
          <w:rFonts w:asciiTheme="majorHAnsi" w:hAnsiTheme="majorHAnsi" w:cstheme="majorHAnsi"/>
          <w:b/>
          <w:iCs/>
        </w:rPr>
        <w:t>steps are being taken to ensure that legislation clearly and explicitly prohibit all</w:t>
      </w:r>
      <w:r w:rsidR="00BB1960">
        <w:rPr>
          <w:rFonts w:asciiTheme="majorHAnsi" w:hAnsiTheme="majorHAnsi" w:cstheme="majorHAnsi"/>
          <w:b/>
          <w:iCs/>
        </w:rPr>
        <w:t xml:space="preserve"> </w:t>
      </w:r>
      <w:r w:rsidR="004978EF">
        <w:rPr>
          <w:rFonts w:asciiTheme="majorHAnsi" w:hAnsiTheme="majorHAnsi" w:cstheme="majorHAnsi"/>
          <w:b/>
          <w:iCs/>
        </w:rPr>
        <w:t xml:space="preserve">forms of </w:t>
      </w:r>
      <w:r w:rsidR="00BB1960">
        <w:rPr>
          <w:rFonts w:asciiTheme="majorHAnsi" w:hAnsiTheme="majorHAnsi" w:cstheme="majorHAnsi"/>
          <w:b/>
          <w:iCs/>
        </w:rPr>
        <w:t>corporal punishment o</w:t>
      </w:r>
      <w:r w:rsidR="00D27EAE">
        <w:rPr>
          <w:rFonts w:asciiTheme="majorHAnsi" w:hAnsiTheme="majorHAnsi" w:cstheme="majorHAnsi"/>
          <w:b/>
          <w:iCs/>
        </w:rPr>
        <w:t>f children,</w:t>
      </w:r>
      <w:r w:rsidR="00BB1960">
        <w:rPr>
          <w:rFonts w:asciiTheme="majorHAnsi" w:hAnsiTheme="majorHAnsi" w:cstheme="majorHAnsi"/>
          <w:b/>
          <w:iCs/>
        </w:rPr>
        <w:t xml:space="preserve"> </w:t>
      </w:r>
      <w:r w:rsidR="004978EF">
        <w:rPr>
          <w:rFonts w:asciiTheme="majorHAnsi" w:hAnsiTheme="majorHAnsi" w:cstheme="majorHAnsi"/>
          <w:b/>
          <w:iCs/>
        </w:rPr>
        <w:t>however light, in all settings</w:t>
      </w:r>
      <w:r w:rsidR="00C66A46">
        <w:rPr>
          <w:rFonts w:asciiTheme="majorHAnsi" w:hAnsiTheme="majorHAnsi" w:cstheme="majorHAnsi"/>
          <w:b/>
          <w:iCs/>
        </w:rPr>
        <w:t xml:space="preserve"> including as a sentence for a crime</w:t>
      </w:r>
      <w:r w:rsidR="00B7483C" w:rsidRPr="001119F0">
        <w:rPr>
          <w:rFonts w:asciiTheme="majorHAnsi" w:hAnsiTheme="majorHAnsi" w:cstheme="majorHAnsi"/>
          <w:b/>
          <w:iCs/>
        </w:rPr>
        <w:t>?</w:t>
      </w:r>
      <w:r w:rsidR="00B7483C" w:rsidRPr="001119F0">
        <w:rPr>
          <w:rFonts w:asciiTheme="majorHAnsi" w:hAnsiTheme="majorHAnsi" w:cstheme="majorHAnsi"/>
          <w:iCs/>
        </w:rPr>
        <w:t>”</w:t>
      </w:r>
    </w:p>
    <w:p w14:paraId="4FA79421" w14:textId="5BD703E8" w:rsidR="00E4774B" w:rsidRPr="001119F0" w:rsidRDefault="00E4774B" w:rsidP="007A21C3">
      <w:pPr>
        <w:numPr>
          <w:ilvl w:val="0"/>
          <w:numId w:val="6"/>
        </w:numPr>
        <w:spacing w:after="120"/>
        <w:rPr>
          <w:rFonts w:asciiTheme="majorHAnsi" w:hAnsiTheme="majorHAnsi" w:cstheme="majorHAnsi"/>
          <w:iCs/>
        </w:rPr>
      </w:pPr>
      <w:r w:rsidRPr="001119F0">
        <w:rPr>
          <w:rFonts w:asciiTheme="majorHAnsi" w:hAnsiTheme="majorHAnsi" w:cstheme="majorHAnsi"/>
          <w:iCs/>
        </w:rPr>
        <w:t>recommend t</w:t>
      </w:r>
      <w:r w:rsidR="00B05968" w:rsidRPr="001119F0">
        <w:rPr>
          <w:rFonts w:asciiTheme="majorHAnsi" w:hAnsiTheme="majorHAnsi" w:cstheme="majorHAnsi"/>
          <w:iCs/>
        </w:rPr>
        <w:t xml:space="preserve">o the Government of </w:t>
      </w:r>
      <w:r w:rsidR="00C66A46">
        <w:rPr>
          <w:rFonts w:asciiTheme="majorHAnsi" w:hAnsiTheme="majorHAnsi" w:cstheme="majorHAnsi"/>
          <w:iCs/>
        </w:rPr>
        <w:t>Indonesia</w:t>
      </w:r>
      <w:r w:rsidR="007F7529" w:rsidRPr="001119F0">
        <w:rPr>
          <w:rFonts w:asciiTheme="majorHAnsi" w:hAnsiTheme="majorHAnsi" w:cstheme="majorHAnsi"/>
          <w:iCs/>
        </w:rPr>
        <w:t xml:space="preserve">, in the Committee’s concluding observations on the </w:t>
      </w:r>
      <w:r w:rsidR="00C66A46">
        <w:rPr>
          <w:rFonts w:asciiTheme="majorHAnsi" w:hAnsiTheme="majorHAnsi" w:cstheme="majorHAnsi"/>
          <w:iCs/>
        </w:rPr>
        <w:t>initial</w:t>
      </w:r>
      <w:r w:rsidR="00833827" w:rsidRPr="001119F0">
        <w:rPr>
          <w:rFonts w:asciiTheme="majorHAnsi" w:hAnsiTheme="majorHAnsi" w:cstheme="majorHAnsi"/>
          <w:iCs/>
        </w:rPr>
        <w:t xml:space="preserve"> report, that </w:t>
      </w:r>
      <w:r w:rsidR="00DC20AE" w:rsidRPr="001119F0">
        <w:rPr>
          <w:rFonts w:asciiTheme="majorHAnsi" w:hAnsiTheme="majorHAnsi" w:cstheme="majorHAnsi"/>
          <w:iCs/>
        </w:rPr>
        <w:t>“</w:t>
      </w:r>
      <w:r w:rsidR="00521973" w:rsidRPr="001119F0">
        <w:rPr>
          <w:rFonts w:asciiTheme="majorHAnsi" w:hAnsiTheme="majorHAnsi" w:cstheme="majorHAnsi"/>
          <w:b/>
          <w:iCs/>
        </w:rPr>
        <w:t>an explicit prohibition of all</w:t>
      </w:r>
      <w:r w:rsidR="00DF42D1" w:rsidRPr="001119F0">
        <w:rPr>
          <w:rFonts w:asciiTheme="majorHAnsi" w:hAnsiTheme="majorHAnsi" w:cstheme="majorHAnsi"/>
          <w:b/>
          <w:iCs/>
        </w:rPr>
        <w:t xml:space="preserve"> corporal punishment of children</w:t>
      </w:r>
      <w:r w:rsidR="00521973" w:rsidRPr="001119F0">
        <w:rPr>
          <w:rFonts w:asciiTheme="majorHAnsi" w:hAnsiTheme="majorHAnsi" w:cstheme="majorHAnsi"/>
          <w:b/>
          <w:iCs/>
        </w:rPr>
        <w:t>, however light</w:t>
      </w:r>
      <w:r w:rsidR="002810F1">
        <w:rPr>
          <w:rFonts w:asciiTheme="majorHAnsi" w:hAnsiTheme="majorHAnsi" w:cstheme="majorHAnsi"/>
          <w:b/>
          <w:iCs/>
        </w:rPr>
        <w:t xml:space="preserve"> and</w:t>
      </w:r>
      <w:r w:rsidR="00DF42D1" w:rsidRPr="001119F0">
        <w:rPr>
          <w:rFonts w:asciiTheme="majorHAnsi" w:hAnsiTheme="majorHAnsi" w:cstheme="majorHAnsi"/>
          <w:b/>
          <w:iCs/>
        </w:rPr>
        <w:t xml:space="preserve"> in all settings</w:t>
      </w:r>
      <w:r w:rsidR="00D27EAE">
        <w:rPr>
          <w:rFonts w:asciiTheme="majorHAnsi" w:hAnsiTheme="majorHAnsi" w:cstheme="majorHAnsi"/>
          <w:b/>
          <w:iCs/>
        </w:rPr>
        <w:t xml:space="preserve"> </w:t>
      </w:r>
      <w:r w:rsidR="002F528D">
        <w:rPr>
          <w:rFonts w:asciiTheme="majorHAnsi" w:hAnsiTheme="majorHAnsi" w:cstheme="majorHAnsi"/>
          <w:b/>
          <w:iCs/>
        </w:rPr>
        <w:t>including the home</w:t>
      </w:r>
      <w:r w:rsidR="00C66A46">
        <w:rPr>
          <w:rFonts w:asciiTheme="majorHAnsi" w:hAnsiTheme="majorHAnsi" w:cstheme="majorHAnsi"/>
          <w:b/>
          <w:iCs/>
        </w:rPr>
        <w:t xml:space="preserve"> and as a sentence for a crime</w:t>
      </w:r>
      <w:r w:rsidR="00521973" w:rsidRPr="001119F0">
        <w:rPr>
          <w:rFonts w:asciiTheme="majorHAnsi" w:hAnsiTheme="majorHAnsi" w:cstheme="majorHAnsi"/>
          <w:b/>
          <w:iCs/>
        </w:rPr>
        <w:t xml:space="preserve">, </w:t>
      </w:r>
      <w:r w:rsidR="00DF42D1" w:rsidRPr="001119F0">
        <w:rPr>
          <w:rFonts w:asciiTheme="majorHAnsi" w:hAnsiTheme="majorHAnsi" w:cstheme="majorHAnsi"/>
          <w:b/>
          <w:iCs/>
        </w:rPr>
        <w:t xml:space="preserve">is </w:t>
      </w:r>
      <w:r w:rsidR="002E2D70" w:rsidRPr="001119F0">
        <w:rPr>
          <w:rFonts w:asciiTheme="majorHAnsi" w:hAnsiTheme="majorHAnsi" w:cstheme="majorHAnsi"/>
          <w:b/>
          <w:iCs/>
        </w:rPr>
        <w:t>enacted as a matter of priority</w:t>
      </w:r>
      <w:r w:rsidR="00DF42D1" w:rsidRPr="001119F0">
        <w:rPr>
          <w:rFonts w:asciiTheme="majorHAnsi" w:hAnsiTheme="majorHAnsi" w:cstheme="majorHAnsi"/>
          <w:b/>
          <w:iCs/>
        </w:rPr>
        <w:t xml:space="preserve"> </w:t>
      </w:r>
      <w:r w:rsidR="00963238" w:rsidRPr="001119F0">
        <w:rPr>
          <w:rFonts w:asciiTheme="majorHAnsi" w:hAnsiTheme="majorHAnsi" w:cstheme="majorHAnsi"/>
          <w:b/>
        </w:rPr>
        <w:t xml:space="preserve">and that measures are put in place to ensure the </w:t>
      </w:r>
      <w:r w:rsidR="002E2D70" w:rsidRPr="001119F0">
        <w:rPr>
          <w:rFonts w:asciiTheme="majorHAnsi" w:hAnsiTheme="majorHAnsi" w:cstheme="majorHAnsi"/>
          <w:b/>
        </w:rPr>
        <w:t>law</w:t>
      </w:r>
      <w:r w:rsidR="00963238" w:rsidRPr="001119F0">
        <w:rPr>
          <w:rFonts w:asciiTheme="majorHAnsi" w:hAnsiTheme="majorHAnsi" w:cstheme="majorHAnsi"/>
          <w:b/>
        </w:rPr>
        <w:t xml:space="preserve"> is properly implemented</w:t>
      </w:r>
      <w:r w:rsidR="00DC20AE" w:rsidRPr="001119F0">
        <w:rPr>
          <w:rFonts w:asciiTheme="majorHAnsi" w:hAnsiTheme="majorHAnsi" w:cstheme="majorHAnsi"/>
        </w:rPr>
        <w:t>”</w:t>
      </w:r>
      <w:r w:rsidR="00833827" w:rsidRPr="001119F0">
        <w:rPr>
          <w:rFonts w:asciiTheme="majorHAnsi" w:hAnsiTheme="majorHAnsi" w:cstheme="majorHAnsi"/>
        </w:rPr>
        <w:t>.</w:t>
      </w:r>
    </w:p>
    <w:p w14:paraId="3FBF531E" w14:textId="77777777" w:rsidR="009D6E71" w:rsidRPr="001119F0" w:rsidRDefault="009D6E71" w:rsidP="007F7529">
      <w:pPr>
        <w:spacing w:after="120"/>
        <w:rPr>
          <w:rFonts w:asciiTheme="majorHAnsi" w:hAnsiTheme="majorHAnsi" w:cstheme="majorHAnsi"/>
        </w:rPr>
      </w:pPr>
    </w:p>
    <w:p w14:paraId="2E512E2A" w14:textId="77777777" w:rsidR="00106569" w:rsidRPr="001119F0" w:rsidRDefault="00106569">
      <w:pPr>
        <w:rPr>
          <w:rFonts w:asciiTheme="majorHAnsi" w:hAnsiTheme="majorHAnsi" w:cstheme="majorHAnsi"/>
          <w:b/>
          <w:sz w:val="26"/>
          <w:szCs w:val="26"/>
        </w:rPr>
      </w:pPr>
      <w:r w:rsidRPr="001119F0">
        <w:rPr>
          <w:rFonts w:asciiTheme="majorHAnsi" w:hAnsiTheme="majorHAnsi" w:cstheme="majorHAnsi"/>
          <w:b/>
          <w:sz w:val="26"/>
          <w:szCs w:val="26"/>
        </w:rPr>
        <w:br w:type="page"/>
      </w:r>
    </w:p>
    <w:p w14:paraId="1983D09B" w14:textId="28BE79BE" w:rsidR="007F7529" w:rsidRPr="001119F0" w:rsidRDefault="007F7529" w:rsidP="007F7529">
      <w:pPr>
        <w:spacing w:after="120"/>
        <w:rPr>
          <w:rFonts w:asciiTheme="majorHAnsi" w:hAnsiTheme="majorHAnsi" w:cstheme="majorHAnsi"/>
          <w:b/>
          <w:sz w:val="26"/>
          <w:szCs w:val="26"/>
        </w:rPr>
      </w:pPr>
      <w:r w:rsidRPr="001119F0">
        <w:rPr>
          <w:rFonts w:asciiTheme="majorHAnsi" w:hAnsiTheme="majorHAnsi" w:cstheme="majorHAnsi"/>
          <w:b/>
          <w:sz w:val="26"/>
          <w:szCs w:val="26"/>
        </w:rPr>
        <w:lastRenderedPageBreak/>
        <w:t>(c) Detailed briefing</w:t>
      </w:r>
    </w:p>
    <w:p w14:paraId="69A1F232" w14:textId="5815296A" w:rsidR="007F7529" w:rsidRPr="001119F0" w:rsidRDefault="007F7529" w:rsidP="007F7529">
      <w:pPr>
        <w:spacing w:after="120"/>
        <w:rPr>
          <w:rFonts w:asciiTheme="majorHAnsi" w:hAnsiTheme="majorHAnsi" w:cstheme="majorHAnsi"/>
          <w:b/>
          <w:sz w:val="26"/>
          <w:szCs w:val="26"/>
        </w:rPr>
      </w:pPr>
      <w:r w:rsidRPr="001119F0">
        <w:rPr>
          <w:rFonts w:asciiTheme="majorHAnsi" w:hAnsiTheme="majorHAnsi" w:cstheme="majorHAnsi"/>
          <w:b/>
          <w:sz w:val="26"/>
          <w:szCs w:val="26"/>
        </w:rPr>
        <w:t>The right of children with disabilities not to be subjected to corporal punishment</w:t>
      </w:r>
    </w:p>
    <w:p w14:paraId="4E1BFC9B" w14:textId="7B424ACA" w:rsidR="006C166A" w:rsidRPr="001119F0" w:rsidRDefault="00833827" w:rsidP="00E511FD">
      <w:pPr>
        <w:spacing w:after="120"/>
        <w:rPr>
          <w:rFonts w:asciiTheme="majorHAnsi" w:hAnsiTheme="majorHAnsi" w:cstheme="majorHAnsi"/>
        </w:rPr>
      </w:pPr>
      <w:r w:rsidRPr="001119F0">
        <w:rPr>
          <w:rFonts w:asciiTheme="majorHAnsi" w:hAnsiTheme="majorHAnsi" w:cstheme="majorHAnsi"/>
        </w:rPr>
        <w:t>4</w:t>
      </w:r>
      <w:r w:rsidR="00E511FD" w:rsidRPr="001119F0">
        <w:rPr>
          <w:rFonts w:asciiTheme="majorHAnsi" w:hAnsiTheme="majorHAnsi" w:cstheme="majorHAnsi"/>
        </w:rPr>
        <w:t xml:space="preserve">. </w:t>
      </w:r>
      <w:r w:rsidR="007F7529" w:rsidRPr="001119F0">
        <w:rPr>
          <w:rFonts w:asciiTheme="majorHAnsi" w:hAnsiTheme="majorHAnsi" w:cstheme="majorHAnsi"/>
        </w:rPr>
        <w:t xml:space="preserve">The Convention on the Rights of Persons with Disabilities confirms that children with disabilities should enjoy all human rights and fundamental freedoms on an equal basis with other children (art. 7). The Convention also states that all persons have the rights to freedom from torture or cruel, inhuman or degrading treatment or punishment (art. 15), to freedom from exploitation, violence and abuse within and outside the home (art. 16) and to respect for their physical and mental integrity (art. 17). The jurisprudence of treaty monitoring bodies, led by the Committee on the Rights of the Child monitoring the Convention on the Rights of the Child, is clear that these rights put an obligation on states parties to prohibit and eliminate all corporal punishment of children, including within the family. </w:t>
      </w:r>
      <w:r w:rsidR="001B2F6E">
        <w:rPr>
          <w:rFonts w:asciiTheme="majorHAnsi" w:hAnsiTheme="majorHAnsi" w:cstheme="majorHAnsi"/>
        </w:rPr>
        <w:t>Despite this obligation</w:t>
      </w:r>
      <w:r w:rsidR="001B2F6E" w:rsidRPr="00D27EAE">
        <w:rPr>
          <w:rFonts w:asciiTheme="majorHAnsi" w:hAnsiTheme="majorHAnsi" w:cstheme="majorHAnsi"/>
        </w:rPr>
        <w:t xml:space="preserve">, </w:t>
      </w:r>
      <w:r w:rsidR="00EE508D">
        <w:rPr>
          <w:rFonts w:asciiTheme="majorHAnsi" w:hAnsiTheme="majorHAnsi" w:cstheme="majorHAnsi"/>
        </w:rPr>
        <w:t>Indonesia’s initial</w:t>
      </w:r>
      <w:r w:rsidR="001B2F6E" w:rsidRPr="00D27EAE">
        <w:rPr>
          <w:rFonts w:asciiTheme="majorHAnsi" w:hAnsiTheme="majorHAnsi" w:cstheme="majorHAnsi"/>
        </w:rPr>
        <w:t xml:space="preserve"> state report does not address corporal punishment of children.</w:t>
      </w:r>
    </w:p>
    <w:p w14:paraId="7D5B40EB" w14:textId="39FEEE47" w:rsidR="007F7529" w:rsidRPr="001119F0" w:rsidRDefault="00833827" w:rsidP="00E511FD">
      <w:pPr>
        <w:spacing w:after="120"/>
        <w:rPr>
          <w:rFonts w:asciiTheme="majorHAnsi" w:hAnsiTheme="majorHAnsi" w:cstheme="majorHAnsi"/>
        </w:rPr>
      </w:pPr>
      <w:r w:rsidRPr="001119F0">
        <w:rPr>
          <w:rFonts w:asciiTheme="majorHAnsi" w:hAnsiTheme="majorHAnsi" w:cstheme="majorHAnsi"/>
        </w:rPr>
        <w:t>5</w:t>
      </w:r>
      <w:r w:rsidR="00E511FD" w:rsidRPr="001119F0">
        <w:rPr>
          <w:rFonts w:asciiTheme="majorHAnsi" w:hAnsiTheme="majorHAnsi" w:cstheme="majorHAnsi"/>
        </w:rPr>
        <w:t xml:space="preserve">. </w:t>
      </w:r>
      <w:r w:rsidR="007F7529" w:rsidRPr="001119F0">
        <w:rPr>
          <w:rFonts w:asciiTheme="majorHAnsi" w:hAnsiTheme="majorHAnsi" w:cstheme="majorHAnsi"/>
        </w:rPr>
        <w:t>As confirmed in the UN Secretary General’s Study on Violence against Children, children with disabilities are particularly vulnerable to violence, including corporal punishment, and corporal punishment is a significant cause of impairment among children.</w:t>
      </w:r>
      <w:r w:rsidR="007F7529" w:rsidRPr="001119F0">
        <w:rPr>
          <w:rStyle w:val="FootnoteReference"/>
          <w:rFonts w:asciiTheme="majorHAnsi" w:hAnsiTheme="majorHAnsi" w:cstheme="majorHAnsi"/>
        </w:rPr>
        <w:footnoteReference w:id="1"/>
      </w:r>
      <w:r w:rsidR="007F7529" w:rsidRPr="001119F0">
        <w:rPr>
          <w:rFonts w:asciiTheme="majorHAnsi" w:hAnsiTheme="majorHAnsi" w:cstheme="majorHAnsi"/>
        </w:rPr>
        <w:t xml:space="preserve"> Yet the obligation to prohibit corporal punishment is frequently ignored or evaded by governments. The near universal acceptance of violence in childrearing together with deeply held views that parents and other adults have a “right” to physically punish children can challenge efforts to achieve prohibition. It also means that corporal punishment – at least to some degree – is not readily perceived as </w:t>
      </w:r>
      <w:r w:rsidR="00BC6C90" w:rsidRPr="001119F0">
        <w:rPr>
          <w:rFonts w:asciiTheme="majorHAnsi" w:hAnsiTheme="majorHAnsi" w:cstheme="majorHAnsi"/>
        </w:rPr>
        <w:t>violence</w:t>
      </w:r>
      <w:r w:rsidR="007F7529" w:rsidRPr="001119F0">
        <w:rPr>
          <w:rFonts w:asciiTheme="majorHAnsi" w:hAnsiTheme="majorHAnsi" w:cstheme="majorHAnsi"/>
        </w:rPr>
        <w:t xml:space="preserve"> in the same way as, for example, sexual and other socially unacceptable forms of </w:t>
      </w:r>
      <w:r w:rsidR="00E511FD" w:rsidRPr="001119F0">
        <w:rPr>
          <w:rFonts w:asciiTheme="majorHAnsi" w:hAnsiTheme="majorHAnsi" w:cstheme="majorHAnsi"/>
        </w:rPr>
        <w:t>violence.</w:t>
      </w:r>
    </w:p>
    <w:p w14:paraId="111ED3CA" w14:textId="75FB3DDE" w:rsidR="005B31F1" w:rsidRPr="001119F0" w:rsidRDefault="00833827" w:rsidP="00E511FD">
      <w:pPr>
        <w:spacing w:after="120"/>
        <w:rPr>
          <w:rFonts w:asciiTheme="majorHAnsi" w:hAnsiTheme="majorHAnsi" w:cstheme="majorHAnsi"/>
        </w:rPr>
      </w:pPr>
      <w:r w:rsidRPr="001119F0">
        <w:rPr>
          <w:rFonts w:asciiTheme="majorHAnsi" w:hAnsiTheme="majorHAnsi" w:cstheme="majorHAnsi"/>
        </w:rPr>
        <w:t>6</w:t>
      </w:r>
      <w:r w:rsidR="00E511FD" w:rsidRPr="001119F0">
        <w:rPr>
          <w:rFonts w:asciiTheme="majorHAnsi" w:hAnsiTheme="majorHAnsi" w:cstheme="majorHAnsi"/>
        </w:rPr>
        <w:t xml:space="preserve">. The </w:t>
      </w:r>
      <w:r w:rsidR="004866EF">
        <w:rPr>
          <w:rFonts w:asciiTheme="majorHAnsi" w:hAnsiTheme="majorHAnsi" w:cstheme="majorHAnsi"/>
        </w:rPr>
        <w:t>2030</w:t>
      </w:r>
      <w:r w:rsidR="00E511FD" w:rsidRPr="001119F0">
        <w:rPr>
          <w:rFonts w:asciiTheme="majorHAnsi" w:hAnsiTheme="majorHAnsi" w:cstheme="majorHAnsi"/>
        </w:rPr>
        <w:t xml:space="preserve"> Sustainable Development Goals include target 16.2 on ending all forms of violence against children. Violent punishment is the most common form of violence against children: ending it through the adoption and implementation of </w:t>
      </w:r>
      <w:r w:rsidRPr="001119F0">
        <w:rPr>
          <w:rFonts w:asciiTheme="majorHAnsi" w:hAnsiTheme="majorHAnsi" w:cstheme="majorHAnsi"/>
        </w:rPr>
        <w:t>legislation</w:t>
      </w:r>
      <w:r w:rsidR="00E511FD" w:rsidRPr="001119F0">
        <w:rPr>
          <w:rFonts w:asciiTheme="majorHAnsi" w:hAnsiTheme="majorHAnsi" w:cstheme="majorHAnsi"/>
        </w:rPr>
        <w:t xml:space="preserve"> prohibiting it in all settings including the home is critical. </w:t>
      </w:r>
    </w:p>
    <w:p w14:paraId="7CCE9FC2" w14:textId="77777777" w:rsidR="007F7529" w:rsidRPr="001119F0" w:rsidRDefault="007F7529" w:rsidP="007F7529">
      <w:pPr>
        <w:autoSpaceDE w:val="0"/>
        <w:autoSpaceDN w:val="0"/>
        <w:adjustRightInd w:val="0"/>
        <w:spacing w:after="120"/>
        <w:rPr>
          <w:rFonts w:asciiTheme="majorHAnsi" w:hAnsiTheme="majorHAnsi" w:cstheme="majorHAnsi"/>
          <w:b/>
          <w:sz w:val="26"/>
          <w:szCs w:val="26"/>
        </w:rPr>
      </w:pPr>
    </w:p>
    <w:p w14:paraId="1DD3CA84" w14:textId="0B802DF9" w:rsidR="007F7529" w:rsidRPr="001119F0" w:rsidRDefault="00683188" w:rsidP="007F7529">
      <w:pPr>
        <w:pStyle w:val="Heading2"/>
        <w:spacing w:after="120"/>
        <w:rPr>
          <w:rFonts w:asciiTheme="majorHAnsi" w:hAnsiTheme="majorHAnsi" w:cstheme="majorHAnsi"/>
          <w:sz w:val="26"/>
          <w:szCs w:val="26"/>
          <w:lang w:val="en-GB"/>
        </w:rPr>
      </w:pPr>
      <w:r w:rsidRPr="001119F0">
        <w:rPr>
          <w:rFonts w:asciiTheme="majorHAnsi" w:hAnsiTheme="majorHAnsi" w:cstheme="majorHAnsi"/>
          <w:sz w:val="26"/>
          <w:szCs w:val="26"/>
        </w:rPr>
        <w:t>The l</w:t>
      </w:r>
      <w:r w:rsidR="007F7529" w:rsidRPr="001119F0">
        <w:rPr>
          <w:rFonts w:asciiTheme="majorHAnsi" w:hAnsiTheme="majorHAnsi" w:cstheme="majorHAnsi"/>
          <w:sz w:val="26"/>
          <w:szCs w:val="26"/>
        </w:rPr>
        <w:t xml:space="preserve">egality of corporal punishment of children with disabilities in </w:t>
      </w:r>
      <w:r w:rsidR="00694139">
        <w:rPr>
          <w:rFonts w:asciiTheme="majorHAnsi" w:hAnsiTheme="majorHAnsi" w:cstheme="majorHAnsi"/>
          <w:sz w:val="26"/>
          <w:szCs w:val="26"/>
          <w:lang w:val="en-GB"/>
        </w:rPr>
        <w:t>Indonesia</w:t>
      </w:r>
    </w:p>
    <w:p w14:paraId="610CF94D" w14:textId="71EFAEAC" w:rsidR="007F7529" w:rsidRPr="001119F0" w:rsidRDefault="00833827" w:rsidP="00BC6C90">
      <w:pPr>
        <w:autoSpaceDE w:val="0"/>
        <w:autoSpaceDN w:val="0"/>
        <w:adjustRightInd w:val="0"/>
        <w:spacing w:after="120"/>
        <w:rPr>
          <w:rFonts w:asciiTheme="majorHAnsi" w:hAnsiTheme="majorHAnsi" w:cstheme="majorHAnsi"/>
        </w:rPr>
      </w:pPr>
      <w:r w:rsidRPr="001119F0">
        <w:rPr>
          <w:rFonts w:asciiTheme="majorHAnsi" w:hAnsiTheme="majorHAnsi" w:cstheme="majorHAnsi"/>
        </w:rPr>
        <w:t>7</w:t>
      </w:r>
      <w:r w:rsidR="00BC6C90" w:rsidRPr="001119F0">
        <w:rPr>
          <w:rFonts w:asciiTheme="majorHAnsi" w:hAnsiTheme="majorHAnsi" w:cstheme="majorHAnsi"/>
        </w:rPr>
        <w:t xml:space="preserve">. </w:t>
      </w:r>
      <w:r w:rsidR="00126D81" w:rsidRPr="001119F0">
        <w:rPr>
          <w:rFonts w:asciiTheme="majorHAnsi" w:hAnsiTheme="majorHAnsi" w:cstheme="majorHAnsi"/>
        </w:rPr>
        <w:t xml:space="preserve">In </w:t>
      </w:r>
      <w:r w:rsidR="00F63F75">
        <w:rPr>
          <w:rFonts w:asciiTheme="majorHAnsi" w:hAnsiTheme="majorHAnsi" w:cstheme="majorHAnsi"/>
        </w:rPr>
        <w:t>Indonesia</w:t>
      </w:r>
      <w:r w:rsidR="004866EF" w:rsidRPr="004866EF">
        <w:rPr>
          <w:rFonts w:asciiTheme="majorHAnsi" w:hAnsiTheme="majorHAnsi" w:cstheme="majorHAnsi"/>
        </w:rPr>
        <w:t xml:space="preserve">, corporal punishment of children is unlawful in </w:t>
      </w:r>
      <w:r w:rsidR="00711079">
        <w:rPr>
          <w:rFonts w:asciiTheme="majorHAnsi" w:hAnsiTheme="majorHAnsi" w:cstheme="majorHAnsi"/>
        </w:rPr>
        <w:t>penal institutions</w:t>
      </w:r>
      <w:r w:rsidR="004978EF">
        <w:rPr>
          <w:rFonts w:asciiTheme="majorHAnsi" w:hAnsiTheme="majorHAnsi" w:cstheme="majorHAnsi"/>
        </w:rPr>
        <w:t xml:space="preserve"> </w:t>
      </w:r>
      <w:r w:rsidR="00284C98">
        <w:rPr>
          <w:rFonts w:asciiTheme="majorHAnsi" w:hAnsiTheme="majorHAnsi" w:cstheme="majorHAnsi"/>
        </w:rPr>
        <w:t xml:space="preserve">but it </w:t>
      </w:r>
      <w:r w:rsidR="004866EF" w:rsidRPr="004866EF">
        <w:rPr>
          <w:rFonts w:asciiTheme="majorHAnsi" w:hAnsiTheme="majorHAnsi" w:cstheme="majorHAnsi"/>
        </w:rPr>
        <w:t xml:space="preserve">is still </w:t>
      </w:r>
      <w:r w:rsidR="00F63F75">
        <w:rPr>
          <w:rFonts w:asciiTheme="majorHAnsi" w:hAnsiTheme="majorHAnsi" w:cstheme="majorHAnsi"/>
        </w:rPr>
        <w:t>not fully prohibited in all other settings, including</w:t>
      </w:r>
      <w:r w:rsidR="004866EF" w:rsidRPr="004866EF">
        <w:rPr>
          <w:rFonts w:asciiTheme="majorHAnsi" w:hAnsiTheme="majorHAnsi" w:cstheme="majorHAnsi"/>
        </w:rPr>
        <w:t xml:space="preserve"> in </w:t>
      </w:r>
      <w:r w:rsidR="00284C98">
        <w:rPr>
          <w:rFonts w:asciiTheme="majorHAnsi" w:hAnsiTheme="majorHAnsi" w:cstheme="majorHAnsi"/>
        </w:rPr>
        <w:t>the home</w:t>
      </w:r>
      <w:r w:rsidR="004978EF">
        <w:rPr>
          <w:rFonts w:asciiTheme="majorHAnsi" w:hAnsiTheme="majorHAnsi" w:cstheme="majorHAnsi"/>
        </w:rPr>
        <w:t xml:space="preserve">, </w:t>
      </w:r>
      <w:r w:rsidR="00711079">
        <w:rPr>
          <w:rFonts w:asciiTheme="majorHAnsi" w:hAnsiTheme="majorHAnsi" w:cstheme="majorHAnsi"/>
        </w:rPr>
        <w:t xml:space="preserve">in </w:t>
      </w:r>
      <w:r w:rsidR="004978EF">
        <w:rPr>
          <w:rFonts w:asciiTheme="majorHAnsi" w:hAnsiTheme="majorHAnsi" w:cstheme="majorHAnsi"/>
        </w:rPr>
        <w:t xml:space="preserve">alternative care and </w:t>
      </w:r>
      <w:r w:rsidR="00711079">
        <w:rPr>
          <w:rFonts w:asciiTheme="majorHAnsi" w:hAnsiTheme="majorHAnsi" w:cstheme="majorHAnsi"/>
        </w:rPr>
        <w:t>day care settings</w:t>
      </w:r>
      <w:r w:rsidR="00F63F75">
        <w:rPr>
          <w:rFonts w:asciiTheme="majorHAnsi" w:hAnsiTheme="majorHAnsi" w:cstheme="majorHAnsi"/>
        </w:rPr>
        <w:t>, in schools and as a sentence for a crime under religious law</w:t>
      </w:r>
      <w:r w:rsidR="00284C98">
        <w:rPr>
          <w:rFonts w:asciiTheme="majorHAnsi" w:hAnsiTheme="majorHAnsi" w:cstheme="majorHAnsi"/>
        </w:rPr>
        <w:t>.</w:t>
      </w:r>
    </w:p>
    <w:p w14:paraId="63506CE7" w14:textId="4B84DD7E" w:rsidR="0037171C" w:rsidRPr="0037171C" w:rsidRDefault="00620321" w:rsidP="0037171C">
      <w:pPr>
        <w:autoSpaceDE w:val="0"/>
        <w:autoSpaceDN w:val="0"/>
        <w:adjustRightInd w:val="0"/>
        <w:spacing w:after="120"/>
        <w:rPr>
          <w:rFonts w:asciiTheme="majorHAnsi" w:hAnsiTheme="majorHAnsi" w:cstheme="majorHAnsi"/>
          <w:iCs/>
        </w:rPr>
      </w:pPr>
      <w:r w:rsidRPr="001119F0">
        <w:rPr>
          <w:rFonts w:asciiTheme="majorHAnsi" w:hAnsiTheme="majorHAnsi" w:cstheme="majorHAnsi"/>
        </w:rPr>
        <w:t xml:space="preserve">8. </w:t>
      </w:r>
      <w:r w:rsidRPr="001119F0">
        <w:rPr>
          <w:rFonts w:asciiTheme="majorHAnsi" w:hAnsiTheme="majorHAnsi" w:cstheme="majorHAnsi"/>
          <w:i/>
        </w:rPr>
        <w:t xml:space="preserve">Corporal </w:t>
      </w:r>
      <w:bookmarkStart w:id="1" w:name="OLE_LINK52"/>
      <w:bookmarkStart w:id="2" w:name="OLE_LINK53"/>
      <w:r w:rsidR="00586929">
        <w:rPr>
          <w:rFonts w:asciiTheme="majorHAnsi" w:hAnsiTheme="majorHAnsi" w:cstheme="majorHAnsi"/>
          <w:i/>
        </w:rPr>
        <w:t>punishment is lawful in the home</w:t>
      </w:r>
      <w:r w:rsidR="00586929" w:rsidRPr="00586929">
        <w:rPr>
          <w:rFonts w:asciiTheme="majorHAnsi" w:hAnsiTheme="majorHAnsi" w:cstheme="majorHAnsi"/>
          <w:iCs/>
        </w:rPr>
        <w:t>.</w:t>
      </w:r>
      <w:bookmarkEnd w:id="1"/>
      <w:bookmarkEnd w:id="2"/>
      <w:r w:rsidR="0037171C" w:rsidRPr="0037171C">
        <w:rPr>
          <w:rFonts w:asciiTheme="majorHAnsi" w:hAnsiTheme="majorHAnsi" w:cstheme="majorHAnsi"/>
          <w:iCs/>
        </w:rPr>
        <w:t xml:space="preserve"> The Law on Child Protection 2014 (amending the 2002 Child Protection Law) states that parents and other carers must protect the child (defined as persons under 18, art. 1(1)) from “harsh treatment violence and abuse” (art. 13), that every child shall be entitled to protection from “abuse, torture or inhuman punishment” (art. 16) and that every person who commits or threatens violence against a child shall be punished (art. 80); the Law on Human Rights 1999 states that children – have the right “to protection by parents, family, society, and state” (art. 52), to “protection before the law against all forms of physical and mental violence, neglect, mistreatment and sexual assault while under the care of his parents, guardian, or any other party responsible for his care” (art. 58), and “not to be the object of oppression, torture, or inhuman legal punishment” (art. 66(1)). But these provisions and provisions against violence and ill-treatment in the Penal Code 1918, the Law on Child Welfare 1979, the Law on Domestic Violence 2004, the Law on Youth 2009 and the Constitution 1945 are not interpreted as </w:t>
      </w:r>
      <w:r w:rsidR="0037171C" w:rsidRPr="0037171C">
        <w:rPr>
          <w:rFonts w:asciiTheme="majorHAnsi" w:hAnsiTheme="majorHAnsi" w:cstheme="majorHAnsi"/>
          <w:iCs/>
        </w:rPr>
        <w:lastRenderedPageBreak/>
        <w:t xml:space="preserve">prohibiting all corporal punishment in childrearing. We have been unable to examine the text of the Marriage Law 1974. </w:t>
      </w:r>
    </w:p>
    <w:p w14:paraId="1F6EC4D8" w14:textId="03CF148E" w:rsidR="0037171C" w:rsidRPr="0037171C" w:rsidRDefault="00F63F75" w:rsidP="0037171C">
      <w:pPr>
        <w:autoSpaceDE w:val="0"/>
        <w:autoSpaceDN w:val="0"/>
        <w:adjustRightInd w:val="0"/>
        <w:spacing w:after="120"/>
        <w:rPr>
          <w:rFonts w:asciiTheme="majorHAnsi" w:hAnsiTheme="majorHAnsi" w:cstheme="majorHAnsi"/>
          <w:iCs/>
        </w:rPr>
      </w:pPr>
      <w:r>
        <w:rPr>
          <w:rFonts w:asciiTheme="majorHAnsi" w:hAnsiTheme="majorHAnsi" w:cstheme="majorHAnsi"/>
          <w:iCs/>
        </w:rPr>
        <w:t xml:space="preserve">9. </w:t>
      </w:r>
      <w:r w:rsidR="0037171C" w:rsidRPr="0037171C">
        <w:rPr>
          <w:rFonts w:asciiTheme="majorHAnsi" w:hAnsiTheme="majorHAnsi" w:cstheme="majorHAnsi"/>
          <w:iCs/>
        </w:rPr>
        <w:t>In its third/fourth state party report to the Committee on the Rights of the Child, dated October 2010, the Government stated it had a programme to develop “national and regional regulations that prohibit all forms of physical and psychological punishments of children at home and in schools”.</w:t>
      </w:r>
      <w:r w:rsidR="0037171C" w:rsidRPr="0037171C">
        <w:rPr>
          <w:rFonts w:asciiTheme="majorHAnsi" w:hAnsiTheme="majorHAnsi" w:cstheme="majorHAnsi"/>
          <w:iCs/>
          <w:vertAlign w:val="superscript"/>
        </w:rPr>
        <w:footnoteReference w:id="2"/>
      </w:r>
      <w:r w:rsidR="0037171C" w:rsidRPr="0037171C">
        <w:rPr>
          <w:rFonts w:asciiTheme="majorHAnsi" w:hAnsiTheme="majorHAnsi" w:cstheme="majorHAnsi"/>
          <w:iCs/>
        </w:rPr>
        <w:t xml:space="preserve"> Ministerial Regulation No. 6/2011 on Protection of Women and Child Victims of Violence provides for implementation of the Law on Child Protection 2002, the Law on Domestic Violence 2004 and other relevant laws to protection children from violence in the home and in other spheres. They define violence as “any act that results or could result in misery or suffering, whether physical, sexual, economic, social or mental” (art. 11), child abuse as “any form of restriction, discrimination, exclusion and all forms of treatment to children which includes but is not limited to physical, sexual, psychological and economic violence” (art. 13) and physical violence as “any act that results in pain, injury, or physical disability” (art. 14) (unofficial translation). But there is no indication that this is interpreted as prohibiting all corporal punishment in childrearing. In 2012, the Government rejected recommendations to prohibit corporal punishment made during the Universal Periodic Review.</w:t>
      </w:r>
      <w:r w:rsidR="0037171C" w:rsidRPr="0037171C">
        <w:rPr>
          <w:rFonts w:asciiTheme="majorHAnsi" w:hAnsiTheme="majorHAnsi" w:cstheme="majorHAnsi"/>
          <w:iCs/>
          <w:vertAlign w:val="superscript"/>
        </w:rPr>
        <w:footnoteReference w:id="3"/>
      </w:r>
      <w:r w:rsidR="0037171C" w:rsidRPr="0037171C">
        <w:rPr>
          <w:rFonts w:asciiTheme="majorHAnsi" w:hAnsiTheme="majorHAnsi" w:cstheme="majorHAnsi"/>
          <w:iCs/>
        </w:rPr>
        <w:t xml:space="preserve"> </w:t>
      </w:r>
    </w:p>
    <w:p w14:paraId="77824DA9" w14:textId="13879C64" w:rsidR="0037171C" w:rsidRPr="0037171C" w:rsidRDefault="00F63F75" w:rsidP="0037171C">
      <w:pPr>
        <w:autoSpaceDE w:val="0"/>
        <w:autoSpaceDN w:val="0"/>
        <w:adjustRightInd w:val="0"/>
        <w:spacing w:after="120"/>
        <w:rPr>
          <w:rFonts w:asciiTheme="majorHAnsi" w:hAnsiTheme="majorHAnsi" w:cstheme="majorHAnsi"/>
          <w:iCs/>
        </w:rPr>
      </w:pPr>
      <w:r>
        <w:rPr>
          <w:rFonts w:asciiTheme="majorHAnsi" w:hAnsiTheme="majorHAnsi" w:cstheme="majorHAnsi"/>
          <w:iCs/>
        </w:rPr>
        <w:t xml:space="preserve">10. </w:t>
      </w:r>
      <w:r w:rsidR="0037171C" w:rsidRPr="0037171C">
        <w:rPr>
          <w:rFonts w:asciiTheme="majorHAnsi" w:hAnsiTheme="majorHAnsi" w:cstheme="majorHAnsi"/>
          <w:iCs/>
        </w:rPr>
        <w:t>A draft new Criminal Code has long been under discussion: in March 2013 the Ministry of Justice and Human Rights reported that the revised Code had been submitted to the lawmakers.</w:t>
      </w:r>
      <w:r w:rsidR="0037171C" w:rsidRPr="0037171C">
        <w:rPr>
          <w:rFonts w:asciiTheme="majorHAnsi" w:hAnsiTheme="majorHAnsi" w:cstheme="majorHAnsi"/>
          <w:iCs/>
          <w:vertAlign w:val="superscript"/>
        </w:rPr>
        <w:footnoteReference w:id="4"/>
      </w:r>
      <w:r w:rsidR="0037171C" w:rsidRPr="0037171C">
        <w:rPr>
          <w:rFonts w:asciiTheme="majorHAnsi" w:hAnsiTheme="majorHAnsi" w:cstheme="majorHAnsi"/>
          <w:iCs/>
        </w:rPr>
        <w:t xml:space="preserve"> It appears no new Code has yet been adopted.</w:t>
      </w:r>
    </w:p>
    <w:p w14:paraId="5CEA3944" w14:textId="678D8636" w:rsidR="0037171C" w:rsidRPr="0037171C" w:rsidRDefault="00F63F75" w:rsidP="0037171C">
      <w:pPr>
        <w:autoSpaceDE w:val="0"/>
        <w:autoSpaceDN w:val="0"/>
        <w:adjustRightInd w:val="0"/>
        <w:spacing w:after="120"/>
        <w:rPr>
          <w:rFonts w:asciiTheme="majorHAnsi" w:hAnsiTheme="majorHAnsi" w:cstheme="majorHAnsi"/>
          <w:iCs/>
        </w:rPr>
      </w:pPr>
      <w:r>
        <w:rPr>
          <w:rFonts w:asciiTheme="majorHAnsi" w:hAnsiTheme="majorHAnsi" w:cstheme="majorHAnsi"/>
          <w:iCs/>
        </w:rPr>
        <w:t xml:space="preserve">11. </w:t>
      </w:r>
      <w:r w:rsidR="0037171C" w:rsidRPr="0037171C">
        <w:rPr>
          <w:rFonts w:asciiTheme="majorHAnsi" w:hAnsiTheme="majorHAnsi" w:cstheme="majorHAnsi"/>
          <w:iCs/>
        </w:rPr>
        <w:t xml:space="preserve">A National Strategy on the Elimination of Violence Against Children 2016-2020 was adopted by the Ministry for Women’s Empowerment and Child Protection in 2015. The strategy identifies corporal punishment as a “dangerous practice” and highlights prohibition of physical punishment as an international obligation not yet translated into national law, and a challenge in relation to rules of law that needs to be overcome. Following the adoption of the National Strategy, Indonesia became a pathfinder country with the Global Partnership to End Violence Against Children, which was established in 2016. This commits the Government to three to five years of accelerated action towards the achievement of Target 16.2 of the Sustainable Development Goals. The roadmap on the implementation of the National Strategy has not yet been adopted but a roundtable event on the issue was held in May 2017. </w:t>
      </w:r>
    </w:p>
    <w:p w14:paraId="20A3BCB2" w14:textId="726D64BE" w:rsidR="0037171C" w:rsidRPr="0037171C" w:rsidRDefault="00F63F75" w:rsidP="0037171C">
      <w:pPr>
        <w:autoSpaceDE w:val="0"/>
        <w:autoSpaceDN w:val="0"/>
        <w:adjustRightInd w:val="0"/>
        <w:spacing w:after="120"/>
        <w:rPr>
          <w:rFonts w:asciiTheme="majorHAnsi" w:hAnsiTheme="majorHAnsi" w:cstheme="majorHAnsi"/>
          <w:iCs/>
        </w:rPr>
      </w:pPr>
      <w:r>
        <w:rPr>
          <w:rFonts w:asciiTheme="majorHAnsi" w:hAnsiTheme="majorHAnsi" w:cstheme="majorHAnsi"/>
          <w:iCs/>
        </w:rPr>
        <w:t xml:space="preserve">12. </w:t>
      </w:r>
      <w:r w:rsidR="0037171C" w:rsidRPr="0037171C">
        <w:rPr>
          <w:rFonts w:asciiTheme="majorHAnsi" w:hAnsiTheme="majorHAnsi" w:cstheme="majorHAnsi"/>
          <w:iCs/>
        </w:rPr>
        <w:t>The Government accepted recommendations to prohibit corporal punishment during the Universal Periodic Review in 2017, committing itself to banning its use in all settings.</w:t>
      </w:r>
      <w:r w:rsidR="0037171C" w:rsidRPr="0037171C">
        <w:rPr>
          <w:rFonts w:asciiTheme="majorHAnsi" w:hAnsiTheme="majorHAnsi" w:cstheme="majorHAnsi"/>
          <w:iCs/>
          <w:vertAlign w:val="superscript"/>
        </w:rPr>
        <w:footnoteReference w:id="5"/>
      </w:r>
    </w:p>
    <w:p w14:paraId="22B35936" w14:textId="1E19C0AE" w:rsidR="0037171C" w:rsidRPr="0037171C" w:rsidRDefault="000534D3" w:rsidP="0037171C">
      <w:pPr>
        <w:autoSpaceDE w:val="0"/>
        <w:autoSpaceDN w:val="0"/>
        <w:adjustRightInd w:val="0"/>
        <w:spacing w:after="120"/>
        <w:rPr>
          <w:rFonts w:asciiTheme="majorHAnsi" w:hAnsiTheme="majorHAnsi" w:cstheme="majorHAnsi"/>
        </w:rPr>
      </w:pPr>
      <w:r>
        <w:rPr>
          <w:rFonts w:asciiTheme="majorHAnsi" w:hAnsiTheme="majorHAnsi" w:cstheme="majorHAnsi"/>
        </w:rPr>
        <w:t>1</w:t>
      </w:r>
      <w:r w:rsidR="00F63F75">
        <w:rPr>
          <w:rFonts w:asciiTheme="majorHAnsi" w:hAnsiTheme="majorHAnsi" w:cstheme="majorHAnsi"/>
        </w:rPr>
        <w:t>3</w:t>
      </w:r>
      <w:r w:rsidR="00620321" w:rsidRPr="001119F0">
        <w:rPr>
          <w:rFonts w:asciiTheme="majorHAnsi" w:hAnsiTheme="majorHAnsi" w:cstheme="majorHAnsi"/>
        </w:rPr>
        <w:t>.</w:t>
      </w:r>
      <w:r w:rsidR="000F5301" w:rsidRPr="000F5301">
        <w:rPr>
          <w:rFonts w:asciiTheme="majorHAnsi" w:hAnsiTheme="majorHAnsi" w:cstheme="majorHAnsi"/>
        </w:rPr>
        <w:t xml:space="preserve"> </w:t>
      </w:r>
      <w:r w:rsidR="0037171C" w:rsidRPr="00F63F75">
        <w:rPr>
          <w:rFonts w:asciiTheme="majorHAnsi" w:hAnsiTheme="majorHAnsi" w:cstheme="majorHAnsi"/>
          <w:i/>
        </w:rPr>
        <w:t>There is no explicit prohibition of corporal punishment in alternative care settings, wh</w:t>
      </w:r>
      <w:r w:rsidR="00F63F75" w:rsidRPr="00F63F75">
        <w:rPr>
          <w:rFonts w:asciiTheme="majorHAnsi" w:hAnsiTheme="majorHAnsi" w:cstheme="majorHAnsi"/>
          <w:i/>
        </w:rPr>
        <w:t>ere it is lawful as for parents</w:t>
      </w:r>
      <w:r w:rsidR="0037171C" w:rsidRPr="0037171C">
        <w:rPr>
          <w:rFonts w:asciiTheme="majorHAnsi" w:hAnsiTheme="majorHAnsi" w:cstheme="majorHAnsi"/>
        </w:rPr>
        <w:t>. National Standards of Care for Child Welfare Institutions, adopted under Ministry of Social Affairs regulation 30/HUK/2011, state that corporal punishment should not be used but there is no prohibition in law. Children have limited protection under the Ministerial Regulation No. 6/2011 on Protection of Women and Child Victims of Violence.</w:t>
      </w:r>
    </w:p>
    <w:p w14:paraId="7EB84621" w14:textId="0C16B0FD" w:rsidR="0037171C" w:rsidRPr="0037171C" w:rsidRDefault="00D63AA6" w:rsidP="0037171C">
      <w:pPr>
        <w:autoSpaceDE w:val="0"/>
        <w:autoSpaceDN w:val="0"/>
        <w:adjustRightInd w:val="0"/>
        <w:spacing w:after="120"/>
        <w:rPr>
          <w:rFonts w:asciiTheme="majorHAnsi" w:hAnsiTheme="majorHAnsi" w:cstheme="majorHAnsi"/>
        </w:rPr>
      </w:pPr>
      <w:r w:rsidRPr="001119F0">
        <w:rPr>
          <w:rFonts w:asciiTheme="majorHAnsi" w:hAnsiTheme="majorHAnsi" w:cstheme="majorHAnsi"/>
        </w:rPr>
        <w:t>1</w:t>
      </w:r>
      <w:r w:rsidR="00F63F75">
        <w:rPr>
          <w:rFonts w:asciiTheme="majorHAnsi" w:hAnsiTheme="majorHAnsi" w:cstheme="majorHAnsi"/>
        </w:rPr>
        <w:t>4</w:t>
      </w:r>
      <w:r w:rsidRPr="001119F0">
        <w:rPr>
          <w:rFonts w:asciiTheme="majorHAnsi" w:hAnsiTheme="majorHAnsi" w:cstheme="majorHAnsi"/>
        </w:rPr>
        <w:t xml:space="preserve">. </w:t>
      </w:r>
      <w:r w:rsidR="0037171C" w:rsidRPr="00F63F75">
        <w:rPr>
          <w:rFonts w:asciiTheme="majorHAnsi" w:hAnsiTheme="majorHAnsi" w:cstheme="majorHAnsi"/>
          <w:i/>
        </w:rPr>
        <w:t>There is no explicit prohibition of corporal punishment in day care</w:t>
      </w:r>
      <w:r w:rsidR="0037171C" w:rsidRPr="0037171C">
        <w:rPr>
          <w:rFonts w:asciiTheme="majorHAnsi" w:hAnsiTheme="majorHAnsi" w:cstheme="majorHAnsi"/>
        </w:rPr>
        <w:t>: it is lawful as for parents. Children have limited protection under the Ministerial Regulation No. 6/2011 on Protection of Women and</w:t>
      </w:r>
      <w:r w:rsidR="00F63F75">
        <w:rPr>
          <w:rFonts w:asciiTheme="majorHAnsi" w:hAnsiTheme="majorHAnsi" w:cstheme="majorHAnsi"/>
        </w:rPr>
        <w:t xml:space="preserve"> Child Victims of Violence</w:t>
      </w:r>
      <w:r w:rsidR="0037171C" w:rsidRPr="0037171C">
        <w:rPr>
          <w:rFonts w:asciiTheme="majorHAnsi" w:hAnsiTheme="majorHAnsi" w:cstheme="majorHAnsi"/>
        </w:rPr>
        <w:t>.</w:t>
      </w:r>
    </w:p>
    <w:p w14:paraId="323CA54F" w14:textId="27549573" w:rsidR="0037171C" w:rsidRPr="0037171C" w:rsidRDefault="00D63AA6" w:rsidP="0037171C">
      <w:pPr>
        <w:autoSpaceDE w:val="0"/>
        <w:autoSpaceDN w:val="0"/>
        <w:adjustRightInd w:val="0"/>
        <w:spacing w:after="120"/>
        <w:rPr>
          <w:rFonts w:asciiTheme="majorHAnsi" w:hAnsiTheme="majorHAnsi" w:cstheme="majorHAnsi"/>
        </w:rPr>
      </w:pPr>
      <w:r w:rsidRPr="001119F0">
        <w:rPr>
          <w:rFonts w:asciiTheme="majorHAnsi" w:hAnsiTheme="majorHAnsi" w:cstheme="majorHAnsi"/>
        </w:rPr>
        <w:t>1</w:t>
      </w:r>
      <w:r w:rsidR="00F63F75">
        <w:rPr>
          <w:rFonts w:asciiTheme="majorHAnsi" w:hAnsiTheme="majorHAnsi" w:cstheme="majorHAnsi"/>
        </w:rPr>
        <w:t>5</w:t>
      </w:r>
      <w:r w:rsidRPr="001119F0">
        <w:rPr>
          <w:rFonts w:asciiTheme="majorHAnsi" w:hAnsiTheme="majorHAnsi" w:cstheme="majorHAnsi"/>
        </w:rPr>
        <w:t xml:space="preserve">. </w:t>
      </w:r>
      <w:bookmarkStart w:id="3" w:name="OLE_LINK44"/>
      <w:bookmarkStart w:id="4" w:name="OLE_LINK45"/>
      <w:r w:rsidRPr="001119F0">
        <w:rPr>
          <w:rFonts w:asciiTheme="majorHAnsi" w:hAnsiTheme="majorHAnsi" w:cstheme="majorHAnsi"/>
          <w:i/>
        </w:rPr>
        <w:t xml:space="preserve">Corporal punishment is </w:t>
      </w:r>
      <w:bookmarkEnd w:id="3"/>
      <w:bookmarkEnd w:id="4"/>
      <w:r w:rsidR="0037171C" w:rsidRPr="00F63F75">
        <w:rPr>
          <w:rFonts w:asciiTheme="majorHAnsi" w:hAnsiTheme="majorHAnsi" w:cstheme="majorHAnsi"/>
          <w:i/>
        </w:rPr>
        <w:t>lawful in schools</w:t>
      </w:r>
      <w:r w:rsidR="0037171C" w:rsidRPr="0037171C">
        <w:rPr>
          <w:rFonts w:asciiTheme="majorHAnsi" w:hAnsiTheme="majorHAnsi" w:cstheme="majorHAnsi"/>
        </w:rPr>
        <w:t xml:space="preserve">. The Law on Child Protection 2014 protects children in schools from “violence and abuse from teachers, school managers, and school mates both in the </w:t>
      </w:r>
      <w:r w:rsidR="0037171C" w:rsidRPr="0037171C">
        <w:rPr>
          <w:rFonts w:asciiTheme="majorHAnsi" w:hAnsiTheme="majorHAnsi" w:cstheme="majorHAnsi"/>
        </w:rPr>
        <w:lastRenderedPageBreak/>
        <w:t>school and other educational institutions” (art. 54); Ministerial Regulation No. 82/2015 on the Prevention and Sanction of Violence in Schools also provides protection from violence but neither text explicitly prohibits corporal punishment. A group of teachers has been reported to pursue a judicial review procedure of the Law on Child Protection 2014 in order to clarify the interpretation of the term “violence and abuse”</w:t>
      </w:r>
      <w:r w:rsidR="0037171C" w:rsidRPr="0037171C">
        <w:rPr>
          <w:rFonts w:asciiTheme="majorHAnsi" w:hAnsiTheme="majorHAnsi" w:cstheme="majorHAnsi"/>
          <w:vertAlign w:val="superscript"/>
        </w:rPr>
        <w:footnoteReference w:id="6"/>
      </w:r>
      <w:r w:rsidR="0037171C" w:rsidRPr="0037171C">
        <w:rPr>
          <w:rFonts w:asciiTheme="majorHAnsi" w:hAnsiTheme="majorHAnsi" w:cstheme="majorHAnsi"/>
        </w:rPr>
        <w:t xml:space="preserve"> – as of July 2017 the Constitutional Court does not appear to have a decision yet.</w:t>
      </w:r>
    </w:p>
    <w:p w14:paraId="5B9E8C2F" w14:textId="7F224922" w:rsidR="0037171C" w:rsidRPr="0037171C" w:rsidRDefault="00F63F75" w:rsidP="0037171C">
      <w:pPr>
        <w:autoSpaceDE w:val="0"/>
        <w:autoSpaceDN w:val="0"/>
        <w:adjustRightInd w:val="0"/>
        <w:spacing w:after="120"/>
        <w:rPr>
          <w:rFonts w:asciiTheme="majorHAnsi" w:hAnsiTheme="majorHAnsi" w:cstheme="majorHAnsi"/>
        </w:rPr>
      </w:pPr>
      <w:r>
        <w:rPr>
          <w:rFonts w:asciiTheme="majorHAnsi" w:hAnsiTheme="majorHAnsi" w:cstheme="majorHAnsi"/>
        </w:rPr>
        <w:t xml:space="preserve">16. </w:t>
      </w:r>
      <w:r w:rsidR="0037171C" w:rsidRPr="0037171C">
        <w:rPr>
          <w:rFonts w:asciiTheme="majorHAnsi" w:hAnsiTheme="majorHAnsi" w:cstheme="majorHAnsi"/>
        </w:rPr>
        <w:t>The Act on the National Education System 2003 is silent on the issue of corporal punishment. We have been unable to examine the text of the Teachers and Lecturers Law 2015 but there are no indications that it addresses corporal punishment. Children have limited protection under the Ministerial Regulation No. 6/2011 on Protection of Women and Child Victims of Violence.</w:t>
      </w:r>
    </w:p>
    <w:p w14:paraId="6A978358" w14:textId="70DF449D" w:rsidR="0037171C" w:rsidRPr="0037171C" w:rsidRDefault="00586929" w:rsidP="0037171C">
      <w:pPr>
        <w:autoSpaceDE w:val="0"/>
        <w:autoSpaceDN w:val="0"/>
        <w:adjustRightInd w:val="0"/>
        <w:spacing w:after="120"/>
        <w:rPr>
          <w:rFonts w:asciiTheme="majorHAnsi" w:hAnsiTheme="majorHAnsi" w:cstheme="majorHAnsi"/>
        </w:rPr>
      </w:pPr>
      <w:r>
        <w:rPr>
          <w:rFonts w:asciiTheme="majorHAnsi" w:hAnsiTheme="majorHAnsi" w:cstheme="majorHAnsi"/>
        </w:rPr>
        <w:t>1</w:t>
      </w:r>
      <w:r w:rsidR="00F63F75">
        <w:rPr>
          <w:rFonts w:asciiTheme="majorHAnsi" w:hAnsiTheme="majorHAnsi" w:cstheme="majorHAnsi"/>
        </w:rPr>
        <w:t>7</w:t>
      </w:r>
      <w:r w:rsidR="00D63AA6" w:rsidRPr="001119F0">
        <w:rPr>
          <w:rFonts w:asciiTheme="majorHAnsi" w:hAnsiTheme="majorHAnsi" w:cstheme="majorHAnsi"/>
        </w:rPr>
        <w:t xml:space="preserve">. </w:t>
      </w:r>
      <w:r w:rsidR="00591A1C" w:rsidRPr="001119F0">
        <w:rPr>
          <w:rFonts w:asciiTheme="majorHAnsi" w:hAnsiTheme="majorHAnsi" w:cstheme="majorHAnsi"/>
          <w:i/>
        </w:rPr>
        <w:t>Corporal punishment is</w:t>
      </w:r>
      <w:r w:rsidR="004F7EF9" w:rsidRPr="001119F0">
        <w:rPr>
          <w:rFonts w:asciiTheme="majorHAnsi" w:hAnsiTheme="majorHAnsi" w:cstheme="majorHAnsi"/>
          <w:i/>
        </w:rPr>
        <w:t xml:space="preserve"> </w:t>
      </w:r>
      <w:r w:rsidR="0037171C" w:rsidRPr="00F63F75">
        <w:rPr>
          <w:rFonts w:asciiTheme="majorHAnsi" w:hAnsiTheme="majorHAnsi" w:cstheme="majorHAnsi"/>
          <w:i/>
        </w:rPr>
        <w:t>considered unlawful as a disciplinary measure in penal institutions</w:t>
      </w:r>
      <w:r w:rsidR="0037171C" w:rsidRPr="0037171C">
        <w:rPr>
          <w:rFonts w:asciiTheme="majorHAnsi" w:hAnsiTheme="majorHAnsi" w:cstheme="majorHAnsi"/>
        </w:rPr>
        <w:t xml:space="preserve">, but it is not explicitly prohibited. The Law on Correctional Facilities 1995 provides for respect for human dignity (art. 5) and corporal punishment is not among permitted disciplinary measures (art. 47). The Law on Human Rights states that children deprived of their liberty have the right to “humane treatment, as befits the personal development needs of his age” (art. 66); the protections from violence and cruel treatment in the Law on the Juvenile Justice System 2012, the Constitution 1945 and the Law on Child Protection 2014 also apply (see under “Home”). Protection from cruel and degrading treatment is provided for in the Regulations of the Minister of Justice No. M.04-UM.01.06 1983 on Procedures for Placement of Prisoners and the Discipline of Prisoners in Correctional Facilities and No. M.04-UM.01.06 1983 on Detention and Care of Detainees, and Order of State Detention Center. </w:t>
      </w:r>
    </w:p>
    <w:p w14:paraId="64075F37" w14:textId="17CC5A05" w:rsidR="0037171C" w:rsidRPr="0037171C" w:rsidRDefault="00586929" w:rsidP="0037171C">
      <w:pPr>
        <w:autoSpaceDE w:val="0"/>
        <w:autoSpaceDN w:val="0"/>
        <w:adjustRightInd w:val="0"/>
        <w:spacing w:after="120"/>
        <w:rPr>
          <w:rFonts w:asciiTheme="majorHAnsi" w:hAnsiTheme="majorHAnsi" w:cstheme="majorHAnsi"/>
        </w:rPr>
      </w:pPr>
      <w:r>
        <w:rPr>
          <w:rFonts w:asciiTheme="majorHAnsi" w:hAnsiTheme="majorHAnsi" w:cstheme="majorHAnsi"/>
        </w:rPr>
        <w:t>18</w:t>
      </w:r>
      <w:r w:rsidR="00D63AA6" w:rsidRPr="001119F0">
        <w:rPr>
          <w:rFonts w:asciiTheme="majorHAnsi" w:hAnsiTheme="majorHAnsi" w:cstheme="majorHAnsi"/>
        </w:rPr>
        <w:t>.</w:t>
      </w:r>
      <w:r w:rsidR="002B3F16" w:rsidRPr="002B3F16">
        <w:rPr>
          <w:rFonts w:asciiTheme="majorHAnsi" w:hAnsiTheme="majorHAnsi" w:cstheme="majorHAnsi"/>
        </w:rPr>
        <w:t xml:space="preserve"> </w:t>
      </w:r>
      <w:r w:rsidR="0003240E" w:rsidRPr="00D66B58">
        <w:rPr>
          <w:rFonts w:asciiTheme="majorHAnsi" w:hAnsiTheme="majorHAnsi" w:cstheme="majorHAnsi"/>
          <w:i/>
        </w:rPr>
        <w:t xml:space="preserve">Corporal punishment is </w:t>
      </w:r>
      <w:r w:rsidR="00312D2C" w:rsidRPr="005832BA">
        <w:rPr>
          <w:rFonts w:asciiTheme="majorHAnsi" w:hAnsiTheme="majorHAnsi" w:cstheme="majorHAnsi"/>
          <w:i/>
        </w:rPr>
        <w:t>unlawful as a sentence for crime</w:t>
      </w:r>
      <w:r w:rsidR="00F63F75">
        <w:rPr>
          <w:rFonts w:asciiTheme="majorHAnsi" w:hAnsiTheme="majorHAnsi" w:cstheme="majorHAnsi"/>
          <w:i/>
        </w:rPr>
        <w:t>, except in the Aceh province,</w:t>
      </w:r>
      <w:r w:rsidR="00F63F75">
        <w:rPr>
          <w:rFonts w:asciiTheme="majorHAnsi" w:hAnsiTheme="majorHAnsi" w:cstheme="majorHAnsi"/>
        </w:rPr>
        <w:t xml:space="preserve"> </w:t>
      </w:r>
      <w:r w:rsidR="0037171C" w:rsidRPr="0037171C">
        <w:rPr>
          <w:rFonts w:asciiTheme="majorHAnsi" w:hAnsiTheme="majorHAnsi" w:cstheme="majorHAnsi"/>
        </w:rPr>
        <w:t>under provisions protecting children from “inhuman punishment” in the Law on Human Rights 1999 (art. 66) and the Child Protection Law 2014 (art. 16). The Law on the Juvenile Justice System 2012 states that children in conflict with the law have a right to “be treated humanely and in accordance with the needs of their age” and to “freedom from torture and other cruel, inhuman or degrading punishment or treatment” (art. 3, unofficial translation) and article 71(4) states that “the penalties imposed on children must not violate the dignity of the child”. However, we have yet to ascertain the applicability if these laws in relation to Shari’a law in Aceh and other areas.</w:t>
      </w:r>
    </w:p>
    <w:p w14:paraId="09DCADA1" w14:textId="1577A3F5" w:rsidR="0037171C" w:rsidRPr="0037171C" w:rsidRDefault="00F63F75" w:rsidP="0037171C">
      <w:pPr>
        <w:autoSpaceDE w:val="0"/>
        <w:autoSpaceDN w:val="0"/>
        <w:adjustRightInd w:val="0"/>
        <w:spacing w:after="120"/>
        <w:rPr>
          <w:rFonts w:asciiTheme="majorHAnsi" w:hAnsiTheme="majorHAnsi" w:cstheme="majorHAnsi"/>
        </w:rPr>
      </w:pPr>
      <w:r>
        <w:rPr>
          <w:rFonts w:asciiTheme="majorHAnsi" w:hAnsiTheme="majorHAnsi" w:cstheme="majorHAnsi"/>
        </w:rPr>
        <w:t xml:space="preserve">19. </w:t>
      </w:r>
      <w:r w:rsidR="0037171C" w:rsidRPr="0037171C">
        <w:rPr>
          <w:rFonts w:asciiTheme="majorHAnsi" w:hAnsiTheme="majorHAnsi" w:cstheme="majorHAnsi"/>
        </w:rPr>
        <w:t>Shari’a law has been implemented in the province of Aceh and other areas. Law No. 11/2006 on the Government of Aceh authorises that Government to establish bylaws, including criminal law (Qanun Jinayah), criminal procedure (Qanun Jinayah on Procedural Law) and the Shari’a Court (Mahkamah Syariah): these should be consistent with national law. In 2009, the Aceh Legislative Council endorsed the Aceh Criminal Code (Qanun Hukum Jinayat) – a set of bylaws which would replace part of the Indonesian Criminal Code with Islamic provisions applicable to Muslims, including punishment for adultery and premarital or homosexual sex with caning or stoning to death. In March 2013, the draft Code was revised to remove the punishment of stoning for adultery; it was signed into law in December 2013 and sent to the Jakarta, the capital, for approval. The proposed Criminal Code is under discussion alongside a proposed Criminal Procedure Code (Qanun Acara Jinayat). In reporting to the Human Rights Committee in 2013, the Government stated that the punishment of caning is “not necessarily” about punishment but is a deterrent – but it went on to describe the involvement of doctors in implementing the punishment of caning in order to ensure “the health conditions of the convicted before, during and after the punishment is carried out”.</w:t>
      </w:r>
      <w:r w:rsidR="0037171C" w:rsidRPr="0037171C">
        <w:rPr>
          <w:rFonts w:asciiTheme="majorHAnsi" w:hAnsiTheme="majorHAnsi" w:cstheme="majorHAnsi"/>
          <w:vertAlign w:val="superscript"/>
        </w:rPr>
        <w:footnoteReference w:id="7"/>
      </w:r>
      <w:r w:rsidR="0037171C" w:rsidRPr="0037171C">
        <w:rPr>
          <w:rFonts w:asciiTheme="majorHAnsi" w:hAnsiTheme="majorHAnsi" w:cstheme="majorHAnsi"/>
        </w:rPr>
        <w:t xml:space="preserve"> In September 2014, the Aceh provincial parliament </w:t>
      </w:r>
      <w:r w:rsidR="0037171C" w:rsidRPr="0037171C">
        <w:rPr>
          <w:rFonts w:asciiTheme="majorHAnsi" w:hAnsiTheme="majorHAnsi" w:cstheme="majorHAnsi"/>
        </w:rPr>
        <w:lastRenderedPageBreak/>
        <w:t>approved the Principles of the Islamic Bylaw and the Islamic criminal code (Qanun Jinayah) which extend Sharia law to non-Muslims and provide for judicial corporal punishment.</w:t>
      </w:r>
      <w:r w:rsidR="0037171C" w:rsidRPr="0037171C">
        <w:rPr>
          <w:rFonts w:asciiTheme="majorHAnsi" w:hAnsiTheme="majorHAnsi" w:cstheme="majorHAnsi"/>
          <w:vertAlign w:val="superscript"/>
        </w:rPr>
        <w:footnoteReference w:id="8"/>
      </w:r>
    </w:p>
    <w:p w14:paraId="71FDBB7F" w14:textId="17C8EF69" w:rsidR="0037171C" w:rsidRPr="0037171C" w:rsidRDefault="00F63F75" w:rsidP="0037171C">
      <w:pPr>
        <w:autoSpaceDE w:val="0"/>
        <w:autoSpaceDN w:val="0"/>
        <w:adjustRightInd w:val="0"/>
        <w:spacing w:after="120"/>
        <w:rPr>
          <w:rFonts w:asciiTheme="majorHAnsi" w:hAnsiTheme="majorHAnsi" w:cstheme="majorHAnsi"/>
        </w:rPr>
      </w:pPr>
      <w:r>
        <w:rPr>
          <w:rFonts w:asciiTheme="majorHAnsi" w:hAnsiTheme="majorHAnsi" w:cstheme="majorHAnsi"/>
        </w:rPr>
        <w:t xml:space="preserve">20. </w:t>
      </w:r>
      <w:r w:rsidR="0037171C" w:rsidRPr="0037171C">
        <w:rPr>
          <w:rFonts w:asciiTheme="majorHAnsi" w:hAnsiTheme="majorHAnsi" w:cstheme="majorHAnsi"/>
        </w:rPr>
        <w:t>In reporting to the Committee on the Rights of the Child in 2014, the Government acknowledged that there have been by-laws which are inconsistent with human rights principles, stating that these are “undesired by-products of the implementation of sub-national autonomy in Indonesia”.</w:t>
      </w:r>
      <w:r w:rsidR="0037171C" w:rsidRPr="0037171C">
        <w:rPr>
          <w:rFonts w:asciiTheme="majorHAnsi" w:hAnsiTheme="majorHAnsi" w:cstheme="majorHAnsi"/>
          <w:vertAlign w:val="superscript"/>
        </w:rPr>
        <w:footnoteReference w:id="9"/>
      </w:r>
      <w:r w:rsidR="0037171C" w:rsidRPr="0037171C">
        <w:rPr>
          <w:rFonts w:asciiTheme="majorHAnsi" w:hAnsiTheme="majorHAnsi" w:cstheme="majorHAnsi"/>
        </w:rPr>
        <w:t xml:space="preserve"> A number of by-laws have been revoked following review by the Ministry of Home Affairs, and guidelines on legal drafting</w:t>
      </w:r>
      <w:r w:rsidR="0037171C" w:rsidRPr="0037171C">
        <w:rPr>
          <w:rFonts w:asciiTheme="majorHAnsi" w:hAnsiTheme="majorHAnsi" w:cstheme="majorHAnsi"/>
          <w:vertAlign w:val="superscript"/>
        </w:rPr>
        <w:footnoteReference w:id="10"/>
      </w:r>
      <w:r w:rsidR="0037171C" w:rsidRPr="0037171C">
        <w:rPr>
          <w:rFonts w:asciiTheme="majorHAnsi" w:hAnsiTheme="majorHAnsi" w:cstheme="majorHAnsi"/>
        </w:rPr>
        <w:t xml:space="preserve"> have been produced in an attempt to prevent such laws being drafted and to support implementation of Law No. 12 of 2011 on the Formulation of Law and Regulation. Drafting is also regulated by the Joint Regulation of the Minister for Law and Human Rights and Minister for Home Affairs No. 20 of 2012 and No. 77 of 2012 on Human Rights Parameters for the formulation of by-laws. To our knowledge, these do not prohibit corporal punishment as a sentence under sharia law (unconfirmed).</w:t>
      </w:r>
    </w:p>
    <w:p w14:paraId="3400B157" w14:textId="694054F0" w:rsidR="000F5301" w:rsidRPr="000F5301" w:rsidRDefault="000F5301" w:rsidP="000F5301">
      <w:pPr>
        <w:autoSpaceDE w:val="0"/>
        <w:autoSpaceDN w:val="0"/>
        <w:adjustRightInd w:val="0"/>
        <w:spacing w:after="120"/>
        <w:rPr>
          <w:rFonts w:asciiTheme="majorHAnsi" w:hAnsiTheme="majorHAnsi" w:cstheme="majorHAnsi"/>
        </w:rPr>
      </w:pPr>
    </w:p>
    <w:p w14:paraId="0632C366" w14:textId="49E72199" w:rsidR="007F7529" w:rsidRPr="001117DC" w:rsidRDefault="007F7529" w:rsidP="007F7529">
      <w:pPr>
        <w:pStyle w:val="Heading2"/>
        <w:spacing w:after="120"/>
        <w:rPr>
          <w:rFonts w:asciiTheme="majorHAnsi" w:hAnsiTheme="majorHAnsi" w:cstheme="majorHAnsi"/>
          <w:b w:val="0"/>
          <w:sz w:val="26"/>
          <w:szCs w:val="26"/>
          <w:lang w:val="en-GB"/>
        </w:rPr>
      </w:pPr>
      <w:r w:rsidRPr="001119F0">
        <w:rPr>
          <w:rFonts w:asciiTheme="majorHAnsi" w:hAnsiTheme="majorHAnsi" w:cstheme="majorHAnsi"/>
          <w:sz w:val="26"/>
          <w:szCs w:val="26"/>
        </w:rPr>
        <w:t>Recommendations by human rights treaty monitoring bodies</w:t>
      </w:r>
      <w:r w:rsidR="008730E0" w:rsidRPr="001119F0">
        <w:rPr>
          <w:rFonts w:asciiTheme="majorHAnsi" w:hAnsiTheme="majorHAnsi" w:cstheme="majorHAnsi"/>
          <w:sz w:val="26"/>
          <w:szCs w:val="26"/>
        </w:rPr>
        <w:t xml:space="preserve"> </w:t>
      </w:r>
      <w:r w:rsidR="001117DC">
        <w:rPr>
          <w:rFonts w:asciiTheme="majorHAnsi" w:hAnsiTheme="majorHAnsi" w:cstheme="majorHAnsi"/>
          <w:sz w:val="26"/>
          <w:szCs w:val="26"/>
          <w:lang w:val="en-GB"/>
        </w:rPr>
        <w:t>and during the UPR</w:t>
      </w:r>
    </w:p>
    <w:p w14:paraId="77522C1D" w14:textId="6C054AEE" w:rsidR="001B62F6" w:rsidRPr="001B62F6" w:rsidRDefault="001B62F6" w:rsidP="001B62F6">
      <w:pPr>
        <w:spacing w:after="240"/>
        <w:rPr>
          <w:rFonts w:asciiTheme="majorHAnsi" w:hAnsiTheme="majorHAnsi" w:cstheme="majorHAnsi"/>
        </w:rPr>
      </w:pPr>
      <w:r>
        <w:rPr>
          <w:rFonts w:asciiTheme="majorHAnsi" w:hAnsiTheme="majorHAnsi" w:cstheme="majorHAnsi"/>
        </w:rPr>
        <w:t>2</w:t>
      </w:r>
      <w:r w:rsidR="00F63F75">
        <w:rPr>
          <w:rFonts w:asciiTheme="majorHAnsi" w:hAnsiTheme="majorHAnsi" w:cstheme="majorHAnsi"/>
        </w:rPr>
        <w:t>1</w:t>
      </w:r>
      <w:r>
        <w:rPr>
          <w:rFonts w:asciiTheme="majorHAnsi" w:hAnsiTheme="majorHAnsi" w:cstheme="majorHAnsi"/>
        </w:rPr>
        <w:t xml:space="preserve">. </w:t>
      </w:r>
      <w:r w:rsidRPr="001B62F6">
        <w:rPr>
          <w:rFonts w:asciiTheme="majorHAnsi" w:hAnsiTheme="majorHAnsi" w:cstheme="majorHAnsi"/>
        </w:rPr>
        <w:t xml:space="preserve">In 2004, the </w:t>
      </w:r>
      <w:r w:rsidRPr="001B62F6">
        <w:rPr>
          <w:rFonts w:asciiTheme="majorHAnsi" w:hAnsiTheme="majorHAnsi" w:cstheme="majorHAnsi"/>
          <w:i/>
        </w:rPr>
        <w:t>Committee on the Rights of the Child</w:t>
      </w:r>
      <w:r w:rsidRPr="001B62F6">
        <w:rPr>
          <w:rFonts w:asciiTheme="majorHAnsi" w:hAnsiTheme="majorHAnsi" w:cstheme="majorHAnsi"/>
        </w:rPr>
        <w:t xml:space="preserve"> recommended that legislation in Indonesia be amended to explicitly prohibit corporal punishment in the family, schools and childcare settings.</w:t>
      </w:r>
      <w:r w:rsidRPr="001B62F6">
        <w:rPr>
          <w:rFonts w:asciiTheme="majorHAnsi" w:hAnsiTheme="majorHAnsi" w:cstheme="majorHAnsi"/>
          <w:vertAlign w:val="superscript"/>
        </w:rPr>
        <w:footnoteReference w:id="11"/>
      </w:r>
      <w:r>
        <w:rPr>
          <w:rFonts w:asciiTheme="majorHAnsi" w:hAnsiTheme="majorHAnsi" w:cstheme="majorHAnsi"/>
        </w:rPr>
        <w:t xml:space="preserve"> </w:t>
      </w:r>
      <w:r w:rsidR="0067293D">
        <w:rPr>
          <w:rFonts w:asciiTheme="majorHAnsi" w:hAnsiTheme="majorHAnsi" w:cstheme="majorHAnsi"/>
        </w:rPr>
        <w:t>This was reiterated in 2014.</w:t>
      </w:r>
      <w:r w:rsidR="0067293D">
        <w:rPr>
          <w:rStyle w:val="FootnoteReference"/>
          <w:rFonts w:asciiTheme="majorHAnsi" w:hAnsiTheme="majorHAnsi" w:cstheme="majorHAnsi"/>
        </w:rPr>
        <w:footnoteReference w:id="12"/>
      </w:r>
    </w:p>
    <w:p w14:paraId="7FF5403F" w14:textId="275BF5A9" w:rsidR="0067293D" w:rsidRPr="001B62F6" w:rsidRDefault="0067293D" w:rsidP="0067293D">
      <w:pPr>
        <w:spacing w:after="240"/>
        <w:rPr>
          <w:rFonts w:asciiTheme="majorHAnsi" w:hAnsiTheme="majorHAnsi" w:cstheme="majorHAnsi"/>
        </w:rPr>
      </w:pPr>
      <w:r>
        <w:rPr>
          <w:rFonts w:asciiTheme="majorHAnsi" w:hAnsiTheme="majorHAnsi" w:cstheme="majorHAnsi"/>
        </w:rPr>
        <w:t xml:space="preserve">22. </w:t>
      </w:r>
      <w:r>
        <w:rPr>
          <w:rFonts w:asciiTheme="majorHAnsi" w:hAnsiTheme="majorHAnsi" w:cstheme="majorHAnsi"/>
        </w:rPr>
        <w:t xml:space="preserve">In 2013, the </w:t>
      </w:r>
      <w:r w:rsidRPr="0067293D">
        <w:rPr>
          <w:rFonts w:asciiTheme="majorHAnsi" w:hAnsiTheme="majorHAnsi" w:cstheme="majorHAnsi"/>
          <w:i/>
        </w:rPr>
        <w:t>Human Rights Committee</w:t>
      </w:r>
      <w:r>
        <w:rPr>
          <w:rFonts w:asciiTheme="majorHAnsi" w:hAnsiTheme="majorHAnsi" w:cstheme="majorHAnsi"/>
        </w:rPr>
        <w:t xml:space="preserve"> recommended that Indonesia </w:t>
      </w:r>
      <w:r w:rsidRPr="0067293D">
        <w:rPr>
          <w:rFonts w:asciiTheme="majorHAnsi" w:hAnsiTheme="majorHAnsi" w:cstheme="majorHAnsi"/>
        </w:rPr>
        <w:t>take practical steps to put an end to corporal punishment in the p</w:t>
      </w:r>
      <w:r>
        <w:rPr>
          <w:rFonts w:asciiTheme="majorHAnsi" w:hAnsiTheme="majorHAnsi" w:cstheme="majorHAnsi"/>
        </w:rPr>
        <w:t xml:space="preserve">enal system and in all settings and that it repeal the </w:t>
      </w:r>
      <w:r w:rsidRPr="0067293D">
        <w:rPr>
          <w:rFonts w:asciiTheme="majorHAnsi" w:hAnsiTheme="majorHAnsi" w:cstheme="majorHAnsi"/>
        </w:rPr>
        <w:t>Aceh</w:t>
      </w:r>
      <w:r>
        <w:rPr>
          <w:rFonts w:asciiTheme="majorHAnsi" w:hAnsiTheme="majorHAnsi" w:cstheme="majorHAnsi"/>
        </w:rPr>
        <w:t xml:space="preserve"> Criminal Code</w:t>
      </w:r>
      <w:r w:rsidRPr="0067293D">
        <w:rPr>
          <w:rFonts w:asciiTheme="majorHAnsi" w:hAnsiTheme="majorHAnsi" w:cstheme="majorHAnsi"/>
        </w:rPr>
        <w:t>, which permits the use of corporal punishment in the penal system</w:t>
      </w:r>
      <w:r>
        <w:rPr>
          <w:rFonts w:asciiTheme="majorHAnsi" w:hAnsiTheme="majorHAnsi" w:cstheme="majorHAnsi"/>
        </w:rPr>
        <w:t>.</w:t>
      </w:r>
      <w:r>
        <w:rPr>
          <w:rStyle w:val="FootnoteReference"/>
          <w:rFonts w:asciiTheme="majorHAnsi" w:hAnsiTheme="majorHAnsi" w:cstheme="majorHAnsi"/>
        </w:rPr>
        <w:footnoteReference w:id="13"/>
      </w:r>
    </w:p>
    <w:p w14:paraId="26735411" w14:textId="23D77A5F" w:rsidR="001B62F6" w:rsidRDefault="001B62F6" w:rsidP="001B62F6">
      <w:pPr>
        <w:spacing w:after="240"/>
        <w:rPr>
          <w:rFonts w:asciiTheme="majorHAnsi" w:hAnsiTheme="majorHAnsi" w:cstheme="majorHAnsi"/>
        </w:rPr>
      </w:pPr>
      <w:r>
        <w:rPr>
          <w:rFonts w:asciiTheme="majorHAnsi" w:hAnsiTheme="majorHAnsi" w:cstheme="majorHAnsi"/>
        </w:rPr>
        <w:t>2</w:t>
      </w:r>
      <w:r w:rsidR="00F63F75">
        <w:rPr>
          <w:rFonts w:asciiTheme="majorHAnsi" w:hAnsiTheme="majorHAnsi" w:cstheme="majorHAnsi"/>
        </w:rPr>
        <w:t>3</w:t>
      </w:r>
      <w:r>
        <w:rPr>
          <w:rFonts w:asciiTheme="majorHAnsi" w:hAnsiTheme="majorHAnsi" w:cstheme="majorHAnsi"/>
        </w:rPr>
        <w:t>.</w:t>
      </w:r>
      <w:r w:rsidRPr="001B62F6">
        <w:rPr>
          <w:rFonts w:asciiTheme="majorHAnsi" w:hAnsiTheme="majorHAnsi" w:cstheme="majorHAnsi"/>
        </w:rPr>
        <w:t xml:space="preserve"> In 2008, the </w:t>
      </w:r>
      <w:r w:rsidRPr="001B62F6">
        <w:rPr>
          <w:rFonts w:asciiTheme="majorHAnsi" w:hAnsiTheme="majorHAnsi" w:cstheme="majorHAnsi"/>
          <w:i/>
        </w:rPr>
        <w:t>Committee Against Torture</w:t>
      </w:r>
      <w:r w:rsidRPr="001B62F6">
        <w:rPr>
          <w:rFonts w:asciiTheme="majorHAnsi" w:hAnsiTheme="majorHAnsi" w:cstheme="majorHAnsi"/>
        </w:rPr>
        <w:t xml:space="preserve"> recommended the abolition of all corporal punishment of children in Indonesia.</w:t>
      </w:r>
      <w:r w:rsidRPr="001B62F6">
        <w:rPr>
          <w:rFonts w:asciiTheme="majorHAnsi" w:hAnsiTheme="majorHAnsi" w:cstheme="majorHAnsi"/>
          <w:vertAlign w:val="superscript"/>
        </w:rPr>
        <w:footnoteReference w:id="14"/>
      </w:r>
    </w:p>
    <w:p w14:paraId="316CC9A6" w14:textId="5BD33A3F" w:rsidR="001B62F6" w:rsidRPr="0067293D" w:rsidRDefault="001B62F6" w:rsidP="001B62F6">
      <w:pPr>
        <w:spacing w:after="240"/>
        <w:rPr>
          <w:rFonts w:asciiTheme="majorHAnsi" w:hAnsiTheme="majorHAnsi" w:cstheme="majorHAnsi"/>
          <w:highlight w:val="yellow"/>
        </w:rPr>
      </w:pPr>
      <w:r>
        <w:rPr>
          <w:rFonts w:asciiTheme="majorHAnsi" w:hAnsiTheme="majorHAnsi" w:cstheme="majorHAnsi"/>
        </w:rPr>
        <w:t>2</w:t>
      </w:r>
      <w:r w:rsidR="00F63F75">
        <w:rPr>
          <w:rFonts w:asciiTheme="majorHAnsi" w:hAnsiTheme="majorHAnsi" w:cstheme="majorHAnsi"/>
        </w:rPr>
        <w:t>4</w:t>
      </w:r>
      <w:r>
        <w:rPr>
          <w:rFonts w:asciiTheme="majorHAnsi" w:hAnsiTheme="majorHAnsi" w:cstheme="majorHAnsi"/>
        </w:rPr>
        <w:t>.</w:t>
      </w:r>
      <w:r w:rsidRPr="001B62F6">
        <w:rPr>
          <w:rFonts w:asciiTheme="majorHAnsi" w:hAnsiTheme="majorHAnsi" w:cstheme="majorHAnsi"/>
        </w:rPr>
        <w:t xml:space="preserve"> </w:t>
      </w:r>
      <w:r w:rsidRPr="001B62F6">
        <w:rPr>
          <w:rFonts w:asciiTheme="majorHAnsi" w:hAnsiTheme="majorHAnsi" w:cstheme="majorHAnsi"/>
          <w:bCs/>
        </w:rPr>
        <w:t xml:space="preserve">Indonesia was examined in the first cycle of the </w:t>
      </w:r>
      <w:r w:rsidRPr="001B62F6">
        <w:rPr>
          <w:rFonts w:asciiTheme="majorHAnsi" w:hAnsiTheme="majorHAnsi" w:cstheme="majorHAnsi"/>
          <w:bCs/>
          <w:i/>
        </w:rPr>
        <w:t>Universal Periodic Review</w:t>
      </w:r>
      <w:r w:rsidRPr="001B62F6">
        <w:rPr>
          <w:rFonts w:asciiTheme="majorHAnsi" w:hAnsiTheme="majorHAnsi" w:cstheme="majorHAnsi"/>
          <w:bCs/>
        </w:rPr>
        <w:t xml:space="preserve"> in 2008 (session 1). No recommendation was made specifically concerning corporal punishment of children, but the Government accepted a recommendation to incorporate the Convention on the Rights of the Child into national legislation.</w:t>
      </w:r>
      <w:r w:rsidRPr="001B62F6">
        <w:rPr>
          <w:rFonts w:asciiTheme="majorHAnsi" w:hAnsiTheme="majorHAnsi" w:cstheme="majorHAnsi"/>
          <w:bCs/>
          <w:vertAlign w:val="superscript"/>
        </w:rPr>
        <w:footnoteReference w:id="15"/>
      </w:r>
      <w:r w:rsidRPr="001B62F6">
        <w:rPr>
          <w:rFonts w:asciiTheme="majorHAnsi" w:hAnsiTheme="majorHAnsi" w:cstheme="majorHAnsi"/>
          <w:bCs/>
        </w:rPr>
        <w:t xml:space="preserve"> The second cycle review took place in 2012 (session 13). Two recommendations were made to prohibit corporal punishment in all settings but one of these was recorded as a recommendation to prohibit “violence”.</w:t>
      </w:r>
      <w:r w:rsidRPr="001B62F6">
        <w:rPr>
          <w:rFonts w:asciiTheme="majorHAnsi" w:hAnsiTheme="majorHAnsi" w:cstheme="majorHAnsi"/>
          <w:bCs/>
          <w:vertAlign w:val="superscript"/>
        </w:rPr>
        <w:footnoteReference w:id="16"/>
      </w:r>
      <w:r w:rsidRPr="001B62F6">
        <w:rPr>
          <w:rFonts w:asciiTheme="majorHAnsi" w:hAnsiTheme="majorHAnsi" w:cstheme="majorHAnsi"/>
          <w:bCs/>
        </w:rPr>
        <w:t xml:space="preserve"> The </w:t>
      </w:r>
      <w:r w:rsidRPr="001B62F6">
        <w:rPr>
          <w:rFonts w:asciiTheme="majorHAnsi" w:hAnsiTheme="majorHAnsi" w:cstheme="majorHAnsi"/>
        </w:rPr>
        <w:t>Government accepted the recommendation to prohibit violence but rejected the recommendation abolish all corporal punishment, stating that “corporal punishment of children is not an issue as such practices are not tolerated in Indonesia both legally and culturally”.</w:t>
      </w:r>
      <w:r w:rsidRPr="001B62F6">
        <w:rPr>
          <w:rFonts w:asciiTheme="majorHAnsi" w:hAnsiTheme="majorHAnsi" w:cstheme="majorHAnsi"/>
          <w:vertAlign w:val="superscript"/>
        </w:rPr>
        <w:footnoteReference w:id="17"/>
      </w:r>
      <w:r>
        <w:rPr>
          <w:rFonts w:asciiTheme="majorHAnsi" w:hAnsiTheme="majorHAnsi" w:cstheme="majorHAnsi"/>
        </w:rPr>
        <w:t xml:space="preserve"> </w:t>
      </w:r>
      <w:r w:rsidR="0067293D">
        <w:rPr>
          <w:rFonts w:asciiTheme="majorHAnsi" w:hAnsiTheme="majorHAnsi" w:cstheme="majorHAnsi"/>
        </w:rPr>
        <w:t xml:space="preserve">In the third cycle examination in 2017, </w:t>
      </w:r>
      <w:r w:rsidR="0067293D">
        <w:rPr>
          <w:rFonts w:asciiTheme="majorHAnsi" w:hAnsiTheme="majorHAnsi" w:cstheme="majorHAnsi"/>
        </w:rPr>
        <w:lastRenderedPageBreak/>
        <w:t>Indonesia supported recommendations on corporal punishment, including a recommendation to explicitly prohibit it in all settings including the ho</w:t>
      </w:r>
      <w:r w:rsidR="0067293D" w:rsidRPr="0067293D">
        <w:rPr>
          <w:rFonts w:asciiTheme="majorHAnsi" w:hAnsiTheme="majorHAnsi" w:cstheme="majorHAnsi"/>
        </w:rPr>
        <w:t>me.</w:t>
      </w:r>
      <w:r w:rsidR="0067293D" w:rsidRPr="0067293D">
        <w:rPr>
          <w:rFonts w:asciiTheme="majorHAnsi" w:hAnsiTheme="majorHAnsi" w:cstheme="majorHAnsi"/>
          <w:vertAlign w:val="superscript"/>
        </w:rPr>
        <w:footnoteReference w:id="18"/>
      </w:r>
    </w:p>
    <w:p w14:paraId="7F764872" w14:textId="3F49C8AE" w:rsidR="00127339" w:rsidRDefault="00127339" w:rsidP="007A21C3">
      <w:pPr>
        <w:rPr>
          <w:rFonts w:asciiTheme="majorHAnsi" w:hAnsiTheme="majorHAnsi" w:cstheme="majorHAnsi"/>
          <w:i/>
          <w:iCs/>
        </w:rPr>
      </w:pPr>
    </w:p>
    <w:p w14:paraId="0CA49FEB" w14:textId="77777777" w:rsidR="000F5301" w:rsidRDefault="000F5301" w:rsidP="007A21C3">
      <w:pPr>
        <w:rPr>
          <w:rFonts w:asciiTheme="majorHAnsi" w:hAnsiTheme="majorHAnsi" w:cstheme="majorHAnsi"/>
          <w:i/>
          <w:iCs/>
        </w:rPr>
      </w:pPr>
    </w:p>
    <w:p w14:paraId="73A734C1" w14:textId="0D757AF4" w:rsidR="009C24BF" w:rsidRPr="001119F0" w:rsidRDefault="00482BF9" w:rsidP="007A21C3">
      <w:pPr>
        <w:rPr>
          <w:rFonts w:asciiTheme="majorHAnsi" w:hAnsiTheme="majorHAnsi" w:cstheme="majorHAnsi"/>
          <w:i/>
          <w:iCs/>
        </w:rPr>
      </w:pPr>
      <w:r w:rsidRPr="001119F0">
        <w:rPr>
          <w:rFonts w:asciiTheme="majorHAnsi" w:hAnsiTheme="majorHAnsi" w:cstheme="majorHAnsi"/>
          <w:i/>
          <w:iCs/>
        </w:rPr>
        <w:t>B</w:t>
      </w:r>
      <w:r w:rsidR="009C24BF" w:rsidRPr="001119F0">
        <w:rPr>
          <w:rFonts w:asciiTheme="majorHAnsi" w:hAnsiTheme="majorHAnsi" w:cstheme="majorHAnsi"/>
          <w:i/>
          <w:iCs/>
        </w:rPr>
        <w:t>riefing prepared by the Global Initiative to End All Corporal Punishment of Children</w:t>
      </w:r>
    </w:p>
    <w:p w14:paraId="3B3EA53F" w14:textId="4DBF834A" w:rsidR="008D6D66" w:rsidRPr="001119F0" w:rsidRDefault="00500DEA" w:rsidP="007A21C3">
      <w:pPr>
        <w:rPr>
          <w:rFonts w:asciiTheme="majorHAnsi" w:hAnsiTheme="majorHAnsi" w:cstheme="majorHAnsi"/>
          <w:i/>
          <w:iCs/>
        </w:rPr>
      </w:pPr>
      <w:hyperlink r:id="rId14" w:history="1">
        <w:r w:rsidR="009C24BF" w:rsidRPr="003E35BE">
          <w:rPr>
            <w:rStyle w:val="Hyperlink"/>
            <w:rFonts w:asciiTheme="majorHAnsi" w:eastAsia="Calibri" w:hAnsiTheme="majorHAnsi" w:cstheme="majorHAnsi"/>
            <w:bCs/>
            <w:i/>
            <w:color w:val="0096A3"/>
          </w:rPr>
          <w:t>www.endcorporalpunishment.org</w:t>
        </w:r>
      </w:hyperlink>
      <w:r w:rsidR="009C24BF" w:rsidRPr="001119F0">
        <w:rPr>
          <w:rFonts w:asciiTheme="majorHAnsi" w:hAnsiTheme="majorHAnsi" w:cstheme="majorHAnsi"/>
          <w:i/>
          <w:iCs/>
        </w:rPr>
        <w:t xml:space="preserve">; </w:t>
      </w:r>
      <w:hyperlink r:id="rId15" w:history="1">
        <w:r w:rsidR="009C24BF" w:rsidRPr="003E35BE">
          <w:rPr>
            <w:rStyle w:val="Hyperlink"/>
            <w:rFonts w:asciiTheme="majorHAnsi" w:eastAsia="Calibri" w:hAnsiTheme="majorHAnsi" w:cstheme="majorHAnsi"/>
            <w:bCs/>
            <w:i/>
            <w:color w:val="0096A3"/>
          </w:rPr>
          <w:t>info@endcorporalpunishment.org</w:t>
        </w:r>
      </w:hyperlink>
    </w:p>
    <w:sectPr w:rsidR="008D6D66" w:rsidRPr="001119F0" w:rsidSect="00BE37BF">
      <w:footerReference w:type="even" r:id="rId16"/>
      <w:footerReference w:type="default" r:id="rId17"/>
      <w:footnotePr>
        <w:numRestart w:val="eachSect"/>
      </w:footnotePr>
      <w:endnotePr>
        <w:numFmt w:val="decimal"/>
      </w:endnotePr>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C4E0FF" w14:textId="77777777" w:rsidR="00500DEA" w:rsidRDefault="00500DEA">
      <w:r>
        <w:separator/>
      </w:r>
    </w:p>
  </w:endnote>
  <w:endnote w:type="continuationSeparator" w:id="0">
    <w:p w14:paraId="68DDF995" w14:textId="77777777" w:rsidR="00500DEA" w:rsidRDefault="00500D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charset w:val="00"/>
    <w:family w:val="swiss"/>
    <w:pitch w:val="default"/>
  </w:font>
  <w:font w:name="Gill Sans">
    <w:altName w:val="Times New Roman"/>
    <w:charset w:val="00"/>
    <w:family w:val="auto"/>
    <w:pitch w:val="variable"/>
    <w:sig w:usb0="00000000" w:usb1="00000000" w:usb2="00000000" w:usb3="00000000" w:csb0="000001F7"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9BD17F" w14:textId="77777777" w:rsidR="00986253" w:rsidRDefault="0098625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9C0ECF2" w14:textId="77777777" w:rsidR="00986253" w:rsidRDefault="00986253">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93F54C" w14:textId="77124AB5" w:rsidR="00986253" w:rsidRPr="00BE0FA6" w:rsidRDefault="00986253">
    <w:pPr>
      <w:pStyle w:val="Footer"/>
      <w:jc w:val="center"/>
      <w:rPr>
        <w:rFonts w:ascii="Calibri" w:hAnsi="Calibri"/>
      </w:rPr>
    </w:pPr>
    <w:r w:rsidRPr="00BE0FA6">
      <w:rPr>
        <w:rFonts w:ascii="Calibri" w:hAnsi="Calibri"/>
      </w:rPr>
      <w:fldChar w:fldCharType="begin"/>
    </w:r>
    <w:r w:rsidRPr="00BE0FA6">
      <w:rPr>
        <w:rFonts w:ascii="Calibri" w:hAnsi="Calibri"/>
      </w:rPr>
      <w:instrText xml:space="preserve"> PAGE   \* MERGEFORMAT </w:instrText>
    </w:r>
    <w:r w:rsidRPr="00BE0FA6">
      <w:rPr>
        <w:rFonts w:ascii="Calibri" w:hAnsi="Calibri"/>
      </w:rPr>
      <w:fldChar w:fldCharType="separate"/>
    </w:r>
    <w:r w:rsidR="00C66A46">
      <w:rPr>
        <w:rFonts w:ascii="Calibri" w:hAnsi="Calibri"/>
        <w:noProof/>
      </w:rPr>
      <w:t>2</w:t>
    </w:r>
    <w:r w:rsidRPr="00BE0FA6">
      <w:rPr>
        <w:rFonts w:ascii="Calibri" w:hAnsi="Calibri"/>
        <w:noProof/>
      </w:rPr>
      <w:fldChar w:fldCharType="end"/>
    </w:r>
  </w:p>
  <w:p w14:paraId="6E36517A" w14:textId="77777777" w:rsidR="00986253" w:rsidRDefault="0098625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32EA6E" w14:textId="77777777" w:rsidR="00500DEA" w:rsidRDefault="00500DEA">
      <w:r>
        <w:separator/>
      </w:r>
    </w:p>
  </w:footnote>
  <w:footnote w:type="continuationSeparator" w:id="0">
    <w:p w14:paraId="621215D0" w14:textId="77777777" w:rsidR="00500DEA" w:rsidRDefault="00500DEA">
      <w:r>
        <w:continuationSeparator/>
      </w:r>
    </w:p>
  </w:footnote>
  <w:footnote w:id="1">
    <w:p w14:paraId="7306DD3C" w14:textId="3EA8A1D4" w:rsidR="007F7529" w:rsidRPr="00F63F75" w:rsidRDefault="007F7529" w:rsidP="007F7529">
      <w:pPr>
        <w:pStyle w:val="FootnoteText"/>
        <w:rPr>
          <w:rFonts w:asciiTheme="majorHAnsi" w:hAnsiTheme="majorHAnsi" w:cstheme="majorHAnsi"/>
        </w:rPr>
      </w:pPr>
      <w:r w:rsidRPr="00F63F75">
        <w:rPr>
          <w:rStyle w:val="FootnoteReference"/>
          <w:rFonts w:asciiTheme="majorHAnsi" w:hAnsiTheme="majorHAnsi" w:cstheme="majorHAnsi"/>
        </w:rPr>
        <w:footnoteRef/>
      </w:r>
      <w:r w:rsidRPr="00F63F75">
        <w:rPr>
          <w:rFonts w:asciiTheme="majorHAnsi" w:hAnsiTheme="majorHAnsi" w:cstheme="majorHAnsi"/>
        </w:rPr>
        <w:t xml:space="preserve"> Pinheiro, P. S. (2006), </w:t>
      </w:r>
      <w:r w:rsidRPr="00F63F75">
        <w:rPr>
          <w:rFonts w:asciiTheme="majorHAnsi" w:hAnsiTheme="majorHAnsi" w:cstheme="majorHAnsi"/>
          <w:i/>
        </w:rPr>
        <w:t>World Report on Violence against Children</w:t>
      </w:r>
      <w:r w:rsidRPr="00F63F75">
        <w:rPr>
          <w:rFonts w:asciiTheme="majorHAnsi" w:hAnsiTheme="majorHAnsi" w:cstheme="majorHAnsi"/>
        </w:rPr>
        <w:t>, Geneva: United Nations. See also Krug E. G. et al (eds) (2002),</w:t>
      </w:r>
      <w:r w:rsidRPr="00F63F75">
        <w:rPr>
          <w:rFonts w:asciiTheme="majorHAnsi" w:hAnsiTheme="majorHAnsi" w:cstheme="majorHAnsi"/>
          <w:i/>
          <w:iCs/>
        </w:rPr>
        <w:t xml:space="preserve"> World Report on Violence and Health, </w:t>
      </w:r>
      <w:r w:rsidRPr="00F63F75">
        <w:rPr>
          <w:rFonts w:asciiTheme="majorHAnsi" w:hAnsiTheme="majorHAnsi" w:cstheme="majorHAnsi"/>
        </w:rPr>
        <w:t>Geneva: World Health Organisation</w:t>
      </w:r>
    </w:p>
  </w:footnote>
  <w:footnote w:id="2">
    <w:p w14:paraId="448ACE15" w14:textId="77777777" w:rsidR="0037171C" w:rsidRPr="00F63F75" w:rsidRDefault="0037171C" w:rsidP="0037171C">
      <w:pPr>
        <w:pStyle w:val="FootnoteText"/>
        <w:rPr>
          <w:rFonts w:asciiTheme="majorHAnsi" w:hAnsiTheme="majorHAnsi" w:cstheme="majorHAnsi"/>
          <w:lang w:val="en-US"/>
        </w:rPr>
      </w:pPr>
      <w:r w:rsidRPr="00F63F75">
        <w:rPr>
          <w:rStyle w:val="FootnoteReference"/>
          <w:rFonts w:asciiTheme="majorHAnsi" w:hAnsiTheme="majorHAnsi" w:cstheme="majorHAnsi"/>
        </w:rPr>
        <w:footnoteRef/>
      </w:r>
      <w:r w:rsidRPr="00F63F75">
        <w:rPr>
          <w:rFonts w:asciiTheme="majorHAnsi" w:hAnsiTheme="majorHAnsi" w:cstheme="majorHAnsi"/>
        </w:rPr>
        <w:t xml:space="preserve"> 31 October 2012, CRC/C/IDN/3-4, para. 76</w:t>
      </w:r>
    </w:p>
  </w:footnote>
  <w:footnote w:id="3">
    <w:p w14:paraId="1C10D82B" w14:textId="77777777" w:rsidR="0037171C" w:rsidRPr="00F63F75" w:rsidRDefault="0037171C" w:rsidP="0037171C">
      <w:pPr>
        <w:pStyle w:val="FootnoteText"/>
        <w:rPr>
          <w:rFonts w:asciiTheme="majorHAnsi" w:hAnsiTheme="majorHAnsi" w:cstheme="majorHAnsi"/>
          <w:lang w:val="en-US"/>
        </w:rPr>
      </w:pPr>
      <w:r w:rsidRPr="00F63F75">
        <w:rPr>
          <w:rStyle w:val="FootnoteReference"/>
          <w:rFonts w:asciiTheme="majorHAnsi" w:hAnsiTheme="majorHAnsi" w:cstheme="majorHAnsi"/>
        </w:rPr>
        <w:footnoteRef/>
      </w:r>
      <w:r w:rsidRPr="00F63F75">
        <w:rPr>
          <w:rFonts w:asciiTheme="majorHAnsi" w:hAnsiTheme="majorHAnsi" w:cstheme="majorHAnsi"/>
        </w:rPr>
        <w:t xml:space="preserve"> 5 September 2012, A/HRC/21/7/Add.1, Report of the working group: Addendum, para. 6.9</w:t>
      </w:r>
    </w:p>
  </w:footnote>
  <w:footnote w:id="4">
    <w:p w14:paraId="4D41A99C" w14:textId="77777777" w:rsidR="0037171C" w:rsidRPr="00F63F75" w:rsidRDefault="0037171C" w:rsidP="0037171C">
      <w:pPr>
        <w:pStyle w:val="FootnoteText"/>
        <w:rPr>
          <w:rFonts w:asciiTheme="majorHAnsi" w:hAnsiTheme="majorHAnsi" w:cstheme="majorHAnsi"/>
          <w:lang w:val="en-US"/>
        </w:rPr>
      </w:pPr>
      <w:r w:rsidRPr="00F63F75">
        <w:rPr>
          <w:rStyle w:val="FootnoteReference"/>
          <w:rFonts w:asciiTheme="majorHAnsi" w:hAnsiTheme="majorHAnsi" w:cstheme="majorHAnsi"/>
        </w:rPr>
        <w:footnoteRef/>
      </w:r>
      <w:r w:rsidRPr="00F63F75">
        <w:rPr>
          <w:rFonts w:asciiTheme="majorHAnsi" w:hAnsiTheme="majorHAnsi" w:cstheme="majorHAnsi"/>
        </w:rPr>
        <w:t xml:space="preserve"> Reported in </w:t>
      </w:r>
      <w:r w:rsidRPr="00F63F75">
        <w:rPr>
          <w:rFonts w:asciiTheme="majorHAnsi" w:hAnsiTheme="majorHAnsi" w:cstheme="majorHAnsi"/>
          <w:i/>
        </w:rPr>
        <w:t>Jakarta Globe</w:t>
      </w:r>
      <w:r w:rsidRPr="00F63F75">
        <w:rPr>
          <w:rFonts w:asciiTheme="majorHAnsi" w:hAnsiTheme="majorHAnsi" w:cstheme="majorHAnsi"/>
        </w:rPr>
        <w:t>, 7 March 2013</w:t>
      </w:r>
    </w:p>
  </w:footnote>
  <w:footnote w:id="5">
    <w:p w14:paraId="6B14A427" w14:textId="77777777" w:rsidR="0037171C" w:rsidRPr="00F63F75" w:rsidRDefault="0037171C" w:rsidP="0037171C">
      <w:pPr>
        <w:pStyle w:val="FootnoteText"/>
        <w:rPr>
          <w:rFonts w:asciiTheme="majorHAnsi" w:hAnsiTheme="majorHAnsi" w:cstheme="majorHAnsi"/>
        </w:rPr>
      </w:pPr>
      <w:r w:rsidRPr="00F63F75">
        <w:rPr>
          <w:rStyle w:val="FootnoteReference"/>
          <w:rFonts w:asciiTheme="majorHAnsi" w:hAnsiTheme="majorHAnsi" w:cstheme="majorHAnsi"/>
        </w:rPr>
        <w:footnoteRef/>
      </w:r>
      <w:r w:rsidRPr="00F63F75">
        <w:rPr>
          <w:rFonts w:asciiTheme="majorHAnsi" w:hAnsiTheme="majorHAnsi" w:cstheme="majorHAnsi"/>
        </w:rPr>
        <w:t xml:space="preserve"> 5 May 2017, A/HRC/WG.6/27/L.5, Draft report of the working group, unedited version, paras. 5(126), 5(129) and 5(137)</w:t>
      </w:r>
    </w:p>
  </w:footnote>
  <w:footnote w:id="6">
    <w:p w14:paraId="6C74D8AA" w14:textId="77777777" w:rsidR="0037171C" w:rsidRPr="00F63F75" w:rsidRDefault="0037171C" w:rsidP="0037171C">
      <w:pPr>
        <w:pStyle w:val="FootnoteText"/>
        <w:rPr>
          <w:rFonts w:asciiTheme="majorHAnsi" w:hAnsiTheme="majorHAnsi" w:cstheme="majorHAnsi"/>
        </w:rPr>
      </w:pPr>
      <w:r w:rsidRPr="00F63F75">
        <w:rPr>
          <w:rStyle w:val="FootnoteReference"/>
          <w:rFonts w:asciiTheme="majorHAnsi" w:hAnsiTheme="majorHAnsi" w:cstheme="majorHAnsi"/>
        </w:rPr>
        <w:footnoteRef/>
      </w:r>
      <w:r w:rsidRPr="00F63F75">
        <w:rPr>
          <w:rFonts w:asciiTheme="majorHAnsi" w:hAnsiTheme="majorHAnsi" w:cstheme="majorHAnsi"/>
        </w:rPr>
        <w:t xml:space="preserve"> See </w:t>
      </w:r>
      <w:hyperlink r:id="rId1" w:history="1">
        <w:r w:rsidRPr="00F63F75">
          <w:rPr>
            <w:rStyle w:val="Hyperlink"/>
            <w:rFonts w:asciiTheme="majorHAnsi" w:hAnsiTheme="majorHAnsi" w:cstheme="majorHAnsi"/>
          </w:rPr>
          <w:t>http://indonesiaexpat.biz/news/corporal-punishment-students/</w:t>
        </w:r>
      </w:hyperlink>
      <w:r w:rsidRPr="00F63F75">
        <w:rPr>
          <w:rFonts w:asciiTheme="majorHAnsi" w:hAnsiTheme="majorHAnsi" w:cstheme="majorHAnsi"/>
        </w:rPr>
        <w:t>, accessed 19 July 2017</w:t>
      </w:r>
    </w:p>
  </w:footnote>
  <w:footnote w:id="7">
    <w:p w14:paraId="2E0EF851" w14:textId="77777777" w:rsidR="0037171C" w:rsidRPr="00F63F75" w:rsidRDefault="0037171C" w:rsidP="0037171C">
      <w:pPr>
        <w:pStyle w:val="FootnoteText"/>
        <w:rPr>
          <w:rFonts w:asciiTheme="majorHAnsi" w:hAnsiTheme="majorHAnsi" w:cstheme="majorHAnsi"/>
          <w:lang w:val="en-US"/>
        </w:rPr>
      </w:pPr>
      <w:r w:rsidRPr="00F63F75">
        <w:rPr>
          <w:rStyle w:val="FootnoteReference"/>
          <w:rFonts w:asciiTheme="majorHAnsi" w:hAnsiTheme="majorHAnsi" w:cstheme="majorHAnsi"/>
        </w:rPr>
        <w:footnoteRef/>
      </w:r>
      <w:r w:rsidRPr="00F63F75">
        <w:rPr>
          <w:rFonts w:asciiTheme="majorHAnsi" w:hAnsiTheme="majorHAnsi" w:cstheme="majorHAnsi"/>
        </w:rPr>
        <w:t xml:space="preserve"> </w:t>
      </w:r>
      <w:r w:rsidRPr="00F63F75">
        <w:rPr>
          <w:rFonts w:asciiTheme="majorHAnsi" w:eastAsiaTheme="minorHAnsi" w:hAnsiTheme="majorHAnsi" w:cstheme="majorHAnsi"/>
        </w:rPr>
        <w:t>28 June 2013, CCPR/C/IDN/Q/1/Add.1, Reply to list of issues, para. 115</w:t>
      </w:r>
    </w:p>
  </w:footnote>
  <w:footnote w:id="8">
    <w:p w14:paraId="0F58F499" w14:textId="77777777" w:rsidR="0037171C" w:rsidRPr="00F63F75" w:rsidRDefault="0037171C" w:rsidP="0037171C">
      <w:pPr>
        <w:pStyle w:val="FootnoteText"/>
        <w:rPr>
          <w:rFonts w:asciiTheme="majorHAnsi" w:hAnsiTheme="majorHAnsi" w:cstheme="majorHAnsi"/>
          <w:lang w:val="en-US"/>
        </w:rPr>
      </w:pPr>
      <w:r w:rsidRPr="00F63F75">
        <w:rPr>
          <w:rStyle w:val="FootnoteReference"/>
          <w:rFonts w:asciiTheme="majorHAnsi" w:hAnsiTheme="majorHAnsi" w:cstheme="majorHAnsi"/>
        </w:rPr>
        <w:footnoteRef/>
      </w:r>
      <w:r w:rsidRPr="00F63F75">
        <w:rPr>
          <w:rFonts w:asciiTheme="majorHAnsi" w:hAnsiTheme="majorHAnsi" w:cstheme="majorHAnsi"/>
        </w:rPr>
        <w:t xml:space="preserve"> </w:t>
      </w:r>
      <w:r w:rsidRPr="00F63F75">
        <w:rPr>
          <w:rFonts w:asciiTheme="majorHAnsi" w:hAnsiTheme="majorHAnsi" w:cstheme="majorHAnsi"/>
          <w:lang w:val="en-US"/>
        </w:rPr>
        <w:t xml:space="preserve">2 October 2014, Human Rights Watch press release, </w:t>
      </w:r>
      <w:hyperlink r:id="rId2" w:history="1">
        <w:r w:rsidRPr="00F63F75">
          <w:rPr>
            <w:rStyle w:val="Hyperlink"/>
            <w:rFonts w:asciiTheme="majorHAnsi" w:hAnsiTheme="majorHAnsi" w:cstheme="majorHAnsi"/>
            <w:lang w:val="en-US"/>
          </w:rPr>
          <w:t>http://www.hrw.org/news/2014/10/02/indonesia-aceh-s-new-islamic-laws-violate-rights</w:t>
        </w:r>
      </w:hyperlink>
      <w:r w:rsidRPr="00F63F75">
        <w:rPr>
          <w:rFonts w:asciiTheme="majorHAnsi" w:hAnsiTheme="majorHAnsi" w:cstheme="majorHAnsi"/>
          <w:lang w:val="en-US"/>
        </w:rPr>
        <w:t>, accessed 27 October 2014</w:t>
      </w:r>
    </w:p>
  </w:footnote>
  <w:footnote w:id="9">
    <w:p w14:paraId="62AC5BC2" w14:textId="77777777" w:rsidR="0037171C" w:rsidRPr="00F63F75" w:rsidRDefault="0037171C" w:rsidP="0037171C">
      <w:pPr>
        <w:pStyle w:val="FootnoteText"/>
        <w:rPr>
          <w:rFonts w:asciiTheme="majorHAnsi" w:hAnsiTheme="majorHAnsi" w:cstheme="majorHAnsi"/>
        </w:rPr>
      </w:pPr>
      <w:r w:rsidRPr="00F63F75">
        <w:rPr>
          <w:rStyle w:val="FootnoteReference"/>
          <w:rFonts w:asciiTheme="majorHAnsi" w:hAnsiTheme="majorHAnsi" w:cstheme="majorHAnsi"/>
        </w:rPr>
        <w:footnoteRef/>
      </w:r>
      <w:r w:rsidRPr="00F63F75">
        <w:rPr>
          <w:rFonts w:asciiTheme="majorHAnsi" w:hAnsiTheme="majorHAnsi" w:cstheme="majorHAnsi"/>
        </w:rPr>
        <w:t xml:space="preserve"> 6 May 2014, </w:t>
      </w:r>
      <w:r w:rsidRPr="00F63F75">
        <w:rPr>
          <w:rFonts w:asciiTheme="majorHAnsi" w:eastAsiaTheme="minorHAnsi" w:hAnsiTheme="majorHAnsi" w:cstheme="majorHAnsi"/>
          <w:bCs/>
        </w:rPr>
        <w:t>CRC/C/IDN/Q/3-4/Add.1, Reply to list of issues, paras. 1 to 9</w:t>
      </w:r>
    </w:p>
  </w:footnote>
  <w:footnote w:id="10">
    <w:p w14:paraId="09491AF0" w14:textId="77777777" w:rsidR="0037171C" w:rsidRPr="00F63F75" w:rsidRDefault="0037171C" w:rsidP="0037171C">
      <w:pPr>
        <w:pStyle w:val="FootnoteText"/>
        <w:rPr>
          <w:rFonts w:asciiTheme="majorHAnsi" w:hAnsiTheme="majorHAnsi" w:cstheme="majorHAnsi"/>
        </w:rPr>
      </w:pPr>
      <w:r w:rsidRPr="00F63F75">
        <w:rPr>
          <w:rStyle w:val="FootnoteReference"/>
          <w:rFonts w:asciiTheme="majorHAnsi" w:hAnsiTheme="majorHAnsi" w:cstheme="majorHAnsi"/>
        </w:rPr>
        <w:footnoteRef/>
      </w:r>
      <w:r w:rsidRPr="00F63F75">
        <w:rPr>
          <w:rFonts w:asciiTheme="majorHAnsi" w:hAnsiTheme="majorHAnsi" w:cstheme="majorHAnsi"/>
        </w:rPr>
        <w:t xml:space="preserve"> “Understanding the Making of Local Regulations”, November 2011</w:t>
      </w:r>
    </w:p>
  </w:footnote>
  <w:footnote w:id="11">
    <w:p w14:paraId="3580A4FF" w14:textId="77777777" w:rsidR="001B62F6" w:rsidRPr="00F63F75" w:rsidRDefault="001B62F6" w:rsidP="001B62F6">
      <w:pPr>
        <w:pStyle w:val="FootnoteText"/>
        <w:rPr>
          <w:rFonts w:asciiTheme="majorHAnsi" w:hAnsiTheme="majorHAnsi" w:cstheme="majorHAnsi"/>
        </w:rPr>
      </w:pPr>
      <w:r w:rsidRPr="00F63F75">
        <w:rPr>
          <w:rStyle w:val="FootnoteReference"/>
          <w:rFonts w:asciiTheme="majorHAnsi" w:hAnsiTheme="majorHAnsi" w:cstheme="majorHAnsi"/>
        </w:rPr>
        <w:footnoteRef/>
      </w:r>
      <w:r w:rsidRPr="00F63F75">
        <w:rPr>
          <w:rFonts w:asciiTheme="majorHAnsi" w:hAnsiTheme="majorHAnsi" w:cstheme="majorHAnsi"/>
        </w:rPr>
        <w:t xml:space="preserve"> 21 September 2005, CRC/C/15/Add.258, Concluding observations on initial report, paras. 9, 34 and 35</w:t>
      </w:r>
    </w:p>
  </w:footnote>
  <w:footnote w:id="12">
    <w:p w14:paraId="4B876EB3" w14:textId="12E10472" w:rsidR="0067293D" w:rsidRPr="00F63F75" w:rsidRDefault="0067293D">
      <w:pPr>
        <w:pStyle w:val="FootnoteText"/>
        <w:rPr>
          <w:rFonts w:asciiTheme="majorHAnsi" w:hAnsiTheme="majorHAnsi" w:cstheme="majorHAnsi"/>
        </w:rPr>
      </w:pPr>
      <w:r w:rsidRPr="00F63F75">
        <w:rPr>
          <w:rStyle w:val="FootnoteReference"/>
          <w:rFonts w:asciiTheme="majorHAnsi" w:hAnsiTheme="majorHAnsi" w:cstheme="majorHAnsi"/>
        </w:rPr>
        <w:footnoteRef/>
      </w:r>
      <w:r w:rsidRPr="00F63F75">
        <w:rPr>
          <w:rFonts w:asciiTheme="majorHAnsi" w:hAnsiTheme="majorHAnsi" w:cstheme="majorHAnsi"/>
        </w:rPr>
        <w:t xml:space="preserve"> </w:t>
      </w:r>
      <w:r w:rsidRPr="00F63F75">
        <w:rPr>
          <w:rFonts w:asciiTheme="majorHAnsi" w:eastAsiaTheme="minorHAnsi" w:hAnsiTheme="majorHAnsi" w:cstheme="majorHAnsi"/>
          <w:color w:val="000000"/>
          <w:lang w:val="en-US"/>
        </w:rPr>
        <w:t>10 July 2014, CRC/C/IDN/CO/3-4, Concluding observations on third/fourth report, paras. 7, 8 and 60</w:t>
      </w:r>
    </w:p>
  </w:footnote>
  <w:footnote w:id="13">
    <w:p w14:paraId="0DEC2A1E" w14:textId="742B52C4" w:rsidR="0067293D" w:rsidRPr="00F63F75" w:rsidRDefault="0067293D">
      <w:pPr>
        <w:pStyle w:val="FootnoteText"/>
        <w:rPr>
          <w:rFonts w:asciiTheme="majorHAnsi" w:hAnsiTheme="majorHAnsi" w:cstheme="majorHAnsi"/>
        </w:rPr>
      </w:pPr>
      <w:r w:rsidRPr="00F63F75">
        <w:rPr>
          <w:rStyle w:val="FootnoteReference"/>
          <w:rFonts w:asciiTheme="majorHAnsi" w:hAnsiTheme="majorHAnsi" w:cstheme="majorHAnsi"/>
        </w:rPr>
        <w:footnoteRef/>
      </w:r>
      <w:r w:rsidRPr="00F63F75">
        <w:rPr>
          <w:rFonts w:asciiTheme="majorHAnsi" w:hAnsiTheme="majorHAnsi" w:cstheme="majorHAnsi"/>
        </w:rPr>
        <w:t xml:space="preserve"> </w:t>
      </w:r>
      <w:r w:rsidRPr="00F63F75">
        <w:rPr>
          <w:rFonts w:asciiTheme="majorHAnsi" w:hAnsiTheme="majorHAnsi" w:cstheme="majorHAnsi"/>
        </w:rPr>
        <w:t>21 August 2013, CCPR/C/IND/CO/1, Concluding observations on initial report, para. 15</w:t>
      </w:r>
    </w:p>
  </w:footnote>
  <w:footnote w:id="14">
    <w:p w14:paraId="23468D40" w14:textId="77777777" w:rsidR="001B62F6" w:rsidRPr="00F63F75" w:rsidRDefault="001B62F6" w:rsidP="001B62F6">
      <w:pPr>
        <w:pStyle w:val="FootnoteText"/>
        <w:rPr>
          <w:rFonts w:asciiTheme="majorHAnsi" w:hAnsiTheme="majorHAnsi" w:cstheme="majorHAnsi"/>
        </w:rPr>
      </w:pPr>
      <w:r w:rsidRPr="00F63F75">
        <w:rPr>
          <w:rStyle w:val="FootnoteReference"/>
          <w:rFonts w:asciiTheme="majorHAnsi" w:hAnsiTheme="majorHAnsi" w:cstheme="majorHAnsi"/>
        </w:rPr>
        <w:footnoteRef/>
      </w:r>
      <w:r w:rsidRPr="00F63F75">
        <w:rPr>
          <w:rFonts w:asciiTheme="majorHAnsi" w:hAnsiTheme="majorHAnsi" w:cstheme="majorHAnsi"/>
        </w:rPr>
        <w:t xml:space="preserve"> 2 July 2008, CAT/C/IDN/CO/2, Concluding observations on second report, paras. 15 and 17</w:t>
      </w:r>
    </w:p>
  </w:footnote>
  <w:footnote w:id="15">
    <w:p w14:paraId="64A59615" w14:textId="77777777" w:rsidR="001B62F6" w:rsidRPr="00F63F75" w:rsidRDefault="001B62F6" w:rsidP="001B62F6">
      <w:pPr>
        <w:pStyle w:val="FootnoteText"/>
        <w:rPr>
          <w:rFonts w:asciiTheme="majorHAnsi" w:hAnsiTheme="majorHAnsi" w:cstheme="majorHAnsi"/>
        </w:rPr>
      </w:pPr>
      <w:r w:rsidRPr="00F63F75">
        <w:rPr>
          <w:rStyle w:val="FootnoteReference"/>
          <w:rFonts w:asciiTheme="majorHAnsi" w:hAnsiTheme="majorHAnsi" w:cstheme="majorHAnsi"/>
        </w:rPr>
        <w:footnoteRef/>
      </w:r>
      <w:r w:rsidRPr="00F63F75">
        <w:rPr>
          <w:rFonts w:asciiTheme="majorHAnsi" w:hAnsiTheme="majorHAnsi" w:cstheme="majorHAnsi"/>
        </w:rPr>
        <w:t xml:space="preserve"> 14 May 2008, A/HRC/8/23, Report of the working group, para. 76(2))</w:t>
      </w:r>
    </w:p>
  </w:footnote>
  <w:footnote w:id="16">
    <w:p w14:paraId="3F7B888F" w14:textId="77777777" w:rsidR="001B62F6" w:rsidRPr="00F63F75" w:rsidRDefault="001B62F6" w:rsidP="001B62F6">
      <w:pPr>
        <w:pStyle w:val="FootnoteText"/>
        <w:rPr>
          <w:rFonts w:asciiTheme="majorHAnsi" w:hAnsiTheme="majorHAnsi" w:cstheme="majorHAnsi"/>
        </w:rPr>
      </w:pPr>
      <w:r w:rsidRPr="00F63F75">
        <w:rPr>
          <w:rStyle w:val="FootnoteReference"/>
          <w:rFonts w:asciiTheme="majorHAnsi" w:hAnsiTheme="majorHAnsi" w:cstheme="majorHAnsi"/>
        </w:rPr>
        <w:footnoteRef/>
      </w:r>
      <w:r w:rsidRPr="00F63F75">
        <w:rPr>
          <w:rFonts w:asciiTheme="majorHAnsi" w:hAnsiTheme="majorHAnsi" w:cstheme="majorHAnsi"/>
        </w:rPr>
        <w:t xml:space="preserve"> </w:t>
      </w:r>
      <w:r w:rsidRPr="00F63F75">
        <w:rPr>
          <w:rFonts w:asciiTheme="majorHAnsi" w:hAnsiTheme="majorHAnsi" w:cstheme="majorHAnsi"/>
          <w:bCs/>
        </w:rPr>
        <w:t>14 May 2008, A/HRC/21/7, Report of the working group, paras. 108(75) and 109(28)</w:t>
      </w:r>
    </w:p>
  </w:footnote>
  <w:footnote w:id="17">
    <w:p w14:paraId="0132A321" w14:textId="77777777" w:rsidR="001B62F6" w:rsidRPr="00F63F75" w:rsidRDefault="001B62F6" w:rsidP="001B62F6">
      <w:pPr>
        <w:pStyle w:val="FootnoteText"/>
        <w:rPr>
          <w:rFonts w:asciiTheme="majorHAnsi" w:hAnsiTheme="majorHAnsi" w:cstheme="majorHAnsi"/>
        </w:rPr>
      </w:pPr>
      <w:r w:rsidRPr="00F63F75">
        <w:rPr>
          <w:rStyle w:val="FootnoteReference"/>
          <w:rFonts w:asciiTheme="majorHAnsi" w:hAnsiTheme="majorHAnsi" w:cstheme="majorHAnsi"/>
        </w:rPr>
        <w:footnoteRef/>
      </w:r>
      <w:r w:rsidRPr="00F63F75">
        <w:rPr>
          <w:rFonts w:asciiTheme="majorHAnsi" w:hAnsiTheme="majorHAnsi" w:cstheme="majorHAnsi"/>
        </w:rPr>
        <w:t xml:space="preserve"> 5 July 2012, A/HRC/21/7, Report of the working group, paras. 108(75); 5 September 2012, A/HRC/21/7/Add.1, Report of the working group: Addendum, para. 6(9)</w:t>
      </w:r>
    </w:p>
  </w:footnote>
  <w:footnote w:id="18">
    <w:p w14:paraId="213ADBB3" w14:textId="77777777" w:rsidR="0067293D" w:rsidRPr="00F63F75" w:rsidRDefault="0067293D" w:rsidP="0067293D">
      <w:pPr>
        <w:pStyle w:val="FootnoteText"/>
        <w:rPr>
          <w:rFonts w:asciiTheme="majorHAnsi" w:hAnsiTheme="majorHAnsi" w:cstheme="majorHAnsi"/>
        </w:rPr>
      </w:pPr>
      <w:r w:rsidRPr="00F63F75">
        <w:rPr>
          <w:rStyle w:val="FootnoteReference"/>
          <w:rFonts w:asciiTheme="majorHAnsi" w:hAnsiTheme="majorHAnsi" w:cstheme="majorHAnsi"/>
        </w:rPr>
        <w:footnoteRef/>
      </w:r>
      <w:r w:rsidRPr="00F63F75">
        <w:rPr>
          <w:rFonts w:asciiTheme="majorHAnsi" w:hAnsiTheme="majorHAnsi" w:cstheme="majorHAnsi"/>
        </w:rPr>
        <w:t xml:space="preserve"> 5 May 2017, A/HRC/WG.6/27/L.5, Draft report of the working group, unedited version, paras. 5(126), 5(129) and 5(137)</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0E6241D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 w15:restartNumberingAfterBreak="0">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7495B7C"/>
    <w:multiLevelType w:val="multilevel"/>
    <w:tmpl w:val="4CF85FA2"/>
    <w:lvl w:ilvl="0">
      <w:start w:val="1"/>
      <w:numFmt w:val="decimal"/>
      <w:lvlText w:val="%1"/>
      <w:lvlJc w:val="left"/>
      <w:pPr>
        <w:ind w:left="390" w:hanging="390"/>
      </w:pPr>
      <w:rPr>
        <w:rFonts w:ascii="Times New Roman" w:eastAsia="Times New Roman" w:hAnsi="Times New Roman" w:cs="Times New Roman"/>
      </w:rPr>
    </w:lvl>
    <w:lvl w:ilvl="1">
      <w:start w:val="1"/>
      <w:numFmt w:val="decimal"/>
      <w:lvlText w:val="%1.%2"/>
      <w:lvlJc w:val="left"/>
      <w:pPr>
        <w:ind w:left="390" w:hanging="39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5" w15:restartNumberingAfterBreak="0">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6AB91649"/>
    <w:multiLevelType w:val="hybridMultilevel"/>
    <w:tmpl w:val="131A45A4"/>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7" w15:restartNumberingAfterBreak="0">
    <w:nsid w:val="7B820225"/>
    <w:multiLevelType w:val="hybridMultilevel"/>
    <w:tmpl w:val="09068A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5"/>
  </w:num>
  <w:num w:numId="4">
    <w:abstractNumId w:val="2"/>
  </w:num>
  <w:num w:numId="5">
    <w:abstractNumId w:val="8"/>
  </w:num>
  <w:num w:numId="6">
    <w:abstractNumId w:val="6"/>
  </w:num>
  <w:num w:numId="7">
    <w:abstractNumId w:val="4"/>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noPunctuationKerning/>
  <w:characterSpacingControl w:val="doNotCompress"/>
  <w:hdrShapeDefaults>
    <o:shapedefaults v:ext="edit" spidmax="2049"/>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176F0"/>
    <w:rsid w:val="00020DE2"/>
    <w:rsid w:val="000214C5"/>
    <w:rsid w:val="000217BF"/>
    <w:rsid w:val="000217FB"/>
    <w:rsid w:val="0002547D"/>
    <w:rsid w:val="000265D6"/>
    <w:rsid w:val="00030FED"/>
    <w:rsid w:val="0003240E"/>
    <w:rsid w:val="000338A8"/>
    <w:rsid w:val="000533A7"/>
    <w:rsid w:val="000534D3"/>
    <w:rsid w:val="00075396"/>
    <w:rsid w:val="00077E55"/>
    <w:rsid w:val="000827FD"/>
    <w:rsid w:val="000859C9"/>
    <w:rsid w:val="0008612D"/>
    <w:rsid w:val="000932B3"/>
    <w:rsid w:val="000A3923"/>
    <w:rsid w:val="000D7F80"/>
    <w:rsid w:val="000E558E"/>
    <w:rsid w:val="000F5301"/>
    <w:rsid w:val="00106569"/>
    <w:rsid w:val="001117DC"/>
    <w:rsid w:val="001119F0"/>
    <w:rsid w:val="00126D81"/>
    <w:rsid w:val="00127339"/>
    <w:rsid w:val="0014131F"/>
    <w:rsid w:val="00142366"/>
    <w:rsid w:val="00143759"/>
    <w:rsid w:val="00147F85"/>
    <w:rsid w:val="00150855"/>
    <w:rsid w:val="00162F5A"/>
    <w:rsid w:val="001768A1"/>
    <w:rsid w:val="00181FAC"/>
    <w:rsid w:val="001847FF"/>
    <w:rsid w:val="00186788"/>
    <w:rsid w:val="00187327"/>
    <w:rsid w:val="001919DD"/>
    <w:rsid w:val="001947F2"/>
    <w:rsid w:val="001A0102"/>
    <w:rsid w:val="001B2F6E"/>
    <w:rsid w:val="001B43AF"/>
    <w:rsid w:val="001B5394"/>
    <w:rsid w:val="001B62F6"/>
    <w:rsid w:val="001B7D95"/>
    <w:rsid w:val="001C55D9"/>
    <w:rsid w:val="001D1655"/>
    <w:rsid w:val="001D49E4"/>
    <w:rsid w:val="001D56D4"/>
    <w:rsid w:val="001E140B"/>
    <w:rsid w:val="001E2769"/>
    <w:rsid w:val="001F05A0"/>
    <w:rsid w:val="001F68F0"/>
    <w:rsid w:val="00205A1A"/>
    <w:rsid w:val="00215035"/>
    <w:rsid w:val="002230EE"/>
    <w:rsid w:val="00224BD1"/>
    <w:rsid w:val="00237875"/>
    <w:rsid w:val="00242520"/>
    <w:rsid w:val="002467F9"/>
    <w:rsid w:val="00250C7D"/>
    <w:rsid w:val="00251489"/>
    <w:rsid w:val="00254DF5"/>
    <w:rsid w:val="002638C7"/>
    <w:rsid w:val="00264AF9"/>
    <w:rsid w:val="00272F68"/>
    <w:rsid w:val="002748BD"/>
    <w:rsid w:val="002810F1"/>
    <w:rsid w:val="00284C98"/>
    <w:rsid w:val="00285A47"/>
    <w:rsid w:val="002A01E3"/>
    <w:rsid w:val="002A06FC"/>
    <w:rsid w:val="002A3229"/>
    <w:rsid w:val="002A7206"/>
    <w:rsid w:val="002B20D3"/>
    <w:rsid w:val="002B3F16"/>
    <w:rsid w:val="002C5DAB"/>
    <w:rsid w:val="002D6FD4"/>
    <w:rsid w:val="002E09C9"/>
    <w:rsid w:val="002E2D70"/>
    <w:rsid w:val="002E4E5B"/>
    <w:rsid w:val="002E61CE"/>
    <w:rsid w:val="002F528D"/>
    <w:rsid w:val="00301753"/>
    <w:rsid w:val="00306C1D"/>
    <w:rsid w:val="00307A90"/>
    <w:rsid w:val="00312228"/>
    <w:rsid w:val="00312D2C"/>
    <w:rsid w:val="00315F04"/>
    <w:rsid w:val="00316151"/>
    <w:rsid w:val="00322E14"/>
    <w:rsid w:val="00327C1C"/>
    <w:rsid w:val="00347EAC"/>
    <w:rsid w:val="00353CF1"/>
    <w:rsid w:val="00353EF8"/>
    <w:rsid w:val="00361051"/>
    <w:rsid w:val="003617F3"/>
    <w:rsid w:val="0036194C"/>
    <w:rsid w:val="003653BB"/>
    <w:rsid w:val="0037171C"/>
    <w:rsid w:val="00373271"/>
    <w:rsid w:val="003757DE"/>
    <w:rsid w:val="003764A5"/>
    <w:rsid w:val="00382A8F"/>
    <w:rsid w:val="003942F0"/>
    <w:rsid w:val="003A1FDA"/>
    <w:rsid w:val="003A2D7A"/>
    <w:rsid w:val="003B1533"/>
    <w:rsid w:val="003C2A68"/>
    <w:rsid w:val="003D4B76"/>
    <w:rsid w:val="003D6A85"/>
    <w:rsid w:val="003E1F72"/>
    <w:rsid w:val="003E35BE"/>
    <w:rsid w:val="003F1015"/>
    <w:rsid w:val="00414428"/>
    <w:rsid w:val="0041473A"/>
    <w:rsid w:val="0041659A"/>
    <w:rsid w:val="00424AF4"/>
    <w:rsid w:val="00425F3B"/>
    <w:rsid w:val="00435577"/>
    <w:rsid w:val="00437B2C"/>
    <w:rsid w:val="004479F1"/>
    <w:rsid w:val="00457AD2"/>
    <w:rsid w:val="00460F41"/>
    <w:rsid w:val="00463C10"/>
    <w:rsid w:val="004737EE"/>
    <w:rsid w:val="00482BF9"/>
    <w:rsid w:val="00485994"/>
    <w:rsid w:val="004866EF"/>
    <w:rsid w:val="00490379"/>
    <w:rsid w:val="004978EF"/>
    <w:rsid w:val="004B3464"/>
    <w:rsid w:val="004B5EB3"/>
    <w:rsid w:val="004C28F8"/>
    <w:rsid w:val="004C3E11"/>
    <w:rsid w:val="004D0FF8"/>
    <w:rsid w:val="004D4BCC"/>
    <w:rsid w:val="004D68EA"/>
    <w:rsid w:val="004D7A67"/>
    <w:rsid w:val="004E431B"/>
    <w:rsid w:val="004E691B"/>
    <w:rsid w:val="004F1D03"/>
    <w:rsid w:val="004F1D22"/>
    <w:rsid w:val="004F2D26"/>
    <w:rsid w:val="004F5801"/>
    <w:rsid w:val="004F70CD"/>
    <w:rsid w:val="004F7D9E"/>
    <w:rsid w:val="004F7EF9"/>
    <w:rsid w:val="005006B7"/>
    <w:rsid w:val="00500DEA"/>
    <w:rsid w:val="00514929"/>
    <w:rsid w:val="00520D79"/>
    <w:rsid w:val="00521973"/>
    <w:rsid w:val="005223A5"/>
    <w:rsid w:val="00526077"/>
    <w:rsid w:val="00533416"/>
    <w:rsid w:val="00543B9A"/>
    <w:rsid w:val="0055414A"/>
    <w:rsid w:val="0057626F"/>
    <w:rsid w:val="00581B3E"/>
    <w:rsid w:val="00581D48"/>
    <w:rsid w:val="005832BA"/>
    <w:rsid w:val="00586929"/>
    <w:rsid w:val="005869E5"/>
    <w:rsid w:val="00591A1C"/>
    <w:rsid w:val="00591DBA"/>
    <w:rsid w:val="0059593D"/>
    <w:rsid w:val="00597780"/>
    <w:rsid w:val="005A212D"/>
    <w:rsid w:val="005A66D2"/>
    <w:rsid w:val="005A7272"/>
    <w:rsid w:val="005B31F1"/>
    <w:rsid w:val="005B5315"/>
    <w:rsid w:val="005B7111"/>
    <w:rsid w:val="005C28E4"/>
    <w:rsid w:val="005C2BF1"/>
    <w:rsid w:val="005C34D5"/>
    <w:rsid w:val="005C4DDD"/>
    <w:rsid w:val="005D1998"/>
    <w:rsid w:val="005D45A4"/>
    <w:rsid w:val="005E0F62"/>
    <w:rsid w:val="005E224B"/>
    <w:rsid w:val="005E2DC2"/>
    <w:rsid w:val="005F292A"/>
    <w:rsid w:val="005F2E16"/>
    <w:rsid w:val="0060486A"/>
    <w:rsid w:val="00605D18"/>
    <w:rsid w:val="006101B1"/>
    <w:rsid w:val="0061376B"/>
    <w:rsid w:val="00620321"/>
    <w:rsid w:val="00620FAB"/>
    <w:rsid w:val="00623A0A"/>
    <w:rsid w:val="0062663B"/>
    <w:rsid w:val="00633745"/>
    <w:rsid w:val="00641C6B"/>
    <w:rsid w:val="006460B8"/>
    <w:rsid w:val="00655927"/>
    <w:rsid w:val="00655F1A"/>
    <w:rsid w:val="00667DAE"/>
    <w:rsid w:val="0067293D"/>
    <w:rsid w:val="00681915"/>
    <w:rsid w:val="00683188"/>
    <w:rsid w:val="00683622"/>
    <w:rsid w:val="00694139"/>
    <w:rsid w:val="006969BA"/>
    <w:rsid w:val="00697EC0"/>
    <w:rsid w:val="006B237E"/>
    <w:rsid w:val="006B7454"/>
    <w:rsid w:val="006B76CE"/>
    <w:rsid w:val="006C166A"/>
    <w:rsid w:val="006C6EBB"/>
    <w:rsid w:val="006E3A2C"/>
    <w:rsid w:val="007048C5"/>
    <w:rsid w:val="0070646C"/>
    <w:rsid w:val="00711079"/>
    <w:rsid w:val="00712118"/>
    <w:rsid w:val="00716B5D"/>
    <w:rsid w:val="0072294E"/>
    <w:rsid w:val="00725D25"/>
    <w:rsid w:val="00732CBB"/>
    <w:rsid w:val="00741FF7"/>
    <w:rsid w:val="00751244"/>
    <w:rsid w:val="00752380"/>
    <w:rsid w:val="00756CA5"/>
    <w:rsid w:val="007604D4"/>
    <w:rsid w:val="00766D98"/>
    <w:rsid w:val="00767639"/>
    <w:rsid w:val="007731FE"/>
    <w:rsid w:val="00785749"/>
    <w:rsid w:val="007915BB"/>
    <w:rsid w:val="00797BE0"/>
    <w:rsid w:val="00797CC8"/>
    <w:rsid w:val="007A21C3"/>
    <w:rsid w:val="007B15F5"/>
    <w:rsid w:val="007B398A"/>
    <w:rsid w:val="007B4603"/>
    <w:rsid w:val="007B540F"/>
    <w:rsid w:val="007B73D4"/>
    <w:rsid w:val="007C22B7"/>
    <w:rsid w:val="007C397C"/>
    <w:rsid w:val="007C46E2"/>
    <w:rsid w:val="007D2F31"/>
    <w:rsid w:val="007D5227"/>
    <w:rsid w:val="007F25EE"/>
    <w:rsid w:val="007F5F26"/>
    <w:rsid w:val="007F709A"/>
    <w:rsid w:val="007F7529"/>
    <w:rsid w:val="007F791E"/>
    <w:rsid w:val="00804DE0"/>
    <w:rsid w:val="008120D1"/>
    <w:rsid w:val="0081318D"/>
    <w:rsid w:val="00825FA5"/>
    <w:rsid w:val="008331E5"/>
    <w:rsid w:val="00833827"/>
    <w:rsid w:val="0084473A"/>
    <w:rsid w:val="00847A77"/>
    <w:rsid w:val="00861D14"/>
    <w:rsid w:val="008644FA"/>
    <w:rsid w:val="008730E0"/>
    <w:rsid w:val="00886BA1"/>
    <w:rsid w:val="0089100E"/>
    <w:rsid w:val="008925A3"/>
    <w:rsid w:val="008A26A7"/>
    <w:rsid w:val="008B74E3"/>
    <w:rsid w:val="008D4A87"/>
    <w:rsid w:val="008D5519"/>
    <w:rsid w:val="008D5C6F"/>
    <w:rsid w:val="008D6D66"/>
    <w:rsid w:val="008E2F21"/>
    <w:rsid w:val="008E4894"/>
    <w:rsid w:val="008F06C6"/>
    <w:rsid w:val="008F0922"/>
    <w:rsid w:val="008F3F7F"/>
    <w:rsid w:val="008F4926"/>
    <w:rsid w:val="00902C77"/>
    <w:rsid w:val="00911447"/>
    <w:rsid w:val="00913972"/>
    <w:rsid w:val="00917147"/>
    <w:rsid w:val="00921E92"/>
    <w:rsid w:val="00923377"/>
    <w:rsid w:val="009242B2"/>
    <w:rsid w:val="00925C21"/>
    <w:rsid w:val="00935430"/>
    <w:rsid w:val="00937F66"/>
    <w:rsid w:val="0094061F"/>
    <w:rsid w:val="00955525"/>
    <w:rsid w:val="00963238"/>
    <w:rsid w:val="00963DD6"/>
    <w:rsid w:val="0098296F"/>
    <w:rsid w:val="00986253"/>
    <w:rsid w:val="00990A46"/>
    <w:rsid w:val="00994D13"/>
    <w:rsid w:val="009A2D05"/>
    <w:rsid w:val="009A464A"/>
    <w:rsid w:val="009B471D"/>
    <w:rsid w:val="009C24BF"/>
    <w:rsid w:val="009C25E9"/>
    <w:rsid w:val="009C390B"/>
    <w:rsid w:val="009C687E"/>
    <w:rsid w:val="009C7037"/>
    <w:rsid w:val="009D4F36"/>
    <w:rsid w:val="009D6E71"/>
    <w:rsid w:val="009E0C08"/>
    <w:rsid w:val="009E2C0A"/>
    <w:rsid w:val="009F5901"/>
    <w:rsid w:val="009F5C73"/>
    <w:rsid w:val="00A1392E"/>
    <w:rsid w:val="00A141B8"/>
    <w:rsid w:val="00A20DE1"/>
    <w:rsid w:val="00A26D5D"/>
    <w:rsid w:val="00A34229"/>
    <w:rsid w:val="00A400C3"/>
    <w:rsid w:val="00A52185"/>
    <w:rsid w:val="00A52BB4"/>
    <w:rsid w:val="00A53A7A"/>
    <w:rsid w:val="00A57679"/>
    <w:rsid w:val="00A61F7B"/>
    <w:rsid w:val="00A647F9"/>
    <w:rsid w:val="00A64F13"/>
    <w:rsid w:val="00A72C9A"/>
    <w:rsid w:val="00A76356"/>
    <w:rsid w:val="00AA6CB9"/>
    <w:rsid w:val="00AA6FA5"/>
    <w:rsid w:val="00AB131E"/>
    <w:rsid w:val="00AB1753"/>
    <w:rsid w:val="00AC46B1"/>
    <w:rsid w:val="00AD2590"/>
    <w:rsid w:val="00AF314F"/>
    <w:rsid w:val="00B02568"/>
    <w:rsid w:val="00B05968"/>
    <w:rsid w:val="00B14123"/>
    <w:rsid w:val="00B14859"/>
    <w:rsid w:val="00B2447D"/>
    <w:rsid w:val="00B25AB8"/>
    <w:rsid w:val="00B31925"/>
    <w:rsid w:val="00B34E50"/>
    <w:rsid w:val="00B36E76"/>
    <w:rsid w:val="00B438B7"/>
    <w:rsid w:val="00B468C3"/>
    <w:rsid w:val="00B55728"/>
    <w:rsid w:val="00B57CFD"/>
    <w:rsid w:val="00B61ACB"/>
    <w:rsid w:val="00B65878"/>
    <w:rsid w:val="00B658CA"/>
    <w:rsid w:val="00B73008"/>
    <w:rsid w:val="00B7483C"/>
    <w:rsid w:val="00B75C6A"/>
    <w:rsid w:val="00B81094"/>
    <w:rsid w:val="00B84358"/>
    <w:rsid w:val="00B8457E"/>
    <w:rsid w:val="00B84812"/>
    <w:rsid w:val="00B86C92"/>
    <w:rsid w:val="00B87C69"/>
    <w:rsid w:val="00B92BC6"/>
    <w:rsid w:val="00B95040"/>
    <w:rsid w:val="00B9545D"/>
    <w:rsid w:val="00B97015"/>
    <w:rsid w:val="00BA2A8D"/>
    <w:rsid w:val="00BA754F"/>
    <w:rsid w:val="00BB1960"/>
    <w:rsid w:val="00BB5726"/>
    <w:rsid w:val="00BB6C06"/>
    <w:rsid w:val="00BB7182"/>
    <w:rsid w:val="00BB7F9F"/>
    <w:rsid w:val="00BC68F4"/>
    <w:rsid w:val="00BC6C90"/>
    <w:rsid w:val="00BD259A"/>
    <w:rsid w:val="00BE0FA6"/>
    <w:rsid w:val="00BE37BF"/>
    <w:rsid w:val="00BF1402"/>
    <w:rsid w:val="00C004A4"/>
    <w:rsid w:val="00C17385"/>
    <w:rsid w:val="00C237B1"/>
    <w:rsid w:val="00C245E4"/>
    <w:rsid w:val="00C252DE"/>
    <w:rsid w:val="00C278E1"/>
    <w:rsid w:val="00C36B63"/>
    <w:rsid w:val="00C37622"/>
    <w:rsid w:val="00C518E3"/>
    <w:rsid w:val="00C51CB0"/>
    <w:rsid w:val="00C53B1C"/>
    <w:rsid w:val="00C54B90"/>
    <w:rsid w:val="00C63547"/>
    <w:rsid w:val="00C64EA1"/>
    <w:rsid w:val="00C66A46"/>
    <w:rsid w:val="00C82792"/>
    <w:rsid w:val="00C84FBA"/>
    <w:rsid w:val="00C91BB2"/>
    <w:rsid w:val="00C96E68"/>
    <w:rsid w:val="00C973D3"/>
    <w:rsid w:val="00C97A90"/>
    <w:rsid w:val="00C97C42"/>
    <w:rsid w:val="00CB457A"/>
    <w:rsid w:val="00CB7DD5"/>
    <w:rsid w:val="00CC09E1"/>
    <w:rsid w:val="00CC6D48"/>
    <w:rsid w:val="00CD349E"/>
    <w:rsid w:val="00CE015B"/>
    <w:rsid w:val="00CF1491"/>
    <w:rsid w:val="00CF1D97"/>
    <w:rsid w:val="00CF3C9D"/>
    <w:rsid w:val="00CF6F86"/>
    <w:rsid w:val="00D04D81"/>
    <w:rsid w:val="00D14AE4"/>
    <w:rsid w:val="00D25FCE"/>
    <w:rsid w:val="00D27EAE"/>
    <w:rsid w:val="00D36C44"/>
    <w:rsid w:val="00D465CC"/>
    <w:rsid w:val="00D46AF1"/>
    <w:rsid w:val="00D5594E"/>
    <w:rsid w:val="00D63AA6"/>
    <w:rsid w:val="00D64999"/>
    <w:rsid w:val="00D66B58"/>
    <w:rsid w:val="00D67B66"/>
    <w:rsid w:val="00D90209"/>
    <w:rsid w:val="00D91C58"/>
    <w:rsid w:val="00DA14D6"/>
    <w:rsid w:val="00DA17C8"/>
    <w:rsid w:val="00DA5C89"/>
    <w:rsid w:val="00DB0F27"/>
    <w:rsid w:val="00DC20AE"/>
    <w:rsid w:val="00DE4FD8"/>
    <w:rsid w:val="00DF2A6A"/>
    <w:rsid w:val="00DF42D1"/>
    <w:rsid w:val="00DF56D0"/>
    <w:rsid w:val="00DF6FBF"/>
    <w:rsid w:val="00DF749A"/>
    <w:rsid w:val="00DF7F1C"/>
    <w:rsid w:val="00E066AC"/>
    <w:rsid w:val="00E120C8"/>
    <w:rsid w:val="00E1292E"/>
    <w:rsid w:val="00E218F1"/>
    <w:rsid w:val="00E236B6"/>
    <w:rsid w:val="00E2521E"/>
    <w:rsid w:val="00E262BB"/>
    <w:rsid w:val="00E33299"/>
    <w:rsid w:val="00E34297"/>
    <w:rsid w:val="00E348D1"/>
    <w:rsid w:val="00E37399"/>
    <w:rsid w:val="00E42BCC"/>
    <w:rsid w:val="00E439B3"/>
    <w:rsid w:val="00E4774B"/>
    <w:rsid w:val="00E511FD"/>
    <w:rsid w:val="00E5715B"/>
    <w:rsid w:val="00E64999"/>
    <w:rsid w:val="00E745E0"/>
    <w:rsid w:val="00E74E94"/>
    <w:rsid w:val="00E82131"/>
    <w:rsid w:val="00E90F1D"/>
    <w:rsid w:val="00E91687"/>
    <w:rsid w:val="00E9361C"/>
    <w:rsid w:val="00E95B06"/>
    <w:rsid w:val="00E97452"/>
    <w:rsid w:val="00EA05DA"/>
    <w:rsid w:val="00EA123E"/>
    <w:rsid w:val="00EA3676"/>
    <w:rsid w:val="00EB16D4"/>
    <w:rsid w:val="00EC3476"/>
    <w:rsid w:val="00ED3374"/>
    <w:rsid w:val="00EE508D"/>
    <w:rsid w:val="00EE5770"/>
    <w:rsid w:val="00EF577B"/>
    <w:rsid w:val="00EF6C4C"/>
    <w:rsid w:val="00EF6D99"/>
    <w:rsid w:val="00F03CDA"/>
    <w:rsid w:val="00F238AE"/>
    <w:rsid w:val="00F27919"/>
    <w:rsid w:val="00F325F7"/>
    <w:rsid w:val="00F401E2"/>
    <w:rsid w:val="00F51705"/>
    <w:rsid w:val="00F63112"/>
    <w:rsid w:val="00F63F75"/>
    <w:rsid w:val="00F67CC5"/>
    <w:rsid w:val="00F7085F"/>
    <w:rsid w:val="00F70EFA"/>
    <w:rsid w:val="00F72865"/>
    <w:rsid w:val="00F80858"/>
    <w:rsid w:val="00F8476D"/>
    <w:rsid w:val="00F85174"/>
    <w:rsid w:val="00FB3818"/>
    <w:rsid w:val="00FC190E"/>
    <w:rsid w:val="00FD148E"/>
    <w:rsid w:val="00FE17B4"/>
    <w:rsid w:val="00FF0747"/>
    <w:rsid w:val="00FF139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AFC9D29"/>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unhideWhenUsed="1"/>
    <w:lsdException w:name="No Spacing" w:semiHidden="1" w:uiPriority="68" w:unhideWhenUsed="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F1D"/>
    <w:rPr>
      <w:sz w:val="24"/>
      <w:szCs w:val="24"/>
      <w:lang w:eastAsia="en-GB"/>
    </w:rPr>
  </w:style>
  <w:style w:type="paragraph" w:styleId="Heading1">
    <w:name w:val="heading 1"/>
    <w:aliases w:val="Heading 1 Char"/>
    <w:basedOn w:val="Normal"/>
    <w:next w:val="Normal"/>
    <w:link w:val="Heading1Char1"/>
    <w:uiPriority w:val="99"/>
    <w:qFormat/>
    <w:rsid w:val="00E90F1D"/>
    <w:pPr>
      <w:keepNext/>
      <w:outlineLvl w:val="0"/>
    </w:pPr>
    <w:rPr>
      <w:b/>
      <w:bCs/>
      <w:lang w:val="x-none" w:eastAsia="en-US"/>
    </w:rPr>
  </w:style>
  <w:style w:type="paragraph" w:styleId="Heading2">
    <w:name w:val="heading 2"/>
    <w:basedOn w:val="Normal"/>
    <w:next w:val="Normal"/>
    <w:link w:val="Heading2Char"/>
    <w:uiPriority w:val="9"/>
    <w:qFormat/>
    <w:rsid w:val="00E90F1D"/>
    <w:pPr>
      <w:keepNext/>
      <w:outlineLvl w:val="1"/>
    </w:pPr>
    <w:rPr>
      <w:b/>
      <w:bCs/>
      <w:lang w:val="x-none" w:eastAsia="en-US"/>
    </w:rPr>
  </w:style>
  <w:style w:type="paragraph" w:styleId="Heading3">
    <w:name w:val="heading 3"/>
    <w:basedOn w:val="Normal"/>
    <w:next w:val="Normal"/>
    <w:link w:val="Heading3Char"/>
    <w:uiPriority w:val="99"/>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uiPriority w:val="99"/>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E90F1D"/>
    <w:rPr>
      <w:lang w:eastAsia="en-US"/>
    </w:rPr>
  </w:style>
  <w:style w:type="paragraph" w:styleId="Footer">
    <w:name w:val="footer"/>
    <w:basedOn w:val="Normal"/>
    <w:link w:val="FooterChar"/>
    <w:uiPriority w:val="99"/>
    <w:rsid w:val="00E90F1D"/>
    <w:pPr>
      <w:tabs>
        <w:tab w:val="center" w:pos="4153"/>
        <w:tab w:val="right" w:pos="8306"/>
      </w:tabs>
    </w:pPr>
    <w:rPr>
      <w:lang w:val="x-none" w:eastAsia="x-none"/>
    </w:rPr>
  </w:style>
  <w:style w:type="character" w:styleId="PageNumber">
    <w:name w:val="page number"/>
    <w:basedOn w:val="DefaultParagraphFont"/>
    <w:semiHidden/>
    <w:rsid w:val="00E90F1D"/>
  </w:style>
  <w:style w:type="paragraph" w:styleId="Header">
    <w:name w:val="header"/>
    <w:basedOn w:val="Normal"/>
    <w:semiHidden/>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styleId="BodyText3">
    <w:name w:val="Body Text 3"/>
    <w:basedOn w:val="Normal"/>
    <w:link w:val="BodyText3Char"/>
    <w:uiPriority w:val="99"/>
    <w:semiHidden/>
    <w:unhideWhenUsed/>
    <w:rsid w:val="00A52BB4"/>
    <w:pPr>
      <w:spacing w:after="120"/>
    </w:pPr>
    <w:rPr>
      <w:sz w:val="16"/>
      <w:szCs w:val="16"/>
      <w:lang w:val="x-none" w:eastAsia="x-none"/>
    </w:rPr>
  </w:style>
  <w:style w:type="character" w:customStyle="1" w:styleId="BodyText3Char">
    <w:name w:val="Body Text 3 Char"/>
    <w:link w:val="BodyText3"/>
    <w:uiPriority w:val="99"/>
    <w:semiHidden/>
    <w:rsid w:val="00A52BB4"/>
    <w:rPr>
      <w:sz w:val="16"/>
      <w:szCs w:val="16"/>
    </w:rPr>
  </w:style>
  <w:style w:type="paragraph" w:styleId="NoSpacing">
    <w:name w:val="No Spacing"/>
    <w:aliases w:val="Reference"/>
    <w:basedOn w:val="Normal"/>
    <w:link w:val="NoSpacingChar"/>
    <w:uiPriority w:val="99"/>
    <w:qFormat/>
    <w:rsid w:val="0094061F"/>
    <w:pPr>
      <w:spacing w:after="120" w:line="276" w:lineRule="auto"/>
      <w:jc w:val="right"/>
    </w:pPr>
    <w:rPr>
      <w:rFonts w:eastAsia="Calibri"/>
      <w:bCs/>
      <w:iCs/>
      <w:sz w:val="20"/>
      <w:szCs w:val="20"/>
      <w:lang w:val="x-none" w:eastAsia="en-US"/>
    </w:rPr>
  </w:style>
  <w:style w:type="character" w:customStyle="1" w:styleId="NoSpacingChar">
    <w:name w:val="No Spacing Char"/>
    <w:aliases w:val="Reference Char"/>
    <w:link w:val="NoSpacing"/>
    <w:uiPriority w:val="99"/>
    <w:rsid w:val="0094061F"/>
    <w:rPr>
      <w:rFonts w:eastAsia="Calibri"/>
      <w:bCs/>
      <w:iCs/>
      <w:lang w:eastAsia="en-US"/>
    </w:rPr>
  </w:style>
  <w:style w:type="paragraph" w:customStyle="1" w:styleId="Caption2">
    <w:name w:val="Caption2"/>
    <w:basedOn w:val="Normal"/>
    <w:rsid w:val="003B1533"/>
    <w:pPr>
      <w:spacing w:before="300" w:after="300" w:line="360" w:lineRule="auto"/>
      <w:ind w:left="300" w:right="300"/>
      <w:jc w:val="right"/>
    </w:pPr>
    <w:rPr>
      <w:rFonts w:ascii="Verdana" w:hAnsi="Verdana"/>
      <w:i/>
      <w:iCs/>
      <w:color w:val="000000"/>
      <w:sz w:val="15"/>
      <w:szCs w:val="15"/>
    </w:rPr>
  </w:style>
  <w:style w:type="paragraph" w:styleId="EndnoteText">
    <w:name w:val="endnote text"/>
    <w:basedOn w:val="Normal"/>
    <w:link w:val="EndnoteTextChar"/>
    <w:uiPriority w:val="99"/>
    <w:semiHidden/>
    <w:unhideWhenUsed/>
    <w:rsid w:val="00B34E50"/>
    <w:rPr>
      <w:sz w:val="20"/>
      <w:szCs w:val="20"/>
    </w:rPr>
  </w:style>
  <w:style w:type="character" w:customStyle="1" w:styleId="EndnoteTextChar">
    <w:name w:val="Endnote Text Char"/>
    <w:basedOn w:val="DefaultParagraphFont"/>
    <w:link w:val="EndnoteText"/>
    <w:uiPriority w:val="99"/>
    <w:semiHidden/>
    <w:rsid w:val="00B34E50"/>
  </w:style>
  <w:style w:type="character" w:styleId="EndnoteReference">
    <w:name w:val="endnote reference"/>
    <w:uiPriority w:val="99"/>
    <w:semiHidden/>
    <w:unhideWhenUsed/>
    <w:rsid w:val="00B34E50"/>
    <w:rPr>
      <w:vertAlign w:val="superscript"/>
    </w:rPr>
  </w:style>
  <w:style w:type="paragraph" w:styleId="ListParagraph">
    <w:name w:val="List Paragraph"/>
    <w:basedOn w:val="Normal"/>
    <w:uiPriority w:val="72"/>
    <w:rsid w:val="001423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266771">
      <w:bodyDiv w:val="1"/>
      <w:marLeft w:val="0"/>
      <w:marRight w:val="0"/>
      <w:marTop w:val="0"/>
      <w:marBottom w:val="0"/>
      <w:divBdr>
        <w:top w:val="none" w:sz="0" w:space="0" w:color="auto"/>
        <w:left w:val="none" w:sz="0" w:space="0" w:color="auto"/>
        <w:bottom w:val="none" w:sz="0" w:space="0" w:color="auto"/>
        <w:right w:val="none" w:sz="0" w:space="0" w:color="auto"/>
      </w:divBdr>
    </w:div>
    <w:div w:id="85227980">
      <w:bodyDiv w:val="1"/>
      <w:marLeft w:val="0"/>
      <w:marRight w:val="0"/>
      <w:marTop w:val="0"/>
      <w:marBottom w:val="0"/>
      <w:divBdr>
        <w:top w:val="none" w:sz="0" w:space="0" w:color="auto"/>
        <w:left w:val="none" w:sz="0" w:space="0" w:color="auto"/>
        <w:bottom w:val="none" w:sz="0" w:space="0" w:color="auto"/>
        <w:right w:val="none" w:sz="0" w:space="0" w:color="auto"/>
      </w:divBdr>
    </w:div>
    <w:div w:id="104889879">
      <w:bodyDiv w:val="1"/>
      <w:marLeft w:val="0"/>
      <w:marRight w:val="0"/>
      <w:marTop w:val="0"/>
      <w:marBottom w:val="0"/>
      <w:divBdr>
        <w:top w:val="none" w:sz="0" w:space="0" w:color="auto"/>
        <w:left w:val="none" w:sz="0" w:space="0" w:color="auto"/>
        <w:bottom w:val="none" w:sz="0" w:space="0" w:color="auto"/>
        <w:right w:val="none" w:sz="0" w:space="0" w:color="auto"/>
      </w:divBdr>
    </w:div>
    <w:div w:id="198513860">
      <w:bodyDiv w:val="1"/>
      <w:marLeft w:val="0"/>
      <w:marRight w:val="0"/>
      <w:marTop w:val="0"/>
      <w:marBottom w:val="0"/>
      <w:divBdr>
        <w:top w:val="none" w:sz="0" w:space="0" w:color="auto"/>
        <w:left w:val="none" w:sz="0" w:space="0" w:color="auto"/>
        <w:bottom w:val="none" w:sz="0" w:space="0" w:color="auto"/>
        <w:right w:val="none" w:sz="0" w:space="0" w:color="auto"/>
      </w:divBdr>
    </w:div>
    <w:div w:id="378669859">
      <w:bodyDiv w:val="1"/>
      <w:marLeft w:val="300"/>
      <w:marRight w:val="300"/>
      <w:marTop w:val="300"/>
      <w:marBottom w:val="300"/>
      <w:divBdr>
        <w:top w:val="none" w:sz="0" w:space="0" w:color="auto"/>
        <w:left w:val="none" w:sz="0" w:space="0" w:color="auto"/>
        <w:bottom w:val="none" w:sz="0" w:space="0" w:color="auto"/>
        <w:right w:val="none" w:sz="0" w:space="0" w:color="auto"/>
      </w:divBdr>
    </w:div>
    <w:div w:id="381831798">
      <w:bodyDiv w:val="1"/>
      <w:marLeft w:val="0"/>
      <w:marRight w:val="0"/>
      <w:marTop w:val="0"/>
      <w:marBottom w:val="0"/>
      <w:divBdr>
        <w:top w:val="none" w:sz="0" w:space="0" w:color="auto"/>
        <w:left w:val="none" w:sz="0" w:space="0" w:color="auto"/>
        <w:bottom w:val="none" w:sz="0" w:space="0" w:color="auto"/>
        <w:right w:val="none" w:sz="0" w:space="0" w:color="auto"/>
      </w:divBdr>
    </w:div>
    <w:div w:id="459882896">
      <w:bodyDiv w:val="1"/>
      <w:marLeft w:val="0"/>
      <w:marRight w:val="0"/>
      <w:marTop w:val="0"/>
      <w:marBottom w:val="0"/>
      <w:divBdr>
        <w:top w:val="none" w:sz="0" w:space="0" w:color="auto"/>
        <w:left w:val="none" w:sz="0" w:space="0" w:color="auto"/>
        <w:bottom w:val="none" w:sz="0" w:space="0" w:color="auto"/>
        <w:right w:val="none" w:sz="0" w:space="0" w:color="auto"/>
      </w:divBdr>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3021229">
      <w:bodyDiv w:val="1"/>
      <w:marLeft w:val="0"/>
      <w:marRight w:val="0"/>
      <w:marTop w:val="0"/>
      <w:marBottom w:val="0"/>
      <w:divBdr>
        <w:top w:val="none" w:sz="0" w:space="0" w:color="auto"/>
        <w:left w:val="none" w:sz="0" w:space="0" w:color="auto"/>
        <w:bottom w:val="none" w:sz="0" w:space="0" w:color="auto"/>
        <w:right w:val="none" w:sz="0" w:space="0" w:color="auto"/>
      </w:divBdr>
    </w:div>
    <w:div w:id="783227082">
      <w:bodyDiv w:val="1"/>
      <w:marLeft w:val="0"/>
      <w:marRight w:val="0"/>
      <w:marTop w:val="0"/>
      <w:marBottom w:val="0"/>
      <w:divBdr>
        <w:top w:val="none" w:sz="0" w:space="0" w:color="auto"/>
        <w:left w:val="none" w:sz="0" w:space="0" w:color="auto"/>
        <w:bottom w:val="none" w:sz="0" w:space="0" w:color="auto"/>
        <w:right w:val="none" w:sz="0" w:space="0" w:color="auto"/>
      </w:divBdr>
    </w:div>
    <w:div w:id="792287178">
      <w:bodyDiv w:val="1"/>
      <w:marLeft w:val="0"/>
      <w:marRight w:val="0"/>
      <w:marTop w:val="0"/>
      <w:marBottom w:val="0"/>
      <w:divBdr>
        <w:top w:val="none" w:sz="0" w:space="0" w:color="auto"/>
        <w:left w:val="none" w:sz="0" w:space="0" w:color="auto"/>
        <w:bottom w:val="none" w:sz="0" w:space="0" w:color="auto"/>
        <w:right w:val="none" w:sz="0" w:space="0" w:color="auto"/>
      </w:divBdr>
    </w:div>
    <w:div w:id="833573544">
      <w:bodyDiv w:val="1"/>
      <w:marLeft w:val="0"/>
      <w:marRight w:val="0"/>
      <w:marTop w:val="0"/>
      <w:marBottom w:val="0"/>
      <w:divBdr>
        <w:top w:val="none" w:sz="0" w:space="0" w:color="auto"/>
        <w:left w:val="none" w:sz="0" w:space="0" w:color="auto"/>
        <w:bottom w:val="none" w:sz="0" w:space="0" w:color="auto"/>
        <w:right w:val="none" w:sz="0" w:space="0" w:color="auto"/>
      </w:divBdr>
    </w:div>
    <w:div w:id="835649748">
      <w:bodyDiv w:val="1"/>
      <w:marLeft w:val="0"/>
      <w:marRight w:val="0"/>
      <w:marTop w:val="0"/>
      <w:marBottom w:val="0"/>
      <w:divBdr>
        <w:top w:val="none" w:sz="0" w:space="0" w:color="auto"/>
        <w:left w:val="none" w:sz="0" w:space="0" w:color="auto"/>
        <w:bottom w:val="none" w:sz="0" w:space="0" w:color="auto"/>
        <w:right w:val="none" w:sz="0" w:space="0" w:color="auto"/>
      </w:divBdr>
    </w:div>
    <w:div w:id="993071635">
      <w:bodyDiv w:val="1"/>
      <w:marLeft w:val="0"/>
      <w:marRight w:val="0"/>
      <w:marTop w:val="0"/>
      <w:marBottom w:val="0"/>
      <w:divBdr>
        <w:top w:val="none" w:sz="0" w:space="0" w:color="auto"/>
        <w:left w:val="none" w:sz="0" w:space="0" w:color="auto"/>
        <w:bottom w:val="none" w:sz="0" w:space="0" w:color="auto"/>
        <w:right w:val="none" w:sz="0" w:space="0" w:color="auto"/>
      </w:divBdr>
    </w:div>
    <w:div w:id="1099136349">
      <w:bodyDiv w:val="1"/>
      <w:marLeft w:val="0"/>
      <w:marRight w:val="0"/>
      <w:marTop w:val="0"/>
      <w:marBottom w:val="0"/>
      <w:divBdr>
        <w:top w:val="none" w:sz="0" w:space="0" w:color="auto"/>
        <w:left w:val="none" w:sz="0" w:space="0" w:color="auto"/>
        <w:bottom w:val="none" w:sz="0" w:space="0" w:color="auto"/>
        <w:right w:val="none" w:sz="0" w:space="0" w:color="auto"/>
      </w:divBdr>
    </w:div>
    <w:div w:id="1202783634">
      <w:bodyDiv w:val="1"/>
      <w:marLeft w:val="0"/>
      <w:marRight w:val="0"/>
      <w:marTop w:val="0"/>
      <w:marBottom w:val="0"/>
      <w:divBdr>
        <w:top w:val="none" w:sz="0" w:space="0" w:color="auto"/>
        <w:left w:val="none" w:sz="0" w:space="0" w:color="auto"/>
        <w:bottom w:val="none" w:sz="0" w:space="0" w:color="auto"/>
        <w:right w:val="none" w:sz="0" w:space="0" w:color="auto"/>
      </w:divBdr>
    </w:div>
    <w:div w:id="1225486575">
      <w:bodyDiv w:val="1"/>
      <w:marLeft w:val="0"/>
      <w:marRight w:val="0"/>
      <w:marTop w:val="0"/>
      <w:marBottom w:val="0"/>
      <w:divBdr>
        <w:top w:val="none" w:sz="0" w:space="0" w:color="auto"/>
        <w:left w:val="none" w:sz="0" w:space="0" w:color="auto"/>
        <w:bottom w:val="none" w:sz="0" w:space="0" w:color="auto"/>
        <w:right w:val="none" w:sz="0" w:space="0" w:color="auto"/>
      </w:divBdr>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27586476">
      <w:bodyDiv w:val="1"/>
      <w:marLeft w:val="0"/>
      <w:marRight w:val="0"/>
      <w:marTop w:val="0"/>
      <w:marBottom w:val="0"/>
      <w:divBdr>
        <w:top w:val="none" w:sz="0" w:space="0" w:color="auto"/>
        <w:left w:val="none" w:sz="0" w:space="0" w:color="auto"/>
        <w:bottom w:val="none" w:sz="0" w:space="0" w:color="auto"/>
        <w:right w:val="none" w:sz="0" w:space="0" w:color="auto"/>
      </w:divBdr>
    </w:div>
    <w:div w:id="1343505633">
      <w:bodyDiv w:val="1"/>
      <w:marLeft w:val="0"/>
      <w:marRight w:val="0"/>
      <w:marTop w:val="0"/>
      <w:marBottom w:val="0"/>
      <w:divBdr>
        <w:top w:val="none" w:sz="0" w:space="0" w:color="auto"/>
        <w:left w:val="none" w:sz="0" w:space="0" w:color="auto"/>
        <w:bottom w:val="none" w:sz="0" w:space="0" w:color="auto"/>
        <w:right w:val="none" w:sz="0" w:space="0" w:color="auto"/>
      </w:divBdr>
    </w:div>
    <w:div w:id="1409688125">
      <w:bodyDiv w:val="1"/>
      <w:marLeft w:val="0"/>
      <w:marRight w:val="0"/>
      <w:marTop w:val="0"/>
      <w:marBottom w:val="0"/>
      <w:divBdr>
        <w:top w:val="none" w:sz="0" w:space="0" w:color="auto"/>
        <w:left w:val="none" w:sz="0" w:space="0" w:color="auto"/>
        <w:bottom w:val="none" w:sz="0" w:space="0" w:color="auto"/>
        <w:right w:val="none" w:sz="0" w:space="0" w:color="auto"/>
      </w:divBdr>
    </w:div>
    <w:div w:id="1424260128">
      <w:bodyDiv w:val="1"/>
      <w:marLeft w:val="0"/>
      <w:marRight w:val="0"/>
      <w:marTop w:val="0"/>
      <w:marBottom w:val="0"/>
      <w:divBdr>
        <w:top w:val="none" w:sz="0" w:space="0" w:color="auto"/>
        <w:left w:val="none" w:sz="0" w:space="0" w:color="auto"/>
        <w:bottom w:val="none" w:sz="0" w:space="0" w:color="auto"/>
        <w:right w:val="none" w:sz="0" w:space="0" w:color="auto"/>
      </w:divBdr>
    </w:div>
    <w:div w:id="1545214621">
      <w:bodyDiv w:val="1"/>
      <w:marLeft w:val="0"/>
      <w:marRight w:val="0"/>
      <w:marTop w:val="0"/>
      <w:marBottom w:val="0"/>
      <w:divBdr>
        <w:top w:val="none" w:sz="0" w:space="0" w:color="auto"/>
        <w:left w:val="none" w:sz="0" w:space="0" w:color="auto"/>
        <w:bottom w:val="none" w:sz="0" w:space="0" w:color="auto"/>
        <w:right w:val="none" w:sz="0" w:space="0" w:color="auto"/>
      </w:divBdr>
    </w:div>
    <w:div w:id="1575622077">
      <w:bodyDiv w:val="1"/>
      <w:marLeft w:val="0"/>
      <w:marRight w:val="0"/>
      <w:marTop w:val="0"/>
      <w:marBottom w:val="0"/>
      <w:divBdr>
        <w:top w:val="none" w:sz="0" w:space="0" w:color="auto"/>
        <w:left w:val="none" w:sz="0" w:space="0" w:color="auto"/>
        <w:bottom w:val="none" w:sz="0" w:space="0" w:color="auto"/>
        <w:right w:val="none" w:sz="0" w:space="0" w:color="auto"/>
      </w:divBdr>
    </w:div>
    <w:div w:id="1640381666">
      <w:bodyDiv w:val="1"/>
      <w:marLeft w:val="0"/>
      <w:marRight w:val="0"/>
      <w:marTop w:val="0"/>
      <w:marBottom w:val="0"/>
      <w:divBdr>
        <w:top w:val="none" w:sz="0" w:space="0" w:color="auto"/>
        <w:left w:val="none" w:sz="0" w:space="0" w:color="auto"/>
        <w:bottom w:val="none" w:sz="0" w:space="0" w:color="auto"/>
        <w:right w:val="none" w:sz="0" w:space="0" w:color="auto"/>
      </w:divBdr>
    </w:div>
    <w:div w:id="1651252958">
      <w:bodyDiv w:val="1"/>
      <w:marLeft w:val="0"/>
      <w:marRight w:val="0"/>
      <w:marTop w:val="0"/>
      <w:marBottom w:val="0"/>
      <w:divBdr>
        <w:top w:val="none" w:sz="0" w:space="0" w:color="auto"/>
        <w:left w:val="none" w:sz="0" w:space="0" w:color="auto"/>
        <w:bottom w:val="none" w:sz="0" w:space="0" w:color="auto"/>
        <w:right w:val="none" w:sz="0" w:space="0" w:color="auto"/>
      </w:divBdr>
    </w:div>
    <w:div w:id="1674838980">
      <w:bodyDiv w:val="1"/>
      <w:marLeft w:val="0"/>
      <w:marRight w:val="0"/>
      <w:marTop w:val="0"/>
      <w:marBottom w:val="0"/>
      <w:divBdr>
        <w:top w:val="none" w:sz="0" w:space="0" w:color="auto"/>
        <w:left w:val="none" w:sz="0" w:space="0" w:color="auto"/>
        <w:bottom w:val="none" w:sz="0" w:space="0" w:color="auto"/>
        <w:right w:val="none" w:sz="0" w:space="0" w:color="auto"/>
      </w:divBdr>
    </w:div>
    <w:div w:id="1702240869">
      <w:bodyDiv w:val="1"/>
      <w:marLeft w:val="0"/>
      <w:marRight w:val="0"/>
      <w:marTop w:val="0"/>
      <w:marBottom w:val="0"/>
      <w:divBdr>
        <w:top w:val="none" w:sz="0" w:space="0" w:color="auto"/>
        <w:left w:val="none" w:sz="0" w:space="0" w:color="auto"/>
        <w:bottom w:val="none" w:sz="0" w:space="0" w:color="auto"/>
        <w:right w:val="none" w:sz="0" w:space="0" w:color="auto"/>
      </w:divBdr>
    </w:div>
    <w:div w:id="1743871068">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3982465">
      <w:bodyDiv w:val="1"/>
      <w:marLeft w:val="0"/>
      <w:marRight w:val="0"/>
      <w:marTop w:val="0"/>
      <w:marBottom w:val="0"/>
      <w:divBdr>
        <w:top w:val="none" w:sz="0" w:space="0" w:color="auto"/>
        <w:left w:val="none" w:sz="0" w:space="0" w:color="auto"/>
        <w:bottom w:val="none" w:sz="0" w:space="0" w:color="auto"/>
        <w:right w:val="none" w:sz="0" w:space="0" w:color="auto"/>
      </w:divBdr>
    </w:div>
    <w:div w:id="1844473989">
      <w:bodyDiv w:val="1"/>
      <w:marLeft w:val="0"/>
      <w:marRight w:val="0"/>
      <w:marTop w:val="0"/>
      <w:marBottom w:val="0"/>
      <w:divBdr>
        <w:top w:val="none" w:sz="0" w:space="0" w:color="auto"/>
        <w:left w:val="none" w:sz="0" w:space="0" w:color="auto"/>
        <w:bottom w:val="none" w:sz="0" w:space="0" w:color="auto"/>
        <w:right w:val="none" w:sz="0" w:space="0" w:color="auto"/>
      </w:divBdr>
    </w:div>
    <w:div w:id="1844933582">
      <w:bodyDiv w:val="1"/>
      <w:marLeft w:val="0"/>
      <w:marRight w:val="0"/>
      <w:marTop w:val="0"/>
      <w:marBottom w:val="0"/>
      <w:divBdr>
        <w:top w:val="none" w:sz="0" w:space="0" w:color="auto"/>
        <w:left w:val="none" w:sz="0" w:space="0" w:color="auto"/>
        <w:bottom w:val="none" w:sz="0" w:space="0" w:color="auto"/>
        <w:right w:val="none" w:sz="0" w:space="0" w:color="auto"/>
      </w:divBdr>
    </w:div>
    <w:div w:id="1885750564">
      <w:bodyDiv w:val="1"/>
      <w:marLeft w:val="0"/>
      <w:marRight w:val="0"/>
      <w:marTop w:val="0"/>
      <w:marBottom w:val="0"/>
      <w:divBdr>
        <w:top w:val="none" w:sz="0" w:space="0" w:color="auto"/>
        <w:left w:val="none" w:sz="0" w:space="0" w:color="auto"/>
        <w:bottom w:val="none" w:sz="0" w:space="0" w:color="auto"/>
        <w:right w:val="none" w:sz="0" w:space="0" w:color="auto"/>
      </w:divBdr>
    </w:div>
    <w:div w:id="1915508211">
      <w:bodyDiv w:val="1"/>
      <w:marLeft w:val="0"/>
      <w:marRight w:val="0"/>
      <w:marTop w:val="0"/>
      <w:marBottom w:val="0"/>
      <w:divBdr>
        <w:top w:val="none" w:sz="0" w:space="0" w:color="auto"/>
        <w:left w:val="none" w:sz="0" w:space="0" w:color="auto"/>
        <w:bottom w:val="none" w:sz="0" w:space="0" w:color="auto"/>
        <w:right w:val="none" w:sz="0" w:space="0" w:color="auto"/>
      </w:divBdr>
    </w:div>
    <w:div w:id="1962572440">
      <w:bodyDiv w:val="1"/>
      <w:marLeft w:val="0"/>
      <w:marRight w:val="0"/>
      <w:marTop w:val="0"/>
      <w:marBottom w:val="0"/>
      <w:divBdr>
        <w:top w:val="none" w:sz="0" w:space="0" w:color="auto"/>
        <w:left w:val="none" w:sz="0" w:space="0" w:color="auto"/>
        <w:bottom w:val="none" w:sz="0" w:space="0" w:color="auto"/>
        <w:right w:val="none" w:sz="0" w:space="0" w:color="auto"/>
      </w:divBdr>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 w:id="2048606895">
      <w:bodyDiv w:val="1"/>
      <w:marLeft w:val="0"/>
      <w:marRight w:val="0"/>
      <w:marTop w:val="0"/>
      <w:marBottom w:val="0"/>
      <w:divBdr>
        <w:top w:val="none" w:sz="0" w:space="0" w:color="auto"/>
        <w:left w:val="none" w:sz="0" w:space="0" w:color="auto"/>
        <w:bottom w:val="none" w:sz="0" w:space="0" w:color="auto"/>
        <w:right w:val="none" w:sz="0" w:space="0" w:color="auto"/>
      </w:divBdr>
    </w:div>
    <w:div w:id="21237659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endcorporalpunishment.org)"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info@endcorporalpunishment.org"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endcorporalpunishment.org"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www.hrw.org/news/2014/10/02/indonesia-aceh-s-new-islamic-laws-violate-rights" TargetMode="External"/><Relationship Id="rId1" Type="http://schemas.openxmlformats.org/officeDocument/2006/relationships/hyperlink" Target="http://indonesiaexpat.biz/news/corporal-punishment-stud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458E77-4ECF-4667-B6F7-7996F83A047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01527D1-71F8-455B-B6D9-EFEB835EF6CB}">
  <ds:schemaRefs>
    <ds:schemaRef ds:uri="http://schemas.microsoft.com/office/2006/metadata/longProperties"/>
  </ds:schemaRefs>
</ds:datastoreItem>
</file>

<file path=customXml/itemProps3.xml><?xml version="1.0" encoding="utf-8"?>
<ds:datastoreItem xmlns:ds="http://schemas.openxmlformats.org/officeDocument/2006/customXml" ds:itemID="{06575BD3-B636-4339-BAB2-AD0FF8CFF2D7}"/>
</file>

<file path=customXml/itemProps4.xml><?xml version="1.0" encoding="utf-8"?>
<ds:datastoreItem xmlns:ds="http://schemas.openxmlformats.org/officeDocument/2006/customXml" ds:itemID="{57A574D5-768C-42B9-B145-84C143D00D3D}">
  <ds:schemaRefs>
    <ds:schemaRef ds:uri="http://schemas.microsoft.com/sharepoint/v3/contenttype/forms"/>
  </ds:schemaRefs>
</ds:datastoreItem>
</file>

<file path=customXml/itemProps5.xml><?xml version="1.0" encoding="utf-8"?>
<ds:datastoreItem xmlns:ds="http://schemas.openxmlformats.org/officeDocument/2006/customXml" ds:itemID="{8856AEBC-5BE4-4FE8-9A47-192812A253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844</TotalTime>
  <Pages>6</Pages>
  <Words>2558</Words>
  <Characters>14583</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GI CRPD briefing</vt:lpstr>
    </vt:vector>
  </TitlesOfParts>
  <Company>Freelance Writing &amp; Research</Company>
  <LinksUpToDate>false</LinksUpToDate>
  <CharactersWithSpaces>17107</CharactersWithSpaces>
  <SharedDoc>false</SharedDoc>
  <HLinks>
    <vt:vector size="30" baseType="variant">
      <vt:variant>
        <vt:i4>7208998</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131159</vt:i4>
      </vt:variant>
      <vt:variant>
        <vt:i4>0</vt:i4>
      </vt:variant>
      <vt:variant>
        <vt:i4>0</vt:i4>
      </vt:variant>
      <vt:variant>
        <vt:i4>5</vt:i4>
      </vt:variant>
      <vt:variant>
        <vt:lpwstr>mailto:elinor@endcorporalpunishment.org</vt:lpwstr>
      </vt:variant>
      <vt:variant>
        <vt:lpwstr/>
      </vt:variant>
      <vt:variant>
        <vt:i4>7208998</vt:i4>
      </vt:variant>
      <vt:variant>
        <vt:i4>3</vt:i4>
      </vt:variant>
      <vt:variant>
        <vt:i4>0</vt:i4>
      </vt:variant>
      <vt:variant>
        <vt:i4>5</vt:i4>
      </vt:variant>
      <vt:variant>
        <vt:lpwstr>mailto:info@endcorporalpunishment.org</vt:lpwstr>
      </vt:variant>
      <vt:variant>
        <vt:lpwstr/>
      </vt:variant>
      <vt:variant>
        <vt:i4>4587539</vt:i4>
      </vt:variant>
      <vt:variant>
        <vt:i4>0</vt:i4>
      </vt:variant>
      <vt:variant>
        <vt:i4>0</vt:i4>
      </vt:variant>
      <vt:variant>
        <vt:i4>5</vt:i4>
      </vt:variant>
      <vt:variant>
        <vt:lpwstr>http://www.endcorporalpunishment.org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CRPD briefing</dc:title>
  <dc:subject/>
  <dc:creator>Global Initiative to End All Corporal Punishment of Children</dc:creator>
  <cp:keywords/>
  <cp:lastModifiedBy>Eloïse Di Gianni</cp:lastModifiedBy>
  <cp:revision>105</cp:revision>
  <cp:lastPrinted>2005-01-04T10:45:00Z</cp:lastPrinted>
  <dcterms:created xsi:type="dcterms:W3CDTF">2016-03-04T07:13:00Z</dcterms:created>
  <dcterms:modified xsi:type="dcterms:W3CDTF">2020-01-16T17:03:00Z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
  </property>
  <property fmtid="{D5CDD505-2E9C-101B-9397-08002B2CF9AE}" pid="3" name="ContentTypeId">
    <vt:lpwstr>0x010100A55E3C1D809DFD4CA245D0C6A65A453A</vt:lpwstr>
  </property>
</Properties>
</file>