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FB7" w:rsidRPr="00E50FB7" w:rsidRDefault="00E50FB7" w:rsidP="00E50FB7">
      <w:pPr>
        <w:jc w:val="both"/>
        <w:rPr>
          <w:rFonts w:ascii="Calibri" w:hAnsi="Calibri" w:cs="Calibri"/>
          <w:b/>
          <w:lang w:val="es-UY"/>
        </w:rPr>
      </w:pPr>
      <w:bookmarkStart w:id="0" w:name="_GoBack"/>
      <w:bookmarkEnd w:id="0"/>
      <w:r w:rsidRPr="00E50FB7">
        <w:rPr>
          <w:rFonts w:ascii="Calibri" w:hAnsi="Calibri" w:cs="Calibri"/>
          <w:b/>
          <w:lang w:val="es-UY"/>
        </w:rPr>
        <w:t>Mecanismo Nacional de Elaboración de Informes y Monitoreo de Recomendaciones</w:t>
      </w:r>
    </w:p>
    <w:p w:rsidR="00E50FB7" w:rsidRPr="00C80798" w:rsidRDefault="00E50FB7" w:rsidP="00E50FB7">
      <w:pPr>
        <w:jc w:val="both"/>
        <w:rPr>
          <w:rFonts w:ascii="Calibri" w:hAnsi="Calibri" w:cs="Calibri"/>
          <w:b/>
          <w:lang w:val="es-UY"/>
        </w:rPr>
      </w:pPr>
      <w:r w:rsidRPr="00E50FB7">
        <w:rPr>
          <w:rFonts w:ascii="Calibri" w:hAnsi="Calibri" w:cs="Calibri"/>
          <w:b/>
          <w:lang w:val="es-UY"/>
        </w:rPr>
        <w:t>Mesa Discriminación</w:t>
      </w:r>
      <w:r>
        <w:rPr>
          <w:rFonts w:ascii="Calibri" w:hAnsi="Calibri" w:cs="Calibri"/>
          <w:b/>
          <w:lang w:val="es-UY"/>
        </w:rPr>
        <w:t xml:space="preserve"> – Acta de Sesión</w:t>
      </w:r>
    </w:p>
    <w:p w:rsidR="00E50FB7" w:rsidRPr="00C80798" w:rsidRDefault="00E50FB7" w:rsidP="00E50FB7">
      <w:pPr>
        <w:jc w:val="both"/>
        <w:rPr>
          <w:rFonts w:ascii="Calibri" w:hAnsi="Calibri" w:cs="Calibri"/>
          <w:i/>
          <w:lang w:val="es-ES"/>
        </w:rPr>
      </w:pPr>
      <w:r>
        <w:rPr>
          <w:rFonts w:ascii="Calibri" w:hAnsi="Calibri" w:cs="Calibri"/>
          <w:i/>
          <w:lang w:val="es-ES"/>
        </w:rPr>
        <w:t xml:space="preserve">Fecha: 17 de noviembre de </w:t>
      </w:r>
      <w:r w:rsidRPr="00C80798">
        <w:rPr>
          <w:rFonts w:ascii="Calibri" w:hAnsi="Calibri" w:cs="Calibri"/>
          <w:i/>
          <w:lang w:val="es-ES"/>
        </w:rPr>
        <w:t>2017</w:t>
      </w:r>
    </w:p>
    <w:p w:rsidR="00E50FB7" w:rsidRPr="00C80798" w:rsidRDefault="00E50FB7" w:rsidP="00E50FB7">
      <w:pPr>
        <w:jc w:val="both"/>
        <w:rPr>
          <w:rFonts w:ascii="Calibri" w:hAnsi="Calibri" w:cs="Calibri"/>
          <w:i/>
          <w:lang w:val="es-ES"/>
        </w:rPr>
      </w:pPr>
      <w:r>
        <w:rPr>
          <w:rFonts w:ascii="Calibri" w:hAnsi="Calibri" w:cs="Calibri"/>
          <w:i/>
          <w:lang w:val="es-ES"/>
        </w:rPr>
        <w:t>Lugar: Sala Cuatro Sedes – Ministerio de Relaciones Exteriores</w:t>
      </w:r>
    </w:p>
    <w:p w:rsidR="00E50FB7" w:rsidRPr="00C80798" w:rsidRDefault="00E50FB7" w:rsidP="00E50FB7">
      <w:pPr>
        <w:jc w:val="both"/>
        <w:rPr>
          <w:rFonts w:ascii="Calibri" w:hAnsi="Calibri" w:cs="Calibri"/>
          <w:lang w:val="es-UY"/>
        </w:rPr>
      </w:pPr>
      <w:r w:rsidRPr="00C80798">
        <w:rPr>
          <w:rFonts w:ascii="Calibri" w:hAnsi="Calibri" w:cs="Calibri"/>
          <w:lang w:val="es-UY"/>
        </w:rPr>
        <w:t>Instituciones que integran la Mesa</w:t>
      </w:r>
    </w:p>
    <w:tbl>
      <w:tblPr>
        <w:tblW w:w="7460" w:type="dxa"/>
        <w:tblCellMar>
          <w:top w:w="15" w:type="dxa"/>
          <w:left w:w="70" w:type="dxa"/>
          <w:bottom w:w="15" w:type="dxa"/>
          <w:right w:w="70" w:type="dxa"/>
        </w:tblCellMar>
        <w:tblLook w:val="04A0"/>
      </w:tblPr>
      <w:tblGrid>
        <w:gridCol w:w="7460"/>
      </w:tblGrid>
      <w:tr w:rsidR="00E50FB7" w:rsidRPr="00E50FB7" w:rsidTr="004961F5">
        <w:trPr>
          <w:trHeight w:val="300"/>
        </w:trPr>
        <w:tc>
          <w:tcPr>
            <w:tcW w:w="7460" w:type="dxa"/>
            <w:tcBorders>
              <w:top w:val="nil"/>
              <w:left w:val="nil"/>
              <w:bottom w:val="nil"/>
              <w:right w:val="nil"/>
            </w:tcBorders>
            <w:shd w:val="clear" w:color="000000" w:fill="FFF2CC"/>
            <w:noWrap/>
            <w:vAlign w:val="bottom"/>
            <w:hideMark/>
          </w:tcPr>
          <w:p w:rsidR="00E50FB7" w:rsidRPr="00314AEB" w:rsidRDefault="00E50FB7" w:rsidP="004961F5">
            <w:pPr>
              <w:spacing w:after="0" w:line="240" w:lineRule="auto"/>
              <w:jc w:val="both"/>
              <w:rPr>
                <w:rFonts w:ascii="Calibri" w:eastAsia="Times New Roman" w:hAnsi="Calibri" w:cs="Calibri"/>
                <w:color w:val="000000"/>
                <w:sz w:val="20"/>
                <w:szCs w:val="20"/>
                <w:lang w:val="es-UY" w:eastAsia="es-UY"/>
              </w:rPr>
            </w:pPr>
            <w:r w:rsidRPr="00314AEB">
              <w:rPr>
                <w:rFonts w:ascii="Calibri" w:eastAsia="Times New Roman" w:hAnsi="Calibri" w:cs="Calibri"/>
                <w:color w:val="000000"/>
                <w:sz w:val="20"/>
                <w:szCs w:val="20"/>
                <w:lang w:val="es-UY" w:eastAsia="es-UY"/>
              </w:rPr>
              <w:t>Ministerio de Desarrollo Social (MIDES)</w:t>
            </w:r>
          </w:p>
        </w:tc>
      </w:tr>
      <w:tr w:rsidR="00E50FB7" w:rsidRPr="00E50FB7" w:rsidTr="004961F5">
        <w:trPr>
          <w:trHeight w:val="525"/>
        </w:trPr>
        <w:tc>
          <w:tcPr>
            <w:tcW w:w="7460" w:type="dxa"/>
            <w:tcBorders>
              <w:top w:val="nil"/>
              <w:left w:val="nil"/>
              <w:bottom w:val="nil"/>
              <w:right w:val="nil"/>
            </w:tcBorders>
            <w:shd w:val="clear" w:color="000000" w:fill="FFF2CC"/>
            <w:noWrap/>
            <w:vAlign w:val="center"/>
            <w:hideMark/>
          </w:tcPr>
          <w:p w:rsidR="00E50FB7" w:rsidRPr="00314AEB" w:rsidRDefault="00E50FB7" w:rsidP="004961F5">
            <w:pPr>
              <w:spacing w:after="0" w:line="240" w:lineRule="auto"/>
              <w:jc w:val="both"/>
              <w:rPr>
                <w:rFonts w:ascii="Calibri" w:eastAsia="Times New Roman" w:hAnsi="Calibri" w:cs="Calibri"/>
                <w:color w:val="000000"/>
                <w:sz w:val="20"/>
                <w:szCs w:val="20"/>
                <w:lang w:val="es-UY" w:eastAsia="es-UY"/>
              </w:rPr>
            </w:pPr>
            <w:r w:rsidRPr="00314AEB">
              <w:rPr>
                <w:rFonts w:ascii="Calibri" w:eastAsia="Times New Roman" w:hAnsi="Calibri" w:cs="Calibri"/>
                <w:color w:val="000000"/>
                <w:sz w:val="20"/>
                <w:szCs w:val="20"/>
                <w:lang w:val="es-UY" w:eastAsia="es-UY"/>
              </w:rPr>
              <w:t>Secretaria Derechos Humanos Presidencia de la Republica (SDH)</w:t>
            </w:r>
          </w:p>
        </w:tc>
      </w:tr>
      <w:tr w:rsidR="00E50FB7" w:rsidRPr="00E50FB7" w:rsidTr="004961F5">
        <w:trPr>
          <w:trHeight w:val="300"/>
        </w:trPr>
        <w:tc>
          <w:tcPr>
            <w:tcW w:w="7460" w:type="dxa"/>
            <w:tcBorders>
              <w:top w:val="nil"/>
              <w:left w:val="nil"/>
              <w:bottom w:val="nil"/>
              <w:right w:val="nil"/>
            </w:tcBorders>
            <w:shd w:val="clear" w:color="000000" w:fill="FFF2CC"/>
            <w:noWrap/>
            <w:vAlign w:val="center"/>
            <w:hideMark/>
          </w:tcPr>
          <w:p w:rsidR="00E50FB7" w:rsidRPr="00314AEB" w:rsidRDefault="00E50FB7" w:rsidP="004961F5">
            <w:pPr>
              <w:spacing w:after="0" w:line="240" w:lineRule="auto"/>
              <w:jc w:val="both"/>
              <w:rPr>
                <w:rFonts w:ascii="Calibri" w:eastAsia="Times New Roman" w:hAnsi="Calibri" w:cs="Calibri"/>
                <w:color w:val="000000"/>
                <w:sz w:val="20"/>
                <w:szCs w:val="20"/>
                <w:lang w:val="es-UY" w:eastAsia="es-UY"/>
              </w:rPr>
            </w:pPr>
            <w:r w:rsidRPr="00314AEB">
              <w:rPr>
                <w:rFonts w:ascii="Calibri" w:eastAsia="Times New Roman" w:hAnsi="Calibri" w:cs="Calibri"/>
                <w:color w:val="000000"/>
                <w:sz w:val="20"/>
                <w:szCs w:val="20"/>
                <w:lang w:val="es-UY" w:eastAsia="es-UY"/>
              </w:rPr>
              <w:t>Ministerio de Educación Y Cultura (MEC)</w:t>
            </w:r>
          </w:p>
        </w:tc>
      </w:tr>
      <w:tr w:rsidR="00E50FB7" w:rsidRPr="00E50FB7" w:rsidTr="004961F5">
        <w:trPr>
          <w:trHeight w:val="360"/>
        </w:trPr>
        <w:tc>
          <w:tcPr>
            <w:tcW w:w="7460" w:type="dxa"/>
            <w:tcBorders>
              <w:top w:val="nil"/>
              <w:left w:val="nil"/>
              <w:bottom w:val="nil"/>
              <w:right w:val="nil"/>
            </w:tcBorders>
            <w:shd w:val="clear" w:color="000000" w:fill="FFF2CC"/>
            <w:vAlign w:val="bottom"/>
            <w:hideMark/>
          </w:tcPr>
          <w:p w:rsidR="00E50FB7" w:rsidRPr="00314AEB" w:rsidRDefault="00E50FB7" w:rsidP="004961F5">
            <w:pPr>
              <w:spacing w:after="0" w:line="240" w:lineRule="auto"/>
              <w:jc w:val="both"/>
              <w:rPr>
                <w:rFonts w:ascii="Calibri" w:eastAsia="Times New Roman" w:hAnsi="Calibri" w:cs="Calibri"/>
                <w:color w:val="000000"/>
                <w:sz w:val="20"/>
                <w:szCs w:val="20"/>
                <w:lang w:val="es-UY" w:eastAsia="es-UY"/>
              </w:rPr>
            </w:pPr>
            <w:r w:rsidRPr="00314AEB">
              <w:rPr>
                <w:rFonts w:ascii="Calibri" w:eastAsia="Times New Roman" w:hAnsi="Calibri" w:cs="Calibri"/>
                <w:color w:val="000000"/>
                <w:sz w:val="20"/>
                <w:szCs w:val="20"/>
                <w:lang w:val="es-UY" w:eastAsia="es-UY"/>
              </w:rPr>
              <w:t>Institución Nacional de Derechos Humanos y Defensoría del Pueblo (INDDHH)</w:t>
            </w:r>
          </w:p>
        </w:tc>
      </w:tr>
      <w:tr w:rsidR="00E50FB7" w:rsidRPr="00314AEB" w:rsidTr="004961F5">
        <w:trPr>
          <w:trHeight w:val="315"/>
        </w:trPr>
        <w:tc>
          <w:tcPr>
            <w:tcW w:w="7460" w:type="dxa"/>
            <w:tcBorders>
              <w:top w:val="nil"/>
              <w:left w:val="nil"/>
              <w:bottom w:val="nil"/>
              <w:right w:val="nil"/>
            </w:tcBorders>
            <w:shd w:val="clear" w:color="000000" w:fill="FFF2CC"/>
            <w:noWrap/>
            <w:vAlign w:val="bottom"/>
            <w:hideMark/>
          </w:tcPr>
          <w:p w:rsidR="00E50FB7" w:rsidRPr="00314AEB" w:rsidRDefault="00E50FB7" w:rsidP="004961F5">
            <w:pPr>
              <w:spacing w:after="0" w:line="240" w:lineRule="auto"/>
              <w:jc w:val="both"/>
              <w:rPr>
                <w:rFonts w:ascii="Calibri" w:eastAsia="Times New Roman" w:hAnsi="Calibri" w:cs="Calibri"/>
                <w:color w:val="000000"/>
                <w:sz w:val="20"/>
                <w:szCs w:val="20"/>
                <w:lang w:val="es-UY" w:eastAsia="es-UY"/>
              </w:rPr>
            </w:pPr>
            <w:r w:rsidRPr="00314AEB">
              <w:rPr>
                <w:rFonts w:ascii="Calibri" w:eastAsia="Times New Roman" w:hAnsi="Calibri" w:cs="Calibri"/>
                <w:color w:val="000000"/>
                <w:sz w:val="20"/>
                <w:szCs w:val="20"/>
                <w:lang w:val="es-UY" w:eastAsia="es-UY"/>
              </w:rPr>
              <w:t>Poder Judicial (PJ)</w:t>
            </w:r>
          </w:p>
        </w:tc>
      </w:tr>
      <w:tr w:rsidR="00E50FB7" w:rsidRPr="00314AEB" w:rsidTr="004961F5">
        <w:trPr>
          <w:trHeight w:val="300"/>
        </w:trPr>
        <w:tc>
          <w:tcPr>
            <w:tcW w:w="7460" w:type="dxa"/>
            <w:tcBorders>
              <w:top w:val="nil"/>
              <w:left w:val="nil"/>
              <w:bottom w:val="nil"/>
              <w:right w:val="nil"/>
            </w:tcBorders>
            <w:shd w:val="clear" w:color="000000" w:fill="FFF2CC"/>
            <w:noWrap/>
            <w:vAlign w:val="center"/>
            <w:hideMark/>
          </w:tcPr>
          <w:p w:rsidR="00E50FB7" w:rsidRPr="00314AEB" w:rsidRDefault="00E50FB7" w:rsidP="004961F5">
            <w:pPr>
              <w:spacing w:after="0" w:line="240" w:lineRule="auto"/>
              <w:jc w:val="both"/>
              <w:rPr>
                <w:rFonts w:ascii="Calibri" w:eastAsia="Times New Roman" w:hAnsi="Calibri" w:cs="Calibri"/>
                <w:color w:val="000000"/>
                <w:sz w:val="20"/>
                <w:szCs w:val="20"/>
                <w:lang w:val="es-UY" w:eastAsia="es-UY"/>
              </w:rPr>
            </w:pPr>
            <w:r w:rsidRPr="00314AEB">
              <w:rPr>
                <w:rFonts w:ascii="Calibri" w:eastAsia="Times New Roman" w:hAnsi="Calibri" w:cs="Calibri"/>
                <w:color w:val="000000"/>
                <w:sz w:val="20"/>
                <w:szCs w:val="20"/>
                <w:lang w:val="es-UY" w:eastAsia="es-UY"/>
              </w:rPr>
              <w:t>Poder Legislativo</w:t>
            </w:r>
            <w:r w:rsidRPr="00C80798">
              <w:rPr>
                <w:rFonts w:ascii="Calibri" w:eastAsia="Times New Roman" w:hAnsi="Calibri" w:cs="Calibri"/>
                <w:color w:val="000000"/>
                <w:sz w:val="20"/>
                <w:szCs w:val="20"/>
                <w:lang w:val="es-UY" w:eastAsia="es-UY"/>
              </w:rPr>
              <w:t xml:space="preserve"> (PL)</w:t>
            </w:r>
          </w:p>
        </w:tc>
      </w:tr>
      <w:tr w:rsidR="00E50FB7" w:rsidRPr="00E50FB7" w:rsidTr="004961F5">
        <w:trPr>
          <w:trHeight w:val="300"/>
        </w:trPr>
        <w:tc>
          <w:tcPr>
            <w:tcW w:w="7460" w:type="dxa"/>
            <w:tcBorders>
              <w:top w:val="nil"/>
              <w:left w:val="nil"/>
              <w:bottom w:val="nil"/>
              <w:right w:val="nil"/>
            </w:tcBorders>
            <w:shd w:val="clear" w:color="000000" w:fill="FFF2CC"/>
            <w:noWrap/>
            <w:vAlign w:val="center"/>
            <w:hideMark/>
          </w:tcPr>
          <w:p w:rsidR="00E50FB7" w:rsidRPr="00314AEB" w:rsidRDefault="00E50FB7" w:rsidP="004961F5">
            <w:pPr>
              <w:spacing w:after="0" w:line="240" w:lineRule="auto"/>
              <w:jc w:val="both"/>
              <w:rPr>
                <w:rFonts w:ascii="Calibri" w:eastAsia="Times New Roman" w:hAnsi="Calibri" w:cs="Calibri"/>
                <w:color w:val="000000"/>
                <w:sz w:val="20"/>
                <w:szCs w:val="20"/>
                <w:lang w:val="es-UY" w:eastAsia="es-UY"/>
              </w:rPr>
            </w:pPr>
            <w:r w:rsidRPr="00314AEB">
              <w:rPr>
                <w:rFonts w:ascii="Calibri" w:eastAsia="Times New Roman" w:hAnsi="Calibri" w:cs="Calibri"/>
                <w:color w:val="000000"/>
                <w:sz w:val="20"/>
                <w:szCs w:val="20"/>
                <w:lang w:val="es-UY" w:eastAsia="es-UY"/>
              </w:rPr>
              <w:t>Ministerio de Economía y Finanzas (MEF)</w:t>
            </w:r>
          </w:p>
        </w:tc>
      </w:tr>
      <w:tr w:rsidR="00E50FB7" w:rsidRPr="00E50FB7" w:rsidTr="004961F5">
        <w:trPr>
          <w:trHeight w:val="300"/>
        </w:trPr>
        <w:tc>
          <w:tcPr>
            <w:tcW w:w="7460" w:type="dxa"/>
            <w:tcBorders>
              <w:top w:val="nil"/>
              <w:left w:val="nil"/>
              <w:bottom w:val="nil"/>
              <w:right w:val="nil"/>
            </w:tcBorders>
            <w:shd w:val="clear" w:color="000000" w:fill="FFF2CC"/>
            <w:noWrap/>
            <w:vAlign w:val="bottom"/>
            <w:hideMark/>
          </w:tcPr>
          <w:p w:rsidR="00E50FB7" w:rsidRPr="00314AEB" w:rsidRDefault="00E50FB7" w:rsidP="004961F5">
            <w:pPr>
              <w:spacing w:after="0" w:line="240" w:lineRule="auto"/>
              <w:jc w:val="both"/>
              <w:rPr>
                <w:rFonts w:ascii="Calibri" w:eastAsia="Times New Roman" w:hAnsi="Calibri" w:cs="Calibri"/>
                <w:color w:val="000000"/>
                <w:sz w:val="20"/>
                <w:szCs w:val="20"/>
                <w:lang w:val="es-UY" w:eastAsia="es-UY"/>
              </w:rPr>
            </w:pPr>
            <w:r w:rsidRPr="00314AEB">
              <w:rPr>
                <w:rFonts w:ascii="Calibri" w:eastAsia="Times New Roman" w:hAnsi="Calibri" w:cs="Calibri"/>
                <w:color w:val="000000"/>
                <w:sz w:val="20"/>
                <w:szCs w:val="20"/>
                <w:lang w:val="es-UY" w:eastAsia="es-UY"/>
              </w:rPr>
              <w:t>Oficina de Planeamiento y Presupuesto (OPP)</w:t>
            </w:r>
          </w:p>
        </w:tc>
      </w:tr>
      <w:tr w:rsidR="00E50FB7" w:rsidRPr="00E50FB7" w:rsidTr="004961F5">
        <w:trPr>
          <w:trHeight w:val="375"/>
        </w:trPr>
        <w:tc>
          <w:tcPr>
            <w:tcW w:w="7460" w:type="dxa"/>
            <w:tcBorders>
              <w:top w:val="nil"/>
              <w:left w:val="nil"/>
              <w:bottom w:val="nil"/>
              <w:right w:val="nil"/>
            </w:tcBorders>
            <w:shd w:val="clear" w:color="000000" w:fill="FFF2CC"/>
            <w:noWrap/>
            <w:vAlign w:val="bottom"/>
            <w:hideMark/>
          </w:tcPr>
          <w:p w:rsidR="00E50FB7" w:rsidRPr="00314AEB" w:rsidRDefault="00E50FB7" w:rsidP="004961F5">
            <w:pPr>
              <w:spacing w:after="0" w:line="240" w:lineRule="auto"/>
              <w:jc w:val="both"/>
              <w:rPr>
                <w:rFonts w:ascii="Calibri" w:eastAsia="Times New Roman" w:hAnsi="Calibri" w:cs="Calibri"/>
                <w:color w:val="000000"/>
                <w:sz w:val="20"/>
                <w:szCs w:val="20"/>
                <w:lang w:val="es-UY" w:eastAsia="es-UY"/>
              </w:rPr>
            </w:pPr>
            <w:r w:rsidRPr="00314AEB">
              <w:rPr>
                <w:rFonts w:ascii="Calibri" w:eastAsia="Times New Roman" w:hAnsi="Calibri" w:cs="Calibri"/>
                <w:color w:val="000000"/>
                <w:sz w:val="20"/>
                <w:szCs w:val="20"/>
                <w:lang w:val="es-UY" w:eastAsia="es-UY"/>
              </w:rPr>
              <w:t>Ministerio de Salud Pública (MSP)</w:t>
            </w:r>
          </w:p>
        </w:tc>
      </w:tr>
      <w:tr w:rsidR="00E50FB7" w:rsidRPr="00E50FB7" w:rsidTr="004961F5">
        <w:trPr>
          <w:trHeight w:val="300"/>
        </w:trPr>
        <w:tc>
          <w:tcPr>
            <w:tcW w:w="7460" w:type="dxa"/>
            <w:tcBorders>
              <w:top w:val="nil"/>
              <w:left w:val="nil"/>
              <w:bottom w:val="nil"/>
              <w:right w:val="nil"/>
            </w:tcBorders>
            <w:shd w:val="clear" w:color="000000" w:fill="FFF2CC"/>
            <w:noWrap/>
            <w:vAlign w:val="center"/>
            <w:hideMark/>
          </w:tcPr>
          <w:p w:rsidR="00E50FB7" w:rsidRPr="00314AEB" w:rsidRDefault="00E50FB7" w:rsidP="004961F5">
            <w:pPr>
              <w:spacing w:after="0" w:line="240" w:lineRule="auto"/>
              <w:jc w:val="both"/>
              <w:rPr>
                <w:rFonts w:ascii="Calibri" w:eastAsia="Times New Roman" w:hAnsi="Calibri" w:cs="Calibri"/>
                <w:color w:val="000000"/>
                <w:sz w:val="20"/>
                <w:szCs w:val="20"/>
                <w:lang w:val="es-UY" w:eastAsia="es-UY"/>
              </w:rPr>
            </w:pPr>
            <w:r w:rsidRPr="00314AEB">
              <w:rPr>
                <w:rFonts w:ascii="Calibri" w:eastAsia="Times New Roman" w:hAnsi="Calibri" w:cs="Calibri"/>
                <w:color w:val="000000"/>
                <w:sz w:val="20"/>
                <w:szCs w:val="20"/>
                <w:lang w:val="es-UY" w:eastAsia="es-UY"/>
              </w:rPr>
              <w:t>Administración de Servicios de Salud del Estado (ASSE)</w:t>
            </w:r>
          </w:p>
        </w:tc>
      </w:tr>
      <w:tr w:rsidR="00E50FB7" w:rsidRPr="00E50FB7" w:rsidTr="004961F5">
        <w:trPr>
          <w:trHeight w:val="300"/>
        </w:trPr>
        <w:tc>
          <w:tcPr>
            <w:tcW w:w="7460" w:type="dxa"/>
            <w:tcBorders>
              <w:top w:val="nil"/>
              <w:left w:val="nil"/>
              <w:bottom w:val="nil"/>
              <w:right w:val="nil"/>
            </w:tcBorders>
            <w:shd w:val="clear" w:color="000000" w:fill="FFF2CC"/>
            <w:noWrap/>
            <w:vAlign w:val="bottom"/>
            <w:hideMark/>
          </w:tcPr>
          <w:p w:rsidR="00E50FB7" w:rsidRPr="00314AEB" w:rsidRDefault="00E50FB7" w:rsidP="004961F5">
            <w:pPr>
              <w:spacing w:after="0" w:line="240" w:lineRule="auto"/>
              <w:jc w:val="both"/>
              <w:rPr>
                <w:rFonts w:ascii="Calibri" w:eastAsia="Times New Roman" w:hAnsi="Calibri" w:cs="Calibri"/>
                <w:color w:val="000000"/>
                <w:sz w:val="20"/>
                <w:szCs w:val="20"/>
                <w:lang w:val="es-UY" w:eastAsia="es-UY"/>
              </w:rPr>
            </w:pPr>
            <w:r w:rsidRPr="00314AEB">
              <w:rPr>
                <w:rFonts w:ascii="Calibri" w:eastAsia="Times New Roman" w:hAnsi="Calibri" w:cs="Calibri"/>
                <w:color w:val="000000"/>
                <w:sz w:val="20"/>
                <w:szCs w:val="20"/>
                <w:lang w:val="es-UY" w:eastAsia="es-UY"/>
              </w:rPr>
              <w:t>Ministerio de Trabajo y Seguridad Social (MTSS)</w:t>
            </w:r>
          </w:p>
        </w:tc>
      </w:tr>
      <w:tr w:rsidR="00E50FB7" w:rsidRPr="00E50FB7" w:rsidTr="004961F5">
        <w:trPr>
          <w:trHeight w:val="330"/>
        </w:trPr>
        <w:tc>
          <w:tcPr>
            <w:tcW w:w="7460" w:type="dxa"/>
            <w:tcBorders>
              <w:top w:val="nil"/>
              <w:left w:val="nil"/>
              <w:bottom w:val="nil"/>
              <w:right w:val="nil"/>
            </w:tcBorders>
            <w:shd w:val="clear" w:color="000000" w:fill="FFF2CC"/>
            <w:noWrap/>
            <w:vAlign w:val="center"/>
            <w:hideMark/>
          </w:tcPr>
          <w:p w:rsidR="00E50FB7" w:rsidRPr="00314AEB" w:rsidRDefault="00E50FB7" w:rsidP="004961F5">
            <w:pPr>
              <w:spacing w:after="0" w:line="240" w:lineRule="auto"/>
              <w:jc w:val="both"/>
              <w:rPr>
                <w:rFonts w:ascii="Calibri" w:eastAsia="Times New Roman" w:hAnsi="Calibri" w:cs="Calibri"/>
                <w:color w:val="000000"/>
                <w:sz w:val="20"/>
                <w:szCs w:val="20"/>
                <w:lang w:val="es-UY" w:eastAsia="es-UY"/>
              </w:rPr>
            </w:pPr>
            <w:r w:rsidRPr="00314AEB">
              <w:rPr>
                <w:rFonts w:ascii="Calibri" w:eastAsia="Times New Roman" w:hAnsi="Calibri" w:cs="Calibri"/>
                <w:color w:val="000000"/>
                <w:sz w:val="20"/>
                <w:szCs w:val="20"/>
                <w:lang w:val="es-UY" w:eastAsia="es-UY"/>
              </w:rPr>
              <w:t>Ministerio de Vivienda, Ordenamiento Territorial y Medio Ambiente (MVOTMA)</w:t>
            </w:r>
          </w:p>
        </w:tc>
      </w:tr>
      <w:tr w:rsidR="00E50FB7" w:rsidRPr="00E50FB7" w:rsidTr="004961F5">
        <w:trPr>
          <w:trHeight w:val="300"/>
        </w:trPr>
        <w:tc>
          <w:tcPr>
            <w:tcW w:w="7460" w:type="dxa"/>
            <w:tcBorders>
              <w:top w:val="nil"/>
              <w:left w:val="nil"/>
              <w:bottom w:val="nil"/>
              <w:right w:val="nil"/>
            </w:tcBorders>
            <w:shd w:val="clear" w:color="000000" w:fill="FFF2CC"/>
            <w:noWrap/>
            <w:vAlign w:val="bottom"/>
            <w:hideMark/>
          </w:tcPr>
          <w:p w:rsidR="00E50FB7" w:rsidRPr="00314AEB" w:rsidRDefault="00E50FB7" w:rsidP="004961F5">
            <w:pPr>
              <w:spacing w:after="0" w:line="240" w:lineRule="auto"/>
              <w:jc w:val="both"/>
              <w:rPr>
                <w:rFonts w:ascii="Calibri" w:eastAsia="Times New Roman" w:hAnsi="Calibri" w:cs="Calibri"/>
                <w:color w:val="000000"/>
                <w:sz w:val="20"/>
                <w:szCs w:val="20"/>
                <w:lang w:val="es-UY" w:eastAsia="es-UY"/>
              </w:rPr>
            </w:pPr>
            <w:r w:rsidRPr="00314AEB">
              <w:rPr>
                <w:rFonts w:ascii="Calibri" w:eastAsia="Times New Roman" w:hAnsi="Calibri" w:cs="Calibri"/>
                <w:color w:val="000000"/>
                <w:sz w:val="20"/>
                <w:szCs w:val="20"/>
                <w:lang w:val="es-UY" w:eastAsia="es-UY"/>
              </w:rPr>
              <w:t>Instituto Nacional de Estadística (INE)</w:t>
            </w:r>
          </w:p>
        </w:tc>
      </w:tr>
      <w:tr w:rsidR="00E50FB7" w:rsidRPr="00E50FB7" w:rsidTr="004961F5">
        <w:trPr>
          <w:trHeight w:val="300"/>
        </w:trPr>
        <w:tc>
          <w:tcPr>
            <w:tcW w:w="7460" w:type="dxa"/>
            <w:tcBorders>
              <w:top w:val="nil"/>
              <w:left w:val="nil"/>
              <w:bottom w:val="nil"/>
              <w:right w:val="nil"/>
            </w:tcBorders>
            <w:shd w:val="clear" w:color="000000" w:fill="FFF2CC"/>
            <w:noWrap/>
            <w:vAlign w:val="bottom"/>
            <w:hideMark/>
          </w:tcPr>
          <w:p w:rsidR="00E50FB7" w:rsidRPr="00314AEB" w:rsidRDefault="00E50FB7" w:rsidP="004961F5">
            <w:pPr>
              <w:spacing w:after="0" w:line="240" w:lineRule="auto"/>
              <w:jc w:val="both"/>
              <w:rPr>
                <w:rFonts w:ascii="Calibri" w:eastAsia="Times New Roman" w:hAnsi="Calibri" w:cs="Calibri"/>
                <w:color w:val="000000"/>
                <w:sz w:val="20"/>
                <w:szCs w:val="20"/>
                <w:lang w:val="es-UY" w:eastAsia="es-UY"/>
              </w:rPr>
            </w:pPr>
            <w:r w:rsidRPr="00314AEB">
              <w:rPr>
                <w:rFonts w:ascii="Calibri" w:eastAsia="Times New Roman" w:hAnsi="Calibri" w:cs="Calibri"/>
                <w:color w:val="000000"/>
                <w:sz w:val="20"/>
                <w:szCs w:val="20"/>
                <w:lang w:val="es-UY" w:eastAsia="es-UY"/>
              </w:rPr>
              <w:t>Agencia Sociedad de la Información y del Conocimiento (AGESIC)</w:t>
            </w:r>
          </w:p>
        </w:tc>
      </w:tr>
      <w:tr w:rsidR="00E50FB7" w:rsidRPr="00314AEB" w:rsidTr="004961F5">
        <w:trPr>
          <w:trHeight w:val="300"/>
        </w:trPr>
        <w:tc>
          <w:tcPr>
            <w:tcW w:w="7460" w:type="dxa"/>
            <w:tcBorders>
              <w:top w:val="nil"/>
              <w:left w:val="nil"/>
              <w:bottom w:val="nil"/>
              <w:right w:val="nil"/>
            </w:tcBorders>
            <w:shd w:val="clear" w:color="000000" w:fill="FFF2CC"/>
            <w:noWrap/>
            <w:vAlign w:val="center"/>
            <w:hideMark/>
          </w:tcPr>
          <w:p w:rsidR="00E50FB7" w:rsidRPr="00314AEB" w:rsidRDefault="00E50FB7" w:rsidP="004961F5">
            <w:pPr>
              <w:spacing w:after="0" w:line="240" w:lineRule="auto"/>
              <w:jc w:val="both"/>
              <w:rPr>
                <w:rFonts w:ascii="Calibri" w:eastAsia="Times New Roman" w:hAnsi="Calibri" w:cs="Calibri"/>
                <w:color w:val="000000"/>
                <w:sz w:val="20"/>
                <w:szCs w:val="20"/>
                <w:lang w:val="es-UY" w:eastAsia="es-UY"/>
              </w:rPr>
            </w:pPr>
            <w:r w:rsidRPr="00314AEB">
              <w:rPr>
                <w:rFonts w:ascii="Calibri" w:eastAsia="Times New Roman" w:hAnsi="Calibri" w:cs="Calibri"/>
                <w:color w:val="000000"/>
                <w:sz w:val="20"/>
                <w:szCs w:val="20"/>
                <w:lang w:val="es-UY" w:eastAsia="es-UY"/>
              </w:rPr>
              <w:t>Intendencia de Montevideo (IM)</w:t>
            </w:r>
          </w:p>
        </w:tc>
      </w:tr>
      <w:tr w:rsidR="00E50FB7" w:rsidRPr="00E50FB7" w:rsidTr="004961F5">
        <w:trPr>
          <w:trHeight w:val="300"/>
        </w:trPr>
        <w:tc>
          <w:tcPr>
            <w:tcW w:w="7460" w:type="dxa"/>
            <w:tcBorders>
              <w:top w:val="nil"/>
              <w:left w:val="nil"/>
              <w:bottom w:val="nil"/>
              <w:right w:val="nil"/>
            </w:tcBorders>
            <w:shd w:val="clear" w:color="000000" w:fill="FFF2CC"/>
            <w:noWrap/>
            <w:vAlign w:val="center"/>
            <w:hideMark/>
          </w:tcPr>
          <w:p w:rsidR="00E50FB7" w:rsidRPr="00314AEB" w:rsidRDefault="00E50FB7" w:rsidP="004961F5">
            <w:pPr>
              <w:spacing w:after="0" w:line="240" w:lineRule="auto"/>
              <w:jc w:val="both"/>
              <w:rPr>
                <w:rFonts w:ascii="Calibri" w:eastAsia="Times New Roman" w:hAnsi="Calibri" w:cs="Calibri"/>
                <w:color w:val="000000"/>
                <w:sz w:val="20"/>
                <w:szCs w:val="20"/>
                <w:lang w:val="es-UY" w:eastAsia="es-UY"/>
              </w:rPr>
            </w:pPr>
            <w:r w:rsidRPr="00314AEB">
              <w:rPr>
                <w:rFonts w:ascii="Calibri" w:eastAsia="Times New Roman" w:hAnsi="Calibri" w:cs="Calibri"/>
                <w:color w:val="000000"/>
                <w:sz w:val="20"/>
                <w:szCs w:val="20"/>
                <w:lang w:val="es-UY" w:eastAsia="es-UY"/>
              </w:rPr>
              <w:t>Administración Nacional de Educación Pública (ANEP)</w:t>
            </w:r>
          </w:p>
        </w:tc>
      </w:tr>
      <w:tr w:rsidR="00E50FB7" w:rsidRPr="00E50FB7" w:rsidTr="004961F5">
        <w:trPr>
          <w:trHeight w:val="300"/>
        </w:trPr>
        <w:tc>
          <w:tcPr>
            <w:tcW w:w="7460" w:type="dxa"/>
            <w:tcBorders>
              <w:top w:val="nil"/>
              <w:left w:val="nil"/>
              <w:bottom w:val="nil"/>
              <w:right w:val="nil"/>
            </w:tcBorders>
            <w:shd w:val="clear" w:color="000000" w:fill="FFF2CC"/>
            <w:noWrap/>
            <w:vAlign w:val="bottom"/>
            <w:hideMark/>
          </w:tcPr>
          <w:p w:rsidR="00E50FB7" w:rsidRPr="00C80798" w:rsidRDefault="00E50FB7" w:rsidP="004961F5">
            <w:pPr>
              <w:spacing w:after="0" w:line="240" w:lineRule="auto"/>
              <w:jc w:val="both"/>
              <w:rPr>
                <w:rFonts w:ascii="Calibri" w:eastAsia="Times New Roman" w:hAnsi="Calibri" w:cs="Calibri"/>
                <w:color w:val="000000"/>
                <w:sz w:val="20"/>
                <w:szCs w:val="20"/>
                <w:lang w:val="es-UY" w:eastAsia="es-UY"/>
              </w:rPr>
            </w:pPr>
            <w:r w:rsidRPr="00314AEB">
              <w:rPr>
                <w:rFonts w:ascii="Calibri" w:eastAsia="Times New Roman" w:hAnsi="Calibri" w:cs="Calibri"/>
                <w:color w:val="000000"/>
                <w:sz w:val="20"/>
                <w:szCs w:val="20"/>
                <w:lang w:val="es-UY" w:eastAsia="es-UY"/>
              </w:rPr>
              <w:t>Fiscalía General de la Nación (FGN)</w:t>
            </w:r>
          </w:p>
          <w:p w:rsidR="00E50FB7" w:rsidRPr="00C80798" w:rsidRDefault="00E50FB7" w:rsidP="004961F5">
            <w:pPr>
              <w:spacing w:after="0" w:line="240" w:lineRule="auto"/>
              <w:jc w:val="both"/>
              <w:rPr>
                <w:rFonts w:ascii="Calibri" w:eastAsia="Times New Roman" w:hAnsi="Calibri" w:cs="Calibri"/>
                <w:color w:val="000000"/>
                <w:sz w:val="20"/>
                <w:szCs w:val="20"/>
                <w:lang w:val="es-UY" w:eastAsia="es-UY"/>
              </w:rPr>
            </w:pPr>
            <w:r w:rsidRPr="00C80798">
              <w:rPr>
                <w:rFonts w:ascii="Calibri" w:eastAsia="Times New Roman" w:hAnsi="Calibri" w:cs="Calibri"/>
                <w:color w:val="000000"/>
                <w:sz w:val="20"/>
                <w:szCs w:val="20"/>
                <w:lang w:val="es-UY" w:eastAsia="es-UY"/>
              </w:rPr>
              <w:t>Correo Uruguayo</w:t>
            </w:r>
          </w:p>
          <w:p w:rsidR="00E50FB7" w:rsidRPr="00C80798" w:rsidRDefault="00E50FB7" w:rsidP="004961F5">
            <w:pPr>
              <w:spacing w:after="0" w:line="240" w:lineRule="auto"/>
              <w:jc w:val="both"/>
              <w:rPr>
                <w:rFonts w:ascii="Calibri" w:eastAsia="Times New Roman" w:hAnsi="Calibri" w:cs="Calibri"/>
                <w:color w:val="000000"/>
                <w:sz w:val="20"/>
                <w:szCs w:val="20"/>
                <w:lang w:val="es-UY" w:eastAsia="es-UY"/>
              </w:rPr>
            </w:pPr>
            <w:r w:rsidRPr="00C80798">
              <w:rPr>
                <w:rFonts w:ascii="Calibri" w:eastAsia="Times New Roman" w:hAnsi="Calibri" w:cs="Calibri"/>
                <w:color w:val="000000"/>
                <w:sz w:val="20"/>
                <w:szCs w:val="20"/>
                <w:lang w:val="es-UY" w:eastAsia="es-UY"/>
              </w:rPr>
              <w:t>Agencia Uruguaya de Cooperación Internacional (AUCI)</w:t>
            </w:r>
          </w:p>
          <w:p w:rsidR="00E50FB7" w:rsidRPr="00314AEB" w:rsidRDefault="00E50FB7" w:rsidP="004961F5">
            <w:pPr>
              <w:spacing w:after="0" w:line="240" w:lineRule="auto"/>
              <w:jc w:val="both"/>
              <w:rPr>
                <w:rFonts w:ascii="Calibri" w:eastAsia="Times New Roman" w:hAnsi="Calibri" w:cs="Calibri"/>
                <w:color w:val="000000"/>
                <w:sz w:val="20"/>
                <w:szCs w:val="20"/>
                <w:lang w:val="es-UY" w:eastAsia="es-UY"/>
              </w:rPr>
            </w:pPr>
            <w:r w:rsidRPr="00C80798">
              <w:rPr>
                <w:rFonts w:ascii="Calibri" w:eastAsia="Times New Roman" w:hAnsi="Calibri" w:cs="Calibri"/>
                <w:color w:val="000000"/>
                <w:sz w:val="20"/>
                <w:szCs w:val="20"/>
                <w:lang w:val="es-UY" w:eastAsia="es-UY"/>
              </w:rPr>
              <w:t>Oficina Nacional del Servicio Civil (ONSC)</w:t>
            </w:r>
          </w:p>
        </w:tc>
      </w:tr>
    </w:tbl>
    <w:p w:rsidR="00E50FB7" w:rsidRDefault="00E50FB7" w:rsidP="00E50FB7">
      <w:pPr>
        <w:jc w:val="both"/>
        <w:rPr>
          <w:rFonts w:ascii="Calibri" w:hAnsi="Calibri" w:cs="Calibri"/>
          <w:lang w:val="es-UY"/>
        </w:rPr>
      </w:pPr>
    </w:p>
    <w:p w:rsidR="00E50FB7" w:rsidRDefault="00E50FB7" w:rsidP="00E50FB7">
      <w:pPr>
        <w:jc w:val="both"/>
        <w:rPr>
          <w:rFonts w:ascii="Calibri" w:hAnsi="Calibri" w:cs="Calibri"/>
          <w:lang w:val="es-UY"/>
        </w:rPr>
      </w:pPr>
      <w:r>
        <w:rPr>
          <w:rFonts w:ascii="Calibri" w:hAnsi="Calibri" w:cs="Calibri"/>
          <w:lang w:val="es-UY"/>
        </w:rPr>
        <w:t xml:space="preserve">En diciembre de 2016, el Comité para la Eliminación de la Discriminación Racial (CERD) emitió sus observaciones a Uruguay, luego de que el estado uruguayo presentara su informe periódico en noviembre pasado. </w:t>
      </w:r>
    </w:p>
    <w:p w:rsidR="00E50FB7" w:rsidRDefault="00E50FB7" w:rsidP="00E50FB7">
      <w:pPr>
        <w:jc w:val="both"/>
        <w:rPr>
          <w:rFonts w:ascii="Calibri" w:hAnsi="Calibri" w:cs="Calibri"/>
          <w:lang w:val="es-UY"/>
        </w:rPr>
      </w:pPr>
      <w:r>
        <w:rPr>
          <w:rFonts w:ascii="Calibri" w:hAnsi="Calibri" w:cs="Calibri"/>
          <w:lang w:val="es-UY"/>
        </w:rPr>
        <w:t>Si bien el próximo reporte que Uruguay debe remitir al Comité es en 2020, el Comité solicitó al país que, en diciembre de 2017, provea de información sobre el estado de implementación de la observación 42. La recomendación 42 establece que:</w:t>
      </w:r>
    </w:p>
    <w:p w:rsidR="00E50FB7" w:rsidRPr="00835DFC" w:rsidRDefault="00E50FB7" w:rsidP="00E50FB7">
      <w:pPr>
        <w:ind w:left="708"/>
        <w:jc w:val="both"/>
        <w:rPr>
          <w:rFonts w:ascii="Calibri" w:hAnsi="Calibri" w:cs="Calibri"/>
          <w:b/>
          <w:lang w:val="es-UY"/>
        </w:rPr>
      </w:pPr>
      <w:r w:rsidRPr="00835DFC">
        <w:rPr>
          <w:b/>
          <w:lang w:val="es-UY"/>
        </w:rPr>
        <w:t xml:space="preserve">42. De conformidad con el artículo 9 (1) de la Convención y del artículo 65 de su reglamento enmendado, el Comité pide al Estado parte que, en el plazo de un año a partir de la aprobación de las presentes observaciones finales, le presente información sobre el curso dado a las recomendaciones que figuran en los párrafos 19 y 21. </w:t>
      </w:r>
    </w:p>
    <w:p w:rsidR="00E50FB7" w:rsidRDefault="00E50FB7" w:rsidP="00E50FB7">
      <w:pPr>
        <w:jc w:val="both"/>
        <w:rPr>
          <w:lang w:val="es-UY" w:eastAsia="es-ES"/>
        </w:rPr>
      </w:pPr>
      <w:r>
        <w:rPr>
          <w:lang w:val="es-UY" w:eastAsia="es-ES"/>
        </w:rPr>
        <w:t xml:space="preserve">La recomendación 19 establece que: </w:t>
      </w:r>
    </w:p>
    <w:p w:rsidR="00E50FB7" w:rsidRPr="00835DFC" w:rsidRDefault="00E50FB7" w:rsidP="00E50FB7">
      <w:pPr>
        <w:ind w:left="708"/>
        <w:jc w:val="both"/>
        <w:rPr>
          <w:b/>
          <w:u w:val="single"/>
          <w:lang w:val="es-UY"/>
        </w:rPr>
      </w:pPr>
      <w:r w:rsidRPr="00835DFC">
        <w:rPr>
          <w:b/>
          <w:u w:val="single"/>
          <w:lang w:val="es-UY"/>
        </w:rPr>
        <w:t>Participación Política</w:t>
      </w:r>
    </w:p>
    <w:p w:rsidR="00E50FB7" w:rsidRPr="00835DFC" w:rsidRDefault="00E50FB7" w:rsidP="00E50FB7">
      <w:pPr>
        <w:ind w:left="1416"/>
        <w:jc w:val="both"/>
        <w:rPr>
          <w:b/>
          <w:lang w:val="es-UY"/>
        </w:rPr>
      </w:pPr>
      <w:r>
        <w:rPr>
          <w:b/>
          <w:lang w:val="es-UY"/>
        </w:rPr>
        <w:lastRenderedPageBreak/>
        <w:t xml:space="preserve">19. </w:t>
      </w:r>
      <w:r w:rsidRPr="00835DFC">
        <w:rPr>
          <w:b/>
          <w:lang w:val="es-UY"/>
        </w:rPr>
        <w:t>El Comité recomienda que el Estado parte adopte medidas efectivas para asegurar la plena participación en los asuntos públicos de las y los afrodescendientes tanto en los cargos de toma de decisión como en instituciones representativas. Asimismo, le insta a continuar sus esfuerzos para asegurar la igualdad de oportunidades de participación de las y los afrodescendientes en todos los niveles de la administración pública, tanto a nivel nacional como local; así como para promover su participación en cargos directivos en el sector privado. El Comité también recomienda al Estado parte que promueva la sensibilización de la población afrodescendiente respecto de la importancia de su participación en la vida pública y política.</w:t>
      </w:r>
    </w:p>
    <w:p w:rsidR="00E50FB7" w:rsidRDefault="00E50FB7" w:rsidP="00E50FB7">
      <w:pPr>
        <w:rPr>
          <w:u w:val="single"/>
          <w:lang w:val="es-ES" w:eastAsia="es-ES"/>
        </w:rPr>
      </w:pPr>
      <w:r w:rsidRPr="00D36BC5">
        <w:rPr>
          <w:u w:val="single"/>
          <w:lang w:val="es-ES" w:eastAsia="es-ES"/>
        </w:rPr>
        <w:t xml:space="preserve">Las instituciones que han sido identificadas para aportar información de seguimiento sobre esta observación son: </w:t>
      </w:r>
      <w:r>
        <w:rPr>
          <w:u w:val="single"/>
          <w:lang w:val="es-ES" w:eastAsia="es-ES"/>
        </w:rPr>
        <w:t xml:space="preserve">MEC, </w:t>
      </w:r>
      <w:r w:rsidRPr="00D36BC5">
        <w:rPr>
          <w:u w:val="single"/>
          <w:lang w:val="es-ES" w:eastAsia="es-ES"/>
        </w:rPr>
        <w:t>MRREE, MINTERIOR, MIDES,</w:t>
      </w:r>
      <w:r>
        <w:rPr>
          <w:u w:val="single"/>
          <w:lang w:val="es-ES" w:eastAsia="es-ES"/>
        </w:rPr>
        <w:t xml:space="preserve"> SDH, ANC, ONSC</w:t>
      </w:r>
    </w:p>
    <w:p w:rsidR="00E50FB7" w:rsidRDefault="00E50FB7" w:rsidP="00E50FB7">
      <w:pPr>
        <w:rPr>
          <w:lang w:val="es-ES" w:eastAsia="es-ES"/>
        </w:rPr>
      </w:pPr>
      <w:r w:rsidRPr="006F4F8A">
        <w:rPr>
          <w:lang w:val="es-ES" w:eastAsia="es-ES"/>
        </w:rPr>
        <w:t>La recomendación 21 establece que:</w:t>
      </w:r>
    </w:p>
    <w:p w:rsidR="00E50FB7" w:rsidRPr="00835DFC" w:rsidRDefault="00E50FB7" w:rsidP="00E50FB7">
      <w:pPr>
        <w:ind w:left="708"/>
        <w:rPr>
          <w:b/>
          <w:u w:val="single"/>
          <w:lang w:val="es-ES" w:eastAsia="es-ES"/>
        </w:rPr>
      </w:pPr>
      <w:r w:rsidRPr="00835DFC">
        <w:rPr>
          <w:b/>
          <w:u w:val="single"/>
          <w:lang w:val="es-ES" w:eastAsia="es-ES"/>
        </w:rPr>
        <w:t>Educación</w:t>
      </w:r>
    </w:p>
    <w:p w:rsidR="00E50FB7" w:rsidRPr="00835DFC" w:rsidRDefault="00E50FB7" w:rsidP="00E50FB7">
      <w:pPr>
        <w:pStyle w:val="ListParagraph"/>
        <w:numPr>
          <w:ilvl w:val="0"/>
          <w:numId w:val="1"/>
        </w:numPr>
        <w:jc w:val="both"/>
        <w:rPr>
          <w:b/>
          <w:u w:val="single"/>
          <w:lang w:val="es-ES" w:eastAsia="es-ES"/>
        </w:rPr>
      </w:pPr>
      <w:r w:rsidRPr="00835DFC">
        <w:rPr>
          <w:b/>
          <w:lang w:val="es-UY"/>
        </w:rPr>
        <w:t>El Comité recomienda al Estado parte que redoble sus esfuerzos para garantizar el disfrute del derecho a la educación sin ningún tipo de discriminación a la población afrodescendiente. En particular, le recomienda que adopte medidas especiales dirigidas a la población afrodescendiente, especialmente a las adolescentes afrodescendientes a fin de corregir las disparidades en los logros educativos; reducir los altos índices de deserción escolar, y para promover el acceso a la educación terciaria. El Comité insta al Estado parte a adoptar las medidas necesarias que garanticen el cumplimiento efectivo de la Ley N°19122 en lo que se refiere al ámbito educativo.</w:t>
      </w:r>
    </w:p>
    <w:p w:rsidR="00E50FB7" w:rsidRDefault="00E50FB7" w:rsidP="00E50FB7">
      <w:pPr>
        <w:rPr>
          <w:u w:val="single"/>
          <w:lang w:val="es-ES" w:eastAsia="es-ES"/>
        </w:rPr>
      </w:pPr>
      <w:r w:rsidRPr="00D36BC5">
        <w:rPr>
          <w:u w:val="single"/>
          <w:lang w:val="es-ES" w:eastAsia="es-ES"/>
        </w:rPr>
        <w:t xml:space="preserve">Las instituciones que han sido identificadas para aportar información de seguimiento sobre esta observación son: </w:t>
      </w:r>
      <w:r>
        <w:rPr>
          <w:u w:val="single"/>
          <w:lang w:val="es-ES" w:eastAsia="es-ES"/>
        </w:rPr>
        <w:t>ANEP, MEC, MIDES</w:t>
      </w:r>
    </w:p>
    <w:p w:rsidR="00E50FB7" w:rsidRPr="003E17E4" w:rsidRDefault="00E50FB7">
      <w:pPr>
        <w:rPr>
          <w:lang w:val="es-ES" w:eastAsia="es-ES"/>
        </w:rPr>
      </w:pPr>
      <w:r w:rsidRPr="003E17E4">
        <w:rPr>
          <w:lang w:val="es-ES" w:eastAsia="es-ES"/>
        </w:rPr>
        <w:t>Durante el período agosto – noviembre de 2017, las Instituciones subieron información al software SIMORE sobre los avances en ambas temáticas de acuerdo con lo solicitado por el Comité</w:t>
      </w:r>
      <w:r w:rsidR="003E17E4">
        <w:rPr>
          <w:lang w:val="es-ES" w:eastAsia="es-ES"/>
        </w:rPr>
        <w:t>.</w:t>
      </w:r>
    </w:p>
    <w:p w:rsidR="00E50FB7" w:rsidRPr="003E17E4" w:rsidRDefault="00E50FB7" w:rsidP="00600556">
      <w:pPr>
        <w:jc w:val="both"/>
        <w:rPr>
          <w:lang w:val="es-ES" w:eastAsia="es-ES"/>
        </w:rPr>
      </w:pPr>
      <w:r w:rsidRPr="003E17E4">
        <w:rPr>
          <w:lang w:val="es-ES" w:eastAsia="es-ES"/>
        </w:rPr>
        <w:t>En este marco, la Coordinación del Mecanismo Nacional elaboró un borrador de Informe de avance que integra los aportes de todas las instituciones designadas y lo presentó a la Mesa a efectos de ser aprobado.</w:t>
      </w:r>
    </w:p>
    <w:p w:rsidR="00E50FB7" w:rsidRPr="003E17E4" w:rsidRDefault="00E50FB7" w:rsidP="00600556">
      <w:pPr>
        <w:jc w:val="both"/>
        <w:rPr>
          <w:lang w:val="es-ES" w:eastAsia="es-ES"/>
        </w:rPr>
      </w:pPr>
      <w:r w:rsidRPr="003E17E4">
        <w:rPr>
          <w:lang w:val="es-ES" w:eastAsia="es-ES"/>
        </w:rPr>
        <w:t>La Mesa Discriminación aprobó el Informe de avance</w:t>
      </w:r>
      <w:r w:rsidR="003E17E4">
        <w:rPr>
          <w:lang w:val="es-ES" w:eastAsia="es-ES"/>
        </w:rPr>
        <w:t>.</w:t>
      </w:r>
    </w:p>
    <w:p w:rsidR="00E50FB7" w:rsidRPr="00E50FB7" w:rsidRDefault="006D4E8F" w:rsidP="00600556">
      <w:pPr>
        <w:jc w:val="both"/>
        <w:rPr>
          <w:rFonts w:ascii="Tahoma" w:hAnsi="Tahoma" w:cs="Tahoma"/>
          <w:color w:val="000000"/>
          <w:sz w:val="20"/>
          <w:szCs w:val="20"/>
          <w:lang w:val="es-UY"/>
        </w:rPr>
      </w:pPr>
      <w:r>
        <w:rPr>
          <w:lang w:val="es-ES" w:eastAsia="es-ES"/>
        </w:rPr>
        <w:t>Asimismo</w:t>
      </w:r>
      <w:r w:rsidR="00E50FB7" w:rsidRPr="003E17E4">
        <w:rPr>
          <w:lang w:val="es-ES" w:eastAsia="es-ES"/>
        </w:rPr>
        <w:t>,</w:t>
      </w:r>
      <w:r>
        <w:rPr>
          <w:rFonts w:ascii="Tahoma" w:hAnsi="Tahoma" w:cs="Tahoma"/>
          <w:color w:val="000000"/>
          <w:sz w:val="20"/>
          <w:szCs w:val="20"/>
          <w:lang w:val="es-ES"/>
        </w:rPr>
        <w:t>l</w:t>
      </w:r>
      <w:r w:rsidR="00E50FB7" w:rsidRPr="00E50FB7">
        <w:rPr>
          <w:rFonts w:ascii="Tahoma" w:hAnsi="Tahoma" w:cs="Tahoma"/>
          <w:color w:val="000000"/>
          <w:sz w:val="20"/>
          <w:szCs w:val="20"/>
          <w:lang w:val="es-UY"/>
        </w:rPr>
        <w:t>a Mesa acordó activar el Sistema de Diálogo y Consulta (SDC)</w:t>
      </w:r>
      <w:r w:rsidR="00E50FB7">
        <w:rPr>
          <w:rFonts w:ascii="Tahoma" w:hAnsi="Tahoma" w:cs="Tahoma"/>
          <w:color w:val="000000"/>
          <w:sz w:val="20"/>
          <w:szCs w:val="20"/>
          <w:lang w:val="es-UY"/>
        </w:rPr>
        <w:t xml:space="preserve"> del Ministerio de Relaciones Exteriores (MRREE)</w:t>
      </w:r>
      <w:r w:rsidR="00E50FB7" w:rsidRPr="00E50FB7">
        <w:rPr>
          <w:rFonts w:ascii="Tahoma" w:hAnsi="Tahoma" w:cs="Tahoma"/>
          <w:color w:val="000000"/>
          <w:sz w:val="20"/>
          <w:szCs w:val="20"/>
          <w:lang w:val="es-UY"/>
        </w:rPr>
        <w:t xml:space="preserve"> a efectos de </w:t>
      </w:r>
      <w:r w:rsidR="00E50FB7">
        <w:rPr>
          <w:rFonts w:ascii="Tahoma" w:hAnsi="Tahoma" w:cs="Tahoma"/>
          <w:color w:val="000000"/>
          <w:sz w:val="20"/>
          <w:szCs w:val="20"/>
          <w:lang w:val="es-UY"/>
        </w:rPr>
        <w:t>entregar a</w:t>
      </w:r>
      <w:r w:rsidR="00E50FB7" w:rsidRPr="00E50FB7">
        <w:rPr>
          <w:rFonts w:ascii="Tahoma" w:hAnsi="Tahoma" w:cs="Tahoma"/>
          <w:color w:val="000000"/>
          <w:sz w:val="20"/>
          <w:szCs w:val="20"/>
          <w:lang w:val="es-UY"/>
        </w:rPr>
        <w:t xml:space="preserve"> Sociedad Civil Organizada que trabaja en la temática, el </w:t>
      </w:r>
      <w:r w:rsidR="00600556">
        <w:rPr>
          <w:rFonts w:ascii="Tahoma" w:hAnsi="Tahoma" w:cs="Tahoma"/>
          <w:color w:val="000000"/>
          <w:sz w:val="20"/>
          <w:szCs w:val="20"/>
          <w:lang w:val="es-UY"/>
        </w:rPr>
        <w:t>i</w:t>
      </w:r>
      <w:r w:rsidR="00E50FB7" w:rsidRPr="00E50FB7">
        <w:rPr>
          <w:rFonts w:ascii="Tahoma" w:hAnsi="Tahoma" w:cs="Tahoma"/>
          <w:color w:val="000000"/>
          <w:sz w:val="20"/>
          <w:szCs w:val="20"/>
          <w:lang w:val="es-UY"/>
        </w:rPr>
        <w:t xml:space="preserve">nforme que será </w:t>
      </w:r>
      <w:r w:rsidR="00E50FB7">
        <w:rPr>
          <w:rFonts w:ascii="Tahoma" w:hAnsi="Tahoma" w:cs="Tahoma"/>
          <w:color w:val="000000"/>
          <w:sz w:val="20"/>
          <w:szCs w:val="20"/>
          <w:lang w:val="es-UY"/>
        </w:rPr>
        <w:t>remitido</w:t>
      </w:r>
      <w:r w:rsidR="00E50FB7" w:rsidRPr="00E50FB7">
        <w:rPr>
          <w:rFonts w:ascii="Tahoma" w:hAnsi="Tahoma" w:cs="Tahoma"/>
          <w:color w:val="000000"/>
          <w:sz w:val="20"/>
          <w:szCs w:val="20"/>
          <w:lang w:val="es-UY"/>
        </w:rPr>
        <w:t xml:space="preserve"> al Comité. </w:t>
      </w:r>
      <w:r w:rsidR="00E50FB7">
        <w:rPr>
          <w:rFonts w:ascii="Tahoma" w:hAnsi="Tahoma" w:cs="Tahoma"/>
          <w:color w:val="000000"/>
          <w:sz w:val="20"/>
          <w:szCs w:val="20"/>
          <w:lang w:val="es-UY"/>
        </w:rPr>
        <w:t xml:space="preserve">El SDC se activará </w:t>
      </w:r>
      <w:r w:rsidR="003E17E4">
        <w:rPr>
          <w:rFonts w:ascii="Tahoma" w:hAnsi="Tahoma" w:cs="Tahoma"/>
          <w:color w:val="000000"/>
          <w:sz w:val="20"/>
          <w:szCs w:val="20"/>
          <w:lang w:val="es-UY"/>
        </w:rPr>
        <w:t>en la primera quincena de diciembre de 2017.</w:t>
      </w:r>
    </w:p>
    <w:p w:rsidR="0041603E" w:rsidRPr="00E50FB7" w:rsidRDefault="006D4E8F" w:rsidP="00600556">
      <w:pPr>
        <w:jc w:val="both"/>
        <w:rPr>
          <w:lang w:val="es-ES"/>
        </w:rPr>
      </w:pPr>
      <w:r>
        <w:rPr>
          <w:lang w:val="es-ES"/>
        </w:rPr>
        <w:t>E</w:t>
      </w:r>
      <w:r w:rsidR="00600556">
        <w:rPr>
          <w:lang w:val="es-ES"/>
        </w:rPr>
        <w:t>n</w:t>
      </w:r>
      <w:r>
        <w:rPr>
          <w:lang w:val="es-ES"/>
        </w:rPr>
        <w:t xml:space="preserve"> otro orden, la Mesa contó con la participación de la Oficial de Derechos Humanos de la Oficina Regional</w:t>
      </w:r>
      <w:r w:rsidR="00600556">
        <w:rPr>
          <w:lang w:val="es-ES"/>
        </w:rPr>
        <w:t xml:space="preserve"> del Alto Comisionado de Naciones Unidas para los Derechos Humanos</w:t>
      </w:r>
      <w:r>
        <w:rPr>
          <w:lang w:val="es-ES"/>
        </w:rPr>
        <w:t xml:space="preserve"> para América del Sur</w:t>
      </w:r>
      <w:r w:rsidR="00600556">
        <w:rPr>
          <w:lang w:val="es-ES"/>
        </w:rPr>
        <w:t>, quien realizó un taller sobre como trabajar con las recomendaciones CERD a partir de indicadores de derechos humanos.</w:t>
      </w:r>
    </w:p>
    <w:sectPr w:rsidR="0041603E" w:rsidRPr="00E50FB7" w:rsidSect="003E17E4">
      <w:footerReference w:type="default" r:id="rId8"/>
      <w:pgSz w:w="11906" w:h="16838"/>
      <w:pgMar w:top="1418"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7A93" w:rsidRDefault="00697A93" w:rsidP="003E17E4">
      <w:pPr>
        <w:spacing w:after="0" w:line="240" w:lineRule="auto"/>
      </w:pPr>
      <w:r>
        <w:separator/>
      </w:r>
    </w:p>
  </w:endnote>
  <w:endnote w:type="continuationSeparator" w:id="1">
    <w:p w:rsidR="00697A93" w:rsidRDefault="00697A93" w:rsidP="003E17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7451859"/>
      <w:docPartObj>
        <w:docPartGallery w:val="Page Numbers (Bottom of Page)"/>
        <w:docPartUnique/>
      </w:docPartObj>
    </w:sdtPr>
    <w:sdtContent>
      <w:p w:rsidR="003E17E4" w:rsidRDefault="00DC222A">
        <w:pPr>
          <w:pStyle w:val="Footer"/>
          <w:jc w:val="right"/>
        </w:pPr>
        <w:r>
          <w:fldChar w:fldCharType="begin"/>
        </w:r>
        <w:r w:rsidR="003E17E4">
          <w:instrText>PAGE   \* MERGEFORMAT</w:instrText>
        </w:r>
        <w:r>
          <w:fldChar w:fldCharType="separate"/>
        </w:r>
        <w:r w:rsidR="00811534" w:rsidRPr="00811534">
          <w:rPr>
            <w:noProof/>
            <w:lang w:val="es-ES"/>
          </w:rPr>
          <w:t>1</w:t>
        </w:r>
        <w:r>
          <w:fldChar w:fldCharType="end"/>
        </w:r>
      </w:p>
    </w:sdtContent>
  </w:sdt>
  <w:p w:rsidR="003E17E4" w:rsidRDefault="003E17E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7A93" w:rsidRDefault="00697A93" w:rsidP="003E17E4">
      <w:pPr>
        <w:spacing w:after="0" w:line="240" w:lineRule="auto"/>
      </w:pPr>
      <w:r>
        <w:separator/>
      </w:r>
    </w:p>
  </w:footnote>
  <w:footnote w:type="continuationSeparator" w:id="1">
    <w:p w:rsidR="00697A93" w:rsidRDefault="00697A93" w:rsidP="003E17E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58118D"/>
    <w:multiLevelType w:val="hybridMultilevel"/>
    <w:tmpl w:val="64D831EA"/>
    <w:lvl w:ilvl="0" w:tplc="45BE01B8">
      <w:start w:val="20"/>
      <w:numFmt w:val="decimal"/>
      <w:lvlText w:val="%1."/>
      <w:lvlJc w:val="left"/>
      <w:pPr>
        <w:ind w:left="1627" w:hanging="360"/>
      </w:pPr>
      <w:rPr>
        <w:rFonts w:hint="default"/>
        <w:b/>
      </w:rPr>
    </w:lvl>
    <w:lvl w:ilvl="1" w:tplc="380A0019" w:tentative="1">
      <w:start w:val="1"/>
      <w:numFmt w:val="lowerLetter"/>
      <w:lvlText w:val="%2."/>
      <w:lvlJc w:val="left"/>
      <w:pPr>
        <w:ind w:left="2347" w:hanging="360"/>
      </w:pPr>
    </w:lvl>
    <w:lvl w:ilvl="2" w:tplc="380A001B" w:tentative="1">
      <w:start w:val="1"/>
      <w:numFmt w:val="lowerRoman"/>
      <w:lvlText w:val="%3."/>
      <w:lvlJc w:val="right"/>
      <w:pPr>
        <w:ind w:left="3067" w:hanging="180"/>
      </w:pPr>
    </w:lvl>
    <w:lvl w:ilvl="3" w:tplc="380A000F" w:tentative="1">
      <w:start w:val="1"/>
      <w:numFmt w:val="decimal"/>
      <w:lvlText w:val="%4."/>
      <w:lvlJc w:val="left"/>
      <w:pPr>
        <w:ind w:left="3787" w:hanging="360"/>
      </w:pPr>
    </w:lvl>
    <w:lvl w:ilvl="4" w:tplc="380A0019" w:tentative="1">
      <w:start w:val="1"/>
      <w:numFmt w:val="lowerLetter"/>
      <w:lvlText w:val="%5."/>
      <w:lvlJc w:val="left"/>
      <w:pPr>
        <w:ind w:left="4507" w:hanging="360"/>
      </w:pPr>
    </w:lvl>
    <w:lvl w:ilvl="5" w:tplc="380A001B" w:tentative="1">
      <w:start w:val="1"/>
      <w:numFmt w:val="lowerRoman"/>
      <w:lvlText w:val="%6."/>
      <w:lvlJc w:val="right"/>
      <w:pPr>
        <w:ind w:left="5227" w:hanging="180"/>
      </w:pPr>
    </w:lvl>
    <w:lvl w:ilvl="6" w:tplc="380A000F" w:tentative="1">
      <w:start w:val="1"/>
      <w:numFmt w:val="decimal"/>
      <w:lvlText w:val="%7."/>
      <w:lvlJc w:val="left"/>
      <w:pPr>
        <w:ind w:left="5947" w:hanging="360"/>
      </w:pPr>
    </w:lvl>
    <w:lvl w:ilvl="7" w:tplc="380A0019" w:tentative="1">
      <w:start w:val="1"/>
      <w:numFmt w:val="lowerLetter"/>
      <w:lvlText w:val="%8."/>
      <w:lvlJc w:val="left"/>
      <w:pPr>
        <w:ind w:left="6667" w:hanging="360"/>
      </w:pPr>
    </w:lvl>
    <w:lvl w:ilvl="8" w:tplc="380A001B" w:tentative="1">
      <w:start w:val="1"/>
      <w:numFmt w:val="lowerRoman"/>
      <w:lvlText w:val="%9."/>
      <w:lvlJc w:val="right"/>
      <w:pPr>
        <w:ind w:left="738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hyphenationZone w:val="425"/>
  <w:characterSpacingControl w:val="doNotCompress"/>
  <w:footnotePr>
    <w:footnote w:id="0"/>
    <w:footnote w:id="1"/>
  </w:footnotePr>
  <w:endnotePr>
    <w:endnote w:id="0"/>
    <w:endnote w:id="1"/>
  </w:endnotePr>
  <w:compat/>
  <w:rsids>
    <w:rsidRoot w:val="00E50FB7"/>
    <w:rsid w:val="0007122C"/>
    <w:rsid w:val="00277240"/>
    <w:rsid w:val="003E17E4"/>
    <w:rsid w:val="003F3973"/>
    <w:rsid w:val="0041603E"/>
    <w:rsid w:val="00600556"/>
    <w:rsid w:val="00697A93"/>
    <w:rsid w:val="006D4E8F"/>
    <w:rsid w:val="00811534"/>
    <w:rsid w:val="00A03DB2"/>
    <w:rsid w:val="00BD0A96"/>
    <w:rsid w:val="00DC222A"/>
    <w:rsid w:val="00E50FB7"/>
  </w:rsids>
  <m:mathPr>
    <m:mathFont m:val="Cambria Math"/>
    <m:brkBin m:val="before"/>
    <m:brkBinSub m:val="--"/>
    <m:smallFrac/>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UY"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FB7"/>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0FB7"/>
    <w:pPr>
      <w:ind w:left="720"/>
      <w:contextualSpacing/>
    </w:pPr>
  </w:style>
  <w:style w:type="paragraph" w:styleId="Header">
    <w:name w:val="header"/>
    <w:basedOn w:val="Normal"/>
    <w:link w:val="HeaderChar"/>
    <w:uiPriority w:val="99"/>
    <w:unhideWhenUsed/>
    <w:rsid w:val="003E17E4"/>
    <w:pPr>
      <w:tabs>
        <w:tab w:val="center" w:pos="4252"/>
        <w:tab w:val="right" w:pos="8504"/>
      </w:tabs>
      <w:spacing w:after="0" w:line="240" w:lineRule="auto"/>
    </w:pPr>
  </w:style>
  <w:style w:type="character" w:customStyle="1" w:styleId="HeaderChar">
    <w:name w:val="Header Char"/>
    <w:basedOn w:val="DefaultParagraphFont"/>
    <w:link w:val="Header"/>
    <w:uiPriority w:val="99"/>
    <w:rsid w:val="003E17E4"/>
    <w:rPr>
      <w:lang w:val="en-GB"/>
    </w:rPr>
  </w:style>
  <w:style w:type="paragraph" w:styleId="Footer">
    <w:name w:val="footer"/>
    <w:basedOn w:val="Normal"/>
    <w:link w:val="FooterChar"/>
    <w:uiPriority w:val="99"/>
    <w:unhideWhenUsed/>
    <w:rsid w:val="003E17E4"/>
    <w:pPr>
      <w:tabs>
        <w:tab w:val="center" w:pos="4252"/>
        <w:tab w:val="right" w:pos="8504"/>
      </w:tabs>
      <w:spacing w:after="0" w:line="240" w:lineRule="auto"/>
    </w:pPr>
  </w:style>
  <w:style w:type="character" w:customStyle="1" w:styleId="FooterChar">
    <w:name w:val="Footer Char"/>
    <w:basedOn w:val="DefaultParagraphFont"/>
    <w:link w:val="Footer"/>
    <w:uiPriority w:val="99"/>
    <w:rsid w:val="003E17E4"/>
    <w:rPr>
      <w:lang w:val="en-GB"/>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4DEAE1-DB75-485E-BB90-5608606F5C2C}"/>
</file>

<file path=customXml/itemProps2.xml><?xml version="1.0" encoding="utf-8"?>
<ds:datastoreItem xmlns:ds="http://schemas.openxmlformats.org/officeDocument/2006/customXml" ds:itemID="{A39E2E25-A8B2-4C4A-81A8-CAEFEB82E2D3}"/>
</file>

<file path=customXml/itemProps3.xml><?xml version="1.0" encoding="utf-8"?>
<ds:datastoreItem xmlns:ds="http://schemas.openxmlformats.org/officeDocument/2006/customXml" ds:itemID="{0C53C43B-8A38-404D-8AD9-E3429F3749E5}"/>
</file>

<file path=customXml/itemProps4.xml><?xml version="1.0" encoding="utf-8"?>
<ds:datastoreItem xmlns:ds="http://schemas.openxmlformats.org/officeDocument/2006/customXml" ds:itemID="{921447B9-759D-4212-80E3-F506CCB70221}"/>
</file>

<file path=docProps/app.xml><?xml version="1.0" encoding="utf-8"?>
<Properties xmlns="http://schemas.openxmlformats.org/officeDocument/2006/extended-properties" xmlns:vt="http://schemas.openxmlformats.org/officeDocument/2006/docPropsVTypes">
  <Template>Normal</Template>
  <TotalTime>0</TotalTime>
  <Pages>2</Pages>
  <Words>735</Words>
  <Characters>4047</Characters>
  <Application>Microsoft Office Word</Application>
  <DocSecurity>4</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Alejandra Umpiérrez</dc:creator>
  <cp:lastModifiedBy>dpi</cp:lastModifiedBy>
  <cp:revision>2</cp:revision>
  <dcterms:created xsi:type="dcterms:W3CDTF">2017-11-27T15:34:00Z</dcterms:created>
  <dcterms:modified xsi:type="dcterms:W3CDTF">2017-11-27T15:34:00Z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