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40841" w14:textId="77777777" w:rsidR="006E20CE" w:rsidRDefault="006E20CE">
      <w:pPr>
        <w:spacing w:before="240" w:after="240"/>
        <w:rPr>
          <w:rFonts w:ascii="Times New Roman" w:eastAsia="Times New Roman" w:hAnsi="Times New Roman" w:cs="Times New Roman"/>
          <w:b/>
          <w:bCs/>
          <w:sz w:val="24"/>
          <w:szCs w:val="24"/>
        </w:rPr>
      </w:pPr>
    </w:p>
    <w:p w14:paraId="06AD6143" w14:textId="77777777" w:rsidR="006E20CE" w:rsidRDefault="00992155">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Opacidad estatal y ausencia de seguimiento público a las observaciones del CED</w:t>
      </w:r>
    </w:p>
    <w:p w14:paraId="4478EAEE" w14:textId="77777777" w:rsidR="006E20CE" w:rsidRDefault="00992155">
      <w:pPr>
        <w:pStyle w:val="Heading1"/>
        <w:keepNext w:val="0"/>
        <w:keepLines w:val="0"/>
        <w:spacing w:before="0" w:line="240" w:lineRule="auto"/>
        <w:jc w:val="center"/>
        <w:rPr>
          <w:rFonts w:ascii="Times New Roman" w:eastAsia="Times New Roman" w:hAnsi="Times New Roman" w:cs="Times New Roman"/>
          <w:b/>
          <w:bCs/>
          <w:color w:val="000000"/>
          <w:sz w:val="24"/>
          <w:szCs w:val="24"/>
        </w:rPr>
      </w:pPr>
      <w:bookmarkStart w:id="0" w:name="_70knx69g8y7v" w:colFirst="0" w:colLast="0"/>
      <w:bookmarkEnd w:id="0"/>
      <w:r>
        <w:rPr>
          <w:rFonts w:ascii="Times New Roman" w:eastAsia="Times New Roman" w:hAnsi="Times New Roman" w:cs="Times New Roman"/>
          <w:b/>
          <w:bCs/>
          <w:color w:val="000000"/>
          <w:sz w:val="24"/>
          <w:szCs w:val="24"/>
        </w:rPr>
        <w:t>Lista de Temas Prioritarios sobre Cuba</w:t>
      </w:r>
      <w:r>
        <w:rPr>
          <w:rFonts w:ascii="Times New Roman" w:eastAsia="Times New Roman" w:hAnsi="Times New Roman" w:cs="Times New Roman"/>
          <w:b/>
          <w:bCs/>
          <w:color w:val="000000"/>
          <w:sz w:val="24"/>
          <w:szCs w:val="24"/>
        </w:rPr>
        <w:br/>
        <w:t>31.º período de sesiones del Comité contra la Desaparición Forzada</w:t>
      </w:r>
    </w:p>
    <w:p w14:paraId="6DD99103" w14:textId="77777777" w:rsidR="006E20CE" w:rsidRDefault="00992155">
      <w:pPr>
        <w:spacing w:before="240" w:after="240"/>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Presentada en relación con la información complementaria de Cuba bajo el artículo 29(4) de la Convención Internacional para la Protección de Todas las Personas contra las Desapariciones Forzadas</w:t>
      </w:r>
    </w:p>
    <w:p w14:paraId="4E9D1726" w14:textId="77777777" w:rsidR="006E20CE" w:rsidRDefault="00992155">
      <w:pPr>
        <w:spacing w:before="240" w:after="240"/>
        <w:jc w:val="center"/>
        <w:rPr>
          <w:b/>
          <w:bCs/>
        </w:rPr>
      </w:pPr>
      <w:r>
        <w:rPr>
          <w:rFonts w:ascii="Times New Roman" w:eastAsia="Times New Roman" w:hAnsi="Times New Roman" w:cs="Times New Roman"/>
          <w:b/>
          <w:bCs/>
          <w:sz w:val="24"/>
          <w:szCs w:val="24"/>
        </w:rPr>
        <w:t>Junio de 2026</w:t>
      </w:r>
    </w:p>
    <w:p w14:paraId="7B8DFEC4" w14:textId="77777777" w:rsidR="006E20CE" w:rsidRDefault="00992155">
      <w:pPr>
        <w:pStyle w:val="Heading2"/>
        <w:keepNext w:val="0"/>
        <w:keepLines w:val="0"/>
        <w:spacing w:before="360" w:after="80"/>
        <w:jc w:val="both"/>
        <w:rPr>
          <w:rFonts w:ascii="Times New Roman" w:eastAsia="Times New Roman" w:hAnsi="Times New Roman" w:cs="Times New Roman"/>
          <w:b/>
          <w:bCs/>
          <w:color w:val="000000"/>
          <w:sz w:val="24"/>
          <w:szCs w:val="24"/>
        </w:rPr>
      </w:pPr>
      <w:bookmarkStart w:id="1" w:name="_2e3egbrfr7q4" w:colFirst="0" w:colLast="0"/>
      <w:bookmarkEnd w:id="1"/>
      <w:r>
        <w:rPr>
          <w:rFonts w:ascii="Times New Roman" w:eastAsia="Times New Roman" w:hAnsi="Times New Roman" w:cs="Times New Roman"/>
          <w:b/>
          <w:bCs/>
          <w:color w:val="000000"/>
          <w:sz w:val="24"/>
          <w:szCs w:val="24"/>
        </w:rPr>
        <w:t>I. Presentación</w:t>
      </w:r>
    </w:p>
    <w:p w14:paraId="1173AFF9" w14:textId="77777777" w:rsidR="006E20CE" w:rsidRDefault="00992155">
      <w:pPr>
        <w:spacing w:before="180" w:after="18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Cubalex</w:t>
      </w:r>
      <w:proofErr w:type="spellEnd"/>
      <w:r>
        <w:rPr>
          <w:rFonts w:ascii="Times New Roman" w:eastAsia="Times New Roman" w:hAnsi="Times New Roman" w:cs="Times New Roman"/>
          <w:sz w:val="24"/>
          <w:szCs w:val="24"/>
        </w:rPr>
        <w:t xml:space="preserve"> es una organización apartidista de derechos humanos fundada en La Habana en 2010 como centro independiente de asesoría jurídica. Tras el allanamiento de su sede en 2016, la confiscación de equipos y expedientes, y el exilio forzado de su equipo en 2017, continuó su labor desde el exterior como entidad sin fines de lucro registrada en Estados Unidos. Con más de quince años de experiencia, brinda asesoría legal gratuita, documenta violaciones de derechos humanos y representa casos ante mecanismos internacion</w:t>
      </w:r>
      <w:r>
        <w:rPr>
          <w:rFonts w:ascii="Times New Roman" w:eastAsia="Times New Roman" w:hAnsi="Times New Roman" w:cs="Times New Roman"/>
          <w:sz w:val="24"/>
          <w:szCs w:val="24"/>
        </w:rPr>
        <w:t>ales y regionales, incluyendo la CIDH, órganos de tratados y procedimientos especiales de la ONU. Su trabajo se desarrolla especialmente en contextos de represión política, cierre del espacio cívico y discriminación estructural en Cuba, y ha participado en procesos ante CEDAW, CAT, CRC, CERD y en los EPU de Cuba de 2013, 2018, 2023 y 2024.</w:t>
      </w:r>
    </w:p>
    <w:p w14:paraId="1E32A638" w14:textId="77777777" w:rsidR="006E20CE" w:rsidRDefault="009921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Mesa de Diálogo de la Juventud Cubana (MDJC) es una plataforma de articulación juvenil que promueve la participación cívica, el debate plural y la construcción de propuestas para una sociedad más inclusiva. Impulsa espacios de diálogo intergeneracional y acciones de incidencia sobre derechos civiles, políticos y sociales que incluye a jóvenes líderes, activistas y artistas urbanos. La MDJC fue creada en el 2014 y ha sido registrada en el 2023 como asociación ante la imposibilidad de hacerlo dentro de la </w:t>
      </w:r>
      <w:r>
        <w:rPr>
          <w:rFonts w:ascii="Times New Roman" w:eastAsia="Times New Roman" w:hAnsi="Times New Roman" w:cs="Times New Roman"/>
          <w:sz w:val="24"/>
          <w:szCs w:val="24"/>
        </w:rPr>
        <w:t>isla. Sus informes sobre la juventud han ayudado a medir la situación y el sentir de las juventudes cubanas. Ha participado en procesos ante la CIDH, el EPU, CEDAW, CERD, entre los años 2016 y 2026.</w:t>
      </w:r>
    </w:p>
    <w:p w14:paraId="181F861E" w14:textId="77777777" w:rsidR="006E20CE" w:rsidRDefault="009921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Museo Virtual de la Memoria contra la Violencia Basada en Género (Museo V) es una iniciativa de la sociedad civil cubana que visibiliza las distintas formas de violencia basada en género que afectan a las mujeres en toda su diversidad. Creada en 2022 para dar espacio a artistas que, por su discurso político, quedaron excluidos del discurso oficial. Es una asociación registrada en España y se ha combinado desde su creación la denuncia, la creación artística y la reivindicación de voces negras y de persona</w:t>
      </w:r>
      <w:r>
        <w:rPr>
          <w:rFonts w:ascii="Times New Roman" w:eastAsia="Times New Roman" w:hAnsi="Times New Roman" w:cs="Times New Roman"/>
          <w:sz w:val="24"/>
          <w:szCs w:val="24"/>
        </w:rPr>
        <w:t xml:space="preserve">s </w:t>
      </w:r>
      <w:proofErr w:type="spellStart"/>
      <w:r>
        <w:rPr>
          <w:rFonts w:ascii="Times New Roman" w:eastAsia="Times New Roman" w:hAnsi="Times New Roman" w:cs="Times New Roman"/>
          <w:sz w:val="24"/>
          <w:szCs w:val="24"/>
        </w:rPr>
        <w:t>sexodisidentes</w:t>
      </w:r>
      <w:proofErr w:type="spellEnd"/>
      <w:r>
        <w:rPr>
          <w:rFonts w:ascii="Times New Roman" w:eastAsia="Times New Roman" w:hAnsi="Times New Roman" w:cs="Times New Roman"/>
          <w:sz w:val="24"/>
          <w:szCs w:val="24"/>
        </w:rPr>
        <w:t xml:space="preserve">. Como Museo V ha participado en procesos ante el EPU, la CIDH, la </w:t>
      </w:r>
      <w:proofErr w:type="gramStart"/>
      <w:r>
        <w:rPr>
          <w:rFonts w:ascii="Times New Roman" w:eastAsia="Times New Roman" w:hAnsi="Times New Roman" w:cs="Times New Roman"/>
          <w:sz w:val="24"/>
          <w:szCs w:val="24"/>
        </w:rPr>
        <w:t>CEDAW  y</w:t>
      </w:r>
      <w:proofErr w:type="gramEnd"/>
      <w:r>
        <w:rPr>
          <w:rFonts w:ascii="Times New Roman" w:eastAsia="Times New Roman" w:hAnsi="Times New Roman" w:cs="Times New Roman"/>
          <w:sz w:val="24"/>
          <w:szCs w:val="24"/>
        </w:rPr>
        <w:t xml:space="preserve"> el CERD, entre el 2023 y el 2026.</w:t>
      </w:r>
    </w:p>
    <w:p w14:paraId="0C68E33A" w14:textId="77777777" w:rsidR="006E20CE" w:rsidRDefault="009921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El Museo de la Disidencia en Cuba es un proyecto de investigación y memoria que documenta las diversas expresiones históricas y contemporáneas de disidencia en el país. Fundada en 2016 por el artista Luis Manuel Otero Alcántara y la curadora Yanelys </w:t>
      </w:r>
      <w:proofErr w:type="spellStart"/>
      <w:r>
        <w:rPr>
          <w:rFonts w:ascii="Times New Roman" w:eastAsia="Times New Roman" w:hAnsi="Times New Roman" w:cs="Times New Roman"/>
          <w:sz w:val="24"/>
          <w:szCs w:val="24"/>
        </w:rPr>
        <w:t>Nuñez</w:t>
      </w:r>
      <w:proofErr w:type="spellEnd"/>
      <w:r>
        <w:rPr>
          <w:rFonts w:ascii="Times New Roman" w:eastAsia="Times New Roman" w:hAnsi="Times New Roman" w:cs="Times New Roman"/>
          <w:sz w:val="24"/>
          <w:szCs w:val="24"/>
        </w:rPr>
        <w:t xml:space="preserve"> Leyva, se ha mantenido en la observancia y denuncia constante de la situación de los artistas y activistas políticos dentro de Cuba.</w:t>
      </w:r>
    </w:p>
    <w:p w14:paraId="2EE1CFA2" w14:textId="77777777" w:rsidR="006E20CE" w:rsidRDefault="009921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organizaciones firmantes autorizan al Comité contra la Desaparición Forzada a publicar este informe en su página web y a utilizarlo como insumo en el proceso de elaboración de la Lista de Temas Prioritarios relativa a Cuba.</w:t>
      </w:r>
    </w:p>
    <w:p w14:paraId="27E75019" w14:textId="77777777" w:rsidR="006E20CE" w:rsidRDefault="00992155">
      <w:pPr>
        <w:pStyle w:val="Heading2"/>
        <w:keepNext w:val="0"/>
        <w:keepLines w:val="0"/>
        <w:spacing w:before="360" w:after="80"/>
        <w:jc w:val="both"/>
        <w:rPr>
          <w:rFonts w:ascii="Times New Roman" w:eastAsia="Times New Roman" w:hAnsi="Times New Roman" w:cs="Times New Roman"/>
          <w:b/>
          <w:bCs/>
          <w:sz w:val="24"/>
          <w:szCs w:val="24"/>
        </w:rPr>
      </w:pPr>
      <w:bookmarkStart w:id="2" w:name="_1m1aswli3esp" w:colFirst="0" w:colLast="0"/>
      <w:bookmarkEnd w:id="2"/>
      <w:r>
        <w:rPr>
          <w:rFonts w:ascii="Times New Roman" w:eastAsia="Times New Roman" w:hAnsi="Times New Roman" w:cs="Times New Roman"/>
          <w:b/>
          <w:bCs/>
          <w:color w:val="000000"/>
          <w:sz w:val="24"/>
          <w:szCs w:val="24"/>
        </w:rPr>
        <w:t xml:space="preserve">II. Introducción </w:t>
      </w:r>
    </w:p>
    <w:p w14:paraId="6FF8852D"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presenta esta contribución al Comité contra la Desaparición Forzada en el marco del proceso de elaboración de la Lista de Temas Prioritarios relativa a Cuba, conforme al artículo 29, párrafo 4, de la Convención Internacional para la Protección de Todas las Personas contra las Desapariciones Forzadas.</w:t>
      </w:r>
    </w:p>
    <w:p w14:paraId="2C1A1519"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 nota se centra exclusivamente en el seguimiento de la observación final contenida en el párrafo 39 de las observaciones finales adoptadas por el Comité respecto de Cuba. En esa recomendación, el Comité alentó al Estado parte a difundir ampliamente la Convención, su informe presentado en virtud del artículo 29, párrafo 1, las respuestas escritas a la lista de cuestiones y las propias observaciones finales, con el fin de sensibilizar a autoridades judiciales, legislativas y administrativas, sociedad civi</w:t>
      </w:r>
      <w:r>
        <w:rPr>
          <w:rFonts w:ascii="Times New Roman" w:eastAsia="Times New Roman" w:hAnsi="Times New Roman" w:cs="Times New Roman"/>
          <w:sz w:val="24"/>
          <w:szCs w:val="24"/>
        </w:rPr>
        <w:t>l, organizaciones no gubernamentales y población en general. Asimismo, el Comité alentó al Estado a favorecer la participación de la sociedad civil en el proceso de implementación de las observaciones finales.</w:t>
      </w:r>
    </w:p>
    <w:p w14:paraId="7FA81C65"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cuestión que se propone al Comité verificar es si, tras dichas observaciones finales, el Estado cubano realizó acciones reales, públicas y verificables de difusión, capacitación, sensibilización, seguimiento institucional y participación de la sociedad civil; o si, por el contrario, la información disponible muestra opacidad, ausencia de seguimiento público, minimización del problema y negación oficial de la existencia de desapariciones forzadas, incluidas las de corta duración.</w:t>
      </w:r>
    </w:p>
    <w:p w14:paraId="6F56575C" w14:textId="77777777" w:rsidR="006E20CE" w:rsidRDefault="00992155">
      <w:pPr>
        <w:pStyle w:val="Heading2"/>
        <w:keepNext w:val="0"/>
        <w:keepLines w:val="0"/>
        <w:spacing w:before="360" w:after="80"/>
        <w:jc w:val="both"/>
        <w:rPr>
          <w:rFonts w:ascii="Times New Roman" w:eastAsia="Times New Roman" w:hAnsi="Times New Roman" w:cs="Times New Roman"/>
          <w:b/>
          <w:bCs/>
          <w:sz w:val="24"/>
          <w:szCs w:val="24"/>
        </w:rPr>
      </w:pPr>
      <w:bookmarkStart w:id="3" w:name="_95kj0nfa13ri" w:colFirst="0" w:colLast="0"/>
      <w:bookmarkEnd w:id="3"/>
      <w:r>
        <w:rPr>
          <w:rFonts w:ascii="Times New Roman" w:eastAsia="Times New Roman" w:hAnsi="Times New Roman" w:cs="Times New Roman"/>
          <w:b/>
          <w:bCs/>
          <w:color w:val="000000"/>
          <w:sz w:val="24"/>
          <w:szCs w:val="24"/>
        </w:rPr>
        <w:t>III. Temas prioritarios sugeridos</w:t>
      </w:r>
    </w:p>
    <w:p w14:paraId="5E624A3F"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observación 39 tiene una finalidad preventiva y busca asegurar que la Convención y las observaciones del Comité sean conocidas por las autoridades con funciones de detención, investigación, custodia, control judicial y tramitación de quejas, así como por víctimas, familiares, abogados y organizaciones de la sociedad civil. Por ello, la difusión y sensibilización no son actos meramente informativos, sino condiciones básicas para prevenir detenciones no reconocidas, incomunicación, traslados no informados </w:t>
      </w:r>
      <w:r>
        <w:rPr>
          <w:rFonts w:ascii="Times New Roman" w:eastAsia="Times New Roman" w:hAnsi="Times New Roman" w:cs="Times New Roman"/>
          <w:sz w:val="24"/>
          <w:szCs w:val="24"/>
        </w:rPr>
        <w:t>y negativas de información sobre el paradero.</w:t>
      </w:r>
    </w:p>
    <w:p w14:paraId="7BC74D64"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Sin embargo, en su información complementaria de 2024, Cuba no explica qué medidas adoptó para implementar la observación 39. La respuesta estatal no identifica acciones de difusión pública interna de la Convención, del informe estatal, de las respuestas a la lista de cuestiones ni de las observaciones finales del Comité; tampoco informa sobre campañas de sensibilización, capacitaciones específicas a autoridades competentes, mecanismos públicos de seguimiento o espacios de participación de la sociedad civil</w:t>
      </w:r>
      <w:r>
        <w:rPr>
          <w:rFonts w:ascii="Times New Roman" w:eastAsia="Times New Roman" w:hAnsi="Times New Roman" w:cs="Times New Roman"/>
          <w:sz w:val="24"/>
          <w:szCs w:val="24"/>
        </w:rPr>
        <w:t xml:space="preserve"> en la implementación de dichas recomendaciones. Esta omisión impide verificar si la cooperación formal del Estado ante el Comité se tradujo en medidas internas reales, accesibles y comprobables.</w:t>
      </w:r>
      <w:r>
        <w:rPr>
          <w:rFonts w:ascii="Times New Roman" w:eastAsia="Times New Roman" w:hAnsi="Times New Roman" w:cs="Times New Roman"/>
          <w:sz w:val="24"/>
          <w:szCs w:val="24"/>
          <w:vertAlign w:val="superscript"/>
        </w:rPr>
        <w:footnoteReference w:id="1"/>
      </w:r>
    </w:p>
    <w:p w14:paraId="27F0F4DC"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recomienda que el Comité incluya tres temas prioritarios en la Lista de Temas relativa a Cuba:</w:t>
      </w:r>
    </w:p>
    <w:p w14:paraId="61EE5564" w14:textId="77777777" w:rsidR="006E20CE" w:rsidRDefault="00992155">
      <w:pPr>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 Ausencia de difusión pública interna y riesgo de </w:t>
      </w:r>
      <w:proofErr w:type="spellStart"/>
      <w:r>
        <w:rPr>
          <w:rFonts w:ascii="Times New Roman" w:eastAsia="Times New Roman" w:hAnsi="Times New Roman" w:cs="Times New Roman"/>
          <w:b/>
          <w:bCs/>
          <w:sz w:val="24"/>
          <w:szCs w:val="24"/>
        </w:rPr>
        <w:t>invisibilización</w:t>
      </w:r>
      <w:proofErr w:type="spellEnd"/>
      <w:r>
        <w:rPr>
          <w:rFonts w:ascii="Times New Roman" w:eastAsia="Times New Roman" w:hAnsi="Times New Roman" w:cs="Times New Roman"/>
          <w:b/>
          <w:bCs/>
          <w:sz w:val="24"/>
          <w:szCs w:val="24"/>
        </w:rPr>
        <w:t xml:space="preserve"> de las desapariciones forzadas de corta duración</w:t>
      </w:r>
    </w:p>
    <w:p w14:paraId="0F4EC362"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se ha identificado información pública verificable que demuestre que el Estado cubano haya difundido ampliamente, dentro del país, la Convención, el informe estatal, las respuestas a la lista de cuestiones o las observaciones finales del CED. Tampoco consta que medios oficiales, portales institucionales o entidades como el Ministerio de Relaciones Exteriores, la </w:t>
      </w:r>
      <w:proofErr w:type="gramStart"/>
      <w:r>
        <w:rPr>
          <w:rFonts w:ascii="Times New Roman" w:eastAsia="Times New Roman" w:hAnsi="Times New Roman" w:cs="Times New Roman"/>
          <w:sz w:val="24"/>
          <w:szCs w:val="24"/>
        </w:rPr>
        <w:t>Fiscalía General</w:t>
      </w:r>
      <w:proofErr w:type="gramEnd"/>
      <w:r>
        <w:rPr>
          <w:rFonts w:ascii="Times New Roman" w:eastAsia="Times New Roman" w:hAnsi="Times New Roman" w:cs="Times New Roman"/>
          <w:sz w:val="24"/>
          <w:szCs w:val="24"/>
        </w:rPr>
        <w:t xml:space="preserve"> de la República, el Tribunal Supremo Popular, la Asamblea Nacional, el Ministerio de Justicia, el Ministerio del Interior, ni facultades de Derecho hayan desarrollado una estrategia pública de divulgación dirigida a autoridades nacionales, sociedad civil y población general. La disponibilidad de estos documentos en el sistema de Naciones Unidas no equivale, por sí sola, a difusión doméstica amplia, accesible y orientada a la sensibilización interna, como exige la observación 39.</w:t>
      </w:r>
    </w:p>
    <w:p w14:paraId="5BAA4936"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 omisión debe examinarse junto con el discurso estatal según el cual desde 1959 no se reportan desapariciones forzadas en Cuba y no existen sentencias por ese delito. Esa afirmación no demuestra, por sí misma, la inexistencia del fenómeno; también puede reflejar falta de investigación independiente, ausencia de denuncias seguras, temor a represalias, uso de otras categorías penales o falta de reconocimiento institucional de conductas compatibles con la Convención. En particular, la falta de difusión púb</w:t>
      </w:r>
      <w:r>
        <w:rPr>
          <w:rFonts w:ascii="Times New Roman" w:eastAsia="Times New Roman" w:hAnsi="Times New Roman" w:cs="Times New Roman"/>
          <w:sz w:val="24"/>
          <w:szCs w:val="24"/>
        </w:rPr>
        <w:t xml:space="preserve">lica sobre los estándares del CED puede contribuir a invisibilizar y dificultar la prevención de desapariciones forzadas de corta duración, incluidas situaciones de incomunicación inicial, demora o negativa de información </w:t>
      </w:r>
      <w:r>
        <w:rPr>
          <w:rFonts w:ascii="Times New Roman" w:eastAsia="Times New Roman" w:hAnsi="Times New Roman" w:cs="Times New Roman"/>
          <w:sz w:val="24"/>
          <w:szCs w:val="24"/>
        </w:rPr>
        <w:lastRenderedPageBreak/>
        <w:t>sobre paradero, traslados no notificados, detenciones ejecutadas por agentes de la Seguridad del Estado o el MININT sin comunicación oportuna a familiares, y ausencia de registros accesibles.</w:t>
      </w:r>
    </w:p>
    <w:p w14:paraId="2EC788D1"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ausencia de difusión interna tampoco aparece compensada por campañas públicas de sensibilización sobre desaparición forzada, derechos de las personas detenidas, derecho de familiares a conocer el paradero, prohibición de la incomunicación, obligación de registrar toda privación de libertad, deber de informar traslados penitenciarios o mecanismos de denuncia. Esta omisión refuerza el riesgo preventivo identificado: si el Estado sostiene que no existen desapariciones forzadas, pero no divulga estándares, g</w:t>
      </w:r>
      <w:r>
        <w:rPr>
          <w:rFonts w:ascii="Times New Roman" w:eastAsia="Times New Roman" w:hAnsi="Times New Roman" w:cs="Times New Roman"/>
          <w:sz w:val="24"/>
          <w:szCs w:val="24"/>
        </w:rPr>
        <w:t>arantías ni rutas de protección, se dificulta que víctimas, familiares, abogados y autoridades reconozcan tempranamente situaciones compatibles con desaparición forzada de corta duración.</w:t>
      </w:r>
    </w:p>
    <w:p w14:paraId="37D8787E" w14:textId="77777777" w:rsidR="006E20CE" w:rsidRDefault="00992155">
      <w:pPr>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 Falta de evidencia sobre capacitación específica a autoridades competentes</w:t>
      </w:r>
    </w:p>
    <w:p w14:paraId="069346F4"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Estado no aporta información verificable sobre programas de capacitación específicos dirigidos a jueces, fiscales, instructores penales, oficiales del MININT, funcionarios penitenciarios u otras autoridades que intervienen en detenciones, interrogatorios, traslados, custodia penitenciaria, atención médica bajo custodia y control de legalidad. </w:t>
      </w:r>
    </w:p>
    <w:p w14:paraId="5B15B590"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 evaluar el cumplimiento de la observación 39, el Estado debería demostrar que esas autoridades recibieron formación sobre la Convención, las observaciones finales del CED, el alcance del artículo 367 del Código Penal, la prohibición de la incomunicación, el deber de registrar toda privación de libertad, la obligación de informar oportunamente a familiares y representantes, el acceso a defensa, la investigación de denuncias, la prevención de represalias y los estándares aplicables a desapariciones forza</w:t>
      </w:r>
      <w:r>
        <w:rPr>
          <w:rFonts w:ascii="Times New Roman" w:eastAsia="Times New Roman" w:hAnsi="Times New Roman" w:cs="Times New Roman"/>
          <w:sz w:val="24"/>
          <w:szCs w:val="24"/>
        </w:rPr>
        <w:t>das de corta duración. Sin datos sobre alcance, contenido, obligatoriedad, instituciones responsables y evaluación de impacto, no es posible verificar que la capacitación haya funcionado como una medida real de prevención.</w:t>
      </w:r>
    </w:p>
    <w:p w14:paraId="6AE3349E" w14:textId="77777777" w:rsidR="006E20CE" w:rsidRDefault="00992155">
      <w:pPr>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 Participación de la sociedad civil independiente no demostrada y ausencia de garantías frente a represalias</w:t>
      </w:r>
    </w:p>
    <w:p w14:paraId="29669367"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observación 39 alentó expresamente al Estado a favorecer la participación de la sociedad civil en la implementación de las observaciones finales. Sin embargo, la información estatal no permite verificar que víctimas, familiares, abogados defensores de derechos humanos, organizaciones independientes de derechos humanos o periodistas independientes documentan detenciones arbitrarias, incomunicación o desapariciones forzadas hayan sido consultados o hayan participado en ese proceso. Las referencias generale</w:t>
      </w:r>
      <w:r>
        <w:rPr>
          <w:rFonts w:ascii="Times New Roman" w:eastAsia="Times New Roman" w:hAnsi="Times New Roman" w:cs="Times New Roman"/>
          <w:sz w:val="24"/>
          <w:szCs w:val="24"/>
        </w:rPr>
        <w:t xml:space="preserve">s a la “sociedad civil” o a la participación popular no permiten evaluar cumplimiento si el Estado no identifica qué organizaciones fueron consultadas, qué metodología se utilizó, qué recomendaciones </w:t>
      </w:r>
      <w:r>
        <w:rPr>
          <w:rFonts w:ascii="Times New Roman" w:eastAsia="Times New Roman" w:hAnsi="Times New Roman" w:cs="Times New Roman"/>
          <w:sz w:val="24"/>
          <w:szCs w:val="24"/>
        </w:rPr>
        <w:lastRenderedPageBreak/>
        <w:t>formularon, cuáles fueron incorporadas y si existen actas, informes o documentos públicos que acrediten esa participación.</w:t>
      </w:r>
      <w:r>
        <w:rPr>
          <w:rFonts w:ascii="Times New Roman" w:eastAsia="Times New Roman" w:hAnsi="Times New Roman" w:cs="Times New Roman"/>
          <w:sz w:val="24"/>
          <w:szCs w:val="24"/>
          <w:vertAlign w:val="superscript"/>
        </w:rPr>
        <w:footnoteReference w:id="2"/>
      </w:r>
    </w:p>
    <w:p w14:paraId="5F318F96" w14:textId="77777777" w:rsidR="006E20CE" w:rsidRDefault="00992155">
      <w:pPr>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IV. Razones para incluir este tema en la Lista de Temas Prioritarios</w:t>
      </w:r>
    </w:p>
    <w:p w14:paraId="0B5E5E0A"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inclusión de este tema en la Lista de Temas Prioritarios es necesaria porque la observación 39 se refiere a condiciones básicas de implementación de la Convención, que es la difusión pública, capacitación institucional, sensibilización social, seguimiento transparente y participación de la sociedad civil. Sin información verificable sobre esas medidas, no es posible evaluar si las observaciones finales del CED fueron incorporadas en la práctica interna del Estado ni si contribuyeron a fortalecer la preve</w:t>
      </w:r>
      <w:r>
        <w:rPr>
          <w:rFonts w:ascii="Times New Roman" w:eastAsia="Times New Roman" w:hAnsi="Times New Roman" w:cs="Times New Roman"/>
          <w:sz w:val="24"/>
          <w:szCs w:val="24"/>
        </w:rPr>
        <w:t>nción de desapariciones forzadas.</w:t>
      </w:r>
    </w:p>
    <w:p w14:paraId="3E4A525E"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Aunque el Estado informó avances formales, como la incorporación del delito de desaparición forzada en el Código Penal y la remisión de información complementaria al Comité, no explicó si esos avances fueron acompañados de difusión interna amplia, capacitación específica a autoridades competentes, campañas de sensibilización, participación efectiva de sociedad civil independiente o mecanismos públicos de seguimiento. Esta falta de información resulta especialmente relevante en un contexto en el que el Estad</w:t>
      </w:r>
      <w:r>
        <w:rPr>
          <w:rFonts w:ascii="Times New Roman" w:eastAsia="Times New Roman" w:hAnsi="Times New Roman" w:cs="Times New Roman"/>
          <w:sz w:val="24"/>
          <w:szCs w:val="24"/>
        </w:rPr>
        <w:t>o sostiene que no existen desapariciones forzadas en Cuba, sin explicar cómo esa afirmación se compatibiliza con la obligación de prevenir, identificar e investigar posibles desapariciones forzadas de corta duración.</w:t>
      </w:r>
    </w:p>
    <w:p w14:paraId="4446A47C"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ello, se solicita al Comité que incluya este asunto como tema prioritario y requiera al Estado información concreta, documentada y verificable sobre las medidas adoptadas para implementar la observación prevista en el párrafo 39.</w:t>
      </w:r>
    </w:p>
    <w:p w14:paraId="6520F5B2" w14:textId="77777777" w:rsidR="006E20CE" w:rsidRDefault="00992155">
      <w:pPr>
        <w:spacing w:before="240" w:after="2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 Preguntas sugeridas al Estado parte</w:t>
      </w:r>
    </w:p>
    <w:p w14:paraId="3C7EA6E6" w14:textId="77777777" w:rsidR="006E20CE" w:rsidRDefault="0099215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 sugiere que el Comité solicite al Estado cubano que responda, de manera documentada y desagregada, las siguientes preguntas:</w:t>
      </w:r>
    </w:p>
    <w:p w14:paraId="61D59B59" w14:textId="77777777" w:rsidR="006E20CE" w:rsidRDefault="00992155">
      <w:pPr>
        <w:numPr>
          <w:ilvl w:val="0"/>
          <w:numId w:val="1"/>
        </w:numPr>
        <w:spacing w:before="24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informar qué medidas concretas adoptó el Estado, desde la adopción de las observaciones finales del CED, para difundir dentro del país la Convención, el informe inicial de Cuba, las respuestas a la lista de cuestiones y las observaciones finales del Comité. En particular, indique fechas, instituciones responsables, canales utilizados, públicos destinatarios, enlaces o documentos probatorios, y precise si dichas medidas incluyeron a autoridades judiciales, fiscales, policiales, penitenciarias, legisl</w:t>
      </w:r>
      <w:r>
        <w:rPr>
          <w:rFonts w:ascii="Times New Roman" w:eastAsia="Times New Roman" w:hAnsi="Times New Roman" w:cs="Times New Roman"/>
          <w:sz w:val="24"/>
          <w:szCs w:val="24"/>
        </w:rPr>
        <w:t>ativas, administrativas, facultades de Derecho, organizaciones de la sociedad civil y población general.</w:t>
      </w:r>
    </w:p>
    <w:p w14:paraId="5AB57E58" w14:textId="77777777" w:rsidR="006E20CE" w:rsidRDefault="00992155">
      <w:pPr>
        <w:numPr>
          <w:ilvl w:val="0"/>
          <w:numId w:val="1"/>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indicar si el Estado realizó campañas públicas de sensibilización sobre desaparición forzada y, en especial, la de corta duración, derecho de las personas detenidas a ser registradas y comunicadas, derecho de familiares y representantes a conocer el paradero, prohibición de la incomunicación, deber de informar traslados y mecanismos de denuncia. En caso afirmativo, precise fechas, contenidos, instituciones responsables, alcance territorial, públicos destinatarios y mecanismos de evaluación.</w:t>
      </w:r>
    </w:p>
    <w:p w14:paraId="7FBCEE13" w14:textId="77777777" w:rsidR="006E20CE" w:rsidRDefault="00992155">
      <w:pPr>
        <w:numPr>
          <w:ilvl w:val="0"/>
          <w:numId w:val="1"/>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informar qué programas de capacitación obligatoria o especializada se han impartido a jueces, fiscales, instructores penales, oficiales del MININT, funcionarios penitenciarios y demás autoridades que intervienen en detenciones, interrogatorios, traslados, custodia, atención médica bajo custodia, control de legalidad o tramitación de quejas. En particular, indique si esas capacitaciones abordaron la Convención, las observaciones finales del CED, el artículo 367 del Código Penal, los registros de dete</w:t>
      </w:r>
      <w:r>
        <w:rPr>
          <w:rFonts w:ascii="Times New Roman" w:eastAsia="Times New Roman" w:hAnsi="Times New Roman" w:cs="Times New Roman"/>
          <w:sz w:val="24"/>
          <w:szCs w:val="24"/>
        </w:rPr>
        <w:t>nción, la comunicación inmediata a familiares y representantes, el acceso a defensa, la prevención de represalias y los estándares aplicables a desapariciones forzadas; y desagregue la información por año, provincia, institución, número y perfil de participantes, materiales utilizados y evaluación de impacto.</w:t>
      </w:r>
    </w:p>
    <w:p w14:paraId="0E0655A0" w14:textId="77777777" w:rsidR="006E20CE" w:rsidRDefault="00992155">
      <w:pPr>
        <w:numPr>
          <w:ilvl w:val="0"/>
          <w:numId w:val="1"/>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informar qué mecanismos han permitido la participación de víctimas, familiares, abogados defensores de derechos humanos, periodistas independientes, organizaciones independientes de derechos humanos y colectivos que documentan detenciones arbitrarias, incomunicación o desapariciones forzadas en la implementación de las observaciones finales del CED. Indique qué organizaciones o personas fueron consultadas, metodología utilizada, recomendaciones recibidas, medidas incorporadas y documentos públicos q</w:t>
      </w:r>
      <w:r>
        <w:rPr>
          <w:rFonts w:ascii="Times New Roman" w:eastAsia="Times New Roman" w:hAnsi="Times New Roman" w:cs="Times New Roman"/>
          <w:sz w:val="24"/>
          <w:szCs w:val="24"/>
        </w:rPr>
        <w:t>ue acrediten esa participación. Asimismo, precise qué garantías existen para proteger a quienes denuncian o documentan estos hechos frente a represalias, hostigamiento, descalificación pública, criminalización o restricciones por acudir a mecanismos internacionales.</w:t>
      </w:r>
    </w:p>
    <w:p w14:paraId="240FA562" w14:textId="77777777" w:rsidR="006E20CE" w:rsidRDefault="00992155">
      <w:pPr>
        <w:numPr>
          <w:ilvl w:val="0"/>
          <w:numId w:val="1"/>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Sírvase explicar cómo garantiza el Estado la participación segura, independiente y efectiva de víctimas, familiares, abogados, periodistas independientes y organizaciones de derechos humanos que documentan detenciones arbitrarias, incomunicación, traslados no informados, negativa de información sobre el paradero o desapariciones </w:t>
      </w:r>
      <w:r>
        <w:rPr>
          <w:rFonts w:ascii="Times New Roman" w:eastAsia="Times New Roman" w:hAnsi="Times New Roman" w:cs="Times New Roman"/>
          <w:sz w:val="24"/>
          <w:szCs w:val="24"/>
        </w:rPr>
        <w:lastRenderedPageBreak/>
        <w:t>forzadas de corta duración, en la implementación de las observaciones finales del Comité. En particular, indique si alguna de esas personas u organizaciones ha sido consultada, acreditada o invitada a aportar información en procesos de seguimiento, capacitación, revisión normativa o evaluación de políticas públicas relacionadas con la Convención. Asimismo, sírvase informar si desde 2017 alguna persona u organización que haya documentado o denunciado hechos compatibles con desaparición forzada ha sido objeto</w:t>
      </w:r>
      <w:r>
        <w:rPr>
          <w:rFonts w:ascii="Times New Roman" w:eastAsia="Times New Roman" w:hAnsi="Times New Roman" w:cs="Times New Roman"/>
          <w:sz w:val="24"/>
          <w:szCs w:val="24"/>
        </w:rPr>
        <w:t xml:space="preserve"> de citaciones, interrogatorios, vigilancia, restricciones de movilidad, campañas de descrédito, procesos penales, multas, decomisos, amenazas u otras medidas estatales; y explique cómo tales prácticas, de existir, son compatibles con la obligación de favorecer la participación de la sociedad civil en la implementación de las observaciones finales y con el deber de prevención, supervisión y rendición de cuentas derivado de la Convención.</w:t>
      </w:r>
    </w:p>
    <w:p w14:paraId="0748544E" w14:textId="77777777" w:rsidR="006E20CE" w:rsidRDefault="006E20CE">
      <w:pPr>
        <w:spacing w:before="240" w:after="240"/>
        <w:jc w:val="both"/>
        <w:rPr>
          <w:rFonts w:ascii="Times New Roman" w:eastAsia="Times New Roman" w:hAnsi="Times New Roman" w:cs="Times New Roman"/>
          <w:sz w:val="24"/>
          <w:szCs w:val="24"/>
        </w:rPr>
      </w:pPr>
    </w:p>
    <w:sectPr w:rsidR="006E20CE">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15CA3" w14:textId="77777777" w:rsidR="00992155" w:rsidRDefault="00992155">
      <w:pPr>
        <w:spacing w:after="0" w:line="240" w:lineRule="auto"/>
      </w:pPr>
      <w:r>
        <w:separator/>
      </w:r>
    </w:p>
  </w:endnote>
  <w:endnote w:type="continuationSeparator" w:id="0">
    <w:p w14:paraId="6A60F7E8" w14:textId="77777777" w:rsidR="00992155" w:rsidRDefault="00992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735BD59-F1D7-4D3D-B7EC-6FECF73DCE2C}"/>
    <w:embedBold r:id="rId2" w:fontKey="{B92AEB22-D577-41F0-A281-97773F27B3CD}"/>
  </w:font>
  <w:font w:name="Georgia">
    <w:panose1 w:val="02040502050405020303"/>
    <w:charset w:val="00"/>
    <w:family w:val="auto"/>
    <w:pitch w:val="default"/>
    <w:embedItalic r:id="rId3" w:fontKey="{E5B79F91-7579-4722-9675-4126FD72B432}"/>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DB8924D6-7962-4906-B251-C1ECEB8B0EA7}"/>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AAE3E" w14:textId="77777777" w:rsidR="006E20CE" w:rsidRDefault="00992155">
    <w:pPr>
      <w:jc w:val="right"/>
    </w:pPr>
    <w:r>
      <w:fldChar w:fldCharType="begin"/>
    </w:r>
    <w:r>
      <w:instrText>PAGE</w:instrText>
    </w:r>
    <w:r>
      <w:fldChar w:fldCharType="separate"/>
    </w:r>
    <w:r w:rsidR="004847F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D029F" w14:textId="77777777" w:rsidR="00992155" w:rsidRDefault="00992155">
      <w:pPr>
        <w:spacing w:after="0" w:line="240" w:lineRule="auto"/>
      </w:pPr>
      <w:r>
        <w:separator/>
      </w:r>
    </w:p>
  </w:footnote>
  <w:footnote w:type="continuationSeparator" w:id="0">
    <w:p w14:paraId="59A29A81" w14:textId="77777777" w:rsidR="00992155" w:rsidRDefault="00992155">
      <w:pPr>
        <w:spacing w:after="0" w:line="240" w:lineRule="auto"/>
      </w:pPr>
      <w:r>
        <w:continuationSeparator/>
      </w:r>
    </w:p>
  </w:footnote>
  <w:footnote w:id="1">
    <w:p w14:paraId="25C828F8" w14:textId="77777777" w:rsidR="006E20CE" w:rsidRDefault="00992155">
      <w:pPr>
        <w:spacing w:after="0" w:line="240" w:lineRule="auto"/>
        <w:jc w:val="both"/>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16"/>
          <w:szCs w:val="16"/>
        </w:rPr>
        <w:t xml:space="preserve">Cfr. Comité contra la Desaparición Forzada. (2024). </w:t>
      </w:r>
      <w:r>
        <w:rPr>
          <w:rFonts w:ascii="Times New Roman" w:eastAsia="Times New Roman" w:hAnsi="Times New Roman" w:cs="Times New Roman"/>
          <w:i/>
          <w:iCs/>
          <w:sz w:val="16"/>
          <w:szCs w:val="16"/>
        </w:rPr>
        <w:t>Información complementaria presentada por Cuba con arreglo al artículo 29, párrafo 4, de la Convención</w:t>
      </w:r>
      <w:r>
        <w:rPr>
          <w:rFonts w:ascii="Times New Roman" w:eastAsia="Times New Roman" w:hAnsi="Times New Roman" w:cs="Times New Roman"/>
          <w:sz w:val="16"/>
          <w:szCs w:val="16"/>
        </w:rPr>
        <w:t xml:space="preserve"> (CED/C/CUB/AI/1). Naciones Unidas. El Estado afirma que en Cuba no se reportan desapariciones forzadas desde 1959, que no existen sentencias condenatorias por ese delito y que solo cuatro quejas ante la Fiscalía se relacionaron con desconocimiento del lugar de detención o ubicación de personas privadas de libertad. Sirve para contrastar la narrativa estatal con la documentación de desapariciones forzadas d</w:t>
      </w:r>
      <w:r>
        <w:rPr>
          <w:rFonts w:ascii="Times New Roman" w:eastAsia="Times New Roman" w:hAnsi="Times New Roman" w:cs="Times New Roman"/>
          <w:sz w:val="16"/>
          <w:szCs w:val="16"/>
        </w:rPr>
        <w:t>e corta duración, incomunicación y ausencia de información a familiares. Consúltese: Human Rights Watch. (2026).</w:t>
      </w:r>
      <w:hyperlink r:id="rId1">
        <w:r>
          <w:rPr>
            <w:rFonts w:ascii="Times New Roman" w:eastAsia="Times New Roman" w:hAnsi="Times New Roman" w:cs="Times New Roman"/>
            <w:sz w:val="16"/>
            <w:szCs w:val="16"/>
          </w:rPr>
          <w:t xml:space="preserve"> </w:t>
        </w:r>
      </w:hyperlink>
      <w:hyperlink r:id="rId2">
        <w:r>
          <w:rPr>
            <w:rFonts w:ascii="Times New Roman" w:eastAsia="Times New Roman" w:hAnsi="Times New Roman" w:cs="Times New Roman"/>
            <w:i/>
            <w:iCs/>
            <w:color w:val="1155CC"/>
            <w:sz w:val="16"/>
            <w:szCs w:val="16"/>
            <w:u w:val="single"/>
          </w:rPr>
          <w:t>World Report 2026: Cuba</w:t>
        </w:r>
      </w:hyperlink>
      <w:r>
        <w:rPr>
          <w:rFonts w:ascii="Times New Roman" w:eastAsia="Times New Roman" w:hAnsi="Times New Roman" w:cs="Times New Roman"/>
          <w:sz w:val="16"/>
          <w:szCs w:val="16"/>
        </w:rPr>
        <w:t>. Sírvase de esta fuente para comprender el contexto general de cierre del espacio cívico. HRW documenta que las autoridades cubanas detienen arbitrariamente, hostigan e intimidan a críticos, activistas independientes, periodistas y opositores; que muchas personas han sido mantenidas incomunicadas; que familiares de presos políticos enfrentan acoso estatal; y que persisten restricciones a visitas familiares, falta de mecanismos efectivos de queja y negación de acceso a prisiones a organizaciones de derechos</w:t>
      </w:r>
      <w:r>
        <w:rPr>
          <w:rFonts w:ascii="Times New Roman" w:eastAsia="Times New Roman" w:hAnsi="Times New Roman" w:cs="Times New Roman"/>
          <w:sz w:val="16"/>
          <w:szCs w:val="16"/>
        </w:rPr>
        <w:t xml:space="preserve"> humanos.</w:t>
      </w:r>
    </w:p>
    <w:p w14:paraId="0AD87B61" w14:textId="77777777" w:rsidR="006E20CE" w:rsidRDefault="006E20CE">
      <w:pPr>
        <w:spacing w:after="0" w:line="240" w:lineRule="auto"/>
        <w:jc w:val="both"/>
        <w:rPr>
          <w:rFonts w:ascii="Times New Roman" w:eastAsia="Times New Roman" w:hAnsi="Times New Roman" w:cs="Times New Roman"/>
          <w:sz w:val="16"/>
          <w:szCs w:val="16"/>
        </w:rPr>
      </w:pPr>
    </w:p>
  </w:footnote>
  <w:footnote w:id="2">
    <w:p w14:paraId="2E01DE14" w14:textId="77777777" w:rsidR="006E20CE" w:rsidRDefault="00992155">
      <w:pPr>
        <w:spacing w:after="0" w:line="240" w:lineRule="auto"/>
        <w:jc w:val="both"/>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16"/>
          <w:szCs w:val="16"/>
        </w:rPr>
        <w:t xml:space="preserve">Consúltese: Héroes del Moncada. (2026, 25 de junio). </w:t>
      </w:r>
      <w:r>
        <w:rPr>
          <w:rFonts w:ascii="Times New Roman" w:eastAsia="Times New Roman" w:hAnsi="Times New Roman" w:cs="Times New Roman"/>
          <w:i/>
          <w:iCs/>
          <w:sz w:val="16"/>
          <w:szCs w:val="16"/>
        </w:rPr>
        <w:t>La verdad sobre la detención de ocho jóvenes causantes de hecho de vandalismo en el municipio Contramaestre, en Santiago de Cuba</w:t>
      </w:r>
      <w:r>
        <w:rPr>
          <w:rFonts w:ascii="Times New Roman" w:eastAsia="Times New Roman" w:hAnsi="Times New Roman" w:cs="Times New Roman"/>
          <w:sz w:val="16"/>
          <w:szCs w:val="16"/>
        </w:rPr>
        <w:t xml:space="preserve"> [</w:t>
      </w:r>
      <w:hyperlink r:id="rId3">
        <w:r>
          <w:rPr>
            <w:rFonts w:ascii="Times New Roman" w:eastAsia="Times New Roman" w:hAnsi="Times New Roman" w:cs="Times New Roman"/>
            <w:color w:val="1155CC"/>
            <w:sz w:val="16"/>
            <w:szCs w:val="16"/>
            <w:u w:val="single"/>
          </w:rPr>
          <w:t>Publicación de Facebook</w:t>
        </w:r>
      </w:hyperlink>
      <w:r>
        <w:rPr>
          <w:rFonts w:ascii="Times New Roman" w:eastAsia="Times New Roman" w:hAnsi="Times New Roman" w:cs="Times New Roman"/>
          <w:sz w:val="16"/>
          <w:szCs w:val="16"/>
        </w:rPr>
        <w:t>]. Sírvase esta fuente para conocer  un ejemplo de discurso público de descrédito contra organizaciones y perfiles que denuncian detenciones arbitrarias o posibles desapariciones forzadas de corta duración. La publicación califica esas denuncias como “manipulación de perfiles y páginas enemigas”, presenta anticipadamente a los jóvenes detenidos como responsables de un “hecho vandálico”, afirma que existen “pruebas irrefutables” antes de que concluya el proceso penal. Esto permite ilustrar cómo cuentas afine</w:t>
      </w:r>
      <w:r>
        <w:rPr>
          <w:rFonts w:ascii="Times New Roman" w:eastAsia="Times New Roman" w:hAnsi="Times New Roman" w:cs="Times New Roman"/>
          <w:sz w:val="16"/>
          <w:szCs w:val="16"/>
        </w:rPr>
        <w:t xml:space="preserve">s al discurso estatal intentan sostener la narrativa oficial de legalidad, negar o minimizar las denuncias de detención arbitraria, y desacreditar a la sociedad civil —incluida Cubalex— que documenta estos hechos. Cubalex &amp; Justicia 11J. (s. f.). </w:t>
      </w:r>
      <w:hyperlink r:id="rId4">
        <w:r>
          <w:rPr>
            <w:rFonts w:ascii="Times New Roman" w:eastAsia="Times New Roman" w:hAnsi="Times New Roman" w:cs="Times New Roman"/>
            <w:i/>
            <w:iCs/>
            <w:color w:val="1155CC"/>
            <w:sz w:val="16"/>
            <w:szCs w:val="16"/>
            <w:u w:val="single"/>
          </w:rPr>
          <w:t>Violencia electoral y desapariciones forzadas en Cuba: Desafíos y recomendaciones</w:t>
        </w:r>
      </w:hyperlink>
      <w:r>
        <w:rPr>
          <w:rFonts w:ascii="Times New Roman" w:eastAsia="Times New Roman" w:hAnsi="Times New Roman" w:cs="Times New Roman"/>
          <w:sz w:val="16"/>
          <w:szCs w:val="16"/>
        </w:rPr>
        <w:t>. Sírvase de esta fuente para conocer cómo las desapariciones forzadas de corta duración pueden operar como mecanismo de control político en Cuba, especialmente en contextos electorales o de movilización ciudadana. Documenta detenciones arbitrarias, vigilancia, amenazas, restricciones de movilidad, cortes selectivos de comunicaciones y hostigamiento contra observadores electorales, activistas, periodistas independientes y familiares, con el efecto de inhibir la documentación independiente y la crítica públi</w:t>
      </w:r>
      <w:r>
        <w:rPr>
          <w:rFonts w:ascii="Times New Roman" w:eastAsia="Times New Roman" w:hAnsi="Times New Roman" w:cs="Times New Roman"/>
          <w:sz w:val="16"/>
          <w:szCs w:val="16"/>
        </w:rPr>
        <w:t>ca. Cubalex. (2025, 30 de mayo).</w:t>
      </w:r>
      <w:hyperlink r:id="rId5">
        <w:r>
          <w:rPr>
            <w:rFonts w:ascii="Times New Roman" w:eastAsia="Times New Roman" w:hAnsi="Times New Roman" w:cs="Times New Roman"/>
            <w:sz w:val="16"/>
            <w:szCs w:val="16"/>
          </w:rPr>
          <w:t xml:space="preserve"> </w:t>
        </w:r>
      </w:hyperlink>
      <w:hyperlink r:id="rId6">
        <w:r>
          <w:rPr>
            <w:rFonts w:ascii="Times New Roman" w:eastAsia="Times New Roman" w:hAnsi="Times New Roman" w:cs="Times New Roman"/>
            <w:i/>
            <w:iCs/>
            <w:color w:val="1155CC"/>
            <w:sz w:val="16"/>
            <w:szCs w:val="16"/>
            <w:u w:val="single"/>
          </w:rPr>
          <w:t>Respuesta del Estado cubano ante el Comité contra la Desaparición Forzada y postura de Cubalex: El caso de Félix Navarro sigue abierto</w:t>
        </w:r>
      </w:hyperlink>
      <w:r>
        <w:rPr>
          <w:rFonts w:ascii="Times New Roman" w:eastAsia="Times New Roman" w:hAnsi="Times New Roman" w:cs="Times New Roman"/>
          <w:sz w:val="16"/>
          <w:szCs w:val="16"/>
        </w:rPr>
        <w:t>. Sírvase de esta fuente para ver la respuesta de Cubalex frente a la solicitud del Estado cubano de cerrar acciones urgentes ante el CED. Explica que la localización física de una persona detenida no elimina por sí sola los elementos de una desaparición forzada cuando persisten incomunicación, ausencia de documentación judicial verificable, falta de contacto regular con familiares, deterioro de salud y hostigamiento contra el entorno familiar.</w:t>
      </w:r>
    </w:p>
    <w:p w14:paraId="18B174B1" w14:textId="77777777" w:rsidR="006E20CE" w:rsidRDefault="006E20CE">
      <w:pPr>
        <w:spacing w:after="0" w:line="240" w:lineRule="auto"/>
        <w:jc w:val="both"/>
        <w:rPr>
          <w:rFonts w:ascii="Times New Roman" w:eastAsia="Times New Roman" w:hAnsi="Times New Roman" w:cs="Times New Roman"/>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6CE22" w14:textId="77777777" w:rsidR="006E20CE" w:rsidRDefault="00992155">
    <w:pPr>
      <w:spacing w:before="240" w:after="240"/>
      <w:jc w:val="center"/>
    </w:pPr>
    <w:r>
      <w:rPr>
        <w:noProof/>
      </w:rPr>
      <w:drawing>
        <wp:inline distT="114300" distB="114300" distL="114300" distR="114300" wp14:anchorId="73A67DEC" wp14:editId="5539CF07">
          <wp:extent cx="3427575" cy="126374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427575" cy="126374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791D6E"/>
    <w:multiLevelType w:val="multilevel"/>
    <w:tmpl w:val="88BC17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662509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0CE"/>
    <w:rsid w:val="004847FE"/>
    <w:rsid w:val="006E20CE"/>
    <w:rsid w:val="00992155"/>
    <w:rsid w:val="00FD4220"/>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34318"/>
  <w15:docId w15:val="{711D0922-1E4D-4FEE-ADA1-67F20EF63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419"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www.facebook.com/100095297334000/posts/882907111562525/" TargetMode="External"/><Relationship Id="rId2" Type="http://schemas.openxmlformats.org/officeDocument/2006/relationships/hyperlink" Target="https://www.hrw.org/world-report/2026/country-chapters/cuba" TargetMode="External"/><Relationship Id="rId1" Type="http://schemas.openxmlformats.org/officeDocument/2006/relationships/hyperlink" Target="https://www.hrw.org/world-report/2026/country-chapters/cuba" TargetMode="External"/><Relationship Id="rId6" Type="http://schemas.openxmlformats.org/officeDocument/2006/relationships/hyperlink" Target="https://cubalex.org/2025/05/30/respuesta-del-estado-cubano-ante-el-comite-contra-la-desaparicion-forzada-y-postura-de-cubalex-el-caso-de-felix-navarro-sigue-abierto/" TargetMode="External"/><Relationship Id="rId5" Type="http://schemas.openxmlformats.org/officeDocument/2006/relationships/hyperlink" Target="https://cubalex.org/2025/05/30/respuesta-del-estado-cubano-ante-el-comite-contra-la-desaparicion-forzada-y-postura-de-cubalex-el-caso-de-felix-navarro-sigue-abierto/" TargetMode="External"/><Relationship Id="rId4" Type="http://schemas.openxmlformats.org/officeDocument/2006/relationships/hyperlink" Target="https://cubalex.org/report/violencia-electoral-y-desapariciones-forzadas-en-cuba-herramientas-del-regimen-para-controlar-y-reprimi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2484</Words>
  <Characters>14161</Characters>
  <Application>Microsoft Office Word</Application>
  <DocSecurity>0</DocSecurity>
  <Lines>118</Lines>
  <Paragraphs>33</Paragraphs>
  <ScaleCrop>false</ScaleCrop>
  <Company/>
  <LinksUpToDate>false</LinksUpToDate>
  <CharactersWithSpaces>16612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Perrine Deja</dc:creator>
  <cp:lastModifiedBy>Perrine Deja</cp:lastModifiedBy>
  <cp:revision>2</cp:revision>
  <dcterms:created xsi:type="dcterms:W3CDTF">2026-07-01T09:41:00Z</dcterms:created>
  <dcterms:modified xsi:type="dcterms:W3CDTF">2026-07-01T09:41:00Z</dcterms:modified>
</cp:coreProperties>
</file>