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124A" w:rsidRDefault="0010678E" w:rsidP="00C21D2E">
      <w:pPr>
        <w:jc w:val="center"/>
        <w:rPr>
          <w:rFonts w:ascii="Times New Roman" w:hAnsi="Times New Roman" w:cs="Times New Roman"/>
          <w:b/>
          <w:sz w:val="24"/>
          <w:szCs w:val="24"/>
        </w:rPr>
      </w:pPr>
      <w:r>
        <w:rPr>
          <w:rFonts w:ascii="Times New Roman" w:hAnsi="Times New Roman" w:cs="Times New Roman"/>
          <w:b/>
          <w:sz w:val="24"/>
          <w:szCs w:val="24"/>
        </w:rPr>
        <w:t xml:space="preserve">Red de Juristas por los Derechos Sexuales (Cuba) </w:t>
      </w:r>
    </w:p>
    <w:p w:rsidR="00DC2A92" w:rsidRPr="00C21D2E" w:rsidRDefault="00590E83" w:rsidP="00C21D2E">
      <w:pPr>
        <w:jc w:val="center"/>
        <w:rPr>
          <w:rFonts w:ascii="Times New Roman" w:hAnsi="Times New Roman" w:cs="Times New Roman"/>
          <w:b/>
          <w:sz w:val="24"/>
          <w:szCs w:val="24"/>
        </w:rPr>
      </w:pPr>
      <w:r w:rsidRPr="00C21D2E">
        <w:rPr>
          <w:rFonts w:ascii="Times New Roman" w:hAnsi="Times New Roman" w:cs="Times New Roman"/>
          <w:b/>
          <w:sz w:val="24"/>
          <w:szCs w:val="24"/>
        </w:rPr>
        <w:t xml:space="preserve">Informe </w:t>
      </w:r>
      <w:r w:rsidR="00C21D2E" w:rsidRPr="00C21D2E">
        <w:rPr>
          <w:rFonts w:ascii="Times New Roman" w:hAnsi="Times New Roman" w:cs="Times New Roman"/>
          <w:b/>
          <w:sz w:val="24"/>
          <w:szCs w:val="24"/>
        </w:rPr>
        <w:t>al Comité para la Eliminación de la Discriminación contra la M</w:t>
      </w:r>
      <w:r w:rsidRPr="00C21D2E">
        <w:rPr>
          <w:rFonts w:ascii="Times New Roman" w:hAnsi="Times New Roman" w:cs="Times New Roman"/>
          <w:b/>
          <w:sz w:val="24"/>
          <w:szCs w:val="24"/>
        </w:rPr>
        <w:t>ujer (CEDAW)</w:t>
      </w:r>
    </w:p>
    <w:p w:rsidR="00590E83" w:rsidRPr="008D04DD" w:rsidRDefault="00590E83" w:rsidP="008D04DD">
      <w:pPr>
        <w:jc w:val="both"/>
        <w:rPr>
          <w:rFonts w:ascii="Times New Roman" w:hAnsi="Times New Roman" w:cs="Times New Roman"/>
          <w:sz w:val="24"/>
          <w:szCs w:val="24"/>
        </w:rPr>
      </w:pPr>
      <w:r w:rsidRPr="008D04DD">
        <w:rPr>
          <w:rFonts w:ascii="Times New Roman" w:hAnsi="Times New Roman" w:cs="Times New Roman"/>
          <w:sz w:val="24"/>
          <w:szCs w:val="24"/>
        </w:rPr>
        <w:t>País evaluado: Cuba</w:t>
      </w:r>
      <w:r w:rsidR="004B4A08">
        <w:rPr>
          <w:rFonts w:ascii="Times New Roman" w:hAnsi="Times New Roman" w:cs="Times New Roman"/>
          <w:sz w:val="24"/>
          <w:szCs w:val="24"/>
        </w:rPr>
        <w:t xml:space="preserve"> (2024)</w:t>
      </w:r>
    </w:p>
    <w:p w:rsidR="0065140A" w:rsidRDefault="00590E83" w:rsidP="008D04DD">
      <w:pPr>
        <w:jc w:val="both"/>
        <w:rPr>
          <w:rFonts w:ascii="Times New Roman" w:hAnsi="Times New Roman" w:cs="Times New Roman"/>
          <w:sz w:val="24"/>
          <w:szCs w:val="24"/>
        </w:rPr>
      </w:pPr>
      <w:r w:rsidRPr="008D04DD">
        <w:rPr>
          <w:rFonts w:ascii="Times New Roman" w:hAnsi="Times New Roman" w:cs="Times New Roman"/>
          <w:sz w:val="24"/>
          <w:szCs w:val="24"/>
        </w:rPr>
        <w:t xml:space="preserve">Red de Juristas por los Derechos Sexuales: Constituye una Red </w:t>
      </w:r>
      <w:r w:rsidR="008D04DD">
        <w:rPr>
          <w:rFonts w:ascii="Times New Roman" w:hAnsi="Times New Roman" w:cs="Times New Roman"/>
          <w:sz w:val="24"/>
          <w:szCs w:val="24"/>
        </w:rPr>
        <w:t>Social Comunitaria vinculada</w:t>
      </w:r>
      <w:r w:rsidRPr="008D04DD">
        <w:rPr>
          <w:rFonts w:ascii="Times New Roman" w:hAnsi="Times New Roman" w:cs="Times New Roman"/>
          <w:sz w:val="24"/>
          <w:szCs w:val="24"/>
        </w:rPr>
        <w:t xml:space="preserve"> al Centro Nacional de Educación Sexual (CENESEX</w:t>
      </w:r>
      <w:r w:rsidR="008D04DD">
        <w:rPr>
          <w:rFonts w:ascii="Times New Roman" w:hAnsi="Times New Roman" w:cs="Times New Roman"/>
          <w:sz w:val="24"/>
          <w:szCs w:val="24"/>
        </w:rPr>
        <w:t>), creada en abril de 2012, de</w:t>
      </w:r>
      <w:r w:rsidRPr="008D04DD">
        <w:rPr>
          <w:rFonts w:ascii="Times New Roman" w:hAnsi="Times New Roman" w:cs="Times New Roman"/>
          <w:sz w:val="24"/>
          <w:szCs w:val="24"/>
        </w:rPr>
        <w:t xml:space="preserve"> la que forman parte un grupo de estudiantes</w:t>
      </w:r>
      <w:r w:rsidR="00C21D2E">
        <w:rPr>
          <w:rFonts w:ascii="Times New Roman" w:hAnsi="Times New Roman" w:cs="Times New Roman"/>
          <w:sz w:val="24"/>
          <w:szCs w:val="24"/>
        </w:rPr>
        <w:t xml:space="preserve"> de Derecho y juristas </w:t>
      </w:r>
      <w:r w:rsidRPr="008D04DD">
        <w:rPr>
          <w:rFonts w:ascii="Times New Roman" w:hAnsi="Times New Roman" w:cs="Times New Roman"/>
          <w:sz w:val="24"/>
          <w:szCs w:val="24"/>
        </w:rPr>
        <w:t xml:space="preserve">de todas las provincias del país. Es un espacio de intercambio, reflexión,  asesoramiento y desarrollo de </w:t>
      </w:r>
      <w:r w:rsidR="008D04DD" w:rsidRPr="008D04DD">
        <w:rPr>
          <w:rFonts w:ascii="Times New Roman" w:hAnsi="Times New Roman" w:cs="Times New Roman"/>
          <w:sz w:val="24"/>
          <w:szCs w:val="24"/>
        </w:rPr>
        <w:t xml:space="preserve">acciones concretas en relación con el reconocimiento y garantía de los derechos sexuales </w:t>
      </w:r>
      <w:r w:rsidR="008D04DD">
        <w:rPr>
          <w:rFonts w:ascii="Times New Roman" w:hAnsi="Times New Roman" w:cs="Times New Roman"/>
          <w:sz w:val="24"/>
          <w:szCs w:val="24"/>
        </w:rPr>
        <w:t xml:space="preserve">y reproductivos </w:t>
      </w:r>
      <w:r w:rsidR="008D04DD" w:rsidRPr="008D04DD">
        <w:rPr>
          <w:rFonts w:ascii="Times New Roman" w:hAnsi="Times New Roman" w:cs="Times New Roman"/>
          <w:sz w:val="24"/>
          <w:szCs w:val="24"/>
        </w:rPr>
        <w:t>en Cuba.</w:t>
      </w:r>
      <w:r w:rsidR="00C21D2E">
        <w:rPr>
          <w:rFonts w:ascii="Times New Roman" w:hAnsi="Times New Roman" w:cs="Times New Roman"/>
          <w:sz w:val="24"/>
          <w:szCs w:val="24"/>
        </w:rPr>
        <w:t xml:space="preserve"> </w:t>
      </w:r>
      <w:r w:rsidR="00CA491A">
        <w:rPr>
          <w:rFonts w:ascii="Times New Roman" w:hAnsi="Times New Roman" w:cs="Times New Roman"/>
          <w:sz w:val="24"/>
          <w:szCs w:val="24"/>
        </w:rPr>
        <w:t>Contacto</w:t>
      </w:r>
      <w:r w:rsidR="00E22E87">
        <w:rPr>
          <w:rFonts w:ascii="Times New Roman" w:hAnsi="Times New Roman" w:cs="Times New Roman"/>
          <w:sz w:val="24"/>
          <w:szCs w:val="24"/>
        </w:rPr>
        <w:t>:</w:t>
      </w:r>
      <w:r w:rsidR="00CA491A">
        <w:rPr>
          <w:rFonts w:ascii="Times New Roman" w:hAnsi="Times New Roman" w:cs="Times New Roman"/>
          <w:sz w:val="24"/>
          <w:szCs w:val="24"/>
        </w:rPr>
        <w:t xml:space="preserve"> </w:t>
      </w:r>
      <w:proofErr w:type="spellStart"/>
      <w:r w:rsidR="00CA491A">
        <w:rPr>
          <w:rFonts w:ascii="Times New Roman" w:hAnsi="Times New Roman" w:cs="Times New Roman"/>
          <w:sz w:val="24"/>
          <w:szCs w:val="24"/>
        </w:rPr>
        <w:t>Fatima</w:t>
      </w:r>
      <w:proofErr w:type="spellEnd"/>
      <w:r w:rsidR="00CA491A">
        <w:rPr>
          <w:rFonts w:ascii="Times New Roman" w:hAnsi="Times New Roman" w:cs="Times New Roman"/>
          <w:sz w:val="24"/>
          <w:szCs w:val="24"/>
        </w:rPr>
        <w:t xml:space="preserve"> </w:t>
      </w:r>
      <w:proofErr w:type="spellStart"/>
      <w:r w:rsidR="00CA491A">
        <w:rPr>
          <w:rFonts w:ascii="Times New Roman" w:hAnsi="Times New Roman" w:cs="Times New Roman"/>
          <w:sz w:val="24"/>
          <w:szCs w:val="24"/>
        </w:rPr>
        <w:t>Abdula</w:t>
      </w:r>
      <w:proofErr w:type="spellEnd"/>
      <w:r w:rsidR="00CA491A">
        <w:rPr>
          <w:rFonts w:ascii="Times New Roman" w:hAnsi="Times New Roman" w:cs="Times New Roman"/>
          <w:sz w:val="24"/>
          <w:szCs w:val="24"/>
        </w:rPr>
        <w:t xml:space="preserve"> Ruíz, correo:</w:t>
      </w:r>
      <w:r w:rsidR="0065140A">
        <w:rPr>
          <w:rFonts w:ascii="Times New Roman" w:hAnsi="Times New Roman" w:cs="Times New Roman"/>
          <w:sz w:val="24"/>
          <w:szCs w:val="24"/>
        </w:rPr>
        <w:t xml:space="preserve"> </w:t>
      </w:r>
      <w:hyperlink r:id="rId8" w:history="1">
        <w:r w:rsidR="0085383A" w:rsidRPr="00D246C5">
          <w:rPr>
            <w:rStyle w:val="Hipervnculo"/>
            <w:rFonts w:ascii="Times New Roman" w:hAnsi="Times New Roman" w:cs="Times New Roman"/>
            <w:sz w:val="24"/>
            <w:szCs w:val="24"/>
          </w:rPr>
          <w:t>abdulafatima96@gamil.com</w:t>
        </w:r>
      </w:hyperlink>
    </w:p>
    <w:p w:rsidR="004A7B43" w:rsidRPr="000F09A4" w:rsidRDefault="000F09A4" w:rsidP="008D04DD">
      <w:pPr>
        <w:jc w:val="both"/>
        <w:rPr>
          <w:rFonts w:ascii="Times New Roman" w:hAnsi="Times New Roman" w:cs="Times New Roman"/>
          <w:b/>
          <w:sz w:val="24"/>
          <w:szCs w:val="24"/>
        </w:rPr>
      </w:pPr>
      <w:r w:rsidRPr="000F09A4">
        <w:rPr>
          <w:rFonts w:ascii="Times New Roman" w:hAnsi="Times New Roman" w:cs="Times New Roman"/>
          <w:b/>
          <w:sz w:val="24"/>
          <w:szCs w:val="24"/>
        </w:rPr>
        <w:t xml:space="preserve">Igualdad, no discriminación y obligaciones del Estado  </w:t>
      </w:r>
      <w:r w:rsidR="004A7B43" w:rsidRPr="000F09A4">
        <w:rPr>
          <w:rFonts w:ascii="Times New Roman" w:hAnsi="Times New Roman" w:cs="Times New Roman"/>
          <w:b/>
          <w:sz w:val="24"/>
          <w:szCs w:val="24"/>
        </w:rPr>
        <w:t>(Artículos 1 al 4)</w:t>
      </w:r>
    </w:p>
    <w:p w:rsidR="004A7B43" w:rsidRPr="004A7B43" w:rsidRDefault="008D04DD" w:rsidP="004A7B43">
      <w:pPr>
        <w:jc w:val="both"/>
        <w:rPr>
          <w:rFonts w:ascii="Times New Roman" w:hAnsi="Times New Roman" w:cs="Times New Roman"/>
          <w:sz w:val="24"/>
          <w:szCs w:val="24"/>
        </w:rPr>
      </w:pPr>
      <w:r>
        <w:rPr>
          <w:rFonts w:ascii="Times New Roman" w:hAnsi="Times New Roman" w:cs="Times New Roman"/>
          <w:sz w:val="24"/>
          <w:szCs w:val="24"/>
        </w:rPr>
        <w:t xml:space="preserve">Cuba muestra </w:t>
      </w:r>
      <w:r w:rsidR="00843659">
        <w:rPr>
          <w:rFonts w:ascii="Times New Roman" w:hAnsi="Times New Roman" w:cs="Times New Roman"/>
          <w:sz w:val="24"/>
          <w:szCs w:val="24"/>
        </w:rPr>
        <w:t xml:space="preserve">avances, </w:t>
      </w:r>
      <w:r>
        <w:rPr>
          <w:rFonts w:ascii="Times New Roman" w:hAnsi="Times New Roman" w:cs="Times New Roman"/>
          <w:sz w:val="24"/>
          <w:szCs w:val="24"/>
        </w:rPr>
        <w:t xml:space="preserve">voluntad política y social en el enfrentamiento a la discriminación y la violencia de género. </w:t>
      </w:r>
      <w:r w:rsidR="004A7B43" w:rsidRPr="004A7B43">
        <w:rPr>
          <w:rFonts w:ascii="Times New Roman" w:hAnsi="Times New Roman" w:cs="Times New Roman"/>
          <w:sz w:val="24"/>
          <w:szCs w:val="24"/>
        </w:rPr>
        <w:t xml:space="preserve">Para el enfrentamiento a la violencia de género, en </w:t>
      </w:r>
      <w:r w:rsidR="00843659">
        <w:rPr>
          <w:rFonts w:ascii="Times New Roman" w:hAnsi="Times New Roman" w:cs="Times New Roman"/>
          <w:sz w:val="24"/>
          <w:szCs w:val="24"/>
        </w:rPr>
        <w:t xml:space="preserve">el ámbito normativo, Cuba no </w:t>
      </w:r>
      <w:r w:rsidR="004A7B43" w:rsidRPr="004A7B43">
        <w:rPr>
          <w:rFonts w:ascii="Times New Roman" w:hAnsi="Times New Roman" w:cs="Times New Roman"/>
          <w:sz w:val="24"/>
          <w:szCs w:val="24"/>
        </w:rPr>
        <w:t xml:space="preserve">optó por la promulgación de una Ley contra la </w:t>
      </w:r>
      <w:r w:rsidR="00CA491A">
        <w:rPr>
          <w:rFonts w:ascii="Times New Roman" w:hAnsi="Times New Roman" w:cs="Times New Roman"/>
          <w:sz w:val="24"/>
          <w:szCs w:val="24"/>
        </w:rPr>
        <w:t>v</w:t>
      </w:r>
      <w:r w:rsidR="004A7B43" w:rsidRPr="004A7B43">
        <w:rPr>
          <w:rFonts w:ascii="Times New Roman" w:hAnsi="Times New Roman" w:cs="Times New Roman"/>
          <w:sz w:val="24"/>
          <w:szCs w:val="24"/>
        </w:rPr>
        <w:t xml:space="preserve">iolencia de </w:t>
      </w:r>
      <w:r w:rsidR="00CA491A">
        <w:rPr>
          <w:rFonts w:ascii="Times New Roman" w:hAnsi="Times New Roman" w:cs="Times New Roman"/>
          <w:sz w:val="24"/>
          <w:szCs w:val="24"/>
        </w:rPr>
        <w:t>g</w:t>
      </w:r>
      <w:r w:rsidR="004A7B43" w:rsidRPr="004A7B43">
        <w:rPr>
          <w:rFonts w:ascii="Times New Roman" w:hAnsi="Times New Roman" w:cs="Times New Roman"/>
          <w:sz w:val="24"/>
          <w:szCs w:val="24"/>
        </w:rPr>
        <w:t xml:space="preserve">énero, alternativa que es utilizada en algunos países del mundo, sino que decidió que la violencia de género fuese un enfoque que </w:t>
      </w:r>
      <w:proofErr w:type="spellStart"/>
      <w:r w:rsidR="004A7B43" w:rsidRPr="004A7B43">
        <w:rPr>
          <w:rFonts w:ascii="Times New Roman" w:hAnsi="Times New Roman" w:cs="Times New Roman"/>
          <w:sz w:val="24"/>
          <w:szCs w:val="24"/>
        </w:rPr>
        <w:t>transversaliza</w:t>
      </w:r>
      <w:proofErr w:type="spellEnd"/>
      <w:r w:rsidR="004A7B43" w:rsidRPr="004A7B43">
        <w:rPr>
          <w:rFonts w:ascii="Times New Roman" w:hAnsi="Times New Roman" w:cs="Times New Roman"/>
          <w:sz w:val="24"/>
          <w:szCs w:val="24"/>
        </w:rPr>
        <w:t xml:space="preserve"> a todas las leyes. El marco normativo actual así lo demuestran:</w:t>
      </w:r>
    </w:p>
    <w:p w:rsidR="004A7B43" w:rsidRPr="004A7B43" w:rsidRDefault="004A7B43" w:rsidP="004A7B43">
      <w:pPr>
        <w:jc w:val="both"/>
        <w:rPr>
          <w:rFonts w:ascii="Times New Roman" w:hAnsi="Times New Roman" w:cs="Times New Roman"/>
          <w:sz w:val="24"/>
          <w:szCs w:val="24"/>
        </w:rPr>
      </w:pPr>
      <w:r w:rsidRPr="004A7B43">
        <w:rPr>
          <w:rFonts w:ascii="Times New Roman" w:hAnsi="Times New Roman" w:cs="Times New Roman"/>
          <w:sz w:val="24"/>
          <w:szCs w:val="24"/>
        </w:rPr>
        <w:t>El texto constitucional cubano de 2019</w:t>
      </w:r>
      <w:r w:rsidR="00CA491A">
        <w:rPr>
          <w:rStyle w:val="Refdenotaalpie"/>
          <w:rFonts w:ascii="Times New Roman" w:hAnsi="Times New Roman" w:cs="Times New Roman"/>
          <w:sz w:val="24"/>
          <w:szCs w:val="24"/>
        </w:rPr>
        <w:footnoteReference w:id="1"/>
      </w:r>
      <w:r w:rsidRPr="004A7B43">
        <w:rPr>
          <w:rFonts w:ascii="Times New Roman" w:hAnsi="Times New Roman" w:cs="Times New Roman"/>
          <w:sz w:val="24"/>
          <w:szCs w:val="24"/>
        </w:rPr>
        <w:t xml:space="preserve"> regula como derechos fundamentales la igualdad y no discriminación, la dignidad humana y el libre desarrollo de la personalidad, cimentando las bases para garantizar la igualdad efectiva entre hombres y mujeres y para combatir la discriminación y la violencia basada en el género. En el artículo 85 establece que la violencia familiar en cualquiera de sus manifestaciones se considera destructiva de las personas implicadas, de la familia y de la sociedad y es sancionada por ley.</w:t>
      </w:r>
    </w:p>
    <w:p w:rsidR="004A7B43" w:rsidRPr="004A7B43" w:rsidRDefault="00843659" w:rsidP="004A7B43">
      <w:pPr>
        <w:jc w:val="both"/>
        <w:rPr>
          <w:rFonts w:ascii="Times New Roman" w:hAnsi="Times New Roman" w:cs="Times New Roman"/>
          <w:sz w:val="24"/>
          <w:szCs w:val="24"/>
        </w:rPr>
      </w:pPr>
      <w:r>
        <w:rPr>
          <w:rFonts w:ascii="Times New Roman" w:hAnsi="Times New Roman" w:cs="Times New Roman"/>
          <w:sz w:val="24"/>
          <w:szCs w:val="24"/>
        </w:rPr>
        <w:t>Entre las  principales políticas públicas en dicha materia, cuentan e</w:t>
      </w:r>
      <w:r w:rsidR="004A7B43">
        <w:rPr>
          <w:rFonts w:ascii="Times New Roman" w:hAnsi="Times New Roman" w:cs="Times New Roman"/>
          <w:sz w:val="24"/>
          <w:szCs w:val="24"/>
        </w:rPr>
        <w:t xml:space="preserve">l </w:t>
      </w:r>
      <w:r w:rsidR="004A7B43" w:rsidRPr="004A7B43">
        <w:rPr>
          <w:rFonts w:ascii="Times New Roman" w:hAnsi="Times New Roman" w:cs="Times New Roman"/>
          <w:sz w:val="24"/>
          <w:szCs w:val="24"/>
        </w:rPr>
        <w:t>Programa Nacional para el Adelanto de la Mujer, aprobado por Decreto Presidencial No. 198 de 8 de marzo de 2021</w:t>
      </w:r>
      <w:r w:rsidR="00CA491A">
        <w:rPr>
          <w:rStyle w:val="Refdenotaalpie"/>
          <w:rFonts w:ascii="Times New Roman" w:hAnsi="Times New Roman" w:cs="Times New Roman"/>
          <w:sz w:val="24"/>
          <w:szCs w:val="24"/>
        </w:rPr>
        <w:footnoteReference w:id="2"/>
      </w:r>
      <w:r>
        <w:rPr>
          <w:rFonts w:ascii="Times New Roman" w:hAnsi="Times New Roman" w:cs="Times New Roman"/>
          <w:sz w:val="24"/>
          <w:szCs w:val="24"/>
        </w:rPr>
        <w:t xml:space="preserve"> y l</w:t>
      </w:r>
      <w:r w:rsidR="004A7B43" w:rsidRPr="004A7B43">
        <w:rPr>
          <w:rFonts w:ascii="Times New Roman" w:hAnsi="Times New Roman" w:cs="Times New Roman"/>
          <w:sz w:val="24"/>
          <w:szCs w:val="24"/>
        </w:rPr>
        <w:t>a</w:t>
      </w:r>
      <w:r w:rsidR="004A7B43">
        <w:rPr>
          <w:rFonts w:ascii="Times New Roman" w:hAnsi="Times New Roman" w:cs="Times New Roman"/>
          <w:b/>
          <w:sz w:val="24"/>
          <w:szCs w:val="24"/>
        </w:rPr>
        <w:t xml:space="preserve"> </w:t>
      </w:r>
      <w:r w:rsidR="00CA491A">
        <w:rPr>
          <w:rFonts w:ascii="Times New Roman" w:hAnsi="Times New Roman" w:cs="Times New Roman"/>
          <w:sz w:val="24"/>
          <w:szCs w:val="24"/>
        </w:rPr>
        <w:t>Estrategia Integral de Prevención y Atención a la V</w:t>
      </w:r>
      <w:r w:rsidR="004A7B43" w:rsidRPr="004A7B43">
        <w:rPr>
          <w:rFonts w:ascii="Times New Roman" w:hAnsi="Times New Roman" w:cs="Times New Roman"/>
          <w:sz w:val="24"/>
          <w:szCs w:val="24"/>
        </w:rPr>
        <w:t>iolencia</w:t>
      </w:r>
      <w:r w:rsidR="00CA491A">
        <w:rPr>
          <w:rFonts w:ascii="Times New Roman" w:hAnsi="Times New Roman" w:cs="Times New Roman"/>
          <w:sz w:val="24"/>
          <w:szCs w:val="24"/>
        </w:rPr>
        <w:t xml:space="preserve"> de Género y en el escenario familiar</w:t>
      </w:r>
      <w:r w:rsidR="004A7B43" w:rsidRPr="004A7B43">
        <w:rPr>
          <w:rFonts w:ascii="Times New Roman" w:hAnsi="Times New Roman" w:cs="Times New Roman"/>
          <w:sz w:val="24"/>
          <w:szCs w:val="24"/>
        </w:rPr>
        <w:t>, aprobada por el Acuerdo No. 9231/21 del Consejo de Ministros de la República de Cuba</w:t>
      </w:r>
      <w:r w:rsidR="00CA491A">
        <w:rPr>
          <w:rStyle w:val="Refdenotaalpie"/>
          <w:rFonts w:ascii="Times New Roman" w:hAnsi="Times New Roman" w:cs="Times New Roman"/>
          <w:sz w:val="24"/>
          <w:szCs w:val="24"/>
        </w:rPr>
        <w:footnoteReference w:id="3"/>
      </w:r>
      <w:r w:rsidR="004A7B43" w:rsidRPr="004A7B43">
        <w:rPr>
          <w:rFonts w:ascii="Times New Roman" w:hAnsi="Times New Roman" w:cs="Times New Roman"/>
          <w:sz w:val="24"/>
          <w:szCs w:val="24"/>
        </w:rPr>
        <w:t>.</w:t>
      </w:r>
    </w:p>
    <w:p w:rsidR="004A7B43" w:rsidRPr="004A7B43" w:rsidRDefault="004A7B43" w:rsidP="004A7B43">
      <w:pPr>
        <w:jc w:val="both"/>
        <w:rPr>
          <w:rFonts w:ascii="Times New Roman" w:hAnsi="Times New Roman" w:cs="Times New Roman"/>
          <w:sz w:val="24"/>
          <w:szCs w:val="24"/>
        </w:rPr>
      </w:pPr>
      <w:r w:rsidRPr="004A7B43">
        <w:rPr>
          <w:rFonts w:ascii="Times New Roman" w:hAnsi="Times New Roman" w:cs="Times New Roman"/>
          <w:sz w:val="24"/>
          <w:szCs w:val="24"/>
        </w:rPr>
        <w:t>El Código de las Familias, Ley Nº 156 de 2022</w:t>
      </w:r>
      <w:r w:rsidR="00CA491A">
        <w:rPr>
          <w:rStyle w:val="Refdenotaalpie"/>
          <w:rFonts w:ascii="Times New Roman" w:hAnsi="Times New Roman" w:cs="Times New Roman"/>
          <w:sz w:val="24"/>
          <w:szCs w:val="24"/>
        </w:rPr>
        <w:footnoteReference w:id="4"/>
      </w:r>
      <w:r w:rsidRPr="004A7B43">
        <w:rPr>
          <w:rFonts w:ascii="Times New Roman" w:hAnsi="Times New Roman" w:cs="Times New Roman"/>
          <w:sz w:val="24"/>
          <w:szCs w:val="24"/>
        </w:rPr>
        <w:t>, En el Título II desde el artículo 12 hasta el 15 habla sobre la discriminación y la violencia en el ámbito familiar.</w:t>
      </w:r>
      <w:r>
        <w:rPr>
          <w:rFonts w:ascii="Times New Roman" w:hAnsi="Times New Roman" w:cs="Times New Roman"/>
          <w:sz w:val="24"/>
          <w:szCs w:val="24"/>
        </w:rPr>
        <w:t xml:space="preserve"> </w:t>
      </w:r>
      <w:r w:rsidRPr="004A7B43">
        <w:rPr>
          <w:rFonts w:ascii="Times New Roman" w:hAnsi="Times New Roman" w:cs="Times New Roman"/>
          <w:sz w:val="24"/>
          <w:szCs w:val="24"/>
        </w:rPr>
        <w:t xml:space="preserve">Proscribe todas las formas de discriminación o violencia en el ámbito familiar, dentro de las cuales incluye a las que son basadas en el género, mediante la definición del fenómeno, sus </w:t>
      </w:r>
      <w:r w:rsidRPr="004A7B43">
        <w:rPr>
          <w:rFonts w:ascii="Times New Roman" w:hAnsi="Times New Roman" w:cs="Times New Roman"/>
          <w:sz w:val="24"/>
          <w:szCs w:val="24"/>
        </w:rPr>
        <w:lastRenderedPageBreak/>
        <w:t>formas de manifestación, así como las vías para enfrentarla, reconociendo tanto la familiar como la penal en los casos en que corresponda y estableciendo el carácter imprescriptible de la acción para la reparación de los daños e indemnización de los perjuicios por los hechos de discriminación o violencia en el ámbito familiar.</w:t>
      </w:r>
    </w:p>
    <w:p w:rsidR="004A7B43" w:rsidRPr="004A7B43" w:rsidRDefault="004A7B43" w:rsidP="004A7B43">
      <w:pPr>
        <w:jc w:val="both"/>
        <w:rPr>
          <w:rFonts w:ascii="Times New Roman" w:hAnsi="Times New Roman" w:cs="Times New Roman"/>
          <w:sz w:val="24"/>
          <w:szCs w:val="24"/>
        </w:rPr>
      </w:pPr>
      <w:r w:rsidRPr="004A7B43">
        <w:rPr>
          <w:rFonts w:ascii="Times New Roman" w:hAnsi="Times New Roman" w:cs="Times New Roman"/>
          <w:sz w:val="24"/>
          <w:szCs w:val="24"/>
        </w:rPr>
        <w:t>Esta legislación es clara cuando dice que “la violencia familiar se expresa a partir de la desigualdad jerárquica en el interior de la familia y tiende a la destrucción de las personas, la convivencia y la armonía familiar; siendo sus principales víctimas las mujeres y otras personas por su condición de género, las niñas, niños y adolescentes, las personas adultas mayores y las personas en situación de discapacidad”.</w:t>
      </w:r>
    </w:p>
    <w:p w:rsidR="004A7B43" w:rsidRPr="004A7B43" w:rsidRDefault="004A7B43" w:rsidP="004A7B43">
      <w:pPr>
        <w:jc w:val="both"/>
        <w:rPr>
          <w:rFonts w:ascii="Times New Roman" w:hAnsi="Times New Roman" w:cs="Times New Roman"/>
          <w:sz w:val="24"/>
          <w:szCs w:val="24"/>
        </w:rPr>
      </w:pPr>
      <w:r w:rsidRPr="004A7B43">
        <w:rPr>
          <w:rFonts w:ascii="Times New Roman" w:hAnsi="Times New Roman" w:cs="Times New Roman"/>
          <w:sz w:val="24"/>
          <w:szCs w:val="24"/>
        </w:rPr>
        <w:t>La norma sustantiva en materia familiar también se pronuncia en contra de la discriminación y la violencia basada en género cuando establece como impedimento para la adopción que el adoptante haya sido sancionado por sentencia fir</w:t>
      </w:r>
      <w:r w:rsidR="00CA491A">
        <w:rPr>
          <w:rFonts w:ascii="Times New Roman" w:hAnsi="Times New Roman" w:cs="Times New Roman"/>
          <w:sz w:val="24"/>
          <w:szCs w:val="24"/>
        </w:rPr>
        <w:t>me en proceso penal como autor, partícipe o</w:t>
      </w:r>
      <w:r w:rsidRPr="004A7B43">
        <w:rPr>
          <w:rFonts w:ascii="Times New Roman" w:hAnsi="Times New Roman" w:cs="Times New Roman"/>
          <w:sz w:val="24"/>
          <w:szCs w:val="24"/>
        </w:rPr>
        <w:t xml:space="preserve"> cómplice de delitos vinculados a esta, elemento que también ha sido contemplado para el proceso de obtención y conservación de la guarda y cuidado, así como para la designación como tutor de una persona menor de edad, entre otros. </w:t>
      </w:r>
    </w:p>
    <w:p w:rsidR="00843659" w:rsidRDefault="004A7B43" w:rsidP="004A7B43">
      <w:pPr>
        <w:jc w:val="both"/>
        <w:rPr>
          <w:rFonts w:ascii="Times New Roman" w:hAnsi="Times New Roman" w:cs="Times New Roman"/>
          <w:sz w:val="24"/>
          <w:szCs w:val="24"/>
        </w:rPr>
      </w:pPr>
      <w:r w:rsidRPr="00843659">
        <w:rPr>
          <w:rFonts w:ascii="Times New Roman" w:hAnsi="Times New Roman" w:cs="Times New Roman"/>
          <w:sz w:val="24"/>
          <w:szCs w:val="24"/>
        </w:rPr>
        <w:t>El Código de Procesos</w:t>
      </w:r>
      <w:r w:rsidR="000F09A4" w:rsidRPr="00843659">
        <w:rPr>
          <w:rFonts w:ascii="Times New Roman" w:hAnsi="Times New Roman" w:cs="Times New Roman"/>
          <w:sz w:val="24"/>
          <w:szCs w:val="24"/>
        </w:rPr>
        <w:t>, Ley 141 de 2021,</w:t>
      </w:r>
      <w:r w:rsidR="002E6BBF">
        <w:rPr>
          <w:rStyle w:val="Refdenotaalpie"/>
          <w:rFonts w:ascii="Times New Roman" w:hAnsi="Times New Roman" w:cs="Times New Roman"/>
          <w:sz w:val="24"/>
          <w:szCs w:val="24"/>
        </w:rPr>
        <w:footnoteReference w:id="5"/>
      </w:r>
      <w:r w:rsidRPr="00843659">
        <w:rPr>
          <w:rFonts w:ascii="Times New Roman" w:hAnsi="Times New Roman" w:cs="Times New Roman"/>
          <w:sz w:val="24"/>
          <w:szCs w:val="24"/>
        </w:rPr>
        <w:t xml:space="preserve"> e</w:t>
      </w:r>
      <w:r w:rsidRPr="004A7B43">
        <w:rPr>
          <w:rFonts w:ascii="Times New Roman" w:hAnsi="Times New Roman" w:cs="Times New Roman"/>
          <w:sz w:val="24"/>
          <w:szCs w:val="24"/>
        </w:rPr>
        <w:t xml:space="preserve">n su artículo 283 establece medidas cautelares encaminadas a garantizar la asistencia obligatoria de la mujer a programas educativos, terapéuticos, médicos, psicológicos y psiquiátricos. También se prohíbe al victimario acercarse o visitar el lugar de trabajo o estudio de las víctimas de violencia. Asimismo, la designación de abogados o representantes si el cambio de actividad o condición laboral de la víctima de hecho de violencia en el trabajo la afecta. Establece al amparo del artículo 551 la posibilidad de establecer demanda en proceso sumario por conflictos relacionados con violencia de género o familia. </w:t>
      </w:r>
    </w:p>
    <w:p w:rsidR="004A7B43" w:rsidRPr="004A7B43" w:rsidRDefault="00843659" w:rsidP="004A7B43">
      <w:pPr>
        <w:jc w:val="both"/>
        <w:rPr>
          <w:rFonts w:ascii="Times New Roman" w:hAnsi="Times New Roman" w:cs="Times New Roman"/>
          <w:sz w:val="24"/>
          <w:szCs w:val="24"/>
        </w:rPr>
      </w:pPr>
      <w:r>
        <w:rPr>
          <w:rFonts w:ascii="Times New Roman" w:hAnsi="Times New Roman" w:cs="Times New Roman"/>
          <w:sz w:val="24"/>
          <w:szCs w:val="24"/>
        </w:rPr>
        <w:t>Con ésta y la Ley del Proceso Penal, Ley 143 de 2021,</w:t>
      </w:r>
      <w:r w:rsidR="002E6BBF">
        <w:rPr>
          <w:rStyle w:val="Refdenotaalpie"/>
          <w:rFonts w:ascii="Times New Roman" w:hAnsi="Times New Roman" w:cs="Times New Roman"/>
          <w:sz w:val="24"/>
          <w:szCs w:val="24"/>
        </w:rPr>
        <w:footnoteReference w:id="6"/>
      </w:r>
      <w:r>
        <w:rPr>
          <w:rFonts w:ascii="Times New Roman" w:hAnsi="Times New Roman" w:cs="Times New Roman"/>
          <w:sz w:val="24"/>
          <w:szCs w:val="24"/>
        </w:rPr>
        <w:t xml:space="preserve"> </w:t>
      </w:r>
      <w:r w:rsidR="004A7B43" w:rsidRPr="004A7B43">
        <w:rPr>
          <w:rFonts w:ascii="Times New Roman" w:hAnsi="Times New Roman" w:cs="Times New Roman"/>
          <w:sz w:val="24"/>
          <w:szCs w:val="24"/>
        </w:rPr>
        <w:t>la víctima empieza a ser considerada como sujeto de Derecho, lo cual da la posibilidad de ser parte en el proceso y adquirir una serie de derechos, como presenciar el juicio, ejercitar la acción penal y ser a</w:t>
      </w:r>
      <w:r>
        <w:rPr>
          <w:rFonts w:ascii="Times New Roman" w:hAnsi="Times New Roman" w:cs="Times New Roman"/>
          <w:sz w:val="24"/>
          <w:szCs w:val="24"/>
        </w:rPr>
        <w:t>sistida por un abogado defensor, entre otros.</w:t>
      </w:r>
    </w:p>
    <w:p w:rsidR="004A7B43" w:rsidRDefault="004A7B43" w:rsidP="004A7B43">
      <w:pPr>
        <w:jc w:val="both"/>
        <w:rPr>
          <w:rFonts w:ascii="Times New Roman" w:hAnsi="Times New Roman" w:cs="Times New Roman"/>
          <w:sz w:val="24"/>
          <w:szCs w:val="24"/>
        </w:rPr>
      </w:pPr>
      <w:r>
        <w:rPr>
          <w:rFonts w:ascii="Times New Roman" w:hAnsi="Times New Roman" w:cs="Times New Roman"/>
          <w:sz w:val="24"/>
          <w:szCs w:val="24"/>
        </w:rPr>
        <w:t xml:space="preserve">El </w:t>
      </w:r>
      <w:r w:rsidRPr="004A7B43">
        <w:rPr>
          <w:rFonts w:ascii="Times New Roman" w:hAnsi="Times New Roman" w:cs="Times New Roman"/>
          <w:sz w:val="24"/>
          <w:szCs w:val="24"/>
        </w:rPr>
        <w:t>Código Penal, Ley No. 151/22,</w:t>
      </w:r>
      <w:r w:rsidR="002E6BBF">
        <w:rPr>
          <w:rStyle w:val="Refdenotaalpie"/>
          <w:rFonts w:ascii="Times New Roman" w:hAnsi="Times New Roman" w:cs="Times New Roman"/>
          <w:sz w:val="24"/>
          <w:szCs w:val="24"/>
        </w:rPr>
        <w:footnoteReference w:id="7"/>
      </w:r>
      <w:r w:rsidRPr="004A7B43">
        <w:rPr>
          <w:rFonts w:ascii="Times New Roman" w:hAnsi="Times New Roman" w:cs="Times New Roman"/>
          <w:sz w:val="24"/>
          <w:szCs w:val="24"/>
        </w:rPr>
        <w:t xml:space="preserve"> enfrenta la violencia de género y familiar y todas las formas de discriminación, desarrollando normativamente los artículos 42, 46, 81, 82 y 85 de la Constitución de la Rep</w:t>
      </w:r>
      <w:r>
        <w:rPr>
          <w:rFonts w:ascii="Times New Roman" w:hAnsi="Times New Roman" w:cs="Times New Roman"/>
          <w:sz w:val="24"/>
          <w:szCs w:val="24"/>
        </w:rPr>
        <w:t>ública; en ese sentido la norma entre otras cuestiones i</w:t>
      </w:r>
      <w:r w:rsidRPr="004A7B43">
        <w:rPr>
          <w:rFonts w:ascii="Times New Roman" w:hAnsi="Times New Roman" w:cs="Times New Roman"/>
          <w:sz w:val="24"/>
          <w:szCs w:val="24"/>
        </w:rPr>
        <w:t>ncorpora la posibilidad de imponer la nueva sanción accesoria de prohibición de acercamiento a la víctima o perjudicado, sus familiares y personas allegadas, la que también se contempla como medida cautelar en la Ley del Proceso Penal y en el Código de Procesos para la solución de los conflictos familiares. Establece una regla especial de adecuación para los delitos cometidos con violencia de género o familiar, que posibilite una respuesta sancionadora atemperada a la naturaleza de hechos de este tipo, a cuyo efecto incrementa el límite máximo de la sanción en un tercio.</w:t>
      </w:r>
      <w:r>
        <w:rPr>
          <w:rFonts w:ascii="Times New Roman" w:hAnsi="Times New Roman" w:cs="Times New Roman"/>
          <w:sz w:val="24"/>
          <w:szCs w:val="24"/>
        </w:rPr>
        <w:t xml:space="preserve"> </w:t>
      </w:r>
      <w:r w:rsidRPr="004A7B43">
        <w:rPr>
          <w:rFonts w:ascii="Times New Roman" w:hAnsi="Times New Roman" w:cs="Times New Roman"/>
          <w:sz w:val="24"/>
          <w:szCs w:val="24"/>
        </w:rPr>
        <w:t xml:space="preserve">Adiciona como circunstancias agravantes: cometer el delito como consecuencia de la violencia de género </w:t>
      </w:r>
      <w:r w:rsidRPr="004A7B43">
        <w:rPr>
          <w:rFonts w:ascii="Times New Roman" w:hAnsi="Times New Roman" w:cs="Times New Roman"/>
          <w:sz w:val="24"/>
          <w:szCs w:val="24"/>
        </w:rPr>
        <w:lastRenderedPageBreak/>
        <w:t>y familiar, o por motivos discriminatorios de cualquier tipo. Visualiza el enfrentamiento a estos fenómenos en 36 figuras delictivas, a las que se incorporan modalidades con sanciones específicas que hacen referencia a la violencia de género y familiar o a motivos discriminatorios, agravando las sanciones en una amplia mayoría de estos.</w:t>
      </w:r>
    </w:p>
    <w:p w:rsidR="004A7B43" w:rsidRPr="004A7B43" w:rsidRDefault="004A7B43" w:rsidP="004A7B43">
      <w:pPr>
        <w:jc w:val="both"/>
        <w:rPr>
          <w:rFonts w:ascii="Times New Roman" w:hAnsi="Times New Roman" w:cs="Times New Roman"/>
          <w:sz w:val="24"/>
          <w:szCs w:val="24"/>
        </w:rPr>
      </w:pPr>
      <w:r w:rsidRPr="004A7B43">
        <w:rPr>
          <w:rFonts w:ascii="Times New Roman" w:hAnsi="Times New Roman" w:cs="Times New Roman"/>
          <w:sz w:val="24"/>
          <w:szCs w:val="24"/>
        </w:rPr>
        <w:t xml:space="preserve">El Código Penal en Cuba, sin instituir literalmente el </w:t>
      </w:r>
      <w:proofErr w:type="spellStart"/>
      <w:r w:rsidRPr="004A7B43">
        <w:rPr>
          <w:rFonts w:ascii="Times New Roman" w:hAnsi="Times New Roman" w:cs="Times New Roman"/>
          <w:sz w:val="24"/>
          <w:szCs w:val="24"/>
        </w:rPr>
        <w:t>femicidio</w:t>
      </w:r>
      <w:proofErr w:type="spellEnd"/>
      <w:r w:rsidRPr="004A7B43">
        <w:rPr>
          <w:rFonts w:ascii="Times New Roman" w:hAnsi="Times New Roman" w:cs="Times New Roman"/>
          <w:sz w:val="24"/>
          <w:szCs w:val="24"/>
        </w:rPr>
        <w:t xml:space="preserve"> o </w:t>
      </w:r>
      <w:proofErr w:type="spellStart"/>
      <w:r w:rsidRPr="004A7B43">
        <w:rPr>
          <w:rFonts w:ascii="Times New Roman" w:hAnsi="Times New Roman" w:cs="Times New Roman"/>
          <w:sz w:val="24"/>
          <w:szCs w:val="24"/>
        </w:rPr>
        <w:t>feminicidio</w:t>
      </w:r>
      <w:proofErr w:type="spellEnd"/>
      <w:r w:rsidRPr="004A7B43">
        <w:rPr>
          <w:rFonts w:ascii="Times New Roman" w:hAnsi="Times New Roman" w:cs="Times New Roman"/>
          <w:sz w:val="24"/>
          <w:szCs w:val="24"/>
        </w:rPr>
        <w:t>, contempla en el articulado del delito de Asesinato, los elementos de protección contra la violencia que se pueda ejercer sobre la mujer para causarle la muerte, incluso sin tener la condición de cónyuge o pareja de hecho afectiva</w:t>
      </w:r>
      <w:r w:rsidR="00695493">
        <w:rPr>
          <w:rFonts w:ascii="Times New Roman" w:hAnsi="Times New Roman" w:cs="Times New Roman"/>
          <w:sz w:val="24"/>
          <w:szCs w:val="24"/>
        </w:rPr>
        <w:t xml:space="preserve"> del agresor, por  lo que la conducta se encuentra tipificada en la normativa, así como el crimen de odio.</w:t>
      </w:r>
    </w:p>
    <w:p w:rsidR="004A7B43" w:rsidRDefault="000F09A4" w:rsidP="008D04DD">
      <w:pPr>
        <w:jc w:val="both"/>
        <w:rPr>
          <w:rFonts w:ascii="Times New Roman" w:hAnsi="Times New Roman" w:cs="Times New Roman"/>
          <w:sz w:val="24"/>
          <w:szCs w:val="24"/>
        </w:rPr>
      </w:pPr>
      <w:r>
        <w:rPr>
          <w:rFonts w:ascii="Times New Roman" w:hAnsi="Times New Roman" w:cs="Times New Roman"/>
          <w:sz w:val="24"/>
          <w:szCs w:val="24"/>
        </w:rPr>
        <w:t>El Decreto 96 de 2023</w:t>
      </w:r>
      <w:r w:rsidR="002E6BBF">
        <w:rPr>
          <w:rStyle w:val="Refdenotaalpie"/>
          <w:rFonts w:ascii="Times New Roman" w:hAnsi="Times New Roman" w:cs="Times New Roman"/>
          <w:sz w:val="24"/>
          <w:szCs w:val="24"/>
        </w:rPr>
        <w:footnoteReference w:id="8"/>
      </w:r>
      <w:r w:rsidR="00A06391">
        <w:rPr>
          <w:rFonts w:ascii="Times New Roman" w:hAnsi="Times New Roman" w:cs="Times New Roman"/>
          <w:sz w:val="24"/>
          <w:szCs w:val="24"/>
        </w:rPr>
        <w:t>, “Protocolo de actuación ante situaciones de discriminación, violencia y acoso en el ámbito laboral”:</w:t>
      </w:r>
      <w:r>
        <w:rPr>
          <w:rFonts w:ascii="Times New Roman" w:hAnsi="Times New Roman" w:cs="Times New Roman"/>
          <w:sz w:val="24"/>
          <w:szCs w:val="24"/>
        </w:rPr>
        <w:t xml:space="preserve"> regula y sanciona las manifestaciones de violencia, acoso y discriminación que puedan tener lugar en el ámbito laboral, mandatando la creación de protocolos de actuación ante este tipo de situaciones en cada dependencia laboral.</w:t>
      </w:r>
    </w:p>
    <w:p w:rsidR="000019F3" w:rsidRDefault="00695493" w:rsidP="008D04DD">
      <w:pPr>
        <w:jc w:val="both"/>
        <w:rPr>
          <w:rFonts w:ascii="Times New Roman" w:hAnsi="Times New Roman" w:cs="Times New Roman"/>
          <w:sz w:val="24"/>
          <w:szCs w:val="24"/>
        </w:rPr>
      </w:pPr>
      <w:r>
        <w:rPr>
          <w:rFonts w:ascii="Times New Roman" w:hAnsi="Times New Roman" w:cs="Times New Roman"/>
          <w:sz w:val="24"/>
          <w:szCs w:val="24"/>
        </w:rPr>
        <w:t>La  protección a las víctimas como parte del enfrentamiento a la violencia de género y la discriminación s</w:t>
      </w:r>
      <w:r w:rsidR="000019F3">
        <w:rPr>
          <w:rFonts w:ascii="Times New Roman" w:hAnsi="Times New Roman" w:cs="Times New Roman"/>
          <w:sz w:val="24"/>
          <w:szCs w:val="24"/>
        </w:rPr>
        <w:t xml:space="preserve">e fortalece con la creación de nuevas </w:t>
      </w:r>
      <w:r>
        <w:rPr>
          <w:rFonts w:ascii="Times New Roman" w:hAnsi="Times New Roman" w:cs="Times New Roman"/>
          <w:sz w:val="24"/>
          <w:szCs w:val="24"/>
        </w:rPr>
        <w:t>e</w:t>
      </w:r>
      <w:r w:rsidR="000019F3">
        <w:rPr>
          <w:rFonts w:ascii="Times New Roman" w:hAnsi="Times New Roman" w:cs="Times New Roman"/>
          <w:sz w:val="24"/>
          <w:szCs w:val="24"/>
        </w:rPr>
        <w:t>structuras como la Defensorí</w:t>
      </w:r>
      <w:r w:rsidR="00066E73">
        <w:rPr>
          <w:rFonts w:ascii="Times New Roman" w:hAnsi="Times New Roman" w:cs="Times New Roman"/>
          <w:sz w:val="24"/>
          <w:szCs w:val="24"/>
        </w:rPr>
        <w:t xml:space="preserve">a, </w:t>
      </w:r>
      <w:r w:rsidR="00A26A79">
        <w:rPr>
          <w:rFonts w:ascii="Times New Roman" w:hAnsi="Times New Roman" w:cs="Times New Roman"/>
          <w:sz w:val="24"/>
          <w:szCs w:val="24"/>
        </w:rPr>
        <w:t>para la representación legal de personas en situación de vulnerabilidad, entre las que se incluyen las víctimas de violencia de género,</w:t>
      </w:r>
      <w:r w:rsidR="00066E73">
        <w:rPr>
          <w:rFonts w:ascii="Times New Roman" w:hAnsi="Times New Roman" w:cs="Times New Roman"/>
          <w:sz w:val="24"/>
          <w:szCs w:val="24"/>
        </w:rPr>
        <w:t xml:space="preserve"> cuya </w:t>
      </w:r>
      <w:r w:rsidR="00A26A79">
        <w:rPr>
          <w:rFonts w:ascii="Times New Roman" w:hAnsi="Times New Roman" w:cs="Times New Roman"/>
          <w:sz w:val="24"/>
          <w:szCs w:val="24"/>
        </w:rPr>
        <w:t xml:space="preserve">Manual de funcionamiento fue publicado a partir de la </w:t>
      </w:r>
      <w:r w:rsidR="00066E73">
        <w:rPr>
          <w:rFonts w:ascii="Times New Roman" w:hAnsi="Times New Roman" w:cs="Times New Roman"/>
          <w:sz w:val="24"/>
          <w:szCs w:val="24"/>
        </w:rPr>
        <w:t>Resolución 96 de 2023 del Ministro de Justica de Cuba</w:t>
      </w:r>
      <w:r w:rsidR="00A26A79">
        <w:rPr>
          <w:rFonts w:ascii="Times New Roman" w:hAnsi="Times New Roman" w:cs="Times New Roman"/>
          <w:sz w:val="24"/>
          <w:szCs w:val="24"/>
        </w:rPr>
        <w:t>.</w:t>
      </w:r>
    </w:p>
    <w:p w:rsidR="000F09A4" w:rsidRDefault="000F09A4" w:rsidP="008D04DD">
      <w:pPr>
        <w:jc w:val="both"/>
        <w:rPr>
          <w:rFonts w:ascii="Times New Roman" w:hAnsi="Times New Roman" w:cs="Times New Roman"/>
          <w:sz w:val="24"/>
          <w:szCs w:val="24"/>
        </w:rPr>
      </w:pPr>
      <w:r>
        <w:rPr>
          <w:rFonts w:ascii="Times New Roman" w:hAnsi="Times New Roman" w:cs="Times New Roman"/>
          <w:sz w:val="24"/>
          <w:szCs w:val="24"/>
        </w:rPr>
        <w:t xml:space="preserve">No obstante a ello, persisten en la sociedad </w:t>
      </w:r>
      <w:r w:rsidR="00A26A79">
        <w:rPr>
          <w:rFonts w:ascii="Times New Roman" w:hAnsi="Times New Roman" w:cs="Times New Roman"/>
          <w:sz w:val="24"/>
          <w:szCs w:val="24"/>
        </w:rPr>
        <w:t xml:space="preserve">cubana </w:t>
      </w:r>
      <w:r>
        <w:rPr>
          <w:rFonts w:ascii="Times New Roman" w:hAnsi="Times New Roman" w:cs="Times New Roman"/>
          <w:sz w:val="24"/>
          <w:szCs w:val="24"/>
        </w:rPr>
        <w:t xml:space="preserve">vulneraciones a los derechos a la igualdad, la </w:t>
      </w:r>
      <w:r w:rsidR="002E6BBF">
        <w:rPr>
          <w:rFonts w:ascii="Times New Roman" w:hAnsi="Times New Roman" w:cs="Times New Roman"/>
          <w:sz w:val="24"/>
          <w:szCs w:val="24"/>
        </w:rPr>
        <w:t>identidad a los derechos</w:t>
      </w:r>
      <w:r>
        <w:rPr>
          <w:rFonts w:ascii="Times New Roman" w:hAnsi="Times New Roman" w:cs="Times New Roman"/>
          <w:sz w:val="24"/>
          <w:szCs w:val="24"/>
        </w:rPr>
        <w:t xml:space="preserve"> sexuales </w:t>
      </w:r>
      <w:r w:rsidR="00A26A79">
        <w:rPr>
          <w:rFonts w:ascii="Times New Roman" w:hAnsi="Times New Roman" w:cs="Times New Roman"/>
          <w:sz w:val="24"/>
          <w:szCs w:val="24"/>
        </w:rPr>
        <w:t xml:space="preserve">y reproductivos de mujeres, niñas,  adolescentes y personas con sexualidades no </w:t>
      </w:r>
      <w:proofErr w:type="spellStart"/>
      <w:r w:rsidR="00A26A79">
        <w:rPr>
          <w:rFonts w:ascii="Times New Roman" w:hAnsi="Times New Roman" w:cs="Times New Roman"/>
          <w:sz w:val="24"/>
          <w:szCs w:val="24"/>
        </w:rPr>
        <w:t>hegémónicas</w:t>
      </w:r>
      <w:proofErr w:type="spellEnd"/>
      <w:r w:rsidR="00A26A79">
        <w:rPr>
          <w:rFonts w:ascii="Times New Roman" w:hAnsi="Times New Roman" w:cs="Times New Roman"/>
          <w:sz w:val="24"/>
          <w:szCs w:val="24"/>
        </w:rPr>
        <w:t>.</w:t>
      </w:r>
    </w:p>
    <w:p w:rsidR="00E34CE0" w:rsidRDefault="00E34CE0" w:rsidP="00E34CE0">
      <w:pPr>
        <w:jc w:val="both"/>
        <w:rPr>
          <w:rFonts w:ascii="Times New Roman" w:hAnsi="Times New Roman" w:cs="Times New Roman"/>
          <w:sz w:val="24"/>
          <w:szCs w:val="24"/>
        </w:rPr>
      </w:pPr>
      <w:r>
        <w:rPr>
          <w:rFonts w:ascii="Times New Roman" w:hAnsi="Times New Roman" w:cs="Times New Roman"/>
          <w:sz w:val="24"/>
          <w:szCs w:val="24"/>
        </w:rPr>
        <w:t xml:space="preserve">La Red de juristas por los Derechos Sexuales ha podido comprobar estos sesgos y desafíos que </w:t>
      </w:r>
      <w:r w:rsidR="00376237">
        <w:rPr>
          <w:rFonts w:ascii="Times New Roman" w:hAnsi="Times New Roman" w:cs="Times New Roman"/>
          <w:sz w:val="24"/>
          <w:szCs w:val="24"/>
        </w:rPr>
        <w:t>aún</w:t>
      </w:r>
      <w:r>
        <w:rPr>
          <w:rFonts w:ascii="Times New Roman" w:hAnsi="Times New Roman" w:cs="Times New Roman"/>
          <w:sz w:val="24"/>
          <w:szCs w:val="24"/>
        </w:rPr>
        <w:t xml:space="preserve"> persisten en Cuba en materia de discriminación y violencia de género de manera directa a través de del Servicio de Orientación Jurídica (SOJ) que prestan integrantes de la red de manera presencial en </w:t>
      </w:r>
      <w:r w:rsidR="0085383A">
        <w:rPr>
          <w:rFonts w:ascii="Times New Roman" w:hAnsi="Times New Roman" w:cs="Times New Roman"/>
          <w:sz w:val="24"/>
          <w:szCs w:val="24"/>
        </w:rPr>
        <w:t>La Habana desde</w:t>
      </w:r>
      <w:r w:rsidR="002E6BBF">
        <w:rPr>
          <w:rFonts w:ascii="Times New Roman" w:hAnsi="Times New Roman" w:cs="Times New Roman"/>
          <w:sz w:val="24"/>
          <w:szCs w:val="24"/>
        </w:rPr>
        <w:t xml:space="preserve"> su propia creación y</w:t>
      </w:r>
      <w:r w:rsidR="00376237">
        <w:rPr>
          <w:rFonts w:ascii="Times New Roman" w:hAnsi="Times New Roman" w:cs="Times New Roman"/>
          <w:sz w:val="24"/>
          <w:szCs w:val="24"/>
        </w:rPr>
        <w:t xml:space="preserve"> </w:t>
      </w:r>
      <w:r w:rsidR="0085383A">
        <w:rPr>
          <w:rFonts w:ascii="Times New Roman" w:hAnsi="Times New Roman" w:cs="Times New Roman"/>
          <w:sz w:val="24"/>
          <w:szCs w:val="24"/>
        </w:rPr>
        <w:t>a partir de</w:t>
      </w:r>
      <w:bookmarkStart w:id="0" w:name="_GoBack"/>
      <w:bookmarkEnd w:id="0"/>
      <w:r w:rsidR="00376237">
        <w:rPr>
          <w:rFonts w:ascii="Times New Roman" w:hAnsi="Times New Roman" w:cs="Times New Roman"/>
          <w:sz w:val="24"/>
          <w:szCs w:val="24"/>
        </w:rPr>
        <w:t xml:space="preserve"> 2019 también se habilitaron estos servicios</w:t>
      </w:r>
      <w:r w:rsidR="00D46964">
        <w:rPr>
          <w:rFonts w:ascii="Times New Roman" w:hAnsi="Times New Roman" w:cs="Times New Roman"/>
          <w:sz w:val="24"/>
          <w:szCs w:val="24"/>
        </w:rPr>
        <w:t xml:space="preserve"> </w:t>
      </w:r>
      <w:r>
        <w:rPr>
          <w:rFonts w:ascii="Times New Roman" w:hAnsi="Times New Roman" w:cs="Times New Roman"/>
          <w:sz w:val="24"/>
          <w:szCs w:val="24"/>
        </w:rPr>
        <w:t xml:space="preserve">en las provincias de Santiago de Cuba y Sancti Spíritus. </w:t>
      </w:r>
      <w:r w:rsidR="00376237">
        <w:rPr>
          <w:rFonts w:ascii="Times New Roman" w:hAnsi="Times New Roman" w:cs="Times New Roman"/>
          <w:sz w:val="24"/>
          <w:szCs w:val="24"/>
        </w:rPr>
        <w:t>Igualmente</w:t>
      </w:r>
      <w:r>
        <w:rPr>
          <w:rFonts w:ascii="Times New Roman" w:hAnsi="Times New Roman" w:cs="Times New Roman"/>
          <w:sz w:val="24"/>
          <w:szCs w:val="24"/>
        </w:rPr>
        <w:t xml:space="preserve"> se reciben quejas a través de correspondencia postal y electrónica.</w:t>
      </w:r>
    </w:p>
    <w:p w:rsidR="00E34CE0" w:rsidRDefault="00E34CE0" w:rsidP="00E34CE0">
      <w:pPr>
        <w:jc w:val="both"/>
        <w:rPr>
          <w:rFonts w:ascii="Times New Roman" w:hAnsi="Times New Roman" w:cs="Times New Roman"/>
          <w:sz w:val="24"/>
          <w:szCs w:val="24"/>
        </w:rPr>
      </w:pPr>
      <w:r>
        <w:rPr>
          <w:rFonts w:ascii="Times New Roman" w:hAnsi="Times New Roman" w:cs="Times New Roman"/>
          <w:sz w:val="24"/>
          <w:szCs w:val="24"/>
        </w:rPr>
        <w:t>El SOJ funciona como un espacio para la atención, orientación y acompañamiento de personas cuyos derechos sexuales y reproductivos han resultado vulnerados. Tiene como característica propia su especialización en los derechos sexuales y en la atención y acompañamiento a las personas que son víctimas de violencia de género, entre ellas mujeres, niñas y niños víctimas de abuso sexual y personas discriminadas por su orientación sexual, identidad de género, expresión de género o características sexuales.</w:t>
      </w:r>
    </w:p>
    <w:p w:rsidR="00E22E87" w:rsidRDefault="00E34CE0" w:rsidP="00E34CE0">
      <w:pPr>
        <w:jc w:val="both"/>
        <w:rPr>
          <w:rFonts w:ascii="Times New Roman" w:hAnsi="Times New Roman" w:cs="Times New Roman"/>
          <w:sz w:val="24"/>
          <w:szCs w:val="24"/>
        </w:rPr>
      </w:pPr>
      <w:r>
        <w:rPr>
          <w:rFonts w:ascii="Times New Roman" w:hAnsi="Times New Roman" w:cs="Times New Roman"/>
          <w:sz w:val="24"/>
          <w:szCs w:val="24"/>
        </w:rPr>
        <w:t>En una sistematización</w:t>
      </w:r>
      <w:r>
        <w:rPr>
          <w:rStyle w:val="Refdenotaalpie"/>
          <w:rFonts w:ascii="Times New Roman" w:hAnsi="Times New Roman" w:cs="Times New Roman"/>
          <w:sz w:val="24"/>
          <w:szCs w:val="24"/>
        </w:rPr>
        <w:footnoteReference w:id="9"/>
      </w:r>
      <w:r>
        <w:rPr>
          <w:rFonts w:ascii="Times New Roman" w:hAnsi="Times New Roman" w:cs="Times New Roman"/>
          <w:sz w:val="24"/>
          <w:szCs w:val="24"/>
        </w:rPr>
        <w:t xml:space="preserve"> realizada y publicada sobre los casos de violencia basada en género </w:t>
      </w:r>
      <w:r w:rsidR="00D46964">
        <w:rPr>
          <w:rFonts w:ascii="Times New Roman" w:hAnsi="Times New Roman" w:cs="Times New Roman"/>
          <w:sz w:val="24"/>
          <w:szCs w:val="24"/>
        </w:rPr>
        <w:t xml:space="preserve">atendido en </w:t>
      </w:r>
      <w:r>
        <w:rPr>
          <w:rFonts w:ascii="Times New Roman" w:hAnsi="Times New Roman" w:cs="Times New Roman"/>
          <w:sz w:val="24"/>
          <w:szCs w:val="24"/>
        </w:rPr>
        <w:t xml:space="preserve">el SOJ en el periodo 2013 al 2020, </w:t>
      </w:r>
      <w:r w:rsidR="00D46964">
        <w:rPr>
          <w:rFonts w:ascii="Times New Roman" w:hAnsi="Times New Roman" w:cs="Times New Roman"/>
          <w:sz w:val="24"/>
          <w:szCs w:val="24"/>
        </w:rPr>
        <w:t>se constata que fueron</w:t>
      </w:r>
      <w:r>
        <w:rPr>
          <w:rFonts w:ascii="Times New Roman" w:hAnsi="Times New Roman" w:cs="Times New Roman"/>
          <w:sz w:val="24"/>
          <w:szCs w:val="24"/>
        </w:rPr>
        <w:t xml:space="preserve"> aten</w:t>
      </w:r>
      <w:r w:rsidR="00D46964">
        <w:rPr>
          <w:rFonts w:ascii="Times New Roman" w:hAnsi="Times New Roman" w:cs="Times New Roman"/>
          <w:sz w:val="24"/>
          <w:szCs w:val="24"/>
        </w:rPr>
        <w:t xml:space="preserve">didas, asesoradas y acompañadas </w:t>
      </w:r>
      <w:r>
        <w:rPr>
          <w:rFonts w:ascii="Times New Roman" w:hAnsi="Times New Roman" w:cs="Times New Roman"/>
          <w:sz w:val="24"/>
          <w:szCs w:val="24"/>
        </w:rPr>
        <w:t>por los juristas</w:t>
      </w:r>
      <w:r w:rsidR="00D46964">
        <w:rPr>
          <w:rFonts w:ascii="Times New Roman" w:hAnsi="Times New Roman" w:cs="Times New Roman"/>
          <w:sz w:val="24"/>
          <w:szCs w:val="24"/>
        </w:rPr>
        <w:t>,</w:t>
      </w:r>
      <w:r>
        <w:rPr>
          <w:rFonts w:ascii="Times New Roman" w:hAnsi="Times New Roman" w:cs="Times New Roman"/>
          <w:sz w:val="24"/>
          <w:szCs w:val="24"/>
        </w:rPr>
        <w:t xml:space="preserve"> 5 mil 814 casos, en cuya categoría se encuentran las niñas, niños y adolescentes que vivenciaron actos de maltrato, incluyendo </w:t>
      </w:r>
      <w:r>
        <w:rPr>
          <w:rFonts w:ascii="Times New Roman" w:hAnsi="Times New Roman" w:cs="Times New Roman"/>
          <w:sz w:val="24"/>
          <w:szCs w:val="24"/>
        </w:rPr>
        <w:lastRenderedPageBreak/>
        <w:t xml:space="preserve">el abuso sexual y otras formas de </w:t>
      </w:r>
      <w:r w:rsidR="00D46964">
        <w:rPr>
          <w:rFonts w:ascii="Times New Roman" w:hAnsi="Times New Roman" w:cs="Times New Roman"/>
          <w:sz w:val="24"/>
          <w:szCs w:val="24"/>
        </w:rPr>
        <w:t>violencia;</w:t>
      </w:r>
      <w:r>
        <w:rPr>
          <w:rFonts w:ascii="Times New Roman" w:hAnsi="Times New Roman" w:cs="Times New Roman"/>
          <w:sz w:val="24"/>
          <w:szCs w:val="24"/>
        </w:rPr>
        <w:t xml:space="preserve"> mujeres víctimas de algu</w:t>
      </w:r>
      <w:r w:rsidR="00425C00">
        <w:rPr>
          <w:rFonts w:ascii="Times New Roman" w:hAnsi="Times New Roman" w:cs="Times New Roman"/>
          <w:sz w:val="24"/>
          <w:szCs w:val="24"/>
        </w:rPr>
        <w:t>na manifestación de violencia por</w:t>
      </w:r>
      <w:r>
        <w:rPr>
          <w:rFonts w:ascii="Times New Roman" w:hAnsi="Times New Roman" w:cs="Times New Roman"/>
          <w:sz w:val="24"/>
          <w:szCs w:val="24"/>
        </w:rPr>
        <w:t xml:space="preserve"> razón de género y las personas con sexualidades no </w:t>
      </w:r>
      <w:proofErr w:type="spellStart"/>
      <w:r>
        <w:rPr>
          <w:rFonts w:ascii="Times New Roman" w:hAnsi="Times New Roman" w:cs="Times New Roman"/>
          <w:sz w:val="24"/>
          <w:szCs w:val="24"/>
        </w:rPr>
        <w:t>hegémónicas</w:t>
      </w:r>
      <w:proofErr w:type="spellEnd"/>
      <w:r>
        <w:rPr>
          <w:rFonts w:ascii="Times New Roman" w:hAnsi="Times New Roman" w:cs="Times New Roman"/>
          <w:sz w:val="24"/>
          <w:szCs w:val="24"/>
        </w:rPr>
        <w:t>,  entiéndase homosexuales, bisexuales y trans que recibieron violencias por motivos de su orientación  sexual e identidad de género.</w:t>
      </w:r>
      <w:r w:rsidR="00EA172C">
        <w:rPr>
          <w:rFonts w:ascii="Times New Roman" w:hAnsi="Times New Roman" w:cs="Times New Roman"/>
          <w:sz w:val="24"/>
          <w:szCs w:val="24"/>
        </w:rPr>
        <w:t xml:space="preserve"> </w:t>
      </w:r>
      <w:r w:rsidR="00E22E87">
        <w:rPr>
          <w:rFonts w:ascii="Times New Roman" w:hAnsi="Times New Roman" w:cs="Times New Roman"/>
          <w:sz w:val="24"/>
          <w:szCs w:val="24"/>
        </w:rPr>
        <w:t xml:space="preserve">En el período 2021-2023 fueron asesoradas </w:t>
      </w:r>
      <w:r w:rsidR="00EA172C">
        <w:rPr>
          <w:rFonts w:ascii="Times New Roman" w:hAnsi="Times New Roman" w:cs="Times New Roman"/>
          <w:sz w:val="24"/>
          <w:szCs w:val="24"/>
        </w:rPr>
        <w:t>277 víctimas de violencia de género por nuestros servicios de orientación jurídica, teniendo en cuenta las categorías antes descritas.</w:t>
      </w:r>
    </w:p>
    <w:p w:rsidR="00E34CE0" w:rsidRDefault="00E34CE0" w:rsidP="00E34CE0">
      <w:pPr>
        <w:jc w:val="both"/>
        <w:rPr>
          <w:rFonts w:ascii="Times New Roman" w:hAnsi="Times New Roman" w:cs="Times New Roman"/>
          <w:sz w:val="24"/>
          <w:szCs w:val="24"/>
        </w:rPr>
      </w:pPr>
      <w:r>
        <w:rPr>
          <w:rFonts w:ascii="Times New Roman" w:hAnsi="Times New Roman" w:cs="Times New Roman"/>
          <w:sz w:val="24"/>
          <w:szCs w:val="24"/>
        </w:rPr>
        <w:t>Entre las manifestaciones más frecuentes conocidas se encuentran casos de abuso sexual infantil en el que los representantes legales y familiares de las personas menores de edad víctimas, esencialment</w:t>
      </w:r>
      <w:r w:rsidR="00425C00">
        <w:rPr>
          <w:rFonts w:ascii="Times New Roman" w:hAnsi="Times New Roman" w:cs="Times New Roman"/>
          <w:sz w:val="24"/>
          <w:szCs w:val="24"/>
        </w:rPr>
        <w:t>e niñas y adolescentes solicitaron</w:t>
      </w:r>
      <w:r>
        <w:rPr>
          <w:rFonts w:ascii="Times New Roman" w:hAnsi="Times New Roman" w:cs="Times New Roman"/>
          <w:sz w:val="24"/>
          <w:szCs w:val="24"/>
        </w:rPr>
        <w:t xml:space="preserve"> asesoramiento jurídico. </w:t>
      </w:r>
      <w:r w:rsidR="00D46964">
        <w:rPr>
          <w:rFonts w:ascii="Times New Roman" w:hAnsi="Times New Roman" w:cs="Times New Roman"/>
          <w:sz w:val="24"/>
          <w:szCs w:val="24"/>
        </w:rPr>
        <w:t>Casos de v</w:t>
      </w:r>
      <w:r>
        <w:rPr>
          <w:rFonts w:ascii="Times New Roman" w:hAnsi="Times New Roman" w:cs="Times New Roman"/>
          <w:sz w:val="24"/>
          <w:szCs w:val="24"/>
        </w:rPr>
        <w:t>iolencias contra las mujeres</w:t>
      </w:r>
      <w:r w:rsidR="00D46964">
        <w:rPr>
          <w:rFonts w:ascii="Times New Roman" w:hAnsi="Times New Roman" w:cs="Times New Roman"/>
          <w:sz w:val="24"/>
          <w:szCs w:val="24"/>
        </w:rPr>
        <w:t>,</w:t>
      </w:r>
      <w:r>
        <w:rPr>
          <w:rFonts w:ascii="Times New Roman" w:hAnsi="Times New Roman" w:cs="Times New Roman"/>
          <w:sz w:val="24"/>
          <w:szCs w:val="24"/>
        </w:rPr>
        <w:t xml:space="preserve"> perpetradas por parejas y exparejas</w:t>
      </w:r>
      <w:r w:rsidR="00D46964">
        <w:rPr>
          <w:rFonts w:ascii="Times New Roman" w:hAnsi="Times New Roman" w:cs="Times New Roman"/>
          <w:sz w:val="24"/>
          <w:szCs w:val="24"/>
        </w:rPr>
        <w:t xml:space="preserve">, </w:t>
      </w:r>
      <w:r>
        <w:rPr>
          <w:rFonts w:ascii="Times New Roman" w:hAnsi="Times New Roman" w:cs="Times New Roman"/>
          <w:sz w:val="24"/>
          <w:szCs w:val="24"/>
        </w:rPr>
        <w:t xml:space="preserve">esencialmente </w:t>
      </w:r>
      <w:r w:rsidR="00D46964">
        <w:rPr>
          <w:rFonts w:ascii="Times New Roman" w:hAnsi="Times New Roman" w:cs="Times New Roman"/>
          <w:sz w:val="24"/>
          <w:szCs w:val="24"/>
        </w:rPr>
        <w:t xml:space="preserve">del tipo </w:t>
      </w:r>
      <w:r>
        <w:rPr>
          <w:rFonts w:ascii="Times New Roman" w:hAnsi="Times New Roman" w:cs="Times New Roman"/>
          <w:sz w:val="24"/>
          <w:szCs w:val="24"/>
        </w:rPr>
        <w:t xml:space="preserve">psicológica y física. </w:t>
      </w:r>
      <w:r w:rsidR="00D46964">
        <w:rPr>
          <w:rFonts w:ascii="Times New Roman" w:hAnsi="Times New Roman" w:cs="Times New Roman"/>
          <w:sz w:val="24"/>
          <w:szCs w:val="24"/>
        </w:rPr>
        <w:t>Casos de m</w:t>
      </w:r>
      <w:r>
        <w:rPr>
          <w:rFonts w:ascii="Times New Roman" w:hAnsi="Times New Roman" w:cs="Times New Roman"/>
          <w:sz w:val="24"/>
          <w:szCs w:val="24"/>
        </w:rPr>
        <w:t xml:space="preserve">ujeres lesbianas y bisexuales que </w:t>
      </w:r>
      <w:r w:rsidR="00425C00">
        <w:rPr>
          <w:rFonts w:ascii="Times New Roman" w:hAnsi="Times New Roman" w:cs="Times New Roman"/>
          <w:sz w:val="24"/>
          <w:szCs w:val="24"/>
        </w:rPr>
        <w:t>sufrieron</w:t>
      </w:r>
      <w:r w:rsidR="00D46964">
        <w:rPr>
          <w:rFonts w:ascii="Times New Roman" w:hAnsi="Times New Roman" w:cs="Times New Roman"/>
          <w:sz w:val="24"/>
          <w:szCs w:val="24"/>
        </w:rPr>
        <w:t xml:space="preserve"> </w:t>
      </w:r>
      <w:r>
        <w:rPr>
          <w:rFonts w:ascii="Times New Roman" w:hAnsi="Times New Roman" w:cs="Times New Roman"/>
          <w:sz w:val="24"/>
          <w:szCs w:val="24"/>
        </w:rPr>
        <w:t xml:space="preserve">violencia </w:t>
      </w:r>
      <w:r w:rsidR="00D46964">
        <w:rPr>
          <w:rFonts w:ascii="Times New Roman" w:hAnsi="Times New Roman" w:cs="Times New Roman"/>
          <w:sz w:val="24"/>
          <w:szCs w:val="24"/>
        </w:rPr>
        <w:t>psicológica</w:t>
      </w:r>
      <w:r>
        <w:rPr>
          <w:rFonts w:ascii="Times New Roman" w:hAnsi="Times New Roman" w:cs="Times New Roman"/>
          <w:sz w:val="24"/>
          <w:szCs w:val="24"/>
        </w:rPr>
        <w:t xml:space="preserve"> d</w:t>
      </w:r>
      <w:r w:rsidR="00E10314">
        <w:rPr>
          <w:rFonts w:ascii="Times New Roman" w:hAnsi="Times New Roman" w:cs="Times New Roman"/>
          <w:sz w:val="24"/>
          <w:szCs w:val="24"/>
        </w:rPr>
        <w:t>e sus ex</w:t>
      </w:r>
      <w:r w:rsidR="00E10314">
        <w:rPr>
          <w:rFonts w:ascii="Times New Roman" w:hAnsi="Times New Roman" w:cs="Times New Roman"/>
          <w:sz w:val="24"/>
          <w:szCs w:val="24"/>
        </w:rPr>
        <w:softHyphen/>
        <w:t>-</w:t>
      </w:r>
      <w:r>
        <w:rPr>
          <w:rFonts w:ascii="Times New Roman" w:hAnsi="Times New Roman" w:cs="Times New Roman"/>
          <w:sz w:val="24"/>
          <w:szCs w:val="24"/>
        </w:rPr>
        <w:t>parejas hombres</w:t>
      </w:r>
      <w:r w:rsidR="00E10314">
        <w:rPr>
          <w:rFonts w:ascii="Times New Roman" w:hAnsi="Times New Roman" w:cs="Times New Roman"/>
          <w:sz w:val="24"/>
          <w:szCs w:val="24"/>
        </w:rPr>
        <w:t>,</w:t>
      </w:r>
      <w:r>
        <w:rPr>
          <w:rFonts w:ascii="Times New Roman" w:hAnsi="Times New Roman" w:cs="Times New Roman"/>
          <w:sz w:val="24"/>
          <w:szCs w:val="24"/>
        </w:rPr>
        <w:t xml:space="preserve"> </w:t>
      </w:r>
      <w:r w:rsidR="00E10314">
        <w:rPr>
          <w:rFonts w:ascii="Times New Roman" w:hAnsi="Times New Roman" w:cs="Times New Roman"/>
          <w:sz w:val="24"/>
          <w:szCs w:val="24"/>
        </w:rPr>
        <w:t>denigrándolas</w:t>
      </w:r>
      <w:r>
        <w:rPr>
          <w:rFonts w:ascii="Times New Roman" w:hAnsi="Times New Roman" w:cs="Times New Roman"/>
          <w:sz w:val="24"/>
          <w:szCs w:val="24"/>
        </w:rPr>
        <w:t xml:space="preserve"> como figuras maternas debido a su orientación sexual</w:t>
      </w:r>
      <w:r w:rsidR="00425C00">
        <w:rPr>
          <w:rFonts w:ascii="Times New Roman" w:hAnsi="Times New Roman" w:cs="Times New Roman"/>
          <w:sz w:val="24"/>
          <w:szCs w:val="24"/>
        </w:rPr>
        <w:t>,</w:t>
      </w:r>
      <w:r>
        <w:rPr>
          <w:rFonts w:ascii="Times New Roman" w:hAnsi="Times New Roman" w:cs="Times New Roman"/>
          <w:sz w:val="24"/>
          <w:szCs w:val="24"/>
        </w:rPr>
        <w:t xml:space="preserve"> llegando a incoar procesos judiciales para restringirles el régimen de comunicación y cuidado</w:t>
      </w:r>
      <w:r w:rsidR="00E10314">
        <w:rPr>
          <w:rFonts w:ascii="Times New Roman" w:hAnsi="Times New Roman" w:cs="Times New Roman"/>
          <w:sz w:val="24"/>
          <w:szCs w:val="24"/>
        </w:rPr>
        <w:t xml:space="preserve"> con sus hijos e hijas. Casos de violencias contra mujer</w:t>
      </w:r>
      <w:r>
        <w:rPr>
          <w:rFonts w:ascii="Times New Roman" w:hAnsi="Times New Roman" w:cs="Times New Roman"/>
          <w:sz w:val="24"/>
          <w:szCs w:val="24"/>
        </w:rPr>
        <w:t>es trans</w:t>
      </w:r>
      <w:r w:rsidR="00E10314">
        <w:rPr>
          <w:rFonts w:ascii="Times New Roman" w:hAnsi="Times New Roman" w:cs="Times New Roman"/>
          <w:sz w:val="24"/>
          <w:szCs w:val="24"/>
        </w:rPr>
        <w:t>, que</w:t>
      </w:r>
      <w:r>
        <w:rPr>
          <w:rFonts w:ascii="Times New Roman" w:hAnsi="Times New Roman" w:cs="Times New Roman"/>
          <w:sz w:val="24"/>
          <w:szCs w:val="24"/>
        </w:rPr>
        <w:t xml:space="preserve"> enfrentan situaciones de discriminación en el ámbito escolar y laboral</w:t>
      </w:r>
      <w:r w:rsidR="00E10314">
        <w:rPr>
          <w:rFonts w:ascii="Times New Roman" w:hAnsi="Times New Roman" w:cs="Times New Roman"/>
          <w:sz w:val="24"/>
          <w:szCs w:val="24"/>
        </w:rPr>
        <w:t xml:space="preserve"> donde</w:t>
      </w:r>
      <w:r>
        <w:rPr>
          <w:rFonts w:ascii="Times New Roman" w:hAnsi="Times New Roman" w:cs="Times New Roman"/>
          <w:sz w:val="24"/>
          <w:szCs w:val="24"/>
        </w:rPr>
        <w:t xml:space="preserve"> les imponen que asuman una imagen que se corresponda con su sexo biológico y contraria a su identidad de género. </w:t>
      </w:r>
      <w:r w:rsidR="00E10314">
        <w:rPr>
          <w:rFonts w:ascii="Times New Roman" w:hAnsi="Times New Roman" w:cs="Times New Roman"/>
          <w:sz w:val="24"/>
          <w:szCs w:val="24"/>
        </w:rPr>
        <w:t>Casos de violencias y discriminación c</w:t>
      </w:r>
      <w:r>
        <w:rPr>
          <w:rFonts w:ascii="Times New Roman" w:hAnsi="Times New Roman" w:cs="Times New Roman"/>
          <w:sz w:val="24"/>
          <w:szCs w:val="24"/>
        </w:rPr>
        <w:t xml:space="preserve">ontra hombres con </w:t>
      </w:r>
      <w:r w:rsidR="00E10314">
        <w:rPr>
          <w:rFonts w:ascii="Times New Roman" w:hAnsi="Times New Roman" w:cs="Times New Roman"/>
          <w:sz w:val="24"/>
          <w:szCs w:val="24"/>
        </w:rPr>
        <w:t>orientaciones</w:t>
      </w:r>
      <w:r>
        <w:rPr>
          <w:rFonts w:ascii="Times New Roman" w:hAnsi="Times New Roman" w:cs="Times New Roman"/>
          <w:sz w:val="24"/>
          <w:szCs w:val="24"/>
        </w:rPr>
        <w:t xml:space="preserve"> sexuales no </w:t>
      </w:r>
      <w:proofErr w:type="spellStart"/>
      <w:r>
        <w:rPr>
          <w:rFonts w:ascii="Times New Roman" w:hAnsi="Times New Roman" w:cs="Times New Roman"/>
          <w:sz w:val="24"/>
          <w:szCs w:val="24"/>
        </w:rPr>
        <w:t>heteronormativa</w:t>
      </w:r>
      <w:proofErr w:type="spellEnd"/>
      <w:r w:rsidR="00E10314">
        <w:rPr>
          <w:rFonts w:ascii="Times New Roman" w:hAnsi="Times New Roman" w:cs="Times New Roman"/>
          <w:sz w:val="24"/>
          <w:szCs w:val="24"/>
        </w:rPr>
        <w:t>,</w:t>
      </w:r>
      <w:r>
        <w:rPr>
          <w:rFonts w:ascii="Times New Roman" w:hAnsi="Times New Roman" w:cs="Times New Roman"/>
          <w:sz w:val="24"/>
          <w:szCs w:val="24"/>
        </w:rPr>
        <w:t xml:space="preserve"> predominan los casos de violencia psicológica y discriminación por dicha razón en el ámbito familiar, laboral y la comunidad.</w:t>
      </w:r>
      <w:r>
        <w:rPr>
          <w:rStyle w:val="Refdenotaalpie"/>
          <w:rFonts w:ascii="Times New Roman" w:hAnsi="Times New Roman" w:cs="Times New Roman"/>
          <w:sz w:val="24"/>
          <w:szCs w:val="24"/>
        </w:rPr>
        <w:footnoteReference w:id="10"/>
      </w:r>
    </w:p>
    <w:p w:rsidR="00511951" w:rsidRDefault="00511951" w:rsidP="008D04DD">
      <w:pPr>
        <w:jc w:val="both"/>
        <w:rPr>
          <w:rFonts w:ascii="Times New Roman" w:hAnsi="Times New Roman" w:cs="Times New Roman"/>
          <w:sz w:val="24"/>
          <w:szCs w:val="24"/>
        </w:rPr>
      </w:pPr>
      <w:r>
        <w:rPr>
          <w:rFonts w:ascii="Times New Roman" w:hAnsi="Times New Roman" w:cs="Times New Roman"/>
          <w:sz w:val="24"/>
          <w:szCs w:val="24"/>
        </w:rPr>
        <w:t>A partir de los casos asesorad</w:t>
      </w:r>
      <w:r w:rsidR="004B4A08">
        <w:rPr>
          <w:rFonts w:ascii="Times New Roman" w:hAnsi="Times New Roman" w:cs="Times New Roman"/>
          <w:sz w:val="24"/>
          <w:szCs w:val="24"/>
        </w:rPr>
        <w:t>os y acompañados en el SOJ, la R</w:t>
      </w:r>
      <w:r>
        <w:rPr>
          <w:rFonts w:ascii="Times New Roman" w:hAnsi="Times New Roman" w:cs="Times New Roman"/>
          <w:sz w:val="24"/>
          <w:szCs w:val="24"/>
        </w:rPr>
        <w:t xml:space="preserve">ed identifica entre las problemáticas que persisten tanto a nivel institucional </w:t>
      </w:r>
      <w:r w:rsidR="004B4A08">
        <w:rPr>
          <w:rFonts w:ascii="Times New Roman" w:hAnsi="Times New Roman" w:cs="Times New Roman"/>
          <w:sz w:val="24"/>
          <w:szCs w:val="24"/>
        </w:rPr>
        <w:t>como en</w:t>
      </w:r>
      <w:r>
        <w:rPr>
          <w:rFonts w:ascii="Times New Roman" w:hAnsi="Times New Roman" w:cs="Times New Roman"/>
          <w:sz w:val="24"/>
          <w:szCs w:val="24"/>
        </w:rPr>
        <w:t xml:space="preserve"> la comunidad, las siguientes:</w:t>
      </w:r>
    </w:p>
    <w:p w:rsidR="004B4A08" w:rsidRDefault="00425C00" w:rsidP="008D04DD">
      <w:pPr>
        <w:jc w:val="both"/>
        <w:rPr>
          <w:rFonts w:ascii="Times New Roman" w:hAnsi="Times New Roman" w:cs="Times New Roman"/>
          <w:sz w:val="24"/>
          <w:szCs w:val="24"/>
        </w:rPr>
      </w:pPr>
      <w:r>
        <w:rPr>
          <w:rFonts w:ascii="Times New Roman" w:hAnsi="Times New Roman" w:cs="Times New Roman"/>
          <w:sz w:val="24"/>
          <w:szCs w:val="24"/>
        </w:rPr>
        <w:t>-</w:t>
      </w:r>
      <w:r w:rsidR="002B078D">
        <w:rPr>
          <w:rFonts w:ascii="Times New Roman" w:hAnsi="Times New Roman" w:cs="Times New Roman"/>
          <w:sz w:val="24"/>
          <w:szCs w:val="24"/>
        </w:rPr>
        <w:t xml:space="preserve">Tratamiento </w:t>
      </w:r>
      <w:r w:rsidR="00511951">
        <w:rPr>
          <w:rFonts w:ascii="Times New Roman" w:hAnsi="Times New Roman" w:cs="Times New Roman"/>
          <w:sz w:val="24"/>
          <w:szCs w:val="24"/>
        </w:rPr>
        <w:t>ina</w:t>
      </w:r>
      <w:r w:rsidR="002B078D">
        <w:rPr>
          <w:rFonts w:ascii="Times New Roman" w:hAnsi="Times New Roman" w:cs="Times New Roman"/>
          <w:sz w:val="24"/>
          <w:szCs w:val="24"/>
        </w:rPr>
        <w:t xml:space="preserve">decuado </w:t>
      </w:r>
      <w:r w:rsidR="00511951">
        <w:rPr>
          <w:rFonts w:ascii="Times New Roman" w:hAnsi="Times New Roman" w:cs="Times New Roman"/>
          <w:sz w:val="24"/>
          <w:szCs w:val="24"/>
        </w:rPr>
        <w:t>e</w:t>
      </w:r>
      <w:r w:rsidR="002B078D">
        <w:rPr>
          <w:rFonts w:ascii="Times New Roman" w:hAnsi="Times New Roman" w:cs="Times New Roman"/>
          <w:sz w:val="24"/>
          <w:szCs w:val="24"/>
        </w:rPr>
        <w:t xml:space="preserve"> </w:t>
      </w:r>
      <w:r w:rsidR="00511951">
        <w:rPr>
          <w:rFonts w:ascii="Times New Roman" w:hAnsi="Times New Roman" w:cs="Times New Roman"/>
          <w:sz w:val="24"/>
          <w:szCs w:val="24"/>
        </w:rPr>
        <w:t>in</w:t>
      </w:r>
      <w:r w:rsidR="002B078D">
        <w:rPr>
          <w:rFonts w:ascii="Times New Roman" w:hAnsi="Times New Roman" w:cs="Times New Roman"/>
          <w:sz w:val="24"/>
          <w:szCs w:val="24"/>
        </w:rPr>
        <w:t xml:space="preserve">comprensión de la problemática y </w:t>
      </w:r>
      <w:r w:rsidR="00511951">
        <w:rPr>
          <w:rFonts w:ascii="Times New Roman" w:hAnsi="Times New Roman" w:cs="Times New Roman"/>
          <w:sz w:val="24"/>
          <w:szCs w:val="24"/>
        </w:rPr>
        <w:t xml:space="preserve">del </w:t>
      </w:r>
      <w:r w:rsidR="002B078D">
        <w:rPr>
          <w:rFonts w:ascii="Times New Roman" w:hAnsi="Times New Roman" w:cs="Times New Roman"/>
          <w:sz w:val="24"/>
          <w:szCs w:val="24"/>
        </w:rPr>
        <w:t xml:space="preserve">ciclo </w:t>
      </w:r>
      <w:r w:rsidR="004B4A08">
        <w:rPr>
          <w:rFonts w:ascii="Times New Roman" w:hAnsi="Times New Roman" w:cs="Times New Roman"/>
          <w:sz w:val="24"/>
          <w:szCs w:val="24"/>
        </w:rPr>
        <w:t xml:space="preserve">de la violencia por </w:t>
      </w:r>
      <w:r w:rsidR="00511951">
        <w:rPr>
          <w:rFonts w:ascii="Times New Roman" w:hAnsi="Times New Roman" w:cs="Times New Roman"/>
          <w:sz w:val="24"/>
          <w:szCs w:val="24"/>
        </w:rPr>
        <w:t>quienes ponen en marcha los proceso legales</w:t>
      </w:r>
      <w:r w:rsidR="002B078D">
        <w:rPr>
          <w:rFonts w:ascii="Times New Roman" w:hAnsi="Times New Roman" w:cs="Times New Roman"/>
          <w:sz w:val="24"/>
          <w:szCs w:val="24"/>
        </w:rPr>
        <w:t xml:space="preserve"> y </w:t>
      </w:r>
      <w:r w:rsidR="00511951">
        <w:rPr>
          <w:rFonts w:ascii="Times New Roman" w:hAnsi="Times New Roman" w:cs="Times New Roman"/>
          <w:sz w:val="24"/>
          <w:szCs w:val="24"/>
        </w:rPr>
        <w:t xml:space="preserve">constituyen eslabones importantes para asegurar </w:t>
      </w:r>
      <w:r w:rsidR="002B078D">
        <w:rPr>
          <w:rFonts w:ascii="Times New Roman" w:hAnsi="Times New Roman" w:cs="Times New Roman"/>
          <w:sz w:val="24"/>
          <w:szCs w:val="24"/>
        </w:rPr>
        <w:t>el acceso a una justicia efectiva</w:t>
      </w:r>
      <w:r w:rsidR="00511951">
        <w:rPr>
          <w:rFonts w:ascii="Times New Roman" w:hAnsi="Times New Roman" w:cs="Times New Roman"/>
          <w:sz w:val="24"/>
          <w:szCs w:val="24"/>
        </w:rPr>
        <w:t xml:space="preserve"> por parte de las víctimas de violencia de género, como el Ministerio del Interior, Fiscalía, Bufetes por falta de conocimientos y sensibilización con estos temas.</w:t>
      </w:r>
    </w:p>
    <w:p w:rsidR="0098121A" w:rsidRDefault="00425C00" w:rsidP="008D04DD">
      <w:pPr>
        <w:jc w:val="both"/>
        <w:rPr>
          <w:rFonts w:ascii="Times New Roman" w:hAnsi="Times New Roman" w:cs="Times New Roman"/>
          <w:sz w:val="24"/>
          <w:szCs w:val="24"/>
        </w:rPr>
      </w:pPr>
      <w:r>
        <w:rPr>
          <w:rFonts w:ascii="Times New Roman" w:hAnsi="Times New Roman" w:cs="Times New Roman"/>
          <w:sz w:val="24"/>
          <w:szCs w:val="24"/>
        </w:rPr>
        <w:t>-</w:t>
      </w:r>
      <w:r w:rsidR="004B4A08">
        <w:rPr>
          <w:rFonts w:ascii="Times New Roman" w:hAnsi="Times New Roman" w:cs="Times New Roman"/>
          <w:sz w:val="24"/>
          <w:szCs w:val="24"/>
        </w:rPr>
        <w:t>F</w:t>
      </w:r>
      <w:r w:rsidR="00980EDB">
        <w:rPr>
          <w:rFonts w:ascii="Times New Roman" w:hAnsi="Times New Roman" w:cs="Times New Roman"/>
          <w:sz w:val="24"/>
          <w:szCs w:val="24"/>
        </w:rPr>
        <w:t xml:space="preserve">alta de </w:t>
      </w:r>
      <w:r w:rsidR="0098121A">
        <w:rPr>
          <w:rFonts w:ascii="Times New Roman" w:hAnsi="Times New Roman" w:cs="Times New Roman"/>
          <w:sz w:val="24"/>
          <w:szCs w:val="24"/>
        </w:rPr>
        <w:t xml:space="preserve">uniformidad en la </w:t>
      </w:r>
      <w:r w:rsidR="00980EDB">
        <w:rPr>
          <w:rFonts w:ascii="Times New Roman" w:hAnsi="Times New Roman" w:cs="Times New Roman"/>
          <w:sz w:val="24"/>
          <w:szCs w:val="24"/>
        </w:rPr>
        <w:t>práctica</w:t>
      </w:r>
      <w:r w:rsidR="0098121A">
        <w:rPr>
          <w:rFonts w:ascii="Times New Roman" w:hAnsi="Times New Roman" w:cs="Times New Roman"/>
          <w:sz w:val="24"/>
          <w:szCs w:val="24"/>
        </w:rPr>
        <w:t xml:space="preserve"> judicial en asuntos de violencia de </w:t>
      </w:r>
      <w:r w:rsidR="00980EDB">
        <w:rPr>
          <w:rFonts w:ascii="Times New Roman" w:hAnsi="Times New Roman" w:cs="Times New Roman"/>
          <w:sz w:val="24"/>
          <w:szCs w:val="24"/>
        </w:rPr>
        <w:t>género</w:t>
      </w:r>
      <w:r w:rsidR="0098121A">
        <w:rPr>
          <w:rFonts w:ascii="Times New Roman" w:hAnsi="Times New Roman" w:cs="Times New Roman"/>
          <w:sz w:val="24"/>
          <w:szCs w:val="24"/>
        </w:rPr>
        <w:t>, en lo familiar y penal.</w:t>
      </w:r>
    </w:p>
    <w:p w:rsidR="004B4A08" w:rsidRDefault="00425C00" w:rsidP="004B4A08">
      <w:pPr>
        <w:jc w:val="both"/>
        <w:rPr>
          <w:rFonts w:ascii="Times New Roman" w:hAnsi="Times New Roman" w:cs="Times New Roman"/>
          <w:sz w:val="24"/>
          <w:szCs w:val="24"/>
        </w:rPr>
      </w:pPr>
      <w:r>
        <w:rPr>
          <w:rFonts w:ascii="Times New Roman" w:hAnsi="Times New Roman" w:cs="Times New Roman"/>
          <w:sz w:val="24"/>
          <w:szCs w:val="24"/>
        </w:rPr>
        <w:t>-</w:t>
      </w:r>
      <w:r w:rsidR="004B4A08">
        <w:rPr>
          <w:rFonts w:ascii="Times New Roman" w:hAnsi="Times New Roman" w:cs="Times New Roman"/>
          <w:sz w:val="24"/>
          <w:szCs w:val="24"/>
        </w:rPr>
        <w:t>En los escritos argumentativos de fiscales, abogados, autoridades administrativas, y en la motivación de las sentencias por los jueces, en casos de violencia de género no se evidencia el empleo sistemático de los postulados de la Convención</w:t>
      </w:r>
      <w:r w:rsidR="006B18B9">
        <w:rPr>
          <w:rFonts w:ascii="Times New Roman" w:hAnsi="Times New Roman" w:cs="Times New Roman"/>
          <w:sz w:val="24"/>
          <w:szCs w:val="24"/>
        </w:rPr>
        <w:t xml:space="preserve"> sobre</w:t>
      </w:r>
      <w:r>
        <w:rPr>
          <w:rFonts w:ascii="Times New Roman" w:hAnsi="Times New Roman" w:cs="Times New Roman"/>
          <w:sz w:val="24"/>
          <w:szCs w:val="24"/>
        </w:rPr>
        <w:t xml:space="preserve"> la E</w:t>
      </w:r>
      <w:r w:rsidR="00B45A99">
        <w:rPr>
          <w:rFonts w:ascii="Times New Roman" w:hAnsi="Times New Roman" w:cs="Times New Roman"/>
          <w:sz w:val="24"/>
          <w:szCs w:val="24"/>
        </w:rPr>
        <w:t xml:space="preserve">liminación de </w:t>
      </w:r>
      <w:r w:rsidR="004B4A08">
        <w:rPr>
          <w:rFonts w:ascii="Times New Roman" w:hAnsi="Times New Roman" w:cs="Times New Roman"/>
          <w:sz w:val="24"/>
          <w:szCs w:val="24"/>
        </w:rPr>
        <w:t>todas las formas de discriminación contra la mujer</w:t>
      </w:r>
      <w:r w:rsidR="006B18B9">
        <w:rPr>
          <w:rFonts w:ascii="Times New Roman" w:hAnsi="Times New Roman" w:cs="Times New Roman"/>
          <w:sz w:val="24"/>
          <w:szCs w:val="24"/>
        </w:rPr>
        <w:t xml:space="preserve">, ni </w:t>
      </w:r>
      <w:r>
        <w:rPr>
          <w:rFonts w:ascii="Times New Roman" w:hAnsi="Times New Roman" w:cs="Times New Roman"/>
          <w:sz w:val="24"/>
          <w:szCs w:val="24"/>
        </w:rPr>
        <w:t xml:space="preserve">valoraciones relativas a </w:t>
      </w:r>
      <w:r w:rsidR="006B18B9">
        <w:rPr>
          <w:rFonts w:ascii="Times New Roman" w:hAnsi="Times New Roman" w:cs="Times New Roman"/>
          <w:sz w:val="24"/>
          <w:szCs w:val="24"/>
        </w:rPr>
        <w:t>las dimensiones estructurales de las desigualdades de género.</w:t>
      </w:r>
    </w:p>
    <w:p w:rsidR="002B078D" w:rsidRDefault="00425C00" w:rsidP="008D04DD">
      <w:pPr>
        <w:jc w:val="both"/>
        <w:rPr>
          <w:rFonts w:ascii="Times New Roman" w:hAnsi="Times New Roman" w:cs="Times New Roman"/>
          <w:sz w:val="24"/>
          <w:szCs w:val="24"/>
        </w:rPr>
      </w:pPr>
      <w:r>
        <w:rPr>
          <w:rFonts w:ascii="Times New Roman" w:hAnsi="Times New Roman" w:cs="Times New Roman"/>
          <w:sz w:val="24"/>
          <w:szCs w:val="24"/>
        </w:rPr>
        <w:t xml:space="preserve">- </w:t>
      </w:r>
      <w:r w:rsidR="002B078D">
        <w:rPr>
          <w:rFonts w:ascii="Times New Roman" w:hAnsi="Times New Roman" w:cs="Times New Roman"/>
          <w:sz w:val="24"/>
          <w:szCs w:val="24"/>
        </w:rPr>
        <w:t xml:space="preserve">Falta de sensibilización en la población y las propias </w:t>
      </w:r>
      <w:r w:rsidR="00C21D2E">
        <w:rPr>
          <w:rFonts w:ascii="Times New Roman" w:hAnsi="Times New Roman" w:cs="Times New Roman"/>
          <w:sz w:val="24"/>
          <w:szCs w:val="24"/>
        </w:rPr>
        <w:t>víctimas</w:t>
      </w:r>
      <w:r w:rsidR="002B078D">
        <w:rPr>
          <w:rFonts w:ascii="Times New Roman" w:hAnsi="Times New Roman" w:cs="Times New Roman"/>
          <w:sz w:val="24"/>
          <w:szCs w:val="24"/>
        </w:rPr>
        <w:t xml:space="preserve"> para reconocer las  situaciones de violencia y denunciarlas.</w:t>
      </w:r>
    </w:p>
    <w:p w:rsidR="00F1336E" w:rsidRDefault="00425C00" w:rsidP="008D04DD">
      <w:pPr>
        <w:jc w:val="both"/>
        <w:rPr>
          <w:rFonts w:ascii="Times New Roman" w:hAnsi="Times New Roman" w:cs="Times New Roman"/>
          <w:sz w:val="24"/>
          <w:szCs w:val="24"/>
        </w:rPr>
      </w:pPr>
      <w:r>
        <w:rPr>
          <w:rFonts w:ascii="Times New Roman" w:hAnsi="Times New Roman" w:cs="Times New Roman"/>
          <w:sz w:val="24"/>
          <w:szCs w:val="24"/>
        </w:rPr>
        <w:t xml:space="preserve">- </w:t>
      </w:r>
      <w:r w:rsidR="00CC2A3B">
        <w:rPr>
          <w:rFonts w:ascii="Times New Roman" w:hAnsi="Times New Roman" w:cs="Times New Roman"/>
          <w:sz w:val="24"/>
          <w:szCs w:val="24"/>
        </w:rPr>
        <w:t xml:space="preserve">Revictimización de niñas y </w:t>
      </w:r>
      <w:r w:rsidR="006B18B9">
        <w:rPr>
          <w:rFonts w:ascii="Times New Roman" w:hAnsi="Times New Roman" w:cs="Times New Roman"/>
          <w:sz w:val="24"/>
          <w:szCs w:val="24"/>
        </w:rPr>
        <w:t>adolescentes</w:t>
      </w:r>
      <w:r w:rsidR="00CC2A3B">
        <w:rPr>
          <w:rFonts w:ascii="Times New Roman" w:hAnsi="Times New Roman" w:cs="Times New Roman"/>
          <w:sz w:val="24"/>
          <w:szCs w:val="24"/>
        </w:rPr>
        <w:t xml:space="preserve"> en los procesos penales, </w:t>
      </w:r>
      <w:r w:rsidR="006B18B9">
        <w:rPr>
          <w:rFonts w:ascii="Times New Roman" w:hAnsi="Times New Roman" w:cs="Times New Roman"/>
          <w:sz w:val="24"/>
          <w:szCs w:val="24"/>
        </w:rPr>
        <w:t xml:space="preserve">civiles y </w:t>
      </w:r>
      <w:r w:rsidR="00CC2A3B">
        <w:rPr>
          <w:rFonts w:ascii="Times New Roman" w:hAnsi="Times New Roman" w:cs="Times New Roman"/>
          <w:sz w:val="24"/>
          <w:szCs w:val="24"/>
        </w:rPr>
        <w:t xml:space="preserve">familiares en aras de profundizar en </w:t>
      </w:r>
      <w:r w:rsidR="006B18B9">
        <w:rPr>
          <w:rFonts w:ascii="Times New Roman" w:hAnsi="Times New Roman" w:cs="Times New Roman"/>
          <w:sz w:val="24"/>
          <w:szCs w:val="24"/>
        </w:rPr>
        <w:t xml:space="preserve">el acopio de </w:t>
      </w:r>
      <w:r w:rsidR="00CC2A3B">
        <w:rPr>
          <w:rFonts w:ascii="Times New Roman" w:hAnsi="Times New Roman" w:cs="Times New Roman"/>
          <w:sz w:val="24"/>
          <w:szCs w:val="24"/>
        </w:rPr>
        <w:t xml:space="preserve">elementos </w:t>
      </w:r>
      <w:r w:rsidR="006B18B9">
        <w:rPr>
          <w:rFonts w:ascii="Times New Roman" w:hAnsi="Times New Roman" w:cs="Times New Roman"/>
          <w:sz w:val="24"/>
          <w:szCs w:val="24"/>
        </w:rPr>
        <w:t>probatorios.</w:t>
      </w:r>
      <w:r w:rsidR="00CC2A3B">
        <w:rPr>
          <w:rFonts w:ascii="Times New Roman" w:hAnsi="Times New Roman" w:cs="Times New Roman"/>
          <w:sz w:val="24"/>
          <w:szCs w:val="24"/>
        </w:rPr>
        <w:t xml:space="preserve"> </w:t>
      </w:r>
    </w:p>
    <w:p w:rsidR="00F1336E" w:rsidRDefault="00425C00" w:rsidP="008D04DD">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6B18B9">
        <w:rPr>
          <w:rFonts w:ascii="Times New Roman" w:hAnsi="Times New Roman" w:cs="Times New Roman"/>
          <w:sz w:val="24"/>
          <w:szCs w:val="24"/>
        </w:rPr>
        <w:t>A las víctimas de violencia de género, esencialmente a las mujeres</w:t>
      </w:r>
      <w:r>
        <w:rPr>
          <w:rFonts w:ascii="Times New Roman" w:hAnsi="Times New Roman" w:cs="Times New Roman"/>
          <w:sz w:val="24"/>
          <w:szCs w:val="24"/>
        </w:rPr>
        <w:t>,</w:t>
      </w:r>
      <w:r w:rsidR="006B18B9">
        <w:rPr>
          <w:rFonts w:ascii="Times New Roman" w:hAnsi="Times New Roman" w:cs="Times New Roman"/>
          <w:sz w:val="24"/>
          <w:szCs w:val="24"/>
        </w:rPr>
        <w:t xml:space="preserve"> en muchos casos se le ponen obstáculos para poder radicar </w:t>
      </w:r>
      <w:r w:rsidR="00F1336E">
        <w:rPr>
          <w:rFonts w:ascii="Times New Roman" w:hAnsi="Times New Roman" w:cs="Times New Roman"/>
          <w:sz w:val="24"/>
          <w:szCs w:val="24"/>
        </w:rPr>
        <w:t>denuncia</w:t>
      </w:r>
      <w:r w:rsidR="006B18B9">
        <w:rPr>
          <w:rFonts w:ascii="Times New Roman" w:hAnsi="Times New Roman" w:cs="Times New Roman"/>
          <w:sz w:val="24"/>
          <w:szCs w:val="24"/>
        </w:rPr>
        <w:t>s</w:t>
      </w:r>
      <w:r w:rsidR="00F1336E">
        <w:rPr>
          <w:rFonts w:ascii="Times New Roman" w:hAnsi="Times New Roman" w:cs="Times New Roman"/>
          <w:sz w:val="24"/>
          <w:szCs w:val="24"/>
        </w:rPr>
        <w:t xml:space="preserve"> y </w:t>
      </w:r>
      <w:r>
        <w:rPr>
          <w:rFonts w:ascii="Times New Roman" w:hAnsi="Times New Roman" w:cs="Times New Roman"/>
          <w:sz w:val="24"/>
          <w:szCs w:val="24"/>
        </w:rPr>
        <w:t xml:space="preserve">se dificulta </w:t>
      </w:r>
      <w:r w:rsidR="00F1336E">
        <w:rPr>
          <w:rFonts w:ascii="Times New Roman" w:hAnsi="Times New Roman" w:cs="Times New Roman"/>
          <w:sz w:val="24"/>
          <w:szCs w:val="24"/>
        </w:rPr>
        <w:t xml:space="preserve">su investigación en fase investigativa, </w:t>
      </w:r>
      <w:r w:rsidR="006B18B9">
        <w:rPr>
          <w:rFonts w:ascii="Times New Roman" w:hAnsi="Times New Roman" w:cs="Times New Roman"/>
          <w:sz w:val="24"/>
          <w:szCs w:val="24"/>
        </w:rPr>
        <w:t xml:space="preserve">los que repercute en </w:t>
      </w:r>
      <w:r w:rsidR="00F1336E">
        <w:rPr>
          <w:rFonts w:ascii="Times New Roman" w:hAnsi="Times New Roman" w:cs="Times New Roman"/>
          <w:sz w:val="24"/>
          <w:szCs w:val="24"/>
        </w:rPr>
        <w:t xml:space="preserve">su </w:t>
      </w:r>
      <w:r w:rsidR="006B18B9">
        <w:rPr>
          <w:rFonts w:ascii="Times New Roman" w:hAnsi="Times New Roman" w:cs="Times New Roman"/>
          <w:sz w:val="24"/>
          <w:szCs w:val="24"/>
        </w:rPr>
        <w:t>revictimización</w:t>
      </w:r>
      <w:r w:rsidR="00F1336E">
        <w:rPr>
          <w:rFonts w:ascii="Times New Roman" w:hAnsi="Times New Roman" w:cs="Times New Roman"/>
          <w:sz w:val="24"/>
          <w:szCs w:val="24"/>
        </w:rPr>
        <w:t xml:space="preserve"> en el proceso</w:t>
      </w:r>
      <w:r w:rsidR="006B18B9">
        <w:rPr>
          <w:rFonts w:ascii="Times New Roman" w:hAnsi="Times New Roman" w:cs="Times New Roman"/>
          <w:sz w:val="24"/>
          <w:szCs w:val="24"/>
        </w:rPr>
        <w:t>, debido a la falta de percepción del fenómeno de la violencia en operadores del sistema</w:t>
      </w:r>
      <w:r w:rsidR="00F1336E">
        <w:rPr>
          <w:rFonts w:ascii="Times New Roman" w:hAnsi="Times New Roman" w:cs="Times New Roman"/>
          <w:sz w:val="24"/>
          <w:szCs w:val="24"/>
        </w:rPr>
        <w:t>.</w:t>
      </w:r>
    </w:p>
    <w:p w:rsidR="00675163" w:rsidRDefault="00425C00" w:rsidP="008D04DD">
      <w:pPr>
        <w:jc w:val="both"/>
        <w:rPr>
          <w:rFonts w:ascii="Times New Roman" w:hAnsi="Times New Roman" w:cs="Times New Roman"/>
          <w:sz w:val="24"/>
          <w:szCs w:val="24"/>
        </w:rPr>
      </w:pPr>
      <w:r>
        <w:rPr>
          <w:rFonts w:ascii="Times New Roman" w:hAnsi="Times New Roman" w:cs="Times New Roman"/>
          <w:sz w:val="24"/>
          <w:szCs w:val="24"/>
        </w:rPr>
        <w:t xml:space="preserve">- Las </w:t>
      </w:r>
      <w:r w:rsidR="006B18B9">
        <w:rPr>
          <w:rFonts w:ascii="Times New Roman" w:hAnsi="Times New Roman" w:cs="Times New Roman"/>
          <w:sz w:val="24"/>
          <w:szCs w:val="24"/>
        </w:rPr>
        <w:t>situaciones o casos de violencia</w:t>
      </w:r>
      <w:r>
        <w:rPr>
          <w:rFonts w:ascii="Times New Roman" w:hAnsi="Times New Roman" w:cs="Times New Roman"/>
          <w:sz w:val="24"/>
          <w:szCs w:val="24"/>
        </w:rPr>
        <w:t xml:space="preserve"> de género</w:t>
      </w:r>
      <w:r w:rsidR="006B18B9">
        <w:rPr>
          <w:rFonts w:ascii="Times New Roman" w:hAnsi="Times New Roman" w:cs="Times New Roman"/>
          <w:sz w:val="24"/>
          <w:szCs w:val="24"/>
        </w:rPr>
        <w:t xml:space="preserve">, no siempre encuentra una respuesta integral de todos los encargados de atender y enfrentar la violencia, según lo descrito en la Estrategia Nacional, </w:t>
      </w:r>
      <w:r w:rsidR="0052124A">
        <w:rPr>
          <w:rFonts w:ascii="Times New Roman" w:hAnsi="Times New Roman" w:cs="Times New Roman"/>
          <w:sz w:val="24"/>
          <w:szCs w:val="24"/>
        </w:rPr>
        <w:t xml:space="preserve">en oportunidades </w:t>
      </w:r>
      <w:r w:rsidR="006B18B9">
        <w:rPr>
          <w:rFonts w:ascii="Times New Roman" w:hAnsi="Times New Roman" w:cs="Times New Roman"/>
          <w:sz w:val="24"/>
          <w:szCs w:val="24"/>
        </w:rPr>
        <w:t>la respuesta se torna fraccionada</w:t>
      </w:r>
      <w:r w:rsidR="0052124A">
        <w:rPr>
          <w:rFonts w:ascii="Times New Roman" w:hAnsi="Times New Roman" w:cs="Times New Roman"/>
          <w:sz w:val="24"/>
          <w:szCs w:val="24"/>
        </w:rPr>
        <w:t xml:space="preserve"> en las diferentes instituciones,</w:t>
      </w:r>
      <w:r w:rsidR="006B18B9">
        <w:rPr>
          <w:rFonts w:ascii="Times New Roman" w:hAnsi="Times New Roman" w:cs="Times New Roman"/>
          <w:sz w:val="24"/>
          <w:szCs w:val="24"/>
        </w:rPr>
        <w:t xml:space="preserve">  lo que atenta contra la recuperación de las víctimas.</w:t>
      </w:r>
    </w:p>
    <w:p w:rsidR="00803E46" w:rsidRDefault="0052124A" w:rsidP="008D04DD">
      <w:pPr>
        <w:jc w:val="both"/>
        <w:rPr>
          <w:rFonts w:ascii="Times New Roman" w:hAnsi="Times New Roman" w:cs="Times New Roman"/>
          <w:sz w:val="24"/>
          <w:szCs w:val="24"/>
        </w:rPr>
      </w:pPr>
      <w:r w:rsidRPr="0052124A">
        <w:rPr>
          <w:rFonts w:ascii="Times New Roman" w:hAnsi="Times New Roman" w:cs="Times New Roman"/>
          <w:sz w:val="24"/>
          <w:szCs w:val="24"/>
        </w:rPr>
        <w:t>Teniendo en cuenta lo antes planteado</w:t>
      </w:r>
      <w:r>
        <w:rPr>
          <w:rFonts w:ascii="Times New Roman" w:hAnsi="Times New Roman" w:cs="Times New Roman"/>
          <w:b/>
          <w:sz w:val="24"/>
          <w:szCs w:val="24"/>
        </w:rPr>
        <w:t xml:space="preserve"> </w:t>
      </w:r>
      <w:r w:rsidR="00803E46" w:rsidRPr="00BA1A81">
        <w:rPr>
          <w:rFonts w:ascii="Times New Roman" w:hAnsi="Times New Roman" w:cs="Times New Roman"/>
          <w:b/>
          <w:sz w:val="24"/>
          <w:szCs w:val="24"/>
        </w:rPr>
        <w:t>SUGERIMOS</w:t>
      </w:r>
      <w:r w:rsidR="00803E46">
        <w:rPr>
          <w:rFonts w:ascii="Times New Roman" w:hAnsi="Times New Roman" w:cs="Times New Roman"/>
          <w:sz w:val="24"/>
          <w:szCs w:val="24"/>
        </w:rPr>
        <w:t xml:space="preserve"> al Comité que recomiende al Estado</w:t>
      </w:r>
      <w:r>
        <w:rPr>
          <w:rFonts w:ascii="Times New Roman" w:hAnsi="Times New Roman" w:cs="Times New Roman"/>
          <w:sz w:val="24"/>
          <w:szCs w:val="24"/>
        </w:rPr>
        <w:t xml:space="preserve"> lo siguiente</w:t>
      </w:r>
      <w:r w:rsidR="00803E46">
        <w:rPr>
          <w:rFonts w:ascii="Times New Roman" w:hAnsi="Times New Roman" w:cs="Times New Roman"/>
          <w:sz w:val="24"/>
          <w:szCs w:val="24"/>
        </w:rPr>
        <w:t>:</w:t>
      </w:r>
    </w:p>
    <w:p w:rsidR="00803E46" w:rsidRDefault="0052124A" w:rsidP="008D04DD">
      <w:pPr>
        <w:jc w:val="both"/>
        <w:rPr>
          <w:rFonts w:ascii="Times New Roman" w:hAnsi="Times New Roman" w:cs="Times New Roman"/>
          <w:sz w:val="24"/>
          <w:szCs w:val="24"/>
        </w:rPr>
      </w:pPr>
      <w:r>
        <w:rPr>
          <w:rFonts w:ascii="Times New Roman" w:hAnsi="Times New Roman" w:cs="Times New Roman"/>
          <w:sz w:val="24"/>
          <w:szCs w:val="24"/>
        </w:rPr>
        <w:t xml:space="preserve">- </w:t>
      </w:r>
      <w:r w:rsidR="00803E46">
        <w:rPr>
          <w:rFonts w:ascii="Times New Roman" w:hAnsi="Times New Roman" w:cs="Times New Roman"/>
          <w:sz w:val="24"/>
          <w:szCs w:val="24"/>
        </w:rPr>
        <w:t xml:space="preserve">Crear </w:t>
      </w:r>
      <w:r>
        <w:rPr>
          <w:rFonts w:ascii="Times New Roman" w:hAnsi="Times New Roman" w:cs="Times New Roman"/>
          <w:sz w:val="24"/>
          <w:szCs w:val="24"/>
        </w:rPr>
        <w:t xml:space="preserve">más </w:t>
      </w:r>
      <w:r w:rsidR="00803E46">
        <w:rPr>
          <w:rFonts w:ascii="Times New Roman" w:hAnsi="Times New Roman" w:cs="Times New Roman"/>
          <w:sz w:val="24"/>
          <w:szCs w:val="24"/>
        </w:rPr>
        <w:t xml:space="preserve">espacios seguros e inclusivos donde los participantes, en este caso las </w:t>
      </w:r>
      <w:r>
        <w:rPr>
          <w:rFonts w:ascii="Times New Roman" w:hAnsi="Times New Roman" w:cs="Times New Roman"/>
          <w:sz w:val="24"/>
          <w:szCs w:val="24"/>
        </w:rPr>
        <w:t>víctimas</w:t>
      </w:r>
      <w:r w:rsidR="00803E46">
        <w:rPr>
          <w:rFonts w:ascii="Times New Roman" w:hAnsi="Times New Roman" w:cs="Times New Roman"/>
          <w:sz w:val="24"/>
          <w:szCs w:val="24"/>
        </w:rPr>
        <w:t xml:space="preserve"> de violencia y discriminación por motivos de género puedan compartir historias y experiencias personales.</w:t>
      </w:r>
    </w:p>
    <w:p w:rsidR="00803E46" w:rsidRDefault="0052124A" w:rsidP="008D04DD">
      <w:pPr>
        <w:jc w:val="both"/>
        <w:rPr>
          <w:rFonts w:ascii="Times New Roman" w:hAnsi="Times New Roman" w:cs="Times New Roman"/>
          <w:sz w:val="24"/>
          <w:szCs w:val="24"/>
        </w:rPr>
      </w:pPr>
      <w:r>
        <w:rPr>
          <w:rFonts w:ascii="Times New Roman" w:hAnsi="Times New Roman" w:cs="Times New Roman"/>
          <w:sz w:val="24"/>
          <w:szCs w:val="24"/>
        </w:rPr>
        <w:t xml:space="preserve">- </w:t>
      </w:r>
      <w:r w:rsidR="00803E46">
        <w:rPr>
          <w:rFonts w:ascii="Times New Roman" w:hAnsi="Times New Roman" w:cs="Times New Roman"/>
          <w:sz w:val="24"/>
          <w:szCs w:val="24"/>
        </w:rPr>
        <w:t xml:space="preserve">Abogar </w:t>
      </w:r>
      <w:r>
        <w:rPr>
          <w:rFonts w:ascii="Times New Roman" w:hAnsi="Times New Roman" w:cs="Times New Roman"/>
          <w:sz w:val="24"/>
          <w:szCs w:val="24"/>
        </w:rPr>
        <w:t>por que</w:t>
      </w:r>
      <w:r w:rsidR="00803E46">
        <w:rPr>
          <w:rFonts w:ascii="Times New Roman" w:hAnsi="Times New Roman" w:cs="Times New Roman"/>
          <w:sz w:val="24"/>
          <w:szCs w:val="24"/>
        </w:rPr>
        <w:t xml:space="preserve"> las instituciones</w:t>
      </w:r>
      <w:r>
        <w:rPr>
          <w:rFonts w:ascii="Times New Roman" w:hAnsi="Times New Roman" w:cs="Times New Roman"/>
          <w:sz w:val="24"/>
          <w:szCs w:val="24"/>
        </w:rPr>
        <w:t xml:space="preserve"> que tienen el encargo de atender y enfrentar la violencia de género</w:t>
      </w:r>
      <w:r w:rsidR="00803E46">
        <w:rPr>
          <w:rFonts w:ascii="Times New Roman" w:hAnsi="Times New Roman" w:cs="Times New Roman"/>
          <w:sz w:val="24"/>
          <w:szCs w:val="24"/>
        </w:rPr>
        <w:t xml:space="preserve"> </w:t>
      </w:r>
      <w:r w:rsidRPr="0052124A">
        <w:rPr>
          <w:rFonts w:ascii="Times New Roman" w:hAnsi="Times New Roman" w:cs="Times New Roman"/>
          <w:sz w:val="24"/>
          <w:szCs w:val="24"/>
        </w:rPr>
        <w:t xml:space="preserve">en las rendiciones de cuenta </w:t>
      </w:r>
      <w:r>
        <w:rPr>
          <w:rFonts w:ascii="Times New Roman" w:hAnsi="Times New Roman" w:cs="Times New Roman"/>
          <w:sz w:val="24"/>
          <w:szCs w:val="24"/>
        </w:rPr>
        <w:t xml:space="preserve">que realizan a la Asamblea Nacional del Poder Popular </w:t>
      </w:r>
      <w:r w:rsidR="00803E46">
        <w:rPr>
          <w:rFonts w:ascii="Times New Roman" w:hAnsi="Times New Roman" w:cs="Times New Roman"/>
          <w:sz w:val="24"/>
          <w:szCs w:val="24"/>
        </w:rPr>
        <w:t>o los órganos locales del Poder Popular</w:t>
      </w:r>
      <w:r>
        <w:rPr>
          <w:rFonts w:ascii="Times New Roman" w:hAnsi="Times New Roman" w:cs="Times New Roman"/>
          <w:sz w:val="24"/>
          <w:szCs w:val="24"/>
        </w:rPr>
        <w:t>, existan pautas especificas que</w:t>
      </w:r>
      <w:r w:rsidR="00803E46">
        <w:rPr>
          <w:rFonts w:ascii="Times New Roman" w:hAnsi="Times New Roman" w:cs="Times New Roman"/>
          <w:sz w:val="24"/>
          <w:szCs w:val="24"/>
        </w:rPr>
        <w:t xml:space="preserve"> contemplen los casos y solución a los mismos de violencia y discriminación por motivos de género, respetando la confidencialidad de las </w:t>
      </w:r>
      <w:r>
        <w:rPr>
          <w:rFonts w:ascii="Times New Roman" w:hAnsi="Times New Roman" w:cs="Times New Roman"/>
          <w:sz w:val="24"/>
          <w:szCs w:val="24"/>
        </w:rPr>
        <w:t>víctimas</w:t>
      </w:r>
      <w:r w:rsidR="00803E46">
        <w:rPr>
          <w:rFonts w:ascii="Times New Roman" w:hAnsi="Times New Roman" w:cs="Times New Roman"/>
          <w:sz w:val="24"/>
          <w:szCs w:val="24"/>
        </w:rPr>
        <w:t>.</w:t>
      </w:r>
    </w:p>
    <w:p w:rsidR="00803E46" w:rsidRDefault="0052124A" w:rsidP="008D04DD">
      <w:pPr>
        <w:jc w:val="both"/>
        <w:rPr>
          <w:rFonts w:ascii="Times New Roman" w:hAnsi="Times New Roman" w:cs="Times New Roman"/>
          <w:sz w:val="24"/>
          <w:szCs w:val="24"/>
        </w:rPr>
      </w:pPr>
      <w:r>
        <w:rPr>
          <w:rFonts w:ascii="Times New Roman" w:hAnsi="Times New Roman" w:cs="Times New Roman"/>
          <w:sz w:val="24"/>
          <w:szCs w:val="24"/>
        </w:rPr>
        <w:t xml:space="preserve">- </w:t>
      </w:r>
      <w:r w:rsidR="00803E46">
        <w:rPr>
          <w:rFonts w:ascii="Times New Roman" w:hAnsi="Times New Roman" w:cs="Times New Roman"/>
          <w:sz w:val="24"/>
          <w:szCs w:val="24"/>
        </w:rPr>
        <w:t xml:space="preserve">Lograr una respuesta integrada e integral </w:t>
      </w:r>
      <w:r>
        <w:rPr>
          <w:rFonts w:ascii="Times New Roman" w:hAnsi="Times New Roman" w:cs="Times New Roman"/>
          <w:sz w:val="24"/>
          <w:szCs w:val="24"/>
        </w:rPr>
        <w:t xml:space="preserve">del sistema en su conjunto </w:t>
      </w:r>
      <w:r w:rsidR="00803E46">
        <w:rPr>
          <w:rFonts w:ascii="Times New Roman" w:hAnsi="Times New Roman" w:cs="Times New Roman"/>
          <w:sz w:val="24"/>
          <w:szCs w:val="24"/>
        </w:rPr>
        <w:t>a las mujeres y otras personas en situaciones de violencia,  mediante servicios integrados.</w:t>
      </w:r>
    </w:p>
    <w:p w:rsidR="00803E46" w:rsidRDefault="0052124A" w:rsidP="008D04DD">
      <w:pPr>
        <w:jc w:val="both"/>
        <w:rPr>
          <w:rFonts w:ascii="Times New Roman" w:hAnsi="Times New Roman" w:cs="Times New Roman"/>
          <w:sz w:val="24"/>
          <w:szCs w:val="24"/>
        </w:rPr>
      </w:pPr>
      <w:r>
        <w:rPr>
          <w:rFonts w:ascii="Times New Roman" w:hAnsi="Times New Roman" w:cs="Times New Roman"/>
          <w:sz w:val="24"/>
          <w:szCs w:val="24"/>
        </w:rPr>
        <w:t xml:space="preserve">- </w:t>
      </w:r>
      <w:r w:rsidR="00803E46">
        <w:rPr>
          <w:rFonts w:ascii="Times New Roman" w:hAnsi="Times New Roman" w:cs="Times New Roman"/>
          <w:sz w:val="24"/>
          <w:szCs w:val="24"/>
        </w:rPr>
        <w:t xml:space="preserve">Incrementar las acciones de capacitación </w:t>
      </w:r>
      <w:r>
        <w:rPr>
          <w:rFonts w:ascii="Times New Roman" w:hAnsi="Times New Roman" w:cs="Times New Roman"/>
          <w:sz w:val="24"/>
          <w:szCs w:val="24"/>
        </w:rPr>
        <w:t>a</w:t>
      </w:r>
      <w:r w:rsidR="009B2F53">
        <w:rPr>
          <w:rFonts w:ascii="Times New Roman" w:hAnsi="Times New Roman" w:cs="Times New Roman"/>
          <w:sz w:val="24"/>
          <w:szCs w:val="24"/>
        </w:rPr>
        <w:t xml:space="preserve"> jueces, abogados, fiscales, defensores, mediadores, autoridades administrativas, agentes del Ministerio del Interior y otros funcionarios encargados de hacer cumplir la Ley, para elevar sus</w:t>
      </w:r>
      <w:r w:rsidR="00803E46">
        <w:rPr>
          <w:rFonts w:ascii="Times New Roman" w:hAnsi="Times New Roman" w:cs="Times New Roman"/>
          <w:sz w:val="24"/>
          <w:szCs w:val="24"/>
        </w:rPr>
        <w:t xml:space="preserve"> conocimiento</w:t>
      </w:r>
      <w:r w:rsidR="009B2F53">
        <w:rPr>
          <w:rFonts w:ascii="Times New Roman" w:hAnsi="Times New Roman" w:cs="Times New Roman"/>
          <w:sz w:val="24"/>
          <w:szCs w:val="24"/>
        </w:rPr>
        <w:t>s</w:t>
      </w:r>
      <w:r w:rsidR="00803E46">
        <w:rPr>
          <w:rFonts w:ascii="Times New Roman" w:hAnsi="Times New Roman" w:cs="Times New Roman"/>
          <w:sz w:val="24"/>
          <w:szCs w:val="24"/>
        </w:rPr>
        <w:t xml:space="preserve"> en materia de derechos humanos,  desde  la  perspectiva de género y de derechos sexuales y reproductivos.</w:t>
      </w:r>
    </w:p>
    <w:p w:rsidR="000019F3" w:rsidRDefault="0052124A" w:rsidP="008D04DD">
      <w:pPr>
        <w:jc w:val="both"/>
        <w:rPr>
          <w:rFonts w:ascii="Times New Roman" w:hAnsi="Times New Roman" w:cs="Times New Roman"/>
          <w:sz w:val="24"/>
          <w:szCs w:val="24"/>
        </w:rPr>
      </w:pPr>
      <w:r>
        <w:rPr>
          <w:rFonts w:ascii="Times New Roman" w:hAnsi="Times New Roman" w:cs="Times New Roman"/>
          <w:sz w:val="24"/>
          <w:szCs w:val="24"/>
        </w:rPr>
        <w:t xml:space="preserve">- </w:t>
      </w:r>
      <w:r w:rsidR="000019F3">
        <w:rPr>
          <w:rFonts w:ascii="Times New Roman" w:hAnsi="Times New Roman" w:cs="Times New Roman"/>
          <w:sz w:val="24"/>
          <w:szCs w:val="24"/>
        </w:rPr>
        <w:t xml:space="preserve">Que </w:t>
      </w:r>
      <w:r w:rsidR="0098121A">
        <w:rPr>
          <w:rFonts w:ascii="Times New Roman" w:hAnsi="Times New Roman" w:cs="Times New Roman"/>
          <w:sz w:val="24"/>
          <w:szCs w:val="24"/>
        </w:rPr>
        <w:t>los juristas s</w:t>
      </w:r>
      <w:r w:rsidR="000019F3">
        <w:rPr>
          <w:rFonts w:ascii="Times New Roman" w:hAnsi="Times New Roman" w:cs="Times New Roman"/>
          <w:sz w:val="24"/>
          <w:szCs w:val="24"/>
        </w:rPr>
        <w:t>e involucren y aporten más en función de las transformaciones de la sociedad cubana en materia</w:t>
      </w:r>
      <w:r w:rsidR="0098121A">
        <w:rPr>
          <w:rFonts w:ascii="Times New Roman" w:hAnsi="Times New Roman" w:cs="Times New Roman"/>
          <w:sz w:val="24"/>
          <w:szCs w:val="24"/>
        </w:rPr>
        <w:t xml:space="preserve"> de igualdad en torno al género.</w:t>
      </w:r>
    </w:p>
    <w:p w:rsidR="00803E46" w:rsidRDefault="0052124A" w:rsidP="008D04DD">
      <w:pPr>
        <w:jc w:val="both"/>
        <w:rPr>
          <w:rFonts w:ascii="Times New Roman" w:hAnsi="Times New Roman" w:cs="Times New Roman"/>
          <w:sz w:val="24"/>
          <w:szCs w:val="24"/>
        </w:rPr>
      </w:pPr>
      <w:r>
        <w:rPr>
          <w:rFonts w:ascii="Times New Roman" w:hAnsi="Times New Roman" w:cs="Times New Roman"/>
          <w:sz w:val="24"/>
          <w:szCs w:val="24"/>
        </w:rPr>
        <w:t>No podemos dejar de mencionar que se constata desde el trabajo de la Red</w:t>
      </w:r>
      <w:r w:rsidR="0033011C">
        <w:rPr>
          <w:rFonts w:ascii="Times New Roman" w:hAnsi="Times New Roman" w:cs="Times New Roman"/>
          <w:sz w:val="24"/>
          <w:szCs w:val="24"/>
        </w:rPr>
        <w:t xml:space="preserve"> de juristas por los Derechos Sexuales</w:t>
      </w:r>
      <w:r>
        <w:rPr>
          <w:rFonts w:ascii="Times New Roman" w:hAnsi="Times New Roman" w:cs="Times New Roman"/>
          <w:sz w:val="24"/>
          <w:szCs w:val="24"/>
        </w:rPr>
        <w:t>, el impacto d</w:t>
      </w:r>
      <w:r w:rsidR="00644AED">
        <w:rPr>
          <w:rFonts w:ascii="Times New Roman" w:hAnsi="Times New Roman" w:cs="Times New Roman"/>
          <w:sz w:val="24"/>
          <w:szCs w:val="24"/>
        </w:rPr>
        <w:t xml:space="preserve">el bloqueo económico y financiero impuesto por Estados Unidos a Cuba, </w:t>
      </w:r>
      <w:r w:rsidR="0033011C">
        <w:rPr>
          <w:rFonts w:ascii="Times New Roman" w:hAnsi="Times New Roman" w:cs="Times New Roman"/>
          <w:sz w:val="24"/>
          <w:szCs w:val="24"/>
        </w:rPr>
        <w:t>que sigue siendo el principal</w:t>
      </w:r>
      <w:r w:rsidR="00644AED">
        <w:rPr>
          <w:rFonts w:ascii="Times New Roman" w:hAnsi="Times New Roman" w:cs="Times New Roman"/>
          <w:sz w:val="24"/>
          <w:szCs w:val="24"/>
        </w:rPr>
        <w:t xml:space="preserve"> obstáculo</w:t>
      </w:r>
      <w:r>
        <w:rPr>
          <w:rFonts w:ascii="Times New Roman" w:hAnsi="Times New Roman" w:cs="Times New Roman"/>
          <w:sz w:val="24"/>
          <w:szCs w:val="24"/>
        </w:rPr>
        <w:t xml:space="preserve"> en la materialización y ejercicio efectivo de los derechos sexuales y reproductivos de todas las personas, entre sus efectos en esta materia, </w:t>
      </w:r>
      <w:r w:rsidR="0033011C">
        <w:rPr>
          <w:rFonts w:ascii="Times New Roman" w:hAnsi="Times New Roman" w:cs="Times New Roman"/>
          <w:sz w:val="24"/>
          <w:szCs w:val="24"/>
        </w:rPr>
        <w:t>podemos mencionar que</w:t>
      </w:r>
      <w:r>
        <w:rPr>
          <w:rFonts w:ascii="Times New Roman" w:hAnsi="Times New Roman" w:cs="Times New Roman"/>
          <w:sz w:val="24"/>
          <w:szCs w:val="24"/>
        </w:rPr>
        <w:t xml:space="preserve"> limita el acceso del país a insumos imprescindibles para prestar servicios de salud sexual y reproductiva, genera carencia de recursos y tecnologías para realizar técnicas de reproducción asistida, bloque</w:t>
      </w:r>
      <w:r w:rsidR="0033011C">
        <w:rPr>
          <w:rFonts w:ascii="Times New Roman" w:hAnsi="Times New Roman" w:cs="Times New Roman"/>
          <w:sz w:val="24"/>
          <w:szCs w:val="24"/>
        </w:rPr>
        <w:t>a</w:t>
      </w:r>
      <w:r>
        <w:rPr>
          <w:rFonts w:ascii="Times New Roman" w:hAnsi="Times New Roman" w:cs="Times New Roman"/>
          <w:sz w:val="24"/>
          <w:szCs w:val="24"/>
        </w:rPr>
        <w:t xml:space="preserve"> el accesos a condones, anticonceptivos y otros recursos necesarios para detectar y realizar labores de prevención </w:t>
      </w:r>
      <w:r w:rsidR="0033011C">
        <w:rPr>
          <w:rFonts w:ascii="Times New Roman" w:hAnsi="Times New Roman" w:cs="Times New Roman"/>
          <w:sz w:val="24"/>
          <w:szCs w:val="24"/>
        </w:rPr>
        <w:t>y atención a</w:t>
      </w:r>
      <w:r>
        <w:rPr>
          <w:rFonts w:ascii="Times New Roman" w:hAnsi="Times New Roman" w:cs="Times New Roman"/>
          <w:sz w:val="24"/>
          <w:szCs w:val="24"/>
        </w:rPr>
        <w:t xml:space="preserve"> la transmisión de Infecciones de Transmisión Sexual, </w:t>
      </w:r>
      <w:r w:rsidR="0033011C">
        <w:rPr>
          <w:rFonts w:ascii="Times New Roman" w:hAnsi="Times New Roman" w:cs="Times New Roman"/>
          <w:sz w:val="24"/>
          <w:szCs w:val="24"/>
        </w:rPr>
        <w:t xml:space="preserve">impacta negativamente </w:t>
      </w:r>
      <w:r>
        <w:rPr>
          <w:rFonts w:ascii="Times New Roman" w:hAnsi="Times New Roman" w:cs="Times New Roman"/>
          <w:sz w:val="24"/>
          <w:szCs w:val="24"/>
        </w:rPr>
        <w:t>en la planificación familiar, etc.</w:t>
      </w:r>
    </w:p>
    <w:p w:rsidR="0052124A" w:rsidRDefault="0052124A" w:rsidP="008D04DD">
      <w:pPr>
        <w:jc w:val="both"/>
        <w:rPr>
          <w:rFonts w:ascii="Times New Roman" w:hAnsi="Times New Roman" w:cs="Times New Roman"/>
          <w:sz w:val="24"/>
          <w:szCs w:val="24"/>
        </w:rPr>
      </w:pPr>
    </w:p>
    <w:p w:rsidR="0052124A" w:rsidRPr="0052124A" w:rsidRDefault="0052124A" w:rsidP="0052124A">
      <w:pPr>
        <w:spacing w:after="0" w:line="240" w:lineRule="auto"/>
        <w:jc w:val="both"/>
        <w:rPr>
          <w:rFonts w:ascii="Times New Roman" w:hAnsi="Times New Roman" w:cs="Times New Roman"/>
          <w:b/>
          <w:sz w:val="24"/>
          <w:szCs w:val="24"/>
        </w:rPr>
      </w:pPr>
      <w:r w:rsidRPr="0052124A">
        <w:rPr>
          <w:rFonts w:ascii="Times New Roman" w:hAnsi="Times New Roman" w:cs="Times New Roman"/>
          <w:b/>
          <w:sz w:val="24"/>
          <w:szCs w:val="24"/>
        </w:rPr>
        <w:t>Red de Juristas por los Derechos Sexuales</w:t>
      </w:r>
    </w:p>
    <w:p w:rsidR="008D04DD" w:rsidRDefault="0052124A" w:rsidP="00CB7900">
      <w:pPr>
        <w:spacing w:after="0" w:line="240" w:lineRule="auto"/>
        <w:jc w:val="both"/>
        <w:rPr>
          <w:rFonts w:ascii="Times New Roman" w:hAnsi="Times New Roman" w:cs="Times New Roman"/>
          <w:b/>
          <w:sz w:val="24"/>
          <w:szCs w:val="24"/>
        </w:rPr>
      </w:pPr>
      <w:r w:rsidRPr="0052124A">
        <w:rPr>
          <w:rFonts w:ascii="Times New Roman" w:hAnsi="Times New Roman" w:cs="Times New Roman"/>
          <w:b/>
          <w:sz w:val="24"/>
          <w:szCs w:val="24"/>
        </w:rPr>
        <w:t>Cuba.</w:t>
      </w:r>
    </w:p>
    <w:p w:rsidR="008D04DD" w:rsidRPr="008D04DD" w:rsidRDefault="008D04DD" w:rsidP="008D04DD">
      <w:pPr>
        <w:jc w:val="both"/>
        <w:rPr>
          <w:rFonts w:ascii="Times New Roman" w:hAnsi="Times New Roman" w:cs="Times New Roman"/>
          <w:b/>
          <w:sz w:val="24"/>
          <w:szCs w:val="24"/>
        </w:rPr>
      </w:pPr>
    </w:p>
    <w:sectPr w:rsidR="008D04DD" w:rsidRPr="008D04DD">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3C27" w:rsidRDefault="00D23C27" w:rsidP="006810F3">
      <w:pPr>
        <w:spacing w:after="0" w:line="240" w:lineRule="auto"/>
      </w:pPr>
      <w:r>
        <w:separator/>
      </w:r>
    </w:p>
  </w:endnote>
  <w:endnote w:type="continuationSeparator" w:id="0">
    <w:p w:rsidR="00D23C27" w:rsidRDefault="00D23C27" w:rsidP="006810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3C27" w:rsidRDefault="00D23C27" w:rsidP="006810F3">
      <w:pPr>
        <w:spacing w:after="0" w:line="240" w:lineRule="auto"/>
      </w:pPr>
      <w:r>
        <w:separator/>
      </w:r>
    </w:p>
  </w:footnote>
  <w:footnote w:type="continuationSeparator" w:id="0">
    <w:p w:rsidR="00D23C27" w:rsidRDefault="00D23C27" w:rsidP="006810F3">
      <w:pPr>
        <w:spacing w:after="0" w:line="240" w:lineRule="auto"/>
      </w:pPr>
      <w:r>
        <w:continuationSeparator/>
      </w:r>
    </w:p>
  </w:footnote>
  <w:footnote w:id="1">
    <w:p w:rsidR="00CA491A" w:rsidRPr="00CA491A" w:rsidRDefault="00CA491A" w:rsidP="00E07F23">
      <w:pPr>
        <w:pStyle w:val="Textonotapie"/>
        <w:jc w:val="both"/>
        <w:rPr>
          <w:lang w:val="es-MX"/>
        </w:rPr>
      </w:pPr>
      <w:r w:rsidRPr="009008F7">
        <w:rPr>
          <w:rStyle w:val="Refdenotaalpie"/>
          <w:rFonts w:ascii="Times New Roman" w:hAnsi="Times New Roman" w:cs="Times New Roman"/>
        </w:rPr>
        <w:footnoteRef/>
      </w:r>
      <w:r w:rsidR="009008F7" w:rsidRPr="009008F7">
        <w:rPr>
          <w:rFonts w:ascii="Times New Roman" w:hAnsi="Times New Roman" w:cs="Times New Roman"/>
          <w:lang w:val="es-MX"/>
        </w:rPr>
        <w:t>Constitución de la República de Cuba de 2019, Gaceta Oficial de la República de Cuba, edición Extraordinaria No 5 de 10 de abril de 2019.</w:t>
      </w:r>
    </w:p>
  </w:footnote>
  <w:footnote w:id="2">
    <w:p w:rsidR="00CA491A" w:rsidRPr="009008F7" w:rsidRDefault="00CA491A" w:rsidP="00E07F23">
      <w:pPr>
        <w:pStyle w:val="Textonotapie"/>
        <w:jc w:val="both"/>
        <w:rPr>
          <w:rFonts w:ascii="Times New Roman" w:hAnsi="Times New Roman" w:cs="Times New Roman"/>
          <w:lang w:val="es-MX"/>
        </w:rPr>
      </w:pPr>
      <w:r>
        <w:rPr>
          <w:rStyle w:val="Refdenotaalpie"/>
        </w:rPr>
        <w:footnoteRef/>
      </w:r>
      <w:r>
        <w:t xml:space="preserve"> </w:t>
      </w:r>
      <w:r w:rsidR="009008F7" w:rsidRPr="009008F7">
        <w:rPr>
          <w:rFonts w:ascii="Times New Roman" w:hAnsi="Times New Roman" w:cs="Times New Roman"/>
        </w:rPr>
        <w:t>Programa Nacional para el Adelanto de la Mujer, Decreto Presidencial No. 198 de 8 de marzo de 2021</w:t>
      </w:r>
      <w:r w:rsidR="009008F7">
        <w:rPr>
          <w:rFonts w:ascii="Times New Roman" w:hAnsi="Times New Roman" w:cs="Times New Roman"/>
        </w:rPr>
        <w:t xml:space="preserve">, </w:t>
      </w:r>
      <w:r w:rsidR="0061238B">
        <w:rPr>
          <w:rFonts w:ascii="Times New Roman" w:hAnsi="Times New Roman" w:cs="Times New Roman"/>
        </w:rPr>
        <w:t xml:space="preserve">Gaceta Oficial de la República de Cuba, </w:t>
      </w:r>
      <w:r w:rsidR="0061238B" w:rsidRPr="009008F7">
        <w:rPr>
          <w:rFonts w:ascii="Times New Roman" w:hAnsi="Times New Roman" w:cs="Times New Roman"/>
          <w:lang w:val="es-MX"/>
        </w:rPr>
        <w:t>edición Extraordinari</w:t>
      </w:r>
      <w:r w:rsidR="0061238B">
        <w:rPr>
          <w:rFonts w:ascii="Times New Roman" w:hAnsi="Times New Roman" w:cs="Times New Roman"/>
          <w:lang w:val="es-MX"/>
        </w:rPr>
        <w:t>a No 14 de 8 de marzo de 2021.</w:t>
      </w:r>
    </w:p>
  </w:footnote>
  <w:footnote w:id="3">
    <w:p w:rsidR="00CA491A" w:rsidRPr="00EA488D" w:rsidRDefault="00CA491A" w:rsidP="00E07F23">
      <w:pPr>
        <w:pStyle w:val="Textonotapie"/>
        <w:jc w:val="both"/>
        <w:rPr>
          <w:rFonts w:ascii="Times New Roman" w:hAnsi="Times New Roman" w:cs="Times New Roman"/>
          <w:lang w:val="es-MX"/>
        </w:rPr>
      </w:pPr>
      <w:r>
        <w:rPr>
          <w:rStyle w:val="Refdenotaalpie"/>
        </w:rPr>
        <w:footnoteRef/>
      </w:r>
      <w:r>
        <w:t xml:space="preserve"> </w:t>
      </w:r>
      <w:r w:rsidR="00EA488D" w:rsidRPr="00EA488D">
        <w:rPr>
          <w:rFonts w:ascii="Times New Roman" w:hAnsi="Times New Roman" w:cs="Times New Roman"/>
        </w:rPr>
        <w:t>Estrategia Integral de Prevención y Atención a la Violencia de Género y en el escenario familiar, aprobada por el Acuerdo No. 9231/21</w:t>
      </w:r>
      <w:r w:rsidR="00EA488D">
        <w:rPr>
          <w:rFonts w:ascii="Times New Roman" w:hAnsi="Times New Roman" w:cs="Times New Roman"/>
        </w:rPr>
        <w:t xml:space="preserve"> del Consejo de Ministros, </w:t>
      </w:r>
      <w:r w:rsidR="00EA488D" w:rsidRPr="00EA488D">
        <w:rPr>
          <w:rFonts w:ascii="Times New Roman" w:hAnsi="Times New Roman" w:cs="Times New Roman"/>
        </w:rPr>
        <w:t xml:space="preserve">Gaceta Oficial de la República de Cuba, </w:t>
      </w:r>
      <w:r w:rsidR="00EA488D" w:rsidRPr="00EA488D">
        <w:rPr>
          <w:rFonts w:ascii="Times New Roman" w:hAnsi="Times New Roman" w:cs="Times New Roman"/>
          <w:lang w:val="es-MX"/>
        </w:rPr>
        <w:t>edición Extraordinari</w:t>
      </w:r>
      <w:r w:rsidR="00EA488D">
        <w:rPr>
          <w:rFonts w:ascii="Times New Roman" w:hAnsi="Times New Roman" w:cs="Times New Roman"/>
          <w:lang w:val="es-MX"/>
        </w:rPr>
        <w:t>a No 101 de 9 de diciembre</w:t>
      </w:r>
      <w:r w:rsidR="00EA488D" w:rsidRPr="00EA488D">
        <w:rPr>
          <w:rFonts w:ascii="Times New Roman" w:hAnsi="Times New Roman" w:cs="Times New Roman"/>
          <w:lang w:val="es-MX"/>
        </w:rPr>
        <w:t xml:space="preserve"> de 2021.</w:t>
      </w:r>
    </w:p>
  </w:footnote>
  <w:footnote w:id="4">
    <w:p w:rsidR="00E07F23" w:rsidRPr="00E07F23" w:rsidRDefault="00CA491A" w:rsidP="00E07F23">
      <w:pPr>
        <w:pStyle w:val="Textonotapie"/>
        <w:jc w:val="both"/>
        <w:rPr>
          <w:rFonts w:ascii="Times New Roman" w:hAnsi="Times New Roman" w:cs="Times New Roman"/>
          <w:lang w:val="es-MX"/>
        </w:rPr>
      </w:pPr>
      <w:r>
        <w:rPr>
          <w:rStyle w:val="Refdenotaalpie"/>
        </w:rPr>
        <w:footnoteRef/>
      </w:r>
      <w:r>
        <w:t xml:space="preserve"> </w:t>
      </w:r>
      <w:r w:rsidR="00E07F23" w:rsidRPr="00E07F23">
        <w:rPr>
          <w:rFonts w:ascii="Times New Roman" w:hAnsi="Times New Roman" w:cs="Times New Roman"/>
        </w:rPr>
        <w:t>Ley Nº 156 de 2022</w:t>
      </w:r>
      <w:r w:rsidR="00E07F23">
        <w:rPr>
          <w:rFonts w:ascii="Times New Roman" w:hAnsi="Times New Roman" w:cs="Times New Roman"/>
        </w:rPr>
        <w:t xml:space="preserve">, Código de las Familias, </w:t>
      </w:r>
      <w:r w:rsidR="00E07F23" w:rsidRPr="00E07F23">
        <w:rPr>
          <w:rFonts w:ascii="Times New Roman" w:hAnsi="Times New Roman" w:cs="Times New Roman"/>
        </w:rPr>
        <w:t xml:space="preserve">Gaceta Oficial de la República de Cuba, </w:t>
      </w:r>
      <w:r w:rsidR="00E07F23">
        <w:rPr>
          <w:rFonts w:ascii="Times New Roman" w:hAnsi="Times New Roman" w:cs="Times New Roman"/>
          <w:lang w:val="es-MX"/>
        </w:rPr>
        <w:t>edición Ordinaria No 99 de 27 de septiembre de 2022</w:t>
      </w:r>
      <w:r w:rsidR="00E07F23" w:rsidRPr="00E07F23">
        <w:rPr>
          <w:rFonts w:ascii="Times New Roman" w:hAnsi="Times New Roman" w:cs="Times New Roman"/>
          <w:lang w:val="es-MX"/>
        </w:rPr>
        <w:t>.</w:t>
      </w:r>
    </w:p>
    <w:p w:rsidR="00CA491A" w:rsidRPr="00E07F23" w:rsidRDefault="00CA491A">
      <w:pPr>
        <w:pStyle w:val="Textonotapie"/>
        <w:rPr>
          <w:rFonts w:ascii="Times New Roman" w:hAnsi="Times New Roman" w:cs="Times New Roman"/>
          <w:lang w:val="es-MX"/>
        </w:rPr>
      </w:pPr>
    </w:p>
  </w:footnote>
  <w:footnote w:id="5">
    <w:p w:rsidR="002E6BBF" w:rsidRPr="00BF1C89" w:rsidRDefault="002E6BBF" w:rsidP="00BF1C89">
      <w:pPr>
        <w:pStyle w:val="Textonotapie"/>
        <w:jc w:val="both"/>
        <w:rPr>
          <w:rFonts w:ascii="Times New Roman" w:hAnsi="Times New Roman" w:cs="Times New Roman"/>
          <w:lang w:val="es-MX"/>
        </w:rPr>
      </w:pPr>
      <w:r w:rsidRPr="00BF1C89">
        <w:rPr>
          <w:rStyle w:val="Refdenotaalpie"/>
          <w:rFonts w:ascii="Times New Roman" w:hAnsi="Times New Roman" w:cs="Times New Roman"/>
        </w:rPr>
        <w:footnoteRef/>
      </w:r>
      <w:r w:rsidRPr="00BF1C89">
        <w:rPr>
          <w:rFonts w:ascii="Times New Roman" w:hAnsi="Times New Roman" w:cs="Times New Roman"/>
        </w:rPr>
        <w:t xml:space="preserve"> </w:t>
      </w:r>
      <w:r w:rsidR="00BF1C89" w:rsidRPr="00BF1C89">
        <w:rPr>
          <w:rFonts w:ascii="Times New Roman" w:hAnsi="Times New Roman" w:cs="Times New Roman"/>
        </w:rPr>
        <w:t>Ley 141 de 2021, Código de Procesos, Gaceta Oficial de la República de Cuba No 138 Ordinaria, del 7 de diciembre de 2021.</w:t>
      </w:r>
    </w:p>
  </w:footnote>
  <w:footnote w:id="6">
    <w:p w:rsidR="002E6BBF" w:rsidRPr="00BF1C89" w:rsidRDefault="002E6BBF" w:rsidP="00BF1C89">
      <w:pPr>
        <w:pStyle w:val="Textonotapie"/>
        <w:jc w:val="both"/>
        <w:rPr>
          <w:rFonts w:ascii="Times New Roman" w:hAnsi="Times New Roman" w:cs="Times New Roman"/>
          <w:lang w:val="es-MX"/>
        </w:rPr>
      </w:pPr>
      <w:r w:rsidRPr="00B02458">
        <w:rPr>
          <w:rStyle w:val="Refdenotaalpie"/>
          <w:rFonts w:ascii="Times New Roman" w:hAnsi="Times New Roman" w:cs="Times New Roman"/>
        </w:rPr>
        <w:footnoteRef/>
      </w:r>
      <w:r w:rsidRPr="00B02458">
        <w:rPr>
          <w:rFonts w:ascii="Times New Roman" w:hAnsi="Times New Roman" w:cs="Times New Roman"/>
        </w:rPr>
        <w:t xml:space="preserve"> </w:t>
      </w:r>
      <w:r w:rsidR="00B02458" w:rsidRPr="00B02458">
        <w:rPr>
          <w:rFonts w:ascii="Times New Roman" w:hAnsi="Times New Roman" w:cs="Times New Roman"/>
        </w:rPr>
        <w:t>Ley 143 de 2021, Ley del Proceso Penal, Gaceta Oficial de la República de Cuba No 140 Ordinaria, del 7 de diciembre de 2021.</w:t>
      </w:r>
    </w:p>
  </w:footnote>
  <w:footnote w:id="7">
    <w:p w:rsidR="00C43202" w:rsidRPr="00BF1C89" w:rsidRDefault="002E6BBF" w:rsidP="00BF1C89">
      <w:pPr>
        <w:pStyle w:val="Textonotapie"/>
        <w:jc w:val="both"/>
        <w:rPr>
          <w:rFonts w:ascii="Times New Roman" w:hAnsi="Times New Roman" w:cs="Times New Roman"/>
        </w:rPr>
      </w:pPr>
      <w:r w:rsidRPr="00BF1C89">
        <w:rPr>
          <w:rStyle w:val="Refdenotaalpie"/>
          <w:rFonts w:ascii="Times New Roman" w:hAnsi="Times New Roman" w:cs="Times New Roman"/>
        </w:rPr>
        <w:footnoteRef/>
      </w:r>
      <w:r w:rsidR="00C43202" w:rsidRPr="00BF1C89">
        <w:rPr>
          <w:rFonts w:ascii="Times New Roman" w:hAnsi="Times New Roman" w:cs="Times New Roman"/>
        </w:rPr>
        <w:t xml:space="preserve"> Ley 151 de 2022, Código Penal, Gaceta Oficial de la República de Cuba No 93 Ordinaria, del 1ro de septiembre de 2022.</w:t>
      </w:r>
    </w:p>
    <w:p w:rsidR="002E6BBF" w:rsidRPr="00BF1C89" w:rsidRDefault="002E6BBF" w:rsidP="00BF1C89">
      <w:pPr>
        <w:pStyle w:val="Textonotapie"/>
        <w:jc w:val="both"/>
        <w:rPr>
          <w:rFonts w:ascii="Times New Roman" w:hAnsi="Times New Roman" w:cs="Times New Roman"/>
          <w:lang w:val="es-MX"/>
        </w:rPr>
      </w:pPr>
      <w:r w:rsidRPr="00BF1C89">
        <w:rPr>
          <w:rFonts w:ascii="Times New Roman" w:hAnsi="Times New Roman" w:cs="Times New Roman"/>
        </w:rPr>
        <w:t xml:space="preserve"> </w:t>
      </w:r>
    </w:p>
  </w:footnote>
  <w:footnote w:id="8">
    <w:p w:rsidR="002E6BBF" w:rsidRPr="005A4990" w:rsidRDefault="002E6BBF" w:rsidP="005A4990">
      <w:pPr>
        <w:pStyle w:val="Textonotapie"/>
        <w:jc w:val="both"/>
        <w:rPr>
          <w:rFonts w:ascii="Times New Roman" w:hAnsi="Times New Roman" w:cs="Times New Roman"/>
          <w:lang w:val="es-MX"/>
        </w:rPr>
      </w:pPr>
      <w:r w:rsidRPr="005A4990">
        <w:rPr>
          <w:rStyle w:val="Refdenotaalpie"/>
          <w:rFonts w:ascii="Times New Roman" w:hAnsi="Times New Roman" w:cs="Times New Roman"/>
        </w:rPr>
        <w:footnoteRef/>
      </w:r>
      <w:r w:rsidR="005A4990" w:rsidRPr="005A4990">
        <w:rPr>
          <w:rFonts w:ascii="Times New Roman" w:hAnsi="Times New Roman" w:cs="Times New Roman"/>
        </w:rPr>
        <w:t xml:space="preserve"> Decreto 96 de 2023 del Consejo de Ministros, “Protocolo de actuación ante situaciones de discriminación, violencia y acoso en el ámbito laboral”</w:t>
      </w:r>
      <w:r w:rsidR="005A4990">
        <w:rPr>
          <w:rFonts w:ascii="Times New Roman" w:hAnsi="Times New Roman" w:cs="Times New Roman"/>
        </w:rPr>
        <w:t xml:space="preserve">, </w:t>
      </w:r>
      <w:r w:rsidR="005A4990" w:rsidRPr="00BF1C89">
        <w:rPr>
          <w:rFonts w:ascii="Times New Roman" w:hAnsi="Times New Roman" w:cs="Times New Roman"/>
        </w:rPr>
        <w:t>Gaceta Oficia</w:t>
      </w:r>
      <w:r w:rsidR="005A4990">
        <w:rPr>
          <w:rFonts w:ascii="Times New Roman" w:hAnsi="Times New Roman" w:cs="Times New Roman"/>
        </w:rPr>
        <w:t>l de la República de Cuba No 66</w:t>
      </w:r>
      <w:r w:rsidR="005A4990" w:rsidRPr="00BF1C89">
        <w:rPr>
          <w:rFonts w:ascii="Times New Roman" w:hAnsi="Times New Roman" w:cs="Times New Roman"/>
        </w:rPr>
        <w:t xml:space="preserve"> </w:t>
      </w:r>
      <w:r w:rsidR="005A4990">
        <w:rPr>
          <w:rFonts w:ascii="Times New Roman" w:hAnsi="Times New Roman" w:cs="Times New Roman"/>
        </w:rPr>
        <w:t>Extraordinaria</w:t>
      </w:r>
      <w:r w:rsidR="005A4990" w:rsidRPr="00BF1C89">
        <w:rPr>
          <w:rFonts w:ascii="Times New Roman" w:hAnsi="Times New Roman" w:cs="Times New Roman"/>
        </w:rPr>
        <w:t>,</w:t>
      </w:r>
      <w:r w:rsidR="005A4990">
        <w:rPr>
          <w:rFonts w:ascii="Times New Roman" w:hAnsi="Times New Roman" w:cs="Times New Roman"/>
        </w:rPr>
        <w:t xml:space="preserve"> del 28 de septiembre</w:t>
      </w:r>
      <w:r w:rsidR="005A4990" w:rsidRPr="00BF1C89">
        <w:rPr>
          <w:rFonts w:ascii="Times New Roman" w:hAnsi="Times New Roman" w:cs="Times New Roman"/>
        </w:rPr>
        <w:t xml:space="preserve"> de 202</w:t>
      </w:r>
      <w:r w:rsidR="005A4990">
        <w:rPr>
          <w:rFonts w:ascii="Times New Roman" w:hAnsi="Times New Roman" w:cs="Times New Roman"/>
        </w:rPr>
        <w:t>3</w:t>
      </w:r>
      <w:r w:rsidR="005A4990" w:rsidRPr="00BF1C89">
        <w:rPr>
          <w:rFonts w:ascii="Times New Roman" w:hAnsi="Times New Roman" w:cs="Times New Roman"/>
        </w:rPr>
        <w:t>.</w:t>
      </w:r>
    </w:p>
  </w:footnote>
  <w:footnote w:id="9">
    <w:p w:rsidR="00E34CE0" w:rsidRPr="005A4990" w:rsidRDefault="00E34CE0" w:rsidP="005A4990">
      <w:pPr>
        <w:pStyle w:val="Textonotapie"/>
        <w:jc w:val="both"/>
        <w:rPr>
          <w:rFonts w:ascii="Times New Roman" w:hAnsi="Times New Roman" w:cs="Times New Roman"/>
        </w:rPr>
      </w:pPr>
      <w:r w:rsidRPr="005A4990">
        <w:rPr>
          <w:rStyle w:val="Refdenotaalpie"/>
          <w:rFonts w:ascii="Times New Roman" w:hAnsi="Times New Roman" w:cs="Times New Roman"/>
        </w:rPr>
        <w:footnoteRef/>
      </w:r>
      <w:r w:rsidRPr="005A4990">
        <w:rPr>
          <w:rFonts w:ascii="Times New Roman" w:hAnsi="Times New Roman" w:cs="Times New Roman"/>
        </w:rPr>
        <w:t xml:space="preserve"> </w:t>
      </w:r>
      <w:r w:rsidR="00B173B0" w:rsidRPr="00B173B0">
        <w:rPr>
          <w:rFonts w:ascii="Times New Roman" w:hAnsi="Times New Roman" w:cs="Times New Roman"/>
          <w:smallCaps/>
        </w:rPr>
        <w:t>Calaña Pérez</w:t>
      </w:r>
      <w:r w:rsidR="00B173B0">
        <w:rPr>
          <w:rFonts w:ascii="Times New Roman" w:hAnsi="Times New Roman" w:cs="Times New Roman"/>
        </w:rPr>
        <w:t xml:space="preserve">, </w:t>
      </w:r>
      <w:proofErr w:type="spellStart"/>
      <w:r w:rsidR="00B173B0">
        <w:rPr>
          <w:rFonts w:ascii="Times New Roman" w:hAnsi="Times New Roman" w:cs="Times New Roman"/>
        </w:rPr>
        <w:t>Ivon</w:t>
      </w:r>
      <w:proofErr w:type="spellEnd"/>
      <w:r w:rsidR="00B173B0">
        <w:rPr>
          <w:rFonts w:ascii="Times New Roman" w:hAnsi="Times New Roman" w:cs="Times New Roman"/>
        </w:rPr>
        <w:t xml:space="preserve">, </w:t>
      </w:r>
      <w:r w:rsidR="00B173B0" w:rsidRPr="00B173B0">
        <w:rPr>
          <w:rFonts w:ascii="Times New Roman" w:hAnsi="Times New Roman" w:cs="Times New Roman"/>
          <w:i/>
        </w:rPr>
        <w:t>“Sistematización de la atención en el servicio de orientación jurídica del Centro Nacional de Educación Sexual”,</w:t>
      </w:r>
      <w:r w:rsidR="00B173B0">
        <w:rPr>
          <w:rFonts w:ascii="Times New Roman" w:hAnsi="Times New Roman" w:cs="Times New Roman"/>
        </w:rPr>
        <w:t xml:space="preserve"> Revista Sexología y Sociedad, No 61, junio de 2023, La Habana, Cuba.</w:t>
      </w:r>
    </w:p>
  </w:footnote>
  <w:footnote w:id="10">
    <w:p w:rsidR="00E34CE0" w:rsidRDefault="00E34CE0" w:rsidP="00E34CE0">
      <w:pPr>
        <w:pStyle w:val="Textonotapie"/>
      </w:pPr>
      <w:r>
        <w:rPr>
          <w:rStyle w:val="Refdenotaalpie"/>
        </w:rPr>
        <w:footnoteRef/>
      </w:r>
      <w:r>
        <w:t xml:space="preserve"> </w:t>
      </w:r>
      <w:r w:rsidR="004006B5" w:rsidRPr="00B173B0">
        <w:rPr>
          <w:rFonts w:ascii="Times New Roman" w:hAnsi="Times New Roman" w:cs="Times New Roman"/>
          <w:smallCaps/>
        </w:rPr>
        <w:t>Calaña Pérez</w:t>
      </w:r>
      <w:r w:rsidR="004006B5">
        <w:rPr>
          <w:rFonts w:ascii="Times New Roman" w:hAnsi="Times New Roman" w:cs="Times New Roman"/>
        </w:rPr>
        <w:t xml:space="preserve">, </w:t>
      </w:r>
      <w:proofErr w:type="spellStart"/>
      <w:r w:rsidR="004006B5">
        <w:rPr>
          <w:rFonts w:ascii="Times New Roman" w:hAnsi="Times New Roman" w:cs="Times New Roman"/>
        </w:rPr>
        <w:t>Ivon</w:t>
      </w:r>
      <w:proofErr w:type="spellEnd"/>
      <w:r w:rsidR="004006B5">
        <w:rPr>
          <w:rFonts w:ascii="Times New Roman" w:hAnsi="Times New Roman" w:cs="Times New Roman"/>
        </w:rPr>
        <w:t xml:space="preserve">, </w:t>
      </w:r>
      <w:r w:rsidR="004006B5" w:rsidRPr="004006B5">
        <w:rPr>
          <w:rFonts w:ascii="Times New Roman" w:hAnsi="Times New Roman" w:cs="Times New Roman"/>
          <w:i/>
        </w:rPr>
        <w:t>Derechos sexuales en Cuba. Pautas para el desarrollo efectivo del servicio de orientación jurídica del Centro Nacional de Educación Sexual</w:t>
      </w:r>
      <w:r w:rsidR="004006B5">
        <w:rPr>
          <w:rFonts w:ascii="Times New Roman" w:hAnsi="Times New Roman" w:cs="Times New Roman"/>
          <w:i/>
        </w:rPr>
        <w:t xml:space="preserve">, </w:t>
      </w:r>
      <w:r w:rsidR="004006B5" w:rsidRPr="004006B5">
        <w:rPr>
          <w:rFonts w:ascii="Times New Roman" w:hAnsi="Times New Roman" w:cs="Times New Roman"/>
        </w:rPr>
        <w:t>Ed CENESEX, La Habana, 2020.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AE409F"/>
    <w:multiLevelType w:val="hybridMultilevel"/>
    <w:tmpl w:val="0018D1E4"/>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191B5FFA"/>
    <w:multiLevelType w:val="hybridMultilevel"/>
    <w:tmpl w:val="80362C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2DE61F7B"/>
    <w:multiLevelType w:val="hybridMultilevel"/>
    <w:tmpl w:val="EED85554"/>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E83"/>
    <w:rsid w:val="000019F3"/>
    <w:rsid w:val="0001357A"/>
    <w:rsid w:val="00066E73"/>
    <w:rsid w:val="000F06F0"/>
    <w:rsid w:val="000F09A4"/>
    <w:rsid w:val="0010678E"/>
    <w:rsid w:val="001E6EF8"/>
    <w:rsid w:val="0027477B"/>
    <w:rsid w:val="002B078D"/>
    <w:rsid w:val="002D2414"/>
    <w:rsid w:val="002E6BBF"/>
    <w:rsid w:val="00316B23"/>
    <w:rsid w:val="0033011C"/>
    <w:rsid w:val="00376237"/>
    <w:rsid w:val="004006B5"/>
    <w:rsid w:val="00425C00"/>
    <w:rsid w:val="004A7B43"/>
    <w:rsid w:val="004B4A08"/>
    <w:rsid w:val="00511951"/>
    <w:rsid w:val="00512E76"/>
    <w:rsid w:val="0052124A"/>
    <w:rsid w:val="00590E83"/>
    <w:rsid w:val="005A4990"/>
    <w:rsid w:val="005E468C"/>
    <w:rsid w:val="0061238B"/>
    <w:rsid w:val="00644AED"/>
    <w:rsid w:val="0065140A"/>
    <w:rsid w:val="00675163"/>
    <w:rsid w:val="006810F3"/>
    <w:rsid w:val="00695493"/>
    <w:rsid w:val="006B18B9"/>
    <w:rsid w:val="006F33CD"/>
    <w:rsid w:val="00803E46"/>
    <w:rsid w:val="00843659"/>
    <w:rsid w:val="0085383A"/>
    <w:rsid w:val="0088602C"/>
    <w:rsid w:val="008D04DD"/>
    <w:rsid w:val="009008F7"/>
    <w:rsid w:val="00980EDB"/>
    <w:rsid w:val="0098121A"/>
    <w:rsid w:val="009B2F53"/>
    <w:rsid w:val="00A06391"/>
    <w:rsid w:val="00A25355"/>
    <w:rsid w:val="00A26A79"/>
    <w:rsid w:val="00A6173B"/>
    <w:rsid w:val="00AF4C25"/>
    <w:rsid w:val="00B02458"/>
    <w:rsid w:val="00B173B0"/>
    <w:rsid w:val="00B45A99"/>
    <w:rsid w:val="00BA1A81"/>
    <w:rsid w:val="00BF1C89"/>
    <w:rsid w:val="00C21D2E"/>
    <w:rsid w:val="00C43202"/>
    <w:rsid w:val="00CA491A"/>
    <w:rsid w:val="00CB7900"/>
    <w:rsid w:val="00CC2A3B"/>
    <w:rsid w:val="00D23C27"/>
    <w:rsid w:val="00D245B0"/>
    <w:rsid w:val="00D31A70"/>
    <w:rsid w:val="00D46964"/>
    <w:rsid w:val="00DA5FD1"/>
    <w:rsid w:val="00DC2A92"/>
    <w:rsid w:val="00E07F23"/>
    <w:rsid w:val="00E10314"/>
    <w:rsid w:val="00E22E87"/>
    <w:rsid w:val="00E34CE0"/>
    <w:rsid w:val="00E75CB4"/>
    <w:rsid w:val="00EA172C"/>
    <w:rsid w:val="00EA488D"/>
    <w:rsid w:val="00F1336E"/>
    <w:rsid w:val="00FC5784"/>
    <w:rsid w:val="00FE49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8E0DE3-05B7-4ED0-A957-97C2579FA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21D2E"/>
    <w:rPr>
      <w:color w:val="0563C1" w:themeColor="hyperlink"/>
      <w:u w:val="single"/>
    </w:rPr>
  </w:style>
  <w:style w:type="paragraph" w:styleId="Textonotapie">
    <w:name w:val="footnote text"/>
    <w:basedOn w:val="Normal"/>
    <w:link w:val="TextonotapieCar"/>
    <w:uiPriority w:val="99"/>
    <w:semiHidden/>
    <w:unhideWhenUsed/>
    <w:rsid w:val="006810F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810F3"/>
    <w:rPr>
      <w:sz w:val="20"/>
      <w:szCs w:val="20"/>
    </w:rPr>
  </w:style>
  <w:style w:type="character" w:styleId="Refdenotaalpie">
    <w:name w:val="footnote reference"/>
    <w:basedOn w:val="Fuentedeprrafopredeter"/>
    <w:uiPriority w:val="99"/>
    <w:semiHidden/>
    <w:unhideWhenUsed/>
    <w:rsid w:val="006810F3"/>
    <w:rPr>
      <w:vertAlign w:val="superscript"/>
    </w:rPr>
  </w:style>
  <w:style w:type="paragraph" w:styleId="Prrafodelista">
    <w:name w:val="List Paragraph"/>
    <w:basedOn w:val="Normal"/>
    <w:uiPriority w:val="34"/>
    <w:qFormat/>
    <w:rsid w:val="005212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dulafatima96@gam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ISO690Nmerical.XSL" StyleName="ISO 690 - Referencia numérica" Version="1987"/>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D08AB4-CEA9-43C4-802A-D51F4CD5DAF5}">
  <ds:schemaRefs>
    <ds:schemaRef ds:uri="http://schemas.openxmlformats.org/officeDocument/2006/bibliography"/>
  </ds:schemaRefs>
</ds:datastoreItem>
</file>

<file path=customXml/itemProps2.xml><?xml version="1.0" encoding="utf-8"?>
<ds:datastoreItem xmlns:ds="http://schemas.openxmlformats.org/officeDocument/2006/customXml" ds:itemID="{B64D8EEF-34F6-40E3-9401-869526B56801}"/>
</file>

<file path=customXml/itemProps3.xml><?xml version="1.0" encoding="utf-8"?>
<ds:datastoreItem xmlns:ds="http://schemas.openxmlformats.org/officeDocument/2006/customXml" ds:itemID="{A65DB2AD-7042-45B9-BA78-A9010CCD53EC}"/>
</file>

<file path=docProps/app.xml><?xml version="1.0" encoding="utf-8"?>
<Properties xmlns="http://schemas.openxmlformats.org/officeDocument/2006/extended-properties" xmlns:vt="http://schemas.openxmlformats.org/officeDocument/2006/docPropsVTypes">
  <Template>Normal</Template>
  <TotalTime>2</TotalTime>
  <Pages>5</Pages>
  <Words>2262</Words>
  <Characters>12445</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Cenesex</dc:creator>
  <cp:keywords/>
  <dc:description/>
  <cp:lastModifiedBy>Cenesex</cp:lastModifiedBy>
  <cp:revision>4</cp:revision>
  <dcterms:created xsi:type="dcterms:W3CDTF">2024-09-05T22:43:00Z</dcterms:created>
  <dcterms:modified xsi:type="dcterms:W3CDTF">2024-09-07T00:19:00Z</dcterms:modified>
</cp:coreProperties>
</file>