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9C1CA" w14:textId="77777777" w:rsidR="00611B7E" w:rsidRDefault="00611B7E">
      <w:pPr>
        <w:rPr>
          <w:lang w:val="es-US"/>
        </w:rPr>
      </w:pPr>
      <w:bookmarkStart w:id="0" w:name="_GoBack"/>
      <w:bookmarkEnd w:id="0"/>
    </w:p>
    <w:sdt>
      <w:sdtPr>
        <w:rPr>
          <w:lang w:val="es-US"/>
        </w:rPr>
        <w:id w:val="-286283515"/>
        <w:docPartObj>
          <w:docPartGallery w:val="Cover Pages"/>
          <w:docPartUnique/>
        </w:docPartObj>
      </w:sdtPr>
      <w:sdtEndPr>
        <w:rPr>
          <w:lang w:val="uz-Cyrl-UZ"/>
        </w:rPr>
      </w:sdtEndPr>
      <w:sdtContent>
        <w:p w14:paraId="0B4EBE0C" w14:textId="77777777" w:rsidR="00DC635B" w:rsidRDefault="00DC635B" w:rsidP="00DC635B">
          <w:pPr>
            <w:jc w:val="both"/>
            <w:rPr>
              <w:color w:val="202124"/>
              <w:sz w:val="24"/>
              <w:szCs w:val="24"/>
            </w:rPr>
          </w:pPr>
          <w:r>
            <w:rPr>
              <w:lang w:val="es-US"/>
            </w:rPr>
            <w:tab/>
          </w:r>
        </w:p>
        <w:p w14:paraId="66DD7D97" w14:textId="77777777" w:rsidR="00DC635B" w:rsidRPr="00DC635B" w:rsidRDefault="00DC635B" w:rsidP="00DC635B">
          <w:pPr>
            <w:jc w:val="right"/>
            <w:rPr>
              <w:rFonts w:asciiTheme="minorHAnsi" w:eastAsiaTheme="minorHAnsi" w:hAnsiTheme="minorHAnsi" w:cstheme="minorHAnsi"/>
              <w:bCs/>
              <w:sz w:val="24"/>
              <w:szCs w:val="24"/>
            </w:rPr>
          </w:pPr>
          <w:r w:rsidRPr="00DC635B">
            <w:rPr>
              <w:rFonts w:cstheme="minorHAnsi"/>
              <w:bCs/>
              <w:sz w:val="24"/>
              <w:szCs w:val="24"/>
              <w:lang w:val="es-ES_tradnl"/>
            </w:rPr>
            <w:t xml:space="preserve">Este documento puede publicarse en la página web de la OACDH </w:t>
          </w:r>
        </w:p>
        <w:p w14:paraId="0AA7C067" w14:textId="5A2802A3" w:rsidR="0065006D" w:rsidRDefault="0065006D" w:rsidP="00DC635B">
          <w:pPr>
            <w:tabs>
              <w:tab w:val="center" w:pos="4514"/>
            </w:tabs>
            <w:jc w:val="right"/>
            <w:rPr>
              <w:rFonts w:cstheme="minorHAnsi"/>
              <w:b/>
              <w:bCs/>
              <w:sz w:val="24"/>
              <w:szCs w:val="24"/>
            </w:rPr>
          </w:pPr>
        </w:p>
        <w:tbl>
          <w:tblPr>
            <w:tblStyle w:val="Tabladecuadrcula1clara-nfasis5"/>
            <w:tblW w:w="0" w:type="auto"/>
            <w:jc w:val="center"/>
            <w:tblInd w:w="0" w:type="dxa"/>
            <w:tblLook w:val="04A0" w:firstRow="1" w:lastRow="0" w:firstColumn="1" w:lastColumn="0" w:noHBand="0" w:noVBand="1"/>
          </w:tblPr>
          <w:tblGrid>
            <w:gridCol w:w="8808"/>
          </w:tblGrid>
          <w:tr w:rsidR="0065006D" w14:paraId="51533DDF" w14:textId="77777777" w:rsidTr="006500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08" w:type="dxa"/>
                <w:tcBorders>
                  <w:top w:val="single" w:sz="12" w:space="0" w:color="4F81BD" w:themeColor="accent1"/>
                  <w:left w:val="single" w:sz="12" w:space="0" w:color="4F81BD" w:themeColor="accent1"/>
                  <w:bottom w:val="single" w:sz="12" w:space="0" w:color="4F81BD" w:themeColor="accent1"/>
                  <w:right w:val="single" w:sz="12" w:space="0" w:color="4F81BD" w:themeColor="accent1"/>
                </w:tcBorders>
                <w:shd w:val="clear" w:color="auto" w:fill="CCCCFF"/>
              </w:tcPr>
              <w:p w14:paraId="608CF314" w14:textId="77777777" w:rsidR="0065006D" w:rsidRDefault="0065006D">
                <w:pPr>
                  <w:spacing w:line="276" w:lineRule="auto"/>
                  <w:jc w:val="center"/>
                  <w:rPr>
                    <w:rFonts w:cstheme="minorHAnsi"/>
                    <w:b w:val="0"/>
                    <w:bCs w:val="0"/>
                    <w:sz w:val="24"/>
                    <w:szCs w:val="24"/>
                  </w:rPr>
                </w:pPr>
              </w:p>
              <w:p w14:paraId="1A5620EE" w14:textId="3DEE1F79" w:rsidR="0065006D" w:rsidRPr="00DC635B" w:rsidRDefault="00DC635B">
                <w:pPr>
                  <w:spacing w:line="276" w:lineRule="auto"/>
                  <w:jc w:val="center"/>
                  <w:rPr>
                    <w:rFonts w:cstheme="minorHAnsi"/>
                    <w:sz w:val="24"/>
                    <w:szCs w:val="24"/>
                  </w:rPr>
                </w:pPr>
                <w:r w:rsidRPr="00DC635B">
                  <w:rPr>
                    <w:rFonts w:cstheme="minorHAnsi"/>
                    <w:sz w:val="24"/>
                    <w:szCs w:val="24"/>
                  </w:rPr>
                  <w:t>INFORME SOMBRA SOBRE MUJERES PRIVADAS DE LA LIBERTAD POR ABORTO Y VIOLENCIA OBSTÉTRICA</w:t>
                </w:r>
              </w:p>
              <w:p w14:paraId="753A1C0E" w14:textId="77777777" w:rsidR="0065006D" w:rsidRDefault="0065006D">
                <w:pPr>
                  <w:spacing w:line="276" w:lineRule="auto"/>
                  <w:jc w:val="center"/>
                  <w:rPr>
                    <w:rFonts w:cstheme="minorHAnsi"/>
                    <w:b w:val="0"/>
                    <w:bCs w:val="0"/>
                    <w:sz w:val="24"/>
                    <w:szCs w:val="24"/>
                  </w:rPr>
                </w:pPr>
              </w:p>
            </w:tc>
          </w:tr>
        </w:tbl>
        <w:p w14:paraId="0179665D" w14:textId="77777777" w:rsidR="0065006D" w:rsidRDefault="0065006D" w:rsidP="0065006D">
          <w:pPr>
            <w:ind w:right="-142"/>
            <w:jc w:val="both"/>
            <w:rPr>
              <w:rFonts w:asciiTheme="minorHAnsi" w:hAnsiTheme="minorHAnsi" w:cstheme="minorHAnsi"/>
              <w:kern w:val="2"/>
              <w:sz w:val="24"/>
              <w:szCs w:val="24"/>
              <w:lang w:eastAsia="en-US"/>
              <w14:ligatures w14:val="standardContextual"/>
            </w:rPr>
          </w:pPr>
        </w:p>
        <w:p w14:paraId="2958A2CD" w14:textId="77777777" w:rsidR="0065006D" w:rsidRDefault="0065006D" w:rsidP="0065006D">
          <w:pPr>
            <w:jc w:val="both"/>
            <w:rPr>
              <w:rFonts w:cstheme="minorHAnsi"/>
              <w:color w:val="000000" w:themeColor="text1"/>
              <w:sz w:val="24"/>
              <w:szCs w:val="24"/>
            </w:rPr>
          </w:pPr>
        </w:p>
        <w:p w14:paraId="16ADAC88" w14:textId="6AF0BD34" w:rsidR="00DC635B" w:rsidRDefault="0065006D" w:rsidP="00DC635B">
          <w:pPr>
            <w:jc w:val="both"/>
            <w:rPr>
              <w:rFonts w:cstheme="minorHAnsi"/>
              <w:iCs/>
              <w:sz w:val="24"/>
              <w:szCs w:val="24"/>
              <w:lang w:val="es-MX"/>
            </w:rPr>
          </w:pPr>
          <w:r>
            <w:rPr>
              <w:rFonts w:cstheme="minorHAnsi"/>
              <w:color w:val="000000" w:themeColor="text1"/>
              <w:sz w:val="24"/>
              <w:szCs w:val="24"/>
            </w:rPr>
            <w:t xml:space="preserve">El presente informe lo envía </w:t>
          </w:r>
          <w:r>
            <w:rPr>
              <w:rFonts w:cstheme="minorHAnsi"/>
              <w:color w:val="000000" w:themeColor="text1"/>
              <w:sz w:val="24"/>
              <w:szCs w:val="24"/>
              <w:lang w:val="es-MX"/>
            </w:rPr>
            <w:t>la Dra. Felipa Pérez Sánchez</w:t>
          </w:r>
          <w:r>
            <w:rPr>
              <w:rFonts w:cstheme="minorHAnsi"/>
              <w:color w:val="000000" w:themeColor="text1"/>
              <w:sz w:val="24"/>
              <w:szCs w:val="24"/>
            </w:rPr>
            <w:t xml:space="preserve">, </w:t>
          </w:r>
          <w:r w:rsidR="00DC635B">
            <w:rPr>
              <w:rFonts w:cstheme="minorHAnsi"/>
              <w:color w:val="000000" w:themeColor="text1"/>
              <w:sz w:val="24"/>
              <w:szCs w:val="24"/>
              <w:lang w:val="es-MX"/>
            </w:rPr>
            <w:t xml:space="preserve">Directora </w:t>
          </w:r>
          <w:r>
            <w:rPr>
              <w:rFonts w:cstheme="minorHAnsi"/>
              <w:color w:val="000000" w:themeColor="text1"/>
              <w:sz w:val="24"/>
              <w:szCs w:val="24"/>
              <w:lang w:val="es-MX"/>
            </w:rPr>
            <w:t xml:space="preserve">de la División Académica de Ciencias Sociales y Humanidades de la Universidad Juárez Autónoma de Tabasco, </w:t>
          </w:r>
          <w:r>
            <w:rPr>
              <w:rFonts w:cstheme="minorHAnsi"/>
              <w:sz w:val="24"/>
              <w:szCs w:val="24"/>
            </w:rPr>
            <w:t>en colaboración con</w:t>
          </w:r>
          <w:r w:rsidR="00DC635B">
            <w:rPr>
              <w:rFonts w:cstheme="minorHAnsi"/>
              <w:sz w:val="24"/>
              <w:szCs w:val="24"/>
              <w:lang w:val="es-MX"/>
            </w:rPr>
            <w:t xml:space="preserve"> la Red de </w:t>
          </w:r>
          <w:r w:rsidR="00DC635B">
            <w:rPr>
              <w:rFonts w:cstheme="minorHAnsi"/>
              <w:iCs/>
              <w:sz w:val="24"/>
              <w:szCs w:val="24"/>
              <w:lang w:val="es-MX"/>
            </w:rPr>
            <w:t>Profesoras e Investigadoras en Derechos Humanos de México, La Federación Mexicana de Universitarias y la Cátedra UNESCO de Derechos Humanos de la UNAM.</w:t>
          </w:r>
        </w:p>
        <w:p w14:paraId="3AA16D3F" w14:textId="77777777" w:rsidR="00DC635B" w:rsidRDefault="00DC635B" w:rsidP="00DC635B">
          <w:pPr>
            <w:jc w:val="both"/>
            <w:rPr>
              <w:rFonts w:cstheme="minorHAnsi"/>
              <w:iCs/>
              <w:sz w:val="24"/>
              <w:szCs w:val="24"/>
              <w:lang w:val="es-MX"/>
            </w:rPr>
          </w:pPr>
        </w:p>
        <w:p w14:paraId="343D6815" w14:textId="7403C0B5" w:rsidR="0065006D" w:rsidRDefault="00DC635B" w:rsidP="0065006D">
          <w:pPr>
            <w:jc w:val="both"/>
            <w:rPr>
              <w:rFonts w:cstheme="minorHAnsi"/>
              <w:sz w:val="24"/>
              <w:szCs w:val="24"/>
            </w:rPr>
          </w:pPr>
          <w:r>
            <w:rPr>
              <w:rFonts w:cstheme="minorHAnsi"/>
              <w:iCs/>
              <w:sz w:val="24"/>
              <w:szCs w:val="24"/>
              <w:lang w:val="es-MX"/>
            </w:rPr>
            <w:t xml:space="preserve">Con la colaboración de: </w:t>
          </w:r>
        </w:p>
        <w:p w14:paraId="5EAFFB15" w14:textId="1FE46F27" w:rsidR="0065006D" w:rsidRPr="0065006D" w:rsidRDefault="00DC635B" w:rsidP="0065006D">
          <w:pPr>
            <w:jc w:val="both"/>
            <w:rPr>
              <w:rFonts w:cstheme="minorHAnsi"/>
              <w:iCs/>
              <w:sz w:val="24"/>
              <w:szCs w:val="24"/>
              <w:lang w:val="es-MX"/>
            </w:rPr>
          </w:pPr>
          <w:r>
            <w:rPr>
              <w:rFonts w:cstheme="minorHAnsi"/>
              <w:iCs/>
              <w:sz w:val="24"/>
              <w:szCs w:val="24"/>
              <w:lang w:val="es-MX"/>
            </w:rPr>
            <w:t>Azucena Enríquez, Secretaría académica de l</w:t>
          </w:r>
          <w:r w:rsidR="0065006D">
            <w:rPr>
              <w:rFonts w:cstheme="minorHAnsi"/>
              <w:iCs/>
              <w:sz w:val="24"/>
              <w:szCs w:val="24"/>
              <w:lang w:val="es-MX"/>
            </w:rPr>
            <w:t>a Red de Profesoras e Investigadoras en Derechos Humanos de México</w:t>
          </w:r>
          <w:r>
            <w:rPr>
              <w:rFonts w:cstheme="minorHAnsi"/>
              <w:iCs/>
              <w:sz w:val="24"/>
              <w:szCs w:val="24"/>
              <w:lang w:val="es-MX"/>
            </w:rPr>
            <w:t>.</w:t>
          </w:r>
        </w:p>
        <w:p w14:paraId="62ADA560" w14:textId="77777777" w:rsidR="00DC635B" w:rsidRDefault="00DC635B" w:rsidP="00DC635B">
          <w:pPr>
            <w:jc w:val="both"/>
            <w:rPr>
              <w:rFonts w:cstheme="minorHAnsi"/>
              <w:iCs/>
              <w:sz w:val="24"/>
              <w:szCs w:val="24"/>
            </w:rPr>
          </w:pPr>
          <w:r>
            <w:rPr>
              <w:rFonts w:cstheme="minorHAnsi"/>
              <w:iCs/>
              <w:sz w:val="24"/>
              <w:szCs w:val="24"/>
            </w:rPr>
            <w:t xml:space="preserve">Gloria Ramírez, </w:t>
          </w:r>
          <w:r>
            <w:rPr>
              <w:rFonts w:cstheme="minorHAnsi"/>
              <w:iCs/>
              <w:sz w:val="24"/>
              <w:szCs w:val="24"/>
              <w:lang w:val="es-MX"/>
            </w:rPr>
            <w:t>C</w:t>
          </w:r>
          <w:r>
            <w:rPr>
              <w:rFonts w:cstheme="minorHAnsi"/>
              <w:iCs/>
              <w:sz w:val="24"/>
              <w:szCs w:val="24"/>
            </w:rPr>
            <w:t>oordinadora de la Cátedra Unesco de Derechos Humanos de la UNAM (CUDH-UNAM)</w:t>
          </w:r>
        </w:p>
        <w:p w14:paraId="3335B545" w14:textId="7056884E" w:rsidR="0065006D" w:rsidRDefault="0065006D" w:rsidP="0065006D">
          <w:pPr>
            <w:jc w:val="both"/>
            <w:rPr>
              <w:rFonts w:cstheme="minorHAnsi"/>
              <w:sz w:val="24"/>
              <w:szCs w:val="24"/>
              <w:lang w:val="es-MX"/>
            </w:rPr>
          </w:pPr>
          <w:r>
            <w:rPr>
              <w:rFonts w:cstheme="minorHAnsi"/>
              <w:sz w:val="24"/>
              <w:szCs w:val="24"/>
              <w:lang w:val="es-MX"/>
            </w:rPr>
            <w:t>Paola Cisneros, asistente de investigación CUDH-UNAM</w:t>
          </w:r>
        </w:p>
        <w:p w14:paraId="77E3919F" w14:textId="2D1D22A0" w:rsidR="0065006D" w:rsidRPr="0065006D" w:rsidRDefault="0065006D" w:rsidP="0065006D">
          <w:pPr>
            <w:jc w:val="both"/>
            <w:rPr>
              <w:rFonts w:cstheme="minorHAnsi"/>
              <w:sz w:val="24"/>
              <w:szCs w:val="24"/>
              <w:lang w:val="es-MX"/>
            </w:rPr>
          </w:pPr>
          <w:r>
            <w:rPr>
              <w:rFonts w:cstheme="minorHAnsi"/>
              <w:sz w:val="24"/>
              <w:szCs w:val="24"/>
              <w:lang w:val="es-MX"/>
            </w:rPr>
            <w:t>Maricarmen Pérez Sandoval, maestrante UJAT</w:t>
          </w:r>
        </w:p>
        <w:p w14:paraId="2E77E505" w14:textId="77777777" w:rsidR="0065006D" w:rsidRDefault="0065006D" w:rsidP="0065006D">
          <w:pPr>
            <w:ind w:left="720"/>
            <w:jc w:val="both"/>
            <w:rPr>
              <w:rFonts w:cstheme="minorHAnsi"/>
              <w:color w:val="000000"/>
              <w:sz w:val="24"/>
              <w:szCs w:val="24"/>
            </w:rPr>
          </w:pPr>
        </w:p>
        <w:p w14:paraId="4899B932" w14:textId="77777777" w:rsidR="0065006D" w:rsidRDefault="0065006D" w:rsidP="0065006D">
          <w:pPr>
            <w:jc w:val="both"/>
            <w:rPr>
              <w:color w:val="202124"/>
              <w:sz w:val="24"/>
              <w:szCs w:val="24"/>
            </w:rPr>
          </w:pPr>
        </w:p>
        <w:p w14:paraId="538B28BD" w14:textId="77777777" w:rsidR="0065006D" w:rsidRDefault="0065006D" w:rsidP="0065006D">
          <w:pPr>
            <w:jc w:val="both"/>
            <w:rPr>
              <w:color w:val="202124"/>
              <w:sz w:val="24"/>
              <w:szCs w:val="24"/>
            </w:rPr>
          </w:pPr>
        </w:p>
        <w:p w14:paraId="1CA6B82C" w14:textId="77777777" w:rsidR="0065006D" w:rsidRDefault="0065006D" w:rsidP="0065006D">
          <w:pPr>
            <w:jc w:val="both"/>
            <w:rPr>
              <w:color w:val="202124"/>
              <w:sz w:val="24"/>
              <w:szCs w:val="24"/>
            </w:rPr>
          </w:pPr>
        </w:p>
        <w:p w14:paraId="42F43DD6" w14:textId="77777777" w:rsidR="0065006D" w:rsidRDefault="0065006D" w:rsidP="0065006D">
          <w:pPr>
            <w:jc w:val="both"/>
            <w:rPr>
              <w:color w:val="202124"/>
              <w:sz w:val="24"/>
              <w:szCs w:val="24"/>
            </w:rPr>
          </w:pPr>
        </w:p>
        <w:p w14:paraId="2EF50A05" w14:textId="77777777" w:rsidR="0065006D" w:rsidRDefault="0065006D" w:rsidP="0065006D">
          <w:pPr>
            <w:jc w:val="both"/>
            <w:rPr>
              <w:color w:val="202124"/>
              <w:sz w:val="24"/>
              <w:szCs w:val="24"/>
            </w:rPr>
          </w:pPr>
        </w:p>
        <w:p w14:paraId="321F924F" w14:textId="77777777" w:rsidR="0065006D" w:rsidRDefault="0065006D" w:rsidP="0065006D">
          <w:pPr>
            <w:jc w:val="both"/>
            <w:rPr>
              <w:color w:val="202124"/>
              <w:sz w:val="24"/>
              <w:szCs w:val="24"/>
            </w:rPr>
          </w:pPr>
        </w:p>
        <w:p w14:paraId="003CA88F" w14:textId="7376256A" w:rsidR="006417BC" w:rsidRDefault="006417BC">
          <w:pPr>
            <w:rPr>
              <w:b/>
              <w:color w:val="202124"/>
              <w:sz w:val="24"/>
              <w:szCs w:val="24"/>
            </w:rPr>
          </w:pPr>
        </w:p>
        <w:p w14:paraId="1625EDCB" w14:textId="77777777" w:rsidR="0065006D" w:rsidRDefault="0065006D" w:rsidP="0065006D">
          <w:pPr>
            <w:jc w:val="center"/>
            <w:rPr>
              <w:b/>
              <w:color w:val="202124"/>
              <w:sz w:val="24"/>
              <w:szCs w:val="24"/>
            </w:rPr>
          </w:pPr>
        </w:p>
        <w:p w14:paraId="321B30D8" w14:textId="77777777" w:rsidR="0065006D" w:rsidRDefault="0065006D" w:rsidP="0065006D">
          <w:pPr>
            <w:jc w:val="center"/>
            <w:rPr>
              <w:b/>
              <w:color w:val="202124"/>
              <w:sz w:val="24"/>
              <w:szCs w:val="24"/>
            </w:rPr>
          </w:pPr>
          <w:r>
            <w:rPr>
              <w:b/>
              <w:color w:val="202124"/>
              <w:sz w:val="24"/>
              <w:szCs w:val="24"/>
            </w:rPr>
            <w:t>México</w:t>
          </w:r>
        </w:p>
        <w:p w14:paraId="582D9F77" w14:textId="77777777" w:rsidR="0065006D" w:rsidRDefault="0065006D" w:rsidP="0065006D">
          <w:pPr>
            <w:jc w:val="center"/>
            <w:rPr>
              <w:b/>
              <w:color w:val="202124"/>
              <w:sz w:val="24"/>
              <w:szCs w:val="24"/>
            </w:rPr>
          </w:pPr>
          <w:r>
            <w:rPr>
              <w:b/>
              <w:color w:val="202124"/>
              <w:sz w:val="24"/>
              <w:szCs w:val="24"/>
            </w:rPr>
            <w:t>2023</w:t>
          </w:r>
        </w:p>
        <w:p w14:paraId="694B8E04" w14:textId="77777777" w:rsidR="0065006D" w:rsidRDefault="0065006D" w:rsidP="0065006D">
          <w:pPr>
            <w:jc w:val="both"/>
            <w:rPr>
              <w:color w:val="202124"/>
            </w:rPr>
          </w:pPr>
        </w:p>
        <w:p w14:paraId="2BD66448" w14:textId="77777777" w:rsidR="0065006D" w:rsidRDefault="0065006D" w:rsidP="0065006D">
          <w:pPr>
            <w:jc w:val="both"/>
            <w:rPr>
              <w:color w:val="202124"/>
            </w:rPr>
          </w:pPr>
        </w:p>
        <w:p w14:paraId="5AD1DDEB" w14:textId="77777777" w:rsidR="0065006D" w:rsidRDefault="0065006D" w:rsidP="0065006D">
          <w:pPr>
            <w:jc w:val="both"/>
            <w:rPr>
              <w:color w:val="202124"/>
            </w:rPr>
          </w:pPr>
        </w:p>
        <w:p w14:paraId="05764506" w14:textId="77777777" w:rsidR="0065006D" w:rsidRDefault="0065006D" w:rsidP="0065006D">
          <w:pPr>
            <w:jc w:val="both"/>
            <w:rPr>
              <w:color w:val="202124"/>
            </w:rPr>
          </w:pPr>
        </w:p>
        <w:p w14:paraId="574EB039" w14:textId="77777777" w:rsidR="0065006D" w:rsidRDefault="0065006D" w:rsidP="0065006D">
          <w:pPr>
            <w:jc w:val="both"/>
            <w:rPr>
              <w:color w:val="202124"/>
            </w:rPr>
          </w:pPr>
        </w:p>
        <w:p w14:paraId="00CB6196" w14:textId="77777777" w:rsidR="0065006D" w:rsidRDefault="0065006D" w:rsidP="0065006D">
          <w:pPr>
            <w:jc w:val="both"/>
            <w:rPr>
              <w:color w:val="202124"/>
            </w:rPr>
          </w:pPr>
        </w:p>
        <w:p w14:paraId="156B7A08" w14:textId="4B11F3BF" w:rsidR="0065006D" w:rsidRDefault="0065006D" w:rsidP="0065006D">
          <w:pPr>
            <w:jc w:val="both"/>
            <w:rPr>
              <w:color w:val="202124"/>
            </w:rPr>
          </w:pPr>
          <w:r>
            <w:rPr>
              <w:rFonts w:asciiTheme="minorHAnsi" w:eastAsiaTheme="minorHAnsi" w:hAnsiTheme="minorHAnsi" w:cstheme="minorBidi"/>
              <w:noProof/>
              <w:lang w:val="es-MX"/>
            </w:rPr>
            <mc:AlternateContent>
              <mc:Choice Requires="wps">
                <w:drawing>
                  <wp:anchor distT="0" distB="0" distL="114300" distR="114300" simplePos="0" relativeHeight="251601408" behindDoc="1" locked="0" layoutInCell="1" allowOverlap="1" wp14:anchorId="17606CA6" wp14:editId="1827D48D">
                    <wp:simplePos x="0" y="0"/>
                    <wp:positionH relativeFrom="margin">
                      <wp:posOffset>0</wp:posOffset>
                    </wp:positionH>
                    <wp:positionV relativeFrom="paragraph">
                      <wp:posOffset>-635</wp:posOffset>
                    </wp:positionV>
                    <wp:extent cx="6007100" cy="76200"/>
                    <wp:effectExtent l="0" t="0" r="12700" b="19050"/>
                    <wp:wrapNone/>
                    <wp:docPr id="3" name="Rectángulo 3"/>
                    <wp:cNvGraphicFramePr/>
                    <a:graphic xmlns:a="http://schemas.openxmlformats.org/drawingml/2006/main">
                      <a:graphicData uri="http://schemas.microsoft.com/office/word/2010/wordprocessingShape">
                        <wps:wsp>
                          <wps:cNvSpPr/>
                          <wps:spPr>
                            <a:xfrm>
                              <a:off x="0" y="0"/>
                              <a:ext cx="6007100" cy="76200"/>
                            </a:xfrm>
                            <a:prstGeom prst="rect">
                              <a:avLst/>
                            </a:prstGeom>
                            <a:solidFill>
                              <a:srgbClr val="CCCCFF"/>
                            </a:solidFill>
                            <a:ln>
                              <a:solidFill>
                                <a:srgbClr val="9999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34E4AF" w14:textId="77777777" w:rsidR="0065006D" w:rsidRDefault="0065006D" w:rsidP="0065006D">
                                <w:pPr>
                                  <w:jc w:val="center"/>
                                </w:pPr>
                                <w:r>
                                  <w:rPr>
                                    <w:rFonts w:cstheme="minorHAnsi"/>
                                    <w:sz w:val="24"/>
                                    <w:szCs w:val="24"/>
                                  </w:rPr>
                                  <w:t xml:space="preserve">Comunicación: </w:t>
                                </w:r>
                                <w:hyperlink r:id="rId8" w:history="1">
                                  <w:r>
                                    <w:rPr>
                                      <w:rStyle w:val="Hipervnculo"/>
                                      <w:rFonts w:cstheme="minorHAnsi"/>
                                      <w:sz w:val="24"/>
                                      <w:szCs w:val="24"/>
                                    </w:rPr>
                                    <w:t>cedawciudadanas@gmail.com</w:t>
                                  </w:r>
                                </w:hyperlink>
                                <w:r>
                                  <w:rPr>
                                    <w:rStyle w:val="Hipervnculo"/>
                                    <w:rFonts w:cstheme="minorHAnsi"/>
                                    <w:sz w:val="24"/>
                                    <w:szCs w:val="24"/>
                                  </w:rPr>
                                  <w:t xml:space="preserve"> / </w:t>
                                </w:r>
                                <w:hyperlink r:id="rId9" w:history="1">
                                  <w:r>
                                    <w:rPr>
                                      <w:rStyle w:val="Hipervnculo"/>
                                      <w:rFonts w:cstheme="minorHAnsi"/>
                                      <w:sz w:val="24"/>
                                      <w:szCs w:val="24"/>
                                    </w:rPr>
                                    <w:t>Imelda.marrufo@gmail.com</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7606CA6" id="Rectángulo 3" o:spid="_x0000_s1026" style="position:absolute;left:0;text-align:left;margin-left:0;margin-top:-.05pt;width:473pt;height:6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" fillcolor="#ccf" strokecolor="#99f" strokeweight="2pt">
                    <v:textbox>
                      <w:txbxContent>
                        <w:p w14:paraId="6934E4AF" w14:textId="77777777" w:rsidR="0065006D" w:rsidRDefault="0065006D" w:rsidP="0065006D">
                          <w:pPr>
                            <w:jc w:val="center"/>
                          </w:pPr>
                          <w:r>
                            <w:rPr>
                              <w:rFonts w:cstheme="minorHAnsi"/>
                              <w:sz w:val="24"/>
                              <w:szCs w:val="24"/>
                            </w:rPr>
                            <w:t xml:space="preserve">Comunicación: </w:t>
                          </w:r>
                          <w:hyperlink r:id="rId10" w:history="1">
                            <w:r>
                              <w:rPr>
                                <w:rStyle w:val="Hipervnculo"/>
                                <w:rFonts w:cstheme="minorHAnsi"/>
                                <w:sz w:val="24"/>
                                <w:szCs w:val="24"/>
                              </w:rPr>
                              <w:t>cedawciudadanas@gmail.com</w:t>
                            </w:r>
                          </w:hyperlink>
                          <w:r>
                            <w:rPr>
                              <w:rStyle w:val="Hipervnculo"/>
                              <w:rFonts w:cstheme="minorHAnsi"/>
                              <w:sz w:val="24"/>
                              <w:szCs w:val="24"/>
                            </w:rPr>
                            <w:t xml:space="preserve"> / </w:t>
                          </w:r>
                          <w:hyperlink r:id="rId11" w:history="1">
                            <w:r>
                              <w:rPr>
                                <w:rStyle w:val="Hipervnculo"/>
                                <w:rFonts w:cstheme="minorHAnsi"/>
                                <w:sz w:val="24"/>
                                <w:szCs w:val="24"/>
                              </w:rPr>
                              <w:t>Imelda.marrufo@gmail.com</w:t>
                            </w:r>
                          </w:hyperlink>
                        </w:p>
                      </w:txbxContent>
                    </v:textbox>
                    <w10:wrap anchorx="margin"/>
                  </v:rect>
                </w:pict>
              </mc:Fallback>
            </mc:AlternateContent>
          </w:r>
        </w:p>
        <w:p w14:paraId="573543C5" w14:textId="77777777" w:rsidR="0065006D" w:rsidRDefault="0065006D" w:rsidP="0065006D">
          <w:pPr>
            <w:ind w:right="-142"/>
            <w:jc w:val="both"/>
            <w:rPr>
              <w:rFonts w:asciiTheme="minorHAnsi" w:eastAsiaTheme="minorHAnsi" w:hAnsiTheme="minorHAnsi" w:cstheme="minorHAnsi"/>
              <w:sz w:val="24"/>
              <w:szCs w:val="24"/>
            </w:rPr>
          </w:pPr>
        </w:p>
        <w:p w14:paraId="167001C2" w14:textId="29DA325F" w:rsidR="00BC53F3" w:rsidRDefault="00BC53F3"/>
        <w:p w14:paraId="32CB2EAB" w14:textId="77777777" w:rsidR="00F43C85" w:rsidRDefault="00F43C85"/>
        <w:p w14:paraId="61EF65D6" w14:textId="25429A79" w:rsidR="00832187" w:rsidRPr="0065006D" w:rsidRDefault="00E43726" w:rsidP="0065006D"/>
      </w:sdtContent>
    </w:sdt>
    <w:p w14:paraId="48DBB547" w14:textId="77777777" w:rsidR="000F4EB5" w:rsidRPr="000F4EB5" w:rsidRDefault="00B83CA2" w:rsidP="000F4EB5">
      <w:pPr>
        <w:spacing w:after="160" w:line="360" w:lineRule="auto"/>
        <w:jc w:val="both"/>
        <w:rPr>
          <w:rFonts w:asciiTheme="majorHAnsi" w:hAnsiTheme="majorHAnsi" w:cstheme="majorHAnsi"/>
          <w:b/>
        </w:rPr>
      </w:pPr>
      <w:r w:rsidRPr="000F4EB5">
        <w:rPr>
          <w:rFonts w:asciiTheme="majorHAnsi" w:hAnsiTheme="majorHAnsi" w:cstheme="majorHAnsi"/>
          <w:b/>
        </w:rPr>
        <w:t>Artículo</w:t>
      </w:r>
      <w:r w:rsidR="000F4EB5" w:rsidRPr="000F4EB5">
        <w:rPr>
          <w:rFonts w:asciiTheme="majorHAnsi" w:hAnsiTheme="majorHAnsi" w:cstheme="majorHAnsi"/>
          <w:b/>
        </w:rPr>
        <w:t xml:space="preserve"> 11, 12, 14 y 16 de la CEDAW, r</w:t>
      </w:r>
      <w:r w:rsidRPr="000F4EB5">
        <w:rPr>
          <w:rFonts w:asciiTheme="majorHAnsi" w:hAnsiTheme="majorHAnsi" w:cstheme="majorHAnsi"/>
          <w:b/>
        </w:rPr>
        <w:t>ecomendación general número 24</w:t>
      </w:r>
      <w:r w:rsidR="000F4EB5" w:rsidRPr="000F4EB5">
        <w:rPr>
          <w:rFonts w:asciiTheme="majorHAnsi" w:hAnsiTheme="majorHAnsi" w:cstheme="majorHAnsi"/>
          <w:b/>
        </w:rPr>
        <w:t xml:space="preserve"> y 33, así como la observación 42 y 50 del noveno informe. </w:t>
      </w:r>
    </w:p>
    <w:p w14:paraId="2A427A25" w14:textId="2DCCB731" w:rsidR="00B83CA2" w:rsidRDefault="00DC635B" w:rsidP="000F4EB5">
      <w:pPr>
        <w:spacing w:before="240" w:line="360" w:lineRule="auto"/>
        <w:jc w:val="center"/>
        <w:rPr>
          <w:rFonts w:asciiTheme="majorHAnsi" w:hAnsiTheme="majorHAnsi" w:cstheme="majorHAnsi"/>
          <w:b/>
        </w:rPr>
      </w:pPr>
      <w:r w:rsidRPr="000F4EB5">
        <w:rPr>
          <w:rFonts w:asciiTheme="majorHAnsi" w:hAnsiTheme="majorHAnsi" w:cstheme="majorHAnsi"/>
          <w:b/>
        </w:rPr>
        <w:t>MUJERES ENCARCELADAS POR ABORTO</w:t>
      </w:r>
    </w:p>
    <w:p w14:paraId="0D18655E" w14:textId="4A892FCE" w:rsidR="00050C29" w:rsidRDefault="00050C29" w:rsidP="00A662E6">
      <w:pPr>
        <w:pStyle w:val="defaultstyledtext-xb1qmn-0"/>
        <w:spacing w:line="360" w:lineRule="auto"/>
        <w:rPr>
          <w:rFonts w:asciiTheme="majorHAnsi" w:hAnsiTheme="majorHAnsi" w:cstheme="majorHAnsi"/>
        </w:rPr>
      </w:pPr>
      <w:r w:rsidRPr="00A662E6">
        <w:rPr>
          <w:rFonts w:asciiTheme="majorHAnsi" w:hAnsiTheme="majorHAnsi" w:cstheme="majorHAnsi"/>
          <w:b/>
        </w:rPr>
        <w:t>En el momento de terminar este informe</w:t>
      </w:r>
      <w:r w:rsidR="00A662E6">
        <w:rPr>
          <w:rFonts w:asciiTheme="majorHAnsi" w:hAnsiTheme="majorHAnsi" w:cstheme="majorHAnsi"/>
          <w:b/>
        </w:rPr>
        <w:t>,</w:t>
      </w:r>
      <w:r w:rsidRPr="00A662E6">
        <w:rPr>
          <w:rFonts w:asciiTheme="majorHAnsi" w:hAnsiTheme="majorHAnsi" w:cstheme="majorHAnsi"/>
          <w:b/>
        </w:rPr>
        <w:t xml:space="preserve"> la Suprema Corte de Justicia, </w:t>
      </w:r>
      <w:r w:rsidRPr="00A662E6">
        <w:rPr>
          <w:rFonts w:asciiTheme="majorHAnsi" w:hAnsiTheme="majorHAnsi" w:cs="Times New Roman"/>
          <w:b/>
          <w:bCs/>
        </w:rPr>
        <w:t xml:space="preserve">despenalizó el aborto en el nivel Federal, </w:t>
      </w:r>
      <w:r w:rsidRPr="00A662E6">
        <w:rPr>
          <w:rFonts w:asciiTheme="majorHAnsi" w:hAnsiTheme="majorHAnsi" w:cs="Times New Roman"/>
        </w:rPr>
        <w:t xml:space="preserve">derogando los artículos 331 y 332 del </w:t>
      </w:r>
      <w:hyperlink r:id="rId12" w:tgtFrame="_blank" w:history="1">
        <w:r w:rsidRPr="00A662E6">
          <w:rPr>
            <w:rStyle w:val="Hipervnculo"/>
            <w:rFonts w:asciiTheme="majorHAnsi" w:hAnsiTheme="majorHAnsi" w:cs="Times New Roman"/>
            <w:b/>
            <w:bCs/>
          </w:rPr>
          <w:t>Código Penal Federal</w:t>
        </w:r>
      </w:hyperlink>
      <w:r w:rsidRPr="00A662E6">
        <w:rPr>
          <w:rFonts w:asciiTheme="majorHAnsi" w:hAnsiTheme="majorHAnsi" w:cs="Times New Roman"/>
        </w:rPr>
        <w:t xml:space="preserve"> (</w:t>
      </w:r>
      <w:r w:rsidRPr="00A662E6">
        <w:rPr>
          <w:rFonts w:asciiTheme="majorHAnsi" w:hAnsiTheme="majorHAnsi" w:cs="Times New Roman"/>
          <w:b/>
          <w:bCs/>
        </w:rPr>
        <w:t>CPF</w:t>
      </w:r>
      <w:r w:rsidRPr="00A662E6">
        <w:rPr>
          <w:rFonts w:asciiTheme="majorHAnsi" w:hAnsiTheme="majorHAnsi" w:cs="Times New Roman"/>
        </w:rPr>
        <w:t xml:space="preserve">); asimismo, promovió la invalidez de porciones normativas previstas en los 333 y 334. Hasta este momento en </w:t>
      </w:r>
      <w:r w:rsidR="002F4300" w:rsidRPr="00A662E6">
        <w:rPr>
          <w:rFonts w:asciiTheme="majorHAnsi" w:hAnsiTheme="majorHAnsi" w:cstheme="majorHAnsi"/>
        </w:rPr>
        <w:t xml:space="preserve">México, </w:t>
      </w:r>
      <w:r w:rsidRPr="00A662E6">
        <w:rPr>
          <w:rFonts w:asciiTheme="majorHAnsi" w:hAnsiTheme="majorHAnsi" w:cstheme="majorHAnsi"/>
        </w:rPr>
        <w:t>el aborto sigue</w:t>
      </w:r>
      <w:r w:rsidR="002F4300" w:rsidRPr="00A662E6">
        <w:rPr>
          <w:rFonts w:asciiTheme="majorHAnsi" w:hAnsiTheme="majorHAnsi" w:cstheme="majorHAnsi"/>
        </w:rPr>
        <w:t xml:space="preserve"> siendo un delito a nivel federal</w:t>
      </w:r>
      <w:r w:rsidRPr="00A662E6">
        <w:rPr>
          <w:rFonts w:asciiTheme="majorHAnsi" w:hAnsiTheme="majorHAnsi" w:cstheme="majorHAnsi"/>
        </w:rPr>
        <w:t xml:space="preserve"> según el Código Penal Federal, lo cual debe despen</w:t>
      </w:r>
      <w:r>
        <w:rPr>
          <w:rFonts w:asciiTheme="majorHAnsi" w:hAnsiTheme="majorHAnsi" w:cstheme="majorHAnsi"/>
        </w:rPr>
        <w:t>alizar el aborto en este nivel federal.</w:t>
      </w:r>
    </w:p>
    <w:p w14:paraId="36068C8F" w14:textId="08D4380E" w:rsidR="00760406" w:rsidRPr="000F4EB5" w:rsidRDefault="008D0EF3" w:rsidP="00A662E6">
      <w:pPr>
        <w:pStyle w:val="defaultstyledtext-xb1qmn-0"/>
        <w:spacing w:line="360" w:lineRule="auto"/>
        <w:rPr>
          <w:rFonts w:asciiTheme="majorHAnsi" w:hAnsiTheme="majorHAnsi" w:cstheme="majorHAnsi"/>
        </w:rPr>
      </w:pPr>
      <w:r>
        <w:rPr>
          <w:rFonts w:asciiTheme="majorHAnsi" w:hAnsiTheme="majorHAnsi" w:cstheme="majorHAnsi"/>
        </w:rPr>
        <w:t>A</w:t>
      </w:r>
      <w:r w:rsidRPr="000F4EB5">
        <w:rPr>
          <w:rFonts w:asciiTheme="majorHAnsi" w:hAnsiTheme="majorHAnsi" w:cstheme="majorHAnsi"/>
        </w:rPr>
        <w:t>ctualmente en México existen 21 de 31 Entidades Federativas que penalizan el aborto.</w:t>
      </w:r>
      <w:r w:rsidR="00050C29">
        <w:rPr>
          <w:rFonts w:asciiTheme="majorHAnsi" w:hAnsiTheme="majorHAnsi" w:cstheme="majorHAnsi"/>
        </w:rPr>
        <w:t xml:space="preserve"> </w:t>
      </w:r>
      <w:r w:rsidR="002F4300" w:rsidRPr="000F4EB5">
        <w:rPr>
          <w:rFonts w:asciiTheme="majorHAnsi" w:hAnsiTheme="majorHAnsi" w:cstheme="majorHAnsi"/>
        </w:rPr>
        <w:t>Aunque los códigos penales de los estados que penalizan el aborto establecen una</w:t>
      </w:r>
      <w:r w:rsidR="00D61D91" w:rsidRPr="000F4EB5">
        <w:rPr>
          <w:rFonts w:asciiTheme="majorHAnsi" w:hAnsiTheme="majorHAnsi" w:cstheme="majorHAnsi"/>
        </w:rPr>
        <w:t xml:space="preserve"> </w:t>
      </w:r>
      <w:r w:rsidR="002F4300" w:rsidRPr="000F4EB5">
        <w:rPr>
          <w:rFonts w:asciiTheme="majorHAnsi" w:hAnsiTheme="majorHAnsi" w:cstheme="majorHAnsi"/>
        </w:rPr>
        <w:t xml:space="preserve"> serie de excluyentes de responsabilidad penal o causales de no punibilidad, (es decir, que bajo determinadas circunstancias no se considera un delito la interrupción del embarazo) </w:t>
      </w:r>
      <w:sdt>
        <w:sdtPr>
          <w:rPr>
            <w:rFonts w:asciiTheme="majorHAnsi" w:hAnsiTheme="majorHAnsi" w:cstheme="majorHAnsi"/>
          </w:rPr>
          <w:id w:val="1964997680"/>
          <w:citation/>
        </w:sdtPr>
        <w:sdtContent>
          <w:r w:rsidR="00991945" w:rsidRPr="000F4EB5">
            <w:rPr>
              <w:rFonts w:asciiTheme="majorHAnsi" w:hAnsiTheme="majorHAnsi" w:cstheme="majorHAnsi"/>
            </w:rPr>
            <w:fldChar w:fldCharType="begin"/>
          </w:r>
          <w:r w:rsidR="00991945" w:rsidRPr="000F4EB5">
            <w:rPr>
              <w:rFonts w:asciiTheme="majorHAnsi" w:hAnsiTheme="majorHAnsi" w:cstheme="majorHAnsi"/>
              <w:lang w:val="es-ES"/>
            </w:rPr>
            <w:instrText xml:space="preserve">CITATION Kán21 \p 8 \t  \l 3082 </w:instrText>
          </w:r>
          <w:r w:rsidR="00991945" w:rsidRPr="000F4EB5">
            <w:rPr>
              <w:rFonts w:asciiTheme="majorHAnsi" w:hAnsiTheme="majorHAnsi" w:cstheme="majorHAnsi"/>
            </w:rPr>
            <w:fldChar w:fldCharType="separate"/>
          </w:r>
          <w:r w:rsidR="00E562F4" w:rsidRPr="000F4EB5">
            <w:rPr>
              <w:rFonts w:asciiTheme="majorHAnsi" w:hAnsiTheme="majorHAnsi" w:cstheme="majorHAnsi"/>
              <w:noProof/>
              <w:lang w:val="es-ES"/>
            </w:rPr>
            <w:t>(Kánter, 2021b, pág. 8)</w:t>
          </w:r>
          <w:r w:rsidR="00991945" w:rsidRPr="000F4EB5">
            <w:rPr>
              <w:rFonts w:asciiTheme="majorHAnsi" w:hAnsiTheme="majorHAnsi" w:cstheme="majorHAnsi"/>
            </w:rPr>
            <w:fldChar w:fldCharType="end"/>
          </w:r>
        </w:sdtContent>
      </w:sdt>
      <w:r w:rsidR="00991945" w:rsidRPr="000F4EB5">
        <w:rPr>
          <w:rFonts w:asciiTheme="majorHAnsi" w:hAnsiTheme="majorHAnsi" w:cstheme="majorHAnsi"/>
        </w:rPr>
        <w:t xml:space="preserve"> </w:t>
      </w:r>
      <w:r w:rsidR="002F4300" w:rsidRPr="000F4EB5">
        <w:rPr>
          <w:rFonts w:asciiTheme="majorHAnsi" w:hAnsiTheme="majorHAnsi" w:cstheme="majorHAnsi"/>
        </w:rPr>
        <w:t>en la mayoría de los casos “...no se garantiza el principio de presunción de inocencia ni el debido proceso”</w:t>
      </w:r>
      <w:sdt>
        <w:sdtPr>
          <w:rPr>
            <w:rFonts w:asciiTheme="majorHAnsi" w:hAnsiTheme="majorHAnsi" w:cstheme="majorHAnsi"/>
          </w:rPr>
          <w:id w:val="-2125838450"/>
          <w:citation/>
        </w:sdtPr>
        <w:sdtContent>
          <w:r w:rsidR="00991945" w:rsidRPr="000F4EB5">
            <w:rPr>
              <w:rFonts w:asciiTheme="majorHAnsi" w:hAnsiTheme="majorHAnsi" w:cstheme="majorHAnsi"/>
            </w:rPr>
            <w:fldChar w:fldCharType="begin"/>
          </w:r>
          <w:r w:rsidR="00991945" w:rsidRPr="000F4EB5">
            <w:rPr>
              <w:rFonts w:asciiTheme="majorHAnsi" w:hAnsiTheme="majorHAnsi" w:cstheme="majorHAnsi"/>
              <w:lang w:val="es-ES"/>
            </w:rPr>
            <w:instrText xml:space="preserve"> CITATION Gru211 \l 3082 </w:instrText>
          </w:r>
          <w:r w:rsidR="00991945" w:rsidRPr="000F4EB5">
            <w:rPr>
              <w:rFonts w:asciiTheme="majorHAnsi" w:hAnsiTheme="majorHAnsi" w:cstheme="majorHAnsi"/>
            </w:rPr>
            <w:fldChar w:fldCharType="separate"/>
          </w:r>
          <w:r w:rsidR="00E562F4" w:rsidRPr="000F4EB5">
            <w:rPr>
              <w:rFonts w:asciiTheme="majorHAnsi" w:hAnsiTheme="majorHAnsi" w:cstheme="majorHAnsi"/>
              <w:noProof/>
              <w:lang w:val="es-ES"/>
            </w:rPr>
            <w:t xml:space="preserve"> (Grupo de Información en Reproducción Elegida (GIRE), 2021)</w:t>
          </w:r>
          <w:r w:rsidR="00991945" w:rsidRPr="000F4EB5">
            <w:rPr>
              <w:rFonts w:asciiTheme="majorHAnsi" w:hAnsiTheme="majorHAnsi" w:cstheme="majorHAnsi"/>
            </w:rPr>
            <w:fldChar w:fldCharType="end"/>
          </w:r>
        </w:sdtContent>
      </w:sdt>
      <w:r w:rsidR="006F0115" w:rsidRPr="000F4EB5">
        <w:rPr>
          <w:rFonts w:asciiTheme="majorHAnsi" w:hAnsiTheme="majorHAnsi" w:cstheme="majorHAnsi"/>
        </w:rPr>
        <w:t xml:space="preserve">. </w:t>
      </w:r>
    </w:p>
    <w:p w14:paraId="00000007" w14:textId="5C07EEF5" w:rsidR="00741052" w:rsidRPr="000F4EB5" w:rsidRDefault="002F4300" w:rsidP="001F0DAE">
      <w:pPr>
        <w:spacing w:before="240" w:line="360" w:lineRule="auto"/>
        <w:ind w:firstLine="720"/>
        <w:jc w:val="both"/>
        <w:rPr>
          <w:rFonts w:asciiTheme="majorHAnsi" w:hAnsiTheme="majorHAnsi" w:cstheme="majorHAnsi"/>
        </w:rPr>
      </w:pPr>
      <w:r w:rsidRPr="000F4EB5">
        <w:rPr>
          <w:rFonts w:asciiTheme="majorHAnsi" w:hAnsiTheme="majorHAnsi" w:cstheme="majorHAnsi"/>
        </w:rPr>
        <w:t xml:space="preserve">A partir de que una mujer llega a un servicio de salud con una emergencia obstétrica: el personal hospitalario presume su culpabilidad, orillándola a enfrentar la persecución y acoso de agentes policiales y ministeriales que la interrogan cuando todavía se encuentra hospitalizada, o que acuden a su domicilio sin las debidas órdenes de </w:t>
      </w:r>
      <w:r w:rsidR="006F0115" w:rsidRPr="000F4EB5">
        <w:rPr>
          <w:rFonts w:asciiTheme="majorHAnsi" w:hAnsiTheme="majorHAnsi" w:cstheme="majorHAnsi"/>
        </w:rPr>
        <w:t xml:space="preserve">cateo </w:t>
      </w:r>
      <w:sdt>
        <w:sdtPr>
          <w:rPr>
            <w:rFonts w:asciiTheme="majorHAnsi" w:hAnsiTheme="majorHAnsi" w:cstheme="majorHAnsi"/>
          </w:rPr>
          <w:id w:val="407045878"/>
          <w:citation/>
        </w:sdtPr>
        <w:sdtContent>
          <w:r w:rsidR="00991945" w:rsidRPr="000F4EB5">
            <w:rPr>
              <w:rFonts w:asciiTheme="majorHAnsi" w:hAnsiTheme="majorHAnsi" w:cstheme="majorHAnsi"/>
            </w:rPr>
            <w:fldChar w:fldCharType="begin"/>
          </w:r>
          <w:r w:rsidR="00991945" w:rsidRPr="000F4EB5">
            <w:rPr>
              <w:rFonts w:asciiTheme="majorHAnsi" w:hAnsiTheme="majorHAnsi" w:cstheme="majorHAnsi"/>
              <w:lang w:val="es-ES"/>
            </w:rPr>
            <w:instrText xml:space="preserve"> CITATION Gru211 \l 3082 </w:instrText>
          </w:r>
          <w:r w:rsidR="00991945" w:rsidRPr="000F4EB5">
            <w:rPr>
              <w:rFonts w:asciiTheme="majorHAnsi" w:hAnsiTheme="majorHAnsi" w:cstheme="majorHAnsi"/>
            </w:rPr>
            <w:fldChar w:fldCharType="separate"/>
          </w:r>
          <w:r w:rsidR="00E562F4" w:rsidRPr="000F4EB5">
            <w:rPr>
              <w:rFonts w:asciiTheme="majorHAnsi" w:hAnsiTheme="majorHAnsi" w:cstheme="majorHAnsi"/>
              <w:noProof/>
              <w:lang w:val="es-ES"/>
            </w:rPr>
            <w:t>(Grupo de Información en Reproducción Elegida (GIRE), 2021)</w:t>
          </w:r>
          <w:r w:rsidR="00991945" w:rsidRPr="000F4EB5">
            <w:rPr>
              <w:rFonts w:asciiTheme="majorHAnsi" w:hAnsiTheme="majorHAnsi" w:cstheme="majorHAnsi"/>
            </w:rPr>
            <w:fldChar w:fldCharType="end"/>
          </w:r>
        </w:sdtContent>
      </w:sdt>
      <w:r w:rsidR="00991945" w:rsidRPr="000F4EB5">
        <w:rPr>
          <w:rFonts w:asciiTheme="majorHAnsi" w:hAnsiTheme="majorHAnsi" w:cstheme="majorHAnsi"/>
        </w:rPr>
        <w:t>.</w:t>
      </w:r>
    </w:p>
    <w:p w14:paraId="00000008" w14:textId="2B81A5E7" w:rsidR="00741052" w:rsidRPr="000F4EB5" w:rsidRDefault="002F4300" w:rsidP="001F0DAE">
      <w:pPr>
        <w:spacing w:before="240" w:line="360" w:lineRule="auto"/>
        <w:ind w:firstLine="720"/>
        <w:jc w:val="both"/>
        <w:rPr>
          <w:rFonts w:asciiTheme="majorHAnsi" w:hAnsiTheme="majorHAnsi" w:cstheme="majorHAnsi"/>
        </w:rPr>
      </w:pPr>
      <w:r w:rsidRPr="000F4EB5">
        <w:rPr>
          <w:rFonts w:asciiTheme="majorHAnsi" w:hAnsiTheme="majorHAnsi" w:cstheme="majorHAnsi"/>
        </w:rPr>
        <w:t xml:space="preserve">Es importante mencionar que muchas de las mujeres condenadas no son </w:t>
      </w:r>
      <w:r w:rsidR="006F0115" w:rsidRPr="000F4EB5">
        <w:rPr>
          <w:rFonts w:asciiTheme="majorHAnsi" w:hAnsiTheme="majorHAnsi" w:cstheme="majorHAnsi"/>
        </w:rPr>
        <w:t>enjuiciadas</w:t>
      </w:r>
      <w:r w:rsidRPr="000F4EB5">
        <w:rPr>
          <w:rFonts w:asciiTheme="majorHAnsi" w:hAnsiTheme="majorHAnsi" w:cstheme="majorHAnsi"/>
        </w:rPr>
        <w:t xml:space="preserve"> de forma oficial por aborto, </w:t>
      </w:r>
      <w:r w:rsidRPr="00050C29">
        <w:rPr>
          <w:rFonts w:asciiTheme="majorHAnsi" w:hAnsiTheme="majorHAnsi" w:cstheme="majorHAnsi"/>
          <w:b/>
        </w:rPr>
        <w:t>sino por delitos como homicidio en razón de parentesco, infanticidio, filicidio y omisión de cuidados,</w:t>
      </w:r>
      <w:r w:rsidRPr="000F4EB5">
        <w:rPr>
          <w:rFonts w:asciiTheme="majorHAnsi" w:hAnsiTheme="majorHAnsi" w:cstheme="majorHAnsi"/>
        </w:rPr>
        <w:t xml:space="preserve"> según Verónica Cruz, directora de la organización Las Libres: “...en el país no existen mujeres en la cárcel por el delito de aborto, existen 200 mujeres en las cárceles por delitos relacionados, son mujeres que tuvieron partos espontáneos, abortos prematuros o emergencias obstétricas y les configuraron delitos más graves”</w:t>
      </w:r>
      <w:r w:rsidR="00991945" w:rsidRPr="000F4EB5">
        <w:rPr>
          <w:rFonts w:asciiTheme="majorHAnsi" w:hAnsiTheme="majorHAnsi" w:cstheme="majorHAnsi"/>
        </w:rPr>
        <w:t xml:space="preserve"> </w:t>
      </w:r>
      <w:sdt>
        <w:sdtPr>
          <w:rPr>
            <w:rFonts w:asciiTheme="majorHAnsi" w:hAnsiTheme="majorHAnsi" w:cstheme="majorHAnsi"/>
          </w:rPr>
          <w:id w:val="1483578543"/>
          <w:citation/>
        </w:sdtPr>
        <w:sdtContent>
          <w:r w:rsidR="00991945" w:rsidRPr="000F4EB5">
            <w:rPr>
              <w:rFonts w:asciiTheme="majorHAnsi" w:hAnsiTheme="majorHAnsi" w:cstheme="majorHAnsi"/>
            </w:rPr>
            <w:fldChar w:fldCharType="begin"/>
          </w:r>
          <w:r w:rsidR="00991945" w:rsidRPr="000F4EB5">
            <w:rPr>
              <w:rFonts w:asciiTheme="majorHAnsi" w:hAnsiTheme="majorHAnsi" w:cstheme="majorHAnsi"/>
              <w:lang w:val="es-ES"/>
            </w:rPr>
            <w:instrText xml:space="preserve"> CITATION ElF21 \l 3082 </w:instrText>
          </w:r>
          <w:r w:rsidR="00991945" w:rsidRPr="000F4EB5">
            <w:rPr>
              <w:rFonts w:asciiTheme="majorHAnsi" w:hAnsiTheme="majorHAnsi" w:cstheme="majorHAnsi"/>
            </w:rPr>
            <w:fldChar w:fldCharType="separate"/>
          </w:r>
          <w:r w:rsidR="00E562F4" w:rsidRPr="000F4EB5">
            <w:rPr>
              <w:rFonts w:asciiTheme="majorHAnsi" w:hAnsiTheme="majorHAnsi" w:cstheme="majorHAnsi"/>
              <w:noProof/>
              <w:lang w:val="es-ES"/>
            </w:rPr>
            <w:t>(El Financiero, 2021)</w:t>
          </w:r>
          <w:r w:rsidR="00991945" w:rsidRPr="000F4EB5">
            <w:rPr>
              <w:rFonts w:asciiTheme="majorHAnsi" w:hAnsiTheme="majorHAnsi" w:cstheme="majorHAnsi"/>
            </w:rPr>
            <w:fldChar w:fldCharType="end"/>
          </w:r>
        </w:sdtContent>
      </w:sdt>
      <w:r w:rsidR="00991945" w:rsidRPr="000F4EB5">
        <w:rPr>
          <w:rFonts w:asciiTheme="majorHAnsi" w:hAnsiTheme="majorHAnsi" w:cstheme="majorHAnsi"/>
        </w:rPr>
        <w:t>.</w:t>
      </w:r>
    </w:p>
    <w:p w14:paraId="0000000C" w14:textId="40AB2876" w:rsidR="00741052" w:rsidRPr="000F4EB5" w:rsidRDefault="002F4300" w:rsidP="001F0DAE">
      <w:pPr>
        <w:spacing w:before="240" w:line="360" w:lineRule="auto"/>
        <w:jc w:val="both"/>
        <w:rPr>
          <w:rFonts w:asciiTheme="majorHAnsi" w:hAnsiTheme="majorHAnsi" w:cstheme="majorHAnsi"/>
        </w:rPr>
      </w:pPr>
      <w:r w:rsidRPr="000F4EB5">
        <w:rPr>
          <w:rFonts w:asciiTheme="majorHAnsi" w:hAnsiTheme="majorHAnsi" w:cstheme="majorHAnsi"/>
        </w:rPr>
        <w:tab/>
        <w:t>Las mujeres criminalizadas por estos delitos</w:t>
      </w:r>
      <w:r w:rsidR="006F0115" w:rsidRPr="000F4EB5">
        <w:rPr>
          <w:rFonts w:asciiTheme="majorHAnsi" w:hAnsiTheme="majorHAnsi" w:cstheme="majorHAnsi"/>
        </w:rPr>
        <w:t xml:space="preserve"> </w:t>
      </w:r>
      <w:r w:rsidRPr="000F4EB5">
        <w:rPr>
          <w:rFonts w:asciiTheme="majorHAnsi" w:hAnsiTheme="majorHAnsi" w:cstheme="majorHAnsi"/>
        </w:rPr>
        <w:t>provienen de</w:t>
      </w:r>
      <w:r w:rsidR="006F0115" w:rsidRPr="000F4EB5">
        <w:rPr>
          <w:rFonts w:asciiTheme="majorHAnsi" w:hAnsiTheme="majorHAnsi" w:cstheme="majorHAnsi"/>
        </w:rPr>
        <w:t xml:space="preserve"> </w:t>
      </w:r>
      <w:r w:rsidRPr="000F4EB5">
        <w:rPr>
          <w:rFonts w:asciiTheme="majorHAnsi" w:hAnsiTheme="majorHAnsi" w:cstheme="majorHAnsi"/>
        </w:rPr>
        <w:t>situaciones económicas precarias, falta de acceso a servicios de salud, situaciones de violencia sexual, familiar e institucional</w:t>
      </w:r>
      <w:r w:rsidR="00991945" w:rsidRPr="000F4EB5">
        <w:rPr>
          <w:rFonts w:asciiTheme="majorHAnsi" w:hAnsiTheme="majorHAnsi" w:cstheme="majorHAnsi"/>
        </w:rPr>
        <w:t xml:space="preserve"> </w:t>
      </w:r>
      <w:sdt>
        <w:sdtPr>
          <w:rPr>
            <w:rFonts w:asciiTheme="majorHAnsi" w:hAnsiTheme="majorHAnsi" w:cstheme="majorHAnsi"/>
          </w:rPr>
          <w:id w:val="-714043487"/>
          <w:citation/>
        </w:sdtPr>
        <w:sdtContent>
          <w:r w:rsidR="00991945" w:rsidRPr="000F4EB5">
            <w:rPr>
              <w:rFonts w:asciiTheme="majorHAnsi" w:hAnsiTheme="majorHAnsi" w:cstheme="majorHAnsi"/>
            </w:rPr>
            <w:fldChar w:fldCharType="begin"/>
          </w:r>
          <w:r w:rsidR="00991945" w:rsidRPr="000F4EB5">
            <w:rPr>
              <w:rFonts w:asciiTheme="majorHAnsi" w:hAnsiTheme="majorHAnsi" w:cstheme="majorHAnsi"/>
              <w:lang w:val="es-ES"/>
            </w:rPr>
            <w:instrText xml:space="preserve"> CITATION ElF21 \l 3082 </w:instrText>
          </w:r>
          <w:r w:rsidR="00991945" w:rsidRPr="000F4EB5">
            <w:rPr>
              <w:rFonts w:asciiTheme="majorHAnsi" w:hAnsiTheme="majorHAnsi" w:cstheme="majorHAnsi"/>
            </w:rPr>
            <w:fldChar w:fldCharType="separate"/>
          </w:r>
          <w:r w:rsidR="00E562F4" w:rsidRPr="000F4EB5">
            <w:rPr>
              <w:rFonts w:asciiTheme="majorHAnsi" w:hAnsiTheme="majorHAnsi" w:cstheme="majorHAnsi"/>
              <w:noProof/>
              <w:lang w:val="es-ES"/>
            </w:rPr>
            <w:t>(El Financiero, 2021)</w:t>
          </w:r>
          <w:r w:rsidR="00991945" w:rsidRPr="000F4EB5">
            <w:rPr>
              <w:rFonts w:asciiTheme="majorHAnsi" w:hAnsiTheme="majorHAnsi" w:cstheme="majorHAnsi"/>
            </w:rPr>
            <w:fldChar w:fldCharType="end"/>
          </w:r>
        </w:sdtContent>
      </w:sdt>
      <w:r w:rsidR="00991945" w:rsidRPr="000F4EB5">
        <w:rPr>
          <w:rFonts w:asciiTheme="majorHAnsi" w:hAnsiTheme="majorHAnsi" w:cstheme="majorHAnsi"/>
        </w:rPr>
        <w:t xml:space="preserve">. </w:t>
      </w:r>
      <w:r w:rsidRPr="000F4EB5">
        <w:rPr>
          <w:rFonts w:asciiTheme="majorHAnsi" w:hAnsiTheme="majorHAnsi" w:cstheme="majorHAnsi"/>
        </w:rPr>
        <w:t xml:space="preserve">Son denunciadas por personal hospitalario o por sus propios familiares, siguen un proceso de irregularidades, </w:t>
      </w:r>
      <w:r w:rsidR="006F0115" w:rsidRPr="000F4EB5">
        <w:rPr>
          <w:rFonts w:asciiTheme="majorHAnsi" w:hAnsiTheme="majorHAnsi" w:cstheme="majorHAnsi"/>
        </w:rPr>
        <w:t>violaciones al</w:t>
      </w:r>
      <w:r w:rsidRPr="000F4EB5">
        <w:rPr>
          <w:rFonts w:asciiTheme="majorHAnsi" w:hAnsiTheme="majorHAnsi" w:cstheme="majorHAnsi"/>
        </w:rPr>
        <w:t xml:space="preserve"> debido proceso y sentencias permeadas por estereotipos de género </w:t>
      </w:r>
      <w:sdt>
        <w:sdtPr>
          <w:rPr>
            <w:rFonts w:asciiTheme="majorHAnsi" w:hAnsiTheme="majorHAnsi" w:cstheme="majorHAnsi"/>
          </w:rPr>
          <w:id w:val="1837950156"/>
          <w:citation/>
        </w:sdtPr>
        <w:sdtContent>
          <w:r w:rsidR="00991945" w:rsidRPr="000F4EB5">
            <w:rPr>
              <w:rFonts w:asciiTheme="majorHAnsi" w:hAnsiTheme="majorHAnsi" w:cstheme="majorHAnsi"/>
            </w:rPr>
            <w:fldChar w:fldCharType="begin"/>
          </w:r>
          <w:r w:rsidR="00991945" w:rsidRPr="000F4EB5">
            <w:rPr>
              <w:rFonts w:asciiTheme="majorHAnsi" w:hAnsiTheme="majorHAnsi" w:cstheme="majorHAnsi"/>
              <w:lang w:val="es-ES"/>
            </w:rPr>
            <w:instrText xml:space="preserve"> CITATION Gru18 \l 3082 </w:instrText>
          </w:r>
          <w:r w:rsidR="00991945" w:rsidRPr="000F4EB5">
            <w:rPr>
              <w:rFonts w:asciiTheme="majorHAnsi" w:hAnsiTheme="majorHAnsi" w:cstheme="majorHAnsi"/>
            </w:rPr>
            <w:fldChar w:fldCharType="separate"/>
          </w:r>
          <w:r w:rsidR="00E562F4" w:rsidRPr="000F4EB5">
            <w:rPr>
              <w:rFonts w:asciiTheme="majorHAnsi" w:hAnsiTheme="majorHAnsi" w:cstheme="majorHAnsi"/>
              <w:noProof/>
              <w:lang w:val="es-ES"/>
            </w:rPr>
            <w:t>(Grupo de Información en Reproducción Elegida (GIRE), 2018)</w:t>
          </w:r>
          <w:r w:rsidR="00991945" w:rsidRPr="000F4EB5">
            <w:rPr>
              <w:rFonts w:asciiTheme="majorHAnsi" w:hAnsiTheme="majorHAnsi" w:cstheme="majorHAnsi"/>
            </w:rPr>
            <w:fldChar w:fldCharType="end"/>
          </w:r>
        </w:sdtContent>
      </w:sdt>
      <w:r w:rsidR="00991945" w:rsidRPr="000F4EB5">
        <w:rPr>
          <w:rFonts w:asciiTheme="majorHAnsi" w:hAnsiTheme="majorHAnsi" w:cstheme="majorHAnsi"/>
        </w:rPr>
        <w:t>.</w:t>
      </w:r>
    </w:p>
    <w:p w14:paraId="00000013" w14:textId="723F761D" w:rsidR="00741052" w:rsidRPr="000F4EB5" w:rsidRDefault="00527F02" w:rsidP="004C3FBE">
      <w:pPr>
        <w:spacing w:before="240" w:line="360" w:lineRule="auto"/>
        <w:ind w:firstLine="720"/>
        <w:jc w:val="both"/>
        <w:rPr>
          <w:rFonts w:asciiTheme="majorHAnsi" w:hAnsiTheme="majorHAnsi" w:cstheme="majorHAnsi"/>
        </w:rPr>
      </w:pPr>
      <w:r w:rsidRPr="000F4EB5">
        <w:rPr>
          <w:rFonts w:asciiTheme="majorHAnsi" w:hAnsiTheme="majorHAnsi" w:cstheme="majorHAnsi"/>
        </w:rPr>
        <w:t xml:space="preserve">En septiembre de 2020 se implementó la Ley de Amnistía, propuesta aprobada </w:t>
      </w:r>
      <w:r w:rsidR="00B93EF7" w:rsidRPr="000F4EB5">
        <w:rPr>
          <w:rFonts w:asciiTheme="majorHAnsi" w:hAnsiTheme="majorHAnsi" w:cstheme="majorHAnsi"/>
        </w:rPr>
        <w:t>que</w:t>
      </w:r>
      <w:r w:rsidRPr="000F4EB5">
        <w:rPr>
          <w:rFonts w:asciiTheme="majorHAnsi" w:hAnsiTheme="majorHAnsi" w:cstheme="majorHAnsi"/>
        </w:rPr>
        <w:t xml:space="preserve"> busca la liberación de personas sentenciadas por delitos no graves </w:t>
      </w:r>
      <w:sdt>
        <w:sdtPr>
          <w:rPr>
            <w:rFonts w:asciiTheme="majorHAnsi" w:hAnsiTheme="majorHAnsi" w:cstheme="majorHAnsi"/>
          </w:rPr>
          <w:id w:val="-1005042937"/>
          <w:citation/>
        </w:sdtPr>
        <w:sdtContent>
          <w:r w:rsidRPr="000F4EB5">
            <w:rPr>
              <w:rFonts w:asciiTheme="majorHAnsi" w:hAnsiTheme="majorHAnsi" w:cstheme="majorHAnsi"/>
            </w:rPr>
            <w:fldChar w:fldCharType="begin"/>
          </w:r>
          <w:r w:rsidRPr="000F4EB5">
            <w:rPr>
              <w:rFonts w:asciiTheme="majorHAnsi" w:hAnsiTheme="majorHAnsi" w:cstheme="majorHAnsi"/>
              <w:lang w:val="es-ES"/>
            </w:rPr>
            <w:instrText xml:space="preserve"> CITATION Wai21 \l 3082 </w:instrText>
          </w:r>
          <w:r w:rsidRPr="000F4EB5">
            <w:rPr>
              <w:rFonts w:asciiTheme="majorHAnsi" w:hAnsiTheme="majorHAnsi" w:cstheme="majorHAnsi"/>
            </w:rPr>
            <w:fldChar w:fldCharType="separate"/>
          </w:r>
          <w:r w:rsidR="00E562F4" w:rsidRPr="000F4EB5">
            <w:rPr>
              <w:rFonts w:asciiTheme="majorHAnsi" w:hAnsiTheme="majorHAnsi" w:cstheme="majorHAnsi"/>
              <w:noProof/>
              <w:lang w:val="es-ES"/>
            </w:rPr>
            <w:t>(Wainer, 2021)</w:t>
          </w:r>
          <w:r w:rsidRPr="000F4EB5">
            <w:rPr>
              <w:rFonts w:asciiTheme="majorHAnsi" w:hAnsiTheme="majorHAnsi" w:cstheme="majorHAnsi"/>
            </w:rPr>
            <w:fldChar w:fldCharType="end"/>
          </w:r>
        </w:sdtContent>
      </w:sdt>
      <w:r w:rsidRPr="000F4EB5">
        <w:rPr>
          <w:rFonts w:asciiTheme="majorHAnsi" w:hAnsiTheme="majorHAnsi" w:cstheme="majorHAnsi"/>
        </w:rPr>
        <w:t xml:space="preserve">, </w:t>
      </w:r>
      <w:r w:rsidR="004C3FBE" w:rsidRPr="000F4EB5">
        <w:rPr>
          <w:rFonts w:asciiTheme="majorHAnsi" w:hAnsiTheme="majorHAnsi" w:cstheme="majorHAnsi"/>
        </w:rPr>
        <w:t>sin embargo, s</w:t>
      </w:r>
      <w:r w:rsidR="00640BF1" w:rsidRPr="000F4EB5">
        <w:rPr>
          <w:rFonts w:asciiTheme="majorHAnsi" w:hAnsiTheme="majorHAnsi" w:cstheme="majorHAnsi"/>
        </w:rPr>
        <w:t xml:space="preserve">egún el </w:t>
      </w:r>
      <w:r w:rsidR="00640BF1" w:rsidRPr="000F4EB5">
        <w:rPr>
          <w:rFonts w:asciiTheme="majorHAnsi" w:hAnsiTheme="majorHAnsi" w:cstheme="majorHAnsi"/>
        </w:rPr>
        <w:lastRenderedPageBreak/>
        <w:t>Secretariado Ejecutivo del Sistema Nacional de Seguridad Pública</w:t>
      </w:r>
      <w:sdt>
        <w:sdtPr>
          <w:rPr>
            <w:rFonts w:asciiTheme="majorHAnsi" w:hAnsiTheme="majorHAnsi" w:cstheme="majorHAnsi"/>
          </w:rPr>
          <w:id w:val="-1832049811"/>
          <w:citation/>
        </w:sdtPr>
        <w:sdtContent>
          <w:r w:rsidR="00C929B8" w:rsidRPr="000F4EB5">
            <w:rPr>
              <w:rFonts w:asciiTheme="majorHAnsi" w:hAnsiTheme="majorHAnsi" w:cstheme="majorHAnsi"/>
            </w:rPr>
            <w:fldChar w:fldCharType="begin"/>
          </w:r>
          <w:r w:rsidR="00C929B8" w:rsidRPr="000F4EB5">
            <w:rPr>
              <w:rFonts w:asciiTheme="majorHAnsi" w:hAnsiTheme="majorHAnsi" w:cstheme="majorHAnsi"/>
              <w:lang w:val="es-ES"/>
            </w:rPr>
            <w:instrText xml:space="preserve">CITATION Sec23 \n  \t  \l 3082 </w:instrText>
          </w:r>
          <w:r w:rsidR="00C929B8" w:rsidRPr="000F4EB5">
            <w:rPr>
              <w:rFonts w:asciiTheme="majorHAnsi" w:hAnsiTheme="majorHAnsi" w:cstheme="majorHAnsi"/>
            </w:rPr>
            <w:fldChar w:fldCharType="separate"/>
          </w:r>
          <w:r w:rsidR="00E562F4" w:rsidRPr="000F4EB5">
            <w:rPr>
              <w:rFonts w:asciiTheme="majorHAnsi" w:hAnsiTheme="majorHAnsi" w:cstheme="majorHAnsi"/>
              <w:noProof/>
              <w:lang w:val="es-ES"/>
            </w:rPr>
            <w:t xml:space="preserve"> (2023)</w:t>
          </w:r>
          <w:r w:rsidR="00C929B8" w:rsidRPr="000F4EB5">
            <w:rPr>
              <w:rFonts w:asciiTheme="majorHAnsi" w:hAnsiTheme="majorHAnsi" w:cstheme="majorHAnsi"/>
            </w:rPr>
            <w:fldChar w:fldCharType="end"/>
          </w:r>
        </w:sdtContent>
      </w:sdt>
      <w:r w:rsidR="00640BF1" w:rsidRPr="000F4EB5">
        <w:rPr>
          <w:rFonts w:asciiTheme="majorHAnsi" w:hAnsiTheme="majorHAnsi" w:cstheme="majorHAnsi"/>
        </w:rPr>
        <w:t>, el número de averiguaciones previas o carpetas de investigación que se iniciaron por el delito de aborto en todo el país fue de 604 en 2018, 717 en 2019, 633 en 2020, 704 en 2021, 819 en 2022</w:t>
      </w:r>
      <w:r w:rsidR="00C929B8" w:rsidRPr="000F4EB5">
        <w:rPr>
          <w:rFonts w:asciiTheme="majorHAnsi" w:hAnsiTheme="majorHAnsi" w:cstheme="majorHAnsi"/>
        </w:rPr>
        <w:t xml:space="preserve"> y 63 en 2023 hasta el mes de enero.</w:t>
      </w:r>
      <w:r w:rsidR="00B93EF7" w:rsidRPr="000F4EB5">
        <w:rPr>
          <w:rFonts w:asciiTheme="majorHAnsi" w:hAnsiTheme="majorHAnsi" w:cstheme="majorHAnsi"/>
        </w:rPr>
        <w:t xml:space="preserve"> El</w:t>
      </w:r>
      <w:r w:rsidRPr="000F4EB5">
        <w:rPr>
          <w:rFonts w:asciiTheme="majorHAnsi" w:hAnsiTheme="majorHAnsi" w:cstheme="majorHAnsi"/>
        </w:rPr>
        <w:t xml:space="preserve"> Censo Nacional de Gobierno. Seguridad Pública y Sistema Penitenciario Estatales</w:t>
      </w:r>
      <w:sdt>
        <w:sdtPr>
          <w:rPr>
            <w:rFonts w:asciiTheme="majorHAnsi" w:hAnsiTheme="majorHAnsi" w:cstheme="majorHAnsi"/>
          </w:rPr>
          <w:id w:val="131760457"/>
          <w:citation/>
        </w:sdtPr>
        <w:sdtContent>
          <w:r w:rsidR="00575E3B" w:rsidRPr="000F4EB5">
            <w:rPr>
              <w:rFonts w:asciiTheme="majorHAnsi" w:hAnsiTheme="majorHAnsi" w:cstheme="majorHAnsi"/>
            </w:rPr>
            <w:fldChar w:fldCharType="begin"/>
          </w:r>
          <w:r w:rsidR="00575E3B" w:rsidRPr="000F4EB5">
            <w:rPr>
              <w:rFonts w:asciiTheme="majorHAnsi" w:hAnsiTheme="majorHAnsi" w:cstheme="majorHAnsi"/>
              <w:lang w:val="es-ES"/>
            </w:rPr>
            <w:instrText xml:space="preserve">CITATION Ins203 \n  \t  \l 3082 </w:instrText>
          </w:r>
          <w:r w:rsidR="00575E3B" w:rsidRPr="000F4EB5">
            <w:rPr>
              <w:rFonts w:asciiTheme="majorHAnsi" w:hAnsiTheme="majorHAnsi" w:cstheme="majorHAnsi"/>
            </w:rPr>
            <w:fldChar w:fldCharType="separate"/>
          </w:r>
          <w:r w:rsidR="00E562F4" w:rsidRPr="000F4EB5">
            <w:rPr>
              <w:rFonts w:asciiTheme="majorHAnsi" w:hAnsiTheme="majorHAnsi" w:cstheme="majorHAnsi"/>
              <w:noProof/>
              <w:lang w:val="es-ES"/>
            </w:rPr>
            <w:t xml:space="preserve"> (2020)</w:t>
          </w:r>
          <w:r w:rsidR="00575E3B" w:rsidRPr="000F4EB5">
            <w:rPr>
              <w:rFonts w:asciiTheme="majorHAnsi" w:hAnsiTheme="majorHAnsi" w:cstheme="majorHAnsi"/>
            </w:rPr>
            <w:fldChar w:fldCharType="end"/>
          </w:r>
        </w:sdtContent>
      </w:sdt>
      <w:r w:rsidRPr="000F4EB5">
        <w:rPr>
          <w:rFonts w:asciiTheme="majorHAnsi" w:hAnsiTheme="majorHAnsi" w:cstheme="majorHAnsi"/>
        </w:rPr>
        <w:t>,</w:t>
      </w:r>
      <w:r w:rsidR="00B93EF7" w:rsidRPr="000F4EB5">
        <w:rPr>
          <w:rFonts w:asciiTheme="majorHAnsi" w:hAnsiTheme="majorHAnsi" w:cstheme="majorHAnsi"/>
        </w:rPr>
        <w:t xml:space="preserve"> indica que en</w:t>
      </w:r>
      <w:r w:rsidRPr="000F4EB5">
        <w:rPr>
          <w:rFonts w:asciiTheme="majorHAnsi" w:hAnsiTheme="majorHAnsi" w:cstheme="majorHAnsi"/>
        </w:rPr>
        <w:t xml:space="preserve"> total había 4 mujeres ingresadas a los centros penitenciarios por el delito de aborto en los estados de Guerrero, Veracruz, Yucatán y Zacatecas.</w:t>
      </w:r>
      <w:r w:rsidR="00B93EF7" w:rsidRPr="000F4EB5">
        <w:rPr>
          <w:rFonts w:asciiTheme="majorHAnsi" w:hAnsiTheme="majorHAnsi" w:cstheme="majorHAnsi"/>
        </w:rPr>
        <w:t xml:space="preserve"> El </w:t>
      </w:r>
      <w:r w:rsidR="00575E3B" w:rsidRPr="000F4EB5">
        <w:rPr>
          <w:rFonts w:asciiTheme="majorHAnsi" w:hAnsiTheme="majorHAnsi" w:cstheme="majorHAnsi"/>
        </w:rPr>
        <w:t xml:space="preserve">Censo Nacional de Sistemas Penitenciarios Estatales </w:t>
      </w:r>
      <w:sdt>
        <w:sdtPr>
          <w:rPr>
            <w:rFonts w:asciiTheme="majorHAnsi" w:hAnsiTheme="majorHAnsi" w:cstheme="majorHAnsi"/>
          </w:rPr>
          <w:id w:val="-856345394"/>
          <w:citation/>
        </w:sdtPr>
        <w:sdtContent>
          <w:r w:rsidR="00575E3B" w:rsidRPr="000F4EB5">
            <w:rPr>
              <w:rFonts w:asciiTheme="majorHAnsi" w:hAnsiTheme="majorHAnsi" w:cstheme="majorHAnsi"/>
            </w:rPr>
            <w:fldChar w:fldCharType="begin"/>
          </w:r>
          <w:r w:rsidR="00575E3B" w:rsidRPr="000F4EB5">
            <w:rPr>
              <w:rFonts w:asciiTheme="majorHAnsi" w:hAnsiTheme="majorHAnsi" w:cstheme="majorHAnsi"/>
              <w:lang w:val="es-ES"/>
            </w:rPr>
            <w:instrText xml:space="preserve">CITATION Ins202 \n  \t  \l 3082 </w:instrText>
          </w:r>
          <w:r w:rsidR="00575E3B" w:rsidRPr="000F4EB5">
            <w:rPr>
              <w:rFonts w:asciiTheme="majorHAnsi" w:hAnsiTheme="majorHAnsi" w:cstheme="majorHAnsi"/>
            </w:rPr>
            <w:fldChar w:fldCharType="separate"/>
          </w:r>
          <w:r w:rsidR="00E562F4" w:rsidRPr="000F4EB5">
            <w:rPr>
              <w:rFonts w:asciiTheme="majorHAnsi" w:hAnsiTheme="majorHAnsi" w:cstheme="majorHAnsi"/>
              <w:noProof/>
              <w:lang w:val="es-ES"/>
            </w:rPr>
            <w:t>(2021)</w:t>
          </w:r>
          <w:r w:rsidR="00575E3B" w:rsidRPr="000F4EB5">
            <w:rPr>
              <w:rFonts w:asciiTheme="majorHAnsi" w:hAnsiTheme="majorHAnsi" w:cstheme="majorHAnsi"/>
            </w:rPr>
            <w:fldChar w:fldCharType="end"/>
          </w:r>
        </w:sdtContent>
      </w:sdt>
      <w:r w:rsidR="00575E3B" w:rsidRPr="000F4EB5">
        <w:rPr>
          <w:rFonts w:asciiTheme="majorHAnsi" w:hAnsiTheme="majorHAnsi" w:cstheme="majorHAnsi"/>
        </w:rPr>
        <w:t>, en total había solo 2 personas hombres privadas de la libertad en centros penitenciarios por el delito de aborto.</w:t>
      </w:r>
      <w:r w:rsidR="004C3FBE" w:rsidRPr="000F4EB5">
        <w:rPr>
          <w:rFonts w:asciiTheme="majorHAnsi" w:hAnsiTheme="majorHAnsi" w:cstheme="majorHAnsi"/>
        </w:rPr>
        <w:t xml:space="preserve"> Por lo tanto no se percibe un decrecimiento de mujeres encarceladas por aborto</w:t>
      </w:r>
      <w:r w:rsidR="00D61D91" w:rsidRPr="000F4EB5">
        <w:rPr>
          <w:rFonts w:asciiTheme="majorHAnsi" w:hAnsiTheme="majorHAnsi" w:cstheme="majorHAnsi"/>
        </w:rPr>
        <w:t xml:space="preserve">. </w:t>
      </w:r>
    </w:p>
    <w:p w14:paraId="4DC3F6D5" w14:textId="7DB0B616" w:rsidR="00B83CA2" w:rsidRPr="000F4EB5" w:rsidRDefault="00B83CA2" w:rsidP="004C3FBE">
      <w:pPr>
        <w:spacing w:before="240" w:line="360" w:lineRule="auto"/>
        <w:ind w:firstLine="720"/>
        <w:jc w:val="both"/>
        <w:rPr>
          <w:rFonts w:asciiTheme="majorHAnsi" w:hAnsiTheme="majorHAnsi" w:cstheme="majorHAnsi"/>
        </w:rPr>
      </w:pPr>
      <w:r w:rsidRPr="000F4EB5">
        <w:rPr>
          <w:rFonts w:asciiTheme="majorHAnsi" w:hAnsiTheme="majorHAnsi" w:cstheme="majorHAnsi"/>
        </w:rPr>
        <w:t xml:space="preserve">En agosto de 2020, GIRE, CECADEC, TERFU AC, Cultivando Género AC, y Morras Help Morras, presentaron un amparo ante la Suprema Corte de Justicia de la Nación, con el objetivo de despenalizar el aborto en Aguascalientes. La Corte analizó el amparo presentado y concluyó que “(…) el delito de aborto autoprocurado y consentido dejará de ser aplicable para todo el estado, con lo que ninguna mujer, persona con capacidad de gestar ni al personal de salud se le puede criminalizar por ello.” (SCJN, 2023). Al haberse aprobado con 4 votos, esta decisión se convierte en obligatoria para todas y todos los jueces federales y locales. </w:t>
      </w:r>
    </w:p>
    <w:p w14:paraId="115D6133" w14:textId="4854154B" w:rsidR="00285DD9" w:rsidRPr="000F4EB5" w:rsidRDefault="00D9305F" w:rsidP="00137BAB">
      <w:pPr>
        <w:spacing w:before="240" w:line="360" w:lineRule="auto"/>
        <w:ind w:firstLine="720"/>
        <w:jc w:val="both"/>
        <w:rPr>
          <w:rFonts w:asciiTheme="majorHAnsi" w:hAnsiTheme="majorHAnsi" w:cstheme="majorHAnsi"/>
        </w:rPr>
      </w:pPr>
      <w:r w:rsidRPr="000F4EB5">
        <w:rPr>
          <w:rFonts w:asciiTheme="majorHAnsi" w:hAnsiTheme="majorHAnsi" w:cstheme="majorHAnsi"/>
        </w:rPr>
        <w:t xml:space="preserve">En relación a esta información, </w:t>
      </w:r>
      <w:r w:rsidR="00760406" w:rsidRPr="000F4EB5">
        <w:rPr>
          <w:rFonts w:asciiTheme="majorHAnsi" w:hAnsiTheme="majorHAnsi" w:cstheme="majorHAnsi"/>
        </w:rPr>
        <w:t>para la realización del presente informe se hicieron</w:t>
      </w:r>
      <w:r w:rsidR="00B83CA2" w:rsidRPr="000F4EB5">
        <w:rPr>
          <w:rFonts w:asciiTheme="majorHAnsi" w:hAnsiTheme="majorHAnsi" w:cstheme="majorHAnsi"/>
        </w:rPr>
        <w:t xml:space="preserve"> </w:t>
      </w:r>
      <w:r w:rsidRPr="000F4EB5">
        <w:rPr>
          <w:rFonts w:asciiTheme="majorHAnsi" w:hAnsiTheme="majorHAnsi" w:cstheme="majorHAnsi"/>
        </w:rPr>
        <w:t xml:space="preserve">solicitudes de información a las 32 Entidades Federativas que componen al Estado mexicano, con la finalidad de conocer cuántas mujeres se encontraban privadas de su libertad por el delito de aborto, homicidio en razón de parentesco e infanticidio. </w:t>
      </w:r>
    </w:p>
    <w:p w14:paraId="6D8FDBBD" w14:textId="68D8CCF1" w:rsidR="00D9305F" w:rsidRPr="000F4EB5" w:rsidRDefault="00D9305F" w:rsidP="00D9305F">
      <w:pPr>
        <w:spacing w:line="360" w:lineRule="auto"/>
        <w:jc w:val="both"/>
        <w:rPr>
          <w:rFonts w:asciiTheme="majorHAnsi" w:hAnsiTheme="majorHAnsi" w:cstheme="majorHAnsi"/>
        </w:rPr>
      </w:pPr>
      <w:r w:rsidRPr="000F4EB5">
        <w:rPr>
          <w:rFonts w:asciiTheme="majorHAnsi" w:hAnsiTheme="majorHAnsi" w:cstheme="majorHAnsi"/>
        </w:rPr>
        <w:t xml:space="preserve">De lo cual, se obtuvieron los siguientes resultados: </w:t>
      </w:r>
    </w:p>
    <w:p w14:paraId="339C6E17" w14:textId="1F679488" w:rsidR="00D9305F" w:rsidRPr="000F4EB5" w:rsidRDefault="00D9305F" w:rsidP="00D9305F">
      <w:pPr>
        <w:pStyle w:val="Prrafodelista"/>
        <w:numPr>
          <w:ilvl w:val="0"/>
          <w:numId w:val="1"/>
        </w:numPr>
        <w:spacing w:before="240" w:line="360" w:lineRule="auto"/>
        <w:jc w:val="both"/>
        <w:rPr>
          <w:rFonts w:asciiTheme="majorHAnsi" w:hAnsiTheme="majorHAnsi" w:cstheme="majorHAnsi"/>
          <w:b/>
          <w:bCs/>
        </w:rPr>
      </w:pPr>
      <w:r w:rsidRPr="000F4EB5">
        <w:rPr>
          <w:rFonts w:asciiTheme="majorHAnsi" w:hAnsiTheme="majorHAnsi" w:cstheme="majorHAnsi"/>
          <w:b/>
          <w:bCs/>
        </w:rPr>
        <w:t>Aborto</w:t>
      </w:r>
      <w:r w:rsidR="009245E0" w:rsidRPr="000F4EB5">
        <w:rPr>
          <w:rFonts w:asciiTheme="majorHAnsi" w:hAnsiTheme="majorHAnsi" w:cstheme="majorHAnsi"/>
          <w:b/>
          <w:bCs/>
        </w:rPr>
        <w:t xml:space="preserve">. </w:t>
      </w:r>
    </w:p>
    <w:p w14:paraId="6CD33B7C" w14:textId="1F6F2DF8" w:rsidR="009245E0" w:rsidRPr="000F4EB5" w:rsidRDefault="009245E0" w:rsidP="009245E0">
      <w:pPr>
        <w:spacing w:before="240" w:line="360" w:lineRule="auto"/>
        <w:ind w:firstLine="360"/>
        <w:jc w:val="both"/>
        <w:rPr>
          <w:rFonts w:asciiTheme="majorHAnsi" w:hAnsiTheme="majorHAnsi" w:cstheme="majorHAnsi"/>
        </w:rPr>
      </w:pPr>
      <w:bookmarkStart w:id="1" w:name="_Hlk143779848"/>
      <w:r w:rsidRPr="000F4EB5">
        <w:rPr>
          <w:rFonts w:asciiTheme="majorHAnsi" w:hAnsiTheme="majorHAnsi" w:cstheme="majorHAnsi"/>
        </w:rPr>
        <w:t xml:space="preserve">La solicitud de información se realizó a las 32 entidades federativas que componen en Estado mexicano, con la pregunta </w:t>
      </w:r>
      <w:r w:rsidRPr="000F4EB5">
        <w:rPr>
          <w:rFonts w:asciiTheme="majorHAnsi" w:hAnsiTheme="majorHAnsi" w:cstheme="majorHAnsi"/>
          <w:b/>
          <w:bCs/>
          <w:i/>
          <w:iCs/>
        </w:rPr>
        <w:t xml:space="preserve">“Solicito conocer el número de mujeres privadas de su libertad, diferenciado cuántas se encuentran sin sentencia y cuántas con sentencia, por el delito de aborto.”, </w:t>
      </w:r>
      <w:r w:rsidRPr="000F4EB5">
        <w:rPr>
          <w:rFonts w:asciiTheme="majorHAnsi" w:hAnsiTheme="majorHAnsi" w:cstheme="majorHAnsi"/>
        </w:rPr>
        <w:t>obteniendo los siguientes resultados:</w:t>
      </w:r>
    </w:p>
    <w:bookmarkEnd w:id="1"/>
    <w:p w14:paraId="12E8C111" w14:textId="4163DB41" w:rsidR="009245E0" w:rsidRPr="000F4EB5" w:rsidRDefault="009245E0" w:rsidP="009245E0">
      <w:pPr>
        <w:spacing w:before="240" w:line="360" w:lineRule="auto"/>
        <w:jc w:val="both"/>
        <w:rPr>
          <w:rFonts w:asciiTheme="majorHAnsi" w:hAnsiTheme="majorHAnsi" w:cstheme="majorHAnsi"/>
        </w:rPr>
      </w:pPr>
      <w:r w:rsidRPr="000F4EB5">
        <w:rPr>
          <w:rFonts w:asciiTheme="majorHAnsi" w:hAnsiTheme="majorHAnsi" w:cstheme="majorHAnsi"/>
        </w:rPr>
        <w:tab/>
        <w:t>Los Estados que reportan mujeres encarceladas por el delito de aborto son Aguascalientes, con una mujer privada de su libertad</w:t>
      </w:r>
      <w:r w:rsidR="00D63482" w:rsidRPr="000F4EB5">
        <w:rPr>
          <w:rFonts w:asciiTheme="majorHAnsi" w:hAnsiTheme="majorHAnsi" w:cstheme="majorHAnsi"/>
        </w:rPr>
        <w:t xml:space="preserve"> sin sentencia; </w:t>
      </w:r>
      <w:r w:rsidRPr="000F4EB5">
        <w:rPr>
          <w:rFonts w:asciiTheme="majorHAnsi" w:hAnsiTheme="majorHAnsi" w:cstheme="majorHAnsi"/>
        </w:rPr>
        <w:t xml:space="preserve">Guanajuato, </w:t>
      </w:r>
      <w:r w:rsidR="00D63482" w:rsidRPr="000F4EB5">
        <w:rPr>
          <w:rFonts w:asciiTheme="majorHAnsi" w:hAnsiTheme="majorHAnsi" w:cstheme="majorHAnsi"/>
        </w:rPr>
        <w:t xml:space="preserve">reporta una </w:t>
      </w:r>
      <w:r w:rsidR="00180C90" w:rsidRPr="000F4EB5">
        <w:rPr>
          <w:rFonts w:asciiTheme="majorHAnsi" w:hAnsiTheme="majorHAnsi" w:cstheme="majorHAnsi"/>
        </w:rPr>
        <w:t>mujer encarcelada</w:t>
      </w:r>
      <w:r w:rsidR="00D63482" w:rsidRPr="000F4EB5">
        <w:rPr>
          <w:rFonts w:asciiTheme="majorHAnsi" w:hAnsiTheme="majorHAnsi" w:cstheme="majorHAnsi"/>
        </w:rPr>
        <w:t xml:space="preserve"> con sentencia;</w:t>
      </w:r>
      <w:r w:rsidRPr="000F4EB5">
        <w:rPr>
          <w:rFonts w:asciiTheme="majorHAnsi" w:hAnsiTheme="majorHAnsi" w:cstheme="majorHAnsi"/>
        </w:rPr>
        <w:t xml:space="preserve"> Nayarit, reporta la reclusión de dos mujeres, ambas con sentencia emitida por el delito de aborto</w:t>
      </w:r>
      <w:r w:rsidR="00D63482" w:rsidRPr="000F4EB5">
        <w:rPr>
          <w:rFonts w:asciiTheme="majorHAnsi" w:hAnsiTheme="majorHAnsi" w:cstheme="majorHAnsi"/>
        </w:rPr>
        <w:t xml:space="preserve">; </w:t>
      </w:r>
      <w:r w:rsidRPr="000F4EB5">
        <w:rPr>
          <w:rFonts w:asciiTheme="majorHAnsi" w:hAnsiTheme="majorHAnsi" w:cstheme="majorHAnsi"/>
        </w:rPr>
        <w:t xml:space="preserve">Oaxaca, </w:t>
      </w:r>
      <w:r w:rsidR="00D63482" w:rsidRPr="000F4EB5">
        <w:rPr>
          <w:rFonts w:asciiTheme="majorHAnsi" w:hAnsiTheme="majorHAnsi" w:cstheme="majorHAnsi"/>
        </w:rPr>
        <w:t xml:space="preserve">tiene </w:t>
      </w:r>
      <w:r w:rsidRPr="000F4EB5">
        <w:rPr>
          <w:rFonts w:asciiTheme="majorHAnsi" w:hAnsiTheme="majorHAnsi" w:cstheme="majorHAnsi"/>
        </w:rPr>
        <w:t>a una mujer que está actualmente bajo proceso legal por su presunta participación en el delito de aborto, sin embargo, no ha recibido sentencia.</w:t>
      </w:r>
    </w:p>
    <w:p w14:paraId="0643522A" w14:textId="11138DA7" w:rsidR="009245E0" w:rsidRPr="000F4EB5" w:rsidRDefault="009245E0" w:rsidP="009245E0">
      <w:pPr>
        <w:spacing w:before="240" w:line="360" w:lineRule="auto"/>
        <w:jc w:val="both"/>
        <w:rPr>
          <w:rFonts w:asciiTheme="majorHAnsi" w:hAnsiTheme="majorHAnsi" w:cstheme="majorHAnsi"/>
        </w:rPr>
      </w:pPr>
      <w:r w:rsidRPr="000F4EB5">
        <w:rPr>
          <w:rFonts w:asciiTheme="majorHAnsi" w:hAnsiTheme="majorHAnsi" w:cstheme="majorHAnsi"/>
        </w:rPr>
        <w:lastRenderedPageBreak/>
        <w:t xml:space="preserve">En contraste, los </w:t>
      </w:r>
      <w:r w:rsidR="00D63482" w:rsidRPr="000F4EB5">
        <w:rPr>
          <w:rFonts w:asciiTheme="majorHAnsi" w:hAnsiTheme="majorHAnsi" w:cstheme="majorHAnsi"/>
        </w:rPr>
        <w:t>E</w:t>
      </w:r>
      <w:r w:rsidRPr="000F4EB5">
        <w:rPr>
          <w:rFonts w:asciiTheme="majorHAnsi" w:hAnsiTheme="majorHAnsi" w:cstheme="majorHAnsi"/>
        </w:rPr>
        <w:t>stados de Baja California, Coahuila, Colima, Chiapas, Ciudad de México, Guerrero, Jalisco, Morelos, Nuevo León, Quintana Roo, San Luis Potosí, Sinaloa, Tabasco, Tamaulipas, Tlaxcala, Veracruz y Zacatecas informan que no hay mujeres privadas de su libertad por el delito de aborto en sus territorios.</w:t>
      </w:r>
    </w:p>
    <w:p w14:paraId="6B588103" w14:textId="77777777" w:rsidR="00D63482" w:rsidRPr="000F4EB5" w:rsidRDefault="009245E0" w:rsidP="00D63482">
      <w:pPr>
        <w:spacing w:before="240" w:line="360" w:lineRule="auto"/>
        <w:jc w:val="both"/>
        <w:rPr>
          <w:rFonts w:asciiTheme="majorHAnsi" w:hAnsiTheme="majorHAnsi" w:cstheme="majorHAnsi"/>
        </w:rPr>
      </w:pPr>
      <w:r w:rsidRPr="000F4EB5">
        <w:rPr>
          <w:rFonts w:asciiTheme="majorHAnsi" w:hAnsiTheme="majorHAnsi" w:cstheme="majorHAnsi"/>
        </w:rPr>
        <w:t>Por otro lado, en Baja California Sur</w:t>
      </w:r>
      <w:r w:rsidR="00D63482" w:rsidRPr="000F4EB5">
        <w:rPr>
          <w:rFonts w:asciiTheme="majorHAnsi" w:hAnsiTheme="majorHAnsi" w:cstheme="majorHAnsi"/>
        </w:rPr>
        <w:t>,</w:t>
      </w:r>
      <w:r w:rsidRPr="000F4EB5">
        <w:rPr>
          <w:rFonts w:asciiTheme="majorHAnsi" w:hAnsiTheme="majorHAnsi" w:cstheme="majorHAnsi"/>
        </w:rPr>
        <w:t xml:space="preserve"> Campeche</w:t>
      </w:r>
      <w:r w:rsidR="00D63482" w:rsidRPr="000F4EB5">
        <w:rPr>
          <w:rFonts w:asciiTheme="majorHAnsi" w:hAnsiTheme="majorHAnsi" w:cstheme="majorHAnsi"/>
        </w:rPr>
        <w:t>, Michoacán, Querétaro y Yucatán s</w:t>
      </w:r>
      <w:r w:rsidRPr="000F4EB5">
        <w:rPr>
          <w:rFonts w:asciiTheme="majorHAnsi" w:hAnsiTheme="majorHAnsi" w:cstheme="majorHAnsi"/>
        </w:rPr>
        <w:t xml:space="preserve">e </w:t>
      </w:r>
      <w:r w:rsidR="00D63482" w:rsidRPr="000F4EB5">
        <w:rPr>
          <w:rFonts w:asciiTheme="majorHAnsi" w:hAnsiTheme="majorHAnsi" w:cstheme="majorHAnsi"/>
        </w:rPr>
        <w:t xml:space="preserve">volvió a solicitar la información y aún no hay respuesta. </w:t>
      </w:r>
      <w:r w:rsidRPr="000F4EB5">
        <w:rPr>
          <w:rFonts w:asciiTheme="majorHAnsi" w:hAnsiTheme="majorHAnsi" w:cstheme="majorHAnsi"/>
        </w:rPr>
        <w:t xml:space="preserve">Chihuahua </w:t>
      </w:r>
      <w:r w:rsidR="00D63482" w:rsidRPr="000F4EB5">
        <w:rPr>
          <w:rFonts w:asciiTheme="majorHAnsi" w:hAnsiTheme="majorHAnsi" w:cstheme="majorHAnsi"/>
        </w:rPr>
        <w:t xml:space="preserve">solicitó una </w:t>
      </w:r>
      <w:r w:rsidRPr="000F4EB5">
        <w:rPr>
          <w:rFonts w:asciiTheme="majorHAnsi" w:hAnsiTheme="majorHAnsi" w:cstheme="majorHAnsi"/>
        </w:rPr>
        <w:t xml:space="preserve">ampliación de la prórroga para proporcionar información. </w:t>
      </w:r>
      <w:r w:rsidR="00D63482" w:rsidRPr="000F4EB5">
        <w:rPr>
          <w:rFonts w:asciiTheme="majorHAnsi" w:hAnsiTheme="majorHAnsi" w:cstheme="majorHAnsi"/>
        </w:rPr>
        <w:t>Hidalgo y México han excedido el tiempo límite para brindar una respuesta. Por último, Puebla y Sonora aún no han proporcionado una respuesta.</w:t>
      </w:r>
    </w:p>
    <w:p w14:paraId="51774974" w14:textId="69316A99" w:rsidR="00D9305F" w:rsidRPr="000F4EB5" w:rsidRDefault="00D9305F" w:rsidP="00D9305F">
      <w:pPr>
        <w:pStyle w:val="Prrafodelista"/>
        <w:numPr>
          <w:ilvl w:val="0"/>
          <w:numId w:val="1"/>
        </w:numPr>
        <w:spacing w:before="240" w:line="360" w:lineRule="auto"/>
        <w:jc w:val="both"/>
        <w:rPr>
          <w:rFonts w:asciiTheme="majorHAnsi" w:hAnsiTheme="majorHAnsi" w:cstheme="majorHAnsi"/>
          <w:b/>
          <w:bCs/>
        </w:rPr>
      </w:pPr>
      <w:r w:rsidRPr="000F4EB5">
        <w:rPr>
          <w:rFonts w:asciiTheme="majorHAnsi" w:hAnsiTheme="majorHAnsi" w:cstheme="majorHAnsi"/>
          <w:b/>
          <w:bCs/>
        </w:rPr>
        <w:t>Homicidio en razón de parentesco</w:t>
      </w:r>
      <w:r w:rsidR="00D63482" w:rsidRPr="000F4EB5">
        <w:rPr>
          <w:rFonts w:asciiTheme="majorHAnsi" w:hAnsiTheme="majorHAnsi" w:cstheme="majorHAnsi"/>
          <w:b/>
          <w:bCs/>
        </w:rPr>
        <w:t xml:space="preserve">. </w:t>
      </w:r>
    </w:p>
    <w:p w14:paraId="70443F70" w14:textId="259CBB9F" w:rsidR="00D63482" w:rsidRPr="000F4EB5" w:rsidRDefault="00D63482" w:rsidP="002D0201">
      <w:pPr>
        <w:spacing w:before="240" w:line="360" w:lineRule="auto"/>
        <w:ind w:firstLine="360"/>
        <w:jc w:val="both"/>
        <w:rPr>
          <w:rFonts w:asciiTheme="majorHAnsi" w:hAnsiTheme="majorHAnsi" w:cstheme="majorHAnsi"/>
        </w:rPr>
      </w:pPr>
      <w:r w:rsidRPr="000F4EB5">
        <w:rPr>
          <w:rFonts w:asciiTheme="majorHAnsi" w:hAnsiTheme="majorHAnsi" w:cstheme="majorHAnsi"/>
        </w:rPr>
        <w:t xml:space="preserve">La solicitud de información se realizó a 7 entidades federativas que componen en Estado mexicano, </w:t>
      </w:r>
      <w:r w:rsidR="002D0201" w:rsidRPr="000F4EB5">
        <w:rPr>
          <w:rFonts w:asciiTheme="majorHAnsi" w:hAnsiTheme="majorHAnsi" w:cstheme="majorHAnsi"/>
        </w:rPr>
        <w:t xml:space="preserve">puesto que son los únicos Estados que tipifican el delito de homicidio en razón de parentesco, </w:t>
      </w:r>
      <w:r w:rsidRPr="000F4EB5">
        <w:rPr>
          <w:rFonts w:asciiTheme="majorHAnsi" w:hAnsiTheme="majorHAnsi" w:cstheme="majorHAnsi"/>
        </w:rPr>
        <w:t xml:space="preserve">con la pregunta </w:t>
      </w:r>
      <w:r w:rsidRPr="000F4EB5">
        <w:rPr>
          <w:rFonts w:asciiTheme="majorHAnsi" w:hAnsiTheme="majorHAnsi" w:cstheme="majorHAnsi"/>
          <w:b/>
          <w:bCs/>
          <w:i/>
          <w:iCs/>
        </w:rPr>
        <w:t xml:space="preserve">“Solicito conocer el número de mujeres privadas de su libertad, diferenciado cuántas se encuentran sin sentencia y cuántas con sentencia, por el delito de </w:t>
      </w:r>
      <w:r w:rsidR="002D0201" w:rsidRPr="000F4EB5">
        <w:rPr>
          <w:rFonts w:asciiTheme="majorHAnsi" w:hAnsiTheme="majorHAnsi" w:cstheme="majorHAnsi"/>
          <w:b/>
          <w:bCs/>
          <w:i/>
          <w:iCs/>
        </w:rPr>
        <w:t>homicidio en razón de parentesco</w:t>
      </w:r>
      <w:r w:rsidRPr="000F4EB5">
        <w:rPr>
          <w:rFonts w:asciiTheme="majorHAnsi" w:hAnsiTheme="majorHAnsi" w:cstheme="majorHAnsi"/>
          <w:b/>
          <w:bCs/>
          <w:i/>
          <w:iCs/>
        </w:rPr>
        <w:t>.”</w:t>
      </w:r>
      <w:r w:rsidRPr="000F4EB5">
        <w:rPr>
          <w:rFonts w:asciiTheme="majorHAnsi" w:hAnsiTheme="majorHAnsi" w:cstheme="majorHAnsi"/>
        </w:rPr>
        <w:t>, obteniendo los siguientes resultados:</w:t>
      </w:r>
    </w:p>
    <w:p w14:paraId="7ED16A77" w14:textId="38A0BF0E" w:rsidR="002D0201" w:rsidRPr="000F4EB5" w:rsidRDefault="002D0201" w:rsidP="002D0201">
      <w:pPr>
        <w:spacing w:before="240" w:line="360" w:lineRule="auto"/>
        <w:ind w:firstLine="360"/>
        <w:jc w:val="both"/>
        <w:rPr>
          <w:rFonts w:asciiTheme="majorHAnsi" w:hAnsiTheme="majorHAnsi" w:cstheme="majorHAnsi"/>
        </w:rPr>
      </w:pPr>
      <w:r w:rsidRPr="000F4EB5">
        <w:rPr>
          <w:rFonts w:asciiTheme="majorHAnsi" w:hAnsiTheme="majorHAnsi" w:cstheme="majorHAnsi"/>
        </w:rPr>
        <w:t>Chiapas registra la existencia de 5 mujeres privadas de su libertad, 2 de ellas tienen sentencia y 3 están aún sin sentencia. Guanajuato informa que hay 12 mujeres encarceladas, de las cuales 1 no cuenta con sentencia y 11 tienen una sentencia condenatoria. Sin embargo, aclara que no existen registros de mujeres o personas gestantes criminalizadas por ejercer su derecho a interrumpir su embarazo.</w:t>
      </w:r>
    </w:p>
    <w:p w14:paraId="7E4857EE" w14:textId="0851C0FE" w:rsidR="002D0201" w:rsidRPr="000F4EB5" w:rsidRDefault="002D0201" w:rsidP="002D0201">
      <w:pPr>
        <w:spacing w:before="240" w:line="360" w:lineRule="auto"/>
        <w:ind w:firstLine="360"/>
        <w:jc w:val="both"/>
        <w:rPr>
          <w:rFonts w:asciiTheme="majorHAnsi" w:hAnsiTheme="majorHAnsi" w:cstheme="majorHAnsi"/>
        </w:rPr>
      </w:pPr>
      <w:r w:rsidRPr="000F4EB5">
        <w:rPr>
          <w:rFonts w:asciiTheme="majorHAnsi" w:hAnsiTheme="majorHAnsi" w:cstheme="majorHAnsi"/>
        </w:rPr>
        <w:t>Por otro lado, los estados de Colima y Morelos reportan que no tienen mujeres privadas de su libertad por el delito de homicidio en razón de parentesco. En Baja California se volvió a realizar la solicitud y aún no hay respuesta. Coahuila responde que la pregunta se considera confidencial debido al uso de datos personales. Puebla aún no ha dado respuesta a la solicitud.</w:t>
      </w:r>
    </w:p>
    <w:p w14:paraId="77D9DD35" w14:textId="76156444" w:rsidR="00D9305F" w:rsidRPr="000F4EB5" w:rsidRDefault="00D9305F" w:rsidP="00D9305F">
      <w:pPr>
        <w:pStyle w:val="Prrafodelista"/>
        <w:numPr>
          <w:ilvl w:val="0"/>
          <w:numId w:val="1"/>
        </w:numPr>
        <w:spacing w:before="240" w:line="360" w:lineRule="auto"/>
        <w:jc w:val="both"/>
        <w:rPr>
          <w:rFonts w:asciiTheme="majorHAnsi" w:hAnsiTheme="majorHAnsi" w:cstheme="majorHAnsi"/>
          <w:b/>
          <w:bCs/>
        </w:rPr>
      </w:pPr>
      <w:r w:rsidRPr="000F4EB5">
        <w:rPr>
          <w:rFonts w:asciiTheme="majorHAnsi" w:hAnsiTheme="majorHAnsi" w:cstheme="majorHAnsi"/>
          <w:b/>
          <w:bCs/>
        </w:rPr>
        <w:t>Infanticidio</w:t>
      </w:r>
      <w:r w:rsidR="002D0201" w:rsidRPr="000F4EB5">
        <w:rPr>
          <w:rFonts w:asciiTheme="majorHAnsi" w:hAnsiTheme="majorHAnsi" w:cstheme="majorHAnsi"/>
          <w:b/>
          <w:bCs/>
        </w:rPr>
        <w:t xml:space="preserve">. </w:t>
      </w:r>
    </w:p>
    <w:p w14:paraId="4E65DA01" w14:textId="20371914" w:rsidR="002D0201" w:rsidRPr="000F4EB5" w:rsidRDefault="002D0201" w:rsidP="002D0201">
      <w:pPr>
        <w:spacing w:before="240" w:line="360" w:lineRule="auto"/>
        <w:ind w:firstLine="360"/>
        <w:jc w:val="both"/>
        <w:rPr>
          <w:rFonts w:asciiTheme="majorHAnsi" w:hAnsiTheme="majorHAnsi" w:cstheme="majorHAnsi"/>
        </w:rPr>
      </w:pPr>
      <w:r w:rsidRPr="000F4EB5">
        <w:rPr>
          <w:rFonts w:asciiTheme="majorHAnsi" w:hAnsiTheme="majorHAnsi" w:cstheme="majorHAnsi"/>
        </w:rPr>
        <w:t xml:space="preserve">La solicitud de información se realizó a 6 entidades federativas que componen en Estado mexicano, aunque solo 4 de esos 6 tipifican el delito de infanticidio, ya que </w:t>
      </w:r>
      <w:r w:rsidR="00E35F9B" w:rsidRPr="000F4EB5">
        <w:rPr>
          <w:rFonts w:asciiTheme="majorHAnsi" w:hAnsiTheme="majorHAnsi" w:cstheme="majorHAnsi"/>
        </w:rPr>
        <w:t>Jalisco y Nuevo León derogaron el delito. La solicitud se hizo con la</w:t>
      </w:r>
      <w:r w:rsidRPr="000F4EB5">
        <w:rPr>
          <w:rFonts w:asciiTheme="majorHAnsi" w:hAnsiTheme="majorHAnsi" w:cstheme="majorHAnsi"/>
        </w:rPr>
        <w:t xml:space="preserve"> pregunta </w:t>
      </w:r>
      <w:r w:rsidRPr="000F4EB5">
        <w:rPr>
          <w:rFonts w:asciiTheme="majorHAnsi" w:hAnsiTheme="majorHAnsi" w:cstheme="majorHAnsi"/>
          <w:b/>
          <w:bCs/>
          <w:i/>
          <w:iCs/>
        </w:rPr>
        <w:t xml:space="preserve">“Solicito conocer el número de mujeres privadas de su libertad, diferenciado cuántas se encuentran sin sentencia y cuántas con sentencia, por el delito de </w:t>
      </w:r>
      <w:r w:rsidR="00E35F9B" w:rsidRPr="000F4EB5">
        <w:rPr>
          <w:rFonts w:asciiTheme="majorHAnsi" w:hAnsiTheme="majorHAnsi" w:cstheme="majorHAnsi"/>
          <w:b/>
          <w:bCs/>
          <w:i/>
          <w:iCs/>
        </w:rPr>
        <w:t>infanticidio</w:t>
      </w:r>
      <w:r w:rsidRPr="000F4EB5">
        <w:rPr>
          <w:rFonts w:asciiTheme="majorHAnsi" w:hAnsiTheme="majorHAnsi" w:cstheme="majorHAnsi"/>
          <w:b/>
          <w:bCs/>
          <w:i/>
          <w:iCs/>
        </w:rPr>
        <w:t>.”</w:t>
      </w:r>
      <w:r w:rsidRPr="000F4EB5">
        <w:rPr>
          <w:rFonts w:asciiTheme="majorHAnsi" w:hAnsiTheme="majorHAnsi" w:cstheme="majorHAnsi"/>
        </w:rPr>
        <w:t>, obteniendo los siguientes resultados:</w:t>
      </w:r>
    </w:p>
    <w:p w14:paraId="28BC4781" w14:textId="3A9B3349" w:rsidR="002D0201" w:rsidRPr="000F4EB5" w:rsidRDefault="00E35F9B" w:rsidP="002D0201">
      <w:pPr>
        <w:spacing w:before="240" w:line="360" w:lineRule="auto"/>
        <w:jc w:val="both"/>
        <w:rPr>
          <w:rFonts w:asciiTheme="majorHAnsi" w:hAnsiTheme="majorHAnsi" w:cstheme="majorHAnsi"/>
        </w:rPr>
      </w:pPr>
      <w:r w:rsidRPr="000F4EB5">
        <w:rPr>
          <w:rFonts w:asciiTheme="majorHAnsi" w:hAnsiTheme="majorHAnsi" w:cstheme="majorHAnsi"/>
          <w:b/>
          <w:bCs/>
        </w:rPr>
        <w:lastRenderedPageBreak/>
        <w:tab/>
      </w:r>
      <w:r w:rsidRPr="000F4EB5">
        <w:rPr>
          <w:rFonts w:asciiTheme="majorHAnsi" w:hAnsiTheme="majorHAnsi" w:cstheme="majorHAnsi"/>
        </w:rPr>
        <w:t xml:space="preserve">Con relación al delito de infanticidio, Coahuila, Nuevo León, Oaxaca y Zacatecas informan que no tienen ninguna mujer privada de su libertad por dicho delito. Por otro lado, en Durango aún no se ha recibido respuesta, y Jalisco proporcionó información sobre la cantidad de mujeres privadas de su libertad por el delito de aborto, pero no respondió a la solicitud correctamente con datos sobre el delito de infanticidio. </w:t>
      </w:r>
    </w:p>
    <w:p w14:paraId="00000014" w14:textId="77777777" w:rsidR="00741052" w:rsidRPr="000F4EB5" w:rsidRDefault="002F4300" w:rsidP="00B83CA2">
      <w:pPr>
        <w:spacing w:before="240" w:line="360" w:lineRule="auto"/>
        <w:rPr>
          <w:rFonts w:asciiTheme="majorHAnsi" w:hAnsiTheme="majorHAnsi" w:cstheme="majorHAnsi"/>
          <w:b/>
        </w:rPr>
      </w:pPr>
      <w:r w:rsidRPr="000F4EB5">
        <w:rPr>
          <w:rFonts w:asciiTheme="majorHAnsi" w:hAnsiTheme="majorHAnsi" w:cstheme="majorHAnsi"/>
          <w:b/>
        </w:rPr>
        <w:t>Mortalidad por aborto</w:t>
      </w:r>
    </w:p>
    <w:p w14:paraId="13F9C7B2" w14:textId="18F9F9B4" w:rsidR="003F2FEC" w:rsidRPr="000F4EB5" w:rsidRDefault="00C55818" w:rsidP="00B93EF7">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rPr>
        <w:t>El aborto inseguro continúa siendo la cuarta causa de muerte materna e</w:t>
      </w:r>
      <w:r w:rsidR="0078170B" w:rsidRPr="000F4EB5">
        <w:rPr>
          <w:rFonts w:asciiTheme="majorHAnsi" w:hAnsiTheme="majorHAnsi" w:cstheme="majorHAnsi"/>
        </w:rPr>
        <w:t xml:space="preserve">n </w:t>
      </w:r>
      <w:r w:rsidR="004F74FD" w:rsidRPr="000F4EB5">
        <w:rPr>
          <w:rFonts w:asciiTheme="majorHAnsi" w:hAnsiTheme="majorHAnsi" w:cstheme="majorHAnsi"/>
        </w:rPr>
        <w:t>México</w:t>
      </w:r>
      <w:r w:rsidRPr="000F4EB5">
        <w:rPr>
          <w:rFonts w:asciiTheme="majorHAnsi" w:hAnsiTheme="majorHAnsi" w:cstheme="majorHAnsi"/>
        </w:rPr>
        <w:t xml:space="preserve">, de acuerdo a la Red de Periodistas Feministas de América Latina y el Caribe </w:t>
      </w:r>
      <w:sdt>
        <w:sdtPr>
          <w:rPr>
            <w:rFonts w:asciiTheme="majorHAnsi" w:hAnsiTheme="majorHAnsi" w:cstheme="majorHAnsi"/>
          </w:rPr>
          <w:id w:val="-1223058094"/>
          <w:citation/>
        </w:sdtPr>
        <w:sdtContent>
          <w:r w:rsidRPr="000F4EB5">
            <w:rPr>
              <w:rFonts w:asciiTheme="majorHAnsi" w:hAnsiTheme="majorHAnsi" w:cstheme="majorHAnsi"/>
            </w:rPr>
            <w:fldChar w:fldCharType="begin"/>
          </w:r>
          <w:r w:rsidRPr="000F4EB5">
            <w:rPr>
              <w:rFonts w:asciiTheme="majorHAnsi" w:hAnsiTheme="majorHAnsi" w:cstheme="majorHAnsi"/>
              <w:lang w:val="es-ES"/>
            </w:rPr>
            <w:instrText xml:space="preserve">CITATION Age \n  \t  \l 3082 </w:instrText>
          </w:r>
          <w:r w:rsidRPr="000F4EB5">
            <w:rPr>
              <w:rFonts w:asciiTheme="majorHAnsi" w:hAnsiTheme="majorHAnsi" w:cstheme="majorHAnsi"/>
            </w:rPr>
            <w:fldChar w:fldCharType="separate"/>
          </w:r>
          <w:r w:rsidR="00E562F4" w:rsidRPr="000F4EB5">
            <w:rPr>
              <w:rFonts w:asciiTheme="majorHAnsi" w:hAnsiTheme="majorHAnsi" w:cstheme="majorHAnsi"/>
              <w:noProof/>
              <w:lang w:val="es-ES"/>
            </w:rPr>
            <w:t>(2019)</w:t>
          </w:r>
          <w:r w:rsidRPr="000F4EB5">
            <w:rPr>
              <w:rFonts w:asciiTheme="majorHAnsi" w:hAnsiTheme="majorHAnsi" w:cstheme="majorHAnsi"/>
            </w:rPr>
            <w:fldChar w:fldCharType="end"/>
          </w:r>
        </w:sdtContent>
      </w:sdt>
      <w:r w:rsidR="00E562F4" w:rsidRPr="000F4EB5">
        <w:rPr>
          <w:rFonts w:asciiTheme="majorHAnsi" w:hAnsiTheme="majorHAnsi" w:cstheme="majorHAnsi"/>
        </w:rPr>
        <w:t xml:space="preserve">. </w:t>
      </w:r>
      <w:r w:rsidR="00B93EF7" w:rsidRPr="000F4EB5">
        <w:rPr>
          <w:rFonts w:asciiTheme="majorHAnsi" w:hAnsiTheme="majorHAnsi" w:cstheme="majorHAnsi"/>
        </w:rPr>
        <w:t xml:space="preserve">Un nuevo estudio del Instituto Guttmacher publicado en The Lancet </w:t>
      </w:r>
      <w:r w:rsidR="00B93EF7" w:rsidRPr="000F4EB5">
        <w:rPr>
          <w:rFonts w:asciiTheme="majorHAnsi" w:hAnsiTheme="majorHAnsi" w:cstheme="majorHAnsi"/>
          <w:lang w:val="es-MX"/>
        </w:rPr>
        <w:t>ofrece estimaciones sobre los abortos seguros y los abortos peligrosos. incluye subcategorías dentro de la categoría de abortos peligrosos como “menos seguros” “nada seguros”, esto permite una comprensión más matizada de las diferentes circunstancias en que abortan las mujeres que no pueden acceder a abortos seguros practicados por un profesional cualificado</w:t>
      </w:r>
      <w:sdt>
        <w:sdtPr>
          <w:rPr>
            <w:rFonts w:asciiTheme="majorHAnsi" w:hAnsiTheme="majorHAnsi" w:cstheme="majorHAnsi"/>
            <w:lang w:val="es-MX"/>
          </w:rPr>
          <w:id w:val="-1754036562"/>
          <w:citation/>
        </w:sdtPr>
        <w:sdtContent>
          <w:r w:rsidR="00B93EF7" w:rsidRPr="000F4EB5">
            <w:rPr>
              <w:rFonts w:asciiTheme="majorHAnsi" w:hAnsiTheme="majorHAnsi" w:cstheme="majorHAnsi"/>
              <w:lang w:val="es-MX"/>
            </w:rPr>
            <w:fldChar w:fldCharType="begin"/>
          </w:r>
          <w:r w:rsidR="00B93EF7" w:rsidRPr="000F4EB5">
            <w:rPr>
              <w:rFonts w:asciiTheme="majorHAnsi" w:hAnsiTheme="majorHAnsi" w:cstheme="majorHAnsi"/>
              <w:lang w:val="es-ES"/>
            </w:rPr>
            <w:instrText xml:space="preserve"> CITATION Org171 \l 3082 </w:instrText>
          </w:r>
          <w:r w:rsidR="00B93EF7" w:rsidRPr="000F4EB5">
            <w:rPr>
              <w:rFonts w:asciiTheme="majorHAnsi" w:hAnsiTheme="majorHAnsi" w:cstheme="majorHAnsi"/>
              <w:lang w:val="es-MX"/>
            </w:rPr>
            <w:fldChar w:fldCharType="separate"/>
          </w:r>
          <w:r w:rsidR="00B93EF7" w:rsidRPr="000F4EB5">
            <w:rPr>
              <w:rFonts w:asciiTheme="majorHAnsi" w:hAnsiTheme="majorHAnsi" w:cstheme="majorHAnsi"/>
              <w:noProof/>
              <w:lang w:val="es-ES"/>
            </w:rPr>
            <w:t xml:space="preserve"> (Organización Mundial de la Salud (OMS), 2017)</w:t>
          </w:r>
          <w:r w:rsidR="00B93EF7" w:rsidRPr="000F4EB5">
            <w:rPr>
              <w:rFonts w:asciiTheme="majorHAnsi" w:hAnsiTheme="majorHAnsi" w:cstheme="majorHAnsi"/>
              <w:lang w:val="es-MX"/>
            </w:rPr>
            <w:fldChar w:fldCharType="end"/>
          </w:r>
        </w:sdtContent>
      </w:sdt>
      <w:r w:rsidR="00B93EF7" w:rsidRPr="000F4EB5">
        <w:rPr>
          <w:rFonts w:asciiTheme="majorHAnsi" w:hAnsiTheme="majorHAnsi" w:cstheme="majorHAnsi"/>
          <w:lang w:val="es-MX"/>
        </w:rPr>
        <w:t>. Se observa que cuando los abortos se realizan de conformidad con las directrices y normas de la OMS, el riesgo de complicaciones graves o muerte es insignificante</w:t>
      </w:r>
    </w:p>
    <w:p w14:paraId="4D8FC710" w14:textId="488510C9" w:rsidR="0078170B" w:rsidRPr="000F4EB5" w:rsidRDefault="00B93EF7" w:rsidP="003F2FEC">
      <w:pPr>
        <w:spacing w:before="240" w:after="240" w:line="360" w:lineRule="auto"/>
        <w:ind w:firstLine="720"/>
        <w:jc w:val="both"/>
        <w:rPr>
          <w:rFonts w:asciiTheme="majorHAnsi" w:hAnsiTheme="majorHAnsi" w:cstheme="majorHAnsi"/>
        </w:rPr>
      </w:pPr>
      <w:r w:rsidRPr="000F4EB5">
        <w:rPr>
          <w:rFonts w:asciiTheme="majorHAnsi" w:hAnsiTheme="majorHAnsi" w:cstheme="majorHAnsi"/>
        </w:rPr>
        <w:t xml:space="preserve">Esto indica que </w:t>
      </w:r>
      <w:r w:rsidR="00575E3B" w:rsidRPr="000F4EB5">
        <w:rPr>
          <w:rFonts w:asciiTheme="majorHAnsi" w:hAnsiTheme="majorHAnsi" w:cstheme="majorHAnsi"/>
        </w:rPr>
        <w:t>l</w:t>
      </w:r>
      <w:r w:rsidR="002F4300" w:rsidRPr="000F4EB5">
        <w:rPr>
          <w:rFonts w:asciiTheme="majorHAnsi" w:hAnsiTheme="majorHAnsi" w:cstheme="majorHAnsi"/>
        </w:rPr>
        <w:t>a prestación de servicios de aborto legal y sin riesgos es esencial para cumplir el compromiso mundial con el Objetivo de Desarrollo Sostenible relativo al acceso universal a la salud sexual y reproductiva</w:t>
      </w:r>
      <w:r w:rsidR="0078170B" w:rsidRPr="000F4EB5">
        <w:rPr>
          <w:rFonts w:asciiTheme="majorHAnsi" w:hAnsiTheme="majorHAnsi" w:cstheme="majorHAnsi"/>
        </w:rPr>
        <w:t>: “3.7…reducir la tasa mundial de mortalidad materna a menos de 70 por cada 100 000 nacimientos,» sin que ningún país tenga una razón de mortalidad materna que sea superior al doble del promedio mundial”</w:t>
      </w:r>
      <w:sdt>
        <w:sdtPr>
          <w:rPr>
            <w:rFonts w:asciiTheme="majorHAnsi" w:hAnsiTheme="majorHAnsi" w:cstheme="majorHAnsi"/>
          </w:rPr>
          <w:id w:val="-757130476"/>
          <w:citation/>
        </w:sdtPr>
        <w:sdtContent>
          <w:r w:rsidR="0078170B" w:rsidRPr="000F4EB5">
            <w:rPr>
              <w:rFonts w:asciiTheme="majorHAnsi" w:hAnsiTheme="majorHAnsi" w:cstheme="majorHAnsi"/>
            </w:rPr>
            <w:fldChar w:fldCharType="begin"/>
          </w:r>
          <w:r w:rsidR="0078170B" w:rsidRPr="000F4EB5">
            <w:rPr>
              <w:rFonts w:asciiTheme="majorHAnsi" w:hAnsiTheme="majorHAnsi" w:cstheme="majorHAnsi"/>
              <w:lang w:val="es-ES"/>
            </w:rPr>
            <w:instrText xml:space="preserve"> CITATION Org23 \l 3082 </w:instrText>
          </w:r>
          <w:r w:rsidR="0078170B" w:rsidRPr="000F4EB5">
            <w:rPr>
              <w:rFonts w:asciiTheme="majorHAnsi" w:hAnsiTheme="majorHAnsi" w:cstheme="majorHAnsi"/>
            </w:rPr>
            <w:fldChar w:fldCharType="separate"/>
          </w:r>
          <w:r w:rsidR="0078170B" w:rsidRPr="000F4EB5">
            <w:rPr>
              <w:rFonts w:asciiTheme="majorHAnsi" w:hAnsiTheme="majorHAnsi" w:cstheme="majorHAnsi"/>
              <w:noProof/>
              <w:lang w:val="es-ES"/>
            </w:rPr>
            <w:t xml:space="preserve"> (Organización Mundial de la Salud (OMS), 2023)</w:t>
          </w:r>
          <w:r w:rsidR="0078170B" w:rsidRPr="000F4EB5">
            <w:rPr>
              <w:rFonts w:asciiTheme="majorHAnsi" w:hAnsiTheme="majorHAnsi" w:cstheme="majorHAnsi"/>
            </w:rPr>
            <w:fldChar w:fldCharType="end"/>
          </w:r>
        </w:sdtContent>
      </w:sdt>
      <w:r w:rsidR="0078170B" w:rsidRPr="000F4EB5">
        <w:rPr>
          <w:rFonts w:asciiTheme="majorHAnsi" w:hAnsiTheme="majorHAnsi" w:cstheme="majorHAnsi"/>
        </w:rPr>
        <w:t>.</w:t>
      </w:r>
    </w:p>
    <w:p w14:paraId="6A59ECB5" w14:textId="34EBA3CD" w:rsidR="00B93EF7" w:rsidRPr="000F4EB5" w:rsidRDefault="00B93EF7" w:rsidP="003F2FEC">
      <w:pPr>
        <w:spacing w:before="240" w:after="240" w:line="360" w:lineRule="auto"/>
        <w:ind w:firstLine="720"/>
        <w:jc w:val="both"/>
        <w:rPr>
          <w:rFonts w:asciiTheme="majorHAnsi" w:hAnsiTheme="majorHAnsi" w:cstheme="majorHAnsi"/>
        </w:rPr>
      </w:pPr>
      <w:r w:rsidRPr="000F4EB5">
        <w:rPr>
          <w:rFonts w:asciiTheme="majorHAnsi" w:hAnsiTheme="majorHAnsi" w:cstheme="majorHAnsi"/>
        </w:rPr>
        <w:t>Según la OMS</w:t>
      </w:r>
      <w:sdt>
        <w:sdtPr>
          <w:rPr>
            <w:rFonts w:asciiTheme="majorHAnsi" w:hAnsiTheme="majorHAnsi" w:cstheme="majorHAnsi"/>
          </w:rPr>
          <w:id w:val="118264075"/>
          <w:citation/>
        </w:sdtPr>
        <w:sdtContent>
          <w:r w:rsidRPr="000F4EB5">
            <w:rPr>
              <w:rFonts w:asciiTheme="majorHAnsi" w:hAnsiTheme="majorHAnsi" w:cstheme="majorHAnsi"/>
            </w:rPr>
            <w:fldChar w:fldCharType="begin"/>
          </w:r>
          <w:r w:rsidRPr="000F4EB5">
            <w:rPr>
              <w:rFonts w:asciiTheme="majorHAnsi" w:hAnsiTheme="majorHAnsi" w:cstheme="majorHAnsi"/>
              <w:lang w:val="es-ES"/>
            </w:rPr>
            <w:instrText xml:space="preserve">CITATION Org171 \n  \t  \l 3082 </w:instrText>
          </w:r>
          <w:r w:rsidRPr="000F4EB5">
            <w:rPr>
              <w:rFonts w:asciiTheme="majorHAnsi" w:hAnsiTheme="majorHAnsi" w:cstheme="majorHAnsi"/>
            </w:rPr>
            <w:fldChar w:fldCharType="separate"/>
          </w:r>
          <w:r w:rsidRPr="000F4EB5">
            <w:rPr>
              <w:rFonts w:asciiTheme="majorHAnsi" w:hAnsiTheme="majorHAnsi" w:cstheme="majorHAnsi"/>
              <w:lang w:val="es-ES"/>
            </w:rPr>
            <w:t xml:space="preserve"> (2017)</w:t>
          </w:r>
          <w:r w:rsidRPr="000F4EB5">
            <w:rPr>
              <w:rFonts w:asciiTheme="majorHAnsi" w:hAnsiTheme="majorHAnsi" w:cstheme="majorHAnsi"/>
            </w:rPr>
            <w:fldChar w:fldCharType="end"/>
          </w:r>
        </w:sdtContent>
      </w:sdt>
      <w:r w:rsidRPr="000F4EB5">
        <w:rPr>
          <w:rFonts w:asciiTheme="majorHAnsi" w:hAnsiTheme="majorHAnsi" w:cstheme="majorHAnsi"/>
        </w:rPr>
        <w:t>, cada día murieron casi 800 mujeres por causas prevenibles relacionadas con el embarazo y el parto, prácticamente 95% de todas las muertes maternas se dieron en países de ingresos bajos y medianos bajos</w:t>
      </w:r>
    </w:p>
    <w:p w14:paraId="5D0560C8" w14:textId="46C4A19F" w:rsidR="00C929B8" w:rsidRPr="000F4EB5" w:rsidRDefault="001F0DAE" w:rsidP="00DB041A">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rPr>
        <w:t>Según datos del INEGI sobre mortalidad</w:t>
      </w:r>
      <w:r w:rsidR="00F41076" w:rsidRPr="000F4EB5">
        <w:rPr>
          <w:rFonts w:asciiTheme="majorHAnsi" w:hAnsiTheme="majorHAnsi" w:cstheme="majorHAnsi"/>
        </w:rPr>
        <w:t>, en 2018 hubo un total de 68 defunciones maternas por Embarazo terminado en aborto, En 2019, 70 defunciones; en 2020, 86 defunciones</w:t>
      </w:r>
      <w:r w:rsidR="0067515E" w:rsidRPr="000F4EB5">
        <w:rPr>
          <w:rFonts w:asciiTheme="majorHAnsi" w:hAnsiTheme="majorHAnsi" w:cstheme="majorHAnsi"/>
        </w:rPr>
        <w:t xml:space="preserve"> y</w:t>
      </w:r>
      <w:r w:rsidR="00F41076" w:rsidRPr="000F4EB5">
        <w:rPr>
          <w:rFonts w:asciiTheme="majorHAnsi" w:hAnsiTheme="majorHAnsi" w:cstheme="majorHAnsi"/>
        </w:rPr>
        <w:t xml:space="preserve"> </w:t>
      </w:r>
      <w:r w:rsidR="0067515E" w:rsidRPr="000F4EB5">
        <w:rPr>
          <w:rFonts w:asciiTheme="majorHAnsi" w:hAnsiTheme="majorHAnsi" w:cstheme="majorHAnsi"/>
        </w:rPr>
        <w:t>en 2021, 55 defunciones</w:t>
      </w:r>
      <w:r w:rsidR="0067515E" w:rsidRPr="000F4EB5">
        <w:rPr>
          <w:rFonts w:asciiTheme="majorHAnsi" w:eastAsiaTheme="minorHAnsi" w:hAnsiTheme="majorHAnsi" w:cstheme="majorHAnsi"/>
          <w:lang w:val="es-MX" w:eastAsia="en-US"/>
        </w:rPr>
        <w:t xml:space="preserve">. </w:t>
      </w:r>
      <w:r w:rsidR="0067515E" w:rsidRPr="000F4EB5">
        <w:rPr>
          <w:rFonts w:asciiTheme="majorHAnsi" w:hAnsiTheme="majorHAnsi" w:cstheme="majorHAnsi"/>
          <w:lang w:val="es-MX"/>
        </w:rPr>
        <w:t>Es importante mencionar que las clasificaciones de mortalidad por aborto son por embarazos ectópicos, aborto espontaneo o aborto médico de acuerdo a la Clasificación Internacional de Enfermedades (CIE-10), que aplica para los años 1998 en adelante, a diferencia de la CIE-9 que aplicaba para los años de 1985-1997 y que diferenciaba entre aborto legal e ilegal</w:t>
      </w:r>
      <w:sdt>
        <w:sdtPr>
          <w:rPr>
            <w:rFonts w:asciiTheme="majorHAnsi" w:hAnsiTheme="majorHAnsi" w:cstheme="majorHAnsi"/>
            <w:lang w:val="es-MX"/>
          </w:rPr>
          <w:id w:val="429782167"/>
          <w:citation/>
        </w:sdtPr>
        <w:sdtContent>
          <w:r w:rsidR="0067515E" w:rsidRPr="000F4EB5">
            <w:rPr>
              <w:rFonts w:asciiTheme="majorHAnsi" w:hAnsiTheme="majorHAnsi" w:cstheme="majorHAnsi"/>
              <w:lang w:val="es-MX"/>
            </w:rPr>
            <w:fldChar w:fldCharType="begin"/>
          </w:r>
          <w:r w:rsidR="0067515E" w:rsidRPr="000F4EB5">
            <w:rPr>
              <w:rFonts w:asciiTheme="majorHAnsi" w:hAnsiTheme="majorHAnsi" w:cstheme="majorHAnsi"/>
              <w:lang w:val="es-MX"/>
            </w:rPr>
            <w:instrText xml:space="preserve"> CITATION Ins23 \l 2058 </w:instrText>
          </w:r>
          <w:r w:rsidR="0067515E" w:rsidRPr="000F4EB5">
            <w:rPr>
              <w:rFonts w:asciiTheme="majorHAnsi" w:hAnsiTheme="majorHAnsi" w:cstheme="majorHAnsi"/>
              <w:lang w:val="es-MX"/>
            </w:rPr>
            <w:fldChar w:fldCharType="separate"/>
          </w:r>
          <w:r w:rsidR="00E562F4" w:rsidRPr="000F4EB5">
            <w:rPr>
              <w:rFonts w:asciiTheme="majorHAnsi" w:hAnsiTheme="majorHAnsi" w:cstheme="majorHAnsi"/>
              <w:noProof/>
              <w:lang w:val="es-MX"/>
            </w:rPr>
            <w:t xml:space="preserve"> (Instituto Nacional de Estadística y Geografía (INEGI), 2023)</w:t>
          </w:r>
          <w:r w:rsidR="0067515E" w:rsidRPr="000F4EB5">
            <w:rPr>
              <w:rFonts w:asciiTheme="majorHAnsi" w:hAnsiTheme="majorHAnsi" w:cstheme="majorHAnsi"/>
            </w:rPr>
            <w:fldChar w:fldCharType="end"/>
          </w:r>
        </w:sdtContent>
      </w:sdt>
      <w:r w:rsidR="0067515E" w:rsidRPr="000F4EB5">
        <w:rPr>
          <w:rFonts w:asciiTheme="majorHAnsi" w:hAnsiTheme="majorHAnsi" w:cstheme="majorHAnsi"/>
          <w:lang w:val="es-MX"/>
        </w:rPr>
        <w:t>.</w:t>
      </w:r>
      <w:r w:rsidR="004F74FD" w:rsidRPr="000F4EB5">
        <w:rPr>
          <w:rFonts w:asciiTheme="majorHAnsi" w:hAnsiTheme="majorHAnsi" w:cstheme="majorHAnsi"/>
          <w:lang w:val="es-MX"/>
        </w:rPr>
        <w:t xml:space="preserve"> Sin embargo a</w:t>
      </w:r>
      <w:r w:rsidR="00A02DC2" w:rsidRPr="000F4EB5">
        <w:rPr>
          <w:rFonts w:asciiTheme="majorHAnsi" w:hAnsiTheme="majorHAnsi" w:cstheme="majorHAnsi"/>
          <w:lang w:val="es-MX"/>
        </w:rPr>
        <w:t xml:space="preserve">lgunos estudios señalan que la muerte por aborto no se registra debidamente porque los médicos evaden poner en los certificados el aborto </w:t>
      </w:r>
      <w:r w:rsidR="00A02DC2" w:rsidRPr="000F4EB5">
        <w:rPr>
          <w:rFonts w:asciiTheme="majorHAnsi" w:hAnsiTheme="majorHAnsi" w:cstheme="majorHAnsi"/>
          <w:lang w:val="es-MX"/>
        </w:rPr>
        <w:lastRenderedPageBreak/>
        <w:t>como causa de la defunción por los problemas legales que esto implica o por ‘respeto’ a la difunta, “se piensa que los familiares tienden a ocultar el hecho y prefieren que quede otra causa de muerte en los certificados”</w:t>
      </w:r>
      <w:sdt>
        <w:sdtPr>
          <w:rPr>
            <w:rFonts w:asciiTheme="majorHAnsi" w:hAnsiTheme="majorHAnsi" w:cstheme="majorHAnsi"/>
            <w:lang w:val="es-MX"/>
          </w:rPr>
          <w:id w:val="-236406445"/>
          <w:citation/>
        </w:sdtPr>
        <w:sdtContent>
          <w:r w:rsidR="00A02DC2" w:rsidRPr="000F4EB5">
            <w:rPr>
              <w:rFonts w:asciiTheme="majorHAnsi" w:hAnsiTheme="majorHAnsi" w:cstheme="majorHAnsi"/>
              <w:lang w:val="es-MX"/>
            </w:rPr>
            <w:fldChar w:fldCharType="begin"/>
          </w:r>
          <w:r w:rsidR="00A02DC2" w:rsidRPr="000F4EB5">
            <w:rPr>
              <w:rFonts w:asciiTheme="majorHAnsi" w:hAnsiTheme="majorHAnsi" w:cstheme="majorHAnsi"/>
              <w:lang w:val="es-ES"/>
            </w:rPr>
            <w:instrText xml:space="preserve">CITATION Ete12 \l 3082 </w:instrText>
          </w:r>
          <w:r w:rsidR="00A02DC2" w:rsidRPr="000F4EB5">
            <w:rPr>
              <w:rFonts w:asciiTheme="majorHAnsi" w:hAnsiTheme="majorHAnsi" w:cstheme="majorHAnsi"/>
              <w:lang w:val="es-MX"/>
            </w:rPr>
            <w:fldChar w:fldCharType="separate"/>
          </w:r>
          <w:r w:rsidR="00A02DC2" w:rsidRPr="000F4EB5">
            <w:rPr>
              <w:rFonts w:asciiTheme="majorHAnsi" w:hAnsiTheme="majorHAnsi" w:cstheme="majorHAnsi"/>
              <w:noProof/>
              <w:lang w:val="es-ES"/>
            </w:rPr>
            <w:t xml:space="preserve"> (Eternod, 2012)</w:t>
          </w:r>
          <w:r w:rsidR="00A02DC2" w:rsidRPr="000F4EB5">
            <w:rPr>
              <w:rFonts w:asciiTheme="majorHAnsi" w:hAnsiTheme="majorHAnsi" w:cstheme="majorHAnsi"/>
              <w:lang w:val="es-MX"/>
            </w:rPr>
            <w:fldChar w:fldCharType="end"/>
          </w:r>
        </w:sdtContent>
      </w:sdt>
      <w:r w:rsidR="00A02DC2" w:rsidRPr="000F4EB5">
        <w:rPr>
          <w:rFonts w:asciiTheme="majorHAnsi" w:hAnsiTheme="majorHAnsi" w:cstheme="majorHAnsi"/>
          <w:lang w:val="es-MX"/>
        </w:rPr>
        <w:t>.</w:t>
      </w:r>
    </w:p>
    <w:p w14:paraId="170D8A42" w14:textId="5111B37A" w:rsidR="00902525" w:rsidRPr="000F4EB5" w:rsidRDefault="00902525" w:rsidP="00DB041A">
      <w:pPr>
        <w:spacing w:before="240" w:after="240" w:line="360" w:lineRule="auto"/>
        <w:ind w:firstLine="720"/>
        <w:jc w:val="both"/>
        <w:rPr>
          <w:rFonts w:asciiTheme="majorHAnsi" w:hAnsiTheme="majorHAnsi" w:cstheme="majorHAnsi"/>
          <w:b/>
          <w:lang w:val="es-MX"/>
        </w:rPr>
      </w:pPr>
      <w:r w:rsidRPr="000F4EB5">
        <w:rPr>
          <w:rFonts w:asciiTheme="majorHAnsi" w:hAnsiTheme="majorHAnsi" w:cstheme="majorHAnsi"/>
          <w:b/>
          <w:lang w:val="es-MX"/>
        </w:rPr>
        <w:t xml:space="preserve">Recomendaciones: </w:t>
      </w:r>
    </w:p>
    <w:p w14:paraId="0682F7D4" w14:textId="77777777" w:rsidR="00902525" w:rsidRPr="000F4EB5" w:rsidRDefault="00902525" w:rsidP="00902525">
      <w:pPr>
        <w:pStyle w:val="Prrafodelista"/>
        <w:numPr>
          <w:ilvl w:val="0"/>
          <w:numId w:val="1"/>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Homologar los códigos penales estatales y el Código penal federal para permitir el aborto hasta las 12 semanas de gestación y eliminar la criminalización del hecho a mujeres que lo realicen voluntariamente</w:t>
      </w:r>
    </w:p>
    <w:p w14:paraId="47DD2C33" w14:textId="77777777" w:rsidR="00902525" w:rsidRPr="000F4EB5" w:rsidRDefault="00902525" w:rsidP="00902525">
      <w:pPr>
        <w:pStyle w:val="Prrafodelista"/>
        <w:numPr>
          <w:ilvl w:val="0"/>
          <w:numId w:val="1"/>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 xml:space="preserve">Brindar servicios seguros y gratuitos a todas las mujeres y personas con capacidad de gestar que voluntariamente quieran practicarse un aborto antes de las 12 semanas de gestión </w:t>
      </w:r>
    </w:p>
    <w:p w14:paraId="630EFD21" w14:textId="150E05D7" w:rsidR="00902525" w:rsidRPr="000F4EB5" w:rsidRDefault="00902525" w:rsidP="00902525">
      <w:pPr>
        <w:pStyle w:val="Prrafodelista"/>
        <w:numPr>
          <w:ilvl w:val="0"/>
          <w:numId w:val="1"/>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Reformar los códigos penales estatales para asegurar que ninguna mujer ni persona con capacidad de gestar sea juzgada por el delito de infanticidio u homicidio en razón de parentesco cuando voluntariamente decida practicarse un aborto</w:t>
      </w:r>
    </w:p>
    <w:p w14:paraId="23A53C7B" w14:textId="45F8DB6F" w:rsidR="00902525" w:rsidRPr="000F4EB5" w:rsidRDefault="00902525" w:rsidP="00902525">
      <w:pPr>
        <w:pStyle w:val="Prrafodelista"/>
        <w:numPr>
          <w:ilvl w:val="0"/>
          <w:numId w:val="1"/>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 xml:space="preserve">Liberar a las mujeres que se encuentran recluidas en los centros penitenciarios de Aguascalientes, Guanajuato, Nayarit y Oaxaca, por el delito de aborto cuando haya ejercido su derecho libremente y sin coacción de otra persona. </w:t>
      </w:r>
    </w:p>
    <w:p w14:paraId="00791DF1" w14:textId="50426F1C" w:rsidR="00DB041A" w:rsidRPr="000F4EB5" w:rsidRDefault="00DB041A" w:rsidP="00DB041A">
      <w:pPr>
        <w:spacing w:before="240" w:after="240" w:line="360" w:lineRule="auto"/>
        <w:ind w:firstLine="720"/>
        <w:jc w:val="center"/>
        <w:rPr>
          <w:rFonts w:asciiTheme="majorHAnsi" w:hAnsiTheme="majorHAnsi" w:cstheme="majorHAnsi"/>
          <w:b/>
          <w:lang w:val="es-MX"/>
        </w:rPr>
      </w:pPr>
      <w:r w:rsidRPr="000F4EB5">
        <w:rPr>
          <w:rFonts w:asciiTheme="majorHAnsi" w:hAnsiTheme="majorHAnsi" w:cstheme="majorHAnsi"/>
          <w:b/>
          <w:lang w:val="es-MX"/>
        </w:rPr>
        <w:t>Violencia obstétrica</w:t>
      </w:r>
    </w:p>
    <w:p w14:paraId="68CB35F9" w14:textId="77777777" w:rsidR="00DB041A" w:rsidRPr="000F4EB5" w:rsidRDefault="00DB041A" w:rsidP="00DB041A">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lang w:val="es-MX"/>
        </w:rPr>
        <w:t>El Observatorio de la Violencia Obstétrica (2015), reconoce la violencia obstétrica como un tipo de violencia de género y la definen como “(…) la apropiación del cuerpo y de los procesos reproductivos de las mujeres por prestadores de salud, que se expresa en un trato jerárquico deshumanizador, en un abuso de medicalización y patologización de los procesos naturales, trayendo consigo pérdida de autonomía y capacidad de decidir libremente sobre sus cuerpos y sexualidad impactando negativamente en la calidad de vida de las mujeres.”</w:t>
      </w:r>
    </w:p>
    <w:p w14:paraId="56E27D5A" w14:textId="49EFD51D" w:rsidR="00DB041A" w:rsidRPr="000F4EB5" w:rsidRDefault="00DB041A" w:rsidP="00DB041A">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lang w:val="es-MX"/>
        </w:rPr>
        <w:t>De acuerdo con el Grupo de Información en Reproducción Elegida (2015), las prácticas más comunes de violencia obstétrica son los insultos sexistas, las burlas, ser ignorada, humillada, presionada para firmar algún documento, la realización de intervenciones sin necesidad o consentimiento de la mujer en gestación, como la cesárea, aun cuando la paciente o el bebé no se encuentran en riesgo, o la episiotomía para permitir que el parto sea un trabajo “más fácil” el para el personal de salud.</w:t>
      </w:r>
    </w:p>
    <w:p w14:paraId="7F3C8836" w14:textId="0248779A" w:rsidR="00DB041A" w:rsidRPr="000F4EB5" w:rsidRDefault="00DB041A" w:rsidP="00DB041A">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lang w:val="es-MX"/>
        </w:rPr>
        <w:t>Na</w:t>
      </w:r>
      <w:r w:rsidR="0003783B" w:rsidRPr="000F4EB5">
        <w:rPr>
          <w:rFonts w:asciiTheme="majorHAnsi" w:hAnsiTheme="majorHAnsi" w:cstheme="majorHAnsi"/>
          <w:lang w:val="es-MX"/>
        </w:rPr>
        <w:t>s</w:t>
      </w:r>
      <w:r w:rsidRPr="000F4EB5">
        <w:rPr>
          <w:rFonts w:asciiTheme="majorHAnsi" w:hAnsiTheme="majorHAnsi" w:cstheme="majorHAnsi"/>
          <w:lang w:val="es-MX"/>
        </w:rPr>
        <w:t xml:space="preserve">hieli Hernández Ramírez (2023), reconoce que “(…) a nivel estatal y nacional las mujeres son altamente vulneradas de manera sistemática en sus derechos humanos, al no recibir atención obstétrica respetuosa, digna, de calidad y sin violencia.” Y establece que es necesario “(…) avanzar </w:t>
      </w:r>
      <w:r w:rsidRPr="000F4EB5">
        <w:rPr>
          <w:rFonts w:asciiTheme="majorHAnsi" w:hAnsiTheme="majorHAnsi" w:cstheme="majorHAnsi"/>
          <w:lang w:val="es-MX"/>
        </w:rPr>
        <w:lastRenderedPageBreak/>
        <w:t xml:space="preserve">hacia la construcción de un marco normativo que garantice partos humanizados y el respeto a la condición de las mujeres al momento del alumbramiento, en la intersección de los derechos humanos de las mujeres con su derecho a la salud.” </w:t>
      </w:r>
    </w:p>
    <w:p w14:paraId="6CC86AD0" w14:textId="0C1E21C2" w:rsidR="00902525" w:rsidRPr="000F4EB5" w:rsidRDefault="00902525" w:rsidP="00902525">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lang w:val="es-MX"/>
        </w:rPr>
        <w:t>Además, la Encuesta Nacional sobre la Dinámica de las Relaciones en los Hogares 2021, reportó que el maltrato en la atención obstétrica contra las mujeres de 15 a 49 años cuyo último parto o cesárea ocurrió durante los últimos 5 años tuvo mayor prevalencia en San Luis Potosí con un 38.9%; Tlaxcala con 38.5% 7; y en Ciudad de México con 38.5%. En cuanto a las entidades con menor prevalencia son Tamaulipas con 25.4%; Tabasco co</w:t>
      </w:r>
      <w:r w:rsidR="001371C7" w:rsidRPr="000F4EB5">
        <w:rPr>
          <w:rFonts w:asciiTheme="majorHAnsi" w:hAnsiTheme="majorHAnsi" w:cstheme="majorHAnsi"/>
          <w:lang w:val="es-MX"/>
        </w:rPr>
        <w:t>n 24.4%; y Chiapas en un 18.8%.</w:t>
      </w:r>
    </w:p>
    <w:p w14:paraId="1DA97A45" w14:textId="6776152A" w:rsidR="00DB041A" w:rsidRPr="000F4EB5" w:rsidRDefault="00902525" w:rsidP="00902525">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lang w:val="es-MX"/>
        </w:rPr>
        <w:t>Sobre las prácticas más comunes de violencia obstétrica, la ENDIREH 2021 identificó las siguientes: le gritaron o la regañaron 11%; la presionaron para que aceptara que le pusieran un dispositivo o la operaran para ya no tener hijos(as) 9.7%; la ignoraban cuando preguntaba cosas sobre su parto o sobre su bebé 9%; no dio el permiso o autorización para que le hicieran la cesárea 8.6%; no le informaron de manera que pudiera comprender por qué era necesario hacer la cesárea 8.6%; se tardaron mucho tiempo en atenderla porque le dijeron que estaba gritando o quejándose mucho 8%; la obligaron a permanecer en una posición incómoda o molesta para ella 7.2%; le dijeron cosas ofensivas, humillantes o degradantes 6.4%; le colocaron algún método anticonceptivo, la operaron o esterilizaron para ya no tener hijos(as) 4.3%; se negaron a anestesiarla o a aplicarle un bloqueo para disminuir el dolor, sin darle explicaciones 3.8%; le impidieron ver, cargar o amamantar a su bebé durante más de 5 horas, sin causa alguna o sin que le informaran la causa de la tardanza 2.5%; y La obligaron o la amenazaron para que firmara algún papel sin informarle qué o para qué era 1.4%.</w:t>
      </w:r>
      <w:r w:rsidR="001371C7" w:rsidRPr="000F4EB5">
        <w:rPr>
          <w:rFonts w:asciiTheme="majorHAnsi" w:hAnsiTheme="majorHAnsi" w:cstheme="majorHAnsi"/>
          <w:lang w:val="es-MX"/>
        </w:rPr>
        <w:t xml:space="preserve"> </w:t>
      </w:r>
    </w:p>
    <w:p w14:paraId="0CBDC688" w14:textId="52D0BF3A" w:rsidR="001371C7" w:rsidRPr="000F4EB5" w:rsidRDefault="0003783B" w:rsidP="00902525">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lang w:val="es-MX"/>
        </w:rPr>
        <w:t xml:space="preserve">Ante estas cifras, Nashieli Ramírez detalla que “(…) los datos de la citada Encuesta de los años 2016 y 2021 reflejan que no se ha incrementado esta violencia, se mantiene igual; sin embargo, esta situación está normalizada y naturalizada, y las estadísticas se quedan cortas.” </w:t>
      </w:r>
    </w:p>
    <w:p w14:paraId="62C3A98B" w14:textId="6218C562" w:rsidR="0003783B" w:rsidRPr="000F4EB5" w:rsidRDefault="0003783B" w:rsidP="00815DA4">
      <w:pPr>
        <w:spacing w:before="240" w:after="240" w:line="360" w:lineRule="auto"/>
        <w:ind w:firstLine="720"/>
        <w:jc w:val="both"/>
        <w:rPr>
          <w:rFonts w:asciiTheme="majorHAnsi" w:hAnsiTheme="majorHAnsi" w:cstheme="majorHAnsi"/>
          <w:lang w:val="es-MX"/>
        </w:rPr>
      </w:pPr>
      <w:r w:rsidRPr="000F4EB5">
        <w:rPr>
          <w:rFonts w:asciiTheme="majorHAnsi" w:hAnsiTheme="majorHAnsi" w:cstheme="majorHAnsi"/>
          <w:lang w:val="es-MX"/>
        </w:rPr>
        <w:t>La Comisión Nacional de Derechos Humanos ha recibido de 2015 a 2021, 58 recomendaciones sobre violencia obstétrica, de las cuales se seleccionaron 20 recomendaciones elegidas al azar para analizar si realmente existe una reparación del daño para las mujeres que han sido víctimas de violencia obstétrica</w:t>
      </w:r>
      <w:r w:rsidR="00815DA4" w:rsidRPr="000F4EB5">
        <w:rPr>
          <w:rFonts w:asciiTheme="majorHAnsi" w:hAnsiTheme="majorHAnsi" w:cstheme="majorHAnsi"/>
          <w:lang w:val="es-MX"/>
        </w:rPr>
        <w:t xml:space="preserve">, </w:t>
      </w:r>
      <w:r w:rsidRPr="000F4EB5">
        <w:rPr>
          <w:rFonts w:asciiTheme="majorHAnsi" w:hAnsiTheme="majorHAnsi" w:cstheme="majorHAnsi"/>
          <w:lang w:val="es-MX"/>
        </w:rPr>
        <w:t xml:space="preserve">los resultados fueron los siguientes: </w:t>
      </w:r>
    </w:p>
    <w:p w14:paraId="6B59296D" w14:textId="30F300E4" w:rsidR="00815DA4" w:rsidRPr="000F4EB5" w:rsidRDefault="00815DA4" w:rsidP="00815DA4">
      <w:pPr>
        <w:pStyle w:val="Prrafodelista"/>
        <w:numPr>
          <w:ilvl w:val="0"/>
          <w:numId w:val="4"/>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 xml:space="preserve">Los derechos humanos que se violan con mayor frecuencia son: 1) Derecho a una vida libre de violencia obstétrica, identificado en 17 de las 20 recomendaciones; 2) Derecho a la protección de la salud, identificado en 16 de las recomendaciones; 3) Derecho a la información y al libre </w:t>
      </w:r>
      <w:r w:rsidRPr="000F4EB5">
        <w:rPr>
          <w:rFonts w:asciiTheme="majorHAnsi" w:hAnsiTheme="majorHAnsi" w:cstheme="majorHAnsi"/>
          <w:lang w:val="es-MX"/>
        </w:rPr>
        <w:lastRenderedPageBreak/>
        <w:t xml:space="preserve">consentimiento informado en los procedimientos médicos, identificado en 9 de las recomendaciones. </w:t>
      </w:r>
    </w:p>
    <w:p w14:paraId="7575F23B" w14:textId="4C6229DA" w:rsidR="00815DA4" w:rsidRPr="000F4EB5" w:rsidRDefault="00815DA4" w:rsidP="00815DA4">
      <w:pPr>
        <w:pStyle w:val="Prrafodelista"/>
        <w:numPr>
          <w:ilvl w:val="0"/>
          <w:numId w:val="4"/>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 xml:space="preserve">El principio de interés superior de la niñez se identificó en 12 de las 20 recomendaciones. </w:t>
      </w:r>
    </w:p>
    <w:p w14:paraId="3AB55CAE" w14:textId="2DCC67D1" w:rsidR="00815DA4" w:rsidRPr="000F4EB5" w:rsidRDefault="00815DA4" w:rsidP="00405A17">
      <w:pPr>
        <w:pStyle w:val="Prrafodelista"/>
        <w:numPr>
          <w:ilvl w:val="0"/>
          <w:numId w:val="1"/>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 xml:space="preserve">Las prácticas más identificadas son: 1) Inadecuada atención médica, identificada en 14 de las 20 recomendaciones; y 2) Inadecuada integración del expediente clínico, identificada en 10 de las recomendaciones. </w:t>
      </w:r>
    </w:p>
    <w:p w14:paraId="15B77AF8" w14:textId="15B8338D" w:rsidR="00405A17" w:rsidRPr="000F4EB5" w:rsidRDefault="00760406" w:rsidP="00760406">
      <w:pPr>
        <w:pStyle w:val="Prrafodelista"/>
        <w:numPr>
          <w:ilvl w:val="0"/>
          <w:numId w:val="1"/>
        </w:num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 xml:space="preserve">En cuanto al acceso integral a la justicia, se realizó una clasificación de 4 categorías: 1) Medidas de rehabilitación, identificadas en 14 de las 20 recomendaciones; 2) Medidas de satisfacción, identificadas en 13 recomendaciones; 3) Garantías de no repetición, identificadas en 17 recomendaciones; y 4) Medidas de compensación, identificadas en 13 recomendaciones. </w:t>
      </w:r>
    </w:p>
    <w:p w14:paraId="4D86DD91" w14:textId="138BA8E5" w:rsidR="00760406" w:rsidRPr="000F4EB5" w:rsidRDefault="00760406" w:rsidP="00760406">
      <w:pPr>
        <w:spacing w:before="240" w:after="240" w:line="360" w:lineRule="auto"/>
        <w:jc w:val="both"/>
        <w:rPr>
          <w:rFonts w:asciiTheme="majorHAnsi" w:hAnsiTheme="majorHAnsi" w:cstheme="majorHAnsi"/>
          <w:lang w:val="es-MX"/>
        </w:rPr>
      </w:pPr>
      <w:r w:rsidRPr="000F4EB5">
        <w:rPr>
          <w:rFonts w:asciiTheme="majorHAnsi" w:hAnsiTheme="majorHAnsi" w:cstheme="majorHAnsi"/>
          <w:lang w:val="es-MX"/>
        </w:rPr>
        <w:t>Sin embargo, al querer hacer el seguimiento del cumplimiento a las medidas de reparación del daño en el sitio web oficial de la CNDH, la página no funciona o no es posible visualizar el estatus de las recomendaciones. La reparación integral del daño en casos de violencia obstétrica implica un enfoque completo que busca, de acuerdo a la CIDH y la SCJN, restablecer la dignidad y confianza de las mujeres que han sido víctimas de esta práctica. Esto se logra a través de medidas que abarcan la restitución de la salud física y emocional de la víctima, la compensación por los daños sufridos, la satisfacción de sus necesidades de atención médica y apoyo psicológico, así como garantías de no repetición que reformen las prácticas médicas y promuevan una atención obstétrica basada en el respeto a los derechos de las mujeres y en la prevención de futuros casos de violencia obstétrica. Este enfoque también considera la rehabilitación de los profesionales de la salud involucrados para evitar que vuelvan a cometer actos de esta naturaleza, contribuyendo así a una maternidad segura y respetuosa en beneficio de toda la sociedad.</w:t>
      </w:r>
    </w:p>
    <w:p w14:paraId="37721A53" w14:textId="7FDA5FDE" w:rsidR="00760406" w:rsidRPr="000F4EB5" w:rsidRDefault="00760406" w:rsidP="00760406">
      <w:pPr>
        <w:spacing w:before="240" w:after="240" w:line="360" w:lineRule="auto"/>
        <w:jc w:val="both"/>
        <w:rPr>
          <w:rFonts w:asciiTheme="majorHAnsi" w:hAnsiTheme="majorHAnsi" w:cstheme="majorHAnsi"/>
          <w:b/>
          <w:lang w:val="es-MX"/>
        </w:rPr>
      </w:pPr>
      <w:r w:rsidRPr="000F4EB5">
        <w:rPr>
          <w:rFonts w:asciiTheme="majorHAnsi" w:hAnsiTheme="majorHAnsi" w:cstheme="majorHAnsi"/>
          <w:b/>
          <w:lang w:val="es-MX"/>
        </w:rPr>
        <w:t>Recomendaciones:</w:t>
      </w:r>
    </w:p>
    <w:p w14:paraId="4C9DB7FD" w14:textId="4D6F9A7F" w:rsidR="00DB041A" w:rsidRPr="000F4EB5" w:rsidRDefault="00DB041A" w:rsidP="00760406">
      <w:pPr>
        <w:pStyle w:val="Prrafodelista"/>
        <w:numPr>
          <w:ilvl w:val="0"/>
          <w:numId w:val="5"/>
        </w:numPr>
        <w:spacing w:before="240" w:after="240" w:line="360" w:lineRule="auto"/>
        <w:jc w:val="both"/>
        <w:rPr>
          <w:rFonts w:asciiTheme="majorHAnsi" w:hAnsiTheme="majorHAnsi" w:cstheme="majorHAnsi"/>
          <w:b/>
          <w:lang w:val="es-MX"/>
        </w:rPr>
      </w:pPr>
      <w:r w:rsidRPr="000F4EB5">
        <w:rPr>
          <w:rFonts w:asciiTheme="majorHAnsi" w:hAnsiTheme="majorHAnsi" w:cstheme="majorHAnsi"/>
          <w:lang w:val="es-MX"/>
        </w:rPr>
        <w:t xml:space="preserve">Reformar la </w:t>
      </w:r>
      <w:r w:rsidR="00760406" w:rsidRPr="000F4EB5">
        <w:rPr>
          <w:rFonts w:asciiTheme="majorHAnsi" w:hAnsiTheme="majorHAnsi" w:cstheme="majorHAnsi"/>
          <w:lang w:val="es-MX"/>
        </w:rPr>
        <w:t>normativa federal y estatal para incluir la violencia obstétrica y todas sus prácticas como una violación grave a los derechos reproductivos de las mujeres y personas con capacidad de gestar, así como violación a su autonomía y libertad reproductiva</w:t>
      </w:r>
    </w:p>
    <w:p w14:paraId="524F7606" w14:textId="78D1EBB6" w:rsidR="00760406" w:rsidRPr="000F4EB5" w:rsidRDefault="00760406" w:rsidP="00760406">
      <w:pPr>
        <w:pStyle w:val="Prrafodelista"/>
        <w:numPr>
          <w:ilvl w:val="0"/>
          <w:numId w:val="5"/>
        </w:numPr>
        <w:spacing w:before="240" w:after="240" w:line="360" w:lineRule="auto"/>
        <w:jc w:val="both"/>
        <w:rPr>
          <w:rFonts w:asciiTheme="majorHAnsi" w:hAnsiTheme="majorHAnsi" w:cstheme="majorHAnsi"/>
          <w:b/>
          <w:lang w:val="es-MX"/>
        </w:rPr>
      </w:pPr>
      <w:r w:rsidRPr="000F4EB5">
        <w:rPr>
          <w:rFonts w:asciiTheme="majorHAnsi" w:hAnsiTheme="majorHAnsi" w:cstheme="majorHAnsi"/>
          <w:lang w:val="es-MX"/>
        </w:rPr>
        <w:t>Implementar el correcto funcionamiento del seguimiento a las recomendaciones, para asegurar que haya un cumplimiento del acceso integral a la justicia de todas las mujeres y personas con capacidad de gestar que hayan sido víctimas de violencia obstétrica</w:t>
      </w:r>
    </w:p>
    <w:p w14:paraId="34FABAC9" w14:textId="5073D9ED" w:rsidR="00760406" w:rsidRPr="00662323" w:rsidRDefault="00760406" w:rsidP="00760406">
      <w:pPr>
        <w:pStyle w:val="Prrafodelista"/>
        <w:numPr>
          <w:ilvl w:val="0"/>
          <w:numId w:val="5"/>
        </w:numPr>
        <w:spacing w:before="240" w:after="240" w:line="360" w:lineRule="auto"/>
        <w:jc w:val="both"/>
        <w:rPr>
          <w:rFonts w:asciiTheme="majorHAnsi" w:hAnsiTheme="majorHAnsi" w:cstheme="majorHAnsi"/>
          <w:b/>
          <w:lang w:val="es-MX"/>
        </w:rPr>
      </w:pPr>
      <w:r w:rsidRPr="000F4EB5">
        <w:rPr>
          <w:rFonts w:asciiTheme="majorHAnsi" w:hAnsiTheme="majorHAnsi" w:cstheme="majorHAnsi"/>
          <w:lang w:val="es-MX"/>
        </w:rPr>
        <w:t xml:space="preserve">Crear un Observatorio Nacional de Violencia Obstétrica, con el objetivo de crear una base de datos que permita monitorear los casos de violencia obstétrica, así como crear estrategias que permitan que esta práctica deje de ser normalizada en la sociedad mexicana y erradicarla. </w:t>
      </w:r>
    </w:p>
    <w:p w14:paraId="1EFE54D7" w14:textId="5D2B3711" w:rsidR="00662323" w:rsidRPr="000F4EB5" w:rsidRDefault="00662323" w:rsidP="00760406">
      <w:pPr>
        <w:pStyle w:val="Prrafodelista"/>
        <w:numPr>
          <w:ilvl w:val="0"/>
          <w:numId w:val="5"/>
        </w:numPr>
        <w:spacing w:before="240" w:after="240" w:line="360" w:lineRule="auto"/>
        <w:jc w:val="both"/>
        <w:rPr>
          <w:rFonts w:asciiTheme="majorHAnsi" w:hAnsiTheme="majorHAnsi" w:cstheme="majorHAnsi"/>
          <w:b/>
          <w:lang w:val="es-MX"/>
        </w:rPr>
      </w:pPr>
      <w:r>
        <w:rPr>
          <w:rFonts w:asciiTheme="majorHAnsi" w:hAnsiTheme="majorHAnsi" w:cstheme="majorHAnsi"/>
          <w:lang w:val="es-MX"/>
        </w:rPr>
        <w:lastRenderedPageBreak/>
        <w:t xml:space="preserve">Solicitar a la Comisión Nacional de los Derechos Humanos que realice un informe del seguimiento de las 58 recomendaciones en casos de violencia obstétrica señanando no solamente sus metricas de cuplmiento sino en detalle informe de las medias de reparación del daño que no se especifican cumplir ni en tiempo en las mismas. </w:t>
      </w:r>
    </w:p>
    <w:sectPr w:rsidR="00662323" w:rsidRPr="000F4EB5" w:rsidSect="005E5372">
      <w:headerReference w:type="default" r:id="rId13"/>
      <w:footerReference w:type="default" r:id="rId14"/>
      <w:headerReference w:type="first" r:id="rId15"/>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F454BD" w14:textId="77777777" w:rsidR="003C75D1" w:rsidRDefault="003C75D1">
      <w:pPr>
        <w:spacing w:line="240" w:lineRule="auto"/>
      </w:pPr>
      <w:r>
        <w:separator/>
      </w:r>
    </w:p>
  </w:endnote>
  <w:endnote w:type="continuationSeparator" w:id="0">
    <w:p w14:paraId="1EDB0931" w14:textId="77777777" w:rsidR="003C75D1" w:rsidRDefault="003C75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A" w14:textId="2827A9E8" w:rsidR="00741052" w:rsidRDefault="002F4300">
    <w:pPr>
      <w:jc w:val="right"/>
    </w:pPr>
    <w:r>
      <w:fldChar w:fldCharType="begin"/>
    </w:r>
    <w:r>
      <w:instrText>PAGE</w:instrText>
    </w:r>
    <w:r>
      <w:fldChar w:fldCharType="separate"/>
    </w:r>
    <w:r w:rsidR="00F43C85">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EF9A5" w14:textId="77777777" w:rsidR="003C75D1" w:rsidRDefault="003C75D1">
      <w:pPr>
        <w:spacing w:line="240" w:lineRule="auto"/>
      </w:pPr>
      <w:r>
        <w:separator/>
      </w:r>
    </w:p>
  </w:footnote>
  <w:footnote w:type="continuationSeparator" w:id="0">
    <w:p w14:paraId="076EBB88" w14:textId="77777777" w:rsidR="003C75D1" w:rsidRDefault="003C75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3F9B8" w14:textId="612C9892" w:rsidR="00832187" w:rsidRDefault="00F43C85" w:rsidP="00832187">
    <w:pPr>
      <w:pStyle w:val="Encabezado"/>
    </w:pPr>
    <w:r>
      <w:rPr>
        <w:noProof/>
        <w:lang w:val="es-MX"/>
      </w:rPr>
      <w:drawing>
        <wp:anchor distT="0" distB="0" distL="114300" distR="114300" simplePos="0" relativeHeight="251717120" behindDoc="0" locked="0" layoutInCell="1" allowOverlap="1" wp14:anchorId="6DAEBEB9" wp14:editId="56F34022">
          <wp:simplePos x="0" y="0"/>
          <wp:positionH relativeFrom="column">
            <wp:posOffset>9525</wp:posOffset>
          </wp:positionH>
          <wp:positionV relativeFrom="paragraph">
            <wp:posOffset>-238125</wp:posOffset>
          </wp:positionV>
          <wp:extent cx="2158365" cy="624840"/>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2 verde.png"/>
                  <pic:cNvPicPr/>
                </pic:nvPicPr>
                <pic:blipFill>
                  <a:blip r:embed="rId1">
                    <a:extLst>
                      <a:ext uri="{28A0092B-C50C-407E-A947-70E740481C1C}">
                        <a14:useLocalDpi xmlns:a14="http://schemas.microsoft.com/office/drawing/2010/main" val="0"/>
                      </a:ext>
                    </a:extLst>
                  </a:blip>
                  <a:stretch>
                    <a:fillRect/>
                  </a:stretch>
                </pic:blipFill>
                <pic:spPr>
                  <a:xfrm>
                    <a:off x="0" y="0"/>
                    <a:ext cx="2158365" cy="624840"/>
                  </a:xfrm>
                  <a:prstGeom prst="rect">
                    <a:avLst/>
                  </a:prstGeom>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07551" behindDoc="1" locked="0" layoutInCell="1" allowOverlap="1" wp14:anchorId="546B074C" wp14:editId="5C201C87">
          <wp:simplePos x="0" y="0"/>
          <wp:positionH relativeFrom="margin">
            <wp:posOffset>3009900</wp:posOffset>
          </wp:positionH>
          <wp:positionV relativeFrom="page">
            <wp:posOffset>85090</wp:posOffset>
          </wp:positionV>
          <wp:extent cx="904875" cy="755015"/>
          <wp:effectExtent l="0" t="0" r="9525" b="6985"/>
          <wp:wrapSquare wrapText="bothSides"/>
          <wp:docPr id="1" name="Imagen 1" descr="FEMU A.C. (@FEMUA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U A.C. (@FEMUAC) / X"/>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5264" b="11297"/>
                  <a:stretch/>
                </pic:blipFill>
                <pic:spPr bwMode="auto">
                  <a:xfrm>
                    <a:off x="0" y="0"/>
                    <a:ext cx="904875" cy="75501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val="es-MX"/>
      </w:rPr>
      <w:drawing>
        <wp:anchor distT="0" distB="0" distL="114300" distR="114300" simplePos="0" relativeHeight="251623936" behindDoc="0" locked="0" layoutInCell="1" allowOverlap="1" wp14:anchorId="3A7EA311" wp14:editId="5B06BACD">
          <wp:simplePos x="0" y="0"/>
          <wp:positionH relativeFrom="margin">
            <wp:posOffset>2171700</wp:posOffset>
          </wp:positionH>
          <wp:positionV relativeFrom="margin">
            <wp:posOffset>-840105</wp:posOffset>
          </wp:positionV>
          <wp:extent cx="838200" cy="838200"/>
          <wp:effectExtent l="0" t="0" r="0" b="0"/>
          <wp:wrapSquare wrapText="bothSides"/>
          <wp:docPr id="8" name="Imagen 8" descr="C:\Users\Paola\AppData\Local\Microsoft\Windows\INetCache\Content.Word\Logo_RDI-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aola\AppData\Local\Microsoft\Windows\INetCache\Content.Word\Logo_RDI-0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rPr>
      <w:drawing>
        <wp:anchor distT="0" distB="0" distL="114300" distR="114300" simplePos="0" relativeHeight="251608576" behindDoc="0" locked="0" layoutInCell="1" allowOverlap="1" wp14:anchorId="27A91B2B" wp14:editId="162F177B">
          <wp:simplePos x="0" y="0"/>
          <wp:positionH relativeFrom="margin">
            <wp:posOffset>4013200</wp:posOffset>
          </wp:positionH>
          <wp:positionV relativeFrom="paragraph">
            <wp:posOffset>-370205</wp:posOffset>
          </wp:positionV>
          <wp:extent cx="1807845" cy="755015"/>
          <wp:effectExtent l="0" t="0" r="0" b="0"/>
          <wp:wrapSquare wrapText="bothSides"/>
          <wp:docPr id="6" name="Imagen 6" descr="LogoUNESCO_1406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UNESCO_140620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7845" cy="755015"/>
                  </a:xfrm>
                  <a:prstGeom prst="rect">
                    <a:avLst/>
                  </a:prstGeom>
                  <a:noFill/>
                </pic:spPr>
              </pic:pic>
            </a:graphicData>
          </a:graphic>
          <wp14:sizeRelH relativeFrom="page">
            <wp14:pctWidth>0</wp14:pctWidth>
          </wp14:sizeRelH>
          <wp14:sizeRelV relativeFrom="page">
            <wp14:pctHeight>0</wp14:pctHeight>
          </wp14:sizeRelV>
        </wp:anchor>
      </w:drawing>
    </w:r>
  </w:p>
  <w:p w14:paraId="6965ABDA" w14:textId="03989135" w:rsidR="00137BAB" w:rsidRDefault="00137BAB" w:rsidP="00137BAB">
    <w:pPr>
      <w:pStyle w:val="Encabezado"/>
      <w:tabs>
        <w:tab w:val="clear" w:pos="4419"/>
        <w:tab w:val="clear" w:pos="8838"/>
        <w:tab w:val="left" w:pos="765"/>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574C2" w14:textId="07DE5B06" w:rsidR="004F58BD" w:rsidRDefault="00F43C85">
    <w:pPr>
      <w:pStyle w:val="Encabezado"/>
    </w:pPr>
    <w:r>
      <w:rPr>
        <w:noProof/>
        <w:lang w:val="es-MX"/>
      </w:rPr>
      <w:drawing>
        <wp:anchor distT="0" distB="0" distL="114300" distR="114300" simplePos="0" relativeHeight="251715072" behindDoc="0" locked="0" layoutInCell="1" allowOverlap="1" wp14:anchorId="1B7D26D6" wp14:editId="2EF2EDD1">
          <wp:simplePos x="0" y="0"/>
          <wp:positionH relativeFrom="column">
            <wp:posOffset>9525</wp:posOffset>
          </wp:positionH>
          <wp:positionV relativeFrom="paragraph">
            <wp:posOffset>-219075</wp:posOffset>
          </wp:positionV>
          <wp:extent cx="2158365" cy="624840"/>
          <wp:effectExtent l="0" t="0" r="0"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2 verde.png"/>
                  <pic:cNvPicPr/>
                </pic:nvPicPr>
                <pic:blipFill>
                  <a:blip r:embed="rId1">
                    <a:extLst>
                      <a:ext uri="{28A0092B-C50C-407E-A947-70E740481C1C}">
                        <a14:useLocalDpi xmlns:a14="http://schemas.microsoft.com/office/drawing/2010/main" val="0"/>
                      </a:ext>
                    </a:extLst>
                  </a:blip>
                  <a:stretch>
                    <a:fillRect/>
                  </a:stretch>
                </pic:blipFill>
                <pic:spPr>
                  <a:xfrm>
                    <a:off x="0" y="0"/>
                    <a:ext cx="2158365" cy="624840"/>
                  </a:xfrm>
                  <a:prstGeom prst="rect">
                    <a:avLst/>
                  </a:prstGeom>
                </pic:spPr>
              </pic:pic>
            </a:graphicData>
          </a:graphic>
          <wp14:sizeRelH relativeFrom="margin">
            <wp14:pctWidth>0</wp14:pctWidth>
          </wp14:sizeRelH>
          <wp14:sizeRelV relativeFrom="margin">
            <wp14:pctHeight>0</wp14:pctHeight>
          </wp14:sizeRelV>
        </wp:anchor>
      </w:drawing>
    </w:r>
    <w:r w:rsidRPr="00AC2A8B">
      <w:rPr>
        <w:noProof/>
        <w:lang w:val="es-MX"/>
      </w:rPr>
      <w:drawing>
        <wp:anchor distT="0" distB="0" distL="114300" distR="114300" simplePos="0" relativeHeight="251652608" behindDoc="0" locked="0" layoutInCell="1" allowOverlap="1" wp14:anchorId="717EF8F7" wp14:editId="1A36CAB1">
          <wp:simplePos x="0" y="0"/>
          <wp:positionH relativeFrom="margin">
            <wp:posOffset>3994785</wp:posOffset>
          </wp:positionH>
          <wp:positionV relativeFrom="paragraph">
            <wp:posOffset>-347980</wp:posOffset>
          </wp:positionV>
          <wp:extent cx="1807845" cy="755015"/>
          <wp:effectExtent l="0" t="0" r="0" b="0"/>
          <wp:wrapSquare wrapText="bothSides"/>
          <wp:docPr id="5" name="Imagen 5" descr="LogoUNESCO_1406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UNESCO_140620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7845" cy="755015"/>
                  </a:xfrm>
                  <a:prstGeom prst="rect">
                    <a:avLst/>
                  </a:prstGeom>
                  <a:noFill/>
                </pic:spPr>
              </pic:pic>
            </a:graphicData>
          </a:graphic>
          <wp14:sizeRelH relativeFrom="page">
            <wp14:pctWidth>0</wp14:pctWidth>
          </wp14:sizeRelH>
          <wp14:sizeRelV relativeFrom="page">
            <wp14:pctHeight>0</wp14:pctHeight>
          </wp14:sizeRelV>
        </wp:anchor>
      </w:drawing>
    </w:r>
    <w:r w:rsidRPr="00AC2A8B">
      <w:rPr>
        <w:noProof/>
        <w:lang w:val="es-MX"/>
      </w:rPr>
      <w:drawing>
        <wp:anchor distT="0" distB="0" distL="114300" distR="114300" simplePos="0" relativeHeight="251682304" behindDoc="0" locked="0" layoutInCell="1" allowOverlap="1" wp14:anchorId="461E650B" wp14:editId="22A3A3D1">
          <wp:simplePos x="0" y="0"/>
          <wp:positionH relativeFrom="margin">
            <wp:posOffset>3049905</wp:posOffset>
          </wp:positionH>
          <wp:positionV relativeFrom="page">
            <wp:posOffset>53340</wp:posOffset>
          </wp:positionV>
          <wp:extent cx="904875" cy="904875"/>
          <wp:effectExtent l="0" t="0" r="9525" b="0"/>
          <wp:wrapSquare wrapText="bothSides"/>
          <wp:docPr id="9" name="Imagen 9" descr="FEMU A.C. (@FEMUA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U A.C. (@FEMUAC) / X"/>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anchor>
      </w:drawing>
    </w:r>
    <w:r w:rsidRPr="00AC2A8B">
      <w:rPr>
        <w:noProof/>
        <w:lang w:val="es-MX"/>
      </w:rPr>
      <w:drawing>
        <wp:anchor distT="0" distB="0" distL="114300" distR="114300" simplePos="0" relativeHeight="251713024" behindDoc="0" locked="0" layoutInCell="1" allowOverlap="1" wp14:anchorId="6F493875" wp14:editId="7856A488">
          <wp:simplePos x="0" y="0"/>
          <wp:positionH relativeFrom="margin">
            <wp:posOffset>2215515</wp:posOffset>
          </wp:positionH>
          <wp:positionV relativeFrom="margin">
            <wp:posOffset>-803275</wp:posOffset>
          </wp:positionV>
          <wp:extent cx="795020" cy="795020"/>
          <wp:effectExtent l="0" t="0" r="5080" b="5080"/>
          <wp:wrapSquare wrapText="bothSides"/>
          <wp:docPr id="10" name="Imagen 10" descr="C:\Users\Paola\AppData\Local\Microsoft\Windows\INetCache\Content.Word\Logo_RDI-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aola\AppData\Local\Microsoft\Windows\INetCache\Content.Word\Logo_RDI-0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5020" cy="795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6E6F1D"/>
    <w:multiLevelType w:val="hybridMultilevel"/>
    <w:tmpl w:val="5E3CB8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16F463B"/>
    <w:multiLevelType w:val="hybridMultilevel"/>
    <w:tmpl w:val="0B78501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56967DA0"/>
    <w:multiLevelType w:val="hybridMultilevel"/>
    <w:tmpl w:val="6CB48D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58613BF2"/>
    <w:multiLevelType w:val="hybridMultilevel"/>
    <w:tmpl w:val="C9CC3008"/>
    <w:lvl w:ilvl="0" w:tplc="FFFFFFFF">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D316998"/>
    <w:multiLevelType w:val="hybridMultilevel"/>
    <w:tmpl w:val="6FD49C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7F815535"/>
    <w:multiLevelType w:val="hybridMultilevel"/>
    <w:tmpl w:val="42A082F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052"/>
    <w:rsid w:val="000244F2"/>
    <w:rsid w:val="0003783B"/>
    <w:rsid w:val="00050C29"/>
    <w:rsid w:val="000A0BE2"/>
    <w:rsid w:val="000F4EB5"/>
    <w:rsid w:val="001371C7"/>
    <w:rsid w:val="00137BAB"/>
    <w:rsid w:val="00180C90"/>
    <w:rsid w:val="00185F9C"/>
    <w:rsid w:val="0019369B"/>
    <w:rsid w:val="001A41C8"/>
    <w:rsid w:val="001F0DAE"/>
    <w:rsid w:val="00201027"/>
    <w:rsid w:val="00201080"/>
    <w:rsid w:val="00285DD9"/>
    <w:rsid w:val="002A588B"/>
    <w:rsid w:val="002D0201"/>
    <w:rsid w:val="002D3262"/>
    <w:rsid w:val="002F4300"/>
    <w:rsid w:val="00313D11"/>
    <w:rsid w:val="003449A8"/>
    <w:rsid w:val="0037238E"/>
    <w:rsid w:val="003B3F4E"/>
    <w:rsid w:val="003C75D1"/>
    <w:rsid w:val="003F2271"/>
    <w:rsid w:val="003F2FEC"/>
    <w:rsid w:val="00405A17"/>
    <w:rsid w:val="004C3FBE"/>
    <w:rsid w:val="004F24B6"/>
    <w:rsid w:val="004F58BD"/>
    <w:rsid w:val="004F74FD"/>
    <w:rsid w:val="00527F02"/>
    <w:rsid w:val="005526D4"/>
    <w:rsid w:val="00575E3B"/>
    <w:rsid w:val="005C0133"/>
    <w:rsid w:val="005E5372"/>
    <w:rsid w:val="00611B7E"/>
    <w:rsid w:val="00621BE9"/>
    <w:rsid w:val="00640BF1"/>
    <w:rsid w:val="006417BC"/>
    <w:rsid w:val="0065006D"/>
    <w:rsid w:val="006611A1"/>
    <w:rsid w:val="00662323"/>
    <w:rsid w:val="00671C6C"/>
    <w:rsid w:val="0067515E"/>
    <w:rsid w:val="00675261"/>
    <w:rsid w:val="0068762B"/>
    <w:rsid w:val="006A230A"/>
    <w:rsid w:val="006F0115"/>
    <w:rsid w:val="00741052"/>
    <w:rsid w:val="00760406"/>
    <w:rsid w:val="0078170B"/>
    <w:rsid w:val="008022EC"/>
    <w:rsid w:val="008023B3"/>
    <w:rsid w:val="00815DA4"/>
    <w:rsid w:val="00832187"/>
    <w:rsid w:val="008A7236"/>
    <w:rsid w:val="008D0EF3"/>
    <w:rsid w:val="008F5002"/>
    <w:rsid w:val="008F6462"/>
    <w:rsid w:val="00902525"/>
    <w:rsid w:val="009245E0"/>
    <w:rsid w:val="0093678D"/>
    <w:rsid w:val="009825CE"/>
    <w:rsid w:val="00991945"/>
    <w:rsid w:val="009B09DA"/>
    <w:rsid w:val="009D104E"/>
    <w:rsid w:val="00A02DC2"/>
    <w:rsid w:val="00A662E6"/>
    <w:rsid w:val="00AA0810"/>
    <w:rsid w:val="00AC2A8B"/>
    <w:rsid w:val="00AF26CC"/>
    <w:rsid w:val="00B83CA2"/>
    <w:rsid w:val="00B93EF7"/>
    <w:rsid w:val="00BC2B5E"/>
    <w:rsid w:val="00BC53F3"/>
    <w:rsid w:val="00BF10EB"/>
    <w:rsid w:val="00C4508A"/>
    <w:rsid w:val="00C55818"/>
    <w:rsid w:val="00C929B8"/>
    <w:rsid w:val="00D61D91"/>
    <w:rsid w:val="00D63482"/>
    <w:rsid w:val="00D750F4"/>
    <w:rsid w:val="00D9305F"/>
    <w:rsid w:val="00DB041A"/>
    <w:rsid w:val="00DC635B"/>
    <w:rsid w:val="00E13A30"/>
    <w:rsid w:val="00E35F9B"/>
    <w:rsid w:val="00E43726"/>
    <w:rsid w:val="00E562F4"/>
    <w:rsid w:val="00E8510C"/>
    <w:rsid w:val="00E86237"/>
    <w:rsid w:val="00F07795"/>
    <w:rsid w:val="00F31401"/>
    <w:rsid w:val="00F31D96"/>
    <w:rsid w:val="00F41076"/>
    <w:rsid w:val="00F43C85"/>
    <w:rsid w:val="00FF7778"/>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572B85"/>
  <w15:docId w15:val="{ADA1440D-752A-4874-8878-FE172DC1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z-Cyrl-UZ" w:eastAsia="es-MX"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201"/>
  </w:style>
  <w:style w:type="paragraph" w:styleId="Ttulo1">
    <w:name w:val="heading 1"/>
    <w:basedOn w:val="Normal"/>
    <w:next w:val="Normal"/>
    <w:link w:val="Ttulo1Car"/>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customStyle="1" w:styleId="Ttulo1Car">
    <w:name w:val="Título 1 Car"/>
    <w:basedOn w:val="Fuentedeprrafopredeter"/>
    <w:link w:val="Ttulo1"/>
    <w:uiPriority w:val="9"/>
    <w:rsid w:val="00C929B8"/>
    <w:rPr>
      <w:sz w:val="40"/>
      <w:szCs w:val="40"/>
    </w:rPr>
  </w:style>
  <w:style w:type="paragraph" w:styleId="Bibliografa">
    <w:name w:val="Bibliography"/>
    <w:basedOn w:val="Normal"/>
    <w:next w:val="Normal"/>
    <w:uiPriority w:val="37"/>
    <w:unhideWhenUsed/>
    <w:rsid w:val="00C929B8"/>
  </w:style>
  <w:style w:type="paragraph" w:styleId="Prrafodelista">
    <w:name w:val="List Paragraph"/>
    <w:basedOn w:val="Normal"/>
    <w:uiPriority w:val="34"/>
    <w:qFormat/>
    <w:rsid w:val="00D9305F"/>
    <w:pPr>
      <w:ind w:left="720"/>
      <w:contextualSpacing/>
    </w:pPr>
  </w:style>
  <w:style w:type="paragraph" w:styleId="Encabezado">
    <w:name w:val="header"/>
    <w:basedOn w:val="Normal"/>
    <w:link w:val="EncabezadoCar"/>
    <w:uiPriority w:val="99"/>
    <w:unhideWhenUsed/>
    <w:rsid w:val="00137BAB"/>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137BAB"/>
  </w:style>
  <w:style w:type="paragraph" w:styleId="Piedepgina">
    <w:name w:val="footer"/>
    <w:basedOn w:val="Normal"/>
    <w:link w:val="PiedepginaCar"/>
    <w:uiPriority w:val="99"/>
    <w:unhideWhenUsed/>
    <w:rsid w:val="00137BA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137BAB"/>
  </w:style>
  <w:style w:type="table" w:customStyle="1" w:styleId="Tabladecuadrcula1clara-nfasis51">
    <w:name w:val="Tabla de cuadrícula 1 clara - Énfasis 51"/>
    <w:basedOn w:val="Tablanormal"/>
    <w:next w:val="Tablaconcuadrcula1clara-nfasis51"/>
    <w:uiPriority w:val="46"/>
    <w:rsid w:val="00832187"/>
    <w:pPr>
      <w:spacing w:line="240" w:lineRule="auto"/>
    </w:pPr>
    <w:rPr>
      <w:rFonts w:ascii="Calibri" w:eastAsia="Calibri" w:hAnsi="Calibri" w:cs="Times New Roman"/>
      <w:kern w:val="2"/>
      <w:lang w:val="es-MX"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832187"/>
    <w:pPr>
      <w:spacing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Sinespaciado">
    <w:name w:val="No Spacing"/>
    <w:link w:val="SinespaciadoCar"/>
    <w:uiPriority w:val="1"/>
    <w:qFormat/>
    <w:rsid w:val="005E5372"/>
    <w:pPr>
      <w:spacing w:line="240" w:lineRule="auto"/>
    </w:pPr>
    <w:rPr>
      <w:rFonts w:asciiTheme="minorHAnsi" w:eastAsiaTheme="minorEastAsia" w:hAnsiTheme="minorHAnsi" w:cstheme="minorBidi"/>
      <w:lang w:val="es-MX"/>
    </w:rPr>
  </w:style>
  <w:style w:type="character" w:customStyle="1" w:styleId="SinespaciadoCar">
    <w:name w:val="Sin espaciado Car"/>
    <w:basedOn w:val="Fuentedeprrafopredeter"/>
    <w:link w:val="Sinespaciado"/>
    <w:uiPriority w:val="1"/>
    <w:rsid w:val="005E5372"/>
    <w:rPr>
      <w:rFonts w:asciiTheme="minorHAnsi" w:eastAsiaTheme="minorEastAsia" w:hAnsiTheme="minorHAnsi" w:cstheme="minorBidi"/>
      <w:lang w:val="es-MX"/>
    </w:rPr>
  </w:style>
  <w:style w:type="paragraph" w:styleId="Textodeglobo">
    <w:name w:val="Balloon Text"/>
    <w:basedOn w:val="Normal"/>
    <w:link w:val="TextodegloboCar"/>
    <w:uiPriority w:val="99"/>
    <w:semiHidden/>
    <w:unhideWhenUsed/>
    <w:rsid w:val="003F2271"/>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F2271"/>
    <w:rPr>
      <w:rFonts w:ascii="Lucida Grande" w:hAnsi="Lucida Grande" w:cs="Lucida Grande"/>
      <w:sz w:val="18"/>
      <w:szCs w:val="18"/>
    </w:rPr>
  </w:style>
  <w:style w:type="paragraph" w:customStyle="1" w:styleId="defaultstyledtext-xb1qmn-0">
    <w:name w:val="default__styledtext-xb1qmn-0"/>
    <w:basedOn w:val="Normal"/>
    <w:rsid w:val="00050C29"/>
    <w:pPr>
      <w:spacing w:before="100" w:beforeAutospacing="1" w:after="100" w:afterAutospacing="1" w:line="240" w:lineRule="auto"/>
    </w:pPr>
    <w:rPr>
      <w:rFonts w:ascii="Times" w:hAnsi="Times"/>
      <w:sz w:val="20"/>
      <w:szCs w:val="20"/>
      <w:lang w:val="es-MX" w:eastAsia="es-ES"/>
    </w:rPr>
  </w:style>
  <w:style w:type="character" w:styleId="Hipervnculo">
    <w:name w:val="Hyperlink"/>
    <w:basedOn w:val="Fuentedeprrafopredeter"/>
    <w:uiPriority w:val="99"/>
    <w:semiHidden/>
    <w:unhideWhenUsed/>
    <w:rsid w:val="00050C29"/>
    <w:rPr>
      <w:color w:val="0000FF"/>
      <w:u w:val="single"/>
    </w:rPr>
  </w:style>
  <w:style w:type="table" w:styleId="Tabladecuadrcula1clara-nfasis5">
    <w:name w:val="Grid Table 1 Light Accent 5"/>
    <w:basedOn w:val="Tablanormal"/>
    <w:uiPriority w:val="46"/>
    <w:rsid w:val="0065006D"/>
    <w:pPr>
      <w:spacing w:line="240" w:lineRule="auto"/>
    </w:pPr>
    <w:rPr>
      <w:rFonts w:asciiTheme="minorHAnsi" w:eastAsiaTheme="minorHAnsi" w:hAnsiTheme="minorHAnsi" w:cstheme="minorBidi"/>
      <w:kern w:val="2"/>
      <w:lang w:val="es-MX" w:eastAsia="en-US"/>
      <w14:ligatures w14:val="standardContextual"/>
    </w:rPr>
    <w:tblPr>
      <w:tblStyleRowBandSize w:val="1"/>
      <w:tblStyleColBandSize w:val="1"/>
      <w:tblInd w:w="0" w:type="nil"/>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7044">
      <w:bodyDiv w:val="1"/>
      <w:marLeft w:val="0"/>
      <w:marRight w:val="0"/>
      <w:marTop w:val="0"/>
      <w:marBottom w:val="0"/>
      <w:divBdr>
        <w:top w:val="none" w:sz="0" w:space="0" w:color="auto"/>
        <w:left w:val="none" w:sz="0" w:space="0" w:color="auto"/>
        <w:bottom w:val="none" w:sz="0" w:space="0" w:color="auto"/>
        <w:right w:val="none" w:sz="0" w:space="0" w:color="auto"/>
      </w:divBdr>
    </w:div>
    <w:div w:id="35859593">
      <w:bodyDiv w:val="1"/>
      <w:marLeft w:val="0"/>
      <w:marRight w:val="0"/>
      <w:marTop w:val="0"/>
      <w:marBottom w:val="0"/>
      <w:divBdr>
        <w:top w:val="none" w:sz="0" w:space="0" w:color="auto"/>
        <w:left w:val="none" w:sz="0" w:space="0" w:color="auto"/>
        <w:bottom w:val="none" w:sz="0" w:space="0" w:color="auto"/>
        <w:right w:val="none" w:sz="0" w:space="0" w:color="auto"/>
      </w:divBdr>
    </w:div>
    <w:div w:id="56823138">
      <w:bodyDiv w:val="1"/>
      <w:marLeft w:val="0"/>
      <w:marRight w:val="0"/>
      <w:marTop w:val="0"/>
      <w:marBottom w:val="0"/>
      <w:divBdr>
        <w:top w:val="none" w:sz="0" w:space="0" w:color="auto"/>
        <w:left w:val="none" w:sz="0" w:space="0" w:color="auto"/>
        <w:bottom w:val="none" w:sz="0" w:space="0" w:color="auto"/>
        <w:right w:val="none" w:sz="0" w:space="0" w:color="auto"/>
      </w:divBdr>
    </w:div>
    <w:div w:id="101075490">
      <w:bodyDiv w:val="1"/>
      <w:marLeft w:val="0"/>
      <w:marRight w:val="0"/>
      <w:marTop w:val="0"/>
      <w:marBottom w:val="0"/>
      <w:divBdr>
        <w:top w:val="none" w:sz="0" w:space="0" w:color="auto"/>
        <w:left w:val="none" w:sz="0" w:space="0" w:color="auto"/>
        <w:bottom w:val="none" w:sz="0" w:space="0" w:color="auto"/>
        <w:right w:val="none" w:sz="0" w:space="0" w:color="auto"/>
      </w:divBdr>
    </w:div>
    <w:div w:id="120197426">
      <w:bodyDiv w:val="1"/>
      <w:marLeft w:val="0"/>
      <w:marRight w:val="0"/>
      <w:marTop w:val="0"/>
      <w:marBottom w:val="0"/>
      <w:divBdr>
        <w:top w:val="none" w:sz="0" w:space="0" w:color="auto"/>
        <w:left w:val="none" w:sz="0" w:space="0" w:color="auto"/>
        <w:bottom w:val="none" w:sz="0" w:space="0" w:color="auto"/>
        <w:right w:val="none" w:sz="0" w:space="0" w:color="auto"/>
      </w:divBdr>
    </w:div>
    <w:div w:id="135147787">
      <w:bodyDiv w:val="1"/>
      <w:marLeft w:val="0"/>
      <w:marRight w:val="0"/>
      <w:marTop w:val="0"/>
      <w:marBottom w:val="0"/>
      <w:divBdr>
        <w:top w:val="none" w:sz="0" w:space="0" w:color="auto"/>
        <w:left w:val="none" w:sz="0" w:space="0" w:color="auto"/>
        <w:bottom w:val="none" w:sz="0" w:space="0" w:color="auto"/>
        <w:right w:val="none" w:sz="0" w:space="0" w:color="auto"/>
      </w:divBdr>
    </w:div>
    <w:div w:id="152767194">
      <w:bodyDiv w:val="1"/>
      <w:marLeft w:val="0"/>
      <w:marRight w:val="0"/>
      <w:marTop w:val="0"/>
      <w:marBottom w:val="0"/>
      <w:divBdr>
        <w:top w:val="none" w:sz="0" w:space="0" w:color="auto"/>
        <w:left w:val="none" w:sz="0" w:space="0" w:color="auto"/>
        <w:bottom w:val="none" w:sz="0" w:space="0" w:color="auto"/>
        <w:right w:val="none" w:sz="0" w:space="0" w:color="auto"/>
      </w:divBdr>
    </w:div>
    <w:div w:id="165675316">
      <w:bodyDiv w:val="1"/>
      <w:marLeft w:val="0"/>
      <w:marRight w:val="0"/>
      <w:marTop w:val="0"/>
      <w:marBottom w:val="0"/>
      <w:divBdr>
        <w:top w:val="none" w:sz="0" w:space="0" w:color="auto"/>
        <w:left w:val="none" w:sz="0" w:space="0" w:color="auto"/>
        <w:bottom w:val="none" w:sz="0" w:space="0" w:color="auto"/>
        <w:right w:val="none" w:sz="0" w:space="0" w:color="auto"/>
      </w:divBdr>
    </w:div>
    <w:div w:id="191457686">
      <w:bodyDiv w:val="1"/>
      <w:marLeft w:val="0"/>
      <w:marRight w:val="0"/>
      <w:marTop w:val="0"/>
      <w:marBottom w:val="0"/>
      <w:divBdr>
        <w:top w:val="none" w:sz="0" w:space="0" w:color="auto"/>
        <w:left w:val="none" w:sz="0" w:space="0" w:color="auto"/>
        <w:bottom w:val="none" w:sz="0" w:space="0" w:color="auto"/>
        <w:right w:val="none" w:sz="0" w:space="0" w:color="auto"/>
      </w:divBdr>
    </w:div>
    <w:div w:id="201746519">
      <w:bodyDiv w:val="1"/>
      <w:marLeft w:val="0"/>
      <w:marRight w:val="0"/>
      <w:marTop w:val="0"/>
      <w:marBottom w:val="0"/>
      <w:divBdr>
        <w:top w:val="none" w:sz="0" w:space="0" w:color="auto"/>
        <w:left w:val="none" w:sz="0" w:space="0" w:color="auto"/>
        <w:bottom w:val="none" w:sz="0" w:space="0" w:color="auto"/>
        <w:right w:val="none" w:sz="0" w:space="0" w:color="auto"/>
      </w:divBdr>
    </w:div>
    <w:div w:id="203955504">
      <w:bodyDiv w:val="1"/>
      <w:marLeft w:val="0"/>
      <w:marRight w:val="0"/>
      <w:marTop w:val="0"/>
      <w:marBottom w:val="0"/>
      <w:divBdr>
        <w:top w:val="none" w:sz="0" w:space="0" w:color="auto"/>
        <w:left w:val="none" w:sz="0" w:space="0" w:color="auto"/>
        <w:bottom w:val="none" w:sz="0" w:space="0" w:color="auto"/>
        <w:right w:val="none" w:sz="0" w:space="0" w:color="auto"/>
      </w:divBdr>
    </w:div>
    <w:div w:id="211423318">
      <w:bodyDiv w:val="1"/>
      <w:marLeft w:val="0"/>
      <w:marRight w:val="0"/>
      <w:marTop w:val="0"/>
      <w:marBottom w:val="0"/>
      <w:divBdr>
        <w:top w:val="none" w:sz="0" w:space="0" w:color="auto"/>
        <w:left w:val="none" w:sz="0" w:space="0" w:color="auto"/>
        <w:bottom w:val="none" w:sz="0" w:space="0" w:color="auto"/>
        <w:right w:val="none" w:sz="0" w:space="0" w:color="auto"/>
      </w:divBdr>
    </w:div>
    <w:div w:id="249126488">
      <w:bodyDiv w:val="1"/>
      <w:marLeft w:val="0"/>
      <w:marRight w:val="0"/>
      <w:marTop w:val="0"/>
      <w:marBottom w:val="0"/>
      <w:divBdr>
        <w:top w:val="none" w:sz="0" w:space="0" w:color="auto"/>
        <w:left w:val="none" w:sz="0" w:space="0" w:color="auto"/>
        <w:bottom w:val="none" w:sz="0" w:space="0" w:color="auto"/>
        <w:right w:val="none" w:sz="0" w:space="0" w:color="auto"/>
      </w:divBdr>
    </w:div>
    <w:div w:id="254284385">
      <w:bodyDiv w:val="1"/>
      <w:marLeft w:val="0"/>
      <w:marRight w:val="0"/>
      <w:marTop w:val="0"/>
      <w:marBottom w:val="0"/>
      <w:divBdr>
        <w:top w:val="none" w:sz="0" w:space="0" w:color="auto"/>
        <w:left w:val="none" w:sz="0" w:space="0" w:color="auto"/>
        <w:bottom w:val="none" w:sz="0" w:space="0" w:color="auto"/>
        <w:right w:val="none" w:sz="0" w:space="0" w:color="auto"/>
      </w:divBdr>
    </w:div>
    <w:div w:id="255212415">
      <w:bodyDiv w:val="1"/>
      <w:marLeft w:val="0"/>
      <w:marRight w:val="0"/>
      <w:marTop w:val="0"/>
      <w:marBottom w:val="0"/>
      <w:divBdr>
        <w:top w:val="none" w:sz="0" w:space="0" w:color="auto"/>
        <w:left w:val="none" w:sz="0" w:space="0" w:color="auto"/>
        <w:bottom w:val="none" w:sz="0" w:space="0" w:color="auto"/>
        <w:right w:val="none" w:sz="0" w:space="0" w:color="auto"/>
      </w:divBdr>
    </w:div>
    <w:div w:id="297734106">
      <w:bodyDiv w:val="1"/>
      <w:marLeft w:val="0"/>
      <w:marRight w:val="0"/>
      <w:marTop w:val="0"/>
      <w:marBottom w:val="0"/>
      <w:divBdr>
        <w:top w:val="none" w:sz="0" w:space="0" w:color="auto"/>
        <w:left w:val="none" w:sz="0" w:space="0" w:color="auto"/>
        <w:bottom w:val="none" w:sz="0" w:space="0" w:color="auto"/>
        <w:right w:val="none" w:sz="0" w:space="0" w:color="auto"/>
      </w:divBdr>
    </w:div>
    <w:div w:id="327831095">
      <w:bodyDiv w:val="1"/>
      <w:marLeft w:val="0"/>
      <w:marRight w:val="0"/>
      <w:marTop w:val="0"/>
      <w:marBottom w:val="0"/>
      <w:divBdr>
        <w:top w:val="none" w:sz="0" w:space="0" w:color="auto"/>
        <w:left w:val="none" w:sz="0" w:space="0" w:color="auto"/>
        <w:bottom w:val="none" w:sz="0" w:space="0" w:color="auto"/>
        <w:right w:val="none" w:sz="0" w:space="0" w:color="auto"/>
      </w:divBdr>
    </w:div>
    <w:div w:id="360012260">
      <w:bodyDiv w:val="1"/>
      <w:marLeft w:val="0"/>
      <w:marRight w:val="0"/>
      <w:marTop w:val="0"/>
      <w:marBottom w:val="0"/>
      <w:divBdr>
        <w:top w:val="none" w:sz="0" w:space="0" w:color="auto"/>
        <w:left w:val="none" w:sz="0" w:space="0" w:color="auto"/>
        <w:bottom w:val="none" w:sz="0" w:space="0" w:color="auto"/>
        <w:right w:val="none" w:sz="0" w:space="0" w:color="auto"/>
      </w:divBdr>
    </w:div>
    <w:div w:id="365714770">
      <w:bodyDiv w:val="1"/>
      <w:marLeft w:val="0"/>
      <w:marRight w:val="0"/>
      <w:marTop w:val="0"/>
      <w:marBottom w:val="0"/>
      <w:divBdr>
        <w:top w:val="none" w:sz="0" w:space="0" w:color="auto"/>
        <w:left w:val="none" w:sz="0" w:space="0" w:color="auto"/>
        <w:bottom w:val="none" w:sz="0" w:space="0" w:color="auto"/>
        <w:right w:val="none" w:sz="0" w:space="0" w:color="auto"/>
      </w:divBdr>
    </w:div>
    <w:div w:id="371075444">
      <w:bodyDiv w:val="1"/>
      <w:marLeft w:val="0"/>
      <w:marRight w:val="0"/>
      <w:marTop w:val="0"/>
      <w:marBottom w:val="0"/>
      <w:divBdr>
        <w:top w:val="none" w:sz="0" w:space="0" w:color="auto"/>
        <w:left w:val="none" w:sz="0" w:space="0" w:color="auto"/>
        <w:bottom w:val="none" w:sz="0" w:space="0" w:color="auto"/>
        <w:right w:val="none" w:sz="0" w:space="0" w:color="auto"/>
      </w:divBdr>
    </w:div>
    <w:div w:id="378747748">
      <w:bodyDiv w:val="1"/>
      <w:marLeft w:val="0"/>
      <w:marRight w:val="0"/>
      <w:marTop w:val="0"/>
      <w:marBottom w:val="0"/>
      <w:divBdr>
        <w:top w:val="none" w:sz="0" w:space="0" w:color="auto"/>
        <w:left w:val="none" w:sz="0" w:space="0" w:color="auto"/>
        <w:bottom w:val="none" w:sz="0" w:space="0" w:color="auto"/>
        <w:right w:val="none" w:sz="0" w:space="0" w:color="auto"/>
      </w:divBdr>
    </w:div>
    <w:div w:id="388843246">
      <w:bodyDiv w:val="1"/>
      <w:marLeft w:val="0"/>
      <w:marRight w:val="0"/>
      <w:marTop w:val="0"/>
      <w:marBottom w:val="0"/>
      <w:divBdr>
        <w:top w:val="none" w:sz="0" w:space="0" w:color="auto"/>
        <w:left w:val="none" w:sz="0" w:space="0" w:color="auto"/>
        <w:bottom w:val="none" w:sz="0" w:space="0" w:color="auto"/>
        <w:right w:val="none" w:sz="0" w:space="0" w:color="auto"/>
      </w:divBdr>
    </w:div>
    <w:div w:id="406148080">
      <w:bodyDiv w:val="1"/>
      <w:marLeft w:val="0"/>
      <w:marRight w:val="0"/>
      <w:marTop w:val="0"/>
      <w:marBottom w:val="0"/>
      <w:divBdr>
        <w:top w:val="none" w:sz="0" w:space="0" w:color="auto"/>
        <w:left w:val="none" w:sz="0" w:space="0" w:color="auto"/>
        <w:bottom w:val="none" w:sz="0" w:space="0" w:color="auto"/>
        <w:right w:val="none" w:sz="0" w:space="0" w:color="auto"/>
      </w:divBdr>
    </w:div>
    <w:div w:id="412092242">
      <w:bodyDiv w:val="1"/>
      <w:marLeft w:val="0"/>
      <w:marRight w:val="0"/>
      <w:marTop w:val="0"/>
      <w:marBottom w:val="0"/>
      <w:divBdr>
        <w:top w:val="none" w:sz="0" w:space="0" w:color="auto"/>
        <w:left w:val="none" w:sz="0" w:space="0" w:color="auto"/>
        <w:bottom w:val="none" w:sz="0" w:space="0" w:color="auto"/>
        <w:right w:val="none" w:sz="0" w:space="0" w:color="auto"/>
      </w:divBdr>
    </w:div>
    <w:div w:id="442112365">
      <w:bodyDiv w:val="1"/>
      <w:marLeft w:val="0"/>
      <w:marRight w:val="0"/>
      <w:marTop w:val="0"/>
      <w:marBottom w:val="0"/>
      <w:divBdr>
        <w:top w:val="none" w:sz="0" w:space="0" w:color="auto"/>
        <w:left w:val="none" w:sz="0" w:space="0" w:color="auto"/>
        <w:bottom w:val="none" w:sz="0" w:space="0" w:color="auto"/>
        <w:right w:val="none" w:sz="0" w:space="0" w:color="auto"/>
      </w:divBdr>
    </w:div>
    <w:div w:id="506217458">
      <w:bodyDiv w:val="1"/>
      <w:marLeft w:val="0"/>
      <w:marRight w:val="0"/>
      <w:marTop w:val="0"/>
      <w:marBottom w:val="0"/>
      <w:divBdr>
        <w:top w:val="none" w:sz="0" w:space="0" w:color="auto"/>
        <w:left w:val="none" w:sz="0" w:space="0" w:color="auto"/>
        <w:bottom w:val="none" w:sz="0" w:space="0" w:color="auto"/>
        <w:right w:val="none" w:sz="0" w:space="0" w:color="auto"/>
      </w:divBdr>
    </w:div>
    <w:div w:id="535124574">
      <w:bodyDiv w:val="1"/>
      <w:marLeft w:val="0"/>
      <w:marRight w:val="0"/>
      <w:marTop w:val="0"/>
      <w:marBottom w:val="0"/>
      <w:divBdr>
        <w:top w:val="none" w:sz="0" w:space="0" w:color="auto"/>
        <w:left w:val="none" w:sz="0" w:space="0" w:color="auto"/>
        <w:bottom w:val="none" w:sz="0" w:space="0" w:color="auto"/>
        <w:right w:val="none" w:sz="0" w:space="0" w:color="auto"/>
      </w:divBdr>
    </w:div>
    <w:div w:id="549535912">
      <w:bodyDiv w:val="1"/>
      <w:marLeft w:val="0"/>
      <w:marRight w:val="0"/>
      <w:marTop w:val="0"/>
      <w:marBottom w:val="0"/>
      <w:divBdr>
        <w:top w:val="none" w:sz="0" w:space="0" w:color="auto"/>
        <w:left w:val="none" w:sz="0" w:space="0" w:color="auto"/>
        <w:bottom w:val="none" w:sz="0" w:space="0" w:color="auto"/>
        <w:right w:val="none" w:sz="0" w:space="0" w:color="auto"/>
      </w:divBdr>
    </w:div>
    <w:div w:id="558320303">
      <w:bodyDiv w:val="1"/>
      <w:marLeft w:val="0"/>
      <w:marRight w:val="0"/>
      <w:marTop w:val="0"/>
      <w:marBottom w:val="0"/>
      <w:divBdr>
        <w:top w:val="none" w:sz="0" w:space="0" w:color="auto"/>
        <w:left w:val="none" w:sz="0" w:space="0" w:color="auto"/>
        <w:bottom w:val="none" w:sz="0" w:space="0" w:color="auto"/>
        <w:right w:val="none" w:sz="0" w:space="0" w:color="auto"/>
      </w:divBdr>
    </w:div>
    <w:div w:id="564029906">
      <w:bodyDiv w:val="1"/>
      <w:marLeft w:val="0"/>
      <w:marRight w:val="0"/>
      <w:marTop w:val="0"/>
      <w:marBottom w:val="0"/>
      <w:divBdr>
        <w:top w:val="none" w:sz="0" w:space="0" w:color="auto"/>
        <w:left w:val="none" w:sz="0" w:space="0" w:color="auto"/>
        <w:bottom w:val="none" w:sz="0" w:space="0" w:color="auto"/>
        <w:right w:val="none" w:sz="0" w:space="0" w:color="auto"/>
      </w:divBdr>
    </w:div>
    <w:div w:id="566378510">
      <w:bodyDiv w:val="1"/>
      <w:marLeft w:val="0"/>
      <w:marRight w:val="0"/>
      <w:marTop w:val="0"/>
      <w:marBottom w:val="0"/>
      <w:divBdr>
        <w:top w:val="none" w:sz="0" w:space="0" w:color="auto"/>
        <w:left w:val="none" w:sz="0" w:space="0" w:color="auto"/>
        <w:bottom w:val="none" w:sz="0" w:space="0" w:color="auto"/>
        <w:right w:val="none" w:sz="0" w:space="0" w:color="auto"/>
      </w:divBdr>
    </w:div>
    <w:div w:id="576285257">
      <w:bodyDiv w:val="1"/>
      <w:marLeft w:val="0"/>
      <w:marRight w:val="0"/>
      <w:marTop w:val="0"/>
      <w:marBottom w:val="0"/>
      <w:divBdr>
        <w:top w:val="none" w:sz="0" w:space="0" w:color="auto"/>
        <w:left w:val="none" w:sz="0" w:space="0" w:color="auto"/>
        <w:bottom w:val="none" w:sz="0" w:space="0" w:color="auto"/>
        <w:right w:val="none" w:sz="0" w:space="0" w:color="auto"/>
      </w:divBdr>
    </w:div>
    <w:div w:id="581137270">
      <w:bodyDiv w:val="1"/>
      <w:marLeft w:val="0"/>
      <w:marRight w:val="0"/>
      <w:marTop w:val="0"/>
      <w:marBottom w:val="0"/>
      <w:divBdr>
        <w:top w:val="none" w:sz="0" w:space="0" w:color="auto"/>
        <w:left w:val="none" w:sz="0" w:space="0" w:color="auto"/>
        <w:bottom w:val="none" w:sz="0" w:space="0" w:color="auto"/>
        <w:right w:val="none" w:sz="0" w:space="0" w:color="auto"/>
      </w:divBdr>
    </w:div>
    <w:div w:id="654794669">
      <w:bodyDiv w:val="1"/>
      <w:marLeft w:val="0"/>
      <w:marRight w:val="0"/>
      <w:marTop w:val="0"/>
      <w:marBottom w:val="0"/>
      <w:divBdr>
        <w:top w:val="none" w:sz="0" w:space="0" w:color="auto"/>
        <w:left w:val="none" w:sz="0" w:space="0" w:color="auto"/>
        <w:bottom w:val="none" w:sz="0" w:space="0" w:color="auto"/>
        <w:right w:val="none" w:sz="0" w:space="0" w:color="auto"/>
      </w:divBdr>
    </w:div>
    <w:div w:id="690299239">
      <w:bodyDiv w:val="1"/>
      <w:marLeft w:val="0"/>
      <w:marRight w:val="0"/>
      <w:marTop w:val="0"/>
      <w:marBottom w:val="0"/>
      <w:divBdr>
        <w:top w:val="none" w:sz="0" w:space="0" w:color="auto"/>
        <w:left w:val="none" w:sz="0" w:space="0" w:color="auto"/>
        <w:bottom w:val="none" w:sz="0" w:space="0" w:color="auto"/>
        <w:right w:val="none" w:sz="0" w:space="0" w:color="auto"/>
      </w:divBdr>
    </w:div>
    <w:div w:id="711659278">
      <w:bodyDiv w:val="1"/>
      <w:marLeft w:val="0"/>
      <w:marRight w:val="0"/>
      <w:marTop w:val="0"/>
      <w:marBottom w:val="0"/>
      <w:divBdr>
        <w:top w:val="none" w:sz="0" w:space="0" w:color="auto"/>
        <w:left w:val="none" w:sz="0" w:space="0" w:color="auto"/>
        <w:bottom w:val="none" w:sz="0" w:space="0" w:color="auto"/>
        <w:right w:val="none" w:sz="0" w:space="0" w:color="auto"/>
      </w:divBdr>
    </w:div>
    <w:div w:id="733166240">
      <w:bodyDiv w:val="1"/>
      <w:marLeft w:val="0"/>
      <w:marRight w:val="0"/>
      <w:marTop w:val="0"/>
      <w:marBottom w:val="0"/>
      <w:divBdr>
        <w:top w:val="none" w:sz="0" w:space="0" w:color="auto"/>
        <w:left w:val="none" w:sz="0" w:space="0" w:color="auto"/>
        <w:bottom w:val="none" w:sz="0" w:space="0" w:color="auto"/>
        <w:right w:val="none" w:sz="0" w:space="0" w:color="auto"/>
      </w:divBdr>
    </w:div>
    <w:div w:id="737872430">
      <w:bodyDiv w:val="1"/>
      <w:marLeft w:val="0"/>
      <w:marRight w:val="0"/>
      <w:marTop w:val="0"/>
      <w:marBottom w:val="0"/>
      <w:divBdr>
        <w:top w:val="none" w:sz="0" w:space="0" w:color="auto"/>
        <w:left w:val="none" w:sz="0" w:space="0" w:color="auto"/>
        <w:bottom w:val="none" w:sz="0" w:space="0" w:color="auto"/>
        <w:right w:val="none" w:sz="0" w:space="0" w:color="auto"/>
      </w:divBdr>
    </w:div>
    <w:div w:id="794131434">
      <w:bodyDiv w:val="1"/>
      <w:marLeft w:val="0"/>
      <w:marRight w:val="0"/>
      <w:marTop w:val="0"/>
      <w:marBottom w:val="0"/>
      <w:divBdr>
        <w:top w:val="none" w:sz="0" w:space="0" w:color="auto"/>
        <w:left w:val="none" w:sz="0" w:space="0" w:color="auto"/>
        <w:bottom w:val="none" w:sz="0" w:space="0" w:color="auto"/>
        <w:right w:val="none" w:sz="0" w:space="0" w:color="auto"/>
      </w:divBdr>
    </w:div>
    <w:div w:id="798694517">
      <w:bodyDiv w:val="1"/>
      <w:marLeft w:val="0"/>
      <w:marRight w:val="0"/>
      <w:marTop w:val="0"/>
      <w:marBottom w:val="0"/>
      <w:divBdr>
        <w:top w:val="none" w:sz="0" w:space="0" w:color="auto"/>
        <w:left w:val="none" w:sz="0" w:space="0" w:color="auto"/>
        <w:bottom w:val="none" w:sz="0" w:space="0" w:color="auto"/>
        <w:right w:val="none" w:sz="0" w:space="0" w:color="auto"/>
      </w:divBdr>
    </w:div>
    <w:div w:id="800273590">
      <w:bodyDiv w:val="1"/>
      <w:marLeft w:val="0"/>
      <w:marRight w:val="0"/>
      <w:marTop w:val="0"/>
      <w:marBottom w:val="0"/>
      <w:divBdr>
        <w:top w:val="none" w:sz="0" w:space="0" w:color="auto"/>
        <w:left w:val="none" w:sz="0" w:space="0" w:color="auto"/>
        <w:bottom w:val="none" w:sz="0" w:space="0" w:color="auto"/>
        <w:right w:val="none" w:sz="0" w:space="0" w:color="auto"/>
      </w:divBdr>
    </w:div>
    <w:div w:id="829061391">
      <w:bodyDiv w:val="1"/>
      <w:marLeft w:val="0"/>
      <w:marRight w:val="0"/>
      <w:marTop w:val="0"/>
      <w:marBottom w:val="0"/>
      <w:divBdr>
        <w:top w:val="none" w:sz="0" w:space="0" w:color="auto"/>
        <w:left w:val="none" w:sz="0" w:space="0" w:color="auto"/>
        <w:bottom w:val="none" w:sz="0" w:space="0" w:color="auto"/>
        <w:right w:val="none" w:sz="0" w:space="0" w:color="auto"/>
      </w:divBdr>
    </w:div>
    <w:div w:id="831143951">
      <w:bodyDiv w:val="1"/>
      <w:marLeft w:val="0"/>
      <w:marRight w:val="0"/>
      <w:marTop w:val="0"/>
      <w:marBottom w:val="0"/>
      <w:divBdr>
        <w:top w:val="none" w:sz="0" w:space="0" w:color="auto"/>
        <w:left w:val="none" w:sz="0" w:space="0" w:color="auto"/>
        <w:bottom w:val="none" w:sz="0" w:space="0" w:color="auto"/>
        <w:right w:val="none" w:sz="0" w:space="0" w:color="auto"/>
      </w:divBdr>
    </w:div>
    <w:div w:id="845051415">
      <w:bodyDiv w:val="1"/>
      <w:marLeft w:val="0"/>
      <w:marRight w:val="0"/>
      <w:marTop w:val="0"/>
      <w:marBottom w:val="0"/>
      <w:divBdr>
        <w:top w:val="none" w:sz="0" w:space="0" w:color="auto"/>
        <w:left w:val="none" w:sz="0" w:space="0" w:color="auto"/>
        <w:bottom w:val="none" w:sz="0" w:space="0" w:color="auto"/>
        <w:right w:val="none" w:sz="0" w:space="0" w:color="auto"/>
      </w:divBdr>
    </w:div>
    <w:div w:id="847520667">
      <w:bodyDiv w:val="1"/>
      <w:marLeft w:val="0"/>
      <w:marRight w:val="0"/>
      <w:marTop w:val="0"/>
      <w:marBottom w:val="0"/>
      <w:divBdr>
        <w:top w:val="none" w:sz="0" w:space="0" w:color="auto"/>
        <w:left w:val="none" w:sz="0" w:space="0" w:color="auto"/>
        <w:bottom w:val="none" w:sz="0" w:space="0" w:color="auto"/>
        <w:right w:val="none" w:sz="0" w:space="0" w:color="auto"/>
      </w:divBdr>
    </w:div>
    <w:div w:id="849830605">
      <w:bodyDiv w:val="1"/>
      <w:marLeft w:val="0"/>
      <w:marRight w:val="0"/>
      <w:marTop w:val="0"/>
      <w:marBottom w:val="0"/>
      <w:divBdr>
        <w:top w:val="none" w:sz="0" w:space="0" w:color="auto"/>
        <w:left w:val="none" w:sz="0" w:space="0" w:color="auto"/>
        <w:bottom w:val="none" w:sz="0" w:space="0" w:color="auto"/>
        <w:right w:val="none" w:sz="0" w:space="0" w:color="auto"/>
      </w:divBdr>
    </w:div>
    <w:div w:id="853805995">
      <w:bodyDiv w:val="1"/>
      <w:marLeft w:val="0"/>
      <w:marRight w:val="0"/>
      <w:marTop w:val="0"/>
      <w:marBottom w:val="0"/>
      <w:divBdr>
        <w:top w:val="none" w:sz="0" w:space="0" w:color="auto"/>
        <w:left w:val="none" w:sz="0" w:space="0" w:color="auto"/>
        <w:bottom w:val="none" w:sz="0" w:space="0" w:color="auto"/>
        <w:right w:val="none" w:sz="0" w:space="0" w:color="auto"/>
      </w:divBdr>
    </w:div>
    <w:div w:id="870529449">
      <w:bodyDiv w:val="1"/>
      <w:marLeft w:val="0"/>
      <w:marRight w:val="0"/>
      <w:marTop w:val="0"/>
      <w:marBottom w:val="0"/>
      <w:divBdr>
        <w:top w:val="none" w:sz="0" w:space="0" w:color="auto"/>
        <w:left w:val="none" w:sz="0" w:space="0" w:color="auto"/>
        <w:bottom w:val="none" w:sz="0" w:space="0" w:color="auto"/>
        <w:right w:val="none" w:sz="0" w:space="0" w:color="auto"/>
      </w:divBdr>
    </w:div>
    <w:div w:id="874807040">
      <w:bodyDiv w:val="1"/>
      <w:marLeft w:val="0"/>
      <w:marRight w:val="0"/>
      <w:marTop w:val="0"/>
      <w:marBottom w:val="0"/>
      <w:divBdr>
        <w:top w:val="none" w:sz="0" w:space="0" w:color="auto"/>
        <w:left w:val="none" w:sz="0" w:space="0" w:color="auto"/>
        <w:bottom w:val="none" w:sz="0" w:space="0" w:color="auto"/>
        <w:right w:val="none" w:sz="0" w:space="0" w:color="auto"/>
      </w:divBdr>
    </w:div>
    <w:div w:id="878779210">
      <w:bodyDiv w:val="1"/>
      <w:marLeft w:val="0"/>
      <w:marRight w:val="0"/>
      <w:marTop w:val="0"/>
      <w:marBottom w:val="0"/>
      <w:divBdr>
        <w:top w:val="none" w:sz="0" w:space="0" w:color="auto"/>
        <w:left w:val="none" w:sz="0" w:space="0" w:color="auto"/>
        <w:bottom w:val="none" w:sz="0" w:space="0" w:color="auto"/>
        <w:right w:val="none" w:sz="0" w:space="0" w:color="auto"/>
      </w:divBdr>
    </w:div>
    <w:div w:id="897477791">
      <w:bodyDiv w:val="1"/>
      <w:marLeft w:val="0"/>
      <w:marRight w:val="0"/>
      <w:marTop w:val="0"/>
      <w:marBottom w:val="0"/>
      <w:divBdr>
        <w:top w:val="none" w:sz="0" w:space="0" w:color="auto"/>
        <w:left w:val="none" w:sz="0" w:space="0" w:color="auto"/>
        <w:bottom w:val="none" w:sz="0" w:space="0" w:color="auto"/>
        <w:right w:val="none" w:sz="0" w:space="0" w:color="auto"/>
      </w:divBdr>
    </w:div>
    <w:div w:id="905383278">
      <w:bodyDiv w:val="1"/>
      <w:marLeft w:val="0"/>
      <w:marRight w:val="0"/>
      <w:marTop w:val="0"/>
      <w:marBottom w:val="0"/>
      <w:divBdr>
        <w:top w:val="none" w:sz="0" w:space="0" w:color="auto"/>
        <w:left w:val="none" w:sz="0" w:space="0" w:color="auto"/>
        <w:bottom w:val="none" w:sz="0" w:space="0" w:color="auto"/>
        <w:right w:val="none" w:sz="0" w:space="0" w:color="auto"/>
      </w:divBdr>
    </w:div>
    <w:div w:id="922958565">
      <w:bodyDiv w:val="1"/>
      <w:marLeft w:val="0"/>
      <w:marRight w:val="0"/>
      <w:marTop w:val="0"/>
      <w:marBottom w:val="0"/>
      <w:divBdr>
        <w:top w:val="none" w:sz="0" w:space="0" w:color="auto"/>
        <w:left w:val="none" w:sz="0" w:space="0" w:color="auto"/>
        <w:bottom w:val="none" w:sz="0" w:space="0" w:color="auto"/>
        <w:right w:val="none" w:sz="0" w:space="0" w:color="auto"/>
      </w:divBdr>
    </w:div>
    <w:div w:id="951519674">
      <w:bodyDiv w:val="1"/>
      <w:marLeft w:val="0"/>
      <w:marRight w:val="0"/>
      <w:marTop w:val="0"/>
      <w:marBottom w:val="0"/>
      <w:divBdr>
        <w:top w:val="none" w:sz="0" w:space="0" w:color="auto"/>
        <w:left w:val="none" w:sz="0" w:space="0" w:color="auto"/>
        <w:bottom w:val="none" w:sz="0" w:space="0" w:color="auto"/>
        <w:right w:val="none" w:sz="0" w:space="0" w:color="auto"/>
      </w:divBdr>
    </w:div>
    <w:div w:id="966668868">
      <w:bodyDiv w:val="1"/>
      <w:marLeft w:val="0"/>
      <w:marRight w:val="0"/>
      <w:marTop w:val="0"/>
      <w:marBottom w:val="0"/>
      <w:divBdr>
        <w:top w:val="none" w:sz="0" w:space="0" w:color="auto"/>
        <w:left w:val="none" w:sz="0" w:space="0" w:color="auto"/>
        <w:bottom w:val="none" w:sz="0" w:space="0" w:color="auto"/>
        <w:right w:val="none" w:sz="0" w:space="0" w:color="auto"/>
      </w:divBdr>
    </w:div>
    <w:div w:id="981346936">
      <w:bodyDiv w:val="1"/>
      <w:marLeft w:val="0"/>
      <w:marRight w:val="0"/>
      <w:marTop w:val="0"/>
      <w:marBottom w:val="0"/>
      <w:divBdr>
        <w:top w:val="none" w:sz="0" w:space="0" w:color="auto"/>
        <w:left w:val="none" w:sz="0" w:space="0" w:color="auto"/>
        <w:bottom w:val="none" w:sz="0" w:space="0" w:color="auto"/>
        <w:right w:val="none" w:sz="0" w:space="0" w:color="auto"/>
      </w:divBdr>
    </w:div>
    <w:div w:id="991328902">
      <w:bodyDiv w:val="1"/>
      <w:marLeft w:val="0"/>
      <w:marRight w:val="0"/>
      <w:marTop w:val="0"/>
      <w:marBottom w:val="0"/>
      <w:divBdr>
        <w:top w:val="none" w:sz="0" w:space="0" w:color="auto"/>
        <w:left w:val="none" w:sz="0" w:space="0" w:color="auto"/>
        <w:bottom w:val="none" w:sz="0" w:space="0" w:color="auto"/>
        <w:right w:val="none" w:sz="0" w:space="0" w:color="auto"/>
      </w:divBdr>
    </w:div>
    <w:div w:id="994380636">
      <w:bodyDiv w:val="1"/>
      <w:marLeft w:val="0"/>
      <w:marRight w:val="0"/>
      <w:marTop w:val="0"/>
      <w:marBottom w:val="0"/>
      <w:divBdr>
        <w:top w:val="none" w:sz="0" w:space="0" w:color="auto"/>
        <w:left w:val="none" w:sz="0" w:space="0" w:color="auto"/>
        <w:bottom w:val="none" w:sz="0" w:space="0" w:color="auto"/>
        <w:right w:val="none" w:sz="0" w:space="0" w:color="auto"/>
      </w:divBdr>
    </w:div>
    <w:div w:id="995576334">
      <w:bodyDiv w:val="1"/>
      <w:marLeft w:val="0"/>
      <w:marRight w:val="0"/>
      <w:marTop w:val="0"/>
      <w:marBottom w:val="0"/>
      <w:divBdr>
        <w:top w:val="none" w:sz="0" w:space="0" w:color="auto"/>
        <w:left w:val="none" w:sz="0" w:space="0" w:color="auto"/>
        <w:bottom w:val="none" w:sz="0" w:space="0" w:color="auto"/>
        <w:right w:val="none" w:sz="0" w:space="0" w:color="auto"/>
      </w:divBdr>
    </w:div>
    <w:div w:id="1014110804">
      <w:bodyDiv w:val="1"/>
      <w:marLeft w:val="0"/>
      <w:marRight w:val="0"/>
      <w:marTop w:val="0"/>
      <w:marBottom w:val="0"/>
      <w:divBdr>
        <w:top w:val="none" w:sz="0" w:space="0" w:color="auto"/>
        <w:left w:val="none" w:sz="0" w:space="0" w:color="auto"/>
        <w:bottom w:val="none" w:sz="0" w:space="0" w:color="auto"/>
        <w:right w:val="none" w:sz="0" w:space="0" w:color="auto"/>
      </w:divBdr>
    </w:div>
    <w:div w:id="1019698787">
      <w:bodyDiv w:val="1"/>
      <w:marLeft w:val="0"/>
      <w:marRight w:val="0"/>
      <w:marTop w:val="0"/>
      <w:marBottom w:val="0"/>
      <w:divBdr>
        <w:top w:val="none" w:sz="0" w:space="0" w:color="auto"/>
        <w:left w:val="none" w:sz="0" w:space="0" w:color="auto"/>
        <w:bottom w:val="none" w:sz="0" w:space="0" w:color="auto"/>
        <w:right w:val="none" w:sz="0" w:space="0" w:color="auto"/>
      </w:divBdr>
    </w:div>
    <w:div w:id="1035615483">
      <w:bodyDiv w:val="1"/>
      <w:marLeft w:val="0"/>
      <w:marRight w:val="0"/>
      <w:marTop w:val="0"/>
      <w:marBottom w:val="0"/>
      <w:divBdr>
        <w:top w:val="none" w:sz="0" w:space="0" w:color="auto"/>
        <w:left w:val="none" w:sz="0" w:space="0" w:color="auto"/>
        <w:bottom w:val="none" w:sz="0" w:space="0" w:color="auto"/>
        <w:right w:val="none" w:sz="0" w:space="0" w:color="auto"/>
      </w:divBdr>
    </w:div>
    <w:div w:id="1048841211">
      <w:bodyDiv w:val="1"/>
      <w:marLeft w:val="0"/>
      <w:marRight w:val="0"/>
      <w:marTop w:val="0"/>
      <w:marBottom w:val="0"/>
      <w:divBdr>
        <w:top w:val="none" w:sz="0" w:space="0" w:color="auto"/>
        <w:left w:val="none" w:sz="0" w:space="0" w:color="auto"/>
        <w:bottom w:val="none" w:sz="0" w:space="0" w:color="auto"/>
        <w:right w:val="none" w:sz="0" w:space="0" w:color="auto"/>
      </w:divBdr>
    </w:div>
    <w:div w:id="1050039036">
      <w:bodyDiv w:val="1"/>
      <w:marLeft w:val="0"/>
      <w:marRight w:val="0"/>
      <w:marTop w:val="0"/>
      <w:marBottom w:val="0"/>
      <w:divBdr>
        <w:top w:val="none" w:sz="0" w:space="0" w:color="auto"/>
        <w:left w:val="none" w:sz="0" w:space="0" w:color="auto"/>
        <w:bottom w:val="none" w:sz="0" w:space="0" w:color="auto"/>
        <w:right w:val="none" w:sz="0" w:space="0" w:color="auto"/>
      </w:divBdr>
    </w:div>
    <w:div w:id="1063680296">
      <w:bodyDiv w:val="1"/>
      <w:marLeft w:val="0"/>
      <w:marRight w:val="0"/>
      <w:marTop w:val="0"/>
      <w:marBottom w:val="0"/>
      <w:divBdr>
        <w:top w:val="none" w:sz="0" w:space="0" w:color="auto"/>
        <w:left w:val="none" w:sz="0" w:space="0" w:color="auto"/>
        <w:bottom w:val="none" w:sz="0" w:space="0" w:color="auto"/>
        <w:right w:val="none" w:sz="0" w:space="0" w:color="auto"/>
      </w:divBdr>
    </w:div>
    <w:div w:id="1066537975">
      <w:bodyDiv w:val="1"/>
      <w:marLeft w:val="0"/>
      <w:marRight w:val="0"/>
      <w:marTop w:val="0"/>
      <w:marBottom w:val="0"/>
      <w:divBdr>
        <w:top w:val="none" w:sz="0" w:space="0" w:color="auto"/>
        <w:left w:val="none" w:sz="0" w:space="0" w:color="auto"/>
        <w:bottom w:val="none" w:sz="0" w:space="0" w:color="auto"/>
        <w:right w:val="none" w:sz="0" w:space="0" w:color="auto"/>
      </w:divBdr>
    </w:div>
    <w:div w:id="1079790192">
      <w:bodyDiv w:val="1"/>
      <w:marLeft w:val="0"/>
      <w:marRight w:val="0"/>
      <w:marTop w:val="0"/>
      <w:marBottom w:val="0"/>
      <w:divBdr>
        <w:top w:val="none" w:sz="0" w:space="0" w:color="auto"/>
        <w:left w:val="none" w:sz="0" w:space="0" w:color="auto"/>
        <w:bottom w:val="none" w:sz="0" w:space="0" w:color="auto"/>
        <w:right w:val="none" w:sz="0" w:space="0" w:color="auto"/>
      </w:divBdr>
    </w:div>
    <w:div w:id="1114638256">
      <w:bodyDiv w:val="1"/>
      <w:marLeft w:val="0"/>
      <w:marRight w:val="0"/>
      <w:marTop w:val="0"/>
      <w:marBottom w:val="0"/>
      <w:divBdr>
        <w:top w:val="none" w:sz="0" w:space="0" w:color="auto"/>
        <w:left w:val="none" w:sz="0" w:space="0" w:color="auto"/>
        <w:bottom w:val="none" w:sz="0" w:space="0" w:color="auto"/>
        <w:right w:val="none" w:sz="0" w:space="0" w:color="auto"/>
      </w:divBdr>
    </w:div>
    <w:div w:id="1119182446">
      <w:bodyDiv w:val="1"/>
      <w:marLeft w:val="0"/>
      <w:marRight w:val="0"/>
      <w:marTop w:val="0"/>
      <w:marBottom w:val="0"/>
      <w:divBdr>
        <w:top w:val="none" w:sz="0" w:space="0" w:color="auto"/>
        <w:left w:val="none" w:sz="0" w:space="0" w:color="auto"/>
        <w:bottom w:val="none" w:sz="0" w:space="0" w:color="auto"/>
        <w:right w:val="none" w:sz="0" w:space="0" w:color="auto"/>
      </w:divBdr>
    </w:div>
    <w:div w:id="1121413815">
      <w:bodyDiv w:val="1"/>
      <w:marLeft w:val="0"/>
      <w:marRight w:val="0"/>
      <w:marTop w:val="0"/>
      <w:marBottom w:val="0"/>
      <w:divBdr>
        <w:top w:val="none" w:sz="0" w:space="0" w:color="auto"/>
        <w:left w:val="none" w:sz="0" w:space="0" w:color="auto"/>
        <w:bottom w:val="none" w:sz="0" w:space="0" w:color="auto"/>
        <w:right w:val="none" w:sz="0" w:space="0" w:color="auto"/>
      </w:divBdr>
    </w:div>
    <w:div w:id="1129082612">
      <w:bodyDiv w:val="1"/>
      <w:marLeft w:val="0"/>
      <w:marRight w:val="0"/>
      <w:marTop w:val="0"/>
      <w:marBottom w:val="0"/>
      <w:divBdr>
        <w:top w:val="none" w:sz="0" w:space="0" w:color="auto"/>
        <w:left w:val="none" w:sz="0" w:space="0" w:color="auto"/>
        <w:bottom w:val="none" w:sz="0" w:space="0" w:color="auto"/>
        <w:right w:val="none" w:sz="0" w:space="0" w:color="auto"/>
      </w:divBdr>
    </w:div>
    <w:div w:id="1141577429">
      <w:bodyDiv w:val="1"/>
      <w:marLeft w:val="0"/>
      <w:marRight w:val="0"/>
      <w:marTop w:val="0"/>
      <w:marBottom w:val="0"/>
      <w:divBdr>
        <w:top w:val="none" w:sz="0" w:space="0" w:color="auto"/>
        <w:left w:val="none" w:sz="0" w:space="0" w:color="auto"/>
        <w:bottom w:val="none" w:sz="0" w:space="0" w:color="auto"/>
        <w:right w:val="none" w:sz="0" w:space="0" w:color="auto"/>
      </w:divBdr>
    </w:div>
    <w:div w:id="1152452341">
      <w:bodyDiv w:val="1"/>
      <w:marLeft w:val="0"/>
      <w:marRight w:val="0"/>
      <w:marTop w:val="0"/>
      <w:marBottom w:val="0"/>
      <w:divBdr>
        <w:top w:val="none" w:sz="0" w:space="0" w:color="auto"/>
        <w:left w:val="none" w:sz="0" w:space="0" w:color="auto"/>
        <w:bottom w:val="none" w:sz="0" w:space="0" w:color="auto"/>
        <w:right w:val="none" w:sz="0" w:space="0" w:color="auto"/>
      </w:divBdr>
    </w:div>
    <w:div w:id="1153566159">
      <w:bodyDiv w:val="1"/>
      <w:marLeft w:val="0"/>
      <w:marRight w:val="0"/>
      <w:marTop w:val="0"/>
      <w:marBottom w:val="0"/>
      <w:divBdr>
        <w:top w:val="none" w:sz="0" w:space="0" w:color="auto"/>
        <w:left w:val="none" w:sz="0" w:space="0" w:color="auto"/>
        <w:bottom w:val="none" w:sz="0" w:space="0" w:color="auto"/>
        <w:right w:val="none" w:sz="0" w:space="0" w:color="auto"/>
      </w:divBdr>
    </w:div>
    <w:div w:id="1157499503">
      <w:bodyDiv w:val="1"/>
      <w:marLeft w:val="0"/>
      <w:marRight w:val="0"/>
      <w:marTop w:val="0"/>
      <w:marBottom w:val="0"/>
      <w:divBdr>
        <w:top w:val="none" w:sz="0" w:space="0" w:color="auto"/>
        <w:left w:val="none" w:sz="0" w:space="0" w:color="auto"/>
        <w:bottom w:val="none" w:sz="0" w:space="0" w:color="auto"/>
        <w:right w:val="none" w:sz="0" w:space="0" w:color="auto"/>
      </w:divBdr>
    </w:div>
    <w:div w:id="1159690097">
      <w:bodyDiv w:val="1"/>
      <w:marLeft w:val="0"/>
      <w:marRight w:val="0"/>
      <w:marTop w:val="0"/>
      <w:marBottom w:val="0"/>
      <w:divBdr>
        <w:top w:val="none" w:sz="0" w:space="0" w:color="auto"/>
        <w:left w:val="none" w:sz="0" w:space="0" w:color="auto"/>
        <w:bottom w:val="none" w:sz="0" w:space="0" w:color="auto"/>
        <w:right w:val="none" w:sz="0" w:space="0" w:color="auto"/>
      </w:divBdr>
    </w:div>
    <w:div w:id="1162815547">
      <w:bodyDiv w:val="1"/>
      <w:marLeft w:val="0"/>
      <w:marRight w:val="0"/>
      <w:marTop w:val="0"/>
      <w:marBottom w:val="0"/>
      <w:divBdr>
        <w:top w:val="none" w:sz="0" w:space="0" w:color="auto"/>
        <w:left w:val="none" w:sz="0" w:space="0" w:color="auto"/>
        <w:bottom w:val="none" w:sz="0" w:space="0" w:color="auto"/>
        <w:right w:val="none" w:sz="0" w:space="0" w:color="auto"/>
      </w:divBdr>
    </w:div>
    <w:div w:id="1195072560">
      <w:bodyDiv w:val="1"/>
      <w:marLeft w:val="0"/>
      <w:marRight w:val="0"/>
      <w:marTop w:val="0"/>
      <w:marBottom w:val="0"/>
      <w:divBdr>
        <w:top w:val="none" w:sz="0" w:space="0" w:color="auto"/>
        <w:left w:val="none" w:sz="0" w:space="0" w:color="auto"/>
        <w:bottom w:val="none" w:sz="0" w:space="0" w:color="auto"/>
        <w:right w:val="none" w:sz="0" w:space="0" w:color="auto"/>
      </w:divBdr>
    </w:div>
    <w:div w:id="1204174077">
      <w:bodyDiv w:val="1"/>
      <w:marLeft w:val="0"/>
      <w:marRight w:val="0"/>
      <w:marTop w:val="0"/>
      <w:marBottom w:val="0"/>
      <w:divBdr>
        <w:top w:val="none" w:sz="0" w:space="0" w:color="auto"/>
        <w:left w:val="none" w:sz="0" w:space="0" w:color="auto"/>
        <w:bottom w:val="none" w:sz="0" w:space="0" w:color="auto"/>
        <w:right w:val="none" w:sz="0" w:space="0" w:color="auto"/>
      </w:divBdr>
    </w:div>
    <w:div w:id="1214193325">
      <w:bodyDiv w:val="1"/>
      <w:marLeft w:val="0"/>
      <w:marRight w:val="0"/>
      <w:marTop w:val="0"/>
      <w:marBottom w:val="0"/>
      <w:divBdr>
        <w:top w:val="none" w:sz="0" w:space="0" w:color="auto"/>
        <w:left w:val="none" w:sz="0" w:space="0" w:color="auto"/>
        <w:bottom w:val="none" w:sz="0" w:space="0" w:color="auto"/>
        <w:right w:val="none" w:sz="0" w:space="0" w:color="auto"/>
      </w:divBdr>
    </w:div>
    <w:div w:id="1214391204">
      <w:bodyDiv w:val="1"/>
      <w:marLeft w:val="0"/>
      <w:marRight w:val="0"/>
      <w:marTop w:val="0"/>
      <w:marBottom w:val="0"/>
      <w:divBdr>
        <w:top w:val="none" w:sz="0" w:space="0" w:color="auto"/>
        <w:left w:val="none" w:sz="0" w:space="0" w:color="auto"/>
        <w:bottom w:val="none" w:sz="0" w:space="0" w:color="auto"/>
        <w:right w:val="none" w:sz="0" w:space="0" w:color="auto"/>
      </w:divBdr>
    </w:div>
    <w:div w:id="1220509603">
      <w:bodyDiv w:val="1"/>
      <w:marLeft w:val="0"/>
      <w:marRight w:val="0"/>
      <w:marTop w:val="0"/>
      <w:marBottom w:val="0"/>
      <w:divBdr>
        <w:top w:val="none" w:sz="0" w:space="0" w:color="auto"/>
        <w:left w:val="none" w:sz="0" w:space="0" w:color="auto"/>
        <w:bottom w:val="none" w:sz="0" w:space="0" w:color="auto"/>
        <w:right w:val="none" w:sz="0" w:space="0" w:color="auto"/>
      </w:divBdr>
    </w:div>
    <w:div w:id="1222908376">
      <w:bodyDiv w:val="1"/>
      <w:marLeft w:val="0"/>
      <w:marRight w:val="0"/>
      <w:marTop w:val="0"/>
      <w:marBottom w:val="0"/>
      <w:divBdr>
        <w:top w:val="none" w:sz="0" w:space="0" w:color="auto"/>
        <w:left w:val="none" w:sz="0" w:space="0" w:color="auto"/>
        <w:bottom w:val="none" w:sz="0" w:space="0" w:color="auto"/>
        <w:right w:val="none" w:sz="0" w:space="0" w:color="auto"/>
      </w:divBdr>
    </w:div>
    <w:div w:id="1255745028">
      <w:bodyDiv w:val="1"/>
      <w:marLeft w:val="0"/>
      <w:marRight w:val="0"/>
      <w:marTop w:val="0"/>
      <w:marBottom w:val="0"/>
      <w:divBdr>
        <w:top w:val="none" w:sz="0" w:space="0" w:color="auto"/>
        <w:left w:val="none" w:sz="0" w:space="0" w:color="auto"/>
        <w:bottom w:val="none" w:sz="0" w:space="0" w:color="auto"/>
        <w:right w:val="none" w:sz="0" w:space="0" w:color="auto"/>
      </w:divBdr>
    </w:div>
    <w:div w:id="1258102471">
      <w:bodyDiv w:val="1"/>
      <w:marLeft w:val="0"/>
      <w:marRight w:val="0"/>
      <w:marTop w:val="0"/>
      <w:marBottom w:val="0"/>
      <w:divBdr>
        <w:top w:val="none" w:sz="0" w:space="0" w:color="auto"/>
        <w:left w:val="none" w:sz="0" w:space="0" w:color="auto"/>
        <w:bottom w:val="none" w:sz="0" w:space="0" w:color="auto"/>
        <w:right w:val="none" w:sz="0" w:space="0" w:color="auto"/>
      </w:divBdr>
    </w:div>
    <w:div w:id="1269435048">
      <w:bodyDiv w:val="1"/>
      <w:marLeft w:val="0"/>
      <w:marRight w:val="0"/>
      <w:marTop w:val="0"/>
      <w:marBottom w:val="0"/>
      <w:divBdr>
        <w:top w:val="none" w:sz="0" w:space="0" w:color="auto"/>
        <w:left w:val="none" w:sz="0" w:space="0" w:color="auto"/>
        <w:bottom w:val="none" w:sz="0" w:space="0" w:color="auto"/>
        <w:right w:val="none" w:sz="0" w:space="0" w:color="auto"/>
      </w:divBdr>
    </w:div>
    <w:div w:id="1285817898">
      <w:bodyDiv w:val="1"/>
      <w:marLeft w:val="0"/>
      <w:marRight w:val="0"/>
      <w:marTop w:val="0"/>
      <w:marBottom w:val="0"/>
      <w:divBdr>
        <w:top w:val="none" w:sz="0" w:space="0" w:color="auto"/>
        <w:left w:val="none" w:sz="0" w:space="0" w:color="auto"/>
        <w:bottom w:val="none" w:sz="0" w:space="0" w:color="auto"/>
        <w:right w:val="none" w:sz="0" w:space="0" w:color="auto"/>
      </w:divBdr>
    </w:div>
    <w:div w:id="1291014399">
      <w:bodyDiv w:val="1"/>
      <w:marLeft w:val="0"/>
      <w:marRight w:val="0"/>
      <w:marTop w:val="0"/>
      <w:marBottom w:val="0"/>
      <w:divBdr>
        <w:top w:val="none" w:sz="0" w:space="0" w:color="auto"/>
        <w:left w:val="none" w:sz="0" w:space="0" w:color="auto"/>
        <w:bottom w:val="none" w:sz="0" w:space="0" w:color="auto"/>
        <w:right w:val="none" w:sz="0" w:space="0" w:color="auto"/>
      </w:divBdr>
    </w:div>
    <w:div w:id="1298609305">
      <w:bodyDiv w:val="1"/>
      <w:marLeft w:val="0"/>
      <w:marRight w:val="0"/>
      <w:marTop w:val="0"/>
      <w:marBottom w:val="0"/>
      <w:divBdr>
        <w:top w:val="none" w:sz="0" w:space="0" w:color="auto"/>
        <w:left w:val="none" w:sz="0" w:space="0" w:color="auto"/>
        <w:bottom w:val="none" w:sz="0" w:space="0" w:color="auto"/>
        <w:right w:val="none" w:sz="0" w:space="0" w:color="auto"/>
      </w:divBdr>
    </w:div>
    <w:div w:id="1338339560">
      <w:bodyDiv w:val="1"/>
      <w:marLeft w:val="0"/>
      <w:marRight w:val="0"/>
      <w:marTop w:val="0"/>
      <w:marBottom w:val="0"/>
      <w:divBdr>
        <w:top w:val="none" w:sz="0" w:space="0" w:color="auto"/>
        <w:left w:val="none" w:sz="0" w:space="0" w:color="auto"/>
        <w:bottom w:val="none" w:sz="0" w:space="0" w:color="auto"/>
        <w:right w:val="none" w:sz="0" w:space="0" w:color="auto"/>
      </w:divBdr>
    </w:div>
    <w:div w:id="1350793344">
      <w:bodyDiv w:val="1"/>
      <w:marLeft w:val="0"/>
      <w:marRight w:val="0"/>
      <w:marTop w:val="0"/>
      <w:marBottom w:val="0"/>
      <w:divBdr>
        <w:top w:val="none" w:sz="0" w:space="0" w:color="auto"/>
        <w:left w:val="none" w:sz="0" w:space="0" w:color="auto"/>
        <w:bottom w:val="none" w:sz="0" w:space="0" w:color="auto"/>
        <w:right w:val="none" w:sz="0" w:space="0" w:color="auto"/>
      </w:divBdr>
    </w:div>
    <w:div w:id="1422988014">
      <w:bodyDiv w:val="1"/>
      <w:marLeft w:val="0"/>
      <w:marRight w:val="0"/>
      <w:marTop w:val="0"/>
      <w:marBottom w:val="0"/>
      <w:divBdr>
        <w:top w:val="none" w:sz="0" w:space="0" w:color="auto"/>
        <w:left w:val="none" w:sz="0" w:space="0" w:color="auto"/>
        <w:bottom w:val="none" w:sz="0" w:space="0" w:color="auto"/>
        <w:right w:val="none" w:sz="0" w:space="0" w:color="auto"/>
      </w:divBdr>
    </w:div>
    <w:div w:id="1440224644">
      <w:bodyDiv w:val="1"/>
      <w:marLeft w:val="0"/>
      <w:marRight w:val="0"/>
      <w:marTop w:val="0"/>
      <w:marBottom w:val="0"/>
      <w:divBdr>
        <w:top w:val="none" w:sz="0" w:space="0" w:color="auto"/>
        <w:left w:val="none" w:sz="0" w:space="0" w:color="auto"/>
        <w:bottom w:val="none" w:sz="0" w:space="0" w:color="auto"/>
        <w:right w:val="none" w:sz="0" w:space="0" w:color="auto"/>
      </w:divBdr>
    </w:div>
    <w:div w:id="1444690484">
      <w:bodyDiv w:val="1"/>
      <w:marLeft w:val="0"/>
      <w:marRight w:val="0"/>
      <w:marTop w:val="0"/>
      <w:marBottom w:val="0"/>
      <w:divBdr>
        <w:top w:val="none" w:sz="0" w:space="0" w:color="auto"/>
        <w:left w:val="none" w:sz="0" w:space="0" w:color="auto"/>
        <w:bottom w:val="none" w:sz="0" w:space="0" w:color="auto"/>
        <w:right w:val="none" w:sz="0" w:space="0" w:color="auto"/>
      </w:divBdr>
    </w:div>
    <w:div w:id="1458445937">
      <w:bodyDiv w:val="1"/>
      <w:marLeft w:val="0"/>
      <w:marRight w:val="0"/>
      <w:marTop w:val="0"/>
      <w:marBottom w:val="0"/>
      <w:divBdr>
        <w:top w:val="none" w:sz="0" w:space="0" w:color="auto"/>
        <w:left w:val="none" w:sz="0" w:space="0" w:color="auto"/>
        <w:bottom w:val="none" w:sz="0" w:space="0" w:color="auto"/>
        <w:right w:val="none" w:sz="0" w:space="0" w:color="auto"/>
      </w:divBdr>
    </w:div>
    <w:div w:id="1474368758">
      <w:bodyDiv w:val="1"/>
      <w:marLeft w:val="0"/>
      <w:marRight w:val="0"/>
      <w:marTop w:val="0"/>
      <w:marBottom w:val="0"/>
      <w:divBdr>
        <w:top w:val="none" w:sz="0" w:space="0" w:color="auto"/>
        <w:left w:val="none" w:sz="0" w:space="0" w:color="auto"/>
        <w:bottom w:val="none" w:sz="0" w:space="0" w:color="auto"/>
        <w:right w:val="none" w:sz="0" w:space="0" w:color="auto"/>
      </w:divBdr>
    </w:div>
    <w:div w:id="1487015212">
      <w:bodyDiv w:val="1"/>
      <w:marLeft w:val="0"/>
      <w:marRight w:val="0"/>
      <w:marTop w:val="0"/>
      <w:marBottom w:val="0"/>
      <w:divBdr>
        <w:top w:val="none" w:sz="0" w:space="0" w:color="auto"/>
        <w:left w:val="none" w:sz="0" w:space="0" w:color="auto"/>
        <w:bottom w:val="none" w:sz="0" w:space="0" w:color="auto"/>
        <w:right w:val="none" w:sz="0" w:space="0" w:color="auto"/>
      </w:divBdr>
    </w:div>
    <w:div w:id="1496533796">
      <w:bodyDiv w:val="1"/>
      <w:marLeft w:val="0"/>
      <w:marRight w:val="0"/>
      <w:marTop w:val="0"/>
      <w:marBottom w:val="0"/>
      <w:divBdr>
        <w:top w:val="none" w:sz="0" w:space="0" w:color="auto"/>
        <w:left w:val="none" w:sz="0" w:space="0" w:color="auto"/>
        <w:bottom w:val="none" w:sz="0" w:space="0" w:color="auto"/>
        <w:right w:val="none" w:sz="0" w:space="0" w:color="auto"/>
      </w:divBdr>
    </w:div>
    <w:div w:id="1509444724">
      <w:bodyDiv w:val="1"/>
      <w:marLeft w:val="0"/>
      <w:marRight w:val="0"/>
      <w:marTop w:val="0"/>
      <w:marBottom w:val="0"/>
      <w:divBdr>
        <w:top w:val="none" w:sz="0" w:space="0" w:color="auto"/>
        <w:left w:val="none" w:sz="0" w:space="0" w:color="auto"/>
        <w:bottom w:val="none" w:sz="0" w:space="0" w:color="auto"/>
        <w:right w:val="none" w:sz="0" w:space="0" w:color="auto"/>
      </w:divBdr>
    </w:div>
    <w:div w:id="1523975829">
      <w:bodyDiv w:val="1"/>
      <w:marLeft w:val="0"/>
      <w:marRight w:val="0"/>
      <w:marTop w:val="0"/>
      <w:marBottom w:val="0"/>
      <w:divBdr>
        <w:top w:val="none" w:sz="0" w:space="0" w:color="auto"/>
        <w:left w:val="none" w:sz="0" w:space="0" w:color="auto"/>
        <w:bottom w:val="none" w:sz="0" w:space="0" w:color="auto"/>
        <w:right w:val="none" w:sz="0" w:space="0" w:color="auto"/>
      </w:divBdr>
    </w:div>
    <w:div w:id="1532913325">
      <w:bodyDiv w:val="1"/>
      <w:marLeft w:val="0"/>
      <w:marRight w:val="0"/>
      <w:marTop w:val="0"/>
      <w:marBottom w:val="0"/>
      <w:divBdr>
        <w:top w:val="none" w:sz="0" w:space="0" w:color="auto"/>
        <w:left w:val="none" w:sz="0" w:space="0" w:color="auto"/>
        <w:bottom w:val="none" w:sz="0" w:space="0" w:color="auto"/>
        <w:right w:val="none" w:sz="0" w:space="0" w:color="auto"/>
      </w:divBdr>
    </w:div>
    <w:div w:id="1544563490">
      <w:bodyDiv w:val="1"/>
      <w:marLeft w:val="0"/>
      <w:marRight w:val="0"/>
      <w:marTop w:val="0"/>
      <w:marBottom w:val="0"/>
      <w:divBdr>
        <w:top w:val="none" w:sz="0" w:space="0" w:color="auto"/>
        <w:left w:val="none" w:sz="0" w:space="0" w:color="auto"/>
        <w:bottom w:val="none" w:sz="0" w:space="0" w:color="auto"/>
        <w:right w:val="none" w:sz="0" w:space="0" w:color="auto"/>
      </w:divBdr>
    </w:div>
    <w:div w:id="1548103077">
      <w:bodyDiv w:val="1"/>
      <w:marLeft w:val="0"/>
      <w:marRight w:val="0"/>
      <w:marTop w:val="0"/>
      <w:marBottom w:val="0"/>
      <w:divBdr>
        <w:top w:val="none" w:sz="0" w:space="0" w:color="auto"/>
        <w:left w:val="none" w:sz="0" w:space="0" w:color="auto"/>
        <w:bottom w:val="none" w:sz="0" w:space="0" w:color="auto"/>
        <w:right w:val="none" w:sz="0" w:space="0" w:color="auto"/>
      </w:divBdr>
    </w:div>
    <w:div w:id="1598830971">
      <w:bodyDiv w:val="1"/>
      <w:marLeft w:val="0"/>
      <w:marRight w:val="0"/>
      <w:marTop w:val="0"/>
      <w:marBottom w:val="0"/>
      <w:divBdr>
        <w:top w:val="none" w:sz="0" w:space="0" w:color="auto"/>
        <w:left w:val="none" w:sz="0" w:space="0" w:color="auto"/>
        <w:bottom w:val="none" w:sz="0" w:space="0" w:color="auto"/>
        <w:right w:val="none" w:sz="0" w:space="0" w:color="auto"/>
      </w:divBdr>
    </w:div>
    <w:div w:id="1642879368">
      <w:bodyDiv w:val="1"/>
      <w:marLeft w:val="0"/>
      <w:marRight w:val="0"/>
      <w:marTop w:val="0"/>
      <w:marBottom w:val="0"/>
      <w:divBdr>
        <w:top w:val="none" w:sz="0" w:space="0" w:color="auto"/>
        <w:left w:val="none" w:sz="0" w:space="0" w:color="auto"/>
        <w:bottom w:val="none" w:sz="0" w:space="0" w:color="auto"/>
        <w:right w:val="none" w:sz="0" w:space="0" w:color="auto"/>
      </w:divBdr>
    </w:div>
    <w:div w:id="1644508867">
      <w:bodyDiv w:val="1"/>
      <w:marLeft w:val="0"/>
      <w:marRight w:val="0"/>
      <w:marTop w:val="0"/>
      <w:marBottom w:val="0"/>
      <w:divBdr>
        <w:top w:val="none" w:sz="0" w:space="0" w:color="auto"/>
        <w:left w:val="none" w:sz="0" w:space="0" w:color="auto"/>
        <w:bottom w:val="none" w:sz="0" w:space="0" w:color="auto"/>
        <w:right w:val="none" w:sz="0" w:space="0" w:color="auto"/>
      </w:divBdr>
    </w:div>
    <w:div w:id="1652172079">
      <w:bodyDiv w:val="1"/>
      <w:marLeft w:val="0"/>
      <w:marRight w:val="0"/>
      <w:marTop w:val="0"/>
      <w:marBottom w:val="0"/>
      <w:divBdr>
        <w:top w:val="none" w:sz="0" w:space="0" w:color="auto"/>
        <w:left w:val="none" w:sz="0" w:space="0" w:color="auto"/>
        <w:bottom w:val="none" w:sz="0" w:space="0" w:color="auto"/>
        <w:right w:val="none" w:sz="0" w:space="0" w:color="auto"/>
      </w:divBdr>
    </w:div>
    <w:div w:id="1700009483">
      <w:bodyDiv w:val="1"/>
      <w:marLeft w:val="0"/>
      <w:marRight w:val="0"/>
      <w:marTop w:val="0"/>
      <w:marBottom w:val="0"/>
      <w:divBdr>
        <w:top w:val="none" w:sz="0" w:space="0" w:color="auto"/>
        <w:left w:val="none" w:sz="0" w:space="0" w:color="auto"/>
        <w:bottom w:val="none" w:sz="0" w:space="0" w:color="auto"/>
        <w:right w:val="none" w:sz="0" w:space="0" w:color="auto"/>
      </w:divBdr>
    </w:div>
    <w:div w:id="1739400491">
      <w:bodyDiv w:val="1"/>
      <w:marLeft w:val="0"/>
      <w:marRight w:val="0"/>
      <w:marTop w:val="0"/>
      <w:marBottom w:val="0"/>
      <w:divBdr>
        <w:top w:val="none" w:sz="0" w:space="0" w:color="auto"/>
        <w:left w:val="none" w:sz="0" w:space="0" w:color="auto"/>
        <w:bottom w:val="none" w:sz="0" w:space="0" w:color="auto"/>
        <w:right w:val="none" w:sz="0" w:space="0" w:color="auto"/>
      </w:divBdr>
    </w:div>
    <w:div w:id="1828474367">
      <w:bodyDiv w:val="1"/>
      <w:marLeft w:val="0"/>
      <w:marRight w:val="0"/>
      <w:marTop w:val="0"/>
      <w:marBottom w:val="0"/>
      <w:divBdr>
        <w:top w:val="none" w:sz="0" w:space="0" w:color="auto"/>
        <w:left w:val="none" w:sz="0" w:space="0" w:color="auto"/>
        <w:bottom w:val="none" w:sz="0" w:space="0" w:color="auto"/>
        <w:right w:val="none" w:sz="0" w:space="0" w:color="auto"/>
      </w:divBdr>
    </w:div>
    <w:div w:id="1837456945">
      <w:bodyDiv w:val="1"/>
      <w:marLeft w:val="0"/>
      <w:marRight w:val="0"/>
      <w:marTop w:val="0"/>
      <w:marBottom w:val="0"/>
      <w:divBdr>
        <w:top w:val="none" w:sz="0" w:space="0" w:color="auto"/>
        <w:left w:val="none" w:sz="0" w:space="0" w:color="auto"/>
        <w:bottom w:val="none" w:sz="0" w:space="0" w:color="auto"/>
        <w:right w:val="none" w:sz="0" w:space="0" w:color="auto"/>
      </w:divBdr>
    </w:div>
    <w:div w:id="1848783548">
      <w:bodyDiv w:val="1"/>
      <w:marLeft w:val="0"/>
      <w:marRight w:val="0"/>
      <w:marTop w:val="0"/>
      <w:marBottom w:val="0"/>
      <w:divBdr>
        <w:top w:val="none" w:sz="0" w:space="0" w:color="auto"/>
        <w:left w:val="none" w:sz="0" w:space="0" w:color="auto"/>
        <w:bottom w:val="none" w:sz="0" w:space="0" w:color="auto"/>
        <w:right w:val="none" w:sz="0" w:space="0" w:color="auto"/>
      </w:divBdr>
    </w:div>
    <w:div w:id="1871065027">
      <w:bodyDiv w:val="1"/>
      <w:marLeft w:val="0"/>
      <w:marRight w:val="0"/>
      <w:marTop w:val="0"/>
      <w:marBottom w:val="0"/>
      <w:divBdr>
        <w:top w:val="none" w:sz="0" w:space="0" w:color="auto"/>
        <w:left w:val="none" w:sz="0" w:space="0" w:color="auto"/>
        <w:bottom w:val="none" w:sz="0" w:space="0" w:color="auto"/>
        <w:right w:val="none" w:sz="0" w:space="0" w:color="auto"/>
      </w:divBdr>
    </w:div>
    <w:div w:id="1878589587">
      <w:bodyDiv w:val="1"/>
      <w:marLeft w:val="0"/>
      <w:marRight w:val="0"/>
      <w:marTop w:val="0"/>
      <w:marBottom w:val="0"/>
      <w:divBdr>
        <w:top w:val="none" w:sz="0" w:space="0" w:color="auto"/>
        <w:left w:val="none" w:sz="0" w:space="0" w:color="auto"/>
        <w:bottom w:val="none" w:sz="0" w:space="0" w:color="auto"/>
        <w:right w:val="none" w:sz="0" w:space="0" w:color="auto"/>
      </w:divBdr>
    </w:div>
    <w:div w:id="1920945319">
      <w:bodyDiv w:val="1"/>
      <w:marLeft w:val="0"/>
      <w:marRight w:val="0"/>
      <w:marTop w:val="0"/>
      <w:marBottom w:val="0"/>
      <w:divBdr>
        <w:top w:val="none" w:sz="0" w:space="0" w:color="auto"/>
        <w:left w:val="none" w:sz="0" w:space="0" w:color="auto"/>
        <w:bottom w:val="none" w:sz="0" w:space="0" w:color="auto"/>
        <w:right w:val="none" w:sz="0" w:space="0" w:color="auto"/>
      </w:divBdr>
    </w:div>
    <w:div w:id="1944342375">
      <w:bodyDiv w:val="1"/>
      <w:marLeft w:val="0"/>
      <w:marRight w:val="0"/>
      <w:marTop w:val="0"/>
      <w:marBottom w:val="0"/>
      <w:divBdr>
        <w:top w:val="none" w:sz="0" w:space="0" w:color="auto"/>
        <w:left w:val="none" w:sz="0" w:space="0" w:color="auto"/>
        <w:bottom w:val="none" w:sz="0" w:space="0" w:color="auto"/>
        <w:right w:val="none" w:sz="0" w:space="0" w:color="auto"/>
      </w:divBdr>
    </w:div>
    <w:div w:id="1951938143">
      <w:bodyDiv w:val="1"/>
      <w:marLeft w:val="0"/>
      <w:marRight w:val="0"/>
      <w:marTop w:val="0"/>
      <w:marBottom w:val="0"/>
      <w:divBdr>
        <w:top w:val="none" w:sz="0" w:space="0" w:color="auto"/>
        <w:left w:val="none" w:sz="0" w:space="0" w:color="auto"/>
        <w:bottom w:val="none" w:sz="0" w:space="0" w:color="auto"/>
        <w:right w:val="none" w:sz="0" w:space="0" w:color="auto"/>
      </w:divBdr>
    </w:div>
    <w:div w:id="1956595056">
      <w:bodyDiv w:val="1"/>
      <w:marLeft w:val="0"/>
      <w:marRight w:val="0"/>
      <w:marTop w:val="0"/>
      <w:marBottom w:val="0"/>
      <w:divBdr>
        <w:top w:val="none" w:sz="0" w:space="0" w:color="auto"/>
        <w:left w:val="none" w:sz="0" w:space="0" w:color="auto"/>
        <w:bottom w:val="none" w:sz="0" w:space="0" w:color="auto"/>
        <w:right w:val="none" w:sz="0" w:space="0" w:color="auto"/>
      </w:divBdr>
    </w:div>
    <w:div w:id="1980726958">
      <w:bodyDiv w:val="1"/>
      <w:marLeft w:val="0"/>
      <w:marRight w:val="0"/>
      <w:marTop w:val="0"/>
      <w:marBottom w:val="0"/>
      <w:divBdr>
        <w:top w:val="none" w:sz="0" w:space="0" w:color="auto"/>
        <w:left w:val="none" w:sz="0" w:space="0" w:color="auto"/>
        <w:bottom w:val="none" w:sz="0" w:space="0" w:color="auto"/>
        <w:right w:val="none" w:sz="0" w:space="0" w:color="auto"/>
      </w:divBdr>
    </w:div>
    <w:div w:id="1999723594">
      <w:bodyDiv w:val="1"/>
      <w:marLeft w:val="0"/>
      <w:marRight w:val="0"/>
      <w:marTop w:val="0"/>
      <w:marBottom w:val="0"/>
      <w:divBdr>
        <w:top w:val="none" w:sz="0" w:space="0" w:color="auto"/>
        <w:left w:val="none" w:sz="0" w:space="0" w:color="auto"/>
        <w:bottom w:val="none" w:sz="0" w:space="0" w:color="auto"/>
        <w:right w:val="none" w:sz="0" w:space="0" w:color="auto"/>
      </w:divBdr>
    </w:div>
    <w:div w:id="2004236161">
      <w:bodyDiv w:val="1"/>
      <w:marLeft w:val="0"/>
      <w:marRight w:val="0"/>
      <w:marTop w:val="0"/>
      <w:marBottom w:val="0"/>
      <w:divBdr>
        <w:top w:val="none" w:sz="0" w:space="0" w:color="auto"/>
        <w:left w:val="none" w:sz="0" w:space="0" w:color="auto"/>
        <w:bottom w:val="none" w:sz="0" w:space="0" w:color="auto"/>
        <w:right w:val="none" w:sz="0" w:space="0" w:color="auto"/>
      </w:divBdr>
    </w:div>
    <w:div w:id="2049331481">
      <w:bodyDiv w:val="1"/>
      <w:marLeft w:val="0"/>
      <w:marRight w:val="0"/>
      <w:marTop w:val="0"/>
      <w:marBottom w:val="0"/>
      <w:divBdr>
        <w:top w:val="none" w:sz="0" w:space="0" w:color="auto"/>
        <w:left w:val="none" w:sz="0" w:space="0" w:color="auto"/>
        <w:bottom w:val="none" w:sz="0" w:space="0" w:color="auto"/>
        <w:right w:val="none" w:sz="0" w:space="0" w:color="auto"/>
      </w:divBdr>
    </w:div>
    <w:div w:id="2062360144">
      <w:bodyDiv w:val="1"/>
      <w:marLeft w:val="0"/>
      <w:marRight w:val="0"/>
      <w:marTop w:val="0"/>
      <w:marBottom w:val="0"/>
      <w:divBdr>
        <w:top w:val="none" w:sz="0" w:space="0" w:color="auto"/>
        <w:left w:val="none" w:sz="0" w:space="0" w:color="auto"/>
        <w:bottom w:val="none" w:sz="0" w:space="0" w:color="auto"/>
        <w:right w:val="none" w:sz="0" w:space="0" w:color="auto"/>
      </w:divBdr>
    </w:div>
    <w:div w:id="2070375537">
      <w:bodyDiv w:val="1"/>
      <w:marLeft w:val="0"/>
      <w:marRight w:val="0"/>
      <w:marTop w:val="0"/>
      <w:marBottom w:val="0"/>
      <w:divBdr>
        <w:top w:val="none" w:sz="0" w:space="0" w:color="auto"/>
        <w:left w:val="none" w:sz="0" w:space="0" w:color="auto"/>
        <w:bottom w:val="none" w:sz="0" w:space="0" w:color="auto"/>
        <w:right w:val="none" w:sz="0" w:space="0" w:color="auto"/>
      </w:divBdr>
    </w:div>
    <w:div w:id="2079084129">
      <w:bodyDiv w:val="1"/>
      <w:marLeft w:val="0"/>
      <w:marRight w:val="0"/>
      <w:marTop w:val="0"/>
      <w:marBottom w:val="0"/>
      <w:divBdr>
        <w:top w:val="none" w:sz="0" w:space="0" w:color="auto"/>
        <w:left w:val="none" w:sz="0" w:space="0" w:color="auto"/>
        <w:bottom w:val="none" w:sz="0" w:space="0" w:color="auto"/>
        <w:right w:val="none" w:sz="0" w:space="0" w:color="auto"/>
      </w:divBdr>
    </w:div>
    <w:div w:id="2081171333">
      <w:bodyDiv w:val="1"/>
      <w:marLeft w:val="0"/>
      <w:marRight w:val="0"/>
      <w:marTop w:val="0"/>
      <w:marBottom w:val="0"/>
      <w:divBdr>
        <w:top w:val="none" w:sz="0" w:space="0" w:color="auto"/>
        <w:left w:val="none" w:sz="0" w:space="0" w:color="auto"/>
        <w:bottom w:val="none" w:sz="0" w:space="0" w:color="auto"/>
        <w:right w:val="none" w:sz="0" w:space="0" w:color="auto"/>
      </w:divBdr>
    </w:div>
    <w:div w:id="2085761950">
      <w:bodyDiv w:val="1"/>
      <w:marLeft w:val="0"/>
      <w:marRight w:val="0"/>
      <w:marTop w:val="0"/>
      <w:marBottom w:val="0"/>
      <w:divBdr>
        <w:top w:val="none" w:sz="0" w:space="0" w:color="auto"/>
        <w:left w:val="none" w:sz="0" w:space="0" w:color="auto"/>
        <w:bottom w:val="none" w:sz="0" w:space="0" w:color="auto"/>
        <w:right w:val="none" w:sz="0" w:space="0" w:color="auto"/>
      </w:divBdr>
    </w:div>
    <w:div w:id="2140220244">
      <w:bodyDiv w:val="1"/>
      <w:marLeft w:val="0"/>
      <w:marRight w:val="0"/>
      <w:marTop w:val="0"/>
      <w:marBottom w:val="0"/>
      <w:divBdr>
        <w:top w:val="none" w:sz="0" w:space="0" w:color="auto"/>
        <w:left w:val="none" w:sz="0" w:space="0" w:color="auto"/>
        <w:bottom w:val="none" w:sz="0" w:space="0" w:color="auto"/>
        <w:right w:val="none" w:sz="0" w:space="0" w:color="auto"/>
      </w:divBdr>
    </w:div>
    <w:div w:id="2147238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edawciudadanas@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putados.gob.mx/LeyesBiblio/pdf/CPF.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melda.marrufo@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cedawciudadanas@gmail.com" TargetMode="External"/><Relationship Id="rId4" Type="http://schemas.openxmlformats.org/officeDocument/2006/relationships/settings" Target="settings.xml"/><Relationship Id="rId9" Type="http://schemas.openxmlformats.org/officeDocument/2006/relationships/hyperlink" Target="mailto:Imelda.marrufo@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1.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Ins201</b:Tag>
    <b:SourceType>Misc</b:SourceType>
    <b:Guid>{F5BB7ABF-8AA2-41AE-800B-E3C4869FB88E}</b:Guid>
    <b:Title>Aborto no punible</b:Title>
    <b:Year>2021</b:Year>
    <b:Author>
      <b:Author>
        <b:Corporate>Instituto Nacional de las Mujeres</b:Corporate>
      </b:Author>
    </b:Author>
    <b:Publisher>Sistema de Indicadores de Género</b:Publisher>
    <b:URL>http://estadistica.inmujeres.gob.mx/formas/tarjetas/aborto_no_punible.pdf</b:URL>
    <b:RefOrder>15</b:RefOrder>
  </b:Source>
  <b:Source>
    <b:Tag>Sec23</b:Tag>
    <b:SourceType>ArticleInAPeriodical</b:SourceType>
    <b:Guid>{BCD93E5A-1EBA-4C27-B454-77FD1F2DF39B}</b:Guid>
    <b:Author>
      <b:Author>
        <b:Corporate>Secretariado Ejecutivo del Sistema Nacional de Seguridad Pública</b:Corporate>
      </b:Author>
    </b:Author>
    <b:Title>Incidencia delictivo del Fuero Común, nueva metodología.</b:Title>
    <b:Year>2023</b:Year>
    <b:URL>https://www.gob.mx/sesnsp/acciones-y-programas/incidencia-delictiva-del-fuero-comun-nueva-metodologia?state=published</b:URL>
    <b:RefOrder>7</b:RefOrder>
  </b:Source>
  <b:Source>
    <b:Tag>Gru21</b:Tag>
    <b:SourceType>Misc</b:SourceType>
    <b:Guid>{9D53E309-C051-4CF8-A50C-7F7C4167AC0A}</b:Guid>
    <b:Title>Los matrimonios y uniones infantiles, tempranos y forzados. Prácticas nocivas profundizadoras de la desigualdad de género en América Latina y el Caribe</b:Title>
    <b:Year>2021</b:Year>
    <b:Author>
      <b:Author>
        <b:Corporate>Grupo de trabajo del Programa Conjunto Interinstitucional para Poner Fin al Matrimonio Infantil y a las Uniones Tempranas en América Latina y el Caribe</b:Corporate>
      </b:Author>
    </b:Author>
    <b:URL>https://repositorio.cepal.org/bitstream/handle/11362/47552/1/S2100897_es.pdf</b:URL>
    <b:RefOrder>16</b:RefOrder>
  </b:Source>
  <b:Source>
    <b:Tag>source2</b:Tag>
    <b:Year>2021a</b:Year>
    <b:SourceType>Misc</b:SourceType>
    <b:URL>http://bibliodigitalibd.senado.gob.mx/handle/123456789/5350</b:URL>
    <b:Title>Legislación ley aborto interrupción del embarazo países América Latina</b:Title>
    <b:Version>Mirada Legislativa No. 206</b:Version>
    <b:Publisher>Instituto Belisario Domínguez</b:Publisher>
    <b:Gdcea>{"AccessedType":"Website"}</b:Gdcea>
    <b:Author>
      <b:Author>
        <b:NameList>
          <b:Person>
            <b:First>Irma</b:First>
            <b:Last>Kánter</b:Last>
          </b:Person>
        </b:NameList>
      </b:Author>
    </b:Author>
    <b:Guid>{678EED82-00D1-45E7-81AA-96C51A41A13C}</b:Guid>
    <b:RefOrder>1</b:RefOrder>
  </b:Source>
  <b:Source>
    <b:Tag>Kán21</b:Tag>
    <b:SourceType>Misc</b:SourceType>
    <b:Guid>{513DB0BF-54A6-4F9B-A748-5D62818F8FD6}</b:Guid>
    <b:Author>
      <b:Author>
        <b:NameList>
          <b:Person>
            <b:Last>Kánter</b:Last>
            <b:First>Irma</b:First>
          </b:Person>
        </b:NameList>
      </b:Author>
    </b:Author>
    <b:Title>Panorama actual sobre el aborto en México</b:Title>
    <b:PublicationTitle>Cuaderno de investigación</b:PublicationTitle>
    <b:Year>2021b</b:Year>
    <b:Publisher>Instituto Belisario Domínguez. Senado de la República</b:Publisher>
    <b:Issue>84</b:Issue>
    <b:URL>http://bibliodigitalibd.senado.gob.mx/bitstream/handle/123456789/5480/Cuaderno%20de%20Investigaci%c3%b3n%20No.%2084.pdf?sequence=1&amp;isAllowed=y</b:URL>
    <b:RefOrder>2</b:RefOrder>
  </b:Source>
  <b:Source>
    <b:Tag>Gru211</b:Tag>
    <b:SourceType>Misc</b:SourceType>
    <b:Guid>{BE5909FA-7A7F-46FB-92C2-C6E2B9801359}</b:Guid>
    <b:Author>
      <b:Author>
        <b:Corporate>Grupo de Información en Reproducción Elegida (GIRE)</b:Corporate>
      </b:Author>
    </b:Author>
    <b:Title>El camino hacia la justicia reproductiva: Una década de avances y pendientes</b:Title>
    <b:Year>2021</b:Year>
    <b:URL>https://gire.org.mx/wp-content/uploads/2022/06/ElCaminohacialaJusticiaReproductiva.pdf</b:URL>
    <b:RefOrder>3</b:RefOrder>
  </b:Source>
  <b:Source>
    <b:Tag>ElF21</b:Tag>
    <b:SourceType>ArticleInAPeriodical</b:SourceType>
    <b:Guid>{EADFA6D6-50D5-4757-896D-CDF1A85D12E7}</b:Guid>
    <b:Author>
      <b:Author>
        <b:Corporate>El Financiero</b:Corporate>
      </b:Author>
    </b:Author>
    <b:Title>Las víctimas de la prohibición del aborto: más de 200 mujeres presas en México</b:Title>
    <b:PeriodicalTitle>El Financiero</b:PeriodicalTitle>
    <b:Year>2021</b:Year>
    <b:URL>https://www.elfinanciero.com.mx/nacional/2021/09/14/las-victimas-de-la-prohibicion-del-aborto-mas-de-200-mujeres-presas-en-mexico/</b:URL>
    <b:RefOrder>4</b:RefOrder>
  </b:Source>
  <b:Source>
    <b:Tag>Gru18</b:Tag>
    <b:SourceType>Misc</b:SourceType>
    <b:Guid>{EE7A3E51-6EEF-4916-B521-AE8867D1CBFF}</b:Guid>
    <b:Author>
      <b:Author>
        <b:Corporate>Grupo de Información en Reproducción Elegida (GIRE)</b:Corporate>
      </b:Author>
    </b:Author>
    <b:Title>Maternidad o castigo. La criminalización del aborto en México</b:Title>
    <b:Year>2018</b:Year>
    <b:URL>http://criminalizacionporaborto.gire.org.mx/assets/pdf/Maternidad_o_castigo.pdf</b:URL>
    <b:RefOrder>5</b:RefOrder>
  </b:Source>
  <b:Source>
    <b:Tag>Wai21</b:Tag>
    <b:SourceType>Misc</b:SourceType>
    <b:Guid>{08AB4E26-5583-4021-92CA-9C2D91B45777}</b:Guid>
    <b:Author>
      <b:Author>
        <b:NameList>
          <b:Person>
            <b:Last>Wainer</b:Last>
            <b:First>L</b:First>
          </b:Person>
        </b:NameList>
      </b:Author>
    </b:Author>
    <b:Title>Para el Estado son asesinas. Una radiografía de la criminalización del aborto en México</b:Title>
    <b:PublicationTitle>Tesis para obtener el grado de Maestra en Periodismo sobre Políticas Públicas</b:PublicationTitle>
    <b:Year>2021</b:Year>
    <b:Edition>Centro de Investigación y Docencia Económicas, A. C.</b:Edition>
    <b:URL>http://repositorio-digital.cide.edu/bitstream/handle/11651/4427/168908.pdf?sequence=1&amp;isAllowed=y</b:URL>
    <b:RefOrder>6</b:RefOrder>
  </b:Source>
  <b:Source>
    <b:Tag>Ins202</b:Tag>
    <b:SourceType>Misc</b:SourceType>
    <b:Guid>{4D82E004-2BEA-4365-B7FD-D0C82C43A6B6}</b:Guid>
    <b:Author>
      <b:Author>
        <b:Corporate>Instituto Nacional de Geografía y Estadística (INEGI)</b:Corporate>
      </b:Author>
    </b:Author>
    <b:Title>Censo Nacional de Sistemas Penitenciarios Estatales 2021. Datos abiertos de Población Privada de la Libertad</b:Title>
    <b:Year>2021</b:Year>
    <b:URL>https://www.inegi.org.mx/programas/cnsipee/2021/#Datos_abiertos</b:URL>
    <b:RefOrder>9</b:RefOrder>
  </b:Source>
  <b:Source>
    <b:Tag>Ins203</b:Tag>
    <b:SourceType>Misc</b:SourceType>
    <b:Guid>{0678CD71-1AA5-4A80-811E-4B955D5C6464}</b:Guid>
    <b:Author>
      <b:Author>
        <b:Corporate>Instituto Nacional de Geografía y Estadística (INEGI)</b:Corporate>
      </b:Author>
    </b:Author>
    <b:Title>Censo Nacional de Gobierno, Seguridad Pública y Sistema Penitenciario Estatales 2020. Tabulados básicos del Sistema Penitenciario</b:Title>
    <b:Year>2020</b:Year>
    <b:URL>https://www.inegi.org.mx/programas/cngspspe/2020/#Tabulados</b:URL>
    <b:RefOrder>8</b:RefOrder>
  </b:Source>
  <b:Source>
    <b:Tag>Ins23</b:Tag>
    <b:SourceType>JournalArticle</b:SourceType>
    <b:Guid>{B70FA5E8-1BF8-495A-B77D-59B6E5C5D2C1}</b:Guid>
    <b:Author>
      <b:Author>
        <b:Corporate>Instituto Nacional de Estadística y Geografía (INEGI)</b:Corporate>
      </b:Author>
    </b:Author>
    <b:Title>Estadísticas de Defunciones Registradas (1990-2021), Tabulados</b:Title>
    <b:Year>2023</b:Year>
    <b:URL>https://www.inegi.org.mx/programas/mortalidad/#Tabulados</b:URL>
    <b:RefOrder>13</b:RefOrder>
  </b:Source>
  <b:Source>
    <b:Tag>Age</b:Tag>
    <b:SourceType>ArticleInAPeriodical</b:SourceType>
    <b:Guid>{BDE9084A-075B-4FDC-9494-459B9B16596F}</b:Guid>
    <b:Author>
      <b:Author>
        <b:Corporate>Red de Periodistas Feministas de América Latina y el Caribe</b:Corporate>
      </b:Author>
    </b:Author>
    <b:Title>Derecho a decidir. Abortar en América Latina y el Caribe: Acceso y Obstáculos</b:Title>
    <b:Year>2019</b:Year>
    <b:URL>https://www.agenciaocote.com/blog/2019/10/02/abortar-en-america-latina-y-el-caribe-acceso-y-obstaculos/</b:URL>
    <b:PeriodicalTitle>Agencia Ocote</b:PeriodicalTitle>
    <b:RefOrder>10</b:RefOrder>
  </b:Source>
  <b:Source>
    <b:Tag>Org171</b:Tag>
    <b:SourceType>Misc</b:SourceType>
    <b:Guid>{0D86D94E-0699-48BC-ABF9-F044FDD57E11}</b:Guid>
    <b:Author>
      <b:Author>
        <b:Corporate>Organización Mundial de la Salud (OMS)</b:Corporate>
      </b:Author>
    </b:Author>
    <b:Title>En todo el mundo se producen aproximadamente 25 millones de abortos peligrosos al año</b:Title>
    <b:Year>2017</b:Year>
    <b:URL>https://www.who.int/es/news/item/28-09-2017-worldwide-an-estimated-25-million-unsafe-abortions-occur-each-year</b:URL>
    <b:RefOrder>11</b:RefOrder>
  </b:Source>
  <b:Source>
    <b:Tag>Sec20</b:Tag>
    <b:SourceType>Report</b:SourceType>
    <b:Guid>{140A663D-180F-4B78-9C21-75003B1DFEDE}</b:Guid>
    <b:Author>
      <b:Author>
        <b:Corporate>Secretaría de Salud</b:Corporate>
      </b:Author>
    </b:Author>
    <b:Title>Informe semanal de notificación inmediata de muerte materna. Semana Epidemiológica 53 de 2020</b:Title>
    <b:Year>2020</b:Year>
    <b:Publisher>Dirección General de Epidemiología</b:Publisher>
    <b:URL>https://www.gob.mx/cms/uploads/attachment/file/604103/MMAT_2020_SE53.pdf</b:URL>
    <b:RefOrder>17</b:RefOrder>
  </b:Source>
  <b:Source>
    <b:Tag>Sec221</b:Tag>
    <b:SourceType>ArticleInAPeriodical</b:SourceType>
    <b:Guid>{A68B0F33-A940-4013-ABD3-302F4C0036C2}</b:Guid>
    <b:Author>
      <b:Author>
        <b:Corporate>Secretaría de Salud</b:Corporate>
      </b:Author>
    </b:Author>
    <b:Title>Informe Semanal de Morbilidad Materna Extremadamente Grave. Semana Epidemiológica 52 del 2022</b:Title>
    <b:Year>2022b</b:Year>
    <b:URL>https://www.gob.mx/cms/uploads/attachment/file/802091/MMEG_2022_SE52.pdf</b:URL>
    <b:RefOrder>18</b:RefOrder>
  </b:Source>
  <b:Source>
    <b:Tag>Sec22</b:Tag>
    <b:SourceType>JournalArticle</b:SourceType>
    <b:Guid>{A6CCF3FF-31EE-48DF-BC39-FB3B12C00324}</b:Guid>
    <b:Author>
      <b:Author>
        <b:Corporate>Secretaría de Salud</b:Corporate>
      </b:Author>
    </b:Author>
    <b:Title>Informe Semanal de Notificación Inmediata de Muerte Materna. Semana Epidemiológica 58 de 2022</b:Title>
    <b:Year>2022b</b:Year>
    <b:Publisher>Dirección General de Epidemiología</b:Publisher>
    <b:URL>https://www.gob.mx/cms/uploads/attachment/file/788958/MM_2022_SE52.pdf</b:URL>
    <b:RefOrder>19</b:RefOrder>
  </b:Source>
  <b:Source>
    <b:Tag>Org23</b:Tag>
    <b:SourceType>ArticleInAPeriodical</b:SourceType>
    <b:Guid>{48156949-7604-49A0-92F1-2561E5ECC74A}</b:Guid>
    <b:Author>
      <b:Author>
        <b:Corporate>Organización Mundial de la Salud (OMS)</b:Corporate>
      </b:Author>
    </b:Author>
    <b:Title>Mortalidad Materna</b:Title>
    <b:Year>2023</b:Year>
    <b:URL>https://www.who.int/es/news-room/fact-sheets/detail/maternal-mortality#:~:text=La%20raz%C3%B3n%20de%20mortalidad%20materna%20a%20escala%20mundial%20en%202020,ha%20conseguido%20a%20nivel%20nacional.</b:URL>
    <b:RefOrder>12</b:RefOrder>
  </b:Source>
  <b:Source>
    <b:Tag>Ete12</b:Tag>
    <b:SourceType>JournalArticle</b:SourceType>
    <b:Guid>{AA54EB04-3C64-4902-B699-8E059B8B44EC}</b:Guid>
    <b:Author>
      <b:Author>
        <b:NameList>
          <b:Person>
            <b:Last>Eternod</b:Last>
            <b:First>M</b:First>
          </b:Person>
        </b:NameList>
      </b:Author>
    </b:Author>
    <b:Title>Metodología para calcular la razón de mortalidad materna: un mejor registro y un indicador deficiente</b:Title>
    <b:Year>2012</b:Year>
    <b:JournalName>Revista Internacional de Estadística y Geografía</b:JournalName>
    <b:Volume>3</b:Volume>
    <b:Issue>1</b:Issue>
    <b:RefOrder>14</b:RefOrder>
  </b:Source>
</b:Sources>
</file>

<file path=customXml/itemProps1.xml><?xml version="1.0" encoding="utf-8"?>
<ds:datastoreItem xmlns:ds="http://schemas.openxmlformats.org/officeDocument/2006/customXml" ds:itemID="{DE6B1E42-A1B4-483B-8A68-DB517219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3107</Words>
  <Characters>17092</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Buffete Juridico</cp:lastModifiedBy>
  <cp:revision>1</cp:revision>
  <dcterms:created xsi:type="dcterms:W3CDTF">2023-09-11T21:43:00Z</dcterms:created>
  <dcterms:modified xsi:type="dcterms:W3CDTF">2023-09-12T00:40:00Z</dcterms:modified>
</cp:coreProperties>
</file>