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BE8F284" w14:textId="77777777" w:rsidR="00040A11" w:rsidRDefault="00040A11">
      <w:pPr>
        <w:jc w:val="left"/>
      </w:pPr>
    </w:p>
    <w:p w14:paraId="42AC7CCF" w14:textId="77777777" w:rsidR="00040A11" w:rsidRDefault="00000000">
      <w:r>
        <w:t>INFORME ALTERNATIVO DE LA SOCIEDAD CIVIL PARA EL COMITÉ DE LA CONVENCIÓN PARA LA ELIMINACIÓN DE TODAS LAS FORMAS DE DISCRIMINACIÓN CONTRA LA MUJER</w:t>
      </w:r>
    </w:p>
    <w:p w14:paraId="6E3CD648" w14:textId="77777777" w:rsidR="00040A11" w:rsidRDefault="00000000">
      <w:r>
        <w:t xml:space="preserve">92° período de sesiones | </w:t>
      </w:r>
      <w:proofErr w:type="gramStart"/>
      <w:r>
        <w:t>Febrero</w:t>
      </w:r>
      <w:proofErr w:type="gramEnd"/>
      <w:r>
        <w:t xml:space="preserve"> de 2026</w:t>
      </w:r>
    </w:p>
    <w:p w14:paraId="2EF57421" w14:textId="77777777" w:rsidR="00040A11" w:rsidRDefault="00040A11">
      <w:pPr>
        <w:jc w:val="both"/>
      </w:pPr>
    </w:p>
    <w:p w14:paraId="1974E617" w14:textId="77777777" w:rsidR="00040A11" w:rsidRDefault="00000000">
      <w:pPr>
        <w:jc w:val="both"/>
        <w:rPr>
          <w:b/>
          <w:bCs/>
        </w:rPr>
      </w:pPr>
      <w:r>
        <w:rPr>
          <w:b/>
          <w:bCs/>
        </w:rPr>
        <w:t>Introducción</w:t>
      </w:r>
    </w:p>
    <w:p w14:paraId="34ABBA80" w14:textId="10818EC0" w:rsidR="00040A11" w:rsidRDefault="00000000">
      <w:pPr>
        <w:jc w:val="both"/>
      </w:pPr>
      <w:r>
        <w:t>Las organizaciones y referentes firmantes presentamos este informe sombra para el Comité de la Convención para la Eliminación de Todas las Formas de Discriminación contra la Mujer, en ocasión del 92° Período de Sesiones de febrero 2026.</w:t>
      </w:r>
    </w:p>
    <w:p w14:paraId="3B1E988B" w14:textId="71B752CC" w:rsidR="00040A11" w:rsidRDefault="00605A30">
      <w:pPr>
        <w:jc w:val="both"/>
      </w:pPr>
      <w:r>
        <w:t>S</w:t>
      </w:r>
      <w:r w:rsidR="00000000">
        <w:t xml:space="preserve">e enfoca en el estado de cumplimiento de las obligaciones del Estado </w:t>
      </w:r>
      <w:proofErr w:type="gramStart"/>
      <w:r w:rsidR="00000000">
        <w:t xml:space="preserve">argentino </w:t>
      </w:r>
      <w:r>
        <w:t xml:space="preserve"> (</w:t>
      </w:r>
      <w:proofErr w:type="gramEnd"/>
      <w:r w:rsidR="00000000">
        <w:t xml:space="preserve">artículos 1; 3; 4; 5; 10; 11; 12; 13 y 15 de la Convención y las preguntas 4; 5; 8; 9; 10; 13; 14; 16 y 22 de la lista de cuestiones. </w:t>
      </w:r>
      <w:r>
        <w:t xml:space="preserve">Aquí </w:t>
      </w:r>
      <w:r w:rsidR="00000000">
        <w:t xml:space="preserve">se busca describir la continuidad y acumulación de violencias y exclusiones que expulsan de una satisfactoria inserción en la vida social y terminan en muertes tempranas y evitables </w:t>
      </w:r>
      <w:r w:rsidR="00C5620C">
        <w:t>a</w:t>
      </w:r>
      <w:r w:rsidR="00000000">
        <w:t xml:space="preserve"> personas travestis y trans</w:t>
      </w:r>
      <w:r w:rsidR="00000000">
        <w:rPr>
          <w:vertAlign w:val="superscript"/>
        </w:rPr>
        <w:footnoteReference w:id="1"/>
      </w:r>
      <w:r w:rsidR="00000000">
        <w:t xml:space="preserve"> en Argentina.</w:t>
      </w:r>
    </w:p>
    <w:p w14:paraId="1FCED062" w14:textId="34632CC4" w:rsidR="00040A11" w:rsidRDefault="00000000">
      <w:pPr>
        <w:jc w:val="both"/>
      </w:pPr>
      <w:r>
        <w:t xml:space="preserve">La información </w:t>
      </w:r>
      <w:r w:rsidR="00C5620C">
        <w:t>presentada</w:t>
      </w:r>
      <w:r>
        <w:t xml:space="preserve"> es resultado de</w:t>
      </w:r>
      <w:r w:rsidR="00605A30">
        <w:t>l</w:t>
      </w:r>
      <w:r>
        <w:t xml:space="preserve"> trabajo de investigación </w:t>
      </w:r>
      <w:r w:rsidR="00C5620C">
        <w:t>d</w:t>
      </w:r>
      <w:r>
        <w:t>el CELS basado en entrevistas</w:t>
      </w:r>
      <w:r w:rsidR="00605A30">
        <w:t xml:space="preserve"> y </w:t>
      </w:r>
      <w:r>
        <w:t xml:space="preserve">de aportes realizados por las organizaciones </w:t>
      </w:r>
      <w:r w:rsidR="00C5620C">
        <w:t>firmantes</w:t>
      </w:r>
      <w:r>
        <w:t xml:space="preserve">. No hay datos oficiales actualizados sobre las condiciones de vida de este colectivo y las pocas políticas públicas destinadas a revertir </w:t>
      </w:r>
      <w:r w:rsidR="008666BA">
        <w:t>su</w:t>
      </w:r>
      <w:r w:rsidR="008666BA">
        <w:t xml:space="preserve"> </w:t>
      </w:r>
      <w:r>
        <w:t xml:space="preserve">situación de vulnerabilidad </w:t>
      </w:r>
      <w:r w:rsidR="008666BA">
        <w:t xml:space="preserve">fueron </w:t>
      </w:r>
      <w:r>
        <w:t>desmanteladas en los últimos dos años.</w:t>
      </w:r>
    </w:p>
    <w:p w14:paraId="60E7B26E" w14:textId="77777777" w:rsidR="00040A11" w:rsidRDefault="00040A11">
      <w:pPr>
        <w:ind w:left="720"/>
        <w:jc w:val="both"/>
      </w:pPr>
    </w:p>
    <w:p w14:paraId="33B51FDF" w14:textId="77777777" w:rsidR="00040A11" w:rsidRDefault="00000000">
      <w:pPr>
        <w:jc w:val="both"/>
      </w:pPr>
      <w:r>
        <w:rPr>
          <w:b/>
          <w:bCs/>
        </w:rPr>
        <w:t xml:space="preserve">Exclusión de la educación, inestabilidad económica, dificultades para la proyección a futuro y derecho al trabajo </w:t>
      </w:r>
      <w:r>
        <w:t>(Artículos 1; 3; 4; 5; 8; 10; 11, 12 y 13 CEDAW)</w:t>
      </w:r>
    </w:p>
    <w:p w14:paraId="469475CB" w14:textId="630BB902" w:rsidR="00040A11" w:rsidRDefault="00000000">
      <w:pPr>
        <w:jc w:val="both"/>
      </w:pPr>
      <w:r>
        <w:t>El artículo 2 de la Ley de Educación Nacional (Ley 26.206)</w:t>
      </w:r>
      <w:r>
        <w:rPr>
          <w:vertAlign w:val="superscript"/>
        </w:rPr>
        <w:footnoteReference w:id="2"/>
      </w:r>
      <w:r>
        <w:t xml:space="preserve"> establece que “la educación y el conocimiento son un bien público y un derecho personal y social, garantizados por el Estado”. </w:t>
      </w:r>
      <w:r w:rsidR="00C5620C">
        <w:t>É</w:t>
      </w:r>
      <w:r>
        <w:t xml:space="preserve">l artículo 8 señala que el acceso “brindará las oportunidades necesarias para desarrollar y fortalecer la formación integral de las personas a lo largo de toda la vida y promover en cada educando/a la capacidad de definir su proyecto de vida, basado en los valores de libertad, paz, solidaridad, igualdad, respeto a la diversidad, justicia, responsabilidad y bien común”. El artículo 10.f de la CEDAW establece que los Estados deben adoptar medidas </w:t>
      </w:r>
      <w:r w:rsidR="00E201CB">
        <w:t>para</w:t>
      </w:r>
      <w:r>
        <w:t xml:space="preserve"> “la reducción de la tasa de </w:t>
      </w:r>
      <w:r>
        <w:lastRenderedPageBreak/>
        <w:t>abandono femenino de los estudios y la organización de programas para aquellas jóvenes y mujeres que hayan dejado los estudios prematuramente”.</w:t>
      </w:r>
    </w:p>
    <w:p w14:paraId="4877C709" w14:textId="2CB3545D" w:rsidR="00040A11" w:rsidRDefault="00000000">
      <w:pPr>
        <w:jc w:val="both"/>
      </w:pPr>
      <w:r>
        <w:t xml:space="preserve">El acceso y el ejercicio pleno del derecho a la educación </w:t>
      </w:r>
      <w:r w:rsidR="00E201CB">
        <w:t>está</w:t>
      </w:r>
      <w:r>
        <w:t xml:space="preserve"> ligado a la posibilidad de elegir y construir libremente un proyecto de vida propio. Además, es un derecho inherente a las infancias ya que </w:t>
      </w:r>
      <w:r w:rsidR="008666BA">
        <w:t>según</w:t>
      </w:r>
      <w:r>
        <w:t xml:space="preserve"> la Convención de los Derechos del Niño “pueden elegir sus propias ideas, opiniones y religión, siempre que no impidan a otras personas disfrutar de sus propios derechos. La familia puede orientar a sus hijos para que a medida que crecen aprendan a usar correctamente este derecho”</w:t>
      </w:r>
      <w:r>
        <w:rPr>
          <w:vertAlign w:val="superscript"/>
        </w:rPr>
        <w:footnoteReference w:id="3"/>
      </w:r>
      <w:r>
        <w:t xml:space="preserve">. El trayecto educativo que se inicia desde los primeros años de la infancia influye posteriormente en la inserción al mercado laboral. </w:t>
      </w:r>
    </w:p>
    <w:p w14:paraId="361B7964" w14:textId="4B57A479" w:rsidR="00040A11" w:rsidRDefault="00000000" w:rsidP="00E201CB">
      <w:pPr>
        <w:ind w:left="720" w:hanging="720"/>
        <w:jc w:val="both"/>
      </w:pPr>
      <w:r>
        <w:t>En las entrevistas, la mayoría de las personas del colectivo travesti trans refiere haber sido objeto de actos de violencia, hostigamiento y discriminación por parte de compañeros/as y/o docentes del sistema educativo. L</w:t>
      </w:r>
      <w:r w:rsidR="00E201CB">
        <w:t>os</w:t>
      </w:r>
      <w:r>
        <w:t xml:space="preserve"> malos tratos recibidos a</w:t>
      </w:r>
      <w:r w:rsidR="008666BA">
        <w:t xml:space="preserve">l </w:t>
      </w:r>
      <w:r>
        <w:t xml:space="preserve">manifestar su identidad de género se establecieron como un padecimiento subjetivo que en una gran mayoría de casos las </w:t>
      </w:r>
      <w:r w:rsidR="008666BA">
        <w:t xml:space="preserve">expulsa </w:t>
      </w:r>
      <w:r>
        <w:t>del sistema educativo. M. W. lo señala claramente: “No iba a pasar por esa humillación, dejé”. En la misma línea, P. R. refiere: “Desde adentro me acobardaron y dejé de ir. Me hacían sufrir todos los días”.</w:t>
      </w:r>
    </w:p>
    <w:p w14:paraId="570CB1FD" w14:textId="52C83CD7" w:rsidR="00040A11" w:rsidRDefault="008666BA">
      <w:pPr>
        <w:jc w:val="both"/>
      </w:pPr>
      <w:r>
        <w:t>Asimismo</w:t>
      </w:r>
      <w:r w:rsidR="00000000">
        <w:t xml:space="preserve">, las entrevistas evidencian que en el ámbito laboral atravesaron experiencias similares de discriminación con motivo de su identidad de género. La posibilidad de desarrollarse profesionalmente y acceder a un empleo formal no solo implica una remuneración económica, indispensable para garantizar las condiciones materiales para el desarrollo de una vida digna, también influye directamente en la construcción de un proyecto de vida que incluya la posibilidad de una vejez. </w:t>
      </w:r>
    </w:p>
    <w:p w14:paraId="1D152DC0" w14:textId="66D2D34D" w:rsidR="00040A11" w:rsidRDefault="00000000">
      <w:pPr>
        <w:jc w:val="both"/>
      </w:pPr>
      <w:r>
        <w:t xml:space="preserve">La mayoría de las personas travesti trans entrevistadas refiere que debió ejercer la prostitución como única opción para obtener un ingreso económico que les permitiera solventar gastos. El ejercicio del trabajo sexual se presenta como consecuencia de un sistema laboral excluyente, que no garantiza alternativas reales de inserción. Los testimonios lo vinculan con experiencias de sufrimiento y de malestar tanto subjetivo como físico que, en numerosos casos, condujeron al consumo de sustancias como estrategia para poder sobrellevar dichas situaciones. </w:t>
      </w:r>
    </w:p>
    <w:p w14:paraId="5088D55F" w14:textId="13DCB827" w:rsidR="00040A11" w:rsidRDefault="00000000">
      <w:pPr>
        <w:jc w:val="both"/>
      </w:pPr>
      <w:r>
        <w:t xml:space="preserve">Paralelamente, la expresión de la identidad de género y el ejercicio del trabajo sexual por parte de las personas travesti trans se encuentran íntimamente ligados a situaciones sistemáticas de hostigamiento y violencia institucional perpetradas por las fuerzas de seguridad. Los relatos de las entrevistadas revelan que las integrantes de este colectivo han sido expuestas desde edades tempranas a múltiples detenciones policiales bajo condiciones que constituyen graves vulneraciones a sus derechos humanos. Esta violencia estructural </w:t>
      </w:r>
      <w:proofErr w:type="gramStart"/>
      <w:r w:rsidR="008666BA">
        <w:t xml:space="preserve">marcó </w:t>
      </w:r>
      <w:r>
        <w:t xml:space="preserve"> profundamente</w:t>
      </w:r>
      <w:proofErr w:type="gramEnd"/>
      <w:r>
        <w:t xml:space="preserve"> sus trayectorias vitales, generando secuelas en su salud física y mental. Dicha afectación es palpable en los testimonios recabados, como el de M. L. T., quien expresa las huellas del encierro y la </w:t>
      </w:r>
      <w:r>
        <w:lastRenderedPageBreak/>
        <w:t xml:space="preserve">violencia: ‘No me gustan los ascensores porque me recuerdan a los calabozos donde me encerraban. Salís traumatizada’ ". </w:t>
      </w:r>
    </w:p>
    <w:p w14:paraId="2C6E8750" w14:textId="7DB91E24" w:rsidR="00040A11" w:rsidRDefault="00000000">
      <w:pPr>
        <w:jc w:val="both"/>
      </w:pPr>
      <w:r>
        <w:t xml:space="preserve">El 24 de junio de 2021 se sancionó en la Argentina la Ley de Promoción del Acceso al Empleo Formal para Personas Travestis, Transexuales y Transgénero “Diana Sacayán - Lohana </w:t>
      </w:r>
      <w:proofErr w:type="spellStart"/>
      <w:r>
        <w:t>Berkins</w:t>
      </w:r>
      <w:proofErr w:type="spellEnd"/>
      <w:r>
        <w:t xml:space="preserve">” (Ley </w:t>
      </w:r>
      <w:proofErr w:type="spellStart"/>
      <w:r>
        <w:t>N°</w:t>
      </w:r>
      <w:proofErr w:type="spellEnd"/>
      <w:r>
        <w:t xml:space="preserve"> 27.636)</w:t>
      </w:r>
      <w:r>
        <w:rPr>
          <w:vertAlign w:val="superscript"/>
        </w:rPr>
        <w:footnoteReference w:id="4"/>
      </w:r>
      <w:r>
        <w:t>.</w:t>
      </w:r>
      <w:r w:rsidR="008666BA">
        <w:t xml:space="preserve"> </w:t>
      </w:r>
      <w:proofErr w:type="spellStart"/>
      <w:r w:rsidR="008666BA">
        <w:t>Su</w:t>
      </w:r>
      <w:r>
        <w:t>artículo</w:t>
      </w:r>
      <w:proofErr w:type="spellEnd"/>
      <w:r>
        <w:t xml:space="preserve"> 5 establece: “El Estado nacional, comprendiendo los tres poderes que lo integran, los Ministerios Públicos, los organismos descentralizados o autárquicos, los entes públicos no estatales, las empresas y sociedades del Estado, debe ocupar en una proporción no inferior al uno por ciento (1%) de la totalidad de su personal con personas travestis, transexuales y transgénero, en todas las modalidades de contratación regular vigentes”. Esta normativa tiene estrecha vinculación con los artículos 4; 10 y 11 de la Convención y son en Argentina el resultado de años de activismo y discusión política impulsados por el colectivo travesti trans. Un reflejo de esta perspectiva reparatoria es que la Ley establece que el requisito de </w:t>
      </w:r>
      <w:proofErr w:type="spellStart"/>
      <w:r>
        <w:t>terminalidad</w:t>
      </w:r>
      <w:proofErr w:type="spellEnd"/>
      <w:r>
        <w:t xml:space="preserve"> educativa no constituirá un obstáculo para la contratación, reconociendo las dificultades estructurales que ha enfrentado el colectivo en su trayectoria educativa. En este sentido, la legislación propone que el </w:t>
      </w:r>
      <w:proofErr w:type="spellStart"/>
      <w:r>
        <w:t>Estado</w:t>
      </w:r>
      <w:r w:rsidR="008666BA">
        <w:t>sea</w:t>
      </w:r>
      <w:proofErr w:type="spellEnd"/>
      <w:r w:rsidR="004C1EAD">
        <w:t xml:space="preserve"> </w:t>
      </w:r>
      <w:r>
        <w:t xml:space="preserve">responsable de garantizar y proveer los medios necesarios para la finalización de sus estudios y la capacitación pertinente al puesto. </w:t>
      </w:r>
    </w:p>
    <w:p w14:paraId="2749CDD3" w14:textId="77777777" w:rsidR="00040A11" w:rsidRDefault="00000000">
      <w:pPr>
        <w:jc w:val="both"/>
      </w:pPr>
      <w:r>
        <w:t xml:space="preserve">Además, la norma determina la prohibición de considerar antecedentes penales o contravencionales que no guarden estricta relación con el cargo, lo que implica un reconocimiento explícito de la histórica criminalización y persecución sufrida por el colectivo. </w:t>
      </w:r>
    </w:p>
    <w:p w14:paraId="5569CF40" w14:textId="77777777" w:rsidR="00040A11" w:rsidRDefault="00000000">
      <w:pPr>
        <w:jc w:val="both"/>
      </w:pPr>
      <w:r>
        <w:t>Desde su creación, y de modo parcial, el Estado argentino comenzó a implementar la norma. De hecho, algunas entrevistadas dieron cuenta de ello. Por ejemplo, el 8 de septiembre de 2020, se reglamentó la Ley 13.902 en la provincia de Santa Fe, destinada a promover la inserción y estabilidad laboral de personas travestis, transexuales y transgénero en el sector público y privado.</w:t>
      </w:r>
      <w:r>
        <w:rPr>
          <w:vertAlign w:val="superscript"/>
        </w:rPr>
        <w:footnoteReference w:id="5"/>
      </w:r>
      <w:r>
        <w:t xml:space="preserve"> Esta ley recibió el nombre de Vanesa Zabala, en honor a una de las muchas víctimas de la comunidad travesti trans. Sin embargo, a partir de 2024 el gobierno nacional se dedicó activamente a tomar medidas regresivas al respecto, suspendiendo las contrataciones y despidiendo personas del colectivo travesti trans. Para abril de 2024 ya había 85 personas despedidas en el sector público nacional</w:t>
      </w:r>
      <w:r>
        <w:rPr>
          <w:vertAlign w:val="superscript"/>
        </w:rPr>
        <w:footnoteReference w:id="6"/>
      </w:r>
      <w:r>
        <w:t xml:space="preserve"> y a julio de ese año la cifra llegaba al menos a 150</w:t>
      </w:r>
      <w:r>
        <w:rPr>
          <w:vertAlign w:val="superscript"/>
        </w:rPr>
        <w:footnoteReference w:id="7"/>
      </w:r>
      <w:r>
        <w:t xml:space="preserve">. Una de las entrevistadas, que además es una persona con discapacidad, decidió modificar su condición de trabajadora por el cupo laboral </w:t>
      </w:r>
      <w:r>
        <w:lastRenderedPageBreak/>
        <w:t>travesti trans para incluirse dentro del cupo laboral por discapacidad, dadas las prácticas discriminatorias y los discursos de odio que desde el mismo gobierno nacional habilitan y ejercen. La falta de cifras desagregadas en torno a la cantidad de personas travestis-trans despedidas por el Estado y que habían sido empleadas por el cupo, dan cuenta de la falta de transparencia y del incumplimiento del registro obligatorio que exige la ley, así como también el lugar marginal en el que ubican la producción de información específica del colectivo</w:t>
      </w:r>
      <w:r>
        <w:rPr>
          <w:vertAlign w:val="superscript"/>
        </w:rPr>
        <w:footnoteReference w:id="8"/>
      </w:r>
      <w:r>
        <w:t>. Según el Ministerio de Mujeres, Géneros y Diversidad, en 2023 el 80 % de las personas trans no accedía a un empleo formal</w:t>
      </w:r>
      <w:r>
        <w:rPr>
          <w:vertAlign w:val="superscript"/>
        </w:rPr>
        <w:footnoteReference w:id="9"/>
      </w:r>
      <w:r>
        <w:t xml:space="preserve">. </w:t>
      </w:r>
    </w:p>
    <w:p w14:paraId="57409B8C" w14:textId="54F8650A" w:rsidR="00040A11" w:rsidRDefault="00000000">
      <w:pPr>
        <w:jc w:val="both"/>
      </w:pPr>
      <w:r>
        <w:t>Sobre este tema realizamos un pedido de acceso a la información y la respuesta indica que "</w:t>
      </w:r>
      <w:r>
        <w:rPr>
          <w:i/>
          <w:iCs/>
        </w:rPr>
        <w:t>El único requisito (para contratar) es la idoneidad, los méritos y la capacidad del individuo”</w:t>
      </w:r>
      <w:r>
        <w:rPr>
          <w:i/>
          <w:iCs/>
          <w:sz w:val="16"/>
          <w:szCs w:val="16"/>
          <w:vertAlign w:val="superscript"/>
        </w:rPr>
        <w:footnoteReference w:id="10"/>
      </w:r>
      <w:r>
        <w:rPr>
          <w:i/>
          <w:iCs/>
          <w:sz w:val="16"/>
          <w:szCs w:val="16"/>
        </w:rPr>
        <w:t xml:space="preserve">. </w:t>
      </w:r>
      <w:r>
        <w:t xml:space="preserve">Esto desconociendo los fundamentos de la normativa que reconocen las barreras estructurales para el acceso al empleo formal que enfrentan las personas travestis y </w:t>
      </w:r>
      <w:proofErr w:type="gramStart"/>
      <w:r>
        <w:t>trans</w:t>
      </w:r>
      <w:r w:rsidR="004C1EAD">
        <w:t>.</w:t>
      </w:r>
      <w:r>
        <w:t>.</w:t>
      </w:r>
      <w:proofErr w:type="gramEnd"/>
      <w:r>
        <w:t xml:space="preserve"> La respuesta del Estado</w:t>
      </w:r>
      <w:r w:rsidR="004C1EAD">
        <w:t xml:space="preserve"> </w:t>
      </w:r>
      <w:r>
        <w:t xml:space="preserve">representa una </w:t>
      </w:r>
      <w:proofErr w:type="gramStart"/>
      <w:r>
        <w:t>clara  contradicción</w:t>
      </w:r>
      <w:proofErr w:type="gramEnd"/>
      <w:r>
        <w:t xml:space="preserve"> con el artículo 4 de la Convención.</w:t>
      </w:r>
    </w:p>
    <w:p w14:paraId="649C26C5" w14:textId="69066607" w:rsidR="00040A11" w:rsidRDefault="00000000">
      <w:pPr>
        <w:jc w:val="both"/>
      </w:pPr>
      <w:r>
        <w:t>Además de lo establecido en la normativa argentina, la CEDAW indica, en el artículo 10 que los Estados deberán adoptar medidas a fin de garantizar “El derecho a las mismas oportunidades de empleo, inclusive a la aplicación de los mismos criterios de selección en cuestiones de empleo” para todos los géneros y “El derecho a elegir libremente profesión y empleo, el derecho al ascenso, a la estabilidad en el empleo”. En este sentido, a las travestis objeto de este informe el Estado argentino no le</w:t>
      </w:r>
      <w:r w:rsidR="004C1EAD">
        <w:t>s</w:t>
      </w:r>
      <w:r>
        <w:t xml:space="preserve"> permite </w:t>
      </w:r>
      <w:r w:rsidR="004C1EAD">
        <w:t xml:space="preserve">esta </w:t>
      </w:r>
      <w:r>
        <w:t xml:space="preserve">opción de empleo debido a la violencia social, cultural, y económica a la que están expuestas. </w:t>
      </w:r>
      <w:r w:rsidR="004C1EAD">
        <w:t>S</w:t>
      </w:r>
      <w:r>
        <w:t>i bien la Ley N°27.636 implicó en parte un reconocimiento formal de un reclamo histórico</w:t>
      </w:r>
      <w:r w:rsidR="004C1EAD">
        <w:t xml:space="preserve"> </w:t>
      </w:r>
      <w:r w:rsidR="007E6959">
        <w:t>-</w:t>
      </w:r>
      <w:r w:rsidR="004C1EAD">
        <w:t xml:space="preserve">el </w:t>
      </w:r>
      <w:r>
        <w:t>derecho al trabajo de las personas travesti trans</w:t>
      </w:r>
      <w:r w:rsidR="007E6959">
        <w:t>-</w:t>
      </w:r>
      <w:r>
        <w:t xml:space="preserve"> y de la existencia de desigualdades estructurales para el acceso, su implementación resultó ineficiente. Al no contar con un plan federal, las provincias lo implementaron de manera dispar. Incluso </w:t>
      </w:r>
      <w:proofErr w:type="gramStart"/>
      <w:r w:rsidR="007E6959">
        <w:t xml:space="preserve">así </w:t>
      </w:r>
      <w:r>
        <w:t>,</w:t>
      </w:r>
      <w:proofErr w:type="gramEnd"/>
      <w:r>
        <w:t xml:space="preserve"> </w:t>
      </w:r>
      <w:proofErr w:type="gramStart"/>
      <w:r>
        <w:t>el cese de su aplicación junto con el despido de trabajadoras implican</w:t>
      </w:r>
      <w:proofErr w:type="gramEnd"/>
      <w:r>
        <w:t xml:space="preserve"> un grave retroceso en términos de acceso a un trabajo digno para travestis y trans en Argentina.</w:t>
      </w:r>
    </w:p>
    <w:p w14:paraId="55883665" w14:textId="3584F941" w:rsidR="00040A11" w:rsidRDefault="00000000">
      <w:pPr>
        <w:jc w:val="both"/>
      </w:pPr>
      <w:r>
        <w:t xml:space="preserve">La histórica exclusión del mercado formal de trabajo acarrea graves consecuencias para este colectivo que llega a la vejez sin aportes previsionales, con cuerpos cansados marcados por la marginación, la violencia y el hostigamiento. Esto contrariamente a lo establecido en el artículo 11 de la CEDAW según el que los Estados “adoptarán todas las medidas apropiadas para eliminar la discriminación contra la mujer en la esfera del empleo a fin de asegurar a la mujer, en condiciones de igualdad con los hombres, los mismos derechos, en particular (...) El derecho a la seguridad social, en particular en casos de jubilación, desempleo, enfermedad, invalidez, vejez u otra incapacidad para trabajar, así como el derecho a vacaciones pagadas”. </w:t>
      </w:r>
    </w:p>
    <w:p w14:paraId="4265BB0F" w14:textId="42A3AAB6" w:rsidR="00040A11" w:rsidRDefault="00000000">
      <w:pPr>
        <w:jc w:val="both"/>
      </w:pPr>
      <w:r>
        <w:t>Una de las entrevistadas expres</w:t>
      </w:r>
      <w:r w:rsidR="007E6959">
        <w:t>ó</w:t>
      </w:r>
      <w:r>
        <w:t xml:space="preserve">: “El no haber accedido al estudio. ¡Qué tema! Porque todas tenemos la capacidad de estudiar, de ser alguien, de aprender un oficio, de haber hecho aportes. Y ahora nos vemos en la situación de ser adultas, sin trabajo registrado, sin aportes, sin jubilación. </w:t>
      </w:r>
      <w:r>
        <w:lastRenderedPageBreak/>
        <w:t>Todo el sistema me viene a la mente que si hubiese podido acceder a un sistema educativo donde hubiera estado integrada como persona normal, ser aceptadas, capaz en este momento era otra mi realidad” (P. A.).</w:t>
      </w:r>
    </w:p>
    <w:p w14:paraId="39A9BE49" w14:textId="77777777" w:rsidR="00C5620C" w:rsidRPr="00C5620C" w:rsidRDefault="00C5620C">
      <w:pPr>
        <w:jc w:val="both"/>
      </w:pPr>
    </w:p>
    <w:p w14:paraId="53C60A16" w14:textId="77777777" w:rsidR="00040A11" w:rsidRDefault="00000000">
      <w:pPr>
        <w:jc w:val="both"/>
      </w:pPr>
      <w:r>
        <w:rPr>
          <w:b/>
          <w:bCs/>
        </w:rPr>
        <w:t xml:space="preserve">Vivienda y condiciones de vida </w:t>
      </w:r>
      <w:r>
        <w:t>(Artículo 14 CEDAW)</w:t>
      </w:r>
    </w:p>
    <w:p w14:paraId="6F7DCD73" w14:textId="6B7D28A6" w:rsidR="00040A11" w:rsidRDefault="00000000">
      <w:pPr>
        <w:jc w:val="both"/>
      </w:pPr>
      <w:r>
        <w:t>Según señala un informe del Ministerio Público de la Defensa de CABA</w:t>
      </w:r>
      <w:r>
        <w:rPr>
          <w:vertAlign w:val="superscript"/>
        </w:rPr>
        <w:footnoteReference w:id="11"/>
      </w:r>
      <w:r>
        <w:t xml:space="preserve">, en el año 2016 la mayoría de las travestis y trans de la ciudad vivían en condiciones precarias: el 65,1 % vivía en cuartos de alquiler ya fuera de hoteles, casas particulares, pensiones o departamentos. El acceso a una vivienda alquilada se reducía a un 22,5% y sólo el 5,9 % accedía a una casa propia. Además, </w:t>
      </w:r>
      <w:r w:rsidR="007E6959">
        <w:t>e</w:t>
      </w:r>
      <w:r>
        <w:t xml:space="preserve">l 50 </w:t>
      </w:r>
      <w:proofErr w:type="gramStart"/>
      <w:r>
        <w:t>%  carecía</w:t>
      </w:r>
      <w:proofErr w:type="gramEnd"/>
      <w:r>
        <w:t xml:space="preserve"> de contrato escrito (alquilaba “de palabra”) o lo tenía a nombre de otra persona. Por último, cabe señalar que el 3,6% se encontraba en situación de calle. </w:t>
      </w:r>
    </w:p>
    <w:p w14:paraId="483F9E5A" w14:textId="3B8D4FEE" w:rsidR="00040A11" w:rsidRDefault="00000000">
      <w:pPr>
        <w:jc w:val="both"/>
      </w:pPr>
      <w:r>
        <w:t xml:space="preserve">Si bien el encontrarse en “situación de calle" constituye un argumento para acceder a diversos programas sociales del GCBA, como el subsidio habitacional (Decreto </w:t>
      </w:r>
      <w:proofErr w:type="spellStart"/>
      <w:r>
        <w:t>Nº</w:t>
      </w:r>
      <w:proofErr w:type="spellEnd"/>
      <w:r>
        <w:t xml:space="preserve"> 690)</w:t>
      </w:r>
      <w:r>
        <w:rPr>
          <w:vertAlign w:val="superscript"/>
        </w:rPr>
        <w:footnoteReference w:id="12"/>
      </w:r>
      <w:r>
        <w:t xml:space="preserve"> difícilmente se otorga a personas travestis y trans, quienes, producto de la informalidad a la que se ven forzadas a vivir, no consiguen reunir los requisitos exigidos</w:t>
      </w:r>
      <w:r w:rsidR="007E6959">
        <w:t xml:space="preserve"> para hacerlo</w:t>
      </w:r>
      <w:r>
        <w:t>.</w:t>
      </w:r>
    </w:p>
    <w:p w14:paraId="4BAAB9FD" w14:textId="2A4B4E01" w:rsidR="00040A11" w:rsidRDefault="00000000">
      <w:pPr>
        <w:jc w:val="both"/>
      </w:pPr>
      <w:r>
        <w:t xml:space="preserve">Otro dato significativo, es que del total de personas que </w:t>
      </w:r>
      <w:r w:rsidR="007E6959">
        <w:t>comparte</w:t>
      </w:r>
      <w:r>
        <w:t xml:space="preserve"> habitación para resolver su situación habitacional, un 25 % l</w:t>
      </w:r>
      <w:r w:rsidR="007E6959">
        <w:t xml:space="preserve">o hace </w:t>
      </w:r>
      <w:r>
        <w:t xml:space="preserve">con 3 o más personas, considerado una condición de hacinamiento crítico.  </w:t>
      </w:r>
    </w:p>
    <w:p w14:paraId="6FADE9D6" w14:textId="5AE5ED2F" w:rsidR="00040A11" w:rsidRDefault="007E6959">
      <w:pPr>
        <w:jc w:val="both"/>
      </w:pPr>
      <w:r>
        <w:t xml:space="preserve">Las </w:t>
      </w:r>
      <w:r w:rsidR="00000000">
        <w:t xml:space="preserve">personas entrevistadas presentan diversas situaciones habitacionales coincidentes con esta fotografía censal del 2017: feminidades travestis trans que alquilan habitación de un hotel o pensión; quienes regresaron a habitar la casa familiar que habían dejado de pequeñas o en la adolescencia; quienes pudieron realizar una pequeña construcción dentro de un terreno familiar o en un terreno de barrio popular o un asentamiento precario; quienes acceden al alquiler de un departamento en el mercado formal a partir de un amparo judicial que habilitó el acceso a un subsidio habitacional (Decreto </w:t>
      </w:r>
      <w:proofErr w:type="spellStart"/>
      <w:r w:rsidR="00000000">
        <w:t>N°</w:t>
      </w:r>
      <w:proofErr w:type="spellEnd"/>
      <w:r w:rsidR="00000000">
        <w:t xml:space="preserve"> 690) y finalmente quienes se exiliaron y alquilan viviendas en el exterior junto a sus parejas. </w:t>
      </w:r>
    </w:p>
    <w:p w14:paraId="7DF0A927" w14:textId="4A4B983D" w:rsidR="00040A11" w:rsidRDefault="00000000">
      <w:pPr>
        <w:jc w:val="both"/>
      </w:pPr>
      <w:r>
        <w:t xml:space="preserve">La precariedad habitacional es una experiencia que atraviesa la trayectoria de vida de las travestis y trans y configura una situación de inestabilidad y fragilidad que las somete a mudanzas reiteradas, desalojos forzados y situaciones de violencia a partir de la exigencia de </w:t>
      </w:r>
      <w:proofErr w:type="spellStart"/>
      <w:r>
        <w:t>compartirviviendas</w:t>
      </w:r>
      <w:proofErr w:type="spellEnd"/>
      <w:r>
        <w:t xml:space="preserve">. Cabe </w:t>
      </w:r>
      <w:proofErr w:type="gramStart"/>
      <w:r>
        <w:t>señalar,  que</w:t>
      </w:r>
      <w:proofErr w:type="gramEnd"/>
      <w:r>
        <w:t xml:space="preserve"> muchas de ellas vivieron en algún momento de su vida en situación de calle </w:t>
      </w:r>
      <w:r w:rsidR="007E6959">
        <w:t xml:space="preserve">o en riesgo de hacerlo </w:t>
      </w:r>
      <w:r>
        <w:t xml:space="preserve">al estar alojadas en institutos de menores, cárceles u hospitales psiquiátricos. Las carencias económicas que causan esta inestabilidad </w:t>
      </w:r>
      <w:proofErr w:type="gramStart"/>
      <w:r>
        <w:t>residencial,</w:t>
      </w:r>
      <w:proofErr w:type="gramEnd"/>
      <w:r>
        <w:t xml:space="preserve"> repercuten en la salud física y mental la vulnerabilidad en la vejez.</w:t>
      </w:r>
    </w:p>
    <w:p w14:paraId="14964B76" w14:textId="56015E2B" w:rsidR="00040A11" w:rsidRDefault="007E6959">
      <w:pPr>
        <w:jc w:val="both"/>
      </w:pPr>
      <w:r>
        <w:lastRenderedPageBreak/>
        <w:t>O</w:t>
      </w:r>
      <w:r w:rsidR="00000000">
        <w:t xml:space="preserve">tro rasgo compartido entre las </w:t>
      </w:r>
      <w:proofErr w:type="gramStart"/>
      <w:r w:rsidR="00000000">
        <w:t>entrevistadas,</w:t>
      </w:r>
      <w:proofErr w:type="gramEnd"/>
      <w:r w:rsidR="00000000">
        <w:t xml:space="preserve"> se relaciona con la edad temprana en la que dejaron la vivienda familiar y que suele ser coincidente con el momento de asumir la identidad de género y el consecuente rechazo y expulsión familiar. M. L. T. refiere que su madre le decía “vos acá no </w:t>
      </w:r>
      <w:proofErr w:type="gramStart"/>
      <w:r w:rsidR="00000000">
        <w:t>podes</w:t>
      </w:r>
      <w:proofErr w:type="gramEnd"/>
      <w:r w:rsidR="00000000">
        <w:t xml:space="preserve"> vivir, </w:t>
      </w:r>
      <w:proofErr w:type="spellStart"/>
      <w:r w:rsidR="00000000">
        <w:t>sos</w:t>
      </w:r>
      <w:proofErr w:type="spellEnd"/>
      <w:r w:rsidR="00000000">
        <w:t xml:space="preserve"> una vergüenza”. Hay travestis que dejaron su casa durante el transcurso de sus estudios primarios, otras en el transcurso de la adolescencia. En ocasiones, esa salida coincide con migraciones internas, dentro del país, hacia otras localidades o provincias. La ausencia de redes de apoyo familiares contrasta con las redes de apoyo que supieron construir entre ellas, tejiendo su propia comunidad en un contexto frágil, de precariedad económica, de discriminación social y </w:t>
      </w:r>
      <w:r w:rsidR="00E629DF">
        <w:t>persecución</w:t>
      </w:r>
      <w:r w:rsidR="00000000">
        <w:t xml:space="preserve"> policial. Travestis y trans mayores cuidaron, alojaron y contuvieron a las más pequeñas en los procesos de transición y en su </w:t>
      </w:r>
      <w:r w:rsidR="00E629DF">
        <w:t>devenir adu</w:t>
      </w:r>
      <w:r w:rsidR="00000000">
        <w:t xml:space="preserve">ltas. </w:t>
      </w:r>
    </w:p>
    <w:p w14:paraId="64D99EF1" w14:textId="77777777" w:rsidR="00040A11" w:rsidRDefault="00040A11">
      <w:pPr>
        <w:jc w:val="both"/>
      </w:pPr>
    </w:p>
    <w:p w14:paraId="0BB382C8" w14:textId="77777777" w:rsidR="00040A11" w:rsidRDefault="00000000">
      <w:pPr>
        <w:jc w:val="both"/>
      </w:pPr>
      <w:r>
        <w:rPr>
          <w:b/>
          <w:bCs/>
        </w:rPr>
        <w:t xml:space="preserve">Graves y continuas secuelas en la salud física y mental </w:t>
      </w:r>
      <w:r>
        <w:t>(Artículo 12 CEDAW)</w:t>
      </w:r>
    </w:p>
    <w:p w14:paraId="00ACF678" w14:textId="0566AB19" w:rsidR="00040A11" w:rsidRDefault="00000000">
      <w:pPr>
        <w:jc w:val="both"/>
      </w:pPr>
      <w:r>
        <w:t xml:space="preserve">El acceso al derecho a la salud se </w:t>
      </w:r>
      <w:r w:rsidR="00E629DF">
        <w:t xml:space="preserve">vio </w:t>
      </w:r>
      <w:r>
        <w:t>históricamente obstaculizado para la población travesti-trans. Las barreras en el acceso se configuran a partir del estigma y la discriminación sistemáticos contra sus identidades por parte de la sociedad, instituciones científicas y médicas, la prensa</w:t>
      </w:r>
      <w:r w:rsidR="00E629DF">
        <w:t xml:space="preserve"> y </w:t>
      </w:r>
      <w:r>
        <w:t>el Estado, debido a la falta de políticas públicas específicas dirigidas a esta población</w:t>
      </w:r>
      <w:r>
        <w:rPr>
          <w:vertAlign w:val="superscript"/>
        </w:rPr>
        <w:footnoteReference w:id="13"/>
      </w:r>
      <w:r>
        <w:t xml:space="preserve">. </w:t>
      </w:r>
    </w:p>
    <w:p w14:paraId="06781BD6" w14:textId="6DAC1608" w:rsidR="00040A11" w:rsidRDefault="00000000">
      <w:pPr>
        <w:jc w:val="both"/>
      </w:pPr>
      <w:r>
        <w:t xml:space="preserve">P. A. relata “La atención era de terror. Como te trataban en la guardia era tremendo, años atrás era tremendo. Una no quería ir al médico para no pasar vergüenza. Para no irte más deprimida. Te trataban con asco (...) como haciéndolo adrede, nos llamaban gritando el nombre de varón. Y se levantaba una de 2 metros travesti rubia. Te hacían sentir… y la gente burlándose, </w:t>
      </w:r>
      <w:proofErr w:type="spellStart"/>
      <w:r>
        <w:t>denigrandote</w:t>
      </w:r>
      <w:proofErr w:type="spellEnd"/>
      <w:r>
        <w:t>”.</w:t>
      </w:r>
    </w:p>
    <w:p w14:paraId="48D083BC" w14:textId="7E563E77" w:rsidR="00040A11" w:rsidRDefault="00000000">
      <w:pPr>
        <w:jc w:val="both"/>
      </w:pPr>
      <w:r>
        <w:t>La falta de acceso</w:t>
      </w:r>
      <w:r w:rsidR="00E629DF">
        <w:t xml:space="preserve"> se relaciona </w:t>
      </w:r>
      <w:r>
        <w:t>con las condiciones precarias y violentas a las que se vieron expuestas en sus recorridos vitales. La exclusión sistemática y la discriminación limitan las posibilidades de priorizar la salud personal, ya que la supervivencia diaria de las personas marginadas se ve comprometida por su aislamiento de los ámbitos económico, político y cultural de las comunidades donde residen</w:t>
      </w:r>
      <w:r>
        <w:rPr>
          <w:vertAlign w:val="superscript"/>
        </w:rPr>
        <w:footnoteReference w:id="14"/>
      </w:r>
      <w:r>
        <w:t>.</w:t>
      </w:r>
    </w:p>
    <w:p w14:paraId="025AA1F8" w14:textId="701B2A18" w:rsidR="00040A11" w:rsidRDefault="00000000">
      <w:pPr>
        <w:jc w:val="both"/>
      </w:pPr>
      <w:r>
        <w:t xml:space="preserve">El Estado argentino avanzó en el establecimiento de normativa que permita el acceso al derecho a la salud de la población travesti trans, tales como la ley de Identidad de Género, </w:t>
      </w:r>
      <w:r w:rsidR="00E629DF">
        <w:t xml:space="preserve">que </w:t>
      </w:r>
      <w:r>
        <w:t xml:space="preserve">garantiza la cobertura de prestaciones específicas y la Ley Nacional de Salud Mental que establece una mirada </w:t>
      </w:r>
      <w:proofErr w:type="spellStart"/>
      <w:r>
        <w:t>despatologizante</w:t>
      </w:r>
      <w:proofErr w:type="spellEnd"/>
      <w:r>
        <w:t xml:space="preserve"> </w:t>
      </w:r>
      <w:r w:rsidR="00E629DF">
        <w:t xml:space="preserve">de </w:t>
      </w:r>
      <w:r>
        <w:t>las identidades trans. Sin embargo, estas leyes en el caso de las vejeces travestis y trans no significaron un mayor impacto</w:t>
      </w:r>
      <w:r w:rsidR="00E629DF">
        <w:t xml:space="preserve">. </w:t>
      </w:r>
      <w:proofErr w:type="gramStart"/>
      <w:r w:rsidR="00E629DF">
        <w:t>A</w:t>
      </w:r>
      <w:r>
        <w:t>l día de hoy</w:t>
      </w:r>
      <w:proofErr w:type="gramEnd"/>
      <w:r>
        <w:t xml:space="preserve"> presentan secuelas en su salud integral específicas difíciles de revertir. </w:t>
      </w:r>
    </w:p>
    <w:p w14:paraId="6A045313" w14:textId="4597943B" w:rsidR="00040A11" w:rsidRDefault="00000000">
      <w:pPr>
        <w:jc w:val="both"/>
      </w:pPr>
      <w:r>
        <w:t xml:space="preserve">El primer grupo de estas secuelas en la salud tiene que ver con las intervenciones para la modificación corporal acorde a sus identidades, las cuales se realizaron sin asistencia médica, de </w:t>
      </w:r>
      <w:r>
        <w:lastRenderedPageBreak/>
        <w:t xml:space="preserve">manera clandestina, y con desinformación sobre el impacto que podía generarse a futuro. En particular nos referimos a la colocación de silicona industrial y sus desplazamientos en los cuerpos, a la </w:t>
      </w:r>
      <w:proofErr w:type="spellStart"/>
      <w:r>
        <w:t>hormonización</w:t>
      </w:r>
      <w:proofErr w:type="spellEnd"/>
      <w:r>
        <w:t xml:space="preserve"> sin supervisión médica: “nosotras no teníamos acceso a la salud antes de 2012, entonces la construcción de nuestros cuerpos para la construcción de nuestra identidad era con la automedicación de hormonas o el inyectarnos productos que no eran aptos para la salud” (B. C.)</w:t>
      </w:r>
    </w:p>
    <w:p w14:paraId="42F3F1A5" w14:textId="77777777" w:rsidR="00040A11" w:rsidRDefault="00000000">
      <w:pPr>
        <w:jc w:val="both"/>
      </w:pPr>
      <w:r>
        <w:t>Según un informe del Ministerio Público de Defensa de la Ciudad Autónoma de Buenos Aires</w:t>
      </w:r>
      <w:r>
        <w:rPr>
          <w:vertAlign w:val="superscript"/>
        </w:rPr>
        <w:footnoteReference w:id="15"/>
      </w:r>
      <w:r>
        <w:t xml:space="preserve">, los tratamientos por los cuales las personas trans suelen acudir al sistema de salud son: VIH (62,5%), </w:t>
      </w:r>
      <w:proofErr w:type="spellStart"/>
      <w:r>
        <w:t>hormonización</w:t>
      </w:r>
      <w:proofErr w:type="spellEnd"/>
      <w:r>
        <w:t xml:space="preserve"> (18,1%), problemas derivados de la silicona industrial (4.2%), terapia psicológica (4,2%), otras enfermedades (11,1%).</w:t>
      </w:r>
    </w:p>
    <w:p w14:paraId="238A2D72" w14:textId="4A87D774" w:rsidR="00040A11" w:rsidRDefault="00E629DF">
      <w:pPr>
        <w:jc w:val="both"/>
      </w:pPr>
      <w:r>
        <w:t>L</w:t>
      </w:r>
      <w:r w:rsidR="00000000">
        <w:t xml:space="preserve">as intervenciones corporales realizadas a lo largo de la vida constituyen una de las principales fuentes de secuelas en la salud integral de las vejeces trans. La necesidad de adecuar sus cuerpos a la identidad sentida y, a la vez, a los mandatos estéticos exigidos por el trabajo sexual, dio lugar a prácticas reiteradas y prolongadas en el tiempo, muchas de ellas sin acceso a controles médicos ni información adecuada. Entre estas transformaciones destacan la colocación de prótesis mamarias o silicona (frecuentemente condicionada por los recursos económicos disponibles) y la </w:t>
      </w:r>
      <w:proofErr w:type="spellStart"/>
      <w:r w:rsidR="00000000">
        <w:t>hormonización</w:t>
      </w:r>
      <w:proofErr w:type="spellEnd"/>
      <w:r w:rsidR="00000000">
        <w:t xml:space="preserve"> sostenida de por vida, orientada a la feminización corporal. Este proceso es vivido como una construcción permanente y nunca concluida del cuerpo, e implica un desgaste progresivo de la salud.</w:t>
      </w:r>
      <w:r w:rsidR="00000000">
        <w:rPr>
          <w:vertAlign w:val="superscript"/>
        </w:rPr>
        <w:footnoteReference w:id="16"/>
      </w:r>
      <w:r w:rsidR="00000000">
        <w:t xml:space="preserve"> Para muchas de ellas, transformar y mantener el cuerpo feminizado será una constante.</w:t>
      </w:r>
    </w:p>
    <w:p w14:paraId="06FE347A" w14:textId="60858A9D" w:rsidR="00040A11" w:rsidRDefault="00000000">
      <w:pPr>
        <w:jc w:val="both"/>
      </w:pPr>
      <w:r>
        <w:t>El Comité CEDAW ya estableció que “El derecho de las mujeres a una vida libre de violencia por razón de género es indivisible e interdependiente respecto de otros derechos humanos, a saber: los derechos a la vida, la salud, la libertad y la seguridad de la persona, la igualdad y la misma protección en el seno de la familia”</w:t>
      </w:r>
      <w:r>
        <w:rPr>
          <w:vertAlign w:val="superscript"/>
        </w:rPr>
        <w:footnoteReference w:id="17"/>
      </w:r>
      <w:r>
        <w:t xml:space="preserve">. Además, afirmó que “La discriminación de la mujer por motivos de sexo y género está unida de manera indivisible a otros factores que afectan a la mujer, como la raza, el origen étnico, la religión o las creencias, la salud, el estatus, la edad, la clase, la casta, la orientación sexual y la identidad de género. La discriminación por motivos de sexo o género puede afectar a las mujeres de algunos grupos en diferente medida o forma que a los hombres. Los </w:t>
      </w:r>
      <w:proofErr w:type="gramStart"/>
      <w:r>
        <w:t>Estados partes</w:t>
      </w:r>
      <w:proofErr w:type="gramEnd"/>
      <w:r>
        <w:t xml:space="preserve"> deben reconocer y prohibir en sus instrumentos jurídicos estas formas entrecruzadas de discriminación y su impacto negativo combinado en las mujeres afectadas. También deben aprobar y poner en práctica políticas y programas para eliminar estas situaciones y, en particular, cuando corresponda, adoptar medidas especiales de carácter temporal, de conformidad con el párrafo 1 del artículo 4 de la Convención y la Recomendación general </w:t>
      </w:r>
      <w:proofErr w:type="spellStart"/>
      <w:r>
        <w:t>Nº</w:t>
      </w:r>
      <w:proofErr w:type="spellEnd"/>
      <w:r>
        <w:t xml:space="preserve"> 25”</w:t>
      </w:r>
      <w:r>
        <w:rPr>
          <w:vertAlign w:val="superscript"/>
        </w:rPr>
        <w:footnoteReference w:id="18"/>
      </w:r>
      <w:r>
        <w:t xml:space="preserve">. Además de este entendimiento de las formas de discriminación y marginalización se </w:t>
      </w:r>
      <w:r>
        <w:lastRenderedPageBreak/>
        <w:t xml:space="preserve">entrecruzan y refuerzan, es preciso hablar de los modos de </w:t>
      </w:r>
      <w:proofErr w:type="spellStart"/>
      <w:r>
        <w:t>invisibilización</w:t>
      </w:r>
      <w:proofErr w:type="spellEnd"/>
      <w:r>
        <w:t xml:space="preserve"> entrecruzada de esas marginalizaciones. La población travesti, en particular, se enfrenta a un andamiaje institucional que las invisibiliza como sujetas de dignidad, integridad, y justicia</w:t>
      </w:r>
      <w:r>
        <w:rPr>
          <w:vertAlign w:val="superscript"/>
        </w:rPr>
        <w:footnoteReference w:id="19"/>
      </w:r>
      <w:r>
        <w:t xml:space="preserve">. Así lo </w:t>
      </w:r>
      <w:r w:rsidR="00E629DF">
        <w:t>indicó</w:t>
      </w:r>
      <w:r w:rsidR="00E629DF">
        <w:t xml:space="preserve"> </w:t>
      </w:r>
      <w:r>
        <w:t xml:space="preserve">el Comité al entender la interseccionalidad en la discriminación basada en estereotipos de género: “La discriminación contra la mujer, sobre la base de los estereotipos de género, la estigmatización, las normas culturales dañinas y patriarcales y la violencia basada en el género, que afectan particularmente a las mujeres, tienen efectos adversos sobre la capacidad de éstas para obtener acceso a la justicia en pie de igualdad con los hombres. Además, la discriminación contra la mujer se ve agravada por factores interseccionales que afectan a algunas mujeres en diferente grado o de diferente forma que a los hombres y otras mujeres. Las causas de la discriminación interseccional o compuesta pueden incluir la etnia y la raza, la condición de minoría o indígena, el color, la situación socioeconómica y/o las castas, el idioma, la religión o las creencias, la opinión política, el origen nacional, el estado civil y/o </w:t>
      </w:r>
      <w:proofErr w:type="spellStart"/>
      <w:r>
        <w:t>ma</w:t>
      </w:r>
      <w:proofErr w:type="spellEnd"/>
      <w:r>
        <w:t xml:space="preserve"> </w:t>
      </w:r>
      <w:proofErr w:type="spellStart"/>
      <w:r>
        <w:t>ternal</w:t>
      </w:r>
      <w:proofErr w:type="spellEnd"/>
      <w:r>
        <w:t xml:space="preserve">, la localización urbana o rural, el estado de salud, la discapacidad, la propiedad de los bienes y el hecho de ser mujeres lesbianas, bisexuales, intersexuales.” Sobre este punto, </w:t>
      </w:r>
      <w:r w:rsidR="00E629DF">
        <w:t xml:space="preserve">debe destacarse </w:t>
      </w:r>
      <w:proofErr w:type="gramStart"/>
      <w:r>
        <w:t>que</w:t>
      </w:r>
      <w:proofErr w:type="gramEnd"/>
      <w:r>
        <w:t xml:space="preserve"> frente a la </w:t>
      </w:r>
      <w:proofErr w:type="gramStart"/>
      <w:r>
        <w:t>heterogeneidad ,</w:t>
      </w:r>
      <w:proofErr w:type="gramEnd"/>
      <w:r>
        <w:t xml:space="preserve"> un enfoque segmentado (de género, étnico-racial, de clase, desde las infancias o la discapacidad, entre otros) dejaría por fuera las experiencias de personas con distintas identidades y que esto </w:t>
      </w:r>
      <w:r w:rsidR="00E629DF">
        <w:t>perpetuaría</w:t>
      </w:r>
      <w:r>
        <w:t xml:space="preserve"> una marginación sostenida por un sistema que ya ha dejado de lado a quienes no son mayoría. Es necesario adoptar una perspectiva que comprenda y reivindique la diversidad y apostar a un enfoque interseccional.</w:t>
      </w:r>
    </w:p>
    <w:p w14:paraId="612FD96D" w14:textId="7E238472" w:rsidR="00040A11" w:rsidRDefault="00000000">
      <w:pPr>
        <w:jc w:val="both"/>
      </w:pPr>
      <w:r>
        <w:t>La falta de acceso a la salud de calidad de las personas travesti trans en Argentina es el resultado visible de mecanismos de exclusión. El Estado argentino incumple sus obligaciones internacionales al no garantizar los derechos y no implementar políticas que permitan el acceso a la salud de calidad en igualdad de condiciones que el resto de la población.</w:t>
      </w:r>
    </w:p>
    <w:p w14:paraId="03B511C7" w14:textId="77777777" w:rsidR="00040A11" w:rsidRDefault="00040A11">
      <w:pPr>
        <w:jc w:val="both"/>
      </w:pPr>
    </w:p>
    <w:p w14:paraId="5477B757" w14:textId="77777777" w:rsidR="00040A11" w:rsidRDefault="00000000">
      <w:pPr>
        <w:jc w:val="both"/>
      </w:pPr>
      <w:r>
        <w:rPr>
          <w:b/>
          <w:bCs/>
        </w:rPr>
        <w:t>La familia social: cuidado entre pares</w:t>
      </w:r>
      <w:r>
        <w:t xml:space="preserve"> (Artículos 5 y 19 CEDAW)</w:t>
      </w:r>
    </w:p>
    <w:p w14:paraId="0FC1595A" w14:textId="283C5E88" w:rsidR="00040A11" w:rsidRDefault="00E629DF">
      <w:pPr>
        <w:jc w:val="both"/>
      </w:pPr>
      <w:r>
        <w:t>P</w:t>
      </w:r>
      <w:r w:rsidR="00000000">
        <w:t>ersonas trans entrevistadas describen dinámicas tempranas de expulsión familiar, seguidas por períodos de vulnerabilidad extrema. En ese punto, son otras travestis y trans quienes aparecen como sostén primario, acompañando procesos de transición, compartiendo viviendas precarias, enseñando modos de sobrevivir en contextos hostiles, aportando modelos identitarios y trasladando saberes médicos básicos o estrategias de prevención ante abusos policiales. Testimonios como “En esos momentos solo pensaba en sobrevivir, yo no sabía hacer otra cosa. P. me enseñó a vivir” (H. Z.), condensan el carácter pedagógico, afectivo y vital del cuidado entre pares: no se trata únicamente de contención emocional, sino de la transmisión de un repertorio integral de conocimientos y prácticas que permiten navegar la hostilidad estructural.</w:t>
      </w:r>
    </w:p>
    <w:p w14:paraId="078D95E2" w14:textId="2F033E1B" w:rsidR="00040A11" w:rsidRDefault="00000000">
      <w:pPr>
        <w:jc w:val="both"/>
      </w:pPr>
      <w:r>
        <w:t xml:space="preserve">Los espacios de vida compartida entre travestis y trans —piezas de hotel, pensiones, habitaciones colectivas, casas prestadas— funcionan como microsistemas de mutualidad donde la colaboración </w:t>
      </w:r>
      <w:r>
        <w:lastRenderedPageBreak/>
        <w:t xml:space="preserve">cotidiana resulta imprescindible. Se asocian ingresos, se reparten gastos, se cuidan unas a otras en momentos de enfermedad o abstinencia, y se acompaña en situaciones de violencia institucional. Este esquema permite suplir la ausencia de un Estado que, aún </w:t>
      </w:r>
      <w:proofErr w:type="gramStart"/>
      <w:r>
        <w:t>al día de hoy</w:t>
      </w:r>
      <w:proofErr w:type="gramEnd"/>
      <w:r>
        <w:t>, no ha garantizado protección básica en las áreas de salud, trabajo, justicia ni vivienda.</w:t>
      </w:r>
    </w:p>
    <w:p w14:paraId="5DBBBDD1" w14:textId="77777777" w:rsidR="00040A11" w:rsidRDefault="00000000">
      <w:pPr>
        <w:jc w:val="both"/>
      </w:pPr>
      <w:r>
        <w:t xml:space="preserve">Las entrevistas también muestran que muchas asumieron a lo largo de su vida roles de cuidado hacia otras personas, principalmente familiares, hijo/as, parejas, amigas, compañeras mayores, parejas enfermas. El cuidado que ejercen es múltiple: sanitario (acompañamiento a hospitales, ayuda en tratamientos y recuperación, asistencia en situaciones de discapacidad), emocional (contención en situaciones de violencia, apoyo frente al duelo, acompañamiento ante procesos policiales o sanitarios), material (compartir vivienda, comida, dinero, medicación), y comunitario-organizativo (militancia, documentación de memorias, creación de archivos y acompañamientos colectivos). Asimismo, existen formas de cuidado intergeneracional, donde las mayores no sólo </w:t>
      </w:r>
      <w:proofErr w:type="gramStart"/>
      <w:r>
        <w:t>cuidan</w:t>
      </w:r>
      <w:proofErr w:type="gramEnd"/>
      <w:r>
        <w:t xml:space="preserve"> sino que preservan relatos que permiten a las generaciones jóvenes comprender la violencia histórica y sus resistencias.</w:t>
      </w:r>
    </w:p>
    <w:p w14:paraId="066DD60B" w14:textId="35326792" w:rsidR="00040A11" w:rsidRDefault="00000000">
      <w:pPr>
        <w:jc w:val="both"/>
      </w:pPr>
      <w:r>
        <w:t>Así lo relata L. B., “</w:t>
      </w:r>
      <w:r>
        <w:rPr>
          <w:i/>
          <w:iCs/>
        </w:rPr>
        <w:t>muchas personas trans de más de 50 años no tenemos familia</w:t>
      </w:r>
      <w:r>
        <w:t>” (L. B.). La familia social, o la familia elegida, son les amigues. En su sitio web</w:t>
      </w:r>
      <w:r>
        <w:rPr>
          <w:vertAlign w:val="superscript"/>
        </w:rPr>
        <w:footnoteReference w:id="20"/>
      </w:r>
      <w:r>
        <w:t>, dice: “</w:t>
      </w:r>
      <w:r>
        <w:rPr>
          <w:i/>
          <w:iCs/>
        </w:rPr>
        <w:t>Los relatos de Cumbia, copeteo y lágrimas (2007) y La gesta del nombre propio (2005) revelan cómo las travestis construimos familia desde el afecto, la convivencia y el sostén mutuo: Nosotras nos criamos entre nosotras. Nos enseñamos a caminar, a maquillarnos, a defendernos. Mi familia es la que me abrazó cuando me echaron de casa. La familia social también se despliega en los relatos del</w:t>
      </w:r>
      <w:hyperlink r:id="rId7">
        <w:r w:rsidR="00040A11">
          <w:rPr>
            <w:i/>
            <w:iCs/>
          </w:rPr>
          <w:t xml:space="preserve"> Archivo de la Memoria Trans</w:t>
        </w:r>
      </w:hyperlink>
      <w:r>
        <w:rPr>
          <w:i/>
          <w:iCs/>
        </w:rPr>
        <w:t>, donde se documentan vínculos que funcionaron como madrinazgos, sororidades, acogimientos y linajes afectivos. Estas redes no solo fueron estrategias de sobrevivencia, sino formas legítimas de parentesco</w:t>
      </w:r>
      <w:r>
        <w:t>.”</w:t>
      </w:r>
    </w:p>
    <w:p w14:paraId="3EB912AD" w14:textId="77777777" w:rsidR="00040A11" w:rsidRDefault="00000000">
      <w:pPr>
        <w:jc w:val="both"/>
      </w:pPr>
      <w:r>
        <w:t xml:space="preserve">Esta forma de cuidado está sistemáticamente invisibilizada por las políticas públicas, que suelen limitar el reconocimiento del trabajo de cuidado a modelos </w:t>
      </w:r>
      <w:proofErr w:type="spellStart"/>
      <w:r>
        <w:t>cosanguíneos</w:t>
      </w:r>
      <w:proofErr w:type="spellEnd"/>
      <w:r>
        <w:t xml:space="preserve">, </w:t>
      </w:r>
      <w:proofErr w:type="spellStart"/>
      <w:r>
        <w:t>heteronormados</w:t>
      </w:r>
      <w:proofErr w:type="spellEnd"/>
      <w:r>
        <w:t xml:space="preserve"> y familiares tradicionales. Las tareas realizadas por travestis y trans quedan por fuera de licencias, remuneraciones, reconocimiento de aportes previsionales o programas estatales de apoyo al cuidado, dando cuenta de una precariedad estructural que limita la capacidad de respuesta y expone al agotamiento. El cuidado desgasta a quienes lo ejercen. El acompañamiento ante situaciones extremas —violencia policial, adicciones, cuidados médicos negados, enfermedades crónicas derivadas de prácticas médicas no supervisadas— implica una inversión emocional y física considerable. Las travestis y trans mayores sostuvieron estas prácticas durante décadas, muchas veces mientras atravesaban sus propias crisis de salud o violencia.</w:t>
      </w:r>
    </w:p>
    <w:p w14:paraId="5D0E56E7" w14:textId="77777777" w:rsidR="00040A11" w:rsidRDefault="00000000">
      <w:pPr>
        <w:jc w:val="both"/>
      </w:pPr>
      <w:r>
        <w:t xml:space="preserve">La continuidad de estas dinámicas de cuidado mutuo, sin el alivio de políticas públicas ni el reconocimiento estatal, generan una asimetría entre cuidados brindados y recibidos. Varias relatan haber sido quienes “paraban la olla” o “cuidaban a todas”, pero al envejecer se encuentran solas, enfermas y sin quien las cuide. Las muertes tempranas reducen el tamaño del grupo de pares </w:t>
      </w:r>
      <w:r>
        <w:lastRenderedPageBreak/>
        <w:t>disponibles para sostener a las sobrevivientes. El testimonio de L. B., quien sueña con crear un hogar para adultas mayores trans, surge de su constatación de que muchas envejecen sin familia, sin viviendas seguras, sin ingresos y sin cuidados. La ausencia de dispositivos públicos de cuidado, como hogares, centros diurnos, y residencias con perspectiva de género e identidad, deja a travestis y trans que envejecen en un estado de vulnerabilidad extrema. En Argentina, la expectativa de vida travesti-trans —estimada en torno a los 35-40 años a nivel nacional— implica que muy pocas llegan a la vejez, por lo que el Estado carece de políticas públicas adaptadas a esta realidad. Las redes de cuidado comunitario, desgastadas, resultan insuficientes para hacer frente a las complejas necesidades de salud, vivienda y asistencia cotidiana que implica el envejecimiento.</w:t>
      </w:r>
    </w:p>
    <w:p w14:paraId="2F049073" w14:textId="77777777" w:rsidR="00C5620C" w:rsidRDefault="00C5620C">
      <w:pPr>
        <w:jc w:val="both"/>
        <w:rPr>
          <w:b/>
          <w:bCs/>
        </w:rPr>
      </w:pPr>
    </w:p>
    <w:p w14:paraId="5BC82BFC" w14:textId="77777777" w:rsidR="00040A11" w:rsidRDefault="00000000">
      <w:pPr>
        <w:jc w:val="both"/>
      </w:pPr>
      <w:r>
        <w:rPr>
          <w:b/>
          <w:bCs/>
        </w:rPr>
        <w:t>Agotamiento, desarraigo y comparación generacional</w:t>
      </w:r>
      <w:r>
        <w:t xml:space="preserve"> (Artículos 1; 5 y 10 CEDAW)</w:t>
      </w:r>
    </w:p>
    <w:p w14:paraId="294C4FDE" w14:textId="77777777" w:rsidR="00040A11" w:rsidRDefault="00000000">
      <w:pPr>
        <w:jc w:val="both"/>
      </w:pPr>
      <w:r>
        <w:t>El agotamiento físico y moral de vivir bajo condiciones de exclusión por décadas. El cansancio crónico no es sólo la expresión de dolencias físicas sino de la fatiga psicológica de sostenerse a sí mismas frente a un Estado que no respondió ni protegió.</w:t>
      </w:r>
    </w:p>
    <w:p w14:paraId="6FA0D202" w14:textId="0F6F6D36" w:rsidR="00040A11" w:rsidRDefault="00000000">
      <w:pPr>
        <w:spacing w:after="200"/>
        <w:jc w:val="both"/>
      </w:pPr>
      <w:r>
        <w:t>Las muertes de pares son constantes en los relatos. El duelo colectivo es una trama que atraviesa la memoria personal y colectiva: “Tengo un cementerio en la cabeza” (M.W.), aludiendo a la muerte masiva de compañeras. Entierros improvisados, cuerpos encontrados en la vía pública y funerales organizados por compañeras. La muerte temprana aparece como constancia histórica y condiciona la expectativa de futuro: “</w:t>
      </w:r>
      <w:r>
        <w:rPr>
          <w:i/>
          <w:iCs/>
        </w:rPr>
        <w:t xml:space="preserve">O me toca a mí, o no me </w:t>
      </w:r>
      <w:proofErr w:type="gramStart"/>
      <w:r>
        <w:rPr>
          <w:i/>
          <w:iCs/>
        </w:rPr>
        <w:t>muero</w:t>
      </w:r>
      <w:proofErr w:type="gramEnd"/>
      <w:r>
        <w:rPr>
          <w:i/>
          <w:iCs/>
        </w:rPr>
        <w:t xml:space="preserve"> pero me queda sola</w:t>
      </w:r>
      <w:r>
        <w:t xml:space="preserve">” (M.W.). El sistema hetero-cis-normado parte del no reconocimiento de la autopercepción de personas travestis y trans como base para anular sus derechos. Sobre esto, </w:t>
      </w:r>
      <w:proofErr w:type="spellStart"/>
      <w:r>
        <w:t>Wayar</w:t>
      </w:r>
      <w:proofErr w:type="spellEnd"/>
      <w:r>
        <w:t xml:space="preserve"> acuñó el concepto “</w:t>
      </w:r>
      <w:proofErr w:type="spellStart"/>
      <w:r>
        <w:t>identicidio</w:t>
      </w:r>
      <w:proofErr w:type="spellEnd"/>
      <w:r>
        <w:t>” para entender la eliminación social de la que son víctimas travestis y trans como consecuencia directa de la violencia social e institucional</w:t>
      </w:r>
      <w:r>
        <w:rPr>
          <w:vertAlign w:val="superscript"/>
        </w:rPr>
        <w:footnoteReference w:id="21"/>
      </w:r>
      <w:r>
        <w:t>.</w:t>
      </w:r>
    </w:p>
    <w:p w14:paraId="07A5992E" w14:textId="77777777" w:rsidR="00040A11" w:rsidRDefault="00000000">
      <w:pPr>
        <w:spacing w:after="200"/>
        <w:jc w:val="both"/>
      </w:pPr>
      <w:r>
        <w:t xml:space="preserve">La migración, tanto interna como internacional, aparece con frecuencia en las trayectorias </w:t>
      </w:r>
      <w:proofErr w:type="gramStart"/>
      <w:r>
        <w:t>de las travesti trans</w:t>
      </w:r>
      <w:proofErr w:type="gramEnd"/>
      <w:r>
        <w:t xml:space="preserve">. La movilidad constituye una estrategia recurrente de escape y de búsqueda de mejores condiciones de vida ante la violencia familiar, escolar, laboral y estatal. La expulsión del hogar en la infancia o adolescencia, el hostigamiento escolar y la violencia policial persistente, producen rupturas que empujan a la persona a abandonar su lugar de origen. Las experiencias son diversas en </w:t>
      </w:r>
      <w:proofErr w:type="gramStart"/>
      <w:r>
        <w:t>detalle</w:t>
      </w:r>
      <w:proofErr w:type="gramEnd"/>
      <w:r>
        <w:t xml:space="preserve"> pero convergen en la lógica: la migración es una respuesta instrumental a la precariedad y el peligro. Es una tecnología del cuidado de sí y de la propia vida cuando el Estado y las redes familiares fracasan.</w:t>
      </w:r>
    </w:p>
    <w:p w14:paraId="76F23653" w14:textId="58FB8FB9" w:rsidR="00040A11" w:rsidRDefault="00000000">
      <w:pPr>
        <w:jc w:val="both"/>
      </w:pPr>
      <w:r>
        <w:t xml:space="preserve">Sobre la migración trans, el “carente acompañamiento familiar, sumado a que sus lugares de origen estaban marcados por pautas sociales patriarcales, las condujo a dejar atrás sus hogares, en </w:t>
      </w:r>
      <w:proofErr w:type="spellStart"/>
      <w:r>
        <w:t>pos</w:t>
      </w:r>
      <w:proofErr w:type="spellEnd"/>
      <w:r>
        <w:t xml:space="preserve"> de conseguir un nuevo lugar donde residir, trabajar y concretar su sentir identitario.” El “situarse lejos de sus hogares, sin estudios o experiencia laboral, jóvenes y siendo parte de una sociedad que </w:t>
      </w:r>
      <w:r>
        <w:lastRenderedPageBreak/>
        <w:t>mayoritariamente les daría la espalda, generó que la oferta sexual apareciera como la única posibilidad de supervivencia que nuestra cultura parecía estar dispuesta a ofrecerles.”</w:t>
      </w:r>
      <w:r>
        <w:rPr>
          <w:vertAlign w:val="superscript"/>
        </w:rPr>
        <w:footnoteReference w:id="22"/>
      </w:r>
    </w:p>
    <w:p w14:paraId="451B0C55" w14:textId="77777777" w:rsidR="00040A11" w:rsidRDefault="00000000">
      <w:pPr>
        <w:jc w:val="both"/>
      </w:pPr>
      <w:r>
        <w:t xml:space="preserve">En varios relatos la migración no resulta de una decisión de proyecto a largo plazo sino de una reacción a la insuficiencia de recursos locales. Para muchas, la búsqueda de atención médica no discriminatoria fue y es un motivo de movilidad. Quienes padecieron complicaciones por siliconas, biopolímeros u </w:t>
      </w:r>
      <w:proofErr w:type="spellStart"/>
      <w:r>
        <w:t>hormonizaciones</w:t>
      </w:r>
      <w:proofErr w:type="spellEnd"/>
      <w:r>
        <w:t xml:space="preserve"> no supervisadas vieron en algunos sistemas de salud extranjeros la posibilidad real de atención especializada o mayor respeto institucional.</w:t>
      </w:r>
    </w:p>
    <w:p w14:paraId="39B4EE39" w14:textId="77777777" w:rsidR="00040A11" w:rsidRDefault="00000000">
      <w:pPr>
        <w:jc w:val="both"/>
      </w:pPr>
      <w:r>
        <w:t>Al mismo tiempo, la migración crea nuevas condiciones de vulnerabilidad. Suele implicar precariedad burocrática (residencias temporales, renovaciones anuales de documentación, trámites complejos), aislamiento, costos económicos y otras formas de marginalización (xenofobia, precariedad laboral, explotación).</w:t>
      </w:r>
    </w:p>
    <w:p w14:paraId="6D23D646" w14:textId="77777777" w:rsidR="00040A11" w:rsidRDefault="00000000">
      <w:pPr>
        <w:jc w:val="both"/>
      </w:pPr>
      <w:r>
        <w:t>El proceso migratorio tiene un costo emocional profundo. El desarraigo implica dejar vínculos y redes —familiares, amigos, vecindarios— que, pese al rechazo inicial, a veces ofrecían anclajes afectivos o apoyo material eventual. Las entrevistadas hablan de nostalgia y de la sensación de “no pertenecer” en los lugares de llegada, aun cuando esos lugares representaban mejoras en términos concretos. El exilio, aunque voluntario en parte, produce pérdida de identidades locales, dolor por la distancia respecto de los afectos y una doble condición de vulnerabilidad: ser trans y ser migrante.</w:t>
      </w:r>
    </w:p>
    <w:p w14:paraId="12E025E8" w14:textId="77777777" w:rsidR="00040A11" w:rsidRDefault="00000000">
      <w:pPr>
        <w:jc w:val="both"/>
      </w:pPr>
      <w:r>
        <w:t>El agotamiento también es producto del desgaste de la movilidad constante: trámites, alojamiento inestable, incertidumbre económica y el esfuerzo de reconstruir vida social en cada destino.</w:t>
      </w:r>
    </w:p>
    <w:p w14:paraId="3C1AED1A" w14:textId="77777777" w:rsidR="00040A11" w:rsidRDefault="00040A11">
      <w:pPr>
        <w:jc w:val="both"/>
      </w:pPr>
    </w:p>
    <w:p w14:paraId="7006E4A5" w14:textId="77777777" w:rsidR="00040A11" w:rsidRDefault="00000000">
      <w:pPr>
        <w:jc w:val="both"/>
        <w:rPr>
          <w:b/>
          <w:bCs/>
        </w:rPr>
      </w:pPr>
      <w:r>
        <w:rPr>
          <w:b/>
          <w:bCs/>
        </w:rPr>
        <w:t>Conclusiones</w:t>
      </w:r>
    </w:p>
    <w:p w14:paraId="537E84DA" w14:textId="3669511F" w:rsidR="00040A11" w:rsidRDefault="00605A30">
      <w:pPr>
        <w:jc w:val="both"/>
      </w:pPr>
      <w:r>
        <w:t>L</w:t>
      </w:r>
      <w:r w:rsidR="00000000">
        <w:t>as trayectorias de vida de las travestis y trans están marcadas por la discriminación y/o exclusión familiar, el desigual acceso a la educación y posterior exclusión del mercado laboral formal (excepto en pocos casos) lo que produce una inclusión social desde una posición de exclusión</w:t>
      </w:r>
      <w:r w:rsidR="00000000">
        <w:rPr>
          <w:vertAlign w:val="superscript"/>
        </w:rPr>
        <w:footnoteReference w:id="23"/>
      </w:r>
      <w:r w:rsidR="00000000">
        <w:t xml:space="preserve">. En ella deben llevar a cabo estrategias generadoras de ingresos como la prostitución que </w:t>
      </w:r>
      <w:proofErr w:type="spellStart"/>
      <w:r w:rsidR="00000000">
        <w:t>recrudeccen</w:t>
      </w:r>
      <w:proofErr w:type="spellEnd"/>
      <w:r w:rsidR="00000000">
        <w:t xml:space="preserve"> posiciones marginales acompañadas de violencias y por sobre todo de violencia institucional, con un gran daño a la salud.</w:t>
      </w:r>
    </w:p>
    <w:p w14:paraId="37BB833A" w14:textId="221DD698" w:rsidR="00040A11" w:rsidRDefault="00000000">
      <w:pPr>
        <w:jc w:val="both"/>
      </w:pPr>
      <w:r>
        <w:t xml:space="preserve">Estas experiencias, a su vez, han sido acompañadas de estigmatización y discriminación por motivos de género en los ámbitos cotidianos como el caminar en la calle, tomar un transporte público o realizar una compra además de obligarlas a presenciar el asesinato o la tortura de compañeras. Estas trayectorias explican en parte los datos recabados para la Ciudad Autónoma de Buenos Aires, que indican que las feminidades trans y travestis fallecen, en promedio, a los 32 </w:t>
      </w:r>
      <w:r>
        <w:lastRenderedPageBreak/>
        <w:t>años, producto de la violencia y exclusión social, política y económica estructural y sistemática</w:t>
      </w:r>
      <w:r>
        <w:rPr>
          <w:vertAlign w:val="superscript"/>
        </w:rPr>
        <w:footnoteReference w:id="24"/>
      </w:r>
      <w:r>
        <w:t>. Este dato contrasta fuertemente con los 80 años de esperanza de vida que tienen las mujeres cis en la ciudad</w:t>
      </w:r>
      <w:r>
        <w:rPr>
          <w:vertAlign w:val="superscript"/>
        </w:rPr>
        <w:footnoteReference w:id="25"/>
      </w:r>
      <w:r>
        <w:t>. La diferencia en la expectativa de vida entre la población trans y cis también se sostiene a nivel nacional, siendo de 40 años para la primera y de 76,5 para la segunda (73 varones y 80 mujeres)</w:t>
      </w:r>
      <w:r>
        <w:rPr>
          <w:vertAlign w:val="superscript"/>
        </w:rPr>
        <w:footnoteReference w:id="26"/>
      </w:r>
      <w:r>
        <w:t xml:space="preserve">. A partir de estos datos destacamos el desigual acceso a la vejez como etapa de la vida. </w:t>
      </w:r>
    </w:p>
    <w:p w14:paraId="2FA60E5B" w14:textId="77777777" w:rsidR="00040A11" w:rsidRDefault="00000000">
      <w:pPr>
        <w:jc w:val="both"/>
      </w:pPr>
      <w:r>
        <w:t xml:space="preserve">Es claro que “Si bien señalamos que la edad es un constructo social, para este grupo adquiere mayor significancia, ya que una “vieja trans”, en promedio, estaría cercana a la mitad de la media nacional. Así, se presenta como una vejez relativa </w:t>
      </w:r>
      <w:proofErr w:type="gramStart"/>
      <w:r>
        <w:t>en relación a</w:t>
      </w:r>
      <w:proofErr w:type="gramEnd"/>
      <w:r>
        <w:t xml:space="preserve"> otros miembros del colectivo</w:t>
      </w:r>
      <w:r>
        <w:rPr>
          <w:vertAlign w:val="superscript"/>
        </w:rPr>
        <w:footnoteReference w:id="27"/>
      </w:r>
      <w:r>
        <w:t>. De ese modo, mientras que para el común de la población es una persona joven, dentro del grupo al momento de interactuar con otras personas más jóvenes, es una adulta mayor a pesar de no poseer un cuerpo viejo</w:t>
      </w:r>
      <w:r>
        <w:rPr>
          <w:vertAlign w:val="superscript"/>
        </w:rPr>
        <w:footnoteReference w:id="28"/>
      </w:r>
      <w:r>
        <w:t>, ni de tener la edad correspondiente.”</w:t>
      </w:r>
      <w:r>
        <w:rPr>
          <w:vertAlign w:val="superscript"/>
        </w:rPr>
        <w:footnoteReference w:id="29"/>
      </w:r>
      <w:r>
        <w:t xml:space="preserve"> En este sentido, el recorrido de vida de las feminidades travesti trans está marcado por múltiples exclusiones. Estas “jóvenes” han envejecido a muy temprana edad y aquellas pocas que han logrado alcanzar los 50 o incluso 60 años, lo hacen con una salud deteriorada, empobrecidas, sin una situación habitacional estable, sin trabajo, sin ingresos económicos y con escasas redes de apoyo. Son personas que al haber sido excluidas del mercado laboral no tuvieron aportes jubilatorios y hoy están excluidas del acceso a la jubilación. Aquellas que habían podido gestionar la jubilación para “amas de casa” fueron una excepción, dada la finalización de esa opción con la asunción del actual gobierno nacional. Sobrevivir a la esperanza de vida, implica para las travestis y trans mayores niveles de vulnerabilidad que denuncian la necesidad urgente de políticas afirmativas que garanticen el cumplimiento de los derechos de la comunidad travesti trans.</w:t>
      </w:r>
    </w:p>
    <w:p w14:paraId="10817B13" w14:textId="77777777" w:rsidR="00040A11" w:rsidRDefault="00000000">
      <w:pPr>
        <w:jc w:val="both"/>
      </w:pPr>
      <w:r>
        <w:t xml:space="preserve">Investigadores como </w:t>
      </w:r>
      <w:proofErr w:type="spellStart"/>
      <w:r>
        <w:t>Schultze</w:t>
      </w:r>
      <w:proofErr w:type="spellEnd"/>
      <w:r>
        <w:t xml:space="preserve"> sostienen que en el año 2020 se planteaba </w:t>
      </w:r>
      <w:proofErr w:type="gramStart"/>
      <w:r>
        <w:t>que</w:t>
      </w:r>
      <w:proofErr w:type="gramEnd"/>
      <w:r>
        <w:t xml:space="preserve"> si bien se había avanzado en materia de derechos para el colectivo travesti trans argentino, esas modificaciones políticas eran demasiado recientes, lo que dificultaba la medición de su impacto. No obstante, se señalaba también que esas transformaciones habían sido limitadas, no logrando por ejemplo en el caso de las políticas de trabajo, desestimular la prostitución como medio de supervivencia predominante. Seis años después, estamos siendo testigos del retroceso en materia de derechos y del cierre de programas de apoyo específico para la población, lo que permite suponer un mayor deterioro.</w:t>
      </w:r>
    </w:p>
    <w:p w14:paraId="525B3C5A" w14:textId="77777777" w:rsidR="00040A11" w:rsidRDefault="00000000">
      <w:pPr>
        <w:jc w:val="both"/>
        <w:rPr>
          <w:rFonts w:ascii="Arial" w:eastAsia="Arial" w:hAnsi="Arial" w:cs="Arial"/>
          <w:sz w:val="22"/>
          <w:szCs w:val="22"/>
        </w:rPr>
      </w:pPr>
      <w:r>
        <w:lastRenderedPageBreak/>
        <w:t xml:space="preserve">EL 15 de mayo de 2025, por Resolución </w:t>
      </w:r>
      <w:proofErr w:type="spellStart"/>
      <w:r>
        <w:t>N°</w:t>
      </w:r>
      <w:proofErr w:type="spellEnd"/>
      <w:r>
        <w:t xml:space="preserve"> 291 del Ministerio de Justicia se eliminaron dos programas </w:t>
      </w:r>
      <w:proofErr w:type="spellStart"/>
      <w:r>
        <w:t>especificos</w:t>
      </w:r>
      <w:proofErr w:type="spellEnd"/>
      <w:r>
        <w:t xml:space="preserve">: el “PROGRAMA DE FORTALECIMIENTO DEL ACCESO A DERECHOS PARA PERSONAS TRAVESTIS, TRANSEXUALES Y TRANSGÉNERO” y el “PROGRAMA PARA EL APOYO URGENTE Y LA ASISTENCIA INTEGRAL INMEDIATA ANTE CASOS DE VIOLENCIAS EXTREMAS POR MOTIVOS DE GÉNERO” para el Apoyo Económico Urgente y la Asistencia Integral Inmediata para Familiares en casos de Femicidio, </w:t>
      </w:r>
      <w:proofErr w:type="spellStart"/>
      <w:r>
        <w:t>Travesticidio</w:t>
      </w:r>
      <w:proofErr w:type="spellEnd"/>
      <w:r>
        <w:t xml:space="preserve"> y </w:t>
      </w:r>
      <w:proofErr w:type="spellStart"/>
      <w:r>
        <w:t>Transfemicidio</w:t>
      </w:r>
      <w:proofErr w:type="spellEnd"/>
      <w:r>
        <w:t xml:space="preserve">. </w:t>
      </w:r>
    </w:p>
    <w:p w14:paraId="1127283B" w14:textId="70110BB8" w:rsidR="00040A11" w:rsidRDefault="00000000">
      <w:pPr>
        <w:jc w:val="both"/>
      </w:pPr>
      <w:r>
        <w:t>Queremos cerrar este informe con unas palabras que pertenecen a una entrevistada que murió en septiembre de 2025. Ella había sido entrevistada el año anterior y al describir su fuerte deseo de ser reparada por el Estado argentino, había recalcado la necesidad de que fuera en un plazo razonable “</w:t>
      </w:r>
      <w:r>
        <w:rPr>
          <w:i/>
          <w:iCs/>
        </w:rPr>
        <w:t>porque nos estamos muriendo, esa es la realidad, no tenemos mucho tiempo. Nuestra salud es mala… con tanto dormir en el piso, tanto frío, tanta porquería que nos hemos metido en el cuerpo, a nivel silicona y quienes han vivido borrachas, que han priorizado emborracharse para poder salir a trabajar, para tener coraje para ir a trabajar, o drogarse, ¿</w:t>
      </w:r>
      <w:proofErr w:type="spellStart"/>
      <w:r>
        <w:rPr>
          <w:i/>
          <w:iCs/>
        </w:rPr>
        <w:t>entendés</w:t>
      </w:r>
      <w:proofErr w:type="spellEnd"/>
      <w:r>
        <w:rPr>
          <w:i/>
          <w:iCs/>
        </w:rPr>
        <w:t>? Que sea pronto esto</w:t>
      </w:r>
      <w:r>
        <w:t>” (W. G.).</w:t>
      </w:r>
    </w:p>
    <w:p w14:paraId="263F299D" w14:textId="77777777" w:rsidR="00040A11" w:rsidRDefault="00040A11">
      <w:pPr>
        <w:jc w:val="both"/>
      </w:pPr>
    </w:p>
    <w:p w14:paraId="602C3F21" w14:textId="77777777" w:rsidR="00040A11" w:rsidRDefault="00000000">
      <w:pPr>
        <w:jc w:val="both"/>
        <w:rPr>
          <w:b/>
          <w:bCs/>
        </w:rPr>
      </w:pPr>
      <w:r>
        <w:rPr>
          <w:b/>
          <w:bCs/>
        </w:rPr>
        <w:t>Recomendaciones sugeridas al Estado</w:t>
      </w:r>
    </w:p>
    <w:p w14:paraId="1C7EBFB0" w14:textId="77777777" w:rsidR="00040A11" w:rsidRDefault="00000000">
      <w:pPr>
        <w:jc w:val="both"/>
      </w:pPr>
      <w:r>
        <w:t xml:space="preserve">1. Reincorpore a sus cargos a las personas que habían sido empleadas en marco de la Ley </w:t>
      </w:r>
      <w:proofErr w:type="spellStart"/>
      <w:r>
        <w:t>N°</w:t>
      </w:r>
      <w:proofErr w:type="spellEnd"/>
      <w:r>
        <w:t xml:space="preserve"> 27.636 de Acceso al Empleo Formal para personas Travestis, Transexuales y Transgéneros "Diana Sacayán-Lohana </w:t>
      </w:r>
      <w:proofErr w:type="spellStart"/>
      <w:r>
        <w:t>Berkins</w:t>
      </w:r>
      <w:proofErr w:type="spellEnd"/>
      <w:r>
        <w:t>" y fueron despedidas por razones de reestructuración del Estado u otros motivos no relacionados con su ejercicio laboral.</w:t>
      </w:r>
    </w:p>
    <w:p w14:paraId="458C8F97" w14:textId="77777777" w:rsidR="00040A11" w:rsidRDefault="00000000">
      <w:pPr>
        <w:jc w:val="both"/>
      </w:pPr>
      <w:r>
        <w:t xml:space="preserve">En igual sentido, adopte una política pública activa para la implementación real de la Ley </w:t>
      </w:r>
      <w:proofErr w:type="spellStart"/>
      <w:r>
        <w:t>N°</w:t>
      </w:r>
      <w:proofErr w:type="spellEnd"/>
      <w:r>
        <w:t xml:space="preserve"> 27.636 de Acceso al Empleo Formal para personas Travestis, Transexuales y Transgéneros "Diana Sacayán-Lohana </w:t>
      </w:r>
      <w:proofErr w:type="spellStart"/>
      <w:r>
        <w:t>Berkins</w:t>
      </w:r>
      <w:proofErr w:type="spellEnd"/>
      <w:r>
        <w:t>" a nivel federal.</w:t>
      </w:r>
    </w:p>
    <w:p w14:paraId="3C6D66BA" w14:textId="77777777" w:rsidR="00040A11" w:rsidRDefault="00000000">
      <w:pPr>
        <w:jc w:val="both"/>
      </w:pPr>
      <w:r>
        <w:t>2. Adopte las medidas necesarias para una política de vivienda que tenga en cuenta los trayectos de vida de las personas travesti trans en Argentina. Estas deberían incluir la revisión de los requisitos necesarios para el acceso a subsidios habitacionales para contemplar las particularidades de la población travesti trans.</w:t>
      </w:r>
    </w:p>
    <w:p w14:paraId="4C0AC35D" w14:textId="77777777" w:rsidR="00040A11" w:rsidRDefault="00000000">
      <w:pPr>
        <w:jc w:val="both"/>
      </w:pPr>
      <w:r>
        <w:t>Asimismo, realice un estudio sobre las condiciones del acceso a la vivienda de las personas travesti trans para el diseño de políticas específicas tendientes a la eliminación de la precariedad habitacional.</w:t>
      </w:r>
    </w:p>
    <w:p w14:paraId="53F59FCD" w14:textId="77777777" w:rsidR="00040A11" w:rsidRDefault="00000000">
      <w:pPr>
        <w:jc w:val="both"/>
      </w:pPr>
      <w:r>
        <w:t>3. Adopte las medidas necesarias para asegurar el acceso a la salud de calidad de las personas travesti trans incluyendo la atención de calidad y la garantía en el acceso sin discriminación.</w:t>
      </w:r>
    </w:p>
    <w:p w14:paraId="11004D39" w14:textId="77777777" w:rsidR="00040A11" w:rsidRDefault="00000000">
      <w:pPr>
        <w:jc w:val="both"/>
      </w:pPr>
      <w:r>
        <w:t>4. Adopte políticas de cuidados específicas para la comunidad travesti trans teniendo en cuenta su trayecto de vida y expectativa de vida.</w:t>
      </w:r>
    </w:p>
    <w:p w14:paraId="539F3DB3" w14:textId="77777777" w:rsidR="00040A11" w:rsidRDefault="00000000">
      <w:pPr>
        <w:jc w:val="both"/>
      </w:pPr>
      <w:r>
        <w:t xml:space="preserve">5. Adopte las medidas necesarias para asegurar que el derecho a una vida libre de violencia por razón de género de manera interdependiente con los otros derechos humanos se cumpla para las </w:t>
      </w:r>
      <w:r>
        <w:lastRenderedPageBreak/>
        <w:t xml:space="preserve">personas travesti trans en Argentina. Además, que reconozca y </w:t>
      </w:r>
      <w:proofErr w:type="spellStart"/>
      <w:r>
        <w:t>prohiba</w:t>
      </w:r>
      <w:proofErr w:type="spellEnd"/>
      <w:r>
        <w:t xml:space="preserve"> las formas entrecruzadas de discriminación y su impacto negativo combinado en las feminidades travesti y trans. Asimismo, que ponga en práctica políticas públicas para eliminar las barreras estructurales que deben enfrentar. En este sentido, adopte una política de reparación para las personas travesti y trans.</w:t>
      </w:r>
    </w:p>
    <w:p w14:paraId="1F0EEC7F" w14:textId="77777777" w:rsidR="00040A11" w:rsidRDefault="00040A11">
      <w:pPr>
        <w:jc w:val="both"/>
      </w:pPr>
    </w:p>
    <w:p w14:paraId="1A939044" w14:textId="77777777" w:rsidR="00040A11" w:rsidRDefault="00000000">
      <w:pPr>
        <w:jc w:val="both"/>
        <w:rPr>
          <w:b/>
          <w:bCs/>
        </w:rPr>
      </w:pPr>
      <w:r>
        <w:rPr>
          <w:b/>
          <w:bCs/>
        </w:rPr>
        <w:t>Firmantes</w:t>
      </w:r>
    </w:p>
    <w:p w14:paraId="2A124929" w14:textId="77777777" w:rsidR="00040A11" w:rsidRDefault="00000000">
      <w:pPr>
        <w:jc w:val="both"/>
      </w:pPr>
      <w:r>
        <w:t xml:space="preserve">AMT Archivo Memoria </w:t>
      </w:r>
      <w:proofErr w:type="gramStart"/>
      <w:r>
        <w:t>Trans Argentina</w:t>
      </w:r>
      <w:proofErr w:type="gramEnd"/>
    </w:p>
    <w:p w14:paraId="1A8D762D" w14:textId="77777777" w:rsidR="00040A11" w:rsidRDefault="00000000">
      <w:pPr>
        <w:jc w:val="both"/>
      </w:pPr>
      <w:r>
        <w:t>Asociación civil Flores Diversas Córdoba</w:t>
      </w:r>
    </w:p>
    <w:p w14:paraId="3FFB4C61" w14:textId="77777777" w:rsidR="00040A11" w:rsidRDefault="00000000">
      <w:pPr>
        <w:jc w:val="both"/>
      </w:pPr>
      <w:r>
        <w:t>ATTS Río Negro</w:t>
      </w:r>
    </w:p>
    <w:p w14:paraId="26ADE946" w14:textId="77777777" w:rsidR="00040A11" w:rsidRDefault="00000000">
      <w:pPr>
        <w:jc w:val="both"/>
      </w:pPr>
      <w:proofErr w:type="spellStart"/>
      <w:r>
        <w:t>Carlocchia</w:t>
      </w:r>
      <w:proofErr w:type="spellEnd"/>
      <w:r>
        <w:t xml:space="preserve"> Belén Eva (aka M </w:t>
      </w:r>
      <w:proofErr w:type="spellStart"/>
      <w:r>
        <w:t>Belen</w:t>
      </w:r>
      <w:proofErr w:type="spellEnd"/>
      <w:r>
        <w:t xml:space="preserve"> Correa)</w:t>
      </w:r>
    </w:p>
    <w:p w14:paraId="78DAF991" w14:textId="77777777" w:rsidR="00040A11" w:rsidRDefault="00000000">
      <w:pPr>
        <w:jc w:val="both"/>
      </w:pPr>
      <w:r>
        <w:t>Centro de Estudios Legales y Sociales (CELS)</w:t>
      </w:r>
    </w:p>
    <w:p w14:paraId="03A53966" w14:textId="77777777" w:rsidR="00040A11" w:rsidRDefault="00000000">
      <w:pPr>
        <w:jc w:val="both"/>
      </w:pPr>
      <w:r>
        <w:t xml:space="preserve">Futuro </w:t>
      </w:r>
      <w:proofErr w:type="gramStart"/>
      <w:r>
        <w:t>Trans AC</w:t>
      </w:r>
      <w:proofErr w:type="gramEnd"/>
    </w:p>
    <w:p w14:paraId="7497AC22" w14:textId="77777777" w:rsidR="00040A11" w:rsidRDefault="00000000">
      <w:pPr>
        <w:jc w:val="both"/>
      </w:pPr>
      <w:r>
        <w:t>Georgina Colicheo</w:t>
      </w:r>
    </w:p>
    <w:p w14:paraId="79B38963" w14:textId="77777777" w:rsidR="00040A11" w:rsidRDefault="00000000">
      <w:pPr>
        <w:jc w:val="both"/>
      </w:pPr>
      <w:r>
        <w:t>Ivanna Aguilera</w:t>
      </w:r>
    </w:p>
    <w:p w14:paraId="77AA90AD" w14:textId="77777777" w:rsidR="00040A11" w:rsidRDefault="00000000">
      <w:pPr>
        <w:jc w:val="both"/>
      </w:pPr>
      <w:r>
        <w:t>Lara María Bertolini</w:t>
      </w:r>
    </w:p>
    <w:p w14:paraId="657D2479" w14:textId="77777777" w:rsidR="00040A11" w:rsidRDefault="00000000">
      <w:pPr>
        <w:jc w:val="both"/>
      </w:pPr>
      <w:r>
        <w:t>La Rosa Naranja Asociación Civil</w:t>
      </w:r>
    </w:p>
    <w:p w14:paraId="0CED17E4" w14:textId="77777777" w:rsidR="00040A11" w:rsidRDefault="00000000">
      <w:pPr>
        <w:jc w:val="both"/>
      </w:pPr>
      <w:r>
        <w:t xml:space="preserve">Las </w:t>
      </w:r>
      <w:proofErr w:type="spellStart"/>
      <w:r>
        <w:t>Historicas</w:t>
      </w:r>
      <w:proofErr w:type="spellEnd"/>
      <w:r>
        <w:t xml:space="preserve"> </w:t>
      </w:r>
      <w:proofErr w:type="gramStart"/>
      <w:r>
        <w:t>Argentinas</w:t>
      </w:r>
      <w:proofErr w:type="gramEnd"/>
    </w:p>
    <w:p w14:paraId="7EBA48CF" w14:textId="77777777" w:rsidR="00040A11" w:rsidRDefault="00000000">
      <w:pPr>
        <w:jc w:val="both"/>
      </w:pPr>
      <w:r>
        <w:t>María Luisa Domínguez</w:t>
      </w:r>
    </w:p>
    <w:p w14:paraId="4B883C3D" w14:textId="77777777" w:rsidR="00040A11" w:rsidRDefault="00000000">
      <w:pPr>
        <w:jc w:val="both"/>
      </w:pPr>
      <w:r>
        <w:t>Pamela Yaneth Albornoz</w:t>
      </w:r>
    </w:p>
    <w:p w14:paraId="447BC08F" w14:textId="77777777" w:rsidR="00040A11" w:rsidRDefault="00000000">
      <w:pPr>
        <w:jc w:val="both"/>
      </w:pPr>
      <w:r>
        <w:t xml:space="preserve">Sandra Victoria Soloaga </w:t>
      </w:r>
    </w:p>
    <w:p w14:paraId="5A9703F7" w14:textId="77777777" w:rsidR="00040A11" w:rsidRDefault="00000000">
      <w:pPr>
        <w:jc w:val="both"/>
      </w:pPr>
      <w:proofErr w:type="spellStart"/>
      <w:r>
        <w:t>Say</w:t>
      </w:r>
      <w:proofErr w:type="spellEnd"/>
      <w:r>
        <w:t xml:space="preserve"> Sacayán</w:t>
      </w:r>
    </w:p>
    <w:sectPr w:rsidR="00040A11">
      <w:headerReference w:type="default" r:id="rId8"/>
      <w:headerReference w:type="firs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35668" w14:textId="77777777" w:rsidR="00D02029" w:rsidRDefault="00D02029">
      <w:pPr>
        <w:spacing w:after="0" w:line="240" w:lineRule="auto"/>
      </w:pPr>
      <w:r>
        <w:separator/>
      </w:r>
    </w:p>
  </w:endnote>
  <w:endnote w:type="continuationSeparator" w:id="0">
    <w:p w14:paraId="08C34683" w14:textId="77777777" w:rsidR="00D02029" w:rsidRDefault="00D02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72B573D-9332-4E54-A40B-F2C8001F85F6}"/>
  </w:font>
  <w:font w:name="Cambria">
    <w:panose1 w:val="02040503050406030204"/>
    <w:charset w:val="00"/>
    <w:family w:val="roman"/>
    <w:pitch w:val="variable"/>
    <w:sig w:usb0="E00006FF" w:usb1="420024FF" w:usb2="02000000" w:usb3="00000000" w:csb0="0000019F" w:csb1="00000000"/>
    <w:embedRegular r:id="rId2" w:fontKey="{EEF97106-DACF-4966-B42E-83678FFC7A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C50E7" w14:textId="77777777" w:rsidR="00040A11" w:rsidRDefault="00040A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B2452" w14:textId="77777777" w:rsidR="00D02029" w:rsidRDefault="00D02029">
      <w:pPr>
        <w:spacing w:after="0" w:line="240" w:lineRule="auto"/>
      </w:pPr>
      <w:r>
        <w:separator/>
      </w:r>
    </w:p>
  </w:footnote>
  <w:footnote w:type="continuationSeparator" w:id="0">
    <w:p w14:paraId="3A8E8250" w14:textId="77777777" w:rsidR="00D02029" w:rsidRDefault="00D02029">
      <w:pPr>
        <w:spacing w:after="0" w:line="240" w:lineRule="auto"/>
      </w:pPr>
      <w:r>
        <w:continuationSeparator/>
      </w:r>
    </w:p>
  </w:footnote>
  <w:footnote w:id="1">
    <w:p w14:paraId="26AB1663" w14:textId="40F14838" w:rsidR="00040A11" w:rsidRDefault="00000000">
      <w:pPr>
        <w:spacing w:line="240" w:lineRule="auto"/>
        <w:jc w:val="left"/>
        <w:rPr>
          <w:sz w:val="20"/>
          <w:szCs w:val="20"/>
        </w:rPr>
      </w:pPr>
      <w:r>
        <w:rPr>
          <w:vertAlign w:val="superscript"/>
        </w:rPr>
        <w:footnoteRef/>
      </w:r>
      <w:r>
        <w:rPr>
          <w:sz w:val="20"/>
          <w:szCs w:val="20"/>
        </w:rPr>
        <w:t xml:space="preserve"> Los términos trans y travesti suelen referirse a personas cuyas identidades de género difieren de las que les fueron socialmente asignadas. En la Argentina </w:t>
      </w:r>
      <w:r w:rsidR="00C5620C">
        <w:rPr>
          <w:sz w:val="20"/>
          <w:szCs w:val="20"/>
        </w:rPr>
        <w:t>“travesti”</w:t>
      </w:r>
      <w:r>
        <w:rPr>
          <w:sz w:val="20"/>
          <w:szCs w:val="20"/>
        </w:rPr>
        <w:t xml:space="preserve"> tiene una connotación política vinculada a la lucha, la resistencia, la dignidad y la felicidad (</w:t>
      </w:r>
      <w:proofErr w:type="spellStart"/>
      <w:proofErr w:type="gramStart"/>
      <w:r>
        <w:rPr>
          <w:sz w:val="20"/>
          <w:szCs w:val="20"/>
        </w:rPr>
        <w:t>Berkins</w:t>
      </w:r>
      <w:proofErr w:type="spellEnd"/>
      <w:r w:rsidR="00C5620C">
        <w:rPr>
          <w:sz w:val="20"/>
          <w:szCs w:val="20"/>
        </w:rPr>
        <w:t xml:space="preserve"> </w:t>
      </w:r>
      <w:r w:rsidR="00C5620C">
        <w:rPr>
          <w:color w:val="E06666"/>
          <w:sz w:val="20"/>
          <w:szCs w:val="20"/>
        </w:rPr>
        <w:t xml:space="preserve"> </w:t>
      </w:r>
      <w:r>
        <w:rPr>
          <w:sz w:val="20"/>
          <w:szCs w:val="20"/>
        </w:rPr>
        <w:t>˂</w:t>
      </w:r>
      <w:proofErr w:type="gramEnd"/>
      <w:r>
        <w:rPr>
          <w:sz w:val="20"/>
          <w:szCs w:val="20"/>
        </w:rPr>
        <w:t>http://bit.ly/2dtwWzc˃).</w:t>
      </w:r>
    </w:p>
  </w:footnote>
  <w:footnote w:id="2">
    <w:p w14:paraId="4F56C96D" w14:textId="79406792" w:rsidR="00040A11" w:rsidRDefault="00000000">
      <w:pPr>
        <w:spacing w:line="240" w:lineRule="auto"/>
        <w:jc w:val="both"/>
        <w:rPr>
          <w:sz w:val="20"/>
          <w:szCs w:val="20"/>
        </w:rPr>
      </w:pPr>
      <w:r>
        <w:rPr>
          <w:vertAlign w:val="superscript"/>
        </w:rPr>
        <w:footnoteRef/>
      </w:r>
      <w:r>
        <w:rPr>
          <w:sz w:val="20"/>
          <w:szCs w:val="20"/>
        </w:rPr>
        <w:t xml:space="preserve"> https://servicios.infoleg.gob.ar/infolegInternet/anexos/120000-124999/123542/norma.htm.</w:t>
      </w:r>
    </w:p>
  </w:footnote>
  <w:footnote w:id="3">
    <w:p w14:paraId="4F7A4BAA" w14:textId="77777777" w:rsidR="00040A11" w:rsidRDefault="00000000">
      <w:pPr>
        <w:spacing w:after="0" w:line="240" w:lineRule="auto"/>
        <w:jc w:val="both"/>
        <w:rPr>
          <w:sz w:val="20"/>
          <w:szCs w:val="20"/>
        </w:rPr>
      </w:pPr>
      <w:r>
        <w:rPr>
          <w:vertAlign w:val="superscript"/>
        </w:rPr>
        <w:footnoteRef/>
      </w:r>
      <w:r>
        <w:rPr>
          <w:sz w:val="20"/>
          <w:szCs w:val="20"/>
        </w:rPr>
        <w:t xml:space="preserve"> Convención de los derechos del Niño. Artículo 14.</w:t>
      </w:r>
    </w:p>
  </w:footnote>
  <w:footnote w:id="4">
    <w:p w14:paraId="21B59645" w14:textId="6B89BE02" w:rsidR="00040A11" w:rsidRDefault="00000000">
      <w:pPr>
        <w:spacing w:after="0" w:line="240" w:lineRule="auto"/>
        <w:jc w:val="both"/>
        <w:rPr>
          <w:sz w:val="20"/>
          <w:szCs w:val="20"/>
        </w:rPr>
      </w:pPr>
      <w:r>
        <w:rPr>
          <w:vertAlign w:val="superscript"/>
        </w:rPr>
        <w:footnoteRef/>
      </w:r>
      <w:r>
        <w:rPr>
          <w:sz w:val="20"/>
          <w:szCs w:val="20"/>
        </w:rPr>
        <w:t xml:space="preserve"> https://servicios.infoleg.gob.ar/infolegInternet/verNorma.do?id=351815</w:t>
      </w:r>
    </w:p>
  </w:footnote>
  <w:footnote w:id="5">
    <w:p w14:paraId="4E52A2EB" w14:textId="1E4B3D5A" w:rsidR="00040A11" w:rsidRDefault="00000000">
      <w:pPr>
        <w:spacing w:after="0" w:line="240" w:lineRule="auto"/>
        <w:jc w:val="both"/>
        <w:rPr>
          <w:sz w:val="20"/>
          <w:szCs w:val="20"/>
        </w:rPr>
      </w:pPr>
      <w:r>
        <w:rPr>
          <w:vertAlign w:val="superscript"/>
        </w:rPr>
        <w:footnoteRef/>
      </w:r>
      <w:r>
        <w:rPr>
          <w:sz w:val="20"/>
          <w:szCs w:val="20"/>
        </w:rPr>
        <w:t xml:space="preserve"> https://www.saij.gob.ar/951-local-santa-fe-reglamentacion-ley-provincial-n-13902-insercion-estabilidad-laboral-personas-travestis-transexuales-transgenero-alentando-su-contratacion-empleo-sector-publico-privado-s20200000951-2020-09-07/123456789-0abc-159-0000-0202svorpced?&amp;o=18&amp;f=Total%7CTipo%20de%20Documento/Legislaci%F3n%7CFecha%7COrganismo/categoriavacia%7CPublicaci%F3n%7CTema/Derecho%20constitucional%7CEstado%20de%20Vigencia%7CAutor%7CJurisdicci%F3n/Local/Santa%20Fe&amp;t=687</w:t>
      </w:r>
    </w:p>
  </w:footnote>
  <w:footnote w:id="6">
    <w:p w14:paraId="5340E0A5" w14:textId="28C89A9E" w:rsidR="00040A11" w:rsidRPr="00C5620C" w:rsidRDefault="00000000">
      <w:pPr>
        <w:spacing w:line="240" w:lineRule="auto"/>
        <w:jc w:val="both"/>
        <w:rPr>
          <w:sz w:val="20"/>
          <w:szCs w:val="20"/>
        </w:rPr>
      </w:pPr>
      <w:r>
        <w:rPr>
          <w:vertAlign w:val="superscript"/>
        </w:rPr>
        <w:footnoteRef/>
      </w:r>
      <w:r>
        <w:rPr>
          <w:sz w:val="20"/>
          <w:szCs w:val="20"/>
        </w:rPr>
        <w:t xml:space="preserve"> Relevamiento </w:t>
      </w:r>
      <w:r w:rsidR="00C5620C">
        <w:rPr>
          <w:sz w:val="20"/>
          <w:szCs w:val="20"/>
        </w:rPr>
        <w:t>de</w:t>
      </w:r>
      <w:r w:rsidRPr="00C5620C">
        <w:rPr>
          <w:sz w:val="20"/>
          <w:szCs w:val="20"/>
        </w:rPr>
        <w:t xml:space="preserve"> Zaguán </w:t>
      </w:r>
      <w:proofErr w:type="spellStart"/>
      <w:r w:rsidRPr="00C5620C">
        <w:rPr>
          <w:sz w:val="20"/>
          <w:szCs w:val="20"/>
        </w:rPr>
        <w:t>Transindical</w:t>
      </w:r>
      <w:proofErr w:type="spellEnd"/>
      <w:r w:rsidR="00C5620C" w:rsidRPr="00C5620C">
        <w:rPr>
          <w:sz w:val="20"/>
          <w:szCs w:val="20"/>
        </w:rPr>
        <w:t xml:space="preserve"> </w:t>
      </w:r>
      <w:hyperlink r:id="rId1">
        <w:r w:rsidR="00040A11" w:rsidRPr="00C5620C">
          <w:rPr>
            <w:color w:val="1155CC"/>
            <w:sz w:val="20"/>
            <w:szCs w:val="20"/>
            <w:highlight w:val="white"/>
            <w:u w:val="single"/>
          </w:rPr>
          <w:t xml:space="preserve">https://www.instagram.com/zaguanttnb/ </w:t>
        </w:r>
      </w:hyperlink>
    </w:p>
  </w:footnote>
  <w:footnote w:id="7">
    <w:p w14:paraId="7AF6FA85" w14:textId="77777777" w:rsidR="00040A11" w:rsidRDefault="00000000">
      <w:pPr>
        <w:spacing w:line="240" w:lineRule="auto"/>
        <w:jc w:val="both"/>
        <w:rPr>
          <w:sz w:val="20"/>
          <w:szCs w:val="20"/>
        </w:rPr>
      </w:pPr>
      <w:r>
        <w:rPr>
          <w:vertAlign w:val="superscript"/>
        </w:rPr>
        <w:footnoteRef/>
      </w:r>
      <w:r>
        <w:rPr>
          <w:sz w:val="20"/>
          <w:szCs w:val="20"/>
        </w:rPr>
        <w:t xml:space="preserve"> Romero, F y </w:t>
      </w:r>
      <w:proofErr w:type="spellStart"/>
      <w:r>
        <w:rPr>
          <w:sz w:val="20"/>
          <w:szCs w:val="20"/>
        </w:rPr>
        <w:t>Laterra</w:t>
      </w:r>
      <w:proofErr w:type="spellEnd"/>
      <w:r>
        <w:rPr>
          <w:sz w:val="20"/>
          <w:szCs w:val="20"/>
        </w:rPr>
        <w:t xml:space="preserve">, P. (2025). Cupo Laboral Travesti Trans en el Sector Público Nacional Argentino: Análisis y discusiones desde la economía política trans a partir de un estudio sobre su implementación de 2020 a 2022. En: Revista estudios de trabajo. Junio 2025 </w:t>
      </w:r>
      <w:hyperlink r:id="rId2">
        <w:r w:rsidR="00040A11">
          <w:rPr>
            <w:color w:val="1155CC"/>
            <w:sz w:val="20"/>
            <w:szCs w:val="20"/>
            <w:u w:val="single"/>
          </w:rPr>
          <w:t>https://ojs.aset.org.ar/revista/article/view/165/279</w:t>
        </w:r>
      </w:hyperlink>
      <w:r>
        <w:rPr>
          <w:sz w:val="20"/>
          <w:szCs w:val="20"/>
        </w:rPr>
        <w:t xml:space="preserve">  </w:t>
      </w:r>
    </w:p>
  </w:footnote>
  <w:footnote w:id="8">
    <w:p w14:paraId="6FF5C5B0" w14:textId="524E631B" w:rsidR="00040A11" w:rsidRDefault="00000000">
      <w:pPr>
        <w:spacing w:line="240" w:lineRule="auto"/>
        <w:jc w:val="both"/>
        <w:rPr>
          <w:sz w:val="20"/>
          <w:szCs w:val="20"/>
        </w:rPr>
      </w:pPr>
      <w:r>
        <w:rPr>
          <w:vertAlign w:val="superscript"/>
        </w:rPr>
        <w:footnoteRef/>
      </w:r>
      <w:r>
        <w:rPr>
          <w:sz w:val="20"/>
          <w:szCs w:val="20"/>
        </w:rPr>
        <w:t xml:space="preserve"> </w:t>
      </w:r>
      <w:hyperlink r:id="rId3" w:anchor=":~:text=Entrar%20no%20es%20suficiente%20porque,el%20desarrollo%20en%20ambientes%20seguros">
        <w:r w:rsidR="00040A11">
          <w:rPr>
            <w:color w:val="1155CC"/>
            <w:sz w:val="20"/>
            <w:szCs w:val="20"/>
            <w:u w:val="single"/>
          </w:rPr>
          <w:t>A cuatro años de la Ley de Cupo Laboral Trans: cómo afectó el recorte en el Estado a la comunidad LGBT | TN</w:t>
        </w:r>
      </w:hyperlink>
      <w:r>
        <w:rPr>
          <w:sz w:val="20"/>
          <w:szCs w:val="20"/>
        </w:rPr>
        <w:t xml:space="preserve">. </w:t>
      </w:r>
    </w:p>
  </w:footnote>
  <w:footnote w:id="9">
    <w:p w14:paraId="42ADD711" w14:textId="243CE5A4" w:rsidR="00040A11" w:rsidRDefault="00000000">
      <w:pPr>
        <w:spacing w:line="240" w:lineRule="auto"/>
        <w:jc w:val="both"/>
        <w:rPr>
          <w:sz w:val="20"/>
          <w:szCs w:val="20"/>
        </w:rPr>
      </w:pPr>
      <w:r>
        <w:rPr>
          <w:vertAlign w:val="superscript"/>
        </w:rPr>
        <w:footnoteRef/>
      </w:r>
      <w:r>
        <w:rPr>
          <w:sz w:val="20"/>
          <w:szCs w:val="20"/>
        </w:rPr>
        <w:t xml:space="preserve"> </w:t>
      </w:r>
      <w:hyperlink r:id="rId4" w:anchor=":~:text=24%20de%20junio:%20Aniversario%20del%20Decreto%20de%20Cupo%20Laboral%20Travesti%2DTrans,-24%20de%20junio&amp;text=El%2024%20de%20junio%20de,entre%2035%20y%2040%20a%C3%B1os.&amp;text=una%20sociedad%20m%C3%A1s%20justa%20y%20plural.&amp;text=confidencial">
        <w:r w:rsidR="00040A11">
          <w:rPr>
            <w:color w:val="1155CC"/>
            <w:sz w:val="20"/>
            <w:szCs w:val="20"/>
            <w:u w:val="single"/>
          </w:rPr>
          <w:t>24 de junio: Aniversario del Decreto de Cupo Laboral Travesti-Trans</w:t>
        </w:r>
      </w:hyperlink>
      <w:proofErr w:type="gramStart"/>
      <w:r>
        <w:rPr>
          <w:sz w:val="20"/>
          <w:szCs w:val="20"/>
        </w:rPr>
        <w:t>. .</w:t>
      </w:r>
      <w:proofErr w:type="gramEnd"/>
    </w:p>
  </w:footnote>
  <w:footnote w:id="10">
    <w:p w14:paraId="222070D5" w14:textId="77777777" w:rsidR="00040A11" w:rsidRDefault="00000000" w:rsidP="00C5620C">
      <w:pPr>
        <w:tabs>
          <w:tab w:val="right" w:pos="418"/>
        </w:tabs>
        <w:spacing w:after="0" w:line="210" w:lineRule="auto"/>
        <w:jc w:val="left"/>
        <w:rPr>
          <w:sz w:val="20"/>
          <w:szCs w:val="20"/>
        </w:rPr>
      </w:pPr>
      <w:r>
        <w:rPr>
          <w:vertAlign w:val="superscript"/>
        </w:rPr>
        <w:footnoteRef/>
      </w:r>
      <w:r>
        <w:rPr>
          <w:sz w:val="20"/>
          <w:szCs w:val="20"/>
        </w:rPr>
        <w:t>https://www.cels.org.ar/web/wp-content/uploads/2025/06/La-cocina-de-los-cuidados-informe-nro-5-1.pdf</w:t>
      </w:r>
    </w:p>
  </w:footnote>
  <w:footnote w:id="11">
    <w:p w14:paraId="5195640F" w14:textId="77777777" w:rsidR="00040A11" w:rsidRDefault="00000000">
      <w:pPr>
        <w:spacing w:after="0" w:line="240" w:lineRule="auto"/>
        <w:jc w:val="left"/>
        <w:rPr>
          <w:sz w:val="20"/>
          <w:szCs w:val="20"/>
        </w:rPr>
      </w:pPr>
      <w:r>
        <w:rPr>
          <w:vertAlign w:val="superscript"/>
        </w:rPr>
        <w:footnoteRef/>
      </w:r>
      <w:r>
        <w:rPr>
          <w:sz w:val="20"/>
          <w:szCs w:val="20"/>
        </w:rPr>
        <w:t xml:space="preserve"> Ministerio Público de la Defensa de la Ciudad de Buenos Aires.  (2017). </w:t>
      </w:r>
      <w:r>
        <w:rPr>
          <w:i/>
          <w:iCs/>
          <w:sz w:val="20"/>
          <w:szCs w:val="20"/>
        </w:rPr>
        <w:t>La revolución de las mariposas. A diez años de la gesta del nombre propio.</w:t>
      </w:r>
      <w:r>
        <w:rPr>
          <w:sz w:val="20"/>
          <w:szCs w:val="20"/>
        </w:rPr>
        <w:t xml:space="preserve"> Buenos Aires.</w:t>
      </w:r>
    </w:p>
  </w:footnote>
  <w:footnote w:id="12">
    <w:p w14:paraId="6B2C74A1" w14:textId="4F06D8FC" w:rsidR="00040A11" w:rsidRDefault="00000000">
      <w:pPr>
        <w:spacing w:after="0" w:line="240" w:lineRule="auto"/>
        <w:jc w:val="both"/>
        <w:rPr>
          <w:sz w:val="20"/>
          <w:szCs w:val="20"/>
        </w:rPr>
      </w:pPr>
      <w:r>
        <w:rPr>
          <w:vertAlign w:val="superscript"/>
        </w:rPr>
        <w:footnoteRef/>
      </w:r>
      <w:r>
        <w:rPr>
          <w:sz w:val="20"/>
          <w:szCs w:val="20"/>
        </w:rPr>
        <w:t xml:space="preserve"> https://boletinoficial.buenosaires.gob.ar/normativaba/norma/86704</w:t>
      </w:r>
    </w:p>
  </w:footnote>
  <w:footnote w:id="13">
    <w:p w14:paraId="238334E2" w14:textId="77777777" w:rsidR="00040A11" w:rsidRDefault="00000000">
      <w:pPr>
        <w:spacing w:after="0" w:line="240" w:lineRule="auto"/>
        <w:jc w:val="both"/>
        <w:rPr>
          <w:sz w:val="16"/>
          <w:szCs w:val="16"/>
        </w:rPr>
      </w:pPr>
      <w:r>
        <w:rPr>
          <w:vertAlign w:val="superscript"/>
        </w:rPr>
        <w:footnoteRef/>
      </w:r>
      <w:r>
        <w:rPr>
          <w:sz w:val="20"/>
          <w:szCs w:val="20"/>
        </w:rPr>
        <w:t xml:space="preserve"> </w:t>
      </w:r>
      <w:proofErr w:type="spellStart"/>
      <w:r>
        <w:rPr>
          <w:sz w:val="20"/>
          <w:szCs w:val="20"/>
        </w:rPr>
        <w:t>Vissicchio</w:t>
      </w:r>
      <w:proofErr w:type="spellEnd"/>
      <w:r>
        <w:rPr>
          <w:sz w:val="20"/>
          <w:szCs w:val="20"/>
        </w:rPr>
        <w:t xml:space="preserve"> F, </w:t>
      </w:r>
      <w:proofErr w:type="spellStart"/>
      <w:r>
        <w:rPr>
          <w:sz w:val="20"/>
          <w:szCs w:val="20"/>
        </w:rPr>
        <w:t>Radusky</w:t>
      </w:r>
      <w:proofErr w:type="spellEnd"/>
      <w:r>
        <w:rPr>
          <w:sz w:val="20"/>
          <w:szCs w:val="20"/>
        </w:rPr>
        <w:t xml:space="preserve"> PD, Zalazar V, Cardozo N, Santa Cruz L, </w:t>
      </w:r>
      <w:proofErr w:type="spellStart"/>
      <w:r>
        <w:rPr>
          <w:sz w:val="20"/>
          <w:szCs w:val="20"/>
        </w:rPr>
        <w:t>Pecheny</w:t>
      </w:r>
      <w:proofErr w:type="spellEnd"/>
      <w:r>
        <w:rPr>
          <w:sz w:val="20"/>
          <w:szCs w:val="20"/>
        </w:rPr>
        <w:t xml:space="preserve"> M, et al. Obstáculos identificados por las personas trans en la accesibilidad a los Consultorios Inclusivos en la provincia de Buenos Aires. </w:t>
      </w:r>
      <w:proofErr w:type="spellStart"/>
      <w:r>
        <w:rPr>
          <w:sz w:val="20"/>
          <w:szCs w:val="20"/>
        </w:rPr>
        <w:t>Rev</w:t>
      </w:r>
      <w:proofErr w:type="spellEnd"/>
      <w:r>
        <w:rPr>
          <w:sz w:val="20"/>
          <w:szCs w:val="20"/>
        </w:rPr>
        <w:t xml:space="preserve"> Argent Salud Publica. 2023;</w:t>
      </w:r>
      <w:proofErr w:type="gramStart"/>
      <w:r>
        <w:rPr>
          <w:sz w:val="20"/>
          <w:szCs w:val="20"/>
        </w:rPr>
        <w:t>15:e</w:t>
      </w:r>
      <w:proofErr w:type="gramEnd"/>
      <w:r>
        <w:rPr>
          <w:sz w:val="20"/>
          <w:szCs w:val="20"/>
        </w:rPr>
        <w:t>87. Publicación electrónica 23 de Feb de 2023</w:t>
      </w:r>
    </w:p>
  </w:footnote>
  <w:footnote w:id="14">
    <w:p w14:paraId="7B908742" w14:textId="77777777" w:rsidR="00040A11" w:rsidRDefault="00000000">
      <w:pPr>
        <w:spacing w:after="0" w:line="240" w:lineRule="auto"/>
        <w:jc w:val="both"/>
        <w:rPr>
          <w:sz w:val="20"/>
          <w:szCs w:val="20"/>
        </w:rPr>
      </w:pPr>
      <w:r>
        <w:rPr>
          <w:vertAlign w:val="superscript"/>
        </w:rPr>
        <w:footnoteRef/>
      </w:r>
      <w:r>
        <w:rPr>
          <w:sz w:val="20"/>
          <w:szCs w:val="20"/>
        </w:rPr>
        <w:t xml:space="preserve"> </w:t>
      </w:r>
      <w:proofErr w:type="spellStart"/>
      <w:r>
        <w:rPr>
          <w:sz w:val="20"/>
          <w:szCs w:val="20"/>
        </w:rPr>
        <w:t>Berkins</w:t>
      </w:r>
      <w:proofErr w:type="spellEnd"/>
      <w:r>
        <w:rPr>
          <w:sz w:val="20"/>
          <w:szCs w:val="20"/>
        </w:rPr>
        <w:t xml:space="preserve"> L y Fernández J, “La gesta del nombre </w:t>
      </w:r>
      <w:proofErr w:type="gramStart"/>
      <w:r>
        <w:rPr>
          <w:sz w:val="20"/>
          <w:szCs w:val="20"/>
        </w:rPr>
        <w:t>propio :</w:t>
      </w:r>
      <w:proofErr w:type="gramEnd"/>
      <w:r>
        <w:rPr>
          <w:sz w:val="20"/>
          <w:szCs w:val="20"/>
        </w:rPr>
        <w:t xml:space="preserve"> Informe sobre la situación de la comunidad travesti en la Argentina” - 1a ed. - Buenos </w:t>
      </w:r>
      <w:proofErr w:type="gramStart"/>
      <w:r>
        <w:rPr>
          <w:sz w:val="20"/>
          <w:szCs w:val="20"/>
        </w:rPr>
        <w:t>Aires :</w:t>
      </w:r>
      <w:proofErr w:type="gramEnd"/>
      <w:r>
        <w:rPr>
          <w:sz w:val="20"/>
          <w:szCs w:val="20"/>
        </w:rPr>
        <w:t xml:space="preserve"> Asociación Madres de Plaza de Mayo, 2005</w:t>
      </w:r>
    </w:p>
  </w:footnote>
  <w:footnote w:id="15">
    <w:p w14:paraId="72A1E1EA" w14:textId="77777777" w:rsidR="00040A11" w:rsidRDefault="00000000">
      <w:pPr>
        <w:spacing w:after="0" w:line="240" w:lineRule="auto"/>
        <w:jc w:val="left"/>
        <w:rPr>
          <w:sz w:val="20"/>
          <w:szCs w:val="20"/>
        </w:rPr>
      </w:pPr>
      <w:r>
        <w:rPr>
          <w:vertAlign w:val="superscript"/>
        </w:rPr>
        <w:footnoteRef/>
      </w:r>
      <w:r>
        <w:rPr>
          <w:sz w:val="20"/>
          <w:szCs w:val="20"/>
        </w:rPr>
        <w:t xml:space="preserve"> Ministerio Público de la Defensa de la Ciudad de Buenos Aires.  (2017). </w:t>
      </w:r>
      <w:r>
        <w:rPr>
          <w:i/>
          <w:iCs/>
          <w:sz w:val="20"/>
          <w:szCs w:val="20"/>
        </w:rPr>
        <w:t>La revolución de las mariposas. A diez años de la gesta del nombre propio.</w:t>
      </w:r>
      <w:r>
        <w:rPr>
          <w:sz w:val="20"/>
          <w:szCs w:val="20"/>
        </w:rPr>
        <w:t xml:space="preserve"> Buenos Aires. </w:t>
      </w:r>
    </w:p>
  </w:footnote>
  <w:footnote w:id="16">
    <w:p w14:paraId="4764C06C" w14:textId="77777777" w:rsidR="00040A11" w:rsidRDefault="00000000">
      <w:pPr>
        <w:spacing w:after="0" w:line="240" w:lineRule="auto"/>
        <w:jc w:val="both"/>
        <w:rPr>
          <w:sz w:val="20"/>
          <w:szCs w:val="20"/>
        </w:rPr>
      </w:pPr>
      <w:r>
        <w:rPr>
          <w:vertAlign w:val="superscript"/>
        </w:rPr>
        <w:footnoteRef/>
      </w:r>
      <w:r>
        <w:rPr>
          <w:sz w:val="20"/>
          <w:szCs w:val="20"/>
        </w:rPr>
        <w:t xml:space="preserve"> </w:t>
      </w:r>
      <w:proofErr w:type="spellStart"/>
      <w:r>
        <w:rPr>
          <w:sz w:val="20"/>
          <w:szCs w:val="20"/>
        </w:rPr>
        <w:t>Schultze</w:t>
      </w:r>
      <w:proofErr w:type="spellEnd"/>
      <w:r>
        <w:rPr>
          <w:sz w:val="20"/>
          <w:szCs w:val="20"/>
        </w:rPr>
        <w:t xml:space="preserve">, Fernando (2020). Cursos de vida vulnerados. La vejez de las mujeres trans como un derecho negado. En: </w:t>
      </w:r>
    </w:p>
    <w:p w14:paraId="7F36D728" w14:textId="77777777" w:rsidR="00040A11" w:rsidRDefault="00000000">
      <w:pPr>
        <w:spacing w:after="0" w:line="240" w:lineRule="auto"/>
        <w:jc w:val="both"/>
        <w:rPr>
          <w:sz w:val="20"/>
          <w:szCs w:val="20"/>
        </w:rPr>
      </w:pPr>
      <w:r>
        <w:rPr>
          <w:sz w:val="20"/>
          <w:szCs w:val="20"/>
        </w:rPr>
        <w:t xml:space="preserve">Revista Sociedad </w:t>
      </w:r>
      <w:proofErr w:type="spellStart"/>
      <w:r>
        <w:rPr>
          <w:sz w:val="20"/>
          <w:szCs w:val="20"/>
        </w:rPr>
        <w:t>N°</w:t>
      </w:r>
      <w:proofErr w:type="spellEnd"/>
      <w:r>
        <w:rPr>
          <w:sz w:val="20"/>
          <w:szCs w:val="20"/>
        </w:rPr>
        <w:t xml:space="preserve"> 41. Facultad de Ciencias Sociales. UBA.</w:t>
      </w:r>
    </w:p>
  </w:footnote>
  <w:footnote w:id="17">
    <w:p w14:paraId="75E91742" w14:textId="54BF0ABF" w:rsidR="00040A11" w:rsidRDefault="00000000">
      <w:pPr>
        <w:spacing w:after="0" w:line="240" w:lineRule="auto"/>
        <w:jc w:val="both"/>
        <w:rPr>
          <w:sz w:val="20"/>
          <w:szCs w:val="20"/>
        </w:rPr>
      </w:pPr>
      <w:r>
        <w:rPr>
          <w:vertAlign w:val="superscript"/>
        </w:rPr>
        <w:footnoteRef/>
      </w:r>
      <w:r>
        <w:rPr>
          <w:sz w:val="20"/>
          <w:szCs w:val="20"/>
        </w:rPr>
        <w:t xml:space="preserve"> CEDAW/C/GC/35, párrafo 19.</w:t>
      </w:r>
    </w:p>
  </w:footnote>
  <w:footnote w:id="18">
    <w:p w14:paraId="0A2E3764" w14:textId="400C1B00" w:rsidR="00040A11" w:rsidRDefault="00000000">
      <w:pPr>
        <w:spacing w:after="0" w:line="240" w:lineRule="auto"/>
        <w:jc w:val="both"/>
        <w:rPr>
          <w:sz w:val="20"/>
          <w:szCs w:val="20"/>
        </w:rPr>
      </w:pPr>
      <w:r>
        <w:rPr>
          <w:vertAlign w:val="superscript"/>
        </w:rPr>
        <w:footnoteRef/>
      </w:r>
      <w:r>
        <w:rPr>
          <w:sz w:val="20"/>
          <w:szCs w:val="20"/>
        </w:rPr>
        <w:t xml:space="preserve"> CEDAW/C/GC/28, párrafo 18.</w:t>
      </w:r>
    </w:p>
  </w:footnote>
  <w:footnote w:id="19">
    <w:p w14:paraId="2A0FA6E9" w14:textId="77777777" w:rsidR="00040A11" w:rsidRDefault="00000000">
      <w:pPr>
        <w:spacing w:after="0" w:line="240" w:lineRule="auto"/>
        <w:jc w:val="both"/>
        <w:rPr>
          <w:sz w:val="20"/>
          <w:szCs w:val="20"/>
        </w:rPr>
      </w:pPr>
      <w:r>
        <w:rPr>
          <w:vertAlign w:val="superscript"/>
        </w:rPr>
        <w:footnoteRef/>
      </w:r>
      <w:r>
        <w:rPr>
          <w:sz w:val="20"/>
          <w:szCs w:val="20"/>
        </w:rPr>
        <w:t xml:space="preserve"> </w:t>
      </w:r>
      <w:proofErr w:type="spellStart"/>
      <w:r>
        <w:rPr>
          <w:sz w:val="20"/>
          <w:szCs w:val="20"/>
        </w:rPr>
        <w:t>Wayar</w:t>
      </w:r>
      <w:proofErr w:type="spellEnd"/>
      <w:r>
        <w:rPr>
          <w:sz w:val="20"/>
          <w:szCs w:val="20"/>
        </w:rPr>
        <w:t xml:space="preserve"> 2018, </w:t>
      </w:r>
      <w:proofErr w:type="spellStart"/>
      <w:r>
        <w:rPr>
          <w:sz w:val="20"/>
          <w:szCs w:val="20"/>
        </w:rPr>
        <w:t>DiPietro</w:t>
      </w:r>
      <w:proofErr w:type="spellEnd"/>
      <w:r>
        <w:rPr>
          <w:sz w:val="20"/>
          <w:szCs w:val="20"/>
        </w:rPr>
        <w:t xml:space="preserve"> 2016 y 2025</w:t>
      </w:r>
    </w:p>
  </w:footnote>
  <w:footnote w:id="20">
    <w:p w14:paraId="3582F93C" w14:textId="77777777" w:rsidR="00040A11" w:rsidRDefault="00000000">
      <w:pPr>
        <w:spacing w:after="0" w:line="240" w:lineRule="auto"/>
        <w:jc w:val="both"/>
        <w:rPr>
          <w:sz w:val="20"/>
          <w:szCs w:val="20"/>
        </w:rPr>
      </w:pPr>
      <w:r>
        <w:rPr>
          <w:vertAlign w:val="superscript"/>
        </w:rPr>
        <w:footnoteRef/>
      </w:r>
      <w:r>
        <w:rPr>
          <w:sz w:val="20"/>
          <w:szCs w:val="20"/>
        </w:rPr>
        <w:t xml:space="preserve"> </w:t>
      </w:r>
      <w:hyperlink r:id="rId5">
        <w:r w:rsidR="00040A11">
          <w:rPr>
            <w:sz w:val="20"/>
            <w:szCs w:val="20"/>
          </w:rPr>
          <w:t>www.laramariabertolini.org</w:t>
        </w:r>
      </w:hyperlink>
    </w:p>
  </w:footnote>
  <w:footnote w:id="21">
    <w:p w14:paraId="7CA03C4C" w14:textId="77777777" w:rsidR="00040A11" w:rsidRDefault="00000000">
      <w:pPr>
        <w:spacing w:after="0" w:line="240" w:lineRule="auto"/>
        <w:jc w:val="both"/>
        <w:rPr>
          <w:sz w:val="20"/>
          <w:szCs w:val="20"/>
        </w:rPr>
      </w:pPr>
      <w:r>
        <w:rPr>
          <w:vertAlign w:val="superscript"/>
        </w:rPr>
        <w:footnoteRef/>
      </w:r>
      <w:r>
        <w:rPr>
          <w:sz w:val="20"/>
          <w:szCs w:val="20"/>
        </w:rPr>
        <w:t xml:space="preserve"> Marlene </w:t>
      </w:r>
      <w:proofErr w:type="spellStart"/>
      <w:r>
        <w:rPr>
          <w:sz w:val="20"/>
          <w:szCs w:val="20"/>
        </w:rPr>
        <w:t>Wayar</w:t>
      </w:r>
      <w:proofErr w:type="spellEnd"/>
      <w:r>
        <w:rPr>
          <w:sz w:val="20"/>
          <w:szCs w:val="20"/>
        </w:rPr>
        <w:t>. Travesti: una teoría lo suficientemente buena. Buenos Aires, Muchas Nueces, 2018.</w:t>
      </w:r>
    </w:p>
  </w:footnote>
  <w:footnote w:id="22">
    <w:p w14:paraId="2A363715" w14:textId="77777777" w:rsidR="00040A11" w:rsidRDefault="00000000">
      <w:pPr>
        <w:spacing w:after="0" w:line="240" w:lineRule="auto"/>
        <w:jc w:val="both"/>
        <w:rPr>
          <w:sz w:val="20"/>
          <w:szCs w:val="20"/>
        </w:rPr>
      </w:pPr>
      <w:r>
        <w:rPr>
          <w:vertAlign w:val="superscript"/>
        </w:rPr>
        <w:footnoteRef/>
      </w:r>
      <w:r>
        <w:rPr>
          <w:sz w:val="20"/>
          <w:szCs w:val="20"/>
        </w:rPr>
        <w:t xml:space="preserve"> </w:t>
      </w:r>
      <w:proofErr w:type="spellStart"/>
      <w:r>
        <w:rPr>
          <w:sz w:val="20"/>
          <w:szCs w:val="20"/>
        </w:rPr>
        <w:t>Schultze</w:t>
      </w:r>
      <w:proofErr w:type="spellEnd"/>
      <w:r>
        <w:rPr>
          <w:sz w:val="20"/>
          <w:szCs w:val="20"/>
        </w:rPr>
        <w:t xml:space="preserve">, Fernando (2020). Cursos de vida vulnerados. La vejez de las mujeres trans como un derecho negado. En: </w:t>
      </w:r>
    </w:p>
    <w:p w14:paraId="7CEBE3B0" w14:textId="77777777" w:rsidR="00040A11" w:rsidRDefault="00000000">
      <w:pPr>
        <w:spacing w:after="0" w:line="240" w:lineRule="auto"/>
        <w:jc w:val="both"/>
        <w:rPr>
          <w:sz w:val="20"/>
          <w:szCs w:val="20"/>
        </w:rPr>
      </w:pPr>
      <w:r>
        <w:rPr>
          <w:sz w:val="20"/>
          <w:szCs w:val="20"/>
        </w:rPr>
        <w:t xml:space="preserve">Revista Sociedad </w:t>
      </w:r>
      <w:proofErr w:type="spellStart"/>
      <w:r>
        <w:rPr>
          <w:sz w:val="20"/>
          <w:szCs w:val="20"/>
        </w:rPr>
        <w:t>N°</w:t>
      </w:r>
      <w:proofErr w:type="spellEnd"/>
      <w:r>
        <w:rPr>
          <w:sz w:val="20"/>
          <w:szCs w:val="20"/>
        </w:rPr>
        <w:t xml:space="preserve"> 41. Facultad de Ciencias Sociales. UBA.</w:t>
      </w:r>
    </w:p>
  </w:footnote>
  <w:footnote w:id="23">
    <w:p w14:paraId="008AC696" w14:textId="77777777" w:rsidR="00040A11" w:rsidRDefault="00000000">
      <w:pPr>
        <w:spacing w:after="0" w:line="240" w:lineRule="auto"/>
        <w:jc w:val="both"/>
        <w:rPr>
          <w:sz w:val="20"/>
          <w:szCs w:val="20"/>
        </w:rPr>
      </w:pPr>
      <w:r>
        <w:rPr>
          <w:vertAlign w:val="superscript"/>
        </w:rPr>
        <w:footnoteRef/>
      </w:r>
      <w:r>
        <w:rPr>
          <w:sz w:val="20"/>
          <w:szCs w:val="20"/>
        </w:rPr>
        <w:t xml:space="preserve"> Caggiano, Sergio (2008). Racismo, fundamentalismo cultural y restricción de la ciudadanía: formas de regulación social frente a inmigrantes en Argentina. En: </w:t>
      </w:r>
      <w:proofErr w:type="spellStart"/>
      <w:r>
        <w:rPr>
          <w:sz w:val="20"/>
          <w:szCs w:val="20"/>
        </w:rPr>
        <w:t>Novick</w:t>
      </w:r>
      <w:proofErr w:type="spellEnd"/>
      <w:r>
        <w:rPr>
          <w:sz w:val="20"/>
          <w:szCs w:val="20"/>
        </w:rPr>
        <w:t>, S. (</w:t>
      </w:r>
      <w:proofErr w:type="spellStart"/>
      <w:r>
        <w:rPr>
          <w:sz w:val="20"/>
          <w:szCs w:val="20"/>
        </w:rPr>
        <w:t>comp</w:t>
      </w:r>
      <w:proofErr w:type="spellEnd"/>
      <w:r>
        <w:rPr>
          <w:sz w:val="20"/>
          <w:szCs w:val="20"/>
        </w:rPr>
        <w:t>). Las migraciones en América Latina: Políticas, Culturas y Estrategias. Buenos Aires. Catálogos.</w:t>
      </w:r>
    </w:p>
  </w:footnote>
  <w:footnote w:id="24">
    <w:p w14:paraId="66F10E7B" w14:textId="77777777" w:rsidR="00040A11" w:rsidRDefault="00000000">
      <w:pPr>
        <w:spacing w:after="0" w:line="240" w:lineRule="auto"/>
        <w:jc w:val="both"/>
        <w:rPr>
          <w:sz w:val="20"/>
          <w:szCs w:val="20"/>
        </w:rPr>
      </w:pPr>
      <w:r>
        <w:rPr>
          <w:vertAlign w:val="superscript"/>
        </w:rPr>
        <w:footnoteRef/>
      </w:r>
      <w:r>
        <w:rPr>
          <w:sz w:val="20"/>
          <w:szCs w:val="20"/>
        </w:rPr>
        <w:t xml:space="preserve"> Ministerio Público de la Defensa de la Ciudad de Buenos Aires.  (2017). </w:t>
      </w:r>
      <w:r>
        <w:rPr>
          <w:i/>
          <w:iCs/>
          <w:sz w:val="20"/>
          <w:szCs w:val="20"/>
        </w:rPr>
        <w:t>La revolución de las mariposas. A diez años de la gesta del nombre propio.</w:t>
      </w:r>
      <w:r>
        <w:rPr>
          <w:sz w:val="20"/>
          <w:szCs w:val="20"/>
        </w:rPr>
        <w:t xml:space="preserve"> Buenos Aires.</w:t>
      </w:r>
    </w:p>
  </w:footnote>
  <w:footnote w:id="25">
    <w:p w14:paraId="48C5620C" w14:textId="77777777" w:rsidR="00040A11" w:rsidRDefault="00000000">
      <w:pPr>
        <w:spacing w:after="0" w:line="240" w:lineRule="auto"/>
        <w:jc w:val="both"/>
        <w:rPr>
          <w:sz w:val="20"/>
          <w:szCs w:val="20"/>
        </w:rPr>
      </w:pPr>
      <w:r>
        <w:rPr>
          <w:vertAlign w:val="superscript"/>
        </w:rPr>
        <w:footnoteRef/>
      </w:r>
      <w:r>
        <w:rPr>
          <w:sz w:val="20"/>
          <w:szCs w:val="20"/>
        </w:rPr>
        <w:t xml:space="preserve"> Observatorio Metropolitano. (2023). Consejo profesional de arquitectura y urbanismo. Cómo cambia la expectativa de vida de los habitantes de Buenos Aires según el barrio donde se reside.</w:t>
      </w:r>
    </w:p>
  </w:footnote>
  <w:footnote w:id="26">
    <w:p w14:paraId="574F31BC" w14:textId="77777777" w:rsidR="00040A11" w:rsidRDefault="00000000">
      <w:pPr>
        <w:spacing w:after="0" w:line="240" w:lineRule="auto"/>
        <w:jc w:val="both"/>
        <w:rPr>
          <w:sz w:val="20"/>
          <w:szCs w:val="20"/>
        </w:rPr>
      </w:pPr>
      <w:r>
        <w:rPr>
          <w:vertAlign w:val="superscript"/>
        </w:rPr>
        <w:footnoteRef/>
      </w:r>
      <w:r>
        <w:rPr>
          <w:sz w:val="20"/>
          <w:szCs w:val="20"/>
        </w:rPr>
        <w:t xml:space="preserve"> OMS en </w:t>
      </w:r>
      <w:proofErr w:type="spellStart"/>
      <w:r>
        <w:rPr>
          <w:sz w:val="20"/>
          <w:szCs w:val="20"/>
        </w:rPr>
        <w:t>Schultze</w:t>
      </w:r>
      <w:proofErr w:type="spellEnd"/>
      <w:r>
        <w:rPr>
          <w:sz w:val="20"/>
          <w:szCs w:val="20"/>
        </w:rPr>
        <w:t xml:space="preserve">, Fernando (2020). Cursos de vida vulnerados. La vejez de las mujeres trans como un derecho negado. En: Revista Sociedad </w:t>
      </w:r>
      <w:proofErr w:type="spellStart"/>
      <w:r>
        <w:rPr>
          <w:sz w:val="20"/>
          <w:szCs w:val="20"/>
        </w:rPr>
        <w:t>N°</w:t>
      </w:r>
      <w:proofErr w:type="spellEnd"/>
      <w:r>
        <w:rPr>
          <w:sz w:val="20"/>
          <w:szCs w:val="20"/>
        </w:rPr>
        <w:t xml:space="preserve"> 41. Facultad de Ciencias Sociales. UBA.</w:t>
      </w:r>
    </w:p>
  </w:footnote>
  <w:footnote w:id="27">
    <w:p w14:paraId="1433EF29" w14:textId="77777777" w:rsidR="00040A11" w:rsidRDefault="00000000">
      <w:pPr>
        <w:spacing w:after="0" w:line="240" w:lineRule="auto"/>
        <w:jc w:val="both"/>
        <w:rPr>
          <w:sz w:val="20"/>
          <w:szCs w:val="20"/>
        </w:rPr>
      </w:pPr>
      <w:r>
        <w:rPr>
          <w:vertAlign w:val="superscript"/>
        </w:rPr>
        <w:footnoteRef/>
      </w:r>
      <w:r>
        <w:rPr>
          <w:sz w:val="20"/>
          <w:szCs w:val="20"/>
        </w:rPr>
        <w:t xml:space="preserve"> </w:t>
      </w:r>
      <w:proofErr w:type="spellStart"/>
      <w:r>
        <w:rPr>
          <w:sz w:val="20"/>
          <w:szCs w:val="20"/>
        </w:rPr>
        <w:t>Oddone</w:t>
      </w:r>
      <w:proofErr w:type="spellEnd"/>
      <w:r>
        <w:rPr>
          <w:sz w:val="20"/>
          <w:szCs w:val="20"/>
        </w:rPr>
        <w:t xml:space="preserve">, 1996. Citado en </w:t>
      </w:r>
      <w:proofErr w:type="spellStart"/>
      <w:r>
        <w:rPr>
          <w:sz w:val="20"/>
          <w:szCs w:val="20"/>
        </w:rPr>
        <w:t>Schultze</w:t>
      </w:r>
      <w:proofErr w:type="spellEnd"/>
      <w:r>
        <w:rPr>
          <w:sz w:val="20"/>
          <w:szCs w:val="20"/>
        </w:rPr>
        <w:t xml:space="preserve">, Fernando (2020). Cursos de vida vulnerados. La vejez de las mujeres trans como un derecho negado. En: Revista Sociedad </w:t>
      </w:r>
      <w:proofErr w:type="spellStart"/>
      <w:r>
        <w:rPr>
          <w:sz w:val="20"/>
          <w:szCs w:val="20"/>
        </w:rPr>
        <w:t>N°</w:t>
      </w:r>
      <w:proofErr w:type="spellEnd"/>
      <w:r>
        <w:rPr>
          <w:sz w:val="20"/>
          <w:szCs w:val="20"/>
        </w:rPr>
        <w:t xml:space="preserve"> 41. Facultad de Ciencias Sociales. UBA. </w:t>
      </w:r>
    </w:p>
  </w:footnote>
  <w:footnote w:id="28">
    <w:p w14:paraId="276AC705" w14:textId="77777777" w:rsidR="00040A11" w:rsidRDefault="00000000">
      <w:pPr>
        <w:spacing w:after="0" w:line="240" w:lineRule="auto"/>
        <w:jc w:val="both"/>
        <w:rPr>
          <w:sz w:val="20"/>
          <w:szCs w:val="20"/>
        </w:rPr>
      </w:pPr>
      <w:r>
        <w:rPr>
          <w:vertAlign w:val="superscript"/>
        </w:rPr>
        <w:footnoteRef/>
      </w:r>
      <w:r>
        <w:rPr>
          <w:sz w:val="20"/>
          <w:szCs w:val="20"/>
        </w:rPr>
        <w:t xml:space="preserve"> Le Breton, 2011. Citado en </w:t>
      </w:r>
      <w:proofErr w:type="spellStart"/>
      <w:r>
        <w:rPr>
          <w:sz w:val="20"/>
          <w:szCs w:val="20"/>
        </w:rPr>
        <w:t>Schultze</w:t>
      </w:r>
      <w:proofErr w:type="spellEnd"/>
      <w:r>
        <w:rPr>
          <w:sz w:val="20"/>
          <w:szCs w:val="20"/>
        </w:rPr>
        <w:t xml:space="preserve">, Fernando (2020). Cursos de vida vulnerados. La vejez de las mujeres trans como un derecho negado. En: Revista Sociedad </w:t>
      </w:r>
      <w:proofErr w:type="spellStart"/>
      <w:r>
        <w:rPr>
          <w:sz w:val="20"/>
          <w:szCs w:val="20"/>
        </w:rPr>
        <w:t>N°</w:t>
      </w:r>
      <w:proofErr w:type="spellEnd"/>
      <w:r>
        <w:rPr>
          <w:sz w:val="20"/>
          <w:szCs w:val="20"/>
        </w:rPr>
        <w:t xml:space="preserve"> 41. Facultad de Ciencias Sociales. UBA. </w:t>
      </w:r>
    </w:p>
  </w:footnote>
  <w:footnote w:id="29">
    <w:p w14:paraId="4661DD76" w14:textId="77777777" w:rsidR="00040A11" w:rsidRDefault="00000000">
      <w:pPr>
        <w:spacing w:after="0" w:line="240" w:lineRule="auto"/>
        <w:jc w:val="both"/>
        <w:rPr>
          <w:sz w:val="20"/>
          <w:szCs w:val="20"/>
        </w:rPr>
      </w:pPr>
      <w:r>
        <w:rPr>
          <w:vertAlign w:val="superscript"/>
        </w:rPr>
        <w:footnoteRef/>
      </w:r>
      <w:r>
        <w:rPr>
          <w:sz w:val="20"/>
          <w:szCs w:val="20"/>
        </w:rPr>
        <w:t xml:space="preserve"> </w:t>
      </w:r>
      <w:proofErr w:type="spellStart"/>
      <w:r>
        <w:rPr>
          <w:sz w:val="20"/>
          <w:szCs w:val="20"/>
        </w:rPr>
        <w:t>Schultze</w:t>
      </w:r>
      <w:proofErr w:type="spellEnd"/>
      <w:r>
        <w:rPr>
          <w:sz w:val="20"/>
          <w:szCs w:val="20"/>
        </w:rPr>
        <w:t xml:space="preserve">, Fernando (2020). Cursos de vida vulnerados. La vejez de las mujeres trans como un derecho negado. En: Revista Sociedad </w:t>
      </w:r>
      <w:proofErr w:type="spellStart"/>
      <w:r>
        <w:rPr>
          <w:sz w:val="20"/>
          <w:szCs w:val="20"/>
        </w:rPr>
        <w:t>N°</w:t>
      </w:r>
      <w:proofErr w:type="spellEnd"/>
      <w:r>
        <w:rPr>
          <w:sz w:val="20"/>
          <w:szCs w:val="20"/>
        </w:rPr>
        <w:t xml:space="preserve"> 41. Facultad de Ciencias Sociales. UBA.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ED939" w14:textId="77777777" w:rsidR="00040A11" w:rsidRDefault="00040A11">
    <w:pPr>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69C6F" w14:textId="77777777" w:rsidR="00040A11" w:rsidRDefault="00000000">
    <w:pPr>
      <w:ind w:left="-566" w:right="-702" w:hanging="283"/>
    </w:pPr>
    <w:r>
      <w:rPr>
        <w:noProof/>
      </w:rPr>
      <w:drawing>
        <wp:inline distT="114300" distB="114300" distL="114300" distR="114300" wp14:anchorId="22ABF588" wp14:editId="39F71FB3">
          <wp:extent cx="1519238" cy="726947"/>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519238" cy="726947"/>
                  </a:xfrm>
                  <a:prstGeom prst="rect">
                    <a:avLst/>
                  </a:prstGeom>
                  <a:ln/>
                </pic:spPr>
              </pic:pic>
            </a:graphicData>
          </a:graphic>
        </wp:inline>
      </w:drawing>
    </w:r>
    <w:r>
      <w:rPr>
        <w:noProof/>
      </w:rPr>
      <w:drawing>
        <wp:inline distT="114300" distB="114300" distL="114300" distR="114300" wp14:anchorId="5887F6D5" wp14:editId="73153D4A">
          <wp:extent cx="1195575" cy="64293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33003" r="11968" b="8250"/>
                  <a:stretch>
                    <a:fillRect/>
                  </a:stretch>
                </pic:blipFill>
                <pic:spPr>
                  <a:xfrm>
                    <a:off x="0" y="0"/>
                    <a:ext cx="1195575" cy="642938"/>
                  </a:xfrm>
                  <a:prstGeom prst="rect">
                    <a:avLst/>
                  </a:prstGeom>
                  <a:ln/>
                </pic:spPr>
              </pic:pic>
            </a:graphicData>
          </a:graphic>
        </wp:inline>
      </w:drawing>
    </w:r>
    <w:r>
      <w:rPr>
        <w:noProof/>
      </w:rPr>
      <w:drawing>
        <wp:inline distT="114300" distB="114300" distL="114300" distR="114300" wp14:anchorId="10DD4003" wp14:editId="12ED7DF2">
          <wp:extent cx="788092" cy="871538"/>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
                  <a:srcRect/>
                  <a:stretch>
                    <a:fillRect/>
                  </a:stretch>
                </pic:blipFill>
                <pic:spPr>
                  <a:xfrm>
                    <a:off x="0" y="0"/>
                    <a:ext cx="788092" cy="871538"/>
                  </a:xfrm>
                  <a:prstGeom prst="rect">
                    <a:avLst/>
                  </a:prstGeom>
                  <a:ln/>
                </pic:spPr>
              </pic:pic>
            </a:graphicData>
          </a:graphic>
        </wp:inline>
      </w:drawing>
    </w:r>
    <w:r>
      <w:rPr>
        <w:noProof/>
      </w:rPr>
      <w:drawing>
        <wp:inline distT="114300" distB="114300" distL="114300" distR="114300" wp14:anchorId="3C057200" wp14:editId="37F32F9C">
          <wp:extent cx="1243937" cy="595313"/>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
                  <a:srcRect l="14689" t="16901" r="15254"/>
                  <a:stretch>
                    <a:fillRect/>
                  </a:stretch>
                </pic:blipFill>
                <pic:spPr>
                  <a:xfrm>
                    <a:off x="0" y="0"/>
                    <a:ext cx="1243937" cy="595313"/>
                  </a:xfrm>
                  <a:prstGeom prst="rect">
                    <a:avLst/>
                  </a:prstGeom>
                  <a:ln/>
                </pic:spPr>
              </pic:pic>
            </a:graphicData>
          </a:graphic>
        </wp:inline>
      </w:drawing>
    </w:r>
    <w:r>
      <w:rPr>
        <w:noProof/>
      </w:rPr>
      <w:drawing>
        <wp:inline distT="114300" distB="114300" distL="114300" distR="114300" wp14:anchorId="077643B3" wp14:editId="5F0FDD34">
          <wp:extent cx="871538" cy="78260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871538" cy="782605"/>
                  </a:xfrm>
                  <a:prstGeom prst="rect">
                    <a:avLst/>
                  </a:prstGeom>
                  <a:ln/>
                </pic:spPr>
              </pic:pic>
            </a:graphicData>
          </a:graphic>
        </wp:inline>
      </w:drawing>
    </w:r>
    <w:r>
      <w:t xml:space="preserve"> </w:t>
    </w:r>
    <w:r>
      <w:rPr>
        <w:noProof/>
      </w:rPr>
      <w:drawing>
        <wp:inline distT="114300" distB="114300" distL="114300" distR="114300" wp14:anchorId="7EA5F00D" wp14:editId="3EF70C99">
          <wp:extent cx="885825" cy="8858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885825" cy="88582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A11"/>
    <w:rsid w:val="00040A11"/>
    <w:rsid w:val="004C1EAD"/>
    <w:rsid w:val="00565950"/>
    <w:rsid w:val="00605A30"/>
    <w:rsid w:val="007C4498"/>
    <w:rsid w:val="007E6959"/>
    <w:rsid w:val="007F0B15"/>
    <w:rsid w:val="008666BA"/>
    <w:rsid w:val="008F63BD"/>
    <w:rsid w:val="00C5620C"/>
    <w:rsid w:val="00D02029"/>
    <w:rsid w:val="00E201CB"/>
    <w:rsid w:val="00E629D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3DF6A"/>
  <w15:docId w15:val="{E1DE501B-CDD0-4358-93A0-0B49B44F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s-AR" w:bidi="ar-SA"/>
      </w:rPr>
    </w:rPrDefault>
    <w:pPrDefault>
      <w:pPr>
        <w:spacing w:after="120"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outlineLvl w:val="0"/>
    </w:pPr>
    <w:rPr>
      <w:sz w:val="40"/>
      <w:szCs w:val="40"/>
    </w:rPr>
  </w:style>
  <w:style w:type="paragraph" w:styleId="Ttulo2">
    <w:name w:val="heading 2"/>
    <w:basedOn w:val="Normal"/>
    <w:next w:val="Normal"/>
    <w:uiPriority w:val="9"/>
    <w:semiHidden/>
    <w:unhideWhenUsed/>
    <w:qFormat/>
    <w:pPr>
      <w:keepNext/>
      <w:keepLines/>
      <w:spacing w:before="36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rPr>
  </w:style>
  <w:style w:type="paragraph" w:styleId="Ttulo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tulo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Revisin">
    <w:name w:val="Revision"/>
    <w:hidden/>
    <w:uiPriority w:val="99"/>
    <w:semiHidden/>
    <w:rsid w:val="00605A30"/>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rchivotrans.a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3" Type="http://schemas.openxmlformats.org/officeDocument/2006/relationships/hyperlink" Target="https://tn.com.ar/sociedad/2025/07/25/a-cuatro-anos-de-la-ley-de-cupo-laboral-trans-como-afecto-el-recorte-en-el-estado-a-la-comunidad-lgbt/" TargetMode="External"/><Relationship Id="rId2" Type="http://schemas.openxmlformats.org/officeDocument/2006/relationships/hyperlink" Target="https://ojs.aset.org.ar/revista/article/view/165/279" TargetMode="External"/><Relationship Id="rId1" Type="http://schemas.openxmlformats.org/officeDocument/2006/relationships/hyperlink" Target="https://www.instagram.com/zaguanttnb/" TargetMode="External"/><Relationship Id="rId5" Type="http://schemas.openxmlformats.org/officeDocument/2006/relationships/hyperlink" Target="http://www.laramariabertolini.org/" TargetMode="External"/><Relationship Id="rId4" Type="http://schemas.openxmlformats.org/officeDocument/2006/relationships/hyperlink" Target="https://www.defensorba.org.ar/contenido/24-de-junio-aniversario-del-decreto-de-cupo-laboral-travesti-trans"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347CE-EB48-4F98-93AF-C7A57ED5D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6143</Words>
  <Characters>32502</Characters>
  <Application>Microsoft Office Word</Application>
  <DocSecurity>0</DocSecurity>
  <Lines>485</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CELSP009</dc:creator>
  <cp:lastModifiedBy>Cynthia Palacios</cp:lastModifiedBy>
  <cp:revision>2</cp:revision>
  <dcterms:created xsi:type="dcterms:W3CDTF">2026-01-08T20:24:00Z</dcterms:created>
  <dcterms:modified xsi:type="dcterms:W3CDTF">2026-01-08T20:24:00Z</dcterms:modified>
</cp:coreProperties>
</file>