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EDC1E" w14:textId="14EFD4A5" w:rsidR="00D425BA" w:rsidRPr="004D5548" w:rsidRDefault="00D425BA">
      <w:pPr>
        <w:rPr>
          <w:rFonts w:ascii="Times New Roman" w:hAnsi="Times New Roman" w:cs="Times New Roman"/>
          <w:sz w:val="20"/>
          <w:szCs w:val="20"/>
        </w:rPr>
      </w:pPr>
    </w:p>
    <w:p w14:paraId="6FCA32E6" w14:textId="25719463" w:rsidR="000E618E" w:rsidRPr="004D5548" w:rsidRDefault="00D425BA" w:rsidP="00D425BA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D425BA">
        <w:rPr>
          <w:rFonts w:ascii="Times New Roman" w:hAnsi="Times New Roman" w:cs="Times New Roman"/>
          <w:sz w:val="20"/>
          <w:szCs w:val="20"/>
        </w:rPr>
        <w:br/>
      </w:r>
      <w:r w:rsidRPr="00D425BA">
        <w:rPr>
          <w:rFonts w:ascii="Times New Roman" w:hAnsi="Times New Roman" w:cs="Times New Roman"/>
          <w:b/>
          <w:bCs/>
          <w:sz w:val="20"/>
          <w:szCs w:val="20"/>
        </w:rPr>
        <w:t xml:space="preserve">Festival Internacional de Artes Vivas de Loja </w:t>
      </w:r>
    </w:p>
    <w:p w14:paraId="599BECE0" w14:textId="13C71825" w:rsidR="00311876" w:rsidRPr="00311876" w:rsidRDefault="00311876" w:rsidP="00311876">
      <w:pPr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311876" w:rsidRPr="004D5548" w14:paraId="30355890" w14:textId="77777777" w:rsidTr="00311876">
        <w:tc>
          <w:tcPr>
            <w:tcW w:w="1765" w:type="dxa"/>
            <w:vMerge w:val="restart"/>
            <w:shd w:val="clear" w:color="auto" w:fill="B4C6E7" w:themeFill="accent1" w:themeFillTint="66"/>
          </w:tcPr>
          <w:p w14:paraId="44D62621" w14:textId="23F70CA3" w:rsidR="00311876" w:rsidRPr="004D5548" w:rsidRDefault="00311876" w:rsidP="003118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Carpa Escénica</w:t>
            </w:r>
          </w:p>
          <w:p w14:paraId="57AC7C64" w14:textId="0F2CE47E" w:rsidR="00311876" w:rsidRPr="004D5548" w:rsidRDefault="00311876" w:rsidP="003118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8467949" w14:textId="77777777" w:rsidR="00311876" w:rsidRPr="004D5548" w:rsidRDefault="00311876" w:rsidP="003118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BC773CA" w14:textId="0FE7A5F3" w:rsidR="00311876" w:rsidRPr="00311876" w:rsidRDefault="00311876" w:rsidP="003118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3118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éptima edición noviembre 2022 </w:t>
            </w:r>
          </w:p>
          <w:p w14:paraId="381C2BC2" w14:textId="77777777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9D2FF02" w14:textId="304CDDD9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B4C6E7" w:themeFill="accent1" w:themeFillTint="66"/>
          </w:tcPr>
          <w:p w14:paraId="4E8DB350" w14:textId="63CFF448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 de beneficiarios NNA</w:t>
            </w:r>
          </w:p>
        </w:tc>
        <w:tc>
          <w:tcPr>
            <w:tcW w:w="1766" w:type="dxa"/>
            <w:shd w:val="clear" w:color="auto" w:fill="B4C6E7" w:themeFill="accent1" w:themeFillTint="66"/>
          </w:tcPr>
          <w:p w14:paraId="2D24D7C2" w14:textId="3FA7D8F6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No. De Obras </w:t>
            </w:r>
          </w:p>
        </w:tc>
        <w:tc>
          <w:tcPr>
            <w:tcW w:w="1766" w:type="dxa"/>
            <w:shd w:val="clear" w:color="auto" w:fill="B4C6E7" w:themeFill="accent1" w:themeFillTint="66"/>
          </w:tcPr>
          <w:p w14:paraId="79760331" w14:textId="39FB1A58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No. De funciones</w:t>
            </w:r>
          </w:p>
        </w:tc>
        <w:tc>
          <w:tcPr>
            <w:tcW w:w="1766" w:type="dxa"/>
            <w:shd w:val="clear" w:color="auto" w:fill="B4C6E7" w:themeFill="accent1" w:themeFillTint="66"/>
          </w:tcPr>
          <w:p w14:paraId="3F656736" w14:textId="34A206BD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No. De artista en escena</w:t>
            </w:r>
          </w:p>
        </w:tc>
      </w:tr>
      <w:tr w:rsidR="00311876" w:rsidRPr="004D5548" w14:paraId="00BCF784" w14:textId="77777777" w:rsidTr="00311876">
        <w:tc>
          <w:tcPr>
            <w:tcW w:w="1765" w:type="dxa"/>
            <w:vMerge/>
          </w:tcPr>
          <w:p w14:paraId="09934CE8" w14:textId="77777777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</w:tcPr>
          <w:p w14:paraId="4A31FF98" w14:textId="77777777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FA036B" w14:textId="18D1F85E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18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4514</w:t>
            </w:r>
          </w:p>
        </w:tc>
        <w:tc>
          <w:tcPr>
            <w:tcW w:w="1766" w:type="dxa"/>
          </w:tcPr>
          <w:p w14:paraId="2EF747C4" w14:textId="77777777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C622757" w14:textId="7B275510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766" w:type="dxa"/>
          </w:tcPr>
          <w:p w14:paraId="242845CB" w14:textId="77777777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C8C1E07" w14:textId="5F88F4E8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766" w:type="dxa"/>
          </w:tcPr>
          <w:p w14:paraId="7DDC9EDA" w14:textId="77777777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D60D87" w14:textId="380A4A99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</w:t>
            </w:r>
          </w:p>
          <w:p w14:paraId="0668E244" w14:textId="0D9D9E7E" w:rsidR="00311876" w:rsidRPr="004D5548" w:rsidRDefault="00311876" w:rsidP="00D425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26E8F7E" w14:textId="3496B06E" w:rsidR="00781A08" w:rsidRPr="004D5548" w:rsidRDefault="00D425BA" w:rsidP="00D425BA">
      <w:pPr>
        <w:rPr>
          <w:rFonts w:ascii="Times New Roman" w:hAnsi="Times New Roman" w:cs="Times New Roman"/>
          <w:sz w:val="20"/>
          <w:szCs w:val="20"/>
        </w:rPr>
      </w:pPr>
      <w:r w:rsidRPr="00D425BA">
        <w:rPr>
          <w:rFonts w:ascii="Times New Roman" w:hAnsi="Times New Roman" w:cs="Times New Roman"/>
          <w:sz w:val="20"/>
          <w:szCs w:val="20"/>
        </w:rPr>
        <w:br/>
      </w:r>
      <w:r w:rsidR="000E618E" w:rsidRPr="004D5548">
        <w:rPr>
          <w:rFonts w:ascii="Times New Roman" w:hAnsi="Times New Roman" w:cs="Times New Roman"/>
          <w:sz w:val="20"/>
          <w:szCs w:val="20"/>
        </w:rPr>
        <w:t xml:space="preserve">Fuente: </w:t>
      </w:r>
      <w:r w:rsidR="000E618E" w:rsidRPr="004D5548">
        <w:rPr>
          <w:rFonts w:ascii="Times New Roman" w:hAnsi="Times New Roman" w:cs="Times New Roman"/>
          <w:sz w:val="20"/>
          <w:szCs w:val="20"/>
        </w:rPr>
        <w:t>https://app.powerbi.com/view?r=eyJrIjoiNGQ3OTQyY2QtODJkMC00NzBiLWI4ZjQtOTU0YjQ5ODZjODgxIiwidCI6IjhjZTdkMTIwLWRhNTAtNGJiMS04N2E1LTA4ZTQ5YTNmZTg5NCIsImMiOjR9</w:t>
      </w:r>
      <w:r w:rsidRPr="004D5548">
        <w:rPr>
          <w:rFonts w:ascii="Times New Roman" w:hAnsi="Times New Roman" w:cs="Times New Roman"/>
          <w:sz w:val="20"/>
          <w:szCs w:val="20"/>
        </w:rPr>
        <w:br/>
      </w:r>
    </w:p>
    <w:p w14:paraId="27B26179" w14:textId="01522E89" w:rsidR="007435F3" w:rsidRPr="004D5548" w:rsidRDefault="007435F3" w:rsidP="00D425BA">
      <w:pPr>
        <w:rPr>
          <w:rFonts w:ascii="Times New Roman" w:hAnsi="Times New Roman" w:cs="Times New Roman"/>
          <w:sz w:val="20"/>
          <w:szCs w:val="20"/>
        </w:rPr>
      </w:pPr>
    </w:p>
    <w:p w14:paraId="48CFED80" w14:textId="30DACE45" w:rsidR="007435F3" w:rsidRPr="004D5548" w:rsidRDefault="004D5548" w:rsidP="00D425BA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D5548">
        <w:rPr>
          <w:rFonts w:ascii="Times New Roman" w:hAnsi="Times New Roman" w:cs="Times New Roman"/>
          <w:b/>
          <w:bCs/>
          <w:sz w:val="20"/>
          <w:szCs w:val="20"/>
        </w:rPr>
        <w:t>Actividades para garantizar el derecho a la cultura, descanso, juego de NNA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781A08" w:rsidRPr="004D5548" w14:paraId="1CD1DF8D" w14:textId="77777777" w:rsidTr="005007A2">
        <w:tc>
          <w:tcPr>
            <w:tcW w:w="4414" w:type="dxa"/>
            <w:shd w:val="clear" w:color="auto" w:fill="B4C6E7" w:themeFill="accent1" w:themeFillTint="66"/>
          </w:tcPr>
          <w:p w14:paraId="635B3980" w14:textId="7A5EBC5C" w:rsidR="00781A08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Lugar </w:t>
            </w:r>
          </w:p>
        </w:tc>
        <w:tc>
          <w:tcPr>
            <w:tcW w:w="4414" w:type="dxa"/>
            <w:shd w:val="clear" w:color="auto" w:fill="B4C6E7" w:themeFill="accent1" w:themeFillTint="66"/>
          </w:tcPr>
          <w:p w14:paraId="3DB9D29E" w14:textId="7E1DBAC5" w:rsidR="00781A08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Actividades para NNA</w:t>
            </w:r>
          </w:p>
        </w:tc>
      </w:tr>
      <w:tr w:rsidR="00781A08" w:rsidRPr="004D5548" w14:paraId="18F4D086" w14:textId="77777777" w:rsidTr="005007A2">
        <w:tc>
          <w:tcPr>
            <w:tcW w:w="4414" w:type="dxa"/>
          </w:tcPr>
          <w:p w14:paraId="3A79EA22" w14:textId="2C913EA0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MAAC – Museo Antropológico y de Arte Contemporáneo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7217DFE2" w14:textId="34744D01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Área lúdica, dedicada a niños donde permanentemente se realizan actividades que fomentan el de desarrollo de la creatividad, destrezas y habilidades relacionadas al arte y el patrimonio; jornadas de lectura y talleres artísticos.</w:t>
            </w:r>
          </w:p>
        </w:tc>
      </w:tr>
      <w:tr w:rsidR="00781A08" w:rsidRPr="004D5548" w14:paraId="09C4CE9A" w14:textId="77777777" w:rsidTr="005007A2">
        <w:tc>
          <w:tcPr>
            <w:tcW w:w="4414" w:type="dxa"/>
          </w:tcPr>
          <w:p w14:paraId="02F05C0E" w14:textId="12B4B9E0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Teatrín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br/>
              <w:t>Corporación Ciudad Alfaro</w:t>
            </w:r>
          </w:p>
        </w:tc>
        <w:tc>
          <w:tcPr>
            <w:tcW w:w="4414" w:type="dxa"/>
          </w:tcPr>
          <w:p w14:paraId="5A08417A" w14:textId="1C58342A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Proyecto escénico e innovador con personajes históricos en forma de títeres, con un guion dirigido a niños y niñas, para llevar a escena hechos conmemorativos, dentro de la agenda alfarista, y se exhibe en zonas urbanas, rurales, a instituciones educativas, y otros.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781A08" w:rsidRPr="004D5548" w14:paraId="1D01859B" w14:textId="77777777" w:rsidTr="005007A2">
        <w:tc>
          <w:tcPr>
            <w:tcW w:w="4414" w:type="dxa"/>
          </w:tcPr>
          <w:p w14:paraId="5E3695ED" w14:textId="373B0FC1" w:rsidR="00781A08" w:rsidRPr="004D5548" w:rsidRDefault="00781A08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Biblioteca </w:t>
            </w:r>
            <w:proofErr w:type="spellStart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braile</w:t>
            </w:r>
            <w:proofErr w:type="spellEnd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proofErr w:type="spellStart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Tifloteca</w:t>
            </w:r>
            <w:proofErr w:type="spellEnd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br/>
              <w:t>Museo Portoviejo</w:t>
            </w:r>
          </w:p>
        </w:tc>
        <w:tc>
          <w:tcPr>
            <w:tcW w:w="4414" w:type="dxa"/>
          </w:tcPr>
          <w:p w14:paraId="6F2296D6" w14:textId="7C116D01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Existe un pequeño fondo en la biblioteca del Museo Portoviejo que contiene libros en </w:t>
            </w:r>
            <w:proofErr w:type="spellStart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braile</w:t>
            </w:r>
            <w:proofErr w:type="spellEnd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, para uso de los niños y niñas con discapacidad visual.</w:t>
            </w:r>
          </w:p>
        </w:tc>
      </w:tr>
      <w:tr w:rsidR="00781A08" w:rsidRPr="004D5548" w14:paraId="4343493C" w14:textId="77777777" w:rsidTr="005007A2">
        <w:tc>
          <w:tcPr>
            <w:tcW w:w="4414" w:type="dxa"/>
          </w:tcPr>
          <w:p w14:paraId="5E6F5A82" w14:textId="4892559A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Museo de la Cultura Lojana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Instituto Especial de niños invidentes “Byron Eguiguren” y la Unidad Educativa Luis </w:t>
            </w:r>
            <w:proofErr w:type="spellStart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Braile</w:t>
            </w:r>
            <w:proofErr w:type="spellEnd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14" w:type="dxa"/>
          </w:tcPr>
          <w:p w14:paraId="70F006D7" w14:textId="3CF470B5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 PLAN NACIONAL DEL LIBRO Y LA LECTURA JOSÉ DE LA CUADRA, escrita en </w:t>
            </w:r>
            <w:proofErr w:type="spellStart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braile</w:t>
            </w:r>
            <w:proofErr w:type="spellEnd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 como un complemento a su formación educativa</w:t>
            </w:r>
          </w:p>
        </w:tc>
      </w:tr>
      <w:tr w:rsidR="00781A08" w:rsidRPr="004D5548" w14:paraId="10F92423" w14:textId="77777777" w:rsidTr="005007A2">
        <w:tc>
          <w:tcPr>
            <w:tcW w:w="4414" w:type="dxa"/>
          </w:tcPr>
          <w:p w14:paraId="05A90487" w14:textId="29EC2DD3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Biblioteca Nacional Eugenio Espejo</w:t>
            </w:r>
          </w:p>
        </w:tc>
        <w:tc>
          <w:tcPr>
            <w:tcW w:w="4414" w:type="dxa"/>
          </w:tcPr>
          <w:p w14:paraId="401F6F2F" w14:textId="31EB0142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Servicio de </w:t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tifloteca</w:t>
            </w:r>
            <w:proofErr w:type="spellEnd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, el cual cuenta con reproductores de audiolibros, una lupa tv y ejemplares en braille al servicio de la ciudadanía.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781A08" w:rsidRPr="004D5548" w14:paraId="5ABB9156" w14:textId="77777777" w:rsidTr="005007A2">
        <w:tc>
          <w:tcPr>
            <w:tcW w:w="4414" w:type="dxa"/>
          </w:tcPr>
          <w:p w14:paraId="05E56DA5" w14:textId="31C4BB03" w:rsidR="00781A08" w:rsidRPr="004D5548" w:rsidRDefault="00781A08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Museo Amantes de Sumpa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4DAC0152" w14:textId="5BFD6CBD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Proyecto “Memoria Social e Inclusiva: Aprendiendo a conocer nuestra historia en braille”: desarrollado con el objetivo de impulsar el desarrollo formativo de las personas con discapacidad visual dentro de un sistema inclusivo a través del arte, la historia, la cultura y el Braille. </w:t>
            </w:r>
          </w:p>
        </w:tc>
      </w:tr>
      <w:tr w:rsidR="00781A08" w:rsidRPr="004D5548" w14:paraId="6EEA8E30" w14:textId="77777777" w:rsidTr="005007A2">
        <w:tc>
          <w:tcPr>
            <w:tcW w:w="4414" w:type="dxa"/>
          </w:tcPr>
          <w:p w14:paraId="088163F7" w14:textId="4C09386E" w:rsidR="00781A08" w:rsidRPr="004D5548" w:rsidRDefault="00781A08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Casas abiertas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Corporación Ciudad Alfaro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66E4B46C" w14:textId="2BB588DE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Las zonas rurales son atendidas a través de casas abiertas, llevando información sobre el museo a los diferentes sitios y lugares de la provincia de Manabí.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781A08" w:rsidRPr="004D5548" w14:paraId="2AF6683E" w14:textId="77777777" w:rsidTr="005007A2">
        <w:tc>
          <w:tcPr>
            <w:tcW w:w="4414" w:type="dxa"/>
          </w:tcPr>
          <w:p w14:paraId="2263AE99" w14:textId="0638AE25" w:rsidR="00781A08" w:rsidRPr="004D5548" w:rsidRDefault="00781A08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Museo y Parque Arqueológico </w:t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Pumapungo</w:t>
            </w:r>
            <w:proofErr w:type="spellEnd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652DD94E" w14:textId="36EEC861" w:rsidR="00781A08" w:rsidRPr="004D5548" w:rsidRDefault="00781A08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Feria Infancia con fututo, en diferentes provincias del Azuay y Cañar, con la entrega de donación de libros a público infantil y adultos.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781A08" w:rsidRPr="004D5548" w14:paraId="67459D36" w14:textId="77777777" w:rsidTr="005007A2">
        <w:tc>
          <w:tcPr>
            <w:tcW w:w="4414" w:type="dxa"/>
          </w:tcPr>
          <w:p w14:paraId="44812804" w14:textId="6C04A834" w:rsidR="00781A08" w:rsidRPr="004D5548" w:rsidRDefault="007435F3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MuNa</w:t>
            </w:r>
            <w:proofErr w:type="spellEnd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 – Museo Nacional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Unidad de Servicios Culturales y la Unidad de Red de Museos se enfoca en trabajar con 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NNA</w:t>
            </w:r>
          </w:p>
        </w:tc>
        <w:tc>
          <w:tcPr>
            <w:tcW w:w="4414" w:type="dxa"/>
          </w:tcPr>
          <w:p w14:paraId="29E8E929" w14:textId="0AC7EE1E" w:rsidR="00781A08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rograma “Erradicación del Trabajo Infantil” manejado por los Guagua Centros del Municipio de Quito, estas alianzas interinstitucionales permiten el acercamiento de esta población a los contenidos histórico culturales que tienen estos espacios.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7435F3" w:rsidRPr="004D5548" w14:paraId="42986BA7" w14:textId="77777777" w:rsidTr="005007A2">
        <w:tc>
          <w:tcPr>
            <w:tcW w:w="4414" w:type="dxa"/>
          </w:tcPr>
          <w:p w14:paraId="4570B8C4" w14:textId="190F97A1" w:rsidR="007435F3" w:rsidRPr="004D5548" w:rsidRDefault="007435F3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5007A2" w:rsidRPr="004D5548">
              <w:rPr>
                <w:rFonts w:ascii="Times New Roman" w:hAnsi="Times New Roman" w:cs="Times New Roman"/>
                <w:sz w:val="20"/>
                <w:szCs w:val="20"/>
              </w:rPr>
              <w:t>useo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5007A2" w:rsidRPr="004D5548">
              <w:rPr>
                <w:rFonts w:ascii="Times New Roman" w:hAnsi="Times New Roman" w:cs="Times New Roman"/>
                <w:sz w:val="20"/>
                <w:szCs w:val="20"/>
              </w:rPr>
              <w:t>ahim</w:t>
            </w:r>
            <w:proofErr w:type="spellEnd"/>
            <w:r w:rsidR="005007A2"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 Isaías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106D0D00" w14:textId="37F2257D" w:rsidR="007435F3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Mesa de Concertación de Discapacidad e Infancia y Adolescencia: niñas y adolescentes con discapacidad, cuidadores y técnicos participaron en las jornadas realizadas en el marco del Día Internacional de Personas con Discapacidad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; NNA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 con discapacidad y sus cuidadores, beneficiarios del Bono Joaquín Gallegos Lara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435F3" w:rsidRPr="004D5548" w14:paraId="6935EDC2" w14:textId="77777777" w:rsidTr="005007A2">
        <w:tc>
          <w:tcPr>
            <w:tcW w:w="4414" w:type="dxa"/>
          </w:tcPr>
          <w:p w14:paraId="342D37E7" w14:textId="6E2D3C49" w:rsidR="007435F3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MAAC – Museo Antropológico y de Arte Contemporáneo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45C672FB" w14:textId="2382DB8C" w:rsidR="007435F3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Programa Arte con mis manos: son talleres impartidos por los técnicos de los museos, donde, a partir de la temática del museo, se aplican diversas técnicas: modelado en barro con técnicas ancestrales, dibujo, pintura, collage, entre otros Centro de Desarrollo Humano y Social Canas y Vida, Prefectura del Guayas, GAD del Cantón Durán / MIES, </w:t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Fasinarm</w:t>
            </w:r>
            <w:proofErr w:type="spellEnd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, Fundación Adonai </w:t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Yoshua</w:t>
            </w:r>
            <w:proofErr w:type="spellEnd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7435F3" w:rsidRPr="004D5548" w14:paraId="27253CEF" w14:textId="77777777" w:rsidTr="005007A2">
        <w:tc>
          <w:tcPr>
            <w:tcW w:w="4414" w:type="dxa"/>
          </w:tcPr>
          <w:p w14:paraId="3CB03B71" w14:textId="5F4843EC" w:rsidR="007435F3" w:rsidRPr="004D5548" w:rsidRDefault="007435F3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Museo y Parque Arqueológico </w:t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Pumapungo</w:t>
            </w:r>
            <w:proofErr w:type="spellEnd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4FE534BE" w14:textId="4450A742" w:rsidR="007435F3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Sensibilización para garantizar el 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derecho cultural 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de NNA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e incentivando a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 usuarios de los proyectos educativos, de ocio y esparcimiento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435F3" w:rsidRPr="004D5548" w14:paraId="3EAB3706" w14:textId="77777777" w:rsidTr="005007A2">
        <w:tc>
          <w:tcPr>
            <w:tcW w:w="4414" w:type="dxa"/>
          </w:tcPr>
          <w:p w14:paraId="4C105657" w14:textId="67A787DD" w:rsidR="007435F3" w:rsidRPr="004D5548" w:rsidRDefault="007435F3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Biblioteca Nacional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29CD2904" w14:textId="6E2A4BB6" w:rsidR="007435F3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Plan Nacional del Libro y la Lectura José de la Cuadra y el Tambo Selva de Lectura en la campaña de promoción de lectura y escritura creativa enfocada en niños, niñas y adolescentes, con un total de 500 beneficiarios.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7435F3" w:rsidRPr="004D5548" w14:paraId="3371BC0E" w14:textId="77777777" w:rsidTr="005007A2">
        <w:tc>
          <w:tcPr>
            <w:tcW w:w="4414" w:type="dxa"/>
          </w:tcPr>
          <w:p w14:paraId="2EC4B91D" w14:textId="6F607AA0" w:rsidR="007435F3" w:rsidRPr="004D5548" w:rsidRDefault="007435F3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Museo y Centro Cultural Manta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Museo Bahía de Caráquez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Museo Portoviejo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MAAC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Museo </w:t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Nahím</w:t>
            </w:r>
            <w:proofErr w:type="spellEnd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 xml:space="preserve"> Isaías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Museo Amantes de Sumpa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Museo y Centro Cultural Esmeraldas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Museo Riobamba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MuNa</w:t>
            </w:r>
            <w:proofErr w:type="spellEnd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Biblioteca Nacional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>Museo de la Cultura Lojana</w:t>
            </w:r>
            <w:r w:rsidRPr="00D425B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Museo y Parque Arqueológico </w:t>
            </w:r>
            <w:proofErr w:type="spellStart"/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Pumapungo</w:t>
            </w:r>
            <w:proofErr w:type="spellEnd"/>
          </w:p>
          <w:p w14:paraId="76192A5A" w14:textId="77777777" w:rsidR="007435F3" w:rsidRPr="004D5548" w:rsidRDefault="007435F3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F67309" w14:textId="4BFE4E93" w:rsidR="007435F3" w:rsidRPr="004D5548" w:rsidRDefault="007435F3" w:rsidP="005007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4" w:type="dxa"/>
          </w:tcPr>
          <w:p w14:paraId="72A80917" w14:textId="12AF35F5" w:rsidR="007435F3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5BA">
              <w:rPr>
                <w:rFonts w:ascii="Times New Roman" w:hAnsi="Times New Roman" w:cs="Times New Roman"/>
                <w:sz w:val="20"/>
                <w:szCs w:val="20"/>
              </w:rPr>
              <w:t>Tambos de lectura</w:t>
            </w:r>
          </w:p>
        </w:tc>
      </w:tr>
      <w:tr w:rsidR="007435F3" w:rsidRPr="004D5548" w14:paraId="113A6E26" w14:textId="77777777" w:rsidTr="005007A2">
        <w:tc>
          <w:tcPr>
            <w:tcW w:w="4414" w:type="dxa"/>
          </w:tcPr>
          <w:p w14:paraId="61D3BF73" w14:textId="563968AF" w:rsidR="007435F3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Instituto Nacional de </w:t>
            </w:r>
            <w:r w:rsidR="005007A2"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Cultura y 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Patrimonio</w:t>
            </w:r>
          </w:p>
        </w:tc>
        <w:tc>
          <w:tcPr>
            <w:tcW w:w="4414" w:type="dxa"/>
          </w:tcPr>
          <w:p w14:paraId="13647DCA" w14:textId="38BAC0BD" w:rsidR="007435F3" w:rsidRPr="004D5548" w:rsidRDefault="007435F3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El arte de nuestros ancestros: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br/>
              <w:t>Un proyecto de educación artística para niñas y niños.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="005007A2" w:rsidRPr="004D5548">
              <w:rPr>
                <w:rFonts w:ascii="Times New Roman" w:hAnsi="Times New Roman" w:cs="Times New Roman"/>
                <w:sz w:val="20"/>
                <w:szCs w:val="20"/>
              </w:rPr>
              <w:t>Reflexi</w:t>
            </w:r>
            <w:r w:rsidR="005007A2"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ones </w:t>
            </w:r>
            <w:r w:rsidR="005007A2"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 sobre</w:t>
            </w:r>
            <w:proofErr w:type="gramEnd"/>
            <w:r w:rsidR="005007A2"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 la identidad de nuestra nación mediante una exposición final de arte relacional, con los resultados del proceso educativo</w:t>
            </w:r>
          </w:p>
        </w:tc>
      </w:tr>
      <w:tr w:rsidR="007435F3" w:rsidRPr="004D5548" w14:paraId="7150FA55" w14:textId="77777777" w:rsidTr="005007A2">
        <w:tc>
          <w:tcPr>
            <w:tcW w:w="4414" w:type="dxa"/>
          </w:tcPr>
          <w:p w14:paraId="5DFC6626" w14:textId="4B7F4D1F" w:rsidR="007435F3" w:rsidRPr="004D5548" w:rsidRDefault="005007A2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Instituto Nacional de Cultura y Patrimonio</w:t>
            </w:r>
          </w:p>
        </w:tc>
        <w:tc>
          <w:tcPr>
            <w:tcW w:w="4414" w:type="dxa"/>
          </w:tcPr>
          <w:p w14:paraId="76AE4118" w14:textId="77777777" w:rsidR="007435F3" w:rsidRPr="004D5548" w:rsidRDefault="005007A2" w:rsidP="005007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Visitas a los Complejos Arqueológicos  </w:t>
            </w:r>
          </w:p>
          <w:p w14:paraId="7F17FD34" w14:textId="77777777" w:rsidR="005007A2" w:rsidRPr="004D5548" w:rsidRDefault="005007A2" w:rsidP="005007A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Ingapirca</w:t>
            </w:r>
          </w:p>
          <w:p w14:paraId="36E7AFD3" w14:textId="2683690C" w:rsidR="005007A2" w:rsidRPr="004D5548" w:rsidRDefault="005007A2" w:rsidP="005007A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Complejo Arqueológico Cerros Hojas-Jaboncillo</w:t>
            </w:r>
          </w:p>
        </w:tc>
      </w:tr>
      <w:tr w:rsidR="004D5548" w:rsidRPr="004D5548" w14:paraId="2E6D76F7" w14:textId="77777777" w:rsidTr="005007A2">
        <w:tc>
          <w:tcPr>
            <w:tcW w:w="4414" w:type="dxa"/>
          </w:tcPr>
          <w:p w14:paraId="67E63D53" w14:textId="77777777" w:rsidR="004D5548" w:rsidRPr="004D5548" w:rsidRDefault="004D5548" w:rsidP="004D55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Museos de Montecristi</w:t>
            </w:r>
            <w:r w:rsidRPr="004D5548">
              <w:rPr>
                <w:rFonts w:ascii="Times New Roman" w:hAnsi="Times New Roman" w:cs="Times New Roman"/>
                <w:sz w:val="20"/>
                <w:szCs w:val="20"/>
              </w:rPr>
              <w:br/>
              <w:t>Museo Bahía de Caráquez</w:t>
            </w:r>
          </w:p>
          <w:p w14:paraId="06CB8534" w14:textId="77777777" w:rsidR="004D5548" w:rsidRPr="004D5548" w:rsidRDefault="004D5548" w:rsidP="004D55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Museo Portoviejo</w:t>
            </w:r>
          </w:p>
          <w:p w14:paraId="48C1CC85" w14:textId="77777777" w:rsidR="004D5548" w:rsidRPr="004D5548" w:rsidRDefault="004D5548" w:rsidP="004D55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MAAC</w:t>
            </w:r>
          </w:p>
          <w:p w14:paraId="4DCFDFBC" w14:textId="77777777" w:rsidR="004D5548" w:rsidRPr="004D5548" w:rsidRDefault="004D5548" w:rsidP="004D55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Museo </w:t>
            </w:r>
            <w:proofErr w:type="spellStart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Nahím</w:t>
            </w:r>
            <w:proofErr w:type="spellEnd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 Isaías</w:t>
            </w:r>
          </w:p>
          <w:p w14:paraId="3AC70BD5" w14:textId="77777777" w:rsidR="004D5548" w:rsidRPr="004D5548" w:rsidRDefault="004D5548" w:rsidP="004D55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 xml:space="preserve">Museo y Parque Arqueológico </w:t>
            </w:r>
            <w:proofErr w:type="spellStart"/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Pumapungo</w:t>
            </w:r>
            <w:proofErr w:type="spellEnd"/>
          </w:p>
          <w:p w14:paraId="011DD0BC" w14:textId="77777777" w:rsidR="004D5548" w:rsidRPr="004D5548" w:rsidRDefault="004D5548" w:rsidP="004D55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Museo de la Cultura Lojana</w:t>
            </w:r>
          </w:p>
          <w:p w14:paraId="6FDD746A" w14:textId="77777777" w:rsidR="004D5548" w:rsidRPr="004D5548" w:rsidRDefault="004D5548" w:rsidP="004D55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Museo Rodante</w:t>
            </w:r>
          </w:p>
          <w:p w14:paraId="23BF4504" w14:textId="1DC80896" w:rsidR="004D5548" w:rsidRPr="004D5548" w:rsidRDefault="004D5548" w:rsidP="004D55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Museo y Centro Cultural Manta</w:t>
            </w:r>
          </w:p>
        </w:tc>
        <w:tc>
          <w:tcPr>
            <w:tcW w:w="4414" w:type="dxa"/>
          </w:tcPr>
          <w:p w14:paraId="7BC778AD" w14:textId="2C60912B" w:rsidR="004D5548" w:rsidRPr="004D5548" w:rsidRDefault="004D5548" w:rsidP="004D55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548">
              <w:rPr>
                <w:rFonts w:ascii="Times New Roman" w:hAnsi="Times New Roman" w:cs="Times New Roman"/>
                <w:sz w:val="20"/>
                <w:szCs w:val="20"/>
              </w:rPr>
              <w:t>Actividades de memoria social y mediaciones culturales para NNA en museos.</w:t>
            </w:r>
          </w:p>
        </w:tc>
      </w:tr>
    </w:tbl>
    <w:p w14:paraId="67C6081B" w14:textId="20AA24DF" w:rsidR="00D425BA" w:rsidRPr="004D5548" w:rsidRDefault="00D425BA" w:rsidP="005007A2">
      <w:pPr>
        <w:jc w:val="both"/>
        <w:rPr>
          <w:rFonts w:ascii="Times New Roman" w:hAnsi="Times New Roman" w:cs="Times New Roman"/>
          <w:sz w:val="20"/>
          <w:szCs w:val="20"/>
        </w:rPr>
      </w:pPr>
      <w:r w:rsidRPr="004D5548">
        <w:rPr>
          <w:rFonts w:ascii="Times New Roman" w:hAnsi="Times New Roman" w:cs="Times New Roman"/>
          <w:sz w:val="20"/>
          <w:szCs w:val="20"/>
        </w:rPr>
        <w:br/>
      </w:r>
      <w:r w:rsidRPr="004D5548">
        <w:rPr>
          <w:rFonts w:ascii="Times New Roman" w:hAnsi="Times New Roman" w:cs="Times New Roman"/>
          <w:sz w:val="20"/>
          <w:szCs w:val="20"/>
        </w:rPr>
        <w:br/>
      </w:r>
      <w:r w:rsidRPr="004D5548">
        <w:rPr>
          <w:rFonts w:ascii="Times New Roman" w:hAnsi="Times New Roman" w:cs="Times New Roman"/>
          <w:sz w:val="20"/>
          <w:szCs w:val="20"/>
        </w:rPr>
        <w:br/>
      </w:r>
      <w:r w:rsidRPr="004D5548">
        <w:rPr>
          <w:rFonts w:ascii="Times New Roman" w:hAnsi="Times New Roman" w:cs="Times New Roman"/>
          <w:sz w:val="20"/>
          <w:szCs w:val="20"/>
        </w:rPr>
        <w:br/>
      </w:r>
      <w:r w:rsidRPr="004D5548">
        <w:rPr>
          <w:rFonts w:ascii="Times New Roman" w:hAnsi="Times New Roman" w:cs="Times New Roman"/>
          <w:sz w:val="20"/>
          <w:szCs w:val="20"/>
        </w:rPr>
        <w:br/>
      </w:r>
      <w:r w:rsidRPr="004D5548">
        <w:rPr>
          <w:rFonts w:ascii="Times New Roman" w:hAnsi="Times New Roman" w:cs="Times New Roman"/>
          <w:sz w:val="20"/>
          <w:szCs w:val="20"/>
        </w:rPr>
        <w:br/>
      </w:r>
    </w:p>
    <w:p w14:paraId="48A747C7" w14:textId="6A3009DC" w:rsidR="00D425BA" w:rsidRPr="00D425BA" w:rsidRDefault="00D425BA" w:rsidP="005007A2">
      <w:pPr>
        <w:jc w:val="both"/>
        <w:rPr>
          <w:rFonts w:ascii="Times New Roman" w:hAnsi="Times New Roman" w:cs="Times New Roman"/>
          <w:sz w:val="20"/>
          <w:szCs w:val="20"/>
        </w:rPr>
      </w:pPr>
      <w:r w:rsidRPr="00D425BA">
        <w:rPr>
          <w:rFonts w:ascii="Times New Roman" w:hAnsi="Times New Roman" w:cs="Times New Roman"/>
          <w:sz w:val="20"/>
          <w:szCs w:val="20"/>
        </w:rPr>
        <w:br/>
      </w:r>
      <w:r w:rsidRPr="00D425BA">
        <w:rPr>
          <w:rFonts w:ascii="Times New Roman" w:hAnsi="Times New Roman" w:cs="Times New Roman"/>
          <w:sz w:val="20"/>
          <w:szCs w:val="20"/>
        </w:rPr>
        <w:br/>
      </w:r>
      <w:r w:rsidRPr="00D425BA">
        <w:rPr>
          <w:rFonts w:ascii="Times New Roman" w:hAnsi="Times New Roman" w:cs="Times New Roman"/>
          <w:sz w:val="20"/>
          <w:szCs w:val="20"/>
        </w:rPr>
        <w:br/>
      </w:r>
      <w:r w:rsidRPr="00D425BA">
        <w:rPr>
          <w:rFonts w:ascii="Times New Roman" w:hAnsi="Times New Roman" w:cs="Times New Roman"/>
          <w:sz w:val="20"/>
          <w:szCs w:val="20"/>
        </w:rPr>
        <w:br/>
      </w:r>
      <w:r w:rsidRPr="00D425BA">
        <w:rPr>
          <w:rFonts w:ascii="Times New Roman" w:hAnsi="Times New Roman" w:cs="Times New Roman"/>
          <w:sz w:val="20"/>
          <w:szCs w:val="20"/>
        </w:rPr>
        <w:br/>
      </w:r>
      <w:r w:rsidRPr="00D425BA">
        <w:rPr>
          <w:rFonts w:ascii="Times New Roman" w:hAnsi="Times New Roman" w:cs="Times New Roman"/>
          <w:sz w:val="20"/>
          <w:szCs w:val="20"/>
        </w:rPr>
        <w:br/>
      </w:r>
      <w:r w:rsidRPr="00D425BA">
        <w:rPr>
          <w:rFonts w:ascii="Times New Roman" w:hAnsi="Times New Roman" w:cs="Times New Roman"/>
          <w:sz w:val="20"/>
          <w:szCs w:val="20"/>
        </w:rPr>
        <w:br/>
      </w:r>
    </w:p>
    <w:p w14:paraId="4FBD69D0" w14:textId="309124AC" w:rsidR="00D425BA" w:rsidRPr="004D5548" w:rsidRDefault="00D425BA">
      <w:pPr>
        <w:rPr>
          <w:rFonts w:ascii="Times New Roman" w:hAnsi="Times New Roman" w:cs="Times New Roman"/>
          <w:sz w:val="20"/>
          <w:szCs w:val="20"/>
        </w:rPr>
      </w:pPr>
    </w:p>
    <w:p w14:paraId="4B389D05" w14:textId="77777777" w:rsidR="00D425BA" w:rsidRPr="004D5548" w:rsidRDefault="00D425BA">
      <w:pPr>
        <w:rPr>
          <w:rFonts w:ascii="Times New Roman" w:hAnsi="Times New Roman" w:cs="Times New Roman"/>
          <w:sz w:val="20"/>
          <w:szCs w:val="20"/>
        </w:rPr>
      </w:pPr>
    </w:p>
    <w:sectPr w:rsidR="00D425BA" w:rsidRPr="004D5548">
      <w:headerReference w:type="default" r:id="rId7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0AD31" w14:textId="77777777" w:rsidR="00255828" w:rsidRDefault="00255828" w:rsidP="00D425BA">
      <w:pPr>
        <w:spacing w:after="0" w:line="240" w:lineRule="auto"/>
      </w:pPr>
      <w:r>
        <w:separator/>
      </w:r>
    </w:p>
  </w:endnote>
  <w:endnote w:type="continuationSeparator" w:id="0">
    <w:p w14:paraId="34FCA8EF" w14:textId="77777777" w:rsidR="00255828" w:rsidRDefault="00255828" w:rsidP="00D42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51164" w14:textId="77777777" w:rsidR="00255828" w:rsidRDefault="00255828" w:rsidP="00D425BA">
      <w:pPr>
        <w:spacing w:after="0" w:line="240" w:lineRule="auto"/>
      </w:pPr>
      <w:r>
        <w:separator/>
      </w:r>
    </w:p>
  </w:footnote>
  <w:footnote w:type="continuationSeparator" w:id="0">
    <w:p w14:paraId="6A3869DE" w14:textId="77777777" w:rsidR="00255828" w:rsidRDefault="00255828" w:rsidP="00D42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AC26" w14:textId="2653B2DD" w:rsidR="00D425BA" w:rsidRDefault="00D425BA">
    <w:pPr>
      <w:pStyle w:val="Encabezado"/>
    </w:pPr>
    <w:r>
      <w:t>Anexo XX Párrafo 26_ derechos culturales y al descanso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C5FD3"/>
    <w:multiLevelType w:val="hybridMultilevel"/>
    <w:tmpl w:val="0F0448F8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BA"/>
    <w:rsid w:val="000E618E"/>
    <w:rsid w:val="00255828"/>
    <w:rsid w:val="00311876"/>
    <w:rsid w:val="00474989"/>
    <w:rsid w:val="004D5548"/>
    <w:rsid w:val="005007A2"/>
    <w:rsid w:val="007435F3"/>
    <w:rsid w:val="00781A08"/>
    <w:rsid w:val="00D4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D2F5B"/>
  <w15:chartTrackingRefBased/>
  <w15:docId w15:val="{A996DE91-CC96-4E82-A21E-D39051A0E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25B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25BA"/>
  </w:style>
  <w:style w:type="paragraph" w:styleId="Piedepgina">
    <w:name w:val="footer"/>
    <w:basedOn w:val="Normal"/>
    <w:link w:val="PiedepginaCar"/>
    <w:uiPriority w:val="99"/>
    <w:unhideWhenUsed/>
    <w:rsid w:val="00D425B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25BA"/>
  </w:style>
  <w:style w:type="table" w:styleId="Tablaconcuadrcula">
    <w:name w:val="Table Grid"/>
    <w:basedOn w:val="Tablanormal"/>
    <w:uiPriority w:val="39"/>
    <w:rsid w:val="00311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0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4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751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3</cp:revision>
  <dcterms:created xsi:type="dcterms:W3CDTF">2023-05-27T15:42:00Z</dcterms:created>
  <dcterms:modified xsi:type="dcterms:W3CDTF">2023-05-27T17:10:00Z</dcterms:modified>
</cp:coreProperties>
</file>