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3DC4F" w14:textId="77777777" w:rsidR="001D4413" w:rsidRPr="003F778A" w:rsidRDefault="001D4413" w:rsidP="001D4413">
      <w:pPr>
        <w:spacing w:line="240" w:lineRule="auto"/>
        <w:rPr>
          <w:sz w:val="2"/>
          <w:lang w:val="fr-FR"/>
        </w:rPr>
        <w:sectPr w:rsidR="001D4413" w:rsidRPr="003F778A" w:rsidSect="00DB580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p>
    <w:p w14:paraId="5310D9DB"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4689"/>
          <w:tab w:val="left" w:pos="5098"/>
          <w:tab w:val="left" w:pos="5573"/>
          <w:tab w:val="left" w:pos="6048"/>
        </w:tabs>
        <w:ind w:right="3900"/>
        <w:rPr>
          <w:lang w:val="fr-FR"/>
        </w:rPr>
      </w:pPr>
      <w:r w:rsidRPr="003F778A">
        <w:rPr>
          <w:lang w:val="fr-FR"/>
        </w:rPr>
        <w:t>Comité pour l’élimination de la discrimination à l’égard des femmes</w:t>
      </w:r>
    </w:p>
    <w:p w14:paraId="48827D66" w14:textId="77777777" w:rsidR="008C454F" w:rsidRPr="003F778A" w:rsidRDefault="008C454F" w:rsidP="008C454F">
      <w:pPr>
        <w:pStyle w:val="SingleTxt"/>
        <w:spacing w:after="0" w:line="120" w:lineRule="exact"/>
        <w:rPr>
          <w:sz w:val="10"/>
          <w:lang w:val="fr-FR"/>
        </w:rPr>
      </w:pPr>
    </w:p>
    <w:p w14:paraId="51119FE6" w14:textId="77777777" w:rsidR="008C454F" w:rsidRPr="003F778A" w:rsidRDefault="008C454F" w:rsidP="008C454F">
      <w:pPr>
        <w:pStyle w:val="SingleTxt"/>
        <w:spacing w:after="0" w:line="120" w:lineRule="exact"/>
        <w:rPr>
          <w:sz w:val="10"/>
          <w:lang w:val="fr-FR"/>
        </w:rPr>
      </w:pPr>
    </w:p>
    <w:p w14:paraId="2C301F56" w14:textId="77777777" w:rsidR="008C454F" w:rsidRPr="003F778A" w:rsidRDefault="008C454F" w:rsidP="008C454F">
      <w:pPr>
        <w:pStyle w:val="SingleTxt"/>
        <w:spacing w:after="0" w:line="120" w:lineRule="exact"/>
        <w:rPr>
          <w:sz w:val="10"/>
          <w:lang w:val="fr-FR"/>
        </w:rPr>
      </w:pPr>
    </w:p>
    <w:p w14:paraId="4D2EE57B" w14:textId="77777777" w:rsidR="008C454F" w:rsidRPr="003F778A" w:rsidRDefault="008C454F" w:rsidP="008C454F">
      <w:pPr>
        <w:pStyle w:val="TitleHCH"/>
        <w:ind w:right="1260"/>
        <w:rPr>
          <w:lang w:val="fr-FR"/>
        </w:rPr>
      </w:pPr>
      <w:r w:rsidRPr="003F778A">
        <w:rPr>
          <w:lang w:val="fr-FR"/>
        </w:rPr>
        <w:tab/>
      </w:r>
      <w:r w:rsidRPr="003F778A">
        <w:rPr>
          <w:lang w:val="fr-FR"/>
        </w:rPr>
        <w:tab/>
        <w:t>Enquête menée sur le Mali en application de l’article 8 du Protocole facultatif à la Convention sur l’élimination de toutes les formes de discrimination à l’égard des femmes</w:t>
      </w:r>
    </w:p>
    <w:p w14:paraId="1B268537" w14:textId="77777777" w:rsidR="008C454F" w:rsidRPr="003F778A" w:rsidRDefault="008C454F" w:rsidP="008C454F">
      <w:pPr>
        <w:pStyle w:val="SingleTxt"/>
        <w:spacing w:after="0" w:line="120" w:lineRule="exact"/>
        <w:rPr>
          <w:sz w:val="10"/>
          <w:lang w:val="fr-FR"/>
        </w:rPr>
      </w:pPr>
    </w:p>
    <w:p w14:paraId="2FD1472E" w14:textId="77777777" w:rsidR="008C454F" w:rsidRPr="003F778A" w:rsidRDefault="008C454F" w:rsidP="008C454F">
      <w:pPr>
        <w:pStyle w:val="SingleTxt"/>
        <w:spacing w:after="0" w:line="120" w:lineRule="exact"/>
        <w:rPr>
          <w:sz w:val="10"/>
          <w:lang w:val="fr-FR"/>
        </w:rPr>
      </w:pPr>
    </w:p>
    <w:p w14:paraId="0AA46C08" w14:textId="77777777" w:rsidR="008C454F" w:rsidRPr="003F778A" w:rsidRDefault="008C454F" w:rsidP="008C454F">
      <w:pPr>
        <w:pStyle w:val="TitleH1"/>
        <w:ind w:right="1260"/>
        <w:rPr>
          <w:lang w:val="fr-FR"/>
        </w:rPr>
      </w:pPr>
      <w:r w:rsidRPr="003F778A">
        <w:rPr>
          <w:lang w:val="fr-FR"/>
        </w:rPr>
        <w:tab/>
      </w:r>
      <w:r w:rsidRPr="003F778A">
        <w:rPr>
          <w:lang w:val="fr-FR"/>
        </w:rPr>
        <w:tab/>
        <w:t>Rapport du Comité</w:t>
      </w:r>
    </w:p>
    <w:p w14:paraId="60D12AD9" w14:textId="77777777" w:rsidR="008C454F" w:rsidRPr="003F778A" w:rsidRDefault="008C454F" w:rsidP="008C454F">
      <w:pPr>
        <w:pStyle w:val="SingleTxt"/>
        <w:spacing w:after="0" w:line="120" w:lineRule="exact"/>
        <w:rPr>
          <w:sz w:val="10"/>
          <w:lang w:val="fr-FR"/>
        </w:rPr>
      </w:pPr>
    </w:p>
    <w:p w14:paraId="5365ACA9" w14:textId="77777777" w:rsidR="008C454F" w:rsidRPr="003F778A" w:rsidRDefault="008C454F" w:rsidP="008C454F">
      <w:pPr>
        <w:pStyle w:val="SingleTxt"/>
        <w:spacing w:after="0" w:line="120" w:lineRule="exact"/>
        <w:rPr>
          <w:sz w:val="10"/>
          <w:lang w:val="fr-FR"/>
        </w:rPr>
      </w:pPr>
    </w:p>
    <w:p w14:paraId="7E9DA376"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I.</w:t>
      </w:r>
      <w:r w:rsidRPr="003F778A">
        <w:rPr>
          <w:lang w:val="fr-FR"/>
        </w:rPr>
        <w:tab/>
        <w:t>Introduction</w:t>
      </w:r>
    </w:p>
    <w:p w14:paraId="0094DE6E" w14:textId="77777777" w:rsidR="008C454F" w:rsidRPr="003F778A" w:rsidRDefault="008C454F" w:rsidP="008C454F">
      <w:pPr>
        <w:pStyle w:val="SingleTxt"/>
        <w:spacing w:after="0" w:line="120" w:lineRule="exact"/>
        <w:rPr>
          <w:sz w:val="10"/>
          <w:lang w:val="fr-FR"/>
        </w:rPr>
      </w:pPr>
    </w:p>
    <w:p w14:paraId="6A25DF7A" w14:textId="77777777" w:rsidR="008C454F" w:rsidRPr="003F778A" w:rsidRDefault="008C454F" w:rsidP="008C454F">
      <w:pPr>
        <w:pStyle w:val="SingleTxt"/>
        <w:spacing w:after="0" w:line="120" w:lineRule="exact"/>
        <w:rPr>
          <w:sz w:val="10"/>
          <w:lang w:val="fr-FR"/>
        </w:rPr>
      </w:pPr>
    </w:p>
    <w:p w14:paraId="49FB2A08" w14:textId="77777777" w:rsidR="008C454F" w:rsidRPr="003F778A" w:rsidRDefault="008C454F" w:rsidP="008C454F">
      <w:pPr>
        <w:pStyle w:val="SingleTxt"/>
        <w:numPr>
          <w:ilvl w:val="0"/>
          <w:numId w:val="44"/>
        </w:numPr>
        <w:ind w:left="1267"/>
        <w:rPr>
          <w:lang w:val="fr-FR"/>
        </w:rPr>
      </w:pPr>
      <w:r w:rsidRPr="003F778A">
        <w:rPr>
          <w:lang w:val="fr-FR"/>
        </w:rPr>
        <w:t>Le 25 octobre 2011, le Comité pour l’élimination de la discrimination à l’égard des femmes a reçu des informations de la part de trois organisations</w:t>
      </w:r>
      <w:r w:rsidRPr="003F778A">
        <w:rPr>
          <w:vertAlign w:val="superscript"/>
          <w:lang w:val="fr-FR"/>
        </w:rPr>
        <w:footnoteReference w:id="1"/>
      </w:r>
      <w:r w:rsidRPr="003F778A">
        <w:rPr>
          <w:lang w:val="fr-FR"/>
        </w:rPr>
        <w:t xml:space="preserve"> en application de l’article 8 du Protocole facultatif à la Convention sur l’élimination de toutes les formes de discrimination à l’égard des femmes. Les sources déclarent que le Mali commet des violations graves et systématiques de droits énoncés dans la Convention du fait du manquement à son devoir de protection des femmes et des filles contre les mutilations génitales féminines sur son territoire, et à son devoir de poursuivre et sanctionner les auteurs de ces mutilations. </w:t>
      </w:r>
    </w:p>
    <w:p w14:paraId="43884AA0" w14:textId="77777777" w:rsidR="008C454F" w:rsidRPr="003F778A" w:rsidRDefault="008C454F" w:rsidP="008C454F">
      <w:pPr>
        <w:pStyle w:val="SingleTxt"/>
        <w:numPr>
          <w:ilvl w:val="0"/>
          <w:numId w:val="44"/>
        </w:numPr>
        <w:ind w:left="1267"/>
        <w:rPr>
          <w:lang w:val="fr-FR"/>
        </w:rPr>
      </w:pPr>
      <w:r w:rsidRPr="003F778A">
        <w:rPr>
          <w:lang w:val="fr-FR"/>
        </w:rPr>
        <w:t>Le Mali a ratifié la Convention sans réserve le 10 septembre 1985 et a adhéré au Protocole facultatif le 5 décembre 2000.</w:t>
      </w:r>
    </w:p>
    <w:p w14:paraId="5EA3AE2C" w14:textId="77777777" w:rsidR="008C454F" w:rsidRPr="003F778A" w:rsidRDefault="008C454F" w:rsidP="008C454F">
      <w:pPr>
        <w:pStyle w:val="SingleTxt"/>
        <w:spacing w:after="0" w:line="120" w:lineRule="exact"/>
        <w:rPr>
          <w:sz w:val="10"/>
          <w:lang w:val="fr-FR"/>
        </w:rPr>
      </w:pPr>
    </w:p>
    <w:p w14:paraId="485DA3DA" w14:textId="77777777" w:rsidR="008C454F" w:rsidRPr="003F778A" w:rsidRDefault="008C454F" w:rsidP="008C454F">
      <w:pPr>
        <w:pStyle w:val="SingleTxt"/>
        <w:spacing w:after="0" w:line="120" w:lineRule="exact"/>
        <w:rPr>
          <w:sz w:val="10"/>
          <w:lang w:val="fr-FR"/>
        </w:rPr>
      </w:pPr>
    </w:p>
    <w:p w14:paraId="4B63C22E"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II.</w:t>
      </w:r>
      <w:r w:rsidRPr="003F778A">
        <w:rPr>
          <w:lang w:val="fr-FR"/>
        </w:rPr>
        <w:tab/>
        <w:t>Communication des informations par les sources</w:t>
      </w:r>
    </w:p>
    <w:p w14:paraId="4D1D2C56" w14:textId="77777777" w:rsidR="008C454F" w:rsidRPr="003F778A" w:rsidRDefault="008C454F" w:rsidP="008C454F">
      <w:pPr>
        <w:pStyle w:val="SingleTxt"/>
        <w:spacing w:after="0" w:line="120" w:lineRule="exact"/>
        <w:rPr>
          <w:sz w:val="10"/>
          <w:lang w:val="fr-FR"/>
        </w:rPr>
      </w:pPr>
    </w:p>
    <w:p w14:paraId="733ABFF9" w14:textId="77777777" w:rsidR="008C454F" w:rsidRPr="003F778A" w:rsidRDefault="008C454F" w:rsidP="008C454F">
      <w:pPr>
        <w:pStyle w:val="SingleTxt"/>
        <w:spacing w:after="0" w:line="120" w:lineRule="exact"/>
        <w:rPr>
          <w:sz w:val="10"/>
          <w:lang w:val="fr-FR"/>
        </w:rPr>
      </w:pPr>
    </w:p>
    <w:p w14:paraId="2FE3A067" w14:textId="77777777" w:rsidR="008C454F" w:rsidRPr="003F778A" w:rsidRDefault="008C454F" w:rsidP="008C454F">
      <w:pPr>
        <w:pStyle w:val="SingleTxt"/>
        <w:numPr>
          <w:ilvl w:val="0"/>
          <w:numId w:val="44"/>
        </w:numPr>
        <w:ind w:left="1267"/>
        <w:rPr>
          <w:lang w:val="fr-FR"/>
        </w:rPr>
      </w:pPr>
      <w:r w:rsidRPr="003F778A">
        <w:rPr>
          <w:lang w:val="fr-FR"/>
        </w:rPr>
        <w:t>Les sources affirment que l’État partie manque à son obligation de protéger les femmes et les filles de la pratique néfaste des mutilations génitales, et soulignent leurs graves conséquences physiques et psychologiques, dont un risque mortel pour la victime et la possibilité de complications à l’accouchement. Elles avancent que l’État partie n’a pas pris de mesures adéquates pour adopter une législation adéquate pour condamner la pratique des mutilations génitales féminines et en sanctionner les auteurs et éliminer les obstacles sociaux et culturels à l’abandon de cette pratique. Elles font valoir que les mutilations génitales féminines constituent une violation systématique des articles 2, 5, 10 et 12 de la Convention.</w:t>
      </w:r>
    </w:p>
    <w:p w14:paraId="4A8D6D74" w14:textId="77777777" w:rsidR="008C454F" w:rsidRPr="003F778A" w:rsidRDefault="008C454F" w:rsidP="008C454F">
      <w:pPr>
        <w:pStyle w:val="SingleTxt"/>
        <w:numPr>
          <w:ilvl w:val="0"/>
          <w:numId w:val="44"/>
        </w:numPr>
        <w:ind w:left="1267"/>
        <w:rPr>
          <w:lang w:val="fr-FR"/>
        </w:rPr>
      </w:pPr>
      <w:r w:rsidRPr="003F778A">
        <w:rPr>
          <w:lang w:val="fr-FR"/>
        </w:rPr>
        <w:lastRenderedPageBreak/>
        <w:t xml:space="preserve">Les sources, se basant sur les enquêtes nationales démographiques de santé de 2005 et 2015, soutiennent que les mutilations génitales féminines sont une pratique largement répandue dans la société malienne, sauf dans les régions du nord. Elles affirment que de nombreux responsables religieux défendent ces mutilations, et qu’elles sont pratiquées au nom des traditions culturelles. </w:t>
      </w:r>
    </w:p>
    <w:p w14:paraId="2EACD368" w14:textId="77777777" w:rsidR="008C454F" w:rsidRPr="003F778A" w:rsidRDefault="008C454F" w:rsidP="008C454F">
      <w:pPr>
        <w:pStyle w:val="SingleTxt"/>
        <w:numPr>
          <w:ilvl w:val="0"/>
          <w:numId w:val="44"/>
        </w:numPr>
        <w:ind w:left="1267"/>
        <w:rPr>
          <w:lang w:val="fr-FR"/>
        </w:rPr>
      </w:pPr>
      <w:r w:rsidRPr="003F778A">
        <w:rPr>
          <w:lang w:val="fr-FR"/>
        </w:rPr>
        <w:t xml:space="preserve">Les sources affirment que suite à l’interruption par des dirigeants religieux conservateurs du processus d’adoption d’un projet de loi interdisant les mutilations génitales féminines en 2002, le Gouvernement serait réticent à s’engager dans l’adoption d’une législation à ce sujet et soutiendrait qu’une criminalisation rendrait la pratique clandestine. </w:t>
      </w:r>
    </w:p>
    <w:p w14:paraId="37371592" w14:textId="77777777" w:rsidR="008C454F" w:rsidRPr="003F778A" w:rsidRDefault="008C454F" w:rsidP="008C454F">
      <w:pPr>
        <w:pStyle w:val="SingleTxt"/>
        <w:numPr>
          <w:ilvl w:val="0"/>
          <w:numId w:val="44"/>
        </w:numPr>
        <w:ind w:left="1267"/>
        <w:rPr>
          <w:spacing w:val="3"/>
          <w:lang w:val="fr-FR"/>
        </w:rPr>
      </w:pPr>
      <w:r w:rsidRPr="003F778A">
        <w:rPr>
          <w:spacing w:val="3"/>
          <w:lang w:val="fr-FR"/>
        </w:rPr>
        <w:t>Selon les sources, l’action de l’État partie n’aurait pas permis une réduction significative de la pratique. Les initiatives entreprises depuis 1996, qui se concentrent sur la sensibilisation visant à faire abandonner la pratique des mutilations génitales féminines, n’auraient pas été accompagnées d’un positionnement catégorique des autorités soulignant le caractère néfaste de la pratique.</w:t>
      </w:r>
    </w:p>
    <w:p w14:paraId="5743653E" w14:textId="77777777" w:rsidR="008C454F" w:rsidRPr="003F778A" w:rsidRDefault="008C454F" w:rsidP="008C454F">
      <w:pPr>
        <w:pStyle w:val="SingleTxt"/>
        <w:spacing w:after="0" w:line="120" w:lineRule="exact"/>
        <w:rPr>
          <w:sz w:val="10"/>
          <w:lang w:val="fr-FR"/>
        </w:rPr>
      </w:pPr>
    </w:p>
    <w:p w14:paraId="4F8FE83E" w14:textId="77777777" w:rsidR="008C454F" w:rsidRPr="003F778A" w:rsidRDefault="008C454F" w:rsidP="008C454F">
      <w:pPr>
        <w:pStyle w:val="SingleTxt"/>
        <w:spacing w:after="0" w:line="120" w:lineRule="exact"/>
        <w:rPr>
          <w:sz w:val="10"/>
          <w:lang w:val="fr-FR"/>
        </w:rPr>
      </w:pPr>
    </w:p>
    <w:p w14:paraId="5ECD81DE"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III.</w:t>
      </w:r>
      <w:r w:rsidRPr="003F778A">
        <w:rPr>
          <w:lang w:val="fr-FR"/>
        </w:rPr>
        <w:tab/>
        <w:t>Historique de la procédure</w:t>
      </w:r>
    </w:p>
    <w:p w14:paraId="0CFBF858" w14:textId="77777777" w:rsidR="008C454F" w:rsidRPr="003F778A" w:rsidRDefault="008C454F" w:rsidP="008C454F">
      <w:pPr>
        <w:pStyle w:val="SingleTxt"/>
        <w:spacing w:after="0" w:line="120" w:lineRule="exact"/>
        <w:rPr>
          <w:sz w:val="10"/>
          <w:lang w:val="fr-FR"/>
        </w:rPr>
      </w:pPr>
    </w:p>
    <w:p w14:paraId="39730184" w14:textId="77777777" w:rsidR="008C454F" w:rsidRPr="003F778A" w:rsidRDefault="008C454F" w:rsidP="008C454F">
      <w:pPr>
        <w:pStyle w:val="SingleTxt"/>
        <w:spacing w:after="0" w:line="120" w:lineRule="exact"/>
        <w:rPr>
          <w:sz w:val="10"/>
          <w:lang w:val="fr-FR"/>
        </w:rPr>
      </w:pPr>
    </w:p>
    <w:p w14:paraId="0C0DEB9D" w14:textId="77777777" w:rsidR="008C454F" w:rsidRPr="003F778A" w:rsidRDefault="008C454F" w:rsidP="008C454F">
      <w:pPr>
        <w:pStyle w:val="SingleTxt"/>
        <w:numPr>
          <w:ilvl w:val="0"/>
          <w:numId w:val="44"/>
        </w:numPr>
        <w:ind w:left="1267"/>
        <w:rPr>
          <w:lang w:val="fr-FR"/>
        </w:rPr>
      </w:pPr>
      <w:r w:rsidRPr="003F778A">
        <w:rPr>
          <w:lang w:val="fr-FR"/>
        </w:rPr>
        <w:t xml:space="preserve">Le 19 août 2015, le Comité a invité l’État partie à soumettre des observations sur les informations reçues par le Comité, en application de l’article 8 du Protocole facultatif. </w:t>
      </w:r>
      <w:bookmarkStart w:id="0" w:name="_Hlk9348572"/>
      <w:r w:rsidRPr="003F778A">
        <w:rPr>
          <w:lang w:val="fr-FR"/>
        </w:rPr>
        <w:t>Aucune observation n’ayant été reçue, deux expertes du Groupe de travail chargé des enquêtes menées au titre du Protocole facultatif ont rencontré la délégation malienne lors de la considération du rapport étatique en juillet 2016</w:t>
      </w:r>
      <w:bookmarkEnd w:id="0"/>
      <w:r w:rsidRPr="003F778A">
        <w:rPr>
          <w:lang w:val="fr-FR"/>
        </w:rPr>
        <w:t>, puis le Représentant permanent du Mali auprès de l’Office des Nations Unies et d’autres organisations internationales à Genève, en octobre 2016.</w:t>
      </w:r>
    </w:p>
    <w:p w14:paraId="0D14A487" w14:textId="77777777" w:rsidR="008C454F" w:rsidRPr="003F778A" w:rsidRDefault="008C454F" w:rsidP="008C454F">
      <w:pPr>
        <w:pStyle w:val="SingleTxt"/>
        <w:numPr>
          <w:ilvl w:val="0"/>
          <w:numId w:val="44"/>
        </w:numPr>
        <w:ind w:left="1267"/>
        <w:rPr>
          <w:spacing w:val="3"/>
          <w:lang w:val="fr-FR"/>
        </w:rPr>
      </w:pPr>
      <w:r w:rsidRPr="003F778A">
        <w:rPr>
          <w:spacing w:val="3"/>
          <w:lang w:val="fr-FR"/>
        </w:rPr>
        <w:t xml:space="preserve">En l’absence d’observations de l’État partie, le </w:t>
      </w:r>
      <w:bookmarkStart w:id="1" w:name="_Hlk9348753"/>
      <w:r w:rsidRPr="003F778A">
        <w:rPr>
          <w:spacing w:val="3"/>
          <w:lang w:val="fr-FR"/>
        </w:rPr>
        <w:t xml:space="preserve">Groupe de travail </w:t>
      </w:r>
      <w:bookmarkEnd w:id="1"/>
      <w:r w:rsidRPr="003F778A">
        <w:rPr>
          <w:spacing w:val="3"/>
          <w:lang w:val="fr-FR"/>
        </w:rPr>
        <w:t xml:space="preserve">a examiné, entre les soixante-troisième et soixante-quatrième sessions du Comité, toutes les informations reçues. Il a considéré que les allégations étaient fiables et indiquaient des violations graves et systématiques de droits accordés par la Convention. À sa soixante-septième session, le Comité a désigné trois expertes pour effectuer une enquête et a décidé de demander le 29 juillet 2017 l’accord de l’État partie pour une visite sur son territoire. Le 26 juin 2018, l’État partie a donné son accord pour une visite. </w:t>
      </w:r>
    </w:p>
    <w:p w14:paraId="6BF89540" w14:textId="77777777" w:rsidR="008C454F" w:rsidRPr="003F778A" w:rsidRDefault="008C454F" w:rsidP="008C454F">
      <w:pPr>
        <w:pStyle w:val="SingleTxt"/>
        <w:numPr>
          <w:ilvl w:val="0"/>
          <w:numId w:val="44"/>
        </w:numPr>
        <w:ind w:left="1267"/>
        <w:rPr>
          <w:lang w:val="fr-FR"/>
        </w:rPr>
      </w:pPr>
      <w:r w:rsidRPr="003F778A">
        <w:rPr>
          <w:lang w:val="fr-FR"/>
        </w:rPr>
        <w:t>La visite s’est déroulée du 2 au 14 décembre 2018 et a permis aux expertes désignées de rencontrer le Premier Ministre, la Première Dame et la Ministre de la promotion de la femme, de l’enfant et de la famille, ainsi que des représentants du Ministère de la solidarité et de l’action humanitaire, du Ministère de la santé et de l’hygiène publique, du Ministère des affaires religieuses et du culte, du Ministère de la justice et des droits de l’homme, de la Commission nationale des droits de l’homme et de l’Assemblée nationale. Toutes les parties susmentionnées, notamment la Première Dame, ont fait preuve d’une connaissance approfondie du problème des mutilations génitales féminines. Tant à Bamako qu’à Mopti, les expertes se sont entretenues avec des représentants de la société civile, des avocats, des leaders religieux et communautaires, des exciseuses, des femmes ayant subi des mutilations génitales et une femme luttant pour protéger sa fille de telles mutilations. Elles ont également rencontré, à Mopti, des représentants du Conseil régional et du gouvernorat.</w:t>
      </w:r>
    </w:p>
    <w:p w14:paraId="3A8299A8" w14:textId="77777777" w:rsidR="008C454F" w:rsidRPr="003F778A" w:rsidRDefault="008C454F" w:rsidP="008C454F">
      <w:pPr>
        <w:pStyle w:val="SingleTxt"/>
        <w:spacing w:after="0" w:line="120" w:lineRule="exact"/>
        <w:rPr>
          <w:sz w:val="10"/>
          <w:lang w:val="fr-FR"/>
        </w:rPr>
      </w:pPr>
    </w:p>
    <w:p w14:paraId="3F4DA0F7" w14:textId="77777777" w:rsidR="008C454F" w:rsidRPr="003F778A" w:rsidRDefault="008C454F" w:rsidP="008C454F">
      <w:pPr>
        <w:pStyle w:val="SingleTxt"/>
        <w:spacing w:after="0" w:line="120" w:lineRule="exact"/>
        <w:rPr>
          <w:sz w:val="10"/>
          <w:lang w:val="fr-FR"/>
        </w:rPr>
      </w:pPr>
    </w:p>
    <w:p w14:paraId="202502E4"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IV.</w:t>
      </w:r>
      <w:r w:rsidRPr="003F778A">
        <w:rPr>
          <w:lang w:val="fr-FR"/>
        </w:rPr>
        <w:tab/>
        <w:t>Portée du rapport</w:t>
      </w:r>
    </w:p>
    <w:p w14:paraId="46ECB287" w14:textId="77777777" w:rsidR="008C454F" w:rsidRPr="003F778A" w:rsidRDefault="008C454F" w:rsidP="008C454F">
      <w:pPr>
        <w:pStyle w:val="SingleTxt"/>
        <w:keepNext/>
        <w:keepLines/>
        <w:spacing w:after="0" w:line="120" w:lineRule="exact"/>
        <w:rPr>
          <w:sz w:val="10"/>
          <w:lang w:val="fr-FR"/>
        </w:rPr>
      </w:pPr>
    </w:p>
    <w:p w14:paraId="0189CCBF" w14:textId="77777777" w:rsidR="008C454F" w:rsidRPr="003F778A" w:rsidRDefault="008C454F" w:rsidP="008C454F">
      <w:pPr>
        <w:pStyle w:val="SingleTxt"/>
        <w:keepNext/>
        <w:keepLines/>
        <w:spacing w:after="0" w:line="120" w:lineRule="exact"/>
        <w:rPr>
          <w:sz w:val="10"/>
          <w:lang w:val="fr-FR"/>
        </w:rPr>
      </w:pPr>
    </w:p>
    <w:p w14:paraId="1E807DDA" w14:textId="77777777" w:rsidR="008C454F" w:rsidRPr="003F778A" w:rsidRDefault="008C454F" w:rsidP="008C454F">
      <w:pPr>
        <w:pStyle w:val="SingleTxt"/>
        <w:numPr>
          <w:ilvl w:val="0"/>
          <w:numId w:val="44"/>
        </w:numPr>
        <w:ind w:left="1267"/>
        <w:rPr>
          <w:lang w:val="fr-FR"/>
        </w:rPr>
      </w:pPr>
      <w:r w:rsidRPr="003F778A">
        <w:rPr>
          <w:lang w:val="fr-FR"/>
        </w:rPr>
        <w:t xml:space="preserve">Le Comité a défini les mutilations génitales féminines comme toute action qui consiste à enlever partiellement ou entièrement l’appareil génital féminin extérieur </w:t>
      </w:r>
      <w:r w:rsidRPr="003F778A">
        <w:rPr>
          <w:lang w:val="fr-FR"/>
        </w:rPr>
        <w:lastRenderedPageBreak/>
        <w:t>ou à mutiler l’organe génital féminin pour des raisons non médicales ou non sanitaires</w:t>
      </w:r>
      <w:r w:rsidRPr="003F778A">
        <w:rPr>
          <w:vertAlign w:val="superscript"/>
          <w:lang w:val="fr-FR"/>
        </w:rPr>
        <w:footnoteReference w:id="2"/>
      </w:r>
      <w:r w:rsidRPr="003F778A">
        <w:rPr>
          <w:lang w:val="fr-FR"/>
        </w:rPr>
        <w:t xml:space="preserve">. </w:t>
      </w:r>
    </w:p>
    <w:p w14:paraId="4268CC18" w14:textId="77777777" w:rsidR="008C454F" w:rsidRPr="003F778A" w:rsidRDefault="008C454F" w:rsidP="008C454F">
      <w:pPr>
        <w:pStyle w:val="SingleTxt"/>
        <w:numPr>
          <w:ilvl w:val="0"/>
          <w:numId w:val="44"/>
        </w:numPr>
        <w:ind w:left="1267"/>
        <w:rPr>
          <w:lang w:val="fr-FR"/>
        </w:rPr>
      </w:pPr>
      <w:r w:rsidRPr="003F778A">
        <w:rPr>
          <w:lang w:val="fr-FR"/>
        </w:rPr>
        <w:t>Le présent rapport décrit le contexte et la prévalence des différents types de mutilations génitales féminines</w:t>
      </w:r>
      <w:r w:rsidRPr="003F778A">
        <w:rPr>
          <w:vertAlign w:val="superscript"/>
          <w:lang w:val="fr-FR"/>
        </w:rPr>
        <w:footnoteReference w:id="3"/>
      </w:r>
      <w:r w:rsidRPr="003F778A">
        <w:rPr>
          <w:lang w:val="fr-FR"/>
        </w:rPr>
        <w:t xml:space="preserve"> dans l’État partie, et présente les politiques et programmes mis en œuvre pour les prévenir ainsi que les tentatives législatives visant à les interdire. Il identifie les violations aux obligations de l’État partie, découlant de sa ratification de la Convention, que la continuation de cette pratique représente et émet des recommandations à l’intention de l’État partie.</w:t>
      </w:r>
    </w:p>
    <w:p w14:paraId="496A8707" w14:textId="77777777" w:rsidR="008C454F" w:rsidRPr="003F778A" w:rsidRDefault="008C454F" w:rsidP="008C454F">
      <w:pPr>
        <w:pStyle w:val="SingleTxt"/>
        <w:spacing w:after="0" w:line="120" w:lineRule="exact"/>
        <w:rPr>
          <w:sz w:val="10"/>
          <w:lang w:val="fr-FR"/>
        </w:rPr>
      </w:pPr>
    </w:p>
    <w:p w14:paraId="16CAF2A9" w14:textId="77777777" w:rsidR="008C454F" w:rsidRPr="003F778A" w:rsidRDefault="008C454F" w:rsidP="008C454F">
      <w:pPr>
        <w:pStyle w:val="SingleTxt"/>
        <w:spacing w:after="0" w:line="120" w:lineRule="exact"/>
        <w:rPr>
          <w:sz w:val="10"/>
          <w:lang w:val="fr-FR"/>
        </w:rPr>
      </w:pPr>
    </w:p>
    <w:p w14:paraId="02CBEC14"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V.</w:t>
      </w:r>
      <w:r w:rsidRPr="003F778A">
        <w:rPr>
          <w:lang w:val="fr-FR"/>
        </w:rPr>
        <w:tab/>
        <w:t>Contexte général de l’enquête</w:t>
      </w:r>
    </w:p>
    <w:p w14:paraId="642C74F5" w14:textId="77777777" w:rsidR="008C454F" w:rsidRPr="003F778A" w:rsidRDefault="008C454F" w:rsidP="008C454F">
      <w:pPr>
        <w:pStyle w:val="SingleTxt"/>
        <w:spacing w:after="0" w:line="120" w:lineRule="exact"/>
        <w:rPr>
          <w:sz w:val="10"/>
          <w:lang w:val="fr-FR"/>
        </w:rPr>
      </w:pPr>
    </w:p>
    <w:p w14:paraId="188FD5F7" w14:textId="77777777" w:rsidR="008C454F" w:rsidRPr="003F778A" w:rsidRDefault="008C454F" w:rsidP="008C454F">
      <w:pPr>
        <w:pStyle w:val="SingleTxt"/>
        <w:spacing w:after="0" w:line="120" w:lineRule="exact"/>
        <w:rPr>
          <w:sz w:val="10"/>
          <w:lang w:val="fr-FR"/>
        </w:rPr>
      </w:pPr>
    </w:p>
    <w:p w14:paraId="611031FB" w14:textId="763A8CE1" w:rsidR="008C454F" w:rsidRPr="003F778A" w:rsidRDefault="008C454F" w:rsidP="008C454F">
      <w:pPr>
        <w:pStyle w:val="SingleTxt"/>
        <w:numPr>
          <w:ilvl w:val="0"/>
          <w:numId w:val="44"/>
        </w:numPr>
        <w:ind w:left="1267"/>
        <w:rPr>
          <w:lang w:val="fr-FR"/>
        </w:rPr>
      </w:pPr>
      <w:r w:rsidRPr="003F778A">
        <w:rPr>
          <w:lang w:val="fr-FR"/>
        </w:rPr>
        <w:t>L’enquête confidentielle s’est déroulée dans un esprit d’accueil positif de la part des autorités, mais également dans un contexte de crise sécuritaire et politique, marqué par l’absence de l’État dans certaines zones, de violations des droits de l’homme, notamment au nord et au centre du pays, et d’une prorogation de l’état d’urgence jusqu’au 31 octobre 2019. Le contexte est également marqué par des indicateurs sociaux faibles : en 2018, le Programme des Nations Unies pour le développement a classé le Mali au 182</w:t>
      </w:r>
      <w:r w:rsidRPr="003F778A">
        <w:rPr>
          <w:vertAlign w:val="superscript"/>
          <w:lang w:val="fr-FR"/>
        </w:rPr>
        <w:t>e</w:t>
      </w:r>
      <w:r w:rsidRPr="003F778A">
        <w:rPr>
          <w:lang w:val="fr-FR"/>
        </w:rPr>
        <w:t xml:space="preserve"> rang sur 189 pays au regard de l’indice de développement humain</w:t>
      </w:r>
      <w:r w:rsidRPr="003F778A">
        <w:rPr>
          <w:vertAlign w:val="superscript"/>
          <w:lang w:val="fr-FR"/>
        </w:rPr>
        <w:footnoteReference w:id="4"/>
      </w:r>
      <w:r w:rsidRPr="003F778A">
        <w:rPr>
          <w:lang w:val="fr-FR"/>
        </w:rPr>
        <w:t xml:space="preserve"> et, en 2017, le taux d’alphabétisation était de 24,6 % pour les femmes par rapport à 44,8 % pour les hommes</w:t>
      </w:r>
      <w:r w:rsidRPr="003F778A">
        <w:rPr>
          <w:vertAlign w:val="superscript"/>
          <w:lang w:val="fr-FR"/>
        </w:rPr>
        <w:footnoteReference w:id="5"/>
      </w:r>
      <w:r w:rsidRPr="003F778A">
        <w:rPr>
          <w:lang w:val="fr-FR"/>
        </w:rPr>
        <w:t xml:space="preserve">. Le contexte se caractérise en outre par une recrudescence de la violence basée sur le genre à l’encontre des femmes, de faibles représentation et participation des femmes aux instances de décision, et l’absence des femmes dans le processus de paix et de réconciliation nationale amorcé, et ce malgré l’adoption de plans d’actions nationaux aux fins de la mise en œuvre de la résolution </w:t>
      </w:r>
      <w:hyperlink r:id="rId13" w:history="1">
        <w:r w:rsidRPr="0014315A">
          <w:rPr>
            <w:rStyle w:val="Hyperlink"/>
            <w:lang w:val="fr-FR"/>
          </w:rPr>
          <w:t>1325 (2000)</w:t>
        </w:r>
      </w:hyperlink>
      <w:r w:rsidRPr="003F778A">
        <w:rPr>
          <w:lang w:val="fr-FR"/>
        </w:rPr>
        <w:t xml:space="preserve"> du Conseil de sécurité. </w:t>
      </w:r>
    </w:p>
    <w:p w14:paraId="455A4E70" w14:textId="3F3B7BAA" w:rsidR="008C454F" w:rsidRPr="003F778A" w:rsidRDefault="008C454F" w:rsidP="008C454F">
      <w:pPr>
        <w:pStyle w:val="SingleTxt"/>
        <w:numPr>
          <w:ilvl w:val="0"/>
          <w:numId w:val="44"/>
        </w:numPr>
        <w:ind w:left="1267"/>
        <w:rPr>
          <w:b/>
          <w:lang w:val="fr-FR"/>
        </w:rPr>
      </w:pPr>
      <w:r w:rsidRPr="003F778A">
        <w:rPr>
          <w:lang w:val="fr-FR"/>
        </w:rPr>
        <w:t xml:space="preserve">Le mandat de la Mission multidimensionnelle intégrée des Nations Unies pour la stabilisation au Mali (MINUSMA), qui opère depuis 2013 en soutien aux efforts de consolidation de la paix et d’établissement de l’état de droit au Mali, a été prorogé par le Conseil de sécurité, dans sa résolution </w:t>
      </w:r>
      <w:hyperlink r:id="rId14" w:history="1">
        <w:r w:rsidRPr="0014315A">
          <w:rPr>
            <w:rStyle w:val="Hyperlink"/>
            <w:lang w:val="fr-FR"/>
          </w:rPr>
          <w:t>2480 (2019)</w:t>
        </w:r>
      </w:hyperlink>
      <w:r w:rsidRPr="003F778A">
        <w:rPr>
          <w:lang w:val="fr-FR"/>
        </w:rPr>
        <w:t xml:space="preserve">, jusqu’au 30 juin 2020. </w:t>
      </w:r>
    </w:p>
    <w:p w14:paraId="347FF9E0" w14:textId="77777777" w:rsidR="008C454F" w:rsidRPr="003F778A" w:rsidRDefault="008C454F" w:rsidP="008C454F">
      <w:pPr>
        <w:pStyle w:val="SingleTxt"/>
        <w:spacing w:after="0" w:line="120" w:lineRule="exact"/>
        <w:rPr>
          <w:sz w:val="10"/>
          <w:lang w:val="fr-FR"/>
        </w:rPr>
      </w:pPr>
    </w:p>
    <w:p w14:paraId="2CA1E263" w14:textId="77777777" w:rsidR="008C454F" w:rsidRPr="003F778A" w:rsidRDefault="008C454F" w:rsidP="008C454F">
      <w:pPr>
        <w:pStyle w:val="SingleTxt"/>
        <w:spacing w:after="0" w:line="120" w:lineRule="exact"/>
        <w:rPr>
          <w:sz w:val="10"/>
          <w:lang w:val="fr-FR"/>
        </w:rPr>
      </w:pPr>
    </w:p>
    <w:p w14:paraId="5976CBE7"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VI.</w:t>
      </w:r>
      <w:r w:rsidRPr="003F778A">
        <w:rPr>
          <w:lang w:val="fr-FR"/>
        </w:rPr>
        <w:tab/>
        <w:t>Cadre réglementaire</w:t>
      </w:r>
    </w:p>
    <w:p w14:paraId="3D7931E3" w14:textId="77777777" w:rsidR="008C454F" w:rsidRPr="003F778A" w:rsidRDefault="008C454F" w:rsidP="008C454F">
      <w:pPr>
        <w:pStyle w:val="SingleTxt"/>
        <w:spacing w:after="0" w:line="120" w:lineRule="exact"/>
        <w:rPr>
          <w:sz w:val="10"/>
          <w:lang w:val="fr-FR"/>
        </w:rPr>
      </w:pPr>
    </w:p>
    <w:p w14:paraId="6D7BAA8D" w14:textId="77777777" w:rsidR="008C454F" w:rsidRPr="003F778A" w:rsidRDefault="008C454F" w:rsidP="008C454F">
      <w:pPr>
        <w:pStyle w:val="SingleTxt"/>
        <w:spacing w:after="0" w:line="120" w:lineRule="exact"/>
        <w:rPr>
          <w:sz w:val="10"/>
          <w:lang w:val="fr-FR"/>
        </w:rPr>
      </w:pPr>
    </w:p>
    <w:p w14:paraId="3C4AE24D" w14:textId="77777777" w:rsidR="008C454F" w:rsidRPr="003F778A" w:rsidRDefault="008C454F" w:rsidP="008C454F">
      <w:pPr>
        <w:pStyle w:val="SingleTxt"/>
        <w:numPr>
          <w:ilvl w:val="0"/>
          <w:numId w:val="44"/>
        </w:numPr>
        <w:ind w:left="1267"/>
        <w:rPr>
          <w:lang w:val="fr-FR"/>
        </w:rPr>
      </w:pPr>
      <w:r w:rsidRPr="003F778A">
        <w:rPr>
          <w:lang w:val="fr-FR"/>
        </w:rPr>
        <w:t>La Constitution du 25 février 1992 interdit la discrimination fondée sur le sexe (art. 2) et garantit le droit à la vie, à la sécurité et à l’intégrité de la personne (art. 1</w:t>
      </w:r>
      <w:r w:rsidRPr="003F778A">
        <w:rPr>
          <w:vertAlign w:val="superscript"/>
          <w:lang w:val="fr-FR"/>
        </w:rPr>
        <w:t>er</w:t>
      </w:r>
      <w:r w:rsidRPr="003F778A">
        <w:rPr>
          <w:lang w:val="fr-FR"/>
        </w:rPr>
        <w:t xml:space="preserve">). Elle prévoit également que les traités dûment ratifiés ont une autorité supérieure à celle des lois nationales (art. 116). </w:t>
      </w:r>
    </w:p>
    <w:p w14:paraId="1FD88036" w14:textId="77777777" w:rsidR="008C454F" w:rsidRPr="003F778A" w:rsidRDefault="008C454F" w:rsidP="008C454F">
      <w:pPr>
        <w:pStyle w:val="SingleTxt"/>
        <w:numPr>
          <w:ilvl w:val="0"/>
          <w:numId w:val="44"/>
        </w:numPr>
        <w:ind w:left="1267"/>
        <w:rPr>
          <w:lang w:val="fr-FR"/>
        </w:rPr>
      </w:pPr>
      <w:r w:rsidRPr="003F778A">
        <w:rPr>
          <w:lang w:val="fr-FR"/>
        </w:rPr>
        <w:t>Malgré la ratification sans réserve de la Convention, dont la mise en œuvre fait partie des obligations nationales de l’État partie, la loi n</w:t>
      </w:r>
      <w:r w:rsidRPr="003F778A">
        <w:rPr>
          <w:vertAlign w:val="superscript"/>
          <w:lang w:val="fr-FR"/>
        </w:rPr>
        <w:t>o</w:t>
      </w:r>
      <w:r w:rsidRPr="003F778A">
        <w:rPr>
          <w:lang w:val="fr-FR"/>
        </w:rPr>
        <w:t xml:space="preserve"> 2001-79 du 20 août 2001 portant Code pénal n’érige pas les mutilations génitales féminines en infraction pénale. En outre, les juristes avocats rencontrés par les expertes désignées ont indiqué </w:t>
      </w:r>
      <w:r w:rsidRPr="003F778A">
        <w:rPr>
          <w:lang w:val="fr-FR"/>
        </w:rPr>
        <w:lastRenderedPageBreak/>
        <w:t xml:space="preserve">que si certaines dispositions du Code pénal relatives aux coups et blessures, violences et tortures (art. 202, 208 et 209) peuvent être invoquées pour des cas de mutilations génitales féminines, les juges se heurtent au principe de l’application stricte de la loi pénale qui leur interdit de sanctionner un acte qui n’est pas expressément incriminé par la loi. Par ailleurs, pendant l’enquête, les expertes désignées n’ont reçu aucune information faisant état de plaintes et de sanctions prononcées pour des cas de mutilations génitales féminines sur la base du Code pénal. </w:t>
      </w:r>
    </w:p>
    <w:p w14:paraId="4FBB6218" w14:textId="77777777" w:rsidR="008C454F" w:rsidRPr="003F778A" w:rsidRDefault="008C454F" w:rsidP="008C454F">
      <w:pPr>
        <w:pStyle w:val="SingleTxt"/>
        <w:numPr>
          <w:ilvl w:val="0"/>
          <w:numId w:val="44"/>
        </w:numPr>
        <w:ind w:left="1267"/>
        <w:rPr>
          <w:lang w:val="fr-FR"/>
        </w:rPr>
      </w:pPr>
      <w:r w:rsidRPr="003F778A">
        <w:rPr>
          <w:lang w:val="fr-FR"/>
        </w:rPr>
        <w:t>La loi n</w:t>
      </w:r>
      <w:r w:rsidRPr="003F778A">
        <w:rPr>
          <w:vertAlign w:val="superscript"/>
          <w:lang w:val="fr-FR"/>
        </w:rPr>
        <w:t>o</w:t>
      </w:r>
      <w:r w:rsidRPr="003F778A">
        <w:rPr>
          <w:lang w:val="fr-FR"/>
        </w:rPr>
        <w:t> 02-044 du 24 juin 2002 relative à la santé de la reproduction, qui inclut le traitement des conséquences de l’excision (art. 7), ne criminalise pas les mutilations génitales féminines, et ce, bien qu’elle contienne des dispositions pénales (titre 3). Quant à la circulaire n</w:t>
      </w:r>
      <w:r w:rsidRPr="003F778A">
        <w:rPr>
          <w:vertAlign w:val="superscript"/>
          <w:lang w:val="fr-FR"/>
        </w:rPr>
        <w:t>o</w:t>
      </w:r>
      <w:r w:rsidRPr="003F778A">
        <w:rPr>
          <w:lang w:val="fr-FR"/>
        </w:rPr>
        <w:t> 99-0019 de la Ministre de la santé, des personnes âgées et de la solidarité du 7 janvier 1999, bien qu’elle interdise la pratique de l’excision dans les établissements de santé, elle n’a pas pour objectif de criminaliser les mutilations génitales féminines et ne prévoit aucune sanction, y compris pour les acteurs de la santé</w:t>
      </w:r>
      <w:r w:rsidRPr="003F778A">
        <w:rPr>
          <w:vertAlign w:val="superscript"/>
          <w:lang w:val="fr-FR"/>
        </w:rPr>
        <w:footnoteReference w:id="6"/>
      </w:r>
      <w:r w:rsidRPr="003F778A">
        <w:rPr>
          <w:lang w:val="fr-FR"/>
        </w:rPr>
        <w:t>. Par ailleurs, selon certains interlocuteurs et le Ministère de la promotion de la femme, de l’enfant et de la famille</w:t>
      </w:r>
      <w:r w:rsidRPr="003F778A">
        <w:rPr>
          <w:vertAlign w:val="superscript"/>
          <w:lang w:val="fr-FR"/>
        </w:rPr>
        <w:footnoteReference w:id="7"/>
      </w:r>
      <w:r w:rsidRPr="003F778A">
        <w:rPr>
          <w:lang w:val="fr-FR"/>
        </w:rPr>
        <w:t xml:space="preserve">, cette circulaire n’est pas strictement appliquée. </w:t>
      </w:r>
    </w:p>
    <w:p w14:paraId="62AF21B0" w14:textId="77777777" w:rsidR="008C454F" w:rsidRPr="003F778A" w:rsidRDefault="008C454F" w:rsidP="008C454F">
      <w:pPr>
        <w:pStyle w:val="SingleTxt"/>
        <w:numPr>
          <w:ilvl w:val="0"/>
          <w:numId w:val="44"/>
        </w:numPr>
        <w:ind w:left="1267"/>
        <w:rPr>
          <w:lang w:val="fr-FR"/>
        </w:rPr>
      </w:pPr>
      <w:r w:rsidRPr="003F778A">
        <w:rPr>
          <w:lang w:val="fr-FR"/>
        </w:rPr>
        <w:t>Le Mali a ratifié sans réserve le Protocole à la Charte africaine des droits de l’homme et des peuples relatif aux droits de la femme en Afrique (Protocole de Maputo) qui, en son article 5 b), oblige les États parties à interdire toute forme de mutilations génitales féminines par des mesures législatives assorties de sanctions.</w:t>
      </w:r>
    </w:p>
    <w:p w14:paraId="73AC3726" w14:textId="77777777" w:rsidR="008C454F" w:rsidRPr="003F778A" w:rsidRDefault="008C454F" w:rsidP="008C454F">
      <w:pPr>
        <w:pStyle w:val="SingleTxt"/>
        <w:spacing w:after="0" w:line="120" w:lineRule="exact"/>
        <w:rPr>
          <w:sz w:val="10"/>
          <w:lang w:val="fr-FR"/>
        </w:rPr>
      </w:pPr>
    </w:p>
    <w:p w14:paraId="30CCA152" w14:textId="77777777" w:rsidR="008C454F" w:rsidRPr="003F778A" w:rsidRDefault="008C454F" w:rsidP="008C454F">
      <w:pPr>
        <w:pStyle w:val="SingleTxt"/>
        <w:spacing w:after="0" w:line="120" w:lineRule="exact"/>
        <w:rPr>
          <w:sz w:val="10"/>
          <w:lang w:val="fr-FR"/>
        </w:rPr>
      </w:pPr>
    </w:p>
    <w:p w14:paraId="35558BA6"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VII.</w:t>
      </w:r>
      <w:r w:rsidRPr="003F778A">
        <w:rPr>
          <w:lang w:val="fr-FR"/>
        </w:rPr>
        <w:tab/>
        <w:t xml:space="preserve">Constatations de fait </w:t>
      </w:r>
    </w:p>
    <w:p w14:paraId="2DDB365F" w14:textId="77777777" w:rsidR="008C454F" w:rsidRPr="003F778A" w:rsidRDefault="008C454F" w:rsidP="008C454F">
      <w:pPr>
        <w:pStyle w:val="SingleTxt"/>
        <w:spacing w:after="0" w:line="120" w:lineRule="exact"/>
        <w:rPr>
          <w:sz w:val="10"/>
          <w:lang w:val="fr-FR"/>
        </w:rPr>
      </w:pPr>
    </w:p>
    <w:p w14:paraId="4DC1B6E6" w14:textId="77777777" w:rsidR="008C454F" w:rsidRPr="003F778A" w:rsidRDefault="008C454F" w:rsidP="008C454F">
      <w:pPr>
        <w:pStyle w:val="SingleTxt"/>
        <w:spacing w:after="0" w:line="120" w:lineRule="exact"/>
        <w:rPr>
          <w:sz w:val="10"/>
          <w:lang w:val="fr-FR"/>
        </w:rPr>
      </w:pPr>
    </w:p>
    <w:p w14:paraId="1B926DF9"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Persistance et contextualisation de la pratique des mutilations génitales féminines</w:t>
      </w:r>
    </w:p>
    <w:p w14:paraId="5B91A9D2" w14:textId="77777777" w:rsidR="008C454F" w:rsidRPr="003F778A" w:rsidRDefault="008C454F" w:rsidP="008C454F">
      <w:pPr>
        <w:pStyle w:val="SingleTxt"/>
        <w:spacing w:after="0" w:line="120" w:lineRule="exact"/>
        <w:rPr>
          <w:sz w:val="10"/>
          <w:lang w:val="fr-FR"/>
        </w:rPr>
      </w:pPr>
    </w:p>
    <w:p w14:paraId="7E2CB840" w14:textId="77777777" w:rsidR="008C454F" w:rsidRPr="003F778A" w:rsidRDefault="008C454F" w:rsidP="008C454F">
      <w:pPr>
        <w:pStyle w:val="SingleTxt"/>
        <w:spacing w:after="0" w:line="120" w:lineRule="exact"/>
        <w:rPr>
          <w:sz w:val="10"/>
          <w:lang w:val="fr-FR"/>
        </w:rPr>
      </w:pPr>
    </w:p>
    <w:p w14:paraId="14A55CB9"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1.</w:t>
      </w:r>
      <w:r w:rsidRPr="003F778A">
        <w:rPr>
          <w:lang w:val="fr-FR"/>
        </w:rPr>
        <w:tab/>
        <w:t>Taux de prévalence et caractéristiques</w:t>
      </w:r>
    </w:p>
    <w:p w14:paraId="26E2E739" w14:textId="77777777" w:rsidR="008C454F" w:rsidRPr="003F778A" w:rsidRDefault="008C454F" w:rsidP="008C454F">
      <w:pPr>
        <w:pStyle w:val="SingleTxt"/>
        <w:spacing w:after="0" w:line="120" w:lineRule="exact"/>
        <w:rPr>
          <w:sz w:val="10"/>
          <w:lang w:val="fr-FR"/>
        </w:rPr>
      </w:pPr>
    </w:p>
    <w:p w14:paraId="69CD2A28" w14:textId="77777777" w:rsidR="008C454F" w:rsidRPr="003F778A" w:rsidRDefault="008C454F" w:rsidP="008C454F">
      <w:pPr>
        <w:pStyle w:val="SingleTxt"/>
        <w:numPr>
          <w:ilvl w:val="0"/>
          <w:numId w:val="44"/>
        </w:numPr>
        <w:ind w:left="1267"/>
        <w:rPr>
          <w:lang w:val="fr-FR"/>
        </w:rPr>
      </w:pPr>
      <w:r w:rsidRPr="003F778A">
        <w:rPr>
          <w:lang w:val="fr-FR"/>
        </w:rPr>
        <w:t>Le Comité constate que le taux de prévalence des mutilations génitales féminines reste très élevé au Mali. En effet, selon l’enquête par grappes à indicateurs multiples de 2015, celui-ci s’élève à 82,7 % parmi les femmes âgées de 15 à 49 ans, et à 76,4 % parmi les filles âgées de 0 à 14 ans</w:t>
      </w:r>
      <w:r w:rsidRPr="003F778A">
        <w:rPr>
          <w:vertAlign w:val="superscript"/>
          <w:lang w:val="fr-FR"/>
        </w:rPr>
        <w:footnoteReference w:id="8"/>
      </w:r>
      <w:r w:rsidRPr="003F778A">
        <w:rPr>
          <w:lang w:val="fr-FR"/>
        </w:rPr>
        <w:t>. Bien que les expertes désignées observent une baisse de 8,7 % parmi les femmes âgées de 15 à 49 ans entre 2012-2013 et 2015</w:t>
      </w:r>
      <w:r w:rsidRPr="003F778A">
        <w:rPr>
          <w:vertAlign w:val="superscript"/>
          <w:lang w:val="fr-FR"/>
        </w:rPr>
        <w:footnoteReference w:id="9"/>
      </w:r>
      <w:r w:rsidRPr="003F778A">
        <w:rPr>
          <w:lang w:val="fr-FR"/>
        </w:rPr>
        <w:t>, elles constatent également que la prévalence chez les filles âgées de 0 à 14 ans a augmenté de 7,4 % pendant la même période</w:t>
      </w:r>
      <w:r w:rsidRPr="003F778A">
        <w:rPr>
          <w:vertAlign w:val="superscript"/>
          <w:lang w:val="fr-FR"/>
        </w:rPr>
        <w:footnoteReference w:id="10"/>
      </w:r>
      <w:r w:rsidRPr="003F778A">
        <w:rPr>
          <w:lang w:val="fr-FR"/>
        </w:rPr>
        <w:t xml:space="preserve">. Cette prévalence parmi </w:t>
      </w:r>
      <w:r w:rsidRPr="003F778A">
        <w:rPr>
          <w:lang w:val="fr-FR"/>
        </w:rPr>
        <w:lastRenderedPageBreak/>
        <w:t>les filles est la plus élevée en Afrique de l’Ouest en 2017</w:t>
      </w:r>
      <w:r w:rsidRPr="003F778A">
        <w:rPr>
          <w:vertAlign w:val="superscript"/>
          <w:lang w:val="fr-FR"/>
        </w:rPr>
        <w:footnoteReference w:id="11"/>
      </w:r>
      <w:r w:rsidRPr="003F778A">
        <w:rPr>
          <w:lang w:val="fr-FR"/>
        </w:rPr>
        <w:t xml:space="preserve"> et dépasse la moyenne sous-régionale de 25,4 %</w:t>
      </w:r>
      <w:r w:rsidRPr="003F778A">
        <w:rPr>
          <w:vertAlign w:val="superscript"/>
          <w:lang w:val="fr-FR"/>
        </w:rPr>
        <w:footnoteReference w:id="12"/>
      </w:r>
      <w:r w:rsidRPr="003F778A">
        <w:rPr>
          <w:lang w:val="fr-FR"/>
        </w:rPr>
        <w:t xml:space="preserve">. </w:t>
      </w:r>
    </w:p>
    <w:p w14:paraId="7ED72010" w14:textId="77777777" w:rsidR="008C454F" w:rsidRPr="003F778A" w:rsidRDefault="008C454F" w:rsidP="008C454F">
      <w:pPr>
        <w:pStyle w:val="SingleTxt"/>
        <w:numPr>
          <w:ilvl w:val="0"/>
          <w:numId w:val="44"/>
        </w:numPr>
        <w:ind w:left="1267"/>
        <w:rPr>
          <w:lang w:val="fr-FR"/>
        </w:rPr>
      </w:pPr>
      <w:r w:rsidRPr="003F778A">
        <w:rPr>
          <w:lang w:val="fr-FR"/>
        </w:rPr>
        <w:t>Seules les données de 2012-2013 permettent une analyse détaillée de la pratique. Ces chiffres montrent que le taux de femmes ayant subi des mutilations génitales féminines ne varie que légèrement selon le milieu, urbain ou rural (1,3 %), le statut socioéconomique de la victime (2 %) et la région (6,4 %)</w:t>
      </w:r>
      <w:r w:rsidRPr="003F778A">
        <w:rPr>
          <w:vertAlign w:val="superscript"/>
          <w:lang w:val="fr-FR"/>
        </w:rPr>
        <w:footnoteReference w:id="13"/>
      </w:r>
      <w:r w:rsidRPr="003F778A">
        <w:rPr>
          <w:lang w:val="fr-FR"/>
        </w:rPr>
        <w:t>. Le Comité note également l’impact limité du statut socioéconomique (variation de 2,7 %), du lieu de résidence (3,3 %), de l’âge (4,8 %), de la région (7,7 %) et du niveau d’instruction (9,7 %) sur la conviction que cette pratique doit continuer</w:t>
      </w:r>
      <w:r w:rsidRPr="003F778A">
        <w:rPr>
          <w:vertAlign w:val="superscript"/>
          <w:lang w:val="fr-FR"/>
        </w:rPr>
        <w:footnoteReference w:id="14"/>
      </w:r>
      <w:r w:rsidRPr="003F778A">
        <w:rPr>
          <w:lang w:val="fr-FR"/>
        </w:rPr>
        <w:t>. Ces chiffres montrent toutefois des variations dépassant les 36 % entre ethnies et les 27 % entre confessions</w:t>
      </w:r>
      <w:r w:rsidRPr="003F778A">
        <w:rPr>
          <w:vertAlign w:val="superscript"/>
          <w:lang w:val="fr-FR"/>
        </w:rPr>
        <w:footnoteReference w:id="15"/>
      </w:r>
      <w:r w:rsidRPr="003F778A">
        <w:rPr>
          <w:lang w:val="fr-FR"/>
        </w:rPr>
        <w:t>. Ils indiquent également que la proportion de femmes convaincues que les mutilations génitales féminines sont exigées par la religion est la plus élevée parmi les ethnies où la prévalence de la pratique est la plus forte</w:t>
      </w:r>
      <w:r w:rsidRPr="003F778A">
        <w:rPr>
          <w:vertAlign w:val="superscript"/>
          <w:lang w:val="fr-FR"/>
        </w:rPr>
        <w:footnoteReference w:id="16"/>
      </w:r>
      <w:r w:rsidRPr="003F778A">
        <w:rPr>
          <w:lang w:val="fr-FR"/>
        </w:rPr>
        <w:t xml:space="preserve">. </w:t>
      </w:r>
    </w:p>
    <w:p w14:paraId="1DF5F65B" w14:textId="77777777" w:rsidR="008C454F" w:rsidRPr="003F778A" w:rsidRDefault="008C454F" w:rsidP="008C454F">
      <w:pPr>
        <w:pStyle w:val="SingleTxt"/>
        <w:numPr>
          <w:ilvl w:val="0"/>
          <w:numId w:val="44"/>
        </w:numPr>
        <w:ind w:left="1267"/>
        <w:rPr>
          <w:lang w:val="fr-FR"/>
        </w:rPr>
      </w:pPr>
      <w:r w:rsidRPr="003F778A">
        <w:rPr>
          <w:lang w:val="fr-FR"/>
        </w:rPr>
        <w:t>Le type de mutilations génitales féminines le plus pratiqué dans l’État partie est le type II, communément appelé « excision » (48,9 % des femmes entre 15 et 49 ans)</w:t>
      </w:r>
      <w:r w:rsidRPr="003F778A">
        <w:rPr>
          <w:vertAlign w:val="superscript"/>
          <w:lang w:val="fr-FR"/>
        </w:rPr>
        <w:footnoteReference w:id="17"/>
      </w:r>
      <w:r w:rsidRPr="003F778A">
        <w:rPr>
          <w:lang w:val="fr-FR"/>
        </w:rPr>
        <w:t>. Les entailles sans ablation de chair (type IV) concernent 14,6 % des femmes, et l’infibulation (type III) 10,6 %</w:t>
      </w:r>
      <w:r w:rsidRPr="003F778A">
        <w:rPr>
          <w:vertAlign w:val="superscript"/>
          <w:lang w:val="fr-FR"/>
        </w:rPr>
        <w:footnoteReference w:id="18"/>
      </w:r>
      <w:r w:rsidRPr="003F778A">
        <w:rPr>
          <w:lang w:val="fr-FR"/>
        </w:rPr>
        <w:t>. En tout, 73 % des femmes ont indiqué avoir subi des mutilations génitales au cours de la petite enfance, et seulement 0,4 % à l’âge de 15 ans ou plus</w:t>
      </w:r>
      <w:r w:rsidRPr="003F778A">
        <w:rPr>
          <w:vertAlign w:val="superscript"/>
          <w:lang w:val="fr-FR"/>
        </w:rPr>
        <w:footnoteReference w:id="19"/>
      </w:r>
      <w:r w:rsidRPr="003F778A">
        <w:rPr>
          <w:lang w:val="fr-FR"/>
        </w:rPr>
        <w:t>. Par ailleurs, une baisse de l’âge des victimes est à constater. Il convient également de souligner que 90,9 % des femmes entre 15 et 49 ans et 97,8 % des filles entre 0 et 14 ans qui ont subi des mutilations génitales affirment qu’un praticien traditionnel a été l’auteur de ces mutilations, et que 0,7 % des femmes entre 15 et 49 ans et 2 % des filles entre 0 et 14 ans ont été excisées par un professionnel de la santé</w:t>
      </w:r>
      <w:r w:rsidRPr="003F778A">
        <w:rPr>
          <w:vertAlign w:val="superscript"/>
          <w:lang w:val="fr-FR"/>
        </w:rPr>
        <w:footnoteReference w:id="20"/>
      </w:r>
      <w:r w:rsidRPr="003F778A">
        <w:rPr>
          <w:lang w:val="fr-FR"/>
        </w:rPr>
        <w:t>.</w:t>
      </w:r>
    </w:p>
    <w:p w14:paraId="7FF8D44D" w14:textId="77777777" w:rsidR="008C454F" w:rsidRPr="003F778A" w:rsidRDefault="008C454F" w:rsidP="008C454F">
      <w:pPr>
        <w:pStyle w:val="SingleTxt"/>
        <w:spacing w:after="0" w:line="120" w:lineRule="exact"/>
        <w:rPr>
          <w:sz w:val="10"/>
          <w:lang w:val="fr-FR"/>
        </w:rPr>
      </w:pPr>
    </w:p>
    <w:p w14:paraId="07F5869C"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2.</w:t>
      </w:r>
      <w:r w:rsidRPr="003F778A">
        <w:rPr>
          <w:lang w:val="fr-FR"/>
        </w:rPr>
        <w:tab/>
        <w:t>Contexte socioculturel et stéréotypes sexistes</w:t>
      </w:r>
    </w:p>
    <w:p w14:paraId="7139D33B" w14:textId="77777777" w:rsidR="008C454F" w:rsidRPr="003F778A" w:rsidRDefault="008C454F" w:rsidP="008C454F">
      <w:pPr>
        <w:pStyle w:val="SingleTxt"/>
        <w:spacing w:after="0" w:line="120" w:lineRule="exact"/>
        <w:rPr>
          <w:sz w:val="10"/>
          <w:lang w:val="fr-FR"/>
        </w:rPr>
      </w:pPr>
    </w:p>
    <w:p w14:paraId="52695FFD" w14:textId="77777777" w:rsidR="008C454F" w:rsidRPr="003F778A" w:rsidRDefault="008C454F" w:rsidP="008C454F">
      <w:pPr>
        <w:pStyle w:val="SingleTxt"/>
        <w:numPr>
          <w:ilvl w:val="0"/>
          <w:numId w:val="44"/>
        </w:numPr>
        <w:ind w:left="1267"/>
        <w:rPr>
          <w:lang w:val="fr-FR"/>
        </w:rPr>
      </w:pPr>
      <w:r w:rsidRPr="003F778A">
        <w:rPr>
          <w:lang w:val="fr-FR"/>
        </w:rPr>
        <w:t>Dans l’État partie, 71 % des femmes et 66 % des hommes de 15 à 49 ans soutiennent que les mutilations génitales féminines sont une pratique exigée par la religion</w:t>
      </w:r>
      <w:r w:rsidRPr="003F778A">
        <w:rPr>
          <w:vertAlign w:val="superscript"/>
          <w:lang w:val="fr-FR"/>
        </w:rPr>
        <w:footnoteReference w:id="21"/>
      </w:r>
      <w:r w:rsidRPr="003F778A">
        <w:rPr>
          <w:lang w:val="fr-FR"/>
        </w:rPr>
        <w:t xml:space="preserve">. Il est à noter que les leaders religieux, lors d’un échange au sujet des mutilations génitales féminines, à Mopti, en 2010, ont condamné les formes les plus sévères d’excision et ont affirmé leur volonté de débattre davantage de la question des mutilations génitales féminines avec les parties prenantes. Les représentants des autorités rencontrés à Bamako et ceux de la Commission nationale des droits de l’homme ont par ailleurs souligné le caractère socioéconomique de cette pratique. Néanmoins, le Comité note la persistance parmi les leaders religieux de courants défendant les mutilations génitales féminines et avançant le caractère obligatoire de la pratique. Il note également que l’insuffisante connaissance des textes religieux influence la conviction du lien entre la pratique et la religion, et que, selon les </w:t>
      </w:r>
      <w:r w:rsidRPr="003F778A">
        <w:rPr>
          <w:lang w:val="fr-FR"/>
        </w:rPr>
        <w:lastRenderedPageBreak/>
        <w:t>représentants du gouvernorat de Mopti, il est difficile de catégoriser cette pratique comme exclusivement religieuse ou sociale.</w:t>
      </w:r>
    </w:p>
    <w:p w14:paraId="2F9459EF" w14:textId="77777777" w:rsidR="008C454F" w:rsidRPr="003F778A" w:rsidRDefault="008C454F" w:rsidP="008C454F">
      <w:pPr>
        <w:pStyle w:val="SingleTxt"/>
        <w:numPr>
          <w:ilvl w:val="0"/>
          <w:numId w:val="44"/>
        </w:numPr>
        <w:ind w:left="1267"/>
        <w:rPr>
          <w:b/>
          <w:i/>
          <w:lang w:val="fr-FR"/>
        </w:rPr>
      </w:pPr>
      <w:r w:rsidRPr="003F778A">
        <w:rPr>
          <w:lang w:val="fr-FR"/>
        </w:rPr>
        <w:t>À Mopti, les responsables religieux ont avancé que les mutilations génitales féminines permettaient de contrôler l’activité sexuelle des femmes. À Bamako, une organisation non gouvernementale (ONG) et une victime ont indiqué qu’une fille qui n’avait pas subi de mutilations génitales était perçue comme une honte pour la famille et, selon certaines croyances, les relations sexuelles avec une femme qui n’a pas subi de telles mutilations provoqueraient l’impuissance de l’homme.</w:t>
      </w:r>
    </w:p>
    <w:p w14:paraId="694AE450" w14:textId="77777777" w:rsidR="008C454F" w:rsidRPr="003F778A" w:rsidRDefault="008C454F" w:rsidP="008C454F">
      <w:pPr>
        <w:pStyle w:val="SingleTxt"/>
        <w:numPr>
          <w:ilvl w:val="0"/>
          <w:numId w:val="44"/>
        </w:numPr>
        <w:ind w:left="1267"/>
        <w:rPr>
          <w:lang w:val="fr-FR"/>
        </w:rPr>
      </w:pPr>
      <w:r w:rsidRPr="003F778A">
        <w:rPr>
          <w:lang w:val="fr-FR"/>
        </w:rPr>
        <w:t xml:space="preserve">Une victime rencontrée à Bamako a expliqué aux expertes désignées qu’une fois excisée, sa famille lui avait souhaité la bienvenue comme « femme ». Les responsables religieux rencontrés à Mopti ont par ailleurs avancé que les mutilations génitales étaient nécessaires pour purifier la femme en vue du mariage. Une ONG rencontrée à Bamako a confirmé que les familles craignaient que leurs filles ne trouvent pas de mari si elles n’étaient pas excisées. </w:t>
      </w:r>
    </w:p>
    <w:p w14:paraId="7925BDA1" w14:textId="77777777" w:rsidR="008C454F" w:rsidRPr="003F778A" w:rsidRDefault="008C454F" w:rsidP="008C454F">
      <w:pPr>
        <w:pStyle w:val="SingleTxt"/>
        <w:numPr>
          <w:ilvl w:val="0"/>
          <w:numId w:val="44"/>
        </w:numPr>
        <w:ind w:left="1267"/>
        <w:rPr>
          <w:lang w:val="fr-FR"/>
        </w:rPr>
      </w:pPr>
      <w:r w:rsidRPr="003F778A">
        <w:rPr>
          <w:lang w:val="fr-FR"/>
        </w:rPr>
        <w:t>Les victimes, les ONG rencontrées à Bamako et à Mopti et les représentants des autorités rencontrés à Mopti ont affirmé que la majorité des exciseuses faisaient partie de la caste des forgerons et qu’elles avaient un statut important dans la société. Les victimes et les ONG ont précisé que les exciseuses ne pouvaient abandonner cette position sociale par décision individuelle. Toutefois, une exciseuse qui arrêtait sa pratique ne pouvait pas la transmettre.</w:t>
      </w:r>
    </w:p>
    <w:p w14:paraId="37E8D142" w14:textId="77777777" w:rsidR="008C454F" w:rsidRPr="003F778A" w:rsidRDefault="008C454F" w:rsidP="008C454F">
      <w:pPr>
        <w:pStyle w:val="SingleTxt"/>
        <w:numPr>
          <w:ilvl w:val="0"/>
          <w:numId w:val="44"/>
        </w:numPr>
        <w:ind w:left="1267"/>
        <w:rPr>
          <w:lang w:val="fr-FR"/>
        </w:rPr>
      </w:pPr>
      <w:r w:rsidRPr="003F778A">
        <w:rPr>
          <w:lang w:val="fr-FR"/>
        </w:rPr>
        <w:t xml:space="preserve">Les représentants des autorités rencontrés à Mopti et à Bamako, ainsi qu’une ONG et une victime rencontrées à Bamako, ont confirmé que le chef de la famille élargie, habituellement un homme, était celui qui prenait la décision de faire subir ou non des mutilations génitales aux filles, faisant valoir la primauté de son autorité sur celle des parents, qui se soumettaient généralement à sa décision. </w:t>
      </w:r>
    </w:p>
    <w:p w14:paraId="79B0AFE8" w14:textId="77777777" w:rsidR="008C454F" w:rsidRPr="003F778A" w:rsidRDefault="008C454F" w:rsidP="008C454F">
      <w:pPr>
        <w:pStyle w:val="SingleTxt"/>
        <w:spacing w:after="0" w:line="120" w:lineRule="exact"/>
        <w:rPr>
          <w:sz w:val="10"/>
          <w:lang w:val="fr-FR"/>
        </w:rPr>
      </w:pPr>
    </w:p>
    <w:p w14:paraId="0A595CCF"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3.</w:t>
      </w:r>
      <w:r w:rsidRPr="003F778A">
        <w:rPr>
          <w:lang w:val="fr-FR"/>
        </w:rPr>
        <w:tab/>
        <w:t>Circonstances des mutilations génitales féminines</w:t>
      </w:r>
    </w:p>
    <w:p w14:paraId="214A18B0" w14:textId="77777777" w:rsidR="008C454F" w:rsidRPr="003F778A" w:rsidRDefault="008C454F" w:rsidP="008C454F">
      <w:pPr>
        <w:pStyle w:val="SingleTxt"/>
        <w:spacing w:after="0" w:line="120" w:lineRule="exact"/>
        <w:rPr>
          <w:sz w:val="10"/>
          <w:lang w:val="fr-FR"/>
        </w:rPr>
      </w:pPr>
    </w:p>
    <w:p w14:paraId="32A1E736" w14:textId="77777777" w:rsidR="008C454F" w:rsidRPr="003F778A" w:rsidRDefault="008C454F" w:rsidP="008C454F">
      <w:pPr>
        <w:pStyle w:val="SingleTxt"/>
        <w:numPr>
          <w:ilvl w:val="0"/>
          <w:numId w:val="44"/>
        </w:numPr>
        <w:ind w:left="1267"/>
        <w:rPr>
          <w:lang w:val="fr-FR"/>
        </w:rPr>
      </w:pPr>
      <w:r w:rsidRPr="003F778A">
        <w:rPr>
          <w:lang w:val="fr-FR"/>
        </w:rPr>
        <w:t xml:space="preserve">Les victimes et l’exciseuse rencontrées à Bamako ont indiqué qu’au moment de la mutilation, seules l’exciseuse et son assistante étaient présentes. Les mutilations en milieu urbain se font de manière individuelle et souvent dans une cour cachée ou dans les toilettes des habitations. En milieu rural, des manifestations sont organisées pour des mutilations de groupe qui se font en marge des festivités, dont le bruit couvre ainsi les cris des victimes. Ces mutilations en groupe entraînent un risque accru de transmission de maladies, compte tenu de l’utilisation d’un même outil tranchant pour plusieurs filles. </w:t>
      </w:r>
    </w:p>
    <w:p w14:paraId="082FE334" w14:textId="77777777" w:rsidR="008C454F" w:rsidRPr="003F778A" w:rsidRDefault="008C454F" w:rsidP="008C454F">
      <w:pPr>
        <w:pStyle w:val="SingleTxt"/>
        <w:numPr>
          <w:ilvl w:val="0"/>
          <w:numId w:val="44"/>
        </w:numPr>
        <w:ind w:left="1267"/>
        <w:rPr>
          <w:lang w:val="fr-FR"/>
        </w:rPr>
      </w:pPr>
      <w:r w:rsidRPr="003F778A">
        <w:rPr>
          <w:lang w:val="fr-FR"/>
        </w:rPr>
        <w:t>Le Comité constate que le silence entourant les mutilations génitales féminines et leurs conséquences néfastes persistent à l’intérieur même des relations mère-fille. En effet, deux victimes rencontrées à Bamako ayant souffert de séquelles des mutilations génitales ont affirmé se sentir trop gênées pour demander à leurs filles si elles aussi enduraient de tels maux. Un avocat et une victime rencontrés à Bamako ont par ailleurs souligné que ce même silence représenterait un obstacle à la dénonciation des auteurs des mutilations, même si une loi interdisant les mutilations génitales féminines était adoptée.</w:t>
      </w:r>
    </w:p>
    <w:p w14:paraId="302BFA8A" w14:textId="77777777" w:rsidR="008C454F" w:rsidRPr="003F778A" w:rsidRDefault="008C454F" w:rsidP="008C454F">
      <w:pPr>
        <w:pStyle w:val="SingleTxt"/>
        <w:spacing w:after="0" w:line="120" w:lineRule="exact"/>
        <w:rPr>
          <w:sz w:val="10"/>
          <w:lang w:val="fr-FR"/>
        </w:rPr>
      </w:pPr>
    </w:p>
    <w:p w14:paraId="22373FE6"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4.</w:t>
      </w:r>
      <w:r w:rsidRPr="003F778A">
        <w:rPr>
          <w:lang w:val="fr-FR"/>
        </w:rPr>
        <w:tab/>
        <w:t>Dimension économique</w:t>
      </w:r>
    </w:p>
    <w:p w14:paraId="3C9B2423" w14:textId="77777777" w:rsidR="008C454F" w:rsidRPr="003F778A" w:rsidRDefault="008C454F" w:rsidP="008C454F">
      <w:pPr>
        <w:pStyle w:val="SingleTxt"/>
        <w:spacing w:after="0" w:line="120" w:lineRule="exact"/>
        <w:rPr>
          <w:sz w:val="10"/>
          <w:lang w:val="fr-FR"/>
        </w:rPr>
      </w:pPr>
    </w:p>
    <w:p w14:paraId="26C6146E" w14:textId="77777777" w:rsidR="008C454F" w:rsidRPr="003F778A" w:rsidRDefault="008C454F" w:rsidP="008C454F">
      <w:pPr>
        <w:pStyle w:val="SingleTxt"/>
        <w:numPr>
          <w:ilvl w:val="0"/>
          <w:numId w:val="44"/>
        </w:numPr>
        <w:ind w:left="1267"/>
        <w:rPr>
          <w:lang w:val="fr-FR"/>
        </w:rPr>
      </w:pPr>
      <w:r w:rsidRPr="003F778A">
        <w:rPr>
          <w:lang w:val="fr-FR"/>
        </w:rPr>
        <w:t xml:space="preserve">L’exciseuse rencontrée à Bamako a affirmé que la mutilation en groupe d’environ 17 filles lui permettait de couvrir ses besoins alimentaires pendant une année entière. Par ailleurs, les ONG rencontrées à Bamako ont précisé que la pratique des mutilations génitales féminines était également lucrative pour les féticheurs, qui vendraient les parties génitales coupées sur le marché et les utiliseraient pour l’élaboration de remèdes traditionnels. Les représentants des autorités de Mopti, ainsi </w:t>
      </w:r>
      <w:r w:rsidRPr="003F778A">
        <w:rPr>
          <w:lang w:val="fr-FR"/>
        </w:rPr>
        <w:lastRenderedPageBreak/>
        <w:t>que les ONG rencontrées à Mopti et à Bamako, ont souligné que les exciseuses n’arrêteraient pas leur pratique tant qu’une demande pour ces services existerait.</w:t>
      </w:r>
    </w:p>
    <w:p w14:paraId="180A7EE7" w14:textId="77777777" w:rsidR="008C454F" w:rsidRPr="003F778A" w:rsidRDefault="008C454F" w:rsidP="008C454F">
      <w:pPr>
        <w:pStyle w:val="SingleTxt"/>
        <w:spacing w:after="0" w:line="120" w:lineRule="exact"/>
        <w:rPr>
          <w:sz w:val="10"/>
          <w:lang w:val="fr-FR"/>
        </w:rPr>
      </w:pPr>
    </w:p>
    <w:p w14:paraId="65B32D92"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5.</w:t>
      </w:r>
      <w:r w:rsidRPr="003F778A">
        <w:rPr>
          <w:lang w:val="fr-FR"/>
        </w:rPr>
        <w:tab/>
        <w:t>Séquelles physiques, psychologiques et sociales et contexte médical</w:t>
      </w:r>
    </w:p>
    <w:p w14:paraId="25E82916" w14:textId="77777777" w:rsidR="008C454F" w:rsidRPr="003F778A" w:rsidRDefault="008C454F" w:rsidP="008C454F">
      <w:pPr>
        <w:pStyle w:val="SingleTxt"/>
        <w:spacing w:after="0" w:line="120" w:lineRule="exact"/>
        <w:rPr>
          <w:sz w:val="10"/>
          <w:lang w:val="fr-FR"/>
        </w:rPr>
      </w:pPr>
    </w:p>
    <w:p w14:paraId="567CEBCF" w14:textId="77777777" w:rsidR="008C454F" w:rsidRPr="003F778A" w:rsidRDefault="008C454F" w:rsidP="008C454F">
      <w:pPr>
        <w:pStyle w:val="SingleTxt"/>
        <w:numPr>
          <w:ilvl w:val="0"/>
          <w:numId w:val="44"/>
        </w:numPr>
        <w:ind w:left="1267"/>
        <w:rPr>
          <w:lang w:val="fr-FR"/>
        </w:rPr>
      </w:pPr>
      <w:r w:rsidRPr="003F778A">
        <w:rPr>
          <w:lang w:val="fr-FR"/>
        </w:rPr>
        <w:t>Dans leur déclaration commune, les organismes des Nations Unies distinguent les risques sanitaires immédiats et à long terme</w:t>
      </w:r>
      <w:r w:rsidRPr="003F778A">
        <w:rPr>
          <w:vertAlign w:val="superscript"/>
          <w:lang w:val="fr-FR"/>
        </w:rPr>
        <w:footnoteReference w:id="22"/>
      </w:r>
      <w:r w:rsidRPr="003F778A">
        <w:rPr>
          <w:lang w:val="fr-FR"/>
        </w:rPr>
        <w:t xml:space="preserve">. À Bamako et à Mopti, les victimes et les ONG ont confirmé que les victimes souffrent de conséquences physiques immédiates et à long terme, telles que des douleurs temporaires et chroniques, des difficultés à uriner, des infections et kystes, des accouchements problématiques et des douleurs lors des rapports sexuels. Les interlocutrices ont très peu évoqué les conséquences psychologiques. Seules deux victimes rencontrées à Bamako ont par ailleurs parlé ouvertement de l’absence de plaisir lors des rapports sexuels. </w:t>
      </w:r>
      <w:bookmarkStart w:id="3" w:name="_Hlk9349927"/>
      <w:r w:rsidRPr="003F778A">
        <w:rPr>
          <w:lang w:val="fr-FR"/>
        </w:rPr>
        <w:t xml:space="preserve">Cette réserve quant aux conséquences sur la santé sexuelle pourrait s’expliquer par le tabou entourant la sexualité. </w:t>
      </w:r>
      <w:bookmarkEnd w:id="3"/>
    </w:p>
    <w:p w14:paraId="116F5498" w14:textId="77777777" w:rsidR="008C454F" w:rsidRPr="003F778A" w:rsidRDefault="008C454F" w:rsidP="008C454F">
      <w:pPr>
        <w:pStyle w:val="SingleTxt"/>
        <w:numPr>
          <w:ilvl w:val="0"/>
          <w:numId w:val="44"/>
        </w:numPr>
        <w:ind w:left="1267"/>
        <w:rPr>
          <w:lang w:val="fr-FR"/>
        </w:rPr>
      </w:pPr>
      <w:r w:rsidRPr="003F778A">
        <w:rPr>
          <w:lang w:val="fr-FR"/>
        </w:rPr>
        <w:t>Les victimes rencontrées à Bamako ont affirmé que leur cicatrice avait été ouverte au moment de l’accouchement et refermée après. À Bamako, un représentant d’ONG a également soutenu qu’au moment du mariage, la cicatrice de la victime était ouverte pour permettre les rapports sexuels, et refermée par la suite. Une victime à Bamako a également expliqué que suite aux mutilations génitales, sa cicatrice avait été fermée avec des agrafes, ce qui l’avait forcée à subir une intervention postérieure douloureuse pour les enlever. Elle a précisé que cette intervention avait été pour elle une expérience aussi traumatisante que la première mutilation, et qu’elle s’était répétée après son accouchement. Le Comité constate que les victimes souffrent tout au long de leur vie des séquelles des mutilations génitales, qui ont pour la plupart été effectuées à un jeune âge.</w:t>
      </w:r>
    </w:p>
    <w:p w14:paraId="770D1060" w14:textId="77777777" w:rsidR="008C454F" w:rsidRPr="003F778A" w:rsidRDefault="008C454F" w:rsidP="008C454F">
      <w:pPr>
        <w:pStyle w:val="SingleTxt"/>
        <w:numPr>
          <w:ilvl w:val="0"/>
          <w:numId w:val="44"/>
        </w:numPr>
        <w:ind w:left="1267"/>
        <w:rPr>
          <w:lang w:val="fr-FR"/>
        </w:rPr>
      </w:pPr>
      <w:r w:rsidRPr="003F778A">
        <w:rPr>
          <w:lang w:val="fr-FR"/>
        </w:rPr>
        <w:t xml:space="preserve">Les exciseuses sont conscientes que la mort est l’une des conséquences possibles de leurs actions. L’exciseuse rencontrée à Bamako a en effet reconnu que deux filles étaient décédées suite à son intervention. </w:t>
      </w:r>
    </w:p>
    <w:p w14:paraId="4B3A25D1" w14:textId="77777777" w:rsidR="008C454F" w:rsidRPr="003F778A" w:rsidRDefault="008C454F" w:rsidP="008C454F">
      <w:pPr>
        <w:pStyle w:val="SingleTxt"/>
        <w:numPr>
          <w:ilvl w:val="0"/>
          <w:numId w:val="44"/>
        </w:numPr>
        <w:ind w:left="1267"/>
        <w:rPr>
          <w:lang w:val="fr-FR"/>
        </w:rPr>
      </w:pPr>
      <w:r w:rsidRPr="003F778A">
        <w:rPr>
          <w:lang w:val="fr-FR"/>
        </w:rPr>
        <w:t>À Mopti, des responsables religieux ont soutenu la médicalisation des mutilations génitales féminines. En effet, ils souhaitent qu’elles soient réalisées par des professionnels de la santé, car cela permettrait, selon eux, d’en éviter les conséquences néfastes. Cette tendance en faveur de la médicalisation a également été mentionnée par le Conseiller spécial du Ministère de la promotion de la femme, de l’enfant et de la famille ainsi que par des ONG.</w:t>
      </w:r>
    </w:p>
    <w:p w14:paraId="10C98EFB" w14:textId="77777777" w:rsidR="008C454F" w:rsidRPr="003F778A" w:rsidRDefault="008C454F" w:rsidP="008C454F">
      <w:pPr>
        <w:pStyle w:val="SingleTxt"/>
        <w:spacing w:after="0" w:line="120" w:lineRule="exact"/>
        <w:rPr>
          <w:sz w:val="10"/>
          <w:lang w:val="fr-FR"/>
        </w:rPr>
      </w:pPr>
    </w:p>
    <w:p w14:paraId="1F7EF4AC"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6.</w:t>
      </w:r>
      <w:r w:rsidRPr="003F778A">
        <w:rPr>
          <w:lang w:val="fr-FR"/>
        </w:rPr>
        <w:tab/>
        <w:t>Caractère transnational de la pratique</w:t>
      </w:r>
    </w:p>
    <w:p w14:paraId="647D3AE1" w14:textId="77777777" w:rsidR="008C454F" w:rsidRPr="003F778A" w:rsidRDefault="008C454F" w:rsidP="008C454F">
      <w:pPr>
        <w:pStyle w:val="SingleTxt"/>
        <w:spacing w:after="0" w:line="120" w:lineRule="exact"/>
        <w:rPr>
          <w:sz w:val="10"/>
          <w:lang w:val="fr-FR"/>
        </w:rPr>
      </w:pPr>
    </w:p>
    <w:p w14:paraId="3348C61F" w14:textId="77777777" w:rsidR="008C454F" w:rsidRPr="003F778A" w:rsidRDefault="008C454F" w:rsidP="008C454F">
      <w:pPr>
        <w:pStyle w:val="SingleTxt"/>
        <w:numPr>
          <w:ilvl w:val="0"/>
          <w:numId w:val="44"/>
        </w:numPr>
        <w:ind w:left="1267"/>
        <w:rPr>
          <w:lang w:val="fr-FR"/>
        </w:rPr>
      </w:pPr>
      <w:r w:rsidRPr="003F778A">
        <w:rPr>
          <w:lang w:val="fr-FR"/>
        </w:rPr>
        <w:t xml:space="preserve">Le Comité note les efforts menés par l’État partie dans le cadre du projet conjoint de promotion de l’abandon de la pratique transfrontalière des violences basées sur le genre, y compris les mutilations génitales féminines et les mariages précoces au Mali et au Burkina Faso. Toutefois, les ONG rencontrées à Bamako et à Mopti ont soutenu que des filles de pays voisins du Mali qui avaient adopté des lois interdisant les mutilations génitales féminines, tels que le Burkina Faso, le Bénin, la Guinée et le Togo, continuaient à être emmenées sur le territoire malien pour subir des mutilations génitales. </w:t>
      </w:r>
    </w:p>
    <w:p w14:paraId="09E55AD2" w14:textId="77777777" w:rsidR="008C454F" w:rsidRPr="003F778A" w:rsidRDefault="008C454F" w:rsidP="008C454F">
      <w:pPr>
        <w:pStyle w:val="SingleTxt"/>
        <w:spacing w:after="0" w:line="120" w:lineRule="exact"/>
        <w:rPr>
          <w:sz w:val="10"/>
          <w:lang w:val="fr-FR"/>
        </w:rPr>
      </w:pPr>
    </w:p>
    <w:p w14:paraId="3ED9EFAC" w14:textId="77777777" w:rsidR="008C454F" w:rsidRPr="003F778A" w:rsidRDefault="008C454F" w:rsidP="008C454F">
      <w:pPr>
        <w:pStyle w:val="SingleTxt"/>
        <w:spacing w:after="0" w:line="120" w:lineRule="exact"/>
        <w:rPr>
          <w:sz w:val="10"/>
          <w:lang w:val="fr-FR"/>
        </w:rPr>
      </w:pPr>
    </w:p>
    <w:p w14:paraId="49CC7AF7"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lastRenderedPageBreak/>
        <w:tab/>
        <w:t>B.</w:t>
      </w:r>
      <w:r w:rsidRPr="003F778A">
        <w:rPr>
          <w:lang w:val="fr-FR"/>
        </w:rPr>
        <w:tab/>
        <w:t>Impact limité des politiques et programmes nationaux de lutte contre les mutilations génitales féminines</w:t>
      </w:r>
    </w:p>
    <w:p w14:paraId="44963BA2" w14:textId="77777777" w:rsidR="008C454F" w:rsidRPr="003F778A" w:rsidRDefault="008C454F" w:rsidP="008C454F">
      <w:pPr>
        <w:pStyle w:val="SingleTxt"/>
        <w:keepNext/>
        <w:spacing w:after="0" w:line="120" w:lineRule="exact"/>
        <w:rPr>
          <w:sz w:val="10"/>
          <w:lang w:val="fr-FR"/>
        </w:rPr>
      </w:pPr>
    </w:p>
    <w:p w14:paraId="527A90E3" w14:textId="77777777" w:rsidR="008C454F" w:rsidRPr="003F778A" w:rsidRDefault="008C454F" w:rsidP="008C454F">
      <w:pPr>
        <w:pStyle w:val="SingleTxt"/>
        <w:keepNext/>
        <w:spacing w:after="0" w:line="120" w:lineRule="exact"/>
        <w:rPr>
          <w:sz w:val="10"/>
          <w:lang w:val="fr-FR"/>
        </w:rPr>
      </w:pPr>
    </w:p>
    <w:p w14:paraId="431548E7" w14:textId="77777777" w:rsidR="008C454F" w:rsidRPr="003F778A" w:rsidRDefault="008C454F" w:rsidP="008C454F">
      <w:pPr>
        <w:pStyle w:val="SingleTxt"/>
        <w:numPr>
          <w:ilvl w:val="0"/>
          <w:numId w:val="44"/>
        </w:numPr>
        <w:ind w:left="1267"/>
        <w:rPr>
          <w:lang w:val="fr-FR"/>
        </w:rPr>
      </w:pPr>
      <w:r w:rsidRPr="003F778A">
        <w:rPr>
          <w:lang w:val="fr-FR"/>
        </w:rPr>
        <w:t>Le Comité constate que l’État partie a consenti de nombreux efforts pour lutter contre les mutilations génitales féminines, y compris par la mise en œuvre de politiques et de programmes et la création de structures et d’organes. Ces mesures mettent l’accent, pour l’essentiel, sur la prévention et la sensibilisation aux méfaits des mutilations génitales féminines sur la santé des femmes. Le Mali a ainsi créé en 1999 un Comité national d’action de lutte contre les pratiques néfastes à la santé de la femme et de l’enfant</w:t>
      </w:r>
      <w:r w:rsidRPr="003F778A" w:rsidDel="00B4467D">
        <w:rPr>
          <w:lang w:val="fr-FR"/>
        </w:rPr>
        <w:t xml:space="preserve"> </w:t>
      </w:r>
      <w:r w:rsidRPr="003F778A">
        <w:rPr>
          <w:lang w:val="fr-FR"/>
        </w:rPr>
        <w:t xml:space="preserve">et institué en 2002 le Programme national de lutte contre la pratique de l’excision. Le Programme est principalement chargé de la coordination, du suivi et de l’évaluation de la politique et des stratégies de lutte contre les mutilations génitales féminines. Selon l’État partie, le Programme, qui dispose d’un budget de 120 millions de francs CFA, a permis la prise en charge de plus de 1 080 cas de complications dues aux mutilations génitales féminines et l’abandon de la pratique par plus de 8 000 exciseuses dans près de 1 200 villages, et ce, avec le soutien de certains responsables religieux. </w:t>
      </w:r>
    </w:p>
    <w:p w14:paraId="229AAA19" w14:textId="77777777" w:rsidR="008C454F" w:rsidRPr="003F778A" w:rsidRDefault="008C454F" w:rsidP="008C454F">
      <w:pPr>
        <w:pStyle w:val="SingleTxt"/>
        <w:numPr>
          <w:ilvl w:val="0"/>
          <w:numId w:val="44"/>
        </w:numPr>
        <w:ind w:left="1267"/>
        <w:rPr>
          <w:lang w:val="fr-FR"/>
        </w:rPr>
      </w:pPr>
      <w:r w:rsidRPr="003F778A">
        <w:rPr>
          <w:lang w:val="fr-FR"/>
        </w:rPr>
        <w:t xml:space="preserve">Une politique nationale pour l’abandon des mutilations génitales féminines a été élaborée en 2010, assortie de plans d’action nationaux pour les périodes 2010-2014 et 2015-2019. Le Ministère de la promotion de la femme, de l’enfant et de la famille a également développé un plan stratégique de communication pour l’abandon des mutilations génitales féminines pour la période 2016-2018, ainsi qu’une stratégie nationale de communication holistique sur les violences basées sur le genre pour 2018-2027, qui inclut la question des mutilations génitales féminines. Plusieurs campagnes publiques de sensibilisation contre ces mutilations ont également été menées, et des cours types sur cette pratique sont dispensés dans les écoles. </w:t>
      </w:r>
    </w:p>
    <w:p w14:paraId="227C554E" w14:textId="77777777" w:rsidR="008C454F" w:rsidRPr="003F778A" w:rsidRDefault="008C454F" w:rsidP="008C454F">
      <w:pPr>
        <w:pStyle w:val="SingleTxt"/>
        <w:numPr>
          <w:ilvl w:val="0"/>
          <w:numId w:val="44"/>
        </w:numPr>
        <w:ind w:left="1267"/>
        <w:rPr>
          <w:lang w:val="fr-FR"/>
        </w:rPr>
      </w:pPr>
      <w:r w:rsidRPr="003F778A">
        <w:rPr>
          <w:lang w:val="fr-FR"/>
        </w:rPr>
        <w:t xml:space="preserve">Les expertes désignées ont constaté que les ONG étaient particulièrement actives dans la lutte contre les mutilations génitales féminines, y compris en matière de sensibilisation. La MINUSMA, l’Entité des Nations Unies pour l’égalité des sexes et l’autonomisation des femmes (ONU-Femmes), le Haut-Commissariat des Nations Unies aux droits de l’homme et certains organismes des Nations Unies, comme le Fonds des Nations Unies pour la population et le Fonds des Nations Unies pour l’enfance octroient également un soutien aux efforts en vue de l’élimination des mutilations génitales féminines. </w:t>
      </w:r>
    </w:p>
    <w:p w14:paraId="16E14B1C" w14:textId="77777777" w:rsidR="008C454F" w:rsidRPr="003F778A" w:rsidRDefault="008C454F" w:rsidP="008C454F">
      <w:pPr>
        <w:pStyle w:val="SingleTxt"/>
        <w:numPr>
          <w:ilvl w:val="0"/>
          <w:numId w:val="44"/>
        </w:numPr>
        <w:ind w:left="1267"/>
        <w:rPr>
          <w:lang w:val="fr-FR"/>
        </w:rPr>
      </w:pPr>
      <w:r w:rsidRPr="003F778A">
        <w:rPr>
          <w:lang w:val="fr-FR"/>
        </w:rPr>
        <w:t>Le Comité constate que les politiques et les programmes mis en œuvre n’ont pas abouti à</w:t>
      </w:r>
      <w:r w:rsidRPr="003F778A" w:rsidDel="00274553">
        <w:rPr>
          <w:lang w:val="fr-FR"/>
        </w:rPr>
        <w:t xml:space="preserve"> </w:t>
      </w:r>
      <w:r w:rsidRPr="003F778A">
        <w:rPr>
          <w:lang w:val="fr-FR"/>
        </w:rPr>
        <w:t xml:space="preserve">des résultats conséquents. Plusieurs ONG ont ainsi déploré l’inefficacité du programme national de lutte contre la pratique de l’excision, et les organismes des Nations Unies rencontrés ont indiqué que les programmes, particulièrement ceux consacrés au soutien des victimes, étaient insuffisants, en dépit des efforts consentis et du soutien de la communauté internationale. Par ailleurs, les personnes souffrant de séquelles des mutilations génitales féminines doivent payer les services de prise en charge dans les hôpitaux publics, alors que ces mêmes soins sont dispensés gratuitement dans les centres tenus par les ONG. En outre, les organismes des Nations Unies ont indiqué qu’il était difficile de vérifier dans quelle mesure les déclarations publiques d’abandon de la pratique des mutilations génitales féminines dans les villages rapportées par le programme reflétaient la réalité. </w:t>
      </w:r>
    </w:p>
    <w:p w14:paraId="5C0B265F" w14:textId="77777777" w:rsidR="008C454F" w:rsidRPr="003F778A" w:rsidRDefault="008C454F" w:rsidP="008C454F">
      <w:pPr>
        <w:pStyle w:val="SingleTxt"/>
        <w:numPr>
          <w:ilvl w:val="0"/>
          <w:numId w:val="44"/>
        </w:numPr>
        <w:ind w:left="1267"/>
        <w:rPr>
          <w:lang w:val="fr-FR"/>
        </w:rPr>
      </w:pPr>
      <w:r w:rsidRPr="003F778A">
        <w:rPr>
          <w:lang w:val="fr-FR"/>
        </w:rPr>
        <w:t xml:space="preserve">Le Comité constate que le programme national de lutte contre la pratique de l’excision manque de ressources humaines, matérielles et financières. Il constate également un manque de coordination dans la mise en œuvre des programmes de lutte contre les mutilations génitales féminines, une absence de mesures continues, ainsi qu’une déconnexion entre les autorités centrales et locales. Ainsi, à Mopti, le gouvernorat ne semblait pas être au courant de l’ensemble des activités mises en </w:t>
      </w:r>
      <w:r w:rsidRPr="003F778A">
        <w:rPr>
          <w:lang w:val="fr-FR"/>
        </w:rPr>
        <w:lastRenderedPageBreak/>
        <w:t xml:space="preserve">œuvre dans le cadre du Programme. De même, à Bamako, une ONG a indiqué que les activités du Programme se limitaient surtout à la capitale. </w:t>
      </w:r>
      <w:bookmarkStart w:id="4" w:name="_Hlk9350119"/>
      <w:r w:rsidRPr="003F778A">
        <w:rPr>
          <w:lang w:val="fr-FR"/>
        </w:rPr>
        <w:t xml:space="preserve">Le manque d’une représentation suffisante du Programme au niveau local </w:t>
      </w:r>
      <w:bookmarkEnd w:id="4"/>
      <w:r w:rsidRPr="003F778A">
        <w:rPr>
          <w:lang w:val="fr-FR"/>
        </w:rPr>
        <w:t xml:space="preserve">empêche un suivi régulier. Le Comité constate en outre que l’efficacité et l’impact des différentes mesures mises en œuvre, le coût social des mutilations génitales féminines et leur impact sur le développement du pays n’ont pas fait l’objet d’évaluations. </w:t>
      </w:r>
    </w:p>
    <w:p w14:paraId="32CBE301" w14:textId="77777777" w:rsidR="008C454F" w:rsidRPr="003F778A" w:rsidRDefault="008C454F" w:rsidP="008C454F">
      <w:pPr>
        <w:pStyle w:val="SingleTxt"/>
        <w:numPr>
          <w:ilvl w:val="0"/>
          <w:numId w:val="44"/>
        </w:numPr>
        <w:ind w:left="1267"/>
        <w:rPr>
          <w:lang w:val="fr-FR"/>
        </w:rPr>
      </w:pPr>
      <w:r w:rsidRPr="003F778A">
        <w:rPr>
          <w:lang w:val="fr-FR"/>
        </w:rPr>
        <w:t xml:space="preserve">Le Comité note que les efforts de sensibilisation ne sont pas suffisamment orientés vers les pôles de résistance, en particulier les responsables religieux opposés à l’abandon des mutilations génitales féminines. Par ailleurs, la couverture territoriale des mesures de sensibilisation reste limitée, et les actions de sensibilisation menées par l’État partie tentent d’atténuer les conséquences néfastes de la pratique au lieu de l’empêcher. De plus, les actions de sensibilisation à ces mutilations ne s’accompagnent pas toujours d’une communication sur les droits des femmes. </w:t>
      </w:r>
    </w:p>
    <w:p w14:paraId="52D064B2" w14:textId="77777777" w:rsidR="008C454F" w:rsidRPr="003F778A" w:rsidRDefault="008C454F" w:rsidP="008C454F">
      <w:pPr>
        <w:pStyle w:val="SingleTxt"/>
        <w:numPr>
          <w:ilvl w:val="0"/>
          <w:numId w:val="44"/>
        </w:numPr>
        <w:ind w:left="1267"/>
        <w:rPr>
          <w:b/>
          <w:lang w:val="fr-FR"/>
        </w:rPr>
      </w:pPr>
      <w:r w:rsidRPr="003F778A">
        <w:rPr>
          <w:lang w:val="fr-FR"/>
        </w:rPr>
        <w:t>La prise de conscience de la population concernant les conséquences néfastes des mutilations génitales féminines reste très faible. En effet, 75,2 % des femmes de 15 à 49 ans sont favorables à cette pratique</w:t>
      </w:r>
      <w:r w:rsidRPr="003F778A">
        <w:rPr>
          <w:vertAlign w:val="superscript"/>
          <w:lang w:val="fr-FR"/>
        </w:rPr>
        <w:footnoteReference w:id="23"/>
      </w:r>
      <w:r w:rsidRPr="003F778A">
        <w:rPr>
          <w:lang w:val="fr-FR"/>
        </w:rPr>
        <w:t>, et 70 % de la population déclare vouloir la maintenir</w:t>
      </w:r>
      <w:r w:rsidRPr="003F778A">
        <w:rPr>
          <w:vertAlign w:val="superscript"/>
          <w:lang w:val="fr-FR"/>
        </w:rPr>
        <w:footnoteReference w:id="24"/>
      </w:r>
      <w:r w:rsidRPr="003F778A">
        <w:rPr>
          <w:lang w:val="fr-FR"/>
        </w:rPr>
        <w:t>. Les stéréotypes et préjugés sexistes et discriminatoires à l’origine de cette pratique n’ont par ailleurs pas fait l’objet de mesures de sensibilisation et de prévention ciblées pour aboutir à un changement des comportements. En outre, seules 15,7 % des femmes étaient au courant des conséquences néfastes des mutilations génitales sur leur santé</w:t>
      </w:r>
      <w:r w:rsidRPr="003F778A">
        <w:rPr>
          <w:vertAlign w:val="superscript"/>
          <w:lang w:val="fr-FR"/>
        </w:rPr>
        <w:footnoteReference w:id="25"/>
      </w:r>
      <w:r w:rsidRPr="003F778A">
        <w:rPr>
          <w:lang w:val="fr-FR"/>
        </w:rPr>
        <w:t xml:space="preserve">. </w:t>
      </w:r>
    </w:p>
    <w:p w14:paraId="1FB3D782" w14:textId="77777777" w:rsidR="008C454F" w:rsidRPr="003F778A" w:rsidRDefault="008C454F" w:rsidP="008C454F">
      <w:pPr>
        <w:pStyle w:val="SingleTxt"/>
        <w:spacing w:after="0" w:line="120" w:lineRule="exact"/>
        <w:rPr>
          <w:sz w:val="10"/>
          <w:lang w:val="fr-FR"/>
        </w:rPr>
      </w:pPr>
    </w:p>
    <w:p w14:paraId="515F5DB5" w14:textId="77777777" w:rsidR="008C454F" w:rsidRPr="003F778A" w:rsidRDefault="008C454F" w:rsidP="008C454F">
      <w:pPr>
        <w:pStyle w:val="SingleTxt"/>
        <w:spacing w:after="0" w:line="120" w:lineRule="exact"/>
        <w:rPr>
          <w:sz w:val="10"/>
          <w:lang w:val="fr-FR"/>
        </w:rPr>
      </w:pPr>
    </w:p>
    <w:p w14:paraId="529ACD88"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C.</w:t>
      </w:r>
      <w:r w:rsidRPr="003F778A">
        <w:rPr>
          <w:lang w:val="fr-FR"/>
        </w:rPr>
        <w:tab/>
        <w:t>Absence de cadre législatif criminalisant les mutilations génitales féminines</w:t>
      </w:r>
    </w:p>
    <w:p w14:paraId="17CBC003" w14:textId="77777777" w:rsidR="008C454F" w:rsidRPr="003F778A" w:rsidRDefault="008C454F" w:rsidP="008C454F">
      <w:pPr>
        <w:pStyle w:val="SingleTxt"/>
        <w:spacing w:after="0" w:line="120" w:lineRule="exact"/>
        <w:rPr>
          <w:sz w:val="10"/>
          <w:lang w:val="fr-FR"/>
        </w:rPr>
      </w:pPr>
    </w:p>
    <w:p w14:paraId="7E91F240" w14:textId="77777777" w:rsidR="008C454F" w:rsidRPr="003F778A" w:rsidRDefault="008C454F" w:rsidP="008C454F">
      <w:pPr>
        <w:pStyle w:val="SingleTxt"/>
        <w:spacing w:after="0" w:line="120" w:lineRule="exact"/>
        <w:rPr>
          <w:sz w:val="10"/>
          <w:lang w:val="fr-FR"/>
        </w:rPr>
      </w:pPr>
    </w:p>
    <w:p w14:paraId="4007862C"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1.</w:t>
      </w:r>
      <w:r w:rsidRPr="003F778A">
        <w:rPr>
          <w:lang w:val="fr-FR"/>
        </w:rPr>
        <w:tab/>
        <w:t>Tentatives législatives avortées et avant-projet de loi relatif aux violences basées sur le genre, y compris les mutilations génitales féminines</w:t>
      </w:r>
    </w:p>
    <w:p w14:paraId="7BB328D0" w14:textId="77777777" w:rsidR="008C454F" w:rsidRPr="003F778A" w:rsidRDefault="008C454F" w:rsidP="008C454F">
      <w:pPr>
        <w:pStyle w:val="SingleTxt"/>
        <w:spacing w:after="0" w:line="120" w:lineRule="exact"/>
        <w:rPr>
          <w:sz w:val="10"/>
          <w:lang w:val="fr-FR"/>
        </w:rPr>
      </w:pPr>
    </w:p>
    <w:p w14:paraId="2331A3CF" w14:textId="77777777" w:rsidR="008C454F" w:rsidRPr="003F778A" w:rsidRDefault="008C454F" w:rsidP="008C454F">
      <w:pPr>
        <w:pStyle w:val="SingleTxt"/>
        <w:numPr>
          <w:ilvl w:val="0"/>
          <w:numId w:val="44"/>
        </w:numPr>
        <w:ind w:left="1267"/>
        <w:rPr>
          <w:lang w:val="fr-FR"/>
        </w:rPr>
      </w:pPr>
      <w:r w:rsidRPr="003F778A">
        <w:rPr>
          <w:lang w:val="fr-FR"/>
        </w:rPr>
        <w:t xml:space="preserve">En 2002, le Ministre de la santé et la Ministre de la promotion de la femme, de l’enfant et de la famille ont proposé un avant-projet de loi contre l’excision qui a été rejeté par les responsables religieux musulmans siégeant au Parlement. En 2009, un autre projet de loi bénéficiant du soutien d’un groupe significatif de parlementaires a été proposé par le Gouvernement sans non plus aboutir, en raison de l’opposition de certains responsables religieux. </w:t>
      </w:r>
    </w:p>
    <w:p w14:paraId="4265F392" w14:textId="77777777" w:rsidR="008C454F" w:rsidRPr="003F778A" w:rsidRDefault="008C454F" w:rsidP="008C454F">
      <w:pPr>
        <w:pStyle w:val="SingleTxt"/>
        <w:numPr>
          <w:ilvl w:val="0"/>
          <w:numId w:val="44"/>
        </w:numPr>
        <w:ind w:left="1267"/>
        <w:rPr>
          <w:lang w:val="fr-FR"/>
        </w:rPr>
      </w:pPr>
      <w:r w:rsidRPr="003F778A">
        <w:rPr>
          <w:lang w:val="fr-FR"/>
        </w:rPr>
        <w:t>Les discussions concernant l’adoption d’une loi contre les mutilations génitales féminines ont ensuite été quelque peu éclipsées par les contestations liées à la réforme, en 2009, du Code de la famille. En 2017, un avant-projet de loi portant sur la prévention, répression et prise en charge des victimes de violences basées sur le genre et criminalisant la pratique des mutilations génitales féminines est élaboré sous l’égide du Ministère de la justice et repris ensuite par le Ministère de la promotion de la femme, de l’enfant et de la famille. Le texte insère les mutilations génitales féminines dans un cadre réglementaire global portant sur les violences basées sur le genre, contrairement aux textes précédents qui se focalisaient sur la pratique de l’excision.</w:t>
      </w:r>
    </w:p>
    <w:p w14:paraId="5C3E0ACB" w14:textId="77777777" w:rsidR="008C454F" w:rsidRPr="003F778A" w:rsidRDefault="008C454F" w:rsidP="008C454F">
      <w:pPr>
        <w:pStyle w:val="SingleTxt"/>
        <w:numPr>
          <w:ilvl w:val="0"/>
          <w:numId w:val="44"/>
        </w:numPr>
        <w:ind w:left="1267"/>
        <w:rPr>
          <w:lang w:val="fr-FR"/>
        </w:rPr>
      </w:pPr>
      <w:r w:rsidRPr="003F778A">
        <w:rPr>
          <w:lang w:val="fr-FR"/>
        </w:rPr>
        <w:t xml:space="preserve">Selon la Commission nationale des droits de l’homme et les ONG, le processus d’élaboration du projet de loi a été inclusif. En effet, le Ministère de la justice, le Ministère de la promotion de la femme, de l’enfant et de la famille, les ONG, les </w:t>
      </w:r>
      <w:r w:rsidRPr="003F778A">
        <w:rPr>
          <w:lang w:val="fr-FR"/>
        </w:rPr>
        <w:lastRenderedPageBreak/>
        <w:t>associations de défense de la femme, les parlementaires et certains organismes des Nations Unies y ont contribué. Malgré le consensus des parties prenantes, le projet de loi sur les violences basées sur le genre, y compris les mutilations génitales féminines, n’a pas encore été adopté. Plusieurs interlocuteurs ont par ailleurs mentionné aux expertes désignées l’Initiative Spotlight, destinée à soutenir financièrement les efforts du Mali dans la lutte contre les violences basées sur le genre.</w:t>
      </w:r>
    </w:p>
    <w:p w14:paraId="5330F705" w14:textId="77777777" w:rsidR="008C454F" w:rsidRPr="003F778A" w:rsidRDefault="008C454F" w:rsidP="008C454F">
      <w:pPr>
        <w:pStyle w:val="SingleTxt"/>
        <w:numPr>
          <w:ilvl w:val="0"/>
          <w:numId w:val="44"/>
        </w:numPr>
        <w:ind w:left="1267"/>
        <w:rPr>
          <w:lang w:val="fr-FR"/>
        </w:rPr>
      </w:pPr>
      <w:r w:rsidRPr="003F778A">
        <w:rPr>
          <w:lang w:val="fr-FR"/>
        </w:rPr>
        <w:t xml:space="preserve">Selon le texte de l’avant-projet de loi sur les violences basées sur le genre, une mutilation génitale féminine est toute intervention aboutissant à une lésion ou ablation partielle ou totale des organes génitaux externes de la femme ou toute autre mutilation des organes génitaux féminins pour raison autre que médicale. </w:t>
      </w:r>
    </w:p>
    <w:p w14:paraId="18815C87" w14:textId="77777777" w:rsidR="008C454F" w:rsidRPr="003F778A" w:rsidRDefault="008C454F" w:rsidP="008C454F">
      <w:pPr>
        <w:pStyle w:val="SingleTxt"/>
        <w:numPr>
          <w:ilvl w:val="0"/>
          <w:numId w:val="44"/>
        </w:numPr>
        <w:ind w:left="1267"/>
        <w:rPr>
          <w:lang w:val="fr-FR"/>
        </w:rPr>
      </w:pPr>
      <w:r w:rsidRPr="003F778A">
        <w:rPr>
          <w:lang w:val="fr-FR"/>
        </w:rPr>
        <w:t xml:space="preserve">Concernant les peines applicables, le texte stipule que quiconque procède à une mutilation génitale féminine, la facilite, s’en rend complice ou omet de porter assistance à une femme ou à une fille subissant une mutilation génitale sera puni d’une peine d’emprisonnement de cinq à dix ans et, facultativement, d’une amende de 3 millions à 5 millions de francs CFA. Quiconque a connaissance de l’imminence de l’accomplissement de ce crime sans prévenir les autorités sera puni d’une peine d’emprisonnement de six mois à deux ans ou, facultativement, d’une amende de 500 000 à 1 million de francs CFA. La mort de la victime, les complications liées aux mutilations génitales féminines ainsi que la pratique régulière ou à des fins commerciales des mutilations génitales féminines constituent des circonstances aggravantes, selon le texte. Enfin, le délai de prescription de l’action publique prévue par le texte est de trente ans à compter du jour où le crime a été commis. </w:t>
      </w:r>
    </w:p>
    <w:p w14:paraId="35C75520" w14:textId="3A65AC54" w:rsidR="008C454F" w:rsidRPr="003F778A" w:rsidRDefault="008C454F" w:rsidP="008C454F">
      <w:pPr>
        <w:pStyle w:val="SingleTxt"/>
        <w:numPr>
          <w:ilvl w:val="0"/>
          <w:numId w:val="44"/>
        </w:numPr>
        <w:ind w:left="1267"/>
        <w:rPr>
          <w:lang w:val="fr-FR"/>
        </w:rPr>
      </w:pPr>
      <w:r w:rsidRPr="003F778A">
        <w:rPr>
          <w:lang w:val="fr-FR"/>
        </w:rPr>
        <w:t>En Afrique de l’Ouest, la majorité des pays ont adopté des lois interdisant les mutilations génitales féminines, notamment le Bénin, le Burkina Faso, la Côte d’Ivoire, la Gambie, le Ghana, la Guinée, la Guinée-Bissau, la Mauritanie, le Niger, le Nigéria, le Sénégal et le Togo. Selon le Haut-Commissariat des Nations Unies aux droits de l’homme, les études menées font état d’une baisse importante de la prévalence dans les États qui sanctionnent pénalement la mutilation génitale féminine et dans lesquels les sanctions sont appliquées (</w:t>
      </w:r>
      <w:hyperlink r:id="rId15" w:history="1">
        <w:r w:rsidRPr="0014315A">
          <w:rPr>
            <w:rStyle w:val="Hyperlink"/>
            <w:lang w:val="fr-FR"/>
          </w:rPr>
          <w:t>A/HRC/29/20</w:t>
        </w:r>
      </w:hyperlink>
      <w:r w:rsidRPr="003F778A">
        <w:rPr>
          <w:lang w:val="fr-FR"/>
        </w:rPr>
        <w:t xml:space="preserve"> et Corr.1, par. 13). Cependant, certaines autorités ont indiqué que l’adoption d’une loi rendrait la pratique clandestine. </w:t>
      </w:r>
    </w:p>
    <w:p w14:paraId="3B197B4D" w14:textId="77777777" w:rsidR="008C454F" w:rsidRPr="003F778A" w:rsidRDefault="008C454F" w:rsidP="008C454F">
      <w:pPr>
        <w:pStyle w:val="SingleTxt"/>
        <w:spacing w:after="0" w:line="120" w:lineRule="exact"/>
        <w:rPr>
          <w:sz w:val="10"/>
          <w:lang w:val="fr-FR"/>
        </w:rPr>
      </w:pPr>
    </w:p>
    <w:p w14:paraId="5B9C082C"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2.</w:t>
      </w:r>
      <w:r w:rsidRPr="003F778A">
        <w:rPr>
          <w:lang w:val="fr-FR"/>
        </w:rPr>
        <w:tab/>
        <w:t xml:space="preserve">Résistance des responsables religieux et insuffisance de volonté politique </w:t>
      </w:r>
    </w:p>
    <w:p w14:paraId="0BF2599A" w14:textId="77777777" w:rsidR="008C454F" w:rsidRPr="003F778A" w:rsidRDefault="008C454F" w:rsidP="008C454F">
      <w:pPr>
        <w:pStyle w:val="SingleTxt"/>
        <w:spacing w:after="0" w:line="120" w:lineRule="exact"/>
        <w:rPr>
          <w:sz w:val="10"/>
          <w:lang w:val="fr-FR"/>
        </w:rPr>
      </w:pPr>
    </w:p>
    <w:p w14:paraId="6B6425B6"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 xml:space="preserve">Opposition des responsables religieux </w:t>
      </w:r>
    </w:p>
    <w:p w14:paraId="7C079CDE" w14:textId="77777777" w:rsidR="008C454F" w:rsidRPr="003F778A" w:rsidRDefault="008C454F" w:rsidP="008C454F">
      <w:pPr>
        <w:pStyle w:val="SingleTxt"/>
        <w:spacing w:after="0" w:line="120" w:lineRule="exact"/>
        <w:rPr>
          <w:sz w:val="10"/>
          <w:lang w:val="fr-FR"/>
        </w:rPr>
      </w:pPr>
    </w:p>
    <w:p w14:paraId="4B19E443" w14:textId="77777777" w:rsidR="008C454F" w:rsidRPr="003F778A" w:rsidRDefault="008C454F" w:rsidP="008C454F">
      <w:pPr>
        <w:pStyle w:val="SingleTxt"/>
        <w:numPr>
          <w:ilvl w:val="0"/>
          <w:numId w:val="44"/>
        </w:numPr>
        <w:ind w:left="1267"/>
        <w:rPr>
          <w:lang w:val="fr-FR"/>
        </w:rPr>
      </w:pPr>
      <w:r w:rsidRPr="003F778A">
        <w:rPr>
          <w:lang w:val="fr-FR"/>
        </w:rPr>
        <w:t>La plupart des interlocuteurs gouvernementaux, les ONG et les organismes des Nations Unies ont indiqué que l’opposition des responsables religieux constituait l’un des principaux freins à l’adoption de l’avant-projet de loi sur les violences basées sur le genre, qui interdit les mutilations génitales féminines. En 2016, le Ministère de la promotion de la femme, de l’enfant et de la famille</w:t>
      </w:r>
      <w:r w:rsidRPr="003F778A" w:rsidDel="005D5C95">
        <w:rPr>
          <w:lang w:val="fr-FR"/>
        </w:rPr>
        <w:t xml:space="preserve"> </w:t>
      </w:r>
      <w:r w:rsidRPr="003F778A">
        <w:rPr>
          <w:lang w:val="fr-FR"/>
        </w:rPr>
        <w:t>a identifié le Haut Conseil islamique, l’Association malienne pour l’unité et le progrès de l’islam, et l’Association malienne des écoles coraniques parmi les forces opposées à l’adoption d’une loi contre les violences basées sur le genre, y compris les mutilations génitales féminines. Toutefois, selon certains observateurs, la capacité des responsables religieux à peser sur les décisions politiques doit être relativisée.</w:t>
      </w:r>
    </w:p>
    <w:p w14:paraId="3B56C2AB" w14:textId="77777777" w:rsidR="008C454F" w:rsidRPr="003F778A" w:rsidRDefault="008C454F" w:rsidP="008C454F">
      <w:pPr>
        <w:pStyle w:val="SingleTxt"/>
        <w:numPr>
          <w:ilvl w:val="0"/>
          <w:numId w:val="44"/>
        </w:numPr>
        <w:ind w:left="1267"/>
        <w:rPr>
          <w:lang w:val="fr-FR"/>
        </w:rPr>
      </w:pPr>
      <w:r w:rsidRPr="003F778A">
        <w:rPr>
          <w:lang w:val="fr-FR"/>
        </w:rPr>
        <w:t xml:space="preserve">Si certains responsables religieux ont soutenu l’adoption d’une loi, ceux rencontrés à Mopti ont souligné l’importance d’éviter l’intervention du législateur dans la sphère religieuse et aux fins de réguler le comportement des communautés. Un responsable religieux a mis en garde contre le fait que l’adoption de la loi pourrait entraîner des dysfonctionnements au sein du pays. Les responsables religieux et communautaires rencontrés à Bamako ont par ailleurs déploré l’absence de </w:t>
      </w:r>
      <w:r w:rsidRPr="003F778A">
        <w:rPr>
          <w:lang w:val="fr-FR"/>
        </w:rPr>
        <w:lastRenderedPageBreak/>
        <w:t>consultation des responsables religieux et indiqué que la lutte contre les mutilations génitales féminines constituait une attaque contre leur religion et leur culture.</w:t>
      </w:r>
    </w:p>
    <w:p w14:paraId="0A76FC48" w14:textId="77777777" w:rsidR="008C454F" w:rsidRPr="003F778A" w:rsidRDefault="008C454F" w:rsidP="008C454F">
      <w:pPr>
        <w:pStyle w:val="SingleTxt"/>
        <w:numPr>
          <w:ilvl w:val="0"/>
          <w:numId w:val="44"/>
        </w:numPr>
        <w:ind w:left="1267"/>
        <w:rPr>
          <w:lang w:val="fr-FR"/>
        </w:rPr>
      </w:pPr>
      <w:r w:rsidRPr="003F778A">
        <w:rPr>
          <w:lang w:val="fr-FR"/>
        </w:rPr>
        <w:t>Selon le Ministère des affaires religieuses et du culte, l’implication et l’adhésion des responsables religieux sont des conditions nécessaires à l’adoption de l’avant-projet de loi sur les violences basées sur le genre, y compris les mutilations génitales féminines.</w:t>
      </w:r>
    </w:p>
    <w:p w14:paraId="11B907B0" w14:textId="77777777" w:rsidR="008C454F" w:rsidRPr="003F778A" w:rsidRDefault="008C454F" w:rsidP="008C454F">
      <w:pPr>
        <w:pStyle w:val="SingleTxt"/>
        <w:spacing w:after="0" w:line="120" w:lineRule="exact"/>
        <w:rPr>
          <w:b/>
          <w:bCs/>
          <w:sz w:val="10"/>
          <w:lang w:val="fr-FR"/>
        </w:rPr>
      </w:pPr>
    </w:p>
    <w:p w14:paraId="0268A0E4"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Volonté politique insuffisante</w:t>
      </w:r>
    </w:p>
    <w:p w14:paraId="02F0F5EA" w14:textId="77777777" w:rsidR="008C454F" w:rsidRPr="003F778A" w:rsidRDefault="008C454F" w:rsidP="008C454F">
      <w:pPr>
        <w:pStyle w:val="SingleTxt"/>
        <w:spacing w:after="0" w:line="120" w:lineRule="exact"/>
        <w:rPr>
          <w:b/>
          <w:bCs/>
          <w:sz w:val="10"/>
          <w:lang w:val="fr-FR"/>
        </w:rPr>
      </w:pPr>
    </w:p>
    <w:p w14:paraId="7116D67E" w14:textId="77777777" w:rsidR="008C454F" w:rsidRPr="003F778A" w:rsidRDefault="008C454F" w:rsidP="008C454F">
      <w:pPr>
        <w:pStyle w:val="SingleTxt"/>
        <w:numPr>
          <w:ilvl w:val="0"/>
          <w:numId w:val="44"/>
        </w:numPr>
        <w:ind w:left="1267"/>
        <w:rPr>
          <w:lang w:val="fr-FR"/>
        </w:rPr>
      </w:pPr>
      <w:r w:rsidRPr="003F778A">
        <w:rPr>
          <w:lang w:val="fr-FR"/>
        </w:rPr>
        <w:t xml:space="preserve">Selon plusieurs interlocuteurs, la volonté politique réelle de l’État partie pour faire avancer le projet de loi fait défaut. En comparaison, ces interlocuteurs ont souligné qu’en 2015, le Gouvernement avait fait adopter la loi instituant des mesures temporaires spéciales pour promouvoir le genre dans l’accès aux fonctions nominatives et électives, et ce, en dépit de l’opposition des responsables religieux. De même, le Gouvernement a travaillé étroitement avec les responsables religieux sur la loi relative au VIH/sida. </w:t>
      </w:r>
    </w:p>
    <w:p w14:paraId="142F915D" w14:textId="77777777" w:rsidR="008C454F" w:rsidRPr="003F778A" w:rsidRDefault="008C454F" w:rsidP="008C454F">
      <w:pPr>
        <w:pStyle w:val="SingleTxt"/>
        <w:numPr>
          <w:ilvl w:val="0"/>
          <w:numId w:val="44"/>
        </w:numPr>
        <w:ind w:left="1267"/>
        <w:rPr>
          <w:lang w:val="fr-FR"/>
        </w:rPr>
      </w:pPr>
      <w:r w:rsidRPr="003F778A">
        <w:rPr>
          <w:lang w:val="fr-FR"/>
        </w:rPr>
        <w:t>Malgré les assurances données par différents ministères, y compris le Ministère de la promotion de la femme, de l’enfant et de la famille, le Ministère de la justice et le Ministère des affaires religieuses et du culte</w:t>
      </w:r>
      <w:r w:rsidRPr="003F778A" w:rsidDel="00275B4A">
        <w:rPr>
          <w:lang w:val="fr-FR"/>
        </w:rPr>
        <w:t xml:space="preserve"> </w:t>
      </w:r>
      <w:r w:rsidRPr="003F778A">
        <w:rPr>
          <w:lang w:val="fr-FR"/>
        </w:rPr>
        <w:t xml:space="preserve">quant à l’adoption de la loi en 2019, le Comité note que la décision politique de soumettre le texte de l’avant-projet de loi à l’ordre du jour du Conseil des ministres n’a pas été prise par le Premier Ministre et qu’aucun calendrier législatif n’est prévu pour son adoption par l’actuelle législature. </w:t>
      </w:r>
    </w:p>
    <w:p w14:paraId="7FE856DA" w14:textId="77777777" w:rsidR="008C454F" w:rsidRPr="003F778A" w:rsidRDefault="008C454F" w:rsidP="008C454F">
      <w:pPr>
        <w:pStyle w:val="SingleTxt"/>
        <w:numPr>
          <w:ilvl w:val="0"/>
          <w:numId w:val="44"/>
        </w:numPr>
        <w:ind w:left="1267"/>
        <w:rPr>
          <w:lang w:val="fr-FR"/>
        </w:rPr>
      </w:pPr>
      <w:r w:rsidRPr="003F778A">
        <w:rPr>
          <w:lang w:val="fr-FR"/>
        </w:rPr>
        <w:t>Au vu de ces éléments d’information, le Comité constate qu’il y a un manque de volonté politique de la part de l’État partie d’adopter prioritairement la loi contre les violences basées sur le genre criminalisant les mutilations génitales féminines.</w:t>
      </w:r>
    </w:p>
    <w:p w14:paraId="0F58E0A2" w14:textId="77777777" w:rsidR="008C454F" w:rsidRPr="003F778A" w:rsidRDefault="008C454F" w:rsidP="008C454F">
      <w:pPr>
        <w:pStyle w:val="SingleTxt"/>
        <w:spacing w:after="0" w:line="120" w:lineRule="exact"/>
        <w:rPr>
          <w:sz w:val="10"/>
          <w:lang w:val="fr-FR"/>
        </w:rPr>
      </w:pPr>
    </w:p>
    <w:p w14:paraId="5FAE6F02" w14:textId="77777777" w:rsidR="008C454F" w:rsidRPr="003F778A" w:rsidRDefault="008C454F" w:rsidP="008C454F">
      <w:pPr>
        <w:pStyle w:val="SingleTxt"/>
        <w:spacing w:after="0" w:line="120" w:lineRule="exact"/>
        <w:rPr>
          <w:sz w:val="10"/>
          <w:lang w:val="fr-FR"/>
        </w:rPr>
      </w:pPr>
    </w:p>
    <w:p w14:paraId="41E5767E"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VIII.</w:t>
      </w:r>
      <w:r w:rsidRPr="003F778A">
        <w:rPr>
          <w:lang w:val="fr-FR"/>
        </w:rPr>
        <w:tab/>
        <w:t>Conclusions juridiques</w:t>
      </w:r>
    </w:p>
    <w:p w14:paraId="1AFFA6A7" w14:textId="77777777" w:rsidR="008C454F" w:rsidRPr="003F778A" w:rsidRDefault="008C454F" w:rsidP="008C454F">
      <w:pPr>
        <w:pStyle w:val="SingleTxt"/>
        <w:spacing w:after="0" w:line="120" w:lineRule="exact"/>
        <w:rPr>
          <w:sz w:val="10"/>
          <w:lang w:val="fr-FR"/>
        </w:rPr>
      </w:pPr>
    </w:p>
    <w:p w14:paraId="5CA91734" w14:textId="77777777" w:rsidR="008C454F" w:rsidRPr="003F778A" w:rsidRDefault="008C454F" w:rsidP="008C454F">
      <w:pPr>
        <w:pStyle w:val="SingleTxt"/>
        <w:spacing w:after="0" w:line="120" w:lineRule="exact"/>
        <w:rPr>
          <w:sz w:val="10"/>
          <w:lang w:val="fr-FR"/>
        </w:rPr>
      </w:pPr>
    </w:p>
    <w:p w14:paraId="5DEC0B1E"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 xml:space="preserve">Obligations de l’État partie découlant de la Convention </w:t>
      </w:r>
      <w:r w:rsidRPr="003F778A">
        <w:rPr>
          <w:lang w:val="fr-FR"/>
        </w:rPr>
        <w:br/>
        <w:t>en ce qui concerne les mutilations génitales féminines</w:t>
      </w:r>
    </w:p>
    <w:p w14:paraId="437366F3" w14:textId="77777777" w:rsidR="008C454F" w:rsidRPr="003F778A" w:rsidRDefault="008C454F" w:rsidP="008C454F">
      <w:pPr>
        <w:pStyle w:val="SingleTxt"/>
        <w:spacing w:after="0" w:line="120" w:lineRule="exact"/>
        <w:rPr>
          <w:sz w:val="10"/>
          <w:lang w:val="fr-FR"/>
        </w:rPr>
      </w:pPr>
    </w:p>
    <w:p w14:paraId="3D414514" w14:textId="77777777" w:rsidR="008C454F" w:rsidRPr="003F778A" w:rsidRDefault="008C454F" w:rsidP="008C454F">
      <w:pPr>
        <w:pStyle w:val="SingleTxt"/>
        <w:spacing w:after="0" w:line="120" w:lineRule="exact"/>
        <w:rPr>
          <w:sz w:val="10"/>
          <w:lang w:val="fr-FR"/>
        </w:rPr>
      </w:pPr>
    </w:p>
    <w:p w14:paraId="0C03F114" w14:textId="77777777" w:rsidR="008C454F" w:rsidRPr="003F778A" w:rsidRDefault="008C454F" w:rsidP="008C454F">
      <w:pPr>
        <w:pStyle w:val="SingleTxt"/>
        <w:numPr>
          <w:ilvl w:val="0"/>
          <w:numId w:val="44"/>
        </w:numPr>
        <w:ind w:left="1267"/>
        <w:rPr>
          <w:lang w:val="fr-FR"/>
        </w:rPr>
      </w:pPr>
      <w:r w:rsidRPr="003F778A">
        <w:rPr>
          <w:lang w:val="fr-FR"/>
        </w:rPr>
        <w:t>Aux termes de la Convention et de la recommandation générale/observation générale conjointe n</w:t>
      </w:r>
      <w:r w:rsidRPr="003F778A">
        <w:rPr>
          <w:vertAlign w:val="superscript"/>
          <w:lang w:val="fr-FR"/>
        </w:rPr>
        <w:t>o</w:t>
      </w:r>
      <w:r w:rsidRPr="003F778A">
        <w:rPr>
          <w:lang w:val="fr-FR"/>
        </w:rPr>
        <w:t> 31 du Comité pour l’élimination de la discrimination à l’égard des femmes et n</w:t>
      </w:r>
      <w:r w:rsidRPr="003F778A">
        <w:rPr>
          <w:vertAlign w:val="superscript"/>
          <w:lang w:val="fr-FR"/>
        </w:rPr>
        <w:t>o</w:t>
      </w:r>
      <w:r w:rsidRPr="003F778A">
        <w:rPr>
          <w:lang w:val="fr-FR"/>
        </w:rPr>
        <w:t> 18 du Comité des droits de l’enfant (2014) sur les pratiques préjudiciables (ci-après « recommandation générale/observation générale conjointe n</w:t>
      </w:r>
      <w:r w:rsidRPr="003F778A">
        <w:rPr>
          <w:vertAlign w:val="superscript"/>
          <w:lang w:val="fr-FR"/>
        </w:rPr>
        <w:t>o</w:t>
      </w:r>
      <w:r w:rsidRPr="003F778A">
        <w:rPr>
          <w:lang w:val="fr-FR"/>
        </w:rPr>
        <w:t> 31 et n</w:t>
      </w:r>
      <w:r w:rsidRPr="003F778A">
        <w:rPr>
          <w:vertAlign w:val="superscript"/>
          <w:lang w:val="fr-FR"/>
        </w:rPr>
        <w:t>o</w:t>
      </w:r>
      <w:r w:rsidRPr="003F778A">
        <w:rPr>
          <w:lang w:val="fr-FR"/>
        </w:rPr>
        <w:t xml:space="preserve"> 18 »), les </w:t>
      </w:r>
      <w:bookmarkStart w:id="5" w:name="_Hlk30082790"/>
      <w:r w:rsidRPr="003F778A">
        <w:rPr>
          <w:lang w:val="fr-FR"/>
        </w:rPr>
        <w:t xml:space="preserve">mutilations génitales féminines </w:t>
      </w:r>
      <w:bookmarkEnd w:id="5"/>
      <w:r w:rsidRPr="003F778A">
        <w:rPr>
          <w:lang w:val="fr-FR"/>
        </w:rPr>
        <w:t>sont une pratique préjudiciable et une violence fondée sur le genre</w:t>
      </w:r>
      <w:r w:rsidRPr="003F778A">
        <w:rPr>
          <w:vertAlign w:val="superscript"/>
          <w:lang w:val="fr-FR"/>
        </w:rPr>
        <w:footnoteReference w:id="26"/>
      </w:r>
      <w:r w:rsidRPr="003F778A">
        <w:rPr>
          <w:lang w:val="fr-FR"/>
        </w:rPr>
        <w:t xml:space="preserve"> qui constitue une discrimination à l’égard des femmes. Cette pratique est constitutive d’une violation des droits qui sont garantis aux femmes et aux filles par la Convention, à savoir le droit de vivre à l’abri de la violence sexiste, des préjugés et des pratiques coutumières préjudiciables, le droit d’accéder à la justice, le droit à la santé et le droit au mariage</w:t>
      </w:r>
      <w:r w:rsidRPr="003F778A">
        <w:rPr>
          <w:vertAlign w:val="superscript"/>
          <w:lang w:val="fr-FR"/>
        </w:rPr>
        <w:footnoteReference w:id="27"/>
      </w:r>
      <w:r w:rsidRPr="003F778A">
        <w:rPr>
          <w:lang w:val="fr-FR"/>
        </w:rPr>
        <w:t xml:space="preserve">. </w:t>
      </w:r>
    </w:p>
    <w:p w14:paraId="0E443375" w14:textId="77777777" w:rsidR="008C454F" w:rsidRPr="003F778A" w:rsidRDefault="008C454F" w:rsidP="008C454F">
      <w:pPr>
        <w:pStyle w:val="SingleTxt"/>
        <w:numPr>
          <w:ilvl w:val="0"/>
          <w:numId w:val="44"/>
        </w:numPr>
        <w:ind w:left="1267"/>
        <w:rPr>
          <w:lang w:val="fr-FR"/>
        </w:rPr>
      </w:pPr>
      <w:r w:rsidRPr="003F778A">
        <w:rPr>
          <w:lang w:val="fr-FR"/>
        </w:rPr>
        <w:t>En vertu de l’article 2 de la Convention, les États parties sont tenus de ne pas faire naître de discrimination à l’égard des femmes par leurs actions ou leur passivité, et de réagir activement contre de telles discriminations, qu’elles soient le fait d’un acte ou d’une omission de l’État partie ou d’un acteur privé</w:t>
      </w:r>
      <w:r w:rsidRPr="003F778A">
        <w:rPr>
          <w:vertAlign w:val="superscript"/>
          <w:lang w:val="fr-FR"/>
        </w:rPr>
        <w:footnoteReference w:id="28"/>
      </w:r>
      <w:r w:rsidRPr="003F778A">
        <w:rPr>
          <w:lang w:val="fr-FR"/>
        </w:rPr>
        <w:t xml:space="preserve">. La discrimination peut </w:t>
      </w:r>
      <w:r w:rsidRPr="003F778A">
        <w:rPr>
          <w:lang w:val="fr-FR"/>
        </w:rPr>
        <w:lastRenderedPageBreak/>
        <w:t>apparaître quand les États parties omettent de prendre les dispositions législatives nécessaires pour garantir la pleine réalisation des droits des femmes</w:t>
      </w:r>
      <w:r w:rsidRPr="003F778A">
        <w:rPr>
          <w:vertAlign w:val="superscript"/>
          <w:lang w:val="fr-FR"/>
        </w:rPr>
        <w:footnoteReference w:id="29"/>
      </w:r>
      <w:r w:rsidRPr="003F778A">
        <w:rPr>
          <w:lang w:val="fr-FR"/>
        </w:rPr>
        <w:t>. Les États parties ont un devoir de diligence qui leur impose d’adopter des lois et de veiller à ce que celles-ci soient mises en œuvre pour répondre effectivement à toute résistance à l’élimination de la discrimination donnant lieu aux pratiques préjudiciables et à la violence contre les femmes</w:t>
      </w:r>
      <w:r w:rsidRPr="003F778A">
        <w:rPr>
          <w:vertAlign w:val="superscript"/>
          <w:lang w:val="fr-FR"/>
        </w:rPr>
        <w:footnoteReference w:id="30"/>
      </w:r>
      <w:r w:rsidRPr="003F778A">
        <w:rPr>
          <w:lang w:val="fr-FR"/>
        </w:rPr>
        <w:t>. Aux termes du paragraphe 13 de la recommandation générale/observation générale conjointe n</w:t>
      </w:r>
      <w:r w:rsidRPr="003F778A">
        <w:rPr>
          <w:vertAlign w:val="superscript"/>
          <w:lang w:val="fr-FR"/>
        </w:rPr>
        <w:t>o</w:t>
      </w:r>
      <w:r w:rsidRPr="003F778A">
        <w:rPr>
          <w:lang w:val="fr-FR"/>
        </w:rPr>
        <w:t> 31 et n</w:t>
      </w:r>
      <w:r w:rsidRPr="003F778A">
        <w:rPr>
          <w:vertAlign w:val="superscript"/>
          <w:lang w:val="fr-FR"/>
        </w:rPr>
        <w:t>o</w:t>
      </w:r>
      <w:r w:rsidRPr="003F778A">
        <w:rPr>
          <w:lang w:val="fr-FR"/>
        </w:rPr>
        <w:t> 18, les États parties doivent interdire explicitement en droit les pratiques préjudiciables et les pénaliser.</w:t>
      </w:r>
    </w:p>
    <w:p w14:paraId="6976C2E7" w14:textId="77777777" w:rsidR="008C454F" w:rsidRPr="003F778A" w:rsidRDefault="008C454F" w:rsidP="008C454F">
      <w:pPr>
        <w:pStyle w:val="SingleTxt"/>
        <w:numPr>
          <w:ilvl w:val="0"/>
          <w:numId w:val="44"/>
        </w:numPr>
        <w:ind w:left="1267"/>
        <w:rPr>
          <w:lang w:val="fr-FR"/>
        </w:rPr>
      </w:pPr>
      <w:r w:rsidRPr="003F778A">
        <w:rPr>
          <w:lang w:val="fr-FR"/>
        </w:rPr>
        <w:t>Conformément aux alinéas c) et e) de l’article 2 de la Convention, les États parties ont l’obligation d’agir avec diligence pour éliminer la discrimination exercée à l’égard des femmes par les acteurs non étatiques, y compris dans le cadre familial et dans la collectivité. Ils sont également dans l’obligation de prendre toutes les mesures appropriées pour prévenir, mener des enquêtes, engager des poursuites, prendre des sanctions, et indemniser les victimes concernant les actes ou les omissions des acteurs non étatiques qui débouchent sur des violences sexistes à l’égard des femmes, y compris les mutilations génitales féminines</w:t>
      </w:r>
      <w:r w:rsidRPr="003F778A">
        <w:rPr>
          <w:vertAlign w:val="superscript"/>
          <w:lang w:val="fr-FR"/>
        </w:rPr>
        <w:footnoteReference w:id="31"/>
      </w:r>
      <w:r w:rsidRPr="003F778A">
        <w:rPr>
          <w:lang w:val="fr-FR"/>
        </w:rPr>
        <w:t>. Les États parties sont donc tenus responsables s’ils négligent de prendre de telles mesures. En outre, en vertu de l’article 2 c)</w:t>
      </w:r>
      <w:r w:rsidRPr="003F778A">
        <w:rPr>
          <w:vertAlign w:val="superscript"/>
          <w:lang w:val="fr-FR"/>
        </w:rPr>
        <w:footnoteReference w:id="32"/>
      </w:r>
      <w:r w:rsidRPr="003F778A">
        <w:rPr>
          <w:lang w:val="fr-FR"/>
        </w:rPr>
        <w:t>, les États parties doivent prendre des mesures pour permettre aux femmes de porter plainte en cas de violation des droits énoncés dans la Convention. Ils doivent donc s’assurer que les victimes de mutilations génitales féminines ont accès, en temps voulu et à un coût abordable, à des voies de recours utiles, assorties d’une aide juridictionnelle gratuite, si nécessaire. Les États parties doivent donner aux victimes accès à des réparations appropriées et prévoir des moyens de relèvement et de réintégration</w:t>
      </w:r>
      <w:r w:rsidRPr="003F778A">
        <w:rPr>
          <w:vertAlign w:val="superscript"/>
          <w:lang w:val="fr-FR"/>
        </w:rPr>
        <w:footnoteReference w:id="33"/>
      </w:r>
      <w:r w:rsidRPr="003F778A">
        <w:rPr>
          <w:lang w:val="fr-FR"/>
        </w:rPr>
        <w:t>. Ils doivent par ailleurs mettre en place des programmes de culture juridique qui permettent aux victimes de faire valoir leurs droits sans crainte</w:t>
      </w:r>
      <w:r w:rsidRPr="003F778A">
        <w:rPr>
          <w:vertAlign w:val="superscript"/>
          <w:lang w:val="fr-FR"/>
        </w:rPr>
        <w:footnoteReference w:id="34"/>
      </w:r>
      <w:r w:rsidRPr="003F778A">
        <w:rPr>
          <w:lang w:val="fr-FR"/>
        </w:rPr>
        <w:t>.</w:t>
      </w:r>
    </w:p>
    <w:p w14:paraId="0C2008FD" w14:textId="5145679F" w:rsidR="008C454F" w:rsidRPr="003F778A" w:rsidRDefault="008C454F" w:rsidP="008C454F">
      <w:pPr>
        <w:pStyle w:val="SingleTxt"/>
        <w:numPr>
          <w:ilvl w:val="0"/>
          <w:numId w:val="44"/>
        </w:numPr>
        <w:ind w:left="1267"/>
        <w:rPr>
          <w:lang w:val="fr-FR"/>
        </w:rPr>
      </w:pPr>
      <w:bookmarkStart w:id="6" w:name="_Hlk9351166"/>
      <w:r w:rsidRPr="003F778A">
        <w:rPr>
          <w:lang w:val="fr-FR"/>
        </w:rPr>
        <w:t xml:space="preserve">En vertu des articles 2 f), 5 a) et 16, paragraphe 1 a), lu conjointement avec l’article 5 a), de la Convention, </w:t>
      </w:r>
      <w:bookmarkEnd w:id="6"/>
      <w:r w:rsidRPr="003F778A">
        <w:rPr>
          <w:lang w:val="fr-FR"/>
        </w:rPr>
        <w:t>les États parties sont tenus d’éliminer les préjugés, les stéréotypes et les coutumes qui subordonnent les femmes aux hommes, créent une inégalité entre les sexes et sont à l’origine des mutilations génitales féminines. Ils sont également tenus de protéger toutes les femmes, y compris celles qui n’ont pas subi de mutilations génitales, contre les préjugés et stéréotypes sexistes qui font de ces mutilations une condition au mariage, les privant ainsi de l’égalité avec les hommes dans la jouissance du droit au mariage. Par ailleurs, en vertu de l’article 2 de la Convention, lu à la lumière de la recommandation générale n</w:t>
      </w:r>
      <w:r w:rsidRPr="003F778A">
        <w:rPr>
          <w:vertAlign w:val="superscript"/>
          <w:lang w:val="fr-FR"/>
        </w:rPr>
        <w:t>o</w:t>
      </w:r>
      <w:r w:rsidRPr="003F778A">
        <w:rPr>
          <w:lang w:val="fr-FR"/>
        </w:rPr>
        <w:t> </w:t>
      </w:r>
      <w:r w:rsidRPr="00EA47C5">
        <w:rPr>
          <w:lang w:val="fr-FR"/>
        </w:rPr>
        <w:t>28 (2010)</w:t>
      </w:r>
      <w:r w:rsidRPr="003F778A">
        <w:rPr>
          <w:lang w:val="fr-FR"/>
        </w:rPr>
        <w:t xml:space="preserve"> du Comité concernant les obligations fondamentales des États parties découlant de l’article 2 de la Convention, ainsi que de la recommandation générale/observation générale conjointe n° 31 et n</w:t>
      </w:r>
      <w:r w:rsidRPr="003F778A">
        <w:rPr>
          <w:vertAlign w:val="superscript"/>
          <w:lang w:val="fr-FR"/>
        </w:rPr>
        <w:t>o</w:t>
      </w:r>
      <w:r w:rsidRPr="003F778A">
        <w:rPr>
          <w:lang w:val="fr-FR"/>
        </w:rPr>
        <w:t> 18, les États parties doivent prendre des mesures pour modifier les modèles de comportement socioculturels fondés sur l’idée de l’infériorité des femmes et des filles</w:t>
      </w:r>
      <w:r w:rsidRPr="003F778A">
        <w:rPr>
          <w:vertAlign w:val="superscript"/>
          <w:lang w:val="fr-FR"/>
        </w:rPr>
        <w:footnoteReference w:id="35"/>
      </w:r>
      <w:r w:rsidRPr="003F778A">
        <w:rPr>
          <w:lang w:val="fr-FR"/>
        </w:rPr>
        <w:t>.</w:t>
      </w:r>
    </w:p>
    <w:p w14:paraId="4405890F" w14:textId="77777777" w:rsidR="008C454F" w:rsidRPr="003F778A" w:rsidRDefault="008C454F" w:rsidP="008C454F">
      <w:pPr>
        <w:pStyle w:val="SingleTxt"/>
        <w:numPr>
          <w:ilvl w:val="0"/>
          <w:numId w:val="44"/>
        </w:numPr>
        <w:ind w:left="1267"/>
        <w:rPr>
          <w:lang w:val="fr-FR"/>
        </w:rPr>
      </w:pPr>
      <w:r w:rsidRPr="003F778A">
        <w:rPr>
          <w:lang w:val="fr-FR"/>
        </w:rPr>
        <w:t xml:space="preserve">L’article 12, paragraphe 1, de la Convention garantit aux femmes le droit à la santé, y compris à la santé sexuelle et reproductive, et oblige les États parties à prendre toutes les mesures appropriées en vue de leur assurer les moyens d’accéder </w:t>
      </w:r>
      <w:r w:rsidRPr="003F778A">
        <w:rPr>
          <w:lang w:val="fr-FR"/>
        </w:rPr>
        <w:lastRenderedPageBreak/>
        <w:t>aux services médicaux. Au titre de cet article, complété par les articles 2 et 3, les États parties sont obligés de prendre toutes les mesures appropriées pour éliminer la discrimination pratiquée à l’égard des femmes dans le domaine de la santé par une personne, une organisation ou une entreprise quelconque, aux fins d’assurer le plein développement des femmes sur la base de l’égalité avec les hommes. Toujours selon le même article, les États parties ont l’obligation de remédier à toute pratique sociale empêchant les femmes de bénéficier de la santé et de garantir l’accès à des soins de santé, y compris de santé sexuelle et reproductive. Ces soins doivent par ailleurs être de qualité et d’un coût abordable</w:t>
      </w:r>
      <w:r w:rsidRPr="003F778A">
        <w:rPr>
          <w:vertAlign w:val="superscript"/>
          <w:lang w:val="fr-FR"/>
        </w:rPr>
        <w:footnoteReference w:id="36"/>
      </w:r>
      <w:r w:rsidRPr="003F778A">
        <w:rPr>
          <w:lang w:val="fr-FR"/>
        </w:rPr>
        <w:t>.</w:t>
      </w:r>
    </w:p>
    <w:p w14:paraId="2367D24D" w14:textId="6990F532" w:rsidR="008C454F" w:rsidRPr="003F778A" w:rsidRDefault="008C454F" w:rsidP="008C454F">
      <w:pPr>
        <w:pStyle w:val="SingleTxt"/>
        <w:numPr>
          <w:ilvl w:val="0"/>
          <w:numId w:val="44"/>
        </w:numPr>
        <w:ind w:left="1267"/>
        <w:rPr>
          <w:spacing w:val="3"/>
          <w:lang w:val="fr-FR"/>
        </w:rPr>
      </w:pPr>
      <w:r w:rsidRPr="003F778A">
        <w:rPr>
          <w:spacing w:val="3"/>
          <w:lang w:val="fr-FR"/>
        </w:rPr>
        <w:t>Les États parties sont tenus de garantir aux femmes et aux filles l’accès à des soins de santé respectant l’autonomie et le droit des femmes et des filles de donner leur consentement en pleine connaissance de cause</w:t>
      </w:r>
      <w:r w:rsidRPr="003F778A">
        <w:rPr>
          <w:spacing w:val="3"/>
          <w:vertAlign w:val="superscript"/>
          <w:lang w:val="fr-FR"/>
        </w:rPr>
        <w:footnoteReference w:id="37"/>
      </w:r>
      <w:r w:rsidRPr="003F778A">
        <w:rPr>
          <w:spacing w:val="3"/>
          <w:lang w:val="fr-FR"/>
        </w:rPr>
        <w:t>. Dans sa jurisprudence récente, le Comité a par ailleurs souligné que les articles 12 et 5 a) de la Convention obligeaient les États parties à éliminer les pratiques qui avaient une incidence négative sur la capacité des femmes à faire des choix libres et éclairés en matière de soins de santé (</w:t>
      </w:r>
      <w:hyperlink r:id="rId16" w:history="1">
        <w:r w:rsidRPr="003F778A">
          <w:rPr>
            <w:rStyle w:val="Hyperlink"/>
            <w:spacing w:val="3"/>
            <w:lang w:val="fr-FR"/>
          </w:rPr>
          <w:t>CEDAW/C/OP.8/GBR/1</w:t>
        </w:r>
      </w:hyperlink>
      <w:r w:rsidRPr="003F778A">
        <w:rPr>
          <w:spacing w:val="3"/>
          <w:lang w:val="fr-FR"/>
        </w:rPr>
        <w:t>, par. 55) et que l’irrespect de ce choix constituait une discrimination, allant à l’encontre de l’article premier de la Convention</w:t>
      </w:r>
      <w:r w:rsidRPr="003F778A">
        <w:rPr>
          <w:spacing w:val="3"/>
          <w:vertAlign w:val="superscript"/>
          <w:lang w:val="fr-FR"/>
        </w:rPr>
        <w:footnoteReference w:id="38"/>
      </w:r>
      <w:r w:rsidRPr="003F778A">
        <w:rPr>
          <w:spacing w:val="3"/>
          <w:lang w:val="fr-FR"/>
        </w:rPr>
        <w:t xml:space="preserve">. </w:t>
      </w:r>
    </w:p>
    <w:p w14:paraId="60FBA33F" w14:textId="77777777" w:rsidR="008C454F" w:rsidRPr="003F778A" w:rsidRDefault="008C454F" w:rsidP="008C454F">
      <w:pPr>
        <w:pStyle w:val="SingleTxt"/>
        <w:numPr>
          <w:ilvl w:val="0"/>
          <w:numId w:val="44"/>
        </w:numPr>
        <w:ind w:left="1267"/>
        <w:rPr>
          <w:lang w:val="fr-FR"/>
        </w:rPr>
      </w:pPr>
      <w:r w:rsidRPr="003F778A">
        <w:rPr>
          <w:lang w:val="fr-FR"/>
        </w:rPr>
        <w:t>Le Comité rappelle que les obligations faites aux États parties en vertu de la Convention ne cessent pas en période de conflit armé ou d’état d’urgence consécutif à un événement politique</w:t>
      </w:r>
      <w:r w:rsidRPr="003F778A">
        <w:rPr>
          <w:vertAlign w:val="superscript"/>
          <w:lang w:val="fr-FR"/>
        </w:rPr>
        <w:footnoteReference w:id="39"/>
      </w:r>
      <w:r w:rsidRPr="003F778A">
        <w:rPr>
          <w:lang w:val="fr-FR"/>
        </w:rPr>
        <w:t>. Par conséquent, la crise sécuritaire et l’état d’urgence décrété depuis 2015 n’exonèrent pas le Mali de ses obligations vis-à-vis de la Convention.</w:t>
      </w:r>
    </w:p>
    <w:p w14:paraId="30B28878" w14:textId="77777777" w:rsidR="008C454F" w:rsidRPr="003F778A" w:rsidRDefault="008C454F" w:rsidP="008C454F">
      <w:pPr>
        <w:pStyle w:val="SingleTxt"/>
        <w:spacing w:after="0" w:line="120" w:lineRule="exact"/>
        <w:rPr>
          <w:sz w:val="10"/>
          <w:lang w:val="fr-FR"/>
        </w:rPr>
      </w:pPr>
    </w:p>
    <w:p w14:paraId="4C2A429A" w14:textId="77777777" w:rsidR="008C454F" w:rsidRPr="003F778A" w:rsidRDefault="008C454F" w:rsidP="008C454F">
      <w:pPr>
        <w:pStyle w:val="SingleTxt"/>
        <w:spacing w:after="0" w:line="120" w:lineRule="exact"/>
        <w:rPr>
          <w:sz w:val="10"/>
          <w:lang w:val="fr-FR"/>
        </w:rPr>
      </w:pPr>
    </w:p>
    <w:p w14:paraId="0C49F413"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Violations des droits garantis par la Convention</w:t>
      </w:r>
    </w:p>
    <w:p w14:paraId="0C25467C" w14:textId="77777777" w:rsidR="008C454F" w:rsidRPr="003F778A" w:rsidRDefault="008C454F" w:rsidP="008C454F">
      <w:pPr>
        <w:pStyle w:val="SingleTxt"/>
        <w:spacing w:after="0" w:line="120" w:lineRule="exact"/>
        <w:rPr>
          <w:sz w:val="10"/>
          <w:lang w:val="fr-FR"/>
        </w:rPr>
      </w:pPr>
    </w:p>
    <w:p w14:paraId="0D0DC4C3" w14:textId="77777777" w:rsidR="008C454F" w:rsidRPr="003F778A" w:rsidRDefault="008C454F" w:rsidP="008C454F">
      <w:pPr>
        <w:pStyle w:val="SingleTxt"/>
        <w:spacing w:after="0" w:line="120" w:lineRule="exact"/>
        <w:rPr>
          <w:sz w:val="10"/>
          <w:lang w:val="fr-FR"/>
        </w:rPr>
      </w:pPr>
    </w:p>
    <w:p w14:paraId="64422BC7"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1.</w:t>
      </w:r>
      <w:r w:rsidRPr="003F778A">
        <w:rPr>
          <w:lang w:val="fr-FR"/>
        </w:rPr>
        <w:tab/>
        <w:t>Droit de vivre à l’abri des violences basées sur le genre</w:t>
      </w:r>
    </w:p>
    <w:p w14:paraId="5996614F" w14:textId="77777777" w:rsidR="008C454F" w:rsidRPr="003F778A" w:rsidRDefault="008C454F" w:rsidP="008C454F">
      <w:pPr>
        <w:pStyle w:val="SingleTxt"/>
        <w:spacing w:after="0" w:line="120" w:lineRule="exact"/>
        <w:rPr>
          <w:sz w:val="10"/>
          <w:lang w:val="fr-FR"/>
        </w:rPr>
      </w:pPr>
    </w:p>
    <w:p w14:paraId="792002BD"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 xml:space="preserve">Inadéquation du cadre législatif </w:t>
      </w:r>
    </w:p>
    <w:p w14:paraId="5C161434" w14:textId="77777777" w:rsidR="008C454F" w:rsidRPr="003F778A" w:rsidRDefault="008C454F" w:rsidP="008C454F">
      <w:pPr>
        <w:pStyle w:val="SingleTxt"/>
        <w:spacing w:after="0" w:line="120" w:lineRule="exact"/>
        <w:rPr>
          <w:sz w:val="10"/>
          <w:lang w:val="fr-FR"/>
        </w:rPr>
      </w:pPr>
    </w:p>
    <w:p w14:paraId="5611FF5B" w14:textId="77777777" w:rsidR="008C454F" w:rsidRPr="003F778A" w:rsidRDefault="008C454F" w:rsidP="008C454F">
      <w:pPr>
        <w:pStyle w:val="SingleTxt"/>
        <w:numPr>
          <w:ilvl w:val="0"/>
          <w:numId w:val="44"/>
        </w:numPr>
        <w:ind w:left="1267"/>
        <w:rPr>
          <w:lang w:val="fr-FR"/>
        </w:rPr>
      </w:pPr>
      <w:r w:rsidRPr="003F778A">
        <w:rPr>
          <w:lang w:val="fr-FR"/>
        </w:rPr>
        <w:t>Le Comité note l’absence de loi criminalisant les mutilations génitales féminines, puisque l’avant-projet de loi portant sur la prévention, la répression et la prise en charge des victimes de violences basées sur le genre criminalisant les mutilations génitales féminines n’a pas encore été adopté et que le Code pénal n’érige pas cette pratique en infraction pénale. Le Comité note également que la loi n</w:t>
      </w:r>
      <w:r w:rsidRPr="003F778A">
        <w:rPr>
          <w:vertAlign w:val="superscript"/>
          <w:lang w:val="fr-FR"/>
        </w:rPr>
        <w:t>o</w:t>
      </w:r>
      <w:r w:rsidRPr="003F778A">
        <w:rPr>
          <w:lang w:val="fr-FR"/>
        </w:rPr>
        <w:t> 02</w:t>
      </w:r>
      <w:r w:rsidRPr="003F778A">
        <w:rPr>
          <w:lang w:val="fr-FR"/>
        </w:rPr>
        <w:noBreakHyphen/>
        <w:t>044 relative à la santé de la reproduction se référant aux mutilations génitales féminines et la circulaire n</w:t>
      </w:r>
      <w:r w:rsidRPr="003F778A">
        <w:rPr>
          <w:vertAlign w:val="superscript"/>
          <w:lang w:val="fr-FR"/>
        </w:rPr>
        <w:t>o</w:t>
      </w:r>
      <w:r w:rsidRPr="003F778A">
        <w:rPr>
          <w:lang w:val="fr-FR"/>
        </w:rPr>
        <w:t> 99-0019 interdisant les mutilations génitales féminines dans les établissements de santé n’ont pas vocation à criminaliser cette pratique. Le Comité note que le fait que l’État partie n’a pas adopté de loi criminalisant les mutilations génitales féminines prive les victimes d’une protection juridique effective contre cette pratique, expose les filles maliennes et celles de la sous-région au risque d’être soumises à cette pratique et empêche la réussite des mesures prises dans la sous-région pour l’éradiquer.</w:t>
      </w:r>
    </w:p>
    <w:p w14:paraId="0B7E388D" w14:textId="77777777" w:rsidR="008C454F" w:rsidRPr="003F778A" w:rsidRDefault="008C454F" w:rsidP="008C454F">
      <w:pPr>
        <w:pStyle w:val="SingleTxt"/>
        <w:spacing w:after="0" w:line="120" w:lineRule="exact"/>
        <w:rPr>
          <w:sz w:val="10"/>
          <w:lang w:val="fr-FR"/>
        </w:rPr>
      </w:pPr>
    </w:p>
    <w:p w14:paraId="044C41AF"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Insuffisance des mesures de sensibilisation</w:t>
      </w:r>
    </w:p>
    <w:p w14:paraId="7C807C7C" w14:textId="77777777" w:rsidR="008C454F" w:rsidRPr="003F778A" w:rsidRDefault="008C454F" w:rsidP="008C454F">
      <w:pPr>
        <w:pStyle w:val="SingleTxt"/>
        <w:spacing w:after="0" w:line="120" w:lineRule="exact"/>
        <w:rPr>
          <w:b/>
          <w:bCs/>
          <w:sz w:val="10"/>
          <w:lang w:val="fr-FR"/>
        </w:rPr>
      </w:pPr>
    </w:p>
    <w:p w14:paraId="68349DCD" w14:textId="77777777" w:rsidR="008C454F" w:rsidRPr="003F778A" w:rsidRDefault="008C454F" w:rsidP="008C454F">
      <w:pPr>
        <w:pStyle w:val="SingleTxt"/>
        <w:numPr>
          <w:ilvl w:val="0"/>
          <w:numId w:val="44"/>
        </w:numPr>
        <w:ind w:left="1267"/>
        <w:rPr>
          <w:lang w:val="fr-FR"/>
        </w:rPr>
      </w:pPr>
      <w:r w:rsidRPr="003F778A">
        <w:rPr>
          <w:lang w:val="fr-FR"/>
        </w:rPr>
        <w:t xml:space="preserve">Le Comité note les efforts déployés par l’État partie en vue de sensibiliser la population aux méfaits des mutilations génitales féminines. Toutefois, il note que ces </w:t>
      </w:r>
      <w:r w:rsidRPr="003F778A">
        <w:rPr>
          <w:lang w:val="fr-FR"/>
        </w:rPr>
        <w:lastRenderedPageBreak/>
        <w:t>efforts ont été insuffisants et n’ont su, de manière efficace et dans un délai raisonnable, ni modifier les comportements ni prévenir les croyances, stéréotypes discriminatoires et sexistes qui sous-tendent cette pratique, ceux</w:t>
      </w:r>
      <w:r w:rsidRPr="003F778A">
        <w:rPr>
          <w:lang w:val="fr-FR"/>
        </w:rPr>
        <w:noBreakHyphen/>
        <w:t xml:space="preserve">ci étant fortement ancrés dans les mentalités. </w:t>
      </w:r>
    </w:p>
    <w:p w14:paraId="4596ABF2" w14:textId="77777777" w:rsidR="008C454F" w:rsidRPr="003F778A" w:rsidRDefault="008C454F" w:rsidP="008C454F">
      <w:pPr>
        <w:pStyle w:val="SingleTxt"/>
        <w:spacing w:after="0" w:line="120" w:lineRule="exact"/>
        <w:rPr>
          <w:sz w:val="10"/>
          <w:lang w:val="fr-FR"/>
        </w:rPr>
      </w:pPr>
    </w:p>
    <w:p w14:paraId="404F4106"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c)</w:t>
      </w:r>
      <w:r w:rsidRPr="003F778A">
        <w:rPr>
          <w:lang w:val="fr-FR"/>
        </w:rPr>
        <w:tab/>
        <w:t>Conclusions</w:t>
      </w:r>
    </w:p>
    <w:p w14:paraId="3B7E626A" w14:textId="77777777" w:rsidR="008C454F" w:rsidRPr="003F778A" w:rsidRDefault="008C454F" w:rsidP="008C454F">
      <w:pPr>
        <w:pStyle w:val="SingleTxt"/>
        <w:spacing w:after="0" w:line="120" w:lineRule="exact"/>
        <w:rPr>
          <w:b/>
          <w:bCs/>
          <w:sz w:val="10"/>
          <w:lang w:val="fr-FR"/>
        </w:rPr>
      </w:pPr>
    </w:p>
    <w:p w14:paraId="7A92512C" w14:textId="77777777" w:rsidR="008C454F" w:rsidRPr="003F778A" w:rsidRDefault="008C454F" w:rsidP="00A47F30">
      <w:pPr>
        <w:pStyle w:val="SingleTxt"/>
        <w:numPr>
          <w:ilvl w:val="0"/>
          <w:numId w:val="44"/>
        </w:numPr>
        <w:spacing w:line="236" w:lineRule="atLeast"/>
        <w:ind w:left="1267"/>
        <w:rPr>
          <w:lang w:val="fr-FR"/>
        </w:rPr>
      </w:pPr>
      <w:r w:rsidRPr="003F778A">
        <w:rPr>
          <w:lang w:val="fr-FR"/>
        </w:rPr>
        <w:t>Au vu de ce qui précède, le Comité conclut que l’État partie a enfreint les articles suivants de la Convention :</w:t>
      </w:r>
    </w:p>
    <w:p w14:paraId="5A410EED" w14:textId="77777777" w:rsidR="008C454F" w:rsidRPr="003F778A" w:rsidRDefault="008C454F" w:rsidP="00A47F30">
      <w:pPr>
        <w:pStyle w:val="SingleTxt"/>
        <w:spacing w:line="236" w:lineRule="atLeast"/>
        <w:rPr>
          <w:lang w:val="fr-FR"/>
        </w:rPr>
      </w:pPr>
      <w:r w:rsidRPr="003F778A">
        <w:rPr>
          <w:lang w:val="fr-FR"/>
        </w:rPr>
        <w:tab/>
        <w:t>L’article 2 a) et b), lu conjointement avec les articles 5 a) et 12 de la Convention, en n’ayant pas agi avec diligence afin d’adopter une loi pour interdire les mutilations génitales féminines et d’assurer par voie législative l’application effective du principe de l’égalité des hommes et des femmes, violant ainsi le droit des femmes maliennes et de la sous-région à ne pas être discriminées et à vivre à l’abri de la violence basée sur le genre.</w:t>
      </w:r>
    </w:p>
    <w:p w14:paraId="0CE68360" w14:textId="77777777" w:rsidR="008C454F" w:rsidRPr="003F778A" w:rsidRDefault="008C454F" w:rsidP="008C454F">
      <w:pPr>
        <w:pStyle w:val="SingleTxt"/>
        <w:spacing w:after="0" w:line="120" w:lineRule="exact"/>
        <w:rPr>
          <w:sz w:val="10"/>
          <w:lang w:val="fr-FR"/>
        </w:rPr>
      </w:pPr>
    </w:p>
    <w:p w14:paraId="024AB539"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2.</w:t>
      </w:r>
      <w:r w:rsidRPr="003F778A">
        <w:rPr>
          <w:lang w:val="fr-FR"/>
        </w:rPr>
        <w:tab/>
        <w:t>Droit à l’égalité d’accès à la justice</w:t>
      </w:r>
    </w:p>
    <w:p w14:paraId="0716F9CB" w14:textId="77777777" w:rsidR="008C454F" w:rsidRPr="003F778A" w:rsidRDefault="008C454F" w:rsidP="008C454F">
      <w:pPr>
        <w:pStyle w:val="SingleTxt"/>
        <w:spacing w:after="0" w:line="120" w:lineRule="exact"/>
        <w:rPr>
          <w:sz w:val="10"/>
          <w:lang w:val="fr-FR"/>
        </w:rPr>
      </w:pPr>
    </w:p>
    <w:p w14:paraId="17798910"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Absence de voies de recours utiles pour les victimes</w:t>
      </w:r>
    </w:p>
    <w:p w14:paraId="2C8BEAA5" w14:textId="77777777" w:rsidR="008C454F" w:rsidRPr="003F778A" w:rsidRDefault="008C454F" w:rsidP="008C454F">
      <w:pPr>
        <w:pStyle w:val="SingleTxt"/>
        <w:spacing w:after="0" w:line="120" w:lineRule="exact"/>
        <w:rPr>
          <w:b/>
          <w:bCs/>
          <w:sz w:val="10"/>
          <w:lang w:val="fr-FR"/>
        </w:rPr>
      </w:pPr>
    </w:p>
    <w:p w14:paraId="0EB57D3F" w14:textId="08F23684" w:rsidR="008C454F" w:rsidRPr="003F778A" w:rsidRDefault="008C454F" w:rsidP="00A47F30">
      <w:pPr>
        <w:pStyle w:val="SingleTxt"/>
        <w:numPr>
          <w:ilvl w:val="0"/>
          <w:numId w:val="44"/>
        </w:numPr>
        <w:spacing w:line="236" w:lineRule="atLeast"/>
        <w:ind w:left="1267"/>
        <w:rPr>
          <w:lang w:val="fr-FR"/>
        </w:rPr>
      </w:pPr>
      <w:r w:rsidRPr="003F778A">
        <w:rPr>
          <w:lang w:val="fr-FR"/>
        </w:rPr>
        <w:t>Le Comité rappelle qu’aux termes du paragraphe 23 de sa recommandation générale n</w:t>
      </w:r>
      <w:r w:rsidRPr="003F778A">
        <w:rPr>
          <w:vertAlign w:val="superscript"/>
          <w:lang w:val="fr-FR"/>
        </w:rPr>
        <w:t>o</w:t>
      </w:r>
      <w:r w:rsidRPr="003F778A">
        <w:rPr>
          <w:lang w:val="fr-FR"/>
        </w:rPr>
        <w:t> </w:t>
      </w:r>
      <w:r w:rsidRPr="00EA47C5">
        <w:rPr>
          <w:lang w:val="fr-FR"/>
        </w:rPr>
        <w:t>33 (2015)</w:t>
      </w:r>
      <w:r w:rsidRPr="003F778A">
        <w:rPr>
          <w:lang w:val="fr-FR"/>
        </w:rPr>
        <w:t xml:space="preserve"> sur l’accès des femmes à la justice, le manque de diligence dans la prévention, l’investigation, la poursuite, la sanction et l’offre de voies de recours dans les cas de violation des droits des femmes a pour résultat une violation de l’obligation de garantir l’égalité d’accès des femmes à la justice. </w:t>
      </w:r>
    </w:p>
    <w:p w14:paraId="639285AE" w14:textId="77777777" w:rsidR="008C454F" w:rsidRPr="003F778A" w:rsidRDefault="008C454F" w:rsidP="00A47F30">
      <w:pPr>
        <w:pStyle w:val="SingleTxt"/>
        <w:numPr>
          <w:ilvl w:val="0"/>
          <w:numId w:val="44"/>
        </w:numPr>
        <w:spacing w:line="236" w:lineRule="atLeast"/>
        <w:ind w:left="1267"/>
        <w:rPr>
          <w:lang w:val="fr-FR"/>
        </w:rPr>
      </w:pPr>
      <w:r w:rsidRPr="003F778A">
        <w:rPr>
          <w:lang w:val="fr-FR"/>
        </w:rPr>
        <w:t xml:space="preserve">À défaut d’une loi pénalisant les mutilations génitales féminines, l’accès à la justice des femmes et des filles victimes de cette pratique nuisible ne peut être assuré. En effet, en l’absence d’une telle loi, les victimes se retrouvent dépourvues de voies de recours utiles, étant dans l’impossibilité de porter plainte, de voir une enquête et des poursuites enclenchées, d’obtenir la prise de sanction contre les auteurs des mutilations et une réparation appropriée pour le préjudice subi du fait de la mutilation. </w:t>
      </w:r>
    </w:p>
    <w:p w14:paraId="071F57B7" w14:textId="77777777" w:rsidR="008C454F" w:rsidRPr="003F778A" w:rsidRDefault="008C454F" w:rsidP="00A47F30">
      <w:pPr>
        <w:pStyle w:val="SingleTxt"/>
        <w:numPr>
          <w:ilvl w:val="0"/>
          <w:numId w:val="44"/>
        </w:numPr>
        <w:spacing w:line="236" w:lineRule="atLeast"/>
        <w:ind w:left="1267"/>
        <w:rPr>
          <w:lang w:val="fr-FR"/>
        </w:rPr>
      </w:pPr>
      <w:r w:rsidRPr="003F778A">
        <w:rPr>
          <w:lang w:val="fr-FR"/>
        </w:rPr>
        <w:t>Si, tel qu’indiqué durant l’enquête, les victimes peuvent porter plainte devant les tribunaux pour avoir subi des mutilations génitales féminines, sur la base des dispositions du Code pénal relatives aux coups et blessures, violences et tortures, le Comité estime que l’on ne saurait en déduire que l’État partie offre des voies de recours utiles permettant aux femmes d’exercer leur droit d’accès à la justice. Le Comité note les difficultés auxquelles sont confrontés les juges dans l’assignation et la répression des auteurs de mutilations génitales féminines au titre des coups et blessures, violences et tortures, étant donné qu’ils sont soumis au principe de l’application stricte de la loi pénale régissant le droit positif malien. Le Comité note l’absence d’enquêtes, de poursuites et de sanctions, ainsi que de réparations de la part de l’État partie, que ce soit sur la base d’une loi criminalisant les mutilations génitales féminines, ou pour coups et blessures, violences et tortures sur le fondement du Code pénal, ce qui constitue un manquement à son devoir de diligence. Or, aux termes du paragraphe 14 e) de la recommandation générale n</w:t>
      </w:r>
      <w:r w:rsidRPr="003F778A">
        <w:rPr>
          <w:vertAlign w:val="superscript"/>
          <w:lang w:val="fr-FR"/>
        </w:rPr>
        <w:t>o</w:t>
      </w:r>
      <w:r w:rsidRPr="003F778A">
        <w:rPr>
          <w:lang w:val="fr-FR"/>
        </w:rPr>
        <w:t> 33 du Comité, l’offre de voies de recours signifie que les femmes doivent pouvoir recevoir du système de justice une véritable protection et bénéficier d’une juste réparation en cas de préjudice, quel qu’il soit. De plus, selon la jurisprudence du Comité des droits de l’homme, si les États parties n’accordent pas réparation aux personnes dont les droits ont été violés, l’obligation d’offrir un recours utile n’est pas remplie</w:t>
      </w:r>
      <w:r w:rsidRPr="003F778A">
        <w:rPr>
          <w:vertAlign w:val="superscript"/>
          <w:lang w:val="fr-FR"/>
        </w:rPr>
        <w:footnoteReference w:id="40"/>
      </w:r>
      <w:r w:rsidRPr="003F778A">
        <w:rPr>
          <w:lang w:val="fr-FR"/>
        </w:rPr>
        <w:t xml:space="preserve">. </w:t>
      </w:r>
    </w:p>
    <w:p w14:paraId="5874CE10" w14:textId="77777777" w:rsidR="008C454F" w:rsidRPr="003F778A" w:rsidRDefault="008C454F" w:rsidP="008C454F">
      <w:pPr>
        <w:pStyle w:val="SingleTxt"/>
        <w:numPr>
          <w:ilvl w:val="0"/>
          <w:numId w:val="44"/>
        </w:numPr>
        <w:ind w:left="1267"/>
        <w:rPr>
          <w:lang w:val="fr-FR"/>
        </w:rPr>
      </w:pPr>
      <w:r w:rsidRPr="003F778A">
        <w:rPr>
          <w:lang w:val="fr-FR"/>
        </w:rPr>
        <w:lastRenderedPageBreak/>
        <w:t xml:space="preserve">Le Comité note par ailleurs que les exciseuses tirent profit de l’absence d’une loi pénale pour pratiquer les mutilations génitales féminines sans que l’État partie n’intervienne pour enquêter, poursuivre ou sanctionner les auteurs, qui incluent les exciseuses et les membres de la famille des victimes, la décision de faire subir une excision étant généralement prise dans le cadre familial. Le Comité note l’absence d’une culture juridique pour porter plainte contre les mutilations génitales féminines, la majorité des femmes refusant de dénoncer ces actes et les auteurs de tels actes agissant souvent à la demande de la famille. </w:t>
      </w:r>
    </w:p>
    <w:p w14:paraId="141219B3" w14:textId="77777777" w:rsidR="008C454F" w:rsidRPr="003F778A" w:rsidRDefault="008C454F" w:rsidP="008C454F">
      <w:pPr>
        <w:pStyle w:val="SingleTxt"/>
        <w:spacing w:after="0" w:line="120" w:lineRule="exact"/>
        <w:rPr>
          <w:b/>
          <w:bCs/>
          <w:sz w:val="10"/>
          <w:lang w:val="fr-FR"/>
        </w:rPr>
      </w:pPr>
    </w:p>
    <w:p w14:paraId="1570B25C"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Conclusions</w:t>
      </w:r>
    </w:p>
    <w:p w14:paraId="1F772E18" w14:textId="77777777" w:rsidR="008C454F" w:rsidRPr="003F778A" w:rsidRDefault="008C454F" w:rsidP="008C454F">
      <w:pPr>
        <w:pStyle w:val="SingleTxt"/>
        <w:keepNext/>
        <w:keepLines/>
        <w:spacing w:after="0" w:line="120" w:lineRule="exact"/>
        <w:rPr>
          <w:b/>
          <w:bCs/>
          <w:sz w:val="10"/>
          <w:lang w:val="fr-FR"/>
        </w:rPr>
      </w:pPr>
    </w:p>
    <w:p w14:paraId="3A300AD0" w14:textId="77777777" w:rsidR="008C454F" w:rsidRPr="003F778A" w:rsidRDefault="008C454F" w:rsidP="008C454F">
      <w:pPr>
        <w:pStyle w:val="SingleTxt"/>
        <w:numPr>
          <w:ilvl w:val="0"/>
          <w:numId w:val="44"/>
        </w:numPr>
        <w:ind w:left="1267"/>
        <w:rPr>
          <w:lang w:val="fr-FR"/>
        </w:rPr>
      </w:pPr>
      <w:r w:rsidRPr="003F778A">
        <w:rPr>
          <w:lang w:val="fr-FR"/>
        </w:rPr>
        <w:t>Au vu de ce qui précède, le Comité conclut que l’État partie a enfreint l’article 2 c) et e) de la Convention en n’ayant pas agi avec diligence pour enquêter, poursuivre et sanctionner les auteurs, pour offrir des voies de recours utiles aux victimes et pour les indemniser par des réparations appropriées, les privant ainsi du droit d’accès à la justice sur la base de l’égalité.</w:t>
      </w:r>
    </w:p>
    <w:p w14:paraId="601B9AF6" w14:textId="77777777" w:rsidR="008C454F" w:rsidRPr="003F778A" w:rsidRDefault="008C454F" w:rsidP="008C454F">
      <w:pPr>
        <w:pStyle w:val="SingleTxt"/>
        <w:spacing w:after="0" w:line="120" w:lineRule="exact"/>
        <w:rPr>
          <w:sz w:val="10"/>
          <w:lang w:val="fr-FR"/>
        </w:rPr>
      </w:pPr>
    </w:p>
    <w:p w14:paraId="1E14C18F"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3.</w:t>
      </w:r>
      <w:r w:rsidRPr="003F778A">
        <w:rPr>
          <w:lang w:val="fr-FR"/>
        </w:rPr>
        <w:tab/>
        <w:t>Droit à la santé</w:t>
      </w:r>
    </w:p>
    <w:p w14:paraId="1D525DE6" w14:textId="77777777" w:rsidR="008C454F" w:rsidRPr="003F778A" w:rsidRDefault="008C454F" w:rsidP="008C454F">
      <w:pPr>
        <w:pStyle w:val="SingleTxt"/>
        <w:spacing w:after="0" w:line="120" w:lineRule="exact"/>
        <w:rPr>
          <w:sz w:val="10"/>
          <w:lang w:val="fr-FR"/>
        </w:rPr>
      </w:pPr>
    </w:p>
    <w:p w14:paraId="7BE8F6F3"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Violation du droit des femmes à la santé, y compris la santé sexuelle et reproductive</w:t>
      </w:r>
    </w:p>
    <w:p w14:paraId="3356C389" w14:textId="77777777" w:rsidR="008C454F" w:rsidRPr="003F778A" w:rsidRDefault="008C454F" w:rsidP="008C454F">
      <w:pPr>
        <w:pStyle w:val="SingleTxt"/>
        <w:spacing w:after="0" w:line="120" w:lineRule="exact"/>
        <w:rPr>
          <w:sz w:val="10"/>
          <w:lang w:val="fr-FR"/>
        </w:rPr>
      </w:pPr>
    </w:p>
    <w:p w14:paraId="229830F8" w14:textId="77777777" w:rsidR="008C454F" w:rsidRPr="003F778A" w:rsidRDefault="008C454F" w:rsidP="008C454F">
      <w:pPr>
        <w:pStyle w:val="SingleTxt"/>
        <w:numPr>
          <w:ilvl w:val="0"/>
          <w:numId w:val="44"/>
        </w:numPr>
        <w:ind w:left="1267"/>
        <w:rPr>
          <w:lang w:val="fr-FR"/>
        </w:rPr>
      </w:pPr>
      <w:r w:rsidRPr="003F778A">
        <w:rPr>
          <w:lang w:val="fr-FR"/>
        </w:rPr>
        <w:t xml:space="preserve">Le Comité note que les conséquences des mutilations génitales féminines causent un préjudice substantiel à la vie, à la santé et au développement des victimes. Il constate que ces mutilations compromettent la pleine jouissance du droit des femmes et des filles à la santé à court et à long termes, y compris à la santé sexuelle et reproductive. Le Comité note que l’État partie n’a pas su prendre les mesures nécessaires pour protéger les femmes et les filles de ces actes discriminatoires, que les mutilations soient le fait d’agents de santé ou de personnes privées. Par ailleurs, le Comité note que l’État partie n’a pas su garantir l’accès des victimes de mutilations génitales féminines à des soins de santé, y compris de santé sexuelle et reproductive suffisants et à un coût abordable. </w:t>
      </w:r>
    </w:p>
    <w:p w14:paraId="439B5789" w14:textId="77777777" w:rsidR="008C454F" w:rsidRPr="003F778A" w:rsidRDefault="008C454F" w:rsidP="008C454F">
      <w:pPr>
        <w:pStyle w:val="SingleTxt"/>
        <w:spacing w:after="0" w:line="120" w:lineRule="exact"/>
        <w:rPr>
          <w:b/>
          <w:bCs/>
          <w:sz w:val="10"/>
          <w:lang w:val="fr-FR"/>
        </w:rPr>
      </w:pPr>
    </w:p>
    <w:p w14:paraId="3979FA83"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 xml:space="preserve">Violation de l’autonomie des femmes et des filles </w:t>
      </w:r>
    </w:p>
    <w:p w14:paraId="178C41F8" w14:textId="77777777" w:rsidR="008C454F" w:rsidRPr="003F778A" w:rsidRDefault="008C454F" w:rsidP="008C454F">
      <w:pPr>
        <w:pStyle w:val="SingleTxt"/>
        <w:spacing w:after="0" w:line="120" w:lineRule="exact"/>
        <w:rPr>
          <w:sz w:val="10"/>
          <w:lang w:val="fr-FR"/>
        </w:rPr>
      </w:pPr>
    </w:p>
    <w:p w14:paraId="7ACB7A6B" w14:textId="0EE55D27" w:rsidR="008C454F" w:rsidRPr="003F778A" w:rsidRDefault="008C454F" w:rsidP="008C454F">
      <w:pPr>
        <w:pStyle w:val="SingleTxt"/>
        <w:numPr>
          <w:ilvl w:val="0"/>
          <w:numId w:val="44"/>
        </w:numPr>
        <w:ind w:left="1267"/>
        <w:rPr>
          <w:lang w:val="fr-FR"/>
        </w:rPr>
      </w:pPr>
      <w:r w:rsidRPr="003F778A">
        <w:rPr>
          <w:lang w:val="fr-FR"/>
        </w:rPr>
        <w:t>Le Comité constate la violation de l’autonomie des femmes, de leur capacité de décision et du respect de leur intégrité physique. Il note que les femmes qui veulent s’opposer aux mutilations génitales féminines ne sont pas autorisées à prendre cette décision</w:t>
      </w:r>
      <w:r w:rsidRPr="003F778A">
        <w:rPr>
          <w:bCs/>
          <w:lang w:val="fr-FR"/>
        </w:rPr>
        <w:t>. Il</w:t>
      </w:r>
      <w:r w:rsidRPr="003F778A">
        <w:rPr>
          <w:lang w:val="fr-FR"/>
        </w:rPr>
        <w:t xml:space="preserve"> constate en outre qu’une ignorance générale des conséquences graves et irréversibles des mutilations génitales féminines règne dans la société malienne.</w:t>
      </w:r>
      <w:r w:rsidR="00DF3126">
        <w:rPr>
          <w:lang w:val="fr-FR"/>
        </w:rPr>
        <w:t xml:space="preserve"> </w:t>
      </w:r>
    </w:p>
    <w:p w14:paraId="6B2444F8" w14:textId="77777777" w:rsidR="008C454F" w:rsidRPr="003F778A" w:rsidRDefault="008C454F" w:rsidP="008C454F">
      <w:pPr>
        <w:pStyle w:val="SingleTxt"/>
        <w:numPr>
          <w:ilvl w:val="0"/>
          <w:numId w:val="44"/>
        </w:numPr>
        <w:ind w:left="1267"/>
        <w:rPr>
          <w:lang w:val="fr-FR"/>
        </w:rPr>
      </w:pPr>
      <w:r w:rsidRPr="003F778A">
        <w:rPr>
          <w:lang w:val="fr-FR"/>
        </w:rPr>
        <w:t xml:space="preserve">Le Comité constate que les mutilations génitales sont pratiquées exclusivement sur les femmes et les filles, et que leurs conséquences, y compris les douleurs et traumatismes vécus tout au long de la vie, enfreignent leur plein développement sur la base de l’égalité avec les hommes en matière de santé, particulièrement de santé reproductive et sexuelle. </w:t>
      </w:r>
    </w:p>
    <w:p w14:paraId="6976BFB9" w14:textId="77777777" w:rsidR="008C454F" w:rsidRPr="003F778A" w:rsidRDefault="008C454F" w:rsidP="008C454F">
      <w:pPr>
        <w:pStyle w:val="SingleTxt"/>
        <w:spacing w:after="0" w:line="120" w:lineRule="exact"/>
        <w:rPr>
          <w:b/>
          <w:bCs/>
          <w:sz w:val="10"/>
          <w:lang w:val="fr-FR"/>
        </w:rPr>
      </w:pPr>
    </w:p>
    <w:p w14:paraId="0BA61020"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c)</w:t>
      </w:r>
      <w:r w:rsidRPr="003F778A">
        <w:rPr>
          <w:lang w:val="fr-FR"/>
        </w:rPr>
        <w:tab/>
        <w:t>Conclusions</w:t>
      </w:r>
    </w:p>
    <w:p w14:paraId="7CC54F06" w14:textId="77777777" w:rsidR="008C454F" w:rsidRPr="003F778A" w:rsidRDefault="008C454F" w:rsidP="008C454F">
      <w:pPr>
        <w:pStyle w:val="SingleTxt"/>
        <w:spacing w:after="0" w:line="120" w:lineRule="exact"/>
        <w:rPr>
          <w:sz w:val="10"/>
          <w:lang w:val="fr-FR"/>
        </w:rPr>
      </w:pPr>
    </w:p>
    <w:p w14:paraId="38758A3F" w14:textId="77777777" w:rsidR="008C454F" w:rsidRPr="003F778A" w:rsidRDefault="008C454F" w:rsidP="008C454F">
      <w:pPr>
        <w:pStyle w:val="SingleTxt"/>
        <w:numPr>
          <w:ilvl w:val="0"/>
          <w:numId w:val="44"/>
        </w:numPr>
        <w:ind w:left="1267"/>
        <w:rPr>
          <w:lang w:val="fr-FR"/>
        </w:rPr>
      </w:pPr>
      <w:r w:rsidRPr="003F778A">
        <w:rPr>
          <w:lang w:val="fr-FR"/>
        </w:rPr>
        <w:t>Le Comité conclut que l’État partie a enfreint les articles suivants de la Convention :</w:t>
      </w:r>
    </w:p>
    <w:p w14:paraId="1045707A" w14:textId="77777777" w:rsidR="008C454F" w:rsidRPr="003F778A" w:rsidRDefault="008C454F" w:rsidP="008C454F">
      <w:pPr>
        <w:pStyle w:val="SingleTxt"/>
        <w:rPr>
          <w:lang w:val="fr-FR"/>
        </w:rPr>
      </w:pPr>
      <w:r w:rsidRPr="003F778A">
        <w:rPr>
          <w:lang w:val="fr-FR"/>
        </w:rPr>
        <w:tab/>
        <w:t>a)</w:t>
      </w:r>
      <w:r w:rsidRPr="003F778A">
        <w:rPr>
          <w:lang w:val="fr-FR"/>
        </w:rPr>
        <w:tab/>
        <w:t>L’article 12, paragraphe 1, au vu de :</w:t>
      </w:r>
    </w:p>
    <w:p w14:paraId="52F8A6C6" w14:textId="77777777" w:rsidR="008C454F" w:rsidRPr="003F778A" w:rsidRDefault="008C454F" w:rsidP="008C454F">
      <w:pPr>
        <w:pStyle w:val="SingleTxt"/>
        <w:ind w:left="1742" w:hanging="475"/>
        <w:rPr>
          <w:lang w:val="fr-FR"/>
        </w:rPr>
      </w:pPr>
      <w:r w:rsidRPr="003F778A">
        <w:rPr>
          <w:lang w:val="fr-FR"/>
        </w:rPr>
        <w:tab/>
        <w:t>i)</w:t>
      </w:r>
      <w:r w:rsidRPr="003F778A">
        <w:rPr>
          <w:lang w:val="fr-FR"/>
        </w:rPr>
        <w:tab/>
        <w:t xml:space="preserve">L’atteinte au droit à la santé des femmes, y compris la santé sexuelle et reproductive, que constituent les mutilations génitales féminines ; </w:t>
      </w:r>
    </w:p>
    <w:p w14:paraId="2822EB73" w14:textId="77777777" w:rsidR="008C454F" w:rsidRPr="003F778A" w:rsidRDefault="008C454F" w:rsidP="008C454F">
      <w:pPr>
        <w:pStyle w:val="SingleTxt"/>
        <w:ind w:left="1742" w:hanging="475"/>
        <w:rPr>
          <w:lang w:val="fr-FR"/>
        </w:rPr>
      </w:pPr>
      <w:r w:rsidRPr="003F778A">
        <w:rPr>
          <w:lang w:val="fr-FR"/>
        </w:rPr>
        <w:tab/>
        <w:t>ii)</w:t>
      </w:r>
      <w:r w:rsidRPr="003F778A">
        <w:rPr>
          <w:lang w:val="fr-FR"/>
        </w:rPr>
        <w:tab/>
        <w:t>L’insuffisance des soins de santé pour les victimes ;</w:t>
      </w:r>
    </w:p>
    <w:p w14:paraId="5EAF555F" w14:textId="77777777" w:rsidR="008C454F" w:rsidRPr="003F778A" w:rsidRDefault="008C454F" w:rsidP="008C454F">
      <w:pPr>
        <w:pStyle w:val="SingleTxt"/>
        <w:rPr>
          <w:lang w:val="fr-FR"/>
        </w:rPr>
      </w:pPr>
      <w:r w:rsidRPr="003F778A">
        <w:rPr>
          <w:lang w:val="fr-FR"/>
        </w:rPr>
        <w:lastRenderedPageBreak/>
        <w:tab/>
        <w:t>b)</w:t>
      </w:r>
      <w:r w:rsidRPr="003F778A">
        <w:rPr>
          <w:lang w:val="fr-FR"/>
        </w:rPr>
        <w:tab/>
        <w:t>L’article 12, paragraphe 1, lu conjointement avec les articles 1 et 2, étant donnée la discrimination que représentent les mutilations génitales féminines pour les femmes et les filles, limitant leur pleine jouissance du droit à la santé, y compris la santé sexuelle et reproductive;</w:t>
      </w:r>
    </w:p>
    <w:p w14:paraId="076AF901" w14:textId="77777777" w:rsidR="008C454F" w:rsidRPr="003F778A" w:rsidRDefault="008C454F" w:rsidP="008C454F">
      <w:pPr>
        <w:pStyle w:val="SingleTxt"/>
        <w:rPr>
          <w:lang w:val="fr-FR"/>
        </w:rPr>
      </w:pPr>
      <w:r w:rsidRPr="003F778A">
        <w:rPr>
          <w:lang w:val="fr-FR"/>
        </w:rPr>
        <w:tab/>
        <w:t>c)</w:t>
      </w:r>
      <w:r w:rsidRPr="003F778A">
        <w:rPr>
          <w:lang w:val="fr-FR"/>
        </w:rPr>
        <w:tab/>
        <w:t>L’article 12, paragraphe 1, lu conjointement avec les articles 1, 2 et 3, de par :</w:t>
      </w:r>
    </w:p>
    <w:p w14:paraId="2DDF4686" w14:textId="77777777" w:rsidR="008C454F" w:rsidRPr="003F778A" w:rsidRDefault="008C454F" w:rsidP="008C454F">
      <w:pPr>
        <w:pStyle w:val="SingleTxt"/>
        <w:ind w:left="1742" w:hanging="475"/>
        <w:rPr>
          <w:lang w:val="fr-FR"/>
        </w:rPr>
      </w:pPr>
      <w:r w:rsidRPr="003F778A">
        <w:rPr>
          <w:lang w:val="fr-FR"/>
        </w:rPr>
        <w:tab/>
        <w:t>i)</w:t>
      </w:r>
      <w:r w:rsidRPr="003F778A">
        <w:rPr>
          <w:lang w:val="fr-FR"/>
        </w:rPr>
        <w:tab/>
        <w:t xml:space="preserve">Les restrictions au plein développement des filles et des femmes que représentent les mutilations génitales féminines, sur la base de l’égalité avec les hommes ; </w:t>
      </w:r>
    </w:p>
    <w:p w14:paraId="69A14E21" w14:textId="77777777" w:rsidR="008C454F" w:rsidRPr="003F778A" w:rsidRDefault="008C454F" w:rsidP="008C454F">
      <w:pPr>
        <w:pStyle w:val="SingleTxt"/>
        <w:ind w:left="1742" w:hanging="475"/>
        <w:rPr>
          <w:lang w:val="fr-FR"/>
        </w:rPr>
      </w:pPr>
      <w:r w:rsidRPr="003F778A">
        <w:rPr>
          <w:lang w:val="fr-FR"/>
        </w:rPr>
        <w:tab/>
        <w:t>ii)</w:t>
      </w:r>
      <w:r w:rsidRPr="003F778A">
        <w:rPr>
          <w:lang w:val="fr-FR"/>
        </w:rPr>
        <w:tab/>
        <w:t>L’insuffisance des mesures prises pour agir avec la diligence due afin de protéger les filles des pays de la sous-région des mutilations génitales féminines pratiquées sur son territoire et pour lutter contre la dimension commerciale qui a pris forme en conséquence de cette pratique.</w:t>
      </w:r>
    </w:p>
    <w:p w14:paraId="6C3F44D1" w14:textId="77777777" w:rsidR="008C454F" w:rsidRPr="003F778A" w:rsidRDefault="008C454F" w:rsidP="008C454F">
      <w:pPr>
        <w:pStyle w:val="SingleTxt"/>
        <w:spacing w:after="0" w:line="120" w:lineRule="exact"/>
        <w:rPr>
          <w:b/>
          <w:sz w:val="10"/>
          <w:lang w:val="fr-FR"/>
        </w:rPr>
      </w:pPr>
    </w:p>
    <w:p w14:paraId="523FF74B"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4.</w:t>
      </w:r>
      <w:r w:rsidRPr="003F778A">
        <w:rPr>
          <w:lang w:val="fr-FR"/>
        </w:rPr>
        <w:tab/>
        <w:t>Droit de contracter mariage</w:t>
      </w:r>
    </w:p>
    <w:p w14:paraId="7AFECB57" w14:textId="77777777" w:rsidR="008C454F" w:rsidRPr="003F778A" w:rsidRDefault="008C454F" w:rsidP="008C454F">
      <w:pPr>
        <w:pStyle w:val="SingleTxt"/>
        <w:spacing w:after="0" w:line="120" w:lineRule="exact"/>
        <w:rPr>
          <w:b/>
          <w:sz w:val="10"/>
          <w:lang w:val="fr-FR"/>
        </w:rPr>
      </w:pPr>
    </w:p>
    <w:p w14:paraId="1BCBB34E"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Violation du droit de contracter mariage</w:t>
      </w:r>
    </w:p>
    <w:p w14:paraId="70AA83FC" w14:textId="77777777" w:rsidR="008C454F" w:rsidRPr="003F778A" w:rsidRDefault="008C454F" w:rsidP="008C454F">
      <w:pPr>
        <w:pStyle w:val="SingleTxt"/>
        <w:spacing w:after="0" w:line="120" w:lineRule="exact"/>
        <w:rPr>
          <w:sz w:val="10"/>
          <w:lang w:val="fr-FR"/>
        </w:rPr>
      </w:pPr>
    </w:p>
    <w:p w14:paraId="589653C8" w14:textId="77777777" w:rsidR="008C454F" w:rsidRPr="003F778A" w:rsidRDefault="008C454F" w:rsidP="008C454F">
      <w:pPr>
        <w:pStyle w:val="SingleTxt"/>
        <w:numPr>
          <w:ilvl w:val="0"/>
          <w:numId w:val="47"/>
        </w:numPr>
        <w:spacing w:line="240" w:lineRule="exact"/>
        <w:rPr>
          <w:lang w:val="fr-FR"/>
        </w:rPr>
      </w:pPr>
      <w:r w:rsidRPr="003F778A">
        <w:rPr>
          <w:lang w:val="fr-FR"/>
        </w:rPr>
        <w:t xml:space="preserve">Le Comité note qu’en raison de l’acceptation sociale des mutilations génitales féminines, de la prévalence des préjugés et stéréotypes fondés sur le genre concernant les femmes et les filles qui n’ont pas subi de mutilations génitales et de la pression exercée sur les familles pour qu’elles imposent les mutilations à leurs filles afin de leur permettre de se marier, la pratique est considérée comme une condition préalable au mariage. Il constate cependant que les hommes ne sont pas soumis à cette condition pour avoir le droit de se marier. Il note que l’État partie n’a pas pris de mesures suffisantes pour empêcher ce type de discrimination, qui a un effet préjudiciable sur le droit des femmes à contracter mariage sur un pied d’égalité avec les hommes. </w:t>
      </w:r>
    </w:p>
    <w:p w14:paraId="1A18F59A" w14:textId="77777777" w:rsidR="008C454F" w:rsidRPr="003F778A" w:rsidRDefault="008C454F" w:rsidP="008C454F">
      <w:pPr>
        <w:pStyle w:val="SingleTxt"/>
        <w:spacing w:after="0" w:line="120" w:lineRule="exact"/>
        <w:rPr>
          <w:b/>
          <w:sz w:val="10"/>
          <w:lang w:val="fr-FR"/>
        </w:rPr>
      </w:pPr>
    </w:p>
    <w:p w14:paraId="4A92D588" w14:textId="77777777" w:rsidR="008C454F" w:rsidRPr="003F778A" w:rsidRDefault="008C454F" w:rsidP="008C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Conclusions</w:t>
      </w:r>
    </w:p>
    <w:p w14:paraId="7E16B245" w14:textId="77777777" w:rsidR="008C454F" w:rsidRPr="003F778A" w:rsidRDefault="008C454F" w:rsidP="008C454F">
      <w:pPr>
        <w:pStyle w:val="SingleTxt"/>
        <w:spacing w:after="0" w:line="120" w:lineRule="exact"/>
        <w:ind w:left="1742" w:hanging="475"/>
        <w:rPr>
          <w:sz w:val="10"/>
          <w:lang w:val="fr-FR"/>
        </w:rPr>
      </w:pPr>
    </w:p>
    <w:p w14:paraId="47C20889" w14:textId="77777777" w:rsidR="008C454F" w:rsidRPr="003F778A" w:rsidRDefault="008C454F" w:rsidP="008C454F">
      <w:pPr>
        <w:pStyle w:val="SingleTxt"/>
        <w:numPr>
          <w:ilvl w:val="0"/>
          <w:numId w:val="47"/>
        </w:numPr>
        <w:spacing w:line="240" w:lineRule="exact"/>
        <w:rPr>
          <w:lang w:val="fr-FR"/>
        </w:rPr>
      </w:pPr>
      <w:r w:rsidRPr="003F778A">
        <w:rPr>
          <w:lang w:val="fr-FR"/>
        </w:rPr>
        <w:t>Au vu de ce qui précède, le Comité conclut que l’État partie est en violation de l’article 5 a), lu conjointement avec l’article 2 et de l’article 16, paragraphe 1, en raison de l’inefficacité des mesures prises pour modifier les comportements et lutter effectivement contre les stéréotypes discriminatoires fondés sur le genre qui perpétuent la justification sociale, culturelle et religieuse des mutilations génitales féminines et empêchent leur élimination, et en raison de l’inefficacité des mesures prises pour modifier les conduites sociales et culturelles, éliminer la pratique des mutilations génitales féminines et garantir l’égalité des femmes avec les hommes au regard du droit de contracter mariage.</w:t>
      </w:r>
    </w:p>
    <w:p w14:paraId="79CE5931" w14:textId="77777777" w:rsidR="008C454F" w:rsidRPr="003F778A" w:rsidRDefault="008C454F" w:rsidP="008C454F">
      <w:pPr>
        <w:pStyle w:val="SingleTxt"/>
        <w:spacing w:after="0" w:line="120" w:lineRule="exact"/>
        <w:rPr>
          <w:sz w:val="10"/>
          <w:lang w:val="fr-FR"/>
        </w:rPr>
      </w:pPr>
    </w:p>
    <w:p w14:paraId="7C409C71" w14:textId="77777777" w:rsidR="008C454F" w:rsidRPr="003F778A" w:rsidRDefault="008C454F" w:rsidP="008C454F">
      <w:pPr>
        <w:pStyle w:val="SingleTxt"/>
        <w:spacing w:after="0" w:line="120" w:lineRule="exact"/>
        <w:rPr>
          <w:sz w:val="10"/>
          <w:lang w:val="fr-FR"/>
        </w:rPr>
      </w:pPr>
    </w:p>
    <w:p w14:paraId="55BE8DC4"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C.</w:t>
      </w:r>
      <w:r w:rsidRPr="003F778A">
        <w:rPr>
          <w:lang w:val="fr-FR"/>
        </w:rPr>
        <w:tab/>
        <w:t xml:space="preserve">Principales violations constatées au titre de la Convention </w:t>
      </w:r>
    </w:p>
    <w:p w14:paraId="0A5175A4" w14:textId="77777777" w:rsidR="008C454F" w:rsidRPr="003F778A" w:rsidRDefault="008C454F" w:rsidP="008C454F">
      <w:pPr>
        <w:pStyle w:val="SingleTxt"/>
        <w:spacing w:after="0" w:line="120" w:lineRule="exact"/>
        <w:rPr>
          <w:sz w:val="10"/>
          <w:lang w:val="fr-FR"/>
        </w:rPr>
      </w:pPr>
    </w:p>
    <w:p w14:paraId="721ADB75" w14:textId="77777777" w:rsidR="008C454F" w:rsidRPr="003F778A" w:rsidRDefault="008C454F" w:rsidP="008C454F">
      <w:pPr>
        <w:pStyle w:val="SingleTxt"/>
        <w:spacing w:after="0" w:line="120" w:lineRule="exact"/>
        <w:rPr>
          <w:sz w:val="10"/>
          <w:lang w:val="fr-FR"/>
        </w:rPr>
      </w:pPr>
    </w:p>
    <w:p w14:paraId="0B621144" w14:textId="63FAAEA2" w:rsidR="008C454F" w:rsidRPr="003F778A" w:rsidRDefault="008C454F" w:rsidP="008C454F">
      <w:pPr>
        <w:pStyle w:val="SingleTxt"/>
        <w:numPr>
          <w:ilvl w:val="0"/>
          <w:numId w:val="45"/>
        </w:numPr>
        <w:ind w:left="1267"/>
        <w:rPr>
          <w:b/>
          <w:lang w:val="fr-FR"/>
        </w:rPr>
      </w:pPr>
      <w:r w:rsidRPr="003F778A">
        <w:rPr>
          <w:lang w:val="fr-FR"/>
        </w:rPr>
        <w:t>À la lumière de ce qui précède, et étant donné que le contexte de crise sécuritaire et politique n’exonère pas l’État partie de ses obligations, le Comité conclut que l’État partie a violé les articles suivants de la Convention : article 2 a), b), c) et e) ; article</w:t>
      </w:r>
      <w:r w:rsidR="00000C1F">
        <w:rPr>
          <w:lang w:val="fr-FR"/>
        </w:rPr>
        <w:t> </w:t>
      </w:r>
      <w:r w:rsidRPr="003F778A">
        <w:rPr>
          <w:lang w:val="fr-FR"/>
        </w:rPr>
        <w:t>5 a), lu conjointement avec les articles 2, 3 et 4, paragraphe 1 ; article 12, paragraphe 1, lu conjointement avec les articles 1, 2, 3 et 5 a) ; et article 16, paragraphe 1 a), lu conjointement avec l’article 5 a). Ces articles doivent être lus conjointement avec les recommandations générales suivantes du Comité : la recommandation générale n</w:t>
      </w:r>
      <w:r w:rsidRPr="003F778A">
        <w:rPr>
          <w:vertAlign w:val="superscript"/>
          <w:lang w:val="fr-FR"/>
        </w:rPr>
        <w:t>o</w:t>
      </w:r>
      <w:r w:rsidRPr="003F778A">
        <w:rPr>
          <w:lang w:val="fr-FR"/>
        </w:rPr>
        <w:t> </w:t>
      </w:r>
      <w:r w:rsidRPr="00DF3126">
        <w:rPr>
          <w:lang w:val="fr-FR"/>
        </w:rPr>
        <w:t>14 (1990)</w:t>
      </w:r>
      <w:r w:rsidRPr="003F778A">
        <w:rPr>
          <w:lang w:val="fr-FR"/>
        </w:rPr>
        <w:t xml:space="preserve"> sur l’excision, la recommandation générale</w:t>
      </w:r>
      <w:r w:rsidR="00000C1F">
        <w:rPr>
          <w:lang w:val="fr-FR"/>
        </w:rPr>
        <w:t> </w:t>
      </w:r>
      <w:r w:rsidRPr="003F778A">
        <w:rPr>
          <w:lang w:val="fr-FR"/>
        </w:rPr>
        <w:t>n</w:t>
      </w:r>
      <w:r w:rsidRPr="003F778A">
        <w:rPr>
          <w:vertAlign w:val="superscript"/>
          <w:lang w:val="fr-FR"/>
        </w:rPr>
        <w:t>o</w:t>
      </w:r>
      <w:r w:rsidRPr="003F778A">
        <w:rPr>
          <w:lang w:val="fr-FR"/>
        </w:rPr>
        <w:t> </w:t>
      </w:r>
      <w:r w:rsidRPr="00DF3126">
        <w:rPr>
          <w:lang w:val="fr-FR"/>
        </w:rPr>
        <w:t>21 (1994)</w:t>
      </w:r>
      <w:r w:rsidRPr="003F778A">
        <w:rPr>
          <w:lang w:val="fr-FR"/>
        </w:rPr>
        <w:t xml:space="preserve"> sur l’égalité dans le mariage et les rapports familiaux, la recommandation générale n</w:t>
      </w:r>
      <w:r w:rsidRPr="003F778A">
        <w:rPr>
          <w:vertAlign w:val="superscript"/>
          <w:lang w:val="fr-FR"/>
        </w:rPr>
        <w:t>o</w:t>
      </w:r>
      <w:r w:rsidRPr="003F778A">
        <w:rPr>
          <w:lang w:val="fr-FR"/>
        </w:rPr>
        <w:t> </w:t>
      </w:r>
      <w:r w:rsidRPr="00DF3126">
        <w:rPr>
          <w:lang w:val="fr-FR"/>
        </w:rPr>
        <w:t>24 (1999)</w:t>
      </w:r>
      <w:r w:rsidRPr="003F778A">
        <w:rPr>
          <w:lang w:val="fr-FR"/>
        </w:rPr>
        <w:t xml:space="preserve"> sur les femmes et la santé, la recommandation générale n</w:t>
      </w:r>
      <w:r w:rsidRPr="003F778A">
        <w:rPr>
          <w:vertAlign w:val="superscript"/>
          <w:lang w:val="fr-FR"/>
        </w:rPr>
        <w:t>o</w:t>
      </w:r>
      <w:r w:rsidRPr="003F778A">
        <w:rPr>
          <w:lang w:val="fr-FR"/>
        </w:rPr>
        <w:t> 28, la recommandation générale n</w:t>
      </w:r>
      <w:r w:rsidRPr="003F778A">
        <w:rPr>
          <w:vertAlign w:val="superscript"/>
          <w:lang w:val="fr-FR"/>
        </w:rPr>
        <w:t>o</w:t>
      </w:r>
      <w:r w:rsidRPr="003F778A">
        <w:rPr>
          <w:lang w:val="fr-FR"/>
        </w:rPr>
        <w:t> </w:t>
      </w:r>
      <w:r w:rsidRPr="00DF3126">
        <w:rPr>
          <w:lang w:val="fr-FR"/>
        </w:rPr>
        <w:t>30 (2013)</w:t>
      </w:r>
      <w:r w:rsidRPr="003F778A">
        <w:rPr>
          <w:lang w:val="fr-FR"/>
        </w:rPr>
        <w:t xml:space="preserve"> sur les femmes dans la prévention des conflits, les conflits et les situations d’après-conflit, la </w:t>
      </w:r>
      <w:r w:rsidRPr="003F778A">
        <w:rPr>
          <w:lang w:val="fr-FR"/>
        </w:rPr>
        <w:lastRenderedPageBreak/>
        <w:t>recommandation générale/observation générale conjointe n</w:t>
      </w:r>
      <w:r w:rsidRPr="003F778A">
        <w:rPr>
          <w:vertAlign w:val="superscript"/>
          <w:lang w:val="fr-FR"/>
        </w:rPr>
        <w:t>o</w:t>
      </w:r>
      <w:r w:rsidRPr="003F778A">
        <w:rPr>
          <w:lang w:val="fr-FR"/>
        </w:rPr>
        <w:t> 31 et n</w:t>
      </w:r>
      <w:r w:rsidRPr="003F778A">
        <w:rPr>
          <w:vertAlign w:val="superscript"/>
          <w:lang w:val="fr-FR"/>
        </w:rPr>
        <w:t>o</w:t>
      </w:r>
      <w:r w:rsidRPr="003F778A">
        <w:rPr>
          <w:lang w:val="fr-FR"/>
        </w:rPr>
        <w:t> 18, la recommandation générale n</w:t>
      </w:r>
      <w:r w:rsidRPr="003F778A">
        <w:rPr>
          <w:vertAlign w:val="superscript"/>
          <w:lang w:val="fr-FR"/>
        </w:rPr>
        <w:t>o</w:t>
      </w:r>
      <w:r w:rsidRPr="003F778A">
        <w:rPr>
          <w:lang w:val="fr-FR"/>
        </w:rPr>
        <w:t> 33 et la recommandation générale n</w:t>
      </w:r>
      <w:r w:rsidRPr="003F778A">
        <w:rPr>
          <w:vertAlign w:val="superscript"/>
          <w:lang w:val="fr-FR"/>
        </w:rPr>
        <w:t>o</w:t>
      </w:r>
      <w:r w:rsidRPr="003F778A">
        <w:rPr>
          <w:lang w:val="fr-FR"/>
        </w:rPr>
        <w:t> </w:t>
      </w:r>
      <w:r w:rsidRPr="00DF3126">
        <w:rPr>
          <w:lang w:val="fr-FR"/>
        </w:rPr>
        <w:t>35 (2017)</w:t>
      </w:r>
      <w:r w:rsidRPr="003F778A">
        <w:rPr>
          <w:lang w:val="fr-FR"/>
        </w:rPr>
        <w:t xml:space="preserve"> sur la violence à l’égard des femmes fondée sur le genre, portant actualisation de la recommandation générale n</w:t>
      </w:r>
      <w:r w:rsidRPr="003F778A">
        <w:rPr>
          <w:vertAlign w:val="superscript"/>
          <w:lang w:val="fr-FR"/>
        </w:rPr>
        <w:t>o</w:t>
      </w:r>
      <w:r w:rsidRPr="003F778A">
        <w:rPr>
          <w:lang w:val="fr-FR"/>
        </w:rPr>
        <w:t xml:space="preserve"> 19.</w:t>
      </w:r>
    </w:p>
    <w:p w14:paraId="4C3D179F" w14:textId="77777777" w:rsidR="008C454F" w:rsidRPr="003F778A" w:rsidRDefault="008C454F" w:rsidP="008C454F">
      <w:pPr>
        <w:pStyle w:val="SingleTxt"/>
        <w:spacing w:after="0" w:line="120" w:lineRule="exact"/>
        <w:rPr>
          <w:sz w:val="10"/>
          <w:lang w:val="fr-FR"/>
        </w:rPr>
      </w:pPr>
    </w:p>
    <w:p w14:paraId="5EC01842" w14:textId="77777777" w:rsidR="008C454F" w:rsidRPr="003F778A" w:rsidRDefault="008C454F" w:rsidP="008C454F">
      <w:pPr>
        <w:pStyle w:val="SingleTxt"/>
        <w:spacing w:after="0" w:line="120" w:lineRule="exact"/>
        <w:rPr>
          <w:sz w:val="10"/>
          <w:lang w:val="fr-FR"/>
        </w:rPr>
      </w:pPr>
    </w:p>
    <w:p w14:paraId="0A6F9297"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D.</w:t>
      </w:r>
      <w:r w:rsidRPr="003F778A">
        <w:rPr>
          <w:lang w:val="fr-FR"/>
        </w:rPr>
        <w:tab/>
        <w:t>Nature grave et systématique des violations</w:t>
      </w:r>
    </w:p>
    <w:p w14:paraId="755772EF" w14:textId="77777777" w:rsidR="008C454F" w:rsidRPr="003F778A" w:rsidRDefault="008C454F" w:rsidP="008C454F">
      <w:pPr>
        <w:pStyle w:val="SingleTxt"/>
        <w:spacing w:after="0" w:line="120" w:lineRule="exact"/>
        <w:rPr>
          <w:sz w:val="10"/>
          <w:lang w:val="fr-FR"/>
        </w:rPr>
      </w:pPr>
    </w:p>
    <w:p w14:paraId="36E130FD" w14:textId="77777777" w:rsidR="008C454F" w:rsidRPr="003F778A" w:rsidRDefault="008C454F" w:rsidP="008C454F">
      <w:pPr>
        <w:pStyle w:val="SingleTxt"/>
        <w:spacing w:after="0" w:line="120" w:lineRule="exact"/>
        <w:rPr>
          <w:sz w:val="10"/>
          <w:lang w:val="fr-FR"/>
        </w:rPr>
      </w:pPr>
    </w:p>
    <w:p w14:paraId="78211E9E" w14:textId="77777777" w:rsidR="008C454F" w:rsidRPr="003F778A" w:rsidRDefault="008C454F" w:rsidP="008C454F">
      <w:pPr>
        <w:pStyle w:val="SingleTxt"/>
        <w:numPr>
          <w:ilvl w:val="0"/>
          <w:numId w:val="45"/>
        </w:numPr>
        <w:ind w:left="1267"/>
        <w:rPr>
          <w:lang w:val="fr-FR"/>
        </w:rPr>
      </w:pPr>
      <w:r w:rsidRPr="003F778A">
        <w:rPr>
          <w:lang w:val="fr-FR"/>
        </w:rPr>
        <w:t xml:space="preserve">En vertu de l’article 8 du Protocole facultatif et de l’article 83 de son règlement intérieur, le Comité doit évaluer si les violations des droits ont un caractère grave ou systématique. </w:t>
      </w:r>
    </w:p>
    <w:p w14:paraId="29A082E5" w14:textId="77777777" w:rsidR="008C454F" w:rsidRPr="003F778A" w:rsidRDefault="008C454F" w:rsidP="008C454F">
      <w:pPr>
        <w:pStyle w:val="SingleTxt"/>
        <w:numPr>
          <w:ilvl w:val="0"/>
          <w:numId w:val="45"/>
        </w:numPr>
        <w:ind w:left="1267"/>
        <w:rPr>
          <w:lang w:val="fr-FR"/>
        </w:rPr>
      </w:pPr>
      <w:r w:rsidRPr="003F778A">
        <w:rPr>
          <w:lang w:val="fr-FR"/>
        </w:rPr>
        <w:t xml:space="preserve">Le Comité considère les violations comme « graves » lorsqu’elles sont susceptibles de causer un préjudice substantiel aux victimes. La détermination de la gravité des violations doit prendre en compte l’échelle, la prévalence, la nature et l’incidence des violations constatées. </w:t>
      </w:r>
    </w:p>
    <w:p w14:paraId="0DCA4976" w14:textId="77777777" w:rsidR="008C454F" w:rsidRPr="003F778A" w:rsidRDefault="008C454F" w:rsidP="008C454F">
      <w:pPr>
        <w:pStyle w:val="SingleTxt"/>
        <w:numPr>
          <w:ilvl w:val="0"/>
          <w:numId w:val="45"/>
        </w:numPr>
        <w:ind w:left="1267"/>
        <w:rPr>
          <w:lang w:val="fr-FR"/>
        </w:rPr>
      </w:pPr>
      <w:r w:rsidRPr="003F778A">
        <w:rPr>
          <w:lang w:val="fr-FR"/>
        </w:rPr>
        <w:t>Le terme « systématique » désigne la nature organisée des actes à la base des violations ainsi que l’improbabilité de les voir se produire par hasard. Le Comité a souligné qu’un refus systématique d’accorder aux femmes des droits égaux peut survenir délibérément, à savoir en raison de l’intention de l’État partie de commettre ces actes, ou en raison de lois ou de politiques discriminatoires, que celles-ci le soient intentionnellement ou non. Le caractère systématique des violations peut également être évalué à la lumière de l’existence de pratiques étendues et persistantes qui ne sont pas le résultat d’un hasard.</w:t>
      </w:r>
    </w:p>
    <w:p w14:paraId="2470E52C" w14:textId="77777777" w:rsidR="008C454F" w:rsidRPr="003F778A" w:rsidRDefault="008C454F" w:rsidP="008C454F">
      <w:pPr>
        <w:pStyle w:val="SingleTxt"/>
        <w:numPr>
          <w:ilvl w:val="0"/>
          <w:numId w:val="45"/>
        </w:numPr>
        <w:ind w:left="1267"/>
        <w:rPr>
          <w:lang w:val="fr-FR"/>
        </w:rPr>
      </w:pPr>
      <w:r w:rsidRPr="003F778A">
        <w:rPr>
          <w:lang w:val="fr-FR"/>
        </w:rPr>
        <w:t>Le Comité évalue la gravité des violations commises dans l’État partie, liées aux mutilations génitales féminines, à la lumière des souffrances considérables qui sont infligées aux femmes et aux filles dès un très jeune âge, et ce, de façon multiple et répétée. Il note que la pratique nuisible des mutilations génitales féminines a des conséquences graves sur la santé</w:t>
      </w:r>
      <w:r w:rsidRPr="003F778A" w:rsidDel="00CD7F69">
        <w:rPr>
          <w:lang w:val="fr-FR"/>
        </w:rPr>
        <w:t xml:space="preserve"> </w:t>
      </w:r>
      <w:r w:rsidRPr="003F778A">
        <w:rPr>
          <w:lang w:val="fr-FR"/>
        </w:rPr>
        <w:t xml:space="preserve">physique et psychologique, y compris la santé sexuelle et reproductive, et affecte le développement de la victime au moment de l’acte même, ainsi que durant toute sa vie. Il constate, enfin, que les mutilations génitales féminines peuvent entraîner la mort de la victime. </w:t>
      </w:r>
    </w:p>
    <w:p w14:paraId="1A149065" w14:textId="3E0DF1A8" w:rsidR="008C454F" w:rsidRPr="003F778A" w:rsidRDefault="008C454F" w:rsidP="008C454F">
      <w:pPr>
        <w:pStyle w:val="SingleTxt"/>
        <w:numPr>
          <w:ilvl w:val="0"/>
          <w:numId w:val="45"/>
        </w:numPr>
        <w:ind w:left="1267"/>
        <w:rPr>
          <w:lang w:val="fr-FR"/>
        </w:rPr>
      </w:pPr>
      <w:r w:rsidRPr="003F778A">
        <w:rPr>
          <w:lang w:val="fr-FR"/>
        </w:rPr>
        <w:t>La nature systématique des violations commises dans l’État partie, relatives aux mutilations génitales féminines, est liée à l’étendue et à la persistance de la pratique, prouvant que cette violation des droits des femmes n’est pas le fruit du hasard. En effet, 82,7 % des femmes âgées de 15 à 49 ans et 76,4 % des filles âgées de 0 à 14</w:t>
      </w:r>
      <w:r w:rsidR="009B50DA">
        <w:rPr>
          <w:lang w:val="fr-FR"/>
        </w:rPr>
        <w:t> </w:t>
      </w:r>
      <w:r w:rsidRPr="003F778A">
        <w:rPr>
          <w:lang w:val="fr-FR"/>
        </w:rPr>
        <w:t xml:space="preserve">ans en ont été victimes en 2015. La nature systématique s’explique également par le fait que l’État partie s’est délibérément abstenu d’interdire cette pratique, empêchant l’accès des victimes à la justice et laissant cette pratique se poursuivre en toute impunité. Si l’État partie reconnaît l’ampleur de cette pratique néfaste, il n’a pas consenti d’efforts systématiques pour : a) sensibiliser les populations cibles et le grand public dans un délai raisonnable aux effets préjudiciables à la santé physique et psychologique des femmes et des filles ; b) éliminer les stéréotypes sexistes et discriminatoires la légitimant ; c) modifier les attitudes traditionnelles qui sous-tendent cette violence sexiste ; d) éviter la stigmatisation des femmes et des filles non excisées. </w:t>
      </w:r>
    </w:p>
    <w:p w14:paraId="21F42A24" w14:textId="77777777" w:rsidR="008C454F" w:rsidRPr="003F778A" w:rsidRDefault="008C454F" w:rsidP="008C454F">
      <w:pPr>
        <w:pStyle w:val="SingleTxt"/>
        <w:numPr>
          <w:ilvl w:val="0"/>
          <w:numId w:val="45"/>
        </w:numPr>
        <w:ind w:left="1267"/>
        <w:rPr>
          <w:lang w:val="fr-FR"/>
        </w:rPr>
      </w:pPr>
      <w:r w:rsidRPr="003F778A">
        <w:rPr>
          <w:lang w:val="fr-FR"/>
        </w:rPr>
        <w:t>Le Comité constate que l’État partie est responsable de :</w:t>
      </w:r>
    </w:p>
    <w:p w14:paraId="2F016A71" w14:textId="77777777" w:rsidR="008C454F" w:rsidRPr="003F778A" w:rsidRDefault="008C454F" w:rsidP="008C454F">
      <w:pPr>
        <w:pStyle w:val="SingleTxt"/>
        <w:rPr>
          <w:lang w:val="fr-FR"/>
        </w:rPr>
      </w:pPr>
      <w:r w:rsidRPr="003F778A">
        <w:rPr>
          <w:lang w:val="fr-FR"/>
        </w:rPr>
        <w:tab/>
        <w:t>a)</w:t>
      </w:r>
      <w:r w:rsidRPr="003F778A">
        <w:rPr>
          <w:lang w:val="fr-FR"/>
        </w:rPr>
        <w:tab/>
        <w:t>Violations graves de droits accordés par la Convention, étant donné le caractère discriminatoire des mutilations génitales féminines et le manquement à son obligation de protéger une majorité de femmes et de filles des mutilations génitales féminines et de leur assurer un accès approprié aux soins de santé et à la justice, les exposant ainsi à de graves souffrances physiques et psychologiques, entravant la réalisation d’enquêtes et bloquant l’accès à des voies de recours pour les victimes ;</w:t>
      </w:r>
    </w:p>
    <w:p w14:paraId="645D2FD7" w14:textId="77777777" w:rsidR="008C454F" w:rsidRPr="003F778A" w:rsidRDefault="008C454F" w:rsidP="008C454F">
      <w:pPr>
        <w:pStyle w:val="SingleTxt"/>
        <w:rPr>
          <w:lang w:val="fr-FR"/>
        </w:rPr>
      </w:pPr>
      <w:r w:rsidRPr="003F778A">
        <w:rPr>
          <w:lang w:val="fr-FR"/>
        </w:rPr>
        <w:lastRenderedPageBreak/>
        <w:tab/>
        <w:t>b)</w:t>
      </w:r>
      <w:r w:rsidRPr="003F778A">
        <w:rPr>
          <w:lang w:val="fr-FR"/>
        </w:rPr>
        <w:tab/>
        <w:t>Violations systématiques de droits accordés par la Convention, étant donné que l’État partie a sciemment omis de prendre des mesures suffisantes pour :</w:t>
      </w:r>
    </w:p>
    <w:p w14:paraId="66012D2F" w14:textId="77777777" w:rsidR="008C454F" w:rsidRPr="003F778A" w:rsidRDefault="008C454F" w:rsidP="008C454F">
      <w:pPr>
        <w:pStyle w:val="SingleTxt"/>
        <w:ind w:left="1742" w:hanging="475"/>
        <w:rPr>
          <w:lang w:val="fr-FR"/>
        </w:rPr>
      </w:pPr>
      <w:r w:rsidRPr="003F778A">
        <w:rPr>
          <w:lang w:val="fr-FR"/>
        </w:rPr>
        <w:tab/>
        <w:t>i)</w:t>
      </w:r>
      <w:r w:rsidRPr="003F778A">
        <w:rPr>
          <w:lang w:val="fr-FR"/>
        </w:rPr>
        <w:tab/>
        <w:t xml:space="preserve">Ériger en infraction et interdire les mutilations génitales féminines et garantir que ce crime soit sanctionné par de peines sévères ; </w:t>
      </w:r>
    </w:p>
    <w:p w14:paraId="562F5B5C" w14:textId="77777777" w:rsidR="008C454F" w:rsidRPr="003F778A" w:rsidRDefault="008C454F" w:rsidP="008C454F">
      <w:pPr>
        <w:pStyle w:val="SingleTxt"/>
        <w:ind w:left="1742" w:hanging="475"/>
        <w:rPr>
          <w:lang w:val="fr-FR"/>
        </w:rPr>
      </w:pPr>
      <w:r w:rsidRPr="003F778A">
        <w:rPr>
          <w:lang w:val="fr-FR"/>
        </w:rPr>
        <w:tab/>
        <w:t>ii)</w:t>
      </w:r>
      <w:r w:rsidRPr="003F778A">
        <w:rPr>
          <w:lang w:val="fr-FR"/>
        </w:rPr>
        <w:tab/>
        <w:t>Mettre en place des moyens, notamment des moyens de recours légal, pour protéger, soigner et réhabiliter les victimes de mutilations génitales féminines ;</w:t>
      </w:r>
    </w:p>
    <w:p w14:paraId="71D0B8DA" w14:textId="77777777" w:rsidR="008C454F" w:rsidRPr="003F778A" w:rsidRDefault="008C454F" w:rsidP="008C454F">
      <w:pPr>
        <w:pStyle w:val="SingleTxt"/>
        <w:ind w:left="1742" w:hanging="475"/>
        <w:rPr>
          <w:lang w:val="fr-FR"/>
        </w:rPr>
      </w:pPr>
      <w:r w:rsidRPr="003F778A">
        <w:rPr>
          <w:lang w:val="fr-FR"/>
        </w:rPr>
        <w:tab/>
        <w:t>iii)</w:t>
      </w:r>
      <w:r w:rsidRPr="003F778A">
        <w:rPr>
          <w:lang w:val="fr-FR"/>
        </w:rPr>
        <w:tab/>
        <w:t>Lutter contre les attitudes culturelles et les normes sociales négatives qui légitiment les mutilations génitales féminines et la stigmatisation des femmes et des filles qui ne se soumettent pas à ces mutilations.</w:t>
      </w:r>
    </w:p>
    <w:p w14:paraId="6F507AA1" w14:textId="77777777" w:rsidR="008C454F" w:rsidRPr="003F778A" w:rsidRDefault="008C454F" w:rsidP="008C454F">
      <w:pPr>
        <w:pStyle w:val="SingleTxt"/>
        <w:spacing w:after="0" w:line="120" w:lineRule="exact"/>
        <w:rPr>
          <w:sz w:val="10"/>
          <w:lang w:val="fr-FR"/>
        </w:rPr>
      </w:pPr>
    </w:p>
    <w:p w14:paraId="7D7D6101" w14:textId="77777777" w:rsidR="008C454F" w:rsidRPr="003F778A" w:rsidRDefault="008C454F" w:rsidP="008C454F">
      <w:pPr>
        <w:pStyle w:val="SingleTxt"/>
        <w:spacing w:after="0" w:line="120" w:lineRule="exact"/>
        <w:rPr>
          <w:sz w:val="10"/>
          <w:lang w:val="fr-FR"/>
        </w:rPr>
      </w:pPr>
    </w:p>
    <w:p w14:paraId="4DFF6091" w14:textId="77777777" w:rsidR="008C454F" w:rsidRPr="003F778A" w:rsidRDefault="008C454F" w:rsidP="008C45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IX.</w:t>
      </w:r>
      <w:r w:rsidRPr="003F778A">
        <w:rPr>
          <w:lang w:val="fr-FR"/>
        </w:rPr>
        <w:tab/>
        <w:t xml:space="preserve">Recommandations </w:t>
      </w:r>
    </w:p>
    <w:p w14:paraId="59288898" w14:textId="77777777" w:rsidR="008C454F" w:rsidRPr="003F778A" w:rsidRDefault="008C454F" w:rsidP="008C454F">
      <w:pPr>
        <w:pStyle w:val="SingleTxt"/>
        <w:spacing w:after="0" w:line="120" w:lineRule="exact"/>
        <w:rPr>
          <w:sz w:val="10"/>
          <w:lang w:val="fr-FR"/>
        </w:rPr>
      </w:pPr>
    </w:p>
    <w:p w14:paraId="030D1AF8" w14:textId="77777777" w:rsidR="008C454F" w:rsidRPr="003F778A" w:rsidRDefault="008C454F" w:rsidP="008C454F">
      <w:pPr>
        <w:pStyle w:val="SingleTxt"/>
        <w:spacing w:after="0" w:line="120" w:lineRule="exact"/>
        <w:rPr>
          <w:sz w:val="10"/>
          <w:lang w:val="fr-FR"/>
        </w:rPr>
      </w:pPr>
    </w:p>
    <w:p w14:paraId="28D05737"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A.</w:t>
      </w:r>
      <w:r w:rsidRPr="003F778A">
        <w:rPr>
          <w:lang w:val="fr-FR"/>
        </w:rPr>
        <w:tab/>
        <w:t>Mesures de protection et reconnaissance effective des droits des femmes</w:t>
      </w:r>
    </w:p>
    <w:p w14:paraId="5BAE9885" w14:textId="77777777" w:rsidR="008C454F" w:rsidRPr="003F778A" w:rsidRDefault="008C454F" w:rsidP="008C454F">
      <w:pPr>
        <w:pStyle w:val="SingleTxt"/>
        <w:spacing w:after="0" w:line="120" w:lineRule="exact"/>
        <w:rPr>
          <w:sz w:val="10"/>
          <w:lang w:val="fr-FR"/>
        </w:rPr>
      </w:pPr>
    </w:p>
    <w:p w14:paraId="541E185B" w14:textId="77777777" w:rsidR="008C454F" w:rsidRPr="003F778A" w:rsidRDefault="008C454F" w:rsidP="008C454F">
      <w:pPr>
        <w:pStyle w:val="SingleTxt"/>
        <w:spacing w:after="0" w:line="120" w:lineRule="exact"/>
        <w:rPr>
          <w:sz w:val="10"/>
          <w:lang w:val="fr-FR"/>
        </w:rPr>
      </w:pPr>
    </w:p>
    <w:p w14:paraId="2199466F"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Afin de mettre un terme à une pratique préjudiciable généralisée, de protéger les victimes, de remédier à l’impunité et de donner suite aux obligations acceptées par l’État partie, et ayant à l’esprit l’urgence politique de l’adoption d’une loi à la lumière des progrès faits dans d’autres pays de la sous-région, la dimension stratégique de la loi au regard de la lutte contre la violence fondée sur le genre et les souffrances graves et irréversibles qu’endurent les victimes qui s’apparentent à de la torture, ainsi que le préjudice que subissent les filles de la sous-région, le Comité recommande à l’État partie de prendre les mesures suivantes : </w:t>
      </w:r>
    </w:p>
    <w:p w14:paraId="102FCEF8" w14:textId="2A771E6C" w:rsidR="008C454F" w:rsidRPr="003F778A" w:rsidRDefault="008C454F" w:rsidP="008C454F">
      <w:pPr>
        <w:pStyle w:val="SingleTxt"/>
        <w:rPr>
          <w:b/>
          <w:lang w:val="fr-FR"/>
        </w:rPr>
      </w:pPr>
      <w:r w:rsidRPr="003F778A">
        <w:rPr>
          <w:b/>
          <w:lang w:val="fr-FR"/>
        </w:rPr>
        <w:tab/>
        <w:t>a)</w:t>
      </w:r>
      <w:r w:rsidRPr="003F778A">
        <w:rPr>
          <w:b/>
          <w:lang w:val="fr-FR"/>
        </w:rPr>
        <w:tab/>
        <w:t>Adopter sans tarder le projet de loi sur la prévention, la répression et la prise en charge des victimes de violences basées sur le genre qui érige les mutilations génitales féminines en infraction pénale, et ce, dans un délai précis, conformément aux recommandations précédentes du Comité (</w:t>
      </w:r>
      <w:hyperlink r:id="rId17" w:history="1">
        <w:r w:rsidRPr="0014315A">
          <w:rPr>
            <w:rStyle w:val="Hyperlink"/>
            <w:b/>
            <w:lang w:val="fr-FR"/>
          </w:rPr>
          <w:t>CEDAW/C/MLI/CO/6-7</w:t>
        </w:r>
      </w:hyperlink>
      <w:r w:rsidRPr="003F778A">
        <w:rPr>
          <w:b/>
          <w:lang w:val="fr-FR"/>
        </w:rPr>
        <w:t xml:space="preserve">, par. 20, et </w:t>
      </w:r>
      <w:hyperlink r:id="rId18" w:history="1">
        <w:r w:rsidRPr="0014315A">
          <w:rPr>
            <w:rStyle w:val="Hyperlink"/>
            <w:b/>
            <w:lang w:val="fr-FR"/>
          </w:rPr>
          <w:t>CEDAW/C/MLI/CO/5</w:t>
        </w:r>
      </w:hyperlink>
      <w:r w:rsidRPr="003F778A">
        <w:rPr>
          <w:b/>
          <w:lang w:val="fr-FR"/>
        </w:rPr>
        <w:t xml:space="preserve">, par. 24) et conformément à l’objectif de développement durable 5 (cible 5.3) et en vue de l’examen après 25 ans de la mise en œuvre du Programme d’action de Beijing ; </w:t>
      </w:r>
    </w:p>
    <w:p w14:paraId="1523ADE1" w14:textId="280CF973" w:rsidR="008C454F" w:rsidRPr="003F778A" w:rsidRDefault="008C454F" w:rsidP="008C454F">
      <w:pPr>
        <w:pStyle w:val="SingleTxt"/>
        <w:rPr>
          <w:b/>
          <w:lang w:val="fr-FR"/>
        </w:rPr>
      </w:pPr>
      <w:r w:rsidRPr="003F778A">
        <w:rPr>
          <w:bCs/>
          <w:lang w:val="fr-FR"/>
        </w:rPr>
        <w:tab/>
      </w:r>
      <w:r w:rsidRPr="003F778A">
        <w:rPr>
          <w:b/>
          <w:lang w:val="fr-FR"/>
        </w:rPr>
        <w:t>b)</w:t>
      </w:r>
      <w:r w:rsidRPr="003F778A">
        <w:rPr>
          <w:b/>
          <w:lang w:val="fr-FR"/>
        </w:rPr>
        <w:tab/>
        <w:t xml:space="preserve">S’assurer que l’adoption par le Parlement de </w:t>
      </w:r>
      <w:r w:rsidR="006F183D" w:rsidRPr="003F778A">
        <w:rPr>
          <w:b/>
          <w:lang w:val="fr-FR"/>
        </w:rPr>
        <w:t>la</w:t>
      </w:r>
      <w:r w:rsidRPr="003F778A">
        <w:rPr>
          <w:b/>
          <w:lang w:val="fr-FR"/>
        </w:rPr>
        <w:t xml:space="preserve"> loi sur la prévention et la répression des violences basées sur le genre, y compris les mutilations génitales féminines, et la prise en charge des victimes de telles violences soit accompagnée des mesures suivantes :</w:t>
      </w:r>
    </w:p>
    <w:p w14:paraId="14D2438B" w14:textId="77777777" w:rsidR="008C454F" w:rsidRPr="003F778A" w:rsidRDefault="008C454F" w:rsidP="008C454F">
      <w:pPr>
        <w:pStyle w:val="SingleTxt"/>
        <w:ind w:left="1742" w:hanging="475"/>
        <w:rPr>
          <w:b/>
          <w:lang w:val="fr-FR"/>
        </w:rPr>
      </w:pPr>
      <w:r w:rsidRPr="003F778A">
        <w:rPr>
          <w:b/>
          <w:lang w:val="fr-FR"/>
        </w:rPr>
        <w:tab/>
        <w:t>i)</w:t>
      </w:r>
      <w:r w:rsidRPr="003F778A">
        <w:rPr>
          <w:b/>
          <w:lang w:val="fr-FR"/>
        </w:rPr>
        <w:tab/>
        <w:t>Le développement d’un plan stratégique de mise en œuvre de la loi et la création d’un mécanisme de coordination national chargé de l’application du plan stratégique, au sein duquel les ministères compétents, les parlementaires, les responsables religieux et communautaires, les représentants des autorités locales, la Commission nationale des droits de l’homme, la société civile, les ONG, les organismes des Nations Unies et les victimes seraient parties prenantes ;</w:t>
      </w:r>
    </w:p>
    <w:p w14:paraId="6175E4D1" w14:textId="77777777" w:rsidR="008C454F" w:rsidRPr="003F778A" w:rsidRDefault="008C454F" w:rsidP="008C454F">
      <w:pPr>
        <w:pStyle w:val="SingleTxt"/>
        <w:ind w:left="1742" w:hanging="475"/>
        <w:rPr>
          <w:b/>
          <w:lang w:val="fr-FR"/>
        </w:rPr>
      </w:pPr>
      <w:r w:rsidRPr="003F778A">
        <w:rPr>
          <w:b/>
          <w:lang w:val="fr-FR"/>
        </w:rPr>
        <w:tab/>
        <w:t>ii)</w:t>
      </w:r>
      <w:r w:rsidRPr="003F778A">
        <w:rPr>
          <w:b/>
          <w:lang w:val="fr-FR"/>
        </w:rPr>
        <w:tab/>
        <w:t xml:space="preserve">L’élaboration d’une stratégie de communication sur la loi qui soit adaptée aux différentes régions, langues et localités du pays, afin de vulgariser la loi et d’en assurer la mise en œuvre effective ; </w:t>
      </w:r>
    </w:p>
    <w:p w14:paraId="02D7FE0C" w14:textId="77777777" w:rsidR="008C454F" w:rsidRPr="003F778A" w:rsidRDefault="008C454F" w:rsidP="008C454F">
      <w:pPr>
        <w:pStyle w:val="SingleTxt"/>
        <w:ind w:left="1742" w:hanging="475"/>
        <w:rPr>
          <w:b/>
          <w:lang w:val="fr-FR"/>
        </w:rPr>
      </w:pPr>
      <w:r w:rsidRPr="003F778A">
        <w:rPr>
          <w:b/>
          <w:lang w:val="fr-FR"/>
        </w:rPr>
        <w:tab/>
        <w:t>iii)</w:t>
      </w:r>
      <w:r w:rsidRPr="003F778A">
        <w:rPr>
          <w:b/>
          <w:lang w:val="fr-FR"/>
        </w:rPr>
        <w:tab/>
        <w:t>L’élaboration d’un rapport annuel d’évaluation de la mise en œuvre de la loi par la Commission nationale des droits de l’homme ;</w:t>
      </w:r>
    </w:p>
    <w:p w14:paraId="3339B6DA" w14:textId="77777777" w:rsidR="008C454F" w:rsidRPr="003F778A" w:rsidRDefault="008C454F" w:rsidP="008C454F">
      <w:pPr>
        <w:pStyle w:val="SingleTxt"/>
        <w:rPr>
          <w:b/>
          <w:lang w:val="fr-FR"/>
        </w:rPr>
      </w:pPr>
      <w:r w:rsidRPr="003F778A">
        <w:rPr>
          <w:b/>
          <w:lang w:val="fr-FR"/>
        </w:rPr>
        <w:lastRenderedPageBreak/>
        <w:tab/>
        <w:t>c)</w:t>
      </w:r>
      <w:r w:rsidRPr="003F778A">
        <w:rPr>
          <w:b/>
          <w:lang w:val="fr-FR"/>
        </w:rPr>
        <w:tab/>
        <w:t>Mobiliser l’assistance technique régionale et internationale en vue de la mise en œuvre et du suivi de la loi, y compris dans le cadre de l’Initiative Spotlight ;</w:t>
      </w:r>
    </w:p>
    <w:p w14:paraId="48288E48" w14:textId="36D6E961" w:rsidR="008C454F" w:rsidRPr="003F778A" w:rsidRDefault="008C454F" w:rsidP="008C454F">
      <w:pPr>
        <w:pStyle w:val="SingleTxt"/>
        <w:rPr>
          <w:b/>
          <w:lang w:val="fr-FR"/>
        </w:rPr>
      </w:pPr>
      <w:r w:rsidRPr="003F778A">
        <w:rPr>
          <w:b/>
          <w:lang w:val="fr-FR"/>
        </w:rPr>
        <w:tab/>
        <w:t>d)</w:t>
      </w:r>
      <w:r w:rsidRPr="003F778A">
        <w:rPr>
          <w:b/>
          <w:lang w:val="fr-FR"/>
        </w:rPr>
        <w:tab/>
        <w:t>Faire de l’adoption de cette loi, comme mesure d’autonomisation sociale et politique des femmes, un élément clef du processus de paix, du redressement de l’État partie et de la restauration de l’état de droit pour promouvoir la stabilité, la sécurisation et la construction de l’État, à la lumière de la Convention, de la recommandation générale n</w:t>
      </w:r>
      <w:r w:rsidRPr="003F778A">
        <w:rPr>
          <w:b/>
          <w:vertAlign w:val="superscript"/>
          <w:lang w:val="fr-FR"/>
        </w:rPr>
        <w:t>o</w:t>
      </w:r>
      <w:r w:rsidRPr="003F778A">
        <w:rPr>
          <w:b/>
          <w:lang w:val="fr-FR"/>
        </w:rPr>
        <w:t xml:space="preserve"> 30 du Comité, en vertu de laquelle les droits des femmes ne peuvent être dissociés des questions de sécurité, et de la résolution </w:t>
      </w:r>
      <w:hyperlink r:id="rId19" w:history="1">
        <w:r w:rsidRPr="0014315A">
          <w:rPr>
            <w:rStyle w:val="Hyperlink"/>
            <w:b/>
            <w:lang w:val="fr-FR"/>
          </w:rPr>
          <w:t>1325 (2000)</w:t>
        </w:r>
      </w:hyperlink>
      <w:r w:rsidRPr="003F778A">
        <w:rPr>
          <w:b/>
          <w:lang w:val="fr-FR"/>
        </w:rPr>
        <w:t xml:space="preserve"> du Conseil de sécurité sur les femmes, la paix et la sécurité ;</w:t>
      </w:r>
      <w:r w:rsidRPr="003F778A" w:rsidDel="007A1D78">
        <w:rPr>
          <w:b/>
          <w:lang w:val="fr-FR"/>
        </w:rPr>
        <w:t xml:space="preserve"> </w:t>
      </w:r>
    </w:p>
    <w:p w14:paraId="56E73CC4" w14:textId="77777777" w:rsidR="008C454F" w:rsidRPr="003F778A" w:rsidRDefault="008C454F" w:rsidP="008C454F">
      <w:pPr>
        <w:pStyle w:val="SingleTxt"/>
        <w:rPr>
          <w:b/>
          <w:lang w:val="fr-FR"/>
        </w:rPr>
      </w:pPr>
      <w:r w:rsidRPr="003F778A">
        <w:rPr>
          <w:b/>
          <w:lang w:val="fr-FR"/>
        </w:rPr>
        <w:tab/>
        <w:t>e)</w:t>
      </w:r>
      <w:r w:rsidRPr="003F778A">
        <w:rPr>
          <w:b/>
          <w:lang w:val="fr-FR"/>
        </w:rPr>
        <w:tab/>
        <w:t>Renforcer les capacités du Ministère de la promotion de la femme, de l’enfant et de la famille</w:t>
      </w:r>
      <w:r w:rsidRPr="003F778A" w:rsidDel="005D5C95">
        <w:rPr>
          <w:b/>
          <w:lang w:val="fr-FR"/>
        </w:rPr>
        <w:t xml:space="preserve"> </w:t>
      </w:r>
      <w:r w:rsidRPr="003F778A">
        <w:rPr>
          <w:b/>
          <w:lang w:val="fr-FR"/>
        </w:rPr>
        <w:t>pour lui permettre d’assurer la coordination, la décentralisation, la mise en œuvre et le suivi des mesures prises.</w:t>
      </w:r>
    </w:p>
    <w:p w14:paraId="00131887" w14:textId="77777777" w:rsidR="008C454F" w:rsidRPr="003F778A" w:rsidRDefault="008C454F" w:rsidP="008C454F">
      <w:pPr>
        <w:pStyle w:val="SingleTxt"/>
        <w:spacing w:after="0" w:line="120" w:lineRule="exact"/>
        <w:rPr>
          <w:sz w:val="10"/>
          <w:lang w:val="fr-FR"/>
        </w:rPr>
      </w:pPr>
    </w:p>
    <w:p w14:paraId="77A0A70A" w14:textId="77777777" w:rsidR="008C454F" w:rsidRPr="003F778A" w:rsidRDefault="008C454F" w:rsidP="008C454F">
      <w:pPr>
        <w:pStyle w:val="SingleTxt"/>
        <w:spacing w:after="0" w:line="120" w:lineRule="exact"/>
        <w:rPr>
          <w:sz w:val="10"/>
          <w:lang w:val="fr-FR"/>
        </w:rPr>
      </w:pPr>
    </w:p>
    <w:p w14:paraId="69352D15"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B.</w:t>
      </w:r>
      <w:r w:rsidRPr="003F778A">
        <w:rPr>
          <w:lang w:val="fr-FR"/>
        </w:rPr>
        <w:tab/>
        <w:t>Accès à la justice</w:t>
      </w:r>
    </w:p>
    <w:p w14:paraId="380F6F3F" w14:textId="77777777" w:rsidR="008C454F" w:rsidRPr="003F778A" w:rsidRDefault="008C454F" w:rsidP="008C454F">
      <w:pPr>
        <w:pStyle w:val="SingleTxt"/>
        <w:spacing w:after="0" w:line="120" w:lineRule="exact"/>
        <w:rPr>
          <w:sz w:val="10"/>
          <w:lang w:val="fr-FR"/>
        </w:rPr>
      </w:pPr>
    </w:p>
    <w:p w14:paraId="432B9DF3" w14:textId="77777777" w:rsidR="008C454F" w:rsidRPr="003F778A" w:rsidRDefault="008C454F" w:rsidP="008C454F">
      <w:pPr>
        <w:pStyle w:val="SingleTxt"/>
        <w:spacing w:after="0" w:line="120" w:lineRule="exact"/>
        <w:rPr>
          <w:sz w:val="10"/>
          <w:lang w:val="fr-FR"/>
        </w:rPr>
      </w:pPr>
    </w:p>
    <w:p w14:paraId="7B5759DA"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Le Comité recommande à l’État partie de prendre les mesures suivantes : </w:t>
      </w:r>
    </w:p>
    <w:p w14:paraId="611EF395" w14:textId="77777777" w:rsidR="008C454F" w:rsidRPr="003F778A" w:rsidRDefault="008C454F" w:rsidP="008C454F">
      <w:pPr>
        <w:pStyle w:val="SingleTxt"/>
        <w:rPr>
          <w:b/>
          <w:lang w:val="fr-FR"/>
        </w:rPr>
      </w:pPr>
      <w:r w:rsidRPr="003F778A">
        <w:rPr>
          <w:bCs/>
          <w:lang w:val="fr-FR"/>
        </w:rPr>
        <w:tab/>
      </w:r>
      <w:r w:rsidRPr="003F778A">
        <w:rPr>
          <w:b/>
          <w:lang w:val="fr-FR"/>
        </w:rPr>
        <w:t>a)</w:t>
      </w:r>
      <w:r w:rsidRPr="003F778A">
        <w:rPr>
          <w:b/>
          <w:lang w:val="fr-FR"/>
        </w:rPr>
        <w:tab/>
        <w:t>Garantir la formation systématique des magistrats et des officiers de police judiciaire en matière de questions relatives aux mutilations génitales féminines, à la lumière de la Convention et du Protocole de Maputo ;</w:t>
      </w:r>
    </w:p>
    <w:p w14:paraId="7B7390D7" w14:textId="77777777" w:rsidR="008C454F" w:rsidRPr="003F778A" w:rsidRDefault="008C454F" w:rsidP="008C454F">
      <w:pPr>
        <w:pStyle w:val="SingleTxt"/>
        <w:rPr>
          <w:b/>
          <w:lang w:val="fr-FR"/>
        </w:rPr>
      </w:pPr>
      <w:r w:rsidRPr="003F778A">
        <w:rPr>
          <w:b/>
          <w:lang w:val="fr-FR"/>
        </w:rPr>
        <w:tab/>
        <w:t>b)</w:t>
      </w:r>
      <w:r w:rsidRPr="003F778A">
        <w:rPr>
          <w:b/>
          <w:lang w:val="fr-FR"/>
        </w:rPr>
        <w:tab/>
        <w:t xml:space="preserve">Doter les acteurs de l’appareil judiciaire et de la chaîne pénale, ainsi que les autres agents responsables de l’application des lois, de ressources suffisantes pour lutter contre l’impunité liée aux mutilations génitales féminines ; </w:t>
      </w:r>
    </w:p>
    <w:p w14:paraId="1B886FA9" w14:textId="77777777" w:rsidR="008C454F" w:rsidRPr="003F778A" w:rsidRDefault="008C454F" w:rsidP="008C454F">
      <w:pPr>
        <w:pStyle w:val="SingleTxt"/>
        <w:rPr>
          <w:b/>
          <w:lang w:val="fr-FR"/>
        </w:rPr>
      </w:pPr>
      <w:r w:rsidRPr="003F778A">
        <w:rPr>
          <w:b/>
          <w:lang w:val="fr-FR"/>
        </w:rPr>
        <w:tab/>
        <w:t>c)</w:t>
      </w:r>
      <w:r w:rsidRPr="003F778A">
        <w:rPr>
          <w:b/>
          <w:lang w:val="fr-FR"/>
        </w:rPr>
        <w:tab/>
        <w:t>Garantir que les victimes et les femmes exposées puissent porter plainte et dénoncer les auteurs de mutilations génitales féminines, y compris les chefs de famille, les exciseuses et leurs assistantes, entre autres en établissant une ligne téléphonique gratuite permettant aux victimes d’obtenir des conseils et des informations ;</w:t>
      </w:r>
    </w:p>
    <w:p w14:paraId="5C305B11" w14:textId="77777777" w:rsidR="008C454F" w:rsidRPr="003F778A" w:rsidRDefault="008C454F" w:rsidP="008C454F">
      <w:pPr>
        <w:pStyle w:val="SingleTxt"/>
        <w:rPr>
          <w:b/>
          <w:lang w:val="fr-FR"/>
        </w:rPr>
      </w:pPr>
      <w:r w:rsidRPr="003F778A">
        <w:rPr>
          <w:b/>
          <w:lang w:val="fr-FR"/>
        </w:rPr>
        <w:tab/>
        <w:t>d)</w:t>
      </w:r>
      <w:r w:rsidRPr="003F778A">
        <w:rPr>
          <w:b/>
          <w:lang w:val="fr-FR"/>
        </w:rPr>
        <w:tab/>
        <w:t>Mettre en œuvre la circulaire n</w:t>
      </w:r>
      <w:r w:rsidRPr="003F778A">
        <w:rPr>
          <w:b/>
          <w:vertAlign w:val="superscript"/>
          <w:lang w:val="fr-FR"/>
        </w:rPr>
        <w:t>o</w:t>
      </w:r>
      <w:r w:rsidRPr="003F778A">
        <w:rPr>
          <w:b/>
          <w:lang w:val="fr-FR"/>
        </w:rPr>
        <w:t> 99-0019 de la Ministre de la santé, des personnes âgées et de la solidarité du 7 janvier 1999, notamment en sensibilisant les agents de santé à son contenu et en sanctionnant les agents qui ne la respectent pas, y compris les directeurs d’établissement responsables de ces agents ;</w:t>
      </w:r>
    </w:p>
    <w:p w14:paraId="46228F9D" w14:textId="77777777" w:rsidR="008C454F" w:rsidRPr="003F778A" w:rsidRDefault="008C454F" w:rsidP="008C454F">
      <w:pPr>
        <w:pStyle w:val="SingleTxt"/>
        <w:rPr>
          <w:b/>
          <w:lang w:val="fr-FR"/>
        </w:rPr>
      </w:pPr>
      <w:r w:rsidRPr="003F778A">
        <w:rPr>
          <w:b/>
          <w:lang w:val="fr-FR"/>
        </w:rPr>
        <w:tab/>
        <w:t>e)</w:t>
      </w:r>
      <w:r w:rsidRPr="003F778A">
        <w:rPr>
          <w:b/>
          <w:lang w:val="fr-FR"/>
        </w:rPr>
        <w:tab/>
        <w:t>Imposer aux professionnels et aux institutions travaillant avec les femmes et les filles de signaler immédiatement les cas de mutilations génitales féminines et les risques qu’une telle mutilation soit commise, tout en garantissant la confidentialité des personnes qui signalent ces cas.</w:t>
      </w:r>
    </w:p>
    <w:p w14:paraId="36EC5E37" w14:textId="77777777" w:rsidR="008C454F" w:rsidRPr="003F778A" w:rsidRDefault="008C454F" w:rsidP="008C454F">
      <w:pPr>
        <w:pStyle w:val="SingleTxt"/>
        <w:spacing w:after="0" w:line="120" w:lineRule="exact"/>
        <w:rPr>
          <w:sz w:val="10"/>
          <w:lang w:val="fr-FR"/>
        </w:rPr>
      </w:pPr>
    </w:p>
    <w:p w14:paraId="24E73834" w14:textId="77777777" w:rsidR="008C454F" w:rsidRPr="003F778A" w:rsidRDefault="008C454F" w:rsidP="008C454F">
      <w:pPr>
        <w:pStyle w:val="SingleTxt"/>
        <w:spacing w:after="0" w:line="120" w:lineRule="exact"/>
        <w:rPr>
          <w:sz w:val="10"/>
          <w:lang w:val="fr-FR"/>
        </w:rPr>
      </w:pPr>
    </w:p>
    <w:p w14:paraId="5563DCA9"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C.</w:t>
      </w:r>
      <w:r w:rsidRPr="003F778A">
        <w:rPr>
          <w:lang w:val="fr-FR"/>
        </w:rPr>
        <w:tab/>
        <w:t xml:space="preserve">Prise en charge des victimes </w:t>
      </w:r>
    </w:p>
    <w:p w14:paraId="73151AF4" w14:textId="77777777" w:rsidR="008C454F" w:rsidRPr="003F778A" w:rsidRDefault="008C454F" w:rsidP="008C454F">
      <w:pPr>
        <w:pStyle w:val="SingleTxt"/>
        <w:spacing w:after="0" w:line="120" w:lineRule="exact"/>
        <w:rPr>
          <w:sz w:val="10"/>
          <w:lang w:val="fr-FR"/>
        </w:rPr>
      </w:pPr>
    </w:p>
    <w:p w14:paraId="0BB8017F" w14:textId="77777777" w:rsidR="008C454F" w:rsidRPr="003F778A" w:rsidRDefault="008C454F" w:rsidP="008C454F">
      <w:pPr>
        <w:pStyle w:val="SingleTxt"/>
        <w:spacing w:after="0" w:line="120" w:lineRule="exact"/>
        <w:rPr>
          <w:sz w:val="10"/>
          <w:lang w:val="fr-FR"/>
        </w:rPr>
      </w:pPr>
    </w:p>
    <w:p w14:paraId="2D1E2C8B"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Le Comité recommande à l’État partie de prendre les mesures suivantes : </w:t>
      </w:r>
    </w:p>
    <w:p w14:paraId="799FAE4E" w14:textId="77777777" w:rsidR="008C454F" w:rsidRPr="003F778A" w:rsidRDefault="008C454F" w:rsidP="008C454F">
      <w:pPr>
        <w:pStyle w:val="SingleTxt"/>
        <w:rPr>
          <w:b/>
          <w:lang w:val="fr-FR"/>
        </w:rPr>
      </w:pPr>
      <w:r w:rsidRPr="003F778A">
        <w:rPr>
          <w:b/>
          <w:lang w:val="fr-FR"/>
        </w:rPr>
        <w:tab/>
        <w:t>a)</w:t>
      </w:r>
      <w:r w:rsidRPr="003F778A">
        <w:rPr>
          <w:b/>
          <w:lang w:val="fr-FR"/>
        </w:rPr>
        <w:tab/>
        <w:t xml:space="preserve">Offrir systématiquement des soins spécialisés et adaptés aux victimes de mutilations génitales féminines et garantir l’accessibilité financière, géographique et physique à ces soins ; </w:t>
      </w:r>
    </w:p>
    <w:p w14:paraId="7DEED00E" w14:textId="1A6B3FC2" w:rsidR="008C454F" w:rsidRPr="003F778A" w:rsidRDefault="008C454F" w:rsidP="008C454F">
      <w:pPr>
        <w:pStyle w:val="SingleTxt"/>
        <w:rPr>
          <w:b/>
          <w:lang w:val="fr-FR"/>
        </w:rPr>
      </w:pPr>
      <w:r w:rsidRPr="003F778A">
        <w:rPr>
          <w:b/>
          <w:lang w:val="fr-FR"/>
        </w:rPr>
        <w:tab/>
        <w:t>b)</w:t>
      </w:r>
      <w:r w:rsidRPr="003F778A">
        <w:rPr>
          <w:b/>
          <w:lang w:val="fr-FR"/>
        </w:rPr>
        <w:tab/>
        <w:t xml:space="preserve">Renforcer les capacités des professionnels de la santé, gardes-frontières, enseignants et prestataires de service travaillant avec les femmes et les filles en ce qui a trait aux droits des femmes, y compris leur droit à ne pas être discriminées et leur droit à la santé, ainsi qu’aux effets néfastes des </w:t>
      </w:r>
      <w:r w:rsidRPr="003F778A">
        <w:rPr>
          <w:b/>
          <w:lang w:val="fr-FR"/>
        </w:rPr>
        <w:lastRenderedPageBreak/>
        <w:t>mutilations génitales féminines et aux outils de prise en charge, à la lumière des lignes directrices de l’Organisation mondiale de la Santé sur la prise en charge des complications des mutilations sexuelles féminines</w:t>
      </w:r>
      <w:r w:rsidRPr="003F778A">
        <w:rPr>
          <w:bCs/>
          <w:lang w:val="fr-FR"/>
        </w:rPr>
        <w:t> </w:t>
      </w:r>
      <w:r w:rsidRPr="003F778A">
        <w:rPr>
          <w:b/>
          <w:lang w:val="fr-FR"/>
        </w:rPr>
        <w:t>;</w:t>
      </w:r>
    </w:p>
    <w:p w14:paraId="4DB0B4AD" w14:textId="77777777" w:rsidR="008C454F" w:rsidRPr="003F778A" w:rsidRDefault="008C454F" w:rsidP="008C454F">
      <w:pPr>
        <w:pStyle w:val="SingleTxt"/>
        <w:rPr>
          <w:b/>
          <w:lang w:val="fr-FR"/>
        </w:rPr>
      </w:pPr>
      <w:r w:rsidRPr="003F778A">
        <w:rPr>
          <w:b/>
          <w:lang w:val="fr-FR"/>
        </w:rPr>
        <w:tab/>
        <w:t>c)</w:t>
      </w:r>
      <w:r w:rsidRPr="003F778A">
        <w:rPr>
          <w:b/>
          <w:lang w:val="fr-FR"/>
        </w:rPr>
        <w:tab/>
        <w:t xml:space="preserve">Établir et soutenir financièrement le fonctionnement des centres d’accueil pour les victimes et les filles qui risquent de subir des mutilations génitales et cherchent refuge, y compris les centres gérés par les associations de femmes ; </w:t>
      </w:r>
    </w:p>
    <w:p w14:paraId="0F1039FA" w14:textId="77777777" w:rsidR="008C454F" w:rsidRPr="003F778A" w:rsidRDefault="008C454F" w:rsidP="008C454F">
      <w:pPr>
        <w:pStyle w:val="SingleTxt"/>
        <w:rPr>
          <w:b/>
          <w:lang w:val="fr-FR"/>
        </w:rPr>
      </w:pPr>
      <w:r w:rsidRPr="003F778A">
        <w:rPr>
          <w:b/>
          <w:lang w:val="fr-FR"/>
        </w:rPr>
        <w:tab/>
        <w:t>d)</w:t>
      </w:r>
      <w:r w:rsidRPr="003F778A">
        <w:rPr>
          <w:b/>
          <w:lang w:val="fr-FR"/>
        </w:rPr>
        <w:tab/>
        <w:t>Garantir un soutien financier aux ONG engagées dans la mise en œuvre de la politique nationale pour l’abandon des mutilations génitales féminines et des plans d’action sur les mutilations génitales féminines, et coopérer avec les ONG en vue du suivi de la mise en œuvre des déclarations d’abandon des mutilations génitales féminines.</w:t>
      </w:r>
    </w:p>
    <w:p w14:paraId="7C8CD939" w14:textId="77777777" w:rsidR="008C454F" w:rsidRPr="003F778A" w:rsidRDefault="008C454F" w:rsidP="008C454F">
      <w:pPr>
        <w:pStyle w:val="SingleTxt"/>
        <w:spacing w:after="0" w:line="120" w:lineRule="exact"/>
        <w:rPr>
          <w:sz w:val="10"/>
          <w:lang w:val="fr-FR"/>
        </w:rPr>
      </w:pPr>
    </w:p>
    <w:p w14:paraId="427662C2" w14:textId="77777777" w:rsidR="008C454F" w:rsidRPr="003F778A" w:rsidRDefault="008C454F" w:rsidP="008C454F">
      <w:pPr>
        <w:pStyle w:val="SingleTxt"/>
        <w:spacing w:after="0" w:line="120" w:lineRule="exact"/>
        <w:rPr>
          <w:sz w:val="10"/>
          <w:lang w:val="fr-FR"/>
        </w:rPr>
      </w:pPr>
    </w:p>
    <w:p w14:paraId="52B77A7A"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D.</w:t>
      </w:r>
      <w:r w:rsidRPr="003F778A">
        <w:rPr>
          <w:lang w:val="fr-FR"/>
        </w:rPr>
        <w:tab/>
        <w:t>Participation et implication des responsables religieux et communautaires</w:t>
      </w:r>
    </w:p>
    <w:p w14:paraId="63E27787" w14:textId="77777777" w:rsidR="008C454F" w:rsidRPr="003F778A" w:rsidRDefault="008C454F" w:rsidP="008C454F">
      <w:pPr>
        <w:pStyle w:val="SingleTxt"/>
        <w:spacing w:after="0" w:line="120" w:lineRule="exact"/>
        <w:rPr>
          <w:sz w:val="10"/>
          <w:lang w:val="fr-FR"/>
        </w:rPr>
      </w:pPr>
    </w:p>
    <w:p w14:paraId="021074C0" w14:textId="77777777" w:rsidR="008C454F" w:rsidRPr="003F778A" w:rsidRDefault="008C454F" w:rsidP="008C454F">
      <w:pPr>
        <w:pStyle w:val="SingleTxt"/>
        <w:spacing w:after="0" w:line="120" w:lineRule="exact"/>
        <w:rPr>
          <w:sz w:val="10"/>
          <w:lang w:val="fr-FR"/>
        </w:rPr>
      </w:pPr>
    </w:p>
    <w:p w14:paraId="4C5BA325"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Le Comité recommande à l’État partie de prendre les mesures suivantes : </w:t>
      </w:r>
    </w:p>
    <w:p w14:paraId="728EA186" w14:textId="77777777" w:rsidR="008C454F" w:rsidRPr="003F778A" w:rsidRDefault="008C454F" w:rsidP="008C454F">
      <w:pPr>
        <w:pStyle w:val="SingleTxt"/>
        <w:rPr>
          <w:b/>
          <w:lang w:val="fr-FR"/>
        </w:rPr>
      </w:pPr>
      <w:r w:rsidRPr="003F778A">
        <w:rPr>
          <w:b/>
          <w:lang w:val="fr-FR"/>
        </w:rPr>
        <w:tab/>
        <w:t>a)</w:t>
      </w:r>
      <w:r w:rsidRPr="003F778A">
        <w:rPr>
          <w:b/>
          <w:lang w:val="fr-FR"/>
        </w:rPr>
        <w:tab/>
        <w:t>Renforcer le dialogue avec les responsables religieux et communautaires, y compris les responsables religieux musulmans, sur les mutilations génitales féminines, et s’assurer de la consultation et de l’implication effective de ces acteurs dans l’élaboration et la mise en œuvre des programmes et politiques de lutte contre les mutilations génitales féminines, ainsi que dans le processus d’adoption de la</w:t>
      </w:r>
      <w:r w:rsidRPr="003F778A" w:rsidDel="00800303">
        <w:rPr>
          <w:b/>
          <w:lang w:val="fr-FR"/>
        </w:rPr>
        <w:t xml:space="preserve"> </w:t>
      </w:r>
      <w:r w:rsidRPr="003F778A">
        <w:rPr>
          <w:b/>
          <w:lang w:val="fr-FR"/>
        </w:rPr>
        <w:t>loi sur les violences basées sur le genre criminalisant les mutilations génitales féminines ;</w:t>
      </w:r>
    </w:p>
    <w:p w14:paraId="64D795C7" w14:textId="77777777" w:rsidR="008C454F" w:rsidRPr="003F778A" w:rsidRDefault="008C454F" w:rsidP="008C454F">
      <w:pPr>
        <w:pStyle w:val="SingleTxt"/>
        <w:rPr>
          <w:b/>
          <w:lang w:val="fr-FR"/>
        </w:rPr>
      </w:pPr>
      <w:r w:rsidRPr="003F778A">
        <w:rPr>
          <w:b/>
          <w:lang w:val="fr-FR"/>
        </w:rPr>
        <w:tab/>
        <w:t>b)</w:t>
      </w:r>
      <w:r w:rsidRPr="003F778A">
        <w:rPr>
          <w:b/>
          <w:lang w:val="fr-FR"/>
        </w:rPr>
        <w:tab/>
        <w:t xml:space="preserve">Dispenser aux responsables religieux et communautaires des formations sur les droits des femmes et les principes de non-discrimination et d’égalité de genre, tels que garantis par la Convention, y compris à la lumière des dispositions religieuses en la matière, en collaboration avec le Ministère des affaires religieuses et du culte, la Commission nationale des droits de l’homme, les organismes des Nations Unies et la société civile ; </w:t>
      </w:r>
    </w:p>
    <w:p w14:paraId="3D99D620" w14:textId="77777777" w:rsidR="008C454F" w:rsidRPr="003F778A" w:rsidRDefault="008C454F" w:rsidP="008C454F">
      <w:pPr>
        <w:pStyle w:val="SingleTxt"/>
        <w:rPr>
          <w:b/>
          <w:lang w:val="fr-FR"/>
        </w:rPr>
      </w:pPr>
      <w:r w:rsidRPr="003F778A">
        <w:rPr>
          <w:b/>
          <w:lang w:val="fr-FR"/>
        </w:rPr>
        <w:tab/>
        <w:t>c)</w:t>
      </w:r>
      <w:r w:rsidRPr="003F778A">
        <w:rPr>
          <w:b/>
          <w:lang w:val="fr-FR"/>
        </w:rPr>
        <w:tab/>
        <w:t>Soutenir le Ministère des affaires religieuses et du culte en vue de l’adoption d’une déclaration publique des responsables religieux maliens en faveur de l’abandon des mutilations génitales féminines, et de l’organisation, au Mali, d’un forum de responsables religieux sur les mutilations génitales féminines intégrant la participation de pays ayant formellement déclaré cette pratique contraire à la religion, sur le modèle du colloque organisé par les responsables religieux en Mauritanie en 2011, afin d’aboutir à une évolution de la perception des responsables religieux maliens sur la question des mutilations génitales féminines ;</w:t>
      </w:r>
    </w:p>
    <w:p w14:paraId="51B85381" w14:textId="77777777" w:rsidR="008C454F" w:rsidRPr="003F778A" w:rsidRDefault="008C454F" w:rsidP="008C454F">
      <w:pPr>
        <w:pStyle w:val="SingleTxt"/>
        <w:rPr>
          <w:b/>
          <w:lang w:val="fr-FR"/>
        </w:rPr>
      </w:pPr>
      <w:r w:rsidRPr="003F778A">
        <w:rPr>
          <w:b/>
          <w:lang w:val="fr-FR"/>
        </w:rPr>
        <w:tab/>
        <w:t>d)</w:t>
      </w:r>
      <w:r w:rsidRPr="003F778A">
        <w:rPr>
          <w:b/>
          <w:lang w:val="fr-FR"/>
        </w:rPr>
        <w:tab/>
        <w:t>Soutenir les responsables religieux et communautaires dans leur action en vue de l’élimination des mutilations génitales féminines, y compris par un accompagnement financier, et renforcer les ressources humaines, financières et matérielles du Ministère des affaires religieuses et du culte.</w:t>
      </w:r>
    </w:p>
    <w:p w14:paraId="27685973" w14:textId="77777777" w:rsidR="008C454F" w:rsidRPr="003F778A" w:rsidRDefault="008C454F" w:rsidP="008C454F">
      <w:pPr>
        <w:pStyle w:val="SingleTxt"/>
        <w:spacing w:after="0" w:line="120" w:lineRule="exact"/>
        <w:rPr>
          <w:sz w:val="10"/>
          <w:lang w:val="fr-FR"/>
        </w:rPr>
      </w:pPr>
    </w:p>
    <w:p w14:paraId="4D1269BC"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E.</w:t>
      </w:r>
      <w:r w:rsidRPr="003F778A">
        <w:rPr>
          <w:lang w:val="fr-FR"/>
        </w:rPr>
        <w:tab/>
        <w:t>Mesures destinées aux exciseuses</w:t>
      </w:r>
    </w:p>
    <w:p w14:paraId="566F3241" w14:textId="77777777" w:rsidR="008C454F" w:rsidRPr="003F778A" w:rsidRDefault="008C454F" w:rsidP="008C454F">
      <w:pPr>
        <w:pStyle w:val="SingleTxt"/>
        <w:spacing w:after="0" w:line="120" w:lineRule="exact"/>
        <w:rPr>
          <w:sz w:val="10"/>
          <w:lang w:val="fr-FR"/>
        </w:rPr>
      </w:pPr>
    </w:p>
    <w:p w14:paraId="02E7C31B" w14:textId="77777777" w:rsidR="008C454F" w:rsidRPr="003F778A" w:rsidRDefault="008C454F" w:rsidP="008C454F">
      <w:pPr>
        <w:pStyle w:val="SingleTxt"/>
        <w:spacing w:after="0" w:line="120" w:lineRule="exact"/>
        <w:rPr>
          <w:sz w:val="10"/>
          <w:lang w:val="fr-FR"/>
        </w:rPr>
      </w:pPr>
    </w:p>
    <w:p w14:paraId="10348DF8"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Le Comité recommande à l’État partie de prendre les mesures suivantes : </w:t>
      </w:r>
    </w:p>
    <w:p w14:paraId="4B372E8C" w14:textId="77777777" w:rsidR="008C454F" w:rsidRPr="003F778A" w:rsidRDefault="008C454F" w:rsidP="008C454F">
      <w:pPr>
        <w:pStyle w:val="SingleTxt"/>
        <w:rPr>
          <w:b/>
          <w:lang w:val="fr-FR"/>
        </w:rPr>
      </w:pPr>
      <w:r w:rsidRPr="003F778A">
        <w:rPr>
          <w:b/>
          <w:lang w:val="fr-FR"/>
        </w:rPr>
        <w:tab/>
        <w:t>a)</w:t>
      </w:r>
      <w:r w:rsidRPr="003F778A">
        <w:rPr>
          <w:b/>
          <w:lang w:val="fr-FR"/>
        </w:rPr>
        <w:tab/>
        <w:t xml:space="preserve">Renforcer les mesures visant l’abandon de la pratique des mutilations génitales féminines par les exciseuses et à les aider à trouver d’autres sources de </w:t>
      </w:r>
      <w:r w:rsidRPr="003F778A">
        <w:rPr>
          <w:b/>
          <w:lang w:val="fr-FR"/>
        </w:rPr>
        <w:lastRenderedPageBreak/>
        <w:t>revenu, y compris par des formations, ainsi que le soutien à l’emploi et à l’établissement d’entreprises ;</w:t>
      </w:r>
    </w:p>
    <w:p w14:paraId="1F019E55" w14:textId="77777777" w:rsidR="008C454F" w:rsidRPr="003F778A" w:rsidRDefault="008C454F" w:rsidP="006E3CD9">
      <w:pPr>
        <w:pStyle w:val="SingleTxt"/>
        <w:rPr>
          <w:b/>
          <w:lang w:val="fr-FR"/>
        </w:rPr>
      </w:pPr>
      <w:r w:rsidRPr="003F778A">
        <w:rPr>
          <w:b/>
          <w:lang w:val="fr-FR"/>
        </w:rPr>
        <w:tab/>
        <w:t>b)</w:t>
      </w:r>
      <w:r w:rsidRPr="003F778A">
        <w:rPr>
          <w:b/>
          <w:lang w:val="fr-FR"/>
        </w:rPr>
        <w:tab/>
        <w:t xml:space="preserve">Promouvoir des rites positifs de passage marquant l’entrée d’une fille dans l’âge adulte sans mutilation génitale qui attribuent un rôle central aux exciseuses ayant abandonné leur pratique, à l’image des cérémonies instaurées en Gambie, au Kenya et en République-Unie de Tanzanie. </w:t>
      </w:r>
    </w:p>
    <w:p w14:paraId="1C23E4D1" w14:textId="77777777" w:rsidR="008C454F" w:rsidRPr="003F778A" w:rsidRDefault="008C454F" w:rsidP="008C454F">
      <w:pPr>
        <w:pStyle w:val="SingleTxt"/>
        <w:spacing w:after="0" w:line="120" w:lineRule="exact"/>
        <w:rPr>
          <w:sz w:val="10"/>
          <w:lang w:val="fr-FR"/>
        </w:rPr>
      </w:pPr>
    </w:p>
    <w:p w14:paraId="280DF9C6" w14:textId="77777777" w:rsidR="008C454F" w:rsidRPr="003F778A" w:rsidRDefault="008C454F" w:rsidP="008C454F">
      <w:pPr>
        <w:pStyle w:val="SingleTxt"/>
        <w:spacing w:after="0" w:line="120" w:lineRule="exact"/>
        <w:rPr>
          <w:sz w:val="10"/>
          <w:lang w:val="fr-FR"/>
        </w:rPr>
      </w:pPr>
    </w:p>
    <w:p w14:paraId="3B33DE39"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F.</w:t>
      </w:r>
      <w:r w:rsidRPr="003F778A">
        <w:rPr>
          <w:lang w:val="fr-FR"/>
        </w:rPr>
        <w:tab/>
        <w:t xml:space="preserve">Prévention et sensibilisation </w:t>
      </w:r>
    </w:p>
    <w:p w14:paraId="4FE0FA83" w14:textId="77777777" w:rsidR="008C454F" w:rsidRPr="003F778A" w:rsidRDefault="008C454F" w:rsidP="008C454F">
      <w:pPr>
        <w:pStyle w:val="SingleTxt"/>
        <w:spacing w:after="0" w:line="120" w:lineRule="exact"/>
        <w:rPr>
          <w:sz w:val="10"/>
          <w:lang w:val="fr-FR"/>
        </w:rPr>
      </w:pPr>
    </w:p>
    <w:p w14:paraId="04F74A36" w14:textId="77777777" w:rsidR="008C454F" w:rsidRPr="003F778A" w:rsidRDefault="008C454F" w:rsidP="008C454F">
      <w:pPr>
        <w:pStyle w:val="SingleTxt"/>
        <w:spacing w:after="0" w:line="120" w:lineRule="exact"/>
        <w:rPr>
          <w:sz w:val="10"/>
          <w:lang w:val="fr-FR"/>
        </w:rPr>
      </w:pPr>
    </w:p>
    <w:p w14:paraId="1DE6AC32" w14:textId="77777777" w:rsidR="008C454F" w:rsidRPr="003F778A" w:rsidRDefault="008C454F" w:rsidP="008C454F">
      <w:pPr>
        <w:pStyle w:val="SingleTxt"/>
        <w:numPr>
          <w:ilvl w:val="0"/>
          <w:numId w:val="45"/>
        </w:numPr>
        <w:ind w:left="1267"/>
        <w:rPr>
          <w:b/>
          <w:bCs/>
          <w:lang w:val="fr-FR"/>
        </w:rPr>
      </w:pPr>
      <w:r w:rsidRPr="003F778A">
        <w:rPr>
          <w:b/>
          <w:bCs/>
          <w:lang w:val="fr-FR"/>
        </w:rPr>
        <w:t>Le Comité recommande à l’État partie de prendre les mesures suivantes :</w:t>
      </w:r>
    </w:p>
    <w:p w14:paraId="3568C4F2" w14:textId="77777777" w:rsidR="008C454F" w:rsidRPr="003F778A" w:rsidRDefault="008C454F" w:rsidP="008C454F">
      <w:pPr>
        <w:pStyle w:val="SingleTxt"/>
        <w:rPr>
          <w:b/>
          <w:lang w:val="fr-FR"/>
        </w:rPr>
      </w:pPr>
      <w:r w:rsidRPr="003F778A">
        <w:rPr>
          <w:b/>
          <w:lang w:val="fr-FR"/>
        </w:rPr>
        <w:tab/>
        <w:t>a)</w:t>
      </w:r>
      <w:r w:rsidRPr="003F778A">
        <w:rPr>
          <w:b/>
          <w:lang w:val="fr-FR"/>
        </w:rPr>
        <w:tab/>
        <w:t xml:space="preserve">Établir des antennes régionales permanentes du programme national de lutte contre la pratique de l’excision et leur octroyer les ressources techniques, humaines et financières nécessaires pour garantir un suivi efficace des actions, y compris celles visant à remettre en cause et à changer les attitudes culturelles et sociales, les traditions et les coutumes sur lesquelles repose la pratique des mutilations génitales féminines ; </w:t>
      </w:r>
    </w:p>
    <w:p w14:paraId="0F583608" w14:textId="77777777" w:rsidR="008C454F" w:rsidRPr="003F778A" w:rsidRDefault="008C454F" w:rsidP="008C454F">
      <w:pPr>
        <w:pStyle w:val="SingleTxt"/>
        <w:rPr>
          <w:b/>
          <w:lang w:val="fr-FR"/>
        </w:rPr>
      </w:pPr>
      <w:r w:rsidRPr="003F778A">
        <w:rPr>
          <w:b/>
          <w:lang w:val="fr-FR"/>
        </w:rPr>
        <w:tab/>
        <w:t>b)</w:t>
      </w:r>
      <w:r w:rsidRPr="003F778A">
        <w:rPr>
          <w:b/>
          <w:lang w:val="fr-FR"/>
        </w:rPr>
        <w:tab/>
        <w:t>Allouer les ressources techniques, humaines et financières suffisantes pour une sensibilisation – dans les langues nationales et sous une forme adaptée aux populations rurales, urbaines et à la diaspora malienne – axée sur les effets néfastes des mutilations génitales féminines et les droits des femmes, y compris le droit à la santé et le droit de donner ou refuser son consentement en connaissance de cause à tout traitement ayant un impact sur la santé ;</w:t>
      </w:r>
    </w:p>
    <w:p w14:paraId="461D9AA3" w14:textId="77777777" w:rsidR="008C454F" w:rsidRPr="003F778A" w:rsidRDefault="008C454F" w:rsidP="008C454F">
      <w:pPr>
        <w:pStyle w:val="SingleTxt"/>
        <w:rPr>
          <w:b/>
          <w:lang w:val="fr-FR"/>
        </w:rPr>
      </w:pPr>
      <w:r w:rsidRPr="003F778A">
        <w:rPr>
          <w:b/>
          <w:lang w:val="fr-FR"/>
        </w:rPr>
        <w:tab/>
        <w:t>c)</w:t>
      </w:r>
      <w:r w:rsidRPr="003F778A">
        <w:rPr>
          <w:b/>
          <w:lang w:val="fr-FR"/>
        </w:rPr>
        <w:tab/>
        <w:t>Mettre en œuvre, en particulier au niveau local, des programmes de sensibilisation de proximité s’adressant aux chefs de famille et aux chefs communautaires et projetant une image positive des femmes mariées et célibataires non excisées, y compris par l’intermédiaire de dialogues intergénérationnels et avec le soutien des communicateurs traditionnels ;</w:t>
      </w:r>
    </w:p>
    <w:p w14:paraId="78C22EDC" w14:textId="77777777" w:rsidR="008C454F" w:rsidRPr="003F778A" w:rsidRDefault="008C454F" w:rsidP="008C454F">
      <w:pPr>
        <w:pStyle w:val="SingleTxt"/>
        <w:rPr>
          <w:b/>
          <w:lang w:val="fr-FR"/>
        </w:rPr>
      </w:pPr>
      <w:r w:rsidRPr="003F778A">
        <w:rPr>
          <w:b/>
          <w:lang w:val="fr-FR"/>
        </w:rPr>
        <w:tab/>
        <w:t>d)</w:t>
      </w:r>
      <w:r w:rsidRPr="003F778A">
        <w:rPr>
          <w:b/>
          <w:lang w:val="fr-FR"/>
        </w:rPr>
        <w:tab/>
        <w:t>Renforcer les mesures destinées à éliminer les stéréotypes sexistes, à modifier les schémas de comportement, à prévenir la stigmatisation des femmes et des filles non excisées et à éliminer la discrimination dont elles font l’objet, en particulier en ce qui concerne le droit à contracter le mariage sur la base de l’égalité de l’homme et de la femme ;</w:t>
      </w:r>
    </w:p>
    <w:p w14:paraId="4C8CB158" w14:textId="77777777" w:rsidR="008C454F" w:rsidRPr="003F778A" w:rsidRDefault="008C454F" w:rsidP="008C454F">
      <w:pPr>
        <w:pStyle w:val="SingleTxt"/>
        <w:rPr>
          <w:b/>
          <w:lang w:val="fr-FR"/>
        </w:rPr>
      </w:pPr>
      <w:r w:rsidRPr="003F778A">
        <w:rPr>
          <w:b/>
          <w:lang w:val="fr-FR"/>
        </w:rPr>
        <w:tab/>
        <w:t>e)</w:t>
      </w:r>
      <w:r w:rsidRPr="003F778A">
        <w:rPr>
          <w:b/>
          <w:lang w:val="fr-FR"/>
        </w:rPr>
        <w:tab/>
      </w:r>
      <w:r w:rsidRPr="003F778A">
        <w:rPr>
          <w:b/>
          <w:bCs/>
          <w:lang w:val="fr-FR"/>
        </w:rPr>
        <w:t>Intégrer la question des mutilations génitales féminines dans l’éducation formelle et informelle, de façon à ce qu’il soit possible d’en parler ouvertement sans stigmatisation, afin de permettre aux filles et aux femmes de recevoir des informations exactes sur les effets préjudiciables et néfastes de cette pratique, et garantir l’accès des femmes et des filles à l’éducation au Mali, sachant qu’il s’agit d’un moyen indispensable de réaliser l’égalité des genres, l’autonomisation des femmes et l’épanouissement personnel des femmes et des filles ;</w:t>
      </w:r>
    </w:p>
    <w:p w14:paraId="4C7C6DE3" w14:textId="77777777" w:rsidR="008C454F" w:rsidRPr="003F778A" w:rsidRDefault="008C454F" w:rsidP="008C454F">
      <w:pPr>
        <w:pStyle w:val="SingleTxt"/>
        <w:rPr>
          <w:b/>
          <w:lang w:val="fr-FR"/>
        </w:rPr>
      </w:pPr>
      <w:r w:rsidRPr="003F778A">
        <w:rPr>
          <w:b/>
          <w:lang w:val="fr-FR"/>
        </w:rPr>
        <w:tab/>
        <w:t>f)</w:t>
      </w:r>
      <w:r w:rsidRPr="003F778A">
        <w:rPr>
          <w:b/>
          <w:lang w:val="fr-FR"/>
        </w:rPr>
        <w:tab/>
        <w:t xml:space="preserve">Prendre les mesures nécessaires pour restructurer le réseau des ONG luttant contre les mutilations génitales féminines, y compris un soutien financier, en vue de l’application de la loi sur les violences basées sur le genre, y compris les mutilations génitales féminines, une fois adoptée ; </w:t>
      </w:r>
    </w:p>
    <w:p w14:paraId="5C906D0A" w14:textId="77777777" w:rsidR="008C454F" w:rsidRPr="003F778A" w:rsidRDefault="008C454F" w:rsidP="008C454F">
      <w:pPr>
        <w:pStyle w:val="SingleTxt"/>
        <w:rPr>
          <w:b/>
          <w:lang w:val="fr-FR"/>
        </w:rPr>
      </w:pPr>
      <w:r w:rsidRPr="003F778A">
        <w:rPr>
          <w:b/>
          <w:lang w:val="fr-FR"/>
        </w:rPr>
        <w:tab/>
        <w:t>g)</w:t>
      </w:r>
      <w:r w:rsidRPr="003F778A">
        <w:rPr>
          <w:b/>
          <w:lang w:val="fr-FR"/>
        </w:rPr>
        <w:tab/>
        <w:t>Renforcer le soutien aux ONG luttant contre les mutilations génitales féminines afin de leur permettre d’établir un réseau de groupes de prévention et d’alerte sur les mutilations génitales féminines ;</w:t>
      </w:r>
    </w:p>
    <w:p w14:paraId="2BB3EEBA" w14:textId="77777777" w:rsidR="008C454F" w:rsidRPr="003F778A" w:rsidRDefault="008C454F" w:rsidP="008C454F">
      <w:pPr>
        <w:pStyle w:val="SingleTxt"/>
        <w:rPr>
          <w:b/>
          <w:lang w:val="fr-FR"/>
        </w:rPr>
      </w:pPr>
      <w:r w:rsidRPr="003F778A">
        <w:rPr>
          <w:b/>
          <w:lang w:val="fr-FR"/>
        </w:rPr>
        <w:tab/>
        <w:t>h)</w:t>
      </w:r>
      <w:r w:rsidRPr="003F778A">
        <w:rPr>
          <w:b/>
          <w:lang w:val="fr-FR"/>
        </w:rPr>
        <w:tab/>
        <w:t xml:space="preserve">Renforcer la collaboration avec les pays de la sous-région afin de prévenir les mutilations génitales féminines et de protéger et d’assister les </w:t>
      </w:r>
      <w:r w:rsidRPr="003F778A">
        <w:rPr>
          <w:b/>
          <w:lang w:val="fr-FR"/>
        </w:rPr>
        <w:lastRenderedPageBreak/>
        <w:t>victimes, y compris par des projets conjoints de promotion de l’abandon de la pratique transfrontalière des mutilations génitales féminines.</w:t>
      </w:r>
    </w:p>
    <w:p w14:paraId="30DA2419" w14:textId="77777777" w:rsidR="008C454F" w:rsidRPr="003F778A" w:rsidRDefault="008C454F" w:rsidP="008C454F">
      <w:pPr>
        <w:pStyle w:val="SingleTxt"/>
        <w:spacing w:after="0" w:line="120" w:lineRule="exact"/>
        <w:rPr>
          <w:sz w:val="10"/>
          <w:lang w:val="fr-FR"/>
        </w:rPr>
      </w:pPr>
    </w:p>
    <w:p w14:paraId="3BA79458" w14:textId="77777777" w:rsidR="008C454F" w:rsidRPr="003F778A" w:rsidRDefault="008C454F" w:rsidP="008C454F">
      <w:pPr>
        <w:pStyle w:val="SingleTxt"/>
        <w:spacing w:after="0" w:line="120" w:lineRule="exact"/>
        <w:rPr>
          <w:sz w:val="10"/>
          <w:lang w:val="fr-FR"/>
        </w:rPr>
      </w:pPr>
    </w:p>
    <w:p w14:paraId="26F2D5D4" w14:textId="77777777" w:rsidR="008C454F" w:rsidRPr="003F778A" w:rsidRDefault="008C454F" w:rsidP="008C4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778A">
        <w:rPr>
          <w:lang w:val="fr-FR"/>
        </w:rPr>
        <w:tab/>
        <w:t>G.</w:t>
      </w:r>
      <w:r w:rsidRPr="003F778A">
        <w:rPr>
          <w:lang w:val="fr-FR"/>
        </w:rPr>
        <w:tab/>
        <w:t>Collecte des données</w:t>
      </w:r>
    </w:p>
    <w:p w14:paraId="4D01E208" w14:textId="77777777" w:rsidR="008C454F" w:rsidRPr="003F778A" w:rsidRDefault="008C454F" w:rsidP="008C454F">
      <w:pPr>
        <w:pStyle w:val="SingleTxt"/>
        <w:spacing w:after="0" w:line="120" w:lineRule="exact"/>
        <w:rPr>
          <w:sz w:val="10"/>
          <w:lang w:val="fr-FR"/>
        </w:rPr>
      </w:pPr>
    </w:p>
    <w:p w14:paraId="5C4939B3" w14:textId="77777777" w:rsidR="008C454F" w:rsidRPr="003F778A" w:rsidRDefault="008C454F" w:rsidP="008C454F">
      <w:pPr>
        <w:pStyle w:val="SingleTxt"/>
        <w:spacing w:after="0" w:line="120" w:lineRule="exact"/>
        <w:rPr>
          <w:sz w:val="10"/>
          <w:lang w:val="fr-FR"/>
        </w:rPr>
      </w:pPr>
    </w:p>
    <w:p w14:paraId="00377E58" w14:textId="77777777" w:rsidR="008C454F" w:rsidRPr="003F778A" w:rsidRDefault="008C454F" w:rsidP="008C454F">
      <w:pPr>
        <w:pStyle w:val="SingleTxt"/>
        <w:numPr>
          <w:ilvl w:val="0"/>
          <w:numId w:val="45"/>
        </w:numPr>
        <w:ind w:left="1267"/>
        <w:rPr>
          <w:b/>
          <w:bCs/>
          <w:lang w:val="fr-FR"/>
        </w:rPr>
      </w:pPr>
      <w:r w:rsidRPr="003F778A">
        <w:rPr>
          <w:b/>
          <w:bCs/>
          <w:lang w:val="fr-FR"/>
        </w:rPr>
        <w:t xml:space="preserve">Le Comité recommande à l’État partie de prendre les mesures suivantes : </w:t>
      </w:r>
    </w:p>
    <w:p w14:paraId="6BF6A22D" w14:textId="77777777" w:rsidR="008C454F" w:rsidRPr="003F778A" w:rsidRDefault="008C454F" w:rsidP="008C454F">
      <w:pPr>
        <w:pStyle w:val="SingleTxt"/>
        <w:rPr>
          <w:b/>
          <w:lang w:val="fr-FR"/>
        </w:rPr>
      </w:pPr>
      <w:r w:rsidRPr="003F778A">
        <w:rPr>
          <w:b/>
          <w:lang w:val="fr-FR"/>
        </w:rPr>
        <w:tab/>
        <w:t>a)</w:t>
      </w:r>
      <w:r w:rsidRPr="003F778A">
        <w:rPr>
          <w:b/>
          <w:lang w:val="fr-FR"/>
        </w:rPr>
        <w:tab/>
        <w:t xml:space="preserve">Intensifier la collecte des données quantitatives et qualitatives sur les mutilations génitales féminines, désagrégées par âge, sexe, ethnie, religion et région, et rendre cette collecte systématique ; </w:t>
      </w:r>
    </w:p>
    <w:p w14:paraId="6FB878A1" w14:textId="77777777" w:rsidR="008C454F" w:rsidRPr="003F778A" w:rsidRDefault="008C454F" w:rsidP="008C454F">
      <w:pPr>
        <w:pStyle w:val="SingleTxt"/>
        <w:rPr>
          <w:b/>
          <w:lang w:val="fr-FR"/>
        </w:rPr>
      </w:pPr>
      <w:r w:rsidRPr="003F778A">
        <w:rPr>
          <w:b/>
          <w:lang w:val="fr-FR"/>
        </w:rPr>
        <w:tab/>
        <w:t>b)</w:t>
      </w:r>
      <w:r w:rsidRPr="003F778A">
        <w:rPr>
          <w:b/>
          <w:lang w:val="fr-FR"/>
        </w:rPr>
        <w:tab/>
        <w:t xml:space="preserve">Compiler les bonnes pratiques en matière de prévention, de criminalisation et d’abandon des mutilations génitales féminines, en particulier en Afrique de l’Ouest, et les diffuser auprès des praticiens ; </w:t>
      </w:r>
    </w:p>
    <w:p w14:paraId="12F8B074" w14:textId="77777777" w:rsidR="008C454F" w:rsidRPr="003F778A" w:rsidRDefault="008C454F" w:rsidP="008C454F">
      <w:pPr>
        <w:pStyle w:val="SingleTxt"/>
        <w:rPr>
          <w:b/>
          <w:lang w:val="fr-FR"/>
        </w:rPr>
      </w:pPr>
      <w:r w:rsidRPr="003F778A">
        <w:rPr>
          <w:b/>
          <w:lang w:val="fr-FR"/>
        </w:rPr>
        <w:tab/>
        <w:t>c)</w:t>
      </w:r>
      <w:r w:rsidRPr="003F778A">
        <w:rPr>
          <w:b/>
          <w:lang w:val="fr-FR"/>
        </w:rPr>
        <w:tab/>
        <w:t xml:space="preserve">Créer un système de données permettant d’évaluer : </w:t>
      </w:r>
    </w:p>
    <w:p w14:paraId="6995FE45" w14:textId="77777777" w:rsidR="008C454F" w:rsidRPr="003F778A" w:rsidRDefault="008C454F" w:rsidP="008C454F">
      <w:pPr>
        <w:pStyle w:val="SingleTxt"/>
        <w:ind w:left="1742" w:hanging="475"/>
        <w:rPr>
          <w:b/>
          <w:lang w:val="fr-FR"/>
        </w:rPr>
      </w:pPr>
      <w:r w:rsidRPr="003F778A">
        <w:rPr>
          <w:b/>
          <w:lang w:val="fr-FR"/>
        </w:rPr>
        <w:tab/>
        <w:t>i)</w:t>
      </w:r>
      <w:r w:rsidRPr="003F778A">
        <w:rPr>
          <w:b/>
          <w:lang w:val="fr-FR"/>
        </w:rPr>
        <w:tab/>
        <w:t>L’efficacité des mesures mises en œuvre pour éliminer les mutilations génitales féminines ;</w:t>
      </w:r>
    </w:p>
    <w:p w14:paraId="3A489CBF" w14:textId="77777777" w:rsidR="008C454F" w:rsidRPr="003F778A" w:rsidRDefault="008C454F" w:rsidP="008C454F">
      <w:pPr>
        <w:pStyle w:val="SingleTxt"/>
        <w:ind w:left="1742" w:hanging="475"/>
        <w:rPr>
          <w:b/>
          <w:lang w:val="fr-FR"/>
        </w:rPr>
      </w:pPr>
      <w:r w:rsidRPr="003F778A">
        <w:rPr>
          <w:b/>
          <w:lang w:val="fr-FR"/>
        </w:rPr>
        <w:tab/>
        <w:t>ii)</w:t>
      </w:r>
      <w:r w:rsidRPr="003F778A">
        <w:rPr>
          <w:b/>
          <w:lang w:val="fr-FR"/>
        </w:rPr>
        <w:tab/>
        <w:t xml:space="preserve">L’impact de ces mesures sur la dimension transnationale de la pratique ; </w:t>
      </w:r>
    </w:p>
    <w:p w14:paraId="0EB212A6" w14:textId="77777777" w:rsidR="008C454F" w:rsidRPr="003F778A" w:rsidRDefault="008C454F" w:rsidP="008C454F">
      <w:pPr>
        <w:pStyle w:val="SingleTxt"/>
        <w:ind w:left="1742" w:hanging="475"/>
        <w:rPr>
          <w:b/>
          <w:lang w:val="fr-FR"/>
        </w:rPr>
      </w:pPr>
      <w:r w:rsidRPr="003F778A">
        <w:rPr>
          <w:b/>
          <w:lang w:val="fr-FR"/>
        </w:rPr>
        <w:tab/>
        <w:t>iii)</w:t>
      </w:r>
      <w:r w:rsidRPr="003F778A">
        <w:rPr>
          <w:b/>
          <w:lang w:val="fr-FR"/>
        </w:rPr>
        <w:tab/>
        <w:t xml:space="preserve">Le coût social et l’impact des mutilations génitales féminines sur le développement économique et social du pays. </w:t>
      </w:r>
    </w:p>
    <w:p w14:paraId="0FF040CF" w14:textId="47468457" w:rsidR="001D4413" w:rsidRPr="003F778A" w:rsidRDefault="008C454F" w:rsidP="008C454F">
      <w:pPr>
        <w:pStyle w:val="SingleTxt"/>
        <w:spacing w:after="0" w:line="240" w:lineRule="auto"/>
        <w:rPr>
          <w:lang w:val="fr-FR"/>
        </w:rPr>
      </w:pPr>
      <w:r w:rsidRPr="003F778A">
        <w:rPr>
          <w:noProof/>
          <w:w w:val="100"/>
          <w:lang w:val="fr-FR"/>
        </w:rPr>
        <mc:AlternateContent>
          <mc:Choice Requires="wps">
            <w:drawing>
              <wp:anchor distT="0" distB="0" distL="114300" distR="114300" simplePos="0" relativeHeight="251659264" behindDoc="0" locked="0" layoutInCell="1" allowOverlap="1" wp14:anchorId="774FD0C6" wp14:editId="0C744F4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5C60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D4413" w:rsidRPr="003F778A" w:rsidSect="00DB580E">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CBFC2" w14:textId="77777777" w:rsidR="00DE4C4A" w:rsidRDefault="00DE4C4A" w:rsidP="00101B18">
      <w:pPr>
        <w:spacing w:line="240" w:lineRule="auto"/>
      </w:pPr>
      <w:r>
        <w:separator/>
      </w:r>
    </w:p>
  </w:endnote>
  <w:endnote w:type="continuationSeparator" w:id="0">
    <w:p w14:paraId="1282C707" w14:textId="77777777" w:rsidR="00DE4C4A" w:rsidRDefault="00DE4C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1B58" w14:paraId="63EADBD9" w14:textId="77777777" w:rsidTr="001D4413">
      <w:tc>
        <w:tcPr>
          <w:tcW w:w="4920" w:type="dxa"/>
        </w:tcPr>
        <w:p w14:paraId="2005400D" w14:textId="56D9E9F1" w:rsidR="00AE1B58" w:rsidRPr="001D4413" w:rsidRDefault="00AE1B58" w:rsidP="001D44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7B6A">
            <w:rPr>
              <w:b w:val="0"/>
              <w:w w:val="103"/>
              <w:sz w:val="14"/>
            </w:rPr>
            <w:t>19-22454</w:t>
          </w:r>
          <w:r>
            <w:rPr>
              <w:b w:val="0"/>
              <w:w w:val="103"/>
              <w:sz w:val="14"/>
            </w:rPr>
            <w:fldChar w:fldCharType="end"/>
          </w:r>
        </w:p>
      </w:tc>
      <w:tc>
        <w:tcPr>
          <w:tcW w:w="4920" w:type="dxa"/>
        </w:tcPr>
        <w:p w14:paraId="0476FD94" w14:textId="77777777" w:rsidR="00AE1B58" w:rsidRPr="001D4413" w:rsidRDefault="00AE1B58" w:rsidP="001D44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400FFCE" w14:textId="77777777" w:rsidR="00AE1B58" w:rsidRPr="001D4413" w:rsidRDefault="00AE1B58" w:rsidP="001D4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1B58" w14:paraId="74450349" w14:textId="77777777" w:rsidTr="001D4413">
      <w:tc>
        <w:tcPr>
          <w:tcW w:w="4920" w:type="dxa"/>
        </w:tcPr>
        <w:p w14:paraId="57EB3E76" w14:textId="77777777" w:rsidR="00AE1B58" w:rsidRPr="001D4413" w:rsidRDefault="00AE1B58" w:rsidP="001D44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76C8111A" w14:textId="291140FC" w:rsidR="00AE1B58" w:rsidRPr="001D4413" w:rsidRDefault="00AE1B58" w:rsidP="001D44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7B6A">
            <w:rPr>
              <w:b w:val="0"/>
              <w:w w:val="103"/>
              <w:sz w:val="14"/>
            </w:rPr>
            <w:t>19-22454</w:t>
          </w:r>
          <w:r>
            <w:rPr>
              <w:b w:val="0"/>
              <w:w w:val="103"/>
              <w:sz w:val="14"/>
            </w:rPr>
            <w:fldChar w:fldCharType="end"/>
          </w:r>
        </w:p>
      </w:tc>
    </w:tr>
  </w:tbl>
  <w:p w14:paraId="169BF6A4" w14:textId="77777777" w:rsidR="00AE1B58" w:rsidRPr="001D4413" w:rsidRDefault="00AE1B58" w:rsidP="001D44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E0B50" w14:textId="77777777" w:rsidR="00AE1B58" w:rsidRDefault="00AE1B58">
    <w:pPr>
      <w:pStyle w:val="Footer"/>
    </w:pPr>
    <w:r>
      <w:rPr>
        <w:noProof/>
      </w:rPr>
      <w:drawing>
        <wp:anchor distT="0" distB="0" distL="114300" distR="114300" simplePos="0" relativeHeight="251658240" behindDoc="0" locked="0" layoutInCell="1" allowOverlap="1" wp14:anchorId="61D153B2" wp14:editId="3684C0F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MLI/R.1/Rev.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MLI/R.1/Rev.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E1B58" w14:paraId="56EC9AB7" w14:textId="77777777" w:rsidTr="001D4413">
      <w:tc>
        <w:tcPr>
          <w:tcW w:w="3758" w:type="dxa"/>
        </w:tcPr>
        <w:p w14:paraId="6234F119" w14:textId="39618A1B" w:rsidR="00AE1B58" w:rsidRDefault="00AE1B58" w:rsidP="001D44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97B6A">
            <w:rPr>
              <w:b w:val="0"/>
              <w:sz w:val="20"/>
            </w:rPr>
            <w:t>19-22454 (F)</w:t>
          </w:r>
          <w:r>
            <w:rPr>
              <w:b w:val="0"/>
              <w:sz w:val="20"/>
            </w:rPr>
            <w:fldChar w:fldCharType="end"/>
          </w:r>
          <w:r>
            <w:rPr>
              <w:b w:val="0"/>
              <w:sz w:val="20"/>
            </w:rPr>
            <w:t xml:space="preserve">    130120    270120</w:t>
          </w:r>
        </w:p>
        <w:p w14:paraId="241241A6" w14:textId="78948EE3" w:rsidR="00AE1B58" w:rsidRPr="001D4413" w:rsidRDefault="00AE1B58" w:rsidP="001D44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97B6A">
            <w:rPr>
              <w:rFonts w:ascii="Barcode 3 of 9 by request" w:hAnsi="Barcode 3 of 9 by request"/>
              <w:spacing w:val="0"/>
              <w:w w:val="100"/>
              <w:sz w:val="24"/>
            </w:rPr>
            <w:t>*1922454*</w:t>
          </w:r>
          <w:r>
            <w:rPr>
              <w:rFonts w:ascii="Barcode 3 of 9 by request" w:hAnsi="Barcode 3 of 9 by request"/>
              <w:spacing w:val="0"/>
              <w:w w:val="100"/>
              <w:sz w:val="24"/>
            </w:rPr>
            <w:fldChar w:fldCharType="end"/>
          </w:r>
        </w:p>
      </w:tc>
      <w:tc>
        <w:tcPr>
          <w:tcW w:w="4920" w:type="dxa"/>
        </w:tcPr>
        <w:p w14:paraId="6B6D308E" w14:textId="77777777" w:rsidR="00AE1B58" w:rsidRDefault="00AE1B58" w:rsidP="001D4413">
          <w:pPr>
            <w:pStyle w:val="Footer"/>
            <w:spacing w:line="240" w:lineRule="atLeast"/>
            <w:jc w:val="right"/>
            <w:rPr>
              <w:b w:val="0"/>
              <w:sz w:val="20"/>
            </w:rPr>
          </w:pPr>
          <w:r>
            <w:rPr>
              <w:b w:val="0"/>
              <w:noProof/>
              <w:sz w:val="20"/>
            </w:rPr>
            <w:drawing>
              <wp:inline distT="0" distB="0" distL="0" distR="0" wp14:anchorId="1DEC5DEA" wp14:editId="0FDB8FB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DF8444F" w14:textId="77777777" w:rsidR="00AE1B58" w:rsidRPr="001D4413" w:rsidRDefault="00AE1B58" w:rsidP="001D44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6C6D9" w14:textId="77777777" w:rsidR="00DE4C4A" w:rsidRPr="00570056" w:rsidRDefault="00DE4C4A" w:rsidP="00570056">
      <w:pPr>
        <w:pStyle w:val="Footer"/>
        <w:spacing w:after="80"/>
        <w:ind w:left="792"/>
        <w:rPr>
          <w:sz w:val="16"/>
        </w:rPr>
      </w:pPr>
      <w:r w:rsidRPr="00570056">
        <w:rPr>
          <w:sz w:val="16"/>
        </w:rPr>
        <w:t>__________________</w:t>
      </w:r>
    </w:p>
  </w:footnote>
  <w:footnote w:type="continuationSeparator" w:id="0">
    <w:p w14:paraId="19A37268" w14:textId="77777777" w:rsidR="00DE4C4A" w:rsidRPr="00570056" w:rsidRDefault="00DE4C4A" w:rsidP="00570056">
      <w:pPr>
        <w:pStyle w:val="Footer"/>
        <w:spacing w:after="80"/>
        <w:ind w:left="792"/>
        <w:rPr>
          <w:sz w:val="16"/>
        </w:rPr>
      </w:pPr>
      <w:r w:rsidRPr="00570056">
        <w:rPr>
          <w:sz w:val="16"/>
        </w:rPr>
        <w:t>__________________</w:t>
      </w:r>
    </w:p>
  </w:footnote>
  <w:footnote w:id="1">
    <w:p w14:paraId="608213D0"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rsidRPr="003359FC">
        <w:tab/>
      </w:r>
      <w:r w:rsidRPr="00570056">
        <w:rPr>
          <w:rStyle w:val="FootnoteReference"/>
          <w:spacing w:val="4"/>
        </w:rPr>
        <w:footnoteRef/>
      </w:r>
      <w:r w:rsidRPr="00570056">
        <w:tab/>
      </w:r>
      <w:r w:rsidRPr="00570056">
        <w:rPr>
          <w:lang w:val="fr-CH"/>
        </w:rPr>
        <w:t>Seule l’une de ces trois organisations, Equality Now, a accepté que son nom soit divulgué.</w:t>
      </w:r>
      <w:r w:rsidRPr="00570056">
        <w:t xml:space="preserve"> </w:t>
      </w:r>
    </w:p>
  </w:footnote>
  <w:footnote w:id="2">
    <w:p w14:paraId="793F0486"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fr-CH"/>
        </w:rPr>
      </w:pPr>
      <w:r>
        <w:rPr>
          <w:lang w:val="fr-CH"/>
        </w:rPr>
        <w:tab/>
      </w:r>
      <w:r w:rsidRPr="00570056">
        <w:rPr>
          <w:rStyle w:val="FootnoteReference"/>
          <w:spacing w:val="4"/>
        </w:rPr>
        <w:footnoteRef/>
      </w:r>
      <w:r w:rsidRPr="00570056">
        <w:rPr>
          <w:lang w:val="fr-CH"/>
        </w:rPr>
        <w:t xml:space="preserve"> </w:t>
      </w:r>
      <w:r w:rsidRPr="00570056">
        <w:rPr>
          <w:lang w:val="fr-CH"/>
        </w:rPr>
        <w:tab/>
      </w:r>
      <w:r w:rsidRPr="00570056">
        <w:t>Recommandation générale conjointe n</w:t>
      </w:r>
      <w:r w:rsidRPr="00570056">
        <w:rPr>
          <w:vertAlign w:val="superscript"/>
        </w:rPr>
        <w:t>o</w:t>
      </w:r>
      <w:r w:rsidRPr="00570056">
        <w:t> 31 du Comité pour l’élimination de la discrimination à l’égard des femmes et observation générale n</w:t>
      </w:r>
      <w:r w:rsidRPr="00570056">
        <w:rPr>
          <w:vertAlign w:val="superscript"/>
        </w:rPr>
        <w:t>o</w:t>
      </w:r>
      <w:r w:rsidRPr="00570056">
        <w:t> 18 du Comité des droits de l’enfant (2014) sur les pratiques préjudiciables</w:t>
      </w:r>
      <w:r w:rsidRPr="00570056">
        <w:rPr>
          <w:lang w:val="fr-CH"/>
        </w:rPr>
        <w:t>, par. 19.</w:t>
      </w:r>
    </w:p>
  </w:footnote>
  <w:footnote w:id="3">
    <w:p w14:paraId="019D9373"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fr-CH"/>
        </w:rPr>
      </w:pPr>
      <w:r>
        <w:tab/>
      </w:r>
      <w:r w:rsidRPr="00570056">
        <w:rPr>
          <w:rStyle w:val="FootnoteReference"/>
          <w:spacing w:val="4"/>
        </w:rPr>
        <w:footnoteRef/>
      </w:r>
      <w:r w:rsidRPr="00570056">
        <w:t xml:space="preserve"> </w:t>
      </w:r>
      <w:r w:rsidRPr="00570056">
        <w:tab/>
      </w:r>
      <w:r w:rsidRPr="00570056">
        <w:rPr>
          <w:szCs w:val="18"/>
        </w:rPr>
        <w:t>Les mutilations génitales féminines sont classées en quatre types [voir Organisation mondiale de la Santé</w:t>
      </w:r>
      <w:r w:rsidRPr="00570056">
        <w:t xml:space="preserve">, </w:t>
      </w:r>
      <w:r w:rsidRPr="00570056">
        <w:rPr>
          <w:i/>
          <w:iCs/>
          <w:szCs w:val="18"/>
        </w:rPr>
        <w:t>Éliminer les mutilations sexuelles féminines : déclaration interinstitutions – HCDH, OMS, ONUSIDA, PNUD, UNCEA, UNESCO, UNFPA, UNHCR, UNICEF, UNIFEM</w:t>
      </w:r>
      <w:r w:rsidRPr="00570056">
        <w:rPr>
          <w:szCs w:val="18"/>
        </w:rPr>
        <w:t xml:space="preserve"> (Genève, 2008)].</w:t>
      </w:r>
    </w:p>
  </w:footnote>
  <w:footnote w:id="4">
    <w:p w14:paraId="152E658B"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 xml:space="preserve">Programme des Nations Unies pour le développement, </w:t>
      </w:r>
      <w:r w:rsidRPr="00570056">
        <w:rPr>
          <w:i/>
          <w:iCs/>
        </w:rPr>
        <w:t>Human Development Indices and Indicators: 2018 Statistical Update</w:t>
      </w:r>
      <w:r w:rsidRPr="00570056">
        <w:t xml:space="preserve"> (New York, 2018), tableau 1.</w:t>
      </w:r>
    </w:p>
  </w:footnote>
  <w:footnote w:id="5">
    <w:p w14:paraId="2FFA32E8" w14:textId="6DC4076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 xml:space="preserve">Mali, Institut national de la statistique, </w:t>
      </w:r>
      <w:r w:rsidRPr="00570056">
        <w:rPr>
          <w:i/>
          <w:iCs/>
        </w:rPr>
        <w:t>Enquête modulaire et permanente auprès des ménages (EMOP)</w:t>
      </w:r>
      <w:r w:rsidRPr="00570056">
        <w:t xml:space="preserve"> (août 2017), p. 11 et 37. Disponible à l’adresse suivante : </w:t>
      </w:r>
      <w:hyperlink r:id="rId1" w:history="1">
        <w:r w:rsidRPr="00570056">
          <w:rPr>
            <w:rStyle w:val="Hyperlink"/>
          </w:rPr>
          <w:t>www.instat-mali.org/</w:t>
        </w:r>
        <w:r w:rsidRPr="00570056">
          <w:rPr>
            <w:rStyle w:val="Hyperlink"/>
          </w:rPr>
          <w:br/>
          <w:t>contenu/eq/rana17pas1_eq.pdf</w:t>
        </w:r>
      </w:hyperlink>
      <w:r w:rsidRPr="00570056">
        <w:t>.</w:t>
      </w:r>
    </w:p>
  </w:footnote>
  <w:footnote w:id="6">
    <w:p w14:paraId="2C7FB01B"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tab/>
      </w:r>
      <w:r w:rsidRPr="00570056">
        <w:rPr>
          <w:rStyle w:val="FootnoteReference"/>
          <w:spacing w:val="4"/>
        </w:rPr>
        <w:footnoteRef/>
      </w:r>
      <w:r w:rsidRPr="00570056">
        <w:t xml:space="preserve"> </w:t>
      </w:r>
      <w:r w:rsidRPr="00570056">
        <w:tab/>
      </w:r>
      <w:r w:rsidRPr="00570056">
        <w:rPr>
          <w:szCs w:val="18"/>
        </w:rPr>
        <w:t xml:space="preserve">Mali, </w:t>
      </w:r>
      <w:r w:rsidRPr="00570056">
        <w:t>Ministère de la promotion de la femme, de l’enfant et de la famille</w:t>
      </w:r>
      <w:r w:rsidRPr="00570056">
        <w:rPr>
          <w:szCs w:val="18"/>
        </w:rPr>
        <w:t xml:space="preserve"> et programme national de lutte contre la pratique de l’excision, </w:t>
      </w:r>
      <w:r w:rsidRPr="00570056">
        <w:rPr>
          <w:i/>
        </w:rPr>
        <w:t>Analyse critique des acteurs d’influence à l’accélération de l’abandon de la pratique des mutilations génitales féminines/de l’excision au Mali</w:t>
      </w:r>
      <w:r w:rsidRPr="00570056">
        <w:rPr>
          <w:szCs w:val="18"/>
        </w:rPr>
        <w:t>, avril 2016, p. 34.</w:t>
      </w:r>
    </w:p>
  </w:footnote>
  <w:footnote w:id="7">
    <w:p w14:paraId="3993D862"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Mali, Ministère de la promotion de la femme, de l’enfant et de la famille</w:t>
      </w:r>
      <w:r w:rsidRPr="00570056">
        <w:rPr>
          <w:color w:val="000000"/>
        </w:rPr>
        <w:t xml:space="preserve">, </w:t>
      </w:r>
      <w:r w:rsidRPr="00570056">
        <w:rPr>
          <w:i/>
          <w:color w:val="000000"/>
        </w:rPr>
        <w:t>« Yéélén » : stratégie nationale de communication holistique sur les violences basées sur le genre (2018-2027)</w:t>
      </w:r>
      <w:r w:rsidRPr="00570056">
        <w:rPr>
          <w:color w:val="000000"/>
        </w:rPr>
        <w:t xml:space="preserve">, p. 63. </w:t>
      </w:r>
    </w:p>
  </w:footnote>
  <w:footnote w:id="8">
    <w:p w14:paraId="77E0FE41"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tab/>
      </w:r>
      <w:r w:rsidRPr="00570056">
        <w:rPr>
          <w:rStyle w:val="FootnoteReference"/>
          <w:spacing w:val="4"/>
          <w:szCs w:val="18"/>
        </w:rPr>
        <w:footnoteRef/>
      </w:r>
      <w:r w:rsidRPr="00570056">
        <w:rPr>
          <w:szCs w:val="18"/>
        </w:rPr>
        <w:t xml:space="preserve"> </w:t>
      </w:r>
      <w:r w:rsidRPr="00570056">
        <w:rPr>
          <w:szCs w:val="18"/>
        </w:rPr>
        <w:tab/>
        <w:t xml:space="preserve">Mali, Institut national de la statistique, </w:t>
      </w:r>
      <w:r w:rsidRPr="00570056">
        <w:rPr>
          <w:i/>
          <w:szCs w:val="18"/>
        </w:rPr>
        <w:t>Enquête par grappes à indicateurs multiples (MICS) au Mali : rapport final</w:t>
      </w:r>
      <w:r w:rsidRPr="00570056">
        <w:rPr>
          <w:szCs w:val="18"/>
        </w:rPr>
        <w:t xml:space="preserve"> – </w:t>
      </w:r>
      <w:r w:rsidRPr="00570056">
        <w:rPr>
          <w:i/>
          <w:szCs w:val="18"/>
        </w:rPr>
        <w:t>2015</w:t>
      </w:r>
      <w:r w:rsidRPr="00570056">
        <w:rPr>
          <w:szCs w:val="18"/>
        </w:rPr>
        <w:t xml:space="preserve"> (Bamako, 2015), p. 17.</w:t>
      </w:r>
    </w:p>
  </w:footnote>
  <w:footnote w:id="9">
    <w:p w14:paraId="0D86F343"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r>
      <w:bookmarkStart w:id="2" w:name="_Hlk9417182"/>
      <w:r w:rsidRPr="00570056">
        <w:rPr>
          <w:szCs w:val="18"/>
        </w:rPr>
        <w:t xml:space="preserve">Ibid. et Mali, Institut national de la statistique, </w:t>
      </w:r>
      <w:r w:rsidRPr="00570056">
        <w:rPr>
          <w:i/>
          <w:szCs w:val="18"/>
        </w:rPr>
        <w:t>Enquête par grappes à indicateurs multiples (MICS) au Mali : rapport final</w:t>
      </w:r>
      <w:r w:rsidRPr="00570056">
        <w:rPr>
          <w:szCs w:val="18"/>
        </w:rPr>
        <w:t xml:space="preserve"> – </w:t>
      </w:r>
      <w:r w:rsidRPr="00570056">
        <w:rPr>
          <w:i/>
          <w:szCs w:val="18"/>
        </w:rPr>
        <w:t>2012-2013.</w:t>
      </w:r>
      <w:bookmarkEnd w:id="2"/>
    </w:p>
  </w:footnote>
  <w:footnote w:id="10">
    <w:p w14:paraId="0D2EF75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 xml:space="preserve">Mali, </w:t>
      </w:r>
      <w:r w:rsidRPr="00570056">
        <w:t xml:space="preserve">Cellule de planification et de statistiques </w:t>
      </w:r>
      <w:r w:rsidRPr="00570056">
        <w:rPr>
          <w:i/>
          <w:iCs/>
        </w:rPr>
        <w:t>et al.</w:t>
      </w:r>
      <w:r w:rsidRPr="00570056">
        <w:rPr>
          <w:szCs w:val="18"/>
        </w:rPr>
        <w:t xml:space="preserve">, </w:t>
      </w:r>
      <w:r w:rsidRPr="00570056">
        <w:rPr>
          <w:i/>
          <w:iCs/>
          <w:szCs w:val="18"/>
        </w:rPr>
        <w:t>Enquête démographique et de santé (EDSM</w:t>
      </w:r>
      <w:r w:rsidRPr="00570056">
        <w:rPr>
          <w:i/>
          <w:iCs/>
          <w:szCs w:val="18"/>
        </w:rPr>
        <w:noBreakHyphen/>
        <w:t>V) : 2012-2013</w:t>
      </w:r>
      <w:r w:rsidRPr="00570056">
        <w:rPr>
          <w:szCs w:val="18"/>
        </w:rPr>
        <w:t>, mai 2014, p. 291. Parmi les filles de 0 à 14 ans, environ 7 sur 10 étaient excisées (69 %).</w:t>
      </w:r>
    </w:p>
  </w:footnote>
  <w:footnote w:id="11">
    <w:p w14:paraId="5DD32EE0" w14:textId="5B376279"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sidRPr="00997F2B">
        <w:rPr>
          <w:szCs w:val="18"/>
          <w:lang w:val="fr-CH"/>
        </w:rPr>
        <w:tab/>
      </w:r>
      <w:r w:rsidRPr="00570056">
        <w:rPr>
          <w:rStyle w:val="FootnoteReference"/>
          <w:spacing w:val="4"/>
          <w:szCs w:val="18"/>
        </w:rPr>
        <w:footnoteRef/>
      </w:r>
      <w:r w:rsidRPr="00570056">
        <w:rPr>
          <w:szCs w:val="18"/>
          <w:lang w:val="en-GB"/>
        </w:rPr>
        <w:t xml:space="preserve"> </w:t>
      </w:r>
      <w:r w:rsidRPr="00570056">
        <w:rPr>
          <w:szCs w:val="18"/>
          <w:lang w:val="en-GB"/>
        </w:rPr>
        <w:tab/>
        <w:t xml:space="preserve">Ngianga-Bakwin Kandala </w:t>
      </w:r>
      <w:r w:rsidRPr="00570056">
        <w:rPr>
          <w:i/>
          <w:iCs/>
          <w:szCs w:val="18"/>
          <w:lang w:val="en-GB"/>
        </w:rPr>
        <w:t>et al.</w:t>
      </w:r>
      <w:r w:rsidRPr="00570056">
        <w:rPr>
          <w:szCs w:val="18"/>
          <w:lang w:val="en-GB"/>
        </w:rPr>
        <w:t xml:space="preserve">, « Secular trends in the prevalence of female genital mutilation/cutting among girls: a systematic analysis », </w:t>
      </w:r>
      <w:r w:rsidRPr="00570056">
        <w:rPr>
          <w:i/>
          <w:iCs/>
          <w:szCs w:val="18"/>
          <w:lang w:val="en-GB"/>
        </w:rPr>
        <w:t>BMJ Global Health</w:t>
      </w:r>
      <w:r w:rsidRPr="00570056">
        <w:rPr>
          <w:szCs w:val="18"/>
          <w:lang w:val="en-GB"/>
        </w:rPr>
        <w:t>, vol. 3, n</w:t>
      </w:r>
      <w:r w:rsidRPr="00570056">
        <w:rPr>
          <w:szCs w:val="18"/>
          <w:vertAlign w:val="superscript"/>
          <w:lang w:val="en-GB"/>
        </w:rPr>
        <w:t>o</w:t>
      </w:r>
      <w:r w:rsidRPr="00570056">
        <w:rPr>
          <w:szCs w:val="18"/>
          <w:lang w:val="en-GB"/>
        </w:rPr>
        <w:t> </w:t>
      </w:r>
      <w:r w:rsidRPr="00583575">
        <w:rPr>
          <w:szCs w:val="18"/>
          <w:lang w:val="en-GB"/>
        </w:rPr>
        <w:t>5 (2018)</w:t>
      </w:r>
      <w:r w:rsidRPr="00570056">
        <w:rPr>
          <w:szCs w:val="18"/>
          <w:lang w:val="en-GB"/>
        </w:rPr>
        <w:t>, p. </w:t>
      </w:r>
      <w:r w:rsidRPr="00570056">
        <w:rPr>
          <w:szCs w:val="18"/>
          <w:lang w:val="en-US"/>
        </w:rPr>
        <w:t xml:space="preserve">4. </w:t>
      </w:r>
      <w:r w:rsidRPr="00570056">
        <w:rPr>
          <w:szCs w:val="18"/>
        </w:rPr>
        <w:t>En 2017, les taux de prévalence les plus élevés en Afrique de l’Ouest se rencontraient au Mali (72,59 %), en Mauritanie (61,20 %) et en Gambie (53,43 %).</w:t>
      </w:r>
    </w:p>
  </w:footnote>
  <w:footnote w:id="12">
    <w:p w14:paraId="09BA2DA8"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lang w:val="fr-CH"/>
        </w:rPr>
      </w:pPr>
      <w:r>
        <w:rPr>
          <w:szCs w:val="18"/>
        </w:rPr>
        <w:tab/>
      </w:r>
      <w:r w:rsidRPr="00570056">
        <w:rPr>
          <w:rStyle w:val="FootnoteReference"/>
          <w:spacing w:val="4"/>
          <w:szCs w:val="18"/>
        </w:rPr>
        <w:footnoteRef/>
      </w:r>
      <w:r w:rsidRPr="00570056">
        <w:rPr>
          <w:szCs w:val="18"/>
          <w:lang w:val="fr-CH"/>
        </w:rPr>
        <w:t xml:space="preserve"> </w:t>
      </w:r>
      <w:r w:rsidRPr="00570056">
        <w:rPr>
          <w:szCs w:val="18"/>
          <w:lang w:val="fr-CH"/>
        </w:rPr>
        <w:tab/>
        <w:t>Ibid., p. 3.</w:t>
      </w:r>
    </w:p>
  </w:footnote>
  <w:footnote w:id="13">
    <w:p w14:paraId="4676372F"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fr-CH"/>
        </w:rPr>
      </w:pPr>
      <w:r>
        <w:rPr>
          <w:lang w:val="fr-CH"/>
        </w:rPr>
        <w:tab/>
      </w:r>
      <w:r w:rsidRPr="00570056">
        <w:rPr>
          <w:rStyle w:val="FootnoteReference"/>
          <w:spacing w:val="4"/>
        </w:rPr>
        <w:footnoteRef/>
      </w:r>
      <w:r w:rsidRPr="00570056">
        <w:rPr>
          <w:lang w:val="fr-CH"/>
        </w:rPr>
        <w:t xml:space="preserve"> </w:t>
      </w:r>
      <w:r w:rsidRPr="00570056">
        <w:rPr>
          <w:lang w:val="fr-CH"/>
        </w:rPr>
        <w:tab/>
        <w:t xml:space="preserve">Mali, </w:t>
      </w:r>
      <w:r w:rsidRPr="00570056">
        <w:t xml:space="preserve">Cellule de planification et de statistiques </w:t>
      </w:r>
      <w:r w:rsidRPr="00570056">
        <w:rPr>
          <w:i/>
          <w:iCs/>
        </w:rPr>
        <w:t>et al.</w:t>
      </w:r>
      <w:r w:rsidRPr="00570056">
        <w:rPr>
          <w:szCs w:val="18"/>
        </w:rPr>
        <w:t xml:space="preserve">, </w:t>
      </w:r>
      <w:r w:rsidRPr="00570056">
        <w:rPr>
          <w:i/>
          <w:iCs/>
          <w:szCs w:val="18"/>
        </w:rPr>
        <w:t>Enquête démographique et de santé (EDSM</w:t>
      </w:r>
      <w:r w:rsidRPr="00570056">
        <w:rPr>
          <w:i/>
          <w:iCs/>
          <w:szCs w:val="18"/>
        </w:rPr>
        <w:noBreakHyphen/>
        <w:t>V) : 2012-2013</w:t>
      </w:r>
      <w:r w:rsidRPr="00570056">
        <w:rPr>
          <w:lang w:val="fr-CH"/>
        </w:rPr>
        <w:t>, tableau 18.2.</w:t>
      </w:r>
    </w:p>
  </w:footnote>
  <w:footnote w:id="14">
    <w:p w14:paraId="402FE5E8"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en-US"/>
        </w:rPr>
      </w:pPr>
      <w:r>
        <w:rPr>
          <w:lang w:val="fr-CH"/>
        </w:rPr>
        <w:tab/>
      </w:r>
      <w:r w:rsidRPr="00570056">
        <w:rPr>
          <w:rStyle w:val="FootnoteReference"/>
          <w:spacing w:val="4"/>
        </w:rPr>
        <w:footnoteRef/>
      </w:r>
      <w:r w:rsidRPr="00570056">
        <w:rPr>
          <w:lang w:val="en-US"/>
        </w:rPr>
        <w:t xml:space="preserve"> </w:t>
      </w:r>
      <w:r w:rsidRPr="00570056">
        <w:rPr>
          <w:lang w:val="en-US"/>
        </w:rPr>
        <w:tab/>
        <w:t>Ibid., tableau 18.9.</w:t>
      </w:r>
    </w:p>
  </w:footnote>
  <w:footnote w:id="15">
    <w:p w14:paraId="0893DB56"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lang w:val="en-US"/>
        </w:rPr>
      </w:pPr>
      <w:r w:rsidRPr="00997F2B">
        <w:rPr>
          <w:szCs w:val="18"/>
          <w:lang w:val="en-US"/>
        </w:rPr>
        <w:tab/>
      </w:r>
      <w:r w:rsidRPr="00570056">
        <w:rPr>
          <w:rStyle w:val="FootnoteReference"/>
          <w:spacing w:val="4"/>
          <w:szCs w:val="18"/>
        </w:rPr>
        <w:footnoteRef/>
      </w:r>
      <w:r w:rsidRPr="00570056">
        <w:rPr>
          <w:szCs w:val="18"/>
          <w:lang w:val="en-US"/>
        </w:rPr>
        <w:t xml:space="preserve"> </w:t>
      </w:r>
      <w:r w:rsidRPr="00570056">
        <w:rPr>
          <w:szCs w:val="18"/>
          <w:lang w:val="en-US"/>
        </w:rPr>
        <w:tab/>
      </w:r>
      <w:r w:rsidRPr="00570056">
        <w:rPr>
          <w:lang w:val="en-US"/>
        </w:rPr>
        <w:t>Ibid.</w:t>
      </w:r>
      <w:r w:rsidRPr="00570056">
        <w:rPr>
          <w:szCs w:val="18"/>
          <w:lang w:val="en-US"/>
        </w:rPr>
        <w:t>, tableau 18.2.</w:t>
      </w:r>
    </w:p>
  </w:footnote>
  <w:footnote w:id="16">
    <w:p w14:paraId="2B5234DB"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lang w:val="en-US"/>
        </w:rPr>
      </w:pPr>
      <w:r w:rsidRPr="00997F2B">
        <w:rPr>
          <w:szCs w:val="18"/>
          <w:lang w:val="en-US"/>
        </w:rPr>
        <w:tab/>
      </w:r>
      <w:r w:rsidRPr="00570056">
        <w:rPr>
          <w:rStyle w:val="FootnoteReference"/>
          <w:spacing w:val="4"/>
          <w:szCs w:val="18"/>
        </w:rPr>
        <w:footnoteRef/>
      </w:r>
      <w:r w:rsidRPr="00570056">
        <w:rPr>
          <w:szCs w:val="18"/>
          <w:lang w:val="en-US"/>
        </w:rPr>
        <w:t xml:space="preserve"> </w:t>
      </w:r>
      <w:r w:rsidRPr="00570056">
        <w:rPr>
          <w:szCs w:val="18"/>
          <w:lang w:val="en-US"/>
        </w:rPr>
        <w:tab/>
        <w:t>Ibid., tableau 18.8.</w:t>
      </w:r>
    </w:p>
  </w:footnote>
  <w:footnote w:id="17">
    <w:p w14:paraId="0BC27B6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lang w:val="en-US"/>
        </w:rPr>
      </w:pPr>
      <w:r w:rsidRPr="00997F2B">
        <w:rPr>
          <w:szCs w:val="18"/>
          <w:lang w:val="en-US"/>
        </w:rPr>
        <w:tab/>
      </w:r>
      <w:r w:rsidRPr="00570056">
        <w:rPr>
          <w:rStyle w:val="FootnoteReference"/>
          <w:spacing w:val="4"/>
          <w:szCs w:val="18"/>
        </w:rPr>
        <w:footnoteRef/>
      </w:r>
      <w:r w:rsidRPr="00570056">
        <w:rPr>
          <w:szCs w:val="18"/>
          <w:lang w:val="en-US"/>
        </w:rPr>
        <w:t xml:space="preserve"> </w:t>
      </w:r>
      <w:r w:rsidRPr="00570056">
        <w:rPr>
          <w:szCs w:val="18"/>
          <w:lang w:val="en-US"/>
        </w:rPr>
        <w:tab/>
        <w:t>Ibid., tableau 18.2.</w:t>
      </w:r>
    </w:p>
  </w:footnote>
  <w:footnote w:id="18">
    <w:p w14:paraId="3F049042"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lang w:val="en-US"/>
        </w:rPr>
      </w:pPr>
      <w:r w:rsidRPr="00997F2B">
        <w:rPr>
          <w:szCs w:val="18"/>
          <w:lang w:val="en-US"/>
        </w:rPr>
        <w:tab/>
      </w:r>
      <w:r w:rsidRPr="00570056">
        <w:rPr>
          <w:rStyle w:val="FootnoteReference"/>
          <w:spacing w:val="4"/>
          <w:szCs w:val="18"/>
        </w:rPr>
        <w:footnoteRef/>
      </w:r>
      <w:r w:rsidRPr="00570056">
        <w:rPr>
          <w:szCs w:val="18"/>
          <w:lang w:val="en-US"/>
        </w:rPr>
        <w:t xml:space="preserve"> </w:t>
      </w:r>
      <w:r w:rsidRPr="00570056">
        <w:rPr>
          <w:szCs w:val="18"/>
          <w:lang w:val="en-US"/>
        </w:rPr>
        <w:tab/>
        <w:t>Ibid.</w:t>
      </w:r>
    </w:p>
  </w:footnote>
  <w:footnote w:id="19">
    <w:p w14:paraId="2D1F0127"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en-US"/>
        </w:rPr>
      </w:pPr>
      <w:r w:rsidRPr="00997F2B">
        <w:rPr>
          <w:szCs w:val="18"/>
          <w:lang w:val="en-US"/>
        </w:rPr>
        <w:tab/>
      </w:r>
      <w:r w:rsidRPr="00570056">
        <w:rPr>
          <w:rStyle w:val="FootnoteReference"/>
          <w:spacing w:val="4"/>
          <w:szCs w:val="18"/>
        </w:rPr>
        <w:footnoteRef/>
      </w:r>
      <w:r w:rsidRPr="00570056">
        <w:rPr>
          <w:szCs w:val="18"/>
          <w:lang w:val="en-US"/>
        </w:rPr>
        <w:t xml:space="preserve"> </w:t>
      </w:r>
      <w:r w:rsidRPr="00570056">
        <w:rPr>
          <w:szCs w:val="18"/>
          <w:lang w:val="en-US"/>
        </w:rPr>
        <w:tab/>
        <w:t>Ibid., tableau 18.3.</w:t>
      </w:r>
    </w:p>
  </w:footnote>
  <w:footnote w:id="20">
    <w:p w14:paraId="197C127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rsidRPr="00997F2B">
        <w:rPr>
          <w:lang w:val="en-US"/>
        </w:rPr>
        <w:tab/>
      </w:r>
      <w:r w:rsidRPr="00570056">
        <w:rPr>
          <w:rStyle w:val="FootnoteReference"/>
          <w:spacing w:val="4"/>
        </w:rPr>
        <w:footnoteRef/>
      </w:r>
      <w:r w:rsidRPr="00570056">
        <w:t xml:space="preserve"> </w:t>
      </w:r>
      <w:r w:rsidRPr="00570056">
        <w:tab/>
        <w:t>Ibid., tableau 18.7.</w:t>
      </w:r>
    </w:p>
  </w:footnote>
  <w:footnote w:id="21">
    <w:p w14:paraId="47DCCB73"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fr-CH"/>
        </w:rPr>
      </w:pPr>
      <w:r w:rsidRPr="00997F2B">
        <w:tab/>
      </w:r>
      <w:r w:rsidRPr="00570056">
        <w:rPr>
          <w:rStyle w:val="FootnoteReference"/>
          <w:spacing w:val="4"/>
        </w:rPr>
        <w:footnoteRef/>
      </w:r>
      <w:r w:rsidRPr="00570056">
        <w:rPr>
          <w:lang w:val="fr-CH"/>
        </w:rPr>
        <w:t xml:space="preserve"> </w:t>
      </w:r>
      <w:r w:rsidRPr="00570056">
        <w:rPr>
          <w:lang w:val="fr-CH"/>
        </w:rPr>
        <w:tab/>
        <w:t>Ibid., tableau 18.8.</w:t>
      </w:r>
    </w:p>
  </w:footnote>
  <w:footnote w:id="22">
    <w:p w14:paraId="7C75D669"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rsidRPr="00B24E1B">
        <w:rPr>
          <w:lang w:val="fr-CH"/>
        </w:rPr>
        <w:tab/>
      </w:r>
      <w:r w:rsidRPr="00570056">
        <w:rPr>
          <w:rStyle w:val="FootnoteReference"/>
          <w:spacing w:val="4"/>
        </w:rPr>
        <w:footnoteRef/>
      </w:r>
      <w:r w:rsidRPr="00570056">
        <w:t xml:space="preserve"> </w:t>
      </w:r>
      <w:r w:rsidRPr="00570056">
        <w:tab/>
      </w:r>
      <w:r w:rsidRPr="00570056">
        <w:rPr>
          <w:szCs w:val="18"/>
        </w:rPr>
        <w:t xml:space="preserve">Organisation mondiale de la Santé, </w:t>
      </w:r>
      <w:r w:rsidRPr="00570056">
        <w:rPr>
          <w:i/>
          <w:iCs/>
        </w:rPr>
        <w:t>Éliminer les mutilations sexuelles féminines</w:t>
      </w:r>
      <w:r w:rsidRPr="00570056">
        <w:t xml:space="preserve">, annexe 5. </w:t>
      </w:r>
    </w:p>
  </w:footnote>
  <w:footnote w:id="23">
    <w:p w14:paraId="4FAF7FF7" w14:textId="77777777" w:rsidR="00AE1B58" w:rsidRPr="00570056" w:rsidRDefault="00AE1B58" w:rsidP="00570056">
      <w:pPr>
        <w:tabs>
          <w:tab w:val="right" w:pos="1195"/>
          <w:tab w:val="left" w:pos="1267"/>
          <w:tab w:val="left" w:pos="1742"/>
          <w:tab w:val="left" w:pos="2218"/>
          <w:tab w:val="left" w:pos="2693"/>
        </w:tabs>
        <w:spacing w:line="210" w:lineRule="exact"/>
        <w:ind w:left="1267" w:right="1260" w:hanging="576"/>
        <w:rPr>
          <w:sz w:val="17"/>
        </w:rPr>
      </w:pPr>
      <w:r>
        <w:tab/>
      </w:r>
      <w:r w:rsidRPr="00570056">
        <w:rPr>
          <w:rStyle w:val="FootnoteReference"/>
          <w:spacing w:val="4"/>
          <w:sz w:val="17"/>
        </w:rPr>
        <w:footnoteRef/>
      </w:r>
      <w:r w:rsidRPr="00570056">
        <w:rPr>
          <w:sz w:val="17"/>
        </w:rPr>
        <w:t xml:space="preserve"> </w:t>
      </w:r>
      <w:r w:rsidRPr="00570056">
        <w:rPr>
          <w:sz w:val="17"/>
        </w:rPr>
        <w:tab/>
        <w:t xml:space="preserve">Mali, </w:t>
      </w:r>
      <w:r w:rsidRPr="00570056">
        <w:rPr>
          <w:sz w:val="17"/>
          <w:szCs w:val="18"/>
        </w:rPr>
        <w:t xml:space="preserve">Institut national de la statistique, </w:t>
      </w:r>
      <w:r w:rsidRPr="00570056">
        <w:rPr>
          <w:i/>
          <w:iCs/>
          <w:sz w:val="17"/>
        </w:rPr>
        <w:t>Enquête par grappes à indicateurs multiples (MICS) au Mali : rapport final –</w:t>
      </w:r>
      <w:r w:rsidRPr="00570056">
        <w:rPr>
          <w:sz w:val="17"/>
        </w:rPr>
        <w:t xml:space="preserve"> </w:t>
      </w:r>
      <w:r w:rsidRPr="00570056">
        <w:rPr>
          <w:i/>
          <w:iCs/>
          <w:sz w:val="17"/>
        </w:rPr>
        <w:t xml:space="preserve">2015 </w:t>
      </w:r>
      <w:r w:rsidRPr="00570056">
        <w:rPr>
          <w:sz w:val="17"/>
        </w:rPr>
        <w:t>(Bamako, 2015), p. 17.</w:t>
      </w:r>
    </w:p>
  </w:footnote>
  <w:footnote w:id="24">
    <w:p w14:paraId="1ACD107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 xml:space="preserve">Mali, Ministère de la promotion de la femme, de l’enfant et de la famille, </w:t>
      </w:r>
      <w:r w:rsidRPr="00570056">
        <w:rPr>
          <w:i/>
        </w:rPr>
        <w:t>« Yéélén »</w:t>
      </w:r>
      <w:r w:rsidRPr="00570056">
        <w:t>, p. 64.</w:t>
      </w:r>
    </w:p>
  </w:footnote>
  <w:footnote w:id="25">
    <w:p w14:paraId="47FD174B"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Ibid.</w:t>
      </w:r>
    </w:p>
  </w:footnote>
  <w:footnote w:id="26">
    <w:p w14:paraId="53737A54" w14:textId="09A5136D"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tab/>
      </w:r>
      <w:r w:rsidRPr="00570056">
        <w:rPr>
          <w:rStyle w:val="FootnoteReference"/>
          <w:spacing w:val="4"/>
        </w:rPr>
        <w:footnoteRef/>
      </w:r>
      <w:r w:rsidRPr="00570056">
        <w:rPr>
          <w:vertAlign w:val="superscript"/>
        </w:rPr>
        <w:t>.</w:t>
      </w:r>
      <w:r w:rsidRPr="00570056">
        <w:tab/>
      </w:r>
      <w:r w:rsidRPr="00570056">
        <w:rPr>
          <w:szCs w:val="18"/>
        </w:rPr>
        <w:t>Recommandation générale n</w:t>
      </w:r>
      <w:r w:rsidRPr="00570056">
        <w:rPr>
          <w:szCs w:val="18"/>
          <w:vertAlign w:val="superscript"/>
        </w:rPr>
        <w:t>o</w:t>
      </w:r>
      <w:r w:rsidRPr="00570056">
        <w:rPr>
          <w:szCs w:val="18"/>
        </w:rPr>
        <w:t> </w:t>
      </w:r>
      <w:r w:rsidRPr="00EA47C5">
        <w:rPr>
          <w:szCs w:val="18"/>
        </w:rPr>
        <w:t xml:space="preserve">35 </w:t>
      </w:r>
      <w:r w:rsidRPr="00EA47C5">
        <w:t>(2017)</w:t>
      </w:r>
      <w:r w:rsidRPr="00570056">
        <w:t xml:space="preserve"> sur la violence fondée sur le genre, portant actualisation de la recommandation générale n</w:t>
      </w:r>
      <w:r w:rsidRPr="00570056">
        <w:rPr>
          <w:vertAlign w:val="superscript"/>
        </w:rPr>
        <w:t>o</w:t>
      </w:r>
      <w:r w:rsidRPr="00570056">
        <w:t> 19</w:t>
      </w:r>
      <w:r w:rsidRPr="00570056">
        <w:rPr>
          <w:szCs w:val="18"/>
        </w:rPr>
        <w:t>, par. 14,  et recommandation générale n</w:t>
      </w:r>
      <w:r w:rsidRPr="00570056">
        <w:rPr>
          <w:szCs w:val="18"/>
          <w:vertAlign w:val="superscript"/>
        </w:rPr>
        <w:t>o</w:t>
      </w:r>
      <w:r w:rsidRPr="00570056">
        <w:rPr>
          <w:szCs w:val="18"/>
        </w:rPr>
        <w:t> </w:t>
      </w:r>
      <w:r w:rsidRPr="00EA47C5">
        <w:t>19 (1992)</w:t>
      </w:r>
      <w:r w:rsidRPr="00570056">
        <w:rPr>
          <w:szCs w:val="18"/>
        </w:rPr>
        <w:t xml:space="preserve"> sur la violence à l’égard des femmes, par. 19 et 20.</w:t>
      </w:r>
    </w:p>
  </w:footnote>
  <w:footnote w:id="27">
    <w:p w14:paraId="1028B971"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pacing w:val="3"/>
          <w:w w:val="101"/>
          <w:szCs w:val="18"/>
        </w:rPr>
        <w:tab/>
      </w:r>
      <w:r w:rsidRPr="00570056">
        <w:rPr>
          <w:rStyle w:val="FootnoteReference"/>
          <w:spacing w:val="4"/>
          <w:szCs w:val="18"/>
        </w:rPr>
        <w:footnoteRef/>
      </w:r>
      <w:r w:rsidRPr="00570056">
        <w:rPr>
          <w:szCs w:val="18"/>
        </w:rPr>
        <w:t xml:space="preserve"> </w:t>
      </w:r>
      <w:r w:rsidRPr="00570056">
        <w:rPr>
          <w:szCs w:val="18"/>
        </w:rPr>
        <w:tab/>
        <w:t>Recommandation générale/observation générale</w:t>
      </w:r>
      <w:r w:rsidRPr="00570056">
        <w:t xml:space="preserve"> </w:t>
      </w:r>
      <w:r w:rsidRPr="00570056">
        <w:rPr>
          <w:szCs w:val="18"/>
        </w:rPr>
        <w:t>conjointe n°31 et n</w:t>
      </w:r>
      <w:r w:rsidRPr="00570056">
        <w:rPr>
          <w:szCs w:val="18"/>
          <w:vertAlign w:val="superscript"/>
        </w:rPr>
        <w:t>o</w:t>
      </w:r>
      <w:r w:rsidRPr="00570056">
        <w:rPr>
          <w:szCs w:val="18"/>
        </w:rPr>
        <w:t> 18, par. 15 et 19.</w:t>
      </w:r>
    </w:p>
  </w:footnote>
  <w:footnote w:id="28">
    <w:p w14:paraId="055EDE20" w14:textId="62C8983F"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 n</w:t>
      </w:r>
      <w:r w:rsidRPr="00570056">
        <w:rPr>
          <w:szCs w:val="18"/>
          <w:vertAlign w:val="superscript"/>
        </w:rPr>
        <w:t>o</w:t>
      </w:r>
      <w:r w:rsidRPr="00570056">
        <w:rPr>
          <w:szCs w:val="18"/>
        </w:rPr>
        <w:t> </w:t>
      </w:r>
      <w:r w:rsidRPr="00EA47C5">
        <w:rPr>
          <w:szCs w:val="18"/>
        </w:rPr>
        <w:t>28 (2010)</w:t>
      </w:r>
      <w:r w:rsidRPr="00570056">
        <w:rPr>
          <w:szCs w:val="18"/>
        </w:rPr>
        <w:t xml:space="preserve"> </w:t>
      </w:r>
      <w:r w:rsidRPr="00570056">
        <w:t>concernant les obligations fondamentales des États parties découlant de l’article 2 de la Convention</w:t>
      </w:r>
      <w:r w:rsidRPr="00570056">
        <w:rPr>
          <w:szCs w:val="18"/>
        </w:rPr>
        <w:t>, par. 10.</w:t>
      </w:r>
    </w:p>
  </w:footnote>
  <w:footnote w:id="29">
    <w:p w14:paraId="237C1C56"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Ibid.</w:t>
      </w:r>
    </w:p>
  </w:footnote>
  <w:footnote w:id="30">
    <w:p w14:paraId="6B57D73F"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 n</w:t>
      </w:r>
      <w:r w:rsidRPr="00570056">
        <w:rPr>
          <w:szCs w:val="18"/>
          <w:vertAlign w:val="superscript"/>
        </w:rPr>
        <w:t>o</w:t>
      </w:r>
      <w:r w:rsidRPr="00570056">
        <w:rPr>
          <w:szCs w:val="18"/>
        </w:rPr>
        <w:t> 35, par. 24 b)  et recommandation générale/observation générale</w:t>
      </w:r>
      <w:r w:rsidRPr="00570056">
        <w:t xml:space="preserve"> conjointe n</w:t>
      </w:r>
      <w:r w:rsidRPr="00570056">
        <w:rPr>
          <w:vertAlign w:val="superscript"/>
        </w:rPr>
        <w:t>o</w:t>
      </w:r>
      <w:r w:rsidRPr="00570056">
        <w:t xml:space="preserve"> 31 et </w:t>
      </w:r>
      <w:r w:rsidRPr="00570056">
        <w:rPr>
          <w:szCs w:val="18"/>
        </w:rPr>
        <w:t>n</w:t>
      </w:r>
      <w:r w:rsidRPr="00570056">
        <w:rPr>
          <w:szCs w:val="18"/>
          <w:vertAlign w:val="superscript"/>
        </w:rPr>
        <w:t>o</w:t>
      </w:r>
      <w:r w:rsidRPr="00570056">
        <w:rPr>
          <w:szCs w:val="18"/>
        </w:rPr>
        <w:t> 18, par. 31 et 41.</w:t>
      </w:r>
    </w:p>
  </w:footnote>
  <w:footnote w:id="31">
    <w:p w14:paraId="23E97B1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 n</w:t>
      </w:r>
      <w:r w:rsidRPr="00570056">
        <w:rPr>
          <w:szCs w:val="18"/>
          <w:vertAlign w:val="superscript"/>
        </w:rPr>
        <w:t>o</w:t>
      </w:r>
      <w:r w:rsidRPr="00570056">
        <w:rPr>
          <w:szCs w:val="18"/>
        </w:rPr>
        <w:t> 35, par. 24 b) ; recommandation générale n</w:t>
      </w:r>
      <w:r w:rsidRPr="00570056">
        <w:rPr>
          <w:szCs w:val="18"/>
          <w:vertAlign w:val="superscript"/>
        </w:rPr>
        <w:t>o</w:t>
      </w:r>
      <w:r w:rsidRPr="00570056">
        <w:rPr>
          <w:szCs w:val="18"/>
        </w:rPr>
        <w:t> 28, par. 36 et 37 ; recommandation générale/observation générale</w:t>
      </w:r>
      <w:r w:rsidRPr="00570056">
        <w:t xml:space="preserve"> conjointe</w:t>
      </w:r>
      <w:r w:rsidRPr="00570056">
        <w:rPr>
          <w:szCs w:val="18"/>
        </w:rPr>
        <w:t xml:space="preserve"> n</w:t>
      </w:r>
      <w:r w:rsidRPr="00570056">
        <w:rPr>
          <w:szCs w:val="18"/>
          <w:vertAlign w:val="superscript"/>
        </w:rPr>
        <w:t>o</w:t>
      </w:r>
      <w:r w:rsidRPr="00570056">
        <w:rPr>
          <w:szCs w:val="18"/>
        </w:rPr>
        <w:t> 31 et n</w:t>
      </w:r>
      <w:r w:rsidRPr="00570056">
        <w:rPr>
          <w:szCs w:val="18"/>
          <w:vertAlign w:val="superscript"/>
        </w:rPr>
        <w:t>o</w:t>
      </w:r>
      <w:r w:rsidRPr="00570056">
        <w:rPr>
          <w:szCs w:val="18"/>
        </w:rPr>
        <w:t> 18, par. 11.</w:t>
      </w:r>
    </w:p>
  </w:footnote>
  <w:footnote w:id="32">
    <w:p w14:paraId="4F239D62"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rPr>
          <w:szCs w:val="18"/>
        </w:rPr>
        <w:tab/>
      </w:r>
      <w:r w:rsidRPr="00570056">
        <w:rPr>
          <w:rStyle w:val="FootnoteReference"/>
          <w:spacing w:val="4"/>
          <w:szCs w:val="18"/>
        </w:rPr>
        <w:footnoteRef/>
      </w:r>
      <w:r w:rsidRPr="00570056">
        <w:rPr>
          <w:szCs w:val="18"/>
        </w:rPr>
        <w:t xml:space="preserve"> </w:t>
      </w:r>
      <w:r w:rsidRPr="00570056">
        <w:rPr>
          <w:szCs w:val="18"/>
        </w:rPr>
        <w:tab/>
        <w:t>Interprété à la lumière de la recommandation générale n</w:t>
      </w:r>
      <w:r w:rsidRPr="00570056">
        <w:rPr>
          <w:szCs w:val="18"/>
          <w:vertAlign w:val="superscript"/>
        </w:rPr>
        <w:t>o</w:t>
      </w:r>
      <w:r w:rsidRPr="00570056">
        <w:rPr>
          <w:szCs w:val="18"/>
        </w:rPr>
        <w:t> 28, par. 34 et 36.</w:t>
      </w:r>
    </w:p>
  </w:footnote>
  <w:footnote w:id="33">
    <w:p w14:paraId="2459A0C1"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tab/>
      </w:r>
      <w:r w:rsidRPr="00570056">
        <w:rPr>
          <w:rStyle w:val="FootnoteReference"/>
          <w:spacing w:val="4"/>
        </w:rPr>
        <w:footnoteRef/>
      </w:r>
      <w:r w:rsidRPr="00570056">
        <w:t xml:space="preserve"> </w:t>
      </w:r>
      <w:r w:rsidRPr="00570056">
        <w:tab/>
      </w:r>
      <w:r w:rsidRPr="00570056">
        <w:rPr>
          <w:szCs w:val="18"/>
        </w:rPr>
        <w:t>Recommandation générale/observation générale</w:t>
      </w:r>
      <w:r w:rsidRPr="00570056">
        <w:t xml:space="preserve"> conjointe</w:t>
      </w:r>
      <w:r w:rsidRPr="00570056">
        <w:rPr>
          <w:szCs w:val="18"/>
        </w:rPr>
        <w:t xml:space="preserve"> n</w:t>
      </w:r>
      <w:r w:rsidRPr="00570056">
        <w:rPr>
          <w:szCs w:val="18"/>
          <w:vertAlign w:val="superscript"/>
        </w:rPr>
        <w:t>o</w:t>
      </w:r>
      <w:r w:rsidRPr="00570056">
        <w:rPr>
          <w:szCs w:val="18"/>
        </w:rPr>
        <w:t> 31 et n</w:t>
      </w:r>
      <w:r w:rsidRPr="00570056">
        <w:rPr>
          <w:szCs w:val="18"/>
          <w:vertAlign w:val="superscript"/>
        </w:rPr>
        <w:t>o</w:t>
      </w:r>
      <w:r w:rsidRPr="00570056">
        <w:rPr>
          <w:szCs w:val="18"/>
        </w:rPr>
        <w:t> 18, par. 13.</w:t>
      </w:r>
    </w:p>
  </w:footnote>
  <w:footnote w:id="34">
    <w:p w14:paraId="1D78D206" w14:textId="4E90DEE9"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 n</w:t>
      </w:r>
      <w:r w:rsidRPr="00570056">
        <w:rPr>
          <w:szCs w:val="18"/>
          <w:vertAlign w:val="superscript"/>
        </w:rPr>
        <w:t>o</w:t>
      </w:r>
      <w:r w:rsidRPr="00570056">
        <w:rPr>
          <w:szCs w:val="18"/>
        </w:rPr>
        <w:t> </w:t>
      </w:r>
      <w:r w:rsidRPr="00EA47C5">
        <w:rPr>
          <w:szCs w:val="18"/>
        </w:rPr>
        <w:t>33 (2015)</w:t>
      </w:r>
      <w:r w:rsidRPr="00570056">
        <w:rPr>
          <w:szCs w:val="18"/>
        </w:rPr>
        <w:t xml:space="preserve"> sur l’accès des femmes à la justice, par. 33 c). </w:t>
      </w:r>
    </w:p>
  </w:footnote>
  <w:footnote w:id="35">
    <w:p w14:paraId="3F1DF5B7"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w:t>
      </w:r>
      <w:r w:rsidRPr="00570056">
        <w:t>/</w:t>
      </w:r>
      <w:r w:rsidRPr="00570056">
        <w:rPr>
          <w:szCs w:val="18"/>
        </w:rPr>
        <w:t>observation générale</w:t>
      </w:r>
      <w:r w:rsidRPr="00570056">
        <w:t xml:space="preserve"> conjointe</w:t>
      </w:r>
      <w:r w:rsidRPr="00570056">
        <w:rPr>
          <w:szCs w:val="18"/>
        </w:rPr>
        <w:t xml:space="preserve"> n</w:t>
      </w:r>
      <w:r w:rsidRPr="00570056">
        <w:rPr>
          <w:szCs w:val="18"/>
          <w:vertAlign w:val="superscript"/>
        </w:rPr>
        <w:t>o</w:t>
      </w:r>
      <w:r w:rsidRPr="00570056">
        <w:rPr>
          <w:szCs w:val="18"/>
        </w:rPr>
        <w:t> 31 et n</w:t>
      </w:r>
      <w:r w:rsidRPr="00570056">
        <w:rPr>
          <w:szCs w:val="18"/>
          <w:vertAlign w:val="superscript"/>
        </w:rPr>
        <w:t>o</w:t>
      </w:r>
      <w:r w:rsidRPr="00570056">
        <w:rPr>
          <w:szCs w:val="18"/>
        </w:rPr>
        <w:t> 18, par. 31 ; recommandation générale n</w:t>
      </w:r>
      <w:r w:rsidRPr="00570056">
        <w:rPr>
          <w:szCs w:val="18"/>
          <w:vertAlign w:val="superscript"/>
        </w:rPr>
        <w:t>o</w:t>
      </w:r>
      <w:r w:rsidRPr="00570056">
        <w:rPr>
          <w:szCs w:val="18"/>
        </w:rPr>
        <w:t> 28, par. 29.</w:t>
      </w:r>
    </w:p>
  </w:footnote>
  <w:footnote w:id="36">
    <w:p w14:paraId="7B683688" w14:textId="5891E494" w:rsidR="00AE1B58" w:rsidRPr="00570056" w:rsidRDefault="00AE1B58" w:rsidP="00570056">
      <w:pPr>
        <w:pStyle w:val="FootnoteText"/>
        <w:tabs>
          <w:tab w:val="right" w:pos="1195"/>
          <w:tab w:val="left" w:pos="1267"/>
          <w:tab w:val="left" w:pos="1742"/>
          <w:tab w:val="left" w:pos="2218"/>
          <w:tab w:val="left" w:pos="2693"/>
        </w:tabs>
        <w:ind w:left="1267" w:right="1260" w:hanging="576"/>
        <w:rPr>
          <w:lang w:val="fr-CH"/>
        </w:rPr>
      </w:pPr>
      <w:r>
        <w:tab/>
      </w:r>
      <w:r w:rsidRPr="00570056">
        <w:rPr>
          <w:rStyle w:val="FootnoteReference"/>
          <w:spacing w:val="4"/>
        </w:rPr>
        <w:footnoteRef/>
      </w:r>
      <w:r w:rsidRPr="00570056">
        <w:t xml:space="preserve"> </w:t>
      </w:r>
      <w:r w:rsidRPr="00570056">
        <w:tab/>
        <w:t>Recommandation générale n</w:t>
      </w:r>
      <w:r w:rsidRPr="00570056">
        <w:rPr>
          <w:vertAlign w:val="superscript"/>
        </w:rPr>
        <w:t>o</w:t>
      </w:r>
      <w:r w:rsidRPr="00570056">
        <w:t> </w:t>
      </w:r>
      <w:r w:rsidRPr="00EA47C5">
        <w:t>24 (1999)</w:t>
      </w:r>
      <w:r w:rsidRPr="00570056">
        <w:t xml:space="preserve"> sur les femmes et la santé, par.</w:t>
      </w:r>
      <w:r w:rsidRPr="00570056">
        <w:rPr>
          <w:szCs w:val="18"/>
          <w:lang w:val="fr-CH"/>
        </w:rPr>
        <w:t> 29.</w:t>
      </w:r>
    </w:p>
  </w:footnote>
  <w:footnote w:id="37">
    <w:p w14:paraId="6801036E"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Ibid., par. 22 et 31 e).</w:t>
      </w:r>
    </w:p>
  </w:footnote>
  <w:footnote w:id="38">
    <w:p w14:paraId="09ED6EE7" w14:textId="145CDA1B" w:rsidR="00AE1B58" w:rsidRPr="00570056" w:rsidRDefault="00AE1B58" w:rsidP="00570056">
      <w:pPr>
        <w:pStyle w:val="FootnoteText"/>
        <w:tabs>
          <w:tab w:val="right" w:pos="1195"/>
          <w:tab w:val="left" w:pos="1267"/>
          <w:tab w:val="left" w:pos="1742"/>
          <w:tab w:val="left" w:pos="2218"/>
          <w:tab w:val="left" w:pos="2693"/>
        </w:tabs>
        <w:ind w:left="1267" w:right="1260" w:hanging="576"/>
        <w:rPr>
          <w:szCs w:val="18"/>
        </w:rPr>
      </w:pPr>
      <w:r w:rsidRPr="00997F2B">
        <w:rPr>
          <w:szCs w:val="18"/>
        </w:rPr>
        <w:tab/>
      </w:r>
      <w:r w:rsidRPr="00570056">
        <w:rPr>
          <w:rStyle w:val="FootnoteReference"/>
          <w:spacing w:val="4"/>
          <w:szCs w:val="18"/>
        </w:rPr>
        <w:footnoteRef/>
      </w:r>
      <w:r w:rsidRPr="00570056">
        <w:rPr>
          <w:szCs w:val="18"/>
          <w:lang w:val="fr-FR"/>
        </w:rPr>
        <w:t xml:space="preserve"> </w:t>
      </w:r>
      <w:r w:rsidRPr="00570056">
        <w:rPr>
          <w:szCs w:val="18"/>
          <w:lang w:val="fr-FR"/>
        </w:rPr>
        <w:tab/>
      </w:r>
      <w:bookmarkStart w:id="7" w:name="_Hlk9351514"/>
      <w:r w:rsidRPr="00570056">
        <w:rPr>
          <w:szCs w:val="18"/>
          <w:lang w:val="fr-FR"/>
        </w:rPr>
        <w:t>Voir Comité pour l’élimination de la discrimination à l’égard des femmes, « </w:t>
      </w:r>
      <w:r w:rsidRPr="00570056">
        <w:rPr>
          <w:lang w:val="fr-FR"/>
        </w:rPr>
        <w:t xml:space="preserve">Statement of the Committee on the Elimination of Discrimination against Women on sexual and reproductive health and rights: beyond 2014 ICPD review ». </w:t>
      </w:r>
      <w:r w:rsidRPr="00570056">
        <w:t xml:space="preserve">Disponible à l’adresse suivante : </w:t>
      </w:r>
      <w:hyperlink r:id="rId2" w:history="1">
        <w:r w:rsidRPr="00570056">
          <w:rPr>
            <w:rStyle w:val="Hyperlink"/>
          </w:rPr>
          <w:t>www.ohchr.org/</w:t>
        </w:r>
        <w:r w:rsidRPr="00570056">
          <w:rPr>
            <w:rStyle w:val="Hyperlink"/>
          </w:rPr>
          <w:br/>
          <w:t>Documents/HRBodies/CEDAW/Statements/SRHR26Feb2014.pdf</w:t>
        </w:r>
      </w:hyperlink>
      <w:r w:rsidRPr="00570056">
        <w:rPr>
          <w:szCs w:val="18"/>
        </w:rPr>
        <w:t>.</w:t>
      </w:r>
      <w:bookmarkEnd w:id="7"/>
    </w:p>
  </w:footnote>
  <w:footnote w:id="39">
    <w:p w14:paraId="74C44285" w14:textId="77777777" w:rsidR="00AE1B58" w:rsidRPr="00570056" w:rsidRDefault="00AE1B58" w:rsidP="00570056">
      <w:pPr>
        <w:pStyle w:val="FootnoteText"/>
        <w:tabs>
          <w:tab w:val="right" w:pos="1195"/>
          <w:tab w:val="left" w:pos="1267"/>
          <w:tab w:val="left" w:pos="1742"/>
          <w:tab w:val="left" w:pos="2218"/>
          <w:tab w:val="left" w:pos="2693"/>
        </w:tabs>
        <w:ind w:left="1267" w:right="1260" w:hanging="576"/>
      </w:pPr>
      <w:r>
        <w:rPr>
          <w:szCs w:val="18"/>
        </w:rPr>
        <w:tab/>
      </w:r>
      <w:r w:rsidRPr="00570056">
        <w:rPr>
          <w:rStyle w:val="FootnoteReference"/>
          <w:spacing w:val="4"/>
          <w:szCs w:val="18"/>
        </w:rPr>
        <w:footnoteRef/>
      </w:r>
      <w:r w:rsidRPr="00570056">
        <w:rPr>
          <w:szCs w:val="18"/>
        </w:rPr>
        <w:t xml:space="preserve"> </w:t>
      </w:r>
      <w:r w:rsidRPr="00570056">
        <w:rPr>
          <w:szCs w:val="18"/>
        </w:rPr>
        <w:tab/>
        <w:t>Recommandation générale n</w:t>
      </w:r>
      <w:r w:rsidRPr="00570056">
        <w:rPr>
          <w:szCs w:val="18"/>
          <w:vertAlign w:val="superscript"/>
        </w:rPr>
        <w:t>o</w:t>
      </w:r>
      <w:r w:rsidRPr="00570056">
        <w:rPr>
          <w:szCs w:val="18"/>
        </w:rPr>
        <w:t> 28, par. 11.</w:t>
      </w:r>
    </w:p>
  </w:footnote>
  <w:footnote w:id="40">
    <w:p w14:paraId="2838E7C5" w14:textId="6875F6CE" w:rsidR="00AE1B58" w:rsidRPr="00570056" w:rsidRDefault="00AE1B58" w:rsidP="00570056">
      <w:pPr>
        <w:pStyle w:val="FootnoteText"/>
        <w:tabs>
          <w:tab w:val="right" w:pos="1195"/>
          <w:tab w:val="left" w:pos="1267"/>
          <w:tab w:val="left" w:pos="1742"/>
          <w:tab w:val="left" w:pos="2218"/>
          <w:tab w:val="left" w:pos="2693"/>
        </w:tabs>
        <w:ind w:left="1267" w:right="1260" w:hanging="576"/>
      </w:pPr>
      <w:r>
        <w:tab/>
      </w:r>
      <w:r w:rsidRPr="00570056">
        <w:rPr>
          <w:rStyle w:val="FootnoteReference"/>
          <w:spacing w:val="4"/>
        </w:rPr>
        <w:footnoteRef/>
      </w:r>
      <w:r w:rsidRPr="00570056">
        <w:t xml:space="preserve"> </w:t>
      </w:r>
      <w:r w:rsidRPr="00570056">
        <w:tab/>
        <w:t>Observation générale n</w:t>
      </w:r>
      <w:r w:rsidRPr="00570056">
        <w:rPr>
          <w:vertAlign w:val="superscript"/>
        </w:rPr>
        <w:t>o</w:t>
      </w:r>
      <w:r w:rsidRPr="00570056">
        <w:t> </w:t>
      </w:r>
      <w:r w:rsidRPr="00EA47C5">
        <w:t>20 (1992)</w:t>
      </w:r>
      <w:r w:rsidRPr="00570056">
        <w:t xml:space="preserve"> du Comité des droits de l’homme sur l’interdiction de la torture et des peines ou traitements cruels, inhumains ou dégradants, par. 15 ; et observation générale n</w:t>
      </w:r>
      <w:r w:rsidRPr="00570056">
        <w:rPr>
          <w:vertAlign w:val="superscript"/>
        </w:rPr>
        <w:t>o</w:t>
      </w:r>
      <w:r w:rsidRPr="00570056">
        <w:t> 31 [80] (2004) du Comité des droits de l’homme sur la nature de l’obligation juridique générale imposée aux États parties au Pacte,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1B58" w:rsidRPr="00583575" w14:paraId="65E45E8E" w14:textId="77777777" w:rsidTr="001D4413">
      <w:trPr>
        <w:trHeight w:hRule="exact" w:val="864"/>
      </w:trPr>
      <w:tc>
        <w:tcPr>
          <w:tcW w:w="4920" w:type="dxa"/>
          <w:vAlign w:val="bottom"/>
        </w:tcPr>
        <w:p w14:paraId="13993850" w14:textId="1A669338" w:rsidR="00AE1B58" w:rsidRPr="001D4413" w:rsidRDefault="00AE1B58" w:rsidP="001D44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7B6A">
            <w:rPr>
              <w:b/>
              <w:color w:val="000000"/>
            </w:rPr>
            <w:t>CEDAW/C/OP.8/MLI/R.1/Rev.2</w:t>
          </w:r>
          <w:r>
            <w:rPr>
              <w:b/>
              <w:color w:val="000000"/>
            </w:rPr>
            <w:fldChar w:fldCharType="end"/>
          </w:r>
        </w:p>
      </w:tc>
      <w:tc>
        <w:tcPr>
          <w:tcW w:w="4920" w:type="dxa"/>
          <w:vAlign w:val="bottom"/>
        </w:tcPr>
        <w:p w14:paraId="78120204" w14:textId="77777777" w:rsidR="00AE1B58" w:rsidRDefault="00AE1B58" w:rsidP="001D4413">
          <w:pPr>
            <w:pStyle w:val="Header"/>
          </w:pPr>
        </w:p>
      </w:tc>
    </w:tr>
  </w:tbl>
  <w:p w14:paraId="050C6301" w14:textId="77777777" w:rsidR="00AE1B58" w:rsidRPr="001D4413" w:rsidRDefault="00AE1B58" w:rsidP="001D44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1B58" w:rsidRPr="00583575" w14:paraId="136D117B" w14:textId="77777777" w:rsidTr="001D4413">
      <w:trPr>
        <w:trHeight w:hRule="exact" w:val="864"/>
      </w:trPr>
      <w:tc>
        <w:tcPr>
          <w:tcW w:w="4920" w:type="dxa"/>
          <w:vAlign w:val="bottom"/>
        </w:tcPr>
        <w:p w14:paraId="4DBF5238" w14:textId="77777777" w:rsidR="00AE1B58" w:rsidRDefault="00AE1B58" w:rsidP="001D4413">
          <w:pPr>
            <w:pStyle w:val="Header"/>
          </w:pPr>
        </w:p>
      </w:tc>
      <w:tc>
        <w:tcPr>
          <w:tcW w:w="4920" w:type="dxa"/>
          <w:vAlign w:val="bottom"/>
        </w:tcPr>
        <w:p w14:paraId="3FC21359" w14:textId="375578AF" w:rsidR="00AE1B58" w:rsidRPr="001D4413" w:rsidRDefault="00AE1B58" w:rsidP="001D44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7B6A">
            <w:rPr>
              <w:b/>
              <w:color w:val="000000"/>
            </w:rPr>
            <w:t>CEDAW/C/OP.8/MLI/R.1/Rev.2</w:t>
          </w:r>
          <w:r>
            <w:rPr>
              <w:b/>
              <w:color w:val="000000"/>
            </w:rPr>
            <w:fldChar w:fldCharType="end"/>
          </w:r>
        </w:p>
      </w:tc>
    </w:tr>
  </w:tbl>
  <w:p w14:paraId="5A444E7C" w14:textId="77777777" w:rsidR="00AE1B58" w:rsidRPr="001D4413" w:rsidRDefault="00AE1B58" w:rsidP="001D44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1B58" w:rsidRPr="00583575" w14:paraId="353D434D" w14:textId="77777777" w:rsidTr="001D4413">
      <w:trPr>
        <w:trHeight w:hRule="exact" w:val="864"/>
      </w:trPr>
      <w:tc>
        <w:tcPr>
          <w:tcW w:w="1267" w:type="dxa"/>
          <w:tcBorders>
            <w:bottom w:val="single" w:sz="4" w:space="0" w:color="auto"/>
          </w:tcBorders>
          <w:vAlign w:val="bottom"/>
        </w:tcPr>
        <w:p w14:paraId="715DC2ED" w14:textId="77777777" w:rsidR="00AE1B58" w:rsidRDefault="00AE1B58" w:rsidP="001D4413">
          <w:pPr>
            <w:pStyle w:val="Header"/>
            <w:spacing w:after="120"/>
          </w:pPr>
        </w:p>
      </w:tc>
      <w:tc>
        <w:tcPr>
          <w:tcW w:w="2059" w:type="dxa"/>
          <w:tcBorders>
            <w:bottom w:val="single" w:sz="4" w:space="0" w:color="auto"/>
          </w:tcBorders>
          <w:vAlign w:val="bottom"/>
        </w:tcPr>
        <w:p w14:paraId="350BE606" w14:textId="77777777" w:rsidR="00AE1B58" w:rsidRPr="001D4413" w:rsidRDefault="00AE1B58" w:rsidP="001D44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24844B9F" w14:textId="77777777" w:rsidR="00AE1B58" w:rsidRDefault="00AE1B58" w:rsidP="001D4413">
          <w:pPr>
            <w:pStyle w:val="Header"/>
            <w:spacing w:after="120"/>
          </w:pPr>
        </w:p>
      </w:tc>
      <w:tc>
        <w:tcPr>
          <w:tcW w:w="6466" w:type="dxa"/>
          <w:gridSpan w:val="3"/>
          <w:tcBorders>
            <w:bottom w:val="single" w:sz="4" w:space="0" w:color="auto"/>
          </w:tcBorders>
          <w:vAlign w:val="bottom"/>
        </w:tcPr>
        <w:p w14:paraId="0255EBA1" w14:textId="77777777" w:rsidR="00AE1B58" w:rsidRPr="00DB580E" w:rsidRDefault="00AE1B58" w:rsidP="001D4413">
          <w:pPr>
            <w:spacing w:after="80" w:line="240" w:lineRule="auto"/>
            <w:jc w:val="right"/>
            <w:rPr>
              <w:position w:val="-4"/>
              <w:lang w:val="en-US"/>
            </w:rPr>
          </w:pPr>
          <w:r w:rsidRPr="00DB580E">
            <w:rPr>
              <w:position w:val="-4"/>
              <w:sz w:val="40"/>
              <w:lang w:val="en-US"/>
            </w:rPr>
            <w:t>CEDAW</w:t>
          </w:r>
          <w:r w:rsidRPr="00DB580E">
            <w:rPr>
              <w:position w:val="-4"/>
              <w:lang w:val="en-US"/>
            </w:rPr>
            <w:t>/C/OP.8/MLI/R.1/Rev.2</w:t>
          </w:r>
        </w:p>
      </w:tc>
    </w:tr>
    <w:tr w:rsidR="00AE1B58" w:rsidRPr="001D4413" w14:paraId="0665591D" w14:textId="77777777" w:rsidTr="001D4413">
      <w:trPr>
        <w:trHeight w:hRule="exact" w:val="2880"/>
      </w:trPr>
      <w:tc>
        <w:tcPr>
          <w:tcW w:w="1267" w:type="dxa"/>
          <w:tcBorders>
            <w:top w:val="single" w:sz="4" w:space="0" w:color="auto"/>
            <w:bottom w:val="single" w:sz="12" w:space="0" w:color="auto"/>
          </w:tcBorders>
        </w:tcPr>
        <w:p w14:paraId="0A4BA337" w14:textId="77777777" w:rsidR="00AE1B58" w:rsidRPr="001D4413" w:rsidRDefault="00AE1B58" w:rsidP="001D4413">
          <w:pPr>
            <w:pStyle w:val="Header"/>
            <w:spacing w:before="120" w:line="240" w:lineRule="auto"/>
            <w:ind w:left="-72"/>
            <w:jc w:val="center"/>
          </w:pPr>
          <w:r>
            <w:t xml:space="preserve">  </w:t>
          </w:r>
          <w:r>
            <w:rPr>
              <w:noProof/>
            </w:rPr>
            <w:drawing>
              <wp:inline distT="0" distB="0" distL="0" distR="0" wp14:anchorId="2A79E3EE" wp14:editId="2129F60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2C12EFA" w14:textId="77777777" w:rsidR="00AE1B58" w:rsidRPr="001D4413" w:rsidRDefault="00AE1B58" w:rsidP="001D441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1833F6ED" w14:textId="77777777" w:rsidR="00AE1B58" w:rsidRPr="00DB580E" w:rsidRDefault="00AE1B58" w:rsidP="001D4413">
          <w:pPr>
            <w:pStyle w:val="Header"/>
            <w:spacing w:before="109"/>
            <w:rPr>
              <w:lang w:val="fr-FR"/>
            </w:rPr>
          </w:pPr>
        </w:p>
      </w:tc>
      <w:tc>
        <w:tcPr>
          <w:tcW w:w="3110" w:type="dxa"/>
          <w:tcBorders>
            <w:top w:val="single" w:sz="4" w:space="0" w:color="auto"/>
            <w:bottom w:val="single" w:sz="12" w:space="0" w:color="auto"/>
          </w:tcBorders>
        </w:tcPr>
        <w:p w14:paraId="1C94AE3A" w14:textId="77777777" w:rsidR="00AE1B58" w:rsidRPr="00DB580E" w:rsidRDefault="00AE1B58" w:rsidP="001D4413">
          <w:pPr>
            <w:pStyle w:val="Distribution"/>
            <w:rPr>
              <w:color w:val="000000"/>
              <w:lang w:val="fr-FR"/>
            </w:rPr>
          </w:pPr>
          <w:r w:rsidRPr="00DB580E">
            <w:rPr>
              <w:color w:val="000000"/>
              <w:lang w:val="fr-FR"/>
            </w:rPr>
            <w:t>Distr. restreinte</w:t>
          </w:r>
        </w:p>
        <w:p w14:paraId="0EECAF87" w14:textId="77777777" w:rsidR="00AE1B58" w:rsidRPr="00DB580E" w:rsidRDefault="00AE1B58" w:rsidP="001D4413">
          <w:pPr>
            <w:pStyle w:val="Publication"/>
            <w:rPr>
              <w:color w:val="000000"/>
              <w:lang w:val="fr-FR"/>
            </w:rPr>
          </w:pPr>
          <w:r w:rsidRPr="00DB580E">
            <w:rPr>
              <w:color w:val="000000"/>
              <w:lang w:val="fr-FR"/>
            </w:rPr>
            <w:t>24 décembre 2019</w:t>
          </w:r>
        </w:p>
        <w:p w14:paraId="29169A52" w14:textId="77777777" w:rsidR="00AE1B58" w:rsidRPr="00DB580E" w:rsidRDefault="00AE1B58" w:rsidP="001D4413">
          <w:pPr>
            <w:rPr>
              <w:lang w:val="fr-FR"/>
            </w:rPr>
          </w:pPr>
          <w:r w:rsidRPr="00DB580E">
            <w:rPr>
              <w:lang w:val="fr-FR"/>
            </w:rPr>
            <w:t>Français</w:t>
          </w:r>
        </w:p>
        <w:p w14:paraId="60FF98C1" w14:textId="77777777" w:rsidR="00AE1B58" w:rsidRDefault="00AE1B58" w:rsidP="001D4413">
          <w:pPr>
            <w:pStyle w:val="Original"/>
            <w:rPr>
              <w:color w:val="000000"/>
              <w:lang w:val="fr-FR"/>
            </w:rPr>
          </w:pPr>
          <w:r w:rsidRPr="00DB580E">
            <w:rPr>
              <w:color w:val="000000"/>
              <w:lang w:val="fr-FR"/>
            </w:rPr>
            <w:t>Original : anglais</w:t>
          </w:r>
        </w:p>
        <w:p w14:paraId="632B122E" w14:textId="2EA7D62A" w:rsidR="00AE1B58" w:rsidRPr="00DB580E" w:rsidRDefault="00AE1B58" w:rsidP="00DB580E">
          <w:pPr>
            <w:rPr>
              <w:lang w:val="fr-FR"/>
            </w:rPr>
          </w:pPr>
          <w:r w:rsidRPr="00DB580E">
            <w:rPr>
              <w:lang w:val="fr-FR"/>
            </w:rPr>
            <w:t>Anglais, espagnol et français seulement</w:t>
          </w:r>
        </w:p>
      </w:tc>
    </w:tr>
  </w:tbl>
  <w:p w14:paraId="79185E4F" w14:textId="77777777" w:rsidR="00AE1B58" w:rsidRPr="00DB580E" w:rsidRDefault="00AE1B58" w:rsidP="001D441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6A1658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ED6CD9"/>
    <w:multiLevelType w:val="singleLevel"/>
    <w:tmpl w:val="14AEBC5A"/>
    <w:lvl w:ilvl="0">
      <w:start w:val="72"/>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8212BF"/>
    <w:multiLevelType w:val="singleLevel"/>
    <w:tmpl w:val="897E12B6"/>
    <w:lvl w:ilvl="0">
      <w:start w:val="1"/>
      <w:numFmt w:val="decimal"/>
      <w:lvlRestart w:val="0"/>
      <w:lvlText w:val="%1."/>
      <w:lvlJc w:val="left"/>
      <w:pPr>
        <w:tabs>
          <w:tab w:val="num" w:pos="2185"/>
        </w:tabs>
        <w:ind w:left="1710" w:firstLine="0"/>
      </w:pPr>
      <w:rPr>
        <w:b w:val="0"/>
        <w:bCs w:val="0"/>
        <w:i w:val="0"/>
        <w:iCs w:val="0"/>
        <w:w w:val="100"/>
        <w:sz w:val="20"/>
        <w:szCs w:val="20"/>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1010340"/>
    <w:multiLevelType w:val="hybridMultilevel"/>
    <w:tmpl w:val="9AF42146"/>
    <w:lvl w:ilvl="0" w:tplc="8FA08B3C">
      <w:start w:val="74"/>
      <w:numFmt w:val="decimal"/>
      <w:lvlRestart w:val="0"/>
      <w:lvlText w:val="%1."/>
      <w:lvlJc w:val="left"/>
      <w:pPr>
        <w:tabs>
          <w:tab w:val="num" w:pos="2185"/>
        </w:tabs>
        <w:ind w:left="1710" w:firstLine="0"/>
      </w:pPr>
      <w:rPr>
        <w:rFonts w:hint="default"/>
        <w:b w:val="0"/>
        <w:bCs w:val="0"/>
        <w:i w:val="0"/>
        <w:iCs w:val="0"/>
        <w:w w:val="10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C3E24BA"/>
    <w:multiLevelType w:val="singleLevel"/>
    <w:tmpl w:val="040C000F"/>
    <w:lvl w:ilvl="0">
      <w:start w:val="1"/>
      <w:numFmt w:val="decimal"/>
      <w:lvlText w:val="%1."/>
      <w:lvlJc w:val="left"/>
      <w:pPr>
        <w:ind w:left="720" w:hanging="360"/>
      </w:pPr>
    </w:lvl>
  </w:abstractNum>
  <w:num w:numId="1" w16cid:durableId="1139415531">
    <w:abstractNumId w:val="4"/>
  </w:num>
  <w:num w:numId="2" w16cid:durableId="1165559996">
    <w:abstractNumId w:val="6"/>
  </w:num>
  <w:num w:numId="3" w16cid:durableId="348027518">
    <w:abstractNumId w:val="1"/>
  </w:num>
  <w:num w:numId="4" w16cid:durableId="1090010220">
    <w:abstractNumId w:val="3"/>
  </w:num>
  <w:num w:numId="5" w16cid:durableId="651717265">
    <w:abstractNumId w:val="4"/>
  </w:num>
  <w:num w:numId="6" w16cid:durableId="1950507717">
    <w:abstractNumId w:val="6"/>
  </w:num>
  <w:num w:numId="7" w16cid:durableId="1984458149">
    <w:abstractNumId w:val="1"/>
  </w:num>
  <w:num w:numId="8" w16cid:durableId="1544633887">
    <w:abstractNumId w:val="3"/>
  </w:num>
  <w:num w:numId="9" w16cid:durableId="506558084">
    <w:abstractNumId w:val="3"/>
  </w:num>
  <w:num w:numId="10" w16cid:durableId="1226450005">
    <w:abstractNumId w:val="3"/>
  </w:num>
  <w:num w:numId="11" w16cid:durableId="1756976773">
    <w:abstractNumId w:val="3"/>
  </w:num>
  <w:num w:numId="12" w16cid:durableId="1268385902">
    <w:abstractNumId w:val="3"/>
  </w:num>
  <w:num w:numId="13" w16cid:durableId="373191398">
    <w:abstractNumId w:val="3"/>
  </w:num>
  <w:num w:numId="14" w16cid:durableId="2108428858">
    <w:abstractNumId w:val="3"/>
  </w:num>
  <w:num w:numId="15" w16cid:durableId="405297801">
    <w:abstractNumId w:val="3"/>
  </w:num>
  <w:num w:numId="16" w16cid:durableId="1203134736">
    <w:abstractNumId w:val="3"/>
  </w:num>
  <w:num w:numId="17" w16cid:durableId="1586914280">
    <w:abstractNumId w:val="4"/>
  </w:num>
  <w:num w:numId="18" w16cid:durableId="439378070">
    <w:abstractNumId w:val="6"/>
  </w:num>
  <w:num w:numId="19" w16cid:durableId="475613594">
    <w:abstractNumId w:val="1"/>
  </w:num>
  <w:num w:numId="20" w16cid:durableId="1033768510">
    <w:abstractNumId w:val="3"/>
  </w:num>
  <w:num w:numId="21" w16cid:durableId="1642228362">
    <w:abstractNumId w:val="3"/>
  </w:num>
  <w:num w:numId="22" w16cid:durableId="208760404">
    <w:abstractNumId w:val="3"/>
  </w:num>
  <w:num w:numId="23" w16cid:durableId="1116363159">
    <w:abstractNumId w:val="3"/>
  </w:num>
  <w:num w:numId="24" w16cid:durableId="910846097">
    <w:abstractNumId w:val="3"/>
  </w:num>
  <w:num w:numId="25" w16cid:durableId="1135296192">
    <w:abstractNumId w:val="3"/>
  </w:num>
  <w:num w:numId="26" w16cid:durableId="1498694675">
    <w:abstractNumId w:val="3"/>
  </w:num>
  <w:num w:numId="27" w16cid:durableId="2076196131">
    <w:abstractNumId w:val="3"/>
  </w:num>
  <w:num w:numId="28" w16cid:durableId="645358546">
    <w:abstractNumId w:val="3"/>
  </w:num>
  <w:num w:numId="29" w16cid:durableId="812991424">
    <w:abstractNumId w:val="4"/>
  </w:num>
  <w:num w:numId="30" w16cid:durableId="962349361">
    <w:abstractNumId w:val="6"/>
  </w:num>
  <w:num w:numId="31" w16cid:durableId="1331954889">
    <w:abstractNumId w:val="1"/>
  </w:num>
  <w:num w:numId="32" w16cid:durableId="1909682453">
    <w:abstractNumId w:val="3"/>
  </w:num>
  <w:num w:numId="33" w16cid:durableId="2111706302">
    <w:abstractNumId w:val="3"/>
  </w:num>
  <w:num w:numId="34" w16cid:durableId="1058092585">
    <w:abstractNumId w:val="3"/>
  </w:num>
  <w:num w:numId="35" w16cid:durableId="658459610">
    <w:abstractNumId w:val="3"/>
  </w:num>
  <w:num w:numId="36" w16cid:durableId="1513030530">
    <w:abstractNumId w:val="3"/>
  </w:num>
  <w:num w:numId="37" w16cid:durableId="401492679">
    <w:abstractNumId w:val="3"/>
  </w:num>
  <w:num w:numId="38" w16cid:durableId="191920956">
    <w:abstractNumId w:val="3"/>
  </w:num>
  <w:num w:numId="39" w16cid:durableId="1491680918">
    <w:abstractNumId w:val="3"/>
  </w:num>
  <w:num w:numId="40" w16cid:durableId="1802914750">
    <w:abstractNumId w:val="3"/>
  </w:num>
  <w:num w:numId="41" w16cid:durableId="2026441112">
    <w:abstractNumId w:val="0"/>
  </w:num>
  <w:num w:numId="42" w16cid:durableId="402796025">
    <w:abstractNumId w:val="8"/>
  </w:num>
  <w:num w:numId="43" w16cid:durableId="644551358">
    <w:abstractNumId w:val="2"/>
  </w:num>
  <w:num w:numId="44" w16cid:durableId="1043334741">
    <w:abstractNumId w:val="7"/>
  </w:num>
  <w:num w:numId="45" w16cid:durableId="167334165">
    <w:abstractNumId w:val="9"/>
  </w:num>
  <w:num w:numId="46" w16cid:durableId="612202032">
    <w:abstractNumId w:val="10"/>
  </w:num>
  <w:num w:numId="47" w16cid:durableId="184111617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hideSpellingErrors/>
  <w:defaultTabStop w:val="720"/>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454*"/>
    <w:docVar w:name="CreationDt" w:val="16/01/2020 6:53: PM"/>
    <w:docVar w:name="DocCategory" w:val="Doc"/>
    <w:docVar w:name="DocType" w:val="Final"/>
    <w:docVar w:name="DutyStation" w:val="New York"/>
    <w:docVar w:name="FooterJN" w:val="19-22454"/>
    <w:docVar w:name="jobn" w:val="19-22454 (F)"/>
    <w:docVar w:name="jobnDT" w:val="19-22454 (F)   160120"/>
    <w:docVar w:name="jobnDTDT" w:val="19-22454 (F)   160120   160120"/>
    <w:docVar w:name="JobNo" w:val="1922454F"/>
    <w:docVar w:name="JobNo2" w:val="1943564F"/>
    <w:docVar w:name="LocalDrive" w:val="0"/>
    <w:docVar w:name="OandT" w:val="ILD"/>
    <w:docVar w:name="sss1" w:val="CEDAW/C/OP.8/MLI/R.1/Rev.2"/>
    <w:docVar w:name="sss2" w:val="-"/>
    <w:docVar w:name="Symbol1" w:val="CEDAW/C/OP.8/MLI/R.1/Rev.2"/>
    <w:docVar w:name="Symbol2" w:val="-"/>
  </w:docVars>
  <w:rsids>
    <w:rsidRoot w:val="003A6A9A"/>
    <w:rsid w:val="00000C1F"/>
    <w:rsid w:val="00001567"/>
    <w:rsid w:val="00002584"/>
    <w:rsid w:val="00003845"/>
    <w:rsid w:val="0006491F"/>
    <w:rsid w:val="00071D43"/>
    <w:rsid w:val="0007535B"/>
    <w:rsid w:val="00082144"/>
    <w:rsid w:val="00086794"/>
    <w:rsid w:val="000A3CF4"/>
    <w:rsid w:val="000D4621"/>
    <w:rsid w:val="000D73F4"/>
    <w:rsid w:val="00101B18"/>
    <w:rsid w:val="001030AE"/>
    <w:rsid w:val="001177E1"/>
    <w:rsid w:val="00122A56"/>
    <w:rsid w:val="00134FEE"/>
    <w:rsid w:val="0014315A"/>
    <w:rsid w:val="00146C6A"/>
    <w:rsid w:val="00166A0D"/>
    <w:rsid w:val="001D09E3"/>
    <w:rsid w:val="001D4413"/>
    <w:rsid w:val="001E2379"/>
    <w:rsid w:val="001E4B50"/>
    <w:rsid w:val="00201D04"/>
    <w:rsid w:val="0021412C"/>
    <w:rsid w:val="0021414E"/>
    <w:rsid w:val="0022430C"/>
    <w:rsid w:val="00225866"/>
    <w:rsid w:val="00245107"/>
    <w:rsid w:val="00245FDC"/>
    <w:rsid w:val="002478A0"/>
    <w:rsid w:val="002A5E20"/>
    <w:rsid w:val="002E04BE"/>
    <w:rsid w:val="002E3F4F"/>
    <w:rsid w:val="002F5D84"/>
    <w:rsid w:val="0030765E"/>
    <w:rsid w:val="003411FA"/>
    <w:rsid w:val="00366D21"/>
    <w:rsid w:val="003A675A"/>
    <w:rsid w:val="003A6A9A"/>
    <w:rsid w:val="003C536A"/>
    <w:rsid w:val="003E6A5D"/>
    <w:rsid w:val="003F61E1"/>
    <w:rsid w:val="003F778A"/>
    <w:rsid w:val="00403DFD"/>
    <w:rsid w:val="00406B5C"/>
    <w:rsid w:val="00410BE8"/>
    <w:rsid w:val="00440C93"/>
    <w:rsid w:val="00465176"/>
    <w:rsid w:val="00472B7F"/>
    <w:rsid w:val="00480B84"/>
    <w:rsid w:val="004B64F9"/>
    <w:rsid w:val="004C1A25"/>
    <w:rsid w:val="004E0892"/>
    <w:rsid w:val="004E0D56"/>
    <w:rsid w:val="004E460C"/>
    <w:rsid w:val="004E491B"/>
    <w:rsid w:val="004E6A89"/>
    <w:rsid w:val="004E75E0"/>
    <w:rsid w:val="00515991"/>
    <w:rsid w:val="0051677A"/>
    <w:rsid w:val="005225EC"/>
    <w:rsid w:val="00525097"/>
    <w:rsid w:val="005509B6"/>
    <w:rsid w:val="005518B8"/>
    <w:rsid w:val="00556BC0"/>
    <w:rsid w:val="00567F0E"/>
    <w:rsid w:val="00570056"/>
    <w:rsid w:val="00571235"/>
    <w:rsid w:val="00577A36"/>
    <w:rsid w:val="00580CF2"/>
    <w:rsid w:val="00583575"/>
    <w:rsid w:val="005A124F"/>
    <w:rsid w:val="005B398E"/>
    <w:rsid w:val="005C03A7"/>
    <w:rsid w:val="005C5330"/>
    <w:rsid w:val="005F1F5F"/>
    <w:rsid w:val="0062101B"/>
    <w:rsid w:val="00632C10"/>
    <w:rsid w:val="00647972"/>
    <w:rsid w:val="00655D90"/>
    <w:rsid w:val="00690698"/>
    <w:rsid w:val="00695119"/>
    <w:rsid w:val="006A521E"/>
    <w:rsid w:val="006C5B3E"/>
    <w:rsid w:val="006D79F5"/>
    <w:rsid w:val="006E03DA"/>
    <w:rsid w:val="006E0A68"/>
    <w:rsid w:val="006E3CD9"/>
    <w:rsid w:val="006E4A4B"/>
    <w:rsid w:val="006E5107"/>
    <w:rsid w:val="006F183D"/>
    <w:rsid w:val="006F370E"/>
    <w:rsid w:val="00703106"/>
    <w:rsid w:val="00703DD8"/>
    <w:rsid w:val="00732990"/>
    <w:rsid w:val="0073500E"/>
    <w:rsid w:val="007459AE"/>
    <w:rsid w:val="007531A5"/>
    <w:rsid w:val="00766294"/>
    <w:rsid w:val="00771C9E"/>
    <w:rsid w:val="00780010"/>
    <w:rsid w:val="007A1DF2"/>
    <w:rsid w:val="007B1C00"/>
    <w:rsid w:val="007B770F"/>
    <w:rsid w:val="007E224F"/>
    <w:rsid w:val="007F1F20"/>
    <w:rsid w:val="007F4861"/>
    <w:rsid w:val="008148F8"/>
    <w:rsid w:val="0082045E"/>
    <w:rsid w:val="008222A3"/>
    <w:rsid w:val="00824C56"/>
    <w:rsid w:val="008446A5"/>
    <w:rsid w:val="00857D6F"/>
    <w:rsid w:val="00876489"/>
    <w:rsid w:val="008767A4"/>
    <w:rsid w:val="00883D3C"/>
    <w:rsid w:val="00886CF2"/>
    <w:rsid w:val="008A48C9"/>
    <w:rsid w:val="008C454F"/>
    <w:rsid w:val="008D3879"/>
    <w:rsid w:val="008D6E22"/>
    <w:rsid w:val="008E682E"/>
    <w:rsid w:val="008F19AC"/>
    <w:rsid w:val="008F3462"/>
    <w:rsid w:val="00911D1E"/>
    <w:rsid w:val="009237A6"/>
    <w:rsid w:val="00935932"/>
    <w:rsid w:val="009547DC"/>
    <w:rsid w:val="00965424"/>
    <w:rsid w:val="00970E3F"/>
    <w:rsid w:val="00993CB7"/>
    <w:rsid w:val="00994877"/>
    <w:rsid w:val="009B50DA"/>
    <w:rsid w:val="009C3BFE"/>
    <w:rsid w:val="009D0EE3"/>
    <w:rsid w:val="009E3220"/>
    <w:rsid w:val="009E5818"/>
    <w:rsid w:val="009F40B9"/>
    <w:rsid w:val="00A05741"/>
    <w:rsid w:val="00A2494D"/>
    <w:rsid w:val="00A47F30"/>
    <w:rsid w:val="00A536A1"/>
    <w:rsid w:val="00A61F92"/>
    <w:rsid w:val="00A72FFF"/>
    <w:rsid w:val="00A97C26"/>
    <w:rsid w:val="00AB0B7D"/>
    <w:rsid w:val="00AC691F"/>
    <w:rsid w:val="00AD5F2F"/>
    <w:rsid w:val="00AE1B58"/>
    <w:rsid w:val="00AF5ECD"/>
    <w:rsid w:val="00B33B01"/>
    <w:rsid w:val="00B673FF"/>
    <w:rsid w:val="00B815EB"/>
    <w:rsid w:val="00B858D5"/>
    <w:rsid w:val="00B9023C"/>
    <w:rsid w:val="00BA2C89"/>
    <w:rsid w:val="00BA2D2D"/>
    <w:rsid w:val="00BA517F"/>
    <w:rsid w:val="00BD1311"/>
    <w:rsid w:val="00BD1B2C"/>
    <w:rsid w:val="00C138C6"/>
    <w:rsid w:val="00C307E2"/>
    <w:rsid w:val="00CB06FB"/>
    <w:rsid w:val="00CB63C5"/>
    <w:rsid w:val="00CC30AD"/>
    <w:rsid w:val="00D00EC8"/>
    <w:rsid w:val="00D30EED"/>
    <w:rsid w:val="00D34BC1"/>
    <w:rsid w:val="00D50C2C"/>
    <w:rsid w:val="00D60335"/>
    <w:rsid w:val="00D77C9D"/>
    <w:rsid w:val="00D97B6A"/>
    <w:rsid w:val="00DB580E"/>
    <w:rsid w:val="00DC20C5"/>
    <w:rsid w:val="00DC7881"/>
    <w:rsid w:val="00DE2CBF"/>
    <w:rsid w:val="00DE4C4A"/>
    <w:rsid w:val="00DF3126"/>
    <w:rsid w:val="00E0514C"/>
    <w:rsid w:val="00E126C3"/>
    <w:rsid w:val="00E343A6"/>
    <w:rsid w:val="00E443AC"/>
    <w:rsid w:val="00E47A1E"/>
    <w:rsid w:val="00E50827"/>
    <w:rsid w:val="00E66C6C"/>
    <w:rsid w:val="00E7105F"/>
    <w:rsid w:val="00E7792F"/>
    <w:rsid w:val="00EA47C5"/>
    <w:rsid w:val="00EC2029"/>
    <w:rsid w:val="00EE37EC"/>
    <w:rsid w:val="00EF2DFA"/>
    <w:rsid w:val="00F25B65"/>
    <w:rsid w:val="00F313F6"/>
    <w:rsid w:val="00F5012D"/>
    <w:rsid w:val="00F62B8B"/>
    <w:rsid w:val="00F73093"/>
    <w:rsid w:val="00F844C0"/>
    <w:rsid w:val="00FA3D05"/>
    <w:rsid w:val="00FA5CC9"/>
    <w:rsid w:val="00FB0A2C"/>
    <w:rsid w:val="00FC59F1"/>
    <w:rsid w:val="00FF01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25DBD6"/>
  <w15:chartTrackingRefBased/>
  <w15:docId w15:val="{304AF204-075D-4640-8467-775C39C41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E50827"/>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50827"/>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50827"/>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50827"/>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50827"/>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50827"/>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E50827"/>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50827"/>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50827"/>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50827"/>
    <w:pPr>
      <w:keepNext/>
      <w:keepLines/>
      <w:suppressAutoHyphens/>
      <w:spacing w:line="270" w:lineRule="exact"/>
      <w:outlineLvl w:val="0"/>
    </w:pPr>
    <w:rPr>
      <w:b/>
      <w:sz w:val="24"/>
    </w:rPr>
  </w:style>
  <w:style w:type="paragraph" w:customStyle="1" w:styleId="HCH">
    <w:name w:val="_ H _CH"/>
    <w:basedOn w:val="H1"/>
    <w:next w:val="Normal"/>
    <w:qFormat/>
    <w:rsid w:val="00E50827"/>
    <w:pPr>
      <w:spacing w:line="300" w:lineRule="exact"/>
    </w:pPr>
    <w:rPr>
      <w:spacing w:val="-2"/>
      <w:sz w:val="28"/>
    </w:rPr>
  </w:style>
  <w:style w:type="paragraph" w:customStyle="1" w:styleId="HM">
    <w:name w:val="_ H __M"/>
    <w:basedOn w:val="HCH"/>
    <w:next w:val="Normal"/>
    <w:qFormat/>
    <w:rsid w:val="00E50827"/>
    <w:pPr>
      <w:spacing w:line="360" w:lineRule="exact"/>
    </w:pPr>
    <w:rPr>
      <w:spacing w:val="-3"/>
      <w:w w:val="99"/>
      <w:sz w:val="34"/>
    </w:rPr>
  </w:style>
  <w:style w:type="paragraph" w:customStyle="1" w:styleId="H23">
    <w:name w:val="_ H_2/3"/>
    <w:basedOn w:val="H1"/>
    <w:next w:val="Normal"/>
    <w:qFormat/>
    <w:rsid w:val="00E50827"/>
    <w:pPr>
      <w:spacing w:line="240" w:lineRule="exact"/>
      <w:outlineLvl w:val="1"/>
    </w:pPr>
    <w:rPr>
      <w:spacing w:val="2"/>
      <w:sz w:val="20"/>
    </w:rPr>
  </w:style>
  <w:style w:type="paragraph" w:customStyle="1" w:styleId="H4">
    <w:name w:val="_ H_4"/>
    <w:basedOn w:val="Normal"/>
    <w:next w:val="Normal"/>
    <w:qFormat/>
    <w:rsid w:val="00E50827"/>
    <w:pPr>
      <w:keepNext/>
      <w:keepLines/>
      <w:tabs>
        <w:tab w:val="right" w:pos="360"/>
      </w:tabs>
      <w:suppressAutoHyphens/>
      <w:outlineLvl w:val="3"/>
    </w:pPr>
    <w:rPr>
      <w:i/>
      <w:spacing w:val="3"/>
    </w:rPr>
  </w:style>
  <w:style w:type="paragraph" w:customStyle="1" w:styleId="H56">
    <w:name w:val="_ H_5/6"/>
    <w:basedOn w:val="Normal"/>
    <w:next w:val="Normal"/>
    <w:qFormat/>
    <w:rsid w:val="00E508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08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08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0827"/>
    <w:pPr>
      <w:spacing w:line="540" w:lineRule="exact"/>
    </w:pPr>
    <w:rPr>
      <w:spacing w:val="-8"/>
      <w:w w:val="96"/>
      <w:sz w:val="57"/>
    </w:rPr>
  </w:style>
  <w:style w:type="paragraph" w:customStyle="1" w:styleId="SS">
    <w:name w:val="__S_S"/>
    <w:basedOn w:val="HCH"/>
    <w:next w:val="Normal"/>
    <w:qFormat/>
    <w:rsid w:val="00E50827"/>
    <w:pPr>
      <w:ind w:left="1267" w:right="1267"/>
    </w:pPr>
  </w:style>
  <w:style w:type="paragraph" w:customStyle="1" w:styleId="SingleTxt">
    <w:name w:val="__Single Txt"/>
    <w:basedOn w:val="Normal"/>
    <w:qFormat/>
    <w:rsid w:val="00E508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08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50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5082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08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08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0827"/>
    <w:pPr>
      <w:numPr>
        <w:numId w:val="29"/>
      </w:numPr>
      <w:spacing w:after="120"/>
      <w:ind w:right="1267"/>
      <w:jc w:val="both"/>
    </w:pPr>
  </w:style>
  <w:style w:type="paragraph" w:customStyle="1" w:styleId="Bullet2">
    <w:name w:val="Bullet 2"/>
    <w:basedOn w:val="Normal"/>
    <w:qFormat/>
    <w:rsid w:val="00E50827"/>
    <w:pPr>
      <w:numPr>
        <w:numId w:val="30"/>
      </w:numPr>
      <w:spacing w:after="120"/>
      <w:ind w:right="1264"/>
      <w:jc w:val="both"/>
    </w:pPr>
  </w:style>
  <w:style w:type="paragraph" w:customStyle="1" w:styleId="Bullet3">
    <w:name w:val="Bullet 3"/>
    <w:basedOn w:val="SingleTxt"/>
    <w:qFormat/>
    <w:rsid w:val="00E50827"/>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082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E508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E50827"/>
    <w:pPr>
      <w:spacing w:line="210" w:lineRule="exact"/>
    </w:pPr>
    <w:rPr>
      <w:sz w:val="17"/>
      <w:szCs w:val="20"/>
    </w:rPr>
  </w:style>
  <w:style w:type="character" w:customStyle="1" w:styleId="EndnoteTextChar">
    <w:name w:val="Endnote Text Char"/>
    <w:aliases w:val="2_G Char"/>
    <w:link w:val="EndnoteText"/>
    <w:uiPriority w:val="99"/>
    <w:rsid w:val="00E50827"/>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E5082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E50827"/>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E508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50827"/>
    <w:pPr>
      <w:spacing w:line="210" w:lineRule="exact"/>
    </w:pPr>
    <w:rPr>
      <w:sz w:val="17"/>
      <w:szCs w:val="20"/>
    </w:rPr>
  </w:style>
  <w:style w:type="character" w:customStyle="1" w:styleId="FootnoteTextChar">
    <w:name w:val="Footnote Text Char"/>
    <w:aliases w:val="5_G Char"/>
    <w:link w:val="FootnoteText"/>
    <w:uiPriority w:val="99"/>
    <w:rsid w:val="00E50827"/>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E5082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E50827"/>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E508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E508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E508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E508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E508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E508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E508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E508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E508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0827"/>
    <w:rPr>
      <w:sz w:val="14"/>
    </w:rPr>
  </w:style>
  <w:style w:type="paragraph" w:styleId="ListParagraph">
    <w:name w:val="List Paragraph"/>
    <w:aliases w:val="Bullets,References,Liste 1,Numbered List Paragraph,ReferencesCxSpLast,normal,Normal1,List Paragraph1,Paragrafo elenco,Evidence on Demand bullet points,Referenc,Normal2,Normal3,Normal4,Normal5,Normal6,Normal7,Normal8,Normal9,Normal10"/>
    <w:basedOn w:val="Normal"/>
    <w:link w:val="ListParagraphChar"/>
    <w:uiPriority w:val="34"/>
    <w:qFormat/>
    <w:rsid w:val="00E50827"/>
    <w:pPr>
      <w:ind w:left="720"/>
      <w:contextualSpacing/>
    </w:pPr>
  </w:style>
  <w:style w:type="paragraph" w:styleId="NoSpacing">
    <w:name w:val="No Spacing"/>
    <w:uiPriority w:val="1"/>
    <w:qFormat/>
    <w:rsid w:val="00E5082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5082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5082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5082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50827"/>
    <w:pPr>
      <w:tabs>
        <w:tab w:val="right" w:pos="9965"/>
      </w:tabs>
      <w:spacing w:line="210" w:lineRule="exact"/>
    </w:pPr>
    <w:rPr>
      <w:spacing w:val="5"/>
      <w:w w:val="104"/>
      <w:sz w:val="17"/>
    </w:rPr>
  </w:style>
  <w:style w:type="paragraph" w:customStyle="1" w:styleId="SmallX">
    <w:name w:val="SmallX"/>
    <w:basedOn w:val="Small"/>
    <w:next w:val="Normal"/>
    <w:qFormat/>
    <w:rsid w:val="00E50827"/>
    <w:pPr>
      <w:spacing w:line="180" w:lineRule="exact"/>
      <w:jc w:val="right"/>
    </w:pPr>
    <w:rPr>
      <w:spacing w:val="6"/>
      <w:w w:val="106"/>
      <w:sz w:val="14"/>
    </w:rPr>
  </w:style>
  <w:style w:type="character" w:styleId="Strong">
    <w:name w:val="Strong"/>
    <w:uiPriority w:val="22"/>
    <w:rsid w:val="00E50827"/>
    <w:rPr>
      <w:b/>
      <w:bCs/>
    </w:rPr>
  </w:style>
  <w:style w:type="paragraph" w:customStyle="1" w:styleId="Style1">
    <w:name w:val="Style1"/>
    <w:basedOn w:val="Normal"/>
    <w:qFormat/>
    <w:rsid w:val="00E50827"/>
  </w:style>
  <w:style w:type="paragraph" w:customStyle="1" w:styleId="Style2">
    <w:name w:val="Style2"/>
    <w:basedOn w:val="Normal"/>
    <w:autoRedefine/>
    <w:qFormat/>
    <w:rsid w:val="00E50827"/>
  </w:style>
  <w:style w:type="paragraph" w:customStyle="1" w:styleId="TitleHCH">
    <w:name w:val="Title_H_CH"/>
    <w:basedOn w:val="H1"/>
    <w:next w:val="Normal"/>
    <w:qFormat/>
    <w:rsid w:val="00E50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50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0827"/>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D4413"/>
    <w:rPr>
      <w:sz w:val="16"/>
      <w:szCs w:val="16"/>
    </w:rPr>
  </w:style>
  <w:style w:type="paragraph" w:styleId="CommentText">
    <w:name w:val="annotation text"/>
    <w:basedOn w:val="Normal"/>
    <w:link w:val="CommentTextChar"/>
    <w:uiPriority w:val="99"/>
    <w:semiHidden/>
    <w:unhideWhenUsed/>
    <w:rsid w:val="001D4413"/>
    <w:pPr>
      <w:spacing w:line="240" w:lineRule="auto"/>
    </w:pPr>
    <w:rPr>
      <w:szCs w:val="20"/>
    </w:rPr>
  </w:style>
  <w:style w:type="character" w:customStyle="1" w:styleId="CommentTextChar">
    <w:name w:val="Comment Text Char"/>
    <w:basedOn w:val="DefaultParagraphFont"/>
    <w:link w:val="CommentText"/>
    <w:uiPriority w:val="99"/>
    <w:semiHidden/>
    <w:rsid w:val="001D441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D4413"/>
    <w:rPr>
      <w:b/>
      <w:bCs/>
    </w:rPr>
  </w:style>
  <w:style w:type="character" w:customStyle="1" w:styleId="CommentSubjectChar">
    <w:name w:val="Comment Subject Char"/>
    <w:basedOn w:val="CommentTextChar"/>
    <w:link w:val="CommentSubject"/>
    <w:uiPriority w:val="99"/>
    <w:semiHidden/>
    <w:rsid w:val="001D4413"/>
    <w:rPr>
      <w:rFonts w:ascii="Times New Roman" w:eastAsiaTheme="minorHAnsi"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8C454F"/>
  </w:style>
  <w:style w:type="paragraph" w:customStyle="1" w:styleId="SingleTxtG">
    <w:name w:val="_ Single Txt_G"/>
    <w:basedOn w:val="Normal"/>
    <w:qFormat/>
    <w:rsid w:val="008C454F"/>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qFormat/>
    <w:rsid w:val="008C454F"/>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qFormat/>
    <w:rsid w:val="008C454F"/>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basedOn w:val="DefaultParagraphFont"/>
    <w:qFormat/>
    <w:rsid w:val="008C454F"/>
    <w:rPr>
      <w:rFonts w:ascii="Times New Roman" w:hAnsi="Times New Roman"/>
      <w:b/>
      <w:sz w:val="18"/>
    </w:rPr>
  </w:style>
  <w:style w:type="paragraph" w:customStyle="1" w:styleId="SMG">
    <w:name w:val="__S_M_G"/>
    <w:basedOn w:val="Normal"/>
    <w:next w:val="Normal"/>
    <w:rsid w:val="008C454F"/>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8C454F"/>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8C454F"/>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8C454F"/>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H56G">
    <w:name w:val="_ H_5/6_G"/>
    <w:basedOn w:val="Normal"/>
    <w:next w:val="Normal"/>
    <w:qFormat/>
    <w:rsid w:val="008C454F"/>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paragraph" w:customStyle="1" w:styleId="H1G">
    <w:name w:val="_ H_1_G"/>
    <w:basedOn w:val="Normal"/>
    <w:next w:val="Normal"/>
    <w:qFormat/>
    <w:rsid w:val="008C454F"/>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8C454F"/>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8C454F"/>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qFormat/>
    <w:rsid w:val="008C454F"/>
    <w:pPr>
      <w:numPr>
        <w:numId w:val="41"/>
      </w:numPr>
      <w:suppressAutoHyphens/>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uiPriority w:val="99"/>
    <w:rsid w:val="008C454F"/>
    <w:rPr>
      <w:color w:val="0000FF"/>
      <w:u w:val="none"/>
    </w:rPr>
  </w:style>
  <w:style w:type="paragraph" w:customStyle="1" w:styleId="Bullet2G">
    <w:name w:val="_Bullet 2_G"/>
    <w:basedOn w:val="Normal"/>
    <w:qFormat/>
    <w:rsid w:val="008C454F"/>
    <w:pPr>
      <w:numPr>
        <w:numId w:val="42"/>
      </w:numPr>
      <w:suppressAutoHyphens/>
      <w:spacing w:after="120" w:line="240" w:lineRule="atLeast"/>
      <w:ind w:right="1134"/>
      <w:jc w:val="both"/>
    </w:pPr>
    <w:rPr>
      <w:rFonts w:eastAsia="Times New Roman"/>
      <w:spacing w:val="0"/>
      <w:w w:val="100"/>
      <w:kern w:val="0"/>
      <w:szCs w:val="20"/>
      <w:lang w:val="fr-CH"/>
    </w:rPr>
  </w:style>
  <w:style w:type="table" w:styleId="TableGrid">
    <w:name w:val="Table Grid"/>
    <w:basedOn w:val="TableNormal"/>
    <w:rsid w:val="008C454F"/>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rsid w:val="008C454F"/>
    <w:rPr>
      <w:color w:val="0000FF"/>
      <w:u w:val="none"/>
    </w:rPr>
  </w:style>
  <w:style w:type="paragraph" w:customStyle="1" w:styleId="ParNoG">
    <w:name w:val="_ParNo_G"/>
    <w:basedOn w:val="SingleTxtG"/>
    <w:qFormat/>
    <w:rsid w:val="008C454F"/>
    <w:pPr>
      <w:numPr>
        <w:numId w:val="43"/>
      </w:numPr>
      <w:kinsoku w:val="0"/>
      <w:overflowPunct w:val="0"/>
      <w:autoSpaceDE w:val="0"/>
      <w:autoSpaceDN w:val="0"/>
      <w:adjustRightInd w:val="0"/>
      <w:snapToGrid w:val="0"/>
    </w:pPr>
  </w:style>
  <w:style w:type="paragraph" w:customStyle="1" w:styleId="Default">
    <w:name w:val="Default"/>
    <w:rsid w:val="008C454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HTMLCite">
    <w:name w:val="HTML Cite"/>
    <w:basedOn w:val="DefaultParagraphFont"/>
    <w:uiPriority w:val="99"/>
    <w:semiHidden/>
    <w:unhideWhenUsed/>
    <w:rsid w:val="008C454F"/>
    <w:rPr>
      <w:i/>
      <w:iCs/>
    </w:rPr>
  </w:style>
  <w:style w:type="character" w:customStyle="1" w:styleId="uppercase">
    <w:name w:val="uppercase"/>
    <w:basedOn w:val="DefaultParagraphFont"/>
    <w:rsid w:val="008C454F"/>
  </w:style>
  <w:style w:type="character" w:customStyle="1" w:styleId="ListParagraphChar">
    <w:name w:val="List Paragraph Char"/>
    <w:aliases w:val="Bullets Char,References Char,Liste 1 Char,Numbered List Paragraph Char,ReferencesCxSpLast Char,normal Char,Normal1 Char,List Paragraph1 Char,Paragrafo elenco Char,Evidence on Demand bullet points Char,Referenc Char,Normal2 Char"/>
    <w:basedOn w:val="DefaultParagraphFont"/>
    <w:link w:val="ListParagraph"/>
    <w:uiPriority w:val="34"/>
    <w:rsid w:val="008C454F"/>
    <w:rPr>
      <w:rFonts w:ascii="Times New Roman" w:eastAsiaTheme="minorHAnsi" w:hAnsi="Times New Roman" w:cs="Times New Roman"/>
      <w:spacing w:val="4"/>
      <w:w w:val="103"/>
      <w:kern w:val="14"/>
      <w:sz w:val="20"/>
      <w:lang w:val="fr-CA" w:eastAsia="en-US"/>
    </w:rPr>
  </w:style>
  <w:style w:type="character" w:customStyle="1" w:styleId="apple-style-span">
    <w:name w:val="apple-style-span"/>
    <w:basedOn w:val="DefaultParagraphFont"/>
    <w:rsid w:val="008C454F"/>
  </w:style>
  <w:style w:type="character" w:customStyle="1" w:styleId="UnresolvedMention1">
    <w:name w:val="Unresolved Mention1"/>
    <w:basedOn w:val="DefaultParagraphFont"/>
    <w:uiPriority w:val="99"/>
    <w:semiHidden/>
    <w:unhideWhenUsed/>
    <w:rsid w:val="008C454F"/>
    <w:rPr>
      <w:color w:val="605E5C"/>
      <w:shd w:val="clear" w:color="auto" w:fill="E1DFDD"/>
    </w:rPr>
  </w:style>
  <w:style w:type="paragraph" w:styleId="Revision">
    <w:name w:val="Revision"/>
    <w:hidden/>
    <w:uiPriority w:val="99"/>
    <w:semiHidden/>
    <w:rsid w:val="008C454F"/>
    <w:pPr>
      <w:spacing w:after="0" w:line="240" w:lineRule="auto"/>
    </w:pPr>
    <w:rPr>
      <w:rFonts w:ascii="Times New Roman" w:eastAsia="Times New Roman" w:hAnsi="Times New Roman" w:cs="Times New Roman"/>
      <w:sz w:val="20"/>
      <w:szCs w:val="20"/>
      <w:lang w:val="fr-CH" w:eastAsia="en-US"/>
    </w:rPr>
  </w:style>
  <w:style w:type="character" w:customStyle="1" w:styleId="UnresolvedMention2">
    <w:name w:val="Unresolved Mention2"/>
    <w:basedOn w:val="DefaultParagraphFont"/>
    <w:uiPriority w:val="99"/>
    <w:semiHidden/>
    <w:unhideWhenUsed/>
    <w:rsid w:val="008C454F"/>
    <w:rPr>
      <w:color w:val="605E5C"/>
      <w:shd w:val="clear" w:color="auto" w:fill="E1DFDD"/>
    </w:rPr>
  </w:style>
  <w:style w:type="character" w:styleId="UnresolvedMention">
    <w:name w:val="Unresolved Mention"/>
    <w:basedOn w:val="DefaultParagraphFont"/>
    <w:uiPriority w:val="99"/>
    <w:semiHidden/>
    <w:unhideWhenUsed/>
    <w:rsid w:val="008C4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undocs.org/fr/S/RES/1325%20(2000)" TargetMode="External"/><Relationship Id="rId18" Type="http://schemas.openxmlformats.org/officeDocument/2006/relationships/hyperlink" Target="https://undocs.org/fr/CEDAW/C/MLI/CO/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LI/CO/6-7" TargetMode="External"/><Relationship Id="rId2" Type="http://schemas.openxmlformats.org/officeDocument/2006/relationships/styles" Target="styles.xml"/><Relationship Id="rId16" Type="http://schemas.openxmlformats.org/officeDocument/2006/relationships/hyperlink" Target="https://documents-dds-ny.un.org/doc/UNDOC/GEN/N18/060/94/pdf/N1806094.pdf?OpenElemen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A/HRC/29/20" TargetMode="External"/><Relationship Id="rId10" Type="http://schemas.openxmlformats.org/officeDocument/2006/relationships/footer" Target="footer2.xml"/><Relationship Id="rId19" Type="http://schemas.openxmlformats.org/officeDocument/2006/relationships/hyperlink" Target="https://undocs.org/fr/S/RES/1325%20(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undocs.org/fr/S/RES/2480%2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HRBodies/CEDAW/Statements/SRHR26Feb2014.pdf" TargetMode="External"/><Relationship Id="rId1" Type="http://schemas.openxmlformats.org/officeDocument/2006/relationships/hyperlink" Target="http://www.instat-mali.org/contenu/eq/rana17pas1_eq.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10309</Words>
  <Characters>58765</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Isabelle Fleche</cp:lastModifiedBy>
  <cp:revision>4</cp:revision>
  <cp:lastPrinted>2020-01-17T16:03:00Z</cp:lastPrinted>
  <dcterms:created xsi:type="dcterms:W3CDTF">2020-01-17T16:03:00Z</dcterms:created>
  <dcterms:modified xsi:type="dcterms:W3CDTF">2025-11-19T15:11:00Z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1922454F</vt:lpwstr>
  </property>
  <property fmtid="{D5CDD505-2E9C-101B-9397-08002B2CF9AE}" pid="3" name="ODSRefJobNo">
    <vt:lpwstr>1943564F</vt:lpwstr>
  </property>
  <property fmtid="{D5CDD505-2E9C-101B-9397-08002B2CF9AE}" pid="4" name="Symbol1">
    <vt:lpwstr>CEDAW/C/OP.8/MLI/R.1/Rev.2</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Enquête menée sur le Mali en application de l’article 8 du Protocole facultatif à la Convention sur l’élimination de toutes les formes de discrimination à l’égard des femmes_x000d_</vt:lpwstr>
  </property>
  <property fmtid="{D5CDD505-2E9C-101B-9397-08002B2CF9AE}" pid="14" name="Title2">
    <vt:lpwstr>		Rapport du Comité_x000d_</vt:lpwstr>
  </property>
</Properties>
</file>