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D05AA" w14:textId="308BA8D0" w:rsidR="000C59DD" w:rsidRDefault="003D0F8E" w:rsidP="003D0F8E">
      <w:pPr>
        <w:jc w:val="center"/>
        <w:rPr>
          <w:rFonts w:cstheme="minorHAnsi"/>
        </w:rPr>
      </w:pPr>
      <w:r w:rsidRPr="00DB3D92">
        <w:rPr>
          <w:noProof/>
        </w:rPr>
        <w:drawing>
          <wp:inline distT="0" distB="0" distL="0" distR="0" wp14:anchorId="78D7FC77" wp14:editId="10FD5752">
            <wp:extent cx="914400" cy="914400"/>
            <wp:effectExtent l="0" t="0" r="0" b="0"/>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11"/>
                    <a:stretch>
                      <a:fillRect/>
                    </a:stretch>
                  </pic:blipFill>
                  <pic:spPr>
                    <a:xfrm>
                      <a:off x="0" y="0"/>
                      <a:ext cx="914400" cy="914400"/>
                    </a:xfrm>
                    <a:prstGeom prst="rect">
                      <a:avLst/>
                    </a:prstGeom>
                    <a:ln w="12700" cap="flat">
                      <a:noFill/>
                      <a:miter lim="400000"/>
                    </a:ln>
                    <a:effectLst/>
                  </pic:spPr>
                </pic:pic>
              </a:graphicData>
            </a:graphic>
          </wp:inline>
        </w:drawing>
      </w:r>
    </w:p>
    <w:p w14:paraId="3FF2F094" w14:textId="77777777" w:rsidR="003D0F8E" w:rsidRDefault="003D0F8E" w:rsidP="003D0F8E">
      <w:pPr>
        <w:jc w:val="center"/>
        <w:rPr>
          <w:rFonts w:cstheme="minorHAnsi"/>
        </w:rPr>
      </w:pPr>
    </w:p>
    <w:p w14:paraId="5B5AE585" w14:textId="317E3ABD" w:rsidR="004E1A0B" w:rsidRPr="00B5087C" w:rsidRDefault="004E1A0B" w:rsidP="003D0F8E">
      <w:pPr>
        <w:jc w:val="center"/>
        <w:rPr>
          <w:rFonts w:ascii="MetaPro-Norm" w:hAnsi="MetaPro-Norm"/>
          <w:b/>
          <w:bCs/>
        </w:rPr>
      </w:pPr>
      <w:r w:rsidRPr="00B5087C">
        <w:rPr>
          <w:rFonts w:ascii="MetaPro-Norm" w:hAnsi="MetaPro-Norm"/>
          <w:b/>
          <w:bCs/>
        </w:rPr>
        <w:t xml:space="preserve">Human Rights Watch Submission to the Committee on the Elimination of Discrimination against Women (CEDAW) in Advance of </w:t>
      </w:r>
      <w:r w:rsidR="008557D0" w:rsidRPr="00B5087C">
        <w:rPr>
          <w:rFonts w:ascii="MetaPro-Norm" w:hAnsi="MetaPro-Norm"/>
          <w:b/>
          <w:bCs/>
        </w:rPr>
        <w:t>A</w:t>
      </w:r>
      <w:r w:rsidRPr="00B5087C">
        <w:rPr>
          <w:rFonts w:ascii="MetaPro-Norm" w:hAnsi="MetaPro-Norm"/>
          <w:b/>
          <w:bCs/>
        </w:rPr>
        <w:t>doption of List of Issues on Israel, 88 (PSWG) Pre-Sessional Working Group</w:t>
      </w:r>
    </w:p>
    <w:p w14:paraId="4CBBD120" w14:textId="733F39C7" w:rsidR="003D0F8E" w:rsidRPr="00B5087C" w:rsidRDefault="003D0F8E" w:rsidP="004E1A0B">
      <w:pPr>
        <w:jc w:val="center"/>
        <w:rPr>
          <w:rFonts w:ascii="MetaPro-Norm" w:hAnsi="MetaPro-Norm"/>
          <w:bCs/>
          <w:i/>
          <w:rtl/>
        </w:rPr>
      </w:pPr>
      <w:r w:rsidRPr="00B5087C">
        <w:rPr>
          <w:rFonts w:ascii="MetaPro-Norm" w:hAnsi="MetaPro-Norm"/>
          <w:bCs/>
          <w:i/>
        </w:rPr>
        <w:t>September 2023</w:t>
      </w:r>
    </w:p>
    <w:p w14:paraId="705D92F1" w14:textId="77777777" w:rsidR="00FB101D" w:rsidRPr="00B5087C" w:rsidRDefault="00FB101D" w:rsidP="00041684">
      <w:pPr>
        <w:rPr>
          <w:rFonts w:ascii="MetaPro-Norm" w:eastAsia="Times New Roman" w:hAnsi="MetaPro-Norm"/>
        </w:rPr>
      </w:pPr>
    </w:p>
    <w:p w14:paraId="0742A1D5" w14:textId="465C9576" w:rsidR="00041684" w:rsidRPr="00B5087C" w:rsidRDefault="00041684" w:rsidP="00041684">
      <w:pPr>
        <w:rPr>
          <w:rFonts w:ascii="MetaPro-Norm" w:eastAsia="Times New Roman" w:hAnsi="MetaPro-Norm"/>
        </w:rPr>
      </w:pPr>
      <w:r w:rsidRPr="00B5087C">
        <w:rPr>
          <w:rFonts w:ascii="MetaPro-Norm" w:eastAsia="Times New Roman" w:hAnsi="MetaPro-Norm"/>
        </w:rPr>
        <w:t>This memorandum, submitted to the CED</w:t>
      </w:r>
      <w:r w:rsidR="002C3424" w:rsidRPr="00B5087C">
        <w:rPr>
          <w:rFonts w:ascii="MetaPro-Norm" w:eastAsia="Times New Roman" w:hAnsi="MetaPro-Norm"/>
        </w:rPr>
        <w:t>A</w:t>
      </w:r>
      <w:r w:rsidRPr="00B5087C">
        <w:rPr>
          <w:rFonts w:ascii="MetaPro-Norm" w:eastAsia="Times New Roman" w:hAnsi="MetaPro-Norm"/>
        </w:rPr>
        <w:t>W Committee in advance of adopting its list of issues on Israel in compliance with the Convention on the Elimination of All Forms of Discrimination against Women (CEDAW)</w:t>
      </w:r>
      <w:r w:rsidR="002C3424" w:rsidRPr="00B5087C">
        <w:rPr>
          <w:rFonts w:ascii="MetaPro-Norm" w:eastAsia="Times New Roman" w:hAnsi="MetaPro-Norm"/>
        </w:rPr>
        <w:t>,</w:t>
      </w:r>
      <w:r w:rsidRPr="00B5087C">
        <w:rPr>
          <w:rFonts w:ascii="MetaPro-Norm" w:eastAsia="Times New Roman" w:hAnsi="MetaPro-Norm"/>
        </w:rPr>
        <w:t xml:space="preserve"> addresses articles </w:t>
      </w:r>
      <w:r w:rsidR="00274DD9">
        <w:rPr>
          <w:rFonts w:ascii="MetaPro-Norm" w:eastAsia="Times New Roman" w:hAnsi="MetaPro-Norm"/>
        </w:rPr>
        <w:t xml:space="preserve">2, </w:t>
      </w:r>
      <w:r w:rsidRPr="00B5087C">
        <w:rPr>
          <w:rFonts w:ascii="MetaPro-Norm" w:eastAsia="Times New Roman" w:hAnsi="MetaPro-Norm"/>
        </w:rPr>
        <w:t>3,</w:t>
      </w:r>
      <w:r w:rsidR="00274DD9">
        <w:rPr>
          <w:rFonts w:ascii="MetaPro-Norm" w:eastAsia="Times New Roman" w:hAnsi="MetaPro-Norm"/>
        </w:rPr>
        <w:t xml:space="preserve"> 7,</w:t>
      </w:r>
      <w:r w:rsidRPr="00B5087C">
        <w:rPr>
          <w:rFonts w:ascii="MetaPro-Norm" w:eastAsia="Times New Roman" w:hAnsi="MetaPro-Norm"/>
        </w:rPr>
        <w:t xml:space="preserve"> 9, 11, 12, 14,</w:t>
      </w:r>
      <w:r w:rsidR="00274DD9">
        <w:rPr>
          <w:rFonts w:ascii="MetaPro-Norm" w:eastAsia="Times New Roman" w:hAnsi="MetaPro-Norm"/>
        </w:rPr>
        <w:t xml:space="preserve"> 15</w:t>
      </w:r>
      <w:r w:rsidRPr="00B5087C">
        <w:rPr>
          <w:rFonts w:ascii="MetaPro-Norm" w:eastAsia="Times New Roman" w:hAnsi="MetaPro-Norm"/>
        </w:rPr>
        <w:t xml:space="preserve"> and 16 of the Convention.</w:t>
      </w:r>
    </w:p>
    <w:p w14:paraId="4F41C351" w14:textId="4FFB3D64" w:rsidR="003D0F8E" w:rsidRPr="00B5087C" w:rsidRDefault="003D0F8E" w:rsidP="003D0F8E">
      <w:pPr>
        <w:rPr>
          <w:rFonts w:ascii="MetaPro-Norm" w:eastAsia="Times New Roman" w:hAnsi="MetaPro-Norm"/>
        </w:rPr>
      </w:pPr>
      <w:r w:rsidRPr="00B5087C">
        <w:rPr>
          <w:rFonts w:ascii="MetaPro-Norm" w:eastAsia="Times New Roman" w:hAnsi="MetaPro-Norm"/>
        </w:rPr>
        <w:t xml:space="preserve">This document does not review every issue relevant to the abovementioned topics. Rather, it underscores several concerns that figured most prominently in </w:t>
      </w:r>
      <w:r w:rsidR="00D40D16" w:rsidRPr="00B5087C">
        <w:rPr>
          <w:rFonts w:ascii="MetaPro-Norm" w:eastAsia="Times New Roman" w:hAnsi="MetaPro-Norm"/>
        </w:rPr>
        <w:t>Human Rights Watch’s</w:t>
      </w:r>
      <w:r w:rsidRPr="00B5087C">
        <w:rPr>
          <w:rFonts w:ascii="MetaPro-Norm" w:eastAsia="Times New Roman" w:hAnsi="MetaPro-Norm"/>
        </w:rPr>
        <w:t xml:space="preserve"> research, and </w:t>
      </w:r>
      <w:r w:rsidR="007A1BF8" w:rsidRPr="00B5087C">
        <w:rPr>
          <w:rFonts w:ascii="MetaPro-Norm" w:eastAsia="Times New Roman" w:hAnsi="MetaPro-Norm"/>
        </w:rPr>
        <w:t xml:space="preserve">in particular </w:t>
      </w:r>
      <w:r w:rsidR="002C3424" w:rsidRPr="00B5087C">
        <w:rPr>
          <w:rFonts w:ascii="MetaPro-Norm" w:eastAsia="Times New Roman" w:hAnsi="MetaPro-Norm"/>
        </w:rPr>
        <w:t xml:space="preserve">those </w:t>
      </w:r>
      <w:r w:rsidRPr="00B5087C">
        <w:rPr>
          <w:rFonts w:ascii="MetaPro-Norm" w:eastAsia="Times New Roman" w:hAnsi="MetaPro-Norm"/>
        </w:rPr>
        <w:t xml:space="preserve">that significantly influence the degree to which Palestinian women </w:t>
      </w:r>
      <w:proofErr w:type="gramStart"/>
      <w:r w:rsidRPr="00B5087C">
        <w:rPr>
          <w:rFonts w:ascii="MetaPro-Norm" w:eastAsia="Times New Roman" w:hAnsi="MetaPro-Norm"/>
        </w:rPr>
        <w:t>are able to</w:t>
      </w:r>
      <w:proofErr w:type="gramEnd"/>
      <w:r w:rsidRPr="00B5087C">
        <w:rPr>
          <w:rFonts w:ascii="MetaPro-Norm" w:eastAsia="Times New Roman" w:hAnsi="MetaPro-Norm"/>
        </w:rPr>
        <w:t xml:space="preserve"> exercise other rights, such as the right to</w:t>
      </w:r>
      <w:r w:rsidR="00F12F16" w:rsidRPr="00B5087C">
        <w:rPr>
          <w:rFonts w:ascii="MetaPro-Norm" w:eastAsia="Times New Roman" w:hAnsi="MetaPro-Norm"/>
        </w:rPr>
        <w:t xml:space="preserve"> family </w:t>
      </w:r>
      <w:r w:rsidR="007A1BF8" w:rsidRPr="00B5087C">
        <w:rPr>
          <w:rFonts w:ascii="MetaPro-Norm" w:eastAsia="Times New Roman" w:hAnsi="MetaPro-Norm"/>
        </w:rPr>
        <w:t>life</w:t>
      </w:r>
      <w:r w:rsidRPr="00B5087C">
        <w:rPr>
          <w:rFonts w:ascii="MetaPro-Norm" w:eastAsia="Times New Roman" w:hAnsi="MetaPro-Norm"/>
        </w:rPr>
        <w:t xml:space="preserve">, education, </w:t>
      </w:r>
      <w:r w:rsidR="007A1BF8" w:rsidRPr="00B5087C">
        <w:rPr>
          <w:rFonts w:ascii="MetaPro-Norm" w:eastAsia="Times New Roman" w:hAnsi="MetaPro-Norm"/>
        </w:rPr>
        <w:t xml:space="preserve">work, </w:t>
      </w:r>
      <w:r w:rsidRPr="00B5087C">
        <w:rPr>
          <w:rFonts w:ascii="MetaPro-Norm" w:eastAsia="Times New Roman" w:hAnsi="MetaPro-Norm"/>
        </w:rPr>
        <w:t>health care,</w:t>
      </w:r>
      <w:r w:rsidR="00F12F16" w:rsidRPr="00B5087C">
        <w:rPr>
          <w:rFonts w:ascii="MetaPro-Norm" w:eastAsia="Times New Roman" w:hAnsi="MetaPro-Norm"/>
        </w:rPr>
        <w:t xml:space="preserve"> </w:t>
      </w:r>
      <w:r w:rsidR="007A1BF8" w:rsidRPr="00B5087C">
        <w:rPr>
          <w:rFonts w:ascii="MetaPro-Norm" w:eastAsia="Times New Roman" w:hAnsi="MetaPro-Norm"/>
        </w:rPr>
        <w:t xml:space="preserve">and to </w:t>
      </w:r>
      <w:r w:rsidR="00F12F16" w:rsidRPr="00B5087C">
        <w:rPr>
          <w:rFonts w:ascii="MetaPro-Norm" w:eastAsia="Times New Roman" w:hAnsi="MetaPro-Norm"/>
        </w:rPr>
        <w:t>participate in all aspects of cultural life,</w:t>
      </w:r>
      <w:r w:rsidRPr="00B5087C">
        <w:rPr>
          <w:rFonts w:ascii="MetaPro-Norm" w:eastAsia="Times New Roman" w:hAnsi="MetaPro-Norm"/>
        </w:rPr>
        <w:t xml:space="preserve"> among others. </w:t>
      </w:r>
    </w:p>
    <w:p w14:paraId="2064340C" w14:textId="5F31168C" w:rsidR="003D0F8E" w:rsidRPr="00B5087C" w:rsidRDefault="003D0F8E" w:rsidP="004442FF">
      <w:pPr>
        <w:rPr>
          <w:rFonts w:ascii="MetaPro-Norm" w:eastAsia="Times New Roman" w:hAnsi="MetaPro-Norm"/>
        </w:rPr>
      </w:pPr>
      <w:r w:rsidRPr="00B5087C">
        <w:rPr>
          <w:rFonts w:ascii="MetaPro-Norm" w:eastAsia="Times New Roman" w:hAnsi="MetaPro-Norm"/>
        </w:rPr>
        <w:t xml:space="preserve">Much of the submission focuses on the repression </w:t>
      </w:r>
      <w:r w:rsidR="002C3424" w:rsidRPr="00B5087C">
        <w:rPr>
          <w:rFonts w:ascii="MetaPro-Norm" w:eastAsia="Times New Roman" w:hAnsi="MetaPro-Norm"/>
        </w:rPr>
        <w:t xml:space="preserve">that Palestinian women face </w:t>
      </w:r>
      <w:proofErr w:type="gramStart"/>
      <w:r w:rsidR="002C3424" w:rsidRPr="00B5087C">
        <w:rPr>
          <w:rFonts w:ascii="MetaPro-Norm" w:eastAsia="Times New Roman" w:hAnsi="MetaPro-Norm"/>
        </w:rPr>
        <w:t>in light of</w:t>
      </w:r>
      <w:proofErr w:type="gramEnd"/>
      <w:r w:rsidR="002C3424" w:rsidRPr="00B5087C">
        <w:rPr>
          <w:rFonts w:ascii="MetaPro-Norm" w:eastAsia="Times New Roman" w:hAnsi="MetaPro-Norm"/>
        </w:rPr>
        <w:t xml:space="preserve"> Israeli authorities</w:t>
      </w:r>
      <w:r w:rsidR="00221FB9" w:rsidRPr="00B5087C">
        <w:rPr>
          <w:rFonts w:ascii="MetaPro-Norm" w:eastAsia="Times New Roman" w:hAnsi="MetaPro-Norm"/>
        </w:rPr>
        <w:t>’</w:t>
      </w:r>
      <w:r w:rsidR="002C3424" w:rsidRPr="00B5087C">
        <w:rPr>
          <w:rFonts w:ascii="MetaPro-Norm" w:eastAsia="Times New Roman" w:hAnsi="MetaPro-Norm"/>
        </w:rPr>
        <w:t xml:space="preserve"> repression of Palestinians more generally. </w:t>
      </w:r>
      <w:r w:rsidRPr="00B5087C">
        <w:rPr>
          <w:rFonts w:ascii="MetaPro-Norm" w:eastAsia="Times New Roman" w:hAnsi="MetaPro-Norm"/>
        </w:rPr>
        <w:t>In April 2021, Human Rights Watch concluded in a 213-page report that Israeli authorities are committing the crimes against humanity of apartheid and persecution against millions of Palestinians.</w:t>
      </w:r>
      <w:r w:rsidRPr="00B5087C">
        <w:rPr>
          <w:rFonts w:ascii="MetaPro-Norm" w:eastAsia="Times New Roman" w:hAnsi="MetaPro-Norm"/>
          <w:vertAlign w:val="superscript"/>
        </w:rPr>
        <w:footnoteReference w:id="1"/>
      </w:r>
      <w:r w:rsidRPr="00B5087C">
        <w:rPr>
          <w:rFonts w:ascii="MetaPro-Norm" w:eastAsia="Times New Roman" w:hAnsi="MetaPro-Norm"/>
        </w:rPr>
        <w:t> Human Rights Watch reached this determination based on a finding of an overarching Israeli government policy to maintain the domination by Jewish Israelis over Palestinians across Israel and the Occupied Palestinian Territory (OPT), as well as grave abuses committed against Palestinians living in the OPT, including East Jerusalem.</w:t>
      </w:r>
      <w:r w:rsidR="004442FF" w:rsidRPr="00B5087C">
        <w:rPr>
          <w:rFonts w:ascii="MetaPro-Norm" w:eastAsia="Times New Roman" w:hAnsi="MetaPro-Norm"/>
        </w:rPr>
        <w:t xml:space="preserve"> </w:t>
      </w:r>
      <w:r w:rsidRPr="00B5087C">
        <w:rPr>
          <w:rFonts w:ascii="MetaPro-Norm" w:eastAsia="Times New Roman" w:hAnsi="MetaPro-Norm"/>
        </w:rPr>
        <w:t>Major Israeli,</w:t>
      </w:r>
      <w:r w:rsidRPr="00B5087C">
        <w:rPr>
          <w:rFonts w:ascii="MetaPro-Norm" w:eastAsia="Times New Roman" w:hAnsi="MetaPro-Norm"/>
          <w:vertAlign w:val="superscript"/>
        </w:rPr>
        <w:footnoteReference w:id="2"/>
      </w:r>
      <w:r w:rsidRPr="00B5087C">
        <w:rPr>
          <w:rFonts w:ascii="MetaPro-Norm" w:eastAsia="Times New Roman" w:hAnsi="MetaPro-Norm"/>
        </w:rPr>
        <w:t xml:space="preserve"> Palestinian,</w:t>
      </w:r>
      <w:r w:rsidRPr="00B5087C">
        <w:rPr>
          <w:rFonts w:ascii="MetaPro-Norm" w:eastAsia="Times New Roman" w:hAnsi="MetaPro-Norm"/>
          <w:vertAlign w:val="superscript"/>
        </w:rPr>
        <w:footnoteReference w:id="3"/>
      </w:r>
      <w:r w:rsidRPr="00B5087C">
        <w:rPr>
          <w:rFonts w:ascii="MetaPro-Norm" w:eastAsia="Times New Roman" w:hAnsi="MetaPro-Norm"/>
        </w:rPr>
        <w:t xml:space="preserve"> </w:t>
      </w:r>
      <w:r w:rsidRPr="00B5087C">
        <w:rPr>
          <w:rFonts w:ascii="MetaPro-Norm" w:eastAsia="Times New Roman" w:hAnsi="MetaPro-Norm"/>
        </w:rPr>
        <w:lastRenderedPageBreak/>
        <w:t>and other international human rights groups have also found that Israeli authorities are committing apartheid against Palestinians,</w:t>
      </w:r>
      <w:r w:rsidRPr="00B5087C">
        <w:rPr>
          <w:rFonts w:ascii="MetaPro-Norm" w:eastAsia="Times New Roman" w:hAnsi="MetaPro-Norm"/>
          <w:vertAlign w:val="superscript"/>
        </w:rPr>
        <w:footnoteReference w:id="4"/>
      </w:r>
      <w:r w:rsidRPr="00B5087C">
        <w:rPr>
          <w:rFonts w:ascii="MetaPro-Norm" w:eastAsia="Times New Roman" w:hAnsi="MetaPro-Norm"/>
        </w:rPr>
        <w:t xml:space="preserve"> as has the UN Special Rapporteur for the Occupied Palestinian Territory and other UN experts,</w:t>
      </w:r>
      <w:r w:rsidRPr="00B5087C">
        <w:rPr>
          <w:rFonts w:ascii="MetaPro-Norm" w:eastAsia="Times New Roman" w:hAnsi="MetaPro-Norm"/>
          <w:vertAlign w:val="superscript"/>
        </w:rPr>
        <w:footnoteReference w:id="5"/>
      </w:r>
      <w:r w:rsidRPr="00B5087C">
        <w:rPr>
          <w:rFonts w:ascii="MetaPro-Norm" w:eastAsia="Times New Roman" w:hAnsi="MetaPro-Norm"/>
        </w:rPr>
        <w:t xml:space="preserve"> as well as the Harvard Law School International Human Rights Clinic,</w:t>
      </w:r>
      <w:r w:rsidRPr="00B5087C">
        <w:rPr>
          <w:rFonts w:ascii="MetaPro-Norm" w:eastAsia="Times New Roman" w:hAnsi="MetaPro-Norm"/>
          <w:vertAlign w:val="superscript"/>
        </w:rPr>
        <w:footnoteReference w:id="6"/>
      </w:r>
      <w:r w:rsidRPr="00B5087C">
        <w:rPr>
          <w:rFonts w:ascii="MetaPro-Norm" w:eastAsia="Times New Roman" w:hAnsi="MetaPro-Norm"/>
        </w:rPr>
        <w:t xml:space="preserve"> among others.</w:t>
      </w:r>
      <w:r w:rsidR="004442FF" w:rsidRPr="00B5087C">
        <w:rPr>
          <w:rFonts w:ascii="MetaPro-Norm" w:eastAsia="Times New Roman" w:hAnsi="MetaPro-Norm"/>
        </w:rPr>
        <w:t xml:space="preserve"> </w:t>
      </w:r>
      <w:r w:rsidRPr="00B5087C">
        <w:rPr>
          <w:rFonts w:ascii="MetaPro-Norm" w:eastAsia="Times New Roman" w:hAnsi="MetaPro-Norm"/>
        </w:rPr>
        <w:t xml:space="preserve">Many of the grave human rights abuses carried out by Israeli authorities as part of their crimes of apartheid and persecution against Palestinians significantly impact </w:t>
      </w:r>
      <w:r w:rsidR="00151CDA" w:rsidRPr="00B5087C">
        <w:rPr>
          <w:rFonts w:ascii="MetaPro-Norm" w:eastAsia="Times New Roman" w:hAnsi="MetaPro-Norm"/>
        </w:rPr>
        <w:t>women and g</w:t>
      </w:r>
      <w:r w:rsidR="00600219" w:rsidRPr="00B5087C">
        <w:rPr>
          <w:rFonts w:ascii="MetaPro-Norm" w:eastAsia="Times New Roman" w:hAnsi="MetaPro-Norm"/>
        </w:rPr>
        <w:t>irls</w:t>
      </w:r>
      <w:r w:rsidRPr="00B5087C">
        <w:rPr>
          <w:rFonts w:ascii="MetaPro-Norm" w:eastAsia="Times New Roman" w:hAnsi="MetaPro-Norm"/>
        </w:rPr>
        <w:t>, including sweeping restrictions on the movement of people and goods, as this submission lays out.</w:t>
      </w:r>
    </w:p>
    <w:p w14:paraId="3F2D6D5A" w14:textId="746DB852" w:rsidR="003D0F8E" w:rsidRPr="00B5087C" w:rsidRDefault="003D0F8E" w:rsidP="003D0F8E">
      <w:pPr>
        <w:rPr>
          <w:rFonts w:ascii="MetaPro-Norm" w:hAnsi="MetaPro-Norm"/>
        </w:rPr>
      </w:pPr>
      <w:r w:rsidRPr="00B5087C">
        <w:rPr>
          <w:rFonts w:ascii="MetaPro-Norm" w:eastAsia="Times New Roman" w:hAnsi="MetaPro-Norm"/>
        </w:rPr>
        <w:t>The Convention applies</w:t>
      </w:r>
      <w:r w:rsidR="00041684" w:rsidRPr="00B5087C">
        <w:rPr>
          <w:rFonts w:ascii="MetaPro-Norm" w:eastAsia="Times New Roman" w:hAnsi="MetaPro-Norm"/>
        </w:rPr>
        <w:t xml:space="preserve"> not only to</w:t>
      </w:r>
      <w:r w:rsidR="004246DD" w:rsidRPr="00B5087C">
        <w:rPr>
          <w:rFonts w:ascii="MetaPro-Norm" w:eastAsia="Times New Roman" w:hAnsi="MetaPro-Norm"/>
          <w:rtl/>
        </w:rPr>
        <w:t xml:space="preserve"> </w:t>
      </w:r>
      <w:r w:rsidR="00B274F2" w:rsidRPr="00B5087C">
        <w:rPr>
          <w:rFonts w:ascii="MetaPro-Norm" w:eastAsia="Times New Roman" w:hAnsi="MetaPro-Norm"/>
        </w:rPr>
        <w:t xml:space="preserve">conduct inside the state of </w:t>
      </w:r>
      <w:r w:rsidR="00506913" w:rsidRPr="00B5087C">
        <w:rPr>
          <w:rFonts w:ascii="MetaPro-Norm" w:eastAsia="Times New Roman" w:hAnsi="MetaPro-Norm"/>
        </w:rPr>
        <w:t>Israel, but also</w:t>
      </w:r>
      <w:r w:rsidRPr="00B5087C">
        <w:rPr>
          <w:rFonts w:ascii="MetaPro-Norm" w:eastAsia="Times New Roman" w:hAnsi="MetaPro-Norm"/>
        </w:rPr>
        <w:t xml:space="preserve"> to Israel’s conduct towards Palestinians in the OPT, alongside international humanitarian law governing occupation. While Israel maintains that its human rights obligations do not extend to the OPT, UN treaty bodies have repeatedly found that states are bound to respect the human rights treaties they have ratified outside their state borders, including to occupied territory. </w:t>
      </w:r>
      <w:r w:rsidRPr="00B5087C">
        <w:rPr>
          <w:rFonts w:ascii="MetaPro-Norm" w:hAnsi="MetaPro-Norm"/>
        </w:rPr>
        <w:t xml:space="preserve">By virtue of the significant control that Israel exercises over the lives and welfare of Palestinians in Gaza, Israeli authorities are obliged under the law of occupation and international human rights law, to ensure the welfare of the population there. </w:t>
      </w:r>
    </w:p>
    <w:p w14:paraId="28C48310" w14:textId="438F6B2A" w:rsidR="007A1BF8" w:rsidRPr="00B5087C" w:rsidRDefault="00AD62B9" w:rsidP="007115B8">
      <w:pPr>
        <w:rPr>
          <w:rFonts w:ascii="MetaPro-Norm" w:hAnsi="MetaPro-Norm"/>
          <w:b/>
          <w:bCs/>
        </w:rPr>
      </w:pPr>
      <w:r w:rsidRPr="00B5087C">
        <w:rPr>
          <w:rFonts w:ascii="MetaPro-Norm" w:hAnsi="MetaPro-Norm"/>
          <w:b/>
          <w:bCs/>
        </w:rPr>
        <w:t xml:space="preserve">Personal Status Laws </w:t>
      </w:r>
      <w:r w:rsidR="00AC6850" w:rsidRPr="00B5087C">
        <w:rPr>
          <w:rFonts w:ascii="MetaPro-Norm" w:hAnsi="MetaPro-Norm"/>
          <w:b/>
          <w:bCs/>
        </w:rPr>
        <w:t xml:space="preserve">(articles </w:t>
      </w:r>
      <w:r w:rsidR="0072322F" w:rsidRPr="00B5087C">
        <w:rPr>
          <w:rFonts w:ascii="MetaPro-Norm" w:hAnsi="MetaPro-Norm"/>
          <w:b/>
          <w:bCs/>
        </w:rPr>
        <w:t xml:space="preserve">15, 16) </w:t>
      </w:r>
    </w:p>
    <w:p w14:paraId="7D8C24D6" w14:textId="793AD29F" w:rsidR="00B609D4" w:rsidRPr="00B5087C" w:rsidRDefault="007A1BF8" w:rsidP="007A1BF8">
      <w:pPr>
        <w:spacing w:line="264" w:lineRule="auto"/>
        <w:rPr>
          <w:rFonts w:ascii="MetaPro-Norm" w:eastAsiaTheme="minorEastAsia" w:hAnsi="MetaPro-Norm" w:cstheme="minorHAnsi"/>
        </w:rPr>
      </w:pPr>
      <w:r w:rsidRPr="00B5087C">
        <w:rPr>
          <w:rFonts w:ascii="MetaPro-Norm" w:eastAsiaTheme="minorEastAsia" w:hAnsi="MetaPro-Norm" w:cstheme="minorHAnsi"/>
        </w:rPr>
        <w:t>Israel provides the religious courts of its recognized religious communities—Jewish, Christian, Islamic, and Druze confessions—the exclusive jurisdiction over the act of marriage and divorce.</w:t>
      </w:r>
      <w:r w:rsidRPr="00B5087C">
        <w:rPr>
          <w:rStyle w:val="FootnoteReference"/>
          <w:rFonts w:ascii="MetaPro-Norm" w:eastAsiaTheme="minorEastAsia" w:hAnsi="MetaPro-Norm" w:cstheme="minorHAnsi"/>
        </w:rPr>
        <w:footnoteReference w:id="7"/>
      </w:r>
      <w:r w:rsidRPr="00B5087C">
        <w:rPr>
          <w:rFonts w:ascii="MetaPro-Norm" w:eastAsiaTheme="minorEastAsia" w:hAnsi="MetaPro-Norm" w:cstheme="minorHAnsi"/>
        </w:rPr>
        <w:t xml:space="preserve"> </w:t>
      </w:r>
      <w:r w:rsidR="00B609D4" w:rsidRPr="00B5087C">
        <w:rPr>
          <w:rFonts w:ascii="MetaPro-Norm" w:eastAsiaTheme="minorEastAsia" w:hAnsi="MetaPro-Norm" w:cstheme="minorHAnsi"/>
        </w:rPr>
        <w:t xml:space="preserve">In doing so, it allows for </w:t>
      </w:r>
      <w:r w:rsidR="002C3424" w:rsidRPr="00B5087C">
        <w:rPr>
          <w:rFonts w:ascii="MetaPro-Norm" w:eastAsiaTheme="minorEastAsia" w:hAnsi="MetaPro-Norm" w:cstheme="minorHAnsi"/>
        </w:rPr>
        <w:t xml:space="preserve">various forms of </w:t>
      </w:r>
      <w:r w:rsidR="00B609D4" w:rsidRPr="00B5087C">
        <w:rPr>
          <w:rFonts w:ascii="MetaPro-Norm" w:eastAsiaTheme="minorEastAsia" w:hAnsi="MetaPro-Norm" w:cstheme="minorHAnsi"/>
        </w:rPr>
        <w:t xml:space="preserve">discrimination against women </w:t>
      </w:r>
      <w:r w:rsidR="002C3424" w:rsidRPr="00B5087C">
        <w:rPr>
          <w:rFonts w:ascii="MetaPro-Norm" w:eastAsiaTheme="minorEastAsia" w:hAnsi="MetaPro-Norm" w:cstheme="minorHAnsi"/>
        </w:rPr>
        <w:t xml:space="preserve">depending on </w:t>
      </w:r>
      <w:r w:rsidR="002D712A" w:rsidRPr="00B5087C">
        <w:rPr>
          <w:rFonts w:ascii="MetaPro-Norm" w:eastAsiaTheme="minorEastAsia" w:hAnsi="MetaPro-Norm" w:cstheme="minorHAnsi"/>
        </w:rPr>
        <w:t>their rel</w:t>
      </w:r>
      <w:r w:rsidR="00310B45" w:rsidRPr="00B5087C">
        <w:rPr>
          <w:rFonts w:ascii="MetaPro-Norm" w:eastAsiaTheme="minorEastAsia" w:hAnsi="MetaPro-Norm" w:cstheme="minorHAnsi"/>
        </w:rPr>
        <w:t xml:space="preserve">igion and denomination. </w:t>
      </w:r>
    </w:p>
    <w:p w14:paraId="00416E4C" w14:textId="43BE7B47" w:rsidR="007A1BF8" w:rsidRPr="00B5087C" w:rsidRDefault="007A1BF8" w:rsidP="007A1BF8">
      <w:pPr>
        <w:spacing w:line="264" w:lineRule="auto"/>
        <w:rPr>
          <w:rFonts w:ascii="MetaPro-Norm" w:eastAsiaTheme="minorEastAsia" w:hAnsi="MetaPro-Norm" w:cstheme="minorHAnsi"/>
        </w:rPr>
      </w:pPr>
      <w:r w:rsidRPr="00B5087C">
        <w:rPr>
          <w:rFonts w:ascii="MetaPro-Norm" w:eastAsiaTheme="minorEastAsia" w:hAnsi="MetaPro-Norm" w:cstheme="minorHAnsi"/>
        </w:rPr>
        <w:lastRenderedPageBreak/>
        <w:t>Both religious and civil family courts can issue rulings on other personal status matters including spousal maintenance.</w:t>
      </w:r>
      <w:r w:rsidRPr="00B5087C">
        <w:rPr>
          <w:rStyle w:val="FootnoteReference"/>
          <w:rFonts w:ascii="MetaPro-Norm" w:eastAsiaTheme="minorEastAsia" w:hAnsi="MetaPro-Norm" w:cstheme="minorHAnsi"/>
        </w:rPr>
        <w:footnoteReference w:id="8"/>
      </w:r>
      <w:r w:rsidRPr="00B5087C">
        <w:rPr>
          <w:rFonts w:ascii="MetaPro-Norm" w:eastAsiaTheme="minorEastAsia" w:hAnsi="MetaPro-Norm" w:cstheme="minorHAnsi"/>
        </w:rPr>
        <w:t xml:space="preserve"> The 1959 Family Law amendment provides that a person is obligated to support his spouse according to the personal status law that applies to him.</w:t>
      </w:r>
      <w:r w:rsidRPr="00B5087C">
        <w:rPr>
          <w:rStyle w:val="FootnoteReference"/>
          <w:rFonts w:ascii="MetaPro-Norm" w:eastAsiaTheme="minorEastAsia" w:hAnsi="MetaPro-Norm" w:cstheme="minorHAnsi"/>
        </w:rPr>
        <w:footnoteReference w:id="9"/>
      </w:r>
      <w:r w:rsidRPr="00B5087C">
        <w:rPr>
          <w:rFonts w:ascii="MetaPro-Norm" w:eastAsiaTheme="minorEastAsia" w:hAnsi="MetaPro-Norm" w:cstheme="minorHAnsi"/>
        </w:rPr>
        <w:t xml:space="preserve"> All such religious personal status laws provide that a woman loses her right to spousal maintenance from her husband when she is found by a court to be legally recalcitrant (disobedient), for instance, if she leaves the marital home and refuses to cohabit with her husband without a reason that the religious courts consider legitimate.</w:t>
      </w:r>
      <w:r w:rsidRPr="00B5087C">
        <w:rPr>
          <w:rStyle w:val="FootnoteReference"/>
          <w:rFonts w:ascii="MetaPro-Norm" w:eastAsiaTheme="minorEastAsia" w:hAnsi="MetaPro-Norm" w:cstheme="minorHAnsi"/>
        </w:rPr>
        <w:footnoteReference w:id="10"/>
      </w:r>
      <w:r w:rsidRPr="00B5087C">
        <w:rPr>
          <w:rFonts w:ascii="MetaPro-Norm" w:eastAsiaTheme="minorEastAsia" w:hAnsi="MetaPro-Norm" w:cstheme="minorHAnsi"/>
        </w:rPr>
        <w:t xml:space="preserve"> For those who are not from one of the recognized religious communities, or where no personal status law applies to them, the 1959 Family Law amendment still requires that they provide spousal maintenance during marriage but does not set out provisions regarding obedience.</w:t>
      </w:r>
      <w:r w:rsidRPr="00B5087C">
        <w:rPr>
          <w:rFonts w:ascii="MetaPro-Norm" w:eastAsiaTheme="minorEastAsia" w:hAnsi="MetaPro-Norm" w:cstheme="minorHAnsi"/>
          <w:vertAlign w:val="superscript"/>
        </w:rPr>
        <w:footnoteReference w:id="11"/>
      </w:r>
      <w:r w:rsidRPr="00B5087C">
        <w:rPr>
          <w:rFonts w:ascii="MetaPro-Norm" w:eastAsiaTheme="minorEastAsia" w:hAnsi="MetaPro-Norm" w:cstheme="minorHAnsi"/>
        </w:rPr>
        <w:t xml:space="preserve"> </w:t>
      </w:r>
    </w:p>
    <w:p w14:paraId="30D4829E" w14:textId="77777777" w:rsidR="00AE359F" w:rsidRPr="00B5087C" w:rsidRDefault="00AE359F" w:rsidP="00AE359F">
      <w:pPr>
        <w:rPr>
          <w:rFonts w:ascii="MetaPro-Norm" w:eastAsia="Times New Roman" w:hAnsi="MetaPro-Norm" w:cstheme="minorHAnsi"/>
          <w:b/>
          <w:bCs/>
          <w:i/>
          <w:u w:val="single"/>
        </w:rPr>
      </w:pPr>
      <w:r w:rsidRPr="00B5087C">
        <w:rPr>
          <w:rFonts w:ascii="MetaPro-Norm" w:eastAsia="Times New Roman" w:hAnsi="MetaPro-Norm" w:cstheme="minorHAnsi"/>
          <w:b/>
          <w:bCs/>
          <w:i/>
          <w:u w:val="single"/>
        </w:rPr>
        <w:t>In the upcoming adoption of list of issues on the state of Israel, Human Rights Watch urges the Committee to question the Israeli authorities on:</w:t>
      </w:r>
    </w:p>
    <w:p w14:paraId="09DF6E86" w14:textId="3A866B88" w:rsidR="00AE359F" w:rsidRPr="00B5087C" w:rsidRDefault="00AE359F" w:rsidP="00B274F2">
      <w:pPr>
        <w:pStyle w:val="ListParagraph"/>
        <w:numPr>
          <w:ilvl w:val="0"/>
          <w:numId w:val="13"/>
        </w:numPr>
        <w:spacing w:line="264" w:lineRule="auto"/>
        <w:rPr>
          <w:rFonts w:ascii="MetaPro-Norm" w:eastAsiaTheme="minorEastAsia" w:hAnsi="MetaPro-Norm" w:cstheme="minorHAnsi"/>
        </w:rPr>
      </w:pPr>
      <w:r w:rsidRPr="00B5087C">
        <w:rPr>
          <w:rFonts w:ascii="MetaPro-Norm" w:eastAsiaTheme="minorEastAsia" w:hAnsi="MetaPro-Norm" w:cstheme="minorHAnsi"/>
        </w:rPr>
        <w:t xml:space="preserve">Are the Israeli authorities taking </w:t>
      </w:r>
      <w:r w:rsidR="00692B8E" w:rsidRPr="00B5087C">
        <w:rPr>
          <w:rFonts w:ascii="MetaPro-Norm" w:eastAsiaTheme="minorEastAsia" w:hAnsi="MetaPro-Norm" w:cstheme="minorHAnsi"/>
        </w:rPr>
        <w:t xml:space="preserve">any </w:t>
      </w:r>
      <w:r w:rsidRPr="00B5087C">
        <w:rPr>
          <w:rFonts w:ascii="MetaPro-Norm" w:eastAsiaTheme="minorEastAsia" w:hAnsi="MetaPro-Norm" w:cstheme="minorHAnsi"/>
        </w:rPr>
        <w:t>measures to allow for</w:t>
      </w:r>
      <w:r w:rsidR="00692B8E" w:rsidRPr="00B5087C">
        <w:rPr>
          <w:rFonts w:ascii="MetaPro-Norm" w:eastAsiaTheme="minorEastAsia" w:hAnsi="MetaPro-Norm" w:cstheme="minorHAnsi"/>
        </w:rPr>
        <w:t xml:space="preserve"> a</w:t>
      </w:r>
      <w:r w:rsidRPr="00B5087C">
        <w:rPr>
          <w:rFonts w:ascii="MetaPro-Norm" w:eastAsiaTheme="minorEastAsia" w:hAnsi="MetaPro-Norm" w:cstheme="minorHAnsi"/>
        </w:rPr>
        <w:t xml:space="preserve"> civil option to marriage</w:t>
      </w:r>
      <w:r w:rsidR="00EE5B57" w:rsidRPr="00B5087C">
        <w:rPr>
          <w:rFonts w:ascii="MetaPro-Norm" w:eastAsiaTheme="minorEastAsia" w:hAnsi="MetaPro-Norm" w:cstheme="minorHAnsi"/>
        </w:rPr>
        <w:t>,</w:t>
      </w:r>
      <w:r w:rsidR="001C1360" w:rsidRPr="00B5087C">
        <w:rPr>
          <w:rFonts w:ascii="MetaPro-Norm" w:eastAsiaTheme="minorEastAsia" w:hAnsi="MetaPro-Norm" w:cstheme="minorHAnsi"/>
        </w:rPr>
        <w:t xml:space="preserve"> </w:t>
      </w:r>
      <w:r w:rsidRPr="00B5087C">
        <w:rPr>
          <w:rFonts w:ascii="MetaPro-Norm" w:eastAsiaTheme="minorEastAsia" w:hAnsi="MetaPro-Norm" w:cstheme="minorHAnsi"/>
        </w:rPr>
        <w:t>divorce</w:t>
      </w:r>
      <w:r w:rsidR="00EE5B57" w:rsidRPr="00B5087C">
        <w:rPr>
          <w:rFonts w:ascii="MetaPro-Norm" w:eastAsiaTheme="minorEastAsia" w:hAnsi="MetaPro-Norm" w:cstheme="minorHAnsi"/>
        </w:rPr>
        <w:t xml:space="preserve"> and </w:t>
      </w:r>
      <w:r w:rsidR="001C1360" w:rsidRPr="00B5087C">
        <w:rPr>
          <w:rFonts w:ascii="MetaPro-Norm" w:eastAsiaTheme="minorEastAsia" w:hAnsi="MetaPro-Norm" w:cstheme="minorHAnsi"/>
        </w:rPr>
        <w:t>matters relating to spousal maintenance</w:t>
      </w:r>
      <w:r w:rsidR="00692B8E" w:rsidRPr="00B5087C">
        <w:rPr>
          <w:rFonts w:ascii="MetaPro-Norm" w:eastAsiaTheme="minorEastAsia" w:hAnsi="MetaPro-Norm" w:cstheme="minorHAnsi"/>
        </w:rPr>
        <w:t xml:space="preserve">? </w:t>
      </w:r>
    </w:p>
    <w:p w14:paraId="69BC2FA7" w14:textId="6F83E4E8" w:rsidR="00C50CC2" w:rsidRPr="00B5087C" w:rsidRDefault="00C50CC2" w:rsidP="00B274F2">
      <w:pPr>
        <w:rPr>
          <w:rFonts w:ascii="MetaPro-Norm" w:hAnsi="MetaPro-Norm" w:cstheme="minorHAnsi"/>
          <w:b/>
          <w:bCs/>
        </w:rPr>
      </w:pPr>
      <w:r w:rsidRPr="00B5087C">
        <w:rPr>
          <w:rFonts w:ascii="MetaPro-Norm" w:eastAsiaTheme="minorEastAsia" w:hAnsi="MetaPro-Norm" w:cstheme="minorHAnsi"/>
          <w:b/>
          <w:bCs/>
        </w:rPr>
        <w:t xml:space="preserve">Gender </w:t>
      </w:r>
      <w:r w:rsidR="008139E3" w:rsidRPr="00B5087C">
        <w:rPr>
          <w:rFonts w:ascii="MetaPro-Norm" w:eastAsiaTheme="minorEastAsia" w:hAnsi="MetaPro-Norm" w:cstheme="minorHAnsi"/>
          <w:b/>
          <w:bCs/>
        </w:rPr>
        <w:t>S</w:t>
      </w:r>
      <w:r w:rsidR="00995A1E" w:rsidRPr="00B5087C">
        <w:rPr>
          <w:rFonts w:ascii="MetaPro-Norm" w:eastAsiaTheme="minorEastAsia" w:hAnsi="MetaPro-Norm" w:cstheme="minorHAnsi"/>
          <w:b/>
          <w:bCs/>
        </w:rPr>
        <w:t xml:space="preserve">egregation and </w:t>
      </w:r>
      <w:r w:rsidR="008139E3" w:rsidRPr="00B5087C">
        <w:rPr>
          <w:rFonts w:ascii="MetaPro-Norm" w:eastAsiaTheme="minorEastAsia" w:hAnsi="MetaPro-Norm" w:cstheme="minorHAnsi"/>
          <w:b/>
          <w:bCs/>
        </w:rPr>
        <w:t>E</w:t>
      </w:r>
      <w:r w:rsidR="00995A1E" w:rsidRPr="00B5087C">
        <w:rPr>
          <w:rFonts w:ascii="MetaPro-Norm" w:eastAsiaTheme="minorEastAsia" w:hAnsi="MetaPro-Norm" w:cstheme="minorHAnsi"/>
          <w:b/>
          <w:bCs/>
        </w:rPr>
        <w:t>xclusion</w:t>
      </w:r>
      <w:r w:rsidR="0072322F" w:rsidRPr="00B5087C">
        <w:rPr>
          <w:rFonts w:ascii="MetaPro-Norm" w:eastAsiaTheme="minorEastAsia" w:hAnsi="MetaPro-Norm" w:cstheme="minorHAnsi"/>
          <w:b/>
          <w:bCs/>
        </w:rPr>
        <w:t xml:space="preserve"> </w:t>
      </w:r>
      <w:r w:rsidR="0072322F" w:rsidRPr="00B5087C">
        <w:rPr>
          <w:rFonts w:ascii="MetaPro-Norm" w:hAnsi="MetaPro-Norm" w:cstheme="minorHAnsi"/>
          <w:b/>
          <w:bCs/>
        </w:rPr>
        <w:t xml:space="preserve">(articles </w:t>
      </w:r>
      <w:r w:rsidR="00260547" w:rsidRPr="00B5087C">
        <w:rPr>
          <w:rFonts w:ascii="MetaPro-Norm" w:hAnsi="MetaPro-Norm" w:cstheme="minorHAnsi"/>
          <w:b/>
          <w:bCs/>
        </w:rPr>
        <w:t>2</w:t>
      </w:r>
      <w:r w:rsidR="0069137C" w:rsidRPr="00B5087C">
        <w:rPr>
          <w:rFonts w:ascii="MetaPro-Norm" w:hAnsi="MetaPro-Norm" w:cstheme="minorHAnsi"/>
          <w:b/>
          <w:bCs/>
        </w:rPr>
        <w:t xml:space="preserve">, 7, </w:t>
      </w:r>
      <w:r w:rsidR="00597FC4" w:rsidRPr="00B5087C">
        <w:rPr>
          <w:rFonts w:ascii="MetaPro-Norm" w:hAnsi="MetaPro-Norm" w:cstheme="minorHAnsi"/>
          <w:b/>
          <w:bCs/>
        </w:rPr>
        <w:t xml:space="preserve">and </w:t>
      </w:r>
      <w:r w:rsidR="0072322F" w:rsidRPr="00B5087C">
        <w:rPr>
          <w:rFonts w:ascii="MetaPro-Norm" w:hAnsi="MetaPro-Norm" w:cstheme="minorHAnsi"/>
          <w:b/>
          <w:bCs/>
        </w:rPr>
        <w:t xml:space="preserve">15) </w:t>
      </w:r>
    </w:p>
    <w:p w14:paraId="2C47069F" w14:textId="270EE657" w:rsidR="00C50CC2" w:rsidRPr="00B5087C" w:rsidRDefault="00476772" w:rsidP="00B274F2">
      <w:pPr>
        <w:spacing w:line="264" w:lineRule="auto"/>
        <w:rPr>
          <w:rFonts w:ascii="MetaPro-Norm" w:eastAsiaTheme="minorEastAsia" w:hAnsi="MetaPro-Norm" w:cstheme="minorHAnsi"/>
        </w:rPr>
      </w:pPr>
      <w:r w:rsidRPr="00B5087C">
        <w:rPr>
          <w:rFonts w:ascii="MetaPro-Norm" w:eastAsiaTheme="minorEastAsia" w:hAnsi="MetaPro-Norm" w:cstheme="minorHAnsi"/>
        </w:rPr>
        <w:t>Women continue to fight against discriminatory restrictions including gender segregation and exclusion in certain neighborhoods, particularly in ultra-Orthodox Jewish areas</w:t>
      </w:r>
      <w:r w:rsidRPr="00B5087C">
        <w:rPr>
          <w:rFonts w:ascii="MetaPro-Norm" w:hAnsi="MetaPro-Norm" w:cstheme="minorHAnsi"/>
          <w:bdr w:val="none" w:sz="0" w:space="0" w:color="auto" w:frame="1"/>
        </w:rPr>
        <w:t xml:space="preserve">. Such rules have disproportionately impacted women who in some cases have also faced </w:t>
      </w:r>
      <w:r w:rsidRPr="00B5087C">
        <w:rPr>
          <w:rFonts w:ascii="MetaPro-Norm" w:eastAsiaTheme="minorEastAsia" w:hAnsi="MetaPro-Norm" w:cstheme="minorHAnsi"/>
        </w:rPr>
        <w:t>violence by members of the public if they breach such rules.</w:t>
      </w:r>
      <w:r w:rsidRPr="00B5087C">
        <w:rPr>
          <w:rStyle w:val="FootnoteReference"/>
          <w:rFonts w:ascii="MetaPro-Norm" w:eastAsiaTheme="minorEastAsia" w:hAnsi="MetaPro-Norm" w:cstheme="minorHAnsi"/>
        </w:rPr>
        <w:footnoteReference w:id="12"/>
      </w:r>
      <w:r w:rsidRPr="00B5087C">
        <w:rPr>
          <w:rFonts w:ascii="MetaPro-Norm" w:eastAsiaTheme="minorEastAsia" w:hAnsi="MetaPro-Norm" w:cstheme="minorHAnsi"/>
        </w:rPr>
        <w:t xml:space="preserve"> </w:t>
      </w:r>
      <w:r w:rsidR="005C3CD7" w:rsidRPr="00B5087C">
        <w:rPr>
          <w:rFonts w:ascii="MetaPro-Norm" w:hAnsi="MetaPro-Norm" w:cstheme="minorHAnsi"/>
        </w:rPr>
        <w:t xml:space="preserve">Women have filed and won </w:t>
      </w:r>
      <w:r w:rsidR="005C3CD7" w:rsidRPr="00B5087C">
        <w:rPr>
          <w:rFonts w:ascii="MetaPro-Norm" w:hAnsi="MetaPro-Norm" w:cstheme="minorHAnsi"/>
        </w:rPr>
        <w:lastRenderedPageBreak/>
        <w:t>several lawsuits in Israel against gender exclusion or segregation in public spaces that disproportionately impact them.</w:t>
      </w:r>
      <w:r w:rsidR="00E72FAA" w:rsidRPr="00B5087C">
        <w:rPr>
          <w:rStyle w:val="FootnoteReference"/>
          <w:rFonts w:ascii="MetaPro-Norm" w:hAnsi="MetaPro-Norm" w:cstheme="minorHAnsi"/>
        </w:rPr>
        <w:footnoteReference w:id="13"/>
      </w:r>
      <w:r w:rsidR="005C3CD7" w:rsidRPr="00B5087C">
        <w:rPr>
          <w:rFonts w:ascii="MetaPro-Norm" w:hAnsi="MetaPro-Norm" w:cstheme="minorHAnsi"/>
        </w:rPr>
        <w:t xml:space="preserve"> </w:t>
      </w:r>
      <w:r w:rsidR="00C50CC2" w:rsidRPr="00B5087C">
        <w:rPr>
          <w:rFonts w:ascii="MetaPro-Norm" w:eastAsiaTheme="minorEastAsia" w:hAnsi="MetaPro-Norm" w:cstheme="minorHAnsi"/>
        </w:rPr>
        <w:t>A 2000 law prohibits discrimination including on the basis of sex in the provision of products, services, and entry into entertainment and public places.</w:t>
      </w:r>
      <w:r w:rsidR="00C50CC2" w:rsidRPr="00B5087C">
        <w:rPr>
          <w:rStyle w:val="FootnoteReference"/>
          <w:rFonts w:ascii="MetaPro-Norm" w:eastAsiaTheme="minorEastAsia" w:hAnsi="MetaPro-Norm" w:cstheme="minorHAnsi"/>
        </w:rPr>
        <w:footnoteReference w:id="14"/>
      </w:r>
      <w:r w:rsidR="00C50CC2" w:rsidRPr="00B5087C">
        <w:rPr>
          <w:rFonts w:ascii="MetaPro-Norm" w:eastAsiaTheme="minorEastAsia" w:hAnsi="MetaPro-Norm" w:cstheme="minorHAnsi"/>
        </w:rPr>
        <w:t xml:space="preserve"> In March 2014, the authorities issued Government Resolution 1526 which calls on ministries to eradicate practices that exclude women in the public domain; while this led to some improvements, some practices continued.</w:t>
      </w:r>
      <w:r w:rsidR="00C50CC2" w:rsidRPr="00B5087C">
        <w:rPr>
          <w:rStyle w:val="FootnoteReference"/>
          <w:rFonts w:ascii="MetaPro-Norm" w:eastAsiaTheme="minorEastAsia" w:hAnsi="MetaPro-Norm" w:cstheme="minorHAnsi"/>
        </w:rPr>
        <w:footnoteReference w:id="15"/>
      </w:r>
      <w:r w:rsidR="00C50CC2" w:rsidRPr="00B5087C">
        <w:rPr>
          <w:rFonts w:ascii="MetaPro-Norm" w:eastAsiaTheme="minorEastAsia" w:hAnsi="MetaPro-Norm" w:cstheme="minorHAnsi"/>
        </w:rPr>
        <w:t xml:space="preserve"> Many of these gains however could be at risk as in November 2022 and January 2023, Israeli media outlets reported that orthodox Jewish parties in the governing coalition were pushing for legislation that would permit gender segregation at publicly funded events or public spaces, which in practice can adversely impact women as they may face further restrictions than men, even exclusion.</w:t>
      </w:r>
      <w:r w:rsidR="00C50CC2" w:rsidRPr="00B5087C">
        <w:rPr>
          <w:rStyle w:val="FootnoteReference"/>
          <w:rFonts w:ascii="MetaPro-Norm" w:eastAsiaTheme="minorEastAsia" w:hAnsi="MetaPro-Norm" w:cstheme="minorHAnsi"/>
        </w:rPr>
        <w:footnoteReference w:id="16"/>
      </w:r>
    </w:p>
    <w:p w14:paraId="31B3440C" w14:textId="3C7AFF04" w:rsidR="007A1BF8" w:rsidRPr="00B5087C" w:rsidRDefault="002F33B3" w:rsidP="00016B99">
      <w:pPr>
        <w:spacing w:line="264" w:lineRule="auto"/>
        <w:rPr>
          <w:rFonts w:ascii="MetaPro-Norm" w:eastAsiaTheme="minorEastAsia" w:hAnsi="MetaPro-Norm" w:cstheme="minorHAnsi"/>
        </w:rPr>
      </w:pPr>
      <w:r w:rsidRPr="00B5087C">
        <w:rPr>
          <w:rFonts w:ascii="MetaPro-Norm" w:eastAsiaTheme="minorEastAsia" w:hAnsi="MetaPro-Norm" w:cstheme="minorHAnsi"/>
        </w:rPr>
        <w:t>In February 2021, the Construction and Housing Ministry issued a guide advising planners of new neighborhoods for the ultra-Orthodox community to include “modesty considerations” when designing public spaces such as ensuring spaces “where public supervision can be found,” and limiting places such as cafes where people of the opposite sex could mingle.</w:t>
      </w:r>
      <w:r w:rsidRPr="00B5087C">
        <w:rPr>
          <w:rStyle w:val="FootnoteReference"/>
          <w:rFonts w:ascii="MetaPro-Norm" w:eastAsiaTheme="minorEastAsia" w:hAnsi="MetaPro-Norm" w:cstheme="minorHAnsi"/>
        </w:rPr>
        <w:footnoteReference w:id="17"/>
      </w:r>
      <w:r w:rsidRPr="00B5087C">
        <w:rPr>
          <w:rFonts w:ascii="MetaPro-Norm" w:eastAsiaTheme="minorEastAsia" w:hAnsi="MetaPro-Norm" w:cstheme="minorHAnsi"/>
        </w:rPr>
        <w:t xml:space="preserve"> In practice, this impacts women disproportionately as women’s conduct is subject to heightened scrutiny</w:t>
      </w:r>
      <w:r w:rsidR="00110BAC" w:rsidRPr="00B5087C">
        <w:rPr>
          <w:rFonts w:ascii="MetaPro-Norm" w:eastAsiaTheme="minorEastAsia" w:hAnsi="MetaPro-Norm" w:cstheme="minorHAnsi"/>
        </w:rPr>
        <w:t xml:space="preserve"> by the community</w:t>
      </w:r>
      <w:r w:rsidRPr="00B5087C">
        <w:rPr>
          <w:rFonts w:ascii="MetaPro-Norm" w:eastAsiaTheme="minorEastAsia" w:hAnsi="MetaPro-Norm" w:cstheme="minorHAnsi"/>
        </w:rPr>
        <w:t>, disapproval of mingling between members of the opposite sex can impact women’s rights including to work and study, and women may end up excluded from public spaces.</w:t>
      </w:r>
    </w:p>
    <w:p w14:paraId="66D500DE" w14:textId="156C32F4" w:rsidR="00E863F3" w:rsidRPr="00B5087C" w:rsidRDefault="00E863F3" w:rsidP="00E863F3">
      <w:pPr>
        <w:rPr>
          <w:rFonts w:ascii="MetaPro-Norm" w:eastAsia="Times New Roman" w:hAnsi="MetaPro-Norm" w:cstheme="minorHAnsi"/>
          <w:b/>
          <w:bCs/>
          <w:i/>
          <w:u w:val="single"/>
        </w:rPr>
      </w:pPr>
      <w:r w:rsidRPr="00B5087C">
        <w:rPr>
          <w:rFonts w:ascii="MetaPro-Norm" w:eastAsia="Times New Roman" w:hAnsi="MetaPro-Norm" w:cstheme="minorHAnsi"/>
          <w:b/>
          <w:bCs/>
          <w:i/>
          <w:u w:val="single"/>
        </w:rPr>
        <w:lastRenderedPageBreak/>
        <w:t>In the upcoming adoption of list of issues on the state of Israel, Human Rights Watch urges the Committee to question the Israeli authorities on:</w:t>
      </w:r>
    </w:p>
    <w:p w14:paraId="2C200F78" w14:textId="2CDE4F10" w:rsidR="00E863F3" w:rsidRPr="00B5087C" w:rsidRDefault="00E863F3" w:rsidP="00E863F3">
      <w:pPr>
        <w:pStyle w:val="ListParagraph"/>
        <w:numPr>
          <w:ilvl w:val="0"/>
          <w:numId w:val="12"/>
        </w:numPr>
        <w:spacing w:line="264" w:lineRule="auto"/>
        <w:rPr>
          <w:rFonts w:ascii="MetaPro-Norm" w:eastAsiaTheme="minorEastAsia" w:hAnsi="MetaPro-Norm" w:cstheme="minorHAnsi"/>
        </w:rPr>
      </w:pPr>
      <w:r w:rsidRPr="00B5087C">
        <w:rPr>
          <w:rFonts w:ascii="MetaPro-Norm" w:eastAsiaTheme="minorEastAsia" w:hAnsi="MetaPro-Norm" w:cstheme="minorHAnsi"/>
        </w:rPr>
        <w:t xml:space="preserve">What measures are the Israeli authorities taking to adequately eradicate practices that exclude women </w:t>
      </w:r>
      <w:r w:rsidR="00003F80" w:rsidRPr="00B5087C">
        <w:rPr>
          <w:rFonts w:ascii="MetaPro-Norm" w:eastAsiaTheme="minorEastAsia" w:hAnsi="MetaPro-Norm" w:cstheme="minorHAnsi"/>
        </w:rPr>
        <w:t>from</w:t>
      </w:r>
      <w:r w:rsidRPr="00B5087C">
        <w:rPr>
          <w:rFonts w:ascii="MetaPro-Norm" w:eastAsiaTheme="minorEastAsia" w:hAnsi="MetaPro-Norm" w:cstheme="minorHAnsi"/>
        </w:rPr>
        <w:t xml:space="preserve"> the public domain? </w:t>
      </w:r>
    </w:p>
    <w:p w14:paraId="1D52AC55" w14:textId="36A656C0" w:rsidR="00003F80" w:rsidRPr="00B5087C" w:rsidRDefault="00003F80" w:rsidP="00B274F2">
      <w:pPr>
        <w:pStyle w:val="ListParagraph"/>
        <w:numPr>
          <w:ilvl w:val="0"/>
          <w:numId w:val="12"/>
        </w:numPr>
        <w:spacing w:line="264" w:lineRule="auto"/>
        <w:rPr>
          <w:rFonts w:ascii="MetaPro-Norm" w:eastAsiaTheme="minorEastAsia" w:hAnsi="MetaPro-Norm" w:cstheme="minorHAnsi"/>
        </w:rPr>
      </w:pPr>
      <w:r w:rsidRPr="00B5087C">
        <w:rPr>
          <w:rFonts w:ascii="MetaPro-Norm" w:eastAsiaTheme="minorEastAsia" w:hAnsi="MetaPro-Norm" w:cstheme="minorHAnsi"/>
        </w:rPr>
        <w:t xml:space="preserve">Are the Israeli authorities considering legislation that could allow for gender segregation and exclusion, which disproportionately impact </w:t>
      </w:r>
      <w:r w:rsidR="00731DA7" w:rsidRPr="00B5087C">
        <w:rPr>
          <w:rFonts w:ascii="MetaPro-Norm" w:eastAsiaTheme="minorEastAsia" w:hAnsi="MetaPro-Norm" w:cstheme="minorHAnsi"/>
        </w:rPr>
        <w:t xml:space="preserve">women? </w:t>
      </w:r>
    </w:p>
    <w:p w14:paraId="2ADF14CA" w14:textId="3AA41411" w:rsidR="000C59DD" w:rsidRPr="00B5087C" w:rsidRDefault="000C59DD" w:rsidP="000C59DD">
      <w:pPr>
        <w:rPr>
          <w:rFonts w:ascii="MetaPro-Norm" w:hAnsi="MetaPro-Norm" w:cstheme="minorHAnsi"/>
          <w:b/>
          <w:bCs/>
        </w:rPr>
      </w:pPr>
      <w:r w:rsidRPr="00B5087C">
        <w:rPr>
          <w:rFonts w:ascii="MetaPro-Norm" w:hAnsi="MetaPro-Norm" w:cstheme="minorHAnsi"/>
          <w:b/>
          <w:bCs/>
        </w:rPr>
        <w:t xml:space="preserve">Israel’s </w:t>
      </w:r>
      <w:r w:rsidR="0016400D" w:rsidRPr="00B5087C">
        <w:rPr>
          <w:rFonts w:ascii="MetaPro-Norm" w:hAnsi="MetaPro-Norm" w:cstheme="minorHAnsi"/>
          <w:b/>
          <w:bCs/>
        </w:rPr>
        <w:t>C</w:t>
      </w:r>
      <w:r w:rsidRPr="00B5087C">
        <w:rPr>
          <w:rFonts w:ascii="MetaPro-Norm" w:hAnsi="MetaPro-Norm" w:cstheme="minorHAnsi"/>
          <w:b/>
          <w:bCs/>
        </w:rPr>
        <w:t xml:space="preserve">losure of Gaza </w:t>
      </w:r>
      <w:r w:rsidR="009C7528" w:rsidRPr="00B5087C">
        <w:rPr>
          <w:rFonts w:ascii="MetaPro-Norm" w:hAnsi="MetaPro-Norm" w:cstheme="minorHAnsi"/>
          <w:b/>
          <w:bCs/>
        </w:rPr>
        <w:t xml:space="preserve">Restrict Women’s Rights to </w:t>
      </w:r>
      <w:r w:rsidR="004442FF" w:rsidRPr="00B5087C">
        <w:rPr>
          <w:rFonts w:ascii="MetaPro-Norm" w:hAnsi="MetaPro-Norm" w:cstheme="minorHAnsi"/>
          <w:b/>
          <w:bCs/>
        </w:rPr>
        <w:t>E</w:t>
      </w:r>
      <w:r w:rsidRPr="00B5087C">
        <w:rPr>
          <w:rFonts w:ascii="MetaPro-Norm" w:hAnsi="MetaPro-Norm" w:cstheme="minorHAnsi"/>
          <w:b/>
          <w:bCs/>
        </w:rPr>
        <w:t>mployment</w:t>
      </w:r>
      <w:r w:rsidR="009C7528" w:rsidRPr="00B5087C">
        <w:rPr>
          <w:rFonts w:ascii="MetaPro-Norm" w:hAnsi="MetaPro-Norm" w:cstheme="minorHAnsi"/>
          <w:b/>
          <w:bCs/>
        </w:rPr>
        <w:t>, Education</w:t>
      </w:r>
      <w:r w:rsidRPr="00B5087C">
        <w:rPr>
          <w:rFonts w:ascii="MetaPro-Norm" w:hAnsi="MetaPro-Norm" w:cstheme="minorHAnsi"/>
          <w:b/>
          <w:bCs/>
        </w:rPr>
        <w:t xml:space="preserve"> and </w:t>
      </w:r>
      <w:r w:rsidR="009C7528" w:rsidRPr="00B5087C">
        <w:rPr>
          <w:rFonts w:ascii="MetaPro-Norm" w:hAnsi="MetaPro-Norm" w:cstheme="minorHAnsi"/>
          <w:b/>
          <w:bCs/>
        </w:rPr>
        <w:t xml:space="preserve">Health </w:t>
      </w:r>
      <w:r w:rsidRPr="00B5087C">
        <w:rPr>
          <w:rFonts w:ascii="MetaPro-Norm" w:hAnsi="MetaPro-Norm" w:cstheme="minorHAnsi"/>
          <w:b/>
          <w:bCs/>
        </w:rPr>
        <w:t>(Articles 3, 12, and 14)</w:t>
      </w:r>
    </w:p>
    <w:p w14:paraId="08094F09" w14:textId="03430B51" w:rsidR="00661087" w:rsidRPr="00B5087C" w:rsidRDefault="00164E63" w:rsidP="00427F96">
      <w:pPr>
        <w:rPr>
          <w:rFonts w:ascii="MetaPro-Norm" w:hAnsi="MetaPro-Norm" w:cstheme="minorHAnsi"/>
        </w:rPr>
      </w:pPr>
      <w:r w:rsidRPr="00B5087C">
        <w:rPr>
          <w:rFonts w:ascii="MetaPro-Norm" w:hAnsi="MetaPro-Norm" w:cstheme="minorHAnsi"/>
        </w:rPr>
        <w:t xml:space="preserve">Israeli authorities sharply restrict the movement of Palestinians, including women, in the </w:t>
      </w:r>
      <w:r w:rsidR="00A72B9E" w:rsidRPr="00B5087C">
        <w:rPr>
          <w:rFonts w:ascii="MetaPro-Norm" w:hAnsi="MetaPro-Norm" w:cstheme="minorHAnsi"/>
        </w:rPr>
        <w:t>OPT</w:t>
      </w:r>
      <w:r w:rsidRPr="00B5087C">
        <w:rPr>
          <w:rFonts w:ascii="MetaPro-Norm" w:hAnsi="MetaPro-Norm" w:cstheme="minorHAnsi"/>
        </w:rPr>
        <w:t>. For more than 16 years,</w:t>
      </w:r>
      <w:r w:rsidR="00893E1B">
        <w:rPr>
          <w:rFonts w:ascii="MetaPro-Norm" w:hAnsi="MetaPro-Norm" w:cstheme="minorHAnsi"/>
        </w:rPr>
        <w:t xml:space="preserve"> since 2007,</w:t>
      </w:r>
      <w:r w:rsidRPr="00B5087C">
        <w:rPr>
          <w:rFonts w:ascii="MetaPro-Norm" w:hAnsi="MetaPro-Norm" w:cstheme="minorHAnsi"/>
        </w:rPr>
        <w:t xml:space="preserve"> Israeli authorities</w:t>
      </w:r>
      <w:r w:rsidR="00893E1B">
        <w:rPr>
          <w:rFonts w:ascii="MetaPro-Norm" w:hAnsi="MetaPro-Norm" w:cstheme="minorHAnsi"/>
        </w:rPr>
        <w:t xml:space="preserve"> have</w:t>
      </w:r>
      <w:r w:rsidRPr="00B5087C">
        <w:rPr>
          <w:rFonts w:ascii="MetaPro-Norm" w:hAnsi="MetaPro-Norm" w:cstheme="minorHAnsi"/>
        </w:rPr>
        <w:t xml:space="preserve"> blocked most of Gaza’s population from traveling through the Erez Crossing, the only passenger crossing from Gaza into Israel through which Palestinians can travel to the West Bank and travel abroad via Jordan.</w:t>
      </w:r>
      <w:r w:rsidRPr="00B5087C">
        <w:rPr>
          <w:rStyle w:val="FootnoteReference"/>
          <w:rFonts w:ascii="MetaPro-Norm" w:hAnsi="MetaPro-Norm" w:cstheme="minorHAnsi"/>
        </w:rPr>
        <w:footnoteReference w:id="18"/>
      </w:r>
      <w:r w:rsidRPr="00B5087C">
        <w:rPr>
          <w:rFonts w:ascii="MetaPro-Norm" w:hAnsi="MetaPro-Norm" w:cstheme="minorHAnsi"/>
        </w:rPr>
        <w:t xml:space="preserve"> In the West Bank, the Israeli authorities require Palestinians to have difficult-to-obtain permits to enter large parts of the territory, and have erected hundreds of checkpoints and other closure obstacles and a separation barrier largely built on Palestinian land that fragments communities.</w:t>
      </w:r>
      <w:r w:rsidR="00804F4A" w:rsidRPr="00B5087C">
        <w:rPr>
          <w:rStyle w:val="FootnoteReference"/>
          <w:rFonts w:ascii="MetaPro-Norm" w:hAnsi="MetaPro-Norm" w:cstheme="minorHAnsi"/>
        </w:rPr>
        <w:footnoteReference w:id="19"/>
      </w:r>
      <w:r w:rsidRPr="00B5087C">
        <w:rPr>
          <w:rFonts w:ascii="MetaPro-Norm" w:hAnsi="MetaPro-Norm" w:cstheme="minorHAnsi"/>
        </w:rPr>
        <w:t xml:space="preserve"> These barriers acutely </w:t>
      </w:r>
      <w:r w:rsidR="00D31A0D" w:rsidRPr="00B5087C">
        <w:rPr>
          <w:rFonts w:ascii="MetaPro-Norm" w:hAnsi="MetaPro-Norm" w:cstheme="minorHAnsi"/>
        </w:rPr>
        <w:t xml:space="preserve">harm </w:t>
      </w:r>
      <w:r w:rsidRPr="00B5087C">
        <w:rPr>
          <w:rFonts w:ascii="MetaPro-Norm" w:hAnsi="MetaPro-Norm" w:cstheme="minorHAnsi"/>
        </w:rPr>
        <w:t xml:space="preserve">women, including </w:t>
      </w:r>
      <w:r w:rsidR="00D31A0D" w:rsidRPr="00B5087C">
        <w:rPr>
          <w:rFonts w:ascii="MetaPro-Norm" w:hAnsi="MetaPro-Norm" w:cstheme="minorHAnsi"/>
        </w:rPr>
        <w:t xml:space="preserve">their </w:t>
      </w:r>
      <w:r w:rsidRPr="00B5087C">
        <w:rPr>
          <w:rFonts w:ascii="MetaPro-Norm" w:hAnsi="MetaPro-Norm" w:cstheme="minorHAnsi"/>
        </w:rPr>
        <w:t xml:space="preserve">access to </w:t>
      </w:r>
      <w:r w:rsidR="00375476" w:rsidRPr="00B5087C">
        <w:rPr>
          <w:rFonts w:ascii="MetaPro-Norm" w:hAnsi="MetaPro-Norm" w:cstheme="minorHAnsi"/>
        </w:rPr>
        <w:t>study, work</w:t>
      </w:r>
      <w:r w:rsidR="000067DE" w:rsidRPr="00B5087C">
        <w:rPr>
          <w:rFonts w:ascii="MetaPro-Norm" w:hAnsi="MetaPro-Norm" w:cstheme="minorHAnsi"/>
        </w:rPr>
        <w:t>, and healthcare</w:t>
      </w:r>
      <w:r w:rsidR="001D6565" w:rsidRPr="00B5087C">
        <w:rPr>
          <w:rFonts w:ascii="MetaPro-Norm" w:hAnsi="MetaPro-Norm" w:cstheme="minorHAnsi"/>
        </w:rPr>
        <w:t xml:space="preserve"> such as for women </w:t>
      </w:r>
      <w:r w:rsidR="00027645" w:rsidRPr="00B5087C">
        <w:rPr>
          <w:rFonts w:ascii="MetaPro-Norm" w:hAnsi="MetaPro-Norm" w:cstheme="minorHAnsi"/>
        </w:rPr>
        <w:t xml:space="preserve">in Gaza </w:t>
      </w:r>
      <w:r w:rsidR="001D6565" w:rsidRPr="00B5087C">
        <w:rPr>
          <w:rFonts w:ascii="MetaPro-Norm" w:hAnsi="MetaPro-Norm" w:cstheme="minorHAnsi"/>
        </w:rPr>
        <w:t>who have breast cancer</w:t>
      </w:r>
      <w:r w:rsidR="000067DE" w:rsidRPr="00B5087C">
        <w:rPr>
          <w:rFonts w:ascii="MetaPro-Norm" w:hAnsi="MetaPro-Norm" w:cstheme="minorHAnsi"/>
        </w:rPr>
        <w:t xml:space="preserve">. </w:t>
      </w:r>
    </w:p>
    <w:p w14:paraId="613A62A7" w14:textId="741F2CF8" w:rsidR="00445992" w:rsidRPr="00B5087C" w:rsidRDefault="009B0F06" w:rsidP="0046798B">
      <w:pPr>
        <w:rPr>
          <w:rFonts w:ascii="MetaPro-Norm" w:hAnsi="MetaPro-Norm" w:cstheme="minorHAnsi"/>
        </w:rPr>
      </w:pPr>
      <w:r w:rsidRPr="00B5087C">
        <w:rPr>
          <w:rFonts w:ascii="MetaPro-Norm" w:hAnsi="MetaPro-Norm" w:cstheme="minorHAnsi"/>
        </w:rPr>
        <w:t>In Gaza, t</w:t>
      </w:r>
      <w:r w:rsidR="000C59DD" w:rsidRPr="00B5087C">
        <w:rPr>
          <w:rFonts w:ascii="MetaPro-Norm" w:hAnsi="MetaPro-Norm" w:cstheme="minorHAnsi"/>
        </w:rPr>
        <w:t>he Israeli army has since 2007 limited travel through the Erez crossing except in what it deems “exceptional humanitarian circumstances,” mainly encompassing those needing vital medical treatment outside Gaza and their companions, although the authorities also make exceptions for hundreds of businesspeople and laborers and some others. Israel has restricted movement even for those seeking to travel under</w:t>
      </w:r>
      <w:r w:rsidR="00565FF6" w:rsidRPr="00B5087C">
        <w:rPr>
          <w:rFonts w:ascii="MetaPro-Norm" w:hAnsi="MetaPro-Norm" w:cstheme="minorHAnsi"/>
        </w:rPr>
        <w:t xml:space="preserve"> these narrow exemptions</w:t>
      </w:r>
      <w:r w:rsidR="000C59DD" w:rsidRPr="00B5087C">
        <w:rPr>
          <w:rFonts w:ascii="MetaPro-Norm" w:hAnsi="MetaPro-Norm" w:cstheme="minorHAnsi"/>
        </w:rPr>
        <w:t>, affecting their rights to </w:t>
      </w:r>
      <w:r w:rsidR="00565FF6" w:rsidRPr="00B5087C">
        <w:rPr>
          <w:rFonts w:ascii="MetaPro-Norm" w:hAnsi="MetaPro-Norm" w:cstheme="minorHAnsi"/>
        </w:rPr>
        <w:t>health and life</w:t>
      </w:r>
      <w:r w:rsidR="000C59DD" w:rsidRPr="00B5087C">
        <w:rPr>
          <w:rFonts w:ascii="MetaPro-Norm" w:hAnsi="MetaPro-Norm" w:cstheme="minorHAnsi"/>
        </w:rPr>
        <w:t>, amon</w:t>
      </w:r>
      <w:r w:rsidR="009A0CF9" w:rsidRPr="00B5087C">
        <w:rPr>
          <w:rFonts w:ascii="MetaPro-Norm" w:hAnsi="MetaPro-Norm" w:cstheme="minorHAnsi"/>
        </w:rPr>
        <w:t>g others</w:t>
      </w:r>
      <w:r w:rsidR="00FA3A30" w:rsidRPr="00B5087C">
        <w:rPr>
          <w:rFonts w:ascii="MetaPro-Norm" w:hAnsi="MetaPro-Norm" w:cstheme="minorHAnsi"/>
        </w:rPr>
        <w:t>,</w:t>
      </w:r>
      <w:r w:rsidR="000C59DD" w:rsidRPr="00B5087C">
        <w:rPr>
          <w:rFonts w:ascii="MetaPro-Norm" w:hAnsi="MetaPro-Norm" w:cstheme="minorHAnsi"/>
        </w:rPr>
        <w:t> as Human Rights Watch and other groups have documented.</w:t>
      </w:r>
      <w:r w:rsidR="00FA3A30" w:rsidRPr="00B5087C">
        <w:rPr>
          <w:rStyle w:val="FootnoteReference"/>
          <w:rFonts w:ascii="MetaPro-Norm" w:hAnsi="MetaPro-Norm" w:cstheme="minorHAnsi"/>
        </w:rPr>
        <w:footnoteReference w:id="20"/>
      </w:r>
      <w:r w:rsidR="000C59DD" w:rsidRPr="00B5087C">
        <w:rPr>
          <w:rFonts w:ascii="MetaPro-Norm" w:hAnsi="MetaPro-Norm" w:cstheme="minorHAnsi"/>
        </w:rPr>
        <w:t xml:space="preserve"> </w:t>
      </w:r>
      <w:r w:rsidR="0046798B" w:rsidRPr="00B5087C">
        <w:rPr>
          <w:rFonts w:ascii="MetaPro-Norm" w:hAnsi="MetaPro-Norm" w:cstheme="minorHAnsi"/>
        </w:rPr>
        <w:t>Restrictive Egyptian policies at its Rafah crossing with Gaza have exacerbated the closure’s harm to human rights.</w:t>
      </w:r>
    </w:p>
    <w:p w14:paraId="20457C0D" w14:textId="668E4824" w:rsidR="00E83D36" w:rsidRPr="00B5087C" w:rsidRDefault="00E83D36" w:rsidP="00E83D36">
      <w:pPr>
        <w:rPr>
          <w:rFonts w:ascii="MetaPro-Norm" w:hAnsi="MetaPro-Norm" w:cstheme="minorHAnsi"/>
        </w:rPr>
      </w:pPr>
      <w:r w:rsidRPr="00B5087C">
        <w:rPr>
          <w:rFonts w:ascii="MetaPro-Norm" w:hAnsi="MetaPro-Norm" w:cstheme="minorHAnsi"/>
        </w:rPr>
        <w:lastRenderedPageBreak/>
        <w:t>Most Gaza residents do not fit within the narrow exemptions to travel through Erez, even if it is to reach the West Bank.</w:t>
      </w:r>
      <w:r w:rsidRPr="00B5087C">
        <w:rPr>
          <w:rFonts w:ascii="MetaPro-Norm" w:hAnsi="MetaPro-Norm"/>
        </w:rPr>
        <w:t xml:space="preserve"> </w:t>
      </w:r>
      <w:r w:rsidRPr="00B5087C">
        <w:rPr>
          <w:rFonts w:ascii="MetaPro-Norm" w:hAnsi="MetaPro-Norm" w:cstheme="minorHAnsi"/>
        </w:rPr>
        <w:t xml:space="preserve">Between January 2015 and December 2019, before the onset of Covid-19 restrictions, an average of about 373 Palestinians left Gaza via Erez each day, less than 1.5 percent of the daily average of 26,000 in September 2000, before the closure, according to the Israeli rights group Gisha. Israeli authorities tightened the closure further during the Covid-19 pandemic – between March 2020 and December 2021, an average of about 143 Palestinians left Gaza via Erez each day, according to Gisha. During 2022 and the first half of 2023, </w:t>
      </w:r>
      <w:r w:rsidR="00803BDF" w:rsidRPr="00B5087C">
        <w:rPr>
          <w:rFonts w:ascii="MetaPro-Norm" w:hAnsi="MetaPro-Norm" w:cstheme="minorHAnsi"/>
        </w:rPr>
        <w:t xml:space="preserve">an average of </w:t>
      </w:r>
      <w:r w:rsidRPr="00B5087C">
        <w:rPr>
          <w:rFonts w:ascii="MetaPro-Norm" w:hAnsi="MetaPro-Norm" w:cstheme="minorHAnsi"/>
        </w:rPr>
        <w:t xml:space="preserve">1,273 Palestinians in Gaza exited via Erez daily, according to </w:t>
      </w:r>
      <w:r w:rsidRPr="00893E1B">
        <w:rPr>
          <w:rFonts w:ascii="MetaPro-Norm" w:hAnsi="MetaPro-Norm" w:cstheme="minorHAnsi"/>
        </w:rPr>
        <w:t>Gisha.</w:t>
      </w:r>
      <w:r w:rsidRPr="00893E1B">
        <w:rPr>
          <w:rStyle w:val="FootnoteReference"/>
          <w:rFonts w:ascii="MetaPro-Norm" w:hAnsi="MetaPro-Norm" w:cstheme="minorHAnsi"/>
        </w:rPr>
        <w:footnoteReference w:id="21"/>
      </w:r>
      <w:r w:rsidRPr="00B5087C">
        <w:rPr>
          <w:rFonts w:ascii="MetaPro-Norm" w:hAnsi="MetaPro-Norm" w:cstheme="minorHAnsi"/>
        </w:rPr>
        <w:t xml:space="preserve"> The monthly average marks an increase as compared to recent years, largely driven by </w:t>
      </w:r>
      <w:hyperlink r:id="rId12" w:history="1">
        <w:r w:rsidRPr="00B5087C">
          <w:rPr>
            <w:rStyle w:val="Hyperlink"/>
            <w:rFonts w:ascii="MetaPro-Norm" w:hAnsi="MetaPro-Norm" w:cstheme="minorHAnsi"/>
            <w:color w:val="auto"/>
          </w:rPr>
          <w:t xml:space="preserve">permits issued </w:t>
        </w:r>
      </w:hyperlink>
      <w:r w:rsidRPr="00B5087C">
        <w:rPr>
          <w:rFonts w:ascii="MetaPro-Norm" w:hAnsi="MetaPro-Norm" w:cstheme="minorHAnsi"/>
        </w:rPr>
        <w:t>for Palestinians in Gaza to work in construction and agriculture, but remains a small fraction of the daily average from September 2000. </w:t>
      </w:r>
    </w:p>
    <w:p w14:paraId="38D32994" w14:textId="61218B45" w:rsidR="00C07E61" w:rsidRPr="00B5087C" w:rsidRDefault="00C07E61" w:rsidP="00C07E61">
      <w:pPr>
        <w:rPr>
          <w:rFonts w:ascii="MetaPro-Norm" w:hAnsi="MetaPro-Norm" w:cstheme="minorHAnsi"/>
        </w:rPr>
      </w:pPr>
      <w:r w:rsidRPr="00B5087C">
        <w:rPr>
          <w:rFonts w:ascii="MetaPro-Norm" w:hAnsi="MetaPro-Norm" w:cstheme="minorHAnsi"/>
        </w:rPr>
        <w:t>As part of the closure, Israeli authorities have instituted a formal “policy of separation” between Gaza and the West Bank, despite international consensus that these two parts of the Occupied Palestinian Territory form a “single territorial unit.”</w:t>
      </w:r>
      <w:r w:rsidR="004E0666" w:rsidRPr="00B5087C">
        <w:rPr>
          <w:rStyle w:val="FootnoteReference"/>
          <w:rFonts w:ascii="MetaPro-Norm" w:hAnsi="MetaPro-Norm" w:cstheme="minorHAnsi"/>
        </w:rPr>
        <w:footnoteReference w:id="22"/>
      </w:r>
      <w:r w:rsidR="004E0666" w:rsidRPr="00B5087C">
        <w:rPr>
          <w:rFonts w:ascii="MetaPro-Norm" w:hAnsi="MetaPro-Norm" w:cstheme="minorHAnsi"/>
        </w:rPr>
        <w:t xml:space="preserve"> </w:t>
      </w:r>
      <w:r w:rsidRPr="00B5087C">
        <w:rPr>
          <w:rFonts w:ascii="MetaPro-Norm" w:hAnsi="MetaPro-Norm" w:cstheme="minorHAnsi"/>
        </w:rPr>
        <w:t xml:space="preserve"> Israel accepted that principle in the 1995 Oslo Accords, signed with the Palestine Liberation Organization. Israeli authorities</w:t>
      </w:r>
      <w:r w:rsidR="001B6F5C" w:rsidRPr="00B5087C">
        <w:rPr>
          <w:rFonts w:ascii="MetaPro-Norm" w:hAnsi="MetaPro-Norm" w:cstheme="minorHAnsi"/>
        </w:rPr>
        <w:t xml:space="preserve"> </w:t>
      </w:r>
      <w:r w:rsidR="00481833" w:rsidRPr="00B5087C">
        <w:rPr>
          <w:rFonts w:ascii="MetaPro-Norm" w:hAnsi="MetaPro-Norm" w:cstheme="minorHAnsi"/>
        </w:rPr>
        <w:t>block</w:t>
      </w:r>
      <w:r w:rsidR="001B6F5C" w:rsidRPr="00B5087C">
        <w:rPr>
          <w:rFonts w:ascii="MetaPro-Norm" w:hAnsi="MetaPro-Norm" w:cstheme="minorHAnsi"/>
        </w:rPr>
        <w:t xml:space="preserve"> </w:t>
      </w:r>
      <w:r w:rsidR="00481833" w:rsidRPr="00B5087C">
        <w:rPr>
          <w:rFonts w:ascii="MetaPro-Norm" w:hAnsi="MetaPro-Norm" w:cstheme="minorHAnsi"/>
        </w:rPr>
        <w:t xml:space="preserve">most </w:t>
      </w:r>
      <w:r w:rsidRPr="00B5087C">
        <w:rPr>
          <w:rFonts w:ascii="MetaPro-Norm" w:hAnsi="MetaPro-Norm" w:cstheme="minorHAnsi"/>
        </w:rPr>
        <w:t xml:space="preserve">travel between Gaza and the West Bank, </w:t>
      </w:r>
      <w:r w:rsidR="001B6F5C" w:rsidRPr="00B5087C">
        <w:rPr>
          <w:rFonts w:ascii="MetaPro-Norm" w:hAnsi="MetaPro-Norm" w:cstheme="minorHAnsi"/>
        </w:rPr>
        <w:t xml:space="preserve">outside of exceptional </w:t>
      </w:r>
      <w:r w:rsidR="00481833" w:rsidRPr="00B5087C">
        <w:rPr>
          <w:rFonts w:ascii="MetaPro-Norm" w:hAnsi="MetaPro-Norm" w:cstheme="minorHAnsi"/>
        </w:rPr>
        <w:t xml:space="preserve">cases, </w:t>
      </w:r>
      <w:r w:rsidRPr="00B5087C">
        <w:rPr>
          <w:rFonts w:ascii="MetaPro-Norm" w:hAnsi="MetaPro-Norm" w:cstheme="minorHAnsi"/>
        </w:rPr>
        <w:t>even when the travel takes place via the circuitous route through Egypt and Jordan rather than through Israeli territory.</w:t>
      </w:r>
    </w:p>
    <w:p w14:paraId="17755E95" w14:textId="2D11B220" w:rsidR="00840407" w:rsidRPr="00B5087C" w:rsidRDefault="00066C9C" w:rsidP="00E17185">
      <w:pPr>
        <w:rPr>
          <w:rFonts w:ascii="MetaPro-Norm" w:hAnsi="MetaPro-Norm" w:cstheme="minorHAnsi"/>
        </w:rPr>
      </w:pPr>
      <w:r w:rsidRPr="00B5087C">
        <w:rPr>
          <w:rFonts w:ascii="MetaPro-Norm" w:hAnsi="MetaPro-Norm" w:cstheme="minorHAnsi"/>
        </w:rPr>
        <w:t xml:space="preserve">Israeli authorities have denied or delayed access to potentially life-saving cancer and other treatment </w:t>
      </w:r>
      <w:r w:rsidR="00306E78" w:rsidRPr="00B5087C">
        <w:rPr>
          <w:rFonts w:ascii="MetaPro-Norm" w:hAnsi="MetaPro-Norm" w:cstheme="minorHAnsi"/>
        </w:rPr>
        <w:t xml:space="preserve">for women who live </w:t>
      </w:r>
      <w:r w:rsidRPr="00B5087C">
        <w:rPr>
          <w:rFonts w:ascii="MetaPro-Norm" w:hAnsi="MetaPro-Norm" w:cstheme="minorHAnsi"/>
        </w:rPr>
        <w:t>in Gaza</w:t>
      </w:r>
      <w:r w:rsidR="00306E78" w:rsidRPr="00B5087C">
        <w:rPr>
          <w:rFonts w:ascii="MetaPro-Norm" w:hAnsi="MetaPro-Norm" w:cstheme="minorHAnsi"/>
        </w:rPr>
        <w:t xml:space="preserve"> and who cannot access the care they need locally</w:t>
      </w:r>
      <w:r w:rsidR="00CE2404" w:rsidRPr="00B5087C">
        <w:rPr>
          <w:rFonts w:ascii="MetaPro-Norm" w:hAnsi="MetaPro-Norm" w:cstheme="minorHAnsi"/>
        </w:rPr>
        <w:t xml:space="preserve">, with </w:t>
      </w:r>
      <w:r w:rsidR="00306E78" w:rsidRPr="00B5087C">
        <w:rPr>
          <w:rFonts w:ascii="MetaPro-Norm" w:hAnsi="MetaPro-Norm" w:cstheme="minorHAnsi"/>
        </w:rPr>
        <w:t xml:space="preserve">potentially </w:t>
      </w:r>
      <w:r w:rsidR="00CE2404" w:rsidRPr="00B5087C">
        <w:rPr>
          <w:rFonts w:ascii="MetaPro-Norm" w:hAnsi="MetaPro-Norm" w:cstheme="minorHAnsi"/>
        </w:rPr>
        <w:t>lethal consequences</w:t>
      </w:r>
      <w:r w:rsidRPr="00B5087C">
        <w:rPr>
          <w:rFonts w:ascii="MetaPro-Norm" w:hAnsi="MetaPro-Norm" w:cstheme="minorHAnsi"/>
        </w:rPr>
        <w:t>.</w:t>
      </w:r>
      <w:r w:rsidRPr="00B5087C">
        <w:rPr>
          <w:rStyle w:val="FootnoteReference"/>
          <w:rFonts w:ascii="MetaPro-Norm" w:hAnsi="MetaPro-Norm" w:cstheme="minorHAnsi"/>
        </w:rPr>
        <w:footnoteReference w:id="23"/>
      </w:r>
      <w:r w:rsidR="00FB2937" w:rsidRPr="00B5087C">
        <w:rPr>
          <w:rFonts w:ascii="MetaPro-Norm" w:hAnsi="MetaPro-Norm" w:cstheme="minorHAnsi"/>
        </w:rPr>
        <w:t xml:space="preserve"> Breast cancer is among the most common cancer diagnoses for patients applying for permits to exit Gaza for chemotherapy and/or radiotherapy.</w:t>
      </w:r>
      <w:r w:rsidR="00FB2937" w:rsidRPr="00B5087C">
        <w:rPr>
          <w:rFonts w:ascii="MetaPro-Norm" w:hAnsi="MetaPro-Norm" w:cstheme="minorHAnsi"/>
          <w:vertAlign w:val="superscript"/>
        </w:rPr>
        <w:footnoteReference w:id="24"/>
      </w:r>
      <w:r w:rsidR="00FB2937" w:rsidRPr="00B5087C">
        <w:rPr>
          <w:rFonts w:ascii="MetaPro-Norm" w:hAnsi="MetaPro-Norm" w:cstheme="minorHAnsi"/>
        </w:rPr>
        <w:t xml:space="preserve"> Women with breast cancer need to leave Gaza to access radiotherapy and chemotherapy at West Bank hospitals or abroad. However, the procedure to get Israeli permission to access these care centers is characterized by frequent, arbitrary rejections and excessive delay.</w:t>
      </w:r>
      <w:r w:rsidR="00FB2937" w:rsidRPr="00B5087C">
        <w:rPr>
          <w:rFonts w:ascii="MetaPro-Norm" w:hAnsi="MetaPro-Norm" w:cstheme="minorHAnsi"/>
          <w:vertAlign w:val="superscript"/>
        </w:rPr>
        <w:footnoteReference w:id="25"/>
      </w:r>
      <w:r w:rsidR="00FB2937" w:rsidRPr="00B5087C">
        <w:rPr>
          <w:rFonts w:ascii="MetaPro-Norm" w:hAnsi="MetaPro-Norm" w:cstheme="minorHAnsi"/>
        </w:rPr>
        <w:t xml:space="preserve"> The World Health Organization reported that 839 Palestinians in </w:t>
      </w:r>
      <w:r w:rsidR="00FB2937" w:rsidRPr="00B5087C">
        <w:rPr>
          <w:rFonts w:ascii="MetaPro-Norm" w:hAnsi="MetaPro-Norm" w:cstheme="minorHAnsi"/>
        </w:rPr>
        <w:lastRenderedPageBreak/>
        <w:t>Gaza died between 2008 and 2021 while awaiting for a response to their permit requests.</w:t>
      </w:r>
      <w:r w:rsidR="00FB2937" w:rsidRPr="00B5087C">
        <w:rPr>
          <w:rFonts w:ascii="MetaPro-Norm" w:hAnsi="MetaPro-Norm" w:cstheme="minorHAnsi"/>
          <w:vertAlign w:val="superscript"/>
        </w:rPr>
        <w:footnoteReference w:id="26"/>
      </w:r>
      <w:r w:rsidR="00E17185" w:rsidRPr="00B5087C">
        <w:rPr>
          <w:rFonts w:ascii="MetaPro-Norm" w:hAnsi="MetaPro-Norm" w:cstheme="minorHAnsi"/>
        </w:rPr>
        <w:t xml:space="preserve"> One</w:t>
      </w:r>
      <w:r w:rsidR="00840407" w:rsidRPr="00B5087C">
        <w:rPr>
          <w:rFonts w:ascii="MetaPro-Norm" w:hAnsi="MetaPro-Norm" w:cstheme="minorHAnsi"/>
        </w:rPr>
        <w:t xml:space="preserve"> study found that limitations to patient access </w:t>
      </w:r>
      <w:r w:rsidR="00E17185" w:rsidRPr="00B5087C">
        <w:rPr>
          <w:rFonts w:ascii="MetaPro-Norm" w:hAnsi="MetaPro-Norm" w:cstheme="minorHAnsi"/>
        </w:rPr>
        <w:t xml:space="preserve">to health </w:t>
      </w:r>
      <w:r w:rsidR="00840407" w:rsidRPr="00B5087C">
        <w:rPr>
          <w:rFonts w:ascii="MetaPro-Norm" w:hAnsi="MetaPro-Norm" w:cstheme="minorHAnsi"/>
        </w:rPr>
        <w:t xml:space="preserve">due to unsuccessful applications for permits to exit the Gaza Strip </w:t>
      </w:r>
      <w:r w:rsidR="00E17185" w:rsidRPr="00B5087C">
        <w:rPr>
          <w:rFonts w:ascii="MetaPro-Norm" w:hAnsi="MetaPro-Norm" w:cstheme="minorHAnsi"/>
        </w:rPr>
        <w:t xml:space="preserve">between 2015 and 2017 </w:t>
      </w:r>
      <w:r w:rsidR="00840407" w:rsidRPr="00B5087C">
        <w:rPr>
          <w:rFonts w:ascii="MetaPro-Norm" w:hAnsi="MetaPro-Norm" w:cstheme="minorHAnsi"/>
        </w:rPr>
        <w:t>had a significant impact on mortality for cancer patients applying for chemotherapy and/or radiotherapy.</w:t>
      </w:r>
      <w:r w:rsidR="00840407" w:rsidRPr="00B5087C">
        <w:rPr>
          <w:rStyle w:val="FootnoteReference"/>
          <w:rFonts w:ascii="MetaPro-Norm" w:hAnsi="MetaPro-Norm" w:cstheme="minorHAnsi"/>
        </w:rPr>
        <w:footnoteReference w:id="27"/>
      </w:r>
      <w:r w:rsidR="00840407" w:rsidRPr="00B5087C">
        <w:rPr>
          <w:rFonts w:ascii="MetaPro-Norm" w:hAnsi="MetaPro-Norm" w:cstheme="minorHAnsi"/>
        </w:rPr>
        <w:t xml:space="preserve"> </w:t>
      </w:r>
    </w:p>
    <w:p w14:paraId="09C5EA3B" w14:textId="4C232508" w:rsidR="00E14765" w:rsidRPr="00B5087C" w:rsidRDefault="00E83D36" w:rsidP="00F56A7B">
      <w:pPr>
        <w:rPr>
          <w:rFonts w:ascii="MetaPro-Norm" w:hAnsi="MetaPro-Norm" w:cstheme="minorHAnsi"/>
        </w:rPr>
      </w:pPr>
      <w:r w:rsidRPr="00B5087C">
        <w:rPr>
          <w:rFonts w:ascii="MetaPro-Norm" w:hAnsi="MetaPro-Norm" w:cstheme="minorHAnsi"/>
        </w:rPr>
        <w:t xml:space="preserve">Israel’s </w:t>
      </w:r>
      <w:r w:rsidR="00D85135" w:rsidRPr="00B5087C">
        <w:rPr>
          <w:rFonts w:ascii="MetaPro-Norm" w:hAnsi="MetaPro-Norm" w:cstheme="minorHAnsi"/>
        </w:rPr>
        <w:t>movement restrictions have prevented professionals, artists, athletes, students, and others</w:t>
      </w:r>
      <w:r w:rsidR="00553F97" w:rsidRPr="00B5087C">
        <w:rPr>
          <w:rFonts w:ascii="MetaPro-Norm" w:hAnsi="MetaPro-Norm" w:cstheme="minorHAnsi"/>
        </w:rPr>
        <w:t xml:space="preserve"> in Gaza</w:t>
      </w:r>
      <w:r w:rsidR="004A683E" w:rsidRPr="00B5087C">
        <w:rPr>
          <w:rFonts w:ascii="MetaPro-Norm" w:hAnsi="MetaPro-Norm" w:cstheme="minorHAnsi"/>
        </w:rPr>
        <w:t>, both male and female,</w:t>
      </w:r>
      <w:r w:rsidR="00D85135" w:rsidRPr="00B5087C">
        <w:rPr>
          <w:rFonts w:ascii="MetaPro-Norm" w:hAnsi="MetaPro-Norm" w:cstheme="minorHAnsi"/>
        </w:rPr>
        <w:t xml:space="preserve"> from pursuing opportunities within Palestin</w:t>
      </w:r>
      <w:r w:rsidR="00F56A7B" w:rsidRPr="00B5087C">
        <w:rPr>
          <w:rFonts w:ascii="MetaPro-Norm" w:hAnsi="MetaPro-Norm" w:cstheme="minorHAnsi"/>
        </w:rPr>
        <w:t>e</w:t>
      </w:r>
      <w:r w:rsidR="00D85135" w:rsidRPr="00B5087C">
        <w:rPr>
          <w:rFonts w:ascii="MetaPro-Norm" w:hAnsi="MetaPro-Norm" w:cstheme="minorHAnsi"/>
        </w:rPr>
        <w:t xml:space="preserve"> and abroad restricting their rights to work and an education.</w:t>
      </w:r>
      <w:r w:rsidR="00D85135" w:rsidRPr="00B5087C">
        <w:rPr>
          <w:rStyle w:val="FootnoteReference"/>
          <w:rFonts w:ascii="MetaPro-Norm" w:hAnsi="MetaPro-Norm" w:cstheme="minorHAnsi"/>
        </w:rPr>
        <w:footnoteReference w:id="28"/>
      </w:r>
      <w:r w:rsidR="00310E39" w:rsidRPr="00B5087C">
        <w:rPr>
          <w:rFonts w:ascii="MetaPro-Norm" w:hAnsi="MetaPro-Norm" w:cstheme="minorHAnsi"/>
        </w:rPr>
        <w:t xml:space="preserve"> </w:t>
      </w:r>
      <w:r w:rsidR="00F56A7B" w:rsidRPr="00B5087C">
        <w:rPr>
          <w:rFonts w:ascii="MetaPro-Norm" w:hAnsi="MetaPro-Norm" w:cstheme="minorHAnsi"/>
        </w:rPr>
        <w:t xml:space="preserve">In particular, Israeli authorities regularly block Palestinians from Gaza from going to the West Bank or abroad </w:t>
      </w:r>
      <w:r w:rsidR="00310E39" w:rsidRPr="00B5087C">
        <w:rPr>
          <w:rFonts w:ascii="MetaPro-Norm" w:hAnsi="MetaPro-Norm" w:cstheme="minorHAnsi"/>
        </w:rPr>
        <w:t>to pursue vital opportunities for their advancement not available in Gaza.</w:t>
      </w:r>
      <w:r w:rsidR="00310E39" w:rsidRPr="00B5087C">
        <w:rPr>
          <w:rStyle w:val="FootnoteReference"/>
          <w:rFonts w:ascii="MetaPro-Norm" w:hAnsi="MetaPro-Norm" w:cstheme="minorHAnsi"/>
        </w:rPr>
        <w:footnoteReference w:id="29"/>
      </w:r>
      <w:r w:rsidR="00F56A7B" w:rsidRPr="00B5087C">
        <w:rPr>
          <w:rFonts w:ascii="MetaPro-Norm" w:hAnsi="MetaPro-Norm" w:cstheme="minorHAnsi"/>
        </w:rPr>
        <w:t xml:space="preserve"> </w:t>
      </w:r>
      <w:r w:rsidR="007A6EB0" w:rsidRPr="00B5087C">
        <w:rPr>
          <w:rFonts w:ascii="MetaPro-Norm" w:hAnsi="MetaPro-Norm" w:cstheme="minorHAnsi"/>
        </w:rPr>
        <w:t xml:space="preserve">Most women in Gaza work in </w:t>
      </w:r>
      <w:r w:rsidR="005A3F16" w:rsidRPr="00B5087C">
        <w:rPr>
          <w:rFonts w:ascii="MetaPro-Norm" w:hAnsi="MetaPro-Norm" w:cstheme="minorHAnsi"/>
        </w:rPr>
        <w:t xml:space="preserve">small </w:t>
      </w:r>
      <w:r w:rsidR="007A6EB0" w:rsidRPr="00B5087C">
        <w:rPr>
          <w:rFonts w:ascii="MetaPro-Norm" w:hAnsi="MetaPro-Norm" w:cstheme="minorHAnsi"/>
        </w:rPr>
        <w:t xml:space="preserve">businesses or in the public or non-profit sectors </w:t>
      </w:r>
      <w:r w:rsidR="005A3F16" w:rsidRPr="00B5087C">
        <w:rPr>
          <w:rFonts w:ascii="MetaPro-Norm" w:hAnsi="MetaPro-Norm" w:cstheme="minorHAnsi"/>
        </w:rPr>
        <w:t xml:space="preserve">and therefore </w:t>
      </w:r>
      <w:r w:rsidR="007A6EB0" w:rsidRPr="00B5087C">
        <w:rPr>
          <w:rFonts w:ascii="MetaPro-Norm" w:hAnsi="MetaPro-Norm" w:cstheme="minorHAnsi"/>
        </w:rPr>
        <w:t>do not meet Israel’s minimum requirements for businesspeople to exceptionally receive a permit, as Gisha has documented.</w:t>
      </w:r>
      <w:r w:rsidR="007A6EB0" w:rsidRPr="00B5087C">
        <w:rPr>
          <w:rStyle w:val="FootnoteReference"/>
          <w:rFonts w:ascii="MetaPro-Norm" w:hAnsi="MetaPro-Norm" w:cstheme="minorHAnsi"/>
        </w:rPr>
        <w:footnoteReference w:id="30"/>
      </w:r>
      <w:r w:rsidR="005A3F16" w:rsidRPr="00B5087C">
        <w:rPr>
          <w:rFonts w:ascii="MetaPro-Norm" w:hAnsi="MetaPro-Norm" w:cstheme="minorHAnsi"/>
        </w:rPr>
        <w:t xml:space="preserve"> As a result, f</w:t>
      </w:r>
      <w:r w:rsidR="009341CA" w:rsidRPr="00B5087C">
        <w:rPr>
          <w:rFonts w:ascii="MetaPro-Norm" w:hAnsi="MetaPro-Norm" w:cstheme="minorHAnsi"/>
        </w:rPr>
        <w:t>ewer women than men are able to obtain permits to leave Gaza that Israel reserves for people engaged in trade.</w:t>
      </w:r>
      <w:r w:rsidR="009341CA" w:rsidRPr="00B5087C">
        <w:rPr>
          <w:rStyle w:val="FootnoteReference"/>
          <w:rFonts w:ascii="MetaPro-Norm" w:hAnsi="MetaPro-Norm" w:cstheme="minorHAnsi"/>
        </w:rPr>
        <w:footnoteReference w:id="31"/>
      </w:r>
      <w:r w:rsidR="009341CA" w:rsidRPr="00B5087C">
        <w:rPr>
          <w:rFonts w:ascii="MetaPro-Norm" w:hAnsi="MetaPro-Norm" w:cstheme="minorHAnsi"/>
        </w:rPr>
        <w:t xml:space="preserve"> </w:t>
      </w:r>
      <w:r w:rsidR="009341CA" w:rsidRPr="00B5087C">
        <w:rPr>
          <w:rFonts w:ascii="MetaPro-Norm" w:hAnsi="MetaPro-Norm"/>
        </w:rPr>
        <w:t xml:space="preserve">Working women in Gaza face obstacles </w:t>
      </w:r>
      <w:r w:rsidR="00306E78" w:rsidRPr="00B5087C">
        <w:rPr>
          <w:rFonts w:ascii="MetaPro-Norm" w:hAnsi="MetaPro-Norm"/>
        </w:rPr>
        <w:t xml:space="preserve">when they wish to </w:t>
      </w:r>
      <w:r w:rsidR="009341CA" w:rsidRPr="00B5087C">
        <w:rPr>
          <w:rFonts w:ascii="MetaPro-Norm" w:hAnsi="MetaPro-Norm"/>
        </w:rPr>
        <w:t xml:space="preserve">access training programs </w:t>
      </w:r>
      <w:r w:rsidR="00306E78" w:rsidRPr="00B5087C">
        <w:rPr>
          <w:rFonts w:ascii="MetaPro-Norm" w:hAnsi="MetaPro-Norm"/>
        </w:rPr>
        <w:t xml:space="preserve">or promote their businesses in the West Bank or </w:t>
      </w:r>
      <w:r w:rsidR="009341CA" w:rsidRPr="00B5087C">
        <w:rPr>
          <w:rFonts w:ascii="MetaPro-Norm" w:hAnsi="MetaPro-Norm"/>
        </w:rPr>
        <w:t>abroad</w:t>
      </w:r>
      <w:r w:rsidR="00306E78" w:rsidRPr="00B5087C">
        <w:rPr>
          <w:rFonts w:ascii="MetaPro-Norm" w:hAnsi="MetaPro-Norm"/>
        </w:rPr>
        <w:t>,</w:t>
      </w:r>
      <w:r w:rsidR="009341CA" w:rsidRPr="00B5087C">
        <w:rPr>
          <w:rStyle w:val="FootnoteReference"/>
          <w:rFonts w:ascii="MetaPro-Norm" w:hAnsi="MetaPro-Norm"/>
        </w:rPr>
        <w:footnoteReference w:id="32"/>
      </w:r>
      <w:r w:rsidR="009341CA" w:rsidRPr="00B5087C">
        <w:rPr>
          <w:rFonts w:ascii="MetaPro-Norm" w:hAnsi="MetaPro-Norm"/>
        </w:rPr>
        <w:t xml:space="preserve"> which stymies the development of small businesses and impede</w:t>
      </w:r>
      <w:r w:rsidR="00306E78" w:rsidRPr="00B5087C">
        <w:rPr>
          <w:rFonts w:ascii="MetaPro-Norm" w:hAnsi="MetaPro-Norm"/>
        </w:rPr>
        <w:t>s</w:t>
      </w:r>
      <w:r w:rsidR="009341CA" w:rsidRPr="00B5087C">
        <w:rPr>
          <w:rFonts w:ascii="MetaPro-Norm" w:hAnsi="MetaPro-Norm"/>
        </w:rPr>
        <w:t xml:space="preserve"> networking.</w:t>
      </w:r>
      <w:r w:rsidR="009341CA" w:rsidRPr="00B5087C">
        <w:rPr>
          <w:rStyle w:val="FootnoteReference"/>
          <w:rFonts w:ascii="MetaPro-Norm" w:hAnsi="MetaPro-Norm"/>
        </w:rPr>
        <w:footnoteReference w:id="33"/>
      </w:r>
      <w:r w:rsidR="00992ED4" w:rsidRPr="00B5087C">
        <w:rPr>
          <w:rFonts w:ascii="MetaPro-Norm" w:hAnsi="MetaPro-Norm"/>
        </w:rPr>
        <w:t xml:space="preserve"> </w:t>
      </w:r>
    </w:p>
    <w:p w14:paraId="35B1F1E7" w14:textId="5726D565" w:rsidR="007820BF" w:rsidRPr="00B5087C" w:rsidRDefault="006840E9" w:rsidP="00435BD1">
      <w:pPr>
        <w:rPr>
          <w:rFonts w:ascii="MetaPro-Norm" w:hAnsi="MetaPro-Norm"/>
        </w:rPr>
      </w:pPr>
      <w:r w:rsidRPr="00B5087C">
        <w:rPr>
          <w:rFonts w:ascii="MetaPro-Norm" w:hAnsi="MetaPro-Norm"/>
        </w:rPr>
        <w:t>Israeli authorities have also</w:t>
      </w:r>
      <w:r w:rsidR="00E14765" w:rsidRPr="00B5087C">
        <w:rPr>
          <w:rFonts w:ascii="MetaPro-Norm" w:hAnsi="MetaPro-Norm"/>
        </w:rPr>
        <w:t xml:space="preserve"> for more than 16 years</w:t>
      </w:r>
      <w:r w:rsidRPr="00B5087C">
        <w:rPr>
          <w:rFonts w:ascii="MetaPro-Norm" w:hAnsi="MetaPro-Norm"/>
        </w:rPr>
        <w:t xml:space="preserve"> sweepingly restricted the entry and exit of goods</w:t>
      </w:r>
      <w:r w:rsidR="00E14765" w:rsidRPr="00B5087C">
        <w:rPr>
          <w:rFonts w:ascii="MetaPro-Norm" w:hAnsi="MetaPro-Norm"/>
        </w:rPr>
        <w:t xml:space="preserve"> to Gaza</w:t>
      </w:r>
      <w:r w:rsidRPr="00B5087C">
        <w:rPr>
          <w:rFonts w:ascii="MetaPro-Norm" w:hAnsi="MetaPro-Norm"/>
        </w:rPr>
        <w:t xml:space="preserve">, which has curbed access to </w:t>
      </w:r>
      <w:r w:rsidR="00E14765" w:rsidRPr="00B5087C">
        <w:rPr>
          <w:rFonts w:ascii="MetaPro-Norm" w:hAnsi="MetaPro-Norm"/>
        </w:rPr>
        <w:t xml:space="preserve">basic services like </w:t>
      </w:r>
      <w:r w:rsidRPr="00B5087C">
        <w:rPr>
          <w:rFonts w:ascii="MetaPro-Norm" w:hAnsi="MetaPro-Norm"/>
        </w:rPr>
        <w:t>electricity</w:t>
      </w:r>
      <w:r w:rsidR="00F4156B" w:rsidRPr="00B5087C">
        <w:rPr>
          <w:rFonts w:ascii="MetaPro-Norm" w:hAnsi="MetaPro-Norm"/>
        </w:rPr>
        <w:t>, as Human Rights Watch has documented</w:t>
      </w:r>
      <w:r w:rsidRPr="00B5087C">
        <w:rPr>
          <w:rFonts w:ascii="MetaPro-Norm" w:hAnsi="MetaPro-Norm"/>
        </w:rPr>
        <w:t>.</w:t>
      </w:r>
      <w:r w:rsidR="00F4156B" w:rsidRPr="00B5087C">
        <w:rPr>
          <w:rStyle w:val="FootnoteReference"/>
          <w:rFonts w:ascii="MetaPro-Norm" w:hAnsi="MetaPro-Norm"/>
        </w:rPr>
        <w:footnoteReference w:id="34"/>
      </w:r>
      <w:r w:rsidR="009D2571" w:rsidRPr="00B5087C">
        <w:rPr>
          <w:rFonts w:ascii="MetaPro-Norm" w:hAnsi="MetaPro-Norm"/>
        </w:rPr>
        <w:t xml:space="preserve"> </w:t>
      </w:r>
      <w:r w:rsidR="00FA507C" w:rsidRPr="00B5087C">
        <w:rPr>
          <w:rFonts w:ascii="MetaPro-Norm" w:hAnsi="MetaPro-Norm"/>
        </w:rPr>
        <w:t>Chronic power outages</w:t>
      </w:r>
      <w:r w:rsidR="00E14765" w:rsidRPr="00B5087C">
        <w:rPr>
          <w:rFonts w:ascii="MetaPro-Norm" w:hAnsi="MetaPro-Norm"/>
        </w:rPr>
        <w:t xml:space="preserve"> often lasting for more than half the day</w:t>
      </w:r>
      <w:r w:rsidR="00FA507C" w:rsidRPr="00B5087C">
        <w:rPr>
          <w:rFonts w:ascii="MetaPro-Norm" w:hAnsi="MetaPro-Norm"/>
        </w:rPr>
        <w:t xml:space="preserve">, in part stemming from the Israeli closure, </w:t>
      </w:r>
      <w:r w:rsidR="005E40DC" w:rsidRPr="00B5087C">
        <w:rPr>
          <w:rFonts w:ascii="MetaPro-Norm" w:hAnsi="MetaPro-Norm"/>
        </w:rPr>
        <w:t>encumber many aspects of everyday life, from heating and cooling and sewage treatment to health care and business</w:t>
      </w:r>
      <w:r w:rsidR="008A0B52" w:rsidRPr="00B5087C">
        <w:rPr>
          <w:rFonts w:ascii="MetaPro-Norm" w:hAnsi="MetaPro-Norm"/>
        </w:rPr>
        <w:t>. They affect the right of women (</w:t>
      </w:r>
      <w:r w:rsidR="008A0B52" w:rsidRPr="00B5087C">
        <w:rPr>
          <w:rFonts w:ascii="MetaPro-Norm" w:hAnsi="MetaPro-Norm" w:cstheme="minorHAnsi"/>
        </w:rPr>
        <w:t xml:space="preserve">as well as men) to enjoy adequate living conditions, in particular for people with disabilities who rely on light to communicate using sign language or </w:t>
      </w:r>
      <w:r w:rsidR="008A0B52" w:rsidRPr="00B5087C">
        <w:rPr>
          <w:rFonts w:ascii="MetaPro-Norm" w:hAnsi="MetaPro-Norm" w:cstheme="minorHAnsi"/>
        </w:rPr>
        <w:lastRenderedPageBreak/>
        <w:t>equipment powered by electricity, such as elevators or electric wheelchairs, to move.</w:t>
      </w:r>
      <w:r w:rsidR="008A0B52" w:rsidRPr="00B5087C">
        <w:rPr>
          <w:rStyle w:val="FootnoteReference"/>
          <w:rFonts w:ascii="MetaPro-Norm" w:hAnsi="MetaPro-Norm" w:cstheme="minorHAnsi"/>
        </w:rPr>
        <w:footnoteReference w:id="35"/>
      </w:r>
      <w:r w:rsidR="00435BD1" w:rsidRPr="00B5087C">
        <w:rPr>
          <w:rFonts w:ascii="MetaPro-Norm" w:hAnsi="MetaPro-Norm"/>
        </w:rPr>
        <w:t xml:space="preserve"> </w:t>
      </w:r>
      <w:r w:rsidR="00B6220C" w:rsidRPr="00B5087C">
        <w:rPr>
          <w:rFonts w:ascii="MetaPro-Norm" w:hAnsi="MetaPro-Norm"/>
        </w:rPr>
        <w:t>They wreak havoc on home life, making everyday tasks like keeping food fresh, doing laundry and cleaning a struggle, with particularly pronounced consequences for women on whom these tasks often fall.</w:t>
      </w:r>
      <w:r w:rsidR="006C3DE9" w:rsidRPr="00B5087C">
        <w:rPr>
          <w:rStyle w:val="FootnoteReference"/>
          <w:rFonts w:ascii="MetaPro-Norm" w:hAnsi="MetaPro-Norm" w:cstheme="minorHAnsi"/>
        </w:rPr>
        <w:footnoteReference w:id="36"/>
      </w:r>
    </w:p>
    <w:p w14:paraId="30C2689B" w14:textId="19A39D8E" w:rsidR="004442FF" w:rsidRPr="00B5087C" w:rsidRDefault="00BA0C92" w:rsidP="000F76D1">
      <w:pPr>
        <w:rPr>
          <w:rFonts w:ascii="MetaPro-Norm" w:hAnsi="MetaPro-Norm"/>
        </w:rPr>
      </w:pPr>
      <w:r w:rsidRPr="00B5087C">
        <w:rPr>
          <w:rFonts w:ascii="MetaPro-Norm" w:hAnsi="MetaPro-Norm"/>
        </w:rPr>
        <w:t>Israel’s closure policy, exacerbated by Egyptian restrictions, has devastated the economy in Gaza. About 80 percent of Gaza’s 2.1 million residents rely on humanitarian aid, according to the United Nations.</w:t>
      </w:r>
      <w:r w:rsidR="00756609" w:rsidRPr="00B5087C">
        <w:rPr>
          <w:rStyle w:val="FootnoteReference"/>
          <w:rFonts w:ascii="MetaPro-Norm" w:hAnsi="MetaPro-Norm" w:cstheme="minorHAnsi"/>
        </w:rPr>
        <w:footnoteReference w:id="37"/>
      </w:r>
      <w:r w:rsidR="000F76D1" w:rsidRPr="00B5087C">
        <w:rPr>
          <w:rFonts w:ascii="MetaPro-Norm" w:hAnsi="MetaPro-Norm"/>
        </w:rPr>
        <w:t xml:space="preserve"> Unemployment in Gaza stood at 45.3% in Gaza—67.4 percent for females—according to</w:t>
      </w:r>
      <w:r w:rsidR="000D7FEE" w:rsidRPr="00B5087C">
        <w:rPr>
          <w:rFonts w:ascii="MetaPro-Norm" w:hAnsi="MetaPro-Norm" w:cstheme="minorHAnsi"/>
        </w:rPr>
        <w:t xml:space="preserve"> the Palestinian Central Bureau of Statistics (PCBS)</w:t>
      </w:r>
      <w:r w:rsidR="004638A2" w:rsidRPr="00B5087C">
        <w:rPr>
          <w:rFonts w:ascii="MetaPro-Norm" w:hAnsi="MetaPro-Norm" w:cstheme="minorHAnsi"/>
        </w:rPr>
        <w:t xml:space="preserve"> </w:t>
      </w:r>
      <w:r w:rsidR="00AC5F08" w:rsidRPr="00B5087C">
        <w:rPr>
          <w:rFonts w:ascii="MetaPro-Norm" w:hAnsi="MetaPro-Norm" w:cstheme="minorHAnsi"/>
        </w:rPr>
        <w:t xml:space="preserve">2022 </w:t>
      </w:r>
      <w:r w:rsidR="00312987" w:rsidRPr="00B5087C">
        <w:rPr>
          <w:rFonts w:ascii="MetaPro-Norm" w:hAnsi="MetaPro-Norm" w:cstheme="minorHAnsi"/>
        </w:rPr>
        <w:t xml:space="preserve">annual </w:t>
      </w:r>
      <w:r w:rsidR="00AC5F08" w:rsidRPr="00B5087C">
        <w:rPr>
          <w:rFonts w:ascii="MetaPro-Norm" w:hAnsi="MetaPro-Norm" w:cstheme="minorHAnsi"/>
        </w:rPr>
        <w:t xml:space="preserve">labor force </w:t>
      </w:r>
      <w:r w:rsidR="00312987" w:rsidRPr="00B5087C">
        <w:rPr>
          <w:rFonts w:ascii="MetaPro-Norm" w:hAnsi="MetaPro-Norm" w:cstheme="minorHAnsi"/>
        </w:rPr>
        <w:t xml:space="preserve">survey </w:t>
      </w:r>
      <w:r w:rsidR="00AC5F08" w:rsidRPr="00B5087C">
        <w:rPr>
          <w:rFonts w:ascii="MetaPro-Norm" w:hAnsi="MetaPro-Norm" w:cstheme="minorHAnsi"/>
        </w:rPr>
        <w:t>report.</w:t>
      </w:r>
      <w:r w:rsidR="001A7E4B" w:rsidRPr="00B5087C">
        <w:rPr>
          <w:rStyle w:val="FootnoteReference"/>
          <w:rFonts w:ascii="MetaPro-Norm" w:hAnsi="MetaPro-Norm" w:cstheme="minorHAnsi"/>
        </w:rPr>
        <w:footnoteReference w:id="38"/>
      </w:r>
      <w:r w:rsidR="00947A39" w:rsidRPr="00B5087C">
        <w:rPr>
          <w:rFonts w:ascii="MetaPro-Norm" w:hAnsi="MetaPro-Norm" w:cstheme="minorHAnsi"/>
        </w:rPr>
        <w:t xml:space="preserve"> </w:t>
      </w:r>
    </w:p>
    <w:p w14:paraId="583E24E4" w14:textId="361F62CE" w:rsidR="003D0F8E" w:rsidRPr="00B5087C" w:rsidRDefault="003D0F8E" w:rsidP="003D0F8E">
      <w:pPr>
        <w:rPr>
          <w:rFonts w:ascii="MetaPro-Norm" w:eastAsia="Times New Roman" w:hAnsi="MetaPro-Norm"/>
          <w:b/>
          <w:bCs/>
          <w:i/>
          <w:u w:val="single"/>
        </w:rPr>
      </w:pPr>
      <w:r w:rsidRPr="00B5087C">
        <w:rPr>
          <w:rFonts w:ascii="MetaPro-Norm" w:eastAsia="Times New Roman" w:hAnsi="MetaPro-Norm"/>
          <w:b/>
          <w:bCs/>
          <w:i/>
          <w:u w:val="single"/>
        </w:rPr>
        <w:t>In the upcoming adoption of list of issues on the state of Israel, Human Rights Watch urges the Committee to question the Israeli authorities, as the occupying power, regarding the steps it has taken to implement articles 3, 12 and 14, including:</w:t>
      </w:r>
    </w:p>
    <w:p w14:paraId="11C6FE10" w14:textId="77777777" w:rsidR="004442FF" w:rsidRPr="00B5087C" w:rsidRDefault="004442FF" w:rsidP="004442FF">
      <w:pPr>
        <w:pStyle w:val="paragraph"/>
        <w:spacing w:before="0" w:beforeAutospacing="0" w:after="0" w:afterAutospacing="0"/>
        <w:ind w:left="720"/>
        <w:textAlignment w:val="baseline"/>
        <w:rPr>
          <w:rStyle w:val="eop"/>
          <w:rFonts w:ascii="MetaPro-Norm" w:hAnsi="MetaPro-Norm"/>
          <w:sz w:val="22"/>
          <w:szCs w:val="22"/>
        </w:rPr>
      </w:pPr>
    </w:p>
    <w:p w14:paraId="5D41A500" w14:textId="7A04AAB1" w:rsidR="006B0B33" w:rsidRPr="00B5087C" w:rsidRDefault="006B0B33" w:rsidP="006B0B33">
      <w:pPr>
        <w:pStyle w:val="paragraph"/>
        <w:numPr>
          <w:ilvl w:val="0"/>
          <w:numId w:val="8"/>
        </w:numPr>
        <w:spacing w:before="0" w:beforeAutospacing="0" w:after="0" w:afterAutospacing="0"/>
        <w:textAlignment w:val="baseline"/>
        <w:rPr>
          <w:rStyle w:val="normaltextrun"/>
          <w:rFonts w:ascii="MetaPro-Norm" w:hAnsi="MetaPro-Norm" w:cstheme="minorHAnsi"/>
          <w:sz w:val="22"/>
          <w:szCs w:val="22"/>
        </w:rPr>
      </w:pPr>
      <w:r w:rsidRPr="00B5087C">
        <w:rPr>
          <w:rStyle w:val="normaltextrun"/>
          <w:rFonts w:ascii="MetaPro-Norm" w:hAnsi="MetaPro-Norm" w:cstheme="minorHAnsi"/>
          <w:sz w:val="22"/>
          <w:szCs w:val="22"/>
        </w:rPr>
        <w:t xml:space="preserve">Why do Israeli authorities significantly restrict travel for Palestinians </w:t>
      </w:r>
      <w:r w:rsidR="006E5A04" w:rsidRPr="00B5087C">
        <w:rPr>
          <w:rStyle w:val="normaltextrun"/>
          <w:rFonts w:ascii="MetaPro-Norm" w:hAnsi="MetaPro-Norm" w:cstheme="minorHAnsi"/>
          <w:sz w:val="22"/>
          <w:szCs w:val="22"/>
        </w:rPr>
        <w:t>out of Gaza, including to the West Bank</w:t>
      </w:r>
      <w:r w:rsidRPr="00B5087C">
        <w:rPr>
          <w:rStyle w:val="normaltextrun"/>
          <w:rFonts w:ascii="MetaPro-Norm" w:hAnsi="MetaPro-Norm" w:cstheme="minorHAnsi"/>
          <w:sz w:val="22"/>
          <w:szCs w:val="22"/>
        </w:rPr>
        <w:t>? Does the government maintain a policy of separating Gaza and the West Bank? If this policy is motivated by security considerations, please explain how the government balances this consideration against the right of Palestinian women to freedom of movement.</w:t>
      </w:r>
    </w:p>
    <w:p w14:paraId="066813FB" w14:textId="77777777" w:rsidR="006B0B33" w:rsidRPr="00B5087C" w:rsidRDefault="006B0B33" w:rsidP="006B0B33">
      <w:pPr>
        <w:pStyle w:val="paragraph"/>
        <w:spacing w:before="0" w:beforeAutospacing="0" w:after="0" w:afterAutospacing="0"/>
        <w:ind w:left="720"/>
        <w:textAlignment w:val="baseline"/>
        <w:rPr>
          <w:rFonts w:ascii="MetaPro-Norm" w:hAnsi="MetaPro-Norm" w:cstheme="minorHAnsi"/>
          <w:sz w:val="22"/>
          <w:szCs w:val="22"/>
        </w:rPr>
      </w:pPr>
    </w:p>
    <w:p w14:paraId="12D0376A" w14:textId="30F9C39E" w:rsidR="005920BD" w:rsidRPr="00B5087C" w:rsidRDefault="004442FF" w:rsidP="00F17CBE">
      <w:pPr>
        <w:pStyle w:val="ListParagraph"/>
        <w:numPr>
          <w:ilvl w:val="0"/>
          <w:numId w:val="8"/>
        </w:numPr>
        <w:spacing w:after="0" w:line="264" w:lineRule="auto"/>
        <w:rPr>
          <w:rFonts w:ascii="MetaPro-Norm" w:hAnsi="MetaPro-Norm" w:cstheme="minorHAnsi"/>
          <w:shd w:val="clear" w:color="auto" w:fill="FFFFFF"/>
        </w:rPr>
      </w:pPr>
      <w:r w:rsidRPr="00B5087C">
        <w:rPr>
          <w:rFonts w:ascii="MetaPro-Norm" w:hAnsi="MetaPro-Norm" w:cstheme="minorHAnsi"/>
          <w:shd w:val="clear" w:color="auto" w:fill="FFFFFF"/>
        </w:rPr>
        <w:t xml:space="preserve">What steps the Israeli authorities have taken to ensure that Palestinian women in Gaza can access professional and educational opportunities, as well as </w:t>
      </w:r>
      <w:r w:rsidR="00745FC5" w:rsidRPr="00B5087C">
        <w:rPr>
          <w:rFonts w:ascii="MetaPro-Norm" w:hAnsi="MetaPro-Norm" w:cstheme="minorHAnsi"/>
          <w:shd w:val="clear" w:color="auto" w:fill="FFFFFF"/>
        </w:rPr>
        <w:t xml:space="preserve">necessary medical treatment in the West Bank? </w:t>
      </w:r>
    </w:p>
    <w:p w14:paraId="6F93DA36" w14:textId="77777777" w:rsidR="00272129" w:rsidRPr="00B5087C" w:rsidRDefault="00272129" w:rsidP="004442FF">
      <w:pPr>
        <w:rPr>
          <w:rFonts w:ascii="MetaPro-Norm" w:hAnsi="MetaPro-Norm" w:cstheme="minorHAnsi"/>
          <w:b/>
          <w:bCs/>
          <w:shd w:val="clear" w:color="auto" w:fill="FFFFFF"/>
        </w:rPr>
      </w:pPr>
    </w:p>
    <w:p w14:paraId="5693217F" w14:textId="3C67A78F" w:rsidR="004725F0" w:rsidRPr="00B5087C" w:rsidRDefault="00807F9B" w:rsidP="004442FF">
      <w:pPr>
        <w:rPr>
          <w:rFonts w:ascii="MetaPro-Norm" w:hAnsi="MetaPro-Norm" w:cstheme="minorHAnsi"/>
          <w:b/>
          <w:bCs/>
          <w:i/>
          <w:iCs/>
        </w:rPr>
      </w:pPr>
      <w:r w:rsidRPr="00B5087C">
        <w:rPr>
          <w:rFonts w:ascii="MetaPro-Norm" w:hAnsi="MetaPro-Norm" w:cstheme="minorHAnsi"/>
          <w:b/>
          <w:bCs/>
          <w:shd w:val="clear" w:color="auto" w:fill="FFFFFF"/>
        </w:rPr>
        <w:t>D</w:t>
      </w:r>
      <w:r w:rsidR="00A42D17" w:rsidRPr="00B5087C">
        <w:rPr>
          <w:rFonts w:ascii="MetaPro-Norm" w:hAnsi="MetaPro-Norm" w:cstheme="minorHAnsi"/>
          <w:b/>
          <w:bCs/>
          <w:shd w:val="clear" w:color="auto" w:fill="FFFFFF"/>
        </w:rPr>
        <w:t xml:space="preserve">iscriminatory </w:t>
      </w:r>
      <w:r w:rsidRPr="00B5087C">
        <w:rPr>
          <w:rFonts w:ascii="MetaPro-Norm" w:hAnsi="MetaPro-Norm" w:cstheme="minorHAnsi"/>
          <w:b/>
          <w:bCs/>
          <w:shd w:val="clear" w:color="auto" w:fill="FFFFFF"/>
        </w:rPr>
        <w:t>C</w:t>
      </w:r>
      <w:r w:rsidR="00A42D17" w:rsidRPr="00B5087C">
        <w:rPr>
          <w:rFonts w:ascii="MetaPro-Norm" w:hAnsi="MetaPro-Norm" w:cstheme="minorHAnsi"/>
          <w:b/>
          <w:bCs/>
          <w:shd w:val="clear" w:color="auto" w:fill="FFFFFF"/>
        </w:rPr>
        <w:t xml:space="preserve">itizenship </w:t>
      </w:r>
      <w:r w:rsidRPr="00B5087C">
        <w:rPr>
          <w:rFonts w:ascii="MetaPro-Norm" w:hAnsi="MetaPro-Norm" w:cstheme="minorHAnsi"/>
          <w:b/>
          <w:bCs/>
          <w:shd w:val="clear" w:color="auto" w:fill="FFFFFF"/>
        </w:rPr>
        <w:t>E</w:t>
      </w:r>
      <w:r w:rsidR="00A42D17" w:rsidRPr="00B5087C">
        <w:rPr>
          <w:rFonts w:ascii="MetaPro-Norm" w:hAnsi="MetaPro-Norm" w:cstheme="minorHAnsi"/>
          <w:b/>
          <w:bCs/>
          <w:shd w:val="clear" w:color="auto" w:fill="FFFFFF"/>
        </w:rPr>
        <w:t xml:space="preserve">ntry into Israel law </w:t>
      </w:r>
      <w:r w:rsidRPr="00B5087C">
        <w:rPr>
          <w:rFonts w:ascii="MetaPro-Norm" w:hAnsi="MetaPro-Norm" w:cstheme="minorHAnsi"/>
          <w:b/>
          <w:bCs/>
          <w:shd w:val="clear" w:color="auto" w:fill="FFFFFF"/>
        </w:rPr>
        <w:t>R</w:t>
      </w:r>
      <w:r w:rsidR="00A42D17" w:rsidRPr="00B5087C">
        <w:rPr>
          <w:rFonts w:ascii="MetaPro-Norm" w:hAnsi="MetaPro-Norm" w:cstheme="minorHAnsi"/>
          <w:b/>
          <w:bCs/>
          <w:shd w:val="clear" w:color="auto" w:fill="FFFFFF"/>
        </w:rPr>
        <w:t xml:space="preserve">eferences with </w:t>
      </w:r>
      <w:r w:rsidRPr="00B5087C">
        <w:rPr>
          <w:rFonts w:ascii="MetaPro-Norm" w:hAnsi="MetaPro-Norm" w:cstheme="minorHAnsi"/>
          <w:b/>
          <w:bCs/>
          <w:shd w:val="clear" w:color="auto" w:fill="FFFFFF"/>
        </w:rPr>
        <w:t>F</w:t>
      </w:r>
      <w:r w:rsidR="00A42D17" w:rsidRPr="00B5087C">
        <w:rPr>
          <w:rFonts w:ascii="MetaPro-Norm" w:hAnsi="MetaPro-Norm" w:cstheme="minorHAnsi"/>
          <w:b/>
          <w:bCs/>
          <w:shd w:val="clear" w:color="auto" w:fill="FFFFFF"/>
        </w:rPr>
        <w:t xml:space="preserve">amily life, </w:t>
      </w:r>
      <w:r w:rsidRPr="00B5087C">
        <w:rPr>
          <w:rFonts w:ascii="MetaPro-Norm" w:hAnsi="MetaPro-Norm" w:cstheme="minorHAnsi"/>
          <w:b/>
          <w:bCs/>
          <w:shd w:val="clear" w:color="auto" w:fill="FFFFFF"/>
        </w:rPr>
        <w:t>C</w:t>
      </w:r>
      <w:r w:rsidR="00A42D17" w:rsidRPr="00B5087C">
        <w:rPr>
          <w:rFonts w:ascii="MetaPro-Norm" w:hAnsi="MetaPro-Norm" w:cstheme="minorHAnsi"/>
          <w:b/>
          <w:bCs/>
          <w:shd w:val="clear" w:color="auto" w:fill="FFFFFF"/>
        </w:rPr>
        <w:t xml:space="preserve">onstraints </w:t>
      </w:r>
      <w:r w:rsidRPr="00B5087C">
        <w:rPr>
          <w:rFonts w:ascii="MetaPro-Norm" w:hAnsi="MetaPro-Norm" w:cstheme="minorHAnsi"/>
          <w:b/>
          <w:bCs/>
          <w:shd w:val="clear" w:color="auto" w:fill="FFFFFF"/>
        </w:rPr>
        <w:t>P</w:t>
      </w:r>
      <w:r w:rsidR="00A42D17" w:rsidRPr="00B5087C">
        <w:rPr>
          <w:rFonts w:ascii="MetaPro-Norm" w:hAnsi="MetaPro-Norm" w:cstheme="minorHAnsi"/>
          <w:b/>
          <w:bCs/>
          <w:shd w:val="clear" w:color="auto" w:fill="FFFFFF"/>
        </w:rPr>
        <w:t xml:space="preserve">rofessional </w:t>
      </w:r>
      <w:r w:rsidRPr="00B5087C">
        <w:rPr>
          <w:rFonts w:ascii="MetaPro-Norm" w:hAnsi="MetaPro-Norm" w:cstheme="minorHAnsi"/>
          <w:b/>
          <w:bCs/>
          <w:shd w:val="clear" w:color="auto" w:fill="FFFFFF"/>
        </w:rPr>
        <w:t>D</w:t>
      </w:r>
      <w:r w:rsidR="00A42D17" w:rsidRPr="00B5087C">
        <w:rPr>
          <w:rFonts w:ascii="MetaPro-Norm" w:hAnsi="MetaPro-Norm" w:cstheme="minorHAnsi"/>
          <w:b/>
          <w:bCs/>
          <w:shd w:val="clear" w:color="auto" w:fill="FFFFFF"/>
        </w:rPr>
        <w:t xml:space="preserve">evelopment for </w:t>
      </w:r>
      <w:r w:rsidRPr="00B5087C">
        <w:rPr>
          <w:rFonts w:ascii="MetaPro-Norm" w:hAnsi="MetaPro-Norm" w:cstheme="minorHAnsi"/>
          <w:b/>
          <w:bCs/>
          <w:shd w:val="clear" w:color="auto" w:fill="FFFFFF"/>
        </w:rPr>
        <w:t>W</w:t>
      </w:r>
      <w:r w:rsidR="00A42D17" w:rsidRPr="00B5087C">
        <w:rPr>
          <w:rFonts w:ascii="MetaPro-Norm" w:hAnsi="MetaPro-Norm" w:cstheme="minorHAnsi"/>
          <w:b/>
          <w:bCs/>
          <w:shd w:val="clear" w:color="auto" w:fill="FFFFFF"/>
        </w:rPr>
        <w:t xml:space="preserve">omen </w:t>
      </w:r>
      <w:r w:rsidR="00A42D17" w:rsidRPr="00B5087C">
        <w:rPr>
          <w:rFonts w:ascii="MetaPro-Norm" w:hAnsi="MetaPro-Norm" w:cstheme="minorHAnsi"/>
          <w:b/>
          <w:bCs/>
          <w:i/>
          <w:iCs/>
        </w:rPr>
        <w:t>(articles 3, 9,11,16)</w:t>
      </w:r>
      <w:r w:rsidR="004442FF" w:rsidRPr="00B5087C">
        <w:rPr>
          <w:rFonts w:ascii="MetaPro-Norm" w:hAnsi="MetaPro-Norm" w:cstheme="minorHAnsi"/>
          <w:b/>
          <w:bCs/>
          <w:i/>
          <w:iCs/>
        </w:rPr>
        <w:t>.</w:t>
      </w:r>
    </w:p>
    <w:p w14:paraId="6578D874" w14:textId="54275F6C" w:rsidR="004725F0" w:rsidRPr="00B5087C" w:rsidRDefault="00272129" w:rsidP="00C715B6">
      <w:pPr>
        <w:pStyle w:val="NormalWeb"/>
        <w:shd w:val="clear" w:color="auto" w:fill="FFFFFF"/>
        <w:rPr>
          <w:rFonts w:ascii="MetaPro-Norm" w:hAnsi="MetaPro-Norm" w:cstheme="minorHAnsi"/>
          <w:sz w:val="22"/>
          <w:szCs w:val="22"/>
          <w:shd w:val="clear" w:color="auto" w:fill="FFFFFF"/>
        </w:rPr>
      </w:pPr>
      <w:r w:rsidRPr="00B5087C">
        <w:rPr>
          <w:rFonts w:ascii="MetaPro-Norm" w:hAnsi="MetaPro-Norm" w:cstheme="minorHAnsi"/>
          <w:sz w:val="22"/>
          <w:szCs w:val="22"/>
        </w:rPr>
        <w:lastRenderedPageBreak/>
        <w:t xml:space="preserve">Israeli authorities </w:t>
      </w:r>
      <w:r w:rsidR="00A5114E" w:rsidRPr="00B5087C">
        <w:rPr>
          <w:rFonts w:ascii="MetaPro-Norm" w:hAnsi="MetaPro-Norm" w:cstheme="minorHAnsi"/>
          <w:sz w:val="22"/>
          <w:szCs w:val="22"/>
        </w:rPr>
        <w:t>have for</w:t>
      </w:r>
      <w:r w:rsidR="00931235" w:rsidRPr="00B5087C">
        <w:rPr>
          <w:rFonts w:ascii="MetaPro-Norm" w:hAnsi="MetaPro-Norm" w:cstheme="minorHAnsi"/>
          <w:sz w:val="22"/>
          <w:szCs w:val="22"/>
        </w:rPr>
        <w:t xml:space="preserve"> more than</w:t>
      </w:r>
      <w:r w:rsidR="00A5114E" w:rsidRPr="00B5087C">
        <w:rPr>
          <w:rFonts w:ascii="MetaPro-Norm" w:hAnsi="MetaPro-Norm" w:cstheme="minorHAnsi"/>
          <w:sz w:val="22"/>
          <w:szCs w:val="22"/>
        </w:rPr>
        <w:t xml:space="preserve"> two decades</w:t>
      </w:r>
      <w:r w:rsidR="00C715B6" w:rsidRPr="00B5087C">
        <w:rPr>
          <w:rFonts w:ascii="MetaPro-Norm" w:hAnsi="MetaPro-Norm" w:cstheme="minorHAnsi"/>
          <w:sz w:val="22"/>
          <w:szCs w:val="22"/>
        </w:rPr>
        <w:t xml:space="preserve"> </w:t>
      </w:r>
      <w:r w:rsidR="005807A7" w:rsidRPr="00B5087C">
        <w:rPr>
          <w:rFonts w:ascii="MetaPro-Norm" w:hAnsi="MetaPro-Norm" w:cstheme="minorHAnsi"/>
          <w:sz w:val="22"/>
          <w:szCs w:val="22"/>
        </w:rPr>
        <w:t xml:space="preserve">barred with few exceptions the granting of long-term legal status </w:t>
      </w:r>
      <w:r w:rsidR="00BA2E4A" w:rsidRPr="00B5087C">
        <w:rPr>
          <w:rFonts w:ascii="MetaPro-Norm" w:hAnsi="MetaPro-Norm" w:cstheme="minorHAnsi"/>
          <w:sz w:val="22"/>
          <w:szCs w:val="22"/>
        </w:rPr>
        <w:t>to Palestinians from the West Bank and Gaza who marry Israeli citizens or residents</w:t>
      </w:r>
      <w:r w:rsidR="00A5114E" w:rsidRPr="00B5087C">
        <w:rPr>
          <w:rFonts w:ascii="MetaPro-Norm" w:hAnsi="MetaPro-Norm" w:cstheme="minorHAnsi"/>
          <w:sz w:val="22"/>
          <w:szCs w:val="22"/>
        </w:rPr>
        <w:t>.</w:t>
      </w:r>
      <w:r w:rsidR="00F61EAD" w:rsidRPr="00B5087C">
        <w:rPr>
          <w:rFonts w:ascii="MetaPro-Norm" w:hAnsi="MetaPro-Norm" w:cstheme="minorHAnsi"/>
          <w:sz w:val="22"/>
          <w:szCs w:val="22"/>
        </w:rPr>
        <w:t xml:space="preserve"> </w:t>
      </w:r>
      <w:r w:rsidR="00C715B6" w:rsidRPr="00B5087C">
        <w:rPr>
          <w:rFonts w:ascii="MetaPro-Norm" w:hAnsi="MetaPro-Norm" w:cstheme="minorHAnsi"/>
          <w:sz w:val="22"/>
          <w:szCs w:val="22"/>
        </w:rPr>
        <w:t>They largely have done so under the Citizenship and Entry into Israel Law (Temporary Order), passed by the Knesset in 2003</w:t>
      </w:r>
      <w:r w:rsidR="00A32260" w:rsidRPr="00B5087C">
        <w:rPr>
          <w:rFonts w:ascii="MetaPro-Norm" w:hAnsi="MetaPro-Norm" w:cstheme="minorHAnsi"/>
          <w:sz w:val="22"/>
          <w:szCs w:val="22"/>
        </w:rPr>
        <w:t>, upheld by the Supreme Court</w:t>
      </w:r>
      <w:r w:rsidR="00C715B6" w:rsidRPr="00B5087C">
        <w:rPr>
          <w:rFonts w:ascii="MetaPro-Norm" w:hAnsi="MetaPro-Norm" w:cstheme="minorHAnsi"/>
          <w:sz w:val="22"/>
          <w:szCs w:val="22"/>
        </w:rPr>
        <w:t xml:space="preserve"> and renewed every subsequent year until July 2021, when it expired; </w:t>
      </w:r>
      <w:r w:rsidR="0014229B" w:rsidRPr="00B5087C">
        <w:rPr>
          <w:rFonts w:ascii="MetaPro-Norm" w:hAnsi="MetaPro-Norm" w:cstheme="minorHAnsi"/>
          <w:sz w:val="22"/>
          <w:szCs w:val="22"/>
        </w:rPr>
        <w:t>the then Interior Minister</w:t>
      </w:r>
      <w:r w:rsidR="00C715B6" w:rsidRPr="00B5087C">
        <w:rPr>
          <w:rFonts w:ascii="MetaPro-Norm" w:hAnsi="MetaPro-Norm" w:cstheme="minorHAnsi"/>
          <w:sz w:val="22"/>
          <w:szCs w:val="22"/>
        </w:rPr>
        <w:t xml:space="preserve">, however, </w:t>
      </w:r>
      <w:r w:rsidR="0014229B" w:rsidRPr="00B5087C">
        <w:rPr>
          <w:rFonts w:ascii="MetaPro-Norm" w:hAnsi="MetaPro-Norm" w:cstheme="minorHAnsi"/>
          <w:sz w:val="22"/>
          <w:szCs w:val="22"/>
        </w:rPr>
        <w:t>instructed authorities to continue to act as if the law was in place</w:t>
      </w:r>
      <w:r w:rsidR="00C715B6" w:rsidRPr="00B5087C">
        <w:rPr>
          <w:rFonts w:ascii="MetaPro-Norm" w:hAnsi="MetaPro-Norm" w:cstheme="minorHAnsi"/>
          <w:sz w:val="22"/>
          <w:szCs w:val="22"/>
        </w:rPr>
        <w:t xml:space="preserve"> and a similar law was passed against in </w:t>
      </w:r>
      <w:r w:rsidR="002B7B6A" w:rsidRPr="00B5087C">
        <w:rPr>
          <w:rFonts w:ascii="MetaPro-Norm" w:hAnsi="MetaPro-Norm" w:cstheme="minorHAnsi"/>
          <w:sz w:val="22"/>
          <w:szCs w:val="22"/>
        </w:rPr>
        <w:t>March 2022</w:t>
      </w:r>
      <w:r w:rsidR="00C715B6" w:rsidRPr="00B5087C">
        <w:rPr>
          <w:rFonts w:ascii="MetaPro-Norm" w:hAnsi="MetaPro-Norm" w:cstheme="minorHAnsi"/>
          <w:sz w:val="22"/>
          <w:szCs w:val="22"/>
        </w:rPr>
        <w:t xml:space="preserve"> and renewed </w:t>
      </w:r>
      <w:r w:rsidR="00992534" w:rsidRPr="00B5087C">
        <w:rPr>
          <w:rFonts w:ascii="MetaPro-Norm" w:hAnsi="MetaPro-Norm" w:cstheme="minorHAnsi"/>
          <w:sz w:val="22"/>
          <w:szCs w:val="22"/>
        </w:rPr>
        <w:t xml:space="preserve">in </w:t>
      </w:r>
      <w:r w:rsidR="002B7B6A" w:rsidRPr="00B5087C">
        <w:rPr>
          <w:rFonts w:ascii="MetaPro-Norm" w:hAnsi="MetaPro-Norm" w:cstheme="minorHAnsi"/>
          <w:sz w:val="22"/>
          <w:szCs w:val="22"/>
        </w:rPr>
        <w:t>March 2023</w:t>
      </w:r>
      <w:r w:rsidR="004725F0" w:rsidRPr="00B5087C">
        <w:rPr>
          <w:rFonts w:ascii="MetaPro-Norm" w:hAnsi="MetaPro-Norm" w:cstheme="minorHAnsi"/>
          <w:sz w:val="22"/>
          <w:szCs w:val="22"/>
          <w:shd w:val="clear" w:color="auto" w:fill="FFFFFF"/>
        </w:rPr>
        <w:t>.</w:t>
      </w:r>
      <w:r w:rsidR="004725F0" w:rsidRPr="00B5087C">
        <w:rPr>
          <w:rStyle w:val="FootnoteReference"/>
          <w:rFonts w:ascii="MetaPro-Norm" w:eastAsia="Calibri" w:hAnsi="MetaPro-Norm" w:cstheme="minorHAnsi"/>
          <w:sz w:val="22"/>
          <w:szCs w:val="22"/>
          <w:shd w:val="clear" w:color="auto" w:fill="FFFFFF"/>
        </w:rPr>
        <w:footnoteReference w:id="39"/>
      </w:r>
    </w:p>
    <w:p w14:paraId="2AD83001" w14:textId="59BE46AD" w:rsidR="00D84E02" w:rsidRPr="00B5087C" w:rsidRDefault="00FC2ACF" w:rsidP="00D84E02">
      <w:pPr>
        <w:pStyle w:val="NormalWeb"/>
        <w:shd w:val="clear" w:color="auto" w:fill="FFFFFF"/>
        <w:rPr>
          <w:rFonts w:ascii="MetaPro-Norm" w:hAnsi="MetaPro-Norm" w:cstheme="minorHAnsi"/>
          <w:sz w:val="22"/>
          <w:szCs w:val="22"/>
        </w:rPr>
      </w:pPr>
      <w:r w:rsidRPr="00B5087C">
        <w:rPr>
          <w:rFonts w:ascii="MetaPro-Norm" w:hAnsi="MetaPro-Norm" w:cstheme="minorHAnsi"/>
          <w:sz w:val="22"/>
          <w:szCs w:val="22"/>
        </w:rPr>
        <w:t xml:space="preserve">This policy </w:t>
      </w:r>
      <w:r w:rsidR="00D84E02" w:rsidRPr="00B5087C">
        <w:rPr>
          <w:rFonts w:ascii="MetaPro-Norm" w:hAnsi="MetaPro-Norm" w:cstheme="minorHAnsi"/>
          <w:sz w:val="22"/>
          <w:szCs w:val="22"/>
        </w:rPr>
        <w:t>denies Israeli citizens and residents, both Jewish and Palestinian, who marry Palestinian residents of the West Bank and Gaza the right enjoyed by other Israelis to live with their loved ones in the place of their choosing</w:t>
      </w:r>
      <w:r w:rsidR="009101B4" w:rsidRPr="00B5087C">
        <w:rPr>
          <w:rFonts w:ascii="MetaPro-Norm" w:hAnsi="MetaPro-Norm" w:cstheme="minorHAnsi"/>
          <w:sz w:val="22"/>
          <w:szCs w:val="22"/>
        </w:rPr>
        <w:t xml:space="preserve"> and be protected from arbitrary or unlawful interference in the family</w:t>
      </w:r>
      <w:r w:rsidR="00D84E02" w:rsidRPr="00B5087C">
        <w:rPr>
          <w:rFonts w:ascii="MetaPro-Norm" w:hAnsi="MetaPro-Norm" w:cstheme="minorHAnsi"/>
          <w:sz w:val="22"/>
          <w:szCs w:val="22"/>
        </w:rPr>
        <w:t xml:space="preserve">. This denial is based on the spouse’s </w:t>
      </w:r>
      <w:r w:rsidR="005A2A4C" w:rsidRPr="00B5087C">
        <w:rPr>
          <w:rFonts w:ascii="MetaPro-Norm" w:hAnsi="MetaPro-Norm" w:cstheme="minorHAnsi"/>
          <w:sz w:val="22"/>
          <w:szCs w:val="22"/>
        </w:rPr>
        <w:t>identity</w:t>
      </w:r>
      <w:r w:rsidR="00845C16" w:rsidRPr="00B5087C">
        <w:rPr>
          <w:rFonts w:ascii="MetaPro-Norm" w:hAnsi="MetaPro-Norm" w:cstheme="minorHAnsi"/>
          <w:sz w:val="22"/>
          <w:szCs w:val="22"/>
        </w:rPr>
        <w:t>, as a Palestinian from the West Bank or Gaza,</w:t>
      </w:r>
      <w:r w:rsidR="00D84E02" w:rsidRPr="00B5087C">
        <w:rPr>
          <w:rFonts w:ascii="MetaPro-Norm" w:hAnsi="MetaPro-Norm" w:cstheme="minorHAnsi"/>
          <w:sz w:val="22"/>
          <w:szCs w:val="22"/>
        </w:rPr>
        <w:t xml:space="preserve"> rather than on an individualized assessment of security risk. If an Israeli marries a foreign spouse who is Jewish, the spouse can obtain citizenship automatically. Other foreigners can receive immediate status and normally become eligible for citizenship after living in Israel for several years.</w:t>
      </w:r>
      <w:r w:rsidR="00E83375" w:rsidRPr="00B5087C">
        <w:rPr>
          <w:rStyle w:val="FootnoteReference"/>
          <w:rFonts w:ascii="MetaPro-Norm" w:eastAsia="Calibri" w:hAnsi="MetaPro-Norm" w:cstheme="minorHAnsi"/>
          <w:sz w:val="22"/>
          <w:szCs w:val="22"/>
          <w:shd w:val="clear" w:color="auto" w:fill="FFFFFF"/>
        </w:rPr>
        <w:footnoteReference w:id="40"/>
      </w:r>
      <w:r w:rsidR="006F0D90" w:rsidRPr="00B5087C">
        <w:rPr>
          <w:rFonts w:ascii="MetaPro-Norm" w:hAnsi="MetaPro-Norm"/>
          <w:sz w:val="22"/>
          <w:szCs w:val="22"/>
        </w:rPr>
        <w:t xml:space="preserve"> </w:t>
      </w:r>
      <w:r w:rsidR="006F0D90" w:rsidRPr="00B5087C">
        <w:rPr>
          <w:rFonts w:ascii="MetaPro-Norm" w:hAnsi="MetaPro-Norm" w:cstheme="minorHAnsi"/>
          <w:sz w:val="22"/>
          <w:szCs w:val="22"/>
        </w:rPr>
        <w:t>Such a restriction does not exist for spouses of virtually any other nationality.</w:t>
      </w:r>
      <w:r w:rsidR="0079754A" w:rsidRPr="00B5087C">
        <w:rPr>
          <w:rStyle w:val="FootnoteReference"/>
          <w:rFonts w:ascii="MetaPro-Norm" w:eastAsia="Calibri" w:hAnsi="MetaPro-Norm" w:cstheme="minorHAnsi"/>
          <w:sz w:val="22"/>
          <w:szCs w:val="22"/>
          <w:shd w:val="clear" w:color="auto" w:fill="FFFFFF"/>
        </w:rPr>
        <w:footnoteReference w:id="41"/>
      </w:r>
      <w:r w:rsidR="006F0D90" w:rsidRPr="00B5087C">
        <w:rPr>
          <w:rFonts w:ascii="MetaPro-Norm" w:hAnsi="MetaPro-Norm" w:cstheme="minorHAnsi"/>
          <w:sz w:val="22"/>
          <w:szCs w:val="22"/>
        </w:rPr>
        <w:t xml:space="preserve"> </w:t>
      </w:r>
      <w:r w:rsidR="00D84E02" w:rsidRPr="00B5087C">
        <w:rPr>
          <w:rFonts w:ascii="MetaPro-Norm" w:hAnsi="MetaPro-Norm" w:cstheme="minorHAnsi"/>
          <w:sz w:val="22"/>
          <w:szCs w:val="22"/>
        </w:rPr>
        <w:t>Palestinian men over 35 and women over 25 from the West Bank and Gaza married to Israeli citizens or residents can apply for temporary, renewable visitor permits, but authorities have denied many of those applications.</w:t>
      </w:r>
      <w:r w:rsidR="000702AC" w:rsidRPr="00B5087C">
        <w:rPr>
          <w:rStyle w:val="FootnoteReference"/>
          <w:rFonts w:ascii="MetaPro-Norm" w:eastAsia="Calibri" w:hAnsi="MetaPro-Norm" w:cstheme="minorHAnsi"/>
          <w:sz w:val="22"/>
          <w:szCs w:val="22"/>
          <w:shd w:val="clear" w:color="auto" w:fill="FFFFFF"/>
        </w:rPr>
        <w:footnoteReference w:id="42"/>
      </w:r>
    </w:p>
    <w:p w14:paraId="5C657F30" w14:textId="416C5ECB" w:rsidR="00DB030C" w:rsidRPr="00B5087C" w:rsidRDefault="00DB030C" w:rsidP="00DB030C">
      <w:pPr>
        <w:pStyle w:val="NormalWeb"/>
        <w:shd w:val="clear" w:color="auto" w:fill="FFFFFF"/>
        <w:rPr>
          <w:rFonts w:ascii="MetaPro-Norm" w:hAnsi="MetaPro-Norm" w:cstheme="minorHAnsi"/>
          <w:sz w:val="22"/>
          <w:szCs w:val="22"/>
        </w:rPr>
      </w:pPr>
      <w:r w:rsidRPr="00B5087C">
        <w:rPr>
          <w:rFonts w:ascii="MetaPro-Norm" w:hAnsi="MetaPro-Norm" w:cstheme="minorHAnsi"/>
          <w:sz w:val="22"/>
          <w:szCs w:val="22"/>
        </w:rPr>
        <w:t xml:space="preserve">In addition, where some spouses </w:t>
      </w:r>
      <w:proofErr w:type="gramStart"/>
      <w:r w:rsidRPr="00B5087C">
        <w:rPr>
          <w:rFonts w:ascii="MetaPro-Norm" w:hAnsi="MetaPro-Norm" w:cstheme="minorHAnsi"/>
          <w:sz w:val="22"/>
          <w:szCs w:val="22"/>
        </w:rPr>
        <w:t>are able to</w:t>
      </w:r>
      <w:proofErr w:type="gramEnd"/>
      <w:r w:rsidRPr="00B5087C">
        <w:rPr>
          <w:rFonts w:ascii="MetaPro-Norm" w:hAnsi="MetaPro-Norm" w:cstheme="minorHAnsi"/>
          <w:sz w:val="22"/>
          <w:szCs w:val="22"/>
        </w:rPr>
        <w:t xml:space="preserve"> receive temporary residency under the law, such temporary residents are dependent on their spouse for renewal of their legal status. The Women’s Center for Legal Aid and Counselling in a 2022 report found that this can force Palestinian women to either remain trapped in abusive marriages fearing they can </w:t>
      </w:r>
      <w:r w:rsidRPr="00B5087C">
        <w:rPr>
          <w:rFonts w:ascii="MetaPro-Norm" w:hAnsi="MetaPro-Norm" w:cstheme="minorHAnsi"/>
          <w:sz w:val="22"/>
          <w:szCs w:val="22"/>
        </w:rPr>
        <w:lastRenderedPageBreak/>
        <w:t xml:space="preserve">lose their residency and custody of their children if they seek divorce or report abuse, or face sanction </w:t>
      </w:r>
      <w:r w:rsidR="00BC2C6C" w:rsidRPr="00B5087C">
        <w:rPr>
          <w:rFonts w:ascii="MetaPro-Norm" w:hAnsi="MetaPro-Norm" w:cstheme="minorHAnsi"/>
          <w:sz w:val="22"/>
          <w:szCs w:val="22"/>
        </w:rPr>
        <w:t xml:space="preserve">they fear </w:t>
      </w:r>
      <w:r w:rsidRPr="00B5087C">
        <w:rPr>
          <w:rFonts w:ascii="MetaPro-Norm" w:hAnsi="MetaPro-Norm" w:cstheme="minorHAnsi"/>
          <w:sz w:val="22"/>
          <w:szCs w:val="22"/>
        </w:rPr>
        <w:t>when they do.</w:t>
      </w:r>
      <w:r w:rsidRPr="00B5087C">
        <w:rPr>
          <w:rFonts w:ascii="MetaPro-Norm" w:hAnsi="MetaPro-Norm" w:cstheme="minorHAnsi"/>
          <w:sz w:val="22"/>
          <w:szCs w:val="22"/>
          <w:vertAlign w:val="superscript"/>
        </w:rPr>
        <w:footnoteReference w:id="43"/>
      </w:r>
      <w:r w:rsidR="00306E78" w:rsidRPr="00B5087C">
        <w:rPr>
          <w:rFonts w:ascii="MetaPro-Norm" w:hAnsi="MetaPro-Norm" w:cstheme="minorHAnsi"/>
          <w:sz w:val="22"/>
          <w:szCs w:val="22"/>
        </w:rPr>
        <w:t xml:space="preserve"> </w:t>
      </w:r>
    </w:p>
    <w:p w14:paraId="19F60907" w14:textId="564CDEAA" w:rsidR="00A42D17" w:rsidRPr="00B5087C" w:rsidRDefault="009101B4" w:rsidP="009101B4">
      <w:pPr>
        <w:pStyle w:val="NormalWeb"/>
        <w:shd w:val="clear" w:color="auto" w:fill="FFFFFF"/>
        <w:rPr>
          <w:rFonts w:ascii="MetaPro-Norm" w:hAnsi="MetaPro-Norm" w:cstheme="minorHAnsi"/>
          <w:sz w:val="22"/>
          <w:szCs w:val="22"/>
          <w:shd w:val="clear" w:color="auto" w:fill="FFFFFF"/>
        </w:rPr>
      </w:pPr>
      <w:r w:rsidRPr="00B5087C">
        <w:rPr>
          <w:rFonts w:ascii="MetaPro-Norm" w:hAnsi="MetaPro-Norm" w:cstheme="minorHAnsi"/>
          <w:sz w:val="22"/>
          <w:szCs w:val="22"/>
        </w:rPr>
        <w:t>The law disproportionately harms Palestinians citizens of Israel, as well as Palestinians from East Jerusalem, who maintain permanent residency in Israel</w:t>
      </w:r>
      <w:r w:rsidR="00845C16" w:rsidRPr="00B5087C">
        <w:rPr>
          <w:rFonts w:ascii="MetaPro-Norm" w:hAnsi="MetaPro-Norm" w:cstheme="minorHAnsi"/>
          <w:sz w:val="22"/>
          <w:szCs w:val="22"/>
        </w:rPr>
        <w:t xml:space="preserve">. </w:t>
      </w:r>
      <w:r w:rsidR="00D84E02" w:rsidRPr="00B5087C">
        <w:rPr>
          <w:rFonts w:ascii="MetaPro-Norm" w:hAnsi="MetaPro-Norm" w:cstheme="minorHAnsi"/>
          <w:sz w:val="22"/>
          <w:szCs w:val="22"/>
        </w:rPr>
        <w:t>The law forces a difficult choice for the thousands of couples</w:t>
      </w:r>
      <w:r w:rsidRPr="00B5087C">
        <w:rPr>
          <w:rFonts w:ascii="MetaPro-Norm" w:hAnsi="MetaPro-Norm" w:cstheme="minorHAnsi"/>
          <w:sz w:val="22"/>
          <w:szCs w:val="22"/>
        </w:rPr>
        <w:t xml:space="preserve"> </w:t>
      </w:r>
      <w:r w:rsidR="00D84E02" w:rsidRPr="00B5087C">
        <w:rPr>
          <w:rFonts w:ascii="MetaPro-Norm" w:hAnsi="MetaPro-Norm" w:cstheme="minorHAnsi"/>
          <w:sz w:val="22"/>
          <w:szCs w:val="22"/>
        </w:rPr>
        <w:t>who marry despite these restrictions. They must either live separately or have the Israeli citizen or resident spouse move to the West Bank, despite Israeli military orders prohibiting Israelis from living in Area A. Moreover, moving to the OPT has led Palestinian Jerusalemites to lose their residency status and jeopardizes the eligibility of both Israeli citizens and residents to exercise rights related to residency or citizenship such as the right to receive social security benefits. This difficult choice has splintered thousands of families.</w:t>
      </w:r>
      <w:r w:rsidRPr="00B5087C">
        <w:rPr>
          <w:rFonts w:ascii="MetaPro-Norm" w:hAnsi="MetaPro-Norm" w:cstheme="minorHAnsi"/>
          <w:sz w:val="22"/>
          <w:szCs w:val="22"/>
        </w:rPr>
        <w:t xml:space="preserve"> </w:t>
      </w:r>
      <w:r w:rsidR="00F659B9" w:rsidRPr="00B5087C">
        <w:rPr>
          <w:rFonts w:ascii="MetaPro-Norm" w:hAnsi="MetaPro-Norm" w:cstheme="minorHAnsi"/>
          <w:sz w:val="22"/>
          <w:szCs w:val="22"/>
          <w:shd w:val="clear" w:color="auto" w:fill="FFFFFF"/>
        </w:rPr>
        <w:t>T</w:t>
      </w:r>
      <w:r w:rsidR="00A42D17" w:rsidRPr="00B5087C">
        <w:rPr>
          <w:rFonts w:ascii="MetaPro-Norm" w:hAnsi="MetaPro-Norm" w:cstheme="minorHAnsi"/>
          <w:sz w:val="22"/>
          <w:szCs w:val="22"/>
          <w:shd w:val="clear" w:color="auto" w:fill="FFFFFF"/>
        </w:rPr>
        <w:t xml:space="preserve">he Haifa-based legal </w:t>
      </w:r>
      <w:r w:rsidR="00985F7D" w:rsidRPr="00B5087C">
        <w:rPr>
          <w:rFonts w:ascii="MetaPro-Norm" w:hAnsi="MetaPro-Norm" w:cstheme="minorHAnsi"/>
          <w:sz w:val="22"/>
          <w:szCs w:val="22"/>
          <w:shd w:val="clear" w:color="auto" w:fill="FFFFFF"/>
        </w:rPr>
        <w:t>center</w:t>
      </w:r>
      <w:r w:rsidR="00A42D17" w:rsidRPr="00B5087C">
        <w:rPr>
          <w:rFonts w:ascii="MetaPro-Norm" w:hAnsi="MetaPro-Norm" w:cstheme="minorHAnsi"/>
          <w:sz w:val="22"/>
          <w:szCs w:val="22"/>
          <w:shd w:val="clear" w:color="auto" w:fill="FFFFFF"/>
        </w:rPr>
        <w:t>, Adalah, filed a petition in the Israeli Supreme Court against the law’s re-enactment</w:t>
      </w:r>
      <w:r w:rsidR="00985F7D" w:rsidRPr="00B5087C">
        <w:rPr>
          <w:rFonts w:ascii="MetaPro-Norm" w:hAnsi="MetaPro-Norm" w:cstheme="minorHAnsi"/>
          <w:sz w:val="22"/>
          <w:szCs w:val="22"/>
          <w:shd w:val="clear" w:color="auto" w:fill="FFFFFF"/>
        </w:rPr>
        <w:t>, calling</w:t>
      </w:r>
      <w:r w:rsidR="00A42D17" w:rsidRPr="00B5087C">
        <w:rPr>
          <w:rFonts w:ascii="MetaPro-Norm" w:hAnsi="MetaPro-Norm" w:cstheme="minorHAnsi"/>
          <w:sz w:val="22"/>
          <w:szCs w:val="22"/>
          <w:shd w:val="clear" w:color="auto" w:fill="FFFFFF"/>
        </w:rPr>
        <w:t> it “one of the most racist and discriminatory laws in the world</w:t>
      </w:r>
      <w:r w:rsidR="00F5493E" w:rsidRPr="00B5087C">
        <w:rPr>
          <w:rFonts w:ascii="MetaPro-Norm" w:hAnsi="MetaPro-Norm" w:cstheme="minorHAnsi"/>
          <w:sz w:val="22"/>
          <w:szCs w:val="22"/>
          <w:shd w:val="clear" w:color="auto" w:fill="FFFFFF"/>
        </w:rPr>
        <w:t>.</w:t>
      </w:r>
      <w:r w:rsidR="00A42D17" w:rsidRPr="00B5087C">
        <w:rPr>
          <w:rFonts w:ascii="MetaPro-Norm" w:hAnsi="MetaPro-Norm" w:cstheme="minorHAnsi"/>
          <w:sz w:val="22"/>
          <w:szCs w:val="22"/>
          <w:shd w:val="clear" w:color="auto" w:fill="FFFFFF"/>
        </w:rPr>
        <w:t>”</w:t>
      </w:r>
      <w:r w:rsidR="00A42D17" w:rsidRPr="00B5087C">
        <w:rPr>
          <w:rStyle w:val="FootnoteReference"/>
          <w:rFonts w:ascii="MetaPro-Norm" w:hAnsi="MetaPro-Norm" w:cstheme="minorHAnsi"/>
          <w:sz w:val="22"/>
          <w:szCs w:val="22"/>
          <w:shd w:val="clear" w:color="auto" w:fill="FFFFFF"/>
        </w:rPr>
        <w:footnoteReference w:id="44"/>
      </w:r>
    </w:p>
    <w:p w14:paraId="17EA78FD" w14:textId="6040E327" w:rsidR="006E445D" w:rsidRPr="004E1A0B" w:rsidRDefault="00540B19" w:rsidP="00841AB2">
      <w:pPr>
        <w:pStyle w:val="NormalWeb"/>
        <w:shd w:val="clear" w:color="auto" w:fill="FFFFFF"/>
        <w:rPr>
          <w:rFonts w:ascii="MetaPro-Norm" w:hAnsi="MetaPro-Norm" w:cstheme="minorHAnsi"/>
          <w:color w:val="000000"/>
          <w:sz w:val="22"/>
          <w:szCs w:val="22"/>
          <w:shd w:val="clear" w:color="auto" w:fill="FFFFFF"/>
        </w:rPr>
      </w:pPr>
      <w:r w:rsidRPr="004E1A0B">
        <w:rPr>
          <w:rFonts w:ascii="MetaPro-Norm" w:hAnsi="MetaPro-Norm" w:cstheme="minorHAnsi"/>
          <w:color w:val="000000"/>
          <w:sz w:val="22"/>
          <w:szCs w:val="22"/>
          <w:shd w:val="clear" w:color="auto" w:fill="FFFFFF"/>
        </w:rPr>
        <w:t>In addition, Israeli authorities have since 2000 largely refused to process family reunification applications or requests for address changes by Palestinians in the West Bank and Gaza</w:t>
      </w:r>
      <w:r w:rsidR="00467E78" w:rsidRPr="004E1A0B">
        <w:rPr>
          <w:rFonts w:ascii="MetaPro-Norm" w:hAnsi="MetaPro-Norm" w:cstheme="minorHAnsi"/>
          <w:color w:val="000000"/>
          <w:sz w:val="22"/>
          <w:szCs w:val="22"/>
          <w:shd w:val="clear" w:color="auto" w:fill="FFFFFF"/>
        </w:rPr>
        <w:t>,</w:t>
      </w:r>
      <w:r w:rsidR="00180C9C" w:rsidRPr="004E1A0B">
        <w:rPr>
          <w:rFonts w:ascii="MetaPro-Norm" w:hAnsi="MetaPro-Norm"/>
          <w:sz w:val="22"/>
          <w:szCs w:val="22"/>
        </w:rPr>
        <w:t xml:space="preserve"> </w:t>
      </w:r>
      <w:r w:rsidR="00180C9C" w:rsidRPr="004E1A0B">
        <w:rPr>
          <w:rFonts w:ascii="MetaPro-Norm" w:hAnsi="MetaPro-Norm" w:cstheme="minorHAnsi"/>
          <w:color w:val="000000"/>
          <w:sz w:val="22"/>
          <w:szCs w:val="22"/>
          <w:shd w:val="clear" w:color="auto" w:fill="FFFFFF"/>
        </w:rPr>
        <w:t>outside of processing about 35,000 family unification applications in the late 2000s and several thousand applications in late 2021 and early 2022 as gestures to the P</w:t>
      </w:r>
      <w:r w:rsidR="00CE0B4F" w:rsidRPr="004E1A0B">
        <w:rPr>
          <w:rFonts w:ascii="MetaPro-Norm" w:hAnsi="MetaPro-Norm" w:cstheme="minorHAnsi"/>
          <w:color w:val="000000"/>
          <w:sz w:val="22"/>
          <w:szCs w:val="22"/>
          <w:shd w:val="clear" w:color="auto" w:fill="FFFFFF"/>
        </w:rPr>
        <w:t>alestinian Authority</w:t>
      </w:r>
      <w:r w:rsidRPr="004E1A0B">
        <w:rPr>
          <w:rFonts w:ascii="MetaPro-Norm" w:hAnsi="MetaPro-Norm" w:cstheme="minorHAnsi"/>
          <w:color w:val="000000"/>
          <w:sz w:val="22"/>
          <w:szCs w:val="22"/>
          <w:shd w:val="clear" w:color="auto" w:fill="FFFFFF"/>
        </w:rPr>
        <w:t>.</w:t>
      </w:r>
      <w:r w:rsidR="00E97667" w:rsidRPr="004E1A0B">
        <w:rPr>
          <w:rStyle w:val="FootnoteReference"/>
          <w:rFonts w:ascii="MetaPro-Norm" w:hAnsi="MetaPro-Norm" w:cstheme="minorHAnsi"/>
          <w:color w:val="000000"/>
          <w:sz w:val="22"/>
          <w:szCs w:val="22"/>
          <w:shd w:val="clear" w:color="auto" w:fill="FFFFFF"/>
        </w:rPr>
        <w:footnoteReference w:id="45"/>
      </w:r>
      <w:r w:rsidRPr="004E1A0B">
        <w:rPr>
          <w:rFonts w:ascii="MetaPro-Norm" w:hAnsi="MetaPro-Norm" w:cstheme="minorHAnsi"/>
          <w:color w:val="000000"/>
          <w:sz w:val="22"/>
          <w:szCs w:val="22"/>
          <w:shd w:val="clear" w:color="auto" w:fill="FFFFFF"/>
        </w:rPr>
        <w:t xml:space="preserve"> The</w:t>
      </w:r>
      <w:r w:rsidR="00573FE0" w:rsidRPr="004E1A0B">
        <w:rPr>
          <w:rFonts w:ascii="MetaPro-Norm" w:hAnsi="MetaPro-Norm" w:cstheme="minorHAnsi"/>
          <w:color w:val="000000"/>
          <w:sz w:val="22"/>
          <w:szCs w:val="22"/>
          <w:shd w:val="clear" w:color="auto" w:fill="FFFFFF"/>
        </w:rPr>
        <w:t xml:space="preserve"> </w:t>
      </w:r>
      <w:r w:rsidRPr="004E1A0B">
        <w:rPr>
          <w:rFonts w:ascii="MetaPro-Norm" w:hAnsi="MetaPro-Norm" w:cstheme="minorHAnsi"/>
          <w:color w:val="000000"/>
          <w:sz w:val="22"/>
          <w:szCs w:val="22"/>
          <w:shd w:val="clear" w:color="auto" w:fill="FFFFFF"/>
        </w:rPr>
        <w:t>freeze effectively bars Palestinians from acquiring legal status for spouses or relatives not already registered.</w:t>
      </w:r>
      <w:r w:rsidR="00F53035" w:rsidRPr="004E1A0B">
        <w:rPr>
          <w:rStyle w:val="FootnoteReference"/>
          <w:rFonts w:ascii="MetaPro-Norm" w:hAnsi="MetaPro-Norm" w:cstheme="minorHAnsi"/>
          <w:color w:val="000000"/>
          <w:sz w:val="22"/>
          <w:szCs w:val="22"/>
          <w:shd w:val="clear" w:color="auto" w:fill="FFFFFF"/>
        </w:rPr>
        <w:footnoteReference w:id="46"/>
      </w:r>
      <w:r w:rsidR="00841AB2" w:rsidRPr="004E1A0B">
        <w:rPr>
          <w:rFonts w:ascii="MetaPro-Norm" w:hAnsi="MetaPro-Norm" w:cstheme="minorHAnsi"/>
          <w:color w:val="000000"/>
          <w:sz w:val="22"/>
          <w:szCs w:val="22"/>
          <w:shd w:val="clear" w:color="auto" w:fill="FFFFFF"/>
        </w:rPr>
        <w:t xml:space="preserve"> </w:t>
      </w:r>
    </w:p>
    <w:p w14:paraId="24947135" w14:textId="0B79452E" w:rsidR="00C07E61" w:rsidRPr="004E1A0B" w:rsidRDefault="00841AB2" w:rsidP="006E445D">
      <w:pPr>
        <w:pStyle w:val="NormalWeb"/>
        <w:shd w:val="clear" w:color="auto" w:fill="FFFFFF"/>
        <w:rPr>
          <w:rFonts w:ascii="MetaPro-Norm" w:hAnsi="MetaPro-Norm" w:cstheme="minorHAnsi"/>
          <w:color w:val="000000"/>
          <w:sz w:val="22"/>
          <w:szCs w:val="22"/>
          <w:shd w:val="clear" w:color="auto" w:fill="FFFFFF"/>
        </w:rPr>
      </w:pPr>
      <w:r w:rsidRPr="004E1A0B">
        <w:rPr>
          <w:rFonts w:ascii="MetaPro-Norm" w:hAnsi="MetaPro-Norm" w:cstheme="minorHAnsi"/>
          <w:color w:val="000000"/>
          <w:sz w:val="22"/>
          <w:szCs w:val="22"/>
          <w:shd w:val="clear" w:color="auto" w:fill="FFFFFF"/>
        </w:rPr>
        <w:t xml:space="preserve">In a cultural context in which women are expected to play a primary role in raising children, requiring them to live separately from their husband or to move away from extended family, a main source of child support, can force them to forego opportunities to work or participate in public life </w:t>
      </w:r>
      <w:proofErr w:type="gramStart"/>
      <w:r w:rsidRPr="004E1A0B">
        <w:rPr>
          <w:rFonts w:ascii="MetaPro-Norm" w:hAnsi="MetaPro-Norm" w:cstheme="minorHAnsi"/>
          <w:color w:val="000000"/>
          <w:sz w:val="22"/>
          <w:szCs w:val="22"/>
          <w:shd w:val="clear" w:color="auto" w:fill="FFFFFF"/>
        </w:rPr>
        <w:t>in order to</w:t>
      </w:r>
      <w:proofErr w:type="gramEnd"/>
      <w:r w:rsidRPr="004E1A0B">
        <w:rPr>
          <w:rFonts w:ascii="MetaPro-Norm" w:hAnsi="MetaPro-Norm" w:cstheme="minorHAnsi"/>
          <w:color w:val="000000"/>
          <w:sz w:val="22"/>
          <w:szCs w:val="22"/>
          <w:shd w:val="clear" w:color="auto" w:fill="FFFFFF"/>
        </w:rPr>
        <w:t xml:space="preserve"> focus on caring for children. In so doing, </w:t>
      </w:r>
      <w:r w:rsidR="006E445D" w:rsidRPr="004E1A0B">
        <w:rPr>
          <w:rFonts w:ascii="MetaPro-Norm" w:hAnsi="MetaPro-Norm" w:cstheme="minorHAnsi"/>
          <w:color w:val="000000"/>
          <w:sz w:val="22"/>
          <w:szCs w:val="22"/>
          <w:shd w:val="clear" w:color="auto" w:fill="FFFFFF"/>
        </w:rPr>
        <w:t>these restrictions</w:t>
      </w:r>
      <w:r w:rsidRPr="004E1A0B">
        <w:rPr>
          <w:rFonts w:ascii="MetaPro-Norm" w:hAnsi="MetaPro-Norm" w:cstheme="minorHAnsi"/>
          <w:color w:val="000000"/>
          <w:sz w:val="22"/>
          <w:szCs w:val="22"/>
          <w:shd w:val="clear" w:color="auto" w:fill="FFFFFF"/>
        </w:rPr>
        <w:t xml:space="preserve"> </w:t>
      </w:r>
      <w:r w:rsidR="006E445D" w:rsidRPr="004E1A0B">
        <w:rPr>
          <w:rFonts w:ascii="MetaPro-Norm" w:hAnsi="MetaPro-Norm" w:cstheme="minorHAnsi"/>
          <w:color w:val="000000"/>
          <w:sz w:val="22"/>
          <w:szCs w:val="22"/>
          <w:shd w:val="clear" w:color="auto" w:fill="FFFFFF"/>
        </w:rPr>
        <w:t>constrain</w:t>
      </w:r>
      <w:r w:rsidRPr="004E1A0B">
        <w:rPr>
          <w:rFonts w:ascii="MetaPro-Norm" w:hAnsi="MetaPro-Norm" w:cstheme="minorHAnsi"/>
          <w:color w:val="000000"/>
          <w:sz w:val="22"/>
          <w:szCs w:val="22"/>
          <w:shd w:val="clear" w:color="auto" w:fill="FFFFFF"/>
        </w:rPr>
        <w:t xml:space="preserve"> the development and advancement of a segment of the Palestinian female population.</w:t>
      </w:r>
    </w:p>
    <w:p w14:paraId="671AA3F2" w14:textId="310093EE" w:rsidR="00EC7A9F" w:rsidRPr="008A0C9F" w:rsidRDefault="00EC7A9F" w:rsidP="006B0B33">
      <w:pPr>
        <w:rPr>
          <w:rFonts w:ascii="MetaPro-Norm" w:eastAsia="Times New Roman" w:hAnsi="MetaPro-Norm"/>
          <w:b/>
          <w:bCs/>
          <w:i/>
          <w:u w:val="single"/>
        </w:rPr>
      </w:pPr>
      <w:r w:rsidRPr="008A0C9F">
        <w:rPr>
          <w:rFonts w:ascii="MetaPro-Norm" w:eastAsia="Times New Roman" w:hAnsi="MetaPro-Norm"/>
          <w:b/>
          <w:bCs/>
          <w:i/>
          <w:u w:val="single"/>
        </w:rPr>
        <w:lastRenderedPageBreak/>
        <w:t>In the upcoming adoption of list of issues on the state of Israel, Human Rights Watch urges the Committee to question the Israeli authorities, as the occupying power, regarding the steps it has taken to implement articles 3, 11,9 and 16, including:</w:t>
      </w:r>
    </w:p>
    <w:p w14:paraId="7875A755" w14:textId="27908E00" w:rsidR="00EC7A9F" w:rsidRPr="008A0C9F" w:rsidRDefault="006B0B33" w:rsidP="006B0B33">
      <w:pPr>
        <w:pStyle w:val="ListParagraph"/>
        <w:numPr>
          <w:ilvl w:val="0"/>
          <w:numId w:val="6"/>
        </w:numPr>
        <w:spacing w:after="0" w:line="264" w:lineRule="auto"/>
        <w:rPr>
          <w:rStyle w:val="normaltextrun"/>
          <w:rFonts w:ascii="MetaPro-Norm" w:eastAsia="Times New Roman" w:hAnsi="MetaPro-Norm" w:cstheme="minorHAnsi"/>
          <w:b/>
          <w:bCs/>
          <w:i/>
          <w:u w:val="single"/>
        </w:rPr>
      </w:pPr>
      <w:r w:rsidRPr="008A0C9F">
        <w:rPr>
          <w:rStyle w:val="normaltextrun"/>
          <w:rFonts w:ascii="MetaPro-Norm" w:hAnsi="MetaPro-Norm" w:cstheme="minorHAnsi"/>
        </w:rPr>
        <w:t xml:space="preserve">Why does </w:t>
      </w:r>
      <w:r w:rsidR="006E445D" w:rsidRPr="008A0C9F">
        <w:rPr>
          <w:rStyle w:val="normaltextrun"/>
          <w:rFonts w:ascii="MetaPro-Norm" w:hAnsi="MetaPro-Norm" w:cstheme="minorHAnsi"/>
        </w:rPr>
        <w:t>Israeli law</w:t>
      </w:r>
      <w:r w:rsidRPr="008A0C9F">
        <w:rPr>
          <w:rStyle w:val="normaltextrun"/>
          <w:rFonts w:ascii="MetaPro-Norm" w:hAnsi="MetaPro-Norm" w:cstheme="minorHAnsi"/>
        </w:rPr>
        <w:t xml:space="preserve"> bar with few exceptions the granting of Israeli citizenship or long-term legal status to Palestinians from the West Bank and Gaza who marry Israeli citizens and residents?</w:t>
      </w:r>
    </w:p>
    <w:p w14:paraId="4156CB4F" w14:textId="11373BDD" w:rsidR="00C24E0C" w:rsidRPr="008A0C9F" w:rsidRDefault="00C24E0C" w:rsidP="00C24E0C">
      <w:pPr>
        <w:pStyle w:val="ListParagraph"/>
        <w:numPr>
          <w:ilvl w:val="0"/>
          <w:numId w:val="6"/>
        </w:numPr>
        <w:spacing w:after="0" w:line="264" w:lineRule="auto"/>
        <w:rPr>
          <w:rStyle w:val="normaltextrun"/>
          <w:rFonts w:ascii="MetaPro-Norm" w:eastAsia="Times New Roman" w:hAnsi="MetaPro-Norm" w:cstheme="minorHAnsi"/>
          <w:b/>
          <w:bCs/>
          <w:i/>
          <w:u w:val="single"/>
        </w:rPr>
      </w:pPr>
      <w:r w:rsidRPr="008A0C9F">
        <w:rPr>
          <w:rFonts w:ascii="MetaPro-Norm" w:hAnsi="MetaPro-Norm" w:cstheme="minorHAnsi"/>
        </w:rPr>
        <w:t xml:space="preserve">Why have Israeli authorities largely refused to process </w:t>
      </w:r>
      <w:r w:rsidR="00083CF9" w:rsidRPr="008A0C9F">
        <w:rPr>
          <w:rFonts w:ascii="MetaPro-Norm" w:hAnsi="MetaPro-Norm" w:cstheme="minorHAnsi"/>
        </w:rPr>
        <w:t>family reunification</w:t>
      </w:r>
      <w:r w:rsidR="00573FE0" w:rsidRPr="008A0C9F">
        <w:rPr>
          <w:rFonts w:ascii="MetaPro-Norm" w:hAnsi="MetaPro-Norm" w:cstheme="minorHAnsi"/>
        </w:rPr>
        <w:t xml:space="preserve"> applications since 2000</w:t>
      </w:r>
      <w:r w:rsidRPr="008A0C9F">
        <w:rPr>
          <w:rFonts w:ascii="MetaPro-Norm" w:hAnsi="MetaPro-Norm" w:cstheme="minorHAnsi"/>
        </w:rPr>
        <w:t xml:space="preserve">? </w:t>
      </w:r>
    </w:p>
    <w:p w14:paraId="585D6931" w14:textId="77777777" w:rsidR="006B0B33" w:rsidRPr="008A0C9F" w:rsidRDefault="006B0B33" w:rsidP="006B0B33">
      <w:pPr>
        <w:pStyle w:val="ListParagraph"/>
        <w:spacing w:after="0" w:line="264" w:lineRule="auto"/>
        <w:rPr>
          <w:rFonts w:ascii="MetaPro-Norm" w:eastAsia="Times New Roman" w:hAnsi="MetaPro-Norm" w:cstheme="minorHAnsi"/>
          <w:b/>
          <w:bCs/>
          <w:i/>
          <w:u w:val="single"/>
        </w:rPr>
      </w:pPr>
    </w:p>
    <w:p w14:paraId="54CF4A6B" w14:textId="313729F1" w:rsidR="00225ECD" w:rsidRPr="008A0C9F" w:rsidRDefault="00985F7D" w:rsidP="006B0B33">
      <w:pPr>
        <w:rPr>
          <w:rFonts w:ascii="MetaPro-Norm" w:hAnsi="MetaPro-Norm" w:cstheme="minorHAnsi"/>
          <w:b/>
          <w:bCs/>
        </w:rPr>
      </w:pPr>
      <w:r w:rsidRPr="008A0C9F">
        <w:rPr>
          <w:rFonts w:ascii="MetaPro-Norm" w:hAnsi="MetaPro-Norm" w:cstheme="minorHAnsi"/>
          <w:b/>
          <w:bCs/>
        </w:rPr>
        <w:t xml:space="preserve">Building </w:t>
      </w:r>
      <w:r w:rsidR="005079F9" w:rsidRPr="008A0C9F">
        <w:rPr>
          <w:rFonts w:ascii="MetaPro-Norm" w:hAnsi="MetaPro-Norm" w:cstheme="minorHAnsi"/>
          <w:b/>
          <w:bCs/>
        </w:rPr>
        <w:t>R</w:t>
      </w:r>
      <w:r w:rsidRPr="008A0C9F">
        <w:rPr>
          <w:rFonts w:ascii="MetaPro-Norm" w:hAnsi="MetaPro-Norm" w:cstheme="minorHAnsi"/>
          <w:b/>
          <w:bCs/>
        </w:rPr>
        <w:t xml:space="preserve">estrictions, </w:t>
      </w:r>
      <w:r w:rsidR="005079F9" w:rsidRPr="008A0C9F">
        <w:rPr>
          <w:rFonts w:ascii="MetaPro-Norm" w:hAnsi="MetaPro-Norm" w:cstheme="minorHAnsi"/>
          <w:b/>
          <w:bCs/>
        </w:rPr>
        <w:t>F</w:t>
      </w:r>
      <w:r w:rsidRPr="008A0C9F">
        <w:rPr>
          <w:rFonts w:ascii="MetaPro-Norm" w:hAnsi="MetaPro-Norm" w:cstheme="minorHAnsi"/>
          <w:b/>
          <w:bCs/>
        </w:rPr>
        <w:t xml:space="preserve">orced </w:t>
      </w:r>
      <w:r w:rsidR="005079F9" w:rsidRPr="008A0C9F">
        <w:rPr>
          <w:rFonts w:ascii="MetaPro-Norm" w:hAnsi="MetaPro-Norm" w:cstheme="minorHAnsi"/>
          <w:b/>
          <w:bCs/>
        </w:rPr>
        <w:t>E</w:t>
      </w:r>
      <w:r w:rsidRPr="008A0C9F">
        <w:rPr>
          <w:rFonts w:ascii="MetaPro-Norm" w:hAnsi="MetaPro-Norm" w:cstheme="minorHAnsi"/>
          <w:b/>
          <w:bCs/>
        </w:rPr>
        <w:t xml:space="preserve">viction and </w:t>
      </w:r>
      <w:r w:rsidR="005079F9" w:rsidRPr="008A0C9F">
        <w:rPr>
          <w:rFonts w:ascii="MetaPro-Norm" w:hAnsi="MetaPro-Norm" w:cstheme="minorHAnsi"/>
          <w:b/>
          <w:bCs/>
        </w:rPr>
        <w:t>H</w:t>
      </w:r>
      <w:r w:rsidRPr="008A0C9F">
        <w:rPr>
          <w:rFonts w:ascii="MetaPro-Norm" w:hAnsi="MetaPro-Norm" w:cstheme="minorHAnsi"/>
          <w:b/>
          <w:bCs/>
        </w:rPr>
        <w:t xml:space="preserve">ome </w:t>
      </w:r>
      <w:r w:rsidR="005079F9" w:rsidRPr="008A0C9F">
        <w:rPr>
          <w:rFonts w:ascii="MetaPro-Norm" w:hAnsi="MetaPro-Norm" w:cstheme="minorHAnsi"/>
          <w:b/>
          <w:bCs/>
        </w:rPr>
        <w:t>D</w:t>
      </w:r>
      <w:r w:rsidRPr="008A0C9F">
        <w:rPr>
          <w:rFonts w:ascii="MetaPro-Norm" w:hAnsi="MetaPro-Norm" w:cstheme="minorHAnsi"/>
          <w:b/>
          <w:bCs/>
        </w:rPr>
        <w:t xml:space="preserve">emolitions </w:t>
      </w:r>
      <w:r w:rsidR="005079F9" w:rsidRPr="008A0C9F">
        <w:rPr>
          <w:rFonts w:ascii="MetaPro-Norm" w:hAnsi="MetaPro-Norm" w:cstheme="minorHAnsi"/>
          <w:b/>
          <w:bCs/>
        </w:rPr>
        <w:t>A</w:t>
      </w:r>
      <w:r w:rsidRPr="008A0C9F">
        <w:rPr>
          <w:rFonts w:ascii="MetaPro-Norm" w:hAnsi="MetaPro-Norm" w:cstheme="minorHAnsi"/>
          <w:b/>
          <w:bCs/>
        </w:rPr>
        <w:t xml:space="preserve">dversely </w:t>
      </w:r>
      <w:r w:rsidR="005079F9" w:rsidRPr="008A0C9F">
        <w:rPr>
          <w:rFonts w:ascii="MetaPro-Norm" w:hAnsi="MetaPro-Norm" w:cstheme="minorHAnsi"/>
          <w:b/>
          <w:bCs/>
        </w:rPr>
        <w:t>I</w:t>
      </w:r>
      <w:r w:rsidRPr="008A0C9F">
        <w:rPr>
          <w:rFonts w:ascii="MetaPro-Norm" w:hAnsi="MetaPro-Norm" w:cstheme="minorHAnsi"/>
          <w:b/>
          <w:bCs/>
        </w:rPr>
        <w:t xml:space="preserve">mpacting </w:t>
      </w:r>
      <w:r w:rsidR="005079F9" w:rsidRPr="008A0C9F">
        <w:rPr>
          <w:rFonts w:ascii="MetaPro-Norm" w:hAnsi="MetaPro-Norm" w:cstheme="minorHAnsi"/>
          <w:b/>
          <w:bCs/>
        </w:rPr>
        <w:t>W</w:t>
      </w:r>
      <w:r w:rsidRPr="008A0C9F">
        <w:rPr>
          <w:rFonts w:ascii="MetaPro-Norm" w:hAnsi="MetaPro-Norm" w:cstheme="minorHAnsi"/>
          <w:b/>
          <w:bCs/>
        </w:rPr>
        <w:t xml:space="preserve">omen’s </w:t>
      </w:r>
      <w:r w:rsidR="005079F9" w:rsidRPr="008A0C9F">
        <w:rPr>
          <w:rFonts w:ascii="MetaPro-Norm" w:hAnsi="MetaPro-Norm" w:cstheme="minorHAnsi"/>
          <w:b/>
          <w:bCs/>
        </w:rPr>
        <w:t>H</w:t>
      </w:r>
      <w:r w:rsidRPr="008A0C9F">
        <w:rPr>
          <w:rFonts w:ascii="MetaPro-Norm" w:hAnsi="MetaPro-Norm" w:cstheme="minorHAnsi"/>
          <w:b/>
          <w:bCs/>
        </w:rPr>
        <w:t xml:space="preserve">uman </w:t>
      </w:r>
      <w:r w:rsidR="005079F9" w:rsidRPr="008A0C9F">
        <w:rPr>
          <w:rFonts w:ascii="MetaPro-Norm" w:hAnsi="MetaPro-Norm" w:cstheme="minorHAnsi"/>
          <w:b/>
          <w:bCs/>
        </w:rPr>
        <w:t>R</w:t>
      </w:r>
      <w:r w:rsidRPr="008A0C9F">
        <w:rPr>
          <w:rFonts w:ascii="MetaPro-Norm" w:hAnsi="MetaPro-Norm" w:cstheme="minorHAnsi"/>
          <w:b/>
          <w:bCs/>
        </w:rPr>
        <w:t>ights (CEDAW articles 3 and 14)</w:t>
      </w:r>
    </w:p>
    <w:p w14:paraId="77B08C2A" w14:textId="13850A90" w:rsidR="00146779" w:rsidRPr="008A0C9F" w:rsidRDefault="00477CD4" w:rsidP="008A6BF6">
      <w:pPr>
        <w:rPr>
          <w:rFonts w:ascii="MetaPro-Norm" w:hAnsi="MetaPro-Norm" w:cstheme="minorHAnsi"/>
        </w:rPr>
      </w:pPr>
      <w:r w:rsidRPr="008A0C9F">
        <w:rPr>
          <w:rFonts w:ascii="MetaPro-Norm" w:hAnsi="MetaPro-Norm" w:cstheme="minorHAnsi"/>
        </w:rPr>
        <w:t>Israel’s continued restrictions on building, particularly in the 60 percent of the West Bank under exclusive Israeli control (Area C), East Jerusalem, and in unrecognized Palestinians Bedouin villages inside Israel, together with the resulting forced evictions and home demolitions, hinders women’s human rights including their right to enjoy adequate living conditions, particularly in relation to housing.</w:t>
      </w:r>
    </w:p>
    <w:p w14:paraId="7AD01ECE" w14:textId="146FB545" w:rsidR="00760F7E" w:rsidRPr="008A0C9F" w:rsidRDefault="00760F7E" w:rsidP="00760F7E">
      <w:pPr>
        <w:rPr>
          <w:rFonts w:ascii="MetaPro-Norm" w:hAnsi="MetaPro-Norm" w:cstheme="minorHAnsi"/>
        </w:rPr>
      </w:pPr>
      <w:r w:rsidRPr="008A0C9F">
        <w:rPr>
          <w:rFonts w:ascii="MetaPro-Norm" w:hAnsi="MetaPro-Norm" w:cstheme="minorHAnsi"/>
        </w:rPr>
        <w:t xml:space="preserve">Between January </w:t>
      </w:r>
      <w:r w:rsidR="000C17ED" w:rsidRPr="008A0C9F">
        <w:rPr>
          <w:rFonts w:ascii="MetaPro-Norm" w:hAnsi="MetaPro-Norm" w:cstheme="minorHAnsi"/>
        </w:rPr>
        <w:t xml:space="preserve">1, </w:t>
      </w:r>
      <w:proofErr w:type="gramStart"/>
      <w:r w:rsidRPr="008A0C9F">
        <w:rPr>
          <w:rFonts w:ascii="MetaPro-Norm" w:hAnsi="MetaPro-Norm" w:cstheme="minorHAnsi"/>
        </w:rPr>
        <w:t>2018</w:t>
      </w:r>
      <w:proofErr w:type="gramEnd"/>
      <w:r w:rsidRPr="008A0C9F">
        <w:rPr>
          <w:rFonts w:ascii="MetaPro-Norm" w:hAnsi="MetaPro-Norm" w:cstheme="minorHAnsi"/>
        </w:rPr>
        <w:t xml:space="preserve"> and </w:t>
      </w:r>
      <w:r w:rsidR="0028576C" w:rsidRPr="008A0C9F">
        <w:rPr>
          <w:rFonts w:ascii="MetaPro-Norm" w:hAnsi="MetaPro-Norm" w:cstheme="minorHAnsi"/>
        </w:rPr>
        <w:t>September 17, 2023</w:t>
      </w:r>
      <w:r w:rsidRPr="008A0C9F">
        <w:rPr>
          <w:rFonts w:ascii="MetaPro-Norm" w:hAnsi="MetaPro-Norm" w:cstheme="minorHAnsi"/>
        </w:rPr>
        <w:t xml:space="preserve">, Israeli authorities demolished </w:t>
      </w:r>
      <w:r w:rsidR="0028576C" w:rsidRPr="008A0C9F">
        <w:rPr>
          <w:rFonts w:ascii="MetaPro-Norm" w:hAnsi="MetaPro-Norm" w:cstheme="minorHAnsi"/>
        </w:rPr>
        <w:t>4,</w:t>
      </w:r>
      <w:r w:rsidR="000C17ED" w:rsidRPr="008A0C9F">
        <w:rPr>
          <w:rFonts w:ascii="MetaPro-Norm" w:hAnsi="MetaPro-Norm" w:cstheme="minorHAnsi"/>
        </w:rPr>
        <w:t xml:space="preserve">522 </w:t>
      </w:r>
      <w:r w:rsidRPr="008A0C9F">
        <w:rPr>
          <w:rFonts w:ascii="MetaPro-Norm" w:hAnsi="MetaPro-Norm" w:cstheme="minorHAnsi"/>
        </w:rPr>
        <w:t xml:space="preserve">Palestinian homes and other structures in the </w:t>
      </w:r>
      <w:r w:rsidR="000C17ED" w:rsidRPr="008A0C9F">
        <w:rPr>
          <w:rFonts w:ascii="MetaPro-Norm" w:hAnsi="MetaPro-Norm" w:cstheme="minorHAnsi"/>
        </w:rPr>
        <w:t xml:space="preserve">occupied </w:t>
      </w:r>
      <w:r w:rsidRPr="008A0C9F">
        <w:rPr>
          <w:rFonts w:ascii="MetaPro-Norm" w:hAnsi="MetaPro-Norm" w:cstheme="minorHAnsi"/>
        </w:rPr>
        <w:t xml:space="preserve">West Bank, including East Jerusalem, displacing </w:t>
      </w:r>
      <w:r w:rsidR="000C17ED" w:rsidRPr="008A0C9F">
        <w:rPr>
          <w:rFonts w:ascii="MetaPro-Norm" w:hAnsi="MetaPro-Norm" w:cstheme="minorHAnsi"/>
        </w:rPr>
        <w:t>5,738</w:t>
      </w:r>
      <w:r w:rsidRPr="008A0C9F">
        <w:rPr>
          <w:rFonts w:ascii="MetaPro-Norm" w:hAnsi="MetaPro-Norm" w:cstheme="minorHAnsi"/>
        </w:rPr>
        <w:t xml:space="preserve"> people, according to OCHA.</w:t>
      </w:r>
      <w:r w:rsidR="000E6584" w:rsidRPr="008A0C9F">
        <w:rPr>
          <w:rStyle w:val="FootnoteReference"/>
          <w:rFonts w:ascii="MetaPro-Norm" w:hAnsi="MetaPro-Norm" w:cstheme="minorHAnsi"/>
          <w:shd w:val="clear" w:color="auto" w:fill="FFFFFF"/>
        </w:rPr>
        <w:footnoteReference w:id="47"/>
      </w:r>
    </w:p>
    <w:p w14:paraId="4879522A" w14:textId="278872D6" w:rsidR="007E3402" w:rsidRPr="008A0C9F" w:rsidRDefault="00760F7E" w:rsidP="007E3402">
      <w:pPr>
        <w:rPr>
          <w:rFonts w:ascii="MetaPro-Norm" w:hAnsi="MetaPro-Norm" w:cstheme="minorHAnsi"/>
        </w:rPr>
      </w:pPr>
      <w:r w:rsidRPr="008A0C9F">
        <w:rPr>
          <w:rFonts w:ascii="MetaPro-Norm" w:hAnsi="MetaPro-Norm" w:cstheme="minorHAnsi"/>
        </w:rPr>
        <w:t>Most structures were demolished for lacking building permits, which authorities make nearly impossible for Palestinians to obtain in Area C</w:t>
      </w:r>
      <w:r w:rsidR="00B36462" w:rsidRPr="008A0C9F">
        <w:rPr>
          <w:rFonts w:ascii="MetaPro-Norm" w:hAnsi="MetaPro-Norm" w:cstheme="minorHAnsi"/>
        </w:rPr>
        <w:t xml:space="preserve"> of the West Bank </w:t>
      </w:r>
      <w:r w:rsidRPr="008A0C9F">
        <w:rPr>
          <w:rFonts w:ascii="MetaPro-Norm" w:hAnsi="MetaPro-Norm" w:cstheme="minorHAnsi"/>
        </w:rPr>
        <w:t>and in East Jerusalem</w:t>
      </w:r>
      <w:r w:rsidR="00B36462" w:rsidRPr="008A0C9F">
        <w:rPr>
          <w:rFonts w:ascii="MetaPro-Norm" w:hAnsi="MetaPro-Norm" w:cstheme="minorHAnsi"/>
        </w:rPr>
        <w:t>.</w:t>
      </w:r>
      <w:r w:rsidR="00B36462" w:rsidRPr="008A0C9F">
        <w:rPr>
          <w:rStyle w:val="FootnoteReference"/>
          <w:rFonts w:ascii="MetaPro-Norm" w:hAnsi="MetaPro-Norm" w:cstheme="minorHAnsi"/>
          <w:shd w:val="clear" w:color="auto" w:fill="FFFFFF"/>
        </w:rPr>
        <w:footnoteReference w:id="48"/>
      </w:r>
      <w:r w:rsidRPr="008A0C9F">
        <w:rPr>
          <w:rFonts w:ascii="MetaPro-Norm" w:hAnsi="MetaPro-Norm" w:cstheme="minorHAnsi"/>
        </w:rPr>
        <w:t> In Area C, for example, authorities approved less than 1.5 percent of applications by Palestinians to build between 2016 and 2018—21 in total—a figure 100 times smaller than the number of demolition orders it issued in the same period, according to official data.</w:t>
      </w:r>
      <w:r w:rsidR="00B36462" w:rsidRPr="008A0C9F">
        <w:rPr>
          <w:rStyle w:val="FootnoteReference"/>
          <w:rFonts w:ascii="MetaPro-Norm" w:hAnsi="MetaPro-Norm" w:cstheme="minorHAnsi"/>
          <w:shd w:val="clear" w:color="auto" w:fill="FFFFFF"/>
        </w:rPr>
        <w:footnoteReference w:id="49"/>
      </w:r>
      <w:r w:rsidRPr="008A0C9F">
        <w:rPr>
          <w:rFonts w:ascii="MetaPro-Norm" w:hAnsi="MetaPro-Norm" w:cstheme="minorHAnsi"/>
        </w:rPr>
        <w:t> </w:t>
      </w:r>
      <w:r w:rsidR="000C7DEE" w:rsidRPr="008A0C9F">
        <w:rPr>
          <w:rFonts w:ascii="MetaPro-Norm" w:hAnsi="MetaPro-Norm" w:cstheme="minorHAnsi"/>
        </w:rPr>
        <w:t>For the 20-year period between 2000 and 2019, Israeli authorities approved only 245 building permits for Palestinians in Area C, less than 4 percent of the number of applications submitted</w:t>
      </w:r>
      <w:r w:rsidR="007E4805" w:rsidRPr="008A0C9F">
        <w:rPr>
          <w:rFonts w:ascii="MetaPro-Norm" w:hAnsi="MetaPro-Norm" w:cstheme="minorHAnsi"/>
        </w:rPr>
        <w:t xml:space="preserve">. </w:t>
      </w:r>
      <w:r w:rsidRPr="008A0C9F">
        <w:rPr>
          <w:rFonts w:ascii="MetaPro-Norm" w:hAnsi="MetaPro-Norm" w:cstheme="minorHAnsi"/>
        </w:rPr>
        <w:t xml:space="preserve">These discriminatory measures effectively force </w:t>
      </w:r>
      <w:r w:rsidRPr="008A0C9F">
        <w:rPr>
          <w:rFonts w:ascii="MetaPro-Norm" w:hAnsi="MetaPro-Norm" w:cstheme="minorHAnsi"/>
        </w:rPr>
        <w:lastRenderedPageBreak/>
        <w:t xml:space="preserve">Palestinians to leave their homes or to build at the risk of having their “unauthorized” structures bulldozed. </w:t>
      </w:r>
    </w:p>
    <w:p w14:paraId="37E0BB22" w14:textId="18E0B430" w:rsidR="00760F7E" w:rsidRPr="008A0C9F" w:rsidRDefault="00760F7E" w:rsidP="006500F0">
      <w:pPr>
        <w:rPr>
          <w:rFonts w:ascii="MetaPro-Norm" w:hAnsi="MetaPro-Norm" w:cstheme="minorHAnsi"/>
        </w:rPr>
      </w:pPr>
      <w:r w:rsidRPr="008A0C9F">
        <w:rPr>
          <w:rFonts w:ascii="MetaPro-Norm" w:hAnsi="MetaPro-Norm" w:cstheme="minorHAnsi"/>
        </w:rPr>
        <w:t>Israeli authorities have also punitively demolished the homes of families of Palestinians suspected of attacking Israelis, even though international humanitarian law prohibits such collective punishment.</w:t>
      </w:r>
      <w:r w:rsidR="007E3402" w:rsidRPr="008A0C9F">
        <w:rPr>
          <w:rStyle w:val="FootnoteReference"/>
          <w:rFonts w:ascii="MetaPro-Norm" w:hAnsi="MetaPro-Norm" w:cstheme="minorHAnsi"/>
        </w:rPr>
        <w:footnoteReference w:id="50"/>
      </w:r>
      <w:r w:rsidRPr="008A0C9F">
        <w:rPr>
          <w:rFonts w:ascii="MetaPro-Norm" w:hAnsi="MetaPro-Norm" w:cstheme="minorHAnsi"/>
        </w:rPr>
        <w:t> International humanitarian law prohibits an occupying power from destroying property unless “absolutely necessary” for “military operations.”</w:t>
      </w:r>
      <w:r w:rsidR="007E3402" w:rsidRPr="008A0C9F">
        <w:rPr>
          <w:rStyle w:val="FootnoteReference"/>
          <w:rFonts w:ascii="MetaPro-Norm" w:hAnsi="MetaPro-Norm" w:cstheme="minorHAnsi"/>
        </w:rPr>
        <w:t xml:space="preserve"> </w:t>
      </w:r>
      <w:r w:rsidR="007E3402" w:rsidRPr="008A0C9F">
        <w:rPr>
          <w:rStyle w:val="FootnoteReference"/>
          <w:rFonts w:ascii="MetaPro-Norm" w:hAnsi="MetaPro-Norm" w:cstheme="minorHAnsi"/>
        </w:rPr>
        <w:footnoteReference w:id="51"/>
      </w:r>
      <w:r w:rsidRPr="008A0C9F">
        <w:rPr>
          <w:rFonts w:ascii="MetaPro-Norm" w:hAnsi="MetaPro-Norm" w:cstheme="minorHAnsi"/>
        </w:rPr>
        <w:t> </w:t>
      </w:r>
      <w:r w:rsidR="007E3402" w:rsidRPr="008A0C9F">
        <w:rPr>
          <w:rFonts w:ascii="MetaPro-Norm" w:hAnsi="MetaPro-Norm" w:cstheme="minorHAnsi"/>
        </w:rPr>
        <w:t xml:space="preserve"> </w:t>
      </w:r>
    </w:p>
    <w:p w14:paraId="14B4F083" w14:textId="2DE13FFA" w:rsidR="00313F78" w:rsidRPr="008A0C9F" w:rsidRDefault="00521BF5" w:rsidP="006500F0">
      <w:pPr>
        <w:rPr>
          <w:rFonts w:ascii="MetaPro-Norm" w:hAnsi="MetaPro-Norm" w:cstheme="minorHAnsi"/>
        </w:rPr>
      </w:pPr>
      <w:r w:rsidRPr="008A0C9F">
        <w:rPr>
          <w:rFonts w:ascii="MetaPro-Norm" w:hAnsi="MetaPro-Norm" w:cstheme="minorHAnsi"/>
        </w:rPr>
        <w:t>I</w:t>
      </w:r>
      <w:r w:rsidR="00313F78" w:rsidRPr="008A0C9F">
        <w:rPr>
          <w:rFonts w:ascii="MetaPro-Norm" w:hAnsi="MetaPro-Norm" w:cstheme="minorHAnsi"/>
        </w:rPr>
        <w:t>n the Negev region</w:t>
      </w:r>
      <w:r w:rsidRPr="008A0C9F">
        <w:rPr>
          <w:rFonts w:ascii="MetaPro-Norm" w:hAnsi="MetaPro-Norm" w:cstheme="minorHAnsi"/>
        </w:rPr>
        <w:t xml:space="preserve"> of Israel</w:t>
      </w:r>
      <w:r w:rsidR="00523EDE" w:rsidRPr="008A0C9F">
        <w:rPr>
          <w:rFonts w:ascii="MetaPro-Norm" w:hAnsi="MetaPro-Norm" w:cstheme="minorHAnsi"/>
        </w:rPr>
        <w:t>,</w:t>
      </w:r>
      <w:r w:rsidR="00313F78" w:rsidRPr="008A0C9F">
        <w:rPr>
          <w:rFonts w:ascii="MetaPro-Norm" w:hAnsi="MetaPro-Norm" w:cstheme="minorHAnsi"/>
        </w:rPr>
        <w:t xml:space="preserve"> Israeli authorities have refused to legally recognize 35 Palestinian Bedouin communities, making it impossible for their 90,000 or so residents to reside lawfully in the communities they have lived in for decades. Instead, authorities have sought to concentrate Bedouin communities in larger recognized townships in order, as expressed in governmental plans and statements by officials, to maximize the land available for Jewish communities. Israeli law considers all buildings in unrecognized villages to be illegal, and authorities have refused to connect most to the national electricity or water grids or to provide even basic infrastructure such as paved roads or sewage systems. The communities do not appear on official maps, most have no educational facilities, and residents live under constant threat of having their homes demolished.</w:t>
      </w:r>
      <w:r w:rsidR="006C35DB" w:rsidRPr="008A0C9F">
        <w:rPr>
          <w:rStyle w:val="FootnoteReference"/>
          <w:rFonts w:ascii="MetaPro-Norm" w:hAnsi="MetaPro-Norm" w:cstheme="minorHAnsi"/>
        </w:rPr>
        <w:footnoteReference w:id="52"/>
      </w:r>
      <w:r w:rsidR="00313F78" w:rsidRPr="008A0C9F">
        <w:rPr>
          <w:rFonts w:ascii="MetaPro-Norm" w:hAnsi="MetaPro-Norm" w:cstheme="minorHAnsi"/>
        </w:rPr>
        <w:t xml:space="preserve"> </w:t>
      </w:r>
      <w:r w:rsidRPr="008A0C9F">
        <w:rPr>
          <w:rFonts w:ascii="MetaPro-Norm" w:hAnsi="MetaPro-Norm" w:cstheme="minorHAnsi"/>
        </w:rPr>
        <w:t>There have been m</w:t>
      </w:r>
      <w:r w:rsidR="00313F78" w:rsidRPr="008A0C9F">
        <w:rPr>
          <w:rFonts w:ascii="MetaPro-Norm" w:hAnsi="MetaPro-Norm" w:cstheme="minorHAnsi"/>
        </w:rPr>
        <w:t xml:space="preserve">ore than 10,000 </w:t>
      </w:r>
      <w:r w:rsidRPr="008A0C9F">
        <w:rPr>
          <w:rFonts w:ascii="MetaPro-Norm" w:hAnsi="MetaPro-Norm" w:cstheme="minorHAnsi"/>
        </w:rPr>
        <w:t xml:space="preserve">demolitions of </w:t>
      </w:r>
      <w:r w:rsidR="00313F78" w:rsidRPr="008A0C9F">
        <w:rPr>
          <w:rFonts w:ascii="MetaPro-Norm" w:hAnsi="MetaPro-Norm" w:cstheme="minorHAnsi"/>
        </w:rPr>
        <w:t>Bedouin homes in the Negev between 2013 and 2019, according to government data.</w:t>
      </w:r>
      <w:r w:rsidR="006C35DB" w:rsidRPr="008A0C9F">
        <w:rPr>
          <w:rStyle w:val="FootnoteReference"/>
          <w:rFonts w:ascii="MetaPro-Norm" w:hAnsi="MetaPro-Norm" w:cstheme="minorHAnsi"/>
        </w:rPr>
        <w:t xml:space="preserve"> </w:t>
      </w:r>
      <w:r w:rsidR="006C35DB" w:rsidRPr="008A0C9F">
        <w:rPr>
          <w:rStyle w:val="FootnoteReference"/>
          <w:rFonts w:ascii="MetaPro-Norm" w:hAnsi="MetaPro-Norm" w:cstheme="minorHAnsi"/>
        </w:rPr>
        <w:footnoteReference w:id="53"/>
      </w:r>
      <w:r w:rsidR="00313F78" w:rsidRPr="008A0C9F">
        <w:rPr>
          <w:rFonts w:ascii="MetaPro-Norm" w:hAnsi="MetaPro-Norm" w:cstheme="minorHAnsi"/>
        </w:rPr>
        <w:t xml:space="preserve"> They have razed one unrecognized village that challenged the expropriation of its lands, al-</w:t>
      </w:r>
      <w:proofErr w:type="spellStart"/>
      <w:r w:rsidR="00313F78" w:rsidRPr="008A0C9F">
        <w:rPr>
          <w:rFonts w:ascii="MetaPro-Norm" w:hAnsi="MetaPro-Norm" w:cstheme="minorHAnsi"/>
        </w:rPr>
        <w:t>Araqib</w:t>
      </w:r>
      <w:proofErr w:type="spellEnd"/>
      <w:r w:rsidR="00313F78" w:rsidRPr="008A0C9F">
        <w:rPr>
          <w:rFonts w:ascii="MetaPro-Norm" w:hAnsi="MetaPro-Norm" w:cstheme="minorHAnsi"/>
        </w:rPr>
        <w:t>, more than 200 times.</w:t>
      </w:r>
      <w:r w:rsidR="006C35DB" w:rsidRPr="008A0C9F">
        <w:rPr>
          <w:rStyle w:val="FootnoteReference"/>
          <w:rFonts w:ascii="MetaPro-Norm" w:hAnsi="MetaPro-Norm" w:cstheme="minorHAnsi"/>
        </w:rPr>
        <w:footnoteReference w:id="54"/>
      </w:r>
    </w:p>
    <w:p w14:paraId="04A22952" w14:textId="7AFEAAFB" w:rsidR="00170444" w:rsidRPr="008A0C9F" w:rsidRDefault="00170444" w:rsidP="00170444">
      <w:pPr>
        <w:rPr>
          <w:rFonts w:ascii="MetaPro-Norm" w:hAnsi="MetaPro-Norm" w:cstheme="minorHAnsi"/>
        </w:rPr>
      </w:pPr>
      <w:r w:rsidRPr="008A0C9F">
        <w:rPr>
          <w:rFonts w:ascii="MetaPro-Norm" w:hAnsi="MetaPro-Norm" w:cstheme="minorHAnsi"/>
        </w:rPr>
        <w:t>Demolitions upend family life</w:t>
      </w:r>
      <w:r w:rsidR="00ED3103" w:rsidRPr="008A0C9F">
        <w:rPr>
          <w:rFonts w:ascii="MetaPro-Norm" w:hAnsi="MetaPro-Norm" w:cstheme="minorHAnsi"/>
        </w:rPr>
        <w:t xml:space="preserve">, acutely affecting the lives of Palestinian women (as well as men). </w:t>
      </w:r>
      <w:r w:rsidRPr="008A0C9F">
        <w:rPr>
          <w:rFonts w:ascii="MetaPro-Norm" w:hAnsi="MetaPro-Norm" w:cstheme="minorHAnsi"/>
        </w:rPr>
        <w:t xml:space="preserve">Human Rights Watch has interviewed dozens of women over the years, who have </w:t>
      </w:r>
      <w:r w:rsidRPr="008A0C9F">
        <w:rPr>
          <w:rFonts w:ascii="MetaPro-Norm" w:hAnsi="MetaPro-Norm" w:cstheme="minorHAnsi"/>
        </w:rPr>
        <w:lastRenderedPageBreak/>
        <w:t>described the emotional impact of seeing their home demolished and the lasting practical consequences, including a struggle to feed their families, keep their meag</w:t>
      </w:r>
      <w:r w:rsidR="00521BF5" w:rsidRPr="008A0C9F">
        <w:rPr>
          <w:rFonts w:ascii="MetaPro-Norm" w:hAnsi="MetaPro-Norm" w:cstheme="minorHAnsi"/>
        </w:rPr>
        <w:t>e</w:t>
      </w:r>
      <w:r w:rsidRPr="008A0C9F">
        <w:rPr>
          <w:rFonts w:ascii="MetaPro-Norm" w:hAnsi="MetaPro-Norm" w:cstheme="minorHAnsi"/>
        </w:rPr>
        <w:t>r belongings clean, and take care of children.</w:t>
      </w:r>
      <w:r w:rsidR="00426600" w:rsidRPr="008A0C9F">
        <w:rPr>
          <w:rStyle w:val="FootnoteReference"/>
          <w:rFonts w:ascii="MetaPro-Norm" w:hAnsi="MetaPro-Norm" w:cstheme="minorHAnsi"/>
        </w:rPr>
        <w:footnoteReference w:id="55"/>
      </w:r>
    </w:p>
    <w:p w14:paraId="5C17D035" w14:textId="5242689F" w:rsidR="00170444" w:rsidRPr="008A0C9F" w:rsidRDefault="00170444" w:rsidP="00C42F75">
      <w:pPr>
        <w:rPr>
          <w:rFonts w:ascii="MetaPro-Norm" w:hAnsi="MetaPro-Norm" w:cstheme="minorHAnsi"/>
        </w:rPr>
      </w:pPr>
      <w:r w:rsidRPr="008A0C9F">
        <w:rPr>
          <w:rFonts w:ascii="MetaPro-Norm" w:hAnsi="MetaPro-Norm" w:cstheme="minorHAnsi"/>
        </w:rPr>
        <w:t xml:space="preserve">More generally, these policies undermine educational and economic opportunities within these communities. </w:t>
      </w:r>
      <w:r w:rsidR="00973327" w:rsidRPr="008A0C9F">
        <w:rPr>
          <w:rFonts w:ascii="MetaPro-Norm" w:hAnsi="MetaPro-Norm" w:cstheme="minorHAnsi"/>
        </w:rPr>
        <w:t>Schools have been among the structures demolished by Israeli authorities for lacking a building permit; Israeli military authorities demolished or confiscated Palestinian school buildings or property in the West Bank at least 16 times from 2010 to April 2018, with 12 incidents since 2016.</w:t>
      </w:r>
      <w:r w:rsidR="00EB43D3" w:rsidRPr="008A0C9F">
        <w:rPr>
          <w:rStyle w:val="FootnoteReference"/>
          <w:rFonts w:ascii="MetaPro-Norm" w:hAnsi="MetaPro-Norm" w:cstheme="minorHAnsi"/>
        </w:rPr>
        <w:t xml:space="preserve"> </w:t>
      </w:r>
      <w:r w:rsidR="00EB43D3" w:rsidRPr="008A0C9F">
        <w:rPr>
          <w:rStyle w:val="FootnoteReference"/>
          <w:rFonts w:ascii="MetaPro-Norm" w:hAnsi="MetaPro-Norm" w:cstheme="minorHAnsi"/>
        </w:rPr>
        <w:footnoteReference w:id="56"/>
      </w:r>
      <w:r w:rsidR="00A528F2" w:rsidRPr="008A0C9F">
        <w:rPr>
          <w:rFonts w:ascii="MetaPro-Norm" w:hAnsi="MetaPro-Norm" w:cstheme="minorHAnsi"/>
        </w:rPr>
        <w:t xml:space="preserve"> A UN 2016 country analysis found that over a third of Palestinian communities </w:t>
      </w:r>
      <w:r w:rsidR="00DB6972" w:rsidRPr="008A0C9F">
        <w:rPr>
          <w:rFonts w:ascii="MetaPro-Norm" w:hAnsi="MetaPro-Norm" w:cstheme="minorHAnsi"/>
        </w:rPr>
        <w:t>in Area C</w:t>
      </w:r>
      <w:r w:rsidR="00A528F2" w:rsidRPr="008A0C9F">
        <w:rPr>
          <w:rFonts w:ascii="MetaPro-Norm" w:hAnsi="MetaPro-Norm" w:cstheme="minorHAnsi"/>
        </w:rPr>
        <w:t xml:space="preserve"> did not have primary schools, and 10,000 children attended school in tents, shacks, or other structures without heating or air-conditioning.</w:t>
      </w:r>
      <w:r w:rsidR="00A528F2" w:rsidRPr="008A0C9F">
        <w:rPr>
          <w:rStyle w:val="FootnoteReference"/>
          <w:rFonts w:ascii="MetaPro-Norm" w:hAnsi="MetaPro-Norm" w:cstheme="minorHAnsi"/>
        </w:rPr>
        <w:footnoteReference w:id="57"/>
      </w:r>
      <w:r w:rsidR="00A528F2" w:rsidRPr="008A0C9F">
        <w:rPr>
          <w:rFonts w:ascii="MetaPro-Norm" w:hAnsi="MetaPro-Norm" w:cstheme="minorHAnsi"/>
        </w:rPr>
        <w:t xml:space="preserve"> About 1,700 children had to walk five or more kilometers to school due to road closures, lack of passable roads or transportation, or other problems, according to 2015 UN estimates.</w:t>
      </w:r>
      <w:r w:rsidR="00A528F2" w:rsidRPr="008A0C9F">
        <w:rPr>
          <w:rStyle w:val="FootnoteReference"/>
          <w:rFonts w:ascii="MetaPro-Norm" w:hAnsi="MetaPro-Norm" w:cstheme="minorHAnsi"/>
        </w:rPr>
        <w:footnoteReference w:id="58"/>
      </w:r>
      <w:r w:rsidR="00A528F2" w:rsidRPr="008A0C9F">
        <w:rPr>
          <w:rFonts w:ascii="MetaPro-Norm" w:hAnsi="MetaPro-Norm" w:cstheme="minorHAnsi"/>
        </w:rPr>
        <w:t xml:space="preserve"> The long distances and fear of harassment by settlers or the military lead some parents to take their children out of school, with a disproportionate impact on girls</w:t>
      </w:r>
      <w:r w:rsidR="00C42F75" w:rsidRPr="008A0C9F">
        <w:rPr>
          <w:rFonts w:ascii="MetaPro-Norm" w:hAnsi="MetaPro-Norm" w:cstheme="minorHAnsi"/>
        </w:rPr>
        <w:t>, making it more difficult for them to find meaningful employment</w:t>
      </w:r>
      <w:r w:rsidR="00796343" w:rsidRPr="008A0C9F">
        <w:rPr>
          <w:rFonts w:ascii="MetaPro-Norm" w:hAnsi="MetaPro-Norm" w:cstheme="minorHAnsi"/>
        </w:rPr>
        <w:t xml:space="preserve"> later in life</w:t>
      </w:r>
      <w:r w:rsidR="00A528F2" w:rsidRPr="008A0C9F">
        <w:rPr>
          <w:rFonts w:ascii="MetaPro-Norm" w:hAnsi="MetaPro-Norm" w:cstheme="minorHAnsi"/>
        </w:rPr>
        <w:t>.</w:t>
      </w:r>
      <w:r w:rsidR="006E0E15" w:rsidRPr="008A0C9F">
        <w:rPr>
          <w:rFonts w:ascii="MetaPro-Norm" w:hAnsi="MetaPro-Norm" w:cstheme="minorHAnsi"/>
        </w:rPr>
        <w:t xml:space="preserve"> </w:t>
      </w:r>
      <w:r w:rsidRPr="008A0C9F">
        <w:rPr>
          <w:rFonts w:ascii="MetaPro-Norm" w:hAnsi="MetaPro-Norm" w:cstheme="minorHAnsi"/>
        </w:rPr>
        <w:t>Among many other harmful effects, this structural barrier constrains efforts to achieve gender parity and inhibits the full development and advancement of women in these communities.</w:t>
      </w:r>
    </w:p>
    <w:p w14:paraId="27504695" w14:textId="77777777" w:rsidR="007115B8" w:rsidRPr="008A0C9F" w:rsidRDefault="007115B8" w:rsidP="00225ECD">
      <w:pPr>
        <w:pStyle w:val="NormalWeb"/>
        <w:shd w:val="clear" w:color="auto" w:fill="FFFFFF"/>
        <w:spacing w:before="0" w:beforeAutospacing="0" w:after="0" w:afterAutospacing="0"/>
        <w:jc w:val="both"/>
        <w:rPr>
          <w:rStyle w:val="tooltip-container"/>
          <w:rFonts w:ascii="MetaPro-Norm" w:hAnsi="MetaPro-Norm" w:cstheme="minorHAnsi"/>
          <w:sz w:val="22"/>
          <w:szCs w:val="22"/>
          <w:bdr w:val="single" w:sz="2" w:space="0" w:color="auto" w:frame="1"/>
        </w:rPr>
      </w:pPr>
      <w:bookmarkStart w:id="4" w:name="_Hlk144401744"/>
    </w:p>
    <w:bookmarkEnd w:id="4"/>
    <w:p w14:paraId="3B48E424" w14:textId="5B7ED22C" w:rsidR="007115B8" w:rsidRPr="008A0C9F" w:rsidRDefault="007115B8" w:rsidP="002B2D1B">
      <w:pPr>
        <w:rPr>
          <w:rFonts w:ascii="MetaPro-Norm" w:eastAsia="Times New Roman" w:hAnsi="MetaPro-Norm"/>
          <w:b/>
          <w:bCs/>
          <w:i/>
          <w:u w:val="single"/>
        </w:rPr>
      </w:pPr>
      <w:r w:rsidRPr="008A0C9F">
        <w:rPr>
          <w:rFonts w:ascii="MetaPro-Norm" w:eastAsia="Times New Roman" w:hAnsi="MetaPro-Norm"/>
          <w:b/>
          <w:bCs/>
          <w:i/>
          <w:u w:val="single"/>
        </w:rPr>
        <w:t>In the upcoming adoption of list of issues on the state of Israel, Human Rights Watch urges the Committee to question the Israeli authorities, as the occupying power, regarding the steps it has taken to implement articles 3, and</w:t>
      </w:r>
      <w:r w:rsidR="0019579D" w:rsidRPr="008A0C9F">
        <w:rPr>
          <w:rFonts w:ascii="MetaPro-Norm" w:eastAsia="Times New Roman" w:hAnsi="MetaPro-Norm"/>
          <w:b/>
          <w:bCs/>
          <w:i/>
          <w:u w:val="single"/>
        </w:rPr>
        <w:t xml:space="preserve"> </w:t>
      </w:r>
      <w:r w:rsidR="00D1095D" w:rsidRPr="008A0C9F">
        <w:rPr>
          <w:rFonts w:ascii="MetaPro-Norm" w:eastAsia="Times New Roman" w:hAnsi="MetaPro-Norm"/>
          <w:b/>
          <w:bCs/>
          <w:i/>
          <w:u w:val="single"/>
        </w:rPr>
        <w:t>14</w:t>
      </w:r>
      <w:r w:rsidRPr="008A0C9F">
        <w:rPr>
          <w:rFonts w:ascii="MetaPro-Norm" w:eastAsia="Times New Roman" w:hAnsi="MetaPro-Norm"/>
          <w:b/>
          <w:bCs/>
          <w:i/>
          <w:u w:val="single"/>
        </w:rPr>
        <w:t>, including:</w:t>
      </w:r>
    </w:p>
    <w:p w14:paraId="1F1B18FD" w14:textId="76E76C84" w:rsidR="00A42D17" w:rsidRPr="008A0C9F" w:rsidRDefault="00CE0B4F" w:rsidP="004E1A0B">
      <w:pPr>
        <w:pStyle w:val="ListParagraph"/>
        <w:numPr>
          <w:ilvl w:val="1"/>
          <w:numId w:val="10"/>
        </w:numPr>
        <w:rPr>
          <w:rFonts w:ascii="MetaPro-Norm" w:eastAsia="Times New Roman" w:hAnsi="MetaPro-Norm"/>
          <w:iCs/>
        </w:rPr>
      </w:pPr>
      <w:r w:rsidRPr="008A0C9F">
        <w:rPr>
          <w:rFonts w:ascii="MetaPro-Norm" w:eastAsia="Times New Roman" w:hAnsi="MetaPro-Norm"/>
          <w:iCs/>
        </w:rPr>
        <w:t>Why have Israeli authorities</w:t>
      </w:r>
      <w:r w:rsidR="003D38C1" w:rsidRPr="008A0C9F">
        <w:rPr>
          <w:rFonts w:ascii="MetaPro-Norm" w:eastAsia="Times New Roman" w:hAnsi="MetaPro-Norm"/>
          <w:iCs/>
        </w:rPr>
        <w:t xml:space="preserve"> made virtually impossible for Palestinians to obtain building permits in</w:t>
      </w:r>
      <w:r w:rsidR="00171333" w:rsidRPr="008A0C9F">
        <w:rPr>
          <w:rFonts w:ascii="MetaPro-Norm" w:eastAsia="Times New Roman" w:hAnsi="MetaPro-Norm"/>
          <w:iCs/>
        </w:rPr>
        <w:t xml:space="preserve"> Area C of the West Bank, East </w:t>
      </w:r>
      <w:proofErr w:type="gramStart"/>
      <w:r w:rsidR="00171333" w:rsidRPr="008A0C9F">
        <w:rPr>
          <w:rFonts w:ascii="MetaPro-Norm" w:eastAsia="Times New Roman" w:hAnsi="MetaPro-Norm"/>
          <w:iCs/>
        </w:rPr>
        <w:t>Jerusalem</w:t>
      </w:r>
      <w:proofErr w:type="gramEnd"/>
      <w:r w:rsidR="00171333" w:rsidRPr="008A0C9F">
        <w:rPr>
          <w:rFonts w:ascii="MetaPro-Norm" w:eastAsia="Times New Roman" w:hAnsi="MetaPro-Norm"/>
          <w:iCs/>
        </w:rPr>
        <w:t xml:space="preserve"> and the Negev region of Israel</w:t>
      </w:r>
      <w:r w:rsidR="003D38C1" w:rsidRPr="008A0C9F">
        <w:rPr>
          <w:rFonts w:ascii="MetaPro-Norm" w:eastAsia="Times New Roman" w:hAnsi="MetaPro-Norm"/>
          <w:iCs/>
        </w:rPr>
        <w:t>?</w:t>
      </w:r>
    </w:p>
    <w:sectPr w:rsidR="00A42D17" w:rsidRPr="008A0C9F" w:rsidSect="004E1A0B">
      <w:pgSz w:w="12240" w:h="15840"/>
      <w:pgMar w:top="1440" w:right="1800" w:bottom="180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53936" w14:textId="77777777" w:rsidR="008A76AA" w:rsidRDefault="008A76AA" w:rsidP="000C59DD">
      <w:pPr>
        <w:spacing w:after="0" w:line="240" w:lineRule="auto"/>
      </w:pPr>
      <w:r>
        <w:separator/>
      </w:r>
    </w:p>
  </w:endnote>
  <w:endnote w:type="continuationSeparator" w:id="0">
    <w:p w14:paraId="1DBA22B9" w14:textId="77777777" w:rsidR="008A76AA" w:rsidRDefault="008A76AA" w:rsidP="000C5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taPro-Norm">
    <w:panose1 w:val="020B0504030101020102"/>
    <w:charset w:val="00"/>
    <w:family w:val="swiss"/>
    <w:notTrueType/>
    <w:pitch w:val="variable"/>
    <w:sig w:usb0="A00002F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9E3D8" w14:textId="77777777" w:rsidR="008A76AA" w:rsidRDefault="008A76AA" w:rsidP="000C59DD">
      <w:pPr>
        <w:spacing w:after="0" w:line="240" w:lineRule="auto"/>
      </w:pPr>
      <w:r>
        <w:separator/>
      </w:r>
    </w:p>
  </w:footnote>
  <w:footnote w:type="continuationSeparator" w:id="0">
    <w:p w14:paraId="55C85433" w14:textId="77777777" w:rsidR="008A76AA" w:rsidRDefault="008A76AA" w:rsidP="000C59DD">
      <w:pPr>
        <w:spacing w:after="0" w:line="240" w:lineRule="auto"/>
      </w:pPr>
      <w:r>
        <w:continuationSeparator/>
      </w:r>
    </w:p>
  </w:footnote>
  <w:footnote w:id="1">
    <w:p w14:paraId="4BE1BB64" w14:textId="77777777" w:rsidR="003D0F8E" w:rsidRPr="004E1A0B" w:rsidRDefault="003D0F8E" w:rsidP="003D0F8E">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Human Rights Watch, </w:t>
      </w:r>
      <w:r w:rsidRPr="004E1A0B">
        <w:rPr>
          <w:rFonts w:ascii="MetaPro-Norm" w:hAnsi="MetaPro-Norm" w:cstheme="majorBidi"/>
          <w:i/>
          <w:iCs/>
          <w:sz w:val="16"/>
          <w:szCs w:val="16"/>
        </w:rPr>
        <w:t>A Threshold Crossed: Israeli Authorities and the Crimes of Apartheid and Persecution</w:t>
      </w:r>
      <w:r w:rsidRPr="004E1A0B">
        <w:rPr>
          <w:rFonts w:ascii="MetaPro-Norm" w:hAnsi="MetaPro-Norm" w:cstheme="majorBidi"/>
          <w:sz w:val="16"/>
          <w:szCs w:val="16"/>
        </w:rPr>
        <w:t xml:space="preserve"> (New York: Human Rights Watch, 2021), https://www.hrw.org/report/2021/04/27/threshold-crossed/israeli-authorities-and-crimes-apartheid-and-persecution.</w:t>
      </w:r>
    </w:p>
  </w:footnote>
  <w:footnote w:id="2">
    <w:p w14:paraId="2DDEBB81" w14:textId="115F5894" w:rsidR="003D0F8E" w:rsidRPr="004E1A0B" w:rsidRDefault="003D0F8E" w:rsidP="003D0F8E">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Style w:val="FootnoteReference"/>
          <w:rFonts w:ascii="MetaPro-Norm" w:hAnsi="MetaPro-Norm" w:cstheme="majorBidi"/>
          <w:sz w:val="16"/>
          <w:szCs w:val="16"/>
        </w:rPr>
        <w:t xml:space="preserve"> </w:t>
      </w:r>
      <w:proofErr w:type="spellStart"/>
      <w:r w:rsidRPr="004E1A0B">
        <w:rPr>
          <w:rFonts w:ascii="MetaPro-Norm" w:hAnsi="MetaPro-Norm" w:cstheme="majorBidi"/>
          <w:sz w:val="16"/>
          <w:szCs w:val="16"/>
        </w:rPr>
        <w:t>B’Tselem</w:t>
      </w:r>
      <w:proofErr w:type="spellEnd"/>
      <w:r w:rsidRPr="004E1A0B">
        <w:rPr>
          <w:rFonts w:ascii="MetaPro-Norm" w:hAnsi="MetaPro-Norm" w:cstheme="majorBidi"/>
          <w:sz w:val="16"/>
          <w:szCs w:val="16"/>
        </w:rPr>
        <w:t xml:space="preserve">, </w:t>
      </w:r>
      <w:r w:rsidRPr="004E1A0B">
        <w:rPr>
          <w:rFonts w:ascii="MetaPro-Norm" w:hAnsi="MetaPro-Norm" w:cstheme="majorBidi"/>
          <w:i/>
          <w:iCs/>
          <w:sz w:val="16"/>
          <w:szCs w:val="16"/>
        </w:rPr>
        <w:t>A regime of Jewish supremacy from the Jordan River to the Mediterranean Sea: This is apartheid</w:t>
      </w:r>
      <w:r w:rsidRPr="004E1A0B">
        <w:rPr>
          <w:rFonts w:ascii="MetaPro-Norm" w:hAnsi="MetaPro-Norm" w:cstheme="majorBidi"/>
          <w:sz w:val="16"/>
          <w:szCs w:val="16"/>
        </w:rPr>
        <w:t>, January 12, 2021, https://www.btselem.org/publications/fulltext/202101_this_is_apartheid (</w:t>
      </w:r>
      <w:r w:rsidR="00B91A2F" w:rsidRPr="004E1A0B">
        <w:rPr>
          <w:rFonts w:ascii="MetaPro-Norm" w:hAnsi="MetaPro-Norm" w:cstheme="majorBidi"/>
          <w:sz w:val="16"/>
          <w:szCs w:val="16"/>
        </w:rPr>
        <w:t xml:space="preserve">accessed </w:t>
      </w:r>
      <w:r w:rsidR="00B91A2F">
        <w:rPr>
          <w:rFonts w:ascii="MetaPro-Norm" w:hAnsi="MetaPro-Norm" w:cstheme="majorBidi"/>
          <w:sz w:val="16"/>
          <w:szCs w:val="16"/>
        </w:rPr>
        <w:t>September</w:t>
      </w:r>
      <w:r w:rsidR="00B91A2F" w:rsidRPr="004E1A0B">
        <w:rPr>
          <w:rFonts w:ascii="MetaPro-Norm" w:hAnsi="MetaPro-Norm" w:cstheme="majorBidi"/>
          <w:sz w:val="16"/>
          <w:szCs w:val="16"/>
        </w:rPr>
        <w:t xml:space="preserve"> </w:t>
      </w:r>
      <w:r w:rsidR="00B91A2F">
        <w:rPr>
          <w:rFonts w:ascii="MetaPro-Norm" w:hAnsi="MetaPro-Norm" w:cstheme="majorBidi"/>
          <w:sz w:val="16"/>
          <w:szCs w:val="16"/>
        </w:rPr>
        <w:t>19</w:t>
      </w:r>
      <w:r w:rsidR="00B91A2F" w:rsidRPr="004E1A0B">
        <w:rPr>
          <w:rFonts w:ascii="MetaPro-Norm" w:hAnsi="MetaPro-Norm" w:cstheme="majorBidi"/>
          <w:sz w:val="16"/>
          <w:szCs w:val="16"/>
        </w:rPr>
        <w:t>, 202</w:t>
      </w:r>
      <w:r w:rsidR="00B91A2F">
        <w:rPr>
          <w:rFonts w:ascii="MetaPro-Norm" w:hAnsi="MetaPro-Norm" w:cstheme="majorBidi"/>
          <w:sz w:val="16"/>
          <w:szCs w:val="16"/>
        </w:rPr>
        <w:t>3</w:t>
      </w:r>
      <w:r w:rsidRPr="004E1A0B">
        <w:rPr>
          <w:rFonts w:ascii="MetaPro-Norm" w:hAnsi="MetaPro-Norm" w:cstheme="majorBidi"/>
          <w:sz w:val="16"/>
          <w:szCs w:val="16"/>
        </w:rPr>
        <w:t>).</w:t>
      </w:r>
    </w:p>
  </w:footnote>
  <w:footnote w:id="3">
    <w:p w14:paraId="54CC04FA" w14:textId="4E2B29E4" w:rsidR="003D0F8E" w:rsidRPr="004E1A0B" w:rsidRDefault="003D0F8E" w:rsidP="003D0F8E">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Style w:val="FootnoteReference"/>
          <w:rFonts w:ascii="MetaPro-Norm" w:hAnsi="MetaPro-Norm" w:cstheme="majorBidi"/>
          <w:sz w:val="16"/>
          <w:szCs w:val="16"/>
        </w:rPr>
        <w:t xml:space="preserve"> </w:t>
      </w:r>
      <w:r w:rsidRPr="004E1A0B">
        <w:rPr>
          <w:rFonts w:ascii="MetaPro-Norm" w:hAnsi="MetaPro-Norm" w:cstheme="majorBidi"/>
          <w:sz w:val="16"/>
          <w:szCs w:val="16"/>
        </w:rPr>
        <w:t>Al-Haq, Global Response to Israeli apartheid: A call to the UNGA from Palestinian and international Civil Society Organizations, September 22, 2020, https://www.alhaq.org/advocacy/17305.html (</w:t>
      </w:r>
      <w:r w:rsidR="00B91A2F" w:rsidRPr="004E1A0B">
        <w:rPr>
          <w:rFonts w:ascii="MetaPro-Norm" w:hAnsi="MetaPro-Norm" w:cstheme="majorBidi"/>
          <w:sz w:val="16"/>
          <w:szCs w:val="16"/>
        </w:rPr>
        <w:t xml:space="preserve">accessed </w:t>
      </w:r>
      <w:r w:rsidR="00B91A2F">
        <w:rPr>
          <w:rFonts w:ascii="MetaPro-Norm" w:hAnsi="MetaPro-Norm" w:cstheme="majorBidi"/>
          <w:sz w:val="16"/>
          <w:szCs w:val="16"/>
        </w:rPr>
        <w:t>September</w:t>
      </w:r>
      <w:r w:rsidR="00B91A2F" w:rsidRPr="004E1A0B">
        <w:rPr>
          <w:rFonts w:ascii="MetaPro-Norm" w:hAnsi="MetaPro-Norm" w:cstheme="majorBidi"/>
          <w:sz w:val="16"/>
          <w:szCs w:val="16"/>
        </w:rPr>
        <w:t xml:space="preserve"> </w:t>
      </w:r>
      <w:r w:rsidR="00B91A2F">
        <w:rPr>
          <w:rFonts w:ascii="MetaPro-Norm" w:hAnsi="MetaPro-Norm" w:cstheme="majorBidi"/>
          <w:sz w:val="16"/>
          <w:szCs w:val="16"/>
        </w:rPr>
        <w:t>19</w:t>
      </w:r>
      <w:r w:rsidR="00B91A2F" w:rsidRPr="004E1A0B">
        <w:rPr>
          <w:rFonts w:ascii="MetaPro-Norm" w:hAnsi="MetaPro-Norm" w:cstheme="majorBidi"/>
          <w:sz w:val="16"/>
          <w:szCs w:val="16"/>
        </w:rPr>
        <w:t>, 202</w:t>
      </w:r>
      <w:r w:rsidR="00B91A2F">
        <w:rPr>
          <w:rFonts w:ascii="MetaPro-Norm" w:hAnsi="MetaPro-Norm" w:cstheme="majorBidi"/>
          <w:sz w:val="16"/>
          <w:szCs w:val="16"/>
        </w:rPr>
        <w:t>3</w:t>
      </w:r>
      <w:r w:rsidRPr="004E1A0B">
        <w:rPr>
          <w:rFonts w:ascii="MetaPro-Norm" w:hAnsi="MetaPro-Norm" w:cstheme="majorBidi"/>
          <w:sz w:val="16"/>
          <w:szCs w:val="16"/>
        </w:rPr>
        <w:t>).</w:t>
      </w:r>
    </w:p>
  </w:footnote>
  <w:footnote w:id="4">
    <w:p w14:paraId="31E7BEBE" w14:textId="7F296641" w:rsidR="003D0F8E" w:rsidRPr="004E1A0B" w:rsidRDefault="003D0F8E" w:rsidP="003D0F8E">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Style w:val="FootnoteReference"/>
          <w:rFonts w:ascii="MetaPro-Norm" w:hAnsi="MetaPro-Norm" w:cstheme="majorBidi"/>
          <w:sz w:val="16"/>
          <w:szCs w:val="16"/>
        </w:rPr>
        <w:t xml:space="preserve"> </w:t>
      </w:r>
      <w:r w:rsidRPr="004E1A0B">
        <w:rPr>
          <w:rFonts w:ascii="MetaPro-Norm" w:hAnsi="MetaPro-Norm" w:cstheme="majorBidi"/>
          <w:sz w:val="16"/>
          <w:szCs w:val="16"/>
        </w:rPr>
        <w:t xml:space="preserve">“Israel’s apartheid against Palestinians: a cruel system of domination and a crime against humanity,” Amnesty International press release, February 1, 2022, https://www.amnesty.org/en/latest/news/2022/02/israels-apartheid-against-palestinians-a-cruel-system-of-domination-and-a-crime-against-humanity/ (accessed </w:t>
      </w:r>
      <w:r w:rsidR="00B91A2F">
        <w:rPr>
          <w:rFonts w:ascii="MetaPro-Norm" w:hAnsi="MetaPro-Norm" w:cstheme="majorBidi"/>
          <w:sz w:val="16"/>
          <w:szCs w:val="16"/>
        </w:rPr>
        <w:t>September 19, 2023</w:t>
      </w:r>
      <w:r w:rsidRPr="004E1A0B">
        <w:rPr>
          <w:rFonts w:ascii="MetaPro-Norm" w:hAnsi="MetaPro-Norm" w:cstheme="majorBidi"/>
          <w:sz w:val="16"/>
          <w:szCs w:val="16"/>
        </w:rPr>
        <w:t xml:space="preserve">); International Commission of Jurists, “UN: ICJ denounces Israel’s system of apartheid against Palestinians,” March 25, 2022, https://www.icj.org/un-icj-denounces-israels-system-of-apartheid-against-palestinians/#.YkwTyu0Q4pk.twitter (accessed </w:t>
      </w:r>
      <w:r w:rsidR="00B91A2F">
        <w:rPr>
          <w:rFonts w:ascii="MetaPro-Norm" w:hAnsi="MetaPro-Norm" w:cstheme="majorBidi"/>
          <w:sz w:val="16"/>
          <w:szCs w:val="16"/>
        </w:rPr>
        <w:t>September</w:t>
      </w:r>
      <w:r w:rsidR="00B91A2F" w:rsidRPr="004E1A0B">
        <w:rPr>
          <w:rFonts w:ascii="MetaPro-Norm" w:hAnsi="MetaPro-Norm" w:cstheme="majorBidi"/>
          <w:sz w:val="16"/>
          <w:szCs w:val="16"/>
        </w:rPr>
        <w:t xml:space="preserve"> </w:t>
      </w:r>
      <w:r w:rsidR="00B91A2F">
        <w:rPr>
          <w:rFonts w:ascii="MetaPro-Norm" w:hAnsi="MetaPro-Norm" w:cstheme="majorBidi"/>
          <w:sz w:val="16"/>
          <w:szCs w:val="16"/>
        </w:rPr>
        <w:t>19</w:t>
      </w:r>
      <w:r w:rsidRPr="004E1A0B">
        <w:rPr>
          <w:rFonts w:ascii="MetaPro-Norm" w:hAnsi="MetaPro-Norm" w:cstheme="majorBidi"/>
          <w:sz w:val="16"/>
          <w:szCs w:val="16"/>
        </w:rPr>
        <w:t>, 202</w:t>
      </w:r>
      <w:r w:rsidR="00B91A2F">
        <w:rPr>
          <w:rFonts w:ascii="MetaPro-Norm" w:hAnsi="MetaPro-Norm" w:cstheme="majorBidi"/>
          <w:sz w:val="16"/>
          <w:szCs w:val="16"/>
        </w:rPr>
        <w:t>3</w:t>
      </w:r>
      <w:r w:rsidRPr="004E1A0B">
        <w:rPr>
          <w:rFonts w:ascii="MetaPro-Norm" w:hAnsi="MetaPro-Norm" w:cstheme="majorBidi"/>
          <w:sz w:val="16"/>
          <w:szCs w:val="16"/>
        </w:rPr>
        <w:t>).</w:t>
      </w:r>
    </w:p>
  </w:footnote>
  <w:footnote w:id="5">
    <w:p w14:paraId="228D4349" w14:textId="31ECB9BD" w:rsidR="003D0F8E" w:rsidRPr="004E1A0B" w:rsidRDefault="003D0F8E" w:rsidP="003D0F8E">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UN Human Rights Council, Report of the Special Rapporteur on the situation of Human Rights in the Palestinian territories occupied since 1967, A/HRC/49/87, March 21, 2022, https://www.un.org/unispal/document/report-of-the-special-rapporteur-on-the-situation-of-human-rights-in-the-palestinian-territories-occupied-since-1967-report-a-hrc-49-87-advance-unedited-version/ (accessed </w:t>
      </w:r>
      <w:r w:rsidR="00B91A2F">
        <w:rPr>
          <w:rFonts w:ascii="MetaPro-Norm" w:hAnsi="MetaPro-Norm" w:cstheme="majorBidi"/>
          <w:sz w:val="16"/>
          <w:szCs w:val="16"/>
        </w:rPr>
        <w:t>September 19, 2023</w:t>
      </w:r>
      <w:r w:rsidRPr="004E1A0B">
        <w:rPr>
          <w:rFonts w:ascii="MetaPro-Norm" w:hAnsi="MetaPro-Norm" w:cstheme="majorBidi"/>
          <w:sz w:val="16"/>
          <w:szCs w:val="16"/>
        </w:rPr>
        <w:t xml:space="preserve">); “Israel’s housing policies in occupied Palestinian territory amount to racial segregation - UN experts,” Office of the High Commissioner for Human Rights press release, April 27, 2022, https://www.ohchr.org/en/press-releases/2022/04/israels-housing-policies-occupied-palestinian-territory-amount-racial (accessed </w:t>
      </w:r>
      <w:r w:rsidR="00B91A2F">
        <w:rPr>
          <w:rFonts w:ascii="MetaPro-Norm" w:hAnsi="MetaPro-Norm" w:cstheme="majorBidi"/>
          <w:sz w:val="16"/>
          <w:szCs w:val="16"/>
        </w:rPr>
        <w:t>September 19, 2023</w:t>
      </w:r>
      <w:r w:rsidRPr="004E1A0B">
        <w:rPr>
          <w:rFonts w:ascii="MetaPro-Norm" w:hAnsi="MetaPro-Norm" w:cstheme="majorBidi"/>
          <w:sz w:val="16"/>
          <w:szCs w:val="16"/>
        </w:rPr>
        <w:t>).</w:t>
      </w:r>
    </w:p>
  </w:footnote>
  <w:footnote w:id="6">
    <w:p w14:paraId="205B0D35" w14:textId="10A290B7" w:rsidR="003D0F8E" w:rsidRPr="00B274F2" w:rsidRDefault="003D0F8E" w:rsidP="00B274F2">
      <w:pPr>
        <w:pStyle w:val="FootnoteText"/>
        <w:rPr>
          <w:rFonts w:asciiTheme="majorBidi" w:hAnsiTheme="majorBidi" w:cstheme="majorBidi"/>
          <w:sz w:val="16"/>
          <w:szCs w:val="16"/>
        </w:rPr>
      </w:pPr>
      <w:r w:rsidRPr="00660616">
        <w:rPr>
          <w:rStyle w:val="FootnoteReference"/>
          <w:rFonts w:ascii="MetaPro-Norm" w:hAnsi="MetaPro-Norm" w:cstheme="majorBidi"/>
          <w:sz w:val="16"/>
          <w:szCs w:val="16"/>
        </w:rPr>
        <w:footnoteRef/>
      </w:r>
      <w:r w:rsidRPr="00660616">
        <w:rPr>
          <w:rFonts w:ascii="MetaPro-Norm" w:hAnsi="MetaPro-Norm" w:cstheme="majorBidi"/>
          <w:sz w:val="16"/>
          <w:szCs w:val="16"/>
        </w:rPr>
        <w:t xml:space="preserve"> Human Rights Clinic at Harvard University, “</w:t>
      </w:r>
      <w:proofErr w:type="spellStart"/>
      <w:r w:rsidRPr="00660616">
        <w:rPr>
          <w:rFonts w:ascii="MetaPro-Norm" w:hAnsi="MetaPro-Norm" w:cstheme="majorBidi"/>
          <w:sz w:val="16"/>
          <w:szCs w:val="16"/>
        </w:rPr>
        <w:t>Addameer</w:t>
      </w:r>
      <w:proofErr w:type="spellEnd"/>
      <w:r w:rsidRPr="00660616">
        <w:rPr>
          <w:rFonts w:ascii="MetaPro-Norm" w:hAnsi="MetaPro-Norm" w:cstheme="majorBidi"/>
          <w:sz w:val="16"/>
          <w:szCs w:val="16"/>
        </w:rPr>
        <w:t xml:space="preserve"> and the International Human Rights Clinic at Harvard Law School Send Joint Submission to the UN Independent Commission of Inquiry on the Occupied Palestinian Territory and Israel,” March 2, 2022, https://hrp.law.harvard.edu/press-releases/addameer-and-the-international-human-rights-clinic-at-harvard-law-school-send-joint-submission-to-the-un-independent-commission-of-inquiry-on-the-occupied-palestinian-territory-and-israel/ (accessed </w:t>
      </w:r>
      <w:r w:rsidR="00B91A2F" w:rsidRPr="00660616">
        <w:rPr>
          <w:rFonts w:ascii="MetaPro-Norm" w:hAnsi="MetaPro-Norm" w:cstheme="majorBidi"/>
          <w:sz w:val="16"/>
          <w:szCs w:val="16"/>
        </w:rPr>
        <w:t>September 19, 2023</w:t>
      </w:r>
      <w:r w:rsidRPr="00660616">
        <w:rPr>
          <w:rFonts w:ascii="MetaPro-Norm" w:hAnsi="MetaPro-Norm" w:cstheme="majorBidi"/>
          <w:sz w:val="16"/>
          <w:szCs w:val="16"/>
        </w:rPr>
        <w:t>).</w:t>
      </w:r>
    </w:p>
  </w:footnote>
  <w:footnote w:id="7">
    <w:p w14:paraId="38715141" w14:textId="69097748" w:rsidR="007A1BF8" w:rsidRPr="004E1A0B" w:rsidRDefault="007A1BF8"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Kayan Feminist Organization, “Submission by Kayan Feminist Organization to the Human Rights Committee, 134 Session Israel’s fifth periodic review under the International Covenant on Civil and Political Rights – ICCPR,” January 25, 2022, https://www.kayanfeminist.org/publications/submission-kayan-feminist-organization-human-rights-committee-%E2%80%93-134-session (accessed </w:t>
      </w:r>
      <w:r w:rsidR="00463D8E">
        <w:rPr>
          <w:rFonts w:ascii="MetaPro-Norm" w:hAnsi="MetaPro-Norm" w:cstheme="majorBidi"/>
          <w:sz w:val="16"/>
          <w:szCs w:val="16"/>
        </w:rPr>
        <w:t>September 19, 2023</w:t>
      </w:r>
      <w:r w:rsidRPr="004E1A0B">
        <w:rPr>
          <w:rFonts w:ascii="MetaPro-Norm" w:hAnsi="MetaPro-Norm" w:cstheme="majorBidi"/>
          <w:sz w:val="16"/>
          <w:szCs w:val="16"/>
        </w:rPr>
        <w:t xml:space="preserve">). </w:t>
      </w:r>
    </w:p>
  </w:footnote>
  <w:footnote w:id="8">
    <w:p w14:paraId="6E46FF81" w14:textId="116796C8" w:rsidR="007A1BF8" w:rsidRPr="004E1A0B" w:rsidRDefault="007A1BF8"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Shira </w:t>
      </w:r>
      <w:proofErr w:type="spellStart"/>
      <w:r w:rsidRPr="004E1A0B">
        <w:rPr>
          <w:rFonts w:ascii="MetaPro-Norm" w:hAnsi="MetaPro-Norm" w:cstheme="majorBidi"/>
          <w:sz w:val="16"/>
          <w:szCs w:val="16"/>
        </w:rPr>
        <w:t>Nuhamovich</w:t>
      </w:r>
      <w:proofErr w:type="spellEnd"/>
      <w:r w:rsidRPr="004E1A0B">
        <w:rPr>
          <w:rFonts w:ascii="MetaPro-Norm" w:hAnsi="MetaPro-Norm" w:cstheme="majorBidi"/>
          <w:sz w:val="16"/>
          <w:szCs w:val="16"/>
        </w:rPr>
        <w:t xml:space="preserve">, “Family Law: The Neglected Backyard of the Israeli Legislature,” Friedrich Ebert Stiftung study, December 2018, https://library.fes.de/pdf-files/iez/14960.pdf (accessed </w:t>
      </w:r>
      <w:r w:rsidR="00463D8E">
        <w:rPr>
          <w:rFonts w:ascii="MetaPro-Norm" w:hAnsi="MetaPro-Norm" w:cstheme="majorBidi"/>
          <w:sz w:val="16"/>
          <w:szCs w:val="16"/>
        </w:rPr>
        <w:t>September 19, 2023</w:t>
      </w:r>
      <w:r w:rsidRPr="004E1A0B">
        <w:rPr>
          <w:rFonts w:ascii="MetaPro-Norm" w:hAnsi="MetaPro-Norm" w:cstheme="majorBidi"/>
          <w:sz w:val="16"/>
          <w:szCs w:val="16"/>
        </w:rPr>
        <w:t xml:space="preserve">).  </w:t>
      </w:r>
    </w:p>
  </w:footnote>
  <w:footnote w:id="9">
    <w:p w14:paraId="34C4F059" w14:textId="65F424EE" w:rsidR="007A1BF8" w:rsidRPr="004E1A0B" w:rsidRDefault="007A1BF8" w:rsidP="00B274F2">
      <w:pPr>
        <w:pStyle w:val="FootnoteText"/>
        <w:rPr>
          <w:rFonts w:ascii="MetaPro-Norm" w:hAnsi="MetaPro-Norm" w:cstheme="majorBidi"/>
          <w:sz w:val="16"/>
          <w:szCs w:val="16"/>
          <w:lang w:val="en-GB"/>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The Family Amendment (Maintenance) Law, 1959, section. </w:t>
      </w:r>
      <w:r w:rsidRPr="004E1A0B">
        <w:rPr>
          <w:rFonts w:ascii="MetaPro-Norm" w:hAnsi="MetaPro-Norm" w:cstheme="majorBidi"/>
          <w:sz w:val="16"/>
          <w:szCs w:val="16"/>
          <w:lang w:val="en-GB"/>
        </w:rPr>
        <w:t xml:space="preserve">2, </w:t>
      </w:r>
      <w:r w:rsidRPr="004E1A0B">
        <w:rPr>
          <w:rFonts w:ascii="MetaPro-Norm" w:hAnsi="MetaPro-Norm" w:cstheme="majorBidi"/>
          <w:sz w:val="16"/>
          <w:szCs w:val="16"/>
        </w:rPr>
        <w:t xml:space="preserve">https://bit.ly/412TlbI </w:t>
      </w:r>
      <w:r w:rsidRPr="004E1A0B">
        <w:rPr>
          <w:rFonts w:ascii="MetaPro-Norm" w:hAnsi="MetaPro-Norm" w:cstheme="majorBidi"/>
          <w:sz w:val="16"/>
          <w:szCs w:val="16"/>
          <w:lang w:val="en-GB"/>
        </w:rPr>
        <w:t xml:space="preserve">(accessed </w:t>
      </w:r>
      <w:r w:rsidR="00463D8E">
        <w:rPr>
          <w:rFonts w:ascii="MetaPro-Norm" w:hAnsi="MetaPro-Norm" w:cstheme="majorBidi"/>
          <w:sz w:val="16"/>
          <w:szCs w:val="16"/>
          <w:lang w:val="en-GB"/>
        </w:rPr>
        <w:t>September 19</w:t>
      </w:r>
      <w:r w:rsidRPr="004E1A0B">
        <w:rPr>
          <w:rFonts w:ascii="MetaPro-Norm" w:hAnsi="MetaPro-Norm" w:cstheme="majorBidi"/>
          <w:sz w:val="16"/>
          <w:szCs w:val="16"/>
          <w:lang w:val="en-GB"/>
        </w:rPr>
        <w:t xml:space="preserve">, 2023).   </w:t>
      </w:r>
    </w:p>
  </w:footnote>
  <w:footnote w:id="10">
    <w:p w14:paraId="0245632C" w14:textId="151819AB" w:rsidR="007A1BF8" w:rsidRPr="004E1A0B" w:rsidRDefault="007A1BF8" w:rsidP="00B274F2">
      <w:pPr>
        <w:pStyle w:val="FootnoteText"/>
        <w:rPr>
          <w:rFonts w:ascii="MetaPro-Norm" w:hAnsi="MetaPro-Norm" w:cstheme="majorBidi"/>
          <w:sz w:val="16"/>
          <w:szCs w:val="16"/>
          <w:lang w:val="en-GB"/>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Ibid.; Anat Levi, “Spousal Support—Jewish Law,” Decker, </w:t>
      </w:r>
      <w:proofErr w:type="spellStart"/>
      <w:r w:rsidRPr="004E1A0B">
        <w:rPr>
          <w:rFonts w:ascii="MetaPro-Norm" w:hAnsi="MetaPro-Norm" w:cstheme="majorBidi"/>
          <w:sz w:val="16"/>
          <w:szCs w:val="16"/>
        </w:rPr>
        <w:t>Pex</w:t>
      </w:r>
      <w:proofErr w:type="spellEnd"/>
      <w:r w:rsidRPr="004E1A0B">
        <w:rPr>
          <w:rFonts w:ascii="MetaPro-Norm" w:hAnsi="MetaPro-Norm" w:cstheme="majorBidi"/>
          <w:sz w:val="16"/>
          <w:szCs w:val="16"/>
        </w:rPr>
        <w:t xml:space="preserve">, Ofir &amp; Co Law Firm, January 30, 2020, https://lawoffice.org.il/en/spousal-support/ (accessed </w:t>
      </w:r>
      <w:r w:rsidR="00463D8E">
        <w:rPr>
          <w:rFonts w:ascii="MetaPro-Norm" w:hAnsi="MetaPro-Norm" w:cstheme="majorBidi"/>
          <w:sz w:val="16"/>
          <w:szCs w:val="16"/>
        </w:rPr>
        <w:t>September 19</w:t>
      </w:r>
      <w:r w:rsidRPr="004E1A0B">
        <w:rPr>
          <w:rFonts w:ascii="MetaPro-Norm" w:hAnsi="MetaPro-Norm" w:cstheme="majorBidi"/>
          <w:sz w:val="16"/>
          <w:szCs w:val="16"/>
        </w:rPr>
        <w:t xml:space="preserve">, 2023); Pascale Fournier, Pascal McDougall, and Merissa </w:t>
      </w:r>
      <w:proofErr w:type="spellStart"/>
      <w:r w:rsidRPr="004E1A0B">
        <w:rPr>
          <w:rFonts w:ascii="MetaPro-Norm" w:hAnsi="MetaPro-Norm" w:cstheme="majorBidi"/>
          <w:sz w:val="16"/>
          <w:szCs w:val="16"/>
        </w:rPr>
        <w:t>Lichtsztral</w:t>
      </w:r>
      <w:proofErr w:type="spellEnd"/>
      <w:r w:rsidRPr="004E1A0B">
        <w:rPr>
          <w:rFonts w:ascii="MetaPro-Norm" w:hAnsi="MetaPro-Norm" w:cstheme="majorBidi"/>
          <w:sz w:val="16"/>
          <w:szCs w:val="16"/>
        </w:rPr>
        <w:t xml:space="preserve">, “Secular Rights and Religious Wrongs? Family Law, Religion and Women in Israel,” 18 Wm. &amp; Mary J. Women &amp; L. 333 (2012), https://scholarship.law.wm.edu/wmjowl/vol18/iss2/5 (accessed </w:t>
      </w:r>
      <w:r w:rsidR="00463D8E">
        <w:rPr>
          <w:rFonts w:ascii="MetaPro-Norm" w:hAnsi="MetaPro-Norm" w:cstheme="majorBidi"/>
          <w:sz w:val="16"/>
          <w:szCs w:val="16"/>
        </w:rPr>
        <w:t>September 19</w:t>
      </w:r>
      <w:r w:rsidRPr="004E1A0B">
        <w:rPr>
          <w:rFonts w:ascii="MetaPro-Norm" w:hAnsi="MetaPro-Norm" w:cstheme="majorBidi"/>
          <w:sz w:val="16"/>
          <w:szCs w:val="16"/>
        </w:rPr>
        <w:t>, 2023)</w:t>
      </w:r>
      <w:r w:rsidRPr="004E1A0B" w:rsidDel="00192777">
        <w:rPr>
          <w:rFonts w:ascii="MetaPro-Norm" w:hAnsi="MetaPro-Norm" w:cstheme="majorBidi"/>
          <w:sz w:val="16"/>
          <w:szCs w:val="16"/>
        </w:rPr>
        <w:t xml:space="preserve"> </w:t>
      </w:r>
      <w:r w:rsidRPr="004E1A0B">
        <w:rPr>
          <w:rFonts w:ascii="MetaPro-Norm" w:hAnsi="MetaPro-Norm" w:cstheme="majorBidi"/>
          <w:sz w:val="16"/>
          <w:szCs w:val="16"/>
        </w:rPr>
        <w:t xml:space="preserve">and Abou-Ramadan, Moussa “Islamic Legal Reform: </w:t>
      </w:r>
      <w:proofErr w:type="spellStart"/>
      <w:r w:rsidRPr="004E1A0B">
        <w:rPr>
          <w:rFonts w:ascii="MetaPro-Norm" w:hAnsi="MetaPro-Norm" w:cstheme="majorBidi"/>
          <w:sz w:val="16"/>
          <w:szCs w:val="16"/>
        </w:rPr>
        <w:t>Sharī'a</w:t>
      </w:r>
      <w:proofErr w:type="spellEnd"/>
      <w:r w:rsidRPr="004E1A0B">
        <w:rPr>
          <w:rFonts w:ascii="MetaPro-Norm" w:hAnsi="MetaPro-Norm" w:cstheme="majorBidi"/>
          <w:sz w:val="16"/>
          <w:szCs w:val="16"/>
        </w:rPr>
        <w:t xml:space="preserve"> Court of Appeals and Maintenance for Muslim Wives in Israel,” 2006, Hawwa, 4(1), 29-75, https://doi.org/10.1163/156920806777504599 (accessed </w:t>
      </w:r>
      <w:r w:rsidR="00463D8E">
        <w:rPr>
          <w:rFonts w:ascii="MetaPro-Norm" w:hAnsi="MetaPro-Norm" w:cstheme="majorBidi"/>
          <w:sz w:val="16"/>
          <w:szCs w:val="16"/>
        </w:rPr>
        <w:t>September 19</w:t>
      </w:r>
      <w:r w:rsidRPr="004E1A0B">
        <w:rPr>
          <w:rFonts w:ascii="MetaPro-Norm" w:hAnsi="MetaPro-Norm" w:cstheme="majorBidi"/>
          <w:sz w:val="16"/>
          <w:szCs w:val="16"/>
        </w:rPr>
        <w:t xml:space="preserve">, 2023). </w:t>
      </w:r>
    </w:p>
  </w:footnote>
  <w:footnote w:id="11">
    <w:p w14:paraId="3AFA447C" w14:textId="77777777" w:rsidR="007A1BF8" w:rsidRPr="004E1A0B" w:rsidRDefault="007A1BF8"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The Family Amendment (Maintenance) Law, 1959, section. </w:t>
      </w:r>
      <w:r w:rsidRPr="004E1A0B">
        <w:rPr>
          <w:rFonts w:ascii="MetaPro-Norm" w:hAnsi="MetaPro-Norm" w:cstheme="majorBidi"/>
          <w:sz w:val="16"/>
          <w:szCs w:val="16"/>
          <w:lang w:val="en-GB"/>
        </w:rPr>
        <w:t xml:space="preserve">2(b). </w:t>
      </w:r>
    </w:p>
  </w:footnote>
  <w:footnote w:id="12">
    <w:p w14:paraId="1317DC95" w14:textId="1DB8DC3A" w:rsidR="00476772" w:rsidRPr="004E1A0B" w:rsidRDefault="00476772" w:rsidP="0047677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Israel Religious Action Centre, “Excluded for God’s Sake: Gender Segregation and the Exclusion of Women in the Public Sphere in Israel: Fourth Annual Report 2013-2014,” 2015, https://bit.ly/3MKPfkb (accessed </w:t>
      </w:r>
      <w:r w:rsidR="00463D8E">
        <w:rPr>
          <w:rFonts w:ascii="MetaPro-Norm" w:hAnsi="MetaPro-Norm" w:cstheme="majorBidi"/>
          <w:sz w:val="16"/>
          <w:szCs w:val="16"/>
        </w:rPr>
        <w:t>September 19</w:t>
      </w:r>
      <w:r w:rsidRPr="004E1A0B">
        <w:rPr>
          <w:rFonts w:ascii="MetaPro-Norm" w:hAnsi="MetaPro-Norm" w:cstheme="majorBidi"/>
          <w:sz w:val="16"/>
          <w:szCs w:val="16"/>
        </w:rPr>
        <w:t xml:space="preserve"> 2023); “Hundreds of women inspired by 'Handmaid's Tale' protest across Israel,” </w:t>
      </w:r>
      <w:r w:rsidRPr="004E1A0B">
        <w:rPr>
          <w:rFonts w:ascii="MetaPro-Norm" w:hAnsi="MetaPro-Norm" w:cstheme="majorBidi"/>
          <w:i/>
          <w:iCs/>
          <w:sz w:val="16"/>
          <w:szCs w:val="16"/>
        </w:rPr>
        <w:t>Jerusalem Post</w:t>
      </w:r>
      <w:r w:rsidRPr="004E1A0B">
        <w:rPr>
          <w:rFonts w:ascii="MetaPro-Norm" w:hAnsi="MetaPro-Norm" w:cstheme="majorBidi"/>
          <w:sz w:val="16"/>
          <w:szCs w:val="16"/>
        </w:rPr>
        <w:t xml:space="preserve">, February 23, 2023, https://www.jpost.com/israel-news/politics-and-diplomacy/article-732812 (accessed </w:t>
      </w:r>
      <w:r w:rsidR="00463D8E">
        <w:rPr>
          <w:rFonts w:ascii="MetaPro-Norm" w:hAnsi="MetaPro-Norm" w:cstheme="majorBidi"/>
          <w:sz w:val="16"/>
          <w:szCs w:val="16"/>
        </w:rPr>
        <w:t>September 19</w:t>
      </w:r>
      <w:r w:rsidRPr="004E1A0B">
        <w:rPr>
          <w:rFonts w:ascii="MetaPro-Norm" w:hAnsi="MetaPro-Norm" w:cstheme="majorBidi"/>
          <w:sz w:val="16"/>
          <w:szCs w:val="16"/>
        </w:rPr>
        <w:t xml:space="preserve">, 2023); Judah Ari Gross, “Politicians fume as ultra-Orthodox neighborhood grocery found setting men-only hours,” </w:t>
      </w:r>
      <w:r w:rsidRPr="004E1A0B">
        <w:rPr>
          <w:rFonts w:ascii="MetaPro-Norm" w:hAnsi="MetaPro-Norm" w:cstheme="majorBidi"/>
          <w:i/>
          <w:iCs/>
          <w:sz w:val="16"/>
          <w:szCs w:val="16"/>
        </w:rPr>
        <w:t>Times of Israel</w:t>
      </w:r>
      <w:r w:rsidRPr="004E1A0B">
        <w:rPr>
          <w:rFonts w:ascii="MetaPro-Norm" w:hAnsi="MetaPro-Norm" w:cstheme="majorBidi"/>
          <w:sz w:val="16"/>
          <w:szCs w:val="16"/>
        </w:rPr>
        <w:t xml:space="preserve">, December 20, 2022, https://www.timesofisrael.com/politicians-fume-as-shop-in-ultra-orthodox-neighborhood-found-setting-men-only-times/  (accessed </w:t>
      </w:r>
      <w:r w:rsidR="00463D8E">
        <w:rPr>
          <w:rFonts w:ascii="MetaPro-Norm" w:hAnsi="MetaPro-Norm" w:cstheme="majorBidi"/>
          <w:sz w:val="16"/>
          <w:szCs w:val="16"/>
        </w:rPr>
        <w:t>September 19</w:t>
      </w:r>
      <w:r w:rsidRPr="004E1A0B">
        <w:rPr>
          <w:rFonts w:ascii="MetaPro-Norm" w:hAnsi="MetaPro-Norm" w:cstheme="majorBidi"/>
          <w:sz w:val="16"/>
          <w:szCs w:val="16"/>
        </w:rPr>
        <w:t xml:space="preserve">, 2023); Dina Kraft, “In Israel, Orthodox women are fighting to be heard ... and seen,” </w:t>
      </w:r>
      <w:r w:rsidRPr="004E1A0B">
        <w:rPr>
          <w:rFonts w:ascii="MetaPro-Norm" w:hAnsi="MetaPro-Norm" w:cstheme="majorBidi"/>
          <w:i/>
          <w:iCs/>
          <w:sz w:val="16"/>
          <w:szCs w:val="16"/>
        </w:rPr>
        <w:t>The Christian Science Monitor,</w:t>
      </w:r>
      <w:r w:rsidRPr="004E1A0B">
        <w:rPr>
          <w:rFonts w:ascii="MetaPro-Norm" w:hAnsi="MetaPro-Norm" w:cstheme="majorBidi"/>
          <w:sz w:val="16"/>
          <w:szCs w:val="16"/>
        </w:rPr>
        <w:t xml:space="preserve"> January 2, 2020, https://www.csmonitor.com/World/Middle-East/2020/0102/In-Israel-Orthodox-women-are-fighting-to-be-heard-and-seen (accessed </w:t>
      </w:r>
      <w:r w:rsidR="00463D8E">
        <w:rPr>
          <w:rFonts w:ascii="MetaPro-Norm" w:hAnsi="MetaPro-Norm" w:cstheme="majorBidi"/>
          <w:sz w:val="16"/>
          <w:szCs w:val="16"/>
        </w:rPr>
        <w:t>September 19</w:t>
      </w:r>
      <w:r w:rsidRPr="004E1A0B">
        <w:rPr>
          <w:rFonts w:ascii="MetaPro-Norm" w:hAnsi="MetaPro-Norm" w:cstheme="majorBidi"/>
          <w:sz w:val="16"/>
          <w:szCs w:val="16"/>
        </w:rPr>
        <w:t xml:space="preserve">, 2023); Harriet Sherwood, “Israeli women stand up to gender segregation with musical protest,” </w:t>
      </w:r>
      <w:r w:rsidRPr="004E1A0B">
        <w:rPr>
          <w:rFonts w:ascii="MetaPro-Norm" w:hAnsi="MetaPro-Norm" w:cstheme="majorBidi"/>
          <w:i/>
          <w:iCs/>
          <w:sz w:val="16"/>
          <w:szCs w:val="16"/>
        </w:rPr>
        <w:t>The Guardian,</w:t>
      </w:r>
      <w:r w:rsidRPr="004E1A0B">
        <w:rPr>
          <w:rFonts w:ascii="MetaPro-Norm" w:hAnsi="MetaPro-Norm" w:cstheme="majorBidi"/>
          <w:sz w:val="16"/>
          <w:szCs w:val="16"/>
        </w:rPr>
        <w:t xml:space="preserve"> December 9, 2011, https://www.theguardian.com/world/2011/dec/09/israelis-gender-segregation-musical-protest (accessed </w:t>
      </w:r>
      <w:r w:rsidR="00463D8E">
        <w:rPr>
          <w:rFonts w:ascii="MetaPro-Norm" w:hAnsi="MetaPro-Norm" w:cstheme="majorBidi"/>
          <w:sz w:val="16"/>
          <w:szCs w:val="16"/>
        </w:rPr>
        <w:t>Septembe</w:t>
      </w:r>
      <w:r w:rsidR="00660616">
        <w:rPr>
          <w:rFonts w:ascii="MetaPro-Norm" w:hAnsi="MetaPro-Norm" w:cstheme="majorBidi"/>
          <w:sz w:val="16"/>
          <w:szCs w:val="16"/>
        </w:rPr>
        <w:t>r</w:t>
      </w:r>
      <w:r w:rsidR="00463D8E">
        <w:rPr>
          <w:rFonts w:ascii="MetaPro-Norm" w:hAnsi="MetaPro-Norm" w:cstheme="majorBidi"/>
          <w:sz w:val="16"/>
          <w:szCs w:val="16"/>
        </w:rPr>
        <w:t xml:space="preserve"> 19</w:t>
      </w:r>
      <w:r w:rsidRPr="004E1A0B">
        <w:rPr>
          <w:rFonts w:ascii="MetaPro-Norm" w:hAnsi="MetaPro-Norm" w:cstheme="majorBidi"/>
          <w:sz w:val="16"/>
          <w:szCs w:val="16"/>
        </w:rPr>
        <w:t>, 2023).</w:t>
      </w:r>
    </w:p>
  </w:footnote>
  <w:footnote w:id="13">
    <w:p w14:paraId="19F4B7A7" w14:textId="226620B9" w:rsidR="00E72FAA" w:rsidRPr="004E1A0B" w:rsidRDefault="00E72FAA"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3B4D67" w:rsidRPr="004E1A0B">
        <w:rPr>
          <w:rFonts w:ascii="MetaPro-Norm" w:hAnsi="MetaPro-Norm" w:cstheme="majorBidi"/>
          <w:sz w:val="16"/>
          <w:szCs w:val="16"/>
        </w:rPr>
        <w:t xml:space="preserve">See </w:t>
      </w:r>
      <w:r w:rsidR="00EA7A74" w:rsidRPr="004E1A0B">
        <w:rPr>
          <w:rFonts w:ascii="MetaPro-Norm" w:hAnsi="MetaPro-Norm" w:cstheme="majorBidi"/>
          <w:sz w:val="16"/>
          <w:szCs w:val="16"/>
        </w:rPr>
        <w:t>“</w:t>
      </w:r>
      <w:r w:rsidR="00F412EA" w:rsidRPr="004E1A0B">
        <w:rPr>
          <w:rFonts w:ascii="MetaPro-Norm" w:hAnsi="MetaPro-Norm" w:cstheme="majorBidi"/>
          <w:sz w:val="16"/>
          <w:szCs w:val="16"/>
        </w:rPr>
        <w:t>Israel</w:t>
      </w:r>
      <w:r w:rsidR="00EA7A74" w:rsidRPr="004E1A0B">
        <w:rPr>
          <w:rFonts w:ascii="MetaPro-Norm" w:hAnsi="MetaPro-Norm" w:cstheme="majorBidi"/>
          <w:sz w:val="16"/>
          <w:szCs w:val="16"/>
        </w:rPr>
        <w:t xml:space="preserve">,” in Human Rights Watch, </w:t>
      </w:r>
      <w:proofErr w:type="gramStart"/>
      <w:r w:rsidR="00EA7A74" w:rsidRPr="004E1A0B">
        <w:rPr>
          <w:rFonts w:ascii="MetaPro-Norm" w:hAnsi="MetaPro-Norm" w:cstheme="majorBidi"/>
          <w:i/>
          <w:iCs/>
          <w:sz w:val="16"/>
          <w:szCs w:val="16"/>
        </w:rPr>
        <w:t>Trapped</w:t>
      </w:r>
      <w:proofErr w:type="gramEnd"/>
      <w:r w:rsidR="00EA7A74" w:rsidRPr="004E1A0B">
        <w:rPr>
          <w:rFonts w:ascii="MetaPro-Norm" w:hAnsi="MetaPro-Norm" w:cstheme="majorBidi"/>
          <w:i/>
          <w:iCs/>
          <w:sz w:val="16"/>
          <w:szCs w:val="16"/>
        </w:rPr>
        <w:t>: How Male Guardianship Policies Restrict Women’s Travel and Mobility in the Middle East and North Africa</w:t>
      </w:r>
      <w:r w:rsidR="006B06CE" w:rsidRPr="004E1A0B">
        <w:rPr>
          <w:rFonts w:ascii="MetaPro-Norm" w:hAnsi="MetaPro-Norm" w:cstheme="majorBidi"/>
          <w:sz w:val="16"/>
          <w:szCs w:val="16"/>
        </w:rPr>
        <w:t xml:space="preserve">, </w:t>
      </w:r>
      <w:r w:rsidR="00EA7A74" w:rsidRPr="004E1A0B">
        <w:rPr>
          <w:rFonts w:ascii="MetaPro-Norm" w:hAnsi="MetaPro-Norm" w:cstheme="majorBidi"/>
          <w:sz w:val="16"/>
          <w:szCs w:val="16"/>
        </w:rPr>
        <w:t xml:space="preserve">July 18, 2023, https://www.hrw.org/report/2023/07/18/trapped/how-male-guardianship-policies-restrict-womens-travel-and-mobility-middle. </w:t>
      </w:r>
    </w:p>
  </w:footnote>
  <w:footnote w:id="14">
    <w:p w14:paraId="2A64D59F" w14:textId="61F7B8A9" w:rsidR="00C50CC2" w:rsidRPr="004E1A0B" w:rsidRDefault="00C50CC2"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Law Prohibiting Discrimination in Products, Services and Entry to Entertainment Places and Public Places, 2000, https://bit.ly/43mKP</w:t>
      </w:r>
      <w:bookmarkStart w:id="0" w:name="_Hlt139640317"/>
      <w:bookmarkStart w:id="1" w:name="_Hlt139640318"/>
      <w:r w:rsidRPr="004E1A0B">
        <w:rPr>
          <w:rFonts w:ascii="MetaPro-Norm" w:hAnsi="MetaPro-Norm" w:cstheme="majorBidi"/>
          <w:sz w:val="16"/>
          <w:szCs w:val="16"/>
        </w:rPr>
        <w:t>o</w:t>
      </w:r>
      <w:bookmarkEnd w:id="0"/>
      <w:bookmarkEnd w:id="1"/>
      <w:r w:rsidRPr="004E1A0B">
        <w:rPr>
          <w:rFonts w:ascii="MetaPro-Norm" w:hAnsi="MetaPro-Norm" w:cstheme="majorBidi"/>
          <w:sz w:val="16"/>
          <w:szCs w:val="16"/>
        </w:rPr>
        <w:t xml:space="preserve">T (accessed </w:t>
      </w:r>
      <w:r w:rsidR="00463D8E">
        <w:rPr>
          <w:rFonts w:ascii="MetaPro-Norm" w:hAnsi="MetaPro-Norm" w:cstheme="majorBidi"/>
          <w:sz w:val="16"/>
          <w:szCs w:val="16"/>
        </w:rPr>
        <w:t>September 19</w:t>
      </w:r>
      <w:r w:rsidRPr="004E1A0B">
        <w:rPr>
          <w:rFonts w:ascii="MetaPro-Norm" w:hAnsi="MetaPro-Norm" w:cstheme="majorBidi"/>
          <w:sz w:val="16"/>
          <w:szCs w:val="16"/>
        </w:rPr>
        <w:t>, 2023).</w:t>
      </w:r>
    </w:p>
  </w:footnote>
  <w:footnote w:id="15">
    <w:p w14:paraId="0CC51050" w14:textId="39781AC7" w:rsidR="00C50CC2" w:rsidRPr="004E1A0B" w:rsidRDefault="00C50CC2"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Israel Religious Action Centre, “Excluded for God’s Sake: Gender Segregation and the Exclusion of Women in the Public Sphere in Israel: Fourth Annual Report 2013-2014</w:t>
      </w:r>
      <w:proofErr w:type="gramStart"/>
      <w:r w:rsidRPr="004E1A0B">
        <w:rPr>
          <w:rFonts w:ascii="MetaPro-Norm" w:hAnsi="MetaPro-Norm" w:cstheme="majorBidi"/>
          <w:sz w:val="16"/>
          <w:szCs w:val="16"/>
        </w:rPr>
        <w:t>,”https://bit.ly/3MKPfkb</w:t>
      </w:r>
      <w:proofErr w:type="gramEnd"/>
      <w:r w:rsidR="00463D8E">
        <w:rPr>
          <w:rStyle w:val="Hyperlink"/>
          <w:rFonts w:ascii="MetaPro-Norm" w:hAnsi="MetaPro-Norm" w:cstheme="majorBidi"/>
          <w:color w:val="auto"/>
          <w:sz w:val="16"/>
          <w:szCs w:val="16"/>
          <w:u w:val="none"/>
        </w:rPr>
        <w:t>.</w:t>
      </w:r>
    </w:p>
  </w:footnote>
  <w:footnote w:id="16">
    <w:p w14:paraId="7F0F876E" w14:textId="6A90FDD7" w:rsidR="00C50CC2" w:rsidRPr="004E1A0B" w:rsidRDefault="00C50CC2"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Judah Ari Gross, “Orthodox parties demand legalization of gender-segregated public events,” </w:t>
      </w:r>
      <w:r w:rsidRPr="004E1A0B">
        <w:rPr>
          <w:rFonts w:ascii="MetaPro-Norm" w:hAnsi="MetaPro-Norm" w:cstheme="majorBidi"/>
          <w:i/>
          <w:iCs/>
          <w:sz w:val="16"/>
          <w:szCs w:val="16"/>
        </w:rPr>
        <w:t>Times of Israel</w:t>
      </w:r>
      <w:r w:rsidRPr="004E1A0B">
        <w:rPr>
          <w:rFonts w:ascii="MetaPro-Norm" w:hAnsi="MetaPro-Norm" w:cstheme="majorBidi"/>
          <w:sz w:val="16"/>
          <w:szCs w:val="16"/>
        </w:rPr>
        <w:t xml:space="preserve">, November 20, 2022 https://www.timesofisrael.com/orthodox-parties-demand-legalization-of-gender-segregated-public-events/  (accessed </w:t>
      </w:r>
      <w:r w:rsidR="00A8590E">
        <w:rPr>
          <w:rFonts w:ascii="MetaPro-Norm" w:hAnsi="MetaPro-Norm" w:cstheme="majorBidi"/>
          <w:sz w:val="16"/>
          <w:szCs w:val="16"/>
        </w:rPr>
        <w:t>September 19</w:t>
      </w:r>
      <w:r w:rsidRPr="004E1A0B">
        <w:rPr>
          <w:rFonts w:ascii="MetaPro-Norm" w:hAnsi="MetaPro-Norm" w:cstheme="majorBidi"/>
          <w:sz w:val="16"/>
          <w:szCs w:val="16"/>
        </w:rPr>
        <w:t xml:space="preserve">, 2023); “Outrage over UTJ bill to gender-segregate bathing at national park springs,” </w:t>
      </w:r>
      <w:r w:rsidRPr="004E1A0B">
        <w:rPr>
          <w:rFonts w:ascii="MetaPro-Norm" w:hAnsi="MetaPro-Norm" w:cstheme="majorBidi"/>
          <w:i/>
          <w:iCs/>
          <w:sz w:val="16"/>
          <w:szCs w:val="16"/>
        </w:rPr>
        <w:t>Times of Israel</w:t>
      </w:r>
      <w:r w:rsidRPr="004E1A0B">
        <w:rPr>
          <w:rFonts w:ascii="MetaPro-Norm" w:hAnsi="MetaPro-Norm" w:cstheme="majorBidi"/>
          <w:sz w:val="16"/>
          <w:szCs w:val="16"/>
        </w:rPr>
        <w:t xml:space="preserve">, January 24, 2023, </w:t>
      </w:r>
      <w:r w:rsidR="00A8590E" w:rsidRPr="00A8590E">
        <w:rPr>
          <w:rFonts w:ascii="MetaPro-Norm" w:hAnsi="MetaPro-Norm" w:cstheme="majorBidi"/>
          <w:sz w:val="16"/>
          <w:szCs w:val="16"/>
        </w:rPr>
        <w:t>https://www.timesofisrael.com/outrage-over-utj-bill-to-gender-segregate-bathing-at-national-park-springs/</w:t>
      </w:r>
      <w:r w:rsidR="00A8590E" w:rsidRPr="00A8590E" w:rsidDel="00A8590E">
        <w:rPr>
          <w:rFonts w:ascii="MetaPro-Norm" w:hAnsi="MetaPro-Norm" w:cstheme="majorBidi"/>
          <w:sz w:val="16"/>
          <w:szCs w:val="16"/>
        </w:rPr>
        <w:t xml:space="preserve"> </w:t>
      </w:r>
      <w:r w:rsidRPr="004E1A0B">
        <w:rPr>
          <w:rFonts w:ascii="MetaPro-Norm" w:hAnsi="MetaPro-Norm" w:cstheme="majorBidi"/>
          <w:sz w:val="16"/>
          <w:szCs w:val="16"/>
        </w:rPr>
        <w:t xml:space="preserve">(accessed </w:t>
      </w:r>
      <w:r w:rsidR="00A8590E">
        <w:rPr>
          <w:rFonts w:ascii="MetaPro-Norm" w:hAnsi="MetaPro-Norm" w:cstheme="majorBidi"/>
          <w:sz w:val="16"/>
          <w:szCs w:val="16"/>
        </w:rPr>
        <w:t>September 19</w:t>
      </w:r>
      <w:r w:rsidRPr="004E1A0B">
        <w:rPr>
          <w:rFonts w:ascii="MetaPro-Norm" w:hAnsi="MetaPro-Norm" w:cstheme="majorBidi"/>
          <w:sz w:val="16"/>
          <w:szCs w:val="16"/>
        </w:rPr>
        <w:t xml:space="preserve">, 2023); Gila </w:t>
      </w:r>
      <w:proofErr w:type="spellStart"/>
      <w:r w:rsidRPr="004E1A0B">
        <w:rPr>
          <w:rFonts w:ascii="MetaPro-Norm" w:hAnsi="MetaPro-Norm" w:cstheme="majorBidi"/>
          <w:sz w:val="16"/>
          <w:szCs w:val="16"/>
        </w:rPr>
        <w:t>Stopler</w:t>
      </w:r>
      <w:proofErr w:type="spellEnd"/>
      <w:r w:rsidRPr="004E1A0B">
        <w:rPr>
          <w:rFonts w:ascii="MetaPro-Norm" w:hAnsi="MetaPro-Norm" w:cstheme="majorBidi"/>
          <w:sz w:val="16"/>
          <w:szCs w:val="16"/>
        </w:rPr>
        <w:t xml:space="preserve">, “The Israeli Government’s War on Women,” </w:t>
      </w:r>
      <w:r w:rsidRPr="004E1A0B">
        <w:rPr>
          <w:rFonts w:ascii="MetaPro-Norm" w:hAnsi="MetaPro-Norm" w:cstheme="majorBidi"/>
          <w:i/>
          <w:iCs/>
          <w:sz w:val="16"/>
          <w:szCs w:val="16"/>
        </w:rPr>
        <w:t>Evolve</w:t>
      </w:r>
      <w:r w:rsidRPr="004E1A0B">
        <w:rPr>
          <w:rFonts w:ascii="MetaPro-Norm" w:hAnsi="MetaPro-Norm" w:cstheme="majorBidi"/>
          <w:sz w:val="16"/>
          <w:szCs w:val="16"/>
        </w:rPr>
        <w:t xml:space="preserve">, January 3, 2023, https://evolve.reconstructingjudaism.org/israelwaronwomen/ (accessed </w:t>
      </w:r>
      <w:r w:rsidR="00A8590E">
        <w:rPr>
          <w:rFonts w:ascii="MetaPro-Norm" w:hAnsi="MetaPro-Norm" w:cstheme="majorBidi"/>
          <w:sz w:val="16"/>
          <w:szCs w:val="16"/>
        </w:rPr>
        <w:t>September 19</w:t>
      </w:r>
      <w:r w:rsidRPr="004E1A0B">
        <w:rPr>
          <w:rFonts w:ascii="MetaPro-Norm" w:hAnsi="MetaPro-Norm" w:cstheme="majorBidi"/>
          <w:sz w:val="16"/>
          <w:szCs w:val="16"/>
        </w:rPr>
        <w:t>, 2023)</w:t>
      </w:r>
    </w:p>
  </w:footnote>
  <w:footnote w:id="17">
    <w:p w14:paraId="0EA4166E" w14:textId="57670C1A" w:rsidR="002F33B3" w:rsidRPr="004E1A0B" w:rsidRDefault="002F33B3"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Or Kashti, “Israel Tells Planners to Maintain Strict Gender Separation in ultra-Orthodox Areas,” </w:t>
      </w:r>
      <w:r w:rsidRPr="004E1A0B">
        <w:rPr>
          <w:rFonts w:ascii="MetaPro-Norm" w:hAnsi="MetaPro-Norm" w:cstheme="majorBidi"/>
          <w:i/>
          <w:iCs/>
          <w:sz w:val="16"/>
          <w:szCs w:val="16"/>
        </w:rPr>
        <w:t>Haaretz</w:t>
      </w:r>
      <w:r w:rsidRPr="004E1A0B">
        <w:rPr>
          <w:rFonts w:ascii="MetaPro-Norm" w:hAnsi="MetaPro-Norm" w:cstheme="majorBidi"/>
          <w:sz w:val="16"/>
          <w:szCs w:val="16"/>
        </w:rPr>
        <w:t xml:space="preserve">, February 4, 2021, https://www.haaretz.com/israel-news/.premium-israel-says-modesty-is-a-factor-in-planning-ultra-orthodox-areas-1.9509738 (accessed </w:t>
      </w:r>
      <w:r w:rsidR="00A8590E">
        <w:rPr>
          <w:rFonts w:ascii="MetaPro-Norm" w:hAnsi="MetaPro-Norm" w:cstheme="majorBidi"/>
          <w:sz w:val="16"/>
          <w:szCs w:val="16"/>
        </w:rPr>
        <w:t>September 19</w:t>
      </w:r>
      <w:r w:rsidRPr="004E1A0B">
        <w:rPr>
          <w:rFonts w:ascii="MetaPro-Norm" w:hAnsi="MetaPro-Norm" w:cstheme="majorBidi"/>
          <w:sz w:val="16"/>
          <w:szCs w:val="16"/>
        </w:rPr>
        <w:t xml:space="preserve">, 2023). </w:t>
      </w:r>
    </w:p>
  </w:footnote>
  <w:footnote w:id="18">
    <w:p w14:paraId="576E3252" w14:textId="0C1751F9" w:rsidR="00164E63" w:rsidRPr="004E1A0B" w:rsidRDefault="00164E63" w:rsidP="00B274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667CB6" w:rsidRPr="004E1A0B">
        <w:rPr>
          <w:rFonts w:ascii="MetaPro-Norm" w:hAnsi="MetaPro-Norm" w:cstheme="majorBidi"/>
          <w:sz w:val="16"/>
          <w:szCs w:val="16"/>
        </w:rPr>
        <w:t>“Gaza: Israel’s ‘Open-Air Prison’ at 15,” Human Rights Watch news release, June 14, 2022, https://www.hrw.org/news/2022/06/14/gaza-israels-open-air-prison-15.</w:t>
      </w:r>
    </w:p>
  </w:footnote>
  <w:footnote w:id="19">
    <w:p w14:paraId="3C0825AF" w14:textId="30F8A197" w:rsidR="00804F4A" w:rsidRPr="00A8590E" w:rsidRDefault="00804F4A" w:rsidP="00B274F2">
      <w:pPr>
        <w:pStyle w:val="FootnoteText"/>
        <w:rPr>
          <w:rFonts w:asciiTheme="majorBidi" w:hAnsiTheme="majorBidi" w:cstheme="majorBidi"/>
          <w:sz w:val="16"/>
          <w:szCs w:val="16"/>
        </w:rPr>
      </w:pPr>
      <w:r w:rsidRPr="00A8590E">
        <w:rPr>
          <w:rStyle w:val="FootnoteReference"/>
          <w:rFonts w:ascii="MetaPro-Norm" w:hAnsi="MetaPro-Norm" w:cstheme="majorBidi"/>
          <w:sz w:val="16"/>
          <w:szCs w:val="16"/>
        </w:rPr>
        <w:footnoteRef/>
      </w:r>
      <w:r w:rsidRPr="00A8590E">
        <w:rPr>
          <w:rFonts w:ascii="MetaPro-Norm" w:hAnsi="MetaPro-Norm" w:cstheme="majorBidi"/>
          <w:sz w:val="16"/>
          <w:szCs w:val="16"/>
        </w:rPr>
        <w:t xml:space="preserve"> </w:t>
      </w:r>
      <w:r w:rsidRPr="003423B0">
        <w:rPr>
          <w:rFonts w:ascii="MetaPro-Norm" w:hAnsi="MetaPro-Norm" w:cstheme="majorBidi"/>
          <w:sz w:val="16"/>
          <w:szCs w:val="16"/>
          <w:shd w:val="clear" w:color="auto" w:fill="FFFFFF"/>
        </w:rPr>
        <w:t>Human Rights Watch,</w:t>
      </w:r>
      <w:r w:rsidR="004E5CBD" w:rsidRPr="003423B0">
        <w:rPr>
          <w:rFonts w:ascii="MetaPro-Norm" w:hAnsi="MetaPro-Norm" w:cstheme="majorBidi"/>
          <w:sz w:val="16"/>
          <w:szCs w:val="16"/>
          <w:shd w:val="clear" w:color="auto" w:fill="FFFFFF"/>
        </w:rPr>
        <w:t xml:space="preserve"> A Threshold Crossed, </w:t>
      </w:r>
      <w:r w:rsidRPr="003423B0">
        <w:rPr>
          <w:rFonts w:ascii="MetaPro-Norm" w:hAnsi="MetaPro-Norm" w:cstheme="majorBidi"/>
          <w:sz w:val="16"/>
          <w:szCs w:val="16"/>
          <w:shd w:val="clear" w:color="auto" w:fill="FFFFFF"/>
        </w:rPr>
        <w:t>April 27, 2021.</w:t>
      </w:r>
    </w:p>
  </w:footnote>
  <w:footnote w:id="20">
    <w:p w14:paraId="76B75A77" w14:textId="3F1B9BE5" w:rsidR="00FA3A30" w:rsidRPr="004E1A0B" w:rsidRDefault="00FA3A30" w:rsidP="004E1A0B">
      <w:pPr>
        <w:spacing w:after="0" w:line="240" w:lineRule="auto"/>
        <w:rPr>
          <w:rFonts w:ascii="MetaPro-Norm" w:hAnsi="MetaPro-Norm" w:cstheme="majorBidi"/>
          <w:sz w:val="16"/>
          <w:szCs w:val="16"/>
        </w:rPr>
      </w:pPr>
      <w:r w:rsidRPr="00A8590E">
        <w:rPr>
          <w:rStyle w:val="FootnoteReference"/>
          <w:rFonts w:ascii="MetaPro-Norm" w:hAnsi="MetaPro-Norm" w:cstheme="majorBidi"/>
          <w:sz w:val="16"/>
          <w:szCs w:val="16"/>
        </w:rPr>
        <w:footnoteRef/>
      </w:r>
      <w:r w:rsidR="00066C9C" w:rsidRPr="00A8590E">
        <w:rPr>
          <w:rFonts w:ascii="MetaPro-Norm" w:hAnsi="MetaPro-Norm" w:cstheme="majorBidi"/>
          <w:sz w:val="16"/>
          <w:szCs w:val="16"/>
        </w:rPr>
        <w:t xml:space="preserve"> </w:t>
      </w:r>
      <w:r w:rsidRPr="00A8590E">
        <w:rPr>
          <w:rFonts w:ascii="MetaPro-Norm" w:hAnsi="MetaPro-Norm" w:cstheme="majorBidi"/>
          <w:sz w:val="16"/>
          <w:szCs w:val="16"/>
        </w:rPr>
        <w:t>Israel: Record-Low in Gaza Medical, Human Rights Watch, 2018,</w:t>
      </w:r>
      <w:r w:rsidR="009F6D15" w:rsidRPr="00A8590E">
        <w:rPr>
          <w:rFonts w:ascii="MetaPro-Norm" w:hAnsi="MetaPro-Norm" w:cstheme="majorBidi"/>
          <w:sz w:val="16"/>
          <w:szCs w:val="16"/>
        </w:rPr>
        <w:t xml:space="preserve"> </w:t>
      </w:r>
      <w:r w:rsidR="006C3E64" w:rsidRPr="00A8590E">
        <w:rPr>
          <w:rFonts w:ascii="MetaPro-Norm" w:hAnsi="MetaPro-Norm" w:cstheme="majorBidi"/>
          <w:sz w:val="16"/>
          <w:szCs w:val="16"/>
        </w:rPr>
        <w:t>https://www.hrw.org/news/2018/02/13/israel-record-low-gaza-medical-permits</w:t>
      </w:r>
      <w:r w:rsidRPr="00A8590E">
        <w:rPr>
          <w:rFonts w:ascii="MetaPro-Norm" w:hAnsi="MetaPro-Norm" w:cstheme="majorBidi"/>
          <w:sz w:val="16"/>
          <w:szCs w:val="16"/>
        </w:rPr>
        <w:t xml:space="preserve">; Monthly report on health access, WHO, 2023 http://www.emro.who.int/opt/information-resources/monthly-report-on-health-access.html (accessed </w:t>
      </w:r>
      <w:r w:rsidR="00A8590E">
        <w:rPr>
          <w:rFonts w:ascii="MetaPro-Norm" w:hAnsi="MetaPro-Norm" w:cstheme="majorBidi"/>
          <w:sz w:val="16"/>
          <w:szCs w:val="16"/>
        </w:rPr>
        <w:t>September 19</w:t>
      </w:r>
      <w:r w:rsidRPr="004E1A0B">
        <w:rPr>
          <w:rFonts w:ascii="MetaPro-Norm" w:hAnsi="MetaPro-Norm" w:cstheme="majorBidi"/>
          <w:sz w:val="16"/>
          <w:szCs w:val="16"/>
        </w:rPr>
        <w:t xml:space="preserve">, 2023); </w:t>
      </w:r>
      <w:r w:rsidR="00A8590E" w:rsidRPr="004E1A0B">
        <w:rPr>
          <w:rFonts w:ascii="MetaPro-Norm" w:hAnsi="MetaPro-Norm" w:cstheme="majorBidi"/>
          <w:sz w:val="16"/>
          <w:szCs w:val="16"/>
        </w:rPr>
        <w:t xml:space="preserve">Gisha, </w:t>
      </w:r>
      <w:r w:rsidRPr="004E1A0B">
        <w:rPr>
          <w:rFonts w:ascii="MetaPro-Norm" w:hAnsi="MetaPro-Norm" w:cstheme="majorBidi"/>
          <w:sz w:val="16"/>
          <w:szCs w:val="16"/>
        </w:rPr>
        <w:t xml:space="preserve">“Following legal battle: Israel reinstates visits to sick relatives,” July 31, 2021, https://gisha.org/en/following-legal-battle-israel-reinstates-visits-to-sick-relatives/ (accessed </w:t>
      </w:r>
      <w:r w:rsidR="00A8590E">
        <w:rPr>
          <w:rFonts w:ascii="MetaPro-Norm" w:hAnsi="MetaPro-Norm" w:cstheme="majorBidi"/>
          <w:sz w:val="16"/>
          <w:szCs w:val="16"/>
        </w:rPr>
        <w:t>September 19</w:t>
      </w:r>
      <w:r w:rsidRPr="004E1A0B">
        <w:rPr>
          <w:rFonts w:ascii="MetaPro-Norm" w:hAnsi="MetaPro-Norm" w:cstheme="majorBidi"/>
          <w:sz w:val="16"/>
          <w:szCs w:val="16"/>
        </w:rPr>
        <w:t>, 2023).</w:t>
      </w:r>
    </w:p>
  </w:footnote>
  <w:footnote w:id="21">
    <w:p w14:paraId="16E57800" w14:textId="78EE57E9" w:rsidR="00E83D36" w:rsidRPr="004E1A0B" w:rsidRDefault="00E83D36" w:rsidP="00E83D36">
      <w:pPr>
        <w:spacing w:after="0" w:line="240" w:lineRule="auto"/>
        <w:jc w:val="both"/>
        <w:rPr>
          <w:rFonts w:ascii="MetaPro-Norm" w:hAnsi="MetaPro-Norm" w:cstheme="majorBidi"/>
          <w:sz w:val="16"/>
          <w:szCs w:val="16"/>
        </w:rPr>
      </w:pPr>
      <w:r w:rsidRPr="0047787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016D2C">
        <w:rPr>
          <w:rFonts w:ascii="MetaPro-Norm" w:hAnsi="MetaPro-Norm" w:cstheme="majorBidi"/>
          <w:sz w:val="16"/>
          <w:szCs w:val="16"/>
        </w:rPr>
        <w:t>O</w:t>
      </w:r>
      <w:r w:rsidR="0047787B">
        <w:rPr>
          <w:rFonts w:ascii="MetaPro-Norm" w:hAnsi="MetaPro-Norm" w:cstheme="majorBidi"/>
          <w:sz w:val="16"/>
          <w:szCs w:val="16"/>
        </w:rPr>
        <w:t>n file with Human Rights Watch</w:t>
      </w:r>
      <w:r w:rsidR="0071609D">
        <w:rPr>
          <w:rFonts w:ascii="MetaPro-Norm" w:hAnsi="MetaPro-Norm" w:cstheme="majorBidi"/>
          <w:sz w:val="16"/>
          <w:szCs w:val="16"/>
        </w:rPr>
        <w:t>.</w:t>
      </w:r>
    </w:p>
  </w:footnote>
  <w:footnote w:id="22">
    <w:p w14:paraId="7A358270" w14:textId="2972E389" w:rsidR="004E0666" w:rsidRPr="004E1A0B" w:rsidRDefault="004E0666"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A8590E" w:rsidRPr="004E1A0B">
        <w:rPr>
          <w:rFonts w:ascii="MetaPro-Norm" w:hAnsi="MetaPro-Norm" w:cstheme="majorBidi"/>
          <w:sz w:val="16"/>
          <w:szCs w:val="16"/>
        </w:rPr>
        <w:t xml:space="preserve">Gisha, </w:t>
      </w:r>
      <w:r w:rsidRPr="004E1A0B">
        <w:rPr>
          <w:rFonts w:ascii="MetaPro-Norm" w:hAnsi="MetaPro-Norm" w:cstheme="majorBidi"/>
          <w:sz w:val="16"/>
          <w:szCs w:val="16"/>
        </w:rPr>
        <w:t xml:space="preserve">“What is ‘the separation policy’,” June 2012, </w:t>
      </w:r>
      <w:hyperlink r:id="rId1" w:history="1">
        <w:r w:rsidR="00BC2548" w:rsidRPr="006F6FCF">
          <w:rPr>
            <w:rStyle w:val="Hyperlink"/>
            <w:rFonts w:ascii="MetaPro-Norm" w:hAnsi="MetaPro-Norm" w:cstheme="majorBidi"/>
            <w:sz w:val="16"/>
            <w:szCs w:val="16"/>
          </w:rPr>
          <w:t>https://www.gisha.org/UserFiles/File/publications/Bidul/bidul-infosheet-ENG.pdf</w:t>
        </w:r>
      </w:hyperlink>
      <w:r w:rsidR="00BC2548">
        <w:rPr>
          <w:rFonts w:ascii="MetaPro-Norm" w:hAnsi="MetaPro-Norm" w:cstheme="majorBidi"/>
          <w:sz w:val="16"/>
          <w:szCs w:val="16"/>
        </w:rPr>
        <w:t xml:space="preserve"> (accessed September 19, 2023).</w:t>
      </w:r>
    </w:p>
  </w:footnote>
  <w:footnote w:id="23">
    <w:p w14:paraId="4CD5196E" w14:textId="5FC9AA55" w:rsidR="00066C9C" w:rsidRPr="004E1A0B" w:rsidRDefault="00066C9C" w:rsidP="004E1A0B">
      <w:pPr>
        <w:spacing w:after="0" w:line="240" w:lineRule="auto"/>
        <w:rPr>
          <w:rFonts w:ascii="MetaPro-Norm" w:hAnsi="MetaPro-Norm" w:cstheme="majorBidi"/>
          <w:sz w:val="16"/>
          <w:szCs w:val="16"/>
        </w:rPr>
      </w:pPr>
      <w:r w:rsidRPr="004E1A0B">
        <w:rPr>
          <w:rStyle w:val="FootnoteReference"/>
          <w:rFonts w:ascii="MetaPro-Norm" w:hAnsi="MetaPro-Norm" w:cstheme="majorBidi"/>
          <w:sz w:val="16"/>
          <w:szCs w:val="16"/>
        </w:rPr>
        <w:footnoteRef/>
      </w:r>
      <w:r w:rsidR="000769B2" w:rsidRPr="004E1A0B">
        <w:rPr>
          <w:rFonts w:ascii="MetaPro-Norm" w:hAnsi="MetaPro-Norm" w:cstheme="majorBidi"/>
          <w:sz w:val="16"/>
          <w:szCs w:val="16"/>
        </w:rPr>
        <w:t xml:space="preserve"> </w:t>
      </w:r>
      <w:r w:rsidR="004E0666" w:rsidRPr="004E1A0B">
        <w:rPr>
          <w:rFonts w:ascii="MetaPro-Norm" w:hAnsi="MetaPro-Norm" w:cstheme="majorBidi"/>
          <w:sz w:val="16"/>
          <w:szCs w:val="16"/>
        </w:rPr>
        <w:t>“</w:t>
      </w:r>
      <w:r w:rsidRPr="004E1A0B">
        <w:rPr>
          <w:rFonts w:ascii="MetaPro-Norm" w:hAnsi="MetaPro-Norm" w:cstheme="majorBidi"/>
          <w:sz w:val="16"/>
          <w:szCs w:val="16"/>
        </w:rPr>
        <w:t>Israel: Record-Low in Gaza Medical</w:t>
      </w:r>
      <w:r w:rsidR="00FA2D2E" w:rsidRPr="004E1A0B">
        <w:rPr>
          <w:rFonts w:ascii="MetaPro-Norm" w:hAnsi="MetaPro-Norm" w:cstheme="majorBidi"/>
          <w:sz w:val="16"/>
          <w:szCs w:val="16"/>
        </w:rPr>
        <w:t xml:space="preserve"> Permits</w:t>
      </w:r>
      <w:r w:rsidRPr="004E1A0B">
        <w:rPr>
          <w:rFonts w:ascii="MetaPro-Norm" w:hAnsi="MetaPro-Norm" w:cstheme="majorBidi"/>
          <w:sz w:val="16"/>
          <w:szCs w:val="16"/>
        </w:rPr>
        <w:t>,</w:t>
      </w:r>
      <w:r w:rsidR="00FA2D2E" w:rsidRPr="004E1A0B">
        <w:rPr>
          <w:rFonts w:ascii="MetaPro-Norm" w:hAnsi="MetaPro-Norm" w:cstheme="majorBidi"/>
          <w:sz w:val="16"/>
          <w:szCs w:val="16"/>
        </w:rPr>
        <w:t>”</w:t>
      </w:r>
      <w:r w:rsidRPr="004E1A0B">
        <w:rPr>
          <w:rFonts w:ascii="MetaPro-Norm" w:hAnsi="MetaPro-Norm" w:cstheme="majorBidi"/>
          <w:sz w:val="16"/>
          <w:szCs w:val="16"/>
        </w:rPr>
        <w:t xml:space="preserve"> Human Rights Watch, 2018, https://www.hrw.org/news/2018/02/13/israel-record-low-gaza-medical-permits.</w:t>
      </w:r>
    </w:p>
  </w:footnote>
  <w:footnote w:id="24">
    <w:p w14:paraId="0B5D1EF6" w14:textId="0AC44390" w:rsidR="00FB2937" w:rsidRPr="004E1A0B" w:rsidRDefault="00FB2937"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BC2548">
        <w:rPr>
          <w:rFonts w:ascii="MetaPro-Norm" w:hAnsi="MetaPro-Norm" w:cstheme="majorBidi"/>
          <w:sz w:val="16"/>
          <w:szCs w:val="16"/>
        </w:rPr>
        <w:t xml:space="preserve">Benjamin </w:t>
      </w:r>
      <w:r w:rsidRPr="004E1A0B">
        <w:rPr>
          <w:rFonts w:ascii="MetaPro-Norm" w:hAnsi="MetaPro-Norm" w:cstheme="majorBidi"/>
          <w:sz w:val="16"/>
          <w:szCs w:val="16"/>
        </w:rPr>
        <w:t>Bouquet</w:t>
      </w:r>
      <w:r w:rsidR="00BC2548">
        <w:rPr>
          <w:rFonts w:ascii="MetaPro-Norm" w:hAnsi="MetaPro-Norm" w:cstheme="majorBidi"/>
          <w:sz w:val="16"/>
          <w:szCs w:val="16"/>
        </w:rPr>
        <w:t xml:space="preserve"> </w:t>
      </w:r>
      <w:proofErr w:type="gramStart"/>
      <w:r w:rsidR="00BC2548">
        <w:rPr>
          <w:rFonts w:ascii="MetaPro-Norm" w:hAnsi="MetaPro-Norm" w:cstheme="majorBidi"/>
          <w:sz w:val="16"/>
          <w:szCs w:val="16"/>
        </w:rPr>
        <w:t xml:space="preserve">et </w:t>
      </w:r>
      <w:proofErr w:type="spellStart"/>
      <w:r w:rsidR="00BC2548">
        <w:rPr>
          <w:rFonts w:ascii="MetaPro-Norm" w:hAnsi="MetaPro-Norm" w:cstheme="majorBidi"/>
          <w:sz w:val="16"/>
          <w:szCs w:val="16"/>
        </w:rPr>
        <w:t>al.,</w:t>
      </w:r>
      <w:r w:rsidR="000769B2" w:rsidRPr="004E1A0B">
        <w:rPr>
          <w:rFonts w:ascii="MetaPro-Norm" w:hAnsi="MetaPro-Norm" w:cstheme="majorBidi"/>
          <w:sz w:val="16"/>
          <w:szCs w:val="16"/>
        </w:rPr>
        <w:t>“</w:t>
      </w:r>
      <w:proofErr w:type="gramEnd"/>
      <w:r w:rsidRPr="004E1A0B">
        <w:rPr>
          <w:rFonts w:ascii="MetaPro-Norm" w:hAnsi="MetaPro-Norm" w:cstheme="majorBidi"/>
          <w:sz w:val="16"/>
          <w:szCs w:val="16"/>
        </w:rPr>
        <w:t>Comparative</w:t>
      </w:r>
      <w:proofErr w:type="spellEnd"/>
      <w:r w:rsidRPr="004E1A0B">
        <w:rPr>
          <w:rFonts w:ascii="MetaPro-Norm" w:hAnsi="MetaPro-Norm" w:cstheme="majorBidi"/>
          <w:sz w:val="16"/>
          <w:szCs w:val="16"/>
        </w:rPr>
        <w:t xml:space="preserve"> survival of cancer patients requiring Israeli permits to exit the Gaza Strip for health care: A retrospective cohort study from 2008 to 2017</w:t>
      </w:r>
      <w:r w:rsidR="00BC2548">
        <w:rPr>
          <w:rFonts w:ascii="MetaPro-Norm" w:hAnsi="MetaPro-Norm" w:cstheme="majorBidi"/>
          <w:sz w:val="16"/>
          <w:szCs w:val="16"/>
        </w:rPr>
        <w:t>,</w:t>
      </w:r>
      <w:r w:rsidR="000769B2" w:rsidRPr="004E1A0B">
        <w:rPr>
          <w:rFonts w:ascii="MetaPro-Norm" w:hAnsi="MetaPro-Norm" w:cstheme="majorBidi"/>
          <w:sz w:val="16"/>
          <w:szCs w:val="16"/>
        </w:rPr>
        <w:t xml:space="preserve">” </w:t>
      </w:r>
      <w:proofErr w:type="spellStart"/>
      <w:r w:rsidR="00A61B54" w:rsidRPr="009E4C6C">
        <w:rPr>
          <w:rFonts w:ascii="MetaPro-Norm" w:hAnsi="MetaPro-Norm" w:cstheme="majorBidi"/>
          <w:i/>
          <w:iCs/>
          <w:sz w:val="16"/>
          <w:szCs w:val="16"/>
        </w:rPr>
        <w:t>PLoS</w:t>
      </w:r>
      <w:proofErr w:type="spellEnd"/>
      <w:r w:rsidR="00A61B54" w:rsidRPr="009E4C6C">
        <w:rPr>
          <w:rFonts w:ascii="MetaPro-Norm" w:hAnsi="MetaPro-Norm" w:cstheme="majorBidi"/>
          <w:i/>
          <w:iCs/>
          <w:sz w:val="16"/>
          <w:szCs w:val="16"/>
        </w:rPr>
        <w:t xml:space="preserve"> ONE</w:t>
      </w:r>
      <w:r w:rsidR="00A61B54" w:rsidRPr="00A61B54">
        <w:rPr>
          <w:rFonts w:ascii="MetaPro-Norm" w:hAnsi="MetaPro-Norm" w:cstheme="majorBidi"/>
          <w:sz w:val="16"/>
          <w:szCs w:val="16"/>
        </w:rPr>
        <w:t xml:space="preserve"> 16</w:t>
      </w:r>
      <w:r w:rsidR="00434CAF">
        <w:rPr>
          <w:rFonts w:ascii="MetaPro-Norm" w:hAnsi="MetaPro-Norm" w:cstheme="majorBidi"/>
          <w:sz w:val="16"/>
          <w:szCs w:val="16"/>
        </w:rPr>
        <w:t xml:space="preserve"> (2001), accessed September 19, 2023, </w:t>
      </w:r>
      <w:proofErr w:type="spellStart"/>
      <w:r w:rsidRPr="004E1A0B">
        <w:rPr>
          <w:rFonts w:ascii="MetaPro-Norm" w:hAnsi="MetaPro-Norm" w:cstheme="majorBidi"/>
          <w:sz w:val="16"/>
          <w:szCs w:val="16"/>
        </w:rPr>
        <w:t>doi</w:t>
      </w:r>
      <w:proofErr w:type="spellEnd"/>
      <w:r w:rsidR="00434CAF">
        <w:rPr>
          <w:rFonts w:ascii="MetaPro-Norm" w:hAnsi="MetaPro-Norm" w:cstheme="majorBidi"/>
          <w:sz w:val="16"/>
          <w:szCs w:val="16"/>
        </w:rPr>
        <w:t xml:space="preserve">: </w:t>
      </w:r>
      <w:r w:rsidR="00434CAF" w:rsidRPr="00434CAF">
        <w:rPr>
          <w:rFonts w:ascii="MetaPro-Norm" w:hAnsi="MetaPro-Norm" w:cstheme="majorBidi"/>
          <w:sz w:val="16"/>
          <w:szCs w:val="16"/>
        </w:rPr>
        <w:t>10.1371/journal.pone.0251058</w:t>
      </w:r>
      <w:r w:rsidR="00434CAF">
        <w:rPr>
          <w:rFonts w:ascii="MetaPro-Norm" w:hAnsi="MetaPro-Norm" w:cstheme="majorBidi"/>
          <w:sz w:val="16"/>
          <w:szCs w:val="16"/>
        </w:rPr>
        <w:t>.</w:t>
      </w:r>
    </w:p>
  </w:footnote>
  <w:footnote w:id="25">
    <w:p w14:paraId="0E798442" w14:textId="2660A768" w:rsidR="00FB2937" w:rsidRPr="004E1A0B" w:rsidRDefault="00FB2937"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Medical Aid for Palestinians, “How restrictions on Gaza </w:t>
      </w:r>
      <w:proofErr w:type="gramStart"/>
      <w:r w:rsidRPr="004E1A0B">
        <w:rPr>
          <w:rFonts w:ascii="MetaPro-Norm" w:hAnsi="MetaPro-Norm" w:cstheme="majorBidi"/>
          <w:sz w:val="16"/>
          <w:szCs w:val="16"/>
        </w:rPr>
        <w:t>are</w:t>
      </w:r>
      <w:proofErr w:type="gramEnd"/>
      <w:r w:rsidRPr="004E1A0B">
        <w:rPr>
          <w:rFonts w:ascii="MetaPro-Norm" w:hAnsi="MetaPro-Norm" w:cstheme="majorBidi"/>
          <w:sz w:val="16"/>
          <w:szCs w:val="16"/>
        </w:rPr>
        <w:t xml:space="preserve"> a matter of life and death for breast cancer patients,” October 20, 2021, https://www.map.org.uk/news/archive/post/1302-how-restrictions-on-gaza-are-a-matter-of-life-and-death-for-breast-cancer-patients (accessed </w:t>
      </w:r>
      <w:r w:rsidR="00434CAF">
        <w:rPr>
          <w:rFonts w:ascii="MetaPro-Norm" w:hAnsi="MetaPro-Norm" w:cstheme="majorBidi"/>
          <w:sz w:val="16"/>
          <w:szCs w:val="16"/>
        </w:rPr>
        <w:t>September 19,</w:t>
      </w:r>
      <w:r w:rsidRPr="004E1A0B">
        <w:rPr>
          <w:rFonts w:ascii="MetaPro-Norm" w:hAnsi="MetaPro-Norm" w:cstheme="majorBidi"/>
          <w:sz w:val="16"/>
          <w:szCs w:val="16"/>
        </w:rPr>
        <w:t xml:space="preserve"> 2023).</w:t>
      </w:r>
    </w:p>
  </w:footnote>
  <w:footnote w:id="26">
    <w:p w14:paraId="66D396FD" w14:textId="7A02E4FB" w:rsidR="00FB2937" w:rsidRPr="004E1A0B" w:rsidRDefault="00FB2937"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“15 Years of Blockade and Health in Gaza,” WHO, July 2022, https://www.emro.who.int/opt/news/15-years-of-blockade-and-health-in-gaza.html (accessed </w:t>
      </w:r>
      <w:r w:rsidR="00434CAF">
        <w:rPr>
          <w:rFonts w:ascii="MetaPro-Norm" w:hAnsi="MetaPro-Norm" w:cstheme="majorBidi"/>
          <w:sz w:val="16"/>
          <w:szCs w:val="16"/>
        </w:rPr>
        <w:t>September 19</w:t>
      </w:r>
      <w:r w:rsidRPr="004E1A0B">
        <w:rPr>
          <w:rFonts w:ascii="MetaPro-Norm" w:hAnsi="MetaPro-Norm" w:cstheme="majorBidi"/>
          <w:sz w:val="16"/>
          <w:szCs w:val="16"/>
        </w:rPr>
        <w:t>, 2023)</w:t>
      </w:r>
      <w:r w:rsidR="000769B2" w:rsidRPr="004E1A0B">
        <w:rPr>
          <w:rFonts w:ascii="MetaPro-Norm" w:hAnsi="MetaPro-Norm" w:cstheme="majorBidi"/>
          <w:sz w:val="16"/>
          <w:szCs w:val="16"/>
        </w:rPr>
        <w:t>.</w:t>
      </w:r>
    </w:p>
  </w:footnote>
  <w:footnote w:id="27">
    <w:p w14:paraId="18383F55" w14:textId="3D87DD95" w:rsidR="00840407" w:rsidRPr="004E1A0B" w:rsidRDefault="00840407"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434CAF">
        <w:rPr>
          <w:rFonts w:ascii="MetaPro-Norm" w:hAnsi="MetaPro-Norm" w:cstheme="majorBidi"/>
          <w:sz w:val="16"/>
          <w:szCs w:val="16"/>
        </w:rPr>
        <w:t xml:space="preserve">Benjamin </w:t>
      </w:r>
      <w:r w:rsidRPr="004E1A0B">
        <w:rPr>
          <w:rFonts w:ascii="MetaPro-Norm" w:hAnsi="MetaPro-Norm" w:cstheme="majorBidi"/>
          <w:sz w:val="16"/>
          <w:szCs w:val="16"/>
        </w:rPr>
        <w:t>Bouquet</w:t>
      </w:r>
      <w:r w:rsidR="00434CAF">
        <w:rPr>
          <w:rFonts w:ascii="MetaPro-Norm" w:hAnsi="MetaPro-Norm" w:cstheme="majorBidi"/>
          <w:sz w:val="16"/>
          <w:szCs w:val="16"/>
        </w:rPr>
        <w:t xml:space="preserve"> et al.,</w:t>
      </w:r>
      <w:r w:rsidRPr="004E1A0B">
        <w:rPr>
          <w:rFonts w:ascii="MetaPro-Norm" w:hAnsi="MetaPro-Norm" w:cstheme="majorBidi"/>
          <w:sz w:val="16"/>
          <w:szCs w:val="16"/>
        </w:rPr>
        <w:t xml:space="preserve"> </w:t>
      </w:r>
      <w:r w:rsidR="00434CAF">
        <w:rPr>
          <w:rFonts w:ascii="MetaPro-Norm" w:hAnsi="MetaPro-Norm" w:cstheme="majorBidi"/>
          <w:sz w:val="16"/>
          <w:szCs w:val="16"/>
        </w:rPr>
        <w:t>“</w:t>
      </w:r>
      <w:r w:rsidRPr="004E1A0B">
        <w:rPr>
          <w:rFonts w:ascii="MetaPro-Norm" w:hAnsi="MetaPro-Norm" w:cstheme="majorBidi"/>
          <w:sz w:val="16"/>
          <w:szCs w:val="16"/>
        </w:rPr>
        <w:t>Comparative survival of cancer patients requiring Israeli permits to exit the Gaza Strip for health care</w:t>
      </w:r>
      <w:r w:rsidR="00434CAF">
        <w:rPr>
          <w:rFonts w:ascii="MetaPro-Norm" w:hAnsi="MetaPro-Norm" w:cstheme="majorBidi"/>
          <w:sz w:val="16"/>
          <w:szCs w:val="16"/>
        </w:rPr>
        <w:t>.”</w:t>
      </w:r>
      <w:r w:rsidR="000769B2" w:rsidRPr="004E1A0B">
        <w:rPr>
          <w:rFonts w:ascii="MetaPro-Norm" w:hAnsi="MetaPro-Norm" w:cstheme="majorBidi"/>
          <w:sz w:val="16"/>
          <w:szCs w:val="16"/>
        </w:rPr>
        <w:t>.</w:t>
      </w:r>
    </w:p>
  </w:footnote>
  <w:footnote w:id="28">
    <w:p w14:paraId="51871A8F" w14:textId="2EB061C3" w:rsidR="00D85135" w:rsidRPr="004E1A0B" w:rsidRDefault="00D85135"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“Gaza: Israel’s </w:t>
      </w:r>
      <w:proofErr w:type="gramStart"/>
      <w:r w:rsidRPr="004E1A0B">
        <w:rPr>
          <w:rFonts w:ascii="MetaPro-Norm" w:hAnsi="MetaPro-Norm" w:cstheme="majorBidi"/>
          <w:sz w:val="16"/>
          <w:szCs w:val="16"/>
        </w:rPr>
        <w:t>Open Air</w:t>
      </w:r>
      <w:proofErr w:type="gramEnd"/>
      <w:r w:rsidRPr="004E1A0B">
        <w:rPr>
          <w:rFonts w:ascii="MetaPro-Norm" w:hAnsi="MetaPro-Norm" w:cstheme="majorBidi"/>
          <w:sz w:val="16"/>
          <w:szCs w:val="16"/>
        </w:rPr>
        <w:t xml:space="preserve"> Prison at 15,” Human Rights Watch</w:t>
      </w:r>
      <w:r w:rsidR="00434CAF">
        <w:rPr>
          <w:rFonts w:ascii="MetaPro-Norm" w:hAnsi="MetaPro-Norm" w:cstheme="majorBidi"/>
          <w:sz w:val="16"/>
          <w:szCs w:val="16"/>
        </w:rPr>
        <w:t xml:space="preserve"> new release</w:t>
      </w:r>
      <w:r w:rsidRPr="004E1A0B">
        <w:rPr>
          <w:rFonts w:ascii="MetaPro-Norm" w:hAnsi="MetaPro-Norm" w:cstheme="majorBidi"/>
          <w:sz w:val="16"/>
          <w:szCs w:val="16"/>
        </w:rPr>
        <w:t>, June 14, 2022, https://www.hrw.org/news/2022/06/14/gaza-israels-open-air-prison-15</w:t>
      </w:r>
      <w:r w:rsidR="00434CAF">
        <w:rPr>
          <w:rFonts w:ascii="MetaPro-Norm" w:hAnsi="MetaPro-Norm" w:cstheme="majorBidi"/>
          <w:sz w:val="16"/>
          <w:szCs w:val="16"/>
        </w:rPr>
        <w:t>.</w:t>
      </w:r>
    </w:p>
  </w:footnote>
  <w:footnote w:id="29">
    <w:p w14:paraId="1EF88A8A" w14:textId="2D98AE62" w:rsidR="00310E39" w:rsidRPr="004E1A0B" w:rsidRDefault="00310E39"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5C5A17" w:rsidRPr="004E1A0B">
        <w:rPr>
          <w:rFonts w:ascii="MetaPro-Norm" w:hAnsi="MetaPro-Norm" w:cstheme="majorBidi"/>
          <w:sz w:val="16"/>
          <w:szCs w:val="16"/>
        </w:rPr>
        <w:t xml:space="preserve">Ibid. </w:t>
      </w:r>
    </w:p>
  </w:footnote>
  <w:footnote w:id="30">
    <w:p w14:paraId="176EA2D4" w14:textId="204C624A" w:rsidR="007A6EB0" w:rsidRPr="004E1A0B" w:rsidRDefault="007A6EB0"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434CAF" w:rsidRPr="004E1A0B">
        <w:rPr>
          <w:rFonts w:ascii="MetaPro-Norm" w:hAnsi="MetaPro-Norm" w:cstheme="majorBidi"/>
          <w:sz w:val="16"/>
          <w:szCs w:val="16"/>
        </w:rPr>
        <w:t xml:space="preserve">Gisha, </w:t>
      </w:r>
      <w:r w:rsidR="0049713B" w:rsidRPr="004E1A0B">
        <w:rPr>
          <w:rFonts w:ascii="MetaPro-Norm" w:hAnsi="MetaPro-Norm" w:cstheme="majorBidi"/>
          <w:sz w:val="16"/>
          <w:szCs w:val="16"/>
        </w:rPr>
        <w:t xml:space="preserve">“Discrimination by default: A gender Analysis of Israel’s criteria from travel through the Erez crossing,” December 2020, </w:t>
      </w:r>
      <w:r w:rsidR="00434CAF" w:rsidRPr="009E4C6C">
        <w:t>https://gisha.org/UserFiles/File/publications/Discrimination_by_Default_EN.pdf</w:t>
      </w:r>
      <w:r w:rsidR="00434CAF">
        <w:rPr>
          <w:rFonts w:ascii="MetaPro-Norm" w:hAnsi="MetaPro-Norm" w:cstheme="majorBidi"/>
          <w:sz w:val="16"/>
          <w:szCs w:val="16"/>
        </w:rPr>
        <w:t xml:space="preserve"> (accessed September 19, 2023).</w:t>
      </w:r>
    </w:p>
  </w:footnote>
  <w:footnote w:id="31">
    <w:p w14:paraId="68542584" w14:textId="0DD9BD61" w:rsidR="009341CA" w:rsidRPr="004E1A0B" w:rsidRDefault="009341CA" w:rsidP="004E1A0B">
      <w:pPr>
        <w:spacing w:after="0" w:line="240" w:lineRule="auto"/>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49713B" w:rsidRPr="004E1A0B">
        <w:rPr>
          <w:rFonts w:ascii="MetaPro-Norm" w:hAnsi="MetaPro-Norm" w:cstheme="majorBidi"/>
          <w:sz w:val="16"/>
          <w:szCs w:val="16"/>
        </w:rPr>
        <w:t>Ibid</w:t>
      </w:r>
    </w:p>
  </w:footnote>
  <w:footnote w:id="32">
    <w:p w14:paraId="755BA43D" w14:textId="54BED67B" w:rsidR="009341CA" w:rsidRPr="004E1A0B" w:rsidRDefault="009341CA"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00434CAF">
        <w:rPr>
          <w:rFonts w:ascii="MetaPro-Norm" w:hAnsi="MetaPro-Norm" w:cstheme="majorBidi"/>
          <w:sz w:val="16"/>
          <w:szCs w:val="16"/>
        </w:rPr>
        <w:t xml:space="preserve"> </w:t>
      </w:r>
      <w:r w:rsidRPr="004E1A0B">
        <w:rPr>
          <w:rFonts w:ascii="MetaPro-Norm" w:hAnsi="MetaPro-Norm" w:cstheme="majorBidi"/>
          <w:sz w:val="16"/>
          <w:szCs w:val="16"/>
        </w:rPr>
        <w:t xml:space="preserve">“Gaza: Israel’s </w:t>
      </w:r>
      <w:proofErr w:type="gramStart"/>
      <w:r w:rsidRPr="004E1A0B">
        <w:rPr>
          <w:rFonts w:ascii="MetaPro-Norm" w:hAnsi="MetaPro-Norm" w:cstheme="majorBidi"/>
          <w:sz w:val="16"/>
          <w:szCs w:val="16"/>
        </w:rPr>
        <w:t>Open Air</w:t>
      </w:r>
      <w:proofErr w:type="gramEnd"/>
      <w:r w:rsidRPr="004E1A0B">
        <w:rPr>
          <w:rFonts w:ascii="MetaPro-Norm" w:hAnsi="MetaPro-Norm" w:cstheme="majorBidi"/>
          <w:sz w:val="16"/>
          <w:szCs w:val="16"/>
        </w:rPr>
        <w:t xml:space="preserve"> Prison at 15,” Human Rights Watch</w:t>
      </w:r>
      <w:r w:rsidR="00434CAF">
        <w:rPr>
          <w:rFonts w:ascii="MetaPro-Norm" w:hAnsi="MetaPro-Norm" w:cstheme="majorBidi"/>
          <w:sz w:val="16"/>
          <w:szCs w:val="16"/>
        </w:rPr>
        <w:t xml:space="preserve"> new release</w:t>
      </w:r>
      <w:hyperlink w:history="1"/>
      <w:r w:rsidR="00B5087C">
        <w:rPr>
          <w:rFonts w:ascii="MetaPro-Norm" w:hAnsi="MetaPro-Norm" w:cstheme="majorBidi"/>
          <w:sz w:val="16"/>
          <w:szCs w:val="16"/>
        </w:rPr>
        <w:t>.</w:t>
      </w:r>
    </w:p>
  </w:footnote>
  <w:footnote w:id="33">
    <w:p w14:paraId="57B8AFAB" w14:textId="31D4166C" w:rsidR="009341CA" w:rsidRPr="00B274F2" w:rsidRDefault="009341CA" w:rsidP="004E1A0B">
      <w:pPr>
        <w:pStyle w:val="FootnoteText"/>
        <w:rPr>
          <w:rFonts w:asciiTheme="majorBidi" w:hAnsiTheme="majorBidi"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434CAF" w:rsidRPr="004E1A0B">
        <w:rPr>
          <w:rFonts w:ascii="MetaPro-Norm" w:hAnsi="MetaPro-Norm" w:cstheme="majorBidi"/>
          <w:sz w:val="16"/>
          <w:szCs w:val="16"/>
        </w:rPr>
        <w:t xml:space="preserve">Gisha, </w:t>
      </w:r>
      <w:r w:rsidRPr="004E1A0B">
        <w:rPr>
          <w:rFonts w:ascii="MetaPro-Norm" w:hAnsi="MetaPro-Norm" w:cstheme="majorBidi"/>
          <w:sz w:val="16"/>
          <w:szCs w:val="16"/>
        </w:rPr>
        <w:t xml:space="preserve">“Date VS. Date Paste,” May 21, 2020, https://gisha.org/en/dates-vs-date-paste/ (accessed September </w:t>
      </w:r>
      <w:r w:rsidR="00434CAF">
        <w:rPr>
          <w:rFonts w:ascii="MetaPro-Norm" w:hAnsi="MetaPro-Norm" w:cstheme="majorBidi"/>
          <w:sz w:val="16"/>
          <w:szCs w:val="16"/>
        </w:rPr>
        <w:t>19</w:t>
      </w:r>
      <w:r w:rsidRPr="004E1A0B">
        <w:rPr>
          <w:rFonts w:ascii="MetaPro-Norm" w:hAnsi="MetaPro-Norm" w:cstheme="majorBidi"/>
          <w:sz w:val="16"/>
          <w:szCs w:val="16"/>
        </w:rPr>
        <w:t>, 2023)</w:t>
      </w:r>
      <w:r w:rsidR="00434CAF">
        <w:rPr>
          <w:rFonts w:ascii="MetaPro-Norm" w:hAnsi="MetaPro-Norm" w:cstheme="majorBidi"/>
          <w:sz w:val="16"/>
          <w:szCs w:val="16"/>
        </w:rPr>
        <w:t>.</w:t>
      </w:r>
    </w:p>
  </w:footnote>
  <w:footnote w:id="34">
    <w:p w14:paraId="69AF796B" w14:textId="6C76C3E9" w:rsidR="00F4156B" w:rsidRPr="004E1A0B" w:rsidRDefault="00F4156B" w:rsidP="004E1A0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751B80" w:rsidRPr="004E1A0B">
        <w:rPr>
          <w:rFonts w:ascii="MetaPro-Norm" w:hAnsi="MetaPro-Norm" w:cstheme="majorBidi"/>
          <w:sz w:val="16"/>
          <w:szCs w:val="16"/>
        </w:rPr>
        <w:t>Palestine: Submission to the UN Committee on the Rights of Persons with Disabilities</w:t>
      </w:r>
      <w:r w:rsidRPr="004E1A0B">
        <w:rPr>
          <w:rFonts w:ascii="MetaPro-Norm" w:hAnsi="MetaPro-Norm" w:cstheme="majorBidi"/>
          <w:sz w:val="16"/>
          <w:szCs w:val="16"/>
        </w:rPr>
        <w:t>,” Human Rights Watch, June 14, 2022, https://www.hrw.org/news/2022/06/14/gaza-israels-open-air-prison-15</w:t>
      </w:r>
      <w:r w:rsidR="00B5087C">
        <w:rPr>
          <w:rFonts w:ascii="MetaPro-Norm" w:hAnsi="MetaPro-Norm" w:cstheme="majorBidi"/>
          <w:sz w:val="16"/>
          <w:szCs w:val="16"/>
        </w:rPr>
        <w:t>.</w:t>
      </w:r>
    </w:p>
  </w:footnote>
  <w:footnote w:id="35">
    <w:p w14:paraId="074557AD" w14:textId="2C2DC0B3" w:rsidR="008A0B52" w:rsidRPr="004E1A0B" w:rsidRDefault="008A0B52" w:rsidP="003C43E1">
      <w:pPr>
        <w:spacing w:after="0" w:line="240" w:lineRule="auto"/>
        <w:rPr>
          <w:rFonts w:ascii="MetaPro-Norm" w:hAnsi="MetaPro-Norm" w:cstheme="majorBidi"/>
          <w:color w:val="444444"/>
          <w:sz w:val="16"/>
          <w:szCs w:val="16"/>
        </w:rPr>
      </w:pPr>
      <w:r w:rsidRPr="00B5087C">
        <w:rPr>
          <w:rStyle w:val="FootnoteReference"/>
          <w:rFonts w:ascii="MetaPro-Norm" w:hAnsi="MetaPro-Norm" w:cstheme="majorBidi"/>
          <w:sz w:val="16"/>
          <w:szCs w:val="16"/>
        </w:rPr>
        <w:footnoteRef/>
      </w:r>
      <w:r w:rsidRPr="00B5087C">
        <w:rPr>
          <w:rFonts w:ascii="MetaPro-Norm" w:hAnsi="MetaPro-Norm" w:cstheme="majorBidi"/>
          <w:sz w:val="16"/>
          <w:szCs w:val="16"/>
        </w:rPr>
        <w:t xml:space="preserve"> </w:t>
      </w:r>
      <w:r w:rsidRPr="009E4C6C">
        <w:rPr>
          <w:rFonts w:ascii="MetaPro-Norm" w:hAnsi="MetaPro-Norm" w:cstheme="majorBidi"/>
          <w:sz w:val="16"/>
          <w:szCs w:val="16"/>
        </w:rPr>
        <w:t xml:space="preserve">Gaza: Israeli Restrictions Harm People with disabilities, Human Rights Watch, December 3, 2020, </w:t>
      </w:r>
      <w:r w:rsidRPr="004E1A0B">
        <w:rPr>
          <w:rFonts w:ascii="MetaPro-Norm" w:hAnsi="MetaPro-Norm" w:cstheme="majorBidi"/>
          <w:sz w:val="16"/>
          <w:szCs w:val="16"/>
        </w:rPr>
        <w:t>https://www.hrw.org/news/2020/12/03/gaza-israeli-restrictions-harm-people-disabilities</w:t>
      </w:r>
      <w:r w:rsidR="00B5087C">
        <w:rPr>
          <w:rFonts w:ascii="MetaPro-Norm" w:hAnsi="MetaPro-Norm" w:cstheme="majorBidi"/>
          <w:sz w:val="16"/>
          <w:szCs w:val="16"/>
        </w:rPr>
        <w:t>.</w:t>
      </w:r>
    </w:p>
  </w:footnote>
  <w:footnote w:id="36">
    <w:p w14:paraId="1468DC14" w14:textId="0413D942" w:rsidR="006C3DE9" w:rsidRPr="004E1A0B" w:rsidRDefault="006C3DE9" w:rsidP="00F17CBE">
      <w:pPr>
        <w:spacing w:after="0" w:line="240" w:lineRule="auto"/>
        <w:rPr>
          <w:rFonts w:ascii="MetaPro-Norm" w:hAnsi="MetaPro-Norm" w:cstheme="majorBidi"/>
          <w:color w:val="444444"/>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proofErr w:type="spellStart"/>
      <w:r w:rsidRPr="004E1A0B">
        <w:rPr>
          <w:rFonts w:ascii="MetaPro-Norm" w:hAnsi="MetaPro-Norm" w:cstheme="majorBidi"/>
          <w:sz w:val="16"/>
          <w:szCs w:val="16"/>
        </w:rPr>
        <w:t>Abier</w:t>
      </w:r>
      <w:proofErr w:type="spellEnd"/>
      <w:r w:rsidRPr="004E1A0B">
        <w:rPr>
          <w:rFonts w:ascii="MetaPro-Norm" w:hAnsi="MetaPro-Norm" w:cstheme="majorBidi"/>
          <w:sz w:val="16"/>
          <w:szCs w:val="16"/>
        </w:rPr>
        <w:t xml:space="preserve"> Almasri, “In Gaza, we get four hours of electricity a day — if we're lucky,” </w:t>
      </w:r>
      <w:r w:rsidRPr="009E4C6C">
        <w:rPr>
          <w:rFonts w:ascii="MetaPro-Norm" w:hAnsi="MetaPro-Norm" w:cstheme="majorBidi"/>
          <w:i/>
          <w:iCs/>
          <w:sz w:val="16"/>
          <w:szCs w:val="16"/>
        </w:rPr>
        <w:t>Los Angeles Times</w:t>
      </w:r>
      <w:r w:rsidRPr="004E1A0B">
        <w:rPr>
          <w:rFonts w:ascii="MetaPro-Norm" w:hAnsi="MetaPro-Norm" w:cstheme="majorBidi"/>
          <w:sz w:val="16"/>
          <w:szCs w:val="16"/>
        </w:rPr>
        <w:t>, August 20, 2017, http://www.latimes.com/opinion/op-ed/la-oe-almasri-no-electricity-in-gaza-20170820-story.html (accessed September 18, 2023).</w:t>
      </w:r>
    </w:p>
  </w:footnote>
  <w:footnote w:id="37">
    <w:p w14:paraId="67373B1F" w14:textId="2971A697" w:rsidR="00756609" w:rsidRPr="004E1A0B" w:rsidRDefault="00756609" w:rsidP="00756609">
      <w:pPr>
        <w:spacing w:after="0" w:line="240" w:lineRule="auto"/>
        <w:rPr>
          <w:rFonts w:ascii="MetaPro-Norm" w:hAnsi="MetaPro-Norm" w:cstheme="majorBidi"/>
          <w:color w:val="444444"/>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745FC5" w:rsidRPr="004E1A0B">
        <w:rPr>
          <w:rFonts w:ascii="MetaPro-Norm" w:hAnsi="MetaPro-Norm" w:cstheme="majorBidi"/>
          <w:sz w:val="16"/>
          <w:szCs w:val="16"/>
        </w:rPr>
        <w:t>Fifteen years of the blockade of the Gaza Strip,” UNICEF, July 3, 2022, https://www.unicef.org/mena/press-releases/fifteen-years-blockade-gaza-strip (accessed September 18, 2023).</w:t>
      </w:r>
    </w:p>
  </w:footnote>
  <w:footnote w:id="38">
    <w:p w14:paraId="40941A9F" w14:textId="35C4F89A" w:rsidR="001A7E4B" w:rsidRPr="00B274F2" w:rsidRDefault="001A7E4B" w:rsidP="00B274F2">
      <w:pPr>
        <w:pStyle w:val="FootnoteText"/>
        <w:rPr>
          <w:rFonts w:asciiTheme="majorBidi" w:hAnsiTheme="majorBidi"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AB782F" w:rsidRPr="004E1A0B">
        <w:rPr>
          <w:rFonts w:ascii="MetaPro-Norm" w:hAnsi="MetaPro-Norm" w:cstheme="majorBidi"/>
          <w:sz w:val="16"/>
          <w:szCs w:val="16"/>
        </w:rPr>
        <w:t xml:space="preserve"> </w:t>
      </w:r>
      <w:r w:rsidR="008060A9" w:rsidRPr="004E1A0B">
        <w:rPr>
          <w:rFonts w:ascii="MetaPro-Norm" w:hAnsi="MetaPro-Norm" w:cstheme="majorBidi"/>
          <w:sz w:val="16"/>
          <w:szCs w:val="16"/>
        </w:rPr>
        <w:t xml:space="preserve">State of Palestine Palestinian Central Bureau of Statistics, </w:t>
      </w:r>
      <w:r w:rsidR="00242AB6" w:rsidRPr="004E1A0B">
        <w:rPr>
          <w:rFonts w:ascii="MetaPro-Norm" w:hAnsi="MetaPro-Norm" w:cstheme="majorBidi"/>
          <w:sz w:val="16"/>
          <w:szCs w:val="16"/>
        </w:rPr>
        <w:t>“</w:t>
      </w:r>
      <w:r w:rsidR="008060A9" w:rsidRPr="004E1A0B">
        <w:rPr>
          <w:rFonts w:ascii="MetaPro-Norm" w:hAnsi="MetaPro-Norm" w:cstheme="majorBidi"/>
          <w:sz w:val="16"/>
          <w:szCs w:val="16"/>
        </w:rPr>
        <w:t xml:space="preserve">Palestinian </w:t>
      </w:r>
      <w:proofErr w:type="spellStart"/>
      <w:r w:rsidR="008060A9" w:rsidRPr="004E1A0B">
        <w:rPr>
          <w:rFonts w:ascii="MetaPro-Norm" w:hAnsi="MetaPro-Norm" w:cstheme="majorBidi"/>
          <w:sz w:val="16"/>
          <w:szCs w:val="16"/>
        </w:rPr>
        <w:t>Labour</w:t>
      </w:r>
      <w:proofErr w:type="spellEnd"/>
      <w:r w:rsidR="008060A9" w:rsidRPr="004E1A0B">
        <w:rPr>
          <w:rFonts w:ascii="MetaPro-Norm" w:hAnsi="MetaPro-Norm" w:cstheme="majorBidi"/>
          <w:sz w:val="16"/>
          <w:szCs w:val="16"/>
        </w:rPr>
        <w:t xml:space="preserve"> Force Survey Annual Report: 2022</w:t>
      </w:r>
      <w:r w:rsidR="00242AB6" w:rsidRPr="004E1A0B">
        <w:rPr>
          <w:rFonts w:ascii="MetaPro-Norm" w:hAnsi="MetaPro-Norm" w:cstheme="majorBidi"/>
          <w:sz w:val="16"/>
          <w:szCs w:val="16"/>
        </w:rPr>
        <w:t>,” https://www.pcbs.gov.ps/Downloads/book2658.pdf (accessed September 11, 2023)</w:t>
      </w:r>
      <w:r w:rsidR="00B5087C">
        <w:rPr>
          <w:rFonts w:ascii="MetaPro-Norm" w:hAnsi="MetaPro-Norm" w:cstheme="majorBidi"/>
          <w:sz w:val="16"/>
          <w:szCs w:val="16"/>
        </w:rPr>
        <w:t>,</w:t>
      </w:r>
      <w:r w:rsidR="00B5087C" w:rsidRPr="00B5087C">
        <w:rPr>
          <w:rFonts w:ascii="MetaPro-Norm" w:hAnsi="MetaPro-Norm" w:cstheme="majorBidi"/>
          <w:sz w:val="16"/>
          <w:szCs w:val="16"/>
        </w:rPr>
        <w:t xml:space="preserve"> </w:t>
      </w:r>
      <w:r w:rsidR="00B5087C" w:rsidRPr="004E1A0B">
        <w:rPr>
          <w:rFonts w:ascii="MetaPro-Norm" w:hAnsi="MetaPro-Norm" w:cstheme="majorBidi"/>
          <w:sz w:val="16"/>
          <w:szCs w:val="16"/>
        </w:rPr>
        <w:t>p.</w:t>
      </w:r>
      <w:r w:rsidR="00B5087C">
        <w:rPr>
          <w:rFonts w:ascii="MetaPro-Norm" w:hAnsi="MetaPro-Norm" w:cstheme="majorBidi"/>
          <w:sz w:val="16"/>
          <w:szCs w:val="16"/>
        </w:rPr>
        <w:t xml:space="preserve"> </w:t>
      </w:r>
      <w:r w:rsidR="00B5087C" w:rsidRPr="004E1A0B">
        <w:rPr>
          <w:rFonts w:ascii="MetaPro-Norm" w:hAnsi="MetaPro-Norm" w:cstheme="majorBidi"/>
          <w:sz w:val="16"/>
          <w:szCs w:val="16"/>
        </w:rPr>
        <w:t>30</w:t>
      </w:r>
      <w:r w:rsidR="00B5087C">
        <w:rPr>
          <w:rFonts w:ascii="MetaPro-Norm" w:hAnsi="MetaPro-Norm" w:cstheme="majorBidi"/>
          <w:sz w:val="16"/>
          <w:szCs w:val="16"/>
        </w:rPr>
        <w:t>.</w:t>
      </w:r>
    </w:p>
  </w:footnote>
  <w:footnote w:id="39">
    <w:p w14:paraId="09131986" w14:textId="62F95FFA" w:rsidR="004725F0" w:rsidRPr="00B5087C" w:rsidRDefault="004725F0" w:rsidP="00B274F2">
      <w:pPr>
        <w:pStyle w:val="NormalWeb"/>
        <w:shd w:val="clear" w:color="auto" w:fill="FFFFFF"/>
        <w:spacing w:before="0" w:beforeAutospacing="0" w:after="0" w:afterAutospacing="0"/>
        <w:rPr>
          <w:rFonts w:ascii="MetaPro-Norm" w:hAnsi="MetaPro-Norm" w:cstheme="majorBidi"/>
          <w:sz w:val="16"/>
          <w:szCs w:val="16"/>
        </w:rPr>
      </w:pPr>
      <w:r w:rsidRPr="00B5087C">
        <w:rPr>
          <w:rStyle w:val="FootnoteReference"/>
          <w:rFonts w:ascii="MetaPro-Norm" w:eastAsia="Calibri" w:hAnsi="MetaPro-Norm" w:cstheme="majorBidi"/>
          <w:sz w:val="16"/>
          <w:szCs w:val="16"/>
        </w:rPr>
        <w:footnoteRef/>
      </w:r>
      <w:r w:rsidRPr="00B5087C">
        <w:rPr>
          <w:rFonts w:ascii="MetaPro-Norm" w:hAnsi="MetaPro-Norm" w:cstheme="majorBidi"/>
          <w:sz w:val="16"/>
          <w:szCs w:val="16"/>
        </w:rPr>
        <w:t xml:space="preserve"> The Citizenship and Entry into Israel Law (Temporary Order), 5782-2022, Adala, https://www.adalah.org/uploads/uploads/The_Citizenship_and_Entry_into_Israel_Law_Eng_150322.pdf (accessed </w:t>
      </w:r>
      <w:r w:rsidR="00B5087C">
        <w:rPr>
          <w:rFonts w:ascii="MetaPro-Norm" w:hAnsi="MetaPro-Norm" w:cstheme="majorBidi"/>
          <w:sz w:val="16"/>
          <w:szCs w:val="16"/>
        </w:rPr>
        <w:t>September 19</w:t>
      </w:r>
      <w:r w:rsidRPr="00B5087C">
        <w:rPr>
          <w:rFonts w:ascii="MetaPro-Norm" w:hAnsi="MetaPro-Norm" w:cstheme="majorBidi"/>
          <w:sz w:val="16"/>
          <w:szCs w:val="16"/>
        </w:rPr>
        <w:t>, 2023</w:t>
      </w:r>
      <w:r w:rsidR="0040597D" w:rsidRPr="00B5087C">
        <w:rPr>
          <w:rFonts w:ascii="MetaPro-Norm" w:hAnsi="MetaPro-Norm" w:cstheme="majorBidi"/>
          <w:sz w:val="16"/>
          <w:szCs w:val="16"/>
        </w:rPr>
        <w:t>);</w:t>
      </w:r>
      <w:r w:rsidR="00511B7C" w:rsidRPr="00B5087C">
        <w:rPr>
          <w:rFonts w:ascii="MetaPro-Norm" w:hAnsi="MetaPro-Norm" w:cstheme="majorBidi"/>
          <w:sz w:val="16"/>
          <w:szCs w:val="16"/>
        </w:rPr>
        <w:t xml:space="preserve"> “Israel and Palestine: Events of 2021,” Human Rights Watch, June 14, 2022, https://www.hrw.org/news/2022/06/14/gaza-israels-open-air-prison-15</w:t>
      </w:r>
      <w:r w:rsidR="00B5087C">
        <w:rPr>
          <w:rFonts w:ascii="MetaPro-Norm" w:hAnsi="MetaPro-Norm" w:cstheme="majorBidi"/>
          <w:sz w:val="16"/>
          <w:szCs w:val="16"/>
        </w:rPr>
        <w:t>;</w:t>
      </w:r>
      <w:r w:rsidR="0040597D" w:rsidRPr="00B5087C">
        <w:rPr>
          <w:rFonts w:ascii="MetaPro-Norm" w:hAnsi="MetaPro-Norm" w:cstheme="majorBidi"/>
          <w:sz w:val="16"/>
          <w:szCs w:val="16"/>
        </w:rPr>
        <w:t xml:space="preserve"> “</w:t>
      </w:r>
      <w:r w:rsidR="006D0626" w:rsidRPr="00B5087C">
        <w:rPr>
          <w:rFonts w:ascii="MetaPro-Norm" w:hAnsi="MetaPro-Norm" w:cstheme="majorBidi"/>
          <w:sz w:val="16"/>
          <w:szCs w:val="16"/>
        </w:rPr>
        <w:t>Knesset extends law banning Palestinian family unification for another year</w:t>
      </w:r>
      <w:r w:rsidR="0040597D" w:rsidRPr="00B5087C">
        <w:rPr>
          <w:rFonts w:ascii="MetaPro-Norm" w:hAnsi="MetaPro-Norm" w:cstheme="majorBidi"/>
          <w:sz w:val="16"/>
          <w:szCs w:val="16"/>
        </w:rPr>
        <w:t xml:space="preserve">,” </w:t>
      </w:r>
      <w:r w:rsidR="006D0626" w:rsidRPr="00B5087C">
        <w:rPr>
          <w:rFonts w:ascii="MetaPro-Norm" w:hAnsi="MetaPro-Norm" w:cstheme="majorBidi"/>
          <w:i/>
          <w:iCs/>
          <w:sz w:val="16"/>
          <w:szCs w:val="16"/>
        </w:rPr>
        <w:t>Times of Israel</w:t>
      </w:r>
      <w:r w:rsidR="0040597D" w:rsidRPr="00B5087C">
        <w:rPr>
          <w:rFonts w:ascii="MetaPro-Norm" w:hAnsi="MetaPro-Norm" w:cstheme="majorBidi"/>
          <w:i/>
          <w:iCs/>
          <w:sz w:val="16"/>
          <w:szCs w:val="16"/>
        </w:rPr>
        <w:t>,</w:t>
      </w:r>
      <w:r w:rsidR="0040597D" w:rsidRPr="00B5087C">
        <w:rPr>
          <w:rFonts w:ascii="MetaPro-Norm" w:hAnsi="MetaPro-Norm" w:cstheme="majorBidi"/>
          <w:sz w:val="16"/>
          <w:szCs w:val="16"/>
        </w:rPr>
        <w:t xml:space="preserve"> </w:t>
      </w:r>
      <w:r w:rsidR="006D0626" w:rsidRPr="00B5087C">
        <w:rPr>
          <w:rFonts w:ascii="MetaPro-Norm" w:hAnsi="MetaPro-Norm" w:cstheme="majorBidi"/>
          <w:sz w:val="16"/>
          <w:szCs w:val="16"/>
        </w:rPr>
        <w:t>March 6, 2023</w:t>
      </w:r>
      <w:r w:rsidR="0040597D" w:rsidRPr="00B5087C">
        <w:rPr>
          <w:rFonts w:ascii="MetaPro-Norm" w:hAnsi="MetaPro-Norm" w:cstheme="majorBidi"/>
          <w:sz w:val="16"/>
          <w:szCs w:val="16"/>
        </w:rPr>
        <w:t xml:space="preserve">, </w:t>
      </w:r>
      <w:r w:rsidR="006D0626" w:rsidRPr="00B5087C">
        <w:rPr>
          <w:rFonts w:ascii="MetaPro-Norm" w:hAnsi="MetaPro-Norm" w:cstheme="majorBidi"/>
          <w:sz w:val="16"/>
          <w:szCs w:val="16"/>
        </w:rPr>
        <w:t>https://www.timesofisrael.com/knesset-extends-law-banning-palestinian-family-unification-for-another-year/</w:t>
      </w:r>
      <w:r w:rsidR="0040597D" w:rsidRPr="00B5087C">
        <w:rPr>
          <w:rFonts w:ascii="MetaPro-Norm" w:hAnsi="MetaPro-Norm" w:cstheme="majorBidi"/>
          <w:sz w:val="16"/>
          <w:szCs w:val="16"/>
        </w:rPr>
        <w:t xml:space="preserve"> (accessed </w:t>
      </w:r>
      <w:r w:rsidR="006D0626" w:rsidRPr="00B5087C">
        <w:rPr>
          <w:rFonts w:ascii="MetaPro-Norm" w:hAnsi="MetaPro-Norm" w:cstheme="majorBidi"/>
          <w:sz w:val="16"/>
          <w:szCs w:val="16"/>
        </w:rPr>
        <w:t>September 18, 2023</w:t>
      </w:r>
      <w:r w:rsidR="0040597D" w:rsidRPr="00B5087C">
        <w:rPr>
          <w:rFonts w:ascii="MetaPro-Norm" w:hAnsi="MetaPro-Norm" w:cstheme="majorBidi"/>
          <w:sz w:val="16"/>
          <w:szCs w:val="16"/>
        </w:rPr>
        <w:t>)</w:t>
      </w:r>
      <w:r w:rsidR="006D0626" w:rsidRPr="00B5087C">
        <w:rPr>
          <w:rFonts w:ascii="MetaPro-Norm" w:hAnsi="MetaPro-Norm" w:cstheme="majorBidi"/>
          <w:sz w:val="16"/>
          <w:szCs w:val="16"/>
        </w:rPr>
        <w:t>.</w:t>
      </w:r>
    </w:p>
  </w:footnote>
  <w:footnote w:id="40">
    <w:p w14:paraId="67B88F9E" w14:textId="1F13232E" w:rsidR="00E83375" w:rsidRPr="00B5087C" w:rsidRDefault="00E83375" w:rsidP="00E83375">
      <w:pPr>
        <w:pStyle w:val="NormalWeb"/>
        <w:shd w:val="clear" w:color="auto" w:fill="FFFFFF"/>
        <w:spacing w:before="0" w:beforeAutospacing="0" w:after="0" w:afterAutospacing="0"/>
        <w:rPr>
          <w:rFonts w:ascii="MetaPro-Norm" w:hAnsi="MetaPro-Norm" w:cstheme="majorBidi"/>
          <w:sz w:val="16"/>
          <w:szCs w:val="16"/>
        </w:rPr>
      </w:pPr>
      <w:r w:rsidRPr="00B5087C">
        <w:rPr>
          <w:rStyle w:val="FootnoteReference"/>
          <w:rFonts w:ascii="MetaPro-Norm" w:eastAsia="Calibri" w:hAnsi="MetaPro-Norm" w:cstheme="majorBidi"/>
          <w:sz w:val="16"/>
          <w:szCs w:val="16"/>
        </w:rPr>
        <w:footnoteRef/>
      </w:r>
      <w:r w:rsidR="000702AC" w:rsidRPr="00B5087C">
        <w:rPr>
          <w:rFonts w:ascii="MetaPro-Norm" w:hAnsi="MetaPro-Norm" w:cstheme="majorBidi"/>
          <w:sz w:val="16"/>
          <w:szCs w:val="16"/>
        </w:rPr>
        <w:t xml:space="preserve"> “Israel: Don’t Outlaw Family Life,” Human Rights Watch news release, July 27, 2003, https://www.hrw.org/news/2003/07/27/israel-dont-outlaw-family-life.</w:t>
      </w:r>
    </w:p>
  </w:footnote>
  <w:footnote w:id="41">
    <w:p w14:paraId="426C82F4" w14:textId="4641F9E4" w:rsidR="0079754A" w:rsidRPr="00B5087C" w:rsidRDefault="0079754A" w:rsidP="0079754A">
      <w:pPr>
        <w:pStyle w:val="NormalWeb"/>
        <w:shd w:val="clear" w:color="auto" w:fill="FFFFFF"/>
        <w:spacing w:before="0" w:beforeAutospacing="0" w:after="0" w:afterAutospacing="0"/>
        <w:rPr>
          <w:rFonts w:ascii="MetaPro-Norm" w:hAnsi="MetaPro-Norm" w:cstheme="majorBidi"/>
          <w:sz w:val="16"/>
          <w:szCs w:val="16"/>
        </w:rPr>
      </w:pPr>
      <w:r w:rsidRPr="00B5087C">
        <w:rPr>
          <w:rStyle w:val="FootnoteReference"/>
          <w:rFonts w:ascii="MetaPro-Norm" w:eastAsia="Calibri" w:hAnsi="MetaPro-Norm" w:cstheme="majorBidi"/>
          <w:sz w:val="16"/>
          <w:szCs w:val="16"/>
        </w:rPr>
        <w:footnoteRef/>
      </w:r>
      <w:r w:rsidRPr="00B5087C">
        <w:rPr>
          <w:rFonts w:ascii="MetaPro-Norm" w:hAnsi="MetaPro-Norm" w:cstheme="majorBidi"/>
          <w:sz w:val="16"/>
          <w:szCs w:val="16"/>
        </w:rPr>
        <w:t xml:space="preserve"> </w:t>
      </w:r>
      <w:r w:rsidR="00A11CB4" w:rsidRPr="00B5087C">
        <w:rPr>
          <w:rFonts w:ascii="MetaPro-Norm" w:hAnsi="MetaPro-Norm" w:cstheme="majorBidi"/>
          <w:sz w:val="16"/>
          <w:szCs w:val="16"/>
        </w:rPr>
        <w:t xml:space="preserve">In 2007, the law of the law was expanded to also apply to spouses from Lebanon, Syria, Iraq, and Iran. </w:t>
      </w:r>
      <w:bookmarkStart w:id="2" w:name="_Hlk145927724"/>
      <w:r w:rsidR="00A11CB4" w:rsidRPr="00B5087C">
        <w:rPr>
          <w:rFonts w:ascii="MetaPro-Norm" w:hAnsi="MetaPro-Norm" w:cstheme="majorBidi"/>
          <w:sz w:val="16"/>
          <w:szCs w:val="16"/>
          <w:shd w:val="clear" w:color="auto" w:fill="FFFFFF"/>
        </w:rPr>
        <w:t>Human Rights Watch, A Threshold Crossed, April 27, 2021.</w:t>
      </w:r>
      <w:bookmarkEnd w:id="2"/>
    </w:p>
  </w:footnote>
  <w:footnote w:id="42">
    <w:p w14:paraId="5854B1A9" w14:textId="059127FE" w:rsidR="000702AC" w:rsidRPr="004E1A0B" w:rsidRDefault="000702AC" w:rsidP="000702AC">
      <w:pPr>
        <w:pStyle w:val="NormalWeb"/>
        <w:shd w:val="clear" w:color="auto" w:fill="FFFFFF"/>
        <w:spacing w:before="0" w:beforeAutospacing="0" w:after="0" w:afterAutospacing="0"/>
        <w:rPr>
          <w:rFonts w:ascii="MetaPro-Norm" w:hAnsi="MetaPro-Norm" w:cstheme="majorBidi"/>
          <w:color w:val="000000"/>
          <w:sz w:val="16"/>
          <w:szCs w:val="16"/>
        </w:rPr>
      </w:pPr>
      <w:r w:rsidRPr="00B5087C">
        <w:rPr>
          <w:rStyle w:val="FootnoteReference"/>
          <w:rFonts w:ascii="MetaPro-Norm" w:eastAsia="Calibri" w:hAnsi="MetaPro-Norm" w:cstheme="majorBidi"/>
          <w:sz w:val="16"/>
          <w:szCs w:val="16"/>
        </w:rPr>
        <w:footnoteRef/>
      </w:r>
      <w:r w:rsidRPr="00B5087C">
        <w:rPr>
          <w:rFonts w:ascii="MetaPro-Norm" w:hAnsi="MetaPro-Norm" w:cstheme="majorBidi"/>
          <w:sz w:val="16"/>
          <w:szCs w:val="16"/>
        </w:rPr>
        <w:t xml:space="preserve"> </w:t>
      </w:r>
      <w:r w:rsidR="000275C9" w:rsidRPr="00B5087C">
        <w:rPr>
          <w:rFonts w:ascii="MetaPro-Norm" w:hAnsi="MetaPro-Norm" w:cstheme="majorBidi"/>
          <w:sz w:val="16"/>
          <w:szCs w:val="16"/>
        </w:rPr>
        <w:t xml:space="preserve">Jonathan Lis, “Israeli Legislator Invokes Nation-state Law in Bid to Block Palestinian Family Unification,” Haaretz, June 2, 2020, https://www.haaretz.com/israel-news/.premium-israeli-legislator-invokes-nation-state-law-in-bid-to-block-palestinian-family-unifi-1.8890451 (accessed </w:t>
      </w:r>
      <w:r w:rsidR="00B5087C">
        <w:rPr>
          <w:rFonts w:ascii="MetaPro-Norm" w:hAnsi="MetaPro-Norm" w:cstheme="majorBidi"/>
          <w:sz w:val="16"/>
          <w:szCs w:val="16"/>
        </w:rPr>
        <w:t>September 19</w:t>
      </w:r>
      <w:r w:rsidR="000275C9" w:rsidRPr="00B5087C">
        <w:rPr>
          <w:rFonts w:ascii="MetaPro-Norm" w:hAnsi="MetaPro-Norm" w:cstheme="majorBidi"/>
          <w:sz w:val="16"/>
          <w:szCs w:val="16"/>
        </w:rPr>
        <w:t>, 202</w:t>
      </w:r>
      <w:r w:rsidR="00B5087C">
        <w:rPr>
          <w:rFonts w:ascii="MetaPro-Norm" w:hAnsi="MetaPro-Norm" w:cstheme="majorBidi"/>
          <w:sz w:val="16"/>
          <w:szCs w:val="16"/>
        </w:rPr>
        <w:t>3</w:t>
      </w:r>
      <w:r w:rsidR="000275C9" w:rsidRPr="00B5087C">
        <w:rPr>
          <w:rFonts w:ascii="MetaPro-Norm" w:hAnsi="MetaPro-Norm" w:cstheme="majorBidi"/>
          <w:sz w:val="16"/>
          <w:szCs w:val="16"/>
        </w:rPr>
        <w:t>)</w:t>
      </w:r>
      <w:r w:rsidR="00B5087C">
        <w:rPr>
          <w:rFonts w:ascii="MetaPro-Norm" w:hAnsi="MetaPro-Norm" w:cstheme="majorBidi"/>
          <w:sz w:val="16"/>
          <w:szCs w:val="16"/>
        </w:rPr>
        <w:t>;</w:t>
      </w:r>
      <w:r w:rsidR="000275C9" w:rsidRPr="00B5087C">
        <w:rPr>
          <w:rFonts w:ascii="MetaPro-Norm" w:hAnsi="MetaPro-Norm" w:cstheme="majorBidi"/>
          <w:sz w:val="16"/>
          <w:szCs w:val="16"/>
        </w:rPr>
        <w:t xml:space="preserve"> “Knesset Expected to Renew the Citizenship Law Despite Dissolution of the Knesset,” </w:t>
      </w:r>
      <w:proofErr w:type="spellStart"/>
      <w:r w:rsidR="000275C9" w:rsidRPr="00B5087C">
        <w:rPr>
          <w:rFonts w:ascii="MetaPro-Norm" w:hAnsi="MetaPro-Norm" w:cstheme="majorBidi"/>
          <w:sz w:val="16"/>
          <w:szCs w:val="16"/>
        </w:rPr>
        <w:t>Mossawa</w:t>
      </w:r>
      <w:proofErr w:type="spellEnd"/>
      <w:r w:rsidR="000275C9" w:rsidRPr="00B5087C">
        <w:rPr>
          <w:rFonts w:ascii="MetaPro-Norm" w:hAnsi="MetaPro-Norm" w:cstheme="majorBidi"/>
          <w:sz w:val="16"/>
          <w:szCs w:val="16"/>
        </w:rPr>
        <w:t xml:space="preserve"> Center press release, http://www.mossawa.org/eng/?mod=articles&amp;ID=800 (accessed </w:t>
      </w:r>
      <w:r w:rsidR="00B5087C">
        <w:rPr>
          <w:rFonts w:ascii="MetaPro-Norm" w:hAnsi="MetaPro-Norm" w:cstheme="majorBidi"/>
          <w:sz w:val="16"/>
          <w:szCs w:val="16"/>
        </w:rPr>
        <w:t>September 19</w:t>
      </w:r>
      <w:r w:rsidR="000275C9" w:rsidRPr="00B5087C">
        <w:rPr>
          <w:rFonts w:ascii="MetaPro-Norm" w:hAnsi="MetaPro-Norm" w:cstheme="majorBidi"/>
          <w:sz w:val="16"/>
          <w:szCs w:val="16"/>
        </w:rPr>
        <w:t>, 202</w:t>
      </w:r>
      <w:r w:rsidR="00B5087C">
        <w:rPr>
          <w:rFonts w:ascii="MetaPro-Norm" w:hAnsi="MetaPro-Norm" w:cstheme="majorBidi"/>
          <w:sz w:val="16"/>
          <w:szCs w:val="16"/>
        </w:rPr>
        <w:t>3</w:t>
      </w:r>
      <w:r w:rsidR="000275C9" w:rsidRPr="00B5087C">
        <w:rPr>
          <w:rFonts w:ascii="MetaPro-Norm" w:hAnsi="MetaPro-Norm" w:cstheme="majorBidi"/>
          <w:sz w:val="16"/>
          <w:szCs w:val="16"/>
        </w:rPr>
        <w:t>).</w:t>
      </w:r>
    </w:p>
  </w:footnote>
  <w:footnote w:id="43">
    <w:p w14:paraId="1A265B11" w14:textId="77420E76" w:rsidR="00DB030C" w:rsidRPr="004E1A0B" w:rsidRDefault="00DB030C" w:rsidP="007B0FE0">
      <w:pPr>
        <w:pStyle w:val="FootnoteText"/>
        <w:rPr>
          <w:rFonts w:ascii="MetaPro-Norm" w:hAnsi="MetaPro-Norm" w:cstheme="majorBidi"/>
          <w:sz w:val="16"/>
          <w:szCs w:val="16"/>
        </w:rPr>
      </w:pPr>
      <w:r w:rsidRPr="009E4C6C">
        <w:rPr>
          <w:rStyle w:val="FootnoteReference"/>
          <w:rFonts w:ascii="MetaPro-Norm" w:hAnsi="MetaPro-Norm" w:cstheme="majorBidi"/>
          <w:sz w:val="16"/>
          <w:szCs w:val="16"/>
        </w:rPr>
        <w:footnoteRef/>
      </w:r>
      <w:r w:rsidRPr="009E4C6C">
        <w:rPr>
          <w:rFonts w:ascii="MetaPro-Norm" w:hAnsi="MetaPro-Norm" w:cstheme="majorBidi"/>
          <w:sz w:val="16"/>
          <w:szCs w:val="16"/>
        </w:rPr>
        <w:t xml:space="preserve"> Women’s Centre for Legal Aid and Counselling, </w:t>
      </w:r>
      <w:r w:rsidR="007B0FE0">
        <w:rPr>
          <w:rFonts w:ascii="MetaPro-Norm" w:hAnsi="MetaPro-Norm" w:cstheme="majorBidi"/>
          <w:i/>
          <w:iCs/>
          <w:sz w:val="16"/>
          <w:szCs w:val="16"/>
        </w:rPr>
        <w:t>Family Rights for Women in Jerusalem Under Discriminatory Israeli Policies</w:t>
      </w:r>
      <w:r w:rsidRPr="009E4C6C">
        <w:rPr>
          <w:rFonts w:ascii="MetaPro-Norm" w:hAnsi="MetaPro-Norm" w:cstheme="majorBidi"/>
          <w:sz w:val="16"/>
          <w:szCs w:val="16"/>
        </w:rPr>
        <w:t xml:space="preserve">, 2022, </w:t>
      </w:r>
      <w:r w:rsidR="007B0FE0" w:rsidRPr="003B3D89">
        <w:rPr>
          <w:rFonts w:ascii="MetaPro-Norm" w:hAnsi="MetaPro-Norm" w:cstheme="majorBidi"/>
          <w:sz w:val="16"/>
          <w:szCs w:val="16"/>
        </w:rPr>
        <w:t>https://www.wclac.org/files/library/23/05/wruzeruqny1foj4ilpq5aq.pdf</w:t>
      </w:r>
      <w:r w:rsidRPr="009E4C6C">
        <w:rPr>
          <w:rFonts w:ascii="MetaPro-Norm" w:hAnsi="MetaPro-Norm" w:cstheme="majorBidi"/>
          <w:sz w:val="16"/>
          <w:szCs w:val="16"/>
        </w:rPr>
        <w:t xml:space="preserve"> (accessed </w:t>
      </w:r>
      <w:r w:rsidR="003B3D89">
        <w:rPr>
          <w:rFonts w:ascii="MetaPro-Norm" w:hAnsi="MetaPro-Norm" w:cstheme="majorBidi"/>
          <w:sz w:val="16"/>
          <w:szCs w:val="16"/>
        </w:rPr>
        <w:t>September 19</w:t>
      </w:r>
      <w:r w:rsidRPr="009E4C6C">
        <w:rPr>
          <w:rFonts w:ascii="MetaPro-Norm" w:hAnsi="MetaPro-Norm" w:cstheme="majorBidi"/>
          <w:sz w:val="16"/>
          <w:szCs w:val="16"/>
        </w:rPr>
        <w:t xml:space="preserve">, 2023).  </w:t>
      </w:r>
    </w:p>
  </w:footnote>
  <w:footnote w:id="44">
    <w:p w14:paraId="2A3F6DCE" w14:textId="7F562A1A" w:rsidR="00A42D17" w:rsidRPr="004E1A0B" w:rsidRDefault="00A42D17" w:rsidP="00B274F2">
      <w:pPr>
        <w:spacing w:after="0" w:line="240" w:lineRule="auto"/>
        <w:rPr>
          <w:rFonts w:ascii="MetaPro-Norm" w:hAnsi="MetaPro-Norm" w:cstheme="majorBidi"/>
          <w:color w:val="000000"/>
          <w:sz w:val="16"/>
          <w:szCs w:val="16"/>
          <w:shd w:val="clear" w:color="auto" w:fill="FFFFFF"/>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F53035" w:rsidRPr="004E1A0B">
        <w:rPr>
          <w:rFonts w:ascii="MetaPro-Norm" w:hAnsi="MetaPro-Norm" w:cstheme="majorBidi"/>
          <w:color w:val="000000"/>
          <w:sz w:val="16"/>
          <w:szCs w:val="16"/>
          <w:shd w:val="clear" w:color="auto" w:fill="FFFFFF"/>
        </w:rPr>
        <w:t>Human Rights Watch, A Threshold Crossed, April 27, 2021.</w:t>
      </w:r>
    </w:p>
  </w:footnote>
  <w:footnote w:id="45">
    <w:p w14:paraId="4B009F13" w14:textId="0957F484" w:rsidR="00E97667" w:rsidRPr="004E1A0B" w:rsidRDefault="00E97667" w:rsidP="00E97667">
      <w:pPr>
        <w:spacing w:after="0" w:line="240" w:lineRule="auto"/>
        <w:rPr>
          <w:rFonts w:ascii="MetaPro-Norm" w:hAnsi="MetaPro-Norm" w:cstheme="majorBidi"/>
          <w:color w:val="000000"/>
          <w:sz w:val="16"/>
          <w:szCs w:val="16"/>
          <w:shd w:val="clear" w:color="auto" w:fill="FFFFFF"/>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“Israel continues to harm the right of Palestinians to family life,” </w:t>
      </w:r>
      <w:proofErr w:type="spellStart"/>
      <w:r w:rsidRPr="004E1A0B">
        <w:rPr>
          <w:rFonts w:ascii="MetaPro-Norm" w:hAnsi="MetaPro-Norm" w:cstheme="majorBidi"/>
          <w:sz w:val="16"/>
          <w:szCs w:val="16"/>
        </w:rPr>
        <w:t>HaMoked</w:t>
      </w:r>
      <w:proofErr w:type="spellEnd"/>
      <w:r w:rsidRPr="004E1A0B">
        <w:rPr>
          <w:rFonts w:ascii="MetaPro-Norm" w:hAnsi="MetaPro-Norm" w:cstheme="majorBidi"/>
          <w:sz w:val="16"/>
          <w:szCs w:val="16"/>
        </w:rPr>
        <w:t xml:space="preserve">; Joseph Krauss, “Israel Gives Legal Status to 4K in Gesture to Palestinians,” Associated Press, October 19, 2021, https://apnews.com/article/immigration-jerusalem-israel-west-bank-gaza-strip-f706709318e802fc23c2c3ab6d7b8270 (accessed </w:t>
      </w:r>
      <w:r w:rsidR="008A0C9F">
        <w:rPr>
          <w:rFonts w:ascii="MetaPro-Norm" w:hAnsi="MetaPro-Norm" w:cstheme="majorBidi"/>
          <w:sz w:val="16"/>
          <w:szCs w:val="16"/>
        </w:rPr>
        <w:t>September</w:t>
      </w:r>
      <w:r w:rsidR="008A0C9F" w:rsidRPr="004E1A0B">
        <w:rPr>
          <w:rFonts w:ascii="MetaPro-Norm" w:hAnsi="MetaPro-Norm" w:cstheme="majorBidi"/>
          <w:sz w:val="16"/>
          <w:szCs w:val="16"/>
        </w:rPr>
        <w:t xml:space="preserve"> </w:t>
      </w:r>
      <w:r w:rsidR="008A0C9F">
        <w:rPr>
          <w:rFonts w:ascii="MetaPro-Norm" w:hAnsi="MetaPro-Norm" w:cstheme="majorBidi"/>
          <w:sz w:val="16"/>
          <w:szCs w:val="16"/>
        </w:rPr>
        <w:t>19</w:t>
      </w:r>
      <w:r w:rsidRPr="004E1A0B">
        <w:rPr>
          <w:rFonts w:ascii="MetaPro-Norm" w:hAnsi="MetaPro-Norm" w:cstheme="majorBidi"/>
          <w:sz w:val="16"/>
          <w:szCs w:val="16"/>
        </w:rPr>
        <w:t>, 202</w:t>
      </w:r>
      <w:r w:rsidR="008A0C9F">
        <w:rPr>
          <w:rFonts w:ascii="MetaPro-Norm" w:hAnsi="MetaPro-Norm" w:cstheme="majorBidi"/>
          <w:sz w:val="16"/>
          <w:szCs w:val="16"/>
        </w:rPr>
        <w:t>3</w:t>
      </w:r>
      <w:r w:rsidRPr="004E1A0B">
        <w:rPr>
          <w:rFonts w:ascii="MetaPro-Norm" w:hAnsi="MetaPro-Norm" w:cstheme="majorBidi"/>
          <w:sz w:val="16"/>
          <w:szCs w:val="16"/>
        </w:rPr>
        <w:t>).</w:t>
      </w:r>
    </w:p>
  </w:footnote>
  <w:footnote w:id="46">
    <w:p w14:paraId="70949E40" w14:textId="46C31B65" w:rsidR="00F53035" w:rsidRPr="00B274F2" w:rsidRDefault="00F53035" w:rsidP="00F53035">
      <w:pPr>
        <w:spacing w:after="0" w:line="240" w:lineRule="auto"/>
        <w:rPr>
          <w:rFonts w:asciiTheme="majorBidi" w:hAnsiTheme="majorBidi" w:cstheme="majorBidi"/>
          <w:color w:val="000000"/>
          <w:sz w:val="16"/>
          <w:szCs w:val="16"/>
          <w:shd w:val="clear" w:color="auto" w:fill="FFFFFF"/>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B56F09" w:rsidRPr="004E1A0B">
        <w:rPr>
          <w:rFonts w:ascii="MetaPro-Norm" w:hAnsi="MetaPro-Norm" w:cstheme="majorBidi"/>
          <w:sz w:val="16"/>
          <w:szCs w:val="16"/>
        </w:rPr>
        <w:t>Human Rights Watch, “Forget About Him, He’s Not Here,”: Israel’s Control of Palestinian Residency in the West Bank and Gaza (New York: Human Rights Watch: 2012) https://www.hrw.org/sites/default/files/reports/iopt0212webwcover.pdf.</w:t>
      </w:r>
    </w:p>
  </w:footnote>
  <w:footnote w:id="47">
    <w:p w14:paraId="26E78C2A" w14:textId="6CCCF161" w:rsidR="000E6584" w:rsidRPr="004E1A0B" w:rsidRDefault="000E6584" w:rsidP="000E6584">
      <w:pPr>
        <w:spacing w:after="0" w:line="240" w:lineRule="auto"/>
        <w:rPr>
          <w:rFonts w:ascii="MetaPro-Norm" w:hAnsi="MetaPro-Norm" w:cstheme="majorBidi"/>
          <w:color w:val="000000"/>
          <w:sz w:val="16"/>
          <w:szCs w:val="16"/>
          <w:shd w:val="clear" w:color="auto" w:fill="FFFFFF"/>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8F7E85" w:rsidRPr="004E1A0B">
        <w:rPr>
          <w:rFonts w:ascii="MetaPro-Norm" w:hAnsi="MetaPro-Norm" w:cstheme="majorBidi"/>
          <w:sz w:val="16"/>
          <w:szCs w:val="16"/>
        </w:rPr>
        <w:t>OCHA, “Breakdown of Data on Demolition and Displacement in the West Bank,” https://app.powerbi.com/view?r=eyJrIjoiMmJkZGRhYWQtODk0MS00MWJkLWI2NTktMDg1NGJlMGNiY2Y3IiwidCI6IjBmOWUzNWRiLTU0NGYtNGY2MC1iZGNjLTVlYTQxNmU2ZGM3MCIsImMiOjh9 (accessed September 18, 2023).</w:t>
      </w:r>
    </w:p>
  </w:footnote>
  <w:footnote w:id="48">
    <w:p w14:paraId="736D802A" w14:textId="25FB1FCB" w:rsidR="00B36462" w:rsidRPr="004E1A0B" w:rsidRDefault="00B36462" w:rsidP="00B36462">
      <w:pPr>
        <w:spacing w:after="0" w:line="240" w:lineRule="auto"/>
        <w:rPr>
          <w:rFonts w:ascii="MetaPro-Norm" w:hAnsi="MetaPro-Norm" w:cstheme="majorBidi"/>
          <w:color w:val="000000"/>
          <w:sz w:val="16"/>
          <w:szCs w:val="16"/>
          <w:shd w:val="clear" w:color="auto" w:fill="FFFFFF"/>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8F7E85" w:rsidRPr="004E1A0B">
        <w:rPr>
          <w:rFonts w:ascii="MetaPro-Norm" w:hAnsi="MetaPro-Norm" w:cstheme="majorBidi"/>
          <w:sz w:val="16"/>
          <w:szCs w:val="16"/>
        </w:rPr>
        <w:t>Human Rights Watch, A Threshold Crossed, April 27, 2021.</w:t>
      </w:r>
    </w:p>
  </w:footnote>
  <w:footnote w:id="49">
    <w:p w14:paraId="7D79BB8F" w14:textId="732C749D" w:rsidR="00B36462" w:rsidRPr="00B274F2" w:rsidRDefault="00B36462" w:rsidP="00B36462">
      <w:pPr>
        <w:spacing w:after="0" w:line="240" w:lineRule="auto"/>
        <w:rPr>
          <w:rFonts w:asciiTheme="majorBidi" w:hAnsiTheme="majorBidi" w:cstheme="majorBidi"/>
          <w:color w:val="000000"/>
          <w:sz w:val="16"/>
          <w:szCs w:val="16"/>
          <w:shd w:val="clear" w:color="auto" w:fill="FFFFFF"/>
        </w:rPr>
      </w:pPr>
      <w:r w:rsidRPr="008A0C9F">
        <w:rPr>
          <w:rStyle w:val="FootnoteReference"/>
          <w:rFonts w:ascii="MetaPro-Norm" w:hAnsi="MetaPro-Norm" w:cstheme="majorBidi"/>
          <w:sz w:val="16"/>
          <w:szCs w:val="16"/>
        </w:rPr>
        <w:footnoteRef/>
      </w:r>
      <w:r w:rsidRPr="008A0C9F">
        <w:rPr>
          <w:rFonts w:ascii="MetaPro-Norm" w:hAnsi="MetaPro-Norm" w:cstheme="majorBidi"/>
          <w:sz w:val="16"/>
          <w:szCs w:val="16"/>
        </w:rPr>
        <w:t xml:space="preserve"> </w:t>
      </w:r>
      <w:r w:rsidR="004F5FDB" w:rsidRPr="00527B00">
        <w:rPr>
          <w:rFonts w:ascii="MetaPro-Norm" w:hAnsi="MetaPro-Norm" w:cstheme="majorBidi"/>
          <w:sz w:val="16"/>
          <w:szCs w:val="16"/>
          <w:shd w:val="clear" w:color="auto" w:fill="FFFFFF"/>
        </w:rPr>
        <w:t xml:space="preserve">Hagar </w:t>
      </w:r>
      <w:proofErr w:type="spellStart"/>
      <w:r w:rsidR="004F5FDB" w:rsidRPr="00527B00">
        <w:rPr>
          <w:rFonts w:ascii="MetaPro-Norm" w:hAnsi="MetaPro-Norm" w:cstheme="majorBidi"/>
          <w:sz w:val="16"/>
          <w:szCs w:val="16"/>
          <w:shd w:val="clear" w:color="auto" w:fill="FFFFFF"/>
        </w:rPr>
        <w:t>Shezaf</w:t>
      </w:r>
      <w:proofErr w:type="spellEnd"/>
      <w:r w:rsidR="004F5FDB" w:rsidRPr="00527B00">
        <w:rPr>
          <w:rFonts w:ascii="MetaPro-Norm" w:hAnsi="MetaPro-Norm" w:cstheme="majorBidi"/>
          <w:sz w:val="16"/>
          <w:szCs w:val="16"/>
          <w:shd w:val="clear" w:color="auto" w:fill="FFFFFF"/>
        </w:rPr>
        <w:t>, “Israel Rejects Over 98 Percent of Palestinian Building Permit Requests in West Bank's Area C,</w:t>
      </w:r>
      <w:r w:rsidR="004F5FDB" w:rsidRPr="00527B00">
        <w:rPr>
          <w:rFonts w:ascii="MetaPro-Norm" w:hAnsi="MetaPro-Norm" w:cstheme="majorBidi"/>
          <w:i/>
          <w:iCs/>
          <w:sz w:val="16"/>
          <w:szCs w:val="16"/>
          <w:shd w:val="clear" w:color="auto" w:fill="FFFFFF"/>
        </w:rPr>
        <w:t xml:space="preserve"> Haaretz</w:t>
      </w:r>
      <w:r w:rsidR="008A0C9F">
        <w:rPr>
          <w:rFonts w:ascii="MetaPro-Norm" w:hAnsi="MetaPro-Norm" w:cstheme="majorBidi"/>
          <w:i/>
          <w:iCs/>
          <w:sz w:val="16"/>
          <w:szCs w:val="16"/>
          <w:shd w:val="clear" w:color="auto" w:fill="FFFFFF"/>
        </w:rPr>
        <w:t>,</w:t>
      </w:r>
      <w:r w:rsidR="004F5FDB" w:rsidRPr="00527B00">
        <w:rPr>
          <w:rFonts w:ascii="MetaPro-Norm" w:hAnsi="MetaPro-Norm" w:cstheme="majorBidi"/>
          <w:sz w:val="16"/>
          <w:szCs w:val="16"/>
          <w:shd w:val="clear" w:color="auto" w:fill="FFFFFF"/>
        </w:rPr>
        <w:t xml:space="preserve"> January 21, 2020, https://bit.ly/2XX5TC4 (accessed </w:t>
      </w:r>
      <w:r w:rsidR="008A0C9F">
        <w:rPr>
          <w:rFonts w:ascii="MetaPro-Norm" w:hAnsi="MetaPro-Norm" w:cstheme="majorBidi"/>
          <w:sz w:val="16"/>
          <w:szCs w:val="16"/>
          <w:shd w:val="clear" w:color="auto" w:fill="FFFFFF"/>
        </w:rPr>
        <w:t>September 19</w:t>
      </w:r>
      <w:r w:rsidR="004F5FDB" w:rsidRPr="00527B00">
        <w:rPr>
          <w:rFonts w:ascii="MetaPro-Norm" w:hAnsi="MetaPro-Norm" w:cstheme="majorBidi"/>
          <w:sz w:val="16"/>
          <w:szCs w:val="16"/>
          <w:shd w:val="clear" w:color="auto" w:fill="FFFFFF"/>
        </w:rPr>
        <w:t>, 202</w:t>
      </w:r>
      <w:r w:rsidR="008A0C9F">
        <w:rPr>
          <w:rFonts w:ascii="MetaPro-Norm" w:hAnsi="MetaPro-Norm" w:cstheme="majorBidi"/>
          <w:sz w:val="16"/>
          <w:szCs w:val="16"/>
          <w:shd w:val="clear" w:color="auto" w:fill="FFFFFF"/>
        </w:rPr>
        <w:t>3</w:t>
      </w:r>
      <w:r w:rsidR="004F5FDB" w:rsidRPr="00527B00">
        <w:rPr>
          <w:rFonts w:ascii="MetaPro-Norm" w:hAnsi="MetaPro-Norm" w:cstheme="majorBidi"/>
          <w:sz w:val="16"/>
          <w:szCs w:val="16"/>
          <w:shd w:val="clear" w:color="auto" w:fill="FFFFFF"/>
        </w:rPr>
        <w:t>).</w:t>
      </w:r>
    </w:p>
  </w:footnote>
  <w:footnote w:id="50">
    <w:p w14:paraId="4DD2121A" w14:textId="42667537" w:rsidR="007E3402" w:rsidRPr="004E1A0B" w:rsidRDefault="007E3402" w:rsidP="007E340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proofErr w:type="spellStart"/>
      <w:r w:rsidR="006500F0" w:rsidRPr="004E1A0B">
        <w:rPr>
          <w:rFonts w:ascii="MetaPro-Norm" w:hAnsi="MetaPro-Norm" w:cstheme="majorBidi"/>
          <w:sz w:val="16"/>
          <w:szCs w:val="16"/>
        </w:rPr>
        <w:t>B’Tselem</w:t>
      </w:r>
      <w:proofErr w:type="spellEnd"/>
      <w:r w:rsidR="006500F0" w:rsidRPr="004E1A0B">
        <w:rPr>
          <w:rFonts w:ascii="MetaPro-Norm" w:hAnsi="MetaPro-Norm" w:cstheme="majorBidi"/>
          <w:sz w:val="16"/>
          <w:szCs w:val="16"/>
        </w:rPr>
        <w:t xml:space="preserve">, “House Demolitions: Demolition of houses as punishment,” https://statistics.btselem.org/en/demolitions/demolition-as-punishment?tab=overview&amp;demoScopeSensor=%22false%22 (accessed </w:t>
      </w:r>
      <w:r w:rsidR="008A0C9F">
        <w:rPr>
          <w:rFonts w:ascii="MetaPro-Norm" w:hAnsi="MetaPro-Norm" w:cstheme="majorBidi"/>
          <w:sz w:val="16"/>
          <w:szCs w:val="16"/>
        </w:rPr>
        <w:t>September 19</w:t>
      </w:r>
      <w:r w:rsidR="006500F0" w:rsidRPr="004E1A0B">
        <w:rPr>
          <w:rFonts w:ascii="MetaPro-Norm" w:hAnsi="MetaPro-Norm" w:cstheme="majorBidi"/>
          <w:sz w:val="16"/>
          <w:szCs w:val="16"/>
        </w:rPr>
        <w:t>, 202</w:t>
      </w:r>
      <w:r w:rsidR="008A0C9F">
        <w:rPr>
          <w:rFonts w:ascii="MetaPro-Norm" w:hAnsi="MetaPro-Norm" w:cstheme="majorBidi"/>
          <w:sz w:val="16"/>
          <w:szCs w:val="16"/>
        </w:rPr>
        <w:t>3</w:t>
      </w:r>
      <w:r w:rsidR="006500F0" w:rsidRPr="004E1A0B">
        <w:rPr>
          <w:rFonts w:ascii="MetaPro-Norm" w:hAnsi="MetaPro-Norm" w:cstheme="majorBidi"/>
          <w:sz w:val="16"/>
          <w:szCs w:val="16"/>
        </w:rPr>
        <w:t>).</w:t>
      </w:r>
    </w:p>
  </w:footnote>
  <w:footnote w:id="51">
    <w:p w14:paraId="4F21C061" w14:textId="496629B6" w:rsidR="007E3402" w:rsidRPr="004E1A0B" w:rsidRDefault="007E3402" w:rsidP="007E340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6500F0" w:rsidRPr="004E1A0B">
        <w:rPr>
          <w:rFonts w:ascii="MetaPro-Norm" w:hAnsi="MetaPro-Norm" w:cstheme="majorBidi"/>
          <w:sz w:val="16"/>
          <w:szCs w:val="16"/>
        </w:rPr>
        <w:t>Geneva Convention relative to the Protection of Civilian Persons in Time of War (Fourth Geneva Convention), adopted August 12, 1949, 75 U.N.T.S. 287, entered into force October 21, 1950, art. 54.</w:t>
      </w:r>
    </w:p>
  </w:footnote>
  <w:footnote w:id="52">
    <w:p w14:paraId="55D6B982" w14:textId="0A2A2A53" w:rsidR="006C35DB" w:rsidRPr="004E1A0B" w:rsidRDefault="006C35DB" w:rsidP="006C35D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Human Rights Watch, A Threshold Crossed, April 27, 2021.</w:t>
      </w:r>
    </w:p>
  </w:footnote>
  <w:footnote w:id="53">
    <w:p w14:paraId="71DF23AE" w14:textId="2B544440" w:rsidR="006C35DB" w:rsidRPr="004E1A0B" w:rsidRDefault="006C35DB" w:rsidP="006C35D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171333" w:rsidRPr="004E1A0B">
        <w:rPr>
          <w:rFonts w:ascii="MetaPro-Norm" w:hAnsi="MetaPro-Norm" w:cstheme="majorBidi"/>
          <w:sz w:val="16"/>
          <w:szCs w:val="16"/>
        </w:rPr>
        <w:t>Negev Coexistence Forum for Civil Equality, “On (In)Equality and Demolition of Homes and Structures in Arab Bedouin Communities in the Negev/</w:t>
      </w:r>
      <w:proofErr w:type="spellStart"/>
      <w:r w:rsidR="00171333" w:rsidRPr="004E1A0B">
        <w:rPr>
          <w:rFonts w:ascii="MetaPro-Norm" w:hAnsi="MetaPro-Norm" w:cstheme="majorBidi"/>
          <w:sz w:val="16"/>
          <w:szCs w:val="16"/>
        </w:rPr>
        <w:t>Naqab</w:t>
      </w:r>
      <w:proofErr w:type="spellEnd"/>
      <w:r w:rsidR="00171333" w:rsidRPr="004E1A0B">
        <w:rPr>
          <w:rFonts w:ascii="MetaPro-Norm" w:hAnsi="MetaPro-Norm" w:cstheme="majorBidi"/>
          <w:sz w:val="16"/>
          <w:szCs w:val="16"/>
        </w:rPr>
        <w:t xml:space="preserve">,” July 2020, https://www.dukium.org/wp-content/uploads/2020/07/HDR-2020-Data-on-2019-Eng-3.pdf (accessed </w:t>
      </w:r>
      <w:r w:rsidR="008A0C9F">
        <w:rPr>
          <w:rFonts w:ascii="MetaPro-Norm" w:hAnsi="MetaPro-Norm" w:cstheme="majorBidi"/>
          <w:sz w:val="16"/>
          <w:szCs w:val="16"/>
        </w:rPr>
        <w:t>September</w:t>
      </w:r>
      <w:r w:rsidR="008A0C9F" w:rsidRPr="004E1A0B">
        <w:rPr>
          <w:rFonts w:ascii="MetaPro-Norm" w:hAnsi="MetaPro-Norm" w:cstheme="majorBidi"/>
          <w:sz w:val="16"/>
          <w:szCs w:val="16"/>
        </w:rPr>
        <w:t xml:space="preserve"> </w:t>
      </w:r>
      <w:r w:rsidR="00171333" w:rsidRPr="004E1A0B">
        <w:rPr>
          <w:rFonts w:ascii="MetaPro-Norm" w:hAnsi="MetaPro-Norm" w:cstheme="majorBidi"/>
          <w:sz w:val="16"/>
          <w:szCs w:val="16"/>
        </w:rPr>
        <w:t>1</w:t>
      </w:r>
      <w:r w:rsidR="008A0C9F">
        <w:rPr>
          <w:rFonts w:ascii="MetaPro-Norm" w:hAnsi="MetaPro-Norm" w:cstheme="majorBidi"/>
          <w:sz w:val="16"/>
          <w:szCs w:val="16"/>
        </w:rPr>
        <w:t>9</w:t>
      </w:r>
      <w:r w:rsidR="00171333" w:rsidRPr="004E1A0B">
        <w:rPr>
          <w:rFonts w:ascii="MetaPro-Norm" w:hAnsi="MetaPro-Norm" w:cstheme="majorBidi"/>
          <w:sz w:val="16"/>
          <w:szCs w:val="16"/>
        </w:rPr>
        <w:t>, 202</w:t>
      </w:r>
      <w:r w:rsidR="008A0C9F">
        <w:rPr>
          <w:rFonts w:ascii="MetaPro-Norm" w:hAnsi="MetaPro-Norm" w:cstheme="majorBidi"/>
          <w:sz w:val="16"/>
          <w:szCs w:val="16"/>
        </w:rPr>
        <w:t>3</w:t>
      </w:r>
      <w:r w:rsidR="00171333" w:rsidRPr="004E1A0B">
        <w:rPr>
          <w:rFonts w:ascii="MetaPro-Norm" w:hAnsi="MetaPro-Norm" w:cstheme="majorBidi"/>
          <w:sz w:val="16"/>
          <w:szCs w:val="16"/>
        </w:rPr>
        <w:t xml:space="preserve">), p. 14; Almog Ben Zikri, “Bedouin Home Demolitions in Israel Double in 2017,” </w:t>
      </w:r>
      <w:r w:rsidR="00171333" w:rsidRPr="00527B00">
        <w:rPr>
          <w:rFonts w:ascii="MetaPro-Norm" w:hAnsi="MetaPro-Norm" w:cstheme="majorBidi"/>
          <w:i/>
          <w:iCs/>
          <w:sz w:val="16"/>
          <w:szCs w:val="16"/>
        </w:rPr>
        <w:t>Haaretz</w:t>
      </w:r>
      <w:r w:rsidR="00171333" w:rsidRPr="004E1A0B">
        <w:rPr>
          <w:rFonts w:ascii="MetaPro-Norm" w:hAnsi="MetaPro-Norm" w:cstheme="majorBidi"/>
          <w:sz w:val="16"/>
          <w:szCs w:val="16"/>
        </w:rPr>
        <w:t xml:space="preserve">, March 28, 2018, https://www.haaretz.com/israel-news/bedouin-home-demolitions-in-israel-double-in-2017-1.5939858 (accessed </w:t>
      </w:r>
      <w:r w:rsidR="008A0C9F">
        <w:rPr>
          <w:rFonts w:ascii="MetaPro-Norm" w:hAnsi="MetaPro-Norm" w:cstheme="majorBidi"/>
          <w:sz w:val="16"/>
          <w:szCs w:val="16"/>
        </w:rPr>
        <w:t>September 19, 2023</w:t>
      </w:r>
      <w:r w:rsidR="00171333" w:rsidRPr="004E1A0B">
        <w:rPr>
          <w:rFonts w:ascii="MetaPro-Norm" w:hAnsi="MetaPro-Norm" w:cstheme="majorBidi"/>
          <w:sz w:val="16"/>
          <w:szCs w:val="16"/>
        </w:rPr>
        <w:t xml:space="preserve">); NCF, The Regional Council for the Unrecognized Villages in the Negev (RCUV) and </w:t>
      </w:r>
      <w:proofErr w:type="spellStart"/>
      <w:r w:rsidR="00171333" w:rsidRPr="004E1A0B">
        <w:rPr>
          <w:rFonts w:ascii="MetaPro-Norm" w:hAnsi="MetaPro-Norm" w:cstheme="majorBidi"/>
          <w:sz w:val="16"/>
          <w:szCs w:val="16"/>
        </w:rPr>
        <w:t>Alhuquq</w:t>
      </w:r>
      <w:proofErr w:type="spellEnd"/>
      <w:r w:rsidR="00171333" w:rsidRPr="004E1A0B">
        <w:rPr>
          <w:rFonts w:ascii="MetaPro-Norm" w:hAnsi="MetaPro-Norm" w:cstheme="majorBidi"/>
          <w:sz w:val="16"/>
          <w:szCs w:val="16"/>
        </w:rPr>
        <w:t xml:space="preserve"> Center, “The Arab Bedouin indigenous people of the Negev/</w:t>
      </w:r>
      <w:proofErr w:type="spellStart"/>
      <w:r w:rsidR="00171333" w:rsidRPr="004E1A0B">
        <w:rPr>
          <w:rFonts w:ascii="MetaPro-Norm" w:hAnsi="MetaPro-Norm" w:cstheme="majorBidi"/>
          <w:sz w:val="16"/>
          <w:szCs w:val="16"/>
        </w:rPr>
        <w:t>Naqab</w:t>
      </w:r>
      <w:proofErr w:type="spellEnd"/>
      <w:r w:rsidR="00171333" w:rsidRPr="004E1A0B">
        <w:rPr>
          <w:rFonts w:ascii="MetaPro-Norm" w:hAnsi="MetaPro-Norm" w:cstheme="majorBidi"/>
          <w:sz w:val="16"/>
          <w:szCs w:val="16"/>
        </w:rPr>
        <w:t xml:space="preserve"> – A Short Background,” https://bit.ly/2YAjsYy (accessed </w:t>
      </w:r>
      <w:r w:rsidR="008A0C9F">
        <w:rPr>
          <w:rFonts w:ascii="MetaPro-Norm" w:hAnsi="MetaPro-Norm" w:cstheme="majorBidi"/>
          <w:sz w:val="16"/>
          <w:szCs w:val="16"/>
        </w:rPr>
        <w:t>September 19</w:t>
      </w:r>
      <w:r w:rsidR="00171333" w:rsidRPr="004E1A0B">
        <w:rPr>
          <w:rFonts w:ascii="MetaPro-Norm" w:hAnsi="MetaPro-Norm" w:cstheme="majorBidi"/>
          <w:sz w:val="16"/>
          <w:szCs w:val="16"/>
        </w:rPr>
        <w:t>, 202</w:t>
      </w:r>
      <w:r w:rsidR="008A0C9F">
        <w:rPr>
          <w:rFonts w:ascii="MetaPro-Norm" w:hAnsi="MetaPro-Norm" w:cstheme="majorBidi"/>
          <w:sz w:val="16"/>
          <w:szCs w:val="16"/>
        </w:rPr>
        <w:t>3</w:t>
      </w:r>
      <w:r w:rsidR="00171333" w:rsidRPr="004E1A0B">
        <w:rPr>
          <w:rFonts w:ascii="MetaPro-Norm" w:hAnsi="MetaPro-Norm" w:cstheme="majorBidi"/>
          <w:sz w:val="16"/>
          <w:szCs w:val="16"/>
        </w:rPr>
        <w:t>).</w:t>
      </w:r>
    </w:p>
  </w:footnote>
  <w:footnote w:id="54">
    <w:p w14:paraId="3BACF163" w14:textId="3E2CB719" w:rsidR="006C35DB" w:rsidRPr="004E1A0B" w:rsidRDefault="006C35DB" w:rsidP="006C35DB">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171333" w:rsidRPr="004E1A0B">
        <w:rPr>
          <w:rFonts w:ascii="MetaPro-Norm" w:hAnsi="MetaPro-Norm" w:cstheme="majorBidi"/>
          <w:sz w:val="16"/>
          <w:szCs w:val="16"/>
        </w:rPr>
        <w:t xml:space="preserve">“Israel Demolishes Palestinian Village for the 204th Time,” </w:t>
      </w:r>
      <w:r w:rsidR="00171333" w:rsidRPr="00527B00">
        <w:rPr>
          <w:rFonts w:ascii="MetaPro-Norm" w:hAnsi="MetaPro-Norm" w:cstheme="majorBidi"/>
          <w:i/>
          <w:iCs/>
          <w:sz w:val="16"/>
          <w:szCs w:val="16"/>
        </w:rPr>
        <w:t>Middle East Monitor</w:t>
      </w:r>
      <w:r w:rsidR="00171333" w:rsidRPr="004E1A0B">
        <w:rPr>
          <w:rFonts w:ascii="MetaPro-Norm" w:hAnsi="MetaPro-Norm" w:cstheme="majorBidi"/>
          <w:sz w:val="16"/>
          <w:szCs w:val="16"/>
        </w:rPr>
        <w:t xml:space="preserve">, July 19, 2022, https://www.middleeastmonitor.com/20220719-israel-demolishes-palestinian-village-for-the-204th-time/ (accessed </w:t>
      </w:r>
      <w:proofErr w:type="gramStart"/>
      <w:r w:rsidR="001813FC">
        <w:rPr>
          <w:rFonts w:ascii="MetaPro-Norm" w:hAnsi="MetaPro-Norm" w:cstheme="majorBidi"/>
          <w:sz w:val="16"/>
          <w:szCs w:val="16"/>
        </w:rPr>
        <w:t xml:space="preserve">September </w:t>
      </w:r>
      <w:r w:rsidR="001813FC" w:rsidRPr="004E1A0B">
        <w:rPr>
          <w:rFonts w:ascii="MetaPro-Norm" w:hAnsi="MetaPro-Norm" w:cstheme="majorBidi"/>
          <w:sz w:val="16"/>
          <w:szCs w:val="16"/>
        </w:rPr>
        <w:t xml:space="preserve"> </w:t>
      </w:r>
      <w:r w:rsidR="001813FC">
        <w:rPr>
          <w:rFonts w:ascii="MetaPro-Norm" w:hAnsi="MetaPro-Norm" w:cstheme="majorBidi"/>
          <w:sz w:val="16"/>
          <w:szCs w:val="16"/>
        </w:rPr>
        <w:t>19</w:t>
      </w:r>
      <w:proofErr w:type="gramEnd"/>
      <w:r w:rsidR="001813FC">
        <w:rPr>
          <w:rFonts w:ascii="MetaPro-Norm" w:hAnsi="MetaPro-Norm" w:cstheme="majorBidi"/>
          <w:sz w:val="16"/>
          <w:szCs w:val="16"/>
        </w:rPr>
        <w:t>, 2023</w:t>
      </w:r>
      <w:r w:rsidR="00171333" w:rsidRPr="004E1A0B">
        <w:rPr>
          <w:rFonts w:ascii="MetaPro-Norm" w:hAnsi="MetaPro-Norm" w:cstheme="majorBidi"/>
          <w:sz w:val="16"/>
          <w:szCs w:val="16"/>
        </w:rPr>
        <w:t>).</w:t>
      </w:r>
    </w:p>
  </w:footnote>
  <w:footnote w:id="55">
    <w:p w14:paraId="162BD9AA" w14:textId="67BA83A1" w:rsidR="00426600" w:rsidRPr="004E1A0B" w:rsidRDefault="00426600" w:rsidP="00426600">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See, e.g., </w:t>
      </w:r>
      <w:bookmarkStart w:id="3" w:name="_Hlk145929735"/>
      <w:r w:rsidRPr="004E1A0B">
        <w:rPr>
          <w:rFonts w:ascii="MetaPro-Norm" w:hAnsi="MetaPro-Norm" w:cstheme="majorBidi"/>
          <w:sz w:val="16"/>
          <w:szCs w:val="16"/>
        </w:rPr>
        <w:t xml:space="preserve">Human Rights Watch, Off the Map: Land and Housing Rights Violations in Israel’s Unrecognized Bedouin Villages, March 2008, https://www.hrw.org/reports/2008/iopt0308/; </w:t>
      </w:r>
      <w:bookmarkEnd w:id="3"/>
      <w:r w:rsidRPr="004E1A0B">
        <w:rPr>
          <w:rFonts w:ascii="MetaPro-Norm" w:hAnsi="MetaPro-Norm" w:cstheme="majorBidi"/>
          <w:sz w:val="16"/>
          <w:szCs w:val="16"/>
        </w:rPr>
        <w:t xml:space="preserve">Human Rights Watch, Separate and Unequal, </w:t>
      </w:r>
      <w:r w:rsidR="00594A4B" w:rsidRPr="004E1A0B">
        <w:rPr>
          <w:rFonts w:ascii="MetaPro-Norm" w:hAnsi="MetaPro-Norm" w:cstheme="majorBidi"/>
          <w:sz w:val="16"/>
          <w:szCs w:val="16"/>
        </w:rPr>
        <w:t>December 2010</w:t>
      </w:r>
      <w:r w:rsidRPr="004E1A0B">
        <w:rPr>
          <w:rFonts w:ascii="MetaPro-Norm" w:hAnsi="MetaPro-Norm" w:cstheme="majorBidi"/>
          <w:sz w:val="16"/>
          <w:szCs w:val="16"/>
        </w:rPr>
        <w:t xml:space="preserve">, </w:t>
      </w:r>
      <w:r w:rsidR="00594A4B" w:rsidRPr="004E1A0B">
        <w:rPr>
          <w:rFonts w:ascii="MetaPro-Norm" w:hAnsi="MetaPro-Norm" w:cstheme="majorBidi"/>
          <w:sz w:val="16"/>
          <w:szCs w:val="16"/>
        </w:rPr>
        <w:t>https://www.hrw.org/report/2010/12/19/separate-and-unequal/israels-discriminatory-treatment-palestinians-occupied.</w:t>
      </w:r>
    </w:p>
  </w:footnote>
  <w:footnote w:id="56">
    <w:p w14:paraId="04C357B5" w14:textId="547908AE" w:rsidR="00EB43D3" w:rsidRPr="004E1A0B" w:rsidRDefault="00EB43D3" w:rsidP="00EB43D3">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Human Rights Watch, “Israel: Army Demolishing West Bank Schools,” April 25, 2018, https://www.hrw.org/news/2018/04/25/israel-army-demolishing-west-bank-schools</w:t>
      </w:r>
      <w:r w:rsidR="001813FC">
        <w:rPr>
          <w:rFonts w:ascii="MetaPro-Norm" w:hAnsi="MetaPro-Norm" w:cstheme="majorBidi"/>
          <w:sz w:val="16"/>
          <w:szCs w:val="16"/>
        </w:rPr>
        <w:t>.</w:t>
      </w:r>
    </w:p>
  </w:footnote>
  <w:footnote w:id="57">
    <w:p w14:paraId="302FE694" w14:textId="686C6192" w:rsidR="00A528F2" w:rsidRPr="004E1A0B" w:rsidRDefault="00A528F2" w:rsidP="00A528F2">
      <w:pPr>
        <w:pStyle w:val="FootnoteText"/>
        <w:rPr>
          <w:rFonts w:ascii="MetaPro-Norm" w:hAnsi="MetaPro-Norm"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6E0E15" w:rsidRPr="004E1A0B">
        <w:rPr>
          <w:rFonts w:ascii="MetaPro-Norm" w:hAnsi="MetaPro-Norm" w:cstheme="majorBidi"/>
          <w:sz w:val="16"/>
          <w:szCs w:val="16"/>
        </w:rPr>
        <w:t xml:space="preserve">United Nations Country Team, Occupied Palestinian Territory, Common Country Analysis 2016, “Leave No One Behind: A Perspective on Vulnerability and Structural Disadvantage in Palestine,” 2016, https://unsco.unmissions.org/sites/default/files/cca_report_en.pdf (accessed </w:t>
      </w:r>
      <w:r w:rsidR="001813FC">
        <w:rPr>
          <w:rFonts w:ascii="MetaPro-Norm" w:hAnsi="MetaPro-Norm" w:cstheme="majorBidi"/>
          <w:sz w:val="16"/>
          <w:szCs w:val="16"/>
        </w:rPr>
        <w:t>September 19</w:t>
      </w:r>
      <w:r w:rsidR="006E0E15" w:rsidRPr="004E1A0B">
        <w:rPr>
          <w:rFonts w:ascii="MetaPro-Norm" w:hAnsi="MetaPro-Norm" w:cstheme="majorBidi"/>
          <w:sz w:val="16"/>
          <w:szCs w:val="16"/>
        </w:rPr>
        <w:t>, 202</w:t>
      </w:r>
      <w:r w:rsidR="001813FC">
        <w:rPr>
          <w:rFonts w:ascii="MetaPro-Norm" w:hAnsi="MetaPro-Norm" w:cstheme="majorBidi"/>
          <w:sz w:val="16"/>
          <w:szCs w:val="16"/>
        </w:rPr>
        <w:t>3</w:t>
      </w:r>
      <w:r w:rsidR="006E0E15" w:rsidRPr="004E1A0B">
        <w:rPr>
          <w:rFonts w:ascii="MetaPro-Norm" w:hAnsi="MetaPro-Norm" w:cstheme="majorBidi"/>
          <w:sz w:val="16"/>
          <w:szCs w:val="16"/>
        </w:rPr>
        <w:t>).</w:t>
      </w:r>
    </w:p>
  </w:footnote>
  <w:footnote w:id="58">
    <w:p w14:paraId="203B01EB" w14:textId="674D9744" w:rsidR="00A528F2" w:rsidRPr="00B274F2" w:rsidRDefault="00A528F2" w:rsidP="00A528F2">
      <w:pPr>
        <w:pStyle w:val="FootnoteText"/>
        <w:rPr>
          <w:rFonts w:asciiTheme="majorBidi" w:hAnsiTheme="majorBidi" w:cstheme="majorBidi"/>
          <w:sz w:val="16"/>
          <w:szCs w:val="16"/>
        </w:rPr>
      </w:pPr>
      <w:r w:rsidRPr="004E1A0B">
        <w:rPr>
          <w:rStyle w:val="FootnoteReference"/>
          <w:rFonts w:ascii="MetaPro-Norm" w:hAnsi="MetaPro-Norm" w:cstheme="majorBidi"/>
          <w:sz w:val="16"/>
          <w:szCs w:val="16"/>
        </w:rPr>
        <w:footnoteRef/>
      </w:r>
      <w:r w:rsidRPr="004E1A0B">
        <w:rPr>
          <w:rFonts w:ascii="MetaPro-Norm" w:hAnsi="MetaPro-Norm" w:cstheme="majorBidi"/>
          <w:sz w:val="16"/>
          <w:szCs w:val="16"/>
        </w:rPr>
        <w:t xml:space="preserve"> </w:t>
      </w:r>
      <w:r w:rsidR="006E0E15" w:rsidRPr="004E1A0B">
        <w:rPr>
          <w:rFonts w:ascii="MetaPro-Norm" w:hAnsi="MetaPro-Norm" w:cstheme="majorBidi"/>
          <w:sz w:val="16"/>
          <w:szCs w:val="16"/>
        </w:rPr>
        <w:t>Ibid.</w:t>
      </w:r>
      <w:r w:rsidR="006E0E15">
        <w:rPr>
          <w:rFonts w:asciiTheme="majorBidi" w:hAnsiTheme="majorBidi" w:cstheme="majorBid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2A6A"/>
    <w:multiLevelType w:val="hybridMultilevel"/>
    <w:tmpl w:val="A8869C04"/>
    <w:lvl w:ilvl="0" w:tplc="71507E16">
      <w:start w:val="3"/>
      <w:numFmt w:val="bullet"/>
      <w:lvlText w:val="-"/>
      <w:lvlJc w:val="left"/>
      <w:pPr>
        <w:ind w:left="720" w:hanging="360"/>
      </w:pPr>
      <w:rPr>
        <w:rFonts w:ascii="MetaPro-Norm" w:eastAsiaTheme="minorEastAsia" w:hAnsi="MetaPro-Nor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46DD"/>
    <w:multiLevelType w:val="hybridMultilevel"/>
    <w:tmpl w:val="FDCE52DC"/>
    <w:lvl w:ilvl="0" w:tplc="F9D038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4D3A16"/>
    <w:multiLevelType w:val="multilevel"/>
    <w:tmpl w:val="251E58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9878F6"/>
    <w:multiLevelType w:val="hybridMultilevel"/>
    <w:tmpl w:val="8AC2DED2"/>
    <w:lvl w:ilvl="0" w:tplc="6AFE0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172B6"/>
    <w:multiLevelType w:val="multilevel"/>
    <w:tmpl w:val="3886D998"/>
    <w:lvl w:ilvl="0">
      <w:start w:val="1"/>
      <w:numFmt w:val="lowerLetter"/>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40F23A85"/>
    <w:multiLevelType w:val="multilevel"/>
    <w:tmpl w:val="83A86A3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4262630"/>
    <w:multiLevelType w:val="hybridMultilevel"/>
    <w:tmpl w:val="53569988"/>
    <w:lvl w:ilvl="0" w:tplc="DA36F876">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4C3047"/>
    <w:multiLevelType w:val="hybridMultilevel"/>
    <w:tmpl w:val="805CC32A"/>
    <w:lvl w:ilvl="0" w:tplc="6AFE0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D8179C"/>
    <w:multiLevelType w:val="hybridMultilevel"/>
    <w:tmpl w:val="2B1079E0"/>
    <w:lvl w:ilvl="0" w:tplc="F476E3B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6960022"/>
    <w:multiLevelType w:val="hybridMultilevel"/>
    <w:tmpl w:val="DBECA9D2"/>
    <w:lvl w:ilvl="0" w:tplc="6096B3BC">
      <w:start w:val="1"/>
      <w:numFmt w:val="decimal"/>
      <w:lvlText w:val="%1-"/>
      <w:lvlJc w:val="left"/>
      <w:pPr>
        <w:ind w:left="720" w:hanging="360"/>
      </w:pPr>
      <w:rPr>
        <w:rFonts w:hint="default"/>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3448D3"/>
    <w:multiLevelType w:val="hybridMultilevel"/>
    <w:tmpl w:val="6BF650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AE1B4B"/>
    <w:multiLevelType w:val="hybridMultilevel"/>
    <w:tmpl w:val="B1C2FBD6"/>
    <w:lvl w:ilvl="0" w:tplc="E9EA4A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B452D8"/>
    <w:multiLevelType w:val="multilevel"/>
    <w:tmpl w:val="BAE45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2834484">
    <w:abstractNumId w:val="1"/>
  </w:num>
  <w:num w:numId="2" w16cid:durableId="1325864380">
    <w:abstractNumId w:val="11"/>
  </w:num>
  <w:num w:numId="3" w16cid:durableId="1571384595">
    <w:abstractNumId w:val="9"/>
  </w:num>
  <w:num w:numId="4" w16cid:durableId="414209486">
    <w:abstractNumId w:val="8"/>
  </w:num>
  <w:num w:numId="5" w16cid:durableId="435249152">
    <w:abstractNumId w:val="10"/>
  </w:num>
  <w:num w:numId="6" w16cid:durableId="857233127">
    <w:abstractNumId w:val="3"/>
  </w:num>
  <w:num w:numId="7" w16cid:durableId="2017879342">
    <w:abstractNumId w:val="2"/>
  </w:num>
  <w:num w:numId="8" w16cid:durableId="1906840038">
    <w:abstractNumId w:val="7"/>
  </w:num>
  <w:num w:numId="9" w16cid:durableId="2022005040">
    <w:abstractNumId w:val="12"/>
  </w:num>
  <w:num w:numId="10" w16cid:durableId="1240288567">
    <w:abstractNumId w:val="4"/>
  </w:num>
  <w:num w:numId="11" w16cid:durableId="201597775">
    <w:abstractNumId w:val="5"/>
  </w:num>
  <w:num w:numId="12" w16cid:durableId="1924559168">
    <w:abstractNumId w:val="6"/>
  </w:num>
  <w:num w:numId="13" w16cid:durableId="412355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9DD"/>
    <w:rsid w:val="000036E5"/>
    <w:rsid w:val="00003F80"/>
    <w:rsid w:val="000067DE"/>
    <w:rsid w:val="00016B99"/>
    <w:rsid w:val="00016D2C"/>
    <w:rsid w:val="000275C9"/>
    <w:rsid w:val="00027645"/>
    <w:rsid w:val="00041684"/>
    <w:rsid w:val="00041994"/>
    <w:rsid w:val="000506ED"/>
    <w:rsid w:val="00066C9C"/>
    <w:rsid w:val="000702AC"/>
    <w:rsid w:val="000769B2"/>
    <w:rsid w:val="00080177"/>
    <w:rsid w:val="00083CF9"/>
    <w:rsid w:val="000B07B5"/>
    <w:rsid w:val="000B08FE"/>
    <w:rsid w:val="000B4F7F"/>
    <w:rsid w:val="000C17ED"/>
    <w:rsid w:val="000C59DD"/>
    <w:rsid w:val="000C7DEE"/>
    <w:rsid w:val="000D3C9D"/>
    <w:rsid w:val="000D587A"/>
    <w:rsid w:val="000D7FEE"/>
    <w:rsid w:val="000E6584"/>
    <w:rsid w:val="000F0A4C"/>
    <w:rsid w:val="000F339A"/>
    <w:rsid w:val="000F76D1"/>
    <w:rsid w:val="00110BAC"/>
    <w:rsid w:val="001360F4"/>
    <w:rsid w:val="0014229B"/>
    <w:rsid w:val="001437F8"/>
    <w:rsid w:val="00143D00"/>
    <w:rsid w:val="00146779"/>
    <w:rsid w:val="00151CDA"/>
    <w:rsid w:val="0016400D"/>
    <w:rsid w:val="00164E63"/>
    <w:rsid w:val="00170444"/>
    <w:rsid w:val="00171333"/>
    <w:rsid w:val="001714DC"/>
    <w:rsid w:val="00171D9B"/>
    <w:rsid w:val="001749D8"/>
    <w:rsid w:val="00180C9C"/>
    <w:rsid w:val="001813FC"/>
    <w:rsid w:val="0018473D"/>
    <w:rsid w:val="0019579D"/>
    <w:rsid w:val="001A7E4B"/>
    <w:rsid w:val="001B6F5C"/>
    <w:rsid w:val="001C1360"/>
    <w:rsid w:val="001D0907"/>
    <w:rsid w:val="001D519E"/>
    <w:rsid w:val="001D6565"/>
    <w:rsid w:val="001E49EE"/>
    <w:rsid w:val="001E5D87"/>
    <w:rsid w:val="001F6854"/>
    <w:rsid w:val="00211499"/>
    <w:rsid w:val="002130AB"/>
    <w:rsid w:val="00221FB9"/>
    <w:rsid w:val="00225ECD"/>
    <w:rsid w:val="002424C6"/>
    <w:rsid w:val="00242AB6"/>
    <w:rsid w:val="00246785"/>
    <w:rsid w:val="00260547"/>
    <w:rsid w:val="00272129"/>
    <w:rsid w:val="00274DD9"/>
    <w:rsid w:val="00277ABA"/>
    <w:rsid w:val="00280D3F"/>
    <w:rsid w:val="0028576C"/>
    <w:rsid w:val="00287067"/>
    <w:rsid w:val="002B2D1B"/>
    <w:rsid w:val="002B7B6A"/>
    <w:rsid w:val="002C2282"/>
    <w:rsid w:val="002C3424"/>
    <w:rsid w:val="002D712A"/>
    <w:rsid w:val="002F33B3"/>
    <w:rsid w:val="002F374E"/>
    <w:rsid w:val="00306E78"/>
    <w:rsid w:val="00310B45"/>
    <w:rsid w:val="00310E39"/>
    <w:rsid w:val="00312987"/>
    <w:rsid w:val="00313F78"/>
    <w:rsid w:val="00332BB3"/>
    <w:rsid w:val="003423B0"/>
    <w:rsid w:val="00375476"/>
    <w:rsid w:val="00387F0B"/>
    <w:rsid w:val="003A05DA"/>
    <w:rsid w:val="003A1031"/>
    <w:rsid w:val="003A680E"/>
    <w:rsid w:val="003A7238"/>
    <w:rsid w:val="003B234F"/>
    <w:rsid w:val="003B32E6"/>
    <w:rsid w:val="003B3D89"/>
    <w:rsid w:val="003B4D67"/>
    <w:rsid w:val="003C0D53"/>
    <w:rsid w:val="003C43E1"/>
    <w:rsid w:val="003D0F8E"/>
    <w:rsid w:val="003D38C1"/>
    <w:rsid w:val="00400F70"/>
    <w:rsid w:val="0040597D"/>
    <w:rsid w:val="0041055D"/>
    <w:rsid w:val="0041443C"/>
    <w:rsid w:val="004246DD"/>
    <w:rsid w:val="00426600"/>
    <w:rsid w:val="00427F96"/>
    <w:rsid w:val="00434CAF"/>
    <w:rsid w:val="00435BD1"/>
    <w:rsid w:val="004442FF"/>
    <w:rsid w:val="00445992"/>
    <w:rsid w:val="00454AE4"/>
    <w:rsid w:val="00462D0A"/>
    <w:rsid w:val="004638A2"/>
    <w:rsid w:val="00463D8E"/>
    <w:rsid w:val="0046798B"/>
    <w:rsid w:val="00467E78"/>
    <w:rsid w:val="004725F0"/>
    <w:rsid w:val="00476772"/>
    <w:rsid w:val="0047787B"/>
    <w:rsid w:val="00477CD4"/>
    <w:rsid w:val="00481833"/>
    <w:rsid w:val="00483478"/>
    <w:rsid w:val="0049510B"/>
    <w:rsid w:val="0049713B"/>
    <w:rsid w:val="004A683E"/>
    <w:rsid w:val="004B235B"/>
    <w:rsid w:val="004B631D"/>
    <w:rsid w:val="004C1FE3"/>
    <w:rsid w:val="004E0666"/>
    <w:rsid w:val="004E1A0B"/>
    <w:rsid w:val="004E46BB"/>
    <w:rsid w:val="004E5CBD"/>
    <w:rsid w:val="004E5E56"/>
    <w:rsid w:val="004E7289"/>
    <w:rsid w:val="004F5FDB"/>
    <w:rsid w:val="00506913"/>
    <w:rsid w:val="005079F9"/>
    <w:rsid w:val="00511B7C"/>
    <w:rsid w:val="00516E0B"/>
    <w:rsid w:val="00521BF5"/>
    <w:rsid w:val="00523EDE"/>
    <w:rsid w:val="00527B00"/>
    <w:rsid w:val="0053647E"/>
    <w:rsid w:val="00540B19"/>
    <w:rsid w:val="00553F97"/>
    <w:rsid w:val="00554CD6"/>
    <w:rsid w:val="00565FF6"/>
    <w:rsid w:val="0056771F"/>
    <w:rsid w:val="00573FE0"/>
    <w:rsid w:val="00576B9F"/>
    <w:rsid w:val="005807A7"/>
    <w:rsid w:val="005807E5"/>
    <w:rsid w:val="00583149"/>
    <w:rsid w:val="005920BD"/>
    <w:rsid w:val="00594A4B"/>
    <w:rsid w:val="00597FC4"/>
    <w:rsid w:val="005A236F"/>
    <w:rsid w:val="005A2A4C"/>
    <w:rsid w:val="005A3F16"/>
    <w:rsid w:val="005A71CC"/>
    <w:rsid w:val="005C3CD7"/>
    <w:rsid w:val="005C5A17"/>
    <w:rsid w:val="005E40DC"/>
    <w:rsid w:val="005F7488"/>
    <w:rsid w:val="00600219"/>
    <w:rsid w:val="00603FBC"/>
    <w:rsid w:val="00606464"/>
    <w:rsid w:val="00621E59"/>
    <w:rsid w:val="00630580"/>
    <w:rsid w:val="00635B4F"/>
    <w:rsid w:val="0064212F"/>
    <w:rsid w:val="006500F0"/>
    <w:rsid w:val="00653016"/>
    <w:rsid w:val="00657E8A"/>
    <w:rsid w:val="00660616"/>
    <w:rsid w:val="00661087"/>
    <w:rsid w:val="00666420"/>
    <w:rsid w:val="00667CB6"/>
    <w:rsid w:val="00673AA5"/>
    <w:rsid w:val="00680D7E"/>
    <w:rsid w:val="006840E9"/>
    <w:rsid w:val="0069137C"/>
    <w:rsid w:val="00692B8E"/>
    <w:rsid w:val="006A229F"/>
    <w:rsid w:val="006A572A"/>
    <w:rsid w:val="006B06CE"/>
    <w:rsid w:val="006B0B33"/>
    <w:rsid w:val="006B0B3C"/>
    <w:rsid w:val="006B191F"/>
    <w:rsid w:val="006B4ABD"/>
    <w:rsid w:val="006C35DB"/>
    <w:rsid w:val="006C3DE9"/>
    <w:rsid w:val="006C3E64"/>
    <w:rsid w:val="006D0626"/>
    <w:rsid w:val="006E0E15"/>
    <w:rsid w:val="006E445D"/>
    <w:rsid w:val="006E5A04"/>
    <w:rsid w:val="006F0D90"/>
    <w:rsid w:val="00700FBC"/>
    <w:rsid w:val="007115B8"/>
    <w:rsid w:val="007148ED"/>
    <w:rsid w:val="0071609D"/>
    <w:rsid w:val="00720848"/>
    <w:rsid w:val="00722E1C"/>
    <w:rsid w:val="0072322F"/>
    <w:rsid w:val="007263D1"/>
    <w:rsid w:val="00731DA7"/>
    <w:rsid w:val="00745FC5"/>
    <w:rsid w:val="00751B80"/>
    <w:rsid w:val="00756609"/>
    <w:rsid w:val="007608E3"/>
    <w:rsid w:val="00760F7E"/>
    <w:rsid w:val="007820BF"/>
    <w:rsid w:val="007919F7"/>
    <w:rsid w:val="00796343"/>
    <w:rsid w:val="0079754A"/>
    <w:rsid w:val="007A1BF8"/>
    <w:rsid w:val="007A1E4D"/>
    <w:rsid w:val="007A522F"/>
    <w:rsid w:val="007A6EB0"/>
    <w:rsid w:val="007B0FE0"/>
    <w:rsid w:val="007C2B1A"/>
    <w:rsid w:val="007D402E"/>
    <w:rsid w:val="007E3402"/>
    <w:rsid w:val="007E409D"/>
    <w:rsid w:val="007E4805"/>
    <w:rsid w:val="00803BDF"/>
    <w:rsid w:val="00804F4A"/>
    <w:rsid w:val="008060A9"/>
    <w:rsid w:val="00807D7D"/>
    <w:rsid w:val="00807F9B"/>
    <w:rsid w:val="0081113D"/>
    <w:rsid w:val="008139E3"/>
    <w:rsid w:val="00817C2B"/>
    <w:rsid w:val="008311EF"/>
    <w:rsid w:val="0083241F"/>
    <w:rsid w:val="00836CA8"/>
    <w:rsid w:val="00837D1E"/>
    <w:rsid w:val="00840407"/>
    <w:rsid w:val="00841AB2"/>
    <w:rsid w:val="00845C16"/>
    <w:rsid w:val="00852C9A"/>
    <w:rsid w:val="008557D0"/>
    <w:rsid w:val="00860DA4"/>
    <w:rsid w:val="0086313B"/>
    <w:rsid w:val="008670B3"/>
    <w:rsid w:val="00872F69"/>
    <w:rsid w:val="0087556E"/>
    <w:rsid w:val="00886879"/>
    <w:rsid w:val="008872D8"/>
    <w:rsid w:val="00893E1B"/>
    <w:rsid w:val="008A0B52"/>
    <w:rsid w:val="008A0C9F"/>
    <w:rsid w:val="008A37A9"/>
    <w:rsid w:val="008A6BF6"/>
    <w:rsid w:val="008A76AA"/>
    <w:rsid w:val="008B3DD0"/>
    <w:rsid w:val="008D60FD"/>
    <w:rsid w:val="008D69D3"/>
    <w:rsid w:val="008F6CF8"/>
    <w:rsid w:val="008F7E85"/>
    <w:rsid w:val="0090767F"/>
    <w:rsid w:val="009101B4"/>
    <w:rsid w:val="00931235"/>
    <w:rsid w:val="00933DED"/>
    <w:rsid w:val="009341CA"/>
    <w:rsid w:val="00945ACD"/>
    <w:rsid w:val="00947A39"/>
    <w:rsid w:val="00973327"/>
    <w:rsid w:val="00985F7D"/>
    <w:rsid w:val="00992534"/>
    <w:rsid w:val="00992ED4"/>
    <w:rsid w:val="00995A1E"/>
    <w:rsid w:val="00996B7B"/>
    <w:rsid w:val="009A0CF9"/>
    <w:rsid w:val="009A3A42"/>
    <w:rsid w:val="009A4018"/>
    <w:rsid w:val="009A4E62"/>
    <w:rsid w:val="009B0F06"/>
    <w:rsid w:val="009B6F5B"/>
    <w:rsid w:val="009C4A9C"/>
    <w:rsid w:val="009C7528"/>
    <w:rsid w:val="009D2571"/>
    <w:rsid w:val="009E4C6C"/>
    <w:rsid w:val="009F557F"/>
    <w:rsid w:val="009F6D15"/>
    <w:rsid w:val="00A11CB4"/>
    <w:rsid w:val="00A32260"/>
    <w:rsid w:val="00A342F8"/>
    <w:rsid w:val="00A42D17"/>
    <w:rsid w:val="00A4418D"/>
    <w:rsid w:val="00A44991"/>
    <w:rsid w:val="00A4774F"/>
    <w:rsid w:val="00A47AAD"/>
    <w:rsid w:val="00A5114E"/>
    <w:rsid w:val="00A528F2"/>
    <w:rsid w:val="00A55E14"/>
    <w:rsid w:val="00A61B54"/>
    <w:rsid w:val="00A72B9E"/>
    <w:rsid w:val="00A7722A"/>
    <w:rsid w:val="00A8590E"/>
    <w:rsid w:val="00A85DD5"/>
    <w:rsid w:val="00AB782F"/>
    <w:rsid w:val="00AC0162"/>
    <w:rsid w:val="00AC5F08"/>
    <w:rsid w:val="00AC6850"/>
    <w:rsid w:val="00AD62B9"/>
    <w:rsid w:val="00AE359F"/>
    <w:rsid w:val="00AE4FBE"/>
    <w:rsid w:val="00AF08CF"/>
    <w:rsid w:val="00AF1366"/>
    <w:rsid w:val="00AF7249"/>
    <w:rsid w:val="00B0147B"/>
    <w:rsid w:val="00B21227"/>
    <w:rsid w:val="00B274F2"/>
    <w:rsid w:val="00B36462"/>
    <w:rsid w:val="00B5087C"/>
    <w:rsid w:val="00B56F09"/>
    <w:rsid w:val="00B609D4"/>
    <w:rsid w:val="00B621BB"/>
    <w:rsid w:val="00B6220C"/>
    <w:rsid w:val="00B66E75"/>
    <w:rsid w:val="00B71D2F"/>
    <w:rsid w:val="00B73661"/>
    <w:rsid w:val="00B740EA"/>
    <w:rsid w:val="00B91A2F"/>
    <w:rsid w:val="00BA0C92"/>
    <w:rsid w:val="00BA2E4A"/>
    <w:rsid w:val="00BC2548"/>
    <w:rsid w:val="00BC2C6C"/>
    <w:rsid w:val="00BF61BF"/>
    <w:rsid w:val="00BF6580"/>
    <w:rsid w:val="00C03544"/>
    <w:rsid w:val="00C07E61"/>
    <w:rsid w:val="00C1219A"/>
    <w:rsid w:val="00C24E0C"/>
    <w:rsid w:val="00C32602"/>
    <w:rsid w:val="00C42F75"/>
    <w:rsid w:val="00C46FB4"/>
    <w:rsid w:val="00C50CC2"/>
    <w:rsid w:val="00C64AF9"/>
    <w:rsid w:val="00C715B6"/>
    <w:rsid w:val="00C93BB9"/>
    <w:rsid w:val="00C95C8C"/>
    <w:rsid w:val="00C96A3A"/>
    <w:rsid w:val="00CC06C1"/>
    <w:rsid w:val="00CC5602"/>
    <w:rsid w:val="00CE0B4F"/>
    <w:rsid w:val="00CE2404"/>
    <w:rsid w:val="00CE3487"/>
    <w:rsid w:val="00D1095D"/>
    <w:rsid w:val="00D31A0D"/>
    <w:rsid w:val="00D31CCD"/>
    <w:rsid w:val="00D40D16"/>
    <w:rsid w:val="00D5685D"/>
    <w:rsid w:val="00D66743"/>
    <w:rsid w:val="00D727E2"/>
    <w:rsid w:val="00D7310C"/>
    <w:rsid w:val="00D82C91"/>
    <w:rsid w:val="00D84E02"/>
    <w:rsid w:val="00D85135"/>
    <w:rsid w:val="00DB030C"/>
    <w:rsid w:val="00DB6972"/>
    <w:rsid w:val="00DE2C94"/>
    <w:rsid w:val="00DF165F"/>
    <w:rsid w:val="00DF3369"/>
    <w:rsid w:val="00DF5986"/>
    <w:rsid w:val="00E14765"/>
    <w:rsid w:val="00E17185"/>
    <w:rsid w:val="00E33F07"/>
    <w:rsid w:val="00E41944"/>
    <w:rsid w:val="00E42616"/>
    <w:rsid w:val="00E46B6B"/>
    <w:rsid w:val="00E72868"/>
    <w:rsid w:val="00E72E9B"/>
    <w:rsid w:val="00E72FAA"/>
    <w:rsid w:val="00E75E45"/>
    <w:rsid w:val="00E83375"/>
    <w:rsid w:val="00E83D36"/>
    <w:rsid w:val="00E863F3"/>
    <w:rsid w:val="00E8719D"/>
    <w:rsid w:val="00E96EE6"/>
    <w:rsid w:val="00E97667"/>
    <w:rsid w:val="00EA7A74"/>
    <w:rsid w:val="00EB43D3"/>
    <w:rsid w:val="00EB51B5"/>
    <w:rsid w:val="00EB5460"/>
    <w:rsid w:val="00EC0917"/>
    <w:rsid w:val="00EC404E"/>
    <w:rsid w:val="00EC7A9F"/>
    <w:rsid w:val="00EC7BB9"/>
    <w:rsid w:val="00ED12BE"/>
    <w:rsid w:val="00ED3103"/>
    <w:rsid w:val="00EE0136"/>
    <w:rsid w:val="00EE5B57"/>
    <w:rsid w:val="00EF05BD"/>
    <w:rsid w:val="00F12F16"/>
    <w:rsid w:val="00F17CBE"/>
    <w:rsid w:val="00F412EA"/>
    <w:rsid w:val="00F4156B"/>
    <w:rsid w:val="00F53035"/>
    <w:rsid w:val="00F5493E"/>
    <w:rsid w:val="00F5577D"/>
    <w:rsid w:val="00F56A7B"/>
    <w:rsid w:val="00F61EAD"/>
    <w:rsid w:val="00F61ED3"/>
    <w:rsid w:val="00F6387D"/>
    <w:rsid w:val="00F659B9"/>
    <w:rsid w:val="00F969EC"/>
    <w:rsid w:val="00FA2D2E"/>
    <w:rsid w:val="00FA3A30"/>
    <w:rsid w:val="00FA507C"/>
    <w:rsid w:val="00FB101D"/>
    <w:rsid w:val="00FB2937"/>
    <w:rsid w:val="00FC114A"/>
    <w:rsid w:val="00FC17F9"/>
    <w:rsid w:val="00FC2ACF"/>
    <w:rsid w:val="00FC6B13"/>
    <w:rsid w:val="00FC73F0"/>
    <w:rsid w:val="00FE1C65"/>
    <w:rsid w:val="00FE6C91"/>
    <w:rsid w:val="00FF37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B6E94"/>
  <w15:chartTrackingRefBased/>
  <w15:docId w15:val="{AA7CC41C-1982-4C80-BDEA-A49289248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D0F8E"/>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0C59DD"/>
    <w:rPr>
      <w:color w:val="0563C1"/>
      <w:u w:val="single"/>
    </w:rPr>
  </w:style>
  <w:style w:type="paragraph" w:styleId="CommentText">
    <w:name w:val="annotation text"/>
    <w:basedOn w:val="Normal"/>
    <w:link w:val="CommentTextChar"/>
    <w:uiPriority w:val="99"/>
    <w:unhideWhenUsed/>
    <w:rsid w:val="000C59DD"/>
    <w:pPr>
      <w:spacing w:line="240" w:lineRule="auto"/>
      <w:ind w:firstLine="720"/>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rsid w:val="000C59DD"/>
    <w:rPr>
      <w:rFonts w:ascii="Calibri" w:eastAsia="Calibri" w:hAnsi="Calibri" w:cs="Arial"/>
      <w:kern w:val="0"/>
      <w:sz w:val="20"/>
      <w:szCs w:val="20"/>
      <w14:ligatures w14:val="none"/>
    </w:rPr>
  </w:style>
  <w:style w:type="character" w:styleId="CommentReference">
    <w:name w:val="annotation reference"/>
    <w:basedOn w:val="DefaultParagraphFont"/>
    <w:uiPriority w:val="99"/>
    <w:unhideWhenUsed/>
    <w:rsid w:val="000C59DD"/>
    <w:rPr>
      <w:sz w:val="16"/>
      <w:szCs w:val="16"/>
    </w:rPr>
  </w:style>
  <w:style w:type="paragraph" w:styleId="NormalWeb">
    <w:name w:val="Normal (Web)"/>
    <w:basedOn w:val="Normal"/>
    <w:uiPriority w:val="99"/>
    <w:unhideWhenUsed/>
    <w:rsid w:val="000C59D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aliases w:val="5_G,Char Char,Char,fn,Footnote Text Char Char,Footnote Text Char Char Char,ft,footnotes,Footnote Text Char2 Char,Footnote Text Char Char1 Char,Footnote Text Char2 Char Char Char,Footnote Text Char1 Char Char Char Char, Char Char, Char"/>
    <w:basedOn w:val="Normal"/>
    <w:link w:val="FootnoteTextChar"/>
    <w:uiPriority w:val="99"/>
    <w:unhideWhenUsed/>
    <w:qFormat/>
    <w:rsid w:val="000C59DD"/>
    <w:pPr>
      <w:spacing w:after="0" w:line="240" w:lineRule="auto"/>
    </w:pPr>
    <w:rPr>
      <w:sz w:val="20"/>
      <w:szCs w:val="20"/>
    </w:rPr>
  </w:style>
  <w:style w:type="character" w:customStyle="1" w:styleId="FootnoteTextChar">
    <w:name w:val="Footnote Text Char"/>
    <w:aliases w:val="5_G Char,Char Char Char,Char Char1,fn Char,Footnote Text Char Char Char1,Footnote Text Char Char Char Char,ft Char,footnotes Char,Footnote Text Char2 Char Char,Footnote Text Char Char1 Char Char,Footnote Text Char2 Char Char Char Char"/>
    <w:basedOn w:val="DefaultParagraphFont"/>
    <w:link w:val="FootnoteText"/>
    <w:uiPriority w:val="99"/>
    <w:rsid w:val="000C59DD"/>
    <w:rPr>
      <w:sz w:val="20"/>
      <w:szCs w:val="20"/>
    </w:rPr>
  </w:style>
  <w:style w:type="character" w:styleId="FootnoteReference">
    <w:name w:val="footnote reference"/>
    <w:aliases w:val="ftref,BVI fnr,Footnotes refss,16 Point,Superscript 6 Point,Footnote Reference Number,nota pié di pagina,Times 10 Point, Exposant 3 Point,Footnote symbol,Footnote reference number,Exposant 3 Point,EN Footnote Reference,note TESI,4_G"/>
    <w:basedOn w:val="DefaultParagraphFont"/>
    <w:link w:val="4GCharCharChar"/>
    <w:uiPriority w:val="99"/>
    <w:unhideWhenUsed/>
    <w:qFormat/>
    <w:rsid w:val="000C59DD"/>
    <w:rPr>
      <w:vertAlign w:val="superscript"/>
    </w:rPr>
  </w:style>
  <w:style w:type="character" w:styleId="UnresolvedMention">
    <w:name w:val="Unresolved Mention"/>
    <w:basedOn w:val="DefaultParagraphFont"/>
    <w:uiPriority w:val="99"/>
    <w:semiHidden/>
    <w:unhideWhenUsed/>
    <w:rsid w:val="000C59D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9A0CF9"/>
    <w:pPr>
      <w:ind w:firstLine="0"/>
    </w:pPr>
    <w:rPr>
      <w:rFonts w:asciiTheme="minorHAnsi" w:eastAsiaTheme="minorHAnsi" w:hAnsi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9A0CF9"/>
    <w:rPr>
      <w:rFonts w:ascii="Calibri" w:eastAsia="Calibri" w:hAnsi="Calibri" w:cs="Arial"/>
      <w:b/>
      <w:bCs/>
      <w:kern w:val="0"/>
      <w:sz w:val="20"/>
      <w:szCs w:val="20"/>
      <w14:ligatures w14:val="none"/>
    </w:rPr>
  </w:style>
  <w:style w:type="character" w:customStyle="1" w:styleId="Heading1Char">
    <w:name w:val="Heading 1 Char"/>
    <w:basedOn w:val="DefaultParagraphFont"/>
    <w:link w:val="Heading1"/>
    <w:uiPriority w:val="9"/>
    <w:rsid w:val="003D0F8E"/>
    <w:rPr>
      <w:rFonts w:ascii="Times New Roman" w:eastAsia="Times New Roman" w:hAnsi="Times New Roman" w:cs="Times New Roman"/>
      <w:b/>
      <w:bCs/>
      <w:kern w:val="36"/>
      <w:sz w:val="48"/>
      <w:szCs w:val="48"/>
      <w14:ligatures w14:val="non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3D0F8E"/>
    <w:pPr>
      <w:spacing w:line="240" w:lineRule="exact"/>
      <w:jc w:val="both"/>
    </w:pPr>
    <w:rPr>
      <w:vertAlign w:val="superscript"/>
    </w:rPr>
  </w:style>
  <w:style w:type="paragraph" w:styleId="ListParagraph">
    <w:name w:val="List Paragraph"/>
    <w:basedOn w:val="Normal"/>
    <w:uiPriority w:val="34"/>
    <w:qFormat/>
    <w:rsid w:val="002130AB"/>
    <w:pPr>
      <w:ind w:left="720"/>
      <w:contextualSpacing/>
    </w:pPr>
  </w:style>
  <w:style w:type="character" w:styleId="Emphasis">
    <w:name w:val="Emphasis"/>
    <w:basedOn w:val="DefaultParagraphFont"/>
    <w:uiPriority w:val="20"/>
    <w:qFormat/>
    <w:rsid w:val="002130AB"/>
    <w:rPr>
      <w:i/>
      <w:iCs/>
    </w:rPr>
  </w:style>
  <w:style w:type="character" w:styleId="Strong">
    <w:name w:val="Strong"/>
    <w:basedOn w:val="DefaultParagraphFont"/>
    <w:uiPriority w:val="22"/>
    <w:qFormat/>
    <w:rsid w:val="002130AB"/>
    <w:rPr>
      <w:b/>
      <w:bCs/>
    </w:rPr>
  </w:style>
  <w:style w:type="character" w:customStyle="1" w:styleId="tooltip-container">
    <w:name w:val="tooltip-container"/>
    <w:basedOn w:val="DefaultParagraphFont"/>
    <w:rsid w:val="00985F7D"/>
  </w:style>
  <w:style w:type="paragraph" w:customStyle="1" w:styleId="paragraph">
    <w:name w:val="paragraph"/>
    <w:basedOn w:val="Normal"/>
    <w:rsid w:val="004442F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eop">
    <w:name w:val="eop"/>
    <w:basedOn w:val="DefaultParagraphFont"/>
    <w:rsid w:val="004442FF"/>
  </w:style>
  <w:style w:type="character" w:customStyle="1" w:styleId="normaltextrun">
    <w:name w:val="normaltextrun"/>
    <w:basedOn w:val="DefaultParagraphFont"/>
    <w:rsid w:val="006B0B33"/>
  </w:style>
  <w:style w:type="paragraph" w:styleId="Revision">
    <w:name w:val="Revision"/>
    <w:hidden/>
    <w:uiPriority w:val="99"/>
    <w:semiHidden/>
    <w:rsid w:val="00151CDA"/>
    <w:pPr>
      <w:spacing w:after="0" w:line="240" w:lineRule="auto"/>
    </w:pPr>
  </w:style>
  <w:style w:type="character" w:styleId="FollowedHyperlink">
    <w:name w:val="FollowedHyperlink"/>
    <w:basedOn w:val="DefaultParagraphFont"/>
    <w:uiPriority w:val="99"/>
    <w:semiHidden/>
    <w:unhideWhenUsed/>
    <w:rsid w:val="00EB54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173770">
      <w:bodyDiv w:val="1"/>
      <w:marLeft w:val="0"/>
      <w:marRight w:val="0"/>
      <w:marTop w:val="0"/>
      <w:marBottom w:val="0"/>
      <w:divBdr>
        <w:top w:val="none" w:sz="0" w:space="0" w:color="auto"/>
        <w:left w:val="none" w:sz="0" w:space="0" w:color="auto"/>
        <w:bottom w:val="none" w:sz="0" w:space="0" w:color="auto"/>
        <w:right w:val="none" w:sz="0" w:space="0" w:color="auto"/>
      </w:divBdr>
    </w:div>
    <w:div w:id="1438059208">
      <w:bodyDiv w:val="1"/>
      <w:marLeft w:val="0"/>
      <w:marRight w:val="0"/>
      <w:marTop w:val="0"/>
      <w:marBottom w:val="0"/>
      <w:divBdr>
        <w:top w:val="none" w:sz="0" w:space="0" w:color="auto"/>
        <w:left w:val="none" w:sz="0" w:space="0" w:color="auto"/>
        <w:bottom w:val="none" w:sz="0" w:space="0" w:color="auto"/>
        <w:right w:val="none" w:sz="0" w:space="0" w:color="auto"/>
      </w:divBdr>
    </w:div>
    <w:div w:id="159987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ebook.com/COGAT.ARABIC/videos/39057939955576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isha.org/UserFiles/File/publications/Bidul/bidul-infosheet-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4F4B4D3B489C4D8FB0A05944BCF8A7" ma:contentTypeVersion="20" ma:contentTypeDescription="Create a new document." ma:contentTypeScope="" ma:versionID="e73059775e23cecb637c3ae40fab4b98">
  <xsd:schema xmlns:xsd="http://www.w3.org/2001/XMLSchema" xmlns:xs="http://www.w3.org/2001/XMLSchema" xmlns:p="http://schemas.microsoft.com/office/2006/metadata/properties" xmlns:ns1="http://schemas.microsoft.com/sharepoint/v3" xmlns:ns2="bdece886-b88a-4fb2-88d0-e8d640a2b962" xmlns:ns3="8c76d53b-d2a1-4a57-be35-e685d2940486" targetNamespace="http://schemas.microsoft.com/office/2006/metadata/properties" ma:root="true" ma:fieldsID="9077610164a025a0b386798880f358f6" ns1:_="" ns2:_="" ns3:_="">
    <xsd:import namespace="http://schemas.microsoft.com/sharepoint/v3"/>
    <xsd:import namespace="bdece886-b88a-4fb2-88d0-e8d640a2b962"/>
    <xsd:import namespace="8c76d53b-d2a1-4a57-be35-e685d294048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1:_ip_UnifiedCompliancePolicyProperties" minOccurs="0"/>
                <xsd:element ref="ns1:_ip_UnifiedCompliancePolicyUIAc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Notes"/>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description="" ma:hidden="true" ma:internalName="_ip_UnifiedCompliancePolicyProperties">
      <xsd:simpleType>
        <xsd:restriction base="dms:Note"/>
      </xsd:simpleType>
    </xsd:element>
    <xsd:element name="_ip_UnifiedCompliancePolicyUIAction" ma:index="16"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ece886-b88a-4fb2-88d0-e8d640a2b96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1f26a6d3-0427-4401-a677-2e606f08e99b}" ma:internalName="TaxCatchAll" ma:showField="CatchAllData" ma:web="bdece886-b88a-4fb2-88d0-e8d640a2b96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c76d53b-d2a1-4a57-be35-e685d294048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cd1fdafe-9854-4240-ab20-80134166ca79" ma:termSetId="09814cd3-568e-fe90-9814-8d621ff8fb84" ma:anchorId="fba54fb3-c3e1-fe81-a776-ca4b69148c4d" ma:open="true" ma:isKeyword="false">
      <xsd:complexType>
        <xsd:sequence>
          <xsd:element ref="pc:Terms" minOccurs="0" maxOccurs="1"/>
        </xsd:sequence>
      </xsd:complexType>
    </xsd:element>
    <xsd:element name="Notes" ma:index="26" ma:displayName="Notes" ma:format="Dropdown" ma:internalName="Notes">
      <xsd:simpleType>
        <xsd:restriction base="dms:Note">
          <xsd:maxLength value="255"/>
        </xsd:restrictio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dece886-b88a-4fb2-88d0-e8d640a2b962">
      <UserInfo>
        <DisplayName>Eric Goldstein</DisplayName>
        <AccountId>31</AccountId>
        <AccountType/>
      </UserInfo>
      <UserInfo>
        <DisplayName>Abier Almasri</DisplayName>
        <AccountId>14</AccountId>
        <AccountType/>
      </UserInfo>
      <UserInfo>
        <DisplayName>Rothna Begum</DisplayName>
        <AccountId>85</AccountId>
        <AccountType/>
      </UserInfo>
    </SharedWithUsers>
    <lcf76f155ced4ddcb4097134ff3c332f xmlns="8c76d53b-d2a1-4a57-be35-e685d2940486">
      <Terms xmlns="http://schemas.microsoft.com/office/infopath/2007/PartnerControls"/>
    </lcf76f155ced4ddcb4097134ff3c332f>
    <TaxCatchAll xmlns="bdece886-b88a-4fb2-88d0-e8d640a2b962" xsi:nil="true"/>
    <_ip_UnifiedCompliancePolicyUIAction xmlns="http://schemas.microsoft.com/sharepoint/v3" xsi:nil="true"/>
    <_ip_UnifiedCompliancePolicyProperties xmlns="http://schemas.microsoft.com/sharepoint/v3" xsi:nil="true"/>
    <Notes xmlns="8c76d53b-d2a1-4a57-be35-e685d2940486"/>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47C5D-AFB3-48FA-995E-FF7E80CF6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ece886-b88a-4fb2-88d0-e8d640a2b962"/>
    <ds:schemaRef ds:uri="8c76d53b-d2a1-4a57-be35-e685d29404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58947B-4A99-4B72-AFF7-7208222CF210}">
  <ds:schemaRefs>
    <ds:schemaRef ds:uri="http://schemas.microsoft.com/sharepoint/v3/contenttype/forms"/>
  </ds:schemaRefs>
</ds:datastoreItem>
</file>

<file path=customXml/itemProps3.xml><?xml version="1.0" encoding="utf-8"?>
<ds:datastoreItem xmlns:ds="http://schemas.openxmlformats.org/officeDocument/2006/customXml" ds:itemID="{8427BD66-42FD-4B5C-9045-AD7DF3595739}">
  <ds:schemaRefs>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8c76d53b-d2a1-4a57-be35-e685d2940486"/>
    <ds:schemaRef ds:uri="bdece886-b88a-4fb2-88d0-e8d640a2b962"/>
    <ds:schemaRef ds:uri="http://purl.org/dc/dcmitype/"/>
    <ds:schemaRef ds:uri="http://schemas.microsoft.com/sharepoint/v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29E68AD-7C2F-4356-917C-8712772E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3577</Words>
  <Characters>20393</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Abier Almasri</dc:creator>
  <cp:keywords/>
  <dc:description/>
  <cp:lastModifiedBy>Nicola Paccamiccio</cp:lastModifiedBy>
  <cp:revision>2</cp:revision>
  <dcterms:created xsi:type="dcterms:W3CDTF">2023-09-20T12:24:00Z</dcterms:created>
  <dcterms:modified xsi:type="dcterms:W3CDTF">2023-09-20T12:24:00Z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0x010100874F4B4D3B489C4D8FB0A05944BCF8A7</vt:lpwstr>
  </property>
</Properties>
</file>